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BCFB" w14:textId="77777777" w:rsidR="0007796D" w:rsidRPr="00A41B28" w:rsidRDefault="0007796D" w:rsidP="0007796D">
      <w:pPr>
        <w:spacing w:after="0" w:line="240" w:lineRule="auto"/>
        <w:contextualSpacing/>
        <w:jc w:val="both"/>
        <w:rPr>
          <w:rFonts w:ascii="Arial" w:hAnsi="Arial" w:cs="Arial"/>
          <w:b/>
          <w:bCs/>
          <w:iCs/>
          <w:lang w:val="es-ES_tradnl"/>
        </w:rPr>
      </w:pPr>
      <w:bookmarkStart w:id="0" w:name="_Hlk109054766"/>
      <w:r w:rsidRPr="00A41B28">
        <w:rPr>
          <w:rFonts w:ascii="Arial" w:hAnsi="Arial" w:cs="Arial"/>
          <w:b/>
          <w:bCs/>
          <w:iCs/>
          <w:lang w:val="es-ES_tradnl"/>
        </w:rPr>
        <w:t xml:space="preserve">DEBER DE PUBLICIDAD </w:t>
      </w:r>
      <w:r w:rsidRPr="00A41B28">
        <w:rPr>
          <w:rFonts w:ascii="Arial" w:eastAsia="Calibri" w:hAnsi="Arial" w:cs="Arial"/>
          <w:b/>
          <w:lang w:val="es-ES_tradnl"/>
        </w:rPr>
        <w:t>–</w:t>
      </w:r>
      <w:r w:rsidRPr="00A41B28">
        <w:rPr>
          <w:rFonts w:ascii="Arial" w:hAnsi="Arial" w:cs="Arial"/>
          <w:b/>
          <w:bCs/>
          <w:iCs/>
          <w:lang w:val="es-ES_tradnl"/>
        </w:rPr>
        <w:t xml:space="preserve"> Entidades estatales exceptuadas del estatuto general de contratación de la administración pública</w:t>
      </w:r>
    </w:p>
    <w:p w14:paraId="5309AE7E" w14:textId="77777777" w:rsidR="0007796D" w:rsidRPr="00A41B28" w:rsidRDefault="0007796D" w:rsidP="0007796D">
      <w:pPr>
        <w:spacing w:after="0" w:line="240" w:lineRule="auto"/>
        <w:contextualSpacing/>
        <w:jc w:val="both"/>
        <w:rPr>
          <w:rFonts w:ascii="Arial" w:hAnsi="Arial" w:cs="Arial"/>
          <w:b/>
          <w:bCs/>
          <w:iCs/>
          <w:lang w:val="es-ES_tradnl"/>
        </w:rPr>
      </w:pPr>
    </w:p>
    <w:p w14:paraId="3577F24A" w14:textId="77777777" w:rsidR="0007796D" w:rsidRPr="00A41B28" w:rsidRDefault="0007796D" w:rsidP="0007796D">
      <w:pPr>
        <w:spacing w:after="0" w:line="240" w:lineRule="auto"/>
        <w:contextualSpacing/>
        <w:jc w:val="both"/>
        <w:rPr>
          <w:rFonts w:ascii="Arial" w:eastAsia="Times New Roman" w:hAnsi="Arial" w:cs="Arial"/>
          <w:sz w:val="20"/>
          <w:szCs w:val="20"/>
          <w:lang w:eastAsia="es-CO"/>
        </w:rPr>
      </w:pPr>
      <w:r w:rsidRPr="00A41B28">
        <w:rPr>
          <w:rFonts w:ascii="Arial" w:eastAsia="Times New Roman" w:hAnsi="Arial" w:cs="Arial"/>
          <w:sz w:val="20"/>
          <w:szCs w:val="20"/>
          <w:lang w:eastAsia="es-CO"/>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a través de los medios y procedimientos que establezca la</w:t>
      </w:r>
      <w:r w:rsidRPr="00A41B28">
        <w:rPr>
          <w:rFonts w:ascii="Arial" w:eastAsia="Times New Roman" w:hAnsi="Arial" w:cs="Arial"/>
          <w:spacing w:val="-2"/>
          <w:sz w:val="20"/>
          <w:szCs w:val="20"/>
          <w:lang w:eastAsia="es-CO"/>
        </w:rPr>
        <w:t xml:space="preserve"> </w:t>
      </w:r>
      <w:r w:rsidRPr="00A41B28">
        <w:rPr>
          <w:rFonts w:ascii="Arial" w:eastAsia="Times New Roman" w:hAnsi="Arial" w:cs="Arial"/>
          <w:sz w:val="20"/>
          <w:szCs w:val="20"/>
          <w:lang w:eastAsia="es-CO"/>
        </w:rPr>
        <w:t xml:space="preserve">ley. Y el principio de buena fe hace referencia al deber de todo sujeto obligado de cumplir con las obligaciones derivadas del derecho de acceso a la información pública con motivación honesta, leal y desprovista de cualquier intención dolosa o culposa. </w:t>
      </w:r>
    </w:p>
    <w:p w14:paraId="5596C48B" w14:textId="77777777" w:rsidR="0007796D" w:rsidRPr="00A41B28" w:rsidRDefault="0007796D" w:rsidP="0007796D">
      <w:pPr>
        <w:spacing w:after="0" w:line="240" w:lineRule="auto"/>
        <w:contextualSpacing/>
        <w:jc w:val="both"/>
        <w:rPr>
          <w:rFonts w:ascii="Arial" w:eastAsia="Times New Roman" w:hAnsi="Arial" w:cs="Arial"/>
          <w:sz w:val="20"/>
          <w:szCs w:val="20"/>
          <w:lang w:eastAsia="es-CO"/>
        </w:rPr>
      </w:pPr>
    </w:p>
    <w:p w14:paraId="13FEE32A" w14:textId="77777777" w:rsidR="0007796D" w:rsidRPr="00A41B28" w:rsidRDefault="0007796D" w:rsidP="0007796D">
      <w:pPr>
        <w:spacing w:after="0" w:line="240" w:lineRule="auto"/>
        <w:contextualSpacing/>
        <w:jc w:val="both"/>
        <w:rPr>
          <w:rFonts w:ascii="Arial" w:eastAsia="Times New Roman" w:hAnsi="Arial" w:cs="Arial"/>
          <w:sz w:val="20"/>
          <w:szCs w:val="20"/>
          <w:lang w:eastAsia="es-CO"/>
        </w:rPr>
      </w:pPr>
      <w:r w:rsidRPr="00A41B28">
        <w:rPr>
          <w:rFonts w:ascii="Arial" w:eastAsia="Times New Roman" w:hAnsi="Arial" w:cs="Arial"/>
          <w:sz w:val="20"/>
          <w:szCs w:val="20"/>
          <w:lang w:eastAsia="es-CO"/>
        </w:rPr>
        <w:t xml:space="preserve">La citada Ley establece, en el literal e) del artículo 9, que los </w:t>
      </w:r>
      <w:r w:rsidRPr="00A41B28">
        <w:rPr>
          <w:rFonts w:ascii="Arial" w:eastAsia="Times New Roman" w:hAnsi="Arial" w:cs="Arial"/>
          <w:i/>
          <w:iCs/>
          <w:sz w:val="20"/>
          <w:szCs w:val="20"/>
          <w:lang w:eastAsia="es-CO"/>
        </w:rPr>
        <w:t xml:space="preserve">sujetos obligados </w:t>
      </w:r>
      <w:r w:rsidRPr="00A41B28">
        <w:rPr>
          <w:rFonts w:ascii="Arial" w:eastAsia="Times New Roman" w:hAnsi="Arial" w:cs="Arial"/>
          <w:sz w:val="20"/>
          <w:szCs w:val="20"/>
          <w:lang w:eastAsia="es-CO"/>
        </w:rPr>
        <w:t xml:space="preserve">deben publicar la información relativa a su contratación. </w:t>
      </w:r>
      <w:r w:rsidRPr="00A41B28">
        <w:rPr>
          <w:rFonts w:ascii="Arial" w:eastAsia="Arial MT" w:hAnsi="Arial" w:cs="Arial"/>
          <w:sz w:val="20"/>
          <w:szCs w:val="20"/>
          <w:lang w:val="es-ES"/>
        </w:rPr>
        <w:t xml:space="preserve">El artículo 5 </w:t>
      </w:r>
      <w:r w:rsidRPr="00A41B28">
        <w:rPr>
          <w:rFonts w:ascii="Arial" w:eastAsia="Arial MT" w:hAnsi="Arial" w:cs="Arial"/>
          <w:i/>
          <w:iCs/>
          <w:sz w:val="20"/>
          <w:szCs w:val="20"/>
          <w:lang w:val="es-ES"/>
        </w:rPr>
        <w:t>ibidem</w:t>
      </w:r>
      <w:r w:rsidRPr="00A41B28">
        <w:rPr>
          <w:rFonts w:ascii="Arial" w:eastAsia="Arial MT" w:hAnsi="Arial" w:cs="Arial"/>
          <w:sz w:val="20"/>
          <w:szCs w:val="20"/>
          <w:lang w:val="es-ES"/>
        </w:rPr>
        <w:t>,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r w:rsidRPr="00A41B28">
        <w:rPr>
          <w:rFonts w:ascii="Arial" w:eastAsia="Times New Roman" w:hAnsi="Arial" w:cs="Arial"/>
          <w:sz w:val="20"/>
          <w:szCs w:val="20"/>
          <w:lang w:eastAsia="es-CO"/>
        </w:rPr>
        <w:t xml:space="preserve"> </w:t>
      </w:r>
    </w:p>
    <w:p w14:paraId="345D6D7E" w14:textId="77777777" w:rsidR="0007796D" w:rsidRPr="00A41B28" w:rsidRDefault="0007796D" w:rsidP="0007796D">
      <w:pPr>
        <w:spacing w:after="0" w:line="240" w:lineRule="auto"/>
        <w:contextualSpacing/>
        <w:jc w:val="both"/>
        <w:rPr>
          <w:rFonts w:ascii="Arial" w:eastAsia="Times New Roman" w:hAnsi="Arial" w:cs="Arial"/>
          <w:lang w:eastAsia="es-CO"/>
        </w:rPr>
      </w:pPr>
    </w:p>
    <w:p w14:paraId="7F3E4D31" w14:textId="77777777" w:rsidR="0007796D" w:rsidRPr="00A41B28" w:rsidRDefault="0007796D" w:rsidP="0007796D">
      <w:pPr>
        <w:spacing w:after="0" w:line="240" w:lineRule="auto"/>
        <w:contextualSpacing/>
        <w:jc w:val="both"/>
        <w:rPr>
          <w:rFonts w:ascii="Arial" w:hAnsi="Arial" w:cs="Arial"/>
          <w:b/>
          <w:bCs/>
          <w:iCs/>
          <w:lang w:val="es-ES_tradnl"/>
        </w:rPr>
      </w:pPr>
      <w:r w:rsidRPr="00A41B28">
        <w:rPr>
          <w:rFonts w:ascii="Arial" w:hAnsi="Arial" w:cs="Arial"/>
          <w:b/>
          <w:bCs/>
          <w:iCs/>
          <w:lang w:val="es-ES_tradnl"/>
        </w:rPr>
        <w:t xml:space="preserve">SECOP II </w:t>
      </w:r>
      <w:r w:rsidRPr="00A41B28">
        <w:rPr>
          <w:rFonts w:ascii="Arial" w:eastAsia="Calibri" w:hAnsi="Arial" w:cs="Arial"/>
          <w:b/>
          <w:lang w:val="es-ES_tradnl"/>
        </w:rPr>
        <w:t>–</w:t>
      </w:r>
      <w:r w:rsidRPr="00A41B28">
        <w:rPr>
          <w:rFonts w:ascii="Arial" w:hAnsi="Arial" w:cs="Arial"/>
          <w:b/>
          <w:bCs/>
          <w:iCs/>
          <w:lang w:val="es-ES_tradnl"/>
        </w:rPr>
        <w:t xml:space="preserve"> Deber de publicidad </w:t>
      </w:r>
      <w:r w:rsidRPr="00A41B28">
        <w:rPr>
          <w:rFonts w:ascii="Arial" w:eastAsia="Calibri" w:hAnsi="Arial" w:cs="Arial"/>
          <w:b/>
          <w:lang w:val="es-ES_tradnl"/>
        </w:rPr>
        <w:t>–</w:t>
      </w:r>
      <w:r w:rsidRPr="00A41B28">
        <w:rPr>
          <w:rFonts w:ascii="Arial" w:hAnsi="Arial" w:cs="Arial"/>
          <w:b/>
          <w:bCs/>
          <w:iCs/>
          <w:lang w:val="es-ES_tradnl"/>
        </w:rPr>
        <w:t xml:space="preserve"> Entidades estatales exceptuadas del estatuto general de contratación de la administración pública – Modificación artículo 53 de la Ley 2195 de 2022</w:t>
      </w:r>
    </w:p>
    <w:p w14:paraId="14244983" w14:textId="77777777" w:rsidR="0007796D" w:rsidRPr="00A41B28" w:rsidRDefault="0007796D" w:rsidP="0007796D">
      <w:pPr>
        <w:spacing w:after="0" w:line="240" w:lineRule="auto"/>
        <w:contextualSpacing/>
        <w:jc w:val="both"/>
        <w:rPr>
          <w:rFonts w:ascii="Arial" w:hAnsi="Arial" w:cs="Arial"/>
          <w:b/>
          <w:bCs/>
          <w:iCs/>
          <w:lang w:val="es-ES_tradnl"/>
        </w:rPr>
      </w:pPr>
    </w:p>
    <w:p w14:paraId="4F24F20B" w14:textId="77777777" w:rsidR="0007796D" w:rsidRPr="00A41B28" w:rsidRDefault="0007796D" w:rsidP="0007796D">
      <w:pPr>
        <w:spacing w:after="0" w:line="240" w:lineRule="auto"/>
        <w:contextualSpacing/>
        <w:jc w:val="both"/>
        <w:rPr>
          <w:rFonts w:ascii="Arial" w:hAnsi="Arial" w:cs="Arial"/>
          <w:sz w:val="20"/>
          <w:szCs w:val="20"/>
        </w:rPr>
      </w:pPr>
      <w:r w:rsidRPr="00A41B28">
        <w:rPr>
          <w:rFonts w:ascii="Arial" w:hAnsi="Arial" w:cs="Arial"/>
          <w:sz w:val="20"/>
          <w:szCs w:val="20"/>
        </w:rPr>
        <w:t xml:space="preserve">[…] la Ley 2195 de 2022, por medio de la cual se adoptan medidas en materia de transparencia, prevención y lucha contra la corrupción. </w:t>
      </w:r>
      <w:r w:rsidRPr="00A41B28">
        <w:rPr>
          <w:rFonts w:ascii="Arial" w:eastAsia="Calibri" w:hAnsi="Arial" w:cs="Arial"/>
          <w:sz w:val="20"/>
          <w:szCs w:val="20"/>
          <w:lang w:val="es-ES_tradnl" w:eastAsia="es-ES_tradnl"/>
        </w:rPr>
        <w:t>Según el artículo 1, esta Ley «</w:t>
      </w:r>
      <w:r w:rsidRPr="00A41B28">
        <w:rPr>
          <w:rFonts w:ascii="Arial" w:eastAsia="Times New Roman" w:hAnsi="Arial" w:cs="Arial"/>
          <w:sz w:val="20"/>
          <w:szCs w:val="20"/>
          <w:lang w:val="es-ES_tradnl" w:eastAsia="es-ES_tradnl"/>
        </w:rPr>
        <w:t xml:space="preserve">[…] </w:t>
      </w:r>
      <w:r w:rsidRPr="00A41B28">
        <w:rPr>
          <w:rFonts w:ascii="Arial" w:eastAsia="Calibri" w:hAnsi="Arial" w:cs="Arial"/>
          <w:sz w:val="20"/>
          <w:szCs w:val="2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Ley en mención, que lleva por título «Disposiciones en materia contractual para la moralización y la transparencia», se ubica </w:t>
      </w:r>
      <w:r w:rsidRPr="00A41B28">
        <w:rPr>
          <w:rFonts w:ascii="Arial" w:hAnsi="Arial" w:cs="Arial"/>
          <w:sz w:val="20"/>
          <w:szCs w:val="20"/>
        </w:rPr>
        <w:t>el artículo 53, a través del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p>
    <w:p w14:paraId="4C597731" w14:textId="77777777" w:rsidR="0007796D" w:rsidRPr="00A41B28" w:rsidRDefault="0007796D" w:rsidP="0007796D">
      <w:pPr>
        <w:spacing w:after="0" w:line="240" w:lineRule="auto"/>
        <w:contextualSpacing/>
        <w:jc w:val="both"/>
        <w:rPr>
          <w:rFonts w:ascii="Arial" w:eastAsia="Calibri" w:hAnsi="Arial" w:cs="Arial"/>
          <w:b/>
          <w:lang w:val="es-ES_tradnl"/>
        </w:rPr>
      </w:pPr>
    </w:p>
    <w:p w14:paraId="1F3E806C" w14:textId="77777777" w:rsidR="0007796D" w:rsidRPr="00A41B28" w:rsidRDefault="0007796D" w:rsidP="0007796D">
      <w:pPr>
        <w:spacing w:after="0" w:line="240" w:lineRule="auto"/>
        <w:contextualSpacing/>
        <w:jc w:val="both"/>
        <w:rPr>
          <w:rFonts w:ascii="Arial" w:eastAsia="Calibri" w:hAnsi="Arial" w:cs="Arial"/>
          <w:b/>
          <w:lang w:val="es-ES_tradnl"/>
        </w:rPr>
      </w:pPr>
      <w:r w:rsidRPr="00A41B28">
        <w:rPr>
          <w:rFonts w:ascii="Arial" w:eastAsia="Calibri" w:hAnsi="Arial" w:cs="Arial"/>
          <w:b/>
          <w:lang w:val="es-ES_tradnl"/>
        </w:rPr>
        <w:t>SECOP II –</w:t>
      </w:r>
      <w:r w:rsidRPr="00A41B28">
        <w:rPr>
          <w:rFonts w:ascii="Arial" w:hAnsi="Arial" w:cs="Arial"/>
          <w:b/>
          <w:bCs/>
          <w:iCs/>
          <w:lang w:val="es-ES_tradnl"/>
        </w:rPr>
        <w:t xml:space="preserve"> Deber de publicidad </w:t>
      </w:r>
      <w:r w:rsidRPr="00A41B28">
        <w:rPr>
          <w:rFonts w:ascii="Arial" w:eastAsia="Calibri" w:hAnsi="Arial" w:cs="Arial"/>
          <w:b/>
          <w:lang w:val="es-ES_tradnl"/>
        </w:rPr>
        <w:t>–</w:t>
      </w:r>
      <w:r w:rsidRPr="00A41B28">
        <w:rPr>
          <w:rFonts w:ascii="Arial" w:hAnsi="Arial" w:cs="Arial"/>
          <w:b/>
          <w:bCs/>
          <w:iCs/>
          <w:lang w:val="es-ES_tradnl"/>
        </w:rPr>
        <w:t xml:space="preserve"> Entidades estatales exceptuadas del estatuto general de contratación de la administración pública </w:t>
      </w:r>
      <w:r w:rsidRPr="00A41B28">
        <w:rPr>
          <w:rFonts w:ascii="Arial" w:eastAsia="Calibri" w:hAnsi="Arial" w:cs="Arial"/>
          <w:b/>
          <w:lang w:val="es-ES_tradnl"/>
        </w:rPr>
        <w:t>–</w:t>
      </w:r>
      <w:r w:rsidRPr="00A41B28">
        <w:rPr>
          <w:rFonts w:ascii="Arial" w:hAnsi="Arial" w:cs="Arial"/>
          <w:b/>
          <w:bCs/>
          <w:iCs/>
          <w:lang w:val="es-ES_tradnl"/>
        </w:rPr>
        <w:t xml:space="preserve"> </w:t>
      </w:r>
      <w:r w:rsidRPr="00A41B28">
        <w:rPr>
          <w:rFonts w:ascii="Arial" w:eastAsia="Calibri" w:hAnsi="Arial" w:cs="Arial"/>
          <w:b/>
          <w:lang w:val="es-ES_tradnl"/>
        </w:rPr>
        <w:t xml:space="preserve">Vigencia   </w:t>
      </w:r>
    </w:p>
    <w:p w14:paraId="3BD17F1C" w14:textId="77777777" w:rsidR="0007796D" w:rsidRPr="00A41B28" w:rsidRDefault="0007796D" w:rsidP="0007796D">
      <w:pPr>
        <w:spacing w:after="0" w:line="240" w:lineRule="auto"/>
        <w:contextualSpacing/>
        <w:jc w:val="both"/>
        <w:rPr>
          <w:rFonts w:ascii="Arial" w:eastAsia="Calibri" w:hAnsi="Arial" w:cs="Arial"/>
          <w:lang w:val="es-ES_tradnl"/>
        </w:rPr>
      </w:pPr>
    </w:p>
    <w:p w14:paraId="6F0620C6" w14:textId="77777777" w:rsidR="0007796D" w:rsidRPr="00A41B28" w:rsidRDefault="0007796D" w:rsidP="0007796D">
      <w:pPr>
        <w:spacing w:after="0" w:line="240" w:lineRule="auto"/>
        <w:contextualSpacing/>
        <w:jc w:val="both"/>
        <w:rPr>
          <w:rFonts w:ascii="Arial" w:eastAsia="Calibri" w:hAnsi="Arial" w:cs="Arial"/>
          <w:sz w:val="20"/>
          <w:szCs w:val="20"/>
          <w:lang w:val="es-ES_tradnl"/>
        </w:rPr>
      </w:pPr>
      <w:r w:rsidRPr="00A41B28">
        <w:rPr>
          <w:rFonts w:ascii="Arial" w:eastAsia="Calibri" w:hAnsi="Arial" w:cs="Arial"/>
          <w:sz w:val="20"/>
          <w:szCs w:val="20"/>
          <w:lang w:val="es-ES_tradnl"/>
        </w:rPr>
        <w:t xml:space="preserve">Finalmente, el inciso final del artículo 53 dispone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va del 18 de enero al 18 de julio de 2022. Si bien la norma materia de estudio no hace referencia a los contratos suscritos con anterioridad a su entrada en vigencia, de acuerdo con el artículo 38 de la Ley 153 de 1887, </w:t>
      </w:r>
      <w:r w:rsidRPr="00A41B28">
        <w:rPr>
          <w:rFonts w:ascii="Arial" w:eastAsia="Calibri" w:hAnsi="Arial" w:cs="Arial"/>
          <w:sz w:val="20"/>
          <w:szCs w:val="20"/>
          <w:lang w:val="es-ES_tradnl"/>
        </w:rPr>
        <w:lastRenderedPageBreak/>
        <w:t xml:space="preserve">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 </w:t>
      </w:r>
    </w:p>
    <w:p w14:paraId="59243055" w14:textId="77777777" w:rsidR="0007796D" w:rsidRPr="00A41B28" w:rsidRDefault="0007796D" w:rsidP="0007796D">
      <w:pPr>
        <w:spacing w:after="0" w:line="240" w:lineRule="auto"/>
        <w:contextualSpacing/>
        <w:jc w:val="both"/>
        <w:rPr>
          <w:rFonts w:ascii="Arial" w:eastAsia="Calibri" w:hAnsi="Arial" w:cs="Arial"/>
          <w:b/>
          <w:lang w:val="es-ES_tradnl"/>
        </w:rPr>
      </w:pPr>
    </w:p>
    <w:p w14:paraId="5C5F1600" w14:textId="77777777" w:rsidR="0007796D" w:rsidRPr="00A41B28" w:rsidRDefault="0007796D" w:rsidP="0007796D">
      <w:pPr>
        <w:spacing w:after="0" w:line="240" w:lineRule="auto"/>
        <w:contextualSpacing/>
        <w:jc w:val="both"/>
        <w:rPr>
          <w:rFonts w:ascii="Arial" w:eastAsia="Calibri" w:hAnsi="Arial" w:cs="Arial"/>
          <w:b/>
          <w:lang w:val="es-ES_tradnl"/>
        </w:rPr>
      </w:pPr>
      <w:r w:rsidRPr="00A41B28">
        <w:rPr>
          <w:rFonts w:ascii="Arial" w:eastAsia="Calibri" w:hAnsi="Arial" w:cs="Arial"/>
          <w:b/>
          <w:lang w:val="es-ES_tradnl"/>
        </w:rPr>
        <w:t>SECOP II –</w:t>
      </w:r>
      <w:r w:rsidRPr="00A41B28">
        <w:rPr>
          <w:rFonts w:ascii="Arial" w:hAnsi="Arial" w:cs="Arial"/>
          <w:b/>
          <w:bCs/>
          <w:iCs/>
          <w:lang w:val="es-ES_tradnl"/>
        </w:rPr>
        <w:t xml:space="preserve"> Deber de publicidad </w:t>
      </w:r>
      <w:r w:rsidRPr="00A41B28">
        <w:rPr>
          <w:rFonts w:ascii="Arial" w:eastAsia="Calibri" w:hAnsi="Arial" w:cs="Arial"/>
          <w:b/>
          <w:lang w:val="es-ES_tradnl"/>
        </w:rPr>
        <w:t xml:space="preserve">– </w:t>
      </w:r>
      <w:r w:rsidRPr="00A41B28">
        <w:rPr>
          <w:rFonts w:ascii="Arial" w:hAnsi="Arial" w:cs="Arial"/>
          <w:b/>
          <w:bCs/>
          <w:iCs/>
          <w:lang w:val="es-ES_tradnl"/>
        </w:rPr>
        <w:t xml:space="preserve">Entidades estatales exceptuadas del estatuto general de contratación de la administración pública </w:t>
      </w:r>
      <w:r w:rsidRPr="00A41B28">
        <w:rPr>
          <w:rFonts w:ascii="Arial" w:eastAsia="Calibri" w:hAnsi="Arial" w:cs="Arial"/>
          <w:b/>
          <w:lang w:val="es-ES_tradnl"/>
        </w:rPr>
        <w:t>– Uso</w:t>
      </w:r>
    </w:p>
    <w:bookmarkEnd w:id="0"/>
    <w:p w14:paraId="46DBF822" w14:textId="77777777" w:rsidR="0007796D" w:rsidRPr="00A41B28" w:rsidRDefault="0007796D" w:rsidP="0007796D">
      <w:pPr>
        <w:autoSpaceDE w:val="0"/>
        <w:autoSpaceDN w:val="0"/>
        <w:adjustRightInd w:val="0"/>
        <w:spacing w:after="0" w:line="240" w:lineRule="auto"/>
        <w:contextualSpacing/>
        <w:jc w:val="both"/>
        <w:rPr>
          <w:rFonts w:ascii="Arial" w:eastAsia="Calibri" w:hAnsi="Arial" w:cs="Arial"/>
          <w:b/>
          <w:lang w:val="es-ES_tradnl"/>
        </w:rPr>
      </w:pPr>
    </w:p>
    <w:p w14:paraId="7FCB0D09" w14:textId="77777777" w:rsidR="0007796D" w:rsidRPr="00A41B28" w:rsidRDefault="0007796D" w:rsidP="0007796D">
      <w:pPr>
        <w:autoSpaceDE w:val="0"/>
        <w:autoSpaceDN w:val="0"/>
        <w:adjustRightInd w:val="0"/>
        <w:spacing w:after="0" w:line="240" w:lineRule="auto"/>
        <w:contextualSpacing/>
        <w:jc w:val="both"/>
        <w:rPr>
          <w:rFonts w:ascii="Arial" w:eastAsia="Calibri" w:hAnsi="Arial" w:cs="Arial"/>
          <w:iCs/>
          <w:sz w:val="20"/>
          <w:szCs w:val="20"/>
          <w:lang w:val="es-ES" w:eastAsia="es-ES_tradnl"/>
        </w:rPr>
      </w:pPr>
      <w:r w:rsidRPr="00A41B28">
        <w:rPr>
          <w:rFonts w:ascii="Arial" w:eastAsia="Calibri" w:hAnsi="Arial" w:cs="Arial"/>
          <w:iCs/>
          <w:sz w:val="20"/>
          <w:szCs w:val="20"/>
          <w:lang w:val="es-ES" w:eastAsia="es-ES_tradnl"/>
        </w:rPr>
        <w:t xml:space="preserve">[…] el artículo 53 </w:t>
      </w:r>
      <w:r w:rsidRPr="00A41B28">
        <w:rPr>
          <w:rFonts w:ascii="Arial" w:eastAsia="Calibri" w:hAnsi="Arial" w:cs="Arial"/>
          <w:i/>
          <w:sz w:val="20"/>
          <w:szCs w:val="20"/>
          <w:lang w:val="es-ES" w:eastAsia="es-ES_tradnl"/>
        </w:rPr>
        <w:t>ibidem</w:t>
      </w:r>
      <w:r w:rsidRPr="00A41B28">
        <w:rPr>
          <w:rFonts w:ascii="Arial" w:eastAsia="Calibri" w:hAnsi="Arial" w:cs="Arial"/>
          <w:iCs/>
          <w:sz w:val="20"/>
          <w:szCs w:val="20"/>
          <w:lang w:val="es-ES" w:eastAsia="es-ES_tradnl"/>
        </w:rPr>
        <w:t xml:space="preserve"> no cambió la forma en que se perfeccionan los contratos suscritos por estas entidades exceptuadas. En ese sentido, dado que la disposición materia de estudio no definió la obligatoriedad sobre el uso transaccional del SECOP II para las entidades exceptuadas, estas podrán usarla de forma transaccional o publicitaria. </w:t>
      </w:r>
    </w:p>
    <w:p w14:paraId="2BC0068F" w14:textId="77777777" w:rsidR="0007796D" w:rsidRDefault="0007796D" w:rsidP="0007796D">
      <w:pPr>
        <w:autoSpaceDE w:val="0"/>
        <w:autoSpaceDN w:val="0"/>
        <w:adjustRightInd w:val="0"/>
        <w:spacing w:after="0" w:line="240" w:lineRule="auto"/>
        <w:contextualSpacing/>
        <w:jc w:val="both"/>
        <w:rPr>
          <w:rFonts w:ascii="Arial" w:eastAsia="Calibri" w:hAnsi="Arial" w:cs="Arial"/>
          <w:iCs/>
          <w:sz w:val="20"/>
          <w:szCs w:val="20"/>
          <w:lang w:val="es-ES" w:eastAsia="es-ES_tradnl"/>
        </w:rPr>
      </w:pPr>
    </w:p>
    <w:p w14:paraId="00C87232" w14:textId="77777777" w:rsidR="0007796D" w:rsidRPr="00A41B28" w:rsidRDefault="0007796D" w:rsidP="0007796D">
      <w:pPr>
        <w:autoSpaceDE w:val="0"/>
        <w:autoSpaceDN w:val="0"/>
        <w:adjustRightInd w:val="0"/>
        <w:spacing w:after="0" w:line="240" w:lineRule="auto"/>
        <w:contextualSpacing/>
        <w:jc w:val="both"/>
        <w:rPr>
          <w:rFonts w:ascii="Arial" w:eastAsia="Times New Roman" w:hAnsi="Arial" w:cs="Arial"/>
          <w:sz w:val="20"/>
          <w:szCs w:val="20"/>
          <w:lang w:eastAsia="es-ES_tradnl"/>
        </w:rPr>
      </w:pPr>
      <w:r w:rsidRPr="00A41B28">
        <w:rPr>
          <w:rFonts w:ascii="Arial" w:eastAsia="Calibri" w:hAnsi="Arial" w:cs="Arial"/>
          <w:iCs/>
          <w:sz w:val="20"/>
          <w:szCs w:val="20"/>
          <w:lang w:val="es-ES" w:eastAsia="es-ES_tradnl"/>
        </w:rPr>
        <w:t>Por lo anterior, las entidades exceptuadas tienen la posibilidad de elegir cualquiera de las siguientes opciones para cumplir con el deber de publicidad que les asiste:</w:t>
      </w:r>
      <w:r w:rsidRPr="00A41B28">
        <w:rPr>
          <w:rFonts w:ascii="Arial" w:hAnsi="Arial" w:cs="Arial"/>
          <w:sz w:val="20"/>
          <w:szCs w:val="20"/>
          <w:lang w:val="es-ES"/>
        </w:rPr>
        <w:t xml:space="preserve"> i) firmar</w:t>
      </w:r>
      <w:r w:rsidRPr="00A41B28">
        <w:rPr>
          <w:rFonts w:ascii="Arial" w:hAnsi="Arial" w:cs="Arial"/>
          <w:sz w:val="20"/>
          <w:szCs w:val="20"/>
          <w:lang w:val="es-MX"/>
        </w:rPr>
        <w:t xml:space="preserve"> el contrato electrónicamente, es decir, realizar un uso transaccional de la plataforma; o ii) firmar el contrato en físico y publicar los documentos de ejecución en la etapa precontractual del SECOP II, es decir, realizar un uso publicitario de la plataforma.</w:t>
      </w:r>
      <w:r w:rsidRPr="00A41B28">
        <w:rPr>
          <w:rFonts w:ascii="Arial" w:eastAsia="Times New Roman" w:hAnsi="Arial" w:cs="Arial"/>
          <w:sz w:val="20"/>
          <w:szCs w:val="20"/>
          <w:lang w:eastAsia="es-ES_tradnl"/>
        </w:rPr>
        <w:t xml:space="preserve"> 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 En el segundo caso, si decide utilizar el SECOP II como herramienta de publicidad, deberá crear el proceso de contratación en el SECOP II mediante el módulo «</w:t>
      </w:r>
      <w:r w:rsidRPr="00A41B28">
        <w:rPr>
          <w:rFonts w:ascii="Arial" w:eastAsia="Times New Roman" w:hAnsi="Arial" w:cs="Arial"/>
          <w:i/>
          <w:iCs/>
          <w:sz w:val="20"/>
          <w:szCs w:val="20"/>
          <w:lang w:eastAsia="es-ES_tradnl"/>
        </w:rPr>
        <w:t>Contratación Régimen Especial (sin ofertas)»</w:t>
      </w:r>
      <w:r w:rsidRPr="00A41B28">
        <w:rPr>
          <w:rFonts w:ascii="Arial" w:eastAsia="Times New Roman" w:hAnsi="Arial" w:cs="Arial"/>
          <w:sz w:val="20"/>
          <w:szCs w:val="20"/>
          <w:lang w:eastAsia="es-ES_tradnl"/>
        </w:rPr>
        <w:t>, cargar todos los documentos del proceso en la sección dispuesta para ello y publicar el proceso. La publicación de los documentos de la gestión contractual, incluido el contrato firmado manuscritamente, debe realizarse mediante modificaciones al proceso a través de la opción «Modificaciones/Adendas». Sin embargo, las entidades públicas deberán tener en cuenta que, si utilizan esta opción, no deben dar clic en «</w:t>
      </w:r>
      <w:r w:rsidRPr="00A41B28">
        <w:rPr>
          <w:rFonts w:ascii="Arial" w:eastAsia="Times New Roman" w:hAnsi="Arial" w:cs="Arial"/>
          <w:i/>
          <w:iCs/>
          <w:sz w:val="20"/>
          <w:szCs w:val="20"/>
          <w:lang w:eastAsia="es-ES_tradnl"/>
        </w:rPr>
        <w:t>Finalizar</w:t>
      </w:r>
      <w:r w:rsidRPr="00A41B28">
        <w:rPr>
          <w:rFonts w:ascii="Arial" w:eastAsia="Times New Roman" w:hAnsi="Arial" w:cs="Arial"/>
          <w:sz w:val="20"/>
          <w:szCs w:val="20"/>
          <w:lang w:eastAsia="es-ES_tradnl"/>
        </w:rPr>
        <w:t>» después de publicar el proceso, en tanto que la plataforma cierra el expediente y no permite la publicación posterior de ningún otro documento.</w:t>
      </w:r>
    </w:p>
    <w:p w14:paraId="24D19E44" w14:textId="77777777" w:rsidR="0007796D" w:rsidRPr="00A41B28" w:rsidRDefault="0007796D" w:rsidP="0007796D">
      <w:pPr>
        <w:autoSpaceDE w:val="0"/>
        <w:autoSpaceDN w:val="0"/>
        <w:adjustRightInd w:val="0"/>
        <w:spacing w:after="0" w:line="240" w:lineRule="auto"/>
        <w:contextualSpacing/>
        <w:jc w:val="both"/>
        <w:rPr>
          <w:rFonts w:ascii="Arial" w:eastAsia="Calibri" w:hAnsi="Arial" w:cs="Arial"/>
          <w:b/>
          <w:lang w:val="es-ES_tradnl"/>
        </w:rPr>
      </w:pPr>
    </w:p>
    <w:p w14:paraId="18B14FBA" w14:textId="77777777" w:rsidR="0007796D" w:rsidRPr="00A41B28" w:rsidRDefault="0007796D" w:rsidP="0007796D">
      <w:pPr>
        <w:autoSpaceDE w:val="0"/>
        <w:autoSpaceDN w:val="0"/>
        <w:adjustRightInd w:val="0"/>
        <w:spacing w:after="0" w:line="240" w:lineRule="auto"/>
        <w:contextualSpacing/>
        <w:jc w:val="both"/>
        <w:rPr>
          <w:rFonts w:ascii="Arial" w:eastAsia="Times New Roman" w:hAnsi="Arial" w:cs="Arial"/>
          <w:lang w:eastAsia="es-ES_tradnl"/>
        </w:rPr>
      </w:pPr>
      <w:r w:rsidRPr="00A41B28">
        <w:rPr>
          <w:rFonts w:ascii="Arial" w:eastAsia="Calibri" w:hAnsi="Arial" w:cs="Arial"/>
          <w:b/>
          <w:lang w:val="es-ES_tradnl"/>
        </w:rPr>
        <w:t>SECOP II –</w:t>
      </w:r>
      <w:r w:rsidRPr="00A41B28">
        <w:rPr>
          <w:rFonts w:ascii="Arial" w:hAnsi="Arial" w:cs="Arial"/>
          <w:b/>
          <w:bCs/>
          <w:iCs/>
          <w:lang w:val="es-ES_tradnl"/>
        </w:rPr>
        <w:t xml:space="preserve"> Deber de publicidad </w:t>
      </w:r>
      <w:r w:rsidRPr="00A41B28">
        <w:rPr>
          <w:rFonts w:ascii="Arial" w:eastAsia="Calibri" w:hAnsi="Arial" w:cs="Arial"/>
          <w:b/>
          <w:lang w:val="es-ES_tradnl"/>
        </w:rPr>
        <w:t xml:space="preserve">– </w:t>
      </w:r>
      <w:r w:rsidRPr="00A41B28">
        <w:rPr>
          <w:rFonts w:ascii="Arial" w:hAnsi="Arial" w:cs="Arial"/>
          <w:b/>
          <w:bCs/>
          <w:iCs/>
          <w:lang w:val="es-ES_tradnl"/>
        </w:rPr>
        <w:t xml:space="preserve">Entidades estatales exceptuadas del estatuto general de contratación de la administración pública </w:t>
      </w:r>
      <w:r w:rsidRPr="00A41B28">
        <w:rPr>
          <w:rFonts w:ascii="Arial" w:eastAsia="Calibri" w:hAnsi="Arial" w:cs="Arial"/>
          <w:b/>
          <w:lang w:val="es-ES_tradnl"/>
        </w:rPr>
        <w:t xml:space="preserve">– Documentos </w:t>
      </w:r>
    </w:p>
    <w:p w14:paraId="654C5A50" w14:textId="77777777" w:rsidR="0007796D" w:rsidRPr="00A41B28" w:rsidRDefault="0007796D" w:rsidP="0007796D">
      <w:pPr>
        <w:spacing w:after="0" w:line="240" w:lineRule="auto"/>
        <w:contextualSpacing/>
        <w:jc w:val="both"/>
        <w:rPr>
          <w:rFonts w:ascii="Arial" w:eastAsia="Times New Roman" w:hAnsi="Arial" w:cs="Arial"/>
          <w:lang w:eastAsia="es-ES_tradnl"/>
        </w:rPr>
      </w:pPr>
    </w:p>
    <w:p w14:paraId="3D31990D" w14:textId="77777777" w:rsidR="0007796D" w:rsidRDefault="0007796D" w:rsidP="0007796D">
      <w:pPr>
        <w:spacing w:after="0" w:line="240" w:lineRule="auto"/>
        <w:contextualSpacing/>
        <w:jc w:val="both"/>
        <w:rPr>
          <w:rFonts w:ascii="Arial" w:hAnsi="Arial" w:cs="Arial"/>
          <w:sz w:val="20"/>
          <w:szCs w:val="20"/>
        </w:rPr>
      </w:pPr>
      <w:r w:rsidRPr="00A41B28">
        <w:rPr>
          <w:rFonts w:ascii="Arial" w:hAnsi="Arial" w:cs="Arial"/>
          <w:sz w:val="20"/>
          <w:szCs w:val="20"/>
        </w:rPr>
        <w:t xml:space="preserve">Con todo, resulta claro que las entidades exceptuadas se encuentran obligadas a publicar todos los documentos de su actividad contractual en el SECOP II, sin perjuicio de estar sometidas a regímenes de derecho privado. Ahora, el hecho de que su contratación no esté regida por el Estatuto General de Contratación de la Administración Pública deviene en que las entidades exceptuadas deban publicar unos documentos diferentes a los que les corresponde publicar a las entidades que si están sometidas a dicho régimen.  </w:t>
      </w:r>
    </w:p>
    <w:p w14:paraId="32C94BC2" w14:textId="77777777" w:rsidR="0007796D" w:rsidRPr="00A41B28" w:rsidRDefault="0007796D" w:rsidP="0007796D">
      <w:pPr>
        <w:spacing w:after="0" w:line="240" w:lineRule="auto"/>
        <w:contextualSpacing/>
        <w:jc w:val="both"/>
        <w:rPr>
          <w:rFonts w:ascii="Arial" w:hAnsi="Arial" w:cs="Arial"/>
          <w:sz w:val="20"/>
          <w:szCs w:val="20"/>
        </w:rPr>
      </w:pPr>
    </w:p>
    <w:p w14:paraId="6F6C289E" w14:textId="77777777" w:rsidR="0007796D" w:rsidRPr="00A41B28" w:rsidRDefault="0007796D" w:rsidP="0007796D">
      <w:pPr>
        <w:spacing w:after="0" w:line="240" w:lineRule="auto"/>
        <w:contextualSpacing/>
        <w:jc w:val="both"/>
        <w:rPr>
          <w:rFonts w:ascii="Arial" w:hAnsi="Arial" w:cs="Arial"/>
          <w:sz w:val="20"/>
          <w:szCs w:val="20"/>
        </w:rPr>
      </w:pPr>
      <w:r w:rsidRPr="00A41B28">
        <w:rPr>
          <w:rFonts w:ascii="Arial" w:hAnsi="Arial" w:cs="Arial"/>
          <w:sz w:val="20"/>
          <w:szCs w:val="20"/>
        </w:rPr>
        <w:t xml:space="preserve">De esta manera, dado que en la actividad contractual adelantada en el marco del derecho privado y conforme a las reglas establecidas en los manuales de contratación de las respectivas entidades exceptuadas no se contemplan actuaciones como la expedición de certificado de disponibilidad presupuestal o el registro presupuestal, no son estos documentos que les corresponda publicar a dichas entidades. Sin embargo, si de acuerdo con el sistema de gestión financiera de la entidad en los procedimientos contractuales que se adelanten se expiden documentos equivalentes de los mencionados, la entidad en el estaría obligada a publicarlos.  </w:t>
      </w:r>
    </w:p>
    <w:p w14:paraId="235F18C1" w14:textId="77777777" w:rsidR="0007796D" w:rsidRPr="00A41B28" w:rsidRDefault="0007796D" w:rsidP="0007796D">
      <w:pPr>
        <w:autoSpaceDE w:val="0"/>
        <w:autoSpaceDN w:val="0"/>
        <w:adjustRightInd w:val="0"/>
        <w:spacing w:after="0" w:line="240" w:lineRule="auto"/>
        <w:contextualSpacing/>
        <w:jc w:val="both"/>
        <w:rPr>
          <w:rFonts w:ascii="Arial" w:eastAsia="Calibri" w:hAnsi="Arial" w:cs="Arial"/>
          <w:b/>
          <w:lang w:val="es-ES_tradnl"/>
        </w:rPr>
      </w:pPr>
    </w:p>
    <w:p w14:paraId="12457890" w14:textId="77777777" w:rsidR="0007796D" w:rsidRPr="00A41B28" w:rsidRDefault="0007796D" w:rsidP="0007796D">
      <w:pPr>
        <w:autoSpaceDE w:val="0"/>
        <w:autoSpaceDN w:val="0"/>
        <w:adjustRightInd w:val="0"/>
        <w:spacing w:after="0" w:line="240" w:lineRule="auto"/>
        <w:contextualSpacing/>
        <w:jc w:val="both"/>
        <w:rPr>
          <w:rFonts w:ascii="Arial" w:eastAsia="Times New Roman" w:hAnsi="Arial" w:cs="Arial"/>
          <w:b/>
          <w:bCs/>
          <w:lang w:eastAsia="es-ES_tradnl"/>
        </w:rPr>
      </w:pPr>
      <w:r w:rsidRPr="00A41B28">
        <w:rPr>
          <w:rFonts w:ascii="Arial" w:eastAsia="Calibri" w:hAnsi="Arial" w:cs="Arial"/>
          <w:b/>
          <w:lang w:val="es-ES_tradnl"/>
        </w:rPr>
        <w:t>SECOP II –</w:t>
      </w:r>
      <w:r w:rsidRPr="00A41B28">
        <w:rPr>
          <w:rFonts w:ascii="Arial" w:hAnsi="Arial" w:cs="Arial"/>
          <w:b/>
          <w:bCs/>
          <w:iCs/>
          <w:lang w:val="es-ES_tradnl"/>
        </w:rPr>
        <w:t xml:space="preserve"> Deber de publicidad </w:t>
      </w:r>
      <w:r w:rsidRPr="00A41B28">
        <w:rPr>
          <w:rFonts w:ascii="Arial" w:eastAsia="Calibri" w:hAnsi="Arial" w:cs="Arial"/>
          <w:b/>
          <w:lang w:val="es-ES_tradnl"/>
        </w:rPr>
        <w:t xml:space="preserve">– </w:t>
      </w:r>
      <w:r w:rsidRPr="00A41B28">
        <w:rPr>
          <w:rFonts w:ascii="Arial" w:hAnsi="Arial" w:cs="Arial"/>
          <w:b/>
          <w:bCs/>
          <w:iCs/>
          <w:lang w:val="es-ES_tradnl"/>
        </w:rPr>
        <w:t xml:space="preserve">Entidades estatales exceptuadas del estatuto general de contratación de la administración pública </w:t>
      </w:r>
      <w:r w:rsidRPr="00A41B28">
        <w:rPr>
          <w:rFonts w:ascii="Arial" w:eastAsia="Calibri" w:hAnsi="Arial" w:cs="Arial"/>
          <w:b/>
          <w:lang w:val="es-ES_tradnl"/>
        </w:rPr>
        <w:t xml:space="preserve">– Documentos – </w:t>
      </w:r>
      <w:r w:rsidRPr="00A41B28">
        <w:rPr>
          <w:rFonts w:ascii="Arial" w:hAnsi="Arial" w:cs="Arial"/>
          <w:b/>
          <w:bCs/>
        </w:rPr>
        <w:t>Certificado de disponibilidad presupuestal</w:t>
      </w:r>
    </w:p>
    <w:p w14:paraId="0E2ED4A1" w14:textId="77777777" w:rsidR="0007796D" w:rsidRPr="00A41B28" w:rsidRDefault="0007796D" w:rsidP="0007796D">
      <w:pPr>
        <w:spacing w:after="0" w:line="240" w:lineRule="auto"/>
        <w:contextualSpacing/>
        <w:jc w:val="both"/>
        <w:rPr>
          <w:rFonts w:ascii="Arial" w:hAnsi="Arial" w:cs="Arial"/>
        </w:rPr>
      </w:pPr>
    </w:p>
    <w:p w14:paraId="359FCD53" w14:textId="77777777" w:rsidR="0007796D" w:rsidRPr="00A41B28" w:rsidRDefault="0007796D" w:rsidP="0007796D">
      <w:pPr>
        <w:spacing w:after="0" w:line="240" w:lineRule="auto"/>
        <w:contextualSpacing/>
        <w:jc w:val="both"/>
        <w:rPr>
          <w:rFonts w:ascii="Arial" w:hAnsi="Arial" w:cs="Arial"/>
          <w:sz w:val="20"/>
          <w:szCs w:val="20"/>
        </w:rPr>
      </w:pPr>
      <w:r w:rsidRPr="00A41B28">
        <w:rPr>
          <w:rFonts w:ascii="Arial" w:hAnsi="Arial" w:cs="Arial"/>
          <w:sz w:val="20"/>
          <w:szCs w:val="20"/>
        </w:rPr>
        <w:t xml:space="preserve">En virtud de lo anterior, respecto de su última pregunta le informamos que el campo </w:t>
      </w:r>
      <w:r w:rsidRPr="00A41B28">
        <w:rPr>
          <w:rFonts w:ascii="Arial" w:hAnsi="Arial" w:cs="Arial"/>
          <w:i/>
          <w:iCs/>
          <w:sz w:val="20"/>
          <w:szCs w:val="20"/>
        </w:rPr>
        <w:t>certificado de disponibilidad presupuestal</w:t>
      </w:r>
      <w:r w:rsidRPr="00A41B28">
        <w:rPr>
          <w:rFonts w:ascii="Arial" w:hAnsi="Arial" w:cs="Arial"/>
          <w:sz w:val="20"/>
          <w:szCs w:val="20"/>
        </w:rPr>
        <w:t xml:space="preserve"> está habilitado en la creación y edición del proceso de contratación en la sección «</w:t>
      </w:r>
      <w:r w:rsidRPr="00A41B28">
        <w:rPr>
          <w:rFonts w:ascii="Arial" w:hAnsi="Arial" w:cs="Arial"/>
          <w:i/>
          <w:iCs/>
          <w:sz w:val="20"/>
          <w:szCs w:val="20"/>
        </w:rPr>
        <w:t>2. Configuración»,</w:t>
      </w:r>
      <w:r w:rsidRPr="00A41B28">
        <w:rPr>
          <w:rFonts w:ascii="Arial" w:hAnsi="Arial" w:cs="Arial"/>
          <w:sz w:val="20"/>
          <w:szCs w:val="20"/>
        </w:rPr>
        <w:t xml:space="preserve"> sin embargo, no es un campo obligatorio, por lo que la entidad podría omitir el diligenciamiento del mismo.  De igual modo, con relación a la información del registro presupuestal, si bien técnicamente este campo si es obligatorio para el inicio de ejecución del contrato electrónico en la plataforma, la entidad también puede relacionar la infamación que corresponda de acuerdo con el sistema de gestión financiera que maneja, en el caso de que la entidad no utilice propiamente esta figura. </w:t>
      </w:r>
    </w:p>
    <w:p w14:paraId="4E94C2C4" w14:textId="77777777" w:rsidR="0007796D" w:rsidRPr="00A41B28" w:rsidRDefault="0007796D" w:rsidP="0007796D">
      <w:pPr>
        <w:autoSpaceDE w:val="0"/>
        <w:autoSpaceDN w:val="0"/>
        <w:adjustRightInd w:val="0"/>
        <w:spacing w:after="0" w:line="240" w:lineRule="auto"/>
        <w:contextualSpacing/>
        <w:jc w:val="both"/>
        <w:rPr>
          <w:rFonts w:ascii="Arial" w:eastAsia="Calibri" w:hAnsi="Arial" w:cs="Arial"/>
          <w:b/>
          <w:lang w:val="es-ES_tradnl"/>
        </w:rPr>
      </w:pPr>
    </w:p>
    <w:p w14:paraId="3C00BC55" w14:textId="77777777" w:rsidR="0007796D" w:rsidRPr="00A41B28" w:rsidRDefault="0007796D" w:rsidP="0007796D">
      <w:pPr>
        <w:autoSpaceDE w:val="0"/>
        <w:autoSpaceDN w:val="0"/>
        <w:adjustRightInd w:val="0"/>
        <w:spacing w:after="0" w:line="240" w:lineRule="auto"/>
        <w:contextualSpacing/>
        <w:jc w:val="both"/>
        <w:rPr>
          <w:rFonts w:ascii="Arial" w:eastAsia="Calibri" w:hAnsi="Arial" w:cs="Arial"/>
          <w:b/>
          <w:lang w:val="es-ES_tradnl"/>
        </w:rPr>
      </w:pPr>
      <w:r w:rsidRPr="00A41B28">
        <w:rPr>
          <w:rFonts w:ascii="Arial" w:eastAsia="Calibri" w:hAnsi="Arial" w:cs="Arial"/>
          <w:b/>
          <w:lang w:val="es-ES_tradnl"/>
        </w:rPr>
        <w:t>SECOP II –</w:t>
      </w:r>
      <w:r w:rsidRPr="00A41B28">
        <w:rPr>
          <w:rFonts w:ascii="Arial" w:hAnsi="Arial" w:cs="Arial"/>
          <w:b/>
          <w:bCs/>
          <w:iCs/>
          <w:lang w:val="es-ES_tradnl"/>
        </w:rPr>
        <w:t xml:space="preserve"> Deber de publicidad </w:t>
      </w:r>
      <w:r w:rsidRPr="00A41B28">
        <w:rPr>
          <w:rFonts w:ascii="Arial" w:eastAsia="Calibri" w:hAnsi="Arial" w:cs="Arial"/>
          <w:b/>
          <w:lang w:val="es-ES_tradnl"/>
        </w:rPr>
        <w:t xml:space="preserve">– </w:t>
      </w:r>
      <w:r w:rsidRPr="00A41B28">
        <w:rPr>
          <w:rFonts w:ascii="Arial" w:hAnsi="Arial" w:cs="Arial"/>
          <w:b/>
          <w:bCs/>
          <w:iCs/>
          <w:lang w:val="es-ES_tradnl"/>
        </w:rPr>
        <w:t xml:space="preserve">Entidades estatales exceptuadas del estatuto general de contratación de la administración pública </w:t>
      </w:r>
      <w:r w:rsidRPr="00A41B28">
        <w:rPr>
          <w:rFonts w:ascii="Arial" w:eastAsia="Calibri" w:hAnsi="Arial" w:cs="Arial"/>
          <w:b/>
          <w:lang w:val="es-ES_tradnl"/>
        </w:rPr>
        <w:t>– Documentos – Banco de proyectos</w:t>
      </w:r>
    </w:p>
    <w:p w14:paraId="0345EEA3" w14:textId="77777777" w:rsidR="0007796D" w:rsidRPr="00A41B28" w:rsidRDefault="0007796D" w:rsidP="0007796D">
      <w:pPr>
        <w:spacing w:after="0" w:line="240" w:lineRule="auto"/>
        <w:contextualSpacing/>
        <w:jc w:val="both"/>
        <w:rPr>
          <w:rFonts w:ascii="Arial" w:hAnsi="Arial" w:cs="Arial"/>
        </w:rPr>
      </w:pPr>
    </w:p>
    <w:p w14:paraId="2CE089F4" w14:textId="77777777" w:rsidR="0007796D" w:rsidRPr="00A41B28" w:rsidRDefault="0007796D" w:rsidP="0007796D">
      <w:pPr>
        <w:spacing w:after="0" w:line="240" w:lineRule="auto"/>
        <w:contextualSpacing/>
        <w:jc w:val="both"/>
        <w:rPr>
          <w:rFonts w:ascii="Arial" w:hAnsi="Arial" w:cs="Arial"/>
          <w:sz w:val="20"/>
          <w:szCs w:val="20"/>
        </w:rPr>
      </w:pPr>
      <w:r w:rsidRPr="00A41B28">
        <w:rPr>
          <w:rFonts w:ascii="Arial" w:hAnsi="Arial" w:cs="Arial"/>
          <w:sz w:val="20"/>
          <w:szCs w:val="20"/>
        </w:rPr>
        <w:t xml:space="preserve">Por otro lado, con respecto a su inquietud sobre el banco de proyectos, le informamos que este campo no es obligatorio en la plataforma en vista de que, la interoperabilidad que tiene el SECOP II con el Sistema Unificado de Inversiones y Finanzas Públicas - SUIFP para la validación del Código BPIN se habilita únicamente en el caso de que en el campo de </w:t>
      </w:r>
      <w:r w:rsidRPr="00A41B28">
        <w:rPr>
          <w:rFonts w:ascii="Arial" w:hAnsi="Arial" w:cs="Arial"/>
          <w:i/>
          <w:iCs/>
          <w:sz w:val="20"/>
          <w:szCs w:val="20"/>
        </w:rPr>
        <w:t>"Destinación del gasto"</w:t>
      </w:r>
      <w:r w:rsidRPr="00A41B28">
        <w:rPr>
          <w:rFonts w:ascii="Arial" w:hAnsi="Arial" w:cs="Arial"/>
          <w:sz w:val="20"/>
          <w:szCs w:val="20"/>
        </w:rPr>
        <w:t xml:space="preserve"> la entidad elija la opción "Inversión” siempre y cuando la fuente de los recursos corresponda a: Presupuesto general de la Nación - PGN: Sistema General de Participaciones - SGP: Sistema General de Regalías - SGR o Recursos Propios Alcaldías o Gobernaciones). En este sentido, si la entidad no ejecuta recursos provenientes de alguna de las fuentes de recursos mencionados anteriormente la validación del Código BPIN no será obligatoria.</w:t>
      </w:r>
    </w:p>
    <w:p w14:paraId="3D192BF6" w14:textId="77777777" w:rsidR="0007796D" w:rsidRPr="00A41B28" w:rsidRDefault="0007796D" w:rsidP="0007796D">
      <w:pPr>
        <w:tabs>
          <w:tab w:val="left" w:pos="0"/>
        </w:tabs>
        <w:spacing w:after="0" w:line="240" w:lineRule="auto"/>
        <w:contextualSpacing/>
        <w:jc w:val="both"/>
        <w:rPr>
          <w:rFonts w:ascii="Arial" w:hAnsi="Arial" w:cs="Arial"/>
          <w:b/>
        </w:rPr>
      </w:pPr>
    </w:p>
    <w:p w14:paraId="09B85071" w14:textId="77777777" w:rsidR="0007796D" w:rsidRPr="00A41B28" w:rsidRDefault="0007796D" w:rsidP="0007796D">
      <w:pPr>
        <w:tabs>
          <w:tab w:val="left" w:pos="0"/>
        </w:tabs>
        <w:spacing w:after="0" w:line="240" w:lineRule="auto"/>
        <w:contextualSpacing/>
        <w:jc w:val="both"/>
        <w:rPr>
          <w:rFonts w:ascii="Arial" w:eastAsia="Calibri" w:hAnsi="Arial" w:cs="Arial"/>
          <w:b/>
          <w:lang w:val="es-ES_tradnl"/>
        </w:rPr>
      </w:pPr>
      <w:r w:rsidRPr="00A41B28">
        <w:rPr>
          <w:rFonts w:ascii="Arial" w:hAnsi="Arial" w:cs="Arial"/>
          <w:b/>
        </w:rPr>
        <w:t>ASOCIACIONES Y FUNDACIONES MIXTAS</w:t>
      </w:r>
      <w:r w:rsidRPr="00A41B28">
        <w:rPr>
          <w:rFonts w:ascii="Arial" w:eastAsia="Calibri" w:hAnsi="Arial" w:cs="Arial"/>
          <w:b/>
          <w:lang w:val="es-ES_tradnl"/>
        </w:rPr>
        <w:t xml:space="preserve"> – Naturaleza jurídica </w:t>
      </w:r>
    </w:p>
    <w:p w14:paraId="7EF2AAE1" w14:textId="77777777" w:rsidR="0007796D" w:rsidRPr="00A41B28" w:rsidRDefault="0007796D" w:rsidP="0007796D">
      <w:pPr>
        <w:tabs>
          <w:tab w:val="left" w:pos="0"/>
        </w:tabs>
        <w:spacing w:after="0" w:line="240" w:lineRule="auto"/>
        <w:contextualSpacing/>
        <w:jc w:val="both"/>
        <w:rPr>
          <w:rFonts w:ascii="Arial" w:eastAsia="Calibri" w:hAnsi="Arial" w:cs="Arial"/>
          <w:b/>
          <w:lang w:val="es-ES_tradnl"/>
        </w:rPr>
      </w:pPr>
    </w:p>
    <w:p w14:paraId="3E9283E8" w14:textId="77777777" w:rsidR="0007796D" w:rsidRPr="00A41B28" w:rsidRDefault="0007796D" w:rsidP="0007796D">
      <w:pPr>
        <w:pStyle w:val="NormalWeb"/>
        <w:spacing w:after="0" w:line="240" w:lineRule="auto"/>
        <w:contextualSpacing/>
        <w:jc w:val="both"/>
        <w:rPr>
          <w:rFonts w:ascii="Arial" w:eastAsia="Calibri" w:hAnsi="Arial" w:cs="Arial"/>
          <w:sz w:val="20"/>
          <w:szCs w:val="20"/>
        </w:rPr>
      </w:pPr>
      <w:r w:rsidRPr="00A41B28">
        <w:rPr>
          <w:rFonts w:ascii="Arial" w:hAnsi="Arial" w:cs="Arial"/>
          <w:sz w:val="20"/>
          <w:szCs w:val="20"/>
        </w:rPr>
        <w:t xml:space="preserve">El artículo 96 de la Ley 489 de 1998 </w:t>
      </w:r>
      <w:r w:rsidRPr="00A41B28">
        <w:rPr>
          <w:rFonts w:ascii="Arial" w:eastAsia="Calibri" w:hAnsi="Arial" w:cs="Arial"/>
          <w:sz w:val="20"/>
          <w:szCs w:val="20"/>
        </w:rPr>
        <w:t xml:space="preserve">regula lo concerniente a la constitución de asociaciones o fundaciones con participación mixta de entidades públicas y personas jurídicas de derecho privado. El mencionado artículo indica que, con independencia de su naturaleza u orden administrativo, las entidades públicas podrán, con la observancia de los principios de la función administrativa señalados en el artículo 209 de la Constitución Política, asociarse con personas jurídicas privadas con un objetivo común: el desarrollo de actividades que guarden relación con los cometidos y las funciones que la ley les haya asignado a las entidades públicas asociadas.  Así las cosas, </w:t>
      </w:r>
      <w:r w:rsidRPr="00A41B28">
        <w:rPr>
          <w:rFonts w:ascii="Arial" w:hAnsi="Arial" w:cs="Arial"/>
          <w:iCs/>
          <w:sz w:val="20"/>
          <w:szCs w:val="20"/>
        </w:rPr>
        <w:t>el artículo 96 permite que se constituyan nuevas personas jurídicas con participación mixta, es decir, como fruto de la asociación entre entes públicos y privados.</w:t>
      </w:r>
    </w:p>
    <w:p w14:paraId="15DB3306" w14:textId="77777777" w:rsidR="0007796D" w:rsidRPr="00A41B28" w:rsidRDefault="0007796D" w:rsidP="0007796D">
      <w:pPr>
        <w:spacing w:after="0" w:line="240" w:lineRule="auto"/>
        <w:contextualSpacing/>
        <w:jc w:val="both"/>
        <w:rPr>
          <w:rFonts w:ascii="Arial" w:eastAsia="Calibri" w:hAnsi="Arial" w:cs="Arial"/>
          <w:lang w:val="es-ES_tradnl" w:eastAsia="es-ES_tradnl"/>
        </w:rPr>
      </w:pPr>
    </w:p>
    <w:p w14:paraId="15413B8F" w14:textId="77777777" w:rsidR="0007796D" w:rsidRPr="00A41B28" w:rsidRDefault="0007796D" w:rsidP="0007796D">
      <w:pPr>
        <w:tabs>
          <w:tab w:val="left" w:pos="0"/>
        </w:tabs>
        <w:spacing w:after="0" w:line="240" w:lineRule="auto"/>
        <w:contextualSpacing/>
        <w:jc w:val="both"/>
        <w:rPr>
          <w:rFonts w:ascii="Arial" w:eastAsia="Calibri" w:hAnsi="Arial" w:cs="Arial"/>
          <w:b/>
          <w:lang w:val="es-ES_tradnl"/>
        </w:rPr>
      </w:pPr>
      <w:r w:rsidRPr="00A41B28">
        <w:rPr>
          <w:rFonts w:ascii="Arial" w:hAnsi="Arial" w:cs="Arial"/>
          <w:b/>
        </w:rPr>
        <w:t>ASOCIACIONES Y FUNDACIONES MIXTAS</w:t>
      </w:r>
      <w:r w:rsidRPr="00A41B28">
        <w:rPr>
          <w:rFonts w:ascii="Arial" w:eastAsia="Calibri" w:hAnsi="Arial" w:cs="Arial"/>
          <w:b/>
          <w:lang w:val="es-ES_tradnl"/>
        </w:rPr>
        <w:t xml:space="preserve"> – Régimen contractual aplicable </w:t>
      </w:r>
    </w:p>
    <w:p w14:paraId="02969047" w14:textId="77777777" w:rsidR="0007796D" w:rsidRPr="00A41B28" w:rsidRDefault="0007796D" w:rsidP="0007796D">
      <w:pPr>
        <w:tabs>
          <w:tab w:val="left" w:pos="0"/>
        </w:tabs>
        <w:spacing w:after="0" w:line="240" w:lineRule="auto"/>
        <w:contextualSpacing/>
        <w:jc w:val="both"/>
        <w:rPr>
          <w:rFonts w:ascii="Arial" w:eastAsia="Calibri" w:hAnsi="Arial" w:cs="Arial"/>
          <w:b/>
          <w:lang w:val="es-ES_tradnl"/>
        </w:rPr>
      </w:pPr>
    </w:p>
    <w:p w14:paraId="6529B787" w14:textId="77777777" w:rsidR="0007796D" w:rsidRPr="00A41B28" w:rsidRDefault="0007796D" w:rsidP="0007796D">
      <w:pPr>
        <w:spacing w:after="0" w:line="240" w:lineRule="auto"/>
        <w:contextualSpacing/>
        <w:jc w:val="both"/>
        <w:rPr>
          <w:rFonts w:ascii="Arial" w:hAnsi="Arial" w:cs="Arial"/>
          <w:sz w:val="20"/>
          <w:szCs w:val="20"/>
        </w:rPr>
      </w:pPr>
      <w:r w:rsidRPr="00A41B28">
        <w:rPr>
          <w:rFonts w:ascii="Arial" w:hAnsi="Arial" w:cs="Arial"/>
          <w:sz w:val="20"/>
          <w:szCs w:val="20"/>
        </w:rPr>
        <w:t>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 pese a encontrarse sometida a un régimen de derecho privado. La conexidad que debe existir entre las actividades de la persona jurídica de carácter mixto y las funciones de las entidades estatales que la integran, así como el carácter público de la participación de las entidades públicas, determinan su sujeción, en algunas materias, a las normas propias del derecho público, evitando que este tipo de entes se conviertan en un mecanismo de</w:t>
      </w:r>
      <w:r w:rsidRPr="00A41B28">
        <w:rPr>
          <w:rStyle w:val="apple-converted-space"/>
          <w:rFonts w:ascii="Arial" w:hAnsi="Arial" w:cs="Arial"/>
          <w:sz w:val="20"/>
          <w:szCs w:val="20"/>
        </w:rPr>
        <w:t xml:space="preserve"> </w:t>
      </w:r>
      <w:r w:rsidRPr="00A41B28">
        <w:rPr>
          <w:rFonts w:ascii="Arial" w:hAnsi="Arial" w:cs="Arial"/>
          <w:sz w:val="20"/>
          <w:szCs w:val="20"/>
        </w:rPr>
        <w:t>«simple traslado de recursos públicos a particulares»</w:t>
      </w:r>
      <w:r>
        <w:rPr>
          <w:rFonts w:ascii="Arial" w:hAnsi="Arial" w:cs="Arial"/>
          <w:sz w:val="20"/>
          <w:szCs w:val="20"/>
        </w:rPr>
        <w:t>.</w:t>
      </w:r>
    </w:p>
    <w:p w14:paraId="0C7297AE" w14:textId="77777777" w:rsidR="0007796D" w:rsidRPr="00A41B28" w:rsidRDefault="0007796D" w:rsidP="0007796D">
      <w:pPr>
        <w:spacing w:after="0" w:line="240" w:lineRule="auto"/>
        <w:contextualSpacing/>
        <w:jc w:val="both"/>
        <w:rPr>
          <w:rFonts w:ascii="Arial" w:eastAsia="Calibri" w:hAnsi="Arial" w:cs="Arial"/>
          <w:lang w:val="es-ES_tradnl" w:eastAsia="es-ES_tradnl"/>
        </w:rPr>
      </w:pPr>
    </w:p>
    <w:p w14:paraId="2331AC54" w14:textId="77777777" w:rsidR="0007796D" w:rsidRPr="00A41B28" w:rsidRDefault="0007796D" w:rsidP="0007796D">
      <w:pPr>
        <w:spacing w:after="0" w:line="240" w:lineRule="auto"/>
        <w:contextualSpacing/>
        <w:jc w:val="both"/>
        <w:rPr>
          <w:rFonts w:ascii="Arial" w:hAnsi="Arial" w:cs="Arial"/>
          <w:b/>
          <w:bCs/>
          <w:iCs/>
          <w:lang w:val="es-ES_tradnl"/>
        </w:rPr>
      </w:pPr>
      <w:r w:rsidRPr="00A41B28">
        <w:rPr>
          <w:rFonts w:ascii="Arial" w:hAnsi="Arial" w:cs="Arial"/>
          <w:b/>
        </w:rPr>
        <w:t>ASOCIACIONES Y FUNDACIONES MIXTAS</w:t>
      </w:r>
      <w:r w:rsidRPr="00A41B28">
        <w:rPr>
          <w:rFonts w:ascii="Arial" w:eastAsia="Calibri" w:hAnsi="Arial" w:cs="Arial"/>
          <w:b/>
          <w:lang w:val="es-ES_tradnl"/>
        </w:rPr>
        <w:t xml:space="preserve"> – Régimen contractual aplicable – </w:t>
      </w:r>
      <w:r w:rsidRPr="00A41B28">
        <w:rPr>
          <w:rFonts w:ascii="Arial" w:hAnsi="Arial" w:cs="Arial"/>
          <w:b/>
          <w:bCs/>
          <w:iCs/>
          <w:lang w:val="es-ES_tradnl"/>
        </w:rPr>
        <w:t xml:space="preserve">Deber de publicidad </w:t>
      </w:r>
      <w:r w:rsidRPr="00A41B28">
        <w:rPr>
          <w:rFonts w:ascii="Arial" w:eastAsia="Calibri" w:hAnsi="Arial" w:cs="Arial"/>
          <w:b/>
          <w:lang w:val="es-ES_tradnl"/>
        </w:rPr>
        <w:t>–</w:t>
      </w:r>
      <w:r w:rsidRPr="00A41B28">
        <w:rPr>
          <w:rFonts w:ascii="Arial" w:hAnsi="Arial" w:cs="Arial"/>
          <w:b/>
          <w:bCs/>
          <w:iCs/>
          <w:lang w:val="es-ES_tradnl"/>
        </w:rPr>
        <w:t xml:space="preserve"> Modificación artículo 53 de la Ley 2195 de 2022</w:t>
      </w:r>
    </w:p>
    <w:p w14:paraId="43ACDC3F" w14:textId="77777777" w:rsidR="0007796D" w:rsidRPr="00A41B28" w:rsidRDefault="0007796D" w:rsidP="0007796D">
      <w:pPr>
        <w:spacing w:after="0" w:line="240" w:lineRule="auto"/>
        <w:contextualSpacing/>
        <w:jc w:val="both"/>
        <w:rPr>
          <w:rFonts w:ascii="Arial" w:eastAsia="Calibri" w:hAnsi="Arial" w:cs="Arial"/>
          <w:b/>
          <w:lang w:val="es-ES_tradnl"/>
        </w:rPr>
      </w:pPr>
    </w:p>
    <w:p w14:paraId="598A2C89" w14:textId="77777777" w:rsidR="0007796D" w:rsidRPr="00A41B28" w:rsidRDefault="0007796D" w:rsidP="0007796D">
      <w:pPr>
        <w:spacing w:after="0" w:line="240" w:lineRule="auto"/>
        <w:contextualSpacing/>
        <w:jc w:val="both"/>
        <w:rPr>
          <w:rFonts w:ascii="Arial" w:hAnsi="Arial" w:cs="Arial"/>
          <w:sz w:val="20"/>
          <w:szCs w:val="20"/>
          <w:lang w:eastAsia="es-CO"/>
        </w:rPr>
      </w:pPr>
      <w:r w:rsidRPr="00A41B28">
        <w:rPr>
          <w:rFonts w:ascii="Arial" w:hAnsi="Arial" w:cs="Arial"/>
          <w:sz w:val="20"/>
          <w:szCs w:val="20"/>
          <w:lang w:eastAsia="es-CO"/>
        </w:rPr>
        <w:t xml:space="preserve">La anterior conclusión hace forzoso aseverar que, entidades descentralizadas indirectas, como las creadas en atención a lo dispuesto en el artículo 96 de la Ley 489 de 1998, independientemente de que el régimen contractual que les aplica sea el derecho privado, deben publicar su actividad en el SECOP II o la plataforma transaccional que haga sus veces, de acuerdo con lo establecido en el artículo 53 de la Ley 2195 de 2022. Ahora bien, para efectos de la consulta conviene señalar que, la precipitada disposición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p w14:paraId="3F9B09A1" w14:textId="6BC314BC" w:rsidR="009E7391" w:rsidRDefault="009E7391">
      <w:pPr>
        <w:rPr>
          <w:rFonts w:ascii="Arial" w:eastAsia="Calibri" w:hAnsi="Arial" w:cs="Arial"/>
          <w:b/>
          <w:color w:val="FF0000"/>
          <w:szCs w:val="24"/>
          <w:lang w:val="es-ES_tradnl" w:eastAsia="es-ES_tradnl"/>
        </w:rPr>
      </w:pPr>
      <w:r>
        <w:rPr>
          <w:rFonts w:ascii="Arial" w:eastAsia="Calibri" w:hAnsi="Arial" w:cs="Arial"/>
          <w:b/>
          <w:color w:val="FF0000"/>
          <w:szCs w:val="24"/>
          <w:lang w:val="es-ES_tradnl" w:eastAsia="es-ES_tradnl"/>
        </w:rPr>
        <w:br w:type="page"/>
      </w:r>
    </w:p>
    <w:p w14:paraId="6F513EED" w14:textId="55AC2CE9" w:rsidR="00F20B52" w:rsidRDefault="005F24A4" w:rsidP="005F24A4">
      <w:pPr>
        <w:spacing w:after="0" w:line="240" w:lineRule="auto"/>
        <w:contextualSpacing/>
        <w:jc w:val="right"/>
        <w:rPr>
          <w:rFonts w:ascii="Arial" w:eastAsia="Times New Roman" w:hAnsi="Arial" w:cs="Arial"/>
          <w:bCs/>
          <w:lang w:val="es-ES_tradnl" w:eastAsia="es-ES"/>
        </w:rPr>
      </w:pPr>
      <w:bookmarkStart w:id="1" w:name="_Hlk28946138"/>
      <w:bookmarkStart w:id="2" w:name="_Hlk29548183"/>
      <w:r w:rsidRPr="00E15CCE">
        <w:rPr>
          <w:noProof/>
          <w:lang w:val="es-ES"/>
        </w:rPr>
        <w:drawing>
          <wp:inline distT="0" distB="0" distL="0" distR="0" wp14:anchorId="4943D371" wp14:editId="353E5224">
            <wp:extent cx="3201996" cy="673148"/>
            <wp:effectExtent l="0" t="0" r="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8"/>
                    <a:stretch>
                      <a:fillRect/>
                    </a:stretch>
                  </pic:blipFill>
                  <pic:spPr>
                    <a:xfrm>
                      <a:off x="0" y="0"/>
                      <a:ext cx="3327605" cy="699554"/>
                    </a:xfrm>
                    <a:prstGeom prst="rect">
                      <a:avLst/>
                    </a:prstGeom>
                  </pic:spPr>
                </pic:pic>
              </a:graphicData>
            </a:graphic>
          </wp:inline>
        </w:drawing>
      </w:r>
    </w:p>
    <w:p w14:paraId="6DF5E8D3" w14:textId="32C46E97" w:rsidR="00926CEC" w:rsidRDefault="00721C84" w:rsidP="00E84015">
      <w:pPr>
        <w:spacing w:after="0" w:line="240" w:lineRule="auto"/>
        <w:contextualSpacing/>
        <w:jc w:val="right"/>
        <w:rPr>
          <w:rFonts w:ascii="Arial" w:eastAsia="Times New Roman" w:hAnsi="Arial" w:cs="Arial"/>
          <w:bCs/>
          <w:sz w:val="16"/>
          <w:szCs w:val="16"/>
          <w:lang w:val="es-ES_tradnl" w:eastAsia="es-ES"/>
        </w:rPr>
      </w:pPr>
      <w:r>
        <w:rPr>
          <w:noProof/>
        </w:rPr>
        <w:drawing>
          <wp:inline distT="0" distB="0" distL="0" distR="0" wp14:anchorId="34D35F16" wp14:editId="4152EB3A">
            <wp:extent cx="3171180" cy="85060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146"/>
                    <a:stretch/>
                  </pic:blipFill>
                  <pic:spPr bwMode="auto">
                    <a:xfrm>
                      <a:off x="0" y="0"/>
                      <a:ext cx="3223246" cy="864571"/>
                    </a:xfrm>
                    <a:prstGeom prst="rect">
                      <a:avLst/>
                    </a:prstGeom>
                    <a:ln>
                      <a:noFill/>
                    </a:ln>
                    <a:extLst>
                      <a:ext uri="{53640926-AAD7-44D8-BBD7-CCE9431645EC}">
                        <a14:shadowObscured xmlns:a14="http://schemas.microsoft.com/office/drawing/2010/main"/>
                      </a:ext>
                    </a:extLst>
                  </pic:spPr>
                </pic:pic>
              </a:graphicData>
            </a:graphic>
          </wp:inline>
        </w:drawing>
      </w:r>
    </w:p>
    <w:p w14:paraId="0145B4CD" w14:textId="5FF8FC5A" w:rsidR="00E84015" w:rsidRPr="00E84015" w:rsidRDefault="00E84015" w:rsidP="00E84015">
      <w:pPr>
        <w:spacing w:after="0" w:line="240" w:lineRule="auto"/>
        <w:contextualSpacing/>
        <w:jc w:val="right"/>
        <w:rPr>
          <w:rFonts w:ascii="Arial" w:eastAsia="Calibri" w:hAnsi="Arial" w:cs="Arial"/>
          <w:b/>
          <w:sz w:val="16"/>
          <w:szCs w:val="16"/>
          <w:lang w:val="es-ES_tradnl" w:eastAsia="es-ES_tradnl"/>
        </w:rPr>
      </w:pPr>
      <w:r w:rsidRPr="00E84015">
        <w:rPr>
          <w:rFonts w:ascii="Arial" w:eastAsia="Times New Roman" w:hAnsi="Arial" w:cs="Arial"/>
          <w:bCs/>
          <w:sz w:val="16"/>
          <w:szCs w:val="16"/>
          <w:lang w:val="es-ES_tradnl" w:eastAsia="es-ES"/>
        </w:rPr>
        <w:t>CCE-DES-FM-17</w:t>
      </w:r>
      <w:bookmarkEnd w:id="1"/>
      <w:bookmarkEnd w:id="2"/>
    </w:p>
    <w:p w14:paraId="692825AB" w14:textId="31459836" w:rsidR="00721C84" w:rsidRDefault="00721C84" w:rsidP="00721C84">
      <w:pPr>
        <w:spacing w:after="0" w:line="240" w:lineRule="auto"/>
        <w:contextualSpacing/>
        <w:rPr>
          <w:rFonts w:ascii="Arial" w:eastAsia="Times New Roman" w:hAnsi="Arial" w:cs="Arial"/>
          <w:bCs/>
          <w:lang w:val="es-ES_tradnl" w:eastAsia="es-ES_tradnl"/>
        </w:rPr>
      </w:pPr>
      <w:r>
        <w:rPr>
          <w:rFonts w:ascii="Arial" w:eastAsia="Times New Roman" w:hAnsi="Arial" w:cs="Arial"/>
          <w:bCs/>
          <w:lang w:val="es-ES_tradnl" w:eastAsia="es-ES_tradnl"/>
        </w:rPr>
        <w:t xml:space="preserve">Bogotá D.C. </w:t>
      </w:r>
      <w:r w:rsidR="0080652E">
        <w:rPr>
          <w:rFonts w:ascii="Arial" w:eastAsia="Times New Roman" w:hAnsi="Arial" w:cs="Arial"/>
          <w:bCs/>
          <w:lang w:val="es-ES_tradnl" w:eastAsia="es-ES_tradnl"/>
        </w:rPr>
        <w:t>1 de agosto de 2022</w:t>
      </w:r>
    </w:p>
    <w:p w14:paraId="55ED0BEF" w14:textId="77777777" w:rsidR="0080652E" w:rsidRPr="000C69F2" w:rsidRDefault="0080652E" w:rsidP="00721C84">
      <w:pPr>
        <w:spacing w:after="0" w:line="240" w:lineRule="auto"/>
        <w:contextualSpacing/>
        <w:rPr>
          <w:rFonts w:ascii="Arial" w:eastAsia="Times New Roman" w:hAnsi="Arial" w:cs="Arial"/>
          <w:bCs/>
          <w:lang w:val="es-ES_tradnl" w:eastAsia="es-ES_tradnl"/>
        </w:rPr>
      </w:pPr>
    </w:p>
    <w:p w14:paraId="34008E62" w14:textId="3B41A03B" w:rsidR="00E84015" w:rsidRPr="000C69F2" w:rsidRDefault="00152BFA" w:rsidP="000C69F2">
      <w:pPr>
        <w:spacing w:after="0" w:line="240" w:lineRule="auto"/>
        <w:contextualSpacing/>
        <w:jc w:val="both"/>
        <w:rPr>
          <w:rFonts w:ascii="Arial" w:eastAsia="Calibri" w:hAnsi="Arial" w:cs="Arial"/>
          <w:lang w:val="es-ES_tradnl" w:eastAsia="es-ES_tradnl"/>
        </w:rPr>
      </w:pPr>
      <w:bookmarkStart w:id="3" w:name="_Hlk109055567"/>
      <w:r w:rsidRPr="000C69F2">
        <w:rPr>
          <w:rFonts w:ascii="Arial" w:eastAsia="Calibri" w:hAnsi="Arial" w:cs="Arial"/>
          <w:lang w:val="es-ES_tradnl" w:eastAsia="es-ES_tradnl"/>
        </w:rPr>
        <w:t>Señor</w:t>
      </w:r>
    </w:p>
    <w:p w14:paraId="330035BA" w14:textId="7FE2FDE8" w:rsidR="00152BFA" w:rsidRPr="000C69F2" w:rsidRDefault="00575A75" w:rsidP="000C69F2">
      <w:pPr>
        <w:spacing w:after="0" w:line="240" w:lineRule="auto"/>
        <w:contextualSpacing/>
        <w:jc w:val="both"/>
        <w:rPr>
          <w:rFonts w:ascii="Arial" w:hAnsi="Arial" w:cs="Arial"/>
          <w:b/>
          <w:bCs/>
        </w:rPr>
      </w:pPr>
      <w:r w:rsidRPr="000C69F2">
        <w:rPr>
          <w:rFonts w:ascii="Arial" w:hAnsi="Arial" w:cs="Arial"/>
          <w:b/>
          <w:bCs/>
        </w:rPr>
        <w:t>Jaider Frederich Acosta Guzmán</w:t>
      </w:r>
    </w:p>
    <w:p w14:paraId="7DA06AEE" w14:textId="2FE87DF8" w:rsidR="006B28DE" w:rsidRPr="000C69F2" w:rsidRDefault="006B28DE" w:rsidP="000C69F2">
      <w:pPr>
        <w:spacing w:after="0" w:line="240" w:lineRule="auto"/>
        <w:contextualSpacing/>
        <w:jc w:val="both"/>
        <w:rPr>
          <w:rFonts w:ascii="Arial" w:hAnsi="Arial" w:cs="Arial"/>
        </w:rPr>
      </w:pPr>
      <w:r w:rsidRPr="000C69F2">
        <w:rPr>
          <w:rFonts w:ascii="Arial" w:hAnsi="Arial" w:cs="Arial"/>
        </w:rPr>
        <w:t xml:space="preserve">Ibagué, Tolima </w:t>
      </w:r>
    </w:p>
    <w:p w14:paraId="6061DD39" w14:textId="77777777" w:rsidR="00E84015" w:rsidRPr="000C69F2" w:rsidRDefault="00E84015" w:rsidP="000C69F2">
      <w:pPr>
        <w:spacing w:after="0" w:line="240" w:lineRule="auto"/>
        <w:contextualSpacing/>
        <w:rPr>
          <w:rFonts w:ascii="Arial" w:eastAsia="Calibri" w:hAnsi="Arial" w:cs="Arial"/>
          <w:lang w:val="es-ES_tradnl" w:eastAsia="es-ES_tradnl"/>
        </w:rPr>
      </w:pPr>
    </w:p>
    <w:p w14:paraId="2570C7B3" w14:textId="77777777" w:rsidR="00E84015" w:rsidRPr="000C69F2" w:rsidRDefault="00E84015" w:rsidP="000C69F2">
      <w:pPr>
        <w:spacing w:after="0" w:line="240" w:lineRule="auto"/>
        <w:contextualSpacing/>
        <w:rPr>
          <w:rFonts w:ascii="Arial" w:eastAsia="Calibri" w:hAnsi="Arial" w:cs="Arial"/>
          <w:lang w:val="es-ES_tradnl" w:eastAsia="es-ES_tradnl"/>
        </w:rPr>
      </w:pPr>
    </w:p>
    <w:p w14:paraId="72A9D865" w14:textId="735041B4" w:rsidR="00E84015" w:rsidRPr="000C69F2" w:rsidRDefault="00E84015" w:rsidP="000C69F2">
      <w:pPr>
        <w:spacing w:after="0" w:line="240" w:lineRule="auto"/>
        <w:contextualSpacing/>
        <w:rPr>
          <w:rFonts w:ascii="Arial" w:eastAsia="Calibri" w:hAnsi="Arial" w:cs="Arial"/>
          <w:b/>
          <w:bCs/>
          <w:lang w:val="es-ES_tradnl" w:eastAsia="es-ES_tradnl"/>
        </w:rPr>
      </w:pPr>
      <w:r w:rsidRPr="000C69F2">
        <w:rPr>
          <w:rFonts w:ascii="Arial" w:eastAsia="Calibri" w:hAnsi="Arial" w:cs="Arial"/>
          <w:lang w:val="es-ES_tradnl" w:eastAsia="es-ES_tradnl"/>
        </w:rPr>
        <w:t xml:space="preserve">                                            </w:t>
      </w:r>
      <w:r w:rsidRPr="00DD3D33">
        <w:rPr>
          <w:rFonts w:ascii="Arial" w:eastAsia="Calibri" w:hAnsi="Arial" w:cs="Arial"/>
          <w:b/>
          <w:bCs/>
          <w:lang w:val="es-ES_tradnl" w:eastAsia="es-ES_tradnl"/>
        </w:rPr>
        <w:t>Concepto C ‒ 5</w:t>
      </w:r>
      <w:r w:rsidR="00B12457" w:rsidRPr="00DD3D33">
        <w:rPr>
          <w:rFonts w:ascii="Arial" w:eastAsia="Calibri" w:hAnsi="Arial" w:cs="Arial"/>
          <w:b/>
          <w:bCs/>
          <w:lang w:val="es-ES_tradnl" w:eastAsia="es-ES_tradnl"/>
        </w:rPr>
        <w:t>52</w:t>
      </w:r>
      <w:r w:rsidRPr="00DD3D33">
        <w:rPr>
          <w:rFonts w:ascii="Arial" w:eastAsia="Calibri" w:hAnsi="Arial" w:cs="Arial"/>
          <w:b/>
          <w:bCs/>
          <w:lang w:val="es-ES_tradnl" w:eastAsia="es-ES_tradnl"/>
        </w:rPr>
        <w:t xml:space="preserve"> de 2022</w:t>
      </w:r>
    </w:p>
    <w:p w14:paraId="78DF87A2" w14:textId="77777777" w:rsidR="00E84015" w:rsidRPr="000C69F2" w:rsidRDefault="00E84015" w:rsidP="000C69F2">
      <w:pPr>
        <w:spacing w:after="0" w:line="240" w:lineRule="auto"/>
        <w:contextualSpacing/>
        <w:jc w:val="both"/>
        <w:rPr>
          <w:rFonts w:ascii="Arial" w:eastAsia="Calibri" w:hAnsi="Arial" w:cs="Arial"/>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745F8" w:rsidRPr="0040326E" w14:paraId="5ABABB1E" w14:textId="77777777" w:rsidTr="00C41B94">
        <w:tc>
          <w:tcPr>
            <w:tcW w:w="2689" w:type="dxa"/>
          </w:tcPr>
          <w:p w14:paraId="32635640" w14:textId="77777777" w:rsidR="00E84015" w:rsidRPr="0040326E" w:rsidRDefault="00E84015" w:rsidP="000C69F2">
            <w:pPr>
              <w:contextualSpacing/>
              <w:jc w:val="both"/>
              <w:rPr>
                <w:rFonts w:ascii="Arial" w:eastAsia="Calibri" w:hAnsi="Arial" w:cs="Arial"/>
                <w:lang w:val="es-ES_tradnl" w:eastAsia="es-ES_tradnl"/>
              </w:rPr>
            </w:pPr>
            <w:r w:rsidRPr="0040326E">
              <w:rPr>
                <w:rFonts w:ascii="Arial" w:eastAsia="Calibri" w:hAnsi="Arial" w:cs="Arial"/>
                <w:b/>
                <w:lang w:val="es-ES_tradnl" w:eastAsia="es-ES_tradnl"/>
              </w:rPr>
              <w:t>Temas:</w:t>
            </w:r>
            <w:r w:rsidRPr="0040326E">
              <w:rPr>
                <w:rFonts w:ascii="Arial" w:eastAsia="Calibri" w:hAnsi="Arial" w:cs="Arial"/>
                <w:lang w:val="es-ES_tradnl" w:eastAsia="es-ES_tradnl"/>
              </w:rPr>
              <w:t xml:space="preserve">                                      </w:t>
            </w:r>
          </w:p>
        </w:tc>
        <w:tc>
          <w:tcPr>
            <w:tcW w:w="6237" w:type="dxa"/>
          </w:tcPr>
          <w:p w14:paraId="7E77E9E5" w14:textId="77777777" w:rsidR="0007796D" w:rsidRPr="00A41B28" w:rsidRDefault="0007796D" w:rsidP="0007796D">
            <w:pPr>
              <w:contextualSpacing/>
              <w:jc w:val="both"/>
              <w:rPr>
                <w:rFonts w:ascii="Arial" w:hAnsi="Arial" w:cs="Arial"/>
                <w:sz w:val="20"/>
                <w:szCs w:val="20"/>
                <w:lang w:eastAsia="es-CO"/>
              </w:rPr>
            </w:pPr>
            <w:r w:rsidRPr="00A41B28">
              <w:rPr>
                <w:rFonts w:ascii="Arial" w:hAnsi="Arial" w:cs="Arial"/>
                <w:iCs/>
                <w:lang w:val="es-ES_tradnl"/>
              </w:rPr>
              <w:t xml:space="preserve">DEBER DE PUBLICIDAD </w:t>
            </w:r>
            <w:r w:rsidRPr="00A41B28">
              <w:rPr>
                <w:rFonts w:ascii="Arial" w:eastAsia="Calibri" w:hAnsi="Arial" w:cs="Arial"/>
                <w:lang w:val="es-ES_tradnl"/>
              </w:rPr>
              <w:t>–</w:t>
            </w:r>
            <w:r w:rsidRPr="00A41B28">
              <w:rPr>
                <w:rFonts w:ascii="Arial" w:hAnsi="Arial" w:cs="Arial"/>
                <w:iCs/>
                <w:lang w:val="es-ES_tradnl"/>
              </w:rPr>
              <w:t xml:space="preserve"> Entidades estatales exceptuadas del estatuto general de contratación de la administración pública / SECOP II </w:t>
            </w:r>
            <w:r w:rsidRPr="00A41B28">
              <w:rPr>
                <w:rFonts w:ascii="Arial" w:eastAsia="Calibri" w:hAnsi="Arial" w:cs="Arial"/>
                <w:lang w:val="es-ES_tradnl"/>
              </w:rPr>
              <w:t>–</w:t>
            </w:r>
            <w:r w:rsidRPr="00A41B28">
              <w:rPr>
                <w:rFonts w:ascii="Arial" w:hAnsi="Arial" w:cs="Arial"/>
                <w:iCs/>
                <w:lang w:val="es-ES_tradnl"/>
              </w:rPr>
              <w:t xml:space="preserve"> Deber de publicidad </w:t>
            </w:r>
            <w:r w:rsidRPr="00A41B28">
              <w:rPr>
                <w:rFonts w:ascii="Arial" w:eastAsia="Calibri" w:hAnsi="Arial" w:cs="Arial"/>
                <w:lang w:val="es-ES_tradnl"/>
              </w:rPr>
              <w:t>–</w:t>
            </w:r>
            <w:r w:rsidRPr="00A41B28">
              <w:rPr>
                <w:rFonts w:ascii="Arial" w:hAnsi="Arial" w:cs="Arial"/>
                <w:iCs/>
                <w:lang w:val="es-ES_tradnl"/>
              </w:rPr>
              <w:t xml:space="preserve"> Entidades estatales exceptuadas del estatuto general de contratación de la administración pública – Modificación artículo 53 de la Ley 2195 de 2022 / </w:t>
            </w:r>
            <w:r w:rsidRPr="00A41B28">
              <w:rPr>
                <w:rFonts w:ascii="Arial" w:eastAsia="Calibri" w:hAnsi="Arial" w:cs="Arial"/>
                <w:lang w:val="es-ES_tradnl"/>
              </w:rPr>
              <w:t>SECOP II –</w:t>
            </w:r>
            <w:r w:rsidRPr="00A41B28">
              <w:rPr>
                <w:rFonts w:ascii="Arial" w:hAnsi="Arial" w:cs="Arial"/>
                <w:iCs/>
                <w:lang w:val="es-ES_tradnl"/>
              </w:rPr>
              <w:t xml:space="preserve"> Deber de publicidad </w:t>
            </w:r>
            <w:r w:rsidRPr="00A41B28">
              <w:rPr>
                <w:rFonts w:ascii="Arial" w:eastAsia="Calibri" w:hAnsi="Arial" w:cs="Arial"/>
                <w:lang w:val="es-ES_tradnl"/>
              </w:rPr>
              <w:t>–</w:t>
            </w:r>
            <w:r w:rsidRPr="00A41B28">
              <w:rPr>
                <w:rFonts w:ascii="Arial" w:hAnsi="Arial" w:cs="Arial"/>
                <w:iCs/>
                <w:lang w:val="es-ES_tradnl"/>
              </w:rPr>
              <w:t xml:space="preserve"> Entidades estatales exceptuadas del estatuto general de contratación de la administración pública </w:t>
            </w:r>
            <w:r w:rsidRPr="00A41B28">
              <w:rPr>
                <w:rFonts w:ascii="Arial" w:eastAsia="Calibri" w:hAnsi="Arial" w:cs="Arial"/>
                <w:lang w:val="es-ES_tradnl"/>
              </w:rPr>
              <w:t>–</w:t>
            </w:r>
            <w:r w:rsidRPr="00A41B28">
              <w:rPr>
                <w:rFonts w:ascii="Arial" w:hAnsi="Arial" w:cs="Arial"/>
                <w:iCs/>
                <w:lang w:val="es-ES_tradnl"/>
              </w:rPr>
              <w:t xml:space="preserve"> </w:t>
            </w:r>
            <w:r w:rsidRPr="00A41B28">
              <w:rPr>
                <w:rFonts w:ascii="Arial" w:eastAsia="Calibri" w:hAnsi="Arial" w:cs="Arial"/>
                <w:lang w:val="es-ES_tradnl"/>
              </w:rPr>
              <w:t>Vigencia / SECOP II –</w:t>
            </w:r>
            <w:r w:rsidRPr="00A41B28">
              <w:rPr>
                <w:rFonts w:ascii="Arial" w:hAnsi="Arial" w:cs="Arial"/>
                <w:iCs/>
                <w:lang w:val="es-ES_tradnl"/>
              </w:rPr>
              <w:t xml:space="preserve"> Deber de publicidad </w:t>
            </w:r>
            <w:r w:rsidRPr="00A41B28">
              <w:rPr>
                <w:rFonts w:ascii="Arial" w:eastAsia="Calibri" w:hAnsi="Arial" w:cs="Arial"/>
                <w:lang w:val="es-ES_tradnl"/>
              </w:rPr>
              <w:t xml:space="preserve">– </w:t>
            </w:r>
            <w:r w:rsidRPr="00A41B28">
              <w:rPr>
                <w:rFonts w:ascii="Arial" w:hAnsi="Arial" w:cs="Arial"/>
                <w:iCs/>
                <w:lang w:val="es-ES_tradnl"/>
              </w:rPr>
              <w:t xml:space="preserve">Entidades estatales exceptuadas del estatuto general de contratación de la administración pública </w:t>
            </w:r>
            <w:r w:rsidRPr="00A41B28">
              <w:rPr>
                <w:rFonts w:ascii="Arial" w:eastAsia="Calibri" w:hAnsi="Arial" w:cs="Arial"/>
                <w:lang w:val="es-ES_tradnl"/>
              </w:rPr>
              <w:t>– Uso / SECOP II –</w:t>
            </w:r>
            <w:r w:rsidRPr="00A41B28">
              <w:rPr>
                <w:rFonts w:ascii="Arial" w:hAnsi="Arial" w:cs="Arial"/>
                <w:iCs/>
                <w:lang w:val="es-ES_tradnl"/>
              </w:rPr>
              <w:t xml:space="preserve"> Deber de publicidad </w:t>
            </w:r>
            <w:r w:rsidRPr="00A41B28">
              <w:rPr>
                <w:rFonts w:ascii="Arial" w:eastAsia="Calibri" w:hAnsi="Arial" w:cs="Arial"/>
                <w:lang w:val="es-ES_tradnl"/>
              </w:rPr>
              <w:t xml:space="preserve">– </w:t>
            </w:r>
            <w:r w:rsidRPr="00A41B28">
              <w:rPr>
                <w:rFonts w:ascii="Arial" w:hAnsi="Arial" w:cs="Arial"/>
                <w:iCs/>
                <w:lang w:val="es-ES_tradnl"/>
              </w:rPr>
              <w:t xml:space="preserve">Entidades estatales exceptuadas del estatuto general de contratación de la administración pública </w:t>
            </w:r>
            <w:r w:rsidRPr="00A41B28">
              <w:rPr>
                <w:rFonts w:ascii="Arial" w:eastAsia="Calibri" w:hAnsi="Arial" w:cs="Arial"/>
                <w:lang w:val="es-ES_tradnl"/>
              </w:rPr>
              <w:t>– Documentos / SECOP II –</w:t>
            </w:r>
            <w:r w:rsidRPr="00A41B28">
              <w:rPr>
                <w:rFonts w:ascii="Arial" w:hAnsi="Arial" w:cs="Arial"/>
                <w:iCs/>
                <w:lang w:val="es-ES_tradnl"/>
              </w:rPr>
              <w:t xml:space="preserve"> Deber de publicidad </w:t>
            </w:r>
            <w:r w:rsidRPr="00A41B28">
              <w:rPr>
                <w:rFonts w:ascii="Arial" w:eastAsia="Calibri" w:hAnsi="Arial" w:cs="Arial"/>
                <w:lang w:val="es-ES_tradnl"/>
              </w:rPr>
              <w:t xml:space="preserve">– </w:t>
            </w:r>
            <w:r w:rsidRPr="00A41B28">
              <w:rPr>
                <w:rFonts w:ascii="Arial" w:hAnsi="Arial" w:cs="Arial"/>
                <w:iCs/>
                <w:lang w:val="es-ES_tradnl"/>
              </w:rPr>
              <w:t xml:space="preserve">Entidades estatales exceptuadas del estatuto general de contratación de la administración pública </w:t>
            </w:r>
            <w:r w:rsidRPr="00A41B28">
              <w:rPr>
                <w:rFonts w:ascii="Arial" w:eastAsia="Calibri" w:hAnsi="Arial" w:cs="Arial"/>
                <w:lang w:val="es-ES_tradnl"/>
              </w:rPr>
              <w:t xml:space="preserve">– Documentos – </w:t>
            </w:r>
            <w:r w:rsidRPr="00A41B28">
              <w:rPr>
                <w:rFonts w:ascii="Arial" w:hAnsi="Arial" w:cs="Arial"/>
              </w:rPr>
              <w:t xml:space="preserve">Certificado de disponibilidad presupuestal / </w:t>
            </w:r>
            <w:r w:rsidRPr="00A41B28">
              <w:rPr>
                <w:rFonts w:ascii="Arial" w:eastAsia="Calibri" w:hAnsi="Arial" w:cs="Arial"/>
                <w:lang w:val="es-ES_tradnl"/>
              </w:rPr>
              <w:t>SECOP II –</w:t>
            </w:r>
            <w:r w:rsidRPr="00A41B28">
              <w:rPr>
                <w:rFonts w:ascii="Arial" w:hAnsi="Arial" w:cs="Arial"/>
                <w:iCs/>
                <w:lang w:val="es-ES_tradnl"/>
              </w:rPr>
              <w:t xml:space="preserve"> Deber de publicidad </w:t>
            </w:r>
            <w:r w:rsidRPr="00A41B28">
              <w:rPr>
                <w:rFonts w:ascii="Arial" w:eastAsia="Calibri" w:hAnsi="Arial" w:cs="Arial"/>
                <w:lang w:val="es-ES_tradnl"/>
              </w:rPr>
              <w:t xml:space="preserve">– </w:t>
            </w:r>
            <w:r w:rsidRPr="00A41B28">
              <w:rPr>
                <w:rFonts w:ascii="Arial" w:hAnsi="Arial" w:cs="Arial"/>
                <w:iCs/>
                <w:lang w:val="es-ES_tradnl"/>
              </w:rPr>
              <w:t xml:space="preserve">Entidades estatales exceptuadas del estatuto general de contratación de la administración pública </w:t>
            </w:r>
            <w:r w:rsidRPr="00A41B28">
              <w:rPr>
                <w:rFonts w:ascii="Arial" w:eastAsia="Calibri" w:hAnsi="Arial" w:cs="Arial"/>
                <w:lang w:val="es-ES_tradnl"/>
              </w:rPr>
              <w:t xml:space="preserve">– Documentos – Banco de proyectos / </w:t>
            </w:r>
            <w:r w:rsidRPr="00A41B28">
              <w:rPr>
                <w:rFonts w:ascii="Arial" w:hAnsi="Arial" w:cs="Arial"/>
              </w:rPr>
              <w:t>ASOCIACIONES Y FUNDACIONES MIXTAS</w:t>
            </w:r>
            <w:r w:rsidRPr="00A41B28">
              <w:rPr>
                <w:rFonts w:ascii="Arial" w:eastAsia="Calibri" w:hAnsi="Arial" w:cs="Arial"/>
                <w:lang w:val="es-ES_tradnl"/>
              </w:rPr>
              <w:t xml:space="preserve"> – Naturaleza jurídica / </w:t>
            </w:r>
            <w:r w:rsidRPr="00A41B28">
              <w:rPr>
                <w:rFonts w:ascii="Arial" w:hAnsi="Arial" w:cs="Arial"/>
              </w:rPr>
              <w:t>ASOCIACIONES Y FUNDACIONES MIXTAS</w:t>
            </w:r>
            <w:r w:rsidRPr="00A41B28">
              <w:rPr>
                <w:rFonts w:ascii="Arial" w:eastAsia="Calibri" w:hAnsi="Arial" w:cs="Arial"/>
                <w:lang w:val="es-ES_tradnl"/>
              </w:rPr>
              <w:t xml:space="preserve"> – Régimen contractual aplicable / </w:t>
            </w:r>
            <w:r w:rsidRPr="00A41B28">
              <w:rPr>
                <w:rFonts w:ascii="Arial" w:hAnsi="Arial" w:cs="Arial"/>
              </w:rPr>
              <w:t>ASOCIACIONES Y FUNDACIONES MIXTAS</w:t>
            </w:r>
            <w:r w:rsidRPr="00A41B28">
              <w:rPr>
                <w:rFonts w:ascii="Arial" w:eastAsia="Calibri" w:hAnsi="Arial" w:cs="Arial"/>
                <w:lang w:val="es-ES_tradnl"/>
              </w:rPr>
              <w:t xml:space="preserve"> – Régimen contractual aplicable – </w:t>
            </w:r>
            <w:r w:rsidRPr="00A41B28">
              <w:rPr>
                <w:rFonts w:ascii="Arial" w:hAnsi="Arial" w:cs="Arial"/>
                <w:iCs/>
                <w:lang w:val="es-ES_tradnl"/>
              </w:rPr>
              <w:t xml:space="preserve">Deber de publicidad </w:t>
            </w:r>
            <w:r w:rsidRPr="00A41B28">
              <w:rPr>
                <w:rFonts w:ascii="Arial" w:eastAsia="Calibri" w:hAnsi="Arial" w:cs="Arial"/>
                <w:lang w:val="es-ES_tradnl"/>
              </w:rPr>
              <w:t>–</w:t>
            </w:r>
            <w:r w:rsidRPr="00A41B28">
              <w:rPr>
                <w:rFonts w:ascii="Arial" w:hAnsi="Arial" w:cs="Arial"/>
                <w:iCs/>
                <w:lang w:val="es-ES_tradnl"/>
              </w:rPr>
              <w:t xml:space="preserve"> Modificación artículo 53 de la Ley 2195 de 2022</w:t>
            </w:r>
            <w:r w:rsidRPr="00A41B28">
              <w:rPr>
                <w:rFonts w:ascii="Arial" w:hAnsi="Arial" w:cs="Arial"/>
                <w:sz w:val="20"/>
                <w:szCs w:val="20"/>
                <w:lang w:eastAsia="es-CO"/>
              </w:rPr>
              <w:t xml:space="preserve"> </w:t>
            </w:r>
          </w:p>
          <w:p w14:paraId="5740599D" w14:textId="77777777" w:rsidR="00E84015" w:rsidRPr="0040326E" w:rsidRDefault="00E84015" w:rsidP="000C69F2">
            <w:pPr>
              <w:contextualSpacing/>
              <w:jc w:val="both"/>
              <w:rPr>
                <w:rFonts w:ascii="Arial" w:eastAsia="Times New Roman" w:hAnsi="Arial" w:cs="Arial"/>
                <w:bCs/>
                <w:lang w:val="es-ES_tradnl" w:eastAsia="es-ES_tradnl"/>
              </w:rPr>
            </w:pPr>
          </w:p>
        </w:tc>
      </w:tr>
      <w:tr w:rsidR="00F745F8" w:rsidRPr="0040326E" w14:paraId="4867B72B" w14:textId="77777777" w:rsidTr="00C41B94">
        <w:tc>
          <w:tcPr>
            <w:tcW w:w="2689" w:type="dxa"/>
          </w:tcPr>
          <w:p w14:paraId="48A95AFE" w14:textId="77777777" w:rsidR="00E84015" w:rsidRPr="0040326E" w:rsidRDefault="00E84015" w:rsidP="000C69F2">
            <w:pPr>
              <w:contextualSpacing/>
              <w:jc w:val="both"/>
              <w:rPr>
                <w:rFonts w:ascii="Arial" w:eastAsia="Calibri" w:hAnsi="Arial" w:cs="Arial"/>
                <w:b/>
                <w:lang w:val="es-ES_tradnl" w:eastAsia="es-ES_tradnl"/>
              </w:rPr>
            </w:pPr>
            <w:r w:rsidRPr="0040326E">
              <w:rPr>
                <w:rFonts w:ascii="Arial" w:eastAsia="Calibri" w:hAnsi="Arial" w:cs="Arial"/>
                <w:b/>
                <w:lang w:val="es-ES_tradnl" w:eastAsia="es-ES_tradnl"/>
              </w:rPr>
              <w:t>Radicación:</w:t>
            </w:r>
            <w:r w:rsidRPr="0040326E">
              <w:rPr>
                <w:rFonts w:ascii="Arial" w:eastAsia="Calibri" w:hAnsi="Arial" w:cs="Arial"/>
                <w:lang w:val="es-ES_tradnl" w:eastAsia="es-ES_tradnl"/>
              </w:rPr>
              <w:t xml:space="preserve">                              </w:t>
            </w:r>
          </w:p>
        </w:tc>
        <w:tc>
          <w:tcPr>
            <w:tcW w:w="6237" w:type="dxa"/>
          </w:tcPr>
          <w:p w14:paraId="2414AE19" w14:textId="0EEE2E5A" w:rsidR="00E84015" w:rsidRPr="0040326E" w:rsidRDefault="00E84015" w:rsidP="000C69F2">
            <w:pPr>
              <w:contextualSpacing/>
              <w:jc w:val="both"/>
              <w:rPr>
                <w:rFonts w:ascii="Arial" w:eastAsia="Calibri" w:hAnsi="Arial" w:cs="Arial"/>
                <w:lang w:val="es-ES_tradnl" w:eastAsia="es-ES_tradnl"/>
              </w:rPr>
            </w:pPr>
            <w:r w:rsidRPr="0040326E">
              <w:rPr>
                <w:rFonts w:ascii="Arial" w:eastAsia="Calibri" w:hAnsi="Arial" w:cs="Arial"/>
                <w:lang w:val="es-ES_tradnl" w:eastAsia="es-ES_tradnl"/>
              </w:rPr>
              <w:t xml:space="preserve">Respuesta a consulta </w:t>
            </w:r>
            <w:r w:rsidR="00785271" w:rsidRPr="0040326E">
              <w:rPr>
                <w:rFonts w:ascii="Arial" w:eastAsia="Calibri" w:hAnsi="Arial" w:cs="Arial"/>
                <w:lang w:val="es-ES_tradnl" w:eastAsia="es-ES_tradnl"/>
              </w:rPr>
              <w:t>#P20220721007140</w:t>
            </w:r>
          </w:p>
        </w:tc>
      </w:tr>
    </w:tbl>
    <w:p w14:paraId="43FD20D5" w14:textId="709ACAB7" w:rsidR="00E84015" w:rsidRDefault="00E84015" w:rsidP="000C69F2">
      <w:pPr>
        <w:spacing w:after="0" w:line="240" w:lineRule="auto"/>
        <w:contextualSpacing/>
        <w:jc w:val="both"/>
        <w:rPr>
          <w:rFonts w:ascii="Arial" w:eastAsia="Calibri" w:hAnsi="Arial" w:cs="Arial"/>
          <w:lang w:val="es-ES_tradnl" w:eastAsia="es-ES_tradnl"/>
        </w:rPr>
      </w:pPr>
    </w:p>
    <w:p w14:paraId="7D5FD19A" w14:textId="77777777" w:rsidR="00926CEC" w:rsidRPr="000C69F2" w:rsidRDefault="00926CEC" w:rsidP="000C69F2">
      <w:pPr>
        <w:spacing w:after="0" w:line="240" w:lineRule="auto"/>
        <w:contextualSpacing/>
        <w:jc w:val="both"/>
        <w:rPr>
          <w:rFonts w:ascii="Arial" w:eastAsia="Calibri" w:hAnsi="Arial" w:cs="Arial"/>
          <w:lang w:val="es-ES_tradnl" w:eastAsia="es-ES_tradnl"/>
        </w:rPr>
      </w:pPr>
    </w:p>
    <w:p w14:paraId="60E155EE" w14:textId="4C80CAA2" w:rsidR="00E84015" w:rsidRPr="000C69F2" w:rsidRDefault="00E84015" w:rsidP="00617E0A">
      <w:pPr>
        <w:spacing w:after="0" w:line="276" w:lineRule="auto"/>
        <w:contextualSpacing/>
        <w:jc w:val="both"/>
        <w:rPr>
          <w:rFonts w:ascii="Arial" w:eastAsia="Calibri" w:hAnsi="Arial" w:cs="Arial"/>
          <w:lang w:val="es-ES_tradnl" w:eastAsia="es-ES_tradnl"/>
        </w:rPr>
      </w:pPr>
      <w:r w:rsidRPr="000C69F2">
        <w:rPr>
          <w:rFonts w:ascii="Arial" w:eastAsia="Calibri" w:hAnsi="Arial" w:cs="Arial"/>
          <w:lang w:val="es-ES_tradnl" w:eastAsia="es-ES_tradnl"/>
        </w:rPr>
        <w:t>Estimad</w:t>
      </w:r>
      <w:r w:rsidR="00BB14EC" w:rsidRPr="000C69F2">
        <w:rPr>
          <w:rFonts w:ascii="Arial" w:eastAsia="Calibri" w:hAnsi="Arial" w:cs="Arial"/>
          <w:lang w:val="es-ES_tradnl" w:eastAsia="es-ES_tradnl"/>
        </w:rPr>
        <w:t xml:space="preserve">o señor </w:t>
      </w:r>
      <w:r w:rsidR="001F332B" w:rsidRPr="000C69F2">
        <w:rPr>
          <w:rFonts w:ascii="Arial" w:hAnsi="Arial" w:cs="Arial"/>
        </w:rPr>
        <w:t>Acosta</w:t>
      </w:r>
      <w:r w:rsidR="000C69F2" w:rsidRPr="000C69F2">
        <w:rPr>
          <w:rFonts w:ascii="Arial" w:hAnsi="Arial" w:cs="Arial"/>
        </w:rPr>
        <w:t xml:space="preserve"> Guzmán</w:t>
      </w:r>
      <w:r w:rsidRPr="000C69F2">
        <w:rPr>
          <w:rFonts w:ascii="Arial" w:eastAsia="Calibri" w:hAnsi="Arial" w:cs="Arial"/>
          <w:lang w:val="es-ES_tradnl" w:eastAsia="es-ES_tradnl"/>
        </w:rPr>
        <w:t>:</w:t>
      </w:r>
    </w:p>
    <w:p w14:paraId="3FAA8166" w14:textId="77777777" w:rsidR="00E84015" w:rsidRPr="000C69F2" w:rsidRDefault="00E84015" w:rsidP="00617E0A">
      <w:pPr>
        <w:spacing w:after="0" w:line="276" w:lineRule="auto"/>
        <w:contextualSpacing/>
        <w:jc w:val="both"/>
        <w:rPr>
          <w:rFonts w:ascii="Arial" w:eastAsia="Calibri" w:hAnsi="Arial" w:cs="Arial"/>
          <w:lang w:val="es-ES_tradnl" w:eastAsia="es-ES_tradnl"/>
        </w:rPr>
      </w:pPr>
    </w:p>
    <w:p w14:paraId="0B32FC27" w14:textId="62172224" w:rsidR="00E84015" w:rsidRPr="00E84015" w:rsidRDefault="00E84015" w:rsidP="00617E0A">
      <w:pPr>
        <w:spacing w:after="0" w:line="276" w:lineRule="auto"/>
        <w:contextualSpacing/>
        <w:jc w:val="both"/>
        <w:rPr>
          <w:rFonts w:ascii="Arial" w:eastAsia="Calibri" w:hAnsi="Arial" w:cs="Arial"/>
          <w:lang w:val="es-ES_tradnl" w:eastAsia="es-ES_tradnl"/>
        </w:rPr>
      </w:pPr>
      <w:r w:rsidRPr="00E84015">
        <w:rPr>
          <w:rFonts w:ascii="Arial" w:eastAsia="Calibri" w:hAnsi="Arial" w:cs="Arial"/>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271F28" w:rsidRPr="002E324A">
        <w:rPr>
          <w:rFonts w:ascii="Arial" w:eastAsia="Calibri" w:hAnsi="Arial" w:cs="Arial"/>
          <w:lang w:val="es-ES_tradnl" w:eastAsia="es-ES_tradnl"/>
        </w:rPr>
        <w:t>21</w:t>
      </w:r>
      <w:r w:rsidRPr="00E84015">
        <w:rPr>
          <w:rFonts w:ascii="Arial" w:eastAsia="Calibri" w:hAnsi="Arial" w:cs="Arial"/>
          <w:lang w:val="es-ES_tradnl" w:eastAsia="es-ES_tradnl"/>
        </w:rPr>
        <w:t xml:space="preserve"> de julio de 2022.</w:t>
      </w:r>
    </w:p>
    <w:p w14:paraId="3E000C54" w14:textId="77777777" w:rsidR="00E84015" w:rsidRPr="00E84015" w:rsidRDefault="00E84015" w:rsidP="00617E0A">
      <w:pPr>
        <w:spacing w:after="0" w:line="276" w:lineRule="auto"/>
        <w:contextualSpacing/>
        <w:jc w:val="both"/>
        <w:rPr>
          <w:rFonts w:ascii="Arial" w:eastAsia="Calibri" w:hAnsi="Arial" w:cs="Arial"/>
          <w:b/>
          <w:lang w:val="es-ES_tradnl" w:eastAsia="es-ES_tradnl"/>
        </w:rPr>
      </w:pPr>
    </w:p>
    <w:p w14:paraId="22E5DA25" w14:textId="77777777" w:rsidR="00E84015" w:rsidRPr="00E84015" w:rsidRDefault="00E84015" w:rsidP="00617E0A">
      <w:pPr>
        <w:numPr>
          <w:ilvl w:val="0"/>
          <w:numId w:val="1"/>
        </w:numPr>
        <w:tabs>
          <w:tab w:val="left" w:pos="0"/>
          <w:tab w:val="left" w:pos="142"/>
          <w:tab w:val="left" w:pos="284"/>
        </w:tabs>
        <w:spacing w:after="0" w:line="276" w:lineRule="auto"/>
        <w:ind w:left="360"/>
        <w:contextualSpacing/>
        <w:jc w:val="both"/>
        <w:rPr>
          <w:rFonts w:ascii="Arial" w:eastAsia="Calibri" w:hAnsi="Arial" w:cs="Arial"/>
          <w:b/>
          <w:lang w:val="es-ES_tradnl"/>
        </w:rPr>
      </w:pPr>
      <w:r w:rsidRPr="00E84015">
        <w:rPr>
          <w:rFonts w:ascii="Arial" w:eastAsia="Calibri" w:hAnsi="Arial" w:cs="Arial"/>
          <w:b/>
          <w:lang w:val="es-ES_tradnl"/>
        </w:rPr>
        <w:t xml:space="preserve">Problema planteado </w:t>
      </w:r>
    </w:p>
    <w:p w14:paraId="66EE78EF" w14:textId="77777777" w:rsidR="00E84015" w:rsidRPr="00E84015" w:rsidRDefault="00E84015" w:rsidP="00617E0A">
      <w:pPr>
        <w:tabs>
          <w:tab w:val="left" w:pos="426"/>
        </w:tabs>
        <w:spacing w:after="0" w:line="276" w:lineRule="auto"/>
        <w:contextualSpacing/>
        <w:jc w:val="both"/>
        <w:rPr>
          <w:rFonts w:ascii="Arial" w:eastAsia="Calibri" w:hAnsi="Arial" w:cs="Arial"/>
          <w:b/>
          <w:lang w:val="es-ES_tradnl" w:eastAsia="es-ES_tradnl"/>
        </w:rPr>
      </w:pPr>
    </w:p>
    <w:p w14:paraId="65A24B34" w14:textId="4CCF573B" w:rsidR="00E84015" w:rsidRPr="00E84015" w:rsidRDefault="00DC39C3" w:rsidP="00617E0A">
      <w:pPr>
        <w:spacing w:after="0" w:line="276" w:lineRule="auto"/>
        <w:contextualSpacing/>
        <w:jc w:val="both"/>
        <w:rPr>
          <w:rFonts w:ascii="Arial" w:eastAsia="Times New Roman" w:hAnsi="Arial" w:cs="Arial"/>
          <w:lang w:val="es-ES_tradnl" w:eastAsia="es-ES_tradnl"/>
        </w:rPr>
      </w:pPr>
      <w:r>
        <w:rPr>
          <w:rFonts w:ascii="Arial" w:eastAsia="Times New Roman" w:hAnsi="Arial" w:cs="Arial"/>
          <w:lang w:val="es-ES_tradnl" w:eastAsia="es-ES_tradnl"/>
        </w:rPr>
        <w:t>U</w:t>
      </w:r>
      <w:r w:rsidR="00E84015" w:rsidRPr="00E84015">
        <w:rPr>
          <w:rFonts w:ascii="Arial" w:eastAsia="Times New Roman" w:hAnsi="Arial" w:cs="Arial"/>
          <w:lang w:val="es-ES_tradnl" w:eastAsia="es-ES_tradnl"/>
        </w:rPr>
        <w:t>sted realiza la siguiente consulta</w:t>
      </w:r>
      <w:r>
        <w:rPr>
          <w:rFonts w:ascii="Arial" w:eastAsia="Times New Roman" w:hAnsi="Arial" w:cs="Arial"/>
          <w:lang w:val="es-ES_tradnl" w:eastAsia="es-ES_tradnl"/>
        </w:rPr>
        <w:t xml:space="preserve"> referida a la aplicabilidad</w:t>
      </w:r>
      <w:r w:rsidRPr="00E84015">
        <w:rPr>
          <w:rFonts w:ascii="Arial" w:eastAsia="Times New Roman" w:hAnsi="Arial" w:cs="Arial"/>
          <w:lang w:val="es-ES_tradnl" w:eastAsia="es-ES_tradnl"/>
        </w:rPr>
        <w:t xml:space="preserve"> del artículo 53 de la Ley 2195 de 2022</w:t>
      </w:r>
      <w:r>
        <w:rPr>
          <w:rFonts w:ascii="Arial" w:eastAsia="Times New Roman" w:hAnsi="Arial" w:cs="Arial"/>
          <w:lang w:val="es-ES_tradnl" w:eastAsia="es-ES_tradnl"/>
        </w:rPr>
        <w:t xml:space="preserve"> a la asociaciones y fundaciones</w:t>
      </w:r>
      <w:r w:rsidR="009C09C3">
        <w:rPr>
          <w:rFonts w:ascii="Arial" w:eastAsia="Times New Roman" w:hAnsi="Arial" w:cs="Arial"/>
          <w:lang w:val="es-ES_tradnl" w:eastAsia="es-ES_tradnl"/>
        </w:rPr>
        <w:t xml:space="preserve"> con participación mixta,</w:t>
      </w:r>
      <w:r>
        <w:rPr>
          <w:rFonts w:ascii="Arial" w:eastAsia="Times New Roman" w:hAnsi="Arial" w:cs="Arial"/>
          <w:lang w:val="es-ES_tradnl" w:eastAsia="es-ES_tradnl"/>
        </w:rPr>
        <w:t xml:space="preserve"> creadas conforme al artículo 96 de la Ley 489 de </w:t>
      </w:r>
      <w:r w:rsidR="009C09C3">
        <w:rPr>
          <w:rFonts w:ascii="Arial" w:eastAsia="Times New Roman" w:hAnsi="Arial" w:cs="Arial"/>
          <w:lang w:val="es-ES_tradnl" w:eastAsia="es-ES_tradnl"/>
        </w:rPr>
        <w:t>1998. Al respecto pregunta</w:t>
      </w:r>
      <w:r w:rsidR="00E84015" w:rsidRPr="00E84015">
        <w:rPr>
          <w:rFonts w:ascii="Arial" w:eastAsia="Times New Roman" w:hAnsi="Arial" w:cs="Arial"/>
          <w:lang w:val="es-ES_tradnl" w:eastAsia="es-ES_tradnl"/>
        </w:rPr>
        <w:t xml:space="preserve">: </w:t>
      </w:r>
    </w:p>
    <w:p w14:paraId="27E932D4" w14:textId="77777777" w:rsidR="00D0648E" w:rsidRPr="00D0648E" w:rsidRDefault="00D0648E" w:rsidP="008A1B7C">
      <w:pPr>
        <w:spacing w:after="0" w:line="240" w:lineRule="auto"/>
        <w:ind w:left="709" w:right="709"/>
        <w:contextualSpacing/>
        <w:jc w:val="both"/>
        <w:rPr>
          <w:rFonts w:ascii="Arial" w:hAnsi="Arial" w:cs="Arial"/>
          <w:sz w:val="21"/>
          <w:szCs w:val="21"/>
        </w:rPr>
      </w:pPr>
    </w:p>
    <w:p w14:paraId="679CEDF2" w14:textId="56288E18" w:rsidR="00D0648E" w:rsidRPr="00D0648E" w:rsidRDefault="009C09C3" w:rsidP="008A1B7C">
      <w:pPr>
        <w:spacing w:after="0" w:line="240" w:lineRule="auto"/>
        <w:ind w:left="709" w:right="709"/>
        <w:contextualSpacing/>
        <w:jc w:val="both"/>
        <w:rPr>
          <w:rFonts w:ascii="Arial" w:hAnsi="Arial" w:cs="Arial"/>
          <w:sz w:val="21"/>
          <w:szCs w:val="21"/>
        </w:rPr>
      </w:pPr>
      <w:r>
        <w:rPr>
          <w:rFonts w:ascii="Arial" w:hAnsi="Arial" w:cs="Arial"/>
          <w:sz w:val="21"/>
          <w:szCs w:val="21"/>
        </w:rPr>
        <w:t>«</w:t>
      </w:r>
      <w:r w:rsidR="00025CBE" w:rsidRPr="00D0648E">
        <w:rPr>
          <w:rFonts w:ascii="Arial" w:hAnsi="Arial" w:cs="Arial"/>
          <w:sz w:val="21"/>
          <w:szCs w:val="21"/>
        </w:rPr>
        <w:t xml:space="preserve">1. ¿Con la entrada en vigencia de la Ley 2195 de 2022, las fundaciones de creación mixta tienen la obligación de publicar todo el proceso contractual de manera transaccional en el Secop 2? </w:t>
      </w:r>
    </w:p>
    <w:p w14:paraId="4FE5AB9E" w14:textId="77777777" w:rsidR="00D0648E" w:rsidRPr="00D0648E" w:rsidRDefault="00D0648E" w:rsidP="008A1B7C">
      <w:pPr>
        <w:spacing w:after="0" w:line="240" w:lineRule="auto"/>
        <w:ind w:left="709" w:right="709"/>
        <w:contextualSpacing/>
        <w:jc w:val="both"/>
        <w:rPr>
          <w:rFonts w:ascii="Arial" w:hAnsi="Arial" w:cs="Arial"/>
          <w:sz w:val="21"/>
          <w:szCs w:val="21"/>
        </w:rPr>
      </w:pPr>
    </w:p>
    <w:p w14:paraId="46303EB7" w14:textId="77777777" w:rsidR="00D0648E" w:rsidRPr="00D0648E" w:rsidRDefault="00025CBE" w:rsidP="008A1B7C">
      <w:pPr>
        <w:spacing w:after="0" w:line="240" w:lineRule="auto"/>
        <w:ind w:left="709" w:right="709"/>
        <w:contextualSpacing/>
        <w:jc w:val="both"/>
        <w:rPr>
          <w:rFonts w:ascii="Arial" w:hAnsi="Arial" w:cs="Arial"/>
          <w:sz w:val="21"/>
          <w:szCs w:val="21"/>
        </w:rPr>
      </w:pPr>
      <w:r w:rsidRPr="00D0648E">
        <w:rPr>
          <w:rFonts w:ascii="Arial" w:hAnsi="Arial" w:cs="Arial"/>
          <w:sz w:val="21"/>
          <w:szCs w:val="21"/>
        </w:rPr>
        <w:t xml:space="preserve">2. En caso de que la respuesta a la anterior pregunta sea afirmativa: </w:t>
      </w:r>
    </w:p>
    <w:p w14:paraId="6FAE0CFC" w14:textId="77777777" w:rsidR="00D0648E" w:rsidRPr="00D0648E" w:rsidRDefault="00D0648E" w:rsidP="008A1B7C">
      <w:pPr>
        <w:spacing w:after="0" w:line="240" w:lineRule="auto"/>
        <w:ind w:left="709" w:right="709"/>
        <w:contextualSpacing/>
        <w:jc w:val="both"/>
        <w:rPr>
          <w:rFonts w:ascii="Arial" w:hAnsi="Arial" w:cs="Arial"/>
          <w:sz w:val="21"/>
          <w:szCs w:val="21"/>
        </w:rPr>
      </w:pPr>
    </w:p>
    <w:p w14:paraId="23F6A9C7" w14:textId="77777777" w:rsidR="00D0648E" w:rsidRPr="00D0648E" w:rsidRDefault="00025CBE" w:rsidP="008A1B7C">
      <w:pPr>
        <w:spacing w:after="0" w:line="240" w:lineRule="auto"/>
        <w:ind w:left="709" w:right="709"/>
        <w:contextualSpacing/>
        <w:jc w:val="both"/>
        <w:rPr>
          <w:rFonts w:ascii="Arial" w:hAnsi="Arial" w:cs="Arial"/>
          <w:sz w:val="21"/>
          <w:szCs w:val="21"/>
        </w:rPr>
      </w:pPr>
      <w:r w:rsidRPr="00D0648E">
        <w:rPr>
          <w:rFonts w:ascii="Arial" w:hAnsi="Arial" w:cs="Arial"/>
          <w:sz w:val="21"/>
          <w:szCs w:val="21"/>
        </w:rPr>
        <w:t xml:space="preserve">- ¿cuál es el argumento legal para que las fundaciones de creación mixta tengan que cumplir con dicha obligación? </w:t>
      </w:r>
    </w:p>
    <w:p w14:paraId="3B036B20" w14:textId="77777777" w:rsidR="00D0648E" w:rsidRPr="00D0648E" w:rsidRDefault="00D0648E" w:rsidP="008A1B7C">
      <w:pPr>
        <w:spacing w:after="0" w:line="240" w:lineRule="auto"/>
        <w:ind w:left="709" w:right="709"/>
        <w:contextualSpacing/>
        <w:jc w:val="both"/>
        <w:rPr>
          <w:rFonts w:ascii="Arial" w:hAnsi="Arial" w:cs="Arial"/>
          <w:sz w:val="21"/>
          <w:szCs w:val="21"/>
        </w:rPr>
      </w:pPr>
    </w:p>
    <w:p w14:paraId="13C3657B" w14:textId="00AF965D" w:rsidR="00E84015" w:rsidRPr="00E84015" w:rsidRDefault="00025CBE" w:rsidP="00E84015">
      <w:pPr>
        <w:spacing w:after="0" w:line="240" w:lineRule="auto"/>
        <w:ind w:left="709" w:right="709"/>
        <w:contextualSpacing/>
        <w:jc w:val="both"/>
        <w:rPr>
          <w:rFonts w:ascii="Arial" w:hAnsi="Arial" w:cs="Arial"/>
          <w:sz w:val="21"/>
          <w:szCs w:val="21"/>
        </w:rPr>
      </w:pPr>
      <w:r w:rsidRPr="00D0648E">
        <w:rPr>
          <w:rFonts w:ascii="Arial" w:hAnsi="Arial" w:cs="Arial"/>
          <w:sz w:val="21"/>
          <w:szCs w:val="21"/>
        </w:rPr>
        <w:t>- ¿cómo se realizarían dichas publicaciones, si este tipo de entidades no cuentan con figuras propias de la contratación pública como el certificado de disponibilidad presupuestal, el registro presupuestal, no tienen el presupuesto dividido en funcionamiento e inversión, por lo tanto, no tienen banco de proyectos, entre otras peculiaridades propias de las entidades estatales?</w:t>
      </w:r>
      <w:r w:rsidR="002E50B7">
        <w:rPr>
          <w:rFonts w:ascii="Arial" w:hAnsi="Arial" w:cs="Arial"/>
          <w:sz w:val="21"/>
          <w:szCs w:val="21"/>
        </w:rPr>
        <w:t xml:space="preserve"> </w:t>
      </w:r>
      <w:r w:rsidR="00E84015" w:rsidRPr="00E84015">
        <w:rPr>
          <w:rFonts w:ascii="Arial" w:hAnsi="Arial" w:cs="Arial"/>
          <w:sz w:val="21"/>
          <w:szCs w:val="21"/>
        </w:rPr>
        <w:t>[…]</w:t>
      </w:r>
      <w:r w:rsidR="00E84015" w:rsidRPr="00E84015">
        <w:rPr>
          <w:rFonts w:ascii="Arial" w:eastAsia="Times New Roman" w:hAnsi="Arial" w:cs="Arial"/>
          <w:sz w:val="21"/>
          <w:szCs w:val="21"/>
          <w:lang w:val="es-ES_tradnl" w:eastAsia="es-ES_tradnl"/>
        </w:rPr>
        <w:t>» (SIC).</w:t>
      </w:r>
    </w:p>
    <w:p w14:paraId="4A18CCDD" w14:textId="77777777" w:rsidR="00E84015" w:rsidRPr="00E84015" w:rsidRDefault="00E84015" w:rsidP="00EB509C">
      <w:pPr>
        <w:spacing w:after="0" w:line="276" w:lineRule="auto"/>
        <w:ind w:right="709"/>
        <w:contextualSpacing/>
        <w:jc w:val="both"/>
        <w:rPr>
          <w:rFonts w:ascii="Arial" w:eastAsia="Times New Roman" w:hAnsi="Arial" w:cs="Arial"/>
          <w:lang w:eastAsia="es-ES_tradnl"/>
        </w:rPr>
      </w:pPr>
    </w:p>
    <w:p w14:paraId="3478286E" w14:textId="77777777" w:rsidR="00E84015" w:rsidRPr="00E84015" w:rsidRDefault="00E84015" w:rsidP="00EB509C">
      <w:pPr>
        <w:numPr>
          <w:ilvl w:val="0"/>
          <w:numId w:val="1"/>
        </w:numPr>
        <w:tabs>
          <w:tab w:val="left" w:pos="0"/>
          <w:tab w:val="left" w:pos="284"/>
        </w:tabs>
        <w:spacing w:after="0" w:line="276" w:lineRule="auto"/>
        <w:ind w:left="360"/>
        <w:contextualSpacing/>
        <w:jc w:val="both"/>
        <w:rPr>
          <w:rFonts w:ascii="Arial" w:eastAsia="Calibri" w:hAnsi="Arial" w:cs="Arial"/>
          <w:b/>
          <w:lang w:val="es-ES_tradnl"/>
        </w:rPr>
      </w:pPr>
      <w:r w:rsidRPr="00E84015">
        <w:rPr>
          <w:rFonts w:ascii="Arial" w:eastAsia="Calibri" w:hAnsi="Arial" w:cs="Arial"/>
          <w:b/>
          <w:lang w:val="es-ES_tradnl"/>
        </w:rPr>
        <w:t>Consideraciones</w:t>
      </w:r>
    </w:p>
    <w:p w14:paraId="00B3DE41" w14:textId="77777777" w:rsidR="00E84015" w:rsidRPr="00E84015" w:rsidRDefault="00E84015" w:rsidP="00EB509C">
      <w:pPr>
        <w:spacing w:after="0" w:line="276" w:lineRule="auto"/>
        <w:contextualSpacing/>
        <w:jc w:val="both"/>
        <w:rPr>
          <w:rFonts w:ascii="Arial" w:eastAsia="Calibri" w:hAnsi="Arial" w:cs="Arial"/>
          <w:lang w:val="es-ES_tradnl" w:eastAsia="es-ES_tradnl"/>
        </w:rPr>
      </w:pPr>
    </w:p>
    <w:p w14:paraId="13082664" w14:textId="36444ED4" w:rsidR="00E84015" w:rsidRPr="005678D0" w:rsidRDefault="007328D8" w:rsidP="00C8325C">
      <w:pPr>
        <w:spacing w:after="120" w:line="276" w:lineRule="auto"/>
        <w:jc w:val="both"/>
        <w:rPr>
          <w:rFonts w:ascii="Arial" w:eastAsia="Times New Roman" w:hAnsi="Arial" w:cs="Arial"/>
          <w:iCs/>
          <w:lang w:val="es-ES_tradnl" w:eastAsia="es-ES_tradnl"/>
        </w:rPr>
      </w:pPr>
      <w:r>
        <w:rPr>
          <w:rFonts w:ascii="Arial" w:eastAsia="Arial" w:hAnsi="Arial" w:cs="Arial"/>
          <w:lang w:val="es-MX" w:eastAsia="es-ES_tradnl"/>
        </w:rPr>
        <w:t>La Agencia</w:t>
      </w:r>
      <w:r w:rsidR="00B55FBE">
        <w:rPr>
          <w:rFonts w:ascii="Arial" w:eastAsia="Arial" w:hAnsi="Arial" w:cs="Arial"/>
          <w:lang w:val="es-MX" w:eastAsia="es-ES_tradnl"/>
        </w:rPr>
        <w:t xml:space="preserve"> Nacional de Contratación Pública – Colombia Compra Eficiente</w:t>
      </w:r>
      <w:r>
        <w:rPr>
          <w:rFonts w:ascii="Arial" w:eastAsia="Calibri" w:hAnsi="Arial" w:cs="Arial"/>
          <w:lang w:val="es-ES"/>
        </w:rPr>
        <w:t xml:space="preserve">, </w:t>
      </w:r>
      <w:r w:rsidRPr="00D91E11">
        <w:rPr>
          <w:rFonts w:ascii="Arial" w:eastAsia="Calibri" w:hAnsi="Arial" w:cs="Arial"/>
          <w:lang w:val="es-ES"/>
        </w:rPr>
        <w:t>dentro de los límites de sus atribuciones,</w:t>
      </w:r>
      <w:r>
        <w:rPr>
          <w:rFonts w:ascii="Arial" w:eastAsia="Calibri" w:hAnsi="Arial" w:cs="Arial"/>
          <w:lang w:val="es-ES"/>
        </w:rPr>
        <w:t xml:space="preserve"> </w:t>
      </w:r>
      <w:r w:rsidRPr="00D91E11">
        <w:rPr>
          <w:rFonts w:ascii="Arial" w:eastAsia="Calibri" w:hAnsi="Arial" w:cs="Arial"/>
          <w:lang w:val="es-ES"/>
        </w:rPr>
        <w:t>resolverá la consulta conforme a las normas generales en materia de contratación estatal. Con este objetivo se analizarán los siguientes temas</w:t>
      </w:r>
      <w:r w:rsidRPr="00D91E11">
        <w:rPr>
          <w:rFonts w:ascii="Arial" w:eastAsia="Calibri" w:hAnsi="Arial" w:cs="Arial"/>
        </w:rPr>
        <w:t xml:space="preserve">: </w:t>
      </w:r>
      <w:r w:rsidRPr="00D91E11">
        <w:rPr>
          <w:rFonts w:ascii="Arial" w:eastAsia="Calibri" w:hAnsi="Arial" w:cs="Arial"/>
          <w:lang w:val="es-ES_tradnl"/>
        </w:rPr>
        <w:t>i</w:t>
      </w:r>
      <w:r w:rsidRPr="00D91E11">
        <w:rPr>
          <w:rFonts w:ascii="Arial" w:eastAsia="Times New Roman" w:hAnsi="Arial" w:cs="Arial"/>
          <w:lang w:val="es-ES_tradnl" w:eastAsia="es-ES_tradnl"/>
        </w:rPr>
        <w:t xml:space="preserve">) deber de las entidades estatales exceptuadas del Estatuto General de Contratación de la Administración Pública de publicar los documentos relacionados con su actividad contractual en el SECOP II, previsto en el artículo 53 de la Ley 2195 de 2022; ii) </w:t>
      </w:r>
      <w:r w:rsidRPr="00D91E11">
        <w:rPr>
          <w:rFonts w:ascii="Arial" w:eastAsia="Calibri" w:hAnsi="Arial" w:cs="Arial"/>
          <w:lang w:val="es-ES_tradnl" w:eastAsia="es-ES_tradnl"/>
        </w:rPr>
        <w:t xml:space="preserve">uso del SECOP II por las entidades con </w:t>
      </w:r>
      <w:r w:rsidRPr="00D91E11">
        <w:rPr>
          <w:rFonts w:ascii="Arial" w:eastAsia="Times New Roman" w:hAnsi="Arial" w:cs="Arial"/>
          <w:iCs/>
          <w:lang w:val="es-ES_tradnl" w:eastAsia="es-ES_tradnl"/>
        </w:rPr>
        <w:t>exceptuadas del Estatuto General de Contratación de la Administración Pública</w:t>
      </w:r>
      <w:r>
        <w:rPr>
          <w:rFonts w:ascii="Arial" w:eastAsia="Times New Roman" w:hAnsi="Arial" w:cs="Arial"/>
          <w:iCs/>
          <w:lang w:val="es-ES_tradnl" w:eastAsia="es-ES_tradnl"/>
        </w:rPr>
        <w:t>;</w:t>
      </w:r>
      <w:r w:rsidRPr="00D91E11">
        <w:rPr>
          <w:rFonts w:ascii="Arial" w:eastAsia="Times New Roman" w:hAnsi="Arial" w:cs="Arial"/>
          <w:iCs/>
          <w:lang w:val="es-ES_tradnl" w:eastAsia="es-ES_tradnl"/>
        </w:rPr>
        <w:t xml:space="preserve"> y iii) análisis de la aplicación del artículo 53 de la Ley 2195 de 2022 a </w:t>
      </w:r>
      <w:r w:rsidR="00C56E37" w:rsidRPr="005678D0">
        <w:rPr>
          <w:rFonts w:ascii="Arial" w:hAnsi="Arial" w:cs="Arial"/>
        </w:rPr>
        <w:t>las asociaciones y fundaciones</w:t>
      </w:r>
      <w:r w:rsidR="00AA5734" w:rsidRPr="005678D0">
        <w:rPr>
          <w:rFonts w:ascii="Arial" w:hAnsi="Arial" w:cs="Arial"/>
        </w:rPr>
        <w:t xml:space="preserve"> mixtas. </w:t>
      </w:r>
    </w:p>
    <w:p w14:paraId="22C58C2E" w14:textId="7FBA1B7A" w:rsidR="00E84015" w:rsidRDefault="008D04D0" w:rsidP="009921CF">
      <w:pPr>
        <w:spacing w:before="120" w:after="0" w:line="276" w:lineRule="auto"/>
        <w:ind w:firstLine="709"/>
        <w:jc w:val="both"/>
        <w:rPr>
          <w:rFonts w:ascii="Arial" w:eastAsia="Calibri" w:hAnsi="Arial" w:cs="Arial"/>
          <w:lang w:val="es-ES_tradnl"/>
        </w:rPr>
      </w:pPr>
      <w:r>
        <w:rPr>
          <w:rFonts w:ascii="Arial" w:eastAsia="Times New Roman" w:hAnsi="Arial" w:cs="Arial"/>
          <w:lang w:val="es-ES_tradnl" w:eastAsia="es-ES_tradnl"/>
        </w:rPr>
        <w:t>Esta Agencia</w:t>
      </w:r>
      <w:r w:rsidR="00E84015" w:rsidRPr="00E84015">
        <w:rPr>
          <w:rFonts w:ascii="Arial" w:eastAsia="Times New Roman" w:hAnsi="Arial" w:cs="Arial"/>
          <w:lang w:val="es-ES_tradnl" w:eastAsia="es-ES_tradnl"/>
        </w:rPr>
        <w:t xml:space="preserve"> </w:t>
      </w:r>
      <w:r w:rsidR="00E84015" w:rsidRPr="00E84015">
        <w:rPr>
          <w:rFonts w:ascii="Arial" w:eastAsia="Times New Roman" w:hAnsi="Arial" w:cs="Arial"/>
          <w:lang w:eastAsia="es-ES_tradnl"/>
        </w:rPr>
        <w:t xml:space="preserve">se ha pronunciado en múltiples ocasiones sobre los principios de publicidad y de acceso a la información pública en la contratación estatal, y sobre </w:t>
      </w:r>
      <w:r w:rsidR="00E84015" w:rsidRPr="00E84015">
        <w:rPr>
          <w:rFonts w:ascii="Arial" w:eastAsia="Calibri" w:hAnsi="Arial" w:cs="Arial"/>
          <w:lang w:val="es-ES" w:eastAsia="es-ES_tradnl"/>
        </w:rPr>
        <w:t xml:space="preserve">los fundamentos normativos del deber de publicar la documentación contractual en las plataformas SECOP I y SECOP II, </w:t>
      </w:r>
      <w:r w:rsidRPr="00517690">
        <w:rPr>
          <w:rFonts w:ascii="Arial" w:eastAsia="Calibri" w:hAnsi="Arial" w:cs="Arial"/>
          <w:lang w:val="es-ES" w:eastAsia="es-ES_tradnl"/>
        </w:rPr>
        <w:t xml:space="preserve">en conceptos como el </w:t>
      </w:r>
      <w:r w:rsidRPr="00517690">
        <w:rPr>
          <w:rFonts w:ascii="Arial" w:eastAsia="Times New Roman" w:hAnsi="Arial" w:cs="Arial"/>
          <w:lang w:eastAsia="es-ES_tradnl"/>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y C-379 del 22 de junio de 2022</w:t>
      </w:r>
      <w:r w:rsidRPr="00517690">
        <w:rPr>
          <w:rFonts w:ascii="Arial" w:eastAsia="Times New Roman" w:hAnsi="Arial" w:cs="Arial"/>
          <w:lang w:val="es-ES_tradnl" w:eastAsia="es-ES_tradnl"/>
        </w:rPr>
        <w:t>.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w:t>
      </w:r>
      <w:r>
        <w:rPr>
          <w:rFonts w:ascii="Arial" w:eastAsia="Times New Roman" w:hAnsi="Arial" w:cs="Arial"/>
          <w:lang w:val="es-ES_tradnl" w:eastAsia="es-ES_tradnl"/>
        </w:rPr>
        <w:t>,</w:t>
      </w:r>
      <w:r w:rsidRPr="00517690">
        <w:rPr>
          <w:rFonts w:ascii="Arial" w:eastAsia="Times New Roman" w:hAnsi="Arial" w:cs="Arial"/>
          <w:lang w:val="es-ES_tradnl" w:eastAsia="es-ES_tradnl"/>
        </w:rPr>
        <w:t xml:space="preserve"> C-510 del 8 de agosto de 2022</w:t>
      </w:r>
      <w:r>
        <w:rPr>
          <w:rFonts w:ascii="Arial" w:eastAsia="Times New Roman" w:hAnsi="Arial" w:cs="Arial"/>
          <w:lang w:val="es-ES_tradnl" w:eastAsia="es-ES_tradnl"/>
        </w:rPr>
        <w:t xml:space="preserve"> y C-508 del 30 de agosto de 2022</w:t>
      </w:r>
      <w:r w:rsidRPr="00517690">
        <w:rPr>
          <w:rFonts w:ascii="Arial" w:eastAsia="Times New Roman" w:hAnsi="Arial" w:cs="Arial"/>
          <w:lang w:val="es-ES_tradnl" w:eastAsia="es-ES_tradnl"/>
        </w:rPr>
        <w:t xml:space="preserve">. </w:t>
      </w:r>
      <w:r w:rsidR="00E84015" w:rsidRPr="005678D0">
        <w:rPr>
          <w:rFonts w:ascii="Arial" w:eastAsia="Calibri" w:hAnsi="Arial" w:cs="Arial"/>
        </w:rPr>
        <w:t>De igual forma se ha pronunciado sobre el artículo 96 de la Ley 489 de 1998, convenios de asociación y la constitución de asociaciones o fundaciones, entre otros, en los conceptos C-723 del 09 de diciembre de 2020, C-724 de 14 de diciembre de 2020, C-749 del 23 de diciembre de 2020, C-758 del 04 de enero de 2021, C-806 de 8 de febrero de 2021, C-379 de 26 de julio de 2021, C-486 del 13 de septiembre de 2021, C-102 de 2022.</w:t>
      </w:r>
      <w:r w:rsidR="00E84015" w:rsidRPr="005678D0">
        <w:rPr>
          <w:rFonts w:ascii="Arial" w:eastAsia="Calibri" w:hAnsi="Arial" w:cs="Arial"/>
          <w:lang w:val="es-ES"/>
        </w:rPr>
        <w:t xml:space="preserve"> </w:t>
      </w:r>
      <w:r w:rsidR="00415F4E" w:rsidRPr="00517690">
        <w:rPr>
          <w:rFonts w:ascii="Arial" w:eastAsia="Times New Roman" w:hAnsi="Arial" w:cs="Arial"/>
          <w:lang w:val="es-ES_tradnl" w:eastAsia="es-ES_tradnl"/>
        </w:rPr>
        <w:t>Las ideas expuestas en dichas oportunidades se reiteran a continuación y se complementan en lo pertinente.</w:t>
      </w:r>
    </w:p>
    <w:p w14:paraId="03313AB3" w14:textId="77777777" w:rsidR="009921CF" w:rsidRPr="00B95158" w:rsidRDefault="009921CF" w:rsidP="000F09FC">
      <w:pPr>
        <w:spacing w:after="0" w:line="276" w:lineRule="auto"/>
        <w:ind w:firstLine="709"/>
        <w:contextualSpacing/>
        <w:jc w:val="both"/>
        <w:rPr>
          <w:rFonts w:ascii="Arial" w:eastAsia="Calibri" w:hAnsi="Arial" w:cs="Arial"/>
          <w:lang w:val="es-ES"/>
        </w:rPr>
      </w:pPr>
    </w:p>
    <w:p w14:paraId="4F173C9F" w14:textId="77777777" w:rsidR="004D46CC" w:rsidRPr="00B95158" w:rsidRDefault="004D46CC" w:rsidP="000F09FC">
      <w:pPr>
        <w:spacing w:after="0" w:line="276" w:lineRule="auto"/>
        <w:contextualSpacing/>
        <w:jc w:val="both"/>
        <w:rPr>
          <w:rFonts w:ascii="Arial" w:hAnsi="Arial" w:cs="Arial"/>
          <w:b/>
          <w:bCs/>
          <w:iCs/>
          <w:lang w:val="es-ES_tradnl"/>
        </w:rPr>
      </w:pPr>
      <w:r w:rsidRPr="00B95158">
        <w:rPr>
          <w:rFonts w:ascii="Arial" w:eastAsia="Times New Roman" w:hAnsi="Arial" w:cs="Arial"/>
          <w:b/>
          <w:bCs/>
          <w:iCs/>
          <w:lang w:val="es-ES_tradnl" w:eastAsia="es-ES_tradnl"/>
        </w:rPr>
        <w:t xml:space="preserve">2.1. Deber de las entidades estatales, exceptuadas del Estatuto General de Contratación de la Administración Pública, de publicar los documentos relacionados con su actividad contractual en el SECOP II. </w:t>
      </w:r>
      <w:r w:rsidRPr="00B95158">
        <w:rPr>
          <w:rFonts w:ascii="Arial" w:hAnsi="Arial" w:cs="Arial"/>
          <w:b/>
          <w:bCs/>
          <w:iCs/>
          <w:lang w:val="es-ES_tradnl"/>
        </w:rPr>
        <w:t>Modificación introducida por el artículo 53 de la Ley 2195 de 2022</w:t>
      </w:r>
    </w:p>
    <w:p w14:paraId="09C14F98" w14:textId="77777777" w:rsidR="00E84015" w:rsidRPr="00B95158" w:rsidRDefault="00E84015" w:rsidP="000F09FC">
      <w:pPr>
        <w:spacing w:after="0" w:line="276" w:lineRule="auto"/>
        <w:contextualSpacing/>
        <w:jc w:val="both"/>
        <w:rPr>
          <w:rFonts w:ascii="Arial" w:eastAsia="Calibri" w:hAnsi="Arial" w:cs="Arial"/>
          <w:lang w:val="es-ES_tradnl" w:eastAsia="es-ES_tradnl"/>
        </w:rPr>
      </w:pPr>
    </w:p>
    <w:p w14:paraId="58173AE1" w14:textId="77777777" w:rsidR="00E84015" w:rsidRPr="00B95158" w:rsidRDefault="00E84015" w:rsidP="000F09FC">
      <w:pPr>
        <w:spacing w:after="120" w:line="276" w:lineRule="auto"/>
        <w:jc w:val="both"/>
        <w:rPr>
          <w:rFonts w:ascii="Arial" w:eastAsia="Times New Roman" w:hAnsi="Arial" w:cs="Arial"/>
          <w:lang w:eastAsia="es-CO"/>
        </w:rPr>
      </w:pPr>
      <w:bookmarkStart w:id="4" w:name="_Hlk109055109"/>
      <w:bookmarkStart w:id="5" w:name="_Hlk109111865"/>
      <w:bookmarkStart w:id="6" w:name="_Hlk112856002"/>
      <w:r w:rsidRPr="00B95158">
        <w:rPr>
          <w:rFonts w:ascii="Arial" w:eastAsia="Times New Roman" w:hAnsi="Arial" w:cs="Arial"/>
          <w:lang w:eastAsia="es-CO"/>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B95158">
        <w:rPr>
          <w:rFonts w:ascii="Arial" w:eastAsia="Times New Roman" w:hAnsi="Arial" w:cs="Arial"/>
          <w:vertAlign w:val="superscript"/>
          <w:lang w:eastAsia="es-CO"/>
        </w:rPr>
        <w:footnoteReference w:id="1"/>
      </w:r>
      <w:r w:rsidRPr="00B95158">
        <w:rPr>
          <w:rFonts w:ascii="Arial" w:eastAsia="Times New Roman" w:hAnsi="Arial" w:cs="Arial"/>
          <w:lang w:eastAsia="es-CO"/>
        </w:rPr>
        <w:t>. El principio de transparencia en la información alude al deber de los sujetos de proporcionar y facilitar el acceso a la misma en los términos más amplios posibles, a través de los medios y procedimientos que establezca la</w:t>
      </w:r>
      <w:r w:rsidRPr="00B95158">
        <w:rPr>
          <w:rFonts w:ascii="Arial" w:eastAsia="Times New Roman" w:hAnsi="Arial" w:cs="Arial"/>
          <w:spacing w:val="-2"/>
          <w:lang w:eastAsia="es-CO"/>
        </w:rPr>
        <w:t xml:space="preserve"> </w:t>
      </w:r>
      <w:r w:rsidRPr="00B95158">
        <w:rPr>
          <w:rFonts w:ascii="Arial" w:eastAsia="Times New Roman" w:hAnsi="Arial" w:cs="Arial"/>
          <w:lang w:eastAsia="es-CO"/>
        </w:rPr>
        <w:t>ley</w:t>
      </w:r>
      <w:r w:rsidRPr="00B95158">
        <w:rPr>
          <w:rFonts w:ascii="Arial" w:eastAsia="Times New Roman" w:hAnsi="Arial" w:cs="Arial"/>
          <w:vertAlign w:val="superscript"/>
          <w:lang w:eastAsia="es-CO"/>
        </w:rPr>
        <w:footnoteReference w:id="2"/>
      </w:r>
      <w:r w:rsidRPr="00B95158">
        <w:rPr>
          <w:rFonts w:ascii="Arial" w:eastAsia="Times New Roman" w:hAnsi="Arial" w:cs="Arial"/>
          <w:lang w:eastAsia="es-CO"/>
        </w:rPr>
        <w:t>. Y el principio de buena fe hace referencia al deber de todo sujeto obligado de cumplir con las obligaciones derivadas del derecho de acceso a la información pública con motivación honesta, leal y desprovista de cualquier intención dolosa o culposa</w:t>
      </w:r>
      <w:bookmarkEnd w:id="4"/>
      <w:r w:rsidRPr="00B95158">
        <w:rPr>
          <w:rFonts w:ascii="Arial" w:eastAsia="Times New Roman" w:hAnsi="Arial" w:cs="Arial"/>
          <w:vertAlign w:val="superscript"/>
          <w:lang w:eastAsia="es-CO"/>
        </w:rPr>
        <w:footnoteReference w:id="3"/>
      </w:r>
      <w:r w:rsidRPr="00B95158">
        <w:rPr>
          <w:rFonts w:ascii="Arial" w:eastAsia="Times New Roman" w:hAnsi="Arial" w:cs="Arial"/>
          <w:lang w:eastAsia="es-CO"/>
        </w:rPr>
        <w:t xml:space="preserve">. </w:t>
      </w:r>
    </w:p>
    <w:p w14:paraId="0E3AC094" w14:textId="77777777" w:rsidR="00E84015" w:rsidRPr="00B95158" w:rsidRDefault="00E84015" w:rsidP="000F09FC">
      <w:pPr>
        <w:spacing w:after="120" w:line="276" w:lineRule="auto"/>
        <w:ind w:firstLine="708"/>
        <w:jc w:val="both"/>
        <w:rPr>
          <w:rFonts w:ascii="Arial" w:eastAsia="Times New Roman" w:hAnsi="Arial" w:cs="Arial"/>
          <w:lang w:eastAsia="es-CO"/>
        </w:rPr>
      </w:pPr>
      <w:r w:rsidRPr="00B95158">
        <w:rPr>
          <w:rFonts w:ascii="Arial" w:eastAsia="Times New Roman" w:hAnsi="Arial" w:cs="Arial"/>
          <w:lang w:eastAsia="es-CO"/>
        </w:rPr>
        <w:t xml:space="preserve">La citada Ley establece, </w:t>
      </w:r>
      <w:bookmarkStart w:id="8" w:name="_Hlk112225357"/>
      <w:r w:rsidRPr="00B95158">
        <w:rPr>
          <w:rFonts w:ascii="Arial" w:eastAsia="Times New Roman" w:hAnsi="Arial" w:cs="Arial"/>
          <w:lang w:eastAsia="es-CO"/>
        </w:rPr>
        <w:t xml:space="preserve">en el literal e) del artículo 9, que los </w:t>
      </w:r>
      <w:r w:rsidRPr="00B95158">
        <w:rPr>
          <w:rFonts w:ascii="Arial" w:eastAsia="Times New Roman" w:hAnsi="Arial" w:cs="Arial"/>
          <w:i/>
          <w:iCs/>
          <w:lang w:eastAsia="es-CO"/>
        </w:rPr>
        <w:t xml:space="preserve">sujetos obligados </w:t>
      </w:r>
      <w:r w:rsidRPr="00B95158">
        <w:rPr>
          <w:rFonts w:ascii="Arial" w:eastAsia="Times New Roman" w:hAnsi="Arial" w:cs="Arial"/>
          <w:lang w:eastAsia="es-CO"/>
        </w:rPr>
        <w:t xml:space="preserve">deben publicar la información relativa a su contratación. </w:t>
      </w:r>
      <w:r w:rsidRPr="00B95158">
        <w:rPr>
          <w:rFonts w:ascii="Arial" w:eastAsia="Arial MT" w:hAnsi="Arial" w:cs="Arial"/>
          <w:lang w:val="es-ES"/>
        </w:rPr>
        <w:t xml:space="preserve">El artículo 5 </w:t>
      </w:r>
      <w:r w:rsidRPr="00B95158">
        <w:rPr>
          <w:rFonts w:ascii="Arial" w:eastAsia="Arial MT" w:hAnsi="Arial" w:cs="Arial"/>
          <w:i/>
          <w:iCs/>
          <w:lang w:val="es-ES"/>
        </w:rPr>
        <w:t>ibidem</w:t>
      </w:r>
      <w:r w:rsidRPr="00B95158">
        <w:rPr>
          <w:rFonts w:ascii="Arial" w:eastAsia="Arial MT" w:hAnsi="Arial" w:cs="Arial"/>
          <w:lang w:val="es-ES"/>
        </w:rPr>
        <w:t>,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bookmarkEnd w:id="5"/>
      <w:bookmarkEnd w:id="8"/>
      <w:r w:rsidRPr="00B95158">
        <w:rPr>
          <w:rFonts w:ascii="Arial" w:eastAsia="Times New Roman" w:hAnsi="Arial" w:cs="Arial"/>
          <w:vertAlign w:val="superscript"/>
          <w:lang w:eastAsia="es-CO"/>
        </w:rPr>
        <w:footnoteReference w:id="4"/>
      </w:r>
      <w:r w:rsidRPr="00B95158">
        <w:rPr>
          <w:rFonts w:ascii="Arial" w:eastAsia="Arial MT" w:hAnsi="Arial" w:cs="Arial"/>
          <w:lang w:val="es-ES"/>
        </w:rPr>
        <w:t>.</w:t>
      </w:r>
      <w:r w:rsidRPr="00B95158">
        <w:rPr>
          <w:rFonts w:ascii="Arial" w:eastAsia="Times New Roman" w:hAnsi="Arial" w:cs="Arial"/>
          <w:lang w:eastAsia="es-CO"/>
        </w:rPr>
        <w:t xml:space="preserve"> </w:t>
      </w:r>
    </w:p>
    <w:bookmarkEnd w:id="6"/>
    <w:p w14:paraId="7EFAA463" w14:textId="77777777" w:rsidR="00E84015" w:rsidRPr="00B95158" w:rsidRDefault="00E84015" w:rsidP="000F09FC">
      <w:pPr>
        <w:spacing w:before="2" w:after="120" w:line="276" w:lineRule="auto"/>
        <w:ind w:firstLine="709"/>
        <w:jc w:val="both"/>
        <w:rPr>
          <w:rFonts w:ascii="Arial" w:eastAsia="Times New Roman" w:hAnsi="Arial" w:cs="Arial"/>
          <w:lang w:eastAsia="es-CO"/>
        </w:rPr>
      </w:pPr>
      <w:r w:rsidRPr="00B95158">
        <w:rPr>
          <w:rFonts w:ascii="Arial" w:eastAsia="Times New Roman" w:hAnsi="Arial" w:cs="Arial"/>
          <w:lang w:eastAsia="es-CO"/>
        </w:rPr>
        <w:t>La anterior obligación fue desarrollada por el artículo 2.1.1.2.1.7. del Decreto Único Reglamentario 1081 de 2015</w:t>
      </w:r>
      <w:r w:rsidRPr="00B95158">
        <w:rPr>
          <w:rFonts w:ascii="Arial" w:eastAsia="Times New Roman" w:hAnsi="Arial" w:cs="Arial"/>
          <w:vertAlign w:val="superscript"/>
          <w:lang w:eastAsia="es-CO"/>
        </w:rPr>
        <w:footnoteReference w:id="5"/>
      </w:r>
      <w:r w:rsidRPr="00B95158">
        <w:rPr>
          <w:rFonts w:ascii="Arial" w:eastAsia="Times New Roman" w:hAnsi="Arial" w:cs="Arial"/>
          <w:lang w:eastAsia="es-CO"/>
        </w:rPr>
        <w:t>, el cual dispone que la publicación de la información contractual de los sujetos obligados,</w:t>
      </w:r>
      <w:r w:rsidRPr="00B95158">
        <w:rPr>
          <w:rFonts w:ascii="Arial" w:eastAsia="Times New Roman" w:hAnsi="Arial" w:cs="Arial"/>
          <w:spacing w:val="3"/>
          <w:lang w:eastAsia="es-CO"/>
        </w:rPr>
        <w:t xml:space="preserve"> </w:t>
      </w:r>
      <w:r w:rsidRPr="00B95158">
        <w:rPr>
          <w:rFonts w:ascii="Arial" w:eastAsia="Times New Roman" w:hAnsi="Arial" w:cs="Arial"/>
          <w:lang w:eastAsia="es-CO"/>
        </w:rPr>
        <w:t xml:space="preserve">que contratan con cargo a recursos públicos, debe hacerse en el Sistema Electrónico de Contratación Pública ─ SECOP. </w:t>
      </w:r>
    </w:p>
    <w:p w14:paraId="708153C3" w14:textId="77777777" w:rsidR="00E84015" w:rsidRPr="00B95158" w:rsidRDefault="00E84015" w:rsidP="000F09FC">
      <w:pPr>
        <w:spacing w:after="120" w:line="276" w:lineRule="auto"/>
        <w:ind w:firstLine="709"/>
        <w:jc w:val="both"/>
        <w:rPr>
          <w:rFonts w:ascii="Arial" w:eastAsia="Times New Roman" w:hAnsi="Arial" w:cs="Arial"/>
          <w:lang w:eastAsia="es-CO"/>
        </w:rPr>
      </w:pPr>
      <w:r w:rsidRPr="00B95158">
        <w:rPr>
          <w:rFonts w:ascii="Arial" w:eastAsia="Times New Roman" w:hAnsi="Arial" w:cs="Arial"/>
          <w:lang w:eastAsia="es-CO"/>
        </w:rPr>
        <w:t>Asimismo, de acuerdo con el literal g) del artículo 11 de la misma Ley, todos los destinatarios de la llamada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Además de lo anterior, es indispensable precisar que el artículo 3 de la Ley 1150 de 2007 ya había establecido que el Sistema Electrónico para la Contratación Pública – SECOP «Contará con la información oficial de la contratación realizada con dineros públicos»</w:t>
      </w:r>
      <w:r w:rsidRPr="00B95158">
        <w:rPr>
          <w:rFonts w:ascii="Arial" w:eastAsia="Times New Roman" w:hAnsi="Arial" w:cs="Arial"/>
          <w:vertAlign w:val="superscript"/>
          <w:lang w:eastAsia="es-CO"/>
        </w:rPr>
        <w:footnoteReference w:id="6"/>
      </w:r>
      <w:r w:rsidRPr="00B95158">
        <w:rPr>
          <w:rFonts w:ascii="Arial" w:eastAsia="Times New Roman" w:hAnsi="Arial" w:cs="Arial"/>
          <w:lang w:eastAsia="es-CO"/>
        </w:rPr>
        <w:t>.</w:t>
      </w:r>
    </w:p>
    <w:p w14:paraId="2C774BF7" w14:textId="77777777" w:rsidR="00E84015" w:rsidRPr="00B95158" w:rsidRDefault="00E84015" w:rsidP="00AB6754">
      <w:pPr>
        <w:spacing w:after="0" w:line="276" w:lineRule="auto"/>
        <w:ind w:firstLine="709"/>
        <w:contextualSpacing/>
        <w:jc w:val="both"/>
        <w:rPr>
          <w:rFonts w:ascii="Arial" w:hAnsi="Arial" w:cs="Arial"/>
        </w:rPr>
      </w:pPr>
      <w:bookmarkStart w:id="9" w:name="_Hlk109111930"/>
      <w:r w:rsidRPr="00B95158">
        <w:rPr>
          <w:rFonts w:ascii="Arial" w:hAnsi="Arial" w:cs="Arial"/>
        </w:rPr>
        <w:t xml:space="preserve">Las anteriores disposiciones normativas fueron complementadas con la expedición de </w:t>
      </w:r>
      <w:bookmarkStart w:id="10" w:name="_Hlk112856043"/>
      <w:r w:rsidRPr="00B95158">
        <w:rPr>
          <w:rFonts w:ascii="Arial" w:hAnsi="Arial" w:cs="Arial"/>
        </w:rPr>
        <w:t xml:space="preserve">la Ley </w:t>
      </w:r>
      <w:bookmarkStart w:id="11" w:name="_Hlk112245356"/>
      <w:r w:rsidRPr="00B95158">
        <w:rPr>
          <w:rFonts w:ascii="Arial" w:hAnsi="Arial" w:cs="Arial"/>
        </w:rPr>
        <w:t xml:space="preserve">2195 de 2022, por medio de la cual se adoptan medidas en materia de transparencia, prevención y lucha contra la corrupción. </w:t>
      </w:r>
      <w:r w:rsidRPr="00B95158">
        <w:rPr>
          <w:rFonts w:ascii="Arial" w:eastAsia="Calibri" w:hAnsi="Arial" w:cs="Arial"/>
          <w:lang w:val="es-ES_tradnl" w:eastAsia="es-ES_tradnl"/>
        </w:rPr>
        <w:t>Según el artículo 1, esta Ley «</w:t>
      </w:r>
      <w:r w:rsidRPr="00B95158">
        <w:rPr>
          <w:rFonts w:ascii="Arial" w:eastAsia="Times New Roman" w:hAnsi="Arial" w:cs="Arial"/>
          <w:lang w:val="es-ES_tradnl" w:eastAsia="es-ES_tradnl"/>
        </w:rPr>
        <w:t xml:space="preserve">[…] </w:t>
      </w:r>
      <w:r w:rsidRPr="00B95158">
        <w:rPr>
          <w:rFonts w:ascii="Arial" w:eastAsia="Calibri" w:hAnsi="Arial"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Ley en mención, que lleva por título «Disposiciones en materia contractual para la moralización y la transparencia», se ubica </w:t>
      </w:r>
      <w:r w:rsidRPr="00B95158">
        <w:rPr>
          <w:rFonts w:ascii="Arial" w:hAnsi="Arial" w:cs="Arial"/>
        </w:rPr>
        <w:t xml:space="preserve">el artículo 53, a través del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 </w:t>
      </w:r>
      <w:bookmarkEnd w:id="9"/>
      <w:bookmarkEnd w:id="11"/>
      <w:bookmarkEnd w:id="10"/>
      <w:r w:rsidRPr="00B95158">
        <w:rPr>
          <w:rFonts w:ascii="Arial" w:hAnsi="Arial" w:cs="Arial"/>
        </w:rPr>
        <w:t>Al respecto, la norma citada de manera expresa señala:</w:t>
      </w:r>
    </w:p>
    <w:p w14:paraId="77A9FA66" w14:textId="77777777" w:rsidR="00E84015" w:rsidRPr="00B95158" w:rsidRDefault="00E84015" w:rsidP="00AB6754">
      <w:pPr>
        <w:spacing w:after="0" w:line="276" w:lineRule="auto"/>
        <w:ind w:firstLine="301"/>
        <w:contextualSpacing/>
        <w:rPr>
          <w:rFonts w:ascii="Arial" w:hAnsi="Arial" w:cs="Arial"/>
        </w:rPr>
      </w:pPr>
    </w:p>
    <w:p w14:paraId="4EF819AF" w14:textId="77777777" w:rsidR="00E84015" w:rsidRPr="00B95158" w:rsidRDefault="00E84015" w:rsidP="000F09FC">
      <w:pPr>
        <w:spacing w:after="0" w:line="240" w:lineRule="auto"/>
        <w:ind w:left="709" w:right="709"/>
        <w:contextualSpacing/>
        <w:jc w:val="both"/>
        <w:rPr>
          <w:rFonts w:ascii="Arial" w:eastAsia="Calibri" w:hAnsi="Arial" w:cs="Arial"/>
          <w:sz w:val="21"/>
          <w:szCs w:val="21"/>
        </w:rPr>
      </w:pPr>
      <w:r w:rsidRPr="00B95158">
        <w:rPr>
          <w:rFonts w:ascii="Arial" w:eastAsia="Calibri" w:hAnsi="Arial" w:cs="Arial"/>
          <w:sz w:val="21"/>
          <w:szCs w:val="21"/>
        </w:rPr>
        <w:t>Adiciónese los siguientes incisos al artículo 13 de la Ley 1150 de 2007, el cual quedará así:</w:t>
      </w:r>
    </w:p>
    <w:p w14:paraId="1EFE2784" w14:textId="77777777" w:rsidR="00E84015" w:rsidRPr="00B95158" w:rsidRDefault="00E84015" w:rsidP="000F09FC">
      <w:pPr>
        <w:spacing w:after="0" w:line="240" w:lineRule="auto"/>
        <w:ind w:left="709" w:right="709"/>
        <w:contextualSpacing/>
        <w:jc w:val="both"/>
        <w:rPr>
          <w:rFonts w:ascii="Arial" w:eastAsia="Calibri" w:hAnsi="Arial" w:cs="Arial"/>
          <w:sz w:val="21"/>
          <w:szCs w:val="21"/>
        </w:rPr>
      </w:pPr>
    </w:p>
    <w:p w14:paraId="173EBDBC" w14:textId="77777777" w:rsidR="00E84015" w:rsidRPr="00B95158" w:rsidRDefault="00E84015" w:rsidP="000F09FC">
      <w:pPr>
        <w:spacing w:after="0" w:line="240" w:lineRule="auto"/>
        <w:ind w:left="709" w:right="709"/>
        <w:contextualSpacing/>
        <w:jc w:val="both"/>
        <w:rPr>
          <w:rFonts w:ascii="Arial" w:eastAsia="Calibri" w:hAnsi="Arial" w:cs="Arial"/>
          <w:sz w:val="21"/>
          <w:szCs w:val="21"/>
        </w:rPr>
      </w:pPr>
      <w:r w:rsidRPr="00B95158">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5D019369" w14:textId="77777777" w:rsidR="00E84015" w:rsidRPr="00B95158" w:rsidRDefault="00E84015" w:rsidP="000F09FC">
      <w:pPr>
        <w:spacing w:after="0" w:line="240" w:lineRule="auto"/>
        <w:ind w:left="709" w:right="709"/>
        <w:contextualSpacing/>
        <w:jc w:val="both"/>
        <w:rPr>
          <w:rFonts w:ascii="Arial" w:eastAsia="Calibri" w:hAnsi="Arial" w:cs="Arial"/>
          <w:sz w:val="21"/>
          <w:szCs w:val="21"/>
        </w:rPr>
      </w:pPr>
    </w:p>
    <w:p w14:paraId="2081133D" w14:textId="77777777" w:rsidR="00E84015" w:rsidRPr="00B95158" w:rsidRDefault="00E84015" w:rsidP="000F09FC">
      <w:pPr>
        <w:spacing w:after="0" w:line="240" w:lineRule="auto"/>
        <w:ind w:left="709" w:right="709"/>
        <w:contextualSpacing/>
        <w:jc w:val="both"/>
        <w:rPr>
          <w:rFonts w:ascii="Arial" w:eastAsia="Calibri" w:hAnsi="Arial" w:cs="Arial"/>
          <w:i/>
          <w:iCs/>
          <w:sz w:val="21"/>
          <w:szCs w:val="21"/>
        </w:rPr>
      </w:pPr>
      <w:r w:rsidRPr="00B95158">
        <w:rPr>
          <w:rFonts w:ascii="Arial" w:eastAsia="Calibri" w:hAnsi="Arial" w:cs="Arial"/>
          <w:i/>
          <w:iCs/>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12CBDAD0" w14:textId="77777777" w:rsidR="00E84015" w:rsidRPr="00B95158" w:rsidRDefault="00E84015" w:rsidP="000F09FC">
      <w:pPr>
        <w:spacing w:after="0" w:line="240" w:lineRule="auto"/>
        <w:ind w:left="709" w:right="709"/>
        <w:contextualSpacing/>
        <w:jc w:val="both"/>
        <w:rPr>
          <w:rFonts w:ascii="Arial" w:eastAsia="Calibri" w:hAnsi="Arial" w:cs="Arial"/>
          <w:sz w:val="21"/>
          <w:szCs w:val="21"/>
        </w:rPr>
      </w:pPr>
    </w:p>
    <w:p w14:paraId="31961443" w14:textId="77777777" w:rsidR="00E84015" w:rsidRPr="00B95158" w:rsidRDefault="00E84015" w:rsidP="000F09FC">
      <w:pPr>
        <w:spacing w:after="0" w:line="240" w:lineRule="auto"/>
        <w:ind w:left="709" w:right="709"/>
        <w:contextualSpacing/>
        <w:jc w:val="both"/>
        <w:rPr>
          <w:rFonts w:ascii="Arial" w:eastAsia="Calibri" w:hAnsi="Arial" w:cs="Arial"/>
          <w:sz w:val="21"/>
          <w:szCs w:val="21"/>
        </w:rPr>
      </w:pPr>
      <w:r w:rsidRPr="00B95158">
        <w:rPr>
          <w:rFonts w:ascii="Arial" w:eastAsia="Calibri" w:hAnsi="Arial" w:cs="Arial"/>
          <w:sz w:val="21"/>
          <w:szCs w:val="21"/>
        </w:rPr>
        <w:t>A partir de la entrada en vigencia de la presente Ley, se establecerá un periodo de transición de seis (6) meses, para que las entidades den cumplimiento efectivo a lo aquí establecido. (Cursiva fuera del original).</w:t>
      </w:r>
    </w:p>
    <w:p w14:paraId="659418BE" w14:textId="77777777" w:rsidR="00E84015" w:rsidRPr="00B95158" w:rsidRDefault="00E84015" w:rsidP="00AB6754">
      <w:pPr>
        <w:spacing w:after="0" w:line="276" w:lineRule="auto"/>
        <w:ind w:firstLine="709"/>
        <w:contextualSpacing/>
        <w:jc w:val="both"/>
        <w:rPr>
          <w:rFonts w:ascii="Arial" w:eastAsia="Calibri" w:hAnsi="Arial" w:cs="Arial"/>
          <w:lang w:val="es-ES_tradnl"/>
        </w:rPr>
      </w:pPr>
    </w:p>
    <w:p w14:paraId="7D861905" w14:textId="2B78C143" w:rsidR="00E84015" w:rsidRPr="00B95158" w:rsidRDefault="00E84015" w:rsidP="000F09FC">
      <w:pPr>
        <w:spacing w:after="120" w:line="276" w:lineRule="auto"/>
        <w:ind w:firstLine="709"/>
        <w:jc w:val="both"/>
        <w:rPr>
          <w:rFonts w:ascii="Arial" w:eastAsia="Calibri" w:hAnsi="Arial" w:cs="Arial"/>
          <w:lang w:val="es-ES_tradnl" w:eastAsia="es-ES_tradnl"/>
        </w:rPr>
      </w:pPr>
      <w:r w:rsidRPr="00B95158">
        <w:rPr>
          <w:rFonts w:ascii="Arial" w:eastAsia="Calibri" w:hAnsi="Arial" w:cs="Arial"/>
          <w:lang w:val="es-ES_tradnl"/>
        </w:rPr>
        <w:t xml:space="preserve">Cabe destacar que cuando la norma trascrita hace referencia a que el mencionado deber de publicidad debe cumplirse en el SECOP II o </w:t>
      </w:r>
      <w:r w:rsidRPr="00B95158">
        <w:rPr>
          <w:rFonts w:ascii="Arial" w:hAnsi="Arial" w:cs="Arial"/>
        </w:rPr>
        <w:t>«</w:t>
      </w:r>
      <w:r w:rsidRPr="00B95158">
        <w:rPr>
          <w:rFonts w:ascii="Arial" w:eastAsia="Calibri" w:hAnsi="Arial" w:cs="Arial"/>
          <w:lang w:val="es-ES_tradnl"/>
        </w:rPr>
        <w:t>la plataforma transaccional que haga sus veces</w:t>
      </w:r>
      <w:r w:rsidRPr="00B95158">
        <w:rPr>
          <w:rFonts w:ascii="Arial" w:hAnsi="Arial" w:cs="Arial"/>
        </w:rPr>
        <w:t>»</w:t>
      </w:r>
      <w:r w:rsidRPr="00B95158">
        <w:rPr>
          <w:rFonts w:ascii="Arial" w:eastAsia="Calibri" w:hAnsi="Arial" w:cs="Arial"/>
          <w:lang w:val="es-ES_tradn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Pr="00B95158">
        <w:rPr>
          <w:rFonts w:ascii="Arial" w:hAnsi="Arial" w:cs="Arial"/>
        </w:rPr>
        <w:t>«</w:t>
      </w:r>
      <w:r w:rsidRPr="00B95158">
        <w:rPr>
          <w:rFonts w:ascii="Arial" w:eastAsia="Calibri" w:hAnsi="Arial" w:cs="Arial"/>
          <w:lang w:val="es-ES_tradnl"/>
        </w:rPr>
        <w:t>la plataforma que haga sus veces</w:t>
      </w:r>
      <w:r w:rsidRPr="00B95158">
        <w:rPr>
          <w:rFonts w:ascii="Arial" w:hAnsi="Arial" w:cs="Arial"/>
        </w:rPr>
        <w:t>»</w:t>
      </w:r>
      <w:r w:rsidRPr="00B95158">
        <w:rPr>
          <w:rFonts w:ascii="Arial" w:eastAsia="Calibri" w:hAnsi="Arial" w:cs="Arial"/>
          <w:lang w:val="es-ES_tradnl"/>
        </w:rPr>
        <w:t xml:space="preserve"> no puede interpretarse como una autorización para que las entidades obligadas en virtud del artículo 53 de la Ley 2195 de 2022 pued</w:t>
      </w:r>
      <w:r w:rsidR="00F95ED8" w:rsidRPr="00B95158">
        <w:rPr>
          <w:rFonts w:ascii="Arial" w:eastAsia="Calibri" w:hAnsi="Arial" w:cs="Arial"/>
          <w:lang w:val="es-ES_tradnl"/>
        </w:rPr>
        <w:t>a</w:t>
      </w:r>
      <w:r w:rsidRPr="00B95158">
        <w:rPr>
          <w:rFonts w:ascii="Arial" w:eastAsia="Calibri" w:hAnsi="Arial" w:cs="Arial"/>
          <w:lang w:val="es-ES_tradnl"/>
        </w:rPr>
        <w:t xml:space="preserve">n emplear sus páginas web o sus propios portales electrónicos para cumplir con el deber de publicidad que les asiste. </w:t>
      </w:r>
      <w:r w:rsidRPr="00B95158">
        <w:rPr>
          <w:rFonts w:ascii="Arial" w:eastAsia="Calibri" w:hAnsi="Arial" w:cs="Arial"/>
          <w:lang w:val="es-ES_tradnl" w:eastAsia="es-ES_tradnl"/>
        </w:rPr>
        <w:t>Con esto se logra que la ciudadanía pueda encontrar en un mismo sistema la gestión de la actividad contractual del Estado, garantizándose en mayor grado la transparencia y el acceso a la información y documentación pública.</w:t>
      </w:r>
    </w:p>
    <w:p w14:paraId="1C7AD984" w14:textId="435B2491" w:rsidR="00E84015" w:rsidRPr="00B95158" w:rsidRDefault="00E84015" w:rsidP="000F09FC">
      <w:pPr>
        <w:spacing w:before="120" w:after="120" w:line="276" w:lineRule="auto"/>
        <w:ind w:firstLine="709"/>
        <w:jc w:val="both"/>
        <w:rPr>
          <w:rFonts w:ascii="Arial" w:eastAsia="Calibri" w:hAnsi="Arial" w:cs="Arial"/>
          <w:lang w:val="es-ES_tradnl"/>
        </w:rPr>
      </w:pPr>
      <w:bookmarkStart w:id="12" w:name="_Hlk109111956"/>
      <w:bookmarkStart w:id="13" w:name="_Hlk112245392"/>
      <w:r w:rsidRPr="00B95158">
        <w:rPr>
          <w:rFonts w:ascii="Arial" w:eastAsia="Calibri" w:hAnsi="Arial" w:cs="Arial"/>
          <w:lang w:val="es-ES_tradnl"/>
        </w:rPr>
        <w:t>En cuanto a los documentos que deben ser publicados en el SECOP II, a efectos de cumpli</w:t>
      </w:r>
      <w:r w:rsidR="009B2009" w:rsidRPr="00B95158">
        <w:rPr>
          <w:rFonts w:ascii="Arial" w:eastAsia="Calibri" w:hAnsi="Arial" w:cs="Arial"/>
          <w:lang w:val="es-ES_tradnl"/>
        </w:rPr>
        <w:t xml:space="preserve">r </w:t>
      </w:r>
      <w:r w:rsidR="00A83F28" w:rsidRPr="00B95158">
        <w:rPr>
          <w:rFonts w:ascii="Arial" w:eastAsia="Calibri" w:hAnsi="Arial" w:cs="Arial"/>
          <w:lang w:val="es-ES_tradnl"/>
        </w:rPr>
        <w:t xml:space="preserve">con </w:t>
      </w:r>
      <w:r w:rsidR="00135D25" w:rsidRPr="00B95158">
        <w:rPr>
          <w:rFonts w:ascii="Arial" w:eastAsia="Calibri" w:hAnsi="Arial" w:cs="Arial"/>
          <w:lang w:val="es-ES_tradnl"/>
        </w:rPr>
        <w:t>e</w:t>
      </w:r>
      <w:r w:rsidRPr="00B95158">
        <w:rPr>
          <w:rFonts w:ascii="Arial" w:eastAsia="Calibri" w:hAnsi="Arial" w:cs="Arial"/>
          <w:lang w:val="es-ES_tradnl"/>
        </w:rPr>
        <w:t xml:space="preserve">l mandato consagrado en el artículo 53 de la Ley 2195 de 2022, es preciso advertir que la disposición hace referencia a los documentos relacionados con su </w:t>
      </w:r>
      <w:r w:rsidRPr="00B95158">
        <w:rPr>
          <w:rFonts w:ascii="Arial" w:eastAsia="Calibri" w:hAnsi="Arial" w:cs="Arial"/>
          <w:i/>
          <w:iCs/>
          <w:lang w:val="es-ES_tradnl"/>
        </w:rPr>
        <w:t>actividad contractual,</w:t>
      </w:r>
      <w:r w:rsidRPr="00B95158">
        <w:rPr>
          <w:rFonts w:ascii="Arial" w:eastAsia="Calibri" w:hAnsi="Arial" w:cs="Arial"/>
          <w:lang w:val="es-ES_tradnl"/>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w:t>
      </w:r>
      <w:r w:rsidR="00F7794F" w:rsidRPr="00B95158">
        <w:rPr>
          <w:rFonts w:ascii="Arial" w:eastAsia="Calibri" w:hAnsi="Arial" w:cs="Arial"/>
          <w:lang w:val="es-ES_tradnl"/>
        </w:rPr>
        <w:t xml:space="preserve">. Por </w:t>
      </w:r>
      <w:bookmarkEnd w:id="12"/>
      <w:r w:rsidRPr="00B95158">
        <w:rPr>
          <w:rFonts w:ascii="Arial" w:eastAsia="Calibri" w:hAnsi="Arial" w:cs="Arial"/>
          <w:lang w:val="es-ES_tradnl"/>
        </w:rPr>
        <w:t xml:space="preserve">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2FF76ACE" w14:textId="77777777" w:rsidR="00E84015" w:rsidRPr="00B95158" w:rsidRDefault="00E84015" w:rsidP="000F09FC">
      <w:pPr>
        <w:spacing w:before="120" w:after="120" w:line="276" w:lineRule="auto"/>
        <w:ind w:firstLine="709"/>
        <w:jc w:val="both"/>
        <w:rPr>
          <w:rFonts w:ascii="Arial" w:eastAsia="Calibri" w:hAnsi="Arial" w:cs="Arial"/>
          <w:lang w:val="es-ES"/>
        </w:rPr>
      </w:pPr>
      <w:r w:rsidRPr="00B95158">
        <w:rPr>
          <w:rFonts w:ascii="Arial" w:eastAsia="Calibri" w:hAnsi="Arial" w:cs="Arial"/>
          <w:lang w:val="es-ES"/>
        </w:rPr>
        <w:t>Sin perjuicio de lo anterior, vale la pena aclarar que el cumplimiento del deber de publicación de la documentación contractual debe armonizarse con las normas aplicables al tipo de información que estas contienen</w:t>
      </w:r>
      <w:r w:rsidRPr="00B95158">
        <w:rPr>
          <w:rFonts w:ascii="Arial" w:eastAsia="Calibri" w:hAnsi="Arial" w:cs="Arial"/>
          <w:vertAlign w:val="superscript"/>
          <w:lang w:val="es-ES"/>
        </w:rPr>
        <w:footnoteReference w:id="7"/>
      </w:r>
      <w:r w:rsidRPr="00B95158">
        <w:rPr>
          <w:rFonts w:ascii="Arial" w:eastAsia="Calibri" w:hAnsi="Arial" w:cs="Arial"/>
          <w:lang w:val="es-ES"/>
        </w:rPr>
        <w:t xml:space="preserve">. Lo anterior significa que, respecto de datos sensibles, información sometida a reserva o de la cual proceda un tratamiento especial que impida su publicidad, las entidades deberán proceder de conformidad con el tratamiento que impongan tales normas. </w:t>
      </w:r>
    </w:p>
    <w:p w14:paraId="41C9301C" w14:textId="700BC59A" w:rsidR="00E84015" w:rsidRPr="00B95158" w:rsidRDefault="00E84015" w:rsidP="00727A8E">
      <w:pPr>
        <w:spacing w:before="120" w:after="0" w:line="276" w:lineRule="auto"/>
        <w:ind w:firstLine="709"/>
        <w:contextualSpacing/>
        <w:jc w:val="both"/>
        <w:rPr>
          <w:rFonts w:ascii="Arial" w:eastAsia="Calibri" w:hAnsi="Arial" w:cs="Arial"/>
          <w:lang w:val="es-ES_tradnl"/>
        </w:rPr>
      </w:pPr>
      <w:bookmarkStart w:id="14" w:name="_Hlk109111976"/>
      <w:bookmarkStart w:id="15" w:name="_Hlk112856091"/>
      <w:bookmarkStart w:id="16" w:name="_Hlk112245428"/>
      <w:bookmarkEnd w:id="13"/>
      <w:r w:rsidRPr="00B95158">
        <w:rPr>
          <w:rFonts w:ascii="Arial" w:eastAsia="Calibri" w:hAnsi="Arial" w:cs="Arial"/>
          <w:lang w:val="es-ES_tradnl"/>
        </w:rPr>
        <w:t xml:space="preserve">Finalmente, el inciso final del artículo 53 dispone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va del 18 de enero al 18 de julio de 2022. </w:t>
      </w:r>
      <w:bookmarkEnd w:id="14"/>
      <w:r w:rsidRPr="00B95158">
        <w:rPr>
          <w:rFonts w:ascii="Arial" w:eastAsia="Calibri" w:hAnsi="Arial" w:cs="Arial"/>
          <w:lang w:val="es-ES_tradn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bookmarkEnd w:id="15"/>
      <w:r w:rsidR="00AB6754" w:rsidRPr="00B95158">
        <w:rPr>
          <w:rStyle w:val="Refdenotaalpie"/>
          <w:rFonts w:ascii="Arial" w:hAnsi="Arial" w:cs="Arial"/>
        </w:rPr>
        <w:footnoteReference w:id="8"/>
      </w:r>
      <w:r w:rsidR="00AB6754" w:rsidRPr="00B95158">
        <w:rPr>
          <w:rFonts w:ascii="Arial" w:hAnsi="Arial" w:cs="Arial"/>
        </w:rPr>
        <w:t>.</w:t>
      </w:r>
    </w:p>
    <w:bookmarkEnd w:id="16"/>
    <w:p w14:paraId="7E674919" w14:textId="77777777" w:rsidR="00727A8E" w:rsidRPr="001022FB" w:rsidRDefault="00727A8E" w:rsidP="003A4DD1">
      <w:pPr>
        <w:spacing w:after="0" w:line="276" w:lineRule="auto"/>
        <w:contextualSpacing/>
        <w:jc w:val="both"/>
        <w:rPr>
          <w:rFonts w:ascii="Arial" w:eastAsia="Calibri" w:hAnsi="Arial" w:cs="Arial"/>
          <w:b/>
          <w:bCs/>
          <w:lang w:val="es-ES_tradnl" w:eastAsia="es-ES_tradnl"/>
        </w:rPr>
      </w:pPr>
    </w:p>
    <w:p w14:paraId="509FD191" w14:textId="66BAA87C" w:rsidR="00DD675B" w:rsidRPr="009E282D" w:rsidRDefault="00E84015" w:rsidP="003A4DD1">
      <w:pPr>
        <w:spacing w:after="0" w:line="276" w:lineRule="auto"/>
        <w:contextualSpacing/>
        <w:jc w:val="both"/>
        <w:rPr>
          <w:rFonts w:ascii="Arial" w:eastAsia="Calibri" w:hAnsi="Arial" w:cs="Arial"/>
          <w:b/>
          <w:bCs/>
          <w:lang w:val="es-ES_tradnl" w:eastAsia="es-ES_tradnl"/>
        </w:rPr>
      </w:pPr>
      <w:r w:rsidRPr="009E282D">
        <w:rPr>
          <w:rFonts w:ascii="Arial" w:eastAsia="Calibri" w:hAnsi="Arial" w:cs="Arial"/>
          <w:b/>
          <w:bCs/>
          <w:lang w:val="es-ES_tradnl" w:eastAsia="es-ES_tradnl"/>
        </w:rPr>
        <w:t xml:space="preserve">2.2. </w:t>
      </w:r>
      <w:bookmarkStart w:id="17" w:name="_Hlk112235844"/>
      <w:r w:rsidR="00DD675B" w:rsidRPr="009E282D">
        <w:rPr>
          <w:rFonts w:ascii="Arial" w:eastAsia="Calibri" w:hAnsi="Arial" w:cs="Arial"/>
          <w:b/>
          <w:bCs/>
          <w:lang w:val="es-ES_tradnl" w:eastAsia="es-ES_tradnl"/>
        </w:rPr>
        <w:t xml:space="preserve">Uso del SECOP II por las entidades </w:t>
      </w:r>
      <w:r w:rsidR="00DD675B" w:rsidRPr="009E282D">
        <w:rPr>
          <w:rFonts w:ascii="Arial" w:eastAsia="Times New Roman" w:hAnsi="Arial" w:cs="Arial"/>
          <w:b/>
          <w:bCs/>
          <w:iCs/>
          <w:lang w:val="es-ES_tradnl" w:eastAsia="es-ES_tradnl"/>
        </w:rPr>
        <w:t>exceptuadas del Estatuto General de Contratación de la Administración Pública</w:t>
      </w:r>
    </w:p>
    <w:p w14:paraId="1E37888F" w14:textId="77777777" w:rsidR="00DD675B" w:rsidRPr="009E282D" w:rsidRDefault="00DD675B" w:rsidP="003A4DD1">
      <w:pPr>
        <w:spacing w:after="0" w:line="276" w:lineRule="auto"/>
        <w:contextualSpacing/>
        <w:jc w:val="both"/>
        <w:rPr>
          <w:rFonts w:ascii="Arial" w:eastAsia="Calibri" w:hAnsi="Arial" w:cs="Arial"/>
          <w:b/>
          <w:bCs/>
          <w:lang w:val="es-ES_tradnl" w:eastAsia="es-ES_tradnl"/>
        </w:rPr>
      </w:pPr>
    </w:p>
    <w:p w14:paraId="2903AFED" w14:textId="77777777" w:rsidR="00480EFE" w:rsidRDefault="00DD72FD" w:rsidP="00B013C5">
      <w:pPr>
        <w:spacing w:after="120" w:line="276" w:lineRule="auto"/>
        <w:jc w:val="both"/>
        <w:rPr>
          <w:rFonts w:ascii="Arial" w:eastAsia="Calibri" w:hAnsi="Arial" w:cs="Arial"/>
          <w:lang w:val="es-ES_tradnl" w:eastAsia="es-ES_tradnl"/>
        </w:rPr>
      </w:pPr>
      <w:r>
        <w:rPr>
          <w:rFonts w:ascii="Arial" w:eastAsia="Calibri" w:hAnsi="Arial" w:cs="Arial"/>
          <w:lang w:val="es-ES_tradnl" w:eastAsia="es-ES_tradnl"/>
        </w:rPr>
        <w:t xml:space="preserve">De acuerdo </w:t>
      </w:r>
      <w:r w:rsidR="00443F92">
        <w:rPr>
          <w:rFonts w:ascii="Arial" w:eastAsia="Calibri" w:hAnsi="Arial" w:cs="Arial"/>
          <w:lang w:val="es-ES_tradnl" w:eastAsia="es-ES_tradnl"/>
        </w:rPr>
        <w:t xml:space="preserve">con lo hasta aquí explicado, </w:t>
      </w:r>
      <w:r w:rsidR="008C34E7">
        <w:rPr>
          <w:rFonts w:ascii="Arial" w:eastAsia="Calibri" w:hAnsi="Arial" w:cs="Arial"/>
          <w:lang w:val="es-ES_tradnl" w:eastAsia="es-ES_tradnl"/>
        </w:rPr>
        <w:t xml:space="preserve">en virtud de </w:t>
      </w:r>
      <w:r w:rsidR="00443F92">
        <w:rPr>
          <w:rFonts w:ascii="Arial" w:eastAsia="Calibri" w:hAnsi="Arial" w:cs="Arial"/>
          <w:lang w:val="es-ES_tradnl" w:eastAsia="es-ES_tradnl"/>
        </w:rPr>
        <w:t>la modificación realizada al artículo 13 de la Ley 1150 de 2007</w:t>
      </w:r>
      <w:r w:rsidR="008C34E7">
        <w:rPr>
          <w:rFonts w:ascii="Arial" w:eastAsia="Calibri" w:hAnsi="Arial" w:cs="Arial"/>
          <w:lang w:val="es-ES_tradnl" w:eastAsia="es-ES_tradnl"/>
        </w:rPr>
        <w:t xml:space="preserve"> por el artículo 53 de la Ley 2195 de 2022, las entidade</w:t>
      </w:r>
      <w:r w:rsidR="00036B14">
        <w:rPr>
          <w:rFonts w:ascii="Arial" w:eastAsia="Calibri" w:hAnsi="Arial" w:cs="Arial"/>
          <w:lang w:val="es-ES_tradnl" w:eastAsia="es-ES_tradnl"/>
        </w:rPr>
        <w:t xml:space="preserve">s estatales con </w:t>
      </w:r>
      <w:r w:rsidR="0036569A">
        <w:rPr>
          <w:rFonts w:ascii="Arial" w:eastAsia="Calibri" w:hAnsi="Arial" w:cs="Arial"/>
          <w:lang w:val="es-ES_tradnl" w:eastAsia="es-ES_tradnl"/>
        </w:rPr>
        <w:t>régimen</w:t>
      </w:r>
      <w:r w:rsidR="00036B14">
        <w:rPr>
          <w:rFonts w:ascii="Arial" w:eastAsia="Calibri" w:hAnsi="Arial" w:cs="Arial"/>
          <w:lang w:val="es-ES_tradnl" w:eastAsia="es-ES_tradnl"/>
        </w:rPr>
        <w:t xml:space="preserve"> de contratación exceptuad</w:t>
      </w:r>
      <w:r w:rsidR="0036569A">
        <w:rPr>
          <w:rFonts w:ascii="Arial" w:eastAsia="Calibri" w:hAnsi="Arial" w:cs="Arial"/>
          <w:lang w:val="es-ES_tradnl" w:eastAsia="es-ES_tradnl"/>
        </w:rPr>
        <w:t xml:space="preserve">o están obligadas a publicar los documentos que expidan en desarrollo de su actividad contractual en el SECOP II. </w:t>
      </w:r>
      <w:r w:rsidR="0038435F">
        <w:rPr>
          <w:rFonts w:ascii="Arial" w:eastAsia="Calibri" w:hAnsi="Arial" w:cs="Arial"/>
          <w:lang w:val="es-ES_tradnl" w:eastAsia="es-ES_tradnl"/>
        </w:rPr>
        <w:t>A efectos de cumplir este mandato corresponde a las entidades exceptuadas en el marco de su autonom</w:t>
      </w:r>
      <w:r w:rsidR="00C27D70">
        <w:rPr>
          <w:rFonts w:ascii="Arial" w:eastAsia="Calibri" w:hAnsi="Arial" w:cs="Arial"/>
          <w:lang w:val="es-ES_tradnl" w:eastAsia="es-ES_tradnl"/>
        </w:rPr>
        <w:t>ía realizar las respectivas publicaciones, valiéndose de las funcionalidades de la referida pla</w:t>
      </w:r>
      <w:r w:rsidR="00B013C5">
        <w:rPr>
          <w:rFonts w:ascii="Arial" w:eastAsia="Calibri" w:hAnsi="Arial" w:cs="Arial"/>
          <w:lang w:val="es-ES_tradnl" w:eastAsia="es-ES_tradnl"/>
        </w:rPr>
        <w:t>ta</w:t>
      </w:r>
      <w:r w:rsidR="00C27D70">
        <w:rPr>
          <w:rFonts w:ascii="Arial" w:eastAsia="Calibri" w:hAnsi="Arial" w:cs="Arial"/>
          <w:lang w:val="es-ES_tradnl" w:eastAsia="es-ES_tradnl"/>
        </w:rPr>
        <w:t>forma</w:t>
      </w:r>
      <w:r w:rsidR="00B013C5">
        <w:rPr>
          <w:rFonts w:ascii="Arial" w:eastAsia="Calibri" w:hAnsi="Arial" w:cs="Arial"/>
          <w:lang w:val="es-ES_tradnl" w:eastAsia="es-ES_tradnl"/>
        </w:rPr>
        <w:t xml:space="preserve">. </w:t>
      </w:r>
    </w:p>
    <w:p w14:paraId="7043563C" w14:textId="14744E69" w:rsidR="00DD675B" w:rsidRPr="00926CEC" w:rsidRDefault="00B013C5" w:rsidP="00926CEC">
      <w:pPr>
        <w:spacing w:after="120" w:line="276" w:lineRule="auto"/>
        <w:ind w:firstLine="708"/>
        <w:jc w:val="both"/>
        <w:rPr>
          <w:rFonts w:ascii="Arial" w:hAnsi="Arial" w:cs="Arial"/>
          <w:u w:val="single"/>
          <w:lang w:val="es-MX" w:eastAsia="es-ES"/>
        </w:rPr>
      </w:pPr>
      <w:r w:rsidRPr="00480EFE">
        <w:rPr>
          <w:rFonts w:ascii="Arial" w:eastAsia="Calibri" w:hAnsi="Arial" w:cs="Arial"/>
          <w:lang w:val="es-ES_tradnl" w:eastAsia="es-ES_tradnl"/>
        </w:rPr>
        <w:t>Al respecto, debe destacarse que la pla</w:t>
      </w:r>
      <w:r w:rsidR="00926CEC">
        <w:rPr>
          <w:rFonts w:ascii="Arial" w:eastAsia="Calibri" w:hAnsi="Arial" w:cs="Arial"/>
          <w:lang w:val="es-ES_tradnl" w:eastAsia="es-ES_tradnl"/>
        </w:rPr>
        <w:t>ta</w:t>
      </w:r>
      <w:r w:rsidRPr="00480EFE">
        <w:rPr>
          <w:rFonts w:ascii="Arial" w:eastAsia="Calibri" w:hAnsi="Arial" w:cs="Arial"/>
          <w:lang w:val="es-ES_tradnl" w:eastAsia="es-ES_tradnl"/>
        </w:rPr>
        <w:t>forma</w:t>
      </w:r>
      <w:r w:rsidR="00874C37" w:rsidRPr="00480EFE">
        <w:rPr>
          <w:rFonts w:ascii="Arial" w:hAnsi="Arial" w:cs="Arial"/>
        </w:rPr>
        <w:t xml:space="preserve"> </w:t>
      </w:r>
      <w:r w:rsidR="005B6023" w:rsidRPr="00480EFE">
        <w:rPr>
          <w:rFonts w:ascii="Arial" w:hAnsi="Arial" w:cs="Arial"/>
        </w:rPr>
        <w:t>tiene</w:t>
      </w:r>
      <w:r w:rsidR="00DD675B" w:rsidRPr="00480EFE">
        <w:rPr>
          <w:rFonts w:ascii="Arial" w:eastAsia="Calibri" w:hAnsi="Arial" w:cs="Arial"/>
          <w:lang w:val="es-ES_tradnl" w:eastAsia="es-ES_tradnl"/>
        </w:rPr>
        <w:t xml:space="preserve"> dispuesto</w:t>
      </w:r>
      <w:r w:rsidR="00CE17A0" w:rsidRPr="00480EFE">
        <w:rPr>
          <w:rFonts w:ascii="Arial" w:eastAsia="Calibri" w:hAnsi="Arial" w:cs="Arial"/>
          <w:lang w:val="es-ES_tradnl" w:eastAsia="es-ES_tradnl"/>
        </w:rPr>
        <w:t>s</w:t>
      </w:r>
      <w:r w:rsidR="00DD675B" w:rsidRPr="00480EFE">
        <w:rPr>
          <w:rFonts w:ascii="Arial" w:eastAsia="Calibri" w:hAnsi="Arial" w:cs="Arial"/>
          <w:lang w:val="es-ES_tradnl" w:eastAsia="es-ES_tradnl"/>
        </w:rPr>
        <w:t xml:space="preserve"> dos módulos para las entidades estatales con régimen especial, los cuales </w:t>
      </w:r>
      <w:r w:rsidR="00926CEC" w:rsidRPr="00480EFE">
        <w:rPr>
          <w:rFonts w:ascii="Arial" w:eastAsia="Calibri" w:hAnsi="Arial" w:cs="Arial"/>
          <w:lang w:val="es-ES_tradnl" w:eastAsia="es-ES_tradnl"/>
        </w:rPr>
        <w:t>son:</w:t>
      </w:r>
      <w:r w:rsidR="00926CEC" w:rsidRPr="00480EFE">
        <w:rPr>
          <w:rFonts w:ascii="Arial" w:eastAsia="Times New Roman" w:hAnsi="Arial" w:cs="Arial"/>
          <w:i/>
          <w:iCs/>
          <w:lang w:val="es-MX" w:eastAsia="es-ES"/>
        </w:rPr>
        <w:t xml:space="preserve"> i</w:t>
      </w:r>
      <w:r w:rsidR="00480EFE" w:rsidRPr="00480EFE">
        <w:rPr>
          <w:rFonts w:ascii="Arial" w:eastAsia="Times New Roman" w:hAnsi="Arial" w:cs="Arial"/>
          <w:i/>
          <w:iCs/>
          <w:lang w:val="es-MX" w:eastAsia="es-ES"/>
        </w:rPr>
        <w:t xml:space="preserve">) </w:t>
      </w:r>
      <w:r w:rsidR="00DD675B" w:rsidRPr="00926CEC">
        <w:rPr>
          <w:rFonts w:ascii="Arial" w:eastAsia="Times New Roman" w:hAnsi="Arial" w:cs="Arial"/>
          <w:i/>
          <w:iCs/>
          <w:lang w:val="es-MX" w:eastAsia="es-ES"/>
        </w:rPr>
        <w:t>Contratación Régimen Especial (con ofertas)</w:t>
      </w:r>
      <w:r w:rsidR="00DD675B" w:rsidRPr="00926CEC">
        <w:rPr>
          <w:rFonts w:ascii="Arial" w:eastAsia="Calibri" w:hAnsi="Arial" w:cs="Arial"/>
          <w:iCs/>
          <w:vertAlign w:val="superscript"/>
          <w:lang w:val="es-ES"/>
        </w:rPr>
        <w:footnoteReference w:id="9"/>
      </w:r>
      <w:r w:rsidR="00DD675B" w:rsidRPr="00926CEC">
        <w:rPr>
          <w:rFonts w:ascii="Arial" w:eastAsia="Times New Roman" w:hAnsi="Arial" w:cs="Arial"/>
          <w:b/>
          <w:bCs/>
          <w:lang w:val="es-MX" w:eastAsia="es-ES"/>
        </w:rPr>
        <w:t>:</w:t>
      </w:r>
      <w:r w:rsidR="00DD675B" w:rsidRPr="00926CEC">
        <w:rPr>
          <w:rFonts w:ascii="Arial" w:eastAsia="Times New Roman" w:hAnsi="Arial" w:cs="Arial"/>
          <w:lang w:val="es-MX" w:eastAsia="es-ES"/>
        </w:rPr>
        <w:t xml:space="preserve"> Permite a las entidades gestionar sus procesos competitivos de contratación. Mediante este módulo las entidades pueden adelantar el proceso de contratación de manera transaccional, es decir, que </w:t>
      </w:r>
      <w:r w:rsidR="00DD675B" w:rsidRPr="00926CEC">
        <w:rPr>
          <w:rFonts w:ascii="Arial" w:eastAsia="Times New Roman" w:hAnsi="Arial" w:cs="Arial"/>
          <w:lang w:val="es-MX" w:eastAsia="es-CO"/>
        </w:rPr>
        <w:t>a través de este módulo las entidades estatales pueden estructurar el proceso de contratación, recibir ofertas de los proveedores, generar el contrato de electrónico y realizar la gestión contractual</w:t>
      </w:r>
      <w:r w:rsidR="00480EFE" w:rsidRPr="00926CEC">
        <w:rPr>
          <w:rFonts w:ascii="Arial" w:eastAsia="Times New Roman" w:hAnsi="Arial" w:cs="Arial"/>
          <w:lang w:val="es-MX" w:eastAsia="es-CO"/>
        </w:rPr>
        <w:t>; y ii)</w:t>
      </w:r>
      <w:r w:rsidR="00480EFE" w:rsidRPr="00926CEC">
        <w:rPr>
          <w:rFonts w:ascii="Arial" w:hAnsi="Arial" w:cs="Arial"/>
          <w:b/>
          <w:bCs/>
          <w:lang w:val="es-MX" w:eastAsia="es-ES"/>
        </w:rPr>
        <w:t xml:space="preserve"> </w:t>
      </w:r>
      <w:r w:rsidR="00DD675B" w:rsidRPr="00926CEC">
        <w:rPr>
          <w:rFonts w:ascii="Arial" w:hAnsi="Arial" w:cs="Arial"/>
          <w:i/>
          <w:iCs/>
          <w:lang w:val="es-MX" w:eastAsia="es-ES"/>
        </w:rPr>
        <w:t>Contratación Régimen Especial (sin ofertas)</w:t>
      </w:r>
      <w:r w:rsidR="00DD675B" w:rsidRPr="00926CEC">
        <w:rPr>
          <w:rFonts w:ascii="Arial" w:eastAsia="Calibri" w:hAnsi="Arial" w:cs="Arial"/>
          <w:i/>
          <w:iCs/>
          <w:vertAlign w:val="superscript"/>
          <w:lang w:val="es-ES"/>
        </w:rPr>
        <w:footnoteReference w:id="10"/>
      </w:r>
      <w:r w:rsidR="00DD675B" w:rsidRPr="00926CEC">
        <w:rPr>
          <w:rFonts w:ascii="Arial" w:hAnsi="Arial" w:cs="Arial"/>
          <w:i/>
          <w:iCs/>
          <w:lang w:val="es-MX" w:eastAsia="es-ES"/>
        </w:rPr>
        <w:t>:</w:t>
      </w:r>
      <w:r w:rsidR="00DD675B" w:rsidRPr="00926CEC">
        <w:rPr>
          <w:rFonts w:ascii="Arial" w:hAnsi="Arial" w:cs="Arial"/>
          <w:lang w:val="es-MX" w:eastAsia="es-ES"/>
        </w:rPr>
        <w:t xml:space="preserve"> Este módulo permite a las entidades gestionar sus procesos de selección directos. Asimismo, este módulo </w:t>
      </w:r>
      <w:r w:rsidR="00DD675B" w:rsidRPr="00926CEC">
        <w:rPr>
          <w:rFonts w:ascii="Arial" w:hAnsi="Arial" w:cs="Arial"/>
          <w:lang w:val="es-MX"/>
        </w:rPr>
        <w:t xml:space="preserve">permite estructurar los procesos de contratación, publicar documentos generados por fuera de la plataforma y realizar la gestión contractual en línea. </w:t>
      </w:r>
    </w:p>
    <w:p w14:paraId="7039B993" w14:textId="4B2ADE52" w:rsidR="00E34844" w:rsidRDefault="00480EFE" w:rsidP="00126B79">
      <w:pPr>
        <w:autoSpaceDE w:val="0"/>
        <w:autoSpaceDN w:val="0"/>
        <w:adjustRightInd w:val="0"/>
        <w:spacing w:after="120" w:line="276" w:lineRule="auto"/>
        <w:ind w:firstLine="708"/>
        <w:jc w:val="both"/>
        <w:rPr>
          <w:rFonts w:ascii="Arial" w:eastAsia="Calibri" w:hAnsi="Arial" w:cs="Arial"/>
          <w:iCs/>
          <w:lang w:val="es-ES" w:eastAsia="es-ES_tradnl"/>
        </w:rPr>
      </w:pPr>
      <w:r>
        <w:rPr>
          <w:rFonts w:ascii="Arial" w:eastAsia="Calibri" w:hAnsi="Arial" w:cs="Arial"/>
          <w:iCs/>
          <w:lang w:val="es-ES" w:eastAsia="es-ES_tradnl"/>
        </w:rPr>
        <w:t>Teniendo en cuenta lo anterior</w:t>
      </w:r>
      <w:r w:rsidR="0051304E" w:rsidRPr="00926CEC">
        <w:rPr>
          <w:rFonts w:ascii="Arial" w:eastAsia="Calibri" w:hAnsi="Arial" w:cs="Arial"/>
          <w:iCs/>
          <w:lang w:val="es-ES" w:eastAsia="es-ES_tradnl"/>
        </w:rPr>
        <w:t>, f</w:t>
      </w:r>
      <w:r w:rsidR="00126B79" w:rsidRPr="00926CEC">
        <w:rPr>
          <w:rFonts w:ascii="Arial" w:eastAsia="Calibri" w:hAnsi="Arial" w:cs="Arial"/>
          <w:iCs/>
          <w:lang w:val="es-ES" w:eastAsia="es-ES_tradnl"/>
        </w:rPr>
        <w:t xml:space="preserve">rente a la </w:t>
      </w:r>
      <w:r>
        <w:rPr>
          <w:rFonts w:ascii="Arial" w:eastAsia="Calibri" w:hAnsi="Arial" w:cs="Arial"/>
          <w:iCs/>
          <w:lang w:val="es-ES" w:eastAsia="es-ES_tradnl"/>
        </w:rPr>
        <w:t>inquietud</w:t>
      </w:r>
      <w:r w:rsidR="00126B79" w:rsidRPr="00926CEC">
        <w:rPr>
          <w:rFonts w:ascii="Arial" w:eastAsia="Calibri" w:hAnsi="Arial" w:cs="Arial"/>
          <w:iCs/>
          <w:lang w:val="es-ES" w:eastAsia="es-ES_tradnl"/>
        </w:rPr>
        <w:t xml:space="preserve"> </w:t>
      </w:r>
      <w:r>
        <w:rPr>
          <w:rFonts w:ascii="Arial" w:eastAsia="Calibri" w:hAnsi="Arial" w:cs="Arial"/>
          <w:iCs/>
          <w:lang w:val="es-ES" w:eastAsia="es-ES_tradnl"/>
        </w:rPr>
        <w:t xml:space="preserve">dirigida a </w:t>
      </w:r>
      <w:r w:rsidR="00926CEC">
        <w:rPr>
          <w:rFonts w:ascii="Arial" w:eastAsia="Calibri" w:hAnsi="Arial" w:cs="Arial"/>
          <w:iCs/>
          <w:lang w:val="es-ES" w:eastAsia="es-ES_tradnl"/>
        </w:rPr>
        <w:t xml:space="preserve">establecer </w:t>
      </w:r>
      <w:r w:rsidR="00926CEC" w:rsidRPr="00926CEC">
        <w:rPr>
          <w:rFonts w:ascii="Arial" w:eastAsia="Calibri" w:hAnsi="Arial" w:cs="Arial"/>
          <w:iCs/>
          <w:lang w:val="es-ES" w:eastAsia="es-ES_tradnl"/>
        </w:rPr>
        <w:t>si</w:t>
      </w:r>
      <w:r w:rsidR="00126B79" w:rsidRPr="00926CEC">
        <w:rPr>
          <w:rFonts w:ascii="Arial" w:eastAsia="Calibri" w:hAnsi="Arial" w:cs="Arial"/>
          <w:iCs/>
          <w:lang w:val="es-ES" w:eastAsia="es-ES_tradnl"/>
        </w:rPr>
        <w:t xml:space="preserve"> la entrada en vigencia de la Ley 2195 de 2022 </w:t>
      </w:r>
      <w:r>
        <w:rPr>
          <w:rFonts w:ascii="Arial" w:eastAsia="Calibri" w:hAnsi="Arial" w:cs="Arial"/>
          <w:iCs/>
          <w:lang w:val="es-ES" w:eastAsia="es-ES_tradnl"/>
        </w:rPr>
        <w:t>supone</w:t>
      </w:r>
      <w:r w:rsidR="00126B79" w:rsidRPr="00926CEC">
        <w:rPr>
          <w:rFonts w:ascii="Arial" w:eastAsia="Calibri" w:hAnsi="Arial" w:cs="Arial"/>
          <w:iCs/>
          <w:lang w:val="es-ES" w:eastAsia="es-ES_tradnl"/>
        </w:rPr>
        <w:t xml:space="preserve"> la obligación de</w:t>
      </w:r>
      <w:r w:rsidR="00171271">
        <w:rPr>
          <w:rFonts w:ascii="Arial" w:eastAsia="Calibri" w:hAnsi="Arial" w:cs="Arial"/>
          <w:iCs/>
          <w:lang w:val="es-ES" w:eastAsia="es-ES_tradnl"/>
        </w:rPr>
        <w:t xml:space="preserve"> desarrollar </w:t>
      </w:r>
      <w:r w:rsidR="00126B79" w:rsidRPr="00926CEC">
        <w:rPr>
          <w:rFonts w:ascii="Arial" w:eastAsia="Calibri" w:hAnsi="Arial" w:cs="Arial"/>
          <w:iCs/>
          <w:lang w:val="es-ES" w:eastAsia="es-ES_tradnl"/>
        </w:rPr>
        <w:t xml:space="preserve">el proceso contractual de manera transaccional </w:t>
      </w:r>
      <w:r w:rsidR="00171271">
        <w:rPr>
          <w:rFonts w:ascii="Arial" w:eastAsia="Calibri" w:hAnsi="Arial" w:cs="Arial"/>
          <w:iCs/>
          <w:lang w:val="es-ES" w:eastAsia="es-ES_tradnl"/>
        </w:rPr>
        <w:t>a través</w:t>
      </w:r>
      <w:r w:rsidR="00126B79" w:rsidRPr="00926CEC">
        <w:rPr>
          <w:rFonts w:ascii="Arial" w:eastAsia="Calibri" w:hAnsi="Arial" w:cs="Arial"/>
          <w:iCs/>
          <w:lang w:val="es-ES" w:eastAsia="es-ES_tradnl"/>
        </w:rPr>
        <w:t xml:space="preserve"> </w:t>
      </w:r>
      <w:r w:rsidR="00171271">
        <w:rPr>
          <w:rFonts w:ascii="Arial" w:eastAsia="Calibri" w:hAnsi="Arial" w:cs="Arial"/>
          <w:iCs/>
          <w:lang w:val="es-ES" w:eastAsia="es-ES_tradnl"/>
        </w:rPr>
        <w:t>d</w:t>
      </w:r>
      <w:r w:rsidR="00126B79" w:rsidRPr="00926CEC">
        <w:rPr>
          <w:rFonts w:ascii="Arial" w:eastAsia="Calibri" w:hAnsi="Arial" w:cs="Arial"/>
          <w:iCs/>
          <w:lang w:val="es-ES" w:eastAsia="es-ES_tradnl"/>
        </w:rPr>
        <w:t xml:space="preserve">el SECOP II, debe señalarse que, </w:t>
      </w:r>
      <w:bookmarkStart w:id="18" w:name="_Hlk112856157"/>
      <w:r w:rsidR="00126B79" w:rsidRPr="00926CEC">
        <w:rPr>
          <w:rFonts w:ascii="Arial" w:eastAsia="Calibri" w:hAnsi="Arial" w:cs="Arial"/>
          <w:iCs/>
          <w:lang w:val="es-ES" w:eastAsia="es-ES_tradnl"/>
        </w:rPr>
        <w:t xml:space="preserve">el artículo 53 </w:t>
      </w:r>
      <w:r w:rsidR="00126B79" w:rsidRPr="00926CEC">
        <w:rPr>
          <w:rFonts w:ascii="Arial" w:eastAsia="Calibri" w:hAnsi="Arial" w:cs="Arial"/>
          <w:i/>
          <w:lang w:val="es-ES" w:eastAsia="es-ES_tradnl"/>
        </w:rPr>
        <w:t>ibidem</w:t>
      </w:r>
      <w:r w:rsidR="00126B79" w:rsidRPr="00926CEC">
        <w:rPr>
          <w:rFonts w:ascii="Arial" w:eastAsia="Calibri" w:hAnsi="Arial" w:cs="Arial"/>
          <w:iCs/>
          <w:lang w:val="es-ES" w:eastAsia="es-ES_tradnl"/>
        </w:rPr>
        <w:t xml:space="preserve"> no </w:t>
      </w:r>
      <w:r w:rsidR="00DD675B" w:rsidRPr="00926CEC">
        <w:rPr>
          <w:rFonts w:ascii="Arial" w:eastAsia="Calibri" w:hAnsi="Arial" w:cs="Arial"/>
          <w:iCs/>
          <w:lang w:val="es-ES" w:eastAsia="es-ES_tradnl"/>
        </w:rPr>
        <w:t>cambió la forma en que se perfeccionan los contratos suscritos por estas entidades exceptuadas</w:t>
      </w:r>
      <w:r w:rsidR="0051304E" w:rsidRPr="00926CEC">
        <w:rPr>
          <w:rFonts w:ascii="Arial" w:eastAsia="Calibri" w:hAnsi="Arial" w:cs="Arial"/>
          <w:iCs/>
          <w:lang w:val="es-ES" w:eastAsia="es-ES_tradnl"/>
        </w:rPr>
        <w:t xml:space="preserve">. En ese sentido, dado que la disposición materia de estudio no definió la obligatoriedad sobre el uso transaccional del SECOP II para las entidades exceptuadas, estas podrán usarla de forma transaccional o publicitaria. </w:t>
      </w:r>
    </w:p>
    <w:p w14:paraId="3C8749A4" w14:textId="4A1D6D2D" w:rsidR="00DD675B" w:rsidRDefault="0051304E" w:rsidP="001E7793">
      <w:pPr>
        <w:autoSpaceDE w:val="0"/>
        <w:autoSpaceDN w:val="0"/>
        <w:adjustRightInd w:val="0"/>
        <w:spacing w:after="120" w:line="276" w:lineRule="auto"/>
        <w:ind w:firstLine="708"/>
        <w:jc w:val="both"/>
        <w:rPr>
          <w:rFonts w:ascii="Arial" w:eastAsia="Times New Roman" w:hAnsi="Arial" w:cs="Arial"/>
          <w:lang w:eastAsia="es-ES_tradnl"/>
        </w:rPr>
      </w:pPr>
      <w:r w:rsidRPr="00926CEC">
        <w:rPr>
          <w:rFonts w:ascii="Arial" w:eastAsia="Calibri" w:hAnsi="Arial" w:cs="Arial"/>
          <w:iCs/>
          <w:lang w:val="es-ES" w:eastAsia="es-ES_tradnl"/>
        </w:rPr>
        <w:t>Por lo anterior, las entidades exceptuadas</w:t>
      </w:r>
      <w:r w:rsidR="00126B79" w:rsidRPr="00926CEC">
        <w:rPr>
          <w:rFonts w:ascii="Arial" w:eastAsia="Calibri" w:hAnsi="Arial" w:cs="Arial"/>
          <w:iCs/>
          <w:lang w:val="es-ES" w:eastAsia="es-ES_tradnl"/>
        </w:rPr>
        <w:t xml:space="preserve"> </w:t>
      </w:r>
      <w:r w:rsidR="002E64DB" w:rsidRPr="00926CEC">
        <w:rPr>
          <w:rFonts w:ascii="Arial" w:eastAsia="Calibri" w:hAnsi="Arial" w:cs="Arial"/>
          <w:iCs/>
          <w:lang w:val="es-ES" w:eastAsia="es-ES_tradnl"/>
        </w:rPr>
        <w:t>tienen la posibilidad de</w:t>
      </w:r>
      <w:r w:rsidR="00126B79" w:rsidRPr="00926CEC">
        <w:rPr>
          <w:rFonts w:ascii="Arial" w:eastAsia="Calibri" w:hAnsi="Arial" w:cs="Arial"/>
          <w:iCs/>
          <w:lang w:val="es-ES" w:eastAsia="es-ES_tradnl"/>
        </w:rPr>
        <w:t xml:space="preserve"> elegir cualquiera de las siguientes opciones </w:t>
      </w:r>
      <w:r w:rsidR="00DD675B" w:rsidRPr="00926CEC">
        <w:rPr>
          <w:rFonts w:ascii="Arial" w:eastAsia="Calibri" w:hAnsi="Arial" w:cs="Arial"/>
          <w:iCs/>
          <w:lang w:val="es-ES" w:eastAsia="es-ES_tradnl"/>
        </w:rPr>
        <w:t xml:space="preserve">para cumplir con el deber de publicidad que les </w:t>
      </w:r>
      <w:r w:rsidR="003A4DD1" w:rsidRPr="00926CEC">
        <w:rPr>
          <w:rFonts w:ascii="Arial" w:eastAsia="Calibri" w:hAnsi="Arial" w:cs="Arial"/>
          <w:iCs/>
          <w:lang w:val="es-ES" w:eastAsia="es-ES_tradnl"/>
        </w:rPr>
        <w:t>asiste:</w:t>
      </w:r>
      <w:r w:rsidR="00E34844">
        <w:rPr>
          <w:rFonts w:ascii="Arial" w:hAnsi="Arial" w:cs="Arial"/>
          <w:lang w:val="es-ES"/>
        </w:rPr>
        <w:t xml:space="preserve"> i) f</w:t>
      </w:r>
      <w:r w:rsidR="00DD675B" w:rsidRPr="001F40C0">
        <w:rPr>
          <w:rFonts w:ascii="Arial" w:hAnsi="Arial" w:cs="Arial"/>
          <w:lang w:val="es-ES"/>
        </w:rPr>
        <w:t>irmar</w:t>
      </w:r>
      <w:r w:rsidR="00DD675B" w:rsidRPr="001F40C0">
        <w:rPr>
          <w:rFonts w:ascii="Arial" w:hAnsi="Arial" w:cs="Arial"/>
          <w:lang w:val="es-MX"/>
        </w:rPr>
        <w:t xml:space="preserve"> el contrato electrónicamente, es decir, realizar un uso transaccional de la plataforma</w:t>
      </w:r>
      <w:r w:rsidR="00E34844">
        <w:rPr>
          <w:rFonts w:ascii="Arial" w:hAnsi="Arial" w:cs="Arial"/>
          <w:lang w:val="es-MX"/>
        </w:rPr>
        <w:t>; o ii) f</w:t>
      </w:r>
      <w:r w:rsidR="00DD675B" w:rsidRPr="001F40C0">
        <w:rPr>
          <w:rFonts w:ascii="Arial" w:hAnsi="Arial" w:cs="Arial"/>
          <w:lang w:val="es-MX"/>
        </w:rPr>
        <w:t>irmar el contrato en físico y publicar los documentos de ejecución en la etapa precontractual del SECOP II, es decir, realizar un uso publicitario de la plataforma.</w:t>
      </w:r>
      <w:r w:rsidR="00E34844">
        <w:rPr>
          <w:rFonts w:ascii="Arial" w:eastAsia="Times New Roman" w:hAnsi="Arial" w:cs="Arial"/>
          <w:lang w:eastAsia="es-ES_tradnl"/>
        </w:rPr>
        <w:t xml:space="preserve"> </w:t>
      </w:r>
      <w:r w:rsidR="00DD675B" w:rsidRPr="001F40C0">
        <w:rPr>
          <w:rFonts w:ascii="Arial" w:eastAsia="Times New Roman" w:hAnsi="Arial" w:cs="Arial"/>
          <w:lang w:eastAsia="es-ES_tradnl"/>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r w:rsidR="00E34844">
        <w:rPr>
          <w:rFonts w:ascii="Arial" w:eastAsia="Times New Roman" w:hAnsi="Arial" w:cs="Arial"/>
          <w:lang w:eastAsia="es-ES_tradnl"/>
        </w:rPr>
        <w:t xml:space="preserve"> </w:t>
      </w:r>
      <w:r w:rsidR="00DD675B" w:rsidRPr="001F40C0">
        <w:rPr>
          <w:rFonts w:ascii="Arial" w:eastAsia="Times New Roman" w:hAnsi="Arial" w:cs="Arial"/>
          <w:lang w:eastAsia="es-ES_tradnl"/>
        </w:rPr>
        <w:t>En el segundo caso, si decide utilizar el SECOP II como herramienta de publicidad, deberá crear el proceso de contratación en el SECOP II mediante el módulo «</w:t>
      </w:r>
      <w:r w:rsidR="00DD675B" w:rsidRPr="001F40C0">
        <w:rPr>
          <w:rFonts w:ascii="Arial" w:eastAsia="Times New Roman" w:hAnsi="Arial" w:cs="Arial"/>
          <w:i/>
          <w:iCs/>
          <w:lang w:eastAsia="es-ES_tradnl"/>
        </w:rPr>
        <w:t>Contratación Régimen Especial (sin ofertas)»</w:t>
      </w:r>
      <w:r w:rsidR="00DD675B" w:rsidRPr="001F40C0">
        <w:rPr>
          <w:rFonts w:ascii="Arial" w:eastAsia="Times New Roman" w:hAnsi="Arial" w:cs="Arial"/>
          <w:lang w:eastAsia="es-ES_tradnl"/>
        </w:rPr>
        <w:t xml:space="preserve">, cargar todos los documentos del proceso en la sección dispuesta para ello y publicar el proceso. La publicación de los documentos de la gestión contractual, incluido el contrato firmado manuscritamente, debe realizarse mediante modificaciones al proceso a través de la opción </w:t>
      </w:r>
      <w:r w:rsidR="00171271">
        <w:rPr>
          <w:rFonts w:ascii="Arial" w:eastAsia="Times New Roman" w:hAnsi="Arial" w:cs="Arial"/>
          <w:lang w:eastAsia="es-ES_tradnl"/>
        </w:rPr>
        <w:t>«</w:t>
      </w:r>
      <w:r w:rsidR="00DD675B" w:rsidRPr="001F40C0">
        <w:rPr>
          <w:rFonts w:ascii="Arial" w:eastAsia="Times New Roman" w:hAnsi="Arial" w:cs="Arial"/>
          <w:lang w:eastAsia="es-ES_tradnl"/>
        </w:rPr>
        <w:t>Modificaciones/Adendas</w:t>
      </w:r>
      <w:r w:rsidR="00171271">
        <w:rPr>
          <w:rFonts w:ascii="Arial" w:eastAsia="Times New Roman" w:hAnsi="Arial" w:cs="Arial"/>
          <w:lang w:eastAsia="es-ES_tradnl"/>
        </w:rPr>
        <w:t>»</w:t>
      </w:r>
      <w:r w:rsidR="00DD675B" w:rsidRPr="001F40C0">
        <w:rPr>
          <w:rFonts w:ascii="Arial" w:eastAsia="Times New Roman" w:hAnsi="Arial" w:cs="Arial"/>
          <w:lang w:eastAsia="es-ES_tradnl"/>
        </w:rPr>
        <w:t xml:space="preserve">. Sin embargo, las entidades públicas deberán tener en cuenta que, si utilizan esta opción, no deben dar clic en </w:t>
      </w:r>
      <w:r w:rsidR="00171271">
        <w:rPr>
          <w:rFonts w:ascii="Arial" w:eastAsia="Times New Roman" w:hAnsi="Arial" w:cs="Arial"/>
          <w:lang w:eastAsia="es-ES_tradnl"/>
        </w:rPr>
        <w:t>«</w:t>
      </w:r>
      <w:r w:rsidR="00DD675B" w:rsidRPr="001F40C0">
        <w:rPr>
          <w:rFonts w:ascii="Arial" w:eastAsia="Times New Roman" w:hAnsi="Arial" w:cs="Arial"/>
          <w:i/>
          <w:iCs/>
          <w:lang w:eastAsia="es-ES_tradnl"/>
        </w:rPr>
        <w:t>Finalizar</w:t>
      </w:r>
      <w:r w:rsidR="00171271">
        <w:rPr>
          <w:rFonts w:ascii="Arial" w:eastAsia="Times New Roman" w:hAnsi="Arial" w:cs="Arial"/>
          <w:lang w:eastAsia="es-ES_tradnl"/>
        </w:rPr>
        <w:t>»</w:t>
      </w:r>
      <w:r w:rsidR="00DD675B" w:rsidRPr="001F40C0">
        <w:rPr>
          <w:rFonts w:ascii="Arial" w:eastAsia="Times New Roman" w:hAnsi="Arial" w:cs="Arial"/>
          <w:lang w:eastAsia="es-ES_tradnl"/>
        </w:rPr>
        <w:t xml:space="preserve"> después de publicar el proceso, en tanto que la plataforma cierra el expediente y no permite la publicación posterior de ningún otro documento.</w:t>
      </w:r>
    </w:p>
    <w:bookmarkEnd w:id="18"/>
    <w:p w14:paraId="2D20DE30" w14:textId="77777777" w:rsidR="00DD675B" w:rsidRPr="001F40C0" w:rsidRDefault="00DD675B" w:rsidP="001E7793">
      <w:pPr>
        <w:spacing w:after="120" w:line="276" w:lineRule="auto"/>
        <w:ind w:firstLine="709"/>
        <w:jc w:val="both"/>
        <w:rPr>
          <w:rFonts w:ascii="Arial" w:eastAsia="Calibri" w:hAnsi="Arial" w:cs="Arial"/>
          <w:lang w:val="es-ES"/>
        </w:rPr>
      </w:pPr>
      <w:r w:rsidRPr="001F40C0">
        <w:rPr>
          <w:rFonts w:ascii="Arial" w:eastAsia="Calibri" w:hAnsi="Arial" w:cs="Arial"/>
          <w:lang w:val="es-ES_tradnl" w:eastAsia="es-ES_tradnl"/>
        </w:rPr>
        <w:t xml:space="preserve">Ahora bien, respecto al término para publicar los documentos en el SECOP II, debe señalarse, tal y como se expuso en el numeral anterior, que </w:t>
      </w:r>
      <w:r w:rsidRPr="001F40C0">
        <w:rPr>
          <w:rFonts w:ascii="Arial" w:eastAsia="Calibri" w:hAnsi="Arial" w:cs="Arial"/>
          <w:lang w:val="es-ES"/>
        </w:rPr>
        <w:t xml:space="preserve">el deber de publicar los documentos relacionados con la contratación también se encuentra regulado en la Ley 1712 de 2014, que dispone en el literal g) del artículo 11, que todo sujeto obligado, que en este caso aplica a todas las entidades estatales independientemente de su régimen contractual,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prescribe en el artículo 2.1.1.2.1.7, que las entidades deberán publicar en el SECOP </w:t>
      </w:r>
      <w:r w:rsidRPr="001F40C0">
        <w:rPr>
          <w:rFonts w:ascii="Arial" w:hAnsi="Arial" w:cs="Arial"/>
          <w:lang w:val="es-ES"/>
        </w:rPr>
        <w:t>la información de su gestión contractual</w:t>
      </w:r>
      <w:r w:rsidRPr="001F40C0">
        <w:rPr>
          <w:rStyle w:val="Refdenotaalpie"/>
          <w:rFonts w:ascii="Arial" w:hAnsi="Arial" w:cs="Arial"/>
          <w:lang w:val="es-ES"/>
        </w:rPr>
        <w:footnoteReference w:id="11"/>
      </w:r>
      <w:r w:rsidRPr="001F40C0">
        <w:rPr>
          <w:rFonts w:ascii="Arial" w:eastAsia="Calibri" w:hAnsi="Arial" w:cs="Arial"/>
          <w:lang w:val="es-ES"/>
        </w:rPr>
        <w:t xml:space="preserve">. Asimismo, este precepto consagra que: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0F8A776" w14:textId="77777777" w:rsidR="00DD675B" w:rsidRPr="001F40C0" w:rsidRDefault="00DD675B" w:rsidP="001E7793">
      <w:pPr>
        <w:spacing w:after="120" w:line="276" w:lineRule="auto"/>
        <w:ind w:firstLine="709"/>
        <w:jc w:val="both"/>
        <w:rPr>
          <w:rFonts w:ascii="Arial" w:eastAsia="Calibri" w:hAnsi="Arial" w:cs="Arial"/>
          <w:lang w:val="es-ES_tradnl"/>
        </w:rPr>
      </w:pPr>
      <w:r w:rsidRPr="001F40C0">
        <w:rPr>
          <w:rFonts w:ascii="Arial" w:eastAsia="Calibri" w:hAnsi="Arial" w:cs="Arial"/>
          <w:lang w:val="es-ES"/>
        </w:rPr>
        <w:t>Por otro lado, el inciso segundo de dicho artículo precisa el momento para realizar la publicación, remitiendo al mismo plazo establecido en el artículo 2.2.1.1.1.7.1 del Decreto 1082 de 2015, esto es, dentro de los tres (3) días siguientes a la expedición del documento. En efecto, el inciso indicado establece: «Los sujetos obligados que contratan con cargo a recursos públicos deben publicar la información de su gestión contractual en el plazo previsto en el artículo 19 del Decreto 1510 de 2013, o el que lo modifique, sustituya o adicione». Cabe aclarar que el artículo 19 indicado fue compilado en el artículo 2.2.1.1.1.7.1 del Decreto 1082 de 2015.</w:t>
      </w:r>
      <w:r w:rsidRPr="001F40C0">
        <w:rPr>
          <w:rFonts w:ascii="Arial" w:hAnsi="Arial" w:cs="Arial"/>
        </w:rPr>
        <w:t xml:space="preserve"> Asimismo, es importante precisar que si bien el Decreto 1082 de 2015, en principio</w:t>
      </w:r>
      <w:r>
        <w:rPr>
          <w:rFonts w:ascii="Arial" w:hAnsi="Arial" w:cs="Arial"/>
        </w:rPr>
        <w:t>,</w:t>
      </w:r>
      <w:r w:rsidRPr="001F40C0">
        <w:rPr>
          <w:rFonts w:ascii="Arial" w:hAnsi="Arial" w:cs="Arial"/>
        </w:rPr>
        <w:t xml:space="preserve"> no aplica a las entidades de régimen exceptuado al Estatuto General de Contratación de la Administración Pública, porque su régimen de contratación es el derecho privado, será posible aplicarle esta norma en virtud de la remisión dispuesta en el artículo 2.1.1.2.1.7 del Decreto 1081 de 2015 al artículo 19 </w:t>
      </w:r>
      <w:r w:rsidRPr="001F40C0">
        <w:rPr>
          <w:rFonts w:ascii="Arial" w:eastAsia="Calibri" w:hAnsi="Arial" w:cs="Arial"/>
          <w:lang w:val="es-ES"/>
        </w:rPr>
        <w:t xml:space="preserve">del Decreto 1510 de 2013, o el que lo modifique, sustituya o adicione, que en este caso es el artículo 2.2.1.1.1.7.1 del Decreto 1082 de 2015. </w:t>
      </w:r>
      <w:r w:rsidRPr="001F40C0">
        <w:rPr>
          <w:rFonts w:ascii="Arial" w:hAnsi="Arial" w:cs="Arial"/>
        </w:rPr>
        <w:t>En este sentido, las entidades exceptuadas del régimen de contratación de Ley 80 de 1993 publicarán en el SECOP sus documentos dentro de los tres (3) días siguientes a su expedición.</w:t>
      </w:r>
    </w:p>
    <w:p w14:paraId="3E3D3368" w14:textId="77777777" w:rsidR="00DD675B" w:rsidRPr="001F40C0" w:rsidRDefault="00DD675B" w:rsidP="001E7793">
      <w:pPr>
        <w:spacing w:after="0" w:line="276" w:lineRule="auto"/>
        <w:ind w:firstLine="709"/>
        <w:contextualSpacing/>
        <w:jc w:val="both"/>
        <w:rPr>
          <w:rFonts w:ascii="Arial" w:eastAsia="Calibri" w:hAnsi="Arial" w:cs="Arial"/>
          <w:lang w:val="es-ES_tradnl" w:eastAsia="es-ES_tradnl"/>
        </w:rPr>
      </w:pPr>
      <w:r w:rsidRPr="001F40C0">
        <w:rPr>
          <w:rFonts w:ascii="Arial" w:eastAsia="Calibri" w:hAnsi="Arial" w:cs="Arial"/>
          <w:lang w:val="es-ES_tradnl" w:eastAsia="es-ES_tradnl"/>
        </w:rPr>
        <w:t xml:space="preserve">En armonía con lo anterior, </w:t>
      </w:r>
      <w:r w:rsidRPr="001F40C0">
        <w:rPr>
          <w:rFonts w:ascii="Arial" w:eastAsia="Calibri" w:hAnsi="Arial" w:cs="Arial"/>
          <w:lang w:val="es-ES"/>
        </w:rPr>
        <w:t>la Circular 002 del 1 de junio de 2022</w:t>
      </w:r>
      <w:r w:rsidRPr="001F40C0">
        <w:rPr>
          <w:rStyle w:val="Refdenotaalpie"/>
          <w:rFonts w:ascii="Arial" w:eastAsia="Calibri" w:hAnsi="Arial" w:cs="Arial"/>
          <w:lang w:val="es-ES"/>
        </w:rPr>
        <w:footnoteReference w:id="12"/>
      </w:r>
      <w:r w:rsidRPr="001F40C0">
        <w:rPr>
          <w:rFonts w:ascii="Arial" w:eastAsia="Calibri" w:hAnsi="Arial" w:cs="Arial"/>
          <w:lang w:val="es-ES"/>
        </w:rPr>
        <w:t>, relacionada con la aplicación del artículo 53 de la Ley 2195 de 2022, dictada por el Departamento Administrativo de la Presidencia, en relación con el plazo para cargar los documentos señaló lo siguiente</w:t>
      </w:r>
      <w:r w:rsidRPr="001F40C0">
        <w:rPr>
          <w:rFonts w:ascii="Arial" w:eastAsia="Calibri" w:hAnsi="Arial" w:cs="Arial"/>
          <w:lang w:val="es-ES_tradnl" w:eastAsia="es-ES_tradnl"/>
        </w:rPr>
        <w:t>:</w:t>
      </w:r>
    </w:p>
    <w:p w14:paraId="4CE9F8F1" w14:textId="77777777" w:rsidR="00DD675B" w:rsidRPr="001F40C0" w:rsidRDefault="00DD675B" w:rsidP="001E7793">
      <w:pPr>
        <w:spacing w:after="0" w:line="276" w:lineRule="auto"/>
        <w:ind w:firstLine="709"/>
        <w:contextualSpacing/>
        <w:jc w:val="both"/>
        <w:rPr>
          <w:rFonts w:ascii="Arial" w:eastAsia="Calibri" w:hAnsi="Arial" w:cs="Arial"/>
          <w:lang w:val="es-ES_tradnl" w:eastAsia="es-ES_tradnl"/>
        </w:rPr>
      </w:pPr>
    </w:p>
    <w:p w14:paraId="47001F6D" w14:textId="77777777" w:rsidR="00DD675B" w:rsidRPr="001F40C0" w:rsidRDefault="00DD675B" w:rsidP="001E7793">
      <w:pPr>
        <w:spacing w:after="0" w:line="240" w:lineRule="auto"/>
        <w:ind w:left="709" w:right="709"/>
        <w:contextualSpacing/>
        <w:jc w:val="both"/>
        <w:rPr>
          <w:rFonts w:ascii="Arial" w:eastAsia="Times New Roman" w:hAnsi="Arial" w:cs="Arial"/>
          <w:sz w:val="21"/>
          <w:szCs w:val="21"/>
          <w:lang w:eastAsia="es-ES_tradnl"/>
        </w:rPr>
      </w:pPr>
      <w:r w:rsidRPr="001F40C0">
        <w:rPr>
          <w:rFonts w:ascii="Arial" w:eastAsia="Times New Roman" w:hAnsi="Arial" w:cs="Arial"/>
          <w:sz w:val="21"/>
          <w:szCs w:val="21"/>
          <w:lang w:eastAsia="es-ES_tradnl"/>
        </w:rPr>
        <w:t xml:space="preserve">Si se utiliza el SECOP II como herramienta de publicidad, </w:t>
      </w:r>
      <w:r w:rsidRPr="001F40C0">
        <w:rPr>
          <w:rFonts w:ascii="Arial" w:eastAsia="Times New Roman" w:hAnsi="Arial" w:cs="Arial"/>
          <w:i/>
          <w:iCs/>
          <w:sz w:val="21"/>
          <w:szCs w:val="21"/>
          <w:lang w:eastAsia="es-ES_tradnl"/>
        </w:rPr>
        <w:t>la publicación de los documentos relacionados con la actividad contractual deberá realizarse dentro de los 3 días siguientes a su expedición</w:t>
      </w:r>
      <w:r w:rsidRPr="001F40C0">
        <w:rPr>
          <w:rFonts w:ascii="Arial" w:eastAsia="Times New Roman" w:hAnsi="Arial" w:cs="Arial"/>
          <w:sz w:val="21"/>
          <w:szCs w:val="21"/>
          <w:lang w:eastAsia="es-ES_tradnl"/>
        </w:rPr>
        <w:t>, en aplicación de lo dispuesto en el artículo 2.1.1.2.1.7. del Decreto 1081 de 2015, el cual remite al artículo 2.2.1.1.1.7.1. del Decreto 1082 de 2015, en el que se hace referencia al plazo en cita.</w:t>
      </w:r>
    </w:p>
    <w:p w14:paraId="6AC26552" w14:textId="77777777" w:rsidR="00DD675B" w:rsidRPr="001F40C0" w:rsidRDefault="00DD675B" w:rsidP="001E7793">
      <w:pPr>
        <w:spacing w:after="0" w:line="240" w:lineRule="auto"/>
        <w:ind w:left="709" w:right="709"/>
        <w:contextualSpacing/>
        <w:jc w:val="both"/>
        <w:rPr>
          <w:rFonts w:ascii="Arial" w:eastAsia="Times New Roman" w:hAnsi="Arial" w:cs="Arial"/>
          <w:sz w:val="21"/>
          <w:szCs w:val="21"/>
          <w:lang w:eastAsia="es-ES_tradnl"/>
        </w:rPr>
      </w:pPr>
    </w:p>
    <w:p w14:paraId="3EB5FAFE" w14:textId="77777777" w:rsidR="00DD675B" w:rsidRPr="001F40C0" w:rsidRDefault="00DD675B" w:rsidP="001E7793">
      <w:pPr>
        <w:spacing w:after="0" w:line="240" w:lineRule="auto"/>
        <w:ind w:left="709" w:right="709"/>
        <w:contextualSpacing/>
        <w:jc w:val="both"/>
        <w:rPr>
          <w:rFonts w:ascii="Arial" w:eastAsia="Calibri" w:hAnsi="Arial" w:cs="Arial"/>
          <w:sz w:val="21"/>
          <w:szCs w:val="21"/>
          <w:lang w:val="es-ES_tradnl" w:eastAsia="es-ES_tradnl"/>
        </w:rPr>
      </w:pPr>
      <w:r w:rsidRPr="001F40C0">
        <w:rPr>
          <w:rFonts w:ascii="Arial" w:eastAsia="Times New Roman" w:hAnsi="Arial" w:cs="Arial"/>
          <w:sz w:val="21"/>
          <w:szCs w:val="21"/>
          <w:lang w:eastAsia="es-ES_tradnl"/>
        </w:rPr>
        <w:t xml:space="preserve">Si se hace uso de la plataforma de manera transaccional, la publicación de los documentos relacionados con la actividad contractual deberá realizarse en los términos establecidos en el cronograma del proceso de selección y las reglas aplicables a cada modalidad de contratación en particular, de acuerdo con cada Manual de Contratación. </w:t>
      </w:r>
      <w:r w:rsidRPr="001F40C0">
        <w:rPr>
          <w:rFonts w:ascii="Arial" w:eastAsia="Calibri" w:hAnsi="Arial" w:cs="Arial"/>
          <w:sz w:val="21"/>
          <w:szCs w:val="21"/>
        </w:rPr>
        <w:t>(Cursiva fuera del original).</w:t>
      </w:r>
    </w:p>
    <w:p w14:paraId="666AB3F1" w14:textId="77777777" w:rsidR="00DD675B" w:rsidRPr="002E0926" w:rsidRDefault="00DD675B" w:rsidP="00DD675B">
      <w:pPr>
        <w:spacing w:after="0" w:line="276" w:lineRule="auto"/>
        <w:contextualSpacing/>
        <w:jc w:val="both"/>
        <w:rPr>
          <w:rFonts w:ascii="Arial" w:eastAsia="Calibri" w:hAnsi="Arial" w:cs="Arial"/>
          <w:b/>
          <w:bCs/>
          <w:lang w:val="es-ES" w:eastAsia="es-ES_tradnl"/>
        </w:rPr>
      </w:pPr>
    </w:p>
    <w:p w14:paraId="2686244E" w14:textId="77777777" w:rsidR="00DD675B" w:rsidRDefault="00DD675B" w:rsidP="00F95815">
      <w:pPr>
        <w:spacing w:after="120" w:line="276" w:lineRule="auto"/>
        <w:ind w:firstLine="709"/>
        <w:jc w:val="both"/>
        <w:rPr>
          <w:rFonts w:ascii="Arial" w:hAnsi="Arial" w:cs="Arial"/>
          <w:shd w:val="clear" w:color="auto" w:fill="FFFFFF"/>
        </w:rPr>
      </w:pPr>
      <w:r w:rsidRPr="002E0926">
        <w:rPr>
          <w:rFonts w:ascii="Arial" w:eastAsia="Calibri" w:hAnsi="Arial" w:cs="Arial"/>
          <w:lang w:val="es-ES" w:eastAsia="es-ES_tradnl"/>
        </w:rPr>
        <w:t xml:space="preserve">De conformidad con lo expuesto se concluye que el término que tienen las </w:t>
      </w:r>
      <w:r w:rsidRPr="002E0926">
        <w:rPr>
          <w:rFonts w:ascii="Arial" w:hAnsi="Arial" w:cs="Arial"/>
          <w:shd w:val="clear" w:color="auto" w:fill="FFFFFF"/>
        </w:rPr>
        <w:t>entidades estatales que por disposición legal cuenten con un régimen contractual excepcional al del Estatuto General de Contratación de la Administración Pública para publicar en el SECOP II es de tres (3) días posterior a su expedición. Lo anterior, sin perjuicio de que dichas entidades hagan uso transaccional de la plataforma, caso en el cual la publicación de los documentos deberá hacerse en tiempo real, de acuerdo al cronograma definido para el proceso de selección.</w:t>
      </w:r>
    </w:p>
    <w:p w14:paraId="032B9291" w14:textId="718A251D" w:rsidR="00DD675B" w:rsidRDefault="00DD675B" w:rsidP="00926CEC">
      <w:pPr>
        <w:autoSpaceDE w:val="0"/>
        <w:autoSpaceDN w:val="0"/>
        <w:adjustRightInd w:val="0"/>
        <w:spacing w:after="120" w:line="276" w:lineRule="auto"/>
        <w:ind w:firstLine="709"/>
        <w:jc w:val="both"/>
        <w:rPr>
          <w:rFonts w:ascii="Arial" w:eastAsia="Calibri" w:hAnsi="Arial" w:cs="Arial"/>
          <w:lang w:val="es-ES"/>
        </w:rPr>
      </w:pPr>
      <w:r w:rsidRPr="00E67187">
        <w:rPr>
          <w:rFonts w:ascii="Arial" w:eastAsia="Calibri" w:hAnsi="Arial" w:cs="Arial"/>
          <w:lang w:val="es-ES_tradnl"/>
        </w:rPr>
        <w:t xml:space="preserve">Por último, resulta importante señalar que el pasado </w:t>
      </w:r>
      <w:r w:rsidRPr="00E67187">
        <w:rPr>
          <w:rFonts w:ascii="Arial" w:eastAsia="Calibri" w:hAnsi="Arial" w:cs="Arial"/>
          <w:lang w:val="es-ES"/>
        </w:rPr>
        <w:t xml:space="preserve">1 de junio, el Departamento Administrativo de la Presidencia de la Republica </w:t>
      </w:r>
      <w:r>
        <w:rPr>
          <w:rFonts w:ascii="Arial" w:eastAsia="Calibri" w:hAnsi="Arial" w:cs="Arial"/>
          <w:lang w:val="es-ES"/>
        </w:rPr>
        <w:t>expidió</w:t>
      </w:r>
      <w:r w:rsidRPr="00E67187">
        <w:rPr>
          <w:rFonts w:ascii="Arial" w:eastAsia="Calibri" w:hAnsi="Arial" w:cs="Arial"/>
          <w:lang w:val="es-ES"/>
        </w:rPr>
        <w:t xml:space="preserve">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iii) régimen de transición de los contratos celebrados con anterioridad a la entrada en vigencia de la obligación consagrada en el artículo 53 de la Ley 2195 de 2022. La mencionada </w:t>
      </w:r>
      <w:r>
        <w:rPr>
          <w:rFonts w:ascii="Arial" w:eastAsia="Calibri" w:hAnsi="Arial" w:cs="Arial"/>
          <w:lang w:val="es-ES"/>
        </w:rPr>
        <w:t>circular</w:t>
      </w:r>
      <w:r w:rsidRPr="00E67187">
        <w:rPr>
          <w:rFonts w:ascii="Arial" w:eastAsia="Calibri" w:hAnsi="Arial" w:cs="Arial"/>
          <w:lang w:val="es-ES"/>
        </w:rPr>
        <w:t xml:space="preserve"> contiene una serie de instrucciones con miras a garantizar el cumplimiento del deber legal por parte de las entidades estatales exceptuadas del Estatuto General de Contratación Pública. </w:t>
      </w:r>
    </w:p>
    <w:p w14:paraId="5A22E0D4" w14:textId="77777777" w:rsidR="00E34844" w:rsidRDefault="00E34844" w:rsidP="00926CEC">
      <w:pPr>
        <w:spacing w:line="276" w:lineRule="auto"/>
        <w:ind w:firstLine="708"/>
        <w:jc w:val="both"/>
        <w:rPr>
          <w:rFonts w:ascii="Arial" w:hAnsi="Arial" w:cs="Arial"/>
        </w:rPr>
      </w:pPr>
      <w:bookmarkStart w:id="19" w:name="_Hlk112856300"/>
      <w:r w:rsidRPr="002678BB">
        <w:rPr>
          <w:rFonts w:ascii="Arial" w:hAnsi="Arial" w:cs="Arial"/>
        </w:rPr>
        <w:t xml:space="preserve">Con todo, resulta claro que las entidades exceptuadas se encuentran obligadas a publicar todos los documentos de su actividad contractual en el SECOP II, sin perjuicio de estar sometidas a regímenes de derecho privado. </w:t>
      </w:r>
      <w:r>
        <w:rPr>
          <w:rFonts w:ascii="Arial" w:hAnsi="Arial" w:cs="Arial"/>
        </w:rPr>
        <w:t xml:space="preserve">Ahora, el hecho de que su contratación no esté regida por el Estatuto General de Contratación de la Administración Pública deviene en que las entidades exceptuadas deban publicar unos documentos diferentes a los que les corresponde publicar a las entidades que si están sometidas a dicho régimen.  </w:t>
      </w:r>
    </w:p>
    <w:p w14:paraId="0717FE69" w14:textId="77777777" w:rsidR="00E34844" w:rsidRDefault="00E34844" w:rsidP="00926CEC">
      <w:pPr>
        <w:spacing w:line="276" w:lineRule="auto"/>
        <w:jc w:val="both"/>
        <w:rPr>
          <w:rFonts w:ascii="Arial" w:hAnsi="Arial" w:cs="Arial"/>
        </w:rPr>
      </w:pPr>
      <w:r>
        <w:rPr>
          <w:rFonts w:ascii="Arial" w:hAnsi="Arial" w:cs="Arial"/>
        </w:rPr>
        <w:tab/>
        <w:t xml:space="preserve">De esta manera, dado que en la actividad contractual adelantada en el marco del derecho privado y conforme a las reglas establecidas en los manuales de contratación de las respectivas entidades exceptuadas no se contemplan actuaciones como la expedición de certificado de disponibilidad presupuestal o el registro presupuestal, no son estos documentos que les corresponda publicar a dichas entidades. Sin embargo, si de acuerdo con el sistema de gestión financiera de la entidad en los procedimientos contractuales que se adelanten se expiden documentos equivalentes de los mencionados, la entidad en el estaría obligada a publicarlos.  </w:t>
      </w:r>
    </w:p>
    <w:p w14:paraId="3E87AA02" w14:textId="3E5354BF" w:rsidR="00E34844" w:rsidRPr="006B7DD1" w:rsidRDefault="00E34844" w:rsidP="00926CEC">
      <w:pPr>
        <w:spacing w:line="276" w:lineRule="auto"/>
        <w:ind w:firstLine="708"/>
        <w:jc w:val="both"/>
        <w:rPr>
          <w:rFonts w:ascii="Arial" w:hAnsi="Arial" w:cs="Arial"/>
        </w:rPr>
      </w:pPr>
      <w:bookmarkStart w:id="20" w:name="_Hlk112856537"/>
      <w:bookmarkEnd w:id="19"/>
      <w:r w:rsidRPr="006B7DD1">
        <w:rPr>
          <w:rFonts w:ascii="Arial" w:hAnsi="Arial" w:cs="Arial"/>
        </w:rPr>
        <w:t xml:space="preserve">En virtud de lo anterior, respecto de su última pregunta le informamos que el campo </w:t>
      </w:r>
      <w:bookmarkStart w:id="21" w:name="_Hlk112856519"/>
      <w:r w:rsidRPr="006B7DD1">
        <w:rPr>
          <w:rFonts w:ascii="Arial" w:hAnsi="Arial" w:cs="Arial"/>
          <w:i/>
          <w:iCs/>
        </w:rPr>
        <w:t>certificado de disponibilidad presupuestal</w:t>
      </w:r>
      <w:r w:rsidRPr="006B7DD1">
        <w:rPr>
          <w:rFonts w:ascii="Arial" w:hAnsi="Arial" w:cs="Arial"/>
        </w:rPr>
        <w:t xml:space="preserve"> </w:t>
      </w:r>
      <w:bookmarkEnd w:id="21"/>
      <w:r w:rsidRPr="006B7DD1">
        <w:rPr>
          <w:rFonts w:ascii="Arial" w:hAnsi="Arial" w:cs="Arial"/>
        </w:rPr>
        <w:t xml:space="preserve">está habilitado en la creación y edición del proceso de contratación en la sección </w:t>
      </w:r>
      <w:r w:rsidR="00575A75">
        <w:rPr>
          <w:rFonts w:ascii="Arial" w:hAnsi="Arial" w:cs="Arial"/>
        </w:rPr>
        <w:t>«</w:t>
      </w:r>
      <w:r w:rsidRPr="006B7DD1">
        <w:rPr>
          <w:rFonts w:ascii="Arial" w:hAnsi="Arial" w:cs="Arial"/>
          <w:i/>
          <w:iCs/>
        </w:rPr>
        <w:t>2</w:t>
      </w:r>
      <w:r w:rsidR="00575A75">
        <w:rPr>
          <w:rFonts w:ascii="Arial" w:hAnsi="Arial" w:cs="Arial"/>
          <w:i/>
          <w:iCs/>
        </w:rPr>
        <w:t>.</w:t>
      </w:r>
      <w:r w:rsidRPr="006B7DD1">
        <w:rPr>
          <w:rFonts w:ascii="Arial" w:hAnsi="Arial" w:cs="Arial"/>
          <w:i/>
          <w:iCs/>
        </w:rPr>
        <w:t xml:space="preserve"> Configuración</w:t>
      </w:r>
      <w:r w:rsidR="00575A75">
        <w:rPr>
          <w:rFonts w:ascii="Arial" w:hAnsi="Arial" w:cs="Arial"/>
          <w:i/>
          <w:iCs/>
        </w:rPr>
        <w:t>»</w:t>
      </w:r>
      <w:r w:rsidRPr="006B7DD1">
        <w:rPr>
          <w:rFonts w:ascii="Arial" w:hAnsi="Arial" w:cs="Arial"/>
          <w:i/>
          <w:iCs/>
        </w:rPr>
        <w:t>,</w:t>
      </w:r>
      <w:r w:rsidRPr="006B7DD1">
        <w:rPr>
          <w:rFonts w:ascii="Arial" w:hAnsi="Arial" w:cs="Arial"/>
        </w:rPr>
        <w:t xml:space="preserve"> sin embargo, no es un campo obligatorio, por lo que la entidad podría omitir el diligenciamiento del mismo.  De igual modo, con relación a la información del registro presupuestal, si bien técnicamente este campo si es obligatorio para el inicio de ejecución del contrato electrónico en la plataforma, la entidad también puede relacionar la infamación que corresponda de acuerdo con el sistema de gestión financiera que maneja, en el caso de que la entidad no utilice propiamente esta figura. </w:t>
      </w:r>
    </w:p>
    <w:bookmarkEnd w:id="20"/>
    <w:p w14:paraId="7591DA7A" w14:textId="77777777" w:rsidR="00E34844" w:rsidRPr="006B7DD1" w:rsidRDefault="00E34844" w:rsidP="00926CEC">
      <w:pPr>
        <w:spacing w:line="276" w:lineRule="auto"/>
        <w:ind w:firstLine="708"/>
        <w:jc w:val="both"/>
        <w:rPr>
          <w:rFonts w:ascii="Arial" w:hAnsi="Arial" w:cs="Arial"/>
        </w:rPr>
      </w:pPr>
      <w:r w:rsidRPr="006B7DD1">
        <w:rPr>
          <w:rFonts w:ascii="Arial" w:hAnsi="Arial" w:cs="Arial"/>
        </w:rPr>
        <w:t>Adicionalmente, cabe aclarar que, si la entidad opta por hacer un uso meramente publicitario de la plataforma para la gestión y publicación de sus procesos de contratación, conforme a lo establecido en la Circular No. 02 del de 2022 expedida por el Departamento Administrativo de la Presidencia de la República el pasado 01 de junio, este campo no sería necesario, teniendo en cuenta que la entidad no generaría el contrato de forma electrónica en el SECOP II sino de manera externa y daría publicidad a todos los documentos de su actividad contractual a través de la sección de modificaciones del proceso.</w:t>
      </w:r>
    </w:p>
    <w:p w14:paraId="77776CA8" w14:textId="309313FC" w:rsidR="00E34844" w:rsidRPr="006B7DD1" w:rsidRDefault="00E34844" w:rsidP="00926CEC">
      <w:pPr>
        <w:spacing w:after="0" w:line="276" w:lineRule="auto"/>
        <w:ind w:firstLine="708"/>
        <w:jc w:val="both"/>
        <w:rPr>
          <w:rFonts w:ascii="Arial" w:hAnsi="Arial" w:cs="Arial"/>
        </w:rPr>
      </w:pPr>
      <w:bookmarkStart w:id="22" w:name="_Hlk112856549"/>
      <w:r w:rsidRPr="006B7DD1">
        <w:rPr>
          <w:rFonts w:ascii="Arial" w:hAnsi="Arial" w:cs="Arial"/>
        </w:rPr>
        <w:t xml:space="preserve">Por otro lado, con respecto a su inquietud sobre el banco de proyectos, le informamos que este campo no es obligatorio en la plataforma en vista de que, la interoperabilidad que tiene el SECOP II con el Sistema Unificado de Inversiones y Finanzas Públicas - SUIFP para la validación del Código BPIN se habilita únicamente en el caso de que en el campo de </w:t>
      </w:r>
      <w:r w:rsidRPr="006B7DD1">
        <w:rPr>
          <w:rFonts w:ascii="Arial" w:hAnsi="Arial" w:cs="Arial"/>
          <w:i/>
          <w:iCs/>
        </w:rPr>
        <w:t>"Destinación del gasto"</w:t>
      </w:r>
      <w:r w:rsidRPr="006B7DD1">
        <w:rPr>
          <w:rFonts w:ascii="Arial" w:hAnsi="Arial" w:cs="Arial"/>
        </w:rPr>
        <w:t xml:space="preserve"> la entidad elija la opción "Inversión” siempre y cuando la fuente de los recursos corresponda a: Presupuesto general de la Nación - PGN: Sistema General de Participaciones - SGP: Sistema General de Regalías - SGR o Recursos Propios Alcaldías o Gobernaciones). En este sentido</w:t>
      </w:r>
      <w:r w:rsidR="00575A75">
        <w:rPr>
          <w:rFonts w:ascii="Arial" w:hAnsi="Arial" w:cs="Arial"/>
        </w:rPr>
        <w:t>,</w:t>
      </w:r>
      <w:r w:rsidRPr="006B7DD1">
        <w:rPr>
          <w:rFonts w:ascii="Arial" w:hAnsi="Arial" w:cs="Arial"/>
        </w:rPr>
        <w:t xml:space="preserve"> si la entidad no ejecuta recursos provenientes de alguna de las fuentes de recursos mencionados anteriormente la validación del Código BPIN no será obligatoria.</w:t>
      </w:r>
    </w:p>
    <w:bookmarkEnd w:id="22"/>
    <w:p w14:paraId="6D14C393" w14:textId="77777777" w:rsidR="00DD675B" w:rsidRDefault="00DD675B" w:rsidP="00F349D1">
      <w:pPr>
        <w:pStyle w:val="NormalWeb"/>
        <w:spacing w:after="0" w:line="276" w:lineRule="auto"/>
        <w:contextualSpacing/>
        <w:jc w:val="both"/>
        <w:rPr>
          <w:rFonts w:ascii="Arial" w:eastAsia="Calibri" w:hAnsi="Arial" w:cs="Arial"/>
          <w:b/>
          <w:bCs/>
          <w:sz w:val="22"/>
          <w:szCs w:val="22"/>
          <w:lang w:val="es-ES_tradnl" w:eastAsia="es-ES_tradnl"/>
        </w:rPr>
      </w:pPr>
    </w:p>
    <w:p w14:paraId="6C9083F2" w14:textId="37AA7E85" w:rsidR="00C945A0" w:rsidRPr="001022FB" w:rsidRDefault="00DD675B" w:rsidP="00F349D1">
      <w:pPr>
        <w:pStyle w:val="NormalWeb"/>
        <w:spacing w:after="0" w:line="276" w:lineRule="auto"/>
        <w:contextualSpacing/>
        <w:jc w:val="both"/>
        <w:rPr>
          <w:rFonts w:ascii="Arial" w:hAnsi="Arial" w:cs="Arial"/>
          <w:b/>
          <w:sz w:val="22"/>
          <w:szCs w:val="22"/>
        </w:rPr>
      </w:pPr>
      <w:r>
        <w:rPr>
          <w:rFonts w:ascii="Arial" w:eastAsia="Calibri" w:hAnsi="Arial" w:cs="Arial"/>
          <w:b/>
          <w:bCs/>
          <w:sz w:val="22"/>
          <w:szCs w:val="22"/>
          <w:lang w:val="es-ES_tradnl" w:eastAsia="es-ES_tradnl"/>
        </w:rPr>
        <w:t xml:space="preserve">2.3. </w:t>
      </w:r>
      <w:r w:rsidR="00275EF2" w:rsidRPr="001022FB">
        <w:rPr>
          <w:rFonts w:ascii="Arial" w:eastAsia="Calibri" w:hAnsi="Arial" w:cs="Arial"/>
          <w:b/>
          <w:bCs/>
          <w:sz w:val="22"/>
          <w:szCs w:val="22"/>
          <w:lang w:val="es-ES_tradnl" w:eastAsia="es-ES_tradnl"/>
        </w:rPr>
        <w:t xml:space="preserve">Régimen contractual de </w:t>
      </w:r>
      <w:r w:rsidR="00C945A0" w:rsidRPr="001022FB">
        <w:rPr>
          <w:rFonts w:ascii="Arial" w:hAnsi="Arial" w:cs="Arial"/>
          <w:b/>
          <w:sz w:val="22"/>
          <w:szCs w:val="22"/>
        </w:rPr>
        <w:t xml:space="preserve">las asociaciones y fundaciones </w:t>
      </w:r>
      <w:r w:rsidR="00275EF2" w:rsidRPr="001022FB">
        <w:rPr>
          <w:rFonts w:ascii="Arial" w:hAnsi="Arial" w:cs="Arial"/>
          <w:b/>
          <w:sz w:val="22"/>
          <w:szCs w:val="22"/>
        </w:rPr>
        <w:t>mixtas. Análisis de la aplicación del artículo 53 de la Ley 2195 de 2022</w:t>
      </w:r>
    </w:p>
    <w:p w14:paraId="7F22DC63" w14:textId="77777777" w:rsidR="00C945A0" w:rsidRPr="001022FB" w:rsidRDefault="00C945A0" w:rsidP="00F349D1">
      <w:pPr>
        <w:pStyle w:val="NormalWeb"/>
        <w:spacing w:after="0" w:line="276" w:lineRule="auto"/>
        <w:contextualSpacing/>
        <w:jc w:val="both"/>
        <w:rPr>
          <w:rFonts w:ascii="Arial" w:hAnsi="Arial" w:cs="Arial"/>
          <w:sz w:val="22"/>
          <w:szCs w:val="22"/>
        </w:rPr>
      </w:pPr>
    </w:p>
    <w:p w14:paraId="776DBD5E" w14:textId="0A9D844F" w:rsidR="00C945A0" w:rsidRPr="001022FB" w:rsidRDefault="00C945A0" w:rsidP="00CC1ACA">
      <w:pPr>
        <w:pStyle w:val="NormalWeb"/>
        <w:spacing w:after="120" w:line="276" w:lineRule="auto"/>
        <w:jc w:val="both"/>
        <w:rPr>
          <w:rFonts w:ascii="Arial" w:eastAsia="Calibri" w:hAnsi="Arial" w:cs="Arial"/>
          <w:sz w:val="22"/>
          <w:szCs w:val="22"/>
        </w:rPr>
      </w:pPr>
      <w:bookmarkStart w:id="23" w:name="_Hlk112856566"/>
      <w:r w:rsidRPr="001022FB">
        <w:rPr>
          <w:rFonts w:ascii="Arial" w:hAnsi="Arial" w:cs="Arial"/>
          <w:sz w:val="22"/>
          <w:szCs w:val="22"/>
        </w:rPr>
        <w:t xml:space="preserve">El artículo 96 de la Ley 489 de 1998 </w:t>
      </w:r>
      <w:r w:rsidRPr="001022FB">
        <w:rPr>
          <w:rFonts w:ascii="Arial" w:eastAsia="Calibri" w:hAnsi="Arial" w:cs="Arial"/>
          <w:sz w:val="22"/>
          <w:szCs w:val="22"/>
        </w:rPr>
        <w:t xml:space="preserve">regula lo concerniente a </w:t>
      </w:r>
      <w:bookmarkStart w:id="24" w:name="_Hlk97214776"/>
      <w:r w:rsidRPr="001022FB">
        <w:rPr>
          <w:rFonts w:ascii="Arial" w:eastAsia="Calibri" w:hAnsi="Arial" w:cs="Arial"/>
          <w:sz w:val="22"/>
          <w:szCs w:val="22"/>
        </w:rPr>
        <w:t xml:space="preserve">la constitución de asociaciones o fundaciones </w:t>
      </w:r>
      <w:bookmarkEnd w:id="24"/>
      <w:r w:rsidRPr="001022FB">
        <w:rPr>
          <w:rFonts w:ascii="Arial" w:eastAsia="Calibri" w:hAnsi="Arial" w:cs="Arial"/>
          <w:sz w:val="22"/>
          <w:szCs w:val="22"/>
        </w:rPr>
        <w:t>con participación mixta de entidades públicas y personas jurídicas de derecho privad</w:t>
      </w:r>
      <w:r w:rsidR="009F481C" w:rsidRPr="001022FB">
        <w:rPr>
          <w:rFonts w:ascii="Arial" w:eastAsia="Calibri" w:hAnsi="Arial" w:cs="Arial"/>
          <w:sz w:val="22"/>
          <w:szCs w:val="22"/>
        </w:rPr>
        <w:t>o</w:t>
      </w:r>
      <w:r w:rsidRPr="001022FB">
        <w:rPr>
          <w:rFonts w:ascii="Arial" w:eastAsia="Calibri" w:hAnsi="Arial" w:cs="Arial"/>
          <w:sz w:val="22"/>
          <w:szCs w:val="22"/>
          <w:vertAlign w:val="superscript"/>
        </w:rPr>
        <w:footnoteReference w:id="13"/>
      </w:r>
      <w:r w:rsidRPr="001022FB">
        <w:rPr>
          <w:rFonts w:ascii="Arial" w:eastAsia="Calibri" w:hAnsi="Arial" w:cs="Arial"/>
          <w:sz w:val="22"/>
          <w:szCs w:val="22"/>
        </w:rPr>
        <w:t xml:space="preserve">. </w:t>
      </w:r>
      <w:bookmarkStart w:id="25" w:name="_Hlk112786387"/>
      <w:r w:rsidRPr="001022FB">
        <w:rPr>
          <w:rFonts w:ascii="Arial" w:eastAsia="Calibri" w:hAnsi="Arial" w:cs="Arial"/>
          <w:sz w:val="22"/>
          <w:szCs w:val="22"/>
        </w:rPr>
        <w:t>El mencionado artículo indica que, con independencia de su naturaleza u orden administrativo, las entidades públicas podrán, con la observancia de los principios de la función administrativa señalados en el artículo 209 de la Constitución Política</w:t>
      </w:r>
      <w:bookmarkEnd w:id="25"/>
      <w:r w:rsidRPr="001022FB">
        <w:rPr>
          <w:rFonts w:ascii="Arial" w:eastAsia="Calibri" w:hAnsi="Arial" w:cs="Arial"/>
          <w:sz w:val="22"/>
          <w:szCs w:val="22"/>
        </w:rPr>
        <w:t xml:space="preserve">, asociarse con personas jurídicas privadas con un objetivo común: el desarrollo de actividades que guarden relación con los cometidos y las funciones que la ley les haya asignado a las entidades públicas asociadas.  Así las cosas, </w:t>
      </w:r>
      <w:r w:rsidRPr="001022FB">
        <w:rPr>
          <w:rFonts w:ascii="Arial" w:hAnsi="Arial" w:cs="Arial"/>
          <w:iCs/>
          <w:sz w:val="22"/>
          <w:szCs w:val="22"/>
        </w:rPr>
        <w:t>el artículo 96 permite que se constituyan nuevas personas jurídicas con participación mixta, es decir, como fruto de la asociación entre entes públicos y privados.</w:t>
      </w:r>
    </w:p>
    <w:bookmarkEnd w:id="23"/>
    <w:p w14:paraId="4806C5A5" w14:textId="5FE663D8" w:rsidR="00C945A0" w:rsidRPr="001022FB" w:rsidRDefault="00C945A0" w:rsidP="00CC1ACA">
      <w:pPr>
        <w:pStyle w:val="NormalWeb"/>
        <w:spacing w:after="120" w:line="276" w:lineRule="auto"/>
        <w:ind w:firstLine="708"/>
        <w:jc w:val="both"/>
        <w:rPr>
          <w:rFonts w:ascii="Arial" w:eastAsia="Calibri" w:hAnsi="Arial" w:cs="Arial"/>
          <w:sz w:val="22"/>
          <w:szCs w:val="22"/>
        </w:rPr>
      </w:pPr>
      <w:r w:rsidRPr="001022FB">
        <w:rPr>
          <w:rFonts w:ascii="Arial" w:hAnsi="Arial" w:cs="Arial"/>
          <w:sz w:val="22"/>
          <w:szCs w:val="22"/>
        </w:rPr>
        <w:t xml:space="preserve">Para entender la naturaleza y régimen de las asociaciones y fundaciones para el cumplimiento de las actividades propias de las entidades públicas con participación de particulares, el inciso tercero del </w:t>
      </w:r>
      <w:r w:rsidR="00AA2441" w:rsidRPr="001022FB">
        <w:rPr>
          <w:rFonts w:ascii="Arial" w:hAnsi="Arial" w:cs="Arial"/>
          <w:sz w:val="22"/>
          <w:szCs w:val="22"/>
        </w:rPr>
        <w:t>artículo antes citado</w:t>
      </w:r>
      <w:r w:rsidRPr="001022FB">
        <w:rPr>
          <w:rFonts w:ascii="Arial" w:hAnsi="Arial" w:cs="Arial"/>
          <w:sz w:val="22"/>
          <w:szCs w:val="22"/>
        </w:rPr>
        <w:t xml:space="preserve"> dispone que «Cuando en virtud de lo dispuesto en el presente artículo, surjan personas jurídicas sin ánimo de lucro, éstas se sujetarán a las disposiciones previstas en el Código Civil para las asociaciones civiles de utilidad común».</w:t>
      </w:r>
    </w:p>
    <w:p w14:paraId="46D92694" w14:textId="657DDF2E" w:rsidR="00C945A0" w:rsidRPr="001022FB" w:rsidRDefault="00C945A0" w:rsidP="00CC1ACA">
      <w:pPr>
        <w:pStyle w:val="NormalWeb"/>
        <w:spacing w:after="120" w:line="276" w:lineRule="auto"/>
        <w:ind w:firstLine="708"/>
        <w:jc w:val="both"/>
        <w:rPr>
          <w:rFonts w:ascii="Arial" w:hAnsi="Arial" w:cs="Arial"/>
          <w:i/>
          <w:iCs/>
          <w:sz w:val="22"/>
          <w:szCs w:val="22"/>
        </w:rPr>
      </w:pPr>
      <w:bookmarkStart w:id="26" w:name="_Hlk112786398"/>
      <w:bookmarkStart w:id="27" w:name="_Hlk112856592"/>
      <w:r w:rsidRPr="001022FB">
        <w:rPr>
          <w:rFonts w:ascii="Arial" w:hAnsi="Arial" w:cs="Arial"/>
          <w:sz w:val="22"/>
          <w:szCs w:val="22"/>
        </w:rPr>
        <w:t>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w:t>
      </w:r>
      <w:r w:rsidR="000929D1">
        <w:rPr>
          <w:rFonts w:ascii="Arial" w:hAnsi="Arial" w:cs="Arial"/>
          <w:sz w:val="22"/>
          <w:szCs w:val="22"/>
        </w:rPr>
        <w:t xml:space="preserve"> pese a encontrarse sometida a un régimen de derecho privado</w:t>
      </w:r>
      <w:bookmarkEnd w:id="26"/>
      <w:r w:rsidRPr="001022FB">
        <w:rPr>
          <w:rStyle w:val="Refdenotaalpie"/>
          <w:rFonts w:ascii="Arial" w:hAnsi="Arial" w:cs="Arial"/>
          <w:sz w:val="22"/>
          <w:szCs w:val="22"/>
        </w:rPr>
        <w:footnoteReference w:id="14"/>
      </w:r>
      <w:r w:rsidRPr="001022FB">
        <w:rPr>
          <w:rFonts w:ascii="Arial" w:hAnsi="Arial" w:cs="Arial"/>
          <w:sz w:val="22"/>
          <w:szCs w:val="22"/>
        </w:rPr>
        <w:t>. La conexidad que debe existir entre las actividades de la persona jurídica de carácter mixto y las funciones de las entidades estatales que la integran, así como el carácter público de la participación de las entidades públicas, determinan su sujeción, en algunas materias, a las normas propias del derecho público, evitando que este tipo de entes se conviertan en un mecanismo de</w:t>
      </w:r>
      <w:r w:rsidRPr="001022FB">
        <w:rPr>
          <w:rStyle w:val="apple-converted-space"/>
          <w:rFonts w:ascii="Arial" w:hAnsi="Arial" w:cs="Arial"/>
          <w:sz w:val="22"/>
          <w:szCs w:val="22"/>
        </w:rPr>
        <w:t xml:space="preserve"> </w:t>
      </w:r>
      <w:r w:rsidRPr="001022FB">
        <w:rPr>
          <w:rFonts w:ascii="Arial" w:hAnsi="Arial" w:cs="Arial"/>
          <w:sz w:val="22"/>
          <w:szCs w:val="22"/>
        </w:rPr>
        <w:t>«simple traslado de recursos públicos a particulares»</w:t>
      </w:r>
      <w:bookmarkEnd w:id="27"/>
      <w:r w:rsidRPr="001022FB">
        <w:rPr>
          <w:rStyle w:val="Refdenotaalpie"/>
          <w:rFonts w:ascii="Arial" w:hAnsi="Arial" w:cs="Arial"/>
          <w:sz w:val="22"/>
          <w:szCs w:val="22"/>
        </w:rPr>
        <w:footnoteReference w:id="15"/>
      </w:r>
      <w:r w:rsidRPr="001022FB">
        <w:rPr>
          <w:rFonts w:ascii="Arial" w:hAnsi="Arial" w:cs="Arial"/>
          <w:i/>
          <w:iCs/>
          <w:sz w:val="22"/>
          <w:szCs w:val="22"/>
        </w:rPr>
        <w:t xml:space="preserve">. </w:t>
      </w:r>
    </w:p>
    <w:p w14:paraId="13A9DB3A" w14:textId="77777777" w:rsidR="00C945A0" w:rsidRPr="001022FB" w:rsidRDefault="00C945A0" w:rsidP="00CC1ACA">
      <w:pPr>
        <w:pStyle w:val="NormalWeb"/>
        <w:spacing w:after="0" w:line="276" w:lineRule="auto"/>
        <w:ind w:firstLine="708"/>
        <w:contextualSpacing/>
        <w:jc w:val="both"/>
        <w:rPr>
          <w:rFonts w:ascii="Arial" w:hAnsi="Arial" w:cs="Arial"/>
          <w:sz w:val="22"/>
          <w:szCs w:val="22"/>
        </w:rPr>
      </w:pPr>
      <w:r w:rsidRPr="001022FB">
        <w:rPr>
          <w:rFonts w:ascii="Arial" w:hAnsi="Arial" w:cs="Arial"/>
          <w:iCs/>
          <w:sz w:val="22"/>
          <w:szCs w:val="22"/>
        </w:rPr>
        <w:t>Para comprender lo afirmado anteriormente, en especial, sobre la naturaleza, estructura de organización y régimen contractual de las asociaciones y fundaciones de participación mixta, se acude a la jurisprudencia constitucional, la cual ha tratado el tema en varias sentencias. Al respecto, la Sentencia C-949 de 2001 analizó el siguiente problema jurídico:</w:t>
      </w:r>
      <w:r w:rsidRPr="001022FB">
        <w:rPr>
          <w:rFonts w:ascii="Arial" w:hAnsi="Arial" w:cs="Arial"/>
          <w:sz w:val="22"/>
          <w:szCs w:val="22"/>
        </w:rPr>
        <w:t xml:space="preserve"> ¿se vulnera el artículo </w:t>
      </w:r>
      <w:hyperlink r:id="rId10" w:anchor="123" w:history="1">
        <w:r w:rsidRPr="001022FB">
          <w:rPr>
            <w:rFonts w:ascii="Arial" w:hAnsi="Arial" w:cs="Arial"/>
            <w:sz w:val="22"/>
            <w:szCs w:val="22"/>
          </w:rPr>
          <w:t>123</w:t>
        </w:r>
      </w:hyperlink>
      <w:r w:rsidRPr="001022FB">
        <w:rPr>
          <w:rFonts w:ascii="Arial" w:hAnsi="Arial" w:cs="Arial"/>
          <w:sz w:val="22"/>
          <w:szCs w:val="22"/>
        </w:rPr>
        <w:t xml:space="preserve"> Constitucional cuando se establece que en tratándose de las asociaciones y fundaciones de participación mixta, sólo se consideran servidores públicos sus representantes legales y los funcionarios de los niveles directivo, asesor o ejecutivo o sus equivalentes, en quienes se delegue la celebración de contratos en representación de estas? En esta decisión, la Corte Constitucional manifestó lo siguiente: </w:t>
      </w:r>
    </w:p>
    <w:p w14:paraId="764C0347" w14:textId="77777777" w:rsidR="00C945A0" w:rsidRPr="001022FB" w:rsidRDefault="00C945A0" w:rsidP="00CC1ACA">
      <w:pPr>
        <w:pStyle w:val="NormalWeb"/>
        <w:spacing w:after="0" w:line="276" w:lineRule="auto"/>
        <w:ind w:firstLine="708"/>
        <w:contextualSpacing/>
        <w:jc w:val="both"/>
        <w:rPr>
          <w:rFonts w:ascii="Arial" w:hAnsi="Arial" w:cs="Arial"/>
          <w:iCs/>
          <w:sz w:val="22"/>
          <w:szCs w:val="22"/>
        </w:rPr>
      </w:pPr>
    </w:p>
    <w:p w14:paraId="5D26B85F" w14:textId="42785C12" w:rsidR="00C945A0" w:rsidRDefault="00C945A0" w:rsidP="00CC1ACA">
      <w:pPr>
        <w:widowControl w:val="0"/>
        <w:autoSpaceDE w:val="0"/>
        <w:autoSpaceDN w:val="0"/>
        <w:spacing w:after="0" w:line="240" w:lineRule="auto"/>
        <w:ind w:left="709" w:right="709"/>
        <w:contextualSpacing/>
        <w:jc w:val="both"/>
        <w:rPr>
          <w:rFonts w:ascii="Arial" w:hAnsi="Arial" w:cs="Arial"/>
          <w:sz w:val="21"/>
          <w:szCs w:val="21"/>
          <w:lang w:eastAsia="es-ES"/>
        </w:rPr>
      </w:pPr>
      <w:r w:rsidRPr="001022FB">
        <w:rPr>
          <w:rFonts w:ascii="Arial" w:hAnsi="Arial" w:cs="Arial"/>
          <w:i/>
          <w:sz w:val="21"/>
          <w:szCs w:val="21"/>
          <w:lang w:eastAsia="es-ES"/>
        </w:rPr>
        <w:t>La ley permite a las asociaciones y fundaciones de participación mixta, someterse a la Ley 80 de 1993, con la precisión de que los funcionarios autorizados para suscribir contratos en su nombre, tienen la calidad de servidores públicos para esos efectos, pero para adelantar otras actividades ajenas a los procesos contractuales se someten al régimen de los particulares. Significa esto, que dichos funcionarios responden como servidores públicos en materia penal, disciplinaria y fiscal en el evento en que incurran en irregularidades en la gestión contractual</w:t>
      </w:r>
      <w:r w:rsidRPr="001022FB">
        <w:rPr>
          <w:rFonts w:ascii="Arial" w:hAnsi="Arial" w:cs="Arial"/>
          <w:sz w:val="21"/>
          <w:szCs w:val="21"/>
          <w:lang w:eastAsia="es-ES"/>
        </w:rPr>
        <w:t>.</w:t>
      </w:r>
    </w:p>
    <w:p w14:paraId="1E70EC18" w14:textId="77777777" w:rsidR="001022FB" w:rsidRPr="001022FB" w:rsidRDefault="001022FB" w:rsidP="00CC1ACA">
      <w:pPr>
        <w:widowControl w:val="0"/>
        <w:autoSpaceDE w:val="0"/>
        <w:autoSpaceDN w:val="0"/>
        <w:spacing w:after="0" w:line="240" w:lineRule="auto"/>
        <w:ind w:left="709" w:right="709"/>
        <w:contextualSpacing/>
        <w:jc w:val="both"/>
        <w:rPr>
          <w:rFonts w:ascii="Arial" w:hAnsi="Arial" w:cs="Arial"/>
          <w:sz w:val="21"/>
          <w:szCs w:val="21"/>
          <w:lang w:eastAsia="es-ES"/>
        </w:rPr>
      </w:pPr>
    </w:p>
    <w:p w14:paraId="342A57F7" w14:textId="77777777" w:rsidR="001022FB" w:rsidRPr="00B25472" w:rsidRDefault="00C945A0" w:rsidP="00CC1ACA">
      <w:pPr>
        <w:widowControl w:val="0"/>
        <w:autoSpaceDE w:val="0"/>
        <w:autoSpaceDN w:val="0"/>
        <w:spacing w:after="0" w:line="240" w:lineRule="auto"/>
        <w:ind w:left="709" w:right="709"/>
        <w:contextualSpacing/>
        <w:jc w:val="both"/>
        <w:rPr>
          <w:rFonts w:ascii="Arial" w:hAnsi="Arial" w:cs="Arial"/>
          <w:i/>
          <w:iCs/>
          <w:sz w:val="21"/>
          <w:szCs w:val="21"/>
          <w:lang w:eastAsia="es-ES"/>
        </w:rPr>
      </w:pPr>
      <w:r w:rsidRPr="001022FB">
        <w:rPr>
          <w:rFonts w:ascii="Arial" w:hAnsi="Arial" w:cs="Arial"/>
          <w:sz w:val="21"/>
          <w:szCs w:val="21"/>
          <w:lang w:eastAsia="es-ES"/>
        </w:rPr>
        <w:t xml:space="preserve">Las consideraciones que justifican atribuirle la calidad de servidores públicos a estos funcionarios no están relacionadas únicamente con el tema de la responsabilidad, sino también con la capacidad de contratación, </w:t>
      </w:r>
      <w:r w:rsidRPr="00B25472">
        <w:rPr>
          <w:rFonts w:ascii="Arial" w:hAnsi="Arial" w:cs="Arial"/>
          <w:i/>
          <w:iCs/>
          <w:sz w:val="21"/>
          <w:szCs w:val="21"/>
          <w:lang w:eastAsia="es-ES"/>
        </w:rPr>
        <w:t>en la medida en que si estas asociaciones y fundaciones de participación mixta manejan recursos públicos, su ejecución para los fines de la correspondiente entidad debe hacerse a través de la institución del contrato estatal.</w:t>
      </w:r>
    </w:p>
    <w:p w14:paraId="317BFED6" w14:textId="6D1E081E" w:rsidR="00C945A0" w:rsidRPr="001022FB" w:rsidRDefault="00C945A0" w:rsidP="00CC1ACA">
      <w:pPr>
        <w:widowControl w:val="0"/>
        <w:autoSpaceDE w:val="0"/>
        <w:autoSpaceDN w:val="0"/>
        <w:spacing w:after="0" w:line="240" w:lineRule="auto"/>
        <w:ind w:left="709" w:right="709"/>
        <w:contextualSpacing/>
        <w:jc w:val="both"/>
        <w:rPr>
          <w:rFonts w:ascii="Arial" w:hAnsi="Arial" w:cs="Arial"/>
          <w:sz w:val="21"/>
          <w:szCs w:val="21"/>
          <w:lang w:eastAsia="es-ES"/>
        </w:rPr>
      </w:pPr>
      <w:r w:rsidRPr="001022FB">
        <w:rPr>
          <w:rFonts w:ascii="Arial" w:hAnsi="Arial" w:cs="Arial"/>
          <w:sz w:val="21"/>
          <w:szCs w:val="21"/>
          <w:lang w:eastAsia="es-ES"/>
        </w:rPr>
        <w:t xml:space="preserve"> </w:t>
      </w:r>
    </w:p>
    <w:p w14:paraId="7CEC27E9" w14:textId="577D7C51" w:rsidR="00C945A0" w:rsidRDefault="00C945A0" w:rsidP="00CC1ACA">
      <w:pPr>
        <w:widowControl w:val="0"/>
        <w:autoSpaceDE w:val="0"/>
        <w:autoSpaceDN w:val="0"/>
        <w:spacing w:after="0" w:line="240" w:lineRule="auto"/>
        <w:ind w:left="709" w:right="709"/>
        <w:contextualSpacing/>
        <w:jc w:val="both"/>
        <w:rPr>
          <w:rFonts w:ascii="Arial" w:hAnsi="Arial" w:cs="Arial"/>
          <w:sz w:val="21"/>
          <w:szCs w:val="21"/>
          <w:lang w:eastAsia="es-ES"/>
        </w:rPr>
      </w:pPr>
      <w:r w:rsidRPr="001022FB">
        <w:rPr>
          <w:rFonts w:ascii="Arial" w:hAnsi="Arial" w:cs="Arial"/>
          <w:sz w:val="21"/>
          <w:szCs w:val="21"/>
          <w:lang w:eastAsia="es-ES"/>
        </w:rPr>
        <w:t xml:space="preserve">No obstante, es claro que dichos funcionarios no podrían suscribir los respectivos contratos estatales como particulares, porque es bien sabido que una de las características esenciales del contrato estatal consiste en que uno de los extremos de la relación contractual esté representado por el Estado, y en nombre de él sólo pueden actuar personas que tienen la calidad de servidores públicos. </w:t>
      </w:r>
    </w:p>
    <w:p w14:paraId="04170440" w14:textId="77777777" w:rsidR="001022FB" w:rsidRPr="001022FB" w:rsidRDefault="001022FB" w:rsidP="00CC1ACA">
      <w:pPr>
        <w:widowControl w:val="0"/>
        <w:autoSpaceDE w:val="0"/>
        <w:autoSpaceDN w:val="0"/>
        <w:spacing w:after="0" w:line="240" w:lineRule="auto"/>
        <w:ind w:left="709" w:right="709"/>
        <w:contextualSpacing/>
        <w:jc w:val="both"/>
        <w:rPr>
          <w:rFonts w:ascii="Arial" w:hAnsi="Arial" w:cs="Arial"/>
          <w:sz w:val="21"/>
          <w:szCs w:val="21"/>
          <w:lang w:eastAsia="es-ES"/>
        </w:rPr>
      </w:pPr>
    </w:p>
    <w:p w14:paraId="0AC4237D" w14:textId="2135CF35" w:rsidR="00C945A0" w:rsidRPr="001022FB" w:rsidRDefault="00C945A0" w:rsidP="00CC1ACA">
      <w:pPr>
        <w:widowControl w:val="0"/>
        <w:autoSpaceDE w:val="0"/>
        <w:autoSpaceDN w:val="0"/>
        <w:spacing w:after="0" w:line="240" w:lineRule="auto"/>
        <w:ind w:left="709" w:right="709"/>
        <w:contextualSpacing/>
        <w:jc w:val="both"/>
        <w:rPr>
          <w:rFonts w:ascii="Arial" w:hAnsi="Arial" w:cs="Arial"/>
          <w:sz w:val="21"/>
          <w:szCs w:val="21"/>
          <w:lang w:eastAsia="es-ES"/>
        </w:rPr>
      </w:pPr>
      <w:r w:rsidRPr="001022FB">
        <w:rPr>
          <w:rFonts w:ascii="Arial" w:hAnsi="Arial" w:cs="Arial"/>
          <w:sz w:val="21"/>
          <w:szCs w:val="21"/>
          <w:lang w:eastAsia="es-ES"/>
        </w:rPr>
        <w:t>Por lo tanto, es razonable que tratándose de las asociaciones y fundaciones de participación mixta se le atribuya la calidad de servidor público a los representantes legales y funcionarios de los niveles directivo, asesor o ejecutivo o sus equivalentes en quienes se delegue la celebración de contratos en representación de aquéllas, pues es obvio que en virtud del acto de delegación estas personas comprometen contractualmente la respectiva entidad</w:t>
      </w:r>
      <w:r w:rsidRPr="001022FB">
        <w:rPr>
          <w:rStyle w:val="Refdenotaalpie"/>
          <w:rFonts w:ascii="Arial" w:hAnsi="Arial" w:cs="Arial"/>
          <w:sz w:val="21"/>
          <w:szCs w:val="21"/>
          <w:lang w:eastAsia="es-ES"/>
        </w:rPr>
        <w:footnoteReference w:id="16"/>
      </w:r>
      <w:r w:rsidRPr="001022FB">
        <w:rPr>
          <w:rFonts w:ascii="Arial" w:hAnsi="Arial" w:cs="Arial"/>
          <w:sz w:val="21"/>
          <w:szCs w:val="21"/>
          <w:lang w:eastAsia="es-ES"/>
        </w:rPr>
        <w:t xml:space="preserve"> (</w:t>
      </w:r>
      <w:r w:rsidR="002C365D">
        <w:rPr>
          <w:rFonts w:ascii="Arial" w:hAnsi="Arial" w:cs="Arial"/>
          <w:sz w:val="21"/>
          <w:szCs w:val="21"/>
          <w:lang w:eastAsia="es-ES"/>
        </w:rPr>
        <w:t>Cursivas</w:t>
      </w:r>
      <w:r w:rsidR="002C365D" w:rsidRPr="001022FB">
        <w:rPr>
          <w:rFonts w:ascii="Arial" w:hAnsi="Arial" w:cs="Arial"/>
          <w:sz w:val="21"/>
          <w:szCs w:val="21"/>
          <w:lang w:eastAsia="es-ES"/>
        </w:rPr>
        <w:t xml:space="preserve"> </w:t>
      </w:r>
      <w:r w:rsidRPr="001022FB">
        <w:rPr>
          <w:rFonts w:ascii="Arial" w:hAnsi="Arial" w:cs="Arial"/>
          <w:sz w:val="21"/>
          <w:szCs w:val="21"/>
          <w:lang w:eastAsia="es-ES"/>
        </w:rPr>
        <w:t>fuera de</w:t>
      </w:r>
      <w:r w:rsidR="002C365D">
        <w:rPr>
          <w:rFonts w:ascii="Arial" w:hAnsi="Arial" w:cs="Arial"/>
          <w:sz w:val="21"/>
          <w:szCs w:val="21"/>
          <w:lang w:eastAsia="es-ES"/>
        </w:rPr>
        <w:t>l original</w:t>
      </w:r>
      <w:r w:rsidRPr="001022FB">
        <w:rPr>
          <w:rFonts w:ascii="Arial" w:hAnsi="Arial" w:cs="Arial"/>
          <w:sz w:val="21"/>
          <w:szCs w:val="21"/>
          <w:lang w:eastAsia="es-ES"/>
        </w:rPr>
        <w:t xml:space="preserve">).      </w:t>
      </w:r>
    </w:p>
    <w:p w14:paraId="2192200B" w14:textId="77777777" w:rsidR="00C945A0" w:rsidRPr="00261A27" w:rsidRDefault="00C945A0" w:rsidP="00CC1ACA">
      <w:pPr>
        <w:pStyle w:val="NormalWeb"/>
        <w:spacing w:after="0" w:line="276" w:lineRule="auto"/>
        <w:ind w:firstLine="708"/>
        <w:contextualSpacing/>
        <w:jc w:val="both"/>
        <w:rPr>
          <w:rFonts w:ascii="Arial" w:hAnsi="Arial" w:cs="Arial"/>
          <w:i/>
          <w:iCs/>
          <w:sz w:val="22"/>
          <w:szCs w:val="22"/>
        </w:rPr>
      </w:pPr>
    </w:p>
    <w:p w14:paraId="7DE41138" w14:textId="2D83B7E1" w:rsidR="00C945A0" w:rsidRPr="00261A27" w:rsidRDefault="00C945A0" w:rsidP="00CC1ACA">
      <w:pPr>
        <w:pStyle w:val="NormalWeb"/>
        <w:spacing w:after="0" w:line="276" w:lineRule="auto"/>
        <w:ind w:firstLine="708"/>
        <w:contextualSpacing/>
        <w:jc w:val="both"/>
        <w:rPr>
          <w:rFonts w:ascii="Arial" w:hAnsi="Arial" w:cs="Arial"/>
          <w:sz w:val="22"/>
          <w:szCs w:val="22"/>
        </w:rPr>
      </w:pPr>
      <w:r w:rsidRPr="00261A27">
        <w:rPr>
          <w:rFonts w:ascii="Arial" w:hAnsi="Arial" w:cs="Arial"/>
          <w:iCs/>
          <w:sz w:val="22"/>
          <w:szCs w:val="22"/>
        </w:rPr>
        <w:t>Siguiendo con esta línea, también es necesario tener en cuenta la Sentencia C-671 de 1999, en la que se demandaron apartes de los artículos 95 y 96 de la Ley 489 de 1998</w:t>
      </w:r>
      <w:r w:rsidRPr="00261A27">
        <w:rPr>
          <w:rFonts w:ascii="Arial" w:hAnsi="Arial" w:cs="Arial"/>
          <w:i/>
          <w:iCs/>
          <w:sz w:val="22"/>
          <w:szCs w:val="22"/>
        </w:rPr>
        <w:t xml:space="preserve">, </w:t>
      </w:r>
      <w:r w:rsidRPr="00261A27">
        <w:rPr>
          <w:rFonts w:ascii="Arial" w:hAnsi="Arial" w:cs="Arial"/>
          <w:sz w:val="22"/>
          <w:szCs w:val="22"/>
        </w:rPr>
        <w:t xml:space="preserve">por presunta violación de los artículos 150 numeral 7º, 189 numeral 26, 209 210, 38, 71 y 103 de la Carta Política. </w:t>
      </w:r>
      <w:r w:rsidR="00CC1ACA">
        <w:rPr>
          <w:rFonts w:ascii="Arial" w:hAnsi="Arial" w:cs="Arial"/>
          <w:sz w:val="22"/>
          <w:szCs w:val="22"/>
        </w:rPr>
        <w:t>L</w:t>
      </w:r>
      <w:r w:rsidRPr="00261A27">
        <w:rPr>
          <w:rFonts w:ascii="Arial" w:hAnsi="Arial" w:cs="Arial"/>
          <w:sz w:val="22"/>
          <w:szCs w:val="22"/>
        </w:rPr>
        <w:t>a Corte Constitucional analizó</w:t>
      </w:r>
      <w:r w:rsidR="00CC1ACA">
        <w:rPr>
          <w:rFonts w:ascii="Arial" w:hAnsi="Arial" w:cs="Arial"/>
          <w:sz w:val="22"/>
          <w:szCs w:val="22"/>
        </w:rPr>
        <w:t>,</w:t>
      </w:r>
      <w:r w:rsidRPr="00261A27">
        <w:rPr>
          <w:rFonts w:ascii="Arial" w:hAnsi="Arial" w:cs="Arial"/>
          <w:sz w:val="22"/>
          <w:szCs w:val="22"/>
        </w:rPr>
        <w:t xml:space="preserve"> en esa oportunidad</w:t>
      </w:r>
      <w:r w:rsidR="00CC1ACA">
        <w:rPr>
          <w:rFonts w:ascii="Arial" w:hAnsi="Arial" w:cs="Arial"/>
          <w:sz w:val="22"/>
          <w:szCs w:val="22"/>
        </w:rPr>
        <w:t>,</w:t>
      </w:r>
      <w:r w:rsidRPr="00261A27">
        <w:rPr>
          <w:rFonts w:ascii="Arial" w:hAnsi="Arial" w:cs="Arial"/>
          <w:sz w:val="22"/>
          <w:szCs w:val="22"/>
        </w:rPr>
        <w:t xml:space="preserve"> si tales normas quebrantan o no el artículo 355 de la Constitución por permitir el otorgamiento de auxilios con dineros públicos a entidades privadas. Dentro de lo explicado, se destaca lo expuesto en la revisión de constitucionalidad del artículo 95 de la Ley 489 de 1998, que si bien tiene un contenido diferente al artículo 96 de la misma ley en algunos aspectos, en ambas se regula la creación de corporaciones y fundaciones sin ánimo de lucro, al tiempo que se establece que se sujetan a las disposiciones previstas en el Código Civil. En efecto, la discusión gira entorno a determinar la naturaleza y el régimen jurídico de este tipo de entidades sin ánimo de lucro. Para dilucidar ese punto de derecho, la Corte Constitucional expresó:</w:t>
      </w:r>
    </w:p>
    <w:p w14:paraId="31759FA2" w14:textId="77777777" w:rsidR="00C945A0" w:rsidRPr="00261A27" w:rsidRDefault="00C945A0" w:rsidP="00CC1ACA">
      <w:pPr>
        <w:spacing w:after="0" w:line="276" w:lineRule="auto"/>
        <w:ind w:left="709" w:right="709" w:firstLine="5"/>
        <w:contextualSpacing/>
        <w:jc w:val="both"/>
        <w:rPr>
          <w:rFonts w:ascii="Arial" w:hAnsi="Arial" w:cs="Arial"/>
        </w:rPr>
      </w:pPr>
    </w:p>
    <w:p w14:paraId="0879E14C" w14:textId="10A56C27" w:rsidR="00C945A0" w:rsidRDefault="00C945A0" w:rsidP="00CC1ACA">
      <w:pPr>
        <w:spacing w:after="0" w:line="240" w:lineRule="auto"/>
        <w:ind w:left="709" w:right="709" w:firstLine="6"/>
        <w:contextualSpacing/>
        <w:jc w:val="both"/>
        <w:rPr>
          <w:rFonts w:ascii="Arial" w:hAnsi="Arial" w:cs="Arial"/>
          <w:sz w:val="21"/>
          <w:szCs w:val="21"/>
        </w:rPr>
      </w:pPr>
      <w:r>
        <w:rPr>
          <w:rFonts w:ascii="Arial" w:hAnsi="Arial" w:cs="Arial"/>
          <w:sz w:val="21"/>
          <w:szCs w:val="21"/>
        </w:rPr>
        <w:t xml:space="preserve">[…] </w:t>
      </w:r>
      <w:r w:rsidRPr="00AD6ECF">
        <w:rPr>
          <w:rFonts w:ascii="Arial" w:hAnsi="Arial" w:cs="Arial"/>
          <w:sz w:val="21"/>
          <w:szCs w:val="21"/>
        </w:rPr>
        <w:t>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3532E145" w14:textId="77777777" w:rsidR="00EF68A3" w:rsidRPr="00AD6ECF" w:rsidRDefault="00EF68A3" w:rsidP="00CC1ACA">
      <w:pPr>
        <w:spacing w:after="0" w:line="240" w:lineRule="auto"/>
        <w:ind w:left="709" w:right="709" w:firstLine="6"/>
        <w:contextualSpacing/>
        <w:jc w:val="both"/>
        <w:rPr>
          <w:rFonts w:ascii="Arial" w:hAnsi="Arial" w:cs="Arial"/>
          <w:sz w:val="21"/>
          <w:szCs w:val="21"/>
        </w:rPr>
      </w:pPr>
    </w:p>
    <w:p w14:paraId="46C4D31C" w14:textId="77777777" w:rsidR="00C945A0" w:rsidRPr="00AD6ECF" w:rsidRDefault="00C945A0" w:rsidP="00CC1ACA">
      <w:pPr>
        <w:spacing w:after="0" w:line="240" w:lineRule="auto"/>
        <w:ind w:left="709" w:right="709" w:firstLine="6"/>
        <w:contextualSpacing/>
        <w:jc w:val="both"/>
        <w:rPr>
          <w:rFonts w:ascii="Arial" w:hAnsi="Arial" w:cs="Arial"/>
          <w:sz w:val="21"/>
          <w:szCs w:val="21"/>
        </w:rPr>
      </w:pPr>
      <w:r w:rsidRPr="00AD6ECF">
        <w:rPr>
          <w:rFonts w:ascii="Arial" w:hAnsi="Arial" w:cs="Arial"/>
          <w:sz w:val="21"/>
          <w:szCs w:val="21"/>
        </w:rPr>
        <w:t>Además, en todo caso, el ejercicio de las prerro</w:t>
      </w:r>
      <w:r>
        <w:rPr>
          <w:rFonts w:ascii="Arial" w:hAnsi="Arial" w:cs="Arial"/>
          <w:sz w:val="21"/>
          <w:szCs w:val="21"/>
        </w:rPr>
        <w:t xml:space="preserve">gativas y potestades públicas, </w:t>
      </w:r>
      <w:r w:rsidRPr="00AD6ECF">
        <w:rPr>
          <w:rFonts w:ascii="Arial" w:hAnsi="Arial" w:cs="Arial"/>
          <w:sz w:val="21"/>
          <w:szCs w:val="21"/>
        </w:rPr>
        <w:t>los regímenes de los actos unilaterales, de la contratación, los controles y la responsabilidad serán las propios de las entidades estatales según lo dispuesto en las leyes especiales sobre dichas materias.</w:t>
      </w:r>
    </w:p>
    <w:p w14:paraId="17449509" w14:textId="77777777" w:rsidR="00EF68A3" w:rsidRDefault="00EF68A3" w:rsidP="00CC1ACA">
      <w:pPr>
        <w:spacing w:after="0" w:line="240" w:lineRule="auto"/>
        <w:ind w:left="709" w:right="709" w:firstLine="5"/>
        <w:contextualSpacing/>
        <w:jc w:val="both"/>
        <w:rPr>
          <w:rFonts w:ascii="Arial" w:hAnsi="Arial" w:cs="Arial"/>
          <w:sz w:val="21"/>
          <w:szCs w:val="21"/>
        </w:rPr>
      </w:pPr>
    </w:p>
    <w:p w14:paraId="07E3C359" w14:textId="7BF8EA61" w:rsidR="00C945A0" w:rsidRDefault="00C945A0" w:rsidP="00CC1ACA">
      <w:pPr>
        <w:spacing w:after="0" w:line="240" w:lineRule="auto"/>
        <w:ind w:left="709" w:right="709" w:firstLine="5"/>
        <w:contextualSpacing/>
        <w:jc w:val="both"/>
        <w:rPr>
          <w:rFonts w:ascii="Arial" w:hAnsi="Arial" w:cs="Arial"/>
          <w:sz w:val="21"/>
          <w:szCs w:val="21"/>
        </w:rPr>
      </w:pPr>
      <w:r w:rsidRPr="00AD6ECF">
        <w:rPr>
          <w:rFonts w:ascii="Arial" w:hAnsi="Arial" w:cs="Arial"/>
          <w:sz w:val="21"/>
          <w:szCs w:val="21"/>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r>
        <w:rPr>
          <w:rStyle w:val="Refdenotaalpie"/>
          <w:rFonts w:ascii="Arial" w:hAnsi="Arial" w:cs="Arial"/>
          <w:sz w:val="21"/>
          <w:szCs w:val="21"/>
        </w:rPr>
        <w:footnoteReference w:id="17"/>
      </w:r>
      <w:r>
        <w:rPr>
          <w:rFonts w:ascii="Arial" w:hAnsi="Arial" w:cs="Arial"/>
          <w:sz w:val="21"/>
          <w:szCs w:val="21"/>
        </w:rPr>
        <w:t xml:space="preserve">. </w:t>
      </w:r>
    </w:p>
    <w:p w14:paraId="47C9EF92" w14:textId="77777777" w:rsidR="00C945A0" w:rsidRPr="00B81617" w:rsidRDefault="00C945A0" w:rsidP="00B81617">
      <w:pPr>
        <w:spacing w:after="0" w:line="276" w:lineRule="auto"/>
        <w:ind w:left="709" w:right="709" w:firstLine="5"/>
        <w:contextualSpacing/>
        <w:jc w:val="both"/>
        <w:rPr>
          <w:rFonts w:ascii="Arial" w:hAnsi="Arial" w:cs="Arial"/>
        </w:rPr>
      </w:pPr>
    </w:p>
    <w:p w14:paraId="4E2ED63A" w14:textId="1B4253BC" w:rsidR="00C945A0" w:rsidRPr="00B81617" w:rsidRDefault="00CC1ACA" w:rsidP="00B81617">
      <w:pPr>
        <w:spacing w:after="0" w:line="276" w:lineRule="auto"/>
        <w:ind w:firstLine="708"/>
        <w:contextualSpacing/>
        <w:jc w:val="both"/>
        <w:rPr>
          <w:rFonts w:ascii="Arial" w:eastAsia="Calibri" w:hAnsi="Arial" w:cs="Arial"/>
        </w:rPr>
      </w:pPr>
      <w:r w:rsidRPr="00B81617">
        <w:rPr>
          <w:rFonts w:ascii="Arial" w:hAnsi="Arial" w:cs="Arial"/>
          <w:lang w:eastAsia="es-CO"/>
        </w:rPr>
        <w:t>Por su parte, la jurisprudencia</w:t>
      </w:r>
      <w:r w:rsidR="00C945A0" w:rsidRPr="00B81617">
        <w:rPr>
          <w:rFonts w:ascii="Arial" w:hAnsi="Arial" w:cs="Arial"/>
          <w:lang w:eastAsia="es-CO"/>
        </w:rPr>
        <w:t xml:space="preserve"> del Consejo de Estado </w:t>
      </w:r>
      <w:r w:rsidRPr="00B81617">
        <w:rPr>
          <w:rFonts w:ascii="Arial" w:hAnsi="Arial" w:cs="Arial"/>
          <w:lang w:eastAsia="es-CO"/>
        </w:rPr>
        <w:t xml:space="preserve">ha </w:t>
      </w:r>
      <w:r w:rsidR="00C945A0" w:rsidRPr="00B81617">
        <w:rPr>
          <w:rFonts w:ascii="Arial" w:hAnsi="Arial" w:cs="Arial"/>
          <w:lang w:eastAsia="es-CO"/>
        </w:rPr>
        <w:t>reconoci</w:t>
      </w:r>
      <w:r w:rsidRPr="00B81617">
        <w:rPr>
          <w:rFonts w:ascii="Arial" w:hAnsi="Arial" w:cs="Arial"/>
          <w:lang w:eastAsia="es-CO"/>
        </w:rPr>
        <w:t>do</w:t>
      </w:r>
      <w:r w:rsidR="00C945A0" w:rsidRPr="00B81617">
        <w:rPr>
          <w:rFonts w:ascii="Arial" w:hAnsi="Arial" w:cs="Arial"/>
          <w:lang w:eastAsia="es-CO"/>
        </w:rPr>
        <w:t xml:space="preserve"> como </w:t>
      </w:r>
      <w:r w:rsidR="00C945A0" w:rsidRPr="00B81617">
        <w:rPr>
          <w:rFonts w:ascii="Arial" w:hAnsi="Arial" w:cs="Arial"/>
          <w:i/>
          <w:iCs/>
          <w:lang w:eastAsia="es-CO"/>
        </w:rPr>
        <w:t>entidades descentralizadas</w:t>
      </w:r>
      <w:r w:rsidR="00C945A0" w:rsidRPr="00B81617">
        <w:rPr>
          <w:rFonts w:ascii="Arial" w:hAnsi="Arial" w:cs="Arial"/>
          <w:lang w:eastAsia="es-CO"/>
        </w:rPr>
        <w:t xml:space="preserve"> a los tipos de personas jurídicas cuya </w:t>
      </w:r>
      <w:r w:rsidR="00782D34" w:rsidRPr="00B81617">
        <w:rPr>
          <w:rFonts w:ascii="Arial" w:hAnsi="Arial" w:cs="Arial"/>
          <w:lang w:eastAsia="es-CO"/>
        </w:rPr>
        <w:t>creación</w:t>
      </w:r>
      <w:r w:rsidR="00C945A0" w:rsidRPr="00B81617">
        <w:rPr>
          <w:rFonts w:ascii="Arial" w:hAnsi="Arial" w:cs="Arial"/>
          <w:lang w:eastAsia="es-CO"/>
        </w:rPr>
        <w:t xml:space="preserve"> autoriza </w:t>
      </w:r>
      <w:r w:rsidR="00782D34" w:rsidRPr="00B81617">
        <w:rPr>
          <w:rFonts w:ascii="Arial" w:hAnsi="Arial" w:cs="Arial"/>
          <w:lang w:eastAsia="es-CO"/>
        </w:rPr>
        <w:t>e</w:t>
      </w:r>
      <w:r w:rsidR="00C945A0" w:rsidRPr="00B81617">
        <w:rPr>
          <w:rFonts w:ascii="Arial" w:hAnsi="Arial" w:cs="Arial"/>
          <w:lang w:eastAsia="es-CO"/>
        </w:rPr>
        <w:t xml:space="preserve">l artículo 96 de la Ley 489 de 1998. Respecto de </w:t>
      </w:r>
      <w:r w:rsidR="00BF555A" w:rsidRPr="00B81617">
        <w:rPr>
          <w:rFonts w:ascii="Arial" w:eastAsia="Calibri" w:hAnsi="Arial" w:cs="Arial"/>
        </w:rPr>
        <w:t>las asociaciones y funciones con participación mixta</w:t>
      </w:r>
      <w:r w:rsidR="00B81617" w:rsidRPr="00B81617">
        <w:rPr>
          <w:rFonts w:ascii="Arial" w:eastAsia="Calibri" w:hAnsi="Arial" w:cs="Arial"/>
        </w:rPr>
        <w:t>,</w:t>
      </w:r>
      <w:r w:rsidR="00BF555A" w:rsidRPr="00B81617">
        <w:rPr>
          <w:rFonts w:ascii="Arial" w:eastAsia="Calibri" w:hAnsi="Arial" w:cs="Arial"/>
        </w:rPr>
        <w:t xml:space="preserve"> </w:t>
      </w:r>
      <w:r w:rsidR="00C945A0" w:rsidRPr="00B81617">
        <w:rPr>
          <w:rFonts w:ascii="Arial" w:eastAsia="Calibri" w:hAnsi="Arial" w:cs="Arial"/>
        </w:rPr>
        <w:t>la Sala de Consulta y Servicio Civil se ha referido</w:t>
      </w:r>
      <w:r w:rsidR="00BF555A" w:rsidRPr="00B81617">
        <w:rPr>
          <w:rFonts w:ascii="Arial" w:eastAsia="Calibri" w:hAnsi="Arial" w:cs="Arial"/>
        </w:rPr>
        <w:t xml:space="preserve"> en lo siguientes términos</w:t>
      </w:r>
      <w:r w:rsidR="00C945A0" w:rsidRPr="00B81617">
        <w:rPr>
          <w:rFonts w:ascii="Arial" w:eastAsia="Calibri" w:hAnsi="Arial" w:cs="Arial"/>
        </w:rPr>
        <w:t>:</w:t>
      </w:r>
    </w:p>
    <w:p w14:paraId="75DD3FB1" w14:textId="77777777" w:rsidR="00C945A0" w:rsidRPr="00B81617" w:rsidRDefault="00C945A0" w:rsidP="00B81617">
      <w:pPr>
        <w:spacing w:after="0" w:line="276" w:lineRule="auto"/>
        <w:ind w:firstLine="708"/>
        <w:contextualSpacing/>
        <w:jc w:val="both"/>
        <w:rPr>
          <w:rFonts w:ascii="Arial" w:eastAsia="Calibri" w:hAnsi="Arial" w:cs="Arial"/>
        </w:rPr>
      </w:pPr>
    </w:p>
    <w:p w14:paraId="43E15439" w14:textId="77777777" w:rsidR="00C945A0" w:rsidRPr="00B81617" w:rsidRDefault="00C945A0" w:rsidP="00B81617">
      <w:pPr>
        <w:autoSpaceDE w:val="0"/>
        <w:autoSpaceDN w:val="0"/>
        <w:adjustRightInd w:val="0"/>
        <w:spacing w:after="0" w:line="240" w:lineRule="auto"/>
        <w:ind w:left="709" w:right="709"/>
        <w:contextualSpacing/>
        <w:jc w:val="both"/>
        <w:rPr>
          <w:rFonts w:ascii="Arial" w:hAnsi="Arial" w:cs="Arial"/>
          <w:i/>
          <w:sz w:val="21"/>
          <w:szCs w:val="21"/>
        </w:rPr>
      </w:pPr>
      <w:r w:rsidRPr="00B81617">
        <w:rPr>
          <w:rFonts w:ascii="Arial" w:hAnsi="Arial" w:cs="Arial"/>
          <w:sz w:val="21"/>
          <w:szCs w:val="21"/>
        </w:rPr>
        <w:t>La segunda situación que regula el artículo 96 es la “constitución de asociaciones y fundaciones para el cumplimiento de las actividades propias de las entidades públicas con participación de particulares”, previendo la posibilidad de que las entidades públicas “cualquiera sea su naturaleza y orden administrativo” se asocien con “personas jurídicas particulares” creando personas jurídicas que desarrollen sus cometidos y funciones.</w:t>
      </w:r>
      <w:r w:rsidRPr="00B81617">
        <w:rPr>
          <w:rFonts w:ascii="Arial" w:hAnsi="Arial" w:cs="Arial"/>
          <w:iCs/>
          <w:sz w:val="21"/>
          <w:szCs w:val="21"/>
        </w:rPr>
        <w:t xml:space="preserve"> […]</w:t>
      </w:r>
      <w:r w:rsidRPr="00B81617">
        <w:rPr>
          <w:rFonts w:ascii="Arial" w:hAnsi="Arial" w:cs="Arial"/>
          <w:i/>
          <w:sz w:val="21"/>
          <w:szCs w:val="21"/>
        </w:rPr>
        <w:t xml:space="preserve"> </w:t>
      </w:r>
      <w:r w:rsidRPr="00B81617">
        <w:rPr>
          <w:rFonts w:ascii="Arial" w:hAnsi="Arial" w:cs="Arial"/>
          <w:sz w:val="21"/>
          <w:szCs w:val="21"/>
        </w:rPr>
        <w:t xml:space="preserve">De los textos del parágrafo del artículo 49 y del artículo 96, surge un tema común: ambos conciernen a las “entidades descentralizadas indirectas”, y para referirse a ellas usan los términos </w:t>
      </w:r>
      <w:r w:rsidRPr="00B81617">
        <w:rPr>
          <w:rFonts w:ascii="Arial" w:hAnsi="Arial" w:cs="Arial"/>
          <w:i/>
          <w:sz w:val="21"/>
          <w:szCs w:val="21"/>
        </w:rPr>
        <w:t>constitución</w:t>
      </w:r>
      <w:r w:rsidRPr="00B81617">
        <w:rPr>
          <w:rFonts w:ascii="Arial" w:hAnsi="Arial" w:cs="Arial"/>
          <w:sz w:val="21"/>
          <w:szCs w:val="21"/>
        </w:rPr>
        <w:t xml:space="preserve"> y </w:t>
      </w:r>
      <w:r w:rsidRPr="00B81617">
        <w:rPr>
          <w:rFonts w:ascii="Arial" w:hAnsi="Arial" w:cs="Arial"/>
          <w:i/>
          <w:sz w:val="21"/>
          <w:szCs w:val="21"/>
        </w:rPr>
        <w:t xml:space="preserve">acto constitutivo. </w:t>
      </w:r>
      <w:r w:rsidRPr="00B81617">
        <w:rPr>
          <w:rFonts w:ascii="Arial" w:hAnsi="Arial" w:cs="Arial"/>
          <w:sz w:val="21"/>
          <w:szCs w:val="21"/>
        </w:rPr>
        <w:t xml:space="preserve">Como se dijo atrás, estas entidades indirectas son una especie del género entidades descentralizadas, por ello y porque </w:t>
      </w:r>
      <w:r w:rsidRPr="00B81617">
        <w:rPr>
          <w:rFonts w:ascii="Arial" w:hAnsi="Arial" w:cs="Arial"/>
          <w:i/>
          <w:sz w:val="21"/>
          <w:szCs w:val="21"/>
        </w:rPr>
        <w:t>gozan de personería jurídica, autonomía administrativa y patrimonio propio o capital independiente,</w:t>
      </w:r>
      <w:r w:rsidRPr="00B81617">
        <w:rPr>
          <w:rFonts w:ascii="Arial" w:hAnsi="Arial" w:cs="Arial"/>
          <w:sz w:val="21"/>
          <w:szCs w:val="21"/>
        </w:rPr>
        <w:t xml:space="preserve"> es decir,</w:t>
      </w:r>
      <w:r w:rsidRPr="00B81617">
        <w:rPr>
          <w:rFonts w:ascii="Arial" w:hAnsi="Arial" w:cs="Arial"/>
          <w:i/>
          <w:sz w:val="21"/>
          <w:szCs w:val="21"/>
        </w:rPr>
        <w:t xml:space="preserve"> </w:t>
      </w:r>
      <w:r w:rsidRPr="00B81617">
        <w:rPr>
          <w:rFonts w:ascii="Arial" w:hAnsi="Arial" w:cs="Arial"/>
          <w:sz w:val="21"/>
          <w:szCs w:val="21"/>
        </w:rPr>
        <w:t>reúnen los requisitos establecidos para las entidades descentralizadas por el artículo 68 de la ley 489 de 1998, forman parte del sector descentralizado de la administración pública; y en el caso de las asociaciones y fundaciones de que trata el artículo 96, tienen como objeto principal “el cumplimiento de actividades propias de las entidades públicas”</w:t>
      </w:r>
      <w:r w:rsidRPr="00B81617">
        <w:rPr>
          <w:rStyle w:val="Refdenotaalpie"/>
          <w:rFonts w:ascii="Arial" w:hAnsi="Arial" w:cs="Arial"/>
          <w:sz w:val="21"/>
          <w:szCs w:val="21"/>
        </w:rPr>
        <w:footnoteReference w:id="18"/>
      </w:r>
      <w:r w:rsidRPr="00B81617">
        <w:rPr>
          <w:rFonts w:ascii="Arial" w:hAnsi="Arial" w:cs="Arial"/>
          <w:sz w:val="21"/>
          <w:szCs w:val="21"/>
        </w:rPr>
        <w:t>.</w:t>
      </w:r>
    </w:p>
    <w:p w14:paraId="6086700B" w14:textId="77777777" w:rsidR="00543743" w:rsidRDefault="00543743" w:rsidP="006C1306">
      <w:pPr>
        <w:spacing w:after="0" w:line="276" w:lineRule="auto"/>
        <w:ind w:left="709" w:firstLine="709"/>
        <w:jc w:val="both"/>
        <w:rPr>
          <w:rFonts w:ascii="Arial" w:eastAsia="Calibri" w:hAnsi="Arial" w:cs="Arial"/>
          <w:highlight w:val="yellow"/>
        </w:rPr>
      </w:pPr>
    </w:p>
    <w:p w14:paraId="72D90714" w14:textId="054E99D4" w:rsidR="00C945A0" w:rsidRPr="00B81617" w:rsidRDefault="00C945A0" w:rsidP="00B81617">
      <w:pPr>
        <w:spacing w:after="120" w:line="276" w:lineRule="auto"/>
        <w:ind w:firstLine="709"/>
        <w:jc w:val="both"/>
        <w:rPr>
          <w:rFonts w:ascii="Arial" w:hAnsi="Arial" w:cs="Arial"/>
          <w:lang w:eastAsia="es-CO"/>
        </w:rPr>
      </w:pPr>
      <w:r w:rsidRPr="00B81617">
        <w:rPr>
          <w:rFonts w:ascii="Arial" w:hAnsi="Arial" w:cs="Arial"/>
          <w:lang w:eastAsia="es-CO"/>
        </w:rPr>
        <w:t xml:space="preserve">De conformidad con lo anterior, las personas jurídicas creadas </w:t>
      </w:r>
      <w:r w:rsidR="006C1306" w:rsidRPr="00B81617">
        <w:rPr>
          <w:rFonts w:ascii="Arial" w:hAnsi="Arial" w:cs="Arial"/>
          <w:lang w:eastAsia="es-CO"/>
        </w:rPr>
        <w:t xml:space="preserve">en virtud de lo dispuesto en el artículo </w:t>
      </w:r>
      <w:r w:rsidRPr="00B81617">
        <w:rPr>
          <w:rFonts w:ascii="Arial" w:hAnsi="Arial" w:cs="Arial"/>
          <w:lang w:eastAsia="es-CO"/>
        </w:rPr>
        <w:t>96 de la Ley 489 de 1998 se ajustan a la noción general de entidades descentralizadas establecida en el artículo 68 de la Ley 489 de 1998, de las cuales, serían una especie</w:t>
      </w:r>
      <w:r w:rsidRPr="009E7391">
        <w:rPr>
          <w:rFonts w:ascii="Arial" w:hAnsi="Arial" w:cs="Arial"/>
          <w:vertAlign w:val="superscript"/>
          <w:lang w:eastAsia="es-CO"/>
        </w:rPr>
        <w:footnoteReference w:id="19"/>
      </w:r>
      <w:r w:rsidRPr="00B81617">
        <w:rPr>
          <w:rFonts w:ascii="Arial" w:hAnsi="Arial" w:cs="Arial"/>
          <w:lang w:eastAsia="es-CO"/>
        </w:rPr>
        <w:t xml:space="preserve">. En tales términos, las personas jurídicas creadas en virtud de la asociación entre entidades públicas </w:t>
      </w:r>
      <w:r w:rsidR="006C1306" w:rsidRPr="00B81617">
        <w:rPr>
          <w:rFonts w:ascii="Arial" w:hAnsi="Arial" w:cs="Arial"/>
          <w:lang w:eastAsia="es-CO"/>
        </w:rPr>
        <w:t xml:space="preserve">y particulares </w:t>
      </w:r>
      <w:r w:rsidRPr="00B81617">
        <w:rPr>
          <w:rFonts w:ascii="Arial" w:hAnsi="Arial" w:cs="Arial"/>
          <w:lang w:eastAsia="es-CO"/>
        </w:rPr>
        <w:t xml:space="preserve">son una manifestación de la descentralización administrativa por servicios, por lo que son consideradas entidades descentralizadas indirectas o de segundo grado, creadas con autorización de la ley. </w:t>
      </w:r>
    </w:p>
    <w:p w14:paraId="0AF1836E" w14:textId="549002D6" w:rsidR="00C945A0" w:rsidRPr="00B81617" w:rsidRDefault="00C945A0" w:rsidP="00B81617">
      <w:pPr>
        <w:spacing w:after="120" w:line="276" w:lineRule="auto"/>
        <w:ind w:firstLine="709"/>
        <w:jc w:val="both"/>
        <w:rPr>
          <w:rFonts w:ascii="Arial" w:hAnsi="Arial" w:cs="Arial"/>
          <w:lang w:eastAsia="es-CO"/>
        </w:rPr>
      </w:pPr>
      <w:r w:rsidRPr="00B81617">
        <w:rPr>
          <w:rFonts w:ascii="Arial" w:hAnsi="Arial" w:cs="Arial"/>
          <w:lang w:eastAsia="es-CO"/>
        </w:rPr>
        <w:t>En virtud de dicho carácter, así como del desarrollo de actividades asociadas a cometidos estatales y el interés general, es posible afirmar que, entidades creadas en virtud de la asociación entre entidades estatales</w:t>
      </w:r>
      <w:r w:rsidR="006C1306" w:rsidRPr="00B81617">
        <w:rPr>
          <w:rFonts w:ascii="Arial" w:hAnsi="Arial" w:cs="Arial"/>
          <w:lang w:eastAsia="es-CO"/>
        </w:rPr>
        <w:t xml:space="preserve"> </w:t>
      </w:r>
      <w:r w:rsidRPr="00B81617">
        <w:rPr>
          <w:rFonts w:ascii="Arial" w:hAnsi="Arial" w:cs="Arial"/>
          <w:lang w:eastAsia="es-CO"/>
        </w:rPr>
        <w:t xml:space="preserve">con particulares, son instituciones a través de las cuales entes que hacen parte de la Administración Pública central se articulan con otros actores para cumplir sus cometidos. Por esta razón, la creación de estas personas jurídicas constituye un mecanismo regulado por las normas orgánicas de la Administración Pública, por lo que resulta claro que estas entidades descentralizadas indirectas son entes del Estado, independientemente del régimen jurídico al que se encuentren sujetos sus actos y contratos.  </w:t>
      </w:r>
    </w:p>
    <w:p w14:paraId="503E4741" w14:textId="77777777" w:rsidR="00CD5146" w:rsidRPr="00B81617" w:rsidRDefault="00CD5146" w:rsidP="00B81617">
      <w:pPr>
        <w:spacing w:after="120" w:line="276" w:lineRule="auto"/>
        <w:ind w:firstLine="709"/>
        <w:jc w:val="both"/>
        <w:rPr>
          <w:rFonts w:ascii="Arial" w:hAnsi="Arial" w:cs="Arial"/>
          <w:lang w:eastAsia="es-CO"/>
        </w:rPr>
      </w:pPr>
      <w:bookmarkStart w:id="28" w:name="_Hlk112831815"/>
      <w:r w:rsidRPr="00B81617">
        <w:rPr>
          <w:rFonts w:ascii="Arial" w:hAnsi="Arial" w:cs="Arial"/>
          <w:lang w:eastAsia="es-CO"/>
        </w:rPr>
        <w:t xml:space="preserve">La anterior conclusión hace forzoso aseverar que, entidades descentralizadas indirectas, como las creadas en atención a lo dispuesto en el artículo 96 de la Ley 489 de 1998, independientemente de que el régimen contractual que les aplica sea el derecho privado, deben publicar su actividad en el SECOP II o la plataforma transaccional que haga sus veces, de acuerdo con lo establecido en el artículo 53 de la Ley 2195 de 2022. Ahora bien, para efectos de la consulta conviene señalar que, la precipitada disposición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bookmarkEnd w:id="28"/>
    <w:p w14:paraId="00405D10" w14:textId="5A294395" w:rsidR="00CD5146" w:rsidRPr="00B81617" w:rsidRDefault="0007796D" w:rsidP="00B81617">
      <w:pPr>
        <w:spacing w:after="0" w:line="276" w:lineRule="auto"/>
        <w:ind w:firstLine="709"/>
        <w:contextualSpacing/>
        <w:jc w:val="both"/>
        <w:rPr>
          <w:rFonts w:ascii="Arial" w:hAnsi="Arial" w:cs="Arial"/>
          <w:lang w:eastAsia="es-CO"/>
        </w:rPr>
      </w:pPr>
      <w:r>
        <w:rPr>
          <w:rFonts w:ascii="Arial" w:hAnsi="Arial" w:cs="Arial"/>
          <w:lang w:eastAsia="es-CO"/>
        </w:rPr>
        <w:t>La interpretación antes señalada</w:t>
      </w:r>
      <w:r w:rsidR="00CD5146" w:rsidRPr="00B81617">
        <w:rPr>
          <w:rFonts w:ascii="Arial" w:hAnsi="Arial" w:cs="Arial"/>
          <w:lang w:eastAsia="es-CO"/>
        </w:rPr>
        <w:t xml:space="preserve"> se refuerza si se tiene en cuenta que, de conformidad con el literal e) del artículo 9 y el literal g) del artículo 11 de la Ley 1712 de 2014, desarrollados en el artículo 7 del Decreto 103 de 2015 –compilado en el artículo 2.1.1.2.1.7. del Decreto 1081 de 2015–, las entidades estatales –incluidas las que se rigen generalmente por el derecho privado en materia contractual–, al ser sujetos obligados a garantizar el derecho de acceso a la información y a los documentos públicos, deben publicar en el SECOP los documentos relacionados con su gestión contractual.</w:t>
      </w:r>
    </w:p>
    <w:p w14:paraId="05DCF7EA" w14:textId="019EED15" w:rsidR="00E84015" w:rsidRPr="003265C8" w:rsidRDefault="00F57B22" w:rsidP="003265C8">
      <w:pPr>
        <w:tabs>
          <w:tab w:val="left" w:pos="0"/>
        </w:tabs>
        <w:spacing w:after="0" w:line="276" w:lineRule="auto"/>
        <w:contextualSpacing/>
        <w:jc w:val="both"/>
        <w:rPr>
          <w:rFonts w:ascii="Arial" w:eastAsia="Calibri" w:hAnsi="Arial" w:cs="Arial"/>
          <w:b/>
          <w:bCs/>
          <w:lang w:val="es-ES" w:eastAsia="es-ES_tradnl"/>
        </w:rPr>
      </w:pPr>
      <w:r>
        <w:rPr>
          <w:rFonts w:ascii="Arial" w:eastAsia="Calibri" w:hAnsi="Arial" w:cs="Arial"/>
        </w:rPr>
        <w:t xml:space="preserve"> </w:t>
      </w:r>
      <w:bookmarkEnd w:id="17"/>
    </w:p>
    <w:p w14:paraId="091F7047" w14:textId="77777777" w:rsidR="00E84015" w:rsidRPr="003265C8" w:rsidRDefault="00E84015" w:rsidP="003265C8">
      <w:pPr>
        <w:tabs>
          <w:tab w:val="left" w:pos="0"/>
        </w:tabs>
        <w:spacing w:after="0" w:line="276" w:lineRule="auto"/>
        <w:contextualSpacing/>
        <w:jc w:val="both"/>
        <w:rPr>
          <w:rFonts w:ascii="Arial" w:eastAsia="Calibri" w:hAnsi="Arial" w:cs="Arial"/>
          <w:b/>
          <w:lang w:val="es-ES_tradnl" w:eastAsia="es-ES_tradnl"/>
        </w:rPr>
      </w:pPr>
      <w:r w:rsidRPr="003265C8">
        <w:rPr>
          <w:rFonts w:ascii="Arial" w:eastAsia="Calibri" w:hAnsi="Arial" w:cs="Arial"/>
          <w:b/>
          <w:lang w:val="es-ES_tradnl" w:eastAsia="es-ES_tradnl"/>
        </w:rPr>
        <w:t>3. Respuesta</w:t>
      </w:r>
    </w:p>
    <w:p w14:paraId="162303FA" w14:textId="77777777" w:rsidR="00E84015" w:rsidRPr="003265C8" w:rsidRDefault="00E84015" w:rsidP="003265C8">
      <w:pPr>
        <w:tabs>
          <w:tab w:val="left" w:pos="0"/>
        </w:tabs>
        <w:spacing w:after="0" w:line="276" w:lineRule="auto"/>
        <w:contextualSpacing/>
        <w:jc w:val="both"/>
        <w:rPr>
          <w:rFonts w:ascii="Arial" w:eastAsia="Calibri" w:hAnsi="Arial" w:cs="Arial"/>
          <w:b/>
          <w:lang w:val="es-ES_tradnl" w:eastAsia="es-ES_tradnl"/>
        </w:rPr>
      </w:pPr>
    </w:p>
    <w:p w14:paraId="0286E888" w14:textId="17D5C532" w:rsidR="00ED019C" w:rsidRPr="003265C8" w:rsidRDefault="00E84015" w:rsidP="003265C8">
      <w:pPr>
        <w:spacing w:after="0" w:line="240" w:lineRule="auto"/>
        <w:ind w:left="709" w:right="709"/>
        <w:contextualSpacing/>
        <w:jc w:val="both"/>
        <w:rPr>
          <w:rFonts w:ascii="Arial" w:hAnsi="Arial" w:cs="Arial"/>
          <w:sz w:val="21"/>
          <w:szCs w:val="21"/>
        </w:rPr>
      </w:pPr>
      <w:r w:rsidRPr="003265C8">
        <w:rPr>
          <w:rFonts w:ascii="Arial" w:eastAsia="Times New Roman" w:hAnsi="Arial" w:cs="Arial"/>
          <w:sz w:val="21"/>
          <w:szCs w:val="21"/>
          <w:lang w:val="es-ES_tradnl" w:eastAsia="es-ES_tradnl"/>
        </w:rPr>
        <w:t>«[…]</w:t>
      </w:r>
      <w:r w:rsidRPr="003265C8">
        <w:rPr>
          <w:rFonts w:ascii="Arial" w:hAnsi="Arial" w:cs="Arial"/>
          <w:sz w:val="21"/>
          <w:szCs w:val="21"/>
        </w:rPr>
        <w:t xml:space="preserve"> </w:t>
      </w:r>
      <w:r w:rsidR="00ED019C" w:rsidRPr="003265C8">
        <w:rPr>
          <w:rFonts w:ascii="Arial" w:hAnsi="Arial" w:cs="Arial"/>
          <w:sz w:val="21"/>
          <w:szCs w:val="21"/>
        </w:rPr>
        <w:t>1. ¿Con la entrada en vigencia de la Ley 2195 de 2022, las fundaciones de creación mixta tienen la obligación de publicar todo el proceso contractual de manera transaccional en el Secop 2?</w:t>
      </w:r>
      <w:r w:rsidR="00547E16" w:rsidRPr="003265C8">
        <w:rPr>
          <w:rFonts w:ascii="Arial" w:eastAsia="Times New Roman" w:hAnsi="Arial" w:cs="Arial"/>
          <w:sz w:val="21"/>
          <w:szCs w:val="21"/>
          <w:lang w:val="es-ES_tradnl" w:eastAsia="es-ES_tradnl"/>
        </w:rPr>
        <w:t>»</w:t>
      </w:r>
      <w:r w:rsidR="00ED019C" w:rsidRPr="003265C8">
        <w:rPr>
          <w:rFonts w:ascii="Arial" w:hAnsi="Arial" w:cs="Arial"/>
          <w:sz w:val="21"/>
          <w:szCs w:val="21"/>
        </w:rPr>
        <w:t xml:space="preserve"> </w:t>
      </w:r>
    </w:p>
    <w:p w14:paraId="0C934BA7" w14:textId="3BD0BBC5" w:rsidR="00ED019C" w:rsidRPr="009C627F" w:rsidRDefault="00ED019C" w:rsidP="003265C8">
      <w:pPr>
        <w:spacing w:after="0" w:line="240" w:lineRule="auto"/>
        <w:ind w:left="709" w:right="709"/>
        <w:contextualSpacing/>
        <w:jc w:val="both"/>
        <w:rPr>
          <w:rFonts w:ascii="Arial" w:hAnsi="Arial" w:cs="Arial"/>
          <w:sz w:val="21"/>
          <w:szCs w:val="21"/>
        </w:rPr>
      </w:pPr>
    </w:p>
    <w:p w14:paraId="551886BD" w14:textId="5C026BA7" w:rsidR="001D2E02" w:rsidRPr="000E43A2" w:rsidRDefault="0034494B" w:rsidP="00F76F94">
      <w:pPr>
        <w:spacing w:after="120" w:line="276" w:lineRule="auto"/>
        <w:jc w:val="both"/>
        <w:rPr>
          <w:rFonts w:ascii="Arial" w:eastAsia="Calibri" w:hAnsi="Arial" w:cs="Arial"/>
          <w:lang w:val="es-ES_tradnl"/>
        </w:rPr>
      </w:pPr>
      <w:r>
        <w:rPr>
          <w:rFonts w:ascii="Arial" w:hAnsi="Arial" w:cs="Arial"/>
        </w:rPr>
        <w:t>Según se desprende de</w:t>
      </w:r>
      <w:r>
        <w:rPr>
          <w:rFonts w:ascii="Arial" w:eastAsia="Calibri" w:hAnsi="Arial" w:cs="Arial"/>
          <w:lang w:val="es-ES" w:eastAsia="es-ES"/>
        </w:rPr>
        <w:t xml:space="preserve"> </w:t>
      </w:r>
      <w:r w:rsidR="001D2E02" w:rsidRPr="001D2E02">
        <w:rPr>
          <w:rFonts w:ascii="Arial" w:eastAsia="Calibri" w:hAnsi="Arial" w:cs="Arial"/>
          <w:lang w:val="es-ES" w:eastAsia="es-ES"/>
        </w:rPr>
        <w:t xml:space="preserve">las consideraciones del presente concepto, </w:t>
      </w:r>
      <w:r w:rsidR="001D2E02" w:rsidRPr="001D2E02">
        <w:rPr>
          <w:rFonts w:ascii="Arial" w:eastAsia="Calibri" w:hAnsi="Arial" w:cs="Arial"/>
          <w:lang w:val="es-ES_tradnl"/>
        </w:rPr>
        <w:t xml:space="preserve">aunque la publicación en el SECOP de los documentos relacionados con la actividad contractual ya era obligatoria –lo sigue siendo– para las entidades que cuentan con un régimen especial, el artículo 53 de la Ley 2195 de 2022 –que modifica el artículo 13 de la Ley 1150 de 2007–, aplicable </w:t>
      </w:r>
      <w:r w:rsidR="001D2E02" w:rsidRPr="009C627F">
        <w:rPr>
          <w:rFonts w:ascii="Arial" w:eastAsia="Calibri" w:hAnsi="Arial" w:cs="Arial"/>
          <w:lang w:val="es-ES_tradnl"/>
        </w:rPr>
        <w:t>a partir</w:t>
      </w:r>
      <w:r w:rsidR="001D2E02" w:rsidRPr="001D2E02">
        <w:rPr>
          <w:rFonts w:ascii="Arial" w:eastAsia="Calibri" w:hAnsi="Arial" w:cs="Arial"/>
          <w:lang w:val="es-ES_tradnl"/>
        </w:rPr>
        <w:t xml:space="preserve"> del 18 de julio de 2022</w:t>
      </w:r>
      <w:r w:rsidR="001D2E02" w:rsidRPr="009C627F">
        <w:rPr>
          <w:rFonts w:ascii="Arial" w:eastAsia="Calibri" w:hAnsi="Arial" w:cs="Arial"/>
          <w:lang w:val="es-ES_tradnl"/>
        </w:rPr>
        <w:t>,</w:t>
      </w:r>
      <w:r w:rsidR="001D2E02" w:rsidRPr="001D2E02">
        <w:rPr>
          <w:rFonts w:ascii="Arial" w:eastAsia="Calibri" w:hAnsi="Arial" w:cs="Arial"/>
          <w:lang w:val="es-ES_tradnl"/>
        </w:rPr>
        <w:t xml:space="preserve"> establece con mayor precisión este deber y lo complementa con la exigencia de emplear el SECOP II y la definición del alcance de los documentos que deben publicarse, señalando que son los relacionados con su «actividad contractual», indicando que corresponde a todos los «documentos, contratos, actos e información generada por oferentes, contratista, contratante, supervisor o interventor, tanto en la etapa precontractual, como en la contractual y la postcontractual». En ese sentido, la citada disposición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w:t>
      </w:r>
      <w:r w:rsidR="001D2E02" w:rsidRPr="000E43A2">
        <w:rPr>
          <w:rFonts w:ascii="Arial" w:eastAsia="Calibri" w:hAnsi="Arial" w:cs="Arial"/>
          <w:lang w:val="es-ES_tradnl"/>
        </w:rPr>
        <w:t xml:space="preserve">desde la fase previa a su celebración, pasando por la ejecución y hasta la fase posterior a su ejecución. Lo anterior sin perjuicio de las reservas de información establecidas en normas de orden constitucional o legal. </w:t>
      </w:r>
    </w:p>
    <w:p w14:paraId="7C11BA20" w14:textId="396D9D84" w:rsidR="001D2E02" w:rsidRDefault="001D2E02" w:rsidP="00F76F94">
      <w:pPr>
        <w:autoSpaceDE w:val="0"/>
        <w:autoSpaceDN w:val="0"/>
        <w:adjustRightInd w:val="0"/>
        <w:spacing w:after="120" w:line="276" w:lineRule="auto"/>
        <w:ind w:firstLine="708"/>
        <w:jc w:val="both"/>
        <w:rPr>
          <w:rFonts w:ascii="Arial" w:hAnsi="Arial" w:cs="Arial"/>
          <w:lang w:val="es-MX"/>
        </w:rPr>
      </w:pPr>
      <w:r w:rsidRPr="000E43A2">
        <w:rPr>
          <w:rFonts w:ascii="Arial" w:eastAsia="Calibri" w:hAnsi="Arial" w:cs="Arial"/>
          <w:lang w:val="es-ES_tradnl"/>
        </w:rPr>
        <w:t xml:space="preserve">Ahora bien, </w:t>
      </w:r>
      <w:r w:rsidRPr="000E43A2">
        <w:rPr>
          <w:rFonts w:ascii="Arial" w:eastAsia="Calibri" w:hAnsi="Arial" w:cs="Arial"/>
          <w:iCs/>
          <w:lang w:val="es-ES" w:eastAsia="es-ES_tradnl"/>
        </w:rPr>
        <w:t xml:space="preserve">el artículo 53 </w:t>
      </w:r>
      <w:r w:rsidRPr="000E43A2">
        <w:rPr>
          <w:rFonts w:ascii="Arial" w:eastAsia="Calibri" w:hAnsi="Arial" w:cs="Arial"/>
          <w:i/>
          <w:lang w:val="es-ES" w:eastAsia="es-ES_tradnl"/>
        </w:rPr>
        <w:t>ibidem</w:t>
      </w:r>
      <w:r w:rsidRPr="000E43A2">
        <w:rPr>
          <w:rFonts w:ascii="Arial" w:eastAsia="Calibri" w:hAnsi="Arial" w:cs="Arial"/>
          <w:iCs/>
          <w:lang w:val="es-ES" w:eastAsia="es-ES_tradnl"/>
        </w:rPr>
        <w:t xml:space="preserve"> no cambió la forma en que se perfeccionan los contratos suscritos por las entidades exceptuadas. </w:t>
      </w:r>
      <w:r w:rsidRPr="00926CEC">
        <w:rPr>
          <w:rFonts w:ascii="Arial" w:eastAsia="Calibri" w:hAnsi="Arial" w:cs="Arial"/>
          <w:iCs/>
          <w:lang w:val="es-ES" w:eastAsia="es-ES_tradnl"/>
        </w:rPr>
        <w:t>En ese sentido, dado que la disposición materia de estudio no definió la obligatoriedad sobre el uso transaccional del SECOP II para las entidades exceptuadas, estas podrán usarla de forma transaccional o publicitaria.</w:t>
      </w:r>
      <w:r w:rsidRPr="000E43A2">
        <w:rPr>
          <w:rFonts w:ascii="Arial" w:eastAsia="Calibri" w:hAnsi="Arial" w:cs="Arial"/>
          <w:iCs/>
          <w:lang w:val="es-ES" w:eastAsia="es-ES_tradnl"/>
        </w:rPr>
        <w:t xml:space="preserve"> Por lo anterior, las entidades exceptuadas tienen la posibilidad de elegir cualquiera de las siguientes opciones para cumplir con el deber de publicidad que les asiste:</w:t>
      </w:r>
      <w:r w:rsidR="0034263C" w:rsidRPr="000E43A2">
        <w:rPr>
          <w:rFonts w:ascii="Arial" w:eastAsia="Calibri" w:hAnsi="Arial" w:cs="Arial"/>
          <w:iCs/>
          <w:lang w:val="es-ES" w:eastAsia="es-ES_tradnl"/>
        </w:rPr>
        <w:t>1) f</w:t>
      </w:r>
      <w:r w:rsidRPr="000E43A2">
        <w:rPr>
          <w:rFonts w:ascii="Arial" w:hAnsi="Arial" w:cs="Arial"/>
          <w:lang w:val="es-ES"/>
        </w:rPr>
        <w:t>irmar</w:t>
      </w:r>
      <w:r w:rsidRPr="000E43A2">
        <w:rPr>
          <w:rFonts w:ascii="Arial" w:hAnsi="Arial" w:cs="Arial"/>
          <w:lang w:val="es-MX"/>
        </w:rPr>
        <w:t xml:space="preserve"> el contrato electrónicamente, es decir, realizar un uso transaccional de la plataforma</w:t>
      </w:r>
      <w:r w:rsidR="0034263C" w:rsidRPr="000E43A2">
        <w:rPr>
          <w:rFonts w:ascii="Arial" w:hAnsi="Arial" w:cs="Arial"/>
          <w:lang w:val="es-MX"/>
        </w:rPr>
        <w:t xml:space="preserve"> o; 2) f</w:t>
      </w:r>
      <w:r w:rsidRPr="000E43A2">
        <w:rPr>
          <w:rFonts w:ascii="Arial" w:hAnsi="Arial" w:cs="Arial"/>
          <w:lang w:val="es-MX"/>
        </w:rPr>
        <w:t>irmar el contrato en físico y publicar los documentos de ejecución en la etapa precontractual del SECOP II, es decir, realizar un uso publicitario de la plataforma.</w:t>
      </w:r>
    </w:p>
    <w:p w14:paraId="239F216B" w14:textId="2E84232D" w:rsidR="009C627F" w:rsidRPr="00BE224A" w:rsidRDefault="009C627F" w:rsidP="00C939B6">
      <w:pPr>
        <w:spacing w:after="120" w:line="276" w:lineRule="auto"/>
        <w:ind w:firstLine="708"/>
        <w:jc w:val="both"/>
        <w:rPr>
          <w:rFonts w:ascii="Arial" w:eastAsia="Calibri" w:hAnsi="Arial" w:cs="Arial"/>
          <w:lang w:val="es-ES_tradnl"/>
        </w:rPr>
      </w:pPr>
      <w:r>
        <w:rPr>
          <w:rFonts w:ascii="Arial" w:eastAsia="Calibri" w:hAnsi="Arial" w:cs="Arial"/>
          <w:lang w:val="es-ES_tradnl"/>
        </w:rPr>
        <w:t>E</w:t>
      </w:r>
      <w:r w:rsidRPr="00BE224A">
        <w:rPr>
          <w:rFonts w:ascii="Arial" w:eastAsia="Calibri" w:hAnsi="Arial" w:cs="Arial"/>
          <w:lang w:val="es-ES_tradnl"/>
        </w:rPr>
        <w:t xml:space="preserve">n relación con las </w:t>
      </w:r>
      <w:r w:rsidRPr="001022FB">
        <w:rPr>
          <w:rFonts w:ascii="Arial" w:hAnsi="Arial" w:cs="Arial"/>
        </w:rPr>
        <w:t>asociaciones y fundaciones para el cumplimiento de las actividades propias de las entidades públicas con participación de particulares,</w:t>
      </w:r>
      <w:r>
        <w:rPr>
          <w:rFonts w:ascii="Arial" w:hAnsi="Arial" w:cs="Arial"/>
        </w:rPr>
        <w:t xml:space="preserve"> creadas en virtud del artículo 96 de la Ley 489 de 1998,</w:t>
      </w:r>
      <w:r w:rsidRPr="001022FB">
        <w:rPr>
          <w:rFonts w:ascii="Arial" w:hAnsi="Arial" w:cs="Arial"/>
        </w:rPr>
        <w:t xml:space="preserve"> </w:t>
      </w:r>
      <w:r w:rsidRPr="00BE224A">
        <w:rPr>
          <w:rFonts w:ascii="Arial" w:eastAsia="Calibri" w:hAnsi="Arial" w:cs="Arial"/>
          <w:lang w:val="es-ES_tradnl" w:eastAsia="es-ES_tradnl"/>
        </w:rPr>
        <w:t xml:space="preserve">debe señalarse que, </w:t>
      </w:r>
      <w:r w:rsidR="00C939B6">
        <w:rPr>
          <w:rFonts w:ascii="Arial" w:eastAsia="Calibri" w:hAnsi="Arial" w:cs="Arial"/>
          <w:lang w:val="es-ES_tradnl" w:eastAsia="es-ES_tradnl"/>
        </w:rPr>
        <w:t xml:space="preserve">son entidades descentralizadas indirectas con </w:t>
      </w:r>
      <w:r w:rsidR="00C939B6">
        <w:rPr>
          <w:rFonts w:ascii="Arial" w:hAnsi="Arial" w:cs="Arial"/>
        </w:rPr>
        <w:t>un</w:t>
      </w:r>
      <w:r w:rsidRPr="001022FB">
        <w:rPr>
          <w:rFonts w:ascii="Arial" w:hAnsi="Arial" w:cs="Arial"/>
        </w:rPr>
        <w:t xml:space="preserve"> régimen jurídico de carácter mixto, </w:t>
      </w:r>
      <w:r>
        <w:rPr>
          <w:rFonts w:ascii="Arial" w:hAnsi="Arial" w:cs="Arial"/>
        </w:rPr>
        <w:t xml:space="preserve">en la medida que </w:t>
      </w:r>
      <w:r w:rsidRPr="001022FB">
        <w:rPr>
          <w:rFonts w:ascii="Arial" w:hAnsi="Arial" w:cs="Arial"/>
        </w:rPr>
        <w:t>se rigen por una parte por el Código Civil en lo relativo a su constitución, organización, funcionamiento y procedimiento de transformación y, por el otro, se encuentran sujetas a las reglas y principios generales de contratación</w:t>
      </w:r>
      <w:r w:rsidR="00B60253">
        <w:rPr>
          <w:rFonts w:ascii="Arial" w:hAnsi="Arial" w:cs="Arial"/>
        </w:rPr>
        <w:t xml:space="preserve">, sin perjuicio de que puedan estar sometidas de manera general a un régimen de contratación de derecho privado. En ese sentido, tratándose de </w:t>
      </w:r>
      <w:r w:rsidR="00C939B6">
        <w:rPr>
          <w:rFonts w:ascii="Arial" w:hAnsi="Arial" w:cs="Arial"/>
        </w:rPr>
        <w:t xml:space="preserve">entidades exceptuadas, las referidas entidades se encuentran dentro del ámbito de aplicación </w:t>
      </w:r>
      <w:r w:rsidRPr="00BE224A">
        <w:rPr>
          <w:rFonts w:ascii="Arial" w:eastAsia="Calibri" w:hAnsi="Arial" w:cs="Arial"/>
          <w:lang w:val="es-ES_tradnl"/>
        </w:rPr>
        <w:t xml:space="preserve">del artículo 53 de la Ley 2195 de 2022, objeto del presente concepto, que modificó el artículo 13 de la Ley 1150 de 2007, el cual consagra los principios de actividad contractual aplicables a las entidades no sujetas al Estatuto General de Contratación de la Administración Pública. </w:t>
      </w:r>
    </w:p>
    <w:p w14:paraId="2AD1CCC1" w14:textId="53D058D3" w:rsidR="009C627F" w:rsidRDefault="009C627F" w:rsidP="00F76F94">
      <w:pPr>
        <w:spacing w:before="120" w:after="120" w:line="276" w:lineRule="auto"/>
        <w:ind w:firstLine="709"/>
        <w:jc w:val="both"/>
        <w:rPr>
          <w:rFonts w:ascii="Arial" w:eastAsia="Calibri" w:hAnsi="Arial" w:cs="Arial"/>
          <w:lang w:eastAsia="es-ES_tradnl"/>
        </w:rPr>
      </w:pPr>
      <w:r w:rsidRPr="00C70543">
        <w:rPr>
          <w:rFonts w:ascii="Arial" w:eastAsia="Calibri" w:hAnsi="Arial" w:cs="Arial"/>
          <w:lang w:val="es-ES_tradnl" w:eastAsia="es-ES_tradnl"/>
        </w:rPr>
        <w:t xml:space="preserve">Así las cosas, aunque los contratos que celebren </w:t>
      </w:r>
      <w:r w:rsidR="004746CB" w:rsidRPr="00BE224A">
        <w:rPr>
          <w:rFonts w:ascii="Arial" w:eastAsia="Calibri" w:hAnsi="Arial" w:cs="Arial"/>
          <w:lang w:val="es-ES_tradnl"/>
        </w:rPr>
        <w:t xml:space="preserve">las </w:t>
      </w:r>
      <w:r w:rsidR="004746CB" w:rsidRPr="001022FB">
        <w:rPr>
          <w:rFonts w:ascii="Arial" w:hAnsi="Arial" w:cs="Arial"/>
        </w:rPr>
        <w:t xml:space="preserve">asociaciones y fundaciones </w:t>
      </w:r>
      <w:r w:rsidR="004746CB">
        <w:rPr>
          <w:rFonts w:ascii="Arial" w:hAnsi="Arial" w:cs="Arial"/>
        </w:rPr>
        <w:t xml:space="preserve">de carácter mixto pueden </w:t>
      </w:r>
      <w:r w:rsidRPr="00C70543">
        <w:rPr>
          <w:rFonts w:ascii="Arial" w:eastAsia="Calibri" w:hAnsi="Arial" w:cs="Arial"/>
          <w:lang w:eastAsia="es-ES_tradnl"/>
        </w:rPr>
        <w:t>est</w:t>
      </w:r>
      <w:r w:rsidR="004746CB">
        <w:rPr>
          <w:rFonts w:ascii="Arial" w:eastAsia="Calibri" w:hAnsi="Arial" w:cs="Arial"/>
          <w:lang w:eastAsia="es-ES_tradnl"/>
        </w:rPr>
        <w:t>ar</w:t>
      </w:r>
      <w:r w:rsidRPr="00C70543">
        <w:rPr>
          <w:rFonts w:ascii="Arial" w:eastAsia="Calibri" w:hAnsi="Arial" w:cs="Arial"/>
          <w:lang w:eastAsia="es-ES_tradnl"/>
        </w:rPr>
        <w:t xml:space="preserve"> excluidos de</w:t>
      </w:r>
      <w:r w:rsidRPr="00CA5203">
        <w:rPr>
          <w:rFonts w:ascii="Arial" w:eastAsia="Calibri" w:hAnsi="Arial" w:cs="Arial"/>
          <w:lang w:eastAsia="es-ES_tradnl"/>
        </w:rPr>
        <w:t>l</w:t>
      </w:r>
      <w:r w:rsidRPr="00C70543">
        <w:rPr>
          <w:rFonts w:ascii="Arial" w:eastAsia="Calibri" w:hAnsi="Arial" w:cs="Arial"/>
          <w:lang w:eastAsia="es-ES_tradnl"/>
        </w:rPr>
        <w:t xml:space="preserve"> </w:t>
      </w:r>
      <w:r w:rsidRPr="00C70543">
        <w:rPr>
          <w:rFonts w:ascii="Arial" w:eastAsia="Calibri" w:hAnsi="Arial" w:cs="Arial"/>
          <w:lang w:val="es-ES_tradnl" w:eastAsia="es-ES_tradnl"/>
        </w:rPr>
        <w:t>Estatuto General de Contratación de la Administración Pública</w:t>
      </w:r>
      <w:r w:rsidRPr="00C70543">
        <w:rPr>
          <w:rFonts w:ascii="Arial" w:eastAsia="Calibri" w:hAnsi="Arial" w:cs="Arial"/>
          <w:lang w:eastAsia="es-ES_tradnl"/>
        </w:rPr>
        <w:t xml:space="preserve">, no se rigen exclusivamente por el derecho civil y comercial, pues –conforme al artículo 13 de la Ley 1150 de 2007– </w:t>
      </w:r>
      <w:r w:rsidRPr="00CA5203">
        <w:rPr>
          <w:rFonts w:ascii="Arial" w:eastAsia="Calibri" w:hAnsi="Arial" w:cs="Arial"/>
          <w:lang w:eastAsia="es-ES_tradnl"/>
        </w:rPr>
        <w:t>se les aplican</w:t>
      </w:r>
      <w:r w:rsidRPr="00C70543">
        <w:rPr>
          <w:rFonts w:ascii="Arial" w:eastAsia="Calibri" w:hAnsi="Arial" w:cs="Arial"/>
          <w:lang w:eastAsia="es-ES_tradnl"/>
        </w:rPr>
        <w:t xml:space="preserve"> tanto los principios de la función administrativa y de la gestión fiscal como el régimen de inhabilidades e incompatibilidades, además </w:t>
      </w:r>
      <w:r w:rsidRPr="00CA5203">
        <w:rPr>
          <w:rFonts w:ascii="Arial" w:eastAsia="Calibri" w:hAnsi="Arial" w:cs="Arial"/>
          <w:lang w:eastAsia="es-ES_tradnl"/>
        </w:rPr>
        <w:t>están sujetas</w:t>
      </w:r>
      <w:r w:rsidRPr="00C70543">
        <w:rPr>
          <w:rFonts w:ascii="Arial" w:eastAsia="Calibri" w:hAnsi="Arial" w:cs="Arial"/>
          <w:lang w:eastAsia="es-ES_tradnl"/>
        </w:rPr>
        <w:t xml:space="preserve"> cumplir con el deber de publicar su actividad contractual en los términos analizados, de acuerdo con la modificación introducida por el artículo 53 de la Ley 2195 de 2022</w:t>
      </w:r>
      <w:r w:rsidRPr="00CA5203">
        <w:rPr>
          <w:rFonts w:ascii="Arial" w:eastAsia="Calibri" w:hAnsi="Arial" w:cs="Arial"/>
          <w:lang w:eastAsia="es-ES_tradnl"/>
        </w:rPr>
        <w:t xml:space="preserve"> y conforme fue analizado en los </w:t>
      </w:r>
      <w:r>
        <w:rPr>
          <w:rFonts w:ascii="Arial" w:eastAsia="Calibri" w:hAnsi="Arial" w:cs="Arial"/>
          <w:lang w:eastAsia="es-ES_tradnl"/>
        </w:rPr>
        <w:t xml:space="preserve">acápites </w:t>
      </w:r>
      <w:r w:rsidRPr="00CA5203">
        <w:rPr>
          <w:rFonts w:ascii="Arial" w:eastAsia="Calibri" w:hAnsi="Arial" w:cs="Arial"/>
          <w:lang w:eastAsia="es-ES_tradnl"/>
        </w:rPr>
        <w:t>2.1 y 2.2. de</w:t>
      </w:r>
      <w:r>
        <w:rPr>
          <w:rFonts w:ascii="Arial" w:eastAsia="Calibri" w:hAnsi="Arial" w:cs="Arial"/>
          <w:lang w:eastAsia="es-ES_tradnl"/>
        </w:rPr>
        <w:t>l presente oficio</w:t>
      </w:r>
      <w:r w:rsidRPr="00CA5203">
        <w:rPr>
          <w:rFonts w:ascii="Arial" w:eastAsia="Calibri" w:hAnsi="Arial" w:cs="Arial"/>
          <w:lang w:eastAsia="es-ES_tradnl"/>
        </w:rPr>
        <w:t>.</w:t>
      </w:r>
      <w:r w:rsidRPr="00BE224A">
        <w:rPr>
          <w:rFonts w:ascii="Arial" w:eastAsia="Calibri" w:hAnsi="Arial" w:cs="Arial"/>
          <w:lang w:eastAsia="es-ES_tradnl"/>
        </w:rPr>
        <w:t xml:space="preserve"> </w:t>
      </w:r>
    </w:p>
    <w:p w14:paraId="06B84356" w14:textId="30C96F9D" w:rsidR="00BC6FB1" w:rsidRPr="00BC6FB1" w:rsidRDefault="009C627F" w:rsidP="00575A75">
      <w:pPr>
        <w:spacing w:after="0" w:line="276" w:lineRule="auto"/>
        <w:ind w:firstLine="709"/>
        <w:jc w:val="both"/>
        <w:rPr>
          <w:rFonts w:ascii="Arial" w:eastAsia="Calibri" w:hAnsi="Arial" w:cs="Arial"/>
          <w:lang w:eastAsia="es-ES_tradnl"/>
        </w:rPr>
      </w:pPr>
      <w:r>
        <w:rPr>
          <w:rFonts w:ascii="Arial" w:eastAsia="Calibri" w:hAnsi="Arial" w:cs="Arial"/>
          <w:bCs/>
          <w:color w:val="000000" w:themeColor="text1"/>
          <w:lang w:val="es-ES_tradnl" w:eastAsia="es-ES_tradnl"/>
        </w:rPr>
        <w:t>C</w:t>
      </w:r>
      <w:r w:rsidRPr="00C70543">
        <w:rPr>
          <w:rFonts w:ascii="Arial" w:eastAsia="Calibri" w:hAnsi="Arial" w:cs="Arial"/>
          <w:bCs/>
          <w:color w:val="000000" w:themeColor="text1"/>
          <w:lang w:val="es-ES_tradnl" w:eastAsia="es-ES_tradnl"/>
        </w:rPr>
        <w:t>onviene señalar que</w:t>
      </w:r>
      <w:r w:rsidRPr="00C70543">
        <w:rPr>
          <w:rFonts w:ascii="Arial" w:eastAsia="Times New Roman" w:hAnsi="Arial" w:cs="Arial"/>
          <w:color w:val="000000" w:themeColor="text1"/>
          <w:lang w:val="es-ES_tradnl" w:eastAsia="es-ES_tradnl"/>
        </w:rPr>
        <w:t xml:space="preserve"> </w:t>
      </w:r>
      <w:r>
        <w:rPr>
          <w:rFonts w:ascii="Arial" w:eastAsia="Times New Roman" w:hAnsi="Arial" w:cs="Arial"/>
          <w:color w:val="000000" w:themeColor="text1"/>
          <w:lang w:val="es-ES_tradnl" w:eastAsia="es-ES_tradnl"/>
        </w:rPr>
        <w:t>la disposición precitada</w:t>
      </w:r>
      <w:r w:rsidRPr="00C70543">
        <w:rPr>
          <w:rFonts w:ascii="Arial" w:eastAsia="Times New Roman" w:hAnsi="Arial" w:cs="Arial"/>
          <w:color w:val="000000" w:themeColor="text1"/>
          <w:lang w:val="es-ES_tradnl" w:eastAsia="es-ES_tradnl"/>
        </w:rPr>
        <w:t xml:space="preserve"> no consagra ninguna excepción respecto a su aplicación, </w:t>
      </w:r>
      <w:r>
        <w:rPr>
          <w:rFonts w:ascii="Arial" w:eastAsia="Times New Roman" w:hAnsi="Arial" w:cs="Arial"/>
          <w:color w:val="000000" w:themeColor="text1"/>
          <w:lang w:val="es-ES_tradnl" w:eastAsia="es-ES_tradnl"/>
        </w:rPr>
        <w:t xml:space="preserve">por lo cual </w:t>
      </w:r>
      <w:r w:rsidRPr="00C70543">
        <w:rPr>
          <w:rFonts w:ascii="Arial" w:eastAsia="Times New Roman" w:hAnsi="Arial" w:cs="Arial"/>
          <w:color w:val="000000" w:themeColor="text1"/>
          <w:lang w:val="es-ES_tradnl" w:eastAsia="es-ES_tradnl"/>
        </w:rPr>
        <w:t xml:space="preserve">todas las entidades </w:t>
      </w:r>
      <w:r>
        <w:rPr>
          <w:rFonts w:ascii="Arial" w:eastAsia="Times New Roman" w:hAnsi="Arial" w:cs="Arial"/>
          <w:color w:val="000000" w:themeColor="text1"/>
          <w:lang w:val="es-ES_tradnl" w:eastAsia="es-ES_tradnl"/>
        </w:rPr>
        <w:t xml:space="preserve">que </w:t>
      </w:r>
      <w:r w:rsidRPr="00C70543">
        <w:rPr>
          <w:rFonts w:ascii="Arial" w:eastAsia="Times New Roman" w:hAnsi="Arial" w:cs="Arial"/>
          <w:color w:val="000000" w:themeColor="text1"/>
          <w:lang w:val="es-ES_tradnl" w:eastAsia="es-ES_tradnl"/>
        </w:rPr>
        <w:t xml:space="preserve">no </w:t>
      </w:r>
      <w:r>
        <w:rPr>
          <w:rFonts w:ascii="Arial" w:eastAsia="Times New Roman" w:hAnsi="Arial" w:cs="Arial"/>
          <w:color w:val="000000" w:themeColor="text1"/>
          <w:lang w:val="es-ES_tradnl" w:eastAsia="es-ES_tradnl"/>
        </w:rPr>
        <w:t xml:space="preserve">se encuentran </w:t>
      </w:r>
      <w:r w:rsidRPr="00C70543">
        <w:rPr>
          <w:rFonts w:ascii="Arial" w:eastAsia="Times New Roman" w:hAnsi="Arial" w:cs="Arial"/>
          <w:color w:val="000000" w:themeColor="text1"/>
          <w:lang w:val="es-ES_tradnl" w:eastAsia="es-ES_tradnl"/>
        </w:rPr>
        <w:t xml:space="preserve">sometidas al Estatuto General de Contratación de la Administración Pública deberán cumplir con el deber </w:t>
      </w:r>
      <w:r>
        <w:rPr>
          <w:rFonts w:ascii="Arial" w:eastAsia="Times New Roman" w:hAnsi="Arial" w:cs="Arial"/>
          <w:color w:val="000000" w:themeColor="text1"/>
          <w:lang w:val="es-ES_tradnl" w:eastAsia="es-ES_tradnl"/>
        </w:rPr>
        <w:t xml:space="preserve">de publicación </w:t>
      </w:r>
      <w:r w:rsidRPr="000C654F">
        <w:rPr>
          <w:rFonts w:ascii="Arial" w:eastAsia="Times New Roman" w:hAnsi="Arial" w:cs="Arial"/>
          <w:color w:val="000000" w:themeColor="text1"/>
          <w:lang w:val="es-ES_tradnl" w:eastAsia="es-ES_tradnl"/>
        </w:rPr>
        <w:t>analizado</w:t>
      </w:r>
      <w:r>
        <w:rPr>
          <w:rFonts w:ascii="Arial" w:eastAsia="Times New Roman" w:hAnsi="Arial" w:cs="Arial"/>
          <w:color w:val="000000" w:themeColor="text1"/>
          <w:lang w:val="es-ES_tradnl" w:eastAsia="es-ES_tradnl"/>
        </w:rPr>
        <w:t xml:space="preserve"> en el presente concepto, sin que sea posible modular sus efectos.</w:t>
      </w:r>
      <w:r>
        <w:rPr>
          <w:rFonts w:ascii="Arial" w:eastAsia="Calibri" w:hAnsi="Arial" w:cs="Arial"/>
          <w:lang w:eastAsia="es-ES_tradnl"/>
        </w:rPr>
        <w:t xml:space="preserve"> </w:t>
      </w:r>
      <w:r w:rsidR="00E75B8C">
        <w:rPr>
          <w:rFonts w:ascii="Arial" w:eastAsia="Calibri" w:hAnsi="Arial" w:cs="Arial"/>
          <w:lang w:eastAsia="es-ES_tradnl"/>
        </w:rPr>
        <w:t xml:space="preserve">Esto </w:t>
      </w:r>
      <w:r w:rsidR="00BA15DC">
        <w:rPr>
          <w:rFonts w:ascii="Arial" w:eastAsia="Calibri" w:hAnsi="Arial" w:cs="Arial"/>
          <w:lang w:eastAsia="es-ES_tradnl"/>
        </w:rPr>
        <w:t>máxime</w:t>
      </w:r>
      <w:r w:rsidR="00E75B8C">
        <w:rPr>
          <w:rFonts w:ascii="Arial" w:eastAsia="Calibri" w:hAnsi="Arial" w:cs="Arial"/>
          <w:lang w:eastAsia="es-ES_tradnl"/>
        </w:rPr>
        <w:t xml:space="preserve"> aun considerado que</w:t>
      </w:r>
      <w:r w:rsidR="00BA15DC">
        <w:rPr>
          <w:rFonts w:ascii="Arial" w:eastAsia="Calibri" w:hAnsi="Arial" w:cs="Arial"/>
          <w:lang w:eastAsia="es-ES_tradnl"/>
        </w:rPr>
        <w:t>,</w:t>
      </w:r>
      <w:r w:rsidR="00E75B8C">
        <w:rPr>
          <w:rFonts w:ascii="Arial" w:eastAsia="Calibri" w:hAnsi="Arial" w:cs="Arial"/>
          <w:lang w:eastAsia="es-ES_tradnl"/>
        </w:rPr>
        <w:t xml:space="preserve"> </w:t>
      </w:r>
      <w:r w:rsidR="00BC6FB1" w:rsidRPr="00C70543">
        <w:rPr>
          <w:rFonts w:ascii="Arial" w:eastAsia="Calibri" w:hAnsi="Arial" w:cs="Arial"/>
          <w:lang w:eastAsia="es-ES_tradnl"/>
        </w:rPr>
        <w:t xml:space="preserve">de conformidad con el literal e) del artículo 9 y el literal g) del artículo 11 de la Ley 1712 de 2014, </w:t>
      </w:r>
      <w:r w:rsidR="00BA15DC">
        <w:rPr>
          <w:rFonts w:ascii="Arial" w:eastAsia="Calibri" w:hAnsi="Arial" w:cs="Arial"/>
          <w:lang w:eastAsia="es-ES_tradnl"/>
        </w:rPr>
        <w:t>reglamentados</w:t>
      </w:r>
      <w:r w:rsidR="00BA15DC" w:rsidRPr="00C70543">
        <w:rPr>
          <w:rFonts w:ascii="Arial" w:eastAsia="Calibri" w:hAnsi="Arial" w:cs="Arial"/>
          <w:lang w:eastAsia="es-ES_tradnl"/>
        </w:rPr>
        <w:t xml:space="preserve"> </w:t>
      </w:r>
      <w:r w:rsidR="00BC6FB1" w:rsidRPr="00C70543">
        <w:rPr>
          <w:rFonts w:ascii="Arial" w:eastAsia="Calibri" w:hAnsi="Arial" w:cs="Arial"/>
          <w:lang w:eastAsia="es-ES_tradnl"/>
        </w:rPr>
        <w:t xml:space="preserve">en </w:t>
      </w:r>
      <w:r w:rsidR="00BC6FB1" w:rsidRPr="00BE224A">
        <w:rPr>
          <w:rFonts w:ascii="Arial" w:eastAsia="Calibri" w:hAnsi="Arial" w:cs="Arial"/>
          <w:lang w:val="es-ES_tradnl" w:eastAsia="es-ES_tradnl"/>
        </w:rPr>
        <w:t>el</w:t>
      </w:r>
      <w:r w:rsidR="00BC6FB1" w:rsidRPr="00C70543">
        <w:rPr>
          <w:rFonts w:ascii="Arial" w:eastAsia="Calibri" w:hAnsi="Arial" w:cs="Arial"/>
          <w:lang w:val="es-ES_tradnl" w:eastAsia="es-ES_tradnl"/>
        </w:rPr>
        <w:t xml:space="preserve"> artículo </w:t>
      </w:r>
      <w:r w:rsidR="00BC6FB1" w:rsidRPr="004746CB">
        <w:rPr>
          <w:rStyle w:val="Textoennegrita"/>
          <w:rFonts w:ascii="Arial" w:hAnsi="Arial" w:cs="Arial"/>
          <w:b w:val="0"/>
          <w:bCs w:val="0"/>
          <w:shd w:val="clear" w:color="auto" w:fill="FFFFFF"/>
        </w:rPr>
        <w:t>2.1.1.2.1.7.</w:t>
      </w:r>
      <w:r w:rsidR="00BC6FB1" w:rsidRPr="00BE224A">
        <w:rPr>
          <w:rStyle w:val="Textoennegrita"/>
          <w:rFonts w:ascii="Arial" w:hAnsi="Arial" w:cs="Arial"/>
          <w:shd w:val="clear" w:color="auto" w:fill="FFFFFF"/>
        </w:rPr>
        <w:t xml:space="preserve"> </w:t>
      </w:r>
      <w:r w:rsidR="00BC6FB1" w:rsidRPr="00C70543">
        <w:rPr>
          <w:rFonts w:ascii="Arial" w:eastAsia="Calibri" w:hAnsi="Arial" w:cs="Arial"/>
          <w:lang w:val="es-ES_tradnl" w:eastAsia="es-ES_tradnl"/>
        </w:rPr>
        <w:t>del Decreto 1081 de 2015–</w:t>
      </w:r>
      <w:r w:rsidR="00BC6FB1" w:rsidRPr="00C70543">
        <w:rPr>
          <w:rFonts w:ascii="Arial" w:eastAsia="Times New Roman" w:hAnsi="Arial" w:cs="Arial"/>
          <w:lang w:val="es-ES_tradnl" w:eastAsia="es-ES_tradnl"/>
        </w:rPr>
        <w:t>,</w:t>
      </w:r>
      <w:r w:rsidR="00BC6FB1" w:rsidRPr="00BE224A">
        <w:rPr>
          <w:rFonts w:ascii="Arial" w:eastAsia="Times New Roman" w:hAnsi="Arial" w:cs="Arial"/>
          <w:lang w:val="es-ES_tradnl" w:eastAsia="es-ES_tradnl"/>
        </w:rPr>
        <w:t xml:space="preserve"> </w:t>
      </w:r>
      <w:r w:rsidR="00BC6FB1" w:rsidRPr="00C70543">
        <w:rPr>
          <w:rFonts w:ascii="Arial" w:eastAsia="Times New Roman" w:hAnsi="Arial" w:cs="Arial"/>
          <w:lang w:val="es-ES_tradnl" w:eastAsia="es-ES_tradnl"/>
        </w:rPr>
        <w:t xml:space="preserve">las entidades estatales –incluidas las que se rigen generalmente por el derecho privado en materia contractual–, al ser </w:t>
      </w:r>
      <w:r w:rsidR="00BC6FB1" w:rsidRPr="00C70543">
        <w:rPr>
          <w:rFonts w:ascii="Arial" w:eastAsia="Times New Roman" w:hAnsi="Arial" w:cs="Arial"/>
          <w:i/>
          <w:iCs/>
          <w:lang w:val="es-ES_tradnl" w:eastAsia="es-ES_tradnl"/>
        </w:rPr>
        <w:t>sujetos obligados</w:t>
      </w:r>
      <w:r w:rsidR="00BC6FB1" w:rsidRPr="00C70543">
        <w:rPr>
          <w:rFonts w:ascii="Arial" w:eastAsia="Times New Roman" w:hAnsi="Arial" w:cs="Arial"/>
          <w:lang w:val="es-ES_tradnl" w:eastAsia="es-ES_tradnl"/>
        </w:rPr>
        <w:t xml:space="preserve"> a garantizar el derecho de acceso a la información y a los documentos públicos, deben publicar en el SECOP los documentos relacionados con su </w:t>
      </w:r>
      <w:r w:rsidR="00BC6FB1" w:rsidRPr="00BE224A">
        <w:rPr>
          <w:rFonts w:ascii="Arial" w:eastAsia="Times New Roman" w:hAnsi="Arial" w:cs="Arial"/>
          <w:lang w:val="es-ES_tradnl" w:eastAsia="es-ES_tradnl"/>
        </w:rPr>
        <w:t>gestión</w:t>
      </w:r>
      <w:r w:rsidR="00BC6FB1" w:rsidRPr="00C70543">
        <w:rPr>
          <w:rFonts w:ascii="Arial" w:eastAsia="Times New Roman" w:hAnsi="Arial" w:cs="Arial"/>
          <w:lang w:val="es-ES_tradnl" w:eastAsia="es-ES_tradnl"/>
        </w:rPr>
        <w:t xml:space="preserve"> contractual.</w:t>
      </w:r>
    </w:p>
    <w:p w14:paraId="7667C9DE" w14:textId="77777777" w:rsidR="00BC6FB1" w:rsidRPr="00C70543" w:rsidRDefault="00BC6FB1" w:rsidP="00926CEC">
      <w:pPr>
        <w:spacing w:after="0" w:line="240" w:lineRule="auto"/>
        <w:ind w:firstLine="709"/>
        <w:contextualSpacing/>
        <w:jc w:val="both"/>
        <w:rPr>
          <w:rFonts w:ascii="Arial" w:eastAsia="Times New Roman" w:hAnsi="Arial" w:cs="Arial"/>
          <w:lang w:val="es-ES_tradnl" w:eastAsia="es-ES_tradnl"/>
        </w:rPr>
      </w:pPr>
    </w:p>
    <w:p w14:paraId="09C9F986" w14:textId="4483A394" w:rsidR="00ED019C" w:rsidRPr="003505B3" w:rsidRDefault="00547E16" w:rsidP="003505B3">
      <w:pPr>
        <w:spacing w:after="0" w:line="240" w:lineRule="auto"/>
        <w:ind w:left="709" w:right="709"/>
        <w:contextualSpacing/>
        <w:jc w:val="both"/>
        <w:rPr>
          <w:rFonts w:ascii="Arial" w:hAnsi="Arial" w:cs="Arial"/>
          <w:sz w:val="21"/>
          <w:szCs w:val="21"/>
        </w:rPr>
      </w:pPr>
      <w:r w:rsidRPr="003505B3">
        <w:rPr>
          <w:rFonts w:ascii="Arial" w:eastAsia="Times New Roman" w:hAnsi="Arial" w:cs="Arial"/>
          <w:sz w:val="21"/>
          <w:szCs w:val="21"/>
          <w:lang w:val="es-ES_tradnl" w:eastAsia="es-ES_tradnl"/>
        </w:rPr>
        <w:t>«</w:t>
      </w:r>
      <w:r w:rsidR="00ED019C" w:rsidRPr="003505B3">
        <w:rPr>
          <w:rFonts w:ascii="Arial" w:hAnsi="Arial" w:cs="Arial"/>
          <w:sz w:val="21"/>
          <w:szCs w:val="21"/>
        </w:rPr>
        <w:t xml:space="preserve">2. En caso de que la respuesta a la anterior pregunta sea afirmativa: </w:t>
      </w:r>
    </w:p>
    <w:p w14:paraId="24764876" w14:textId="77777777" w:rsidR="00ED019C" w:rsidRPr="003505B3" w:rsidRDefault="00ED019C" w:rsidP="003505B3">
      <w:pPr>
        <w:spacing w:after="0" w:line="240" w:lineRule="auto"/>
        <w:ind w:left="709" w:right="709"/>
        <w:contextualSpacing/>
        <w:jc w:val="both"/>
        <w:rPr>
          <w:rFonts w:ascii="Arial" w:hAnsi="Arial" w:cs="Arial"/>
          <w:sz w:val="21"/>
          <w:szCs w:val="21"/>
        </w:rPr>
      </w:pPr>
    </w:p>
    <w:p w14:paraId="5461621E" w14:textId="0B9F7354" w:rsidR="00547E16" w:rsidRPr="003505B3" w:rsidRDefault="00ED019C" w:rsidP="003505B3">
      <w:pPr>
        <w:spacing w:after="0" w:line="240" w:lineRule="auto"/>
        <w:ind w:left="709" w:right="709"/>
        <w:contextualSpacing/>
        <w:jc w:val="both"/>
        <w:rPr>
          <w:rFonts w:ascii="Arial" w:hAnsi="Arial" w:cs="Arial"/>
          <w:sz w:val="21"/>
          <w:szCs w:val="21"/>
        </w:rPr>
      </w:pPr>
      <w:r w:rsidRPr="003505B3">
        <w:rPr>
          <w:rFonts w:ascii="Arial" w:hAnsi="Arial" w:cs="Arial"/>
          <w:sz w:val="21"/>
          <w:szCs w:val="21"/>
        </w:rPr>
        <w:t>- ¿cuál es el argumento legal para que las fundaciones de creación mixta tengan que cumplir con dicha obligación?</w:t>
      </w:r>
      <w:r w:rsidR="00547E16" w:rsidRPr="003505B3">
        <w:rPr>
          <w:rFonts w:ascii="Arial" w:eastAsia="Times New Roman" w:hAnsi="Arial" w:cs="Arial"/>
          <w:sz w:val="21"/>
          <w:szCs w:val="21"/>
          <w:lang w:val="es-ES_tradnl" w:eastAsia="es-ES_tradnl"/>
        </w:rPr>
        <w:t>»</w:t>
      </w:r>
    </w:p>
    <w:p w14:paraId="68C6A9B0" w14:textId="6A93C4E9" w:rsidR="00ED019C" w:rsidRPr="003505B3" w:rsidRDefault="00ED019C" w:rsidP="003505B3">
      <w:pPr>
        <w:spacing w:after="0" w:line="240" w:lineRule="auto"/>
        <w:ind w:left="709" w:right="709"/>
        <w:contextualSpacing/>
        <w:jc w:val="both"/>
        <w:rPr>
          <w:rFonts w:ascii="Arial" w:hAnsi="Arial" w:cs="Arial"/>
        </w:rPr>
      </w:pPr>
    </w:p>
    <w:p w14:paraId="41F620CC" w14:textId="12FE6EF2" w:rsidR="007164DE" w:rsidRDefault="007164DE" w:rsidP="00926CEC">
      <w:pPr>
        <w:spacing w:after="120" w:line="276" w:lineRule="auto"/>
        <w:ind w:firstLine="708"/>
        <w:jc w:val="both"/>
        <w:rPr>
          <w:rFonts w:ascii="Arial" w:eastAsia="Calibri" w:hAnsi="Arial" w:cs="Arial"/>
          <w:lang w:val="es-ES_tradnl" w:eastAsia="es-ES_tradnl"/>
        </w:rPr>
      </w:pPr>
      <w:r w:rsidRPr="00BC6FB1">
        <w:rPr>
          <w:rFonts w:ascii="Arial" w:eastAsia="Calibri" w:hAnsi="Arial" w:cs="Arial"/>
          <w:lang w:val="es-ES_tradnl" w:eastAsia="es-ES_tradnl"/>
        </w:rPr>
        <w:t>Co</w:t>
      </w:r>
      <w:r w:rsidR="002E11B0">
        <w:rPr>
          <w:rFonts w:ascii="Arial" w:eastAsia="Calibri" w:hAnsi="Arial" w:cs="Arial"/>
          <w:lang w:val="es-ES_tradnl" w:eastAsia="es-ES_tradnl"/>
        </w:rPr>
        <w:t xml:space="preserve">nforme a lo expuesto, </w:t>
      </w:r>
      <w:r w:rsidRPr="00BC6FB1">
        <w:rPr>
          <w:rFonts w:ascii="Arial" w:eastAsia="Calibri" w:hAnsi="Arial" w:cs="Arial"/>
          <w:lang w:val="es-ES_tradnl" w:eastAsia="es-ES_tradnl"/>
        </w:rPr>
        <w:t xml:space="preserve">las entidades estatales exceptuadas del Estatuto General de Contratación de la Administración Publica tienen la obligación de publicar su actividad contractual en el SECOP en virtud </w:t>
      </w:r>
      <w:r w:rsidR="00BC6FB1" w:rsidRPr="00BC6FB1">
        <w:rPr>
          <w:rFonts w:ascii="Arial" w:eastAsia="Calibri" w:hAnsi="Arial" w:cs="Arial"/>
          <w:lang w:val="es-ES_tradnl" w:eastAsia="es-ES_tradnl"/>
        </w:rPr>
        <w:t xml:space="preserve">las </w:t>
      </w:r>
      <w:r w:rsidR="008C74DC" w:rsidRPr="00BC6FB1">
        <w:rPr>
          <w:rFonts w:ascii="Arial" w:eastAsia="Calibri" w:hAnsi="Arial" w:cs="Arial"/>
          <w:lang w:val="es-ES_tradnl" w:eastAsia="es-ES_tradnl"/>
        </w:rPr>
        <w:t>normas</w:t>
      </w:r>
      <w:r w:rsidR="00D5500B">
        <w:rPr>
          <w:rFonts w:ascii="Arial" w:eastAsia="Calibri" w:hAnsi="Arial" w:cs="Arial"/>
          <w:lang w:val="es-ES_tradnl" w:eastAsia="es-ES_tradnl"/>
        </w:rPr>
        <w:t xml:space="preserve"> </w:t>
      </w:r>
      <w:r w:rsidR="00BC6FB1" w:rsidRPr="00BC6FB1">
        <w:rPr>
          <w:rFonts w:ascii="Arial" w:eastAsia="Calibri" w:hAnsi="Arial" w:cs="Arial"/>
          <w:lang w:val="es-ES_tradnl" w:eastAsia="es-ES_tradnl"/>
        </w:rPr>
        <w:t>consagradas en la Ley 1712 de 2014, en especial</w:t>
      </w:r>
      <w:r w:rsidRPr="00BC6FB1">
        <w:rPr>
          <w:rFonts w:ascii="Arial" w:eastAsia="Calibri" w:hAnsi="Arial" w:cs="Arial"/>
          <w:lang w:val="es-ES_tradnl" w:eastAsia="es-ES_tradnl"/>
        </w:rPr>
        <w:t xml:space="preserve"> de lo dispuesto en el literal e) del artículo 9</w:t>
      </w:r>
      <w:r w:rsidR="00D5500B">
        <w:rPr>
          <w:rFonts w:ascii="Arial" w:eastAsia="Calibri" w:hAnsi="Arial" w:cs="Arial"/>
          <w:lang w:val="es-ES_tradnl" w:eastAsia="es-ES_tradnl"/>
        </w:rPr>
        <w:t>,</w:t>
      </w:r>
      <w:r w:rsidR="00BC6FB1" w:rsidRPr="00BC6FB1">
        <w:rPr>
          <w:rFonts w:ascii="Arial" w:eastAsia="Calibri" w:hAnsi="Arial" w:cs="Arial"/>
          <w:lang w:val="es-ES_tradnl" w:eastAsia="es-ES_tradnl"/>
        </w:rPr>
        <w:t xml:space="preserve"> que señala que los sujetos obligados deben publicar la información relativa a su contratación</w:t>
      </w:r>
      <w:r w:rsidR="00D5500B">
        <w:rPr>
          <w:rFonts w:ascii="Arial" w:eastAsia="Calibri" w:hAnsi="Arial" w:cs="Arial"/>
          <w:lang w:val="es-ES_tradnl" w:eastAsia="es-ES_tradnl"/>
        </w:rPr>
        <w:t>,</w:t>
      </w:r>
      <w:r w:rsidR="00BC6FB1" w:rsidRPr="00BC6FB1">
        <w:rPr>
          <w:rFonts w:ascii="Arial" w:eastAsia="Calibri" w:hAnsi="Arial" w:cs="Arial"/>
          <w:lang w:val="es-ES_tradnl" w:eastAsia="es-ES_tradnl"/>
        </w:rPr>
        <w:t xml:space="preserve"> y del literal g) del artículo 11</w:t>
      </w:r>
      <w:r w:rsidR="00D5500B">
        <w:rPr>
          <w:rFonts w:ascii="Arial" w:eastAsia="Calibri" w:hAnsi="Arial" w:cs="Arial"/>
          <w:lang w:val="es-ES_tradnl" w:eastAsia="es-ES_tradnl"/>
        </w:rPr>
        <w:t>,</w:t>
      </w:r>
      <w:r w:rsidR="00BC6FB1" w:rsidRPr="00BC6FB1">
        <w:rPr>
          <w:rFonts w:ascii="Arial" w:eastAsia="Calibri" w:hAnsi="Arial" w:cs="Arial"/>
          <w:lang w:val="es-ES_tradnl" w:eastAsia="es-ES_tradnl"/>
        </w:rPr>
        <w:t xml:space="preserve"> que indica que todos los destinatarios de la llamada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14:paraId="3388AACF" w14:textId="11EABCB0" w:rsidR="00BC6FB1" w:rsidRPr="00BC6FB1" w:rsidRDefault="00BC6FB1" w:rsidP="009B6C3C">
      <w:pPr>
        <w:spacing w:before="120" w:after="0" w:line="276" w:lineRule="auto"/>
        <w:ind w:firstLine="709"/>
        <w:jc w:val="both"/>
        <w:rPr>
          <w:rFonts w:ascii="Arial" w:eastAsia="Times New Roman" w:hAnsi="Arial" w:cs="Arial"/>
          <w:lang w:eastAsia="es-CO"/>
        </w:rPr>
      </w:pPr>
      <w:r w:rsidRPr="003505B3">
        <w:rPr>
          <w:rFonts w:ascii="Arial" w:eastAsia="Calibri" w:hAnsi="Arial" w:cs="Arial"/>
          <w:lang w:val="es-ES_tradnl" w:eastAsia="es-ES_tradnl"/>
        </w:rPr>
        <w:t xml:space="preserve">Así mismo, </w:t>
      </w:r>
      <w:r w:rsidRPr="003505B3">
        <w:rPr>
          <w:rFonts w:ascii="Arial" w:eastAsia="Times New Roman" w:hAnsi="Arial" w:cs="Arial"/>
          <w:lang w:eastAsia="es-CO"/>
        </w:rPr>
        <w:t>el artículo 3 de la Ley 1150 de 2007 ya había establecido que el Sistema Electrónico para la Contratación Pública – SECOP «Contará con la información oficial de la contratación realizada con dineros públicos».</w:t>
      </w:r>
      <w:r>
        <w:rPr>
          <w:rFonts w:ascii="Arial" w:eastAsia="Times New Roman" w:hAnsi="Arial" w:cs="Arial"/>
          <w:lang w:eastAsia="es-CO"/>
        </w:rPr>
        <w:t xml:space="preserve"> </w:t>
      </w:r>
      <w:r w:rsidR="006A6F59">
        <w:rPr>
          <w:rFonts w:ascii="Arial" w:eastAsia="Times New Roman" w:hAnsi="Arial" w:cs="Arial"/>
          <w:lang w:eastAsia="es-CO"/>
        </w:rPr>
        <w:t xml:space="preserve"> A  las anteriores disposiciones se suma</w:t>
      </w:r>
      <w:r>
        <w:rPr>
          <w:rFonts w:ascii="Arial" w:eastAsia="Times New Roman" w:hAnsi="Arial" w:cs="Arial"/>
          <w:lang w:eastAsia="es-CO"/>
        </w:rPr>
        <w:t xml:space="preserve"> </w:t>
      </w:r>
      <w:r w:rsidRPr="00B95158">
        <w:rPr>
          <w:rFonts w:ascii="Arial" w:hAnsi="Arial" w:cs="Arial"/>
        </w:rPr>
        <w:t>el artículo 53</w:t>
      </w:r>
      <w:r w:rsidR="00D5500B">
        <w:rPr>
          <w:rFonts w:ascii="Arial" w:hAnsi="Arial" w:cs="Arial"/>
        </w:rPr>
        <w:t xml:space="preserve"> de la Ley 2195 de 2022</w:t>
      </w:r>
      <w:r w:rsidRPr="00B95158">
        <w:rPr>
          <w:rFonts w:ascii="Arial" w:hAnsi="Arial" w:cs="Arial"/>
        </w:rPr>
        <w:t>, a través del cual se adiciona el artículo 13 de la Ley 1150 de 2007</w:t>
      </w:r>
      <w:r>
        <w:rPr>
          <w:rFonts w:ascii="Arial" w:hAnsi="Arial" w:cs="Arial"/>
        </w:rPr>
        <w:t xml:space="preserve">, </w:t>
      </w:r>
      <w:r w:rsidRPr="00B95158">
        <w:rPr>
          <w:rFonts w:ascii="Arial" w:hAnsi="Arial" w:cs="Arial"/>
        </w:rPr>
        <w:t>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w:t>
      </w:r>
      <w:r>
        <w:rPr>
          <w:rFonts w:ascii="Arial" w:hAnsi="Arial" w:cs="Arial"/>
        </w:rPr>
        <w:t xml:space="preserve">. </w:t>
      </w:r>
    </w:p>
    <w:p w14:paraId="5BE53F4F" w14:textId="77777777" w:rsidR="003505B3" w:rsidRDefault="003505B3" w:rsidP="003505B3">
      <w:pPr>
        <w:spacing w:after="0" w:line="240" w:lineRule="auto"/>
        <w:ind w:left="709" w:right="709"/>
        <w:contextualSpacing/>
        <w:jc w:val="both"/>
        <w:rPr>
          <w:rFonts w:ascii="Arial" w:hAnsi="Arial" w:cs="Arial"/>
          <w:sz w:val="21"/>
          <w:szCs w:val="21"/>
        </w:rPr>
      </w:pPr>
    </w:p>
    <w:p w14:paraId="089A2B93" w14:textId="6F9F39C9" w:rsidR="00ED019C" w:rsidRPr="00E84015" w:rsidRDefault="00FD6570" w:rsidP="006A6F59">
      <w:pPr>
        <w:spacing w:after="0" w:line="240" w:lineRule="auto"/>
        <w:ind w:left="709" w:right="709"/>
        <w:contextualSpacing/>
        <w:jc w:val="both"/>
        <w:rPr>
          <w:rFonts w:ascii="Arial" w:hAnsi="Arial" w:cs="Arial"/>
          <w:sz w:val="21"/>
          <w:szCs w:val="21"/>
        </w:rPr>
      </w:pPr>
      <w:r w:rsidRPr="003265C8">
        <w:rPr>
          <w:rFonts w:ascii="Arial" w:eastAsia="Times New Roman" w:hAnsi="Arial" w:cs="Arial"/>
          <w:sz w:val="21"/>
          <w:szCs w:val="21"/>
          <w:lang w:val="es-ES_tradnl" w:eastAsia="es-ES_tradnl"/>
        </w:rPr>
        <w:t>«</w:t>
      </w:r>
      <w:r w:rsidR="00ED019C" w:rsidRPr="00D0648E">
        <w:rPr>
          <w:rFonts w:ascii="Arial" w:hAnsi="Arial" w:cs="Arial"/>
          <w:sz w:val="21"/>
          <w:szCs w:val="21"/>
        </w:rPr>
        <w:t>- ¿cómo se realizarían dichas publicaciones, si este tipo de entidades no cuentan con figuras propias de la contratación pública como el certificado de disponibilidad presupuestal, el registro presupuestal, no tienen el presupuesto dividido en funcionamiento e inversión, por lo tanto, no tienen banco de proyectos, entre otras peculiaridades propias de las entidades estatales?</w:t>
      </w:r>
      <w:r w:rsidR="00203413">
        <w:rPr>
          <w:rFonts w:ascii="Arial" w:hAnsi="Arial" w:cs="Arial"/>
          <w:sz w:val="21"/>
          <w:szCs w:val="21"/>
        </w:rPr>
        <w:t xml:space="preserve"> </w:t>
      </w:r>
      <w:r w:rsidR="00ED019C" w:rsidRPr="00E84015">
        <w:rPr>
          <w:rFonts w:ascii="Arial" w:hAnsi="Arial" w:cs="Arial"/>
          <w:sz w:val="21"/>
          <w:szCs w:val="21"/>
        </w:rPr>
        <w:t>[…]</w:t>
      </w:r>
      <w:r w:rsidR="00ED019C" w:rsidRPr="00E84015">
        <w:rPr>
          <w:rFonts w:ascii="Arial" w:eastAsia="Times New Roman" w:hAnsi="Arial" w:cs="Arial"/>
          <w:sz w:val="21"/>
          <w:szCs w:val="21"/>
          <w:lang w:val="es-ES_tradnl" w:eastAsia="es-ES_tradnl"/>
        </w:rPr>
        <w:t>»</w:t>
      </w:r>
    </w:p>
    <w:p w14:paraId="272A2CE4" w14:textId="35ED8C60" w:rsidR="00E84015" w:rsidRDefault="00E84015" w:rsidP="003505B3">
      <w:pPr>
        <w:spacing w:after="0" w:line="276" w:lineRule="auto"/>
        <w:ind w:left="709" w:right="709"/>
        <w:contextualSpacing/>
        <w:jc w:val="both"/>
        <w:rPr>
          <w:rFonts w:ascii="Arial" w:eastAsia="Times New Roman" w:hAnsi="Arial" w:cs="Arial"/>
          <w:color w:val="FF0000"/>
          <w:lang w:eastAsia="es-ES_tradnl"/>
        </w:rPr>
      </w:pPr>
    </w:p>
    <w:p w14:paraId="78D6F760" w14:textId="347F7D0E" w:rsidR="002A70E5" w:rsidRDefault="002A70E5" w:rsidP="00926CEC">
      <w:pPr>
        <w:spacing w:after="120" w:line="276" w:lineRule="auto"/>
        <w:ind w:firstLine="709"/>
        <w:jc w:val="both"/>
        <w:rPr>
          <w:rFonts w:ascii="Arial" w:hAnsi="Arial" w:cs="Arial"/>
        </w:rPr>
      </w:pPr>
      <w:r>
        <w:rPr>
          <w:rFonts w:ascii="Arial" w:hAnsi="Arial" w:cs="Arial"/>
        </w:rPr>
        <w:t xml:space="preserve">De acuerdo con lo </w:t>
      </w:r>
      <w:r w:rsidR="009B6C3C">
        <w:rPr>
          <w:rFonts w:ascii="Arial" w:hAnsi="Arial" w:cs="Arial"/>
        </w:rPr>
        <w:t>considerado</w:t>
      </w:r>
      <w:r w:rsidR="00252184">
        <w:rPr>
          <w:rFonts w:ascii="Arial" w:hAnsi="Arial" w:cs="Arial"/>
        </w:rPr>
        <w:t>,</w:t>
      </w:r>
      <w:r>
        <w:rPr>
          <w:rFonts w:ascii="Arial" w:hAnsi="Arial" w:cs="Arial"/>
        </w:rPr>
        <w:t xml:space="preserve"> la actividad contractual adelantada en el marco del derecho privado y conforme a las reglas establecidas en los manuales de contratación de las respectivas entidades exceptuadas no se contemplan actuaciones como la expedición de certificado de disponibilidad presupuestal o el registro presupuestal,</w:t>
      </w:r>
      <w:r w:rsidR="00252184">
        <w:rPr>
          <w:rFonts w:ascii="Arial" w:hAnsi="Arial" w:cs="Arial"/>
        </w:rPr>
        <w:t xml:space="preserve"> por lo que </w:t>
      </w:r>
      <w:r>
        <w:rPr>
          <w:rFonts w:ascii="Arial" w:hAnsi="Arial" w:cs="Arial"/>
        </w:rPr>
        <w:t xml:space="preserve">no son estos documentos que les corresponda publicar a </w:t>
      </w:r>
      <w:r w:rsidR="00252184">
        <w:rPr>
          <w:rFonts w:ascii="Arial" w:hAnsi="Arial" w:cs="Arial"/>
        </w:rPr>
        <w:t xml:space="preserve">las </w:t>
      </w:r>
      <w:r>
        <w:rPr>
          <w:rFonts w:ascii="Arial" w:hAnsi="Arial" w:cs="Arial"/>
        </w:rPr>
        <w:t>entidades</w:t>
      </w:r>
      <w:r w:rsidR="00252184">
        <w:rPr>
          <w:rFonts w:ascii="Arial" w:hAnsi="Arial" w:cs="Arial"/>
        </w:rPr>
        <w:t xml:space="preserve"> exceptuadas</w:t>
      </w:r>
      <w:r>
        <w:rPr>
          <w:rFonts w:ascii="Arial" w:hAnsi="Arial" w:cs="Arial"/>
        </w:rPr>
        <w:t xml:space="preserve">. Sin embargo, si de acuerdo con el sistema de gestión financiera de la entidad en los procedimientos contractuales que se adelanten se expiden documentos equivalentes de los mencionados, la entidad en el estaría obligada a publicarlos.  </w:t>
      </w:r>
    </w:p>
    <w:p w14:paraId="69DD2292" w14:textId="654F403D" w:rsidR="002A70E5" w:rsidRPr="006B7DD1" w:rsidRDefault="00252184" w:rsidP="00926CEC">
      <w:pPr>
        <w:spacing w:after="120" w:line="276" w:lineRule="auto"/>
        <w:ind w:firstLine="709"/>
        <w:jc w:val="both"/>
        <w:rPr>
          <w:rFonts w:ascii="Arial" w:hAnsi="Arial" w:cs="Arial"/>
        </w:rPr>
      </w:pPr>
      <w:r>
        <w:rPr>
          <w:rFonts w:ascii="Arial" w:hAnsi="Arial" w:cs="Arial"/>
        </w:rPr>
        <w:t xml:space="preserve">Teniendo en cuenta esto </w:t>
      </w:r>
      <w:r w:rsidR="002A70E5" w:rsidRPr="006B7DD1">
        <w:rPr>
          <w:rFonts w:ascii="Arial" w:hAnsi="Arial" w:cs="Arial"/>
        </w:rPr>
        <w:t xml:space="preserve">le informamos que el campo </w:t>
      </w:r>
      <w:r w:rsidR="002A70E5" w:rsidRPr="006B7DD1">
        <w:rPr>
          <w:rFonts w:ascii="Arial" w:hAnsi="Arial" w:cs="Arial"/>
          <w:i/>
          <w:iCs/>
        </w:rPr>
        <w:t>certificado de disponibilidad presupuestal</w:t>
      </w:r>
      <w:r w:rsidR="002A70E5" w:rsidRPr="006B7DD1">
        <w:rPr>
          <w:rFonts w:ascii="Arial" w:hAnsi="Arial" w:cs="Arial"/>
        </w:rPr>
        <w:t xml:space="preserve"> está habilitado en la creación y edición del proceso de contratación en la sección </w:t>
      </w:r>
      <w:r w:rsidR="002A70E5" w:rsidRPr="006B7DD1">
        <w:rPr>
          <w:rFonts w:ascii="Arial" w:hAnsi="Arial" w:cs="Arial"/>
          <w:i/>
          <w:iCs/>
        </w:rPr>
        <w:t>2 Configuración,</w:t>
      </w:r>
      <w:r w:rsidR="002A70E5" w:rsidRPr="006B7DD1">
        <w:rPr>
          <w:rFonts w:ascii="Arial" w:hAnsi="Arial" w:cs="Arial"/>
        </w:rPr>
        <w:t xml:space="preserve"> sin embargo, no es un campo obligatorio, por lo que la entidad podría omitir el diligenciamiento del mismo.  De igual modo,</w:t>
      </w:r>
      <w:r w:rsidR="008A24D5">
        <w:rPr>
          <w:rFonts w:ascii="Arial" w:hAnsi="Arial" w:cs="Arial"/>
        </w:rPr>
        <w:t xml:space="preserve"> </w:t>
      </w:r>
      <w:r w:rsidR="002A70E5" w:rsidRPr="006B7DD1">
        <w:rPr>
          <w:rFonts w:ascii="Arial" w:hAnsi="Arial" w:cs="Arial"/>
        </w:rPr>
        <w:t>con relación a la información del registro presupuestal, si bien técnicamente este campo si es obligatorio para el inicio de ejecución del contrato electrónico en la plataforma, la entidad también puede relacionar la inf</w:t>
      </w:r>
      <w:r w:rsidR="008A24D5">
        <w:rPr>
          <w:rFonts w:ascii="Arial" w:hAnsi="Arial" w:cs="Arial"/>
        </w:rPr>
        <w:t>or</w:t>
      </w:r>
      <w:r w:rsidR="002A70E5" w:rsidRPr="006B7DD1">
        <w:rPr>
          <w:rFonts w:ascii="Arial" w:hAnsi="Arial" w:cs="Arial"/>
        </w:rPr>
        <w:t xml:space="preserve">mación que corresponda de acuerdo con el sistema de gestión financiera que maneja, en el caso de que la entidad no utilice propiamente esta figura. </w:t>
      </w:r>
    </w:p>
    <w:p w14:paraId="63842F40" w14:textId="77777777" w:rsidR="002A70E5" w:rsidRPr="006B7DD1" w:rsidRDefault="002A70E5" w:rsidP="00926CEC">
      <w:pPr>
        <w:spacing w:after="120" w:line="276" w:lineRule="auto"/>
        <w:ind w:firstLine="709"/>
        <w:jc w:val="both"/>
        <w:rPr>
          <w:rFonts w:ascii="Arial" w:hAnsi="Arial" w:cs="Arial"/>
        </w:rPr>
      </w:pPr>
      <w:r w:rsidRPr="006B7DD1">
        <w:rPr>
          <w:rFonts w:ascii="Arial" w:hAnsi="Arial" w:cs="Arial"/>
        </w:rPr>
        <w:t>Adicionalmente, cabe aclarar que, si la entidad opta por hacer un uso meramente publicitario de la plataforma para la gestión y publicación de sus procesos de contratación, conforme a lo establecido en la Circular No. 02 del de 2022 expedida por el Departamento Administrativo de la Presidencia de la República el pasado 01 de junio, este campo no sería necesario, teniendo en cuenta que la entidad no generaría el contrato de forma electrónica en el SECOP II sino de manera externa y daría publicidad a todos los documentos de su actividad contractual a través de la sección de modificaciones del proceso.</w:t>
      </w:r>
    </w:p>
    <w:p w14:paraId="61159FE3" w14:textId="77777777" w:rsidR="002A70E5" w:rsidRPr="006B7DD1" w:rsidRDefault="002A70E5" w:rsidP="00926CEC">
      <w:pPr>
        <w:spacing w:after="0" w:line="276" w:lineRule="auto"/>
        <w:ind w:firstLine="709"/>
        <w:jc w:val="both"/>
        <w:rPr>
          <w:rFonts w:ascii="Arial" w:hAnsi="Arial" w:cs="Arial"/>
        </w:rPr>
      </w:pPr>
      <w:r w:rsidRPr="006B7DD1">
        <w:rPr>
          <w:rFonts w:ascii="Arial" w:hAnsi="Arial" w:cs="Arial"/>
        </w:rPr>
        <w:t xml:space="preserve">Por otro lado, con respecto a su inquietud sobre el banco de proyectos, le informamos que este campo no es obligatorio en la plataforma en vista de que, la interoperabilidad que tiene el SECOP II con el Sistema Unificado de Inversiones y Finanzas Públicas - SUIFP para la validación del Código BPIN se habilita únicamente en el caso de que en el campo de </w:t>
      </w:r>
      <w:r w:rsidRPr="006B7DD1">
        <w:rPr>
          <w:rFonts w:ascii="Arial" w:hAnsi="Arial" w:cs="Arial"/>
          <w:i/>
          <w:iCs/>
        </w:rPr>
        <w:t>"Destinación del gasto"</w:t>
      </w:r>
      <w:r w:rsidRPr="006B7DD1">
        <w:rPr>
          <w:rFonts w:ascii="Arial" w:hAnsi="Arial" w:cs="Arial"/>
        </w:rPr>
        <w:t xml:space="preserve"> la entidad elija la opción "Inversión” siempre y cuando la fuente de los recursos corresponda a: Presupuesto general de la Nación - PGN: Sistema General de Participaciones - SGP: Sistema General de Regalías - SGR o Recursos Propios Alcaldías o Gobernaciones). En este sentido. si la entidad no ejecuta recursos provenientes de alguna de las fuentes de recursos mencionados anteriormente la validación del Código BPIN no será obligatoria.</w:t>
      </w:r>
    </w:p>
    <w:p w14:paraId="3A0374BC" w14:textId="77777777" w:rsidR="00E84015" w:rsidRPr="00AA5F30" w:rsidRDefault="00E84015" w:rsidP="00E84015">
      <w:pPr>
        <w:spacing w:after="0" w:line="276" w:lineRule="auto"/>
        <w:jc w:val="both"/>
        <w:rPr>
          <w:rFonts w:ascii="Arial" w:eastAsia="Times New Roman" w:hAnsi="Arial" w:cs="Arial"/>
          <w:szCs w:val="24"/>
          <w:lang w:val="es-ES_tradnl" w:eastAsia="es-ES_tradnl"/>
        </w:rPr>
      </w:pPr>
    </w:p>
    <w:p w14:paraId="31A228B7" w14:textId="77777777" w:rsidR="00E84015" w:rsidRPr="00AA5F30" w:rsidRDefault="00E84015" w:rsidP="00E84015">
      <w:pPr>
        <w:spacing w:after="0" w:line="276" w:lineRule="auto"/>
        <w:jc w:val="both"/>
        <w:rPr>
          <w:rFonts w:ascii="Arial" w:eastAsia="Times New Roman" w:hAnsi="Arial" w:cs="Arial"/>
          <w:szCs w:val="24"/>
          <w:lang w:val="es-ES_tradnl" w:eastAsia="es-ES_tradnl"/>
        </w:rPr>
      </w:pPr>
      <w:r w:rsidRPr="00AA5F30">
        <w:rPr>
          <w:rFonts w:ascii="Arial" w:eastAsia="Times New Roman" w:hAnsi="Arial" w:cs="Arial"/>
          <w:szCs w:val="24"/>
          <w:lang w:val="es-ES_tradnl" w:eastAsia="es-ES_tradnl"/>
        </w:rPr>
        <w:t>Este concepto tiene el alcance previsto en el artículo 28 del Código de Procedimiento Administrativo y de lo Contencioso Administrativo.</w:t>
      </w:r>
    </w:p>
    <w:p w14:paraId="3500B4D8" w14:textId="77777777" w:rsidR="00E84015" w:rsidRPr="00926CEC" w:rsidRDefault="00E84015" w:rsidP="00E84015">
      <w:pPr>
        <w:spacing w:after="0" w:line="276" w:lineRule="auto"/>
        <w:jc w:val="both"/>
        <w:rPr>
          <w:rFonts w:ascii="Arial" w:eastAsia="Times New Roman" w:hAnsi="Arial" w:cs="Arial"/>
          <w:sz w:val="16"/>
          <w:szCs w:val="16"/>
          <w:lang w:val="es-ES_tradnl" w:eastAsia="es-CO"/>
        </w:rPr>
      </w:pPr>
    </w:p>
    <w:p w14:paraId="77269D6E" w14:textId="77777777" w:rsidR="00E84015" w:rsidRPr="00AA5F30" w:rsidRDefault="00E84015" w:rsidP="00E84015">
      <w:pPr>
        <w:spacing w:after="0" w:line="276" w:lineRule="auto"/>
        <w:jc w:val="both"/>
        <w:rPr>
          <w:rFonts w:ascii="Arial" w:eastAsia="Times New Roman" w:hAnsi="Arial" w:cs="Arial"/>
          <w:lang w:val="es-ES_tradnl" w:eastAsia="es-CO"/>
        </w:rPr>
      </w:pPr>
      <w:r w:rsidRPr="00AA5F30">
        <w:rPr>
          <w:rFonts w:ascii="Arial" w:eastAsia="Times New Roman" w:hAnsi="Arial" w:cs="Arial"/>
          <w:lang w:val="es-ES_tradnl" w:eastAsia="es-CO"/>
        </w:rPr>
        <w:t>Atentamente,</w:t>
      </w:r>
    </w:p>
    <w:p w14:paraId="1F72726F" w14:textId="559F9BF0" w:rsidR="00E84015" w:rsidRPr="00AA5F30" w:rsidRDefault="00A860C1" w:rsidP="00E84015">
      <w:pPr>
        <w:spacing w:before="120" w:after="0" w:line="276" w:lineRule="auto"/>
        <w:jc w:val="center"/>
        <w:rPr>
          <w:rFonts w:ascii="Arial" w:hAnsi="Arial" w:cs="Arial"/>
          <w:sz w:val="18"/>
          <w:szCs w:val="20"/>
          <w:lang w:val="es-ES_tradnl" w:eastAsia="es-CO"/>
        </w:rPr>
      </w:pPr>
      <w:bookmarkStart w:id="29" w:name="_Hlk108446929"/>
      <w:bookmarkEnd w:id="3"/>
      <w:r w:rsidRPr="00B56176">
        <w:rPr>
          <w:rFonts w:ascii="Arial" w:hAnsi="Arial" w:cs="Arial"/>
          <w:noProof/>
          <w:color w:val="FF0000"/>
          <w:lang w:eastAsia="es-CO"/>
        </w:rPr>
        <w:drawing>
          <wp:inline distT="0" distB="0" distL="0" distR="0" wp14:anchorId="672E2352" wp14:editId="700DF886">
            <wp:extent cx="2734152" cy="1058713"/>
            <wp:effectExtent l="0" t="0" r="9525" b="825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441" cy="1059599"/>
                    </a:xfrm>
                    <a:prstGeom prst="rect">
                      <a:avLst/>
                    </a:prstGeom>
                    <a:noFill/>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A5F30" w:rsidRPr="00AA5F30" w14:paraId="14E0E9F2" w14:textId="77777777" w:rsidTr="00C41B94">
        <w:trPr>
          <w:trHeight w:val="315"/>
        </w:trPr>
        <w:tc>
          <w:tcPr>
            <w:tcW w:w="812" w:type="dxa"/>
            <w:vAlign w:val="center"/>
            <w:hideMark/>
          </w:tcPr>
          <w:p w14:paraId="049CCE57" w14:textId="77777777" w:rsidR="00E84015" w:rsidRPr="00AA5F30" w:rsidRDefault="00E84015"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EA4940F" w14:textId="77777777" w:rsidR="00E84015" w:rsidRPr="00AA5F30" w:rsidRDefault="00E84015"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Diana Lucia Saavedra Castañeda</w:t>
            </w:r>
          </w:p>
          <w:p w14:paraId="5AD0BC9E" w14:textId="77777777" w:rsidR="00E84015" w:rsidRPr="00AA5F30" w:rsidRDefault="00E84015"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 xml:space="preserve">Contratista de la Subdirección de Gestión Contractual  </w:t>
            </w:r>
          </w:p>
        </w:tc>
      </w:tr>
      <w:tr w:rsidR="00AA5F30" w:rsidRPr="00AA5F30" w14:paraId="375D374E" w14:textId="77777777" w:rsidTr="00C41B94">
        <w:trPr>
          <w:trHeight w:val="330"/>
        </w:trPr>
        <w:tc>
          <w:tcPr>
            <w:tcW w:w="812" w:type="dxa"/>
            <w:vAlign w:val="center"/>
            <w:hideMark/>
          </w:tcPr>
          <w:p w14:paraId="137B95A6" w14:textId="77777777" w:rsidR="00E84015" w:rsidRPr="00AA5F30" w:rsidRDefault="00E84015"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8128DE" w14:textId="4A6B8F02" w:rsidR="00FD6570" w:rsidRPr="00AA5F30" w:rsidRDefault="00FD6570"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Alejandro Sarmiento Cantillo</w:t>
            </w:r>
          </w:p>
          <w:p w14:paraId="4232F13B" w14:textId="6E0DDA6B" w:rsidR="00E84015" w:rsidRPr="00AA5F30" w:rsidRDefault="00E84015"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Gestor T1-15 de la Subdirección de Gestión Contractual</w:t>
            </w:r>
          </w:p>
        </w:tc>
      </w:tr>
      <w:tr w:rsidR="00AA5F30" w:rsidRPr="00AA5F30" w14:paraId="6AD41287" w14:textId="77777777" w:rsidTr="00C41B94">
        <w:trPr>
          <w:trHeight w:val="300"/>
        </w:trPr>
        <w:tc>
          <w:tcPr>
            <w:tcW w:w="812" w:type="dxa"/>
            <w:vAlign w:val="center"/>
            <w:hideMark/>
          </w:tcPr>
          <w:p w14:paraId="0E1F8122" w14:textId="77777777" w:rsidR="00E84015" w:rsidRPr="00AA5F30" w:rsidRDefault="00E84015"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A9A800" w14:textId="77777777" w:rsidR="00E84015" w:rsidRPr="00AA5F30" w:rsidRDefault="00E84015"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Juan David Marín López</w:t>
            </w:r>
          </w:p>
          <w:p w14:paraId="2C9F001D" w14:textId="77777777" w:rsidR="00E84015" w:rsidRPr="00AA5F30" w:rsidRDefault="00E84015" w:rsidP="00E84015">
            <w:pPr>
              <w:jc w:val="both"/>
              <w:rPr>
                <w:rFonts w:ascii="Arial" w:eastAsia="Times New Roman" w:hAnsi="Arial" w:cs="Arial"/>
                <w:sz w:val="16"/>
                <w:szCs w:val="16"/>
                <w:lang w:val="es-ES_tradnl" w:eastAsia="es-ES"/>
              </w:rPr>
            </w:pPr>
            <w:r w:rsidRPr="00AA5F30">
              <w:rPr>
                <w:rFonts w:ascii="Arial" w:eastAsia="Times New Roman" w:hAnsi="Arial" w:cs="Arial"/>
                <w:sz w:val="16"/>
                <w:szCs w:val="16"/>
                <w:lang w:val="es-ES_tradnl" w:eastAsia="es-ES"/>
              </w:rPr>
              <w:t>Subdirector de Gestión Contractual (E)</w:t>
            </w:r>
          </w:p>
        </w:tc>
      </w:tr>
      <w:bookmarkEnd w:id="29"/>
    </w:tbl>
    <w:p w14:paraId="39F3F2FF" w14:textId="77777777" w:rsidR="00185972" w:rsidRPr="00E84015" w:rsidRDefault="00185972" w:rsidP="00926CEC">
      <w:pPr>
        <w:spacing w:after="0" w:line="240" w:lineRule="auto"/>
        <w:textAlignment w:val="baseline"/>
        <w:rPr>
          <w:color w:val="FF0000"/>
        </w:rPr>
      </w:pPr>
    </w:p>
    <w:sectPr w:rsidR="00185972" w:rsidRPr="00E84015" w:rsidSect="00F76AFC">
      <w:headerReference w:type="default" r:id="rId12"/>
      <w:footerReference w:type="default" r:id="rId13"/>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6D29" w14:textId="77777777" w:rsidR="00673221" w:rsidRDefault="00673221" w:rsidP="00E84015">
      <w:pPr>
        <w:spacing w:after="0" w:line="240" w:lineRule="auto"/>
      </w:pPr>
      <w:r>
        <w:separator/>
      </w:r>
    </w:p>
  </w:endnote>
  <w:endnote w:type="continuationSeparator" w:id="0">
    <w:p w14:paraId="477CE248" w14:textId="77777777" w:rsidR="00673221" w:rsidRDefault="00673221" w:rsidP="00E8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Geomanist Ligh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E355" w14:textId="77777777" w:rsidR="004A1847" w:rsidRDefault="0085056C">
    <w:pPr>
      <w:pStyle w:val="Piedepgina"/>
    </w:pPr>
    <w:r>
      <w:rPr>
        <w:noProof/>
      </w:rPr>
      <w:drawing>
        <wp:inline distT="0" distB="0" distL="0" distR="0" wp14:anchorId="0D71FC00" wp14:editId="68DD40BF">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295"/>
      <w:gridCol w:w="1764"/>
    </w:tblGrid>
    <w:tr w:rsidR="006219F8" w:rsidRPr="00080DA3" w14:paraId="4C7B7893" w14:textId="77777777" w:rsidTr="00230680">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BD93893" w14:textId="77777777" w:rsidR="006219F8" w:rsidRPr="00080DA3" w:rsidRDefault="0085056C"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5C539D" w14:textId="77777777" w:rsidR="006219F8" w:rsidRPr="00080DA3" w:rsidRDefault="0085056C" w:rsidP="006219F8">
          <w:pPr>
            <w:pStyle w:val="Piedepgina"/>
            <w:jc w:val="center"/>
            <w:rPr>
              <w:rFonts w:ascii="Geomanist Light" w:hAnsi="Geomanist Light"/>
              <w:sz w:val="18"/>
              <w:szCs w:val="18"/>
            </w:rPr>
          </w:pPr>
          <w:r w:rsidRPr="00080DA3">
            <w:rPr>
              <w:rFonts w:ascii="Geomanist Light" w:hAnsi="Geomanist Light"/>
              <w:sz w:val="18"/>
              <w:szCs w:val="18"/>
            </w:rPr>
            <w:t>02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C00A3C0" w14:textId="77777777" w:rsidR="006219F8" w:rsidRPr="00080DA3" w:rsidRDefault="0085056C"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F96BDF1" w14:textId="77777777" w:rsidR="006219F8" w:rsidRPr="00080DA3" w:rsidRDefault="0085056C"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5017B14" w14:textId="77777777" w:rsidR="006219F8" w:rsidRPr="00080DA3" w:rsidRDefault="0085056C"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295"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DB6E67" w14:textId="77777777" w:rsidR="006219F8" w:rsidRPr="00080DA3" w:rsidRDefault="0085056C" w:rsidP="006219F8">
          <w:pPr>
            <w:pStyle w:val="Piedepgina"/>
            <w:jc w:val="center"/>
            <w:rPr>
              <w:rFonts w:ascii="Geomanist Light" w:hAnsi="Geomanist Light"/>
              <w:sz w:val="18"/>
              <w:szCs w:val="18"/>
            </w:rPr>
          </w:pPr>
          <w:r w:rsidRPr="00080DA3">
            <w:rPr>
              <w:rFonts w:ascii="Geomanist Light" w:hAnsi="Geomanist Light"/>
              <w:sz w:val="18"/>
              <w:szCs w:val="18"/>
            </w:rPr>
            <w:t>03 de noviembre de 2021</w:t>
          </w:r>
        </w:p>
      </w:tc>
      <w:tc>
        <w:tcPr>
          <w:tcW w:w="176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12751D7" w14:textId="77777777" w:rsidR="006219F8" w:rsidRPr="00080DA3" w:rsidRDefault="0085056C" w:rsidP="0023068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37CD8694" w14:textId="77777777" w:rsidR="006219F8" w:rsidRDefault="00A860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6601" w14:textId="77777777" w:rsidR="00673221" w:rsidRDefault="00673221" w:rsidP="00E84015">
      <w:pPr>
        <w:spacing w:after="0" w:line="240" w:lineRule="auto"/>
      </w:pPr>
      <w:r>
        <w:separator/>
      </w:r>
    </w:p>
  </w:footnote>
  <w:footnote w:type="continuationSeparator" w:id="0">
    <w:p w14:paraId="5ECB2BD6" w14:textId="77777777" w:rsidR="00673221" w:rsidRDefault="00673221" w:rsidP="00E84015">
      <w:pPr>
        <w:spacing w:after="0" w:line="240" w:lineRule="auto"/>
      </w:pPr>
      <w:r>
        <w:continuationSeparator/>
      </w:r>
    </w:p>
  </w:footnote>
  <w:footnote w:id="1">
    <w:p w14:paraId="6087C958" w14:textId="77777777" w:rsidR="00E84015" w:rsidRPr="006B3D61" w:rsidRDefault="00E84015" w:rsidP="006B3D61">
      <w:pPr>
        <w:spacing w:after="0" w:line="240" w:lineRule="auto"/>
        <w:ind w:firstLine="707"/>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vertAlign w:val="superscript"/>
        </w:rPr>
        <w:t xml:space="preserve"> </w:t>
      </w:r>
      <w:r w:rsidRPr="006B3D61">
        <w:rPr>
          <w:rFonts w:ascii="Arial" w:hAnsi="Arial" w:cs="Arial"/>
          <w:sz w:val="19"/>
          <w:szCs w:val="19"/>
        </w:rPr>
        <w:t>Ley 1712 de 2014: «Artículo 2. Toda información en posesión, bajo control o custodia de un sujeto obligado es pública y no podrá ser reservada o limitada sino por disposición constitucional o legal, de conformidad con la presente ley».</w:t>
      </w:r>
    </w:p>
  </w:footnote>
  <w:footnote w:id="2">
    <w:p w14:paraId="54441DDE" w14:textId="77777777" w:rsidR="00E84015" w:rsidRPr="006B3D61" w:rsidRDefault="00E84015" w:rsidP="006B3D61">
      <w:pPr>
        <w:pStyle w:val="Textonotapie"/>
        <w:contextualSpacing/>
        <w:jc w:val="both"/>
        <w:rPr>
          <w:rFonts w:ascii="Arial" w:hAnsi="Arial" w:cs="Arial"/>
          <w:sz w:val="19"/>
          <w:szCs w:val="19"/>
        </w:rPr>
      </w:pPr>
    </w:p>
    <w:p w14:paraId="543AB2E0" w14:textId="77777777" w:rsidR="00E84015" w:rsidRPr="006B3D61" w:rsidRDefault="00E84015" w:rsidP="006B3D61">
      <w:pPr>
        <w:pStyle w:val="Textonotapie"/>
        <w:ind w:firstLine="707"/>
        <w:contextualSpacing/>
        <w:jc w:val="both"/>
        <w:rPr>
          <w:rFonts w:ascii="Arial" w:hAnsi="Arial" w:cs="Arial"/>
          <w:sz w:val="19"/>
          <w:szCs w:val="19"/>
          <w:lang w:val="es-CO"/>
        </w:rPr>
      </w:pPr>
      <w:r w:rsidRPr="006B3D61">
        <w:rPr>
          <w:rStyle w:val="Refdenotaalpie"/>
          <w:rFonts w:ascii="Arial" w:hAnsi="Arial" w:cs="Arial"/>
          <w:sz w:val="19"/>
          <w:szCs w:val="19"/>
        </w:rPr>
        <w:footnoteRef/>
      </w:r>
      <w:r w:rsidRPr="006B3D61">
        <w:rPr>
          <w:rFonts w:ascii="Arial" w:hAnsi="Arial" w:cs="Arial"/>
          <w:sz w:val="19"/>
          <w:szCs w:val="19"/>
          <w:vertAlign w:val="superscript"/>
        </w:rPr>
        <w:t xml:space="preserve"> </w:t>
      </w:r>
      <w:r w:rsidRPr="006B3D61">
        <w:rPr>
          <w:rFonts w:ascii="Arial" w:hAnsi="Arial" w:cs="Arial"/>
          <w:sz w:val="19"/>
          <w:szCs w:val="19"/>
        </w:rPr>
        <w:t xml:space="preserve">Ley 1712 de 2014: «Artículo 3. </w:t>
      </w:r>
      <w:bookmarkStart w:id="7" w:name="3"/>
      <w:r w:rsidRPr="006B3D61">
        <w:rPr>
          <w:rFonts w:ascii="Arial" w:hAnsi="Arial" w:cs="Arial"/>
          <w:sz w:val="19"/>
          <w:szCs w:val="19"/>
          <w:lang w:val="es-CO"/>
        </w:rPr>
        <w:t>Otros principios de la transparencia y acceso a la información pública.</w:t>
      </w:r>
      <w:bookmarkEnd w:id="7"/>
      <w:r w:rsidRPr="006B3D61">
        <w:rPr>
          <w:rFonts w:ascii="Arial" w:hAnsi="Arial" w:cs="Arial"/>
          <w:sz w:val="19"/>
          <w:szCs w:val="19"/>
          <w:lang w:val="es-CO"/>
        </w:rPr>
        <w:t> </w:t>
      </w:r>
    </w:p>
    <w:p w14:paraId="6AED246C" w14:textId="77777777" w:rsidR="00E84015" w:rsidRPr="006B3D61" w:rsidRDefault="00E84015" w:rsidP="006B3D61">
      <w:pPr>
        <w:pStyle w:val="Textonotapie"/>
        <w:ind w:firstLine="707"/>
        <w:contextualSpacing/>
        <w:jc w:val="both"/>
        <w:rPr>
          <w:rFonts w:ascii="Arial" w:hAnsi="Arial" w:cs="Arial"/>
          <w:sz w:val="19"/>
          <w:szCs w:val="19"/>
          <w:lang w:val="es-CO"/>
        </w:rPr>
      </w:pPr>
      <w:r w:rsidRPr="006B3D61">
        <w:rPr>
          <w:rFonts w:ascii="Arial" w:hAnsi="Arial" w:cs="Arial"/>
          <w:sz w:val="19"/>
          <w:szCs w:val="19"/>
          <w:lang w:val="es-CO"/>
        </w:rPr>
        <w:t>[…]</w:t>
      </w:r>
    </w:p>
    <w:p w14:paraId="269B3667" w14:textId="77777777" w:rsidR="00E84015" w:rsidRPr="006B3D61" w:rsidRDefault="00E84015" w:rsidP="006B3D61">
      <w:pPr>
        <w:pStyle w:val="Textonotapie"/>
        <w:ind w:firstLine="707"/>
        <w:contextualSpacing/>
        <w:jc w:val="both"/>
        <w:rPr>
          <w:rFonts w:ascii="Arial" w:hAnsi="Arial" w:cs="Arial"/>
          <w:sz w:val="19"/>
          <w:szCs w:val="19"/>
        </w:rPr>
      </w:pPr>
      <w:r w:rsidRPr="006B3D61">
        <w:rPr>
          <w:rStyle w:val="baj"/>
          <w:rFonts w:ascii="Arial" w:hAnsi="Arial" w:cs="Arial"/>
          <w:b/>
          <w:bCs/>
          <w:sz w:val="19"/>
          <w:szCs w:val="19"/>
        </w:rPr>
        <w:t>Principio de transparencia</w:t>
      </w:r>
      <w:r w:rsidRPr="006B3D61">
        <w:rPr>
          <w:rFonts w:ascii="Arial" w:hAnsi="Arial" w:cs="Arial"/>
          <w:sz w:val="19"/>
          <w:szCs w:val="19"/>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2B82C7F0" w14:textId="77777777" w:rsidR="00E84015" w:rsidRPr="006B3D61" w:rsidRDefault="00E84015" w:rsidP="006B3D61">
      <w:pPr>
        <w:pStyle w:val="Textonotapie"/>
        <w:contextualSpacing/>
        <w:jc w:val="both"/>
        <w:rPr>
          <w:rFonts w:ascii="Arial" w:hAnsi="Arial" w:cs="Arial"/>
          <w:sz w:val="19"/>
          <w:szCs w:val="19"/>
          <w:lang w:val="es-CO"/>
        </w:rPr>
      </w:pPr>
    </w:p>
  </w:footnote>
  <w:footnote w:id="3">
    <w:p w14:paraId="533D16B5" w14:textId="77777777" w:rsidR="00E84015" w:rsidRPr="006B3D61" w:rsidRDefault="00E84015" w:rsidP="006B3D61">
      <w:pPr>
        <w:pStyle w:val="Textonotapie"/>
        <w:ind w:firstLine="707"/>
        <w:contextualSpacing/>
        <w:jc w:val="both"/>
        <w:rPr>
          <w:rFonts w:ascii="Arial" w:hAnsi="Arial" w:cs="Arial"/>
          <w:sz w:val="19"/>
          <w:szCs w:val="19"/>
          <w:lang w:val="es-CO"/>
        </w:rPr>
      </w:pPr>
      <w:r w:rsidRPr="006B3D61">
        <w:rPr>
          <w:rStyle w:val="Refdenotaalpie"/>
          <w:rFonts w:ascii="Arial" w:hAnsi="Arial" w:cs="Arial"/>
          <w:sz w:val="19"/>
          <w:szCs w:val="19"/>
        </w:rPr>
        <w:footnoteRef/>
      </w:r>
      <w:r w:rsidRPr="006B3D61">
        <w:rPr>
          <w:rFonts w:ascii="Arial" w:hAnsi="Arial" w:cs="Arial"/>
          <w:sz w:val="19"/>
          <w:szCs w:val="19"/>
          <w:vertAlign w:val="superscript"/>
        </w:rPr>
        <w:t xml:space="preserve"> </w:t>
      </w:r>
      <w:r w:rsidRPr="006B3D61">
        <w:rPr>
          <w:rFonts w:ascii="Arial" w:hAnsi="Arial" w:cs="Arial"/>
          <w:sz w:val="19"/>
          <w:szCs w:val="19"/>
        </w:rPr>
        <w:t xml:space="preserve">Ley 1712 de 2014: «Artículo 3. </w:t>
      </w:r>
      <w:r w:rsidRPr="006B3D61">
        <w:rPr>
          <w:rFonts w:ascii="Arial" w:hAnsi="Arial" w:cs="Arial"/>
          <w:sz w:val="19"/>
          <w:szCs w:val="19"/>
          <w:lang w:val="es-CO"/>
        </w:rPr>
        <w:t>Otros principios de la transparencia y acceso a la información pública. </w:t>
      </w:r>
    </w:p>
    <w:p w14:paraId="699CF365" w14:textId="77777777" w:rsidR="00E84015" w:rsidRPr="006B3D61" w:rsidRDefault="00E84015" w:rsidP="006B3D61">
      <w:pPr>
        <w:pStyle w:val="Textonotapie"/>
        <w:ind w:firstLine="707"/>
        <w:contextualSpacing/>
        <w:jc w:val="both"/>
        <w:rPr>
          <w:rFonts w:ascii="Arial" w:hAnsi="Arial" w:cs="Arial"/>
          <w:sz w:val="19"/>
          <w:szCs w:val="19"/>
          <w:lang w:val="es-ES"/>
        </w:rPr>
      </w:pPr>
      <w:r w:rsidRPr="006B3D61">
        <w:rPr>
          <w:rFonts w:ascii="Arial" w:hAnsi="Arial" w:cs="Arial"/>
          <w:sz w:val="19"/>
          <w:szCs w:val="19"/>
          <w:lang w:val="es-ES"/>
        </w:rPr>
        <w:t>[…]</w:t>
      </w:r>
    </w:p>
    <w:p w14:paraId="45325B22" w14:textId="77777777" w:rsidR="00E84015" w:rsidRPr="006B3D61" w:rsidRDefault="00E84015" w:rsidP="006B3D61">
      <w:pPr>
        <w:pStyle w:val="Textonotapie"/>
        <w:ind w:firstLine="707"/>
        <w:contextualSpacing/>
        <w:jc w:val="both"/>
        <w:rPr>
          <w:rFonts w:ascii="Arial" w:hAnsi="Arial" w:cs="Arial"/>
          <w:sz w:val="19"/>
          <w:szCs w:val="19"/>
          <w:lang w:val="es-ES"/>
        </w:rPr>
      </w:pPr>
      <w:r w:rsidRPr="006B3D61">
        <w:rPr>
          <w:rStyle w:val="baj"/>
          <w:rFonts w:ascii="Arial" w:hAnsi="Arial" w:cs="Arial"/>
          <w:b/>
          <w:bCs/>
          <w:sz w:val="19"/>
          <w:szCs w:val="19"/>
        </w:rPr>
        <w:t>Principio de buena fe</w:t>
      </w:r>
      <w:r w:rsidRPr="006B3D61">
        <w:rPr>
          <w:rFonts w:ascii="Arial" w:hAnsi="Arial" w:cs="Arial"/>
          <w:sz w:val="19"/>
          <w:szCs w:val="19"/>
        </w:rPr>
        <w:t>. En virtud del cual todo sujeto obligado, al cumplir con las obligaciones derivadas del derecho de acceso a la información pública, lo hará con motivación honesta, leal y desprovista de cualquier intención dolosa o culposa.</w:t>
      </w:r>
    </w:p>
  </w:footnote>
  <w:footnote w:id="4">
    <w:p w14:paraId="37DF0157" w14:textId="77777777" w:rsidR="00E84015" w:rsidRPr="006B3D61" w:rsidRDefault="00E84015" w:rsidP="006B3D61">
      <w:pPr>
        <w:spacing w:after="0" w:line="240" w:lineRule="auto"/>
        <w:ind w:firstLine="707"/>
        <w:contextualSpacing/>
        <w:jc w:val="both"/>
        <w:rPr>
          <w:rFonts w:ascii="Arial" w:hAnsi="Arial" w:cs="Arial"/>
          <w:sz w:val="19"/>
          <w:szCs w:val="19"/>
        </w:rPr>
      </w:pPr>
    </w:p>
    <w:p w14:paraId="01434638" w14:textId="77777777" w:rsidR="00E84015" w:rsidRPr="006B3D61" w:rsidRDefault="00E84015" w:rsidP="006B3D61">
      <w:pPr>
        <w:spacing w:after="0" w:line="240" w:lineRule="auto"/>
        <w:ind w:firstLine="707"/>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Ley 1712 de 2014: «Artículo 5. Ámbito de aplicación. Las disposiciones de esta ley serán aplicables a las siguientes personas en calidad de sujetos obligados:</w:t>
      </w:r>
    </w:p>
    <w:p w14:paraId="0CE97D22" w14:textId="77777777" w:rsidR="00E84015" w:rsidRPr="006B3D61" w:rsidRDefault="00E84015" w:rsidP="006B3D61">
      <w:pPr>
        <w:spacing w:after="0" w:line="240" w:lineRule="auto"/>
        <w:ind w:firstLine="707"/>
        <w:contextualSpacing/>
        <w:jc w:val="both"/>
        <w:rPr>
          <w:rFonts w:ascii="Arial" w:hAnsi="Arial" w:cs="Arial"/>
          <w:sz w:val="19"/>
          <w:szCs w:val="19"/>
        </w:rPr>
      </w:pPr>
      <w:r w:rsidRPr="006B3D61">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47229F6" w14:textId="77777777" w:rsidR="00E84015" w:rsidRPr="006B3D61" w:rsidRDefault="00E84015" w:rsidP="006B3D61">
      <w:pPr>
        <w:pStyle w:val="Textonotapie"/>
        <w:contextualSpacing/>
        <w:jc w:val="both"/>
        <w:rPr>
          <w:rFonts w:ascii="Arial" w:hAnsi="Arial" w:cs="Arial"/>
          <w:sz w:val="19"/>
          <w:szCs w:val="19"/>
        </w:rPr>
      </w:pPr>
    </w:p>
  </w:footnote>
  <w:footnote w:id="5">
    <w:p w14:paraId="5AC0B8F1" w14:textId="77777777" w:rsidR="00E84015" w:rsidRPr="006B3D61" w:rsidRDefault="00E84015" w:rsidP="006B3D61">
      <w:pPr>
        <w:spacing w:after="0" w:line="240" w:lineRule="auto"/>
        <w:ind w:firstLine="709"/>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2E83CD71" w14:textId="77777777" w:rsidR="00E84015" w:rsidRPr="006B3D61" w:rsidRDefault="00E84015" w:rsidP="006B3D61">
      <w:pPr>
        <w:spacing w:after="0" w:line="240" w:lineRule="auto"/>
        <w:ind w:firstLine="708"/>
        <w:contextualSpacing/>
        <w:jc w:val="both"/>
        <w:rPr>
          <w:rFonts w:ascii="Arial" w:hAnsi="Arial" w:cs="Arial"/>
          <w:sz w:val="19"/>
          <w:szCs w:val="19"/>
        </w:rPr>
      </w:pPr>
      <w:r w:rsidRPr="006B3D61">
        <w:rPr>
          <w:rFonts w:ascii="Arial" w:hAnsi="Arial" w:cs="Arial"/>
          <w:sz w:val="19"/>
          <w:szCs w:val="19"/>
        </w:rPr>
        <w:t>[…].</w:t>
      </w:r>
    </w:p>
    <w:p w14:paraId="116D445E" w14:textId="77777777" w:rsidR="00E84015" w:rsidRPr="006B3D61" w:rsidRDefault="00E84015" w:rsidP="006B3D61">
      <w:pPr>
        <w:spacing w:after="0" w:line="240" w:lineRule="auto"/>
        <w:ind w:firstLine="709"/>
        <w:contextualSpacing/>
        <w:jc w:val="both"/>
        <w:rPr>
          <w:rFonts w:ascii="Arial" w:hAnsi="Arial" w:cs="Arial"/>
          <w:sz w:val="19"/>
          <w:szCs w:val="19"/>
        </w:rPr>
      </w:pPr>
      <w:r w:rsidRPr="006B3D61">
        <w:rPr>
          <w:rFonts w:ascii="Arial" w:hAnsi="Arial" w:cs="Arial"/>
          <w:sz w:val="19"/>
          <w:szCs w:val="19"/>
        </w:rPr>
        <w:t>«Los sujetos obligados que contratan con recursos públicos y recursos privados, deben publicar la información de su gestión contractual con cargo a recursos públicos en el Sistema Electrónico para la Contratación Pública [SECOP]».</w:t>
      </w:r>
    </w:p>
    <w:p w14:paraId="27E4753C" w14:textId="77777777" w:rsidR="00E84015" w:rsidRPr="006B3D61" w:rsidRDefault="00E84015" w:rsidP="006B3D61">
      <w:pPr>
        <w:pStyle w:val="Textonotapie"/>
        <w:contextualSpacing/>
        <w:jc w:val="both"/>
        <w:rPr>
          <w:rFonts w:ascii="Arial" w:hAnsi="Arial" w:cs="Arial"/>
          <w:sz w:val="19"/>
          <w:szCs w:val="19"/>
        </w:rPr>
      </w:pPr>
    </w:p>
  </w:footnote>
  <w:footnote w:id="6">
    <w:p w14:paraId="02724349" w14:textId="77777777" w:rsidR="00E84015" w:rsidRPr="006B3D61" w:rsidRDefault="00E84015" w:rsidP="006B3D61">
      <w:pPr>
        <w:spacing w:after="0" w:line="240" w:lineRule="auto"/>
        <w:ind w:firstLine="709"/>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 El Gobierno Nacional desarrollará el Sistema Electrónico para la Contratación Pública, Secop, el cual:</w:t>
      </w:r>
    </w:p>
    <w:p w14:paraId="748BFBBE" w14:textId="77777777" w:rsidR="00E84015" w:rsidRPr="006B3D61" w:rsidRDefault="00E84015" w:rsidP="006B3D61">
      <w:pPr>
        <w:spacing w:after="0" w:line="240" w:lineRule="auto"/>
        <w:ind w:firstLine="709"/>
        <w:contextualSpacing/>
        <w:jc w:val="both"/>
        <w:rPr>
          <w:rFonts w:ascii="Arial" w:hAnsi="Arial" w:cs="Arial"/>
          <w:sz w:val="19"/>
          <w:szCs w:val="19"/>
        </w:rPr>
      </w:pPr>
      <w:r w:rsidRPr="006B3D61">
        <w:rPr>
          <w:rFonts w:ascii="Arial" w:hAnsi="Arial" w:cs="Arial"/>
          <w:sz w:val="19"/>
          <w:szCs w:val="19"/>
        </w:rPr>
        <w:t>»[…]</w:t>
      </w:r>
    </w:p>
    <w:p w14:paraId="39459905" w14:textId="40D7FD18" w:rsidR="00E84015" w:rsidRDefault="00E84015" w:rsidP="006B3D61">
      <w:pPr>
        <w:spacing w:after="0" w:line="240" w:lineRule="auto"/>
        <w:ind w:firstLine="709"/>
        <w:contextualSpacing/>
        <w:jc w:val="both"/>
        <w:rPr>
          <w:rFonts w:ascii="Arial" w:hAnsi="Arial" w:cs="Arial"/>
          <w:sz w:val="19"/>
          <w:szCs w:val="19"/>
        </w:rPr>
      </w:pPr>
      <w:r w:rsidRPr="006B3D61">
        <w:rPr>
          <w:rFonts w:ascii="Arial" w:hAnsi="Arial" w:cs="Arial"/>
          <w:sz w:val="19"/>
          <w:szCs w:val="19"/>
        </w:rPr>
        <w:t>»c) Contará con la información oficial de la contratación realizada con dineros públicos, para lo cual establecerá los patrones a que haya lugar y se encargará de su difusión a través de canales electrónicos […]».</w:t>
      </w:r>
    </w:p>
    <w:p w14:paraId="391559D6" w14:textId="77777777" w:rsidR="006B3D61" w:rsidRPr="006B3D61" w:rsidRDefault="006B3D61" w:rsidP="006B3D61">
      <w:pPr>
        <w:spacing w:after="0" w:line="240" w:lineRule="auto"/>
        <w:ind w:firstLine="709"/>
        <w:contextualSpacing/>
        <w:jc w:val="both"/>
        <w:rPr>
          <w:rFonts w:ascii="Arial" w:hAnsi="Arial" w:cs="Arial"/>
          <w:sz w:val="19"/>
          <w:szCs w:val="19"/>
        </w:rPr>
      </w:pPr>
    </w:p>
  </w:footnote>
  <w:footnote w:id="7">
    <w:p w14:paraId="3E0C1C13" w14:textId="77777777" w:rsidR="00E84015" w:rsidRPr="006B3D61" w:rsidRDefault="00E84015" w:rsidP="006B3D61">
      <w:pPr>
        <w:pStyle w:val="Textonotapie"/>
        <w:ind w:firstLine="708"/>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719DD4C6"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»1. Los relacionados con la defensa o seguridad nacionales.  </w:t>
      </w:r>
    </w:p>
    <w:p w14:paraId="4EF8A1E5"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»2. Las instrucciones en materia diplomática o sobre negociaciones reservadas.  </w:t>
      </w:r>
    </w:p>
    <w:p w14:paraId="3367B2AC"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2C3E3A37"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6A4C1FA1"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»5. Los datos referentes a la información financiera y comercial, en los términos de la Ley Estatutaria 1266 de 2008.  </w:t>
      </w:r>
    </w:p>
    <w:p w14:paraId="0566408E"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»6. Los protegidos por el secreto comercial o industrial, así como los planes estratégicos de las empresas públicas de servicios públicos.  </w:t>
      </w:r>
    </w:p>
    <w:p w14:paraId="3EC72BA0"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»7. Los amparados por el secreto profesional.  </w:t>
      </w:r>
    </w:p>
    <w:p w14:paraId="79E1811F"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»8. Los datos genéticos humanos.  </w:t>
      </w:r>
    </w:p>
    <w:p w14:paraId="5B2386F5" w14:textId="77777777" w:rsidR="00E84015" w:rsidRPr="006B3D61" w:rsidRDefault="00E84015"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7CFD5937" w14:textId="77777777" w:rsidR="00E84015" w:rsidRPr="006B3D61" w:rsidRDefault="00E84015" w:rsidP="006B3D61">
      <w:pPr>
        <w:pStyle w:val="Textonotapie"/>
        <w:ind w:firstLine="708"/>
        <w:contextualSpacing/>
        <w:jc w:val="both"/>
        <w:rPr>
          <w:rFonts w:ascii="Arial" w:hAnsi="Arial" w:cs="Arial"/>
          <w:sz w:val="19"/>
          <w:szCs w:val="19"/>
        </w:rPr>
      </w:pPr>
    </w:p>
  </w:footnote>
  <w:footnote w:id="8">
    <w:p w14:paraId="0EA8A35A" w14:textId="03243199" w:rsidR="00AB6754" w:rsidRDefault="00AB6754" w:rsidP="006B3D61">
      <w:pPr>
        <w:pStyle w:val="Textonotapie"/>
        <w:ind w:firstLine="708"/>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Respecto al periodo de transición establecido en la norma objeto de estudio, la Circular Externa Única de Colombia Compra Eficiente señaló que «De acuerdo con el artículo 53 de Ley 2195 de 2022, las Entidades Estatales que, por disposición legal, cuenten con un régimen contractual excepcional al del Estatuto General de Contratación de la Administración Pública tienen un período de transición de seis (6) meses para publicar todos los documentos relacionados con su actividad contractual en la plataforma del SECOP II. En consecuencia, su uso obligatorio empezará a regir después de las 23:59 horas del 17 de julio de 2022, sin que sea posible, por vía reglamentaria o a través de los manuales internos de contratación, extender el plazo previsto en la Ley de Transparencia. Todos los procesos de contratación creados en el SECOP I antes de las 23:59 horas del 17 de julio de 2022, por parte de estas Entidades Estatales, podrán continuar siendo gestionados en esta plataforma».  </w:t>
      </w:r>
    </w:p>
    <w:p w14:paraId="1E8F7FAB" w14:textId="77777777" w:rsidR="006B3D61" w:rsidRPr="006B3D61" w:rsidRDefault="006B3D61" w:rsidP="006B3D61">
      <w:pPr>
        <w:pStyle w:val="Textonotapie"/>
        <w:ind w:firstLine="708"/>
        <w:contextualSpacing/>
        <w:jc w:val="both"/>
        <w:rPr>
          <w:rFonts w:ascii="Arial" w:hAnsi="Arial" w:cs="Arial"/>
          <w:sz w:val="19"/>
          <w:szCs w:val="19"/>
        </w:rPr>
      </w:pPr>
    </w:p>
  </w:footnote>
  <w:footnote w:id="9">
    <w:p w14:paraId="63F1C0D1" w14:textId="59E3EF0B" w:rsidR="00DD675B" w:rsidRPr="006B3D61" w:rsidRDefault="00DD675B" w:rsidP="006B3D61">
      <w:pPr>
        <w:pStyle w:val="Textonotapie"/>
        <w:ind w:firstLine="708"/>
        <w:contextualSpacing/>
        <w:jc w:val="both"/>
        <w:rPr>
          <w:rStyle w:val="Hipervnculo"/>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En el siguiente </w:t>
      </w:r>
      <w:r w:rsidR="00171271" w:rsidRPr="006B3D61">
        <w:rPr>
          <w:rFonts w:ascii="Arial" w:hAnsi="Arial" w:cs="Arial"/>
          <w:sz w:val="19"/>
          <w:szCs w:val="19"/>
        </w:rPr>
        <w:t xml:space="preserve">enlace </w:t>
      </w:r>
      <w:r w:rsidRPr="006B3D61">
        <w:rPr>
          <w:rFonts w:ascii="Arial" w:hAnsi="Arial" w:cs="Arial"/>
          <w:sz w:val="19"/>
          <w:szCs w:val="19"/>
        </w:rPr>
        <w:t xml:space="preserve">se puede consultar la Guía para gestionar o publicar los procesos de Régimen Especial con oferta en el SECOP II:  </w:t>
      </w:r>
      <w:hyperlink r:id="rId1" w:history="1">
        <w:r w:rsidRPr="006B3D61">
          <w:rPr>
            <w:rStyle w:val="Hipervnculo"/>
            <w:rFonts w:ascii="Arial" w:hAnsi="Arial" w:cs="Arial"/>
            <w:sz w:val="19"/>
            <w:szCs w:val="19"/>
          </w:rPr>
          <w:t>https://www.colombiacompra.gov.co/node/23628</w:t>
        </w:r>
      </w:hyperlink>
    </w:p>
    <w:p w14:paraId="4C7F0730" w14:textId="77777777" w:rsidR="00DD675B" w:rsidRPr="006B3D61" w:rsidRDefault="00DD675B"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 </w:t>
      </w:r>
    </w:p>
  </w:footnote>
  <w:footnote w:id="10">
    <w:p w14:paraId="4043A08B" w14:textId="022188BC" w:rsidR="00DD675B" w:rsidRDefault="00DD675B" w:rsidP="006B3D61">
      <w:pPr>
        <w:pStyle w:val="Textonotapie"/>
        <w:ind w:firstLine="708"/>
        <w:contextualSpacing/>
        <w:jc w:val="both"/>
        <w:rPr>
          <w:rStyle w:val="Hipervnculo"/>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En el siguiente </w:t>
      </w:r>
      <w:r w:rsidR="00171271" w:rsidRPr="006B3D61">
        <w:rPr>
          <w:rFonts w:ascii="Arial" w:hAnsi="Arial" w:cs="Arial"/>
          <w:sz w:val="19"/>
          <w:szCs w:val="19"/>
        </w:rPr>
        <w:t xml:space="preserve">enlace </w:t>
      </w:r>
      <w:r w:rsidRPr="006B3D61">
        <w:rPr>
          <w:rFonts w:ascii="Arial" w:hAnsi="Arial" w:cs="Arial"/>
          <w:sz w:val="19"/>
          <w:szCs w:val="19"/>
        </w:rPr>
        <w:t xml:space="preserve">se puede consultar la Guía para gestionar o publicar los procesos de Régimen Especial sin oferta en el SECOP II:   </w:t>
      </w:r>
      <w:hyperlink r:id="rId2" w:history="1">
        <w:r w:rsidRPr="006B3D61">
          <w:rPr>
            <w:rStyle w:val="Hipervnculo"/>
            <w:rFonts w:ascii="Arial" w:hAnsi="Arial" w:cs="Arial"/>
            <w:sz w:val="19"/>
            <w:szCs w:val="19"/>
          </w:rPr>
          <w:t>https://www.colombiacompra.gov.co/node/30741</w:t>
        </w:r>
      </w:hyperlink>
    </w:p>
    <w:p w14:paraId="5B8754F5" w14:textId="77777777" w:rsidR="006B3D61" w:rsidRPr="006B3D61" w:rsidRDefault="006B3D61" w:rsidP="006B3D61">
      <w:pPr>
        <w:pStyle w:val="Textonotapie"/>
        <w:ind w:firstLine="708"/>
        <w:contextualSpacing/>
        <w:jc w:val="both"/>
        <w:rPr>
          <w:rFonts w:ascii="Arial" w:hAnsi="Arial" w:cs="Arial"/>
          <w:sz w:val="19"/>
          <w:szCs w:val="19"/>
        </w:rPr>
      </w:pPr>
    </w:p>
  </w:footnote>
  <w:footnote w:id="11">
    <w:p w14:paraId="7D72C1BE" w14:textId="77777777" w:rsidR="00DD675B" w:rsidRPr="006B3D61" w:rsidRDefault="00DD675B" w:rsidP="006B3D61">
      <w:pPr>
        <w:pStyle w:val="NormalWeb"/>
        <w:spacing w:after="0" w:line="240" w:lineRule="auto"/>
        <w:ind w:firstLine="708"/>
        <w:contextualSpacing/>
        <w:jc w:val="both"/>
        <w:rPr>
          <w:rFonts w:ascii="Arial" w:hAnsi="Arial" w:cs="Arial"/>
          <w:color w:val="000000"/>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Decreto 1081 de 2015 «</w:t>
      </w:r>
      <w:r w:rsidRPr="006B3D61">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67FA0A4" w14:textId="77777777" w:rsidR="00DD675B" w:rsidRPr="006B3D61" w:rsidRDefault="00DD675B" w:rsidP="006B3D61">
      <w:pPr>
        <w:spacing w:after="0" w:line="240" w:lineRule="auto"/>
        <w:contextualSpacing/>
        <w:jc w:val="both"/>
        <w:rPr>
          <w:rFonts w:ascii="Arial" w:eastAsia="Times New Roman" w:hAnsi="Arial" w:cs="Arial"/>
          <w:color w:val="000000"/>
          <w:sz w:val="19"/>
          <w:szCs w:val="19"/>
          <w:lang w:eastAsia="es-CO"/>
        </w:rPr>
      </w:pPr>
      <w:r w:rsidRPr="006B3D61">
        <w:rPr>
          <w:rFonts w:ascii="Arial" w:eastAsia="Times New Roman" w:hAnsi="Arial" w:cs="Arial"/>
          <w:color w:val="000000"/>
          <w:sz w:val="19"/>
          <w:szCs w:val="19"/>
          <w:lang w:eastAsia="es-CO"/>
        </w:rPr>
        <w:t>  </w:t>
      </w:r>
      <w:r w:rsidRPr="006B3D61">
        <w:rPr>
          <w:rFonts w:ascii="Arial" w:eastAsia="Times New Roman"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59428EEA" w14:textId="77777777" w:rsidR="00DD675B" w:rsidRPr="006B3D61" w:rsidRDefault="00DD675B" w:rsidP="006B3D61">
      <w:pPr>
        <w:spacing w:after="0" w:line="240" w:lineRule="auto"/>
        <w:contextualSpacing/>
        <w:jc w:val="both"/>
        <w:rPr>
          <w:rFonts w:ascii="Arial" w:hAnsi="Arial" w:cs="Arial"/>
          <w:sz w:val="19"/>
          <w:szCs w:val="19"/>
        </w:rPr>
      </w:pPr>
      <w:r w:rsidRPr="006B3D61">
        <w:rPr>
          <w:rFonts w:ascii="Arial" w:eastAsia="Times New Roman" w:hAnsi="Arial" w:cs="Arial"/>
          <w:color w:val="000000"/>
          <w:sz w:val="19"/>
          <w:szCs w:val="19"/>
          <w:lang w:eastAsia="es-CO"/>
        </w:rPr>
        <w:t>  </w:t>
      </w:r>
      <w:r w:rsidRPr="006B3D61">
        <w:rPr>
          <w:rFonts w:ascii="Arial" w:eastAsia="Times New Roman"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6B3D61">
        <w:rPr>
          <w:rFonts w:ascii="Arial" w:hAnsi="Arial" w:cs="Arial"/>
          <w:sz w:val="19"/>
          <w:szCs w:val="19"/>
        </w:rPr>
        <w:t>».</w:t>
      </w:r>
    </w:p>
    <w:p w14:paraId="697190F4" w14:textId="77777777" w:rsidR="00DD675B" w:rsidRPr="006B3D61" w:rsidRDefault="00DD675B" w:rsidP="006B3D61">
      <w:pPr>
        <w:spacing w:after="0" w:line="240" w:lineRule="auto"/>
        <w:contextualSpacing/>
        <w:jc w:val="both"/>
        <w:rPr>
          <w:rFonts w:ascii="Arial" w:eastAsia="Times New Roman" w:hAnsi="Arial" w:cs="Arial"/>
          <w:color w:val="000000"/>
          <w:sz w:val="19"/>
          <w:szCs w:val="19"/>
          <w:lang w:eastAsia="es-CO"/>
        </w:rPr>
      </w:pPr>
    </w:p>
  </w:footnote>
  <w:footnote w:id="12">
    <w:p w14:paraId="44D2DAB3" w14:textId="71D331D7" w:rsidR="00DD675B" w:rsidRDefault="00DD675B" w:rsidP="006B3D61">
      <w:pPr>
        <w:autoSpaceDE w:val="0"/>
        <w:autoSpaceDN w:val="0"/>
        <w:adjustRightInd w:val="0"/>
        <w:spacing w:after="0" w:line="240" w:lineRule="auto"/>
        <w:ind w:firstLine="708"/>
        <w:contextualSpacing/>
        <w:jc w:val="both"/>
        <w:rPr>
          <w:rFonts w:ascii="Arial" w:eastAsia="Calibri" w:hAnsi="Arial" w:cs="Arial"/>
          <w:sz w:val="19"/>
          <w:szCs w:val="19"/>
          <w:lang w:val="es-ES" w:eastAsia="es-ES_tradnl"/>
        </w:rPr>
      </w:pPr>
      <w:r w:rsidRPr="006B3D61">
        <w:rPr>
          <w:rStyle w:val="Refdenotaalpie"/>
          <w:rFonts w:ascii="Arial" w:hAnsi="Arial" w:cs="Arial"/>
          <w:sz w:val="19"/>
          <w:szCs w:val="19"/>
        </w:rPr>
        <w:footnoteRef/>
      </w:r>
      <w:r w:rsidRPr="006B3D61">
        <w:rPr>
          <w:rFonts w:ascii="Arial" w:hAnsi="Arial" w:cs="Arial"/>
          <w:sz w:val="19"/>
          <w:szCs w:val="19"/>
        </w:rPr>
        <w:t xml:space="preserve"> E</w:t>
      </w:r>
      <w:r w:rsidRPr="006B3D61">
        <w:rPr>
          <w:rFonts w:ascii="Arial" w:eastAsia="Calibri" w:hAnsi="Arial" w:cs="Arial"/>
          <w:sz w:val="19"/>
          <w:szCs w:val="19"/>
          <w:lang w:val="es-ES" w:eastAsia="es-ES_tradnl"/>
        </w:rPr>
        <w:t xml:space="preserve">l Departamento Administrativo de la Presidencia de la Republica profirió la Circular 02 del 2022, del 1 de junio de 2022, mediante la cual se imparten instrucciones sobre la aplicación del artículo 53 de la Ley 2195 de 2022.  </w:t>
      </w:r>
    </w:p>
    <w:p w14:paraId="4E2BF918" w14:textId="77777777" w:rsidR="006B3D61" w:rsidRPr="006B3D61" w:rsidRDefault="006B3D61" w:rsidP="006B3D61">
      <w:pPr>
        <w:autoSpaceDE w:val="0"/>
        <w:autoSpaceDN w:val="0"/>
        <w:adjustRightInd w:val="0"/>
        <w:spacing w:after="0" w:line="240" w:lineRule="auto"/>
        <w:ind w:firstLine="708"/>
        <w:contextualSpacing/>
        <w:jc w:val="both"/>
        <w:rPr>
          <w:rFonts w:ascii="Arial" w:eastAsia="Times New Roman" w:hAnsi="Arial" w:cs="Arial"/>
          <w:sz w:val="19"/>
          <w:szCs w:val="19"/>
          <w:lang w:eastAsia="es-ES_tradnl"/>
        </w:rPr>
      </w:pPr>
    </w:p>
  </w:footnote>
  <w:footnote w:id="13">
    <w:p w14:paraId="217365D3" w14:textId="77777777" w:rsidR="00C945A0" w:rsidRPr="006B3D61" w:rsidRDefault="00C945A0" w:rsidP="006B3D61">
      <w:pPr>
        <w:spacing w:after="0" w:line="240" w:lineRule="auto"/>
        <w:ind w:firstLine="709"/>
        <w:contextualSpacing/>
        <w:jc w:val="both"/>
        <w:rPr>
          <w:rFonts w:ascii="Arial" w:hAnsi="Arial" w:cs="Arial"/>
          <w:iCs/>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w:t>
      </w:r>
      <w:r w:rsidRPr="006B3D61">
        <w:rPr>
          <w:rFonts w:ascii="Arial" w:hAnsi="Arial" w:cs="Arial"/>
          <w:iCs/>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3160261" w14:textId="77777777" w:rsidR="00C945A0" w:rsidRPr="006B3D61" w:rsidRDefault="00C945A0" w:rsidP="006B3D61">
      <w:pPr>
        <w:spacing w:after="0" w:line="240" w:lineRule="auto"/>
        <w:ind w:firstLine="709"/>
        <w:contextualSpacing/>
        <w:jc w:val="both"/>
        <w:rPr>
          <w:rFonts w:ascii="Arial" w:hAnsi="Arial" w:cs="Arial"/>
          <w:iCs/>
          <w:sz w:val="19"/>
          <w:szCs w:val="19"/>
        </w:rPr>
      </w:pPr>
      <w:r w:rsidRPr="006B3D61">
        <w:rPr>
          <w:rFonts w:ascii="Arial" w:hAnsi="Arial" w:cs="Arial"/>
          <w:sz w:val="19"/>
          <w:szCs w:val="19"/>
        </w:rPr>
        <w:t>»</w:t>
      </w:r>
      <w:r w:rsidRPr="006B3D61">
        <w:rPr>
          <w:rFonts w:ascii="Arial" w:hAnsi="Arial" w:cs="Arial"/>
          <w:iCs/>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E661BF4" w14:textId="77777777" w:rsidR="00C945A0" w:rsidRPr="006B3D61" w:rsidRDefault="00C945A0" w:rsidP="006B3D61">
      <w:pPr>
        <w:spacing w:after="0" w:line="240" w:lineRule="auto"/>
        <w:ind w:firstLine="709"/>
        <w:contextualSpacing/>
        <w:jc w:val="both"/>
        <w:rPr>
          <w:rFonts w:ascii="Arial" w:hAnsi="Arial" w:cs="Arial"/>
          <w:iCs/>
          <w:sz w:val="19"/>
          <w:szCs w:val="19"/>
        </w:rPr>
      </w:pPr>
      <w:r w:rsidRPr="006B3D61">
        <w:rPr>
          <w:rFonts w:ascii="Arial" w:hAnsi="Arial" w:cs="Arial"/>
          <w:sz w:val="19"/>
          <w:szCs w:val="19"/>
        </w:rPr>
        <w:t>»</w:t>
      </w:r>
      <w:r w:rsidRPr="006B3D61">
        <w:rPr>
          <w:rFonts w:ascii="Arial" w:hAnsi="Arial" w:cs="Arial"/>
          <w:iCs/>
          <w:sz w:val="19"/>
          <w:szCs w:val="19"/>
        </w:rPr>
        <w:t>Cuando en virtud de lo dispuesto en el presente artículo, surjan personas jurídicas sin ánimo de lucro, éstas se sujetarán a las disposiciones previstas en el Código Civil para las asociaciones civiles de utilidad común.</w:t>
      </w:r>
    </w:p>
    <w:p w14:paraId="0E4B3BE1" w14:textId="77777777" w:rsidR="00C945A0" w:rsidRPr="006B3D61" w:rsidRDefault="00C945A0" w:rsidP="006B3D61">
      <w:pPr>
        <w:spacing w:after="0" w:line="240" w:lineRule="auto"/>
        <w:ind w:firstLine="709"/>
        <w:contextualSpacing/>
        <w:jc w:val="both"/>
        <w:rPr>
          <w:rFonts w:ascii="Arial" w:hAnsi="Arial" w:cs="Arial"/>
          <w:iCs/>
          <w:sz w:val="19"/>
          <w:szCs w:val="19"/>
        </w:rPr>
      </w:pPr>
      <w:r w:rsidRPr="006B3D61">
        <w:rPr>
          <w:rFonts w:ascii="Arial" w:hAnsi="Arial" w:cs="Arial"/>
          <w:sz w:val="19"/>
          <w:szCs w:val="19"/>
        </w:rPr>
        <w:t>»</w:t>
      </w:r>
      <w:r w:rsidRPr="006B3D61">
        <w:rPr>
          <w:rFonts w:ascii="Arial" w:hAnsi="Arial" w:cs="Arial"/>
          <w:iCs/>
          <w:sz w:val="19"/>
          <w:szCs w:val="19"/>
        </w:rPr>
        <w:t>En todo caso, en el correspondiente acto constitutivo que dé origen a una persona jurídica se dispondrá sobre los siguientes aspectos:</w:t>
      </w:r>
    </w:p>
    <w:p w14:paraId="7744F137" w14:textId="77777777" w:rsidR="00C945A0" w:rsidRPr="006B3D61" w:rsidRDefault="00C945A0" w:rsidP="006B3D61">
      <w:pPr>
        <w:spacing w:after="0" w:line="240" w:lineRule="auto"/>
        <w:ind w:firstLine="709"/>
        <w:contextualSpacing/>
        <w:jc w:val="both"/>
        <w:rPr>
          <w:rFonts w:ascii="Arial" w:hAnsi="Arial" w:cs="Arial"/>
          <w:iCs/>
          <w:sz w:val="19"/>
          <w:szCs w:val="19"/>
        </w:rPr>
      </w:pPr>
      <w:r w:rsidRPr="006B3D61">
        <w:rPr>
          <w:rFonts w:ascii="Arial" w:hAnsi="Arial" w:cs="Arial"/>
          <w:sz w:val="19"/>
          <w:szCs w:val="19"/>
        </w:rPr>
        <w:t>»</w:t>
      </w:r>
      <w:r w:rsidRPr="006B3D61">
        <w:rPr>
          <w:rFonts w:ascii="Arial" w:hAnsi="Arial" w:cs="Arial"/>
          <w:iCs/>
          <w:sz w:val="19"/>
          <w:szCs w:val="19"/>
        </w:rPr>
        <w:t>a) Los objetivos y actividades a cargo, con precisión de la conexidad con los objetivos, funciones y controles propios de las entidades públicas participantes;</w:t>
      </w:r>
    </w:p>
    <w:p w14:paraId="2AE6B9F3" w14:textId="77777777" w:rsidR="00C945A0" w:rsidRPr="006B3D61" w:rsidRDefault="00C945A0" w:rsidP="006B3D61">
      <w:pPr>
        <w:spacing w:after="0" w:line="240" w:lineRule="auto"/>
        <w:ind w:firstLine="709"/>
        <w:contextualSpacing/>
        <w:jc w:val="both"/>
        <w:rPr>
          <w:rFonts w:ascii="Arial" w:hAnsi="Arial" w:cs="Arial"/>
          <w:iCs/>
          <w:sz w:val="19"/>
          <w:szCs w:val="19"/>
        </w:rPr>
      </w:pPr>
      <w:r w:rsidRPr="006B3D61">
        <w:rPr>
          <w:rFonts w:ascii="Arial" w:hAnsi="Arial" w:cs="Arial"/>
          <w:sz w:val="19"/>
          <w:szCs w:val="19"/>
        </w:rPr>
        <w:t>»</w:t>
      </w:r>
      <w:r w:rsidRPr="006B3D61">
        <w:rPr>
          <w:rFonts w:ascii="Arial" w:hAnsi="Arial" w:cs="Arial"/>
          <w:iCs/>
          <w:sz w:val="19"/>
          <w:szCs w:val="19"/>
        </w:rPr>
        <w:t>b) Los compromisos o aportes iniciales de las entidades asociadas y su naturaleza y forma de pago, con sujeción a las disposiciones presupuestales y fiscales, para el caso de las públicas;</w:t>
      </w:r>
    </w:p>
    <w:p w14:paraId="70787990" w14:textId="77777777" w:rsidR="00C945A0" w:rsidRPr="006B3D61" w:rsidRDefault="00C945A0" w:rsidP="006B3D61">
      <w:pPr>
        <w:spacing w:after="0" w:line="240" w:lineRule="auto"/>
        <w:ind w:firstLine="709"/>
        <w:contextualSpacing/>
        <w:jc w:val="both"/>
        <w:rPr>
          <w:rFonts w:ascii="Arial" w:hAnsi="Arial" w:cs="Arial"/>
          <w:iCs/>
          <w:sz w:val="19"/>
          <w:szCs w:val="19"/>
        </w:rPr>
      </w:pPr>
      <w:r w:rsidRPr="006B3D61">
        <w:rPr>
          <w:rFonts w:ascii="Arial" w:hAnsi="Arial" w:cs="Arial"/>
          <w:sz w:val="19"/>
          <w:szCs w:val="19"/>
        </w:rPr>
        <w:t>»</w:t>
      </w:r>
      <w:r w:rsidRPr="006B3D61">
        <w:rPr>
          <w:rFonts w:ascii="Arial" w:hAnsi="Arial" w:cs="Arial"/>
          <w:iCs/>
          <w:sz w:val="19"/>
          <w:szCs w:val="19"/>
        </w:rPr>
        <w:t>c) La participación de las entidades asociadas en el sostenimiento y funcionamiento de la entidad;</w:t>
      </w:r>
    </w:p>
    <w:p w14:paraId="58DC84CB" w14:textId="77777777" w:rsidR="00C945A0" w:rsidRPr="006B3D61" w:rsidRDefault="00C945A0" w:rsidP="006B3D61">
      <w:pPr>
        <w:spacing w:after="0" w:line="240" w:lineRule="auto"/>
        <w:ind w:firstLine="709"/>
        <w:contextualSpacing/>
        <w:jc w:val="both"/>
        <w:rPr>
          <w:rFonts w:ascii="Arial" w:hAnsi="Arial" w:cs="Arial"/>
          <w:iCs/>
          <w:sz w:val="19"/>
          <w:szCs w:val="19"/>
        </w:rPr>
      </w:pPr>
      <w:r w:rsidRPr="006B3D61">
        <w:rPr>
          <w:rFonts w:ascii="Arial" w:hAnsi="Arial" w:cs="Arial"/>
          <w:sz w:val="19"/>
          <w:szCs w:val="19"/>
        </w:rPr>
        <w:t>»</w:t>
      </w:r>
      <w:r w:rsidRPr="006B3D61">
        <w:rPr>
          <w:rFonts w:ascii="Arial" w:hAnsi="Arial" w:cs="Arial"/>
          <w:iCs/>
          <w:sz w:val="19"/>
          <w:szCs w:val="19"/>
        </w:rPr>
        <w:t>d) La integración de los órganos de dirección y administración, en los cuales deben participar representantes de las entidades públicas y de los particulares;</w:t>
      </w:r>
    </w:p>
    <w:p w14:paraId="76AAEA66" w14:textId="07FFEE74" w:rsidR="00C945A0" w:rsidRDefault="00C945A0" w:rsidP="006B3D61">
      <w:pPr>
        <w:spacing w:after="0" w:line="240" w:lineRule="auto"/>
        <w:ind w:firstLine="709"/>
        <w:contextualSpacing/>
        <w:jc w:val="both"/>
        <w:rPr>
          <w:rFonts w:ascii="Arial" w:hAnsi="Arial" w:cs="Arial"/>
          <w:iCs/>
          <w:sz w:val="19"/>
          <w:szCs w:val="19"/>
        </w:rPr>
      </w:pPr>
      <w:r w:rsidRPr="006B3D61">
        <w:rPr>
          <w:rFonts w:ascii="Arial" w:hAnsi="Arial" w:cs="Arial"/>
          <w:sz w:val="19"/>
          <w:szCs w:val="19"/>
        </w:rPr>
        <w:t>»</w:t>
      </w:r>
      <w:r w:rsidRPr="006B3D61">
        <w:rPr>
          <w:rFonts w:ascii="Arial" w:hAnsi="Arial" w:cs="Arial"/>
          <w:iCs/>
          <w:sz w:val="19"/>
          <w:szCs w:val="19"/>
        </w:rPr>
        <w:t>e) La duración de la asociación y las causales de disolución</w:t>
      </w:r>
      <w:r w:rsidR="00575A75" w:rsidRPr="006B3D61">
        <w:rPr>
          <w:rFonts w:ascii="Arial" w:hAnsi="Arial" w:cs="Arial"/>
          <w:iCs/>
          <w:sz w:val="19"/>
          <w:szCs w:val="19"/>
        </w:rPr>
        <w:t>»</w:t>
      </w:r>
      <w:r w:rsidRPr="006B3D61">
        <w:rPr>
          <w:rFonts w:ascii="Arial" w:hAnsi="Arial" w:cs="Arial"/>
          <w:iCs/>
          <w:sz w:val="19"/>
          <w:szCs w:val="19"/>
        </w:rPr>
        <w:t>.</w:t>
      </w:r>
    </w:p>
    <w:p w14:paraId="006B9EBA" w14:textId="77777777" w:rsidR="006B3D61" w:rsidRPr="006B3D61" w:rsidRDefault="006B3D61" w:rsidP="006B3D61">
      <w:pPr>
        <w:spacing w:after="0" w:line="240" w:lineRule="auto"/>
        <w:ind w:firstLine="709"/>
        <w:contextualSpacing/>
        <w:jc w:val="both"/>
        <w:rPr>
          <w:rFonts w:ascii="Arial" w:hAnsi="Arial" w:cs="Arial"/>
          <w:sz w:val="19"/>
          <w:szCs w:val="19"/>
        </w:rPr>
      </w:pPr>
    </w:p>
  </w:footnote>
  <w:footnote w:id="14">
    <w:p w14:paraId="15EF4E68" w14:textId="77777777" w:rsidR="00C945A0" w:rsidRPr="006B3D61" w:rsidRDefault="00C945A0" w:rsidP="006B3D61">
      <w:pPr>
        <w:pStyle w:val="Textonotapie"/>
        <w:ind w:firstLine="708"/>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Consejo de Estado, Sala de lo Contencioso Administrativo, Sección Primera, Sentencia de 5 de febrero de 2015, expediente 76001-2331-000-2008-01176-01. C.P. Marco Antonio Velilla Moreno. </w:t>
      </w:r>
    </w:p>
    <w:p w14:paraId="189FAF4B" w14:textId="77777777" w:rsidR="00C945A0" w:rsidRPr="006B3D61" w:rsidRDefault="00C945A0" w:rsidP="006B3D61">
      <w:pPr>
        <w:pStyle w:val="Textonotapie"/>
        <w:ind w:firstLine="708"/>
        <w:contextualSpacing/>
        <w:jc w:val="both"/>
        <w:rPr>
          <w:rFonts w:ascii="Arial" w:hAnsi="Arial" w:cs="Arial"/>
          <w:sz w:val="19"/>
          <w:szCs w:val="19"/>
        </w:rPr>
      </w:pPr>
    </w:p>
  </w:footnote>
  <w:footnote w:id="15">
    <w:p w14:paraId="41149CF9" w14:textId="3BB4FD18" w:rsidR="00C945A0" w:rsidRDefault="00C945A0" w:rsidP="006B3D61">
      <w:pPr>
        <w:spacing w:after="0" w:line="240" w:lineRule="auto"/>
        <w:ind w:firstLine="708"/>
        <w:contextualSpacing/>
        <w:jc w:val="both"/>
        <w:rPr>
          <w:rFonts w:ascii="Arial" w:hAnsi="Arial" w:cs="Arial"/>
          <w:sz w:val="19"/>
          <w:szCs w:val="19"/>
          <w:shd w:val="clear" w:color="auto" w:fill="FFFFFF"/>
        </w:rPr>
      </w:pPr>
      <w:r w:rsidRPr="006B3D61">
        <w:rPr>
          <w:rStyle w:val="Refdenotaalpie"/>
          <w:rFonts w:ascii="Arial" w:hAnsi="Arial" w:cs="Arial"/>
          <w:sz w:val="19"/>
          <w:szCs w:val="19"/>
        </w:rPr>
        <w:footnoteRef/>
      </w:r>
      <w:r w:rsidRPr="006B3D61">
        <w:rPr>
          <w:rFonts w:ascii="Arial" w:hAnsi="Arial" w:cs="Arial"/>
          <w:sz w:val="19"/>
          <w:szCs w:val="19"/>
        </w:rPr>
        <w:t xml:space="preserve"> </w:t>
      </w:r>
      <w:r w:rsidRPr="006B3D61">
        <w:rPr>
          <w:rFonts w:ascii="Arial" w:hAnsi="Arial" w:cs="Arial"/>
          <w:sz w:val="19"/>
          <w:szCs w:val="19"/>
          <w:shd w:val="clear" w:color="auto" w:fill="FFFFFF"/>
        </w:rPr>
        <w:t xml:space="preserve">Corte Constitucional. Sentencia C-506 de 1994. M.P. Fabio Morón Díaz. </w:t>
      </w:r>
    </w:p>
    <w:p w14:paraId="295E4C0D" w14:textId="77777777" w:rsidR="006B3D61" w:rsidRPr="006B3D61" w:rsidRDefault="006B3D61" w:rsidP="006B3D61">
      <w:pPr>
        <w:spacing w:after="0" w:line="240" w:lineRule="auto"/>
        <w:ind w:firstLine="708"/>
        <w:contextualSpacing/>
        <w:jc w:val="both"/>
        <w:rPr>
          <w:rFonts w:ascii="Arial" w:hAnsi="Arial" w:cs="Arial"/>
          <w:sz w:val="19"/>
          <w:szCs w:val="19"/>
        </w:rPr>
      </w:pPr>
    </w:p>
  </w:footnote>
  <w:footnote w:id="16">
    <w:p w14:paraId="6BFC2FFF" w14:textId="77777777" w:rsidR="006B3D61" w:rsidRDefault="00C945A0" w:rsidP="006B3D61">
      <w:pPr>
        <w:pStyle w:val="Textonotapie"/>
        <w:ind w:firstLine="708"/>
        <w:contextualSpacing/>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Corte Constitucional. Sentencia C- 949 de 2001. M.P. Clara Inés Vargas Hernández.</w:t>
      </w:r>
    </w:p>
    <w:p w14:paraId="22E7F349" w14:textId="219854DC" w:rsidR="00C945A0" w:rsidRPr="006B3D61" w:rsidRDefault="00C945A0" w:rsidP="006B3D61">
      <w:pPr>
        <w:pStyle w:val="Textonotapie"/>
        <w:ind w:firstLine="708"/>
        <w:contextualSpacing/>
        <w:rPr>
          <w:rFonts w:ascii="Arial" w:hAnsi="Arial" w:cs="Arial"/>
          <w:sz w:val="19"/>
          <w:szCs w:val="19"/>
        </w:rPr>
      </w:pPr>
      <w:r w:rsidRPr="006B3D61">
        <w:rPr>
          <w:rFonts w:ascii="Arial" w:hAnsi="Arial" w:cs="Arial"/>
          <w:sz w:val="19"/>
          <w:szCs w:val="19"/>
        </w:rPr>
        <w:t xml:space="preserve"> </w:t>
      </w:r>
    </w:p>
  </w:footnote>
  <w:footnote w:id="17">
    <w:p w14:paraId="376CEA8C" w14:textId="77777777" w:rsidR="00C945A0" w:rsidRPr="006B3D61" w:rsidRDefault="00C945A0" w:rsidP="006B3D61">
      <w:pPr>
        <w:pStyle w:val="Textonotapie"/>
        <w:ind w:firstLine="708"/>
        <w:contextualSpacing/>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Corte Constitucional. Sentencia C-671 de 1999. M.P. Alfredo Beltrán Sierra. </w:t>
      </w:r>
    </w:p>
  </w:footnote>
  <w:footnote w:id="18">
    <w:p w14:paraId="5267B5D1" w14:textId="77777777" w:rsidR="00C945A0" w:rsidRPr="006B3D61" w:rsidRDefault="00C945A0" w:rsidP="006B3D61">
      <w:pPr>
        <w:pStyle w:val="Textonotapie"/>
        <w:ind w:firstLine="708"/>
        <w:contextualSpacing/>
        <w:jc w:val="both"/>
        <w:rPr>
          <w:rFonts w:ascii="Arial" w:hAnsi="Arial" w:cs="Arial"/>
          <w:sz w:val="19"/>
          <w:szCs w:val="19"/>
        </w:rPr>
      </w:pPr>
    </w:p>
    <w:p w14:paraId="6FB6F561" w14:textId="77777777" w:rsidR="00C945A0" w:rsidRPr="006B3D61" w:rsidRDefault="00C945A0" w:rsidP="006B3D61">
      <w:pPr>
        <w:pStyle w:val="Textonotapie"/>
        <w:ind w:firstLine="708"/>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CONSEJO DE ESTADO. Sala de Consulta y Servicio Civil. Concepto del 22 de octubre de 2007. Exp. No. 1844. C.P. Enrique José Arboleda Perdomo.</w:t>
      </w:r>
    </w:p>
  </w:footnote>
  <w:footnote w:id="19">
    <w:p w14:paraId="58F07E00" w14:textId="77777777" w:rsidR="00C945A0" w:rsidRPr="006B3D61" w:rsidRDefault="00C945A0" w:rsidP="006B3D61">
      <w:pPr>
        <w:pStyle w:val="Textonotapie"/>
        <w:ind w:firstLine="708"/>
        <w:contextualSpacing/>
        <w:rPr>
          <w:rFonts w:ascii="Arial" w:hAnsi="Arial" w:cs="Arial"/>
          <w:sz w:val="19"/>
          <w:szCs w:val="19"/>
        </w:rPr>
      </w:pPr>
    </w:p>
    <w:p w14:paraId="1D1EB845" w14:textId="77777777" w:rsidR="00C945A0" w:rsidRPr="006B3D61" w:rsidRDefault="00C945A0" w:rsidP="006B3D61">
      <w:pPr>
        <w:pStyle w:val="Textonotapie"/>
        <w:ind w:firstLine="708"/>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w:t>
      </w:r>
    </w:p>
    <w:p w14:paraId="3E8FE29E" w14:textId="77777777" w:rsidR="00C945A0" w:rsidRPr="006B3D61" w:rsidRDefault="00C945A0"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»Como órganos del Estado aun cuando gozan de autonomía administrativa están sujetas al control político y a la suprema dirección del órgano de la administración al cual están adscritas. </w:t>
      </w:r>
    </w:p>
    <w:p w14:paraId="30F5A00A" w14:textId="77777777" w:rsidR="00C945A0" w:rsidRPr="006B3D61" w:rsidRDefault="00C945A0"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»Las entidades descentralizadas se sujetan a las reglas señaladas en la Constitución Política, en la presente ley, en las leyes que las creen y determinen su estructura orgánica y a sus estatutos internos. </w:t>
      </w:r>
    </w:p>
    <w:p w14:paraId="5A0974E6" w14:textId="77777777" w:rsidR="00C945A0" w:rsidRPr="006B3D61" w:rsidRDefault="00C945A0"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»Los organismos y entidades descentralizados, sujetos a regímenes especiales por mandato de la Constitución Política, se someterán a las disposiciones que para ellos establezca la respectiva ley. </w:t>
      </w:r>
    </w:p>
    <w:p w14:paraId="37D69085" w14:textId="77777777" w:rsidR="00C945A0" w:rsidRPr="006B3D61" w:rsidRDefault="00C945A0"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»Parágrafo 1°. De conformidad con el inciso segundo del artículo 210 de la Constitución Política, el régimen jurídico aquí previsto para las entidades descentralizadas es aplicable a las de las entidades territoriales sin perjuicio de las competencias asignadas por la Constitución y la ley a las autoridades del orden territorial. </w:t>
      </w:r>
    </w:p>
    <w:p w14:paraId="3D73068C" w14:textId="77777777" w:rsidR="00C945A0" w:rsidRPr="006B3D61" w:rsidRDefault="00C945A0" w:rsidP="006B3D61">
      <w:pPr>
        <w:pStyle w:val="Textonotapie"/>
        <w:ind w:firstLine="708"/>
        <w:contextualSpacing/>
        <w:jc w:val="both"/>
        <w:rPr>
          <w:rFonts w:ascii="Arial" w:hAnsi="Arial" w:cs="Arial"/>
          <w:sz w:val="19"/>
          <w:szCs w:val="19"/>
        </w:rPr>
      </w:pPr>
      <w:r w:rsidRPr="006B3D61">
        <w:rPr>
          <w:rFonts w:ascii="Arial" w:hAnsi="Arial" w:cs="Arial"/>
          <w:sz w:val="19"/>
          <w:szCs w:val="19"/>
        </w:rPr>
        <w:t xml:space="preserve">»Parágrafo 2°. Los organismos o entidades del Sector Descentralizado que tengan como objetivo desarrollar actividades científicas y tecnológicas, se sujetarán a la Legislación de Ciencia y Tecnología y su organización será determinada por el Gobierno Nacional. </w:t>
      </w:r>
    </w:p>
    <w:p w14:paraId="00CF0699" w14:textId="6BDC392E" w:rsidR="00C945A0" w:rsidRDefault="00C945A0" w:rsidP="006B3D61">
      <w:pPr>
        <w:pStyle w:val="Textonotapie"/>
        <w:ind w:firstLine="708"/>
        <w:contextualSpacing/>
        <w:jc w:val="both"/>
        <w:rPr>
          <w:rFonts w:ascii="Arial" w:hAnsi="Arial" w:cs="Arial"/>
          <w:sz w:val="19"/>
          <w:szCs w:val="19"/>
        </w:rPr>
      </w:pPr>
      <w:r w:rsidRPr="006B3D61">
        <w:rPr>
          <w:rFonts w:ascii="Arial" w:hAnsi="Arial" w:cs="Arial"/>
          <w:sz w:val="19"/>
          <w:szCs w:val="19"/>
        </w:rPr>
        <w:t>»Parágrafo 3°. Lo dispuesto en el presente artículo no se aplica a las corporaciones civiles sin ánimo de lucro de derecho privado, vinculadas al Ministerio del Medio Ambiente, creadas por la Ley 99 de 1993».</w:t>
      </w:r>
    </w:p>
    <w:p w14:paraId="7A8A8395" w14:textId="77777777" w:rsidR="006B3D61" w:rsidRPr="006B3D61" w:rsidRDefault="006B3D61" w:rsidP="006B3D61">
      <w:pPr>
        <w:pStyle w:val="Textonotapie"/>
        <w:ind w:firstLine="708"/>
        <w:contextualSpacing/>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E69D" w14:textId="77777777" w:rsidR="004A1847" w:rsidRDefault="0085056C">
    <w:pPr>
      <w:pStyle w:val="Encabezado"/>
    </w:pPr>
    <w:r>
      <w:rPr>
        <w:noProof/>
      </w:rPr>
      <w:drawing>
        <wp:anchor distT="0" distB="0" distL="114300" distR="114300" simplePos="0" relativeHeight="251659264" behindDoc="0" locked="0" layoutInCell="1" allowOverlap="1" wp14:anchorId="30E32518" wp14:editId="1512CDE8">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9E220120"/>
    <w:lvl w:ilvl="0" w:tplc="A6F0C3CE">
      <w:start w:val="1"/>
      <w:numFmt w:val="lowerRoman"/>
      <w:lvlText w:val="%1)"/>
      <w:lvlJc w:val="left"/>
      <w:pPr>
        <w:ind w:left="720" w:hanging="360"/>
      </w:pPr>
      <w:rPr>
        <w:rFonts w:ascii="Arial" w:eastAsia="Times New Roman" w:hAnsi="Arial" w:cs="Arial"/>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BA35E1"/>
    <w:multiLevelType w:val="hybridMultilevel"/>
    <w:tmpl w:val="456CAFC6"/>
    <w:lvl w:ilvl="0" w:tplc="FFFFFFFF">
      <w:start w:val="1"/>
      <w:numFmt w:val="lowerRoman"/>
      <w:lvlText w:val="%1)"/>
      <w:lvlJc w:val="left"/>
      <w:pPr>
        <w:ind w:left="720" w:hanging="360"/>
      </w:pPr>
      <w:rPr>
        <w:rFonts w:ascii="Arial" w:eastAsia="Times New Roman" w:hAnsi="Arial" w:cs="Arial"/>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857018"/>
    <w:multiLevelType w:val="hybridMultilevel"/>
    <w:tmpl w:val="B6C06020"/>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151DA9"/>
    <w:multiLevelType w:val="multilevel"/>
    <w:tmpl w:val="456CAFC6"/>
    <w:styleLink w:val="Listaactual1"/>
    <w:lvl w:ilvl="0">
      <w:start w:val="1"/>
      <w:numFmt w:val="lowerRoman"/>
      <w:lvlText w:val="%1)"/>
      <w:lvlJc w:val="left"/>
      <w:pPr>
        <w:ind w:left="720" w:hanging="360"/>
      </w:pPr>
      <w:rPr>
        <w:rFonts w:ascii="Arial" w:eastAsia="Times New Roman" w:hAnsi="Arial" w:cs="Arial"/>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F82114"/>
    <w:multiLevelType w:val="hybridMultilevel"/>
    <w:tmpl w:val="B6C06020"/>
    <w:lvl w:ilvl="0" w:tplc="2F4CFC7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C1F62"/>
    <w:multiLevelType w:val="hybridMultilevel"/>
    <w:tmpl w:val="B6C06020"/>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144347">
    <w:abstractNumId w:val="0"/>
  </w:num>
  <w:num w:numId="2" w16cid:durableId="2109034092">
    <w:abstractNumId w:val="5"/>
  </w:num>
  <w:num w:numId="3" w16cid:durableId="1518537668">
    <w:abstractNumId w:val="1"/>
  </w:num>
  <w:num w:numId="4" w16cid:durableId="496851189">
    <w:abstractNumId w:val="6"/>
  </w:num>
  <w:num w:numId="5" w16cid:durableId="570388471">
    <w:abstractNumId w:val="3"/>
  </w:num>
  <w:num w:numId="6" w16cid:durableId="903880657">
    <w:abstractNumId w:val="2"/>
  </w:num>
  <w:num w:numId="7" w16cid:durableId="561645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15"/>
    <w:rsid w:val="00007F54"/>
    <w:rsid w:val="00025CBE"/>
    <w:rsid w:val="00036B14"/>
    <w:rsid w:val="0007796D"/>
    <w:rsid w:val="000904FD"/>
    <w:rsid w:val="000929D1"/>
    <w:rsid w:val="000C69F2"/>
    <w:rsid w:val="000E43A2"/>
    <w:rsid w:val="000F09FC"/>
    <w:rsid w:val="001022FB"/>
    <w:rsid w:val="00126B79"/>
    <w:rsid w:val="00131885"/>
    <w:rsid w:val="00135D25"/>
    <w:rsid w:val="00152BFA"/>
    <w:rsid w:val="00171271"/>
    <w:rsid w:val="00185972"/>
    <w:rsid w:val="001D2E02"/>
    <w:rsid w:val="001E7793"/>
    <w:rsid w:val="001F332B"/>
    <w:rsid w:val="001F6A0A"/>
    <w:rsid w:val="00203413"/>
    <w:rsid w:val="00224E82"/>
    <w:rsid w:val="00230680"/>
    <w:rsid w:val="00252184"/>
    <w:rsid w:val="00261A27"/>
    <w:rsid w:val="00271F28"/>
    <w:rsid w:val="00275EF2"/>
    <w:rsid w:val="0029530E"/>
    <w:rsid w:val="002A70E5"/>
    <w:rsid w:val="002B7211"/>
    <w:rsid w:val="002C365D"/>
    <w:rsid w:val="002E11B0"/>
    <w:rsid w:val="002E324A"/>
    <w:rsid w:val="002E50B7"/>
    <w:rsid w:val="002E64DB"/>
    <w:rsid w:val="00301ECF"/>
    <w:rsid w:val="00320555"/>
    <w:rsid w:val="003265C8"/>
    <w:rsid w:val="0034263C"/>
    <w:rsid w:val="0034494B"/>
    <w:rsid w:val="003505B3"/>
    <w:rsid w:val="0036569A"/>
    <w:rsid w:val="0038435F"/>
    <w:rsid w:val="003A4DD1"/>
    <w:rsid w:val="0040326E"/>
    <w:rsid w:val="004054B0"/>
    <w:rsid w:val="00412073"/>
    <w:rsid w:val="00415F4E"/>
    <w:rsid w:val="0042057D"/>
    <w:rsid w:val="00434AB6"/>
    <w:rsid w:val="00443F92"/>
    <w:rsid w:val="00466819"/>
    <w:rsid w:val="004746CB"/>
    <w:rsid w:val="00480EFE"/>
    <w:rsid w:val="004B1CFC"/>
    <w:rsid w:val="004D46CC"/>
    <w:rsid w:val="0051304E"/>
    <w:rsid w:val="00543743"/>
    <w:rsid w:val="00547E16"/>
    <w:rsid w:val="005678D0"/>
    <w:rsid w:val="00570C03"/>
    <w:rsid w:val="00575A75"/>
    <w:rsid w:val="005B6023"/>
    <w:rsid w:val="005E19CF"/>
    <w:rsid w:val="005F24A4"/>
    <w:rsid w:val="00617E0A"/>
    <w:rsid w:val="00673221"/>
    <w:rsid w:val="00673FE1"/>
    <w:rsid w:val="006A6F59"/>
    <w:rsid w:val="006B28DE"/>
    <w:rsid w:val="006B3D61"/>
    <w:rsid w:val="006C1306"/>
    <w:rsid w:val="006C7C45"/>
    <w:rsid w:val="007164DE"/>
    <w:rsid w:val="00721C84"/>
    <w:rsid w:val="00727A8E"/>
    <w:rsid w:val="007328D8"/>
    <w:rsid w:val="00782D34"/>
    <w:rsid w:val="00785271"/>
    <w:rsid w:val="007923D4"/>
    <w:rsid w:val="007B29EC"/>
    <w:rsid w:val="007C378D"/>
    <w:rsid w:val="007C4C48"/>
    <w:rsid w:val="007E765A"/>
    <w:rsid w:val="0080652E"/>
    <w:rsid w:val="008165FB"/>
    <w:rsid w:val="0085056C"/>
    <w:rsid w:val="00872C0F"/>
    <w:rsid w:val="00874C37"/>
    <w:rsid w:val="00893CF2"/>
    <w:rsid w:val="008A1B7C"/>
    <w:rsid w:val="008A24D5"/>
    <w:rsid w:val="008C34E7"/>
    <w:rsid w:val="008C74DC"/>
    <w:rsid w:val="008D04D0"/>
    <w:rsid w:val="008E3147"/>
    <w:rsid w:val="008F26F3"/>
    <w:rsid w:val="009106CC"/>
    <w:rsid w:val="00926CEC"/>
    <w:rsid w:val="009443B1"/>
    <w:rsid w:val="009921CF"/>
    <w:rsid w:val="009B2009"/>
    <w:rsid w:val="009B6C3C"/>
    <w:rsid w:val="009C09C3"/>
    <w:rsid w:val="009C3F27"/>
    <w:rsid w:val="009C627F"/>
    <w:rsid w:val="009E282D"/>
    <w:rsid w:val="009E7391"/>
    <w:rsid w:val="009F1E73"/>
    <w:rsid w:val="009F481C"/>
    <w:rsid w:val="00A31FC1"/>
    <w:rsid w:val="00A43186"/>
    <w:rsid w:val="00A44C07"/>
    <w:rsid w:val="00A46DDE"/>
    <w:rsid w:val="00A816AF"/>
    <w:rsid w:val="00A83F28"/>
    <w:rsid w:val="00A85207"/>
    <w:rsid w:val="00A860C1"/>
    <w:rsid w:val="00AA2441"/>
    <w:rsid w:val="00AA5734"/>
    <w:rsid w:val="00AA5F30"/>
    <w:rsid w:val="00AB6754"/>
    <w:rsid w:val="00B013C5"/>
    <w:rsid w:val="00B028C0"/>
    <w:rsid w:val="00B10C49"/>
    <w:rsid w:val="00B12457"/>
    <w:rsid w:val="00B25472"/>
    <w:rsid w:val="00B26898"/>
    <w:rsid w:val="00B55FBE"/>
    <w:rsid w:val="00B60253"/>
    <w:rsid w:val="00B81617"/>
    <w:rsid w:val="00B95158"/>
    <w:rsid w:val="00BA15DC"/>
    <w:rsid w:val="00BB14EC"/>
    <w:rsid w:val="00BC6FB1"/>
    <w:rsid w:val="00BF555A"/>
    <w:rsid w:val="00C27D70"/>
    <w:rsid w:val="00C56E37"/>
    <w:rsid w:val="00C8325C"/>
    <w:rsid w:val="00C939B6"/>
    <w:rsid w:val="00C945A0"/>
    <w:rsid w:val="00CC1ACA"/>
    <w:rsid w:val="00CD5146"/>
    <w:rsid w:val="00CE17A0"/>
    <w:rsid w:val="00CF0B5B"/>
    <w:rsid w:val="00D0648E"/>
    <w:rsid w:val="00D367B6"/>
    <w:rsid w:val="00D5500B"/>
    <w:rsid w:val="00DC39C3"/>
    <w:rsid w:val="00DD3D33"/>
    <w:rsid w:val="00DD675B"/>
    <w:rsid w:val="00DD72FD"/>
    <w:rsid w:val="00E31372"/>
    <w:rsid w:val="00E34844"/>
    <w:rsid w:val="00E50CA4"/>
    <w:rsid w:val="00E75B8C"/>
    <w:rsid w:val="00E84015"/>
    <w:rsid w:val="00EB509C"/>
    <w:rsid w:val="00ED019C"/>
    <w:rsid w:val="00EE373D"/>
    <w:rsid w:val="00EF2A44"/>
    <w:rsid w:val="00EF68A3"/>
    <w:rsid w:val="00F20451"/>
    <w:rsid w:val="00F20B52"/>
    <w:rsid w:val="00F349D1"/>
    <w:rsid w:val="00F41151"/>
    <w:rsid w:val="00F57B22"/>
    <w:rsid w:val="00F745F8"/>
    <w:rsid w:val="00F76F94"/>
    <w:rsid w:val="00F7794F"/>
    <w:rsid w:val="00F95815"/>
    <w:rsid w:val="00F95ED8"/>
    <w:rsid w:val="00FD6570"/>
    <w:rsid w:val="00FF2C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46B6B"/>
  <w15:chartTrackingRefBased/>
  <w15:docId w15:val="{4E9DB97E-5E1E-49A2-9C94-E0DE5607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unhideWhenUsed/>
    <w:rsid w:val="00E84015"/>
    <w:rPr>
      <w:rFonts w:ascii="Times New Roman" w:hAnsi="Times New Roman" w:cs="Times New Roman"/>
      <w:sz w:val="24"/>
      <w:szCs w:val="24"/>
    </w:rPr>
  </w:style>
  <w:style w:type="paragraph" w:styleId="Encabezado">
    <w:name w:val="header"/>
    <w:basedOn w:val="Normal"/>
    <w:link w:val="EncabezadoCar"/>
    <w:uiPriority w:val="99"/>
    <w:unhideWhenUsed/>
    <w:rsid w:val="00E84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4015"/>
  </w:style>
  <w:style w:type="paragraph" w:styleId="Piedepgina">
    <w:name w:val="footer"/>
    <w:basedOn w:val="Normal"/>
    <w:link w:val="PiedepginaCar"/>
    <w:uiPriority w:val="99"/>
    <w:unhideWhenUsed/>
    <w:rsid w:val="00E84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401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8401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E84015"/>
    <w:pPr>
      <w:spacing w:after="0" w:line="240" w:lineRule="auto"/>
    </w:pPr>
    <w:rPr>
      <w:sz w:val="20"/>
      <w:szCs w:val="20"/>
      <w:lang w:val="es-MX"/>
    </w:rPr>
  </w:style>
  <w:style w:type="character" w:customStyle="1" w:styleId="TextonotapieCar1">
    <w:name w:val="Texto nota pie Car1"/>
    <w:basedOn w:val="Fuentedeprrafopredeter"/>
    <w:uiPriority w:val="99"/>
    <w:semiHidden/>
    <w:rsid w:val="00E84015"/>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84015"/>
    <w:rPr>
      <w:vertAlign w:val="superscript"/>
    </w:rPr>
  </w:style>
  <w:style w:type="table" w:styleId="Tablaconcuadrcula">
    <w:name w:val="Table Grid"/>
    <w:basedOn w:val="Tablanormal"/>
    <w:uiPriority w:val="39"/>
    <w:rsid w:val="00E8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8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E84015"/>
    <w:pPr>
      <w:spacing w:line="240" w:lineRule="exact"/>
    </w:pPr>
    <w:rPr>
      <w:vertAlign w:val="superscript"/>
    </w:rPr>
  </w:style>
  <w:style w:type="character" w:styleId="Hipervnculo">
    <w:name w:val="Hyperlink"/>
    <w:basedOn w:val="Fuentedeprrafopredeter"/>
    <w:uiPriority w:val="99"/>
    <w:unhideWhenUsed/>
    <w:rsid w:val="00E84015"/>
    <w:rPr>
      <w:color w:val="0563C1" w:themeColor="hyperlink"/>
      <w:u w:val="single"/>
    </w:rPr>
  </w:style>
  <w:style w:type="character" w:customStyle="1" w:styleId="baj">
    <w:name w:val="b_aj"/>
    <w:basedOn w:val="Fuentedeprrafopredeter"/>
    <w:rsid w:val="00E84015"/>
  </w:style>
  <w:style w:type="character" w:customStyle="1" w:styleId="NormalWebCar">
    <w:name w:val="Normal (Web) Car"/>
    <w:link w:val="NormalWeb"/>
    <w:uiPriority w:val="99"/>
    <w:rsid w:val="008E3147"/>
    <w:rPr>
      <w:rFonts w:ascii="Times New Roman" w:hAnsi="Times New Roman" w:cs="Times New Roman"/>
      <w:sz w:val="24"/>
      <w:szCs w:val="24"/>
    </w:rPr>
  </w:style>
  <w:style w:type="character" w:customStyle="1" w:styleId="apple-converted-space">
    <w:name w:val="apple-converted-space"/>
    <w:basedOn w:val="Fuentedeprrafopredeter"/>
    <w:rsid w:val="008E3147"/>
  </w:style>
  <w:style w:type="paragraph" w:customStyle="1" w:styleId="bodytext2">
    <w:name w:val="bodytext2"/>
    <w:basedOn w:val="Normal"/>
    <w:rsid w:val="008E314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9C627F"/>
    <w:rPr>
      <w:b/>
      <w:bCs/>
    </w:rPr>
  </w:style>
  <w:style w:type="paragraph" w:styleId="Revisin">
    <w:name w:val="Revision"/>
    <w:hidden/>
    <w:uiPriority w:val="99"/>
    <w:semiHidden/>
    <w:rsid w:val="00F41151"/>
    <w:pPr>
      <w:spacing w:after="0" w:line="240" w:lineRule="auto"/>
    </w:pPr>
  </w:style>
  <w:style w:type="paragraph" w:styleId="Prrafodelista">
    <w:name w:val="List Paragraph"/>
    <w:basedOn w:val="Normal"/>
    <w:uiPriority w:val="34"/>
    <w:qFormat/>
    <w:rsid w:val="00B013C5"/>
    <w:pPr>
      <w:ind w:left="720"/>
      <w:contextualSpacing/>
    </w:pPr>
  </w:style>
  <w:style w:type="numbering" w:customStyle="1" w:styleId="Listaactual1">
    <w:name w:val="Lista actual1"/>
    <w:uiPriority w:val="99"/>
    <w:rsid w:val="00CE17A0"/>
    <w:pPr>
      <w:numPr>
        <w:numId w:val="7"/>
      </w:numPr>
    </w:pPr>
  </w:style>
  <w:style w:type="character" w:styleId="Refdecomentario">
    <w:name w:val="annotation reference"/>
    <w:basedOn w:val="Fuentedeprrafopredeter"/>
    <w:uiPriority w:val="99"/>
    <w:semiHidden/>
    <w:unhideWhenUsed/>
    <w:rsid w:val="00575A75"/>
    <w:rPr>
      <w:sz w:val="16"/>
      <w:szCs w:val="16"/>
    </w:rPr>
  </w:style>
  <w:style w:type="paragraph" w:styleId="Textocomentario">
    <w:name w:val="annotation text"/>
    <w:basedOn w:val="Normal"/>
    <w:link w:val="TextocomentarioCar"/>
    <w:uiPriority w:val="99"/>
    <w:unhideWhenUsed/>
    <w:rsid w:val="00575A75"/>
    <w:pPr>
      <w:spacing w:line="240" w:lineRule="auto"/>
    </w:pPr>
    <w:rPr>
      <w:sz w:val="20"/>
      <w:szCs w:val="20"/>
    </w:rPr>
  </w:style>
  <w:style w:type="character" w:customStyle="1" w:styleId="TextocomentarioCar">
    <w:name w:val="Texto comentario Car"/>
    <w:basedOn w:val="Fuentedeprrafopredeter"/>
    <w:link w:val="Textocomentario"/>
    <w:uiPriority w:val="99"/>
    <w:rsid w:val="00575A75"/>
    <w:rPr>
      <w:sz w:val="20"/>
      <w:szCs w:val="20"/>
    </w:rPr>
  </w:style>
  <w:style w:type="paragraph" w:styleId="Asuntodelcomentario">
    <w:name w:val="annotation subject"/>
    <w:basedOn w:val="Textocomentario"/>
    <w:next w:val="Textocomentario"/>
    <w:link w:val="AsuntodelcomentarioCar"/>
    <w:uiPriority w:val="99"/>
    <w:semiHidden/>
    <w:unhideWhenUsed/>
    <w:rsid w:val="00575A75"/>
    <w:rPr>
      <w:b/>
      <w:bCs/>
    </w:rPr>
  </w:style>
  <w:style w:type="character" w:customStyle="1" w:styleId="AsuntodelcomentarioCar">
    <w:name w:val="Asunto del comentario Car"/>
    <w:basedOn w:val="TextocomentarioCar"/>
    <w:link w:val="Asuntodelcomentario"/>
    <w:uiPriority w:val="99"/>
    <w:semiHidden/>
    <w:rsid w:val="00575A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4.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node/30741" TargetMode="External"/><Relationship Id="rId1" Type="http://schemas.openxmlformats.org/officeDocument/2006/relationships/hyperlink" Target="https://www.colombiacompra.gov.co/node/236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F1F65-88C6-4D7D-9338-6C068D342073}">
  <ds:schemaRefs>
    <ds:schemaRef ds:uri="http://schemas.openxmlformats.org/officeDocument/2006/bibliography"/>
  </ds:schemaRefs>
</ds:datastoreItem>
</file>

<file path=customXml/itemProps2.xml><?xml version="1.0" encoding="utf-8"?>
<ds:datastoreItem xmlns:ds="http://schemas.openxmlformats.org/officeDocument/2006/customXml" ds:itemID="{A807120F-0E5C-4A87-89F7-4639ED0F2CEC}"/>
</file>

<file path=customXml/itemProps3.xml><?xml version="1.0" encoding="utf-8"?>
<ds:datastoreItem xmlns:ds="http://schemas.openxmlformats.org/officeDocument/2006/customXml" ds:itemID="{F9025451-F0BB-42F9-9040-5EDFF9A1688C}"/>
</file>

<file path=customXml/itemProps4.xml><?xml version="1.0" encoding="utf-8"?>
<ds:datastoreItem xmlns:ds="http://schemas.openxmlformats.org/officeDocument/2006/customXml" ds:itemID="{4B86BF6E-EF0B-4322-BC85-36DC4561BD37}"/>
</file>

<file path=docProps/app.xml><?xml version="1.0" encoding="utf-8"?>
<Properties xmlns="http://schemas.openxmlformats.org/officeDocument/2006/extended-properties" xmlns:vt="http://schemas.openxmlformats.org/officeDocument/2006/docPropsVTypes">
  <Template>Normal</Template>
  <TotalTime>4</TotalTime>
  <Pages>24</Pages>
  <Words>9522</Words>
  <Characters>52377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6</cp:revision>
  <dcterms:created xsi:type="dcterms:W3CDTF">2022-08-31T21:50:00Z</dcterms:created>
  <dcterms:modified xsi:type="dcterms:W3CDTF">2022-09-01T14:33:00Z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