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B47C" w14:textId="77777777" w:rsidR="00EF4EA3" w:rsidRPr="00EF4EA3" w:rsidRDefault="00EF4EA3" w:rsidP="00EF4EA3">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sidRPr="00EF4EA3">
        <w:rPr>
          <w:rFonts w:ascii="Arial" w:eastAsia="Times New Roman" w:hAnsi="Arial" w:cs="Arial"/>
          <w:bCs/>
          <w:color w:val="000000"/>
          <w:sz w:val="16"/>
          <w:szCs w:val="16"/>
          <w:lang w:val="es-ES_tradnl" w:eastAsia="es-ES"/>
        </w:rPr>
        <w:t>CCE-DES-FM-17</w:t>
      </w:r>
    </w:p>
    <w:bookmarkEnd w:id="0"/>
    <w:bookmarkEnd w:id="1"/>
    <w:p w14:paraId="285ECE8B" w14:textId="77777777" w:rsidR="00EF4EA3" w:rsidRPr="00EF4EA3" w:rsidRDefault="00EF4EA3" w:rsidP="00EF4EA3">
      <w:pPr>
        <w:spacing w:after="0" w:line="240" w:lineRule="auto"/>
        <w:jc w:val="both"/>
        <w:rPr>
          <w:rFonts w:ascii="Arial" w:eastAsia="Calibri" w:hAnsi="Arial" w:cs="Arial"/>
          <w:b/>
          <w:bCs/>
          <w:color w:val="000000"/>
          <w:szCs w:val="24"/>
          <w:lang w:val="es-ES_tradnl" w:eastAsia="es-ES_tradnl"/>
        </w:rPr>
      </w:pPr>
    </w:p>
    <w:p w14:paraId="582667A3" w14:textId="77777777" w:rsidR="00EF4EA3" w:rsidRPr="00EF4EA3" w:rsidRDefault="00EF4EA3" w:rsidP="00EF4EA3">
      <w:pPr>
        <w:spacing w:after="0" w:line="240" w:lineRule="auto"/>
        <w:jc w:val="both"/>
        <w:rPr>
          <w:rFonts w:ascii="Arial" w:eastAsia="Calibri" w:hAnsi="Arial" w:cs="Arial"/>
          <w:b/>
          <w:szCs w:val="24"/>
          <w:lang w:val="es-ES_tradnl" w:eastAsia="es-ES_tradnl"/>
        </w:rPr>
      </w:pPr>
      <w:r w:rsidRPr="00EF4EA3">
        <w:rPr>
          <w:rFonts w:ascii="Arial" w:eastAsia="Calibri" w:hAnsi="Arial" w:cs="Arial"/>
          <w:b/>
          <w:szCs w:val="24"/>
          <w:lang w:val="es-ES_tradnl" w:eastAsia="es-ES_tradnl"/>
        </w:rPr>
        <w:t xml:space="preserve">PRINCIPIO DE PLANEACIÓN – Estudios previos </w:t>
      </w:r>
    </w:p>
    <w:p w14:paraId="5462BA72" w14:textId="77777777" w:rsidR="00EF4EA3" w:rsidRPr="00EF4EA3" w:rsidRDefault="00EF4EA3" w:rsidP="00B03DC3">
      <w:pPr>
        <w:spacing w:after="0" w:line="240" w:lineRule="auto"/>
        <w:jc w:val="both"/>
        <w:rPr>
          <w:rFonts w:ascii="Arial" w:eastAsia="Calibri" w:hAnsi="Arial" w:cs="Arial"/>
          <w:sz w:val="20"/>
          <w:szCs w:val="20"/>
          <w:lang w:val="es-ES_tradnl" w:eastAsia="es-ES_tradnl"/>
        </w:rPr>
      </w:pPr>
    </w:p>
    <w:p w14:paraId="1C668A36" w14:textId="356F93E5" w:rsidR="00B03DC3" w:rsidRPr="00B03DC3" w:rsidRDefault="00B03DC3" w:rsidP="00B03DC3">
      <w:pPr>
        <w:spacing w:after="0" w:line="240" w:lineRule="auto"/>
        <w:jc w:val="both"/>
        <w:rPr>
          <w:rFonts w:ascii="Arial" w:eastAsia="Calibri" w:hAnsi="Arial" w:cs="Arial"/>
          <w:bCs/>
          <w:sz w:val="20"/>
          <w:szCs w:val="20"/>
          <w:lang w:val="es-MX"/>
        </w:rPr>
      </w:pPr>
      <w:r w:rsidRPr="00B03DC3">
        <w:rPr>
          <w:rFonts w:ascii="Arial" w:eastAsia="Calibri" w:hAnsi="Arial" w:cs="Arial"/>
          <w:bCs/>
          <w:sz w:val="20"/>
          <w:szCs w:val="20"/>
          <w:lang w:val="es-MX"/>
        </w:rPr>
        <w:t>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w:t>
      </w:r>
    </w:p>
    <w:p w14:paraId="14898FDC" w14:textId="72A49711" w:rsidR="00B03DC3" w:rsidRPr="00B03DC3" w:rsidRDefault="00B03DC3" w:rsidP="00B03DC3">
      <w:pPr>
        <w:spacing w:before="120" w:after="0" w:line="240" w:lineRule="auto"/>
        <w:jc w:val="both"/>
        <w:rPr>
          <w:rFonts w:ascii="Arial" w:eastAsia="Times New Roman" w:hAnsi="Arial" w:cs="Arial"/>
          <w:sz w:val="20"/>
          <w:szCs w:val="20"/>
          <w:lang w:eastAsia="es-ES_tradnl"/>
        </w:rPr>
      </w:pPr>
      <w:r w:rsidRPr="00B03DC3">
        <w:rPr>
          <w:rFonts w:ascii="Arial" w:eastAsia="Calibri" w:hAnsi="Arial" w:cs="Arial"/>
          <w:bCs/>
          <w:sz w:val="20"/>
          <w:szCs w:val="20"/>
          <w:lang w:val="es-MX"/>
        </w:rPr>
        <w:t>[…]</w:t>
      </w:r>
    </w:p>
    <w:p w14:paraId="24D0FBC8" w14:textId="77777777" w:rsidR="00B03DC3" w:rsidRPr="00B03DC3" w:rsidRDefault="00B03DC3" w:rsidP="00B03DC3">
      <w:pPr>
        <w:widowControl w:val="0"/>
        <w:tabs>
          <w:tab w:val="left" w:pos="1305"/>
        </w:tabs>
        <w:autoSpaceDE w:val="0"/>
        <w:autoSpaceDN w:val="0"/>
        <w:spacing w:after="0" w:line="240" w:lineRule="auto"/>
        <w:rPr>
          <w:rFonts w:ascii="Arial" w:eastAsia="Calibri" w:hAnsi="Arial" w:cs="Arial"/>
          <w:sz w:val="20"/>
          <w:szCs w:val="20"/>
          <w:lang w:val="es-MX"/>
        </w:rPr>
      </w:pPr>
    </w:p>
    <w:p w14:paraId="0057EA0C" w14:textId="77777777" w:rsidR="00B03DC3" w:rsidRPr="00B03DC3" w:rsidRDefault="00B03DC3" w:rsidP="00B03DC3">
      <w:pPr>
        <w:spacing w:after="120" w:line="240" w:lineRule="auto"/>
        <w:jc w:val="both"/>
        <w:rPr>
          <w:rFonts w:ascii="Arial" w:eastAsia="Times New Roman" w:hAnsi="Arial" w:cs="Arial"/>
          <w:sz w:val="20"/>
          <w:szCs w:val="20"/>
          <w:lang w:eastAsia="es-ES_tradnl"/>
        </w:rPr>
      </w:pPr>
      <w:r w:rsidRPr="00B03DC3">
        <w:rPr>
          <w:rFonts w:ascii="Arial" w:eastAsia="Times New Roman" w:hAnsi="Arial" w:cs="Arial"/>
          <w:sz w:val="20"/>
          <w:szCs w:val="20"/>
          <w:lang w:eastAsia="es-ES_tradnl"/>
        </w:rPr>
        <w:t xml:space="preserve">De esta manera, antes de iniciar un procedimiento de selección, la entidad estatal podrá determinar con los estudios previos: i) la verdadera necesidad de la celebración del contrato; </w:t>
      </w:r>
      <w:proofErr w:type="spellStart"/>
      <w:r w:rsidRPr="00B03DC3">
        <w:rPr>
          <w:rFonts w:ascii="Arial" w:eastAsia="Times New Roman" w:hAnsi="Arial" w:cs="Arial"/>
          <w:sz w:val="20"/>
          <w:szCs w:val="20"/>
          <w:lang w:eastAsia="es-ES_tradnl"/>
        </w:rPr>
        <w:t>ii</w:t>
      </w:r>
      <w:proofErr w:type="spellEnd"/>
      <w:r w:rsidRPr="00B03DC3">
        <w:rPr>
          <w:rFonts w:ascii="Arial" w:eastAsia="Times New Roman" w:hAnsi="Arial" w:cs="Arial"/>
          <w:sz w:val="20"/>
          <w:szCs w:val="20"/>
          <w:lang w:eastAsia="es-ES_tradnl"/>
        </w:rPr>
        <w:t xml:space="preserve">) las modalidades existentes para satisfacer esa necesidad y las razones que justifiquen la modalidad o tipo contractual que se escoja; </w:t>
      </w:r>
      <w:proofErr w:type="spellStart"/>
      <w:r w:rsidRPr="00B03DC3">
        <w:rPr>
          <w:rFonts w:ascii="Arial" w:eastAsia="Times New Roman" w:hAnsi="Arial" w:cs="Arial"/>
          <w:sz w:val="20"/>
          <w:szCs w:val="20"/>
          <w:lang w:eastAsia="es-ES_tradnl"/>
        </w:rPr>
        <w:t>iii</w:t>
      </w:r>
      <w:proofErr w:type="spellEnd"/>
      <w:r w:rsidRPr="00B03DC3">
        <w:rPr>
          <w:rFonts w:ascii="Arial" w:eastAsia="Times New Roman" w:hAnsi="Arial" w:cs="Arial"/>
          <w:sz w:val="20"/>
          <w:szCs w:val="20"/>
          <w:lang w:eastAsia="es-ES_tradnl"/>
        </w:rPr>
        <w:t xml:space="preserve">) las calidades, especificaciones, cantidades y demás características que puedan o deban reunir los bienes, las obras o los servicios cuya contratación se haya determinado necesaria, </w:t>
      </w:r>
      <w:proofErr w:type="spellStart"/>
      <w:r w:rsidRPr="00B03DC3">
        <w:rPr>
          <w:rFonts w:ascii="Arial" w:eastAsia="Times New Roman" w:hAnsi="Arial" w:cs="Arial"/>
          <w:i/>
          <w:iCs/>
          <w:sz w:val="20"/>
          <w:szCs w:val="20"/>
          <w:lang w:eastAsia="es-ES_tradnl"/>
        </w:rPr>
        <w:t>iv</w:t>
      </w:r>
      <w:proofErr w:type="spellEnd"/>
      <w:r w:rsidRPr="00B03DC3">
        <w:rPr>
          <w:rFonts w:ascii="Arial" w:eastAsia="Times New Roman" w:hAnsi="Arial" w:cs="Arial"/>
          <w:i/>
          <w:iCs/>
          <w:sz w:val="20"/>
          <w:szCs w:val="20"/>
          <w:lang w:eastAsia="es-ES_tradnl"/>
        </w:rPr>
        <w:t xml:space="preserve">) los costos, valores y alternativas que, a precios de mercado reales, podría demandar la celebración y ejecución del contrato, </w:t>
      </w:r>
      <w:r w:rsidRPr="00B03DC3">
        <w:rPr>
          <w:rFonts w:ascii="Arial" w:eastAsia="Times New Roman" w:hAnsi="Arial" w:cs="Arial"/>
          <w:sz w:val="20"/>
          <w:szCs w:val="20"/>
          <w:lang w:eastAsia="es-ES_tradnl"/>
        </w:rPr>
        <w:t xml:space="preserve">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B03DC3">
        <w:rPr>
          <w:rFonts w:ascii="Arial" w:eastAsia="Times New Roman" w:hAnsi="Arial" w:cs="Arial"/>
          <w:sz w:val="20"/>
          <w:szCs w:val="20"/>
          <w:lang w:eastAsia="es-ES_tradnl"/>
        </w:rPr>
        <w:t>vii</w:t>
      </w:r>
      <w:proofErr w:type="spellEnd"/>
      <w:r w:rsidRPr="00B03DC3">
        <w:rPr>
          <w:rFonts w:ascii="Arial" w:eastAsia="Times New Roman" w:hAnsi="Arial" w:cs="Arial"/>
          <w:sz w:val="20"/>
          <w:szCs w:val="20"/>
          <w:lang w:eastAsia="es-ES_tradnl"/>
        </w:rPr>
        <w:t>) los procedimientos, trámites y requisitos que deban satisfacerse, reunirse u obtenerse para llevar a cabo la selección del respectivo contratista y la celebración del contrato que se pretenda celebrar.</w:t>
      </w:r>
    </w:p>
    <w:p w14:paraId="47BA7F4A" w14:textId="77777777" w:rsidR="00B03DC3" w:rsidRPr="00B03DC3" w:rsidRDefault="00B03DC3" w:rsidP="00B03DC3">
      <w:pPr>
        <w:spacing w:after="120" w:line="240" w:lineRule="auto"/>
        <w:jc w:val="both"/>
        <w:rPr>
          <w:rFonts w:ascii="Arial" w:eastAsia="Times New Roman" w:hAnsi="Arial" w:cs="Arial"/>
          <w:sz w:val="20"/>
          <w:szCs w:val="20"/>
          <w:lang w:eastAsia="es-ES_tradnl"/>
        </w:rPr>
      </w:pPr>
      <w:r w:rsidRPr="00B03DC3">
        <w:rPr>
          <w:rFonts w:ascii="Arial" w:eastAsia="Times New Roman" w:hAnsi="Arial" w:cs="Arial"/>
          <w:sz w:val="20"/>
          <w:szCs w:val="20"/>
          <w:lang w:eastAsia="es-ES_tradnl"/>
        </w:rPr>
        <w:t xml:space="preserve">Por ello, el hecho que las entidades cumplan con los elementos mínimos establecidos en la norma y aquellos adicionales que identifiquen en la etapa de planeación de los </w:t>
      </w:r>
      <w:r w:rsidRPr="00B03DC3">
        <w:rPr>
          <w:rFonts w:ascii="Arial" w:eastAsia="Calibri" w:hAnsi="Arial" w:cs="Arial"/>
          <w:bCs/>
          <w:sz w:val="20"/>
          <w:szCs w:val="20"/>
          <w:lang w:val="es-ES_tradnl" w:eastAsia="es-ES_tradnl"/>
        </w:rPr>
        <w:t xml:space="preserve">procedimientos de contratación, permite que los contratos resultantes cuenten con el sustento técnico, económico y jurídico que incidirá </w:t>
      </w:r>
      <w:r w:rsidRPr="00B03DC3">
        <w:rPr>
          <w:rFonts w:ascii="Arial" w:eastAsia="Times New Roman" w:hAnsi="Arial" w:cs="Arial"/>
          <w:sz w:val="20"/>
          <w:szCs w:val="20"/>
          <w:lang w:eastAsia="es-ES_tradnl"/>
        </w:rPr>
        <w:t>en una adecuada ejecución.</w:t>
      </w:r>
    </w:p>
    <w:p w14:paraId="39A98775" w14:textId="77777777" w:rsidR="00EF4EA3" w:rsidRPr="00EF4EA3" w:rsidRDefault="00EF4EA3" w:rsidP="00EF4EA3">
      <w:pPr>
        <w:spacing w:after="0" w:line="240" w:lineRule="auto"/>
        <w:jc w:val="both"/>
        <w:rPr>
          <w:rFonts w:ascii="Arial" w:eastAsia="Calibri" w:hAnsi="Arial" w:cs="Arial"/>
          <w:sz w:val="20"/>
          <w:szCs w:val="20"/>
          <w:lang w:val="es-ES_tradnl" w:eastAsia="es-ES_tradnl"/>
        </w:rPr>
      </w:pPr>
    </w:p>
    <w:p w14:paraId="37BE5990" w14:textId="77777777" w:rsidR="00EF4EA3" w:rsidRPr="00EF4EA3" w:rsidRDefault="00EF4EA3" w:rsidP="00EF4EA3">
      <w:pPr>
        <w:spacing w:after="0" w:line="240" w:lineRule="auto"/>
        <w:jc w:val="both"/>
        <w:rPr>
          <w:rFonts w:ascii="Arial" w:eastAsia="Calibri" w:hAnsi="Arial" w:cs="Arial"/>
          <w:b/>
          <w:bCs/>
          <w:szCs w:val="24"/>
          <w:lang w:val="es-ES_tradnl" w:eastAsia="es-ES_tradnl"/>
        </w:rPr>
      </w:pPr>
      <w:r w:rsidRPr="00EF4EA3">
        <w:rPr>
          <w:rFonts w:ascii="Arial" w:eastAsia="Calibri" w:hAnsi="Arial" w:cs="Arial"/>
          <w:b/>
          <w:bCs/>
          <w:szCs w:val="24"/>
          <w:lang w:val="es-ES_tradnl" w:eastAsia="es-ES_tradnl"/>
        </w:rPr>
        <w:t xml:space="preserve">PRINCIPIO DE PLANEACIÓN </w:t>
      </w:r>
      <w:r w:rsidRPr="00EF4EA3">
        <w:rPr>
          <w:rFonts w:ascii="Arial" w:eastAsia="Calibri" w:hAnsi="Arial" w:cs="Arial"/>
          <w:b/>
          <w:color w:val="000000"/>
          <w:szCs w:val="24"/>
          <w:lang w:eastAsia="es-ES_tradnl"/>
        </w:rPr>
        <w:t>–</w:t>
      </w:r>
      <w:r w:rsidRPr="00EF4EA3">
        <w:rPr>
          <w:rFonts w:ascii="Arial" w:eastAsia="Calibri" w:hAnsi="Arial" w:cs="Arial"/>
          <w:b/>
          <w:bCs/>
          <w:szCs w:val="24"/>
          <w:lang w:val="es-ES_tradnl" w:eastAsia="es-ES_tradnl"/>
        </w:rPr>
        <w:t xml:space="preserve"> </w:t>
      </w:r>
      <w:r w:rsidRPr="00EF4EA3">
        <w:rPr>
          <w:rFonts w:ascii="Arial" w:eastAsia="Calibri" w:hAnsi="Arial" w:cs="Arial"/>
          <w:b/>
          <w:szCs w:val="24"/>
          <w:lang w:val="es-ES_tradnl" w:eastAsia="es-ES_tradnl"/>
        </w:rPr>
        <w:t xml:space="preserve">Análisis del sector económico y de los oferentes </w:t>
      </w:r>
    </w:p>
    <w:p w14:paraId="7A116395" w14:textId="2672445B" w:rsidR="00B03DC3" w:rsidRDefault="00B03DC3" w:rsidP="00EF4EA3">
      <w:pPr>
        <w:spacing w:after="0" w:line="240" w:lineRule="auto"/>
        <w:jc w:val="both"/>
        <w:rPr>
          <w:rFonts w:ascii="Arial" w:eastAsia="Calibri" w:hAnsi="Arial" w:cs="Arial"/>
          <w:b/>
          <w:bCs/>
          <w:sz w:val="20"/>
          <w:szCs w:val="20"/>
          <w:lang w:val="es-ES_tradnl" w:eastAsia="es-ES_tradnl"/>
        </w:rPr>
      </w:pPr>
    </w:p>
    <w:p w14:paraId="1AB447D4" w14:textId="1C0A40AB" w:rsidR="00B03DC3" w:rsidRPr="00B03DC3" w:rsidRDefault="00B03DC3" w:rsidP="00B03DC3">
      <w:pPr>
        <w:spacing w:before="120" w:after="0" w:line="240" w:lineRule="auto"/>
        <w:jc w:val="both"/>
        <w:rPr>
          <w:rFonts w:ascii="Arial" w:eastAsia="Calibri" w:hAnsi="Arial" w:cs="Arial"/>
          <w:bCs/>
          <w:sz w:val="20"/>
          <w:szCs w:val="20"/>
          <w:lang w:val="es-ES_tradnl" w:eastAsia="es-ES_tradnl"/>
        </w:rPr>
      </w:pPr>
      <w:r>
        <w:rPr>
          <w:rFonts w:ascii="Arial" w:eastAsia="Calibri" w:hAnsi="Arial" w:cs="Arial"/>
          <w:bCs/>
          <w:sz w:val="20"/>
          <w:szCs w:val="20"/>
          <w:lang w:val="es-ES_tradnl" w:eastAsia="es-ES_tradnl"/>
        </w:rPr>
        <w:t xml:space="preserve">[…] </w:t>
      </w:r>
      <w:r w:rsidRPr="00B03DC3">
        <w:rPr>
          <w:rFonts w:ascii="Arial" w:eastAsia="Calibri" w:hAnsi="Arial" w:cs="Arial"/>
          <w:bCs/>
          <w:sz w:val="20"/>
          <w:szCs w:val="20"/>
          <w:lang w:val="es-ES_tradnl" w:eastAsia="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11345EB2" w14:textId="77777777" w:rsidR="00B03DC3" w:rsidRPr="00B03DC3" w:rsidRDefault="00B03DC3" w:rsidP="00B03DC3">
      <w:pPr>
        <w:spacing w:before="120" w:after="0" w:line="240" w:lineRule="auto"/>
        <w:jc w:val="both"/>
        <w:rPr>
          <w:rFonts w:ascii="Arial" w:eastAsia="Calibri" w:hAnsi="Arial" w:cs="Arial"/>
          <w:bCs/>
          <w:sz w:val="20"/>
          <w:szCs w:val="20"/>
          <w:lang w:val="es-ES_tradnl" w:eastAsia="es-ES_tradnl"/>
        </w:rPr>
      </w:pPr>
      <w:r w:rsidRPr="00B03DC3">
        <w:rPr>
          <w:rFonts w:ascii="Arial" w:eastAsia="Calibri" w:hAnsi="Arial" w:cs="Arial"/>
          <w:bCs/>
          <w:sz w:val="20"/>
          <w:szCs w:val="20"/>
          <w:lang w:val="es-ES_tradnl" w:eastAsia="es-ES_tradnl"/>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21217B81" w14:textId="77777777" w:rsidR="00B03DC3" w:rsidRPr="00B03DC3" w:rsidRDefault="00B03DC3" w:rsidP="00B03DC3">
      <w:pPr>
        <w:spacing w:before="120" w:after="0" w:line="240" w:lineRule="auto"/>
        <w:jc w:val="both"/>
        <w:rPr>
          <w:rFonts w:ascii="Arial" w:eastAsia="Calibri" w:hAnsi="Arial" w:cs="Arial"/>
          <w:bCs/>
          <w:sz w:val="20"/>
          <w:szCs w:val="20"/>
          <w:lang w:val="es-ES_tradnl" w:eastAsia="es-ES_tradnl"/>
        </w:rPr>
      </w:pPr>
      <w:r w:rsidRPr="00B03DC3">
        <w:rPr>
          <w:rFonts w:ascii="Arial" w:eastAsia="Calibri" w:hAnsi="Arial" w:cs="Arial"/>
          <w:bCs/>
          <w:sz w:val="20"/>
          <w:szCs w:val="20"/>
          <w:lang w:val="es-ES_tradnl" w:eastAsia="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08B52EF4" w14:textId="77777777" w:rsidR="00B03DC3" w:rsidRPr="00EF4EA3" w:rsidRDefault="00B03DC3" w:rsidP="00EF4EA3">
      <w:pPr>
        <w:spacing w:after="0" w:line="240" w:lineRule="auto"/>
        <w:jc w:val="both"/>
        <w:rPr>
          <w:rFonts w:ascii="Arial" w:eastAsia="Calibri" w:hAnsi="Arial" w:cs="Arial"/>
          <w:b/>
          <w:bCs/>
          <w:sz w:val="20"/>
          <w:szCs w:val="20"/>
          <w:lang w:val="es-ES_tradnl" w:eastAsia="es-ES_tradnl"/>
        </w:rPr>
      </w:pPr>
    </w:p>
    <w:p w14:paraId="57950D10" w14:textId="77777777" w:rsidR="00EF4EA3" w:rsidRPr="00EF4EA3" w:rsidRDefault="00EF4EA3" w:rsidP="00EF4EA3">
      <w:pPr>
        <w:spacing w:after="0" w:line="240" w:lineRule="auto"/>
        <w:jc w:val="both"/>
        <w:rPr>
          <w:rFonts w:ascii="Arial" w:eastAsia="Calibri" w:hAnsi="Arial" w:cs="Arial"/>
          <w:b/>
          <w:bCs/>
          <w:szCs w:val="24"/>
          <w:lang w:val="es-ES_tradnl" w:eastAsia="es-ES_tradnl"/>
        </w:rPr>
      </w:pPr>
      <w:r w:rsidRPr="00EF4EA3">
        <w:rPr>
          <w:rFonts w:ascii="Arial" w:eastAsia="Calibri" w:hAnsi="Arial" w:cs="Arial"/>
          <w:b/>
          <w:bCs/>
          <w:szCs w:val="24"/>
          <w:lang w:val="es-ES_tradnl" w:eastAsia="es-ES_tradnl"/>
        </w:rPr>
        <w:t xml:space="preserve">PRECIO – Concepto – Estructuración </w:t>
      </w:r>
    </w:p>
    <w:p w14:paraId="0C2310EF" w14:textId="77777777" w:rsidR="00EF4EA3" w:rsidRPr="00EF4EA3" w:rsidRDefault="00EF4EA3" w:rsidP="00EF4EA3">
      <w:pPr>
        <w:spacing w:after="0" w:line="240" w:lineRule="auto"/>
        <w:jc w:val="both"/>
        <w:rPr>
          <w:rFonts w:ascii="Arial" w:eastAsia="Calibri" w:hAnsi="Arial" w:cs="Arial"/>
          <w:sz w:val="20"/>
          <w:szCs w:val="20"/>
          <w:lang w:val="es-ES_tradnl" w:eastAsia="es-ES_tradnl"/>
        </w:rPr>
      </w:pPr>
    </w:p>
    <w:p w14:paraId="2B60D739" w14:textId="67352ABD" w:rsidR="00B03DC3" w:rsidRPr="00B03DC3" w:rsidRDefault="00B03DC3" w:rsidP="00B03DC3">
      <w:pPr>
        <w:spacing w:after="120" w:line="240" w:lineRule="auto"/>
        <w:jc w:val="both"/>
        <w:rPr>
          <w:rFonts w:ascii="Arial" w:eastAsia="Times New Roman" w:hAnsi="Arial" w:cs="Arial"/>
          <w:bCs/>
          <w:sz w:val="20"/>
          <w:szCs w:val="20"/>
          <w:lang w:val="es-ES" w:eastAsia="es-ES_tradnl"/>
        </w:rPr>
      </w:pPr>
      <w:r w:rsidRPr="00B03DC3">
        <w:rPr>
          <w:rFonts w:ascii="Arial" w:eastAsia="Times New Roman" w:hAnsi="Arial" w:cs="Arial"/>
          <w:bCs/>
          <w:sz w:val="20"/>
          <w:szCs w:val="20"/>
          <w:lang w:val="es-ES_tradnl" w:eastAsia="es-ES_tradnl"/>
        </w:rPr>
        <w:t>Como es sabido, uno de los elementos de los contratos estatales es el precio,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 en los términos de los artículos 1864 y 1865 del Código Civil y, de manera general está compuesto por dos elementos esenciales: los costos y la utilidad, cuya estructuración interna depende de las condiciones técnicas, financieras, regulatorias, etc. de cada contrato.</w:t>
      </w:r>
    </w:p>
    <w:p w14:paraId="3D2D6971" w14:textId="77777777" w:rsidR="00B03DC3" w:rsidRPr="00B03DC3" w:rsidRDefault="00B03DC3" w:rsidP="00B03DC3">
      <w:pPr>
        <w:spacing w:before="120" w:after="120" w:line="240" w:lineRule="auto"/>
        <w:jc w:val="both"/>
        <w:rPr>
          <w:rFonts w:ascii="Arial" w:hAnsi="Arial" w:cs="Arial"/>
          <w:bCs/>
          <w:sz w:val="20"/>
          <w:szCs w:val="20"/>
          <w:lang w:val="es-ES_tradnl"/>
        </w:rPr>
      </w:pPr>
      <w:r w:rsidRPr="00B03DC3">
        <w:rPr>
          <w:rFonts w:ascii="Arial" w:eastAsia="Times New Roman" w:hAnsi="Arial" w:cs="Arial"/>
          <w:bCs/>
          <w:sz w:val="20"/>
          <w:szCs w:val="20"/>
          <w:lang w:val="es-ES_tradnl" w:eastAsia="es-ES_tradnl"/>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w:t>
      </w:r>
      <w:r w:rsidRPr="00B03DC3">
        <w:rPr>
          <w:rFonts w:ascii="Arial" w:hAnsi="Arial" w:cs="Arial"/>
          <w:bCs/>
          <w:sz w:val="20"/>
          <w:szCs w:val="20"/>
          <w:lang w:val="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B03DC3">
        <w:rPr>
          <w:rFonts w:ascii="Arial" w:hAnsi="Arial" w:cs="Arial"/>
          <w:bCs/>
          <w:sz w:val="20"/>
          <w:szCs w:val="20"/>
          <w:lang w:val="es-ES_tradnl"/>
        </w:rPr>
        <w:t>ii</w:t>
      </w:r>
      <w:proofErr w:type="spellEnd"/>
      <w:r w:rsidRPr="00B03DC3">
        <w:rPr>
          <w:rFonts w:ascii="Arial" w:hAnsi="Arial" w:cs="Arial"/>
          <w:bCs/>
          <w:sz w:val="20"/>
          <w:szCs w:val="20"/>
          <w:lang w:val="es-ES_tradnl"/>
        </w:rPr>
        <w:t xml:space="preserve">) el precio global –que equivale al monto total, sin discriminar unidades–, y </w:t>
      </w:r>
      <w:proofErr w:type="spellStart"/>
      <w:r w:rsidRPr="00B03DC3">
        <w:rPr>
          <w:rFonts w:ascii="Arial" w:hAnsi="Arial" w:cs="Arial"/>
          <w:bCs/>
          <w:sz w:val="20"/>
          <w:szCs w:val="20"/>
          <w:lang w:val="es-ES_tradnl"/>
        </w:rPr>
        <w:t>iii</w:t>
      </w:r>
      <w:proofErr w:type="spellEnd"/>
      <w:r w:rsidRPr="00B03DC3">
        <w:rPr>
          <w:rFonts w:ascii="Arial" w:hAnsi="Arial" w:cs="Arial"/>
          <w:bCs/>
          <w:sz w:val="20"/>
          <w:szCs w:val="20"/>
          <w:lang w:val="es-ES_tradnl"/>
        </w:rPr>
        <w:t>) la administración delegada de recursos –en la que se distinguen los costos de inversión de los honorarios del administrador–.</w:t>
      </w:r>
    </w:p>
    <w:p w14:paraId="1232F5AF" w14:textId="77777777" w:rsidR="00B03DC3" w:rsidRPr="00B03DC3" w:rsidRDefault="00B03DC3" w:rsidP="00B03DC3">
      <w:pPr>
        <w:spacing w:after="120" w:line="240" w:lineRule="auto"/>
        <w:jc w:val="both"/>
        <w:rPr>
          <w:rFonts w:ascii="Arial" w:eastAsia="Calibri" w:hAnsi="Arial" w:cs="Arial"/>
          <w:bCs/>
          <w:sz w:val="20"/>
          <w:szCs w:val="20"/>
          <w:lang w:val="es-ES_tradnl" w:eastAsia="es-ES_tradnl"/>
        </w:rPr>
      </w:pPr>
      <w:r w:rsidRPr="00B03DC3">
        <w:rPr>
          <w:rFonts w:ascii="Arial" w:eastAsia="Calibri" w:hAnsi="Arial" w:cs="Arial"/>
          <w:bCs/>
          <w:sz w:val="20"/>
          <w:szCs w:val="20"/>
          <w:lang w:val="es-ES_tradnl" w:eastAsia="es-ES_tradnl"/>
        </w:rPr>
        <w:t xml:space="preserve">La «Guía para la Elaboración de Estudios del Sector» dispone que el análisis de los diferentes precios de los bienes y servicios a contratar que se registran en el mercado, pueden consultarse a través de mecanismo como: i) la solicitud de cotizaciones, </w:t>
      </w:r>
      <w:proofErr w:type="spellStart"/>
      <w:r w:rsidRPr="00B03DC3">
        <w:rPr>
          <w:rFonts w:ascii="Arial" w:eastAsia="Calibri" w:hAnsi="Arial" w:cs="Arial"/>
          <w:bCs/>
          <w:sz w:val="20"/>
          <w:szCs w:val="20"/>
          <w:lang w:val="es-ES_tradnl" w:eastAsia="es-ES_tradnl"/>
        </w:rPr>
        <w:t>ii</w:t>
      </w:r>
      <w:proofErr w:type="spellEnd"/>
      <w:r w:rsidRPr="00B03DC3">
        <w:rPr>
          <w:rFonts w:ascii="Arial" w:eastAsia="Calibri" w:hAnsi="Arial" w:cs="Arial"/>
          <w:bCs/>
          <w:sz w:val="20"/>
          <w:szCs w:val="20"/>
          <w:lang w:val="es-ES_tradnl" w:eastAsia="es-ES_tradnl"/>
        </w:rPr>
        <w:t xml:space="preserve">) bases de datos especializadas, y </w:t>
      </w:r>
      <w:proofErr w:type="spellStart"/>
      <w:r w:rsidRPr="00B03DC3">
        <w:rPr>
          <w:rFonts w:ascii="Arial" w:eastAsia="Calibri" w:hAnsi="Arial" w:cs="Arial"/>
          <w:bCs/>
          <w:sz w:val="20"/>
          <w:szCs w:val="20"/>
          <w:lang w:val="es-ES_tradnl" w:eastAsia="es-ES_tradnl"/>
        </w:rPr>
        <w:t>iii</w:t>
      </w:r>
      <w:proofErr w:type="spellEnd"/>
      <w:r w:rsidRPr="00B03DC3">
        <w:rPr>
          <w:rFonts w:ascii="Arial" w:eastAsia="Calibri" w:hAnsi="Arial" w:cs="Arial"/>
          <w:bCs/>
          <w:sz w:val="20"/>
          <w:szCs w:val="20"/>
          <w:lang w:val="es-ES_tradnl" w:eastAsia="es-ES_tradnl"/>
        </w:rPr>
        <w:t xml:space="preserve">) el análisis de precios históricos. </w:t>
      </w:r>
    </w:p>
    <w:p w14:paraId="1CE30425" w14:textId="77777777" w:rsidR="00AD24C6" w:rsidRDefault="00AD24C6" w:rsidP="00EF4EA3">
      <w:pPr>
        <w:spacing w:after="0" w:line="240" w:lineRule="auto"/>
        <w:jc w:val="both"/>
        <w:rPr>
          <w:rFonts w:ascii="Arial" w:eastAsia="Calibri" w:hAnsi="Arial" w:cs="Arial"/>
          <w:color w:val="000000"/>
          <w:szCs w:val="24"/>
          <w:lang w:val="es-ES_tradnl" w:eastAsia="es-ES_tradnl"/>
        </w:rPr>
      </w:pPr>
    </w:p>
    <w:p w14:paraId="39FDAC4A" w14:textId="77777777" w:rsidR="00AD24C6" w:rsidRDefault="00AD24C6" w:rsidP="00EF4EA3">
      <w:pPr>
        <w:spacing w:after="0" w:line="240" w:lineRule="auto"/>
        <w:jc w:val="both"/>
        <w:rPr>
          <w:rFonts w:ascii="Arial" w:eastAsia="Calibri" w:hAnsi="Arial" w:cs="Arial"/>
          <w:color w:val="000000"/>
          <w:szCs w:val="24"/>
          <w:lang w:val="es-ES_tradnl" w:eastAsia="es-ES_tradnl"/>
        </w:rPr>
      </w:pPr>
    </w:p>
    <w:p w14:paraId="2C4F5FC8" w14:textId="77777777" w:rsidR="00AD24C6" w:rsidRDefault="00AD24C6" w:rsidP="00EF4EA3">
      <w:pPr>
        <w:spacing w:after="0" w:line="240" w:lineRule="auto"/>
        <w:jc w:val="both"/>
        <w:rPr>
          <w:rFonts w:ascii="Arial" w:eastAsia="Calibri" w:hAnsi="Arial" w:cs="Arial"/>
          <w:color w:val="000000"/>
          <w:szCs w:val="24"/>
          <w:lang w:val="es-ES_tradnl" w:eastAsia="es-ES_tradnl"/>
        </w:rPr>
      </w:pPr>
    </w:p>
    <w:p w14:paraId="71A8408B" w14:textId="77777777" w:rsidR="00AD24C6" w:rsidRDefault="00AD24C6" w:rsidP="00EF4EA3">
      <w:pPr>
        <w:spacing w:after="0" w:line="240" w:lineRule="auto"/>
        <w:jc w:val="both"/>
        <w:rPr>
          <w:rFonts w:ascii="Arial" w:eastAsia="Calibri" w:hAnsi="Arial" w:cs="Arial"/>
          <w:color w:val="000000"/>
          <w:szCs w:val="24"/>
          <w:lang w:val="es-ES_tradnl" w:eastAsia="es-ES_tradnl"/>
        </w:rPr>
      </w:pPr>
    </w:p>
    <w:p w14:paraId="5FB068F8" w14:textId="77777777" w:rsidR="00B03DC3" w:rsidRDefault="00B03DC3" w:rsidP="00B03DC3">
      <w:pPr>
        <w:spacing w:after="0" w:line="240" w:lineRule="auto"/>
      </w:pPr>
    </w:p>
    <w:p w14:paraId="619584C9" w14:textId="77777777" w:rsidR="00B03DC3" w:rsidRDefault="00B03DC3" w:rsidP="00B03DC3">
      <w:pPr>
        <w:spacing w:after="0" w:line="240" w:lineRule="auto"/>
      </w:pPr>
    </w:p>
    <w:p w14:paraId="54D0DD92" w14:textId="063807CF" w:rsidR="00AD24C6" w:rsidRDefault="00B03DC3" w:rsidP="00B03DC3">
      <w:pPr>
        <w:spacing w:after="0" w:line="240" w:lineRule="auto"/>
        <w:jc w:val="right"/>
        <w:rPr>
          <w:rFonts w:ascii="Arial" w:eastAsia="Calibri" w:hAnsi="Arial" w:cs="Arial"/>
          <w:color w:val="000000"/>
          <w:szCs w:val="24"/>
          <w:lang w:val="es-ES_tradnl" w:eastAsia="es-ES_tradnl"/>
        </w:rPr>
      </w:pPr>
      <w:r>
        <w:rPr>
          <w:noProof/>
        </w:rPr>
        <w:drawing>
          <wp:inline distT="0" distB="0" distL="0" distR="0" wp14:anchorId="6037F84C" wp14:editId="3A1AF941">
            <wp:extent cx="3633181" cy="1057275"/>
            <wp:effectExtent l="0" t="0" r="5715"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rotWithShape="1">
                    <a:blip r:embed="rId8"/>
                    <a:srcRect l="51256" t="46162" r="16666" b="38903"/>
                    <a:stretch/>
                  </pic:blipFill>
                  <pic:spPr bwMode="auto">
                    <a:xfrm>
                      <a:off x="0" y="0"/>
                      <a:ext cx="3635037" cy="1057815"/>
                    </a:xfrm>
                    <a:prstGeom prst="rect">
                      <a:avLst/>
                    </a:prstGeom>
                    <a:ln>
                      <a:noFill/>
                    </a:ln>
                    <a:extLst>
                      <a:ext uri="{53640926-AAD7-44D8-BBD7-CCE9431645EC}">
                        <a14:shadowObscured xmlns:a14="http://schemas.microsoft.com/office/drawing/2010/main"/>
                      </a:ext>
                    </a:extLst>
                  </pic:spPr>
                </pic:pic>
              </a:graphicData>
            </a:graphic>
          </wp:inline>
        </w:drawing>
      </w:r>
    </w:p>
    <w:p w14:paraId="0536663E" w14:textId="77777777" w:rsidR="00B03DC3" w:rsidRDefault="00B03DC3" w:rsidP="006D33E0">
      <w:pPr>
        <w:spacing w:after="0" w:line="240" w:lineRule="auto"/>
        <w:rPr>
          <w:rFonts w:ascii="Arial" w:eastAsia="Times New Roman" w:hAnsi="Arial" w:cs="Arial"/>
          <w:lang w:val="es-ES" w:eastAsia="es-ES"/>
        </w:rPr>
      </w:pPr>
    </w:p>
    <w:p w14:paraId="10DC0C83" w14:textId="77777777" w:rsidR="00B03DC3" w:rsidRPr="00B03DC3" w:rsidRDefault="00B03DC3" w:rsidP="006D33E0">
      <w:pPr>
        <w:spacing w:after="0" w:line="240" w:lineRule="auto"/>
        <w:rPr>
          <w:rFonts w:ascii="Arial" w:eastAsia="Times New Roman" w:hAnsi="Arial" w:cs="Arial"/>
          <w:lang w:val="es-ES" w:eastAsia="es-ES"/>
        </w:rPr>
      </w:pPr>
    </w:p>
    <w:p w14:paraId="7BE91762" w14:textId="7945C756" w:rsidR="006D33E0" w:rsidRPr="00B03DC3" w:rsidRDefault="00B03DC3" w:rsidP="00EF4EA3">
      <w:pPr>
        <w:spacing w:after="0" w:line="240" w:lineRule="auto"/>
        <w:jc w:val="both"/>
        <w:rPr>
          <w:rFonts w:ascii="Arial" w:hAnsi="Arial" w:cs="Arial"/>
        </w:rPr>
      </w:pPr>
      <w:r w:rsidRPr="00B03DC3">
        <w:rPr>
          <w:rFonts w:ascii="Arial" w:hAnsi="Arial" w:cs="Arial"/>
        </w:rPr>
        <w:t xml:space="preserve">Bogotá D.C., 23 </w:t>
      </w:r>
      <w:proofErr w:type="gramStart"/>
      <w:r w:rsidRPr="00B03DC3">
        <w:rPr>
          <w:rFonts w:ascii="Arial" w:hAnsi="Arial" w:cs="Arial"/>
        </w:rPr>
        <w:t>Septiembre</w:t>
      </w:r>
      <w:proofErr w:type="gramEnd"/>
      <w:r w:rsidRPr="00B03DC3">
        <w:rPr>
          <w:rFonts w:ascii="Arial" w:hAnsi="Arial" w:cs="Arial"/>
        </w:rPr>
        <w:t xml:space="preserve"> 2022</w:t>
      </w:r>
    </w:p>
    <w:p w14:paraId="04FD381D" w14:textId="77777777" w:rsidR="00B03DC3" w:rsidRDefault="00B03DC3" w:rsidP="00EF4EA3">
      <w:pPr>
        <w:spacing w:after="0" w:line="240" w:lineRule="auto"/>
        <w:jc w:val="both"/>
        <w:rPr>
          <w:rFonts w:ascii="Arial" w:eastAsia="Calibri" w:hAnsi="Arial" w:cs="Arial"/>
          <w:color w:val="000000"/>
          <w:szCs w:val="24"/>
          <w:lang w:val="es-ES_tradnl" w:eastAsia="es-ES_tradnl"/>
        </w:rPr>
      </w:pPr>
    </w:p>
    <w:p w14:paraId="459B5258" w14:textId="4FAEB1D5" w:rsidR="00EF4EA3" w:rsidRPr="00EF4EA3" w:rsidRDefault="00EF4EA3" w:rsidP="00EF4EA3">
      <w:pPr>
        <w:spacing w:after="0" w:line="240" w:lineRule="auto"/>
        <w:jc w:val="both"/>
        <w:rPr>
          <w:rFonts w:ascii="Arial" w:eastAsia="Calibri" w:hAnsi="Arial" w:cs="Arial"/>
          <w:color w:val="000000"/>
          <w:szCs w:val="24"/>
          <w:lang w:val="es-ES_tradnl" w:eastAsia="es-ES_tradnl"/>
        </w:rPr>
      </w:pPr>
      <w:r w:rsidRPr="00EF4EA3">
        <w:rPr>
          <w:rFonts w:ascii="Arial" w:eastAsia="Calibri" w:hAnsi="Arial" w:cs="Arial"/>
          <w:color w:val="000000"/>
          <w:szCs w:val="24"/>
          <w:lang w:val="es-ES_tradnl" w:eastAsia="es-ES_tradnl"/>
        </w:rPr>
        <w:t>Señora</w:t>
      </w:r>
    </w:p>
    <w:p w14:paraId="51A199AE" w14:textId="773EE3F0" w:rsidR="00EF4EA3" w:rsidRDefault="00EF4EA3" w:rsidP="00EF4EA3">
      <w:pPr>
        <w:spacing w:after="0" w:line="240" w:lineRule="auto"/>
        <w:jc w:val="both"/>
        <w:rPr>
          <w:rFonts w:ascii="Arial" w:eastAsia="Calibri" w:hAnsi="Arial" w:cs="Arial"/>
          <w:b/>
          <w:color w:val="000000"/>
          <w:szCs w:val="24"/>
          <w:lang w:val="es-ES_tradnl" w:eastAsia="es-ES_tradnl"/>
        </w:rPr>
      </w:pPr>
      <w:r>
        <w:rPr>
          <w:rFonts w:ascii="Arial" w:eastAsia="Calibri" w:hAnsi="Arial" w:cs="Arial"/>
          <w:b/>
          <w:color w:val="000000"/>
          <w:szCs w:val="24"/>
          <w:lang w:val="es-ES_tradnl" w:eastAsia="es-ES_tradnl"/>
        </w:rPr>
        <w:t>Karen Paola Gutiérrez Roca</w:t>
      </w:r>
    </w:p>
    <w:p w14:paraId="30A4B29E" w14:textId="0520874E" w:rsidR="00EF4EA3" w:rsidRPr="00EF4EA3" w:rsidRDefault="00A2453B" w:rsidP="00EF4EA3">
      <w:pPr>
        <w:spacing w:after="0" w:line="240" w:lineRule="auto"/>
        <w:jc w:val="both"/>
        <w:rPr>
          <w:rFonts w:ascii="Arial" w:eastAsia="Calibri" w:hAnsi="Arial" w:cs="Arial"/>
          <w:color w:val="000000"/>
          <w:szCs w:val="24"/>
          <w:lang w:val="es-ES_tradnl" w:eastAsia="es-ES_tradnl"/>
        </w:rPr>
      </w:pPr>
      <w:r>
        <w:rPr>
          <w:rFonts w:ascii="Arial" w:eastAsia="Calibri" w:hAnsi="Arial" w:cs="Arial"/>
          <w:color w:val="000000"/>
          <w:szCs w:val="24"/>
          <w:lang w:val="es-ES_tradnl" w:eastAsia="es-ES_tradnl"/>
        </w:rPr>
        <w:t xml:space="preserve">Bogotá D.C </w:t>
      </w:r>
    </w:p>
    <w:p w14:paraId="3F919143" w14:textId="77777777" w:rsidR="00EF4EA3" w:rsidRPr="00EF4EA3" w:rsidRDefault="00EF4EA3" w:rsidP="00EF4EA3">
      <w:pPr>
        <w:spacing w:after="0" w:line="240" w:lineRule="auto"/>
        <w:jc w:val="both"/>
        <w:rPr>
          <w:rFonts w:ascii="Arial" w:eastAsia="Calibri" w:hAnsi="Arial" w:cs="Arial"/>
          <w:color w:val="000000"/>
          <w:szCs w:val="24"/>
          <w:lang w:val="es-ES_tradnl" w:eastAsia="es-ES_tradnl"/>
        </w:rPr>
      </w:pPr>
    </w:p>
    <w:p w14:paraId="4E7E8424" w14:textId="26F50D0B" w:rsidR="00EF4EA3" w:rsidRPr="00EF4EA3" w:rsidRDefault="00EF4EA3" w:rsidP="00EF4EA3">
      <w:pPr>
        <w:spacing w:after="0" w:line="240" w:lineRule="auto"/>
        <w:jc w:val="center"/>
        <w:rPr>
          <w:rFonts w:ascii="Arial" w:eastAsia="Calibri" w:hAnsi="Arial" w:cs="Arial"/>
          <w:b/>
          <w:bCs/>
          <w:color w:val="000000"/>
          <w:szCs w:val="24"/>
          <w:lang w:val="es-ES_tradnl" w:eastAsia="es-ES_tradnl"/>
        </w:rPr>
      </w:pPr>
      <w:r w:rsidRPr="00EF4EA3">
        <w:rPr>
          <w:rFonts w:ascii="Arial" w:eastAsia="Calibri" w:hAnsi="Arial" w:cs="Arial"/>
          <w:b/>
          <w:bCs/>
          <w:color w:val="000000"/>
          <w:szCs w:val="24"/>
          <w:lang w:val="es-ES_tradnl" w:eastAsia="es-ES_tradnl"/>
        </w:rPr>
        <w:t xml:space="preserve">Concepto C ‒ </w:t>
      </w:r>
      <w:r w:rsidR="00A2453B">
        <w:rPr>
          <w:rFonts w:ascii="Arial" w:eastAsia="Calibri" w:hAnsi="Arial" w:cs="Arial"/>
          <w:b/>
          <w:bCs/>
          <w:color w:val="000000"/>
          <w:szCs w:val="24"/>
          <w:lang w:val="es-ES_tradnl" w:eastAsia="es-ES_tradnl"/>
        </w:rPr>
        <w:t>607</w:t>
      </w:r>
      <w:r w:rsidRPr="00EF4EA3">
        <w:rPr>
          <w:rFonts w:ascii="Arial" w:eastAsia="Calibri" w:hAnsi="Arial" w:cs="Arial"/>
          <w:b/>
          <w:bCs/>
          <w:color w:val="000000"/>
          <w:szCs w:val="24"/>
          <w:lang w:val="es-ES_tradnl" w:eastAsia="es-ES_tradnl"/>
        </w:rPr>
        <w:t xml:space="preserve"> de 2022</w:t>
      </w:r>
    </w:p>
    <w:p w14:paraId="531D7E37" w14:textId="77777777" w:rsidR="00EF4EA3" w:rsidRPr="00EF4EA3" w:rsidRDefault="00EF4EA3" w:rsidP="00EF4EA3">
      <w:pPr>
        <w:spacing w:after="0" w:line="240" w:lineRule="auto"/>
        <w:jc w:val="both"/>
        <w:rPr>
          <w:rFonts w:ascii="Arial" w:eastAsia="Calibri" w:hAnsi="Arial" w:cs="Arial"/>
          <w:color w:val="000000"/>
          <w:szCs w:val="24"/>
          <w:lang w:val="es-ES_tradnl" w:eastAsia="es-ES_tradnl"/>
        </w:rPr>
      </w:pPr>
    </w:p>
    <w:tbl>
      <w:tblPr>
        <w:tblStyle w:val="Tablaconcuadrcula"/>
        <w:tblW w:w="9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6"/>
        <w:gridCol w:w="6509"/>
      </w:tblGrid>
      <w:tr w:rsidR="00EF4EA3" w:rsidRPr="00EF4EA3" w14:paraId="18EFFADD" w14:textId="77777777" w:rsidTr="00086875">
        <w:trPr>
          <w:trHeight w:val="867"/>
        </w:trPr>
        <w:tc>
          <w:tcPr>
            <w:tcW w:w="2606" w:type="dxa"/>
          </w:tcPr>
          <w:p w14:paraId="2D7FF50C" w14:textId="77777777" w:rsidR="00EF4EA3" w:rsidRPr="00EF4EA3" w:rsidRDefault="00EF4EA3" w:rsidP="00EF4EA3">
            <w:pPr>
              <w:jc w:val="both"/>
              <w:rPr>
                <w:rFonts w:ascii="Arial" w:eastAsia="Calibri" w:hAnsi="Arial" w:cs="Arial"/>
                <w:color w:val="000000"/>
                <w:szCs w:val="24"/>
                <w:lang w:val="es-ES_tradnl" w:eastAsia="es-ES_tradnl"/>
              </w:rPr>
            </w:pPr>
            <w:r w:rsidRPr="00EF4EA3">
              <w:rPr>
                <w:rFonts w:ascii="Arial" w:eastAsia="Calibri" w:hAnsi="Arial" w:cs="Arial"/>
                <w:b/>
                <w:color w:val="000000"/>
                <w:szCs w:val="24"/>
                <w:lang w:val="es-ES_tradnl" w:eastAsia="es-ES_tradnl"/>
              </w:rPr>
              <w:t>Temas:</w:t>
            </w:r>
            <w:r w:rsidRPr="00EF4EA3">
              <w:rPr>
                <w:rFonts w:ascii="Arial" w:eastAsia="Calibri" w:hAnsi="Arial" w:cs="Arial"/>
                <w:color w:val="000000"/>
                <w:szCs w:val="24"/>
                <w:lang w:val="es-ES_tradnl" w:eastAsia="es-ES_tradnl"/>
              </w:rPr>
              <w:t xml:space="preserve">                                      </w:t>
            </w:r>
          </w:p>
        </w:tc>
        <w:tc>
          <w:tcPr>
            <w:tcW w:w="6509" w:type="dxa"/>
          </w:tcPr>
          <w:p w14:paraId="20E8AADF" w14:textId="2E403A1F" w:rsidR="00EF4EA3" w:rsidRPr="00EF4EA3" w:rsidRDefault="00EF4EA3" w:rsidP="00EF4EA3">
            <w:pPr>
              <w:jc w:val="both"/>
              <w:rPr>
                <w:rFonts w:ascii="Arial" w:eastAsia="Calibri" w:hAnsi="Arial" w:cs="Arial"/>
                <w:color w:val="000000"/>
                <w:szCs w:val="24"/>
                <w:highlight w:val="yellow"/>
                <w:lang w:val="es-ES_tradnl" w:eastAsia="es-ES_tradnl"/>
              </w:rPr>
            </w:pPr>
            <w:r w:rsidRPr="00EF4EA3">
              <w:rPr>
                <w:rFonts w:ascii="Arial" w:eastAsia="Calibri" w:hAnsi="Arial" w:cs="Arial"/>
                <w:bCs/>
                <w:szCs w:val="24"/>
                <w:lang w:val="es-ES_tradnl" w:eastAsia="es-ES_tradnl"/>
              </w:rPr>
              <w:t>PRINCIPIO DE PLANEACIÓN – Estudios previos / PRINCIPIO DE PLANEACIÓN – Análisis del sector económico y de los oferentes / PRECIO – Concepto – Estructuración</w:t>
            </w:r>
          </w:p>
        </w:tc>
      </w:tr>
      <w:tr w:rsidR="00EF4EA3" w:rsidRPr="00EF4EA3" w14:paraId="22C501A3" w14:textId="77777777" w:rsidTr="00086875">
        <w:trPr>
          <w:trHeight w:val="573"/>
        </w:trPr>
        <w:tc>
          <w:tcPr>
            <w:tcW w:w="2606" w:type="dxa"/>
          </w:tcPr>
          <w:p w14:paraId="4977BF8F" w14:textId="77777777" w:rsidR="00EF4EA3" w:rsidRPr="00EF4EA3" w:rsidRDefault="00EF4EA3" w:rsidP="00086875">
            <w:pPr>
              <w:jc w:val="both"/>
              <w:rPr>
                <w:rFonts w:ascii="Arial" w:eastAsia="Calibri" w:hAnsi="Arial" w:cs="Arial"/>
                <w:b/>
                <w:color w:val="000000"/>
                <w:szCs w:val="24"/>
                <w:lang w:val="es-ES_tradnl" w:eastAsia="es-ES_tradnl"/>
              </w:rPr>
            </w:pPr>
            <w:r w:rsidRPr="00EF4EA3">
              <w:rPr>
                <w:rFonts w:ascii="Arial" w:eastAsia="Calibri" w:hAnsi="Arial" w:cs="Arial"/>
                <w:b/>
                <w:color w:val="000000"/>
                <w:szCs w:val="24"/>
                <w:lang w:val="es-ES_tradnl" w:eastAsia="es-ES_tradnl"/>
              </w:rPr>
              <w:lastRenderedPageBreak/>
              <w:t>Radicación:</w:t>
            </w:r>
            <w:r w:rsidRPr="00EF4EA3">
              <w:rPr>
                <w:rFonts w:ascii="Arial" w:eastAsia="Calibri" w:hAnsi="Arial" w:cs="Arial"/>
                <w:color w:val="000000"/>
                <w:szCs w:val="24"/>
                <w:lang w:val="es-ES_tradnl" w:eastAsia="es-ES_tradnl"/>
              </w:rPr>
              <w:t xml:space="preserve">                              </w:t>
            </w:r>
          </w:p>
        </w:tc>
        <w:tc>
          <w:tcPr>
            <w:tcW w:w="6509" w:type="dxa"/>
          </w:tcPr>
          <w:p w14:paraId="11FCB189" w14:textId="1644880F" w:rsidR="00EF4EA3" w:rsidRPr="00EF4EA3" w:rsidRDefault="00EF4EA3" w:rsidP="00086875">
            <w:pPr>
              <w:jc w:val="both"/>
              <w:rPr>
                <w:rFonts w:ascii="Arial" w:eastAsia="Calibri" w:hAnsi="Arial" w:cs="Arial"/>
                <w:color w:val="000000"/>
                <w:szCs w:val="24"/>
                <w:lang w:val="es-ES_tradnl" w:eastAsia="es-ES_tradnl"/>
              </w:rPr>
            </w:pPr>
            <w:r w:rsidRPr="00EF4EA3">
              <w:rPr>
                <w:rFonts w:ascii="Arial" w:eastAsia="Calibri" w:hAnsi="Arial" w:cs="Arial"/>
                <w:color w:val="000000"/>
                <w:szCs w:val="24"/>
                <w:lang w:val="es-ES_tradnl" w:eastAsia="es-ES_tradnl"/>
              </w:rPr>
              <w:t xml:space="preserve">Respuesta a consulta # </w:t>
            </w:r>
            <w:r w:rsidR="00246CEE" w:rsidRPr="00246CEE">
              <w:rPr>
                <w:rFonts w:ascii="Arial" w:eastAsia="Calibri" w:hAnsi="Arial" w:cs="Arial"/>
                <w:color w:val="000000"/>
                <w:szCs w:val="24"/>
                <w:lang w:val="es-ES_tradnl" w:eastAsia="es-ES_tradnl"/>
              </w:rPr>
              <w:t>P20220811007969</w:t>
            </w:r>
          </w:p>
          <w:p w14:paraId="26338D6B" w14:textId="77777777" w:rsidR="00EF4EA3" w:rsidRPr="00EF4EA3" w:rsidRDefault="00EF4EA3" w:rsidP="00086875">
            <w:pPr>
              <w:jc w:val="both"/>
              <w:rPr>
                <w:rFonts w:ascii="Arial" w:eastAsia="Calibri" w:hAnsi="Arial" w:cs="Arial"/>
                <w:color w:val="000000"/>
                <w:szCs w:val="24"/>
                <w:lang w:val="es-ES_tradnl" w:eastAsia="es-ES_tradnl"/>
              </w:rPr>
            </w:pPr>
            <w:r w:rsidRPr="00EF4EA3">
              <w:rPr>
                <w:rFonts w:ascii="Arial" w:eastAsia="Calibri" w:hAnsi="Arial" w:cs="Arial"/>
                <w:color w:val="000000"/>
                <w:szCs w:val="24"/>
                <w:lang w:val="es-ES_tradnl" w:eastAsia="es-ES_tradnl"/>
              </w:rPr>
              <w:t xml:space="preserve"> </w:t>
            </w:r>
          </w:p>
        </w:tc>
      </w:tr>
    </w:tbl>
    <w:p w14:paraId="7B1EBAD1" w14:textId="774C537A" w:rsidR="00EF4EA3" w:rsidRPr="00EF4EA3" w:rsidRDefault="00EF4EA3" w:rsidP="006D33E0">
      <w:pPr>
        <w:spacing w:after="0" w:line="240" w:lineRule="auto"/>
        <w:jc w:val="both"/>
        <w:rPr>
          <w:rFonts w:ascii="Arial" w:eastAsia="Calibri" w:hAnsi="Arial" w:cs="Arial"/>
          <w:bCs/>
          <w:color w:val="000000"/>
          <w:szCs w:val="24"/>
          <w:lang w:val="es-ES_tradnl" w:eastAsia="es-ES_tradnl"/>
        </w:rPr>
      </w:pPr>
      <w:r w:rsidRPr="00EF4EA3">
        <w:rPr>
          <w:rFonts w:ascii="Arial" w:eastAsia="Calibri" w:hAnsi="Arial" w:cs="Arial"/>
          <w:color w:val="000000"/>
          <w:szCs w:val="24"/>
          <w:lang w:val="es-ES_tradnl" w:eastAsia="es-ES_tradnl"/>
        </w:rPr>
        <w:t>Estimada</w:t>
      </w:r>
      <w:r w:rsidR="00A2453B" w:rsidRPr="00A2453B">
        <w:rPr>
          <w:rFonts w:ascii="Arial" w:eastAsia="Calibri" w:hAnsi="Arial" w:cs="Arial"/>
          <w:b/>
          <w:color w:val="000000"/>
          <w:szCs w:val="24"/>
          <w:lang w:val="es-ES_tradnl" w:eastAsia="es-ES_tradnl"/>
        </w:rPr>
        <w:t xml:space="preserve"> </w:t>
      </w:r>
      <w:r w:rsidR="00A2453B" w:rsidRPr="00A2453B">
        <w:rPr>
          <w:rFonts w:ascii="Arial" w:eastAsia="Calibri" w:hAnsi="Arial" w:cs="Arial"/>
          <w:bCs/>
          <w:color w:val="000000"/>
          <w:szCs w:val="24"/>
          <w:lang w:val="es-ES_tradnl" w:eastAsia="es-ES_tradnl"/>
        </w:rPr>
        <w:t>Gutiérrez Roca</w:t>
      </w:r>
      <w:r w:rsidRPr="00EF4EA3">
        <w:rPr>
          <w:rFonts w:ascii="Arial" w:eastAsia="Calibri" w:hAnsi="Arial" w:cs="Arial"/>
          <w:bCs/>
          <w:color w:val="000000"/>
          <w:szCs w:val="24"/>
          <w:lang w:val="es-ES_tradnl" w:eastAsia="es-ES_tradnl"/>
        </w:rPr>
        <w:t>:</w:t>
      </w:r>
    </w:p>
    <w:p w14:paraId="64F1EFAA" w14:textId="77777777" w:rsidR="00EF4EA3" w:rsidRPr="00EF4EA3" w:rsidRDefault="00EF4EA3" w:rsidP="00EF4EA3">
      <w:pPr>
        <w:spacing w:after="0" w:line="240" w:lineRule="auto"/>
        <w:jc w:val="both"/>
        <w:rPr>
          <w:rFonts w:ascii="Arial" w:eastAsia="Calibri" w:hAnsi="Arial" w:cs="Arial"/>
          <w:color w:val="000000"/>
          <w:szCs w:val="24"/>
          <w:lang w:val="es-ES_tradnl" w:eastAsia="es-ES_tradnl"/>
        </w:rPr>
      </w:pPr>
    </w:p>
    <w:p w14:paraId="308443D2" w14:textId="2DA96614" w:rsidR="00EF4EA3" w:rsidRPr="00EF4EA3" w:rsidRDefault="00EF4EA3" w:rsidP="00EF4EA3">
      <w:pPr>
        <w:spacing w:after="0" w:line="276" w:lineRule="auto"/>
        <w:jc w:val="both"/>
        <w:rPr>
          <w:rFonts w:ascii="Arial" w:eastAsia="Calibri" w:hAnsi="Arial" w:cs="Arial"/>
          <w:color w:val="000000"/>
          <w:szCs w:val="24"/>
          <w:lang w:val="es-ES_tradnl" w:eastAsia="es-ES_tradnl"/>
        </w:rPr>
      </w:pPr>
      <w:r w:rsidRPr="00EF4EA3">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A2453B">
        <w:rPr>
          <w:rFonts w:ascii="Arial" w:eastAsia="Calibri" w:hAnsi="Arial" w:cs="Arial"/>
          <w:color w:val="000000"/>
          <w:szCs w:val="24"/>
          <w:lang w:val="es-ES_tradnl" w:eastAsia="es-ES_tradnl"/>
        </w:rPr>
        <w:t>11</w:t>
      </w:r>
      <w:r w:rsidRPr="00EF4EA3">
        <w:rPr>
          <w:rFonts w:ascii="Arial" w:eastAsia="Calibri" w:hAnsi="Arial" w:cs="Arial"/>
          <w:color w:val="000000"/>
          <w:szCs w:val="24"/>
          <w:lang w:val="es-ES_tradnl" w:eastAsia="es-ES_tradnl"/>
        </w:rPr>
        <w:t xml:space="preserve"> de </w:t>
      </w:r>
      <w:r w:rsidR="00A2453B">
        <w:rPr>
          <w:rFonts w:ascii="Arial" w:eastAsia="Calibri" w:hAnsi="Arial" w:cs="Arial"/>
          <w:color w:val="000000"/>
          <w:szCs w:val="24"/>
          <w:lang w:val="es-ES_tradnl" w:eastAsia="es-ES_tradnl"/>
        </w:rPr>
        <w:t>agosto</w:t>
      </w:r>
      <w:r w:rsidRPr="00EF4EA3">
        <w:rPr>
          <w:rFonts w:ascii="Arial" w:eastAsia="Calibri" w:hAnsi="Arial" w:cs="Arial"/>
          <w:color w:val="000000"/>
          <w:szCs w:val="24"/>
          <w:lang w:val="es-ES_tradnl" w:eastAsia="es-ES_tradnl"/>
        </w:rPr>
        <w:t xml:space="preserve"> del 2022.</w:t>
      </w:r>
    </w:p>
    <w:p w14:paraId="5D2A9AD1" w14:textId="77777777" w:rsidR="00EF4EA3" w:rsidRPr="00EF4EA3" w:rsidRDefault="00EF4EA3" w:rsidP="00EF4EA3">
      <w:pPr>
        <w:spacing w:after="0" w:line="276" w:lineRule="auto"/>
        <w:jc w:val="both"/>
        <w:rPr>
          <w:rFonts w:ascii="Arial" w:eastAsia="Calibri" w:hAnsi="Arial" w:cs="Arial"/>
          <w:b/>
          <w:color w:val="000000"/>
          <w:szCs w:val="24"/>
          <w:lang w:val="es-ES_tradnl" w:eastAsia="es-ES_tradnl"/>
        </w:rPr>
      </w:pPr>
    </w:p>
    <w:p w14:paraId="4682215C" w14:textId="77777777" w:rsidR="00EF4EA3" w:rsidRPr="00EF4EA3" w:rsidRDefault="00EF4EA3" w:rsidP="00EF4EA3">
      <w:pPr>
        <w:numPr>
          <w:ilvl w:val="0"/>
          <w:numId w:val="1"/>
        </w:numPr>
        <w:tabs>
          <w:tab w:val="left" w:pos="0"/>
          <w:tab w:val="left" w:pos="142"/>
          <w:tab w:val="left" w:pos="284"/>
        </w:tabs>
        <w:spacing w:after="0" w:line="276" w:lineRule="auto"/>
        <w:contextualSpacing/>
        <w:jc w:val="both"/>
        <w:rPr>
          <w:rFonts w:ascii="Arial" w:eastAsia="Calibri" w:hAnsi="Arial" w:cs="Arial"/>
          <w:b/>
          <w:color w:val="000000"/>
          <w:lang w:val="es-ES_tradnl"/>
        </w:rPr>
      </w:pPr>
      <w:r w:rsidRPr="00EF4EA3">
        <w:rPr>
          <w:rFonts w:ascii="Arial" w:eastAsia="Calibri" w:hAnsi="Arial" w:cs="Arial"/>
          <w:b/>
          <w:color w:val="000000"/>
          <w:lang w:val="es-ES_tradnl"/>
        </w:rPr>
        <w:t xml:space="preserve">Problema planteado </w:t>
      </w:r>
    </w:p>
    <w:p w14:paraId="0946B3AC" w14:textId="77777777" w:rsidR="00EF4EA3" w:rsidRPr="00EF4EA3" w:rsidRDefault="00EF4EA3" w:rsidP="00EF4EA3">
      <w:pPr>
        <w:tabs>
          <w:tab w:val="left" w:pos="426"/>
        </w:tabs>
        <w:spacing w:after="0" w:line="276" w:lineRule="auto"/>
        <w:jc w:val="both"/>
        <w:rPr>
          <w:rFonts w:ascii="Arial" w:eastAsia="Calibri" w:hAnsi="Arial" w:cs="Arial"/>
          <w:b/>
          <w:color w:val="000000"/>
          <w:szCs w:val="24"/>
          <w:lang w:val="es-ES_tradnl" w:eastAsia="es-ES_tradnl"/>
        </w:rPr>
      </w:pPr>
    </w:p>
    <w:p w14:paraId="78677A83" w14:textId="7C15AAA1" w:rsidR="00EF4EA3" w:rsidRPr="00EF4EA3" w:rsidRDefault="00EF4EA3" w:rsidP="00EF4EA3">
      <w:pPr>
        <w:spacing w:after="0" w:line="276" w:lineRule="auto"/>
        <w:jc w:val="both"/>
        <w:rPr>
          <w:rFonts w:ascii="Arial" w:eastAsia="Times New Roman" w:hAnsi="Arial" w:cs="Arial"/>
          <w:color w:val="000000"/>
          <w:szCs w:val="24"/>
          <w:lang w:val="es-ES_tradnl" w:eastAsia="es-ES_tradnl"/>
        </w:rPr>
      </w:pPr>
      <w:r w:rsidRPr="00EF4EA3">
        <w:rPr>
          <w:rFonts w:ascii="Arial" w:eastAsia="Times New Roman" w:hAnsi="Arial" w:cs="Arial"/>
          <w:color w:val="000000"/>
          <w:szCs w:val="24"/>
          <w:lang w:val="es-ES_tradnl" w:eastAsia="es-ES_tradnl"/>
        </w:rPr>
        <w:t>Usted formula la siguiente pregunta</w:t>
      </w:r>
      <w:r w:rsidR="00A2453B" w:rsidRPr="00A2453B">
        <w:rPr>
          <w:rFonts w:ascii="Arial" w:eastAsia="Times New Roman" w:hAnsi="Arial" w:cs="Arial"/>
          <w:color w:val="000000"/>
          <w:szCs w:val="24"/>
          <w:lang w:val="es-ES_tradnl" w:eastAsia="es-ES_tradnl"/>
        </w:rPr>
        <w:t>: «</w:t>
      </w:r>
      <w:r w:rsidR="00A2453B" w:rsidRPr="00A2453B">
        <w:rPr>
          <w:rFonts w:ascii="Arial" w:hAnsi="Arial" w:cs="Arial"/>
        </w:rPr>
        <w:t xml:space="preserve">¿Es posible fijar como precio de referencia un valor que se obtuvo del resultado de un evento de subasta en el cual se presentaron lances considerables?». </w:t>
      </w:r>
    </w:p>
    <w:p w14:paraId="34D3FA29" w14:textId="77777777" w:rsidR="00EF4EA3" w:rsidRPr="00EF4EA3" w:rsidRDefault="00EF4EA3" w:rsidP="00EF4EA3">
      <w:pPr>
        <w:spacing w:after="0" w:line="276" w:lineRule="auto"/>
        <w:jc w:val="both"/>
        <w:rPr>
          <w:rFonts w:ascii="Arial" w:eastAsia="Times New Roman" w:hAnsi="Arial" w:cs="Arial"/>
          <w:color w:val="000000"/>
          <w:szCs w:val="24"/>
          <w:lang w:val="es-ES_tradnl" w:eastAsia="es-ES_tradnl"/>
        </w:rPr>
      </w:pPr>
    </w:p>
    <w:p w14:paraId="54F59FB3" w14:textId="77777777" w:rsidR="00EF4EA3" w:rsidRPr="00EF4EA3" w:rsidRDefault="00EF4EA3" w:rsidP="00EF4EA3">
      <w:pPr>
        <w:numPr>
          <w:ilvl w:val="0"/>
          <w:numId w:val="1"/>
        </w:numPr>
        <w:tabs>
          <w:tab w:val="left" w:pos="0"/>
          <w:tab w:val="left" w:pos="284"/>
        </w:tabs>
        <w:spacing w:after="0" w:line="240" w:lineRule="auto"/>
        <w:contextualSpacing/>
        <w:jc w:val="both"/>
        <w:rPr>
          <w:rFonts w:ascii="Arial" w:eastAsia="Calibri" w:hAnsi="Arial" w:cs="Arial"/>
          <w:b/>
          <w:color w:val="000000"/>
          <w:lang w:val="es-ES_tradnl"/>
        </w:rPr>
      </w:pPr>
      <w:r w:rsidRPr="00EF4EA3">
        <w:rPr>
          <w:rFonts w:ascii="Arial" w:eastAsia="Calibri" w:hAnsi="Arial" w:cs="Arial"/>
          <w:b/>
          <w:color w:val="000000"/>
          <w:lang w:val="es-ES_tradnl"/>
        </w:rPr>
        <w:t>Consideraciones</w:t>
      </w:r>
    </w:p>
    <w:p w14:paraId="6DFC78A1" w14:textId="77777777" w:rsidR="00EF4EA3" w:rsidRPr="00EF4EA3" w:rsidRDefault="00EF4EA3" w:rsidP="00EF4EA3">
      <w:pPr>
        <w:spacing w:after="0" w:line="276" w:lineRule="auto"/>
        <w:jc w:val="both"/>
        <w:rPr>
          <w:rFonts w:ascii="Arial" w:eastAsia="Calibri" w:hAnsi="Arial" w:cs="Arial"/>
          <w:color w:val="000000"/>
          <w:sz w:val="20"/>
          <w:szCs w:val="20"/>
          <w:lang w:val="es-ES_tradnl" w:eastAsia="es-ES_tradnl"/>
        </w:rPr>
      </w:pPr>
    </w:p>
    <w:p w14:paraId="09ACBA31" w14:textId="3F6C2451" w:rsidR="00EF4EA3" w:rsidRPr="00EF4EA3" w:rsidRDefault="00EF4EA3" w:rsidP="00EF4EA3">
      <w:pPr>
        <w:spacing w:after="120" w:line="276" w:lineRule="auto"/>
        <w:jc w:val="both"/>
        <w:rPr>
          <w:rFonts w:ascii="Arial" w:eastAsia="Times New Roman" w:hAnsi="Arial" w:cs="Arial"/>
          <w:bCs/>
          <w:szCs w:val="24"/>
          <w:lang w:eastAsia="es-ES_tradnl"/>
        </w:rPr>
      </w:pPr>
      <w:r w:rsidRPr="00EF4EA3">
        <w:rPr>
          <w:rFonts w:ascii="Arial" w:eastAsia="Calibri" w:hAnsi="Arial" w:cs="Arial"/>
          <w:color w:val="000000"/>
          <w:szCs w:val="24"/>
          <w:lang w:val="es-ES_tradnl" w:eastAsia="en-GB"/>
        </w:rPr>
        <w:t xml:space="preserve">En primer lugar, se </w:t>
      </w:r>
      <w:r w:rsidR="000864EE">
        <w:rPr>
          <w:rFonts w:ascii="Arial" w:eastAsia="Calibri" w:hAnsi="Arial" w:cs="Arial"/>
          <w:color w:val="000000"/>
          <w:szCs w:val="24"/>
          <w:lang w:val="es-ES_tradnl" w:eastAsia="en-GB"/>
        </w:rPr>
        <w:t>a</w:t>
      </w:r>
      <w:r w:rsidRPr="00EF4EA3">
        <w:rPr>
          <w:rFonts w:ascii="Arial" w:eastAsia="Calibri" w:hAnsi="Arial" w:cs="Arial"/>
          <w:color w:val="000000"/>
          <w:szCs w:val="24"/>
          <w:lang w:val="es-ES_tradnl" w:eastAsia="en-GB"/>
        </w:rPr>
        <w:t xml:space="preserve">clara que </w:t>
      </w:r>
      <w:r w:rsidRPr="00EF4EA3">
        <w:rPr>
          <w:rFonts w:ascii="Arial" w:eastAsia="Times New Roman" w:hAnsi="Arial" w:cs="Arial"/>
          <w:bCs/>
          <w:szCs w:val="24"/>
          <w:lang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EF4EA3">
        <w:rPr>
          <w:rFonts w:ascii="Arial" w:eastAsia="Times New Roman" w:hAnsi="Arial" w:cs="Arial"/>
          <w:bCs/>
          <w:szCs w:val="24"/>
          <w:lang w:eastAsia="es-ES_tradnl"/>
        </w:rPr>
        <w:t xml:space="preserve"> </w:t>
      </w:r>
      <w:r w:rsidRPr="00EF4EA3">
        <w:rPr>
          <w:rFonts w:ascii="Arial" w:eastAsia="Times New Roman" w:hAnsi="Arial" w:cs="Arial"/>
          <w:szCs w:val="24"/>
          <w:lang w:val="es-ES" w:eastAsia="es-ES_tradnl"/>
        </w:rPr>
        <w:t>Es necesario tener en cuenta que</w:t>
      </w:r>
      <w:r w:rsidR="000864EE">
        <w:rPr>
          <w:rFonts w:ascii="Arial" w:eastAsia="Times New Roman" w:hAnsi="Arial" w:cs="Arial"/>
          <w:szCs w:val="24"/>
          <w:lang w:val="es-ES" w:eastAsia="es-ES_tradnl"/>
        </w:rPr>
        <w:t>,</w:t>
      </w:r>
      <w:r w:rsidRPr="00EF4EA3">
        <w:rPr>
          <w:rFonts w:ascii="Arial" w:eastAsia="Times New Roman" w:hAnsi="Arial" w:cs="Arial"/>
          <w:szCs w:val="24"/>
          <w:lang w:val="es-ES" w:eastAsia="es-ES_tradnl"/>
        </w:rPr>
        <w:t xml:space="preserve"> </w:t>
      </w:r>
      <w:bookmarkStart w:id="4" w:name="_Hlk61026958"/>
      <w:r w:rsidRPr="00EF4EA3">
        <w:rPr>
          <w:rFonts w:ascii="Arial" w:eastAsia="Times New Roman" w:hAnsi="Arial" w:cs="Arial"/>
          <w:szCs w:val="24"/>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F4EA3">
        <w:rPr>
          <w:rFonts w:ascii="Arial" w:eastAsia="Times New Roman" w:hAnsi="Arial" w:cs="Arial"/>
          <w:bCs/>
          <w:szCs w:val="24"/>
          <w:lang w:eastAsia="es-ES_tradnl"/>
        </w:rPr>
        <w:t xml:space="preserve"> de todos los partícipes de la contratación estatal.</w:t>
      </w:r>
    </w:p>
    <w:p w14:paraId="426FAD76" w14:textId="78A84A43" w:rsidR="00EF4EA3" w:rsidRPr="00EF4EA3" w:rsidRDefault="00EF4EA3" w:rsidP="00EF4EA3">
      <w:pPr>
        <w:spacing w:after="120" w:line="276" w:lineRule="auto"/>
        <w:ind w:firstLine="709"/>
        <w:jc w:val="both"/>
        <w:rPr>
          <w:rFonts w:ascii="Arial" w:eastAsia="Calibri" w:hAnsi="Arial" w:cs="Arial"/>
          <w:color w:val="000000"/>
          <w:szCs w:val="24"/>
          <w:lang w:val="es-ES" w:eastAsia="es-ES_tradnl"/>
        </w:rPr>
      </w:pPr>
      <w:r w:rsidRPr="00EF4EA3">
        <w:rPr>
          <w:rFonts w:ascii="Arial" w:eastAsia="Times New Roman" w:hAnsi="Arial" w:cs="Arial"/>
          <w:szCs w:val="24"/>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F4EA3">
        <w:rPr>
          <w:rFonts w:ascii="Arial" w:eastAsia="Times New Roman" w:hAnsi="Arial" w:cs="Arial"/>
          <w:szCs w:val="24"/>
          <w:vertAlign w:val="superscript"/>
          <w:lang w:val="es-ES" w:eastAsia="es-ES_tradnl"/>
        </w:rPr>
        <w:footnoteReference w:id="1"/>
      </w:r>
      <w:r w:rsidRPr="00EF4EA3">
        <w:rPr>
          <w:rFonts w:ascii="Arial" w:eastAsia="Times New Roman" w:hAnsi="Arial" w:cs="Arial"/>
          <w:szCs w:val="24"/>
          <w:lang w:val="es-ES" w:eastAsia="es-ES_tradnl"/>
        </w:rPr>
        <w:t>. Esta competencia de interpretación de normas generales, por definición, no puede extenderse a la resolución de controversias, ni a brindar asesorías sobre casos puntuales.</w:t>
      </w:r>
      <w:bookmarkEnd w:id="4"/>
      <w:r w:rsidRPr="00EF4EA3">
        <w:rPr>
          <w:rFonts w:ascii="Arial" w:eastAsia="Times New Roman" w:hAnsi="Arial" w:cs="Arial"/>
          <w:szCs w:val="24"/>
          <w:lang w:val="es-ES" w:eastAsia="es-ES_tradnl"/>
        </w:rPr>
        <w:t xml:space="preserve"> En este contexto, previo concepto de sus órganos asesores, la solución de estos temas </w:t>
      </w:r>
      <w:r w:rsidRPr="00EF4EA3">
        <w:rPr>
          <w:rFonts w:ascii="Arial" w:eastAsia="Times New Roman" w:hAnsi="Arial" w:cs="Arial"/>
          <w:szCs w:val="24"/>
          <w:lang w:val="es-ES" w:eastAsia="es-ES_tradnl"/>
        </w:rPr>
        <w:lastRenderedPageBreak/>
        <w:t xml:space="preserve">corresponde a la entidad que adelanta el procedimiento de selección y, en caso de conflicto, a las autoridades judiciales, fiscales y disciplinarias. </w:t>
      </w:r>
      <w:bookmarkEnd w:id="2"/>
      <w:bookmarkEnd w:id="3"/>
      <w:r w:rsidRPr="00EF4EA3">
        <w:rPr>
          <w:rFonts w:ascii="Arial" w:eastAsia="Calibri" w:hAnsi="Arial" w:cs="Arial"/>
          <w:color w:val="000000"/>
          <w:szCs w:val="24"/>
          <w:lang w:eastAsia="es-ES_tradnl"/>
        </w:rPr>
        <w:t xml:space="preserve">Sin perjuicio de lo anterior, </w:t>
      </w:r>
      <w:r w:rsidRPr="00EF4EA3">
        <w:rPr>
          <w:rFonts w:ascii="Arial" w:eastAsia="Calibri" w:hAnsi="Arial" w:cs="Arial"/>
          <w:color w:val="000000"/>
          <w:szCs w:val="24"/>
          <w:lang w:val="es-ES" w:eastAsia="es-ES_tradnl"/>
        </w:rPr>
        <w:t xml:space="preserve">la Subdirección, dentro de los límites de sus </w:t>
      </w:r>
      <w:r w:rsidRPr="00B03DC3">
        <w:rPr>
          <w:rFonts w:ascii="Arial" w:eastAsia="Calibri" w:hAnsi="Arial" w:cs="Arial"/>
          <w:color w:val="000000"/>
          <w:szCs w:val="24"/>
          <w:lang w:val="es-ES" w:eastAsia="es-ES_tradnl"/>
        </w:rPr>
        <w:t>atribuciones resolverá la consulta conforme a las normas generales en materia de contratación estatal.</w:t>
      </w:r>
      <w:r w:rsidR="000864EE" w:rsidRPr="00B03DC3">
        <w:rPr>
          <w:rFonts w:ascii="Arial" w:eastAsia="Calibri" w:hAnsi="Arial" w:cs="Arial"/>
          <w:bCs/>
          <w:color w:val="000000" w:themeColor="text1"/>
        </w:rPr>
        <w:t xml:space="preserve"> Para estos efectos, </w:t>
      </w:r>
      <w:r w:rsidR="000864EE" w:rsidRPr="00B03DC3">
        <w:rPr>
          <w:rFonts w:ascii="Arial" w:eastAsia="Calibri" w:hAnsi="Arial" w:cs="Arial"/>
          <w:bCs/>
          <w:color w:val="000000" w:themeColor="text1"/>
          <w:lang w:val="es-ES"/>
        </w:rPr>
        <w:t xml:space="preserve">se analizarán los siguientes temas: i) el principio de planeación </w:t>
      </w:r>
      <w:r w:rsidR="00554071" w:rsidRPr="00B03DC3">
        <w:rPr>
          <w:rFonts w:ascii="Arial" w:hAnsi="Arial" w:cs="Arial"/>
          <w:bCs/>
          <w:lang w:val="es-ES"/>
        </w:rPr>
        <w:t>y los estudios y documentos previos del contrato</w:t>
      </w:r>
      <w:r w:rsidR="000864EE" w:rsidRPr="00B03DC3">
        <w:rPr>
          <w:rFonts w:ascii="Arial" w:eastAsia="Calibri" w:hAnsi="Arial" w:cs="Arial"/>
          <w:lang w:val="es-ES_tradnl"/>
        </w:rPr>
        <w:t xml:space="preserve"> y; </w:t>
      </w:r>
      <w:proofErr w:type="spellStart"/>
      <w:r w:rsidR="000864EE" w:rsidRPr="00B03DC3">
        <w:rPr>
          <w:rFonts w:ascii="Arial" w:eastAsia="Calibri" w:hAnsi="Arial" w:cs="Arial"/>
          <w:lang w:val="es-ES_tradnl"/>
        </w:rPr>
        <w:t>ii</w:t>
      </w:r>
      <w:proofErr w:type="spellEnd"/>
      <w:r w:rsidR="000864EE" w:rsidRPr="00B03DC3">
        <w:rPr>
          <w:rFonts w:ascii="Arial" w:eastAsia="Calibri" w:hAnsi="Arial" w:cs="Arial"/>
          <w:lang w:val="es-ES_tradnl"/>
        </w:rPr>
        <w:t xml:space="preserve">) </w:t>
      </w:r>
      <w:r w:rsidR="00554071" w:rsidRPr="00B03DC3">
        <w:rPr>
          <w:rFonts w:ascii="Arial" w:eastAsia="Calibri" w:hAnsi="Arial" w:cs="Arial"/>
          <w:color w:val="000000"/>
          <w:lang w:val="es-ES_tradnl" w:eastAsia="en-GB"/>
        </w:rPr>
        <w:t>la autonomía de las entidades estatales para calcular el precio en los contratos estatales</w:t>
      </w:r>
      <w:r w:rsidR="000864EE" w:rsidRPr="00B03DC3">
        <w:rPr>
          <w:rFonts w:ascii="Arial" w:eastAsia="Calibri" w:hAnsi="Arial" w:cs="Arial"/>
          <w:lang w:val="es-ES_tradnl"/>
        </w:rPr>
        <w:t>.</w:t>
      </w:r>
    </w:p>
    <w:p w14:paraId="59BB2786" w14:textId="3E45419E" w:rsidR="00EF4EA3" w:rsidRPr="00EF4EA3" w:rsidRDefault="00EF4EA3" w:rsidP="00B03DC3">
      <w:pPr>
        <w:spacing w:after="0" w:line="276" w:lineRule="auto"/>
        <w:ind w:firstLine="709"/>
        <w:jc w:val="both"/>
        <w:rPr>
          <w:rFonts w:ascii="Arial" w:eastAsia="Calibri" w:hAnsi="Arial" w:cs="Arial"/>
          <w:color w:val="000000"/>
          <w:lang w:val="es-ES_tradnl" w:eastAsia="es-ES_tradnl"/>
        </w:rPr>
      </w:pPr>
      <w:r w:rsidRPr="00EF4EA3">
        <w:rPr>
          <w:rFonts w:ascii="Arial" w:eastAsia="Calibri" w:hAnsi="Arial" w:cs="Arial"/>
          <w:color w:val="000000"/>
          <w:lang w:val="es-ES_tradnl" w:eastAsia="es-ES_tradnl"/>
        </w:rPr>
        <w:t xml:space="preserve">La Agencia Nacional de Contratación Pública – Colombia Compra Eficiente se pronunció, en términos generales, sobre el deber de elaborar análisis del sector frente a los procesos de contratación en los </w:t>
      </w:r>
      <w:r w:rsidRPr="00EF4EA3">
        <w:rPr>
          <w:rFonts w:ascii="Arial" w:eastAsia="Calibri" w:hAnsi="Arial" w:cs="Arial"/>
          <w:szCs w:val="24"/>
          <w:lang w:val="es-ES_tradnl" w:eastAsia="es-ES_tradnl"/>
        </w:rPr>
        <w:t xml:space="preserve">Conceptos 2202013000000037 del 7 de enero de 2020 y C-223 del 29 de abril de 2020 –radicado No. 2202013000003261– y C–148 de 2021. Igualmente, en los Conceptos C-387 del 23 de junio de 2020 –radicado No. 2202013000005289–, </w:t>
      </w:r>
      <w:r w:rsidRPr="00EF4EA3">
        <w:rPr>
          <w:rFonts w:ascii="Arial" w:eastAsia="Calibri" w:hAnsi="Arial" w:cs="Arial"/>
          <w:color w:val="0B1107"/>
          <w:szCs w:val="24"/>
          <w:lang w:eastAsia="es-ES_tradnl"/>
        </w:rPr>
        <w:t xml:space="preserve">C-415 del 7 de julio </w:t>
      </w:r>
      <w:r w:rsidRPr="00EF4EA3">
        <w:rPr>
          <w:rFonts w:ascii="Arial" w:eastAsia="Calibri" w:hAnsi="Arial" w:cs="Arial"/>
          <w:szCs w:val="24"/>
          <w:lang w:val="es-ES_tradnl" w:eastAsia="es-ES_tradnl"/>
        </w:rPr>
        <w:t xml:space="preserve">–radicado No. </w:t>
      </w:r>
      <w:r w:rsidRPr="00EF4EA3">
        <w:rPr>
          <w:rFonts w:ascii="Arial" w:eastAsia="Times New Roman" w:hAnsi="Arial" w:cs="Arial"/>
          <w:color w:val="000000"/>
          <w:szCs w:val="24"/>
          <w:lang w:eastAsia="es-ES_tradnl"/>
        </w:rPr>
        <w:t>2202013000005931–</w:t>
      </w:r>
      <w:r w:rsidRPr="00EF4EA3">
        <w:rPr>
          <w:rFonts w:ascii="Arial" w:eastAsia="Calibri" w:hAnsi="Arial" w:cs="Arial"/>
          <w:color w:val="0B1107"/>
          <w:szCs w:val="24"/>
          <w:lang w:eastAsia="es-ES_tradnl"/>
        </w:rPr>
        <w:t xml:space="preserve">, </w:t>
      </w:r>
      <w:r w:rsidRPr="00EF4EA3">
        <w:rPr>
          <w:rFonts w:ascii="Arial" w:eastAsia="Calibri" w:hAnsi="Arial" w:cs="Arial"/>
          <w:szCs w:val="24"/>
          <w:lang w:eastAsia="es-ES_tradnl"/>
        </w:rPr>
        <w:t>C-443 del 7 de julio de 2020 –</w:t>
      </w:r>
      <w:r w:rsidRPr="00EF4EA3">
        <w:rPr>
          <w:rFonts w:ascii="Arial" w:eastAsia="Calibri" w:hAnsi="Arial" w:cs="Arial"/>
          <w:szCs w:val="24"/>
          <w:lang w:val="es-ES_tradnl" w:eastAsia="es-ES_tradnl"/>
        </w:rPr>
        <w:t>radicado No.</w:t>
      </w:r>
      <w:r w:rsidRPr="00EF4EA3">
        <w:rPr>
          <w:rFonts w:ascii="Arial" w:eastAsia="Times New Roman" w:hAnsi="Arial" w:cs="Arial"/>
          <w:color w:val="000000"/>
          <w:szCs w:val="24"/>
          <w:lang w:eastAsia="es-ES_tradnl"/>
        </w:rPr>
        <w:t xml:space="preserve"> 2202013000005933–, C-387 del 23 de junio de 2020 –radicado No. </w:t>
      </w:r>
      <w:r w:rsidRPr="00EF4EA3">
        <w:rPr>
          <w:rFonts w:ascii="Arial" w:eastAsia="Times New Roman" w:hAnsi="Arial" w:cs="Arial"/>
          <w:color w:val="000000"/>
          <w:szCs w:val="24"/>
          <w:shd w:val="clear" w:color="auto" w:fill="FFFFFF"/>
          <w:lang w:eastAsia="es-ES_tradnl"/>
        </w:rPr>
        <w:t xml:space="preserve">4202013000004275–, </w:t>
      </w:r>
      <w:r w:rsidRPr="00EF4EA3">
        <w:rPr>
          <w:rFonts w:ascii="Arial" w:eastAsia="Calibri" w:hAnsi="Arial" w:cs="Arial"/>
          <w:szCs w:val="24"/>
          <w:lang w:val="es-ES_tradnl" w:eastAsia="es-ES_tradnl"/>
        </w:rPr>
        <w:t xml:space="preserve">2202013000000037 del 7 de enero de 2020, C-223 del 29 de abril de 2020, </w:t>
      </w:r>
      <w:r w:rsidRPr="00EF4EA3">
        <w:rPr>
          <w:rFonts w:ascii="Arial" w:eastAsia="Calibri" w:hAnsi="Arial" w:cs="Arial"/>
          <w:color w:val="000000"/>
          <w:lang w:val="es-ES_tradnl" w:eastAsia="es-ES_tradnl"/>
        </w:rPr>
        <w:t xml:space="preserve">C-671 de 2020 de 23 de noviembre de 2020, </w:t>
      </w:r>
      <w:r w:rsidR="003716F4">
        <w:rPr>
          <w:rFonts w:ascii="Arial" w:eastAsia="Calibri" w:hAnsi="Arial" w:cs="Arial"/>
          <w:color w:val="000000"/>
          <w:lang w:val="es-ES_tradnl" w:eastAsia="es-ES_tradnl"/>
        </w:rPr>
        <w:t xml:space="preserve">C-148 del </w:t>
      </w:r>
      <w:r w:rsidR="00174082">
        <w:rPr>
          <w:rFonts w:ascii="Arial" w:eastAsia="Calibri" w:hAnsi="Arial" w:cs="Arial"/>
          <w:color w:val="000000"/>
          <w:lang w:val="es-ES_tradnl" w:eastAsia="es-ES_tradnl"/>
        </w:rPr>
        <w:t xml:space="preserve">9 de abril de 2021, </w:t>
      </w:r>
      <w:r w:rsidRPr="00EF4EA3">
        <w:rPr>
          <w:rFonts w:ascii="Arial" w:eastAsia="Calibri" w:hAnsi="Arial" w:cs="Arial"/>
          <w:color w:val="000000"/>
          <w:lang w:val="es-ES_tradnl" w:eastAsia="es-ES_tradnl"/>
        </w:rPr>
        <w:t>C-215 del 12 de mayo de 2021</w:t>
      </w:r>
      <w:r w:rsidR="00A2453B">
        <w:rPr>
          <w:rFonts w:ascii="Arial" w:eastAsia="Calibri" w:hAnsi="Arial" w:cs="Arial"/>
          <w:color w:val="000000"/>
          <w:lang w:val="es-ES_tradnl" w:eastAsia="es-ES_tradnl"/>
        </w:rPr>
        <w:t xml:space="preserve">, </w:t>
      </w:r>
      <w:r w:rsidR="003716F4">
        <w:rPr>
          <w:rFonts w:ascii="Arial" w:eastAsia="Calibri" w:hAnsi="Arial" w:cs="Arial"/>
          <w:color w:val="000000"/>
          <w:lang w:val="es-ES_tradnl" w:eastAsia="es-ES_tradnl"/>
        </w:rPr>
        <w:t xml:space="preserve">C-294 del 10 de septiembre de 2021, </w:t>
      </w:r>
      <w:r w:rsidRPr="00EF4EA3">
        <w:rPr>
          <w:rFonts w:ascii="Arial" w:eastAsia="Calibri" w:hAnsi="Arial" w:cs="Arial"/>
          <w:color w:val="000000"/>
          <w:lang w:val="es-ES_tradnl" w:eastAsia="es-ES_tradnl"/>
        </w:rPr>
        <w:t>C-742 de 27 de diciembre de 2021</w:t>
      </w:r>
      <w:r w:rsidR="003716F4">
        <w:rPr>
          <w:rFonts w:ascii="Arial" w:eastAsia="Calibri" w:hAnsi="Arial" w:cs="Arial"/>
          <w:color w:val="000000"/>
          <w:lang w:val="es-ES_tradnl" w:eastAsia="es-ES_tradnl"/>
        </w:rPr>
        <w:t xml:space="preserve"> y</w:t>
      </w:r>
      <w:r w:rsidRPr="00EF4EA3">
        <w:rPr>
          <w:rFonts w:ascii="Arial" w:eastAsia="Calibri" w:hAnsi="Arial" w:cs="Arial"/>
          <w:color w:val="000000"/>
          <w:lang w:val="es-ES_tradnl" w:eastAsia="es-ES_tradnl"/>
        </w:rPr>
        <w:t xml:space="preserve"> </w:t>
      </w:r>
      <w:r w:rsidR="00A2453B">
        <w:rPr>
          <w:rFonts w:ascii="Arial" w:eastAsia="Calibri" w:hAnsi="Arial" w:cs="Arial"/>
          <w:color w:val="000000"/>
          <w:lang w:val="es-ES_tradnl" w:eastAsia="es-ES_tradnl"/>
        </w:rPr>
        <w:t xml:space="preserve">C-017 del 22 de febrero de 2022, </w:t>
      </w:r>
      <w:r w:rsidRPr="00EF4EA3">
        <w:rPr>
          <w:rFonts w:ascii="Arial" w:eastAsia="Calibri" w:hAnsi="Arial" w:cs="Arial"/>
          <w:color w:val="000000"/>
          <w:lang w:val="es-ES_tradnl" w:eastAsia="es-ES_tradnl"/>
        </w:rPr>
        <w:t xml:space="preserve">se pronunció  </w:t>
      </w:r>
      <w:r w:rsidRPr="00EF4EA3">
        <w:rPr>
          <w:rFonts w:ascii="Arial" w:eastAsia="Calibri" w:hAnsi="Arial" w:cs="Arial"/>
          <w:szCs w:val="24"/>
          <w:lang w:val="es-ES_tradnl" w:eastAsia="es-ES_tradnl"/>
        </w:rPr>
        <w:t>sobre planeación y estudios previos en el Estatuto General de Contratación de la Administración Pública</w:t>
      </w:r>
      <w:r w:rsidRPr="00EF4EA3">
        <w:rPr>
          <w:rFonts w:ascii="Arial" w:eastAsia="Calibri" w:hAnsi="Arial" w:cs="Arial"/>
          <w:color w:val="000000"/>
          <w:lang w:val="es-ES_tradnl" w:eastAsia="es-ES_tradnl"/>
        </w:rPr>
        <w:t>.</w:t>
      </w:r>
      <w:r w:rsidR="00554071">
        <w:rPr>
          <w:rFonts w:ascii="Arial" w:eastAsia="Calibri" w:hAnsi="Arial" w:cs="Arial"/>
          <w:color w:val="000000"/>
          <w:lang w:val="es-ES_tradnl" w:eastAsia="es-ES_tradnl"/>
        </w:rPr>
        <w:t xml:space="preserve"> Por otro lado, esta Agencia </w:t>
      </w:r>
      <w:r w:rsidR="00554071" w:rsidRPr="007E58C1">
        <w:rPr>
          <w:rFonts w:ascii="Arial" w:eastAsia="Calibri" w:hAnsi="Arial" w:cs="Arial"/>
          <w:lang w:val="es-MX"/>
        </w:rPr>
        <w:t>se ha pronunciado en varias ocasiones sobre el precio de los contratos estatales y formas para su cálculo</w:t>
      </w:r>
      <w:r w:rsidR="00554071">
        <w:rPr>
          <w:rFonts w:ascii="Arial" w:eastAsia="Calibri" w:hAnsi="Arial" w:cs="Arial"/>
          <w:lang w:val="es-MX"/>
        </w:rPr>
        <w:t>, concretamente, en los</w:t>
      </w:r>
      <w:r w:rsidR="00554071" w:rsidRPr="007E58C1">
        <w:rPr>
          <w:rFonts w:ascii="Arial" w:eastAsia="Calibri" w:hAnsi="Arial" w:cs="Arial"/>
          <w:lang w:val="es-MX"/>
        </w:rPr>
        <w:t xml:space="preserve"> conceptos 4201912000007092 del 29 de noviembre de 2019, </w:t>
      </w:r>
      <w:hyperlink r:id="rId9" w:tgtFrame="_blank" w:history="1">
        <w:r w:rsidR="00554071" w:rsidRPr="007E58C1">
          <w:rPr>
            <w:rFonts w:ascii="Arial" w:eastAsia="Calibri" w:hAnsi="Arial" w:cs="Arial"/>
            <w:lang w:val="es-MX"/>
          </w:rPr>
          <w:t>2201913000008566</w:t>
        </w:r>
      </w:hyperlink>
      <w:r w:rsidR="00554071" w:rsidRPr="007E58C1">
        <w:rPr>
          <w:rFonts w:ascii="Arial" w:eastAsia="Calibri" w:hAnsi="Arial" w:cs="Arial"/>
          <w:lang w:val="es-MX"/>
        </w:rPr>
        <w:t xml:space="preserve"> del 18 de noviembre de 2019,  4201913000007822 de 27 de diciembre de 2019, C–037 del 28 de enero de 2020, C-191 del 16 de marzo de 2020 y C-211 del 8 de abril de 2020, C−469 del 27 de septiembre de 2020, C−480 del 16 de septiembre de 2020 y C-059 del 10 de marzo de 2021</w:t>
      </w:r>
      <w:r w:rsidRPr="00EF4EA3">
        <w:rPr>
          <w:rFonts w:ascii="Arial" w:eastAsia="Calibri" w:hAnsi="Arial" w:cs="Arial"/>
          <w:color w:val="000000"/>
          <w:lang w:val="es-ES_tradnl" w:eastAsia="es-ES_tradnl"/>
        </w:rPr>
        <w:t xml:space="preserve"> Las tesis expuestas se reiteran </w:t>
      </w:r>
      <w:r w:rsidR="000864EE">
        <w:rPr>
          <w:rFonts w:ascii="Arial" w:eastAsia="Calibri" w:hAnsi="Arial" w:cs="Arial"/>
          <w:color w:val="000000"/>
          <w:lang w:val="es-ES_tradnl" w:eastAsia="es-ES_tradnl"/>
        </w:rPr>
        <w:t xml:space="preserve">y se complementan </w:t>
      </w:r>
      <w:r w:rsidRPr="00EF4EA3">
        <w:rPr>
          <w:rFonts w:ascii="Arial" w:eastAsia="Calibri" w:hAnsi="Arial" w:cs="Arial"/>
          <w:color w:val="000000"/>
          <w:lang w:val="es-ES_tradnl" w:eastAsia="es-ES_tradnl"/>
        </w:rPr>
        <w:t xml:space="preserve">en lo pertinente. </w:t>
      </w:r>
      <w:bookmarkStart w:id="5" w:name="_Hlk54011258"/>
    </w:p>
    <w:p w14:paraId="10F13BD4" w14:textId="77777777" w:rsidR="00554071" w:rsidRDefault="00554071" w:rsidP="00B03DC3">
      <w:pPr>
        <w:pStyle w:val="Prrafodelista"/>
        <w:spacing w:line="276" w:lineRule="auto"/>
        <w:jc w:val="both"/>
        <w:rPr>
          <w:rFonts w:ascii="Arial" w:hAnsi="Arial" w:cs="Arial"/>
          <w:b/>
          <w:bCs/>
          <w:sz w:val="22"/>
          <w:lang w:val="es-ES"/>
        </w:rPr>
      </w:pPr>
      <w:bookmarkStart w:id="6" w:name="_Hlk114838478"/>
    </w:p>
    <w:p w14:paraId="79726397" w14:textId="22E39C55" w:rsidR="00554071" w:rsidRPr="00094A4E" w:rsidRDefault="00554071" w:rsidP="00554071">
      <w:pPr>
        <w:pStyle w:val="Prrafodelista"/>
        <w:numPr>
          <w:ilvl w:val="1"/>
          <w:numId w:val="2"/>
        </w:numPr>
        <w:spacing w:line="276" w:lineRule="auto"/>
        <w:jc w:val="both"/>
        <w:rPr>
          <w:rFonts w:ascii="Arial" w:hAnsi="Arial" w:cs="Arial"/>
          <w:b/>
          <w:bCs/>
          <w:sz w:val="22"/>
          <w:lang w:val="es-ES"/>
        </w:rPr>
      </w:pPr>
      <w:r>
        <w:rPr>
          <w:rFonts w:ascii="Arial" w:hAnsi="Arial" w:cs="Arial"/>
          <w:b/>
          <w:bCs/>
          <w:sz w:val="22"/>
          <w:lang w:val="es-ES"/>
        </w:rPr>
        <w:t>P</w:t>
      </w:r>
      <w:r w:rsidRPr="00094A4E">
        <w:rPr>
          <w:rFonts w:ascii="Arial" w:hAnsi="Arial" w:cs="Arial"/>
          <w:b/>
          <w:bCs/>
          <w:sz w:val="22"/>
          <w:lang w:val="es-ES"/>
        </w:rPr>
        <w:t xml:space="preserve">rincipio de planeación y los estudios y documentos previos del contrato </w:t>
      </w:r>
    </w:p>
    <w:p w14:paraId="6A6B8F9C" w14:textId="77777777" w:rsidR="00554071" w:rsidRDefault="00554071" w:rsidP="00B03DC3">
      <w:pPr>
        <w:spacing w:after="0" w:line="276" w:lineRule="auto"/>
        <w:contextualSpacing/>
        <w:jc w:val="both"/>
        <w:rPr>
          <w:rFonts w:ascii="Arial" w:eastAsia="Calibri" w:hAnsi="Arial" w:cs="Arial"/>
          <w:bCs/>
          <w:szCs w:val="24"/>
          <w:lang w:val="es-ES_tradnl" w:eastAsia="es-ES_tradnl"/>
        </w:rPr>
      </w:pPr>
    </w:p>
    <w:p w14:paraId="7BE8358A" w14:textId="20D6C5B6" w:rsidR="00EF4EA3" w:rsidRPr="00EF4EA3" w:rsidRDefault="00EF4EA3" w:rsidP="00B03DC3">
      <w:pPr>
        <w:spacing w:after="120" w:line="276" w:lineRule="auto"/>
        <w:jc w:val="both"/>
        <w:rPr>
          <w:rFonts w:ascii="Times New Roman" w:eastAsia="Times New Roman" w:hAnsi="Times New Roman" w:cs="Times New Roman"/>
          <w:sz w:val="24"/>
          <w:szCs w:val="24"/>
          <w:lang w:eastAsia="es-ES_tradnl"/>
        </w:rPr>
      </w:pPr>
      <w:r w:rsidRPr="00EF4EA3">
        <w:rPr>
          <w:rFonts w:ascii="Arial" w:eastAsia="Calibri" w:hAnsi="Arial" w:cs="Arial"/>
          <w:bCs/>
          <w:szCs w:val="24"/>
          <w:lang w:val="es-ES_tradnl" w:eastAsia="es-ES_tradnl"/>
        </w:rPr>
        <w:t xml:space="preserve">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w:t>
      </w:r>
      <w:r w:rsidRPr="00086875">
        <w:rPr>
          <w:rFonts w:ascii="Arial" w:eastAsia="Calibri" w:hAnsi="Arial" w:cs="Arial"/>
          <w:bCs/>
          <w:i/>
          <w:iCs/>
          <w:szCs w:val="24"/>
          <w:lang w:val="es-ES_tradnl" w:eastAsia="es-ES_tradnl"/>
        </w:rPr>
        <w:t>precios</w:t>
      </w:r>
      <w:r w:rsidRPr="00EF4EA3">
        <w:rPr>
          <w:rFonts w:ascii="Arial" w:eastAsia="Calibri" w:hAnsi="Arial" w:cs="Arial"/>
          <w:bCs/>
          <w:szCs w:val="24"/>
          <w:lang w:val="es-ES_tradnl" w:eastAsia="es-ES_tradnl"/>
        </w:rPr>
        <w:t xml:space="preserve">, costos, riesgos, garantías, disponibilidad, oferentes, etc. </w:t>
      </w:r>
      <w:bookmarkEnd w:id="6"/>
      <w:r w:rsidRPr="00EF4EA3">
        <w:rPr>
          <w:rFonts w:ascii="Arial" w:eastAsia="Calibri" w:hAnsi="Arial" w:cs="Arial"/>
          <w:bCs/>
          <w:szCs w:val="24"/>
          <w:lang w:val="es-ES_tradnl" w:eastAsia="es-ES_tradnl"/>
        </w:rPr>
        <w:t>Lo anterior con la finalidad de realizar la escogencia diligente de la mejor oferta, para beneficiar los intereses y fines públicos inmersos en la contratación de las entidades estatales</w:t>
      </w:r>
      <w:bookmarkEnd w:id="5"/>
      <w:r w:rsidRPr="00EF4EA3">
        <w:rPr>
          <w:rFonts w:ascii="Arial" w:eastAsia="Calibri" w:hAnsi="Arial" w:cs="Arial"/>
          <w:bCs/>
          <w:sz w:val="21"/>
          <w:szCs w:val="21"/>
          <w:lang w:val="es-ES_tradnl" w:eastAsia="es-ES_tradnl"/>
        </w:rPr>
        <w:t>.</w:t>
      </w:r>
    </w:p>
    <w:p w14:paraId="165AE4A0" w14:textId="77777777" w:rsidR="00EF4EA3" w:rsidRPr="00EF4EA3" w:rsidRDefault="00EF4EA3" w:rsidP="00EF4EA3">
      <w:pPr>
        <w:spacing w:before="120" w:after="0" w:line="276" w:lineRule="auto"/>
        <w:ind w:firstLine="708"/>
        <w:jc w:val="both"/>
        <w:rPr>
          <w:rFonts w:ascii="Arial" w:eastAsia="Calibri" w:hAnsi="Arial" w:cs="Arial"/>
          <w:bCs/>
          <w:lang w:val="es-ES"/>
        </w:rPr>
      </w:pPr>
      <w:r w:rsidRPr="00EF4EA3">
        <w:rPr>
          <w:rFonts w:ascii="Arial" w:eastAsia="Calibri" w:hAnsi="Arial" w:cs="Arial"/>
          <w:bCs/>
          <w:lang w:val="es-MX"/>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w:t>
      </w:r>
      <w:r w:rsidRPr="00EF4EA3">
        <w:rPr>
          <w:rFonts w:ascii="Arial" w:eastAsia="Calibri" w:hAnsi="Arial" w:cs="Arial"/>
          <w:bCs/>
          <w:lang w:val="es-MX"/>
        </w:rPr>
        <w:lastRenderedPageBreak/>
        <w:t xml:space="preserve">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38017A69" w14:textId="77777777" w:rsidR="00EF4EA3" w:rsidRPr="00EF4EA3" w:rsidRDefault="00EF4EA3" w:rsidP="00EF4EA3">
      <w:pPr>
        <w:spacing w:after="0" w:line="276" w:lineRule="auto"/>
        <w:ind w:firstLine="708"/>
        <w:jc w:val="both"/>
        <w:rPr>
          <w:rFonts w:ascii="Arial" w:eastAsia="Calibri" w:hAnsi="Arial" w:cs="Arial"/>
          <w:bCs/>
          <w:lang w:val="es-ES"/>
        </w:rPr>
      </w:pPr>
    </w:p>
    <w:p w14:paraId="2BC1CF09" w14:textId="77777777" w:rsidR="00EF4EA3" w:rsidRPr="00EF4EA3" w:rsidRDefault="00EF4EA3" w:rsidP="006D33E0">
      <w:pPr>
        <w:spacing w:after="0" w:line="240" w:lineRule="auto"/>
        <w:ind w:left="709" w:right="709"/>
        <w:jc w:val="both"/>
        <w:rPr>
          <w:rFonts w:ascii="Arial" w:eastAsia="Calibri" w:hAnsi="Arial" w:cs="Arial"/>
          <w:sz w:val="21"/>
          <w:szCs w:val="21"/>
          <w:lang w:val="es-MX"/>
        </w:rPr>
      </w:pPr>
      <w:r w:rsidRPr="00EF4EA3">
        <w:rPr>
          <w:rFonts w:ascii="Arial" w:eastAsia="Calibri" w:hAnsi="Arial" w:cs="Arial"/>
          <w:sz w:val="21"/>
          <w:szCs w:val="21"/>
          <w:lang w:val="es-MX"/>
        </w:rPr>
        <w:t>7o. La conveniencia o inconveniencia del objeto a contratar y las autorizaciones y aprobaciones para ello, se analizarán o impartirán con antelación al inicio del proceso de selección del contratista o al de la firma del contrato, según el caso.</w:t>
      </w:r>
    </w:p>
    <w:p w14:paraId="45304B49" w14:textId="77777777" w:rsidR="00EF4EA3" w:rsidRPr="00EF4EA3" w:rsidRDefault="00EF4EA3" w:rsidP="006D33E0">
      <w:pPr>
        <w:spacing w:after="120" w:line="240" w:lineRule="auto"/>
        <w:ind w:left="709" w:right="709"/>
        <w:jc w:val="both"/>
        <w:rPr>
          <w:rFonts w:ascii="Arial" w:eastAsia="Calibri" w:hAnsi="Arial" w:cs="Arial"/>
          <w:sz w:val="21"/>
          <w:szCs w:val="21"/>
          <w:lang w:val="es-MX"/>
        </w:rPr>
      </w:pPr>
      <w:r w:rsidRPr="00EF4EA3">
        <w:rPr>
          <w:rFonts w:ascii="Arial" w:eastAsia="Calibri" w:hAnsi="Arial" w:cs="Arial"/>
          <w:sz w:val="21"/>
          <w:szCs w:val="21"/>
          <w:lang w:val="es-MX"/>
        </w:rPr>
        <w:t>[…]</w:t>
      </w:r>
    </w:p>
    <w:p w14:paraId="68C50024" w14:textId="77777777" w:rsidR="00EF4EA3" w:rsidRPr="00EF4EA3" w:rsidRDefault="00EF4EA3" w:rsidP="006D33E0">
      <w:pPr>
        <w:spacing w:after="120" w:line="240" w:lineRule="auto"/>
        <w:ind w:left="709" w:right="709"/>
        <w:jc w:val="both"/>
        <w:rPr>
          <w:rFonts w:ascii="Arial" w:eastAsia="Calibri" w:hAnsi="Arial" w:cs="Arial"/>
          <w:sz w:val="21"/>
          <w:szCs w:val="21"/>
          <w:lang w:val="es-MX"/>
        </w:rPr>
      </w:pPr>
      <w:r w:rsidRPr="00EF4EA3">
        <w:rPr>
          <w:rFonts w:ascii="Arial" w:eastAsia="Calibri" w:hAnsi="Arial" w:cs="Arial"/>
          <w:sz w:val="21"/>
          <w:szCs w:val="21"/>
          <w:lang w:val="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68A35000" w14:textId="77777777" w:rsidR="00EF4EA3" w:rsidRPr="00EF4EA3" w:rsidRDefault="00EF4EA3" w:rsidP="006D33E0">
      <w:pPr>
        <w:spacing w:after="120" w:line="240" w:lineRule="auto"/>
        <w:ind w:left="709" w:right="709"/>
        <w:jc w:val="both"/>
        <w:rPr>
          <w:rFonts w:ascii="Arial" w:eastAsia="Calibri" w:hAnsi="Arial" w:cs="Arial"/>
          <w:sz w:val="21"/>
          <w:szCs w:val="21"/>
          <w:lang w:val="es-MX"/>
        </w:rPr>
      </w:pPr>
      <w:r w:rsidRPr="00EF4EA3">
        <w:rPr>
          <w:rFonts w:ascii="Arial" w:eastAsia="Calibri" w:hAnsi="Arial" w:cs="Arial"/>
          <w:sz w:val="21"/>
          <w:szCs w:val="21"/>
          <w:lang w:val="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5C40F18E"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427FC175" w14:textId="77777777" w:rsidR="00EF4EA3" w:rsidRPr="00EF4EA3" w:rsidRDefault="00EF4EA3" w:rsidP="006D33E0">
      <w:pPr>
        <w:spacing w:after="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3A2D7C6C" w14:textId="77777777" w:rsidR="00EF4EA3" w:rsidRPr="00EF4EA3" w:rsidRDefault="00EF4EA3" w:rsidP="00086875">
      <w:pPr>
        <w:spacing w:after="0" w:line="240" w:lineRule="auto"/>
        <w:ind w:left="709" w:right="709"/>
        <w:jc w:val="both"/>
        <w:rPr>
          <w:rFonts w:ascii="Arial" w:eastAsia="Times New Roman" w:hAnsi="Arial" w:cs="Arial"/>
          <w:szCs w:val="24"/>
          <w:lang w:eastAsia="es-ES_tradnl"/>
        </w:rPr>
      </w:pPr>
    </w:p>
    <w:p w14:paraId="7E0B09AE" w14:textId="77777777" w:rsidR="00EF4EA3" w:rsidRPr="00EF4EA3" w:rsidRDefault="00EF4EA3" w:rsidP="00EF4EA3">
      <w:pPr>
        <w:spacing w:after="0" w:line="276" w:lineRule="auto"/>
        <w:ind w:firstLine="709"/>
        <w:jc w:val="both"/>
        <w:rPr>
          <w:rFonts w:ascii="Arial" w:eastAsia="Times New Roman" w:hAnsi="Arial" w:cs="Arial"/>
          <w:szCs w:val="24"/>
          <w:lang w:eastAsia="es-ES_tradnl"/>
        </w:rPr>
      </w:pPr>
      <w:r w:rsidRPr="00EF4EA3">
        <w:rPr>
          <w:rFonts w:ascii="Arial" w:eastAsia="Times New Roman" w:hAnsi="Arial" w:cs="Arial"/>
          <w:szCs w:val="24"/>
          <w:lang w:eastAsia="es-ES_tradnl"/>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EF4EA3">
        <w:rPr>
          <w:rFonts w:ascii="Arial" w:eastAsia="Times New Roman" w:hAnsi="Arial" w:cs="Arial"/>
          <w:szCs w:val="24"/>
          <w:vertAlign w:val="superscript"/>
          <w:lang w:eastAsia="es-ES_tradnl"/>
        </w:rPr>
        <w:footnoteReference w:id="2"/>
      </w:r>
      <w:r w:rsidRPr="00EF4EA3">
        <w:rPr>
          <w:rFonts w:ascii="Arial" w:eastAsia="Times New Roman" w:hAnsi="Arial" w:cs="Arial"/>
          <w:szCs w:val="24"/>
          <w:lang w:eastAsia="es-ES_tradnl"/>
        </w:rPr>
        <w:t>. En congruencia con el artículo 25 de la Ley 80 de 1993, el Decreto Único Reglamentario del Sector Administrativo de Planeación Nacional –</w:t>
      </w:r>
      <w:r w:rsidRPr="00EF4EA3">
        <w:rPr>
          <w:rFonts w:ascii="Arial" w:eastAsia="Times New Roman" w:hAnsi="Arial" w:cs="Arial"/>
          <w:szCs w:val="24"/>
          <w:lang w:eastAsia="es-ES_tradnl"/>
        </w:rPr>
        <w:lastRenderedPageBreak/>
        <w:t>Decreto 1082 de 2015–, dispone en el artículo 2.2.1.1.2.1.1 el contenido mínimo de los estudios y documentos previos:</w:t>
      </w:r>
    </w:p>
    <w:p w14:paraId="087F5F3C" w14:textId="77777777" w:rsidR="00EF4EA3" w:rsidRPr="00EF4EA3" w:rsidRDefault="00EF4EA3" w:rsidP="00EF4EA3">
      <w:pPr>
        <w:spacing w:after="0" w:line="276" w:lineRule="auto"/>
        <w:ind w:left="709" w:right="709"/>
        <w:rPr>
          <w:rFonts w:ascii="Calibri" w:eastAsia="Times New Roman" w:hAnsi="Calibri" w:cs="Times New Roman"/>
          <w:lang w:eastAsia="es-CO"/>
        </w:rPr>
      </w:pPr>
    </w:p>
    <w:p w14:paraId="19754090"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423A9DE4"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1. La descripción de la necesidad que la Entidad Estatal pretende satisfacer con el Proceso de Contratación. ​</w:t>
      </w:r>
    </w:p>
    <w:p w14:paraId="5DC81BE7"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 xml:space="preserve">2. El objeto a contratar, con sus especificaciones, las autorizaciones, permisos y licencias requeridos para su ejecución, y cuando el contrato incluye diseño y construcción, los documentos técnicos para el desarrollo del proyecto. </w:t>
      </w:r>
    </w:p>
    <w:p w14:paraId="60E35238"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 xml:space="preserve">3. La modalidad de selección del contratista y su justificación, incluyendo los fundamentos jurídicos. </w:t>
      </w:r>
    </w:p>
    <w:p w14:paraId="0BD61E5D"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 xml:space="preserve">4. El valor estimado del contrato y la justificación </w:t>
      </w:r>
      <w:proofErr w:type="gramStart"/>
      <w:r w:rsidRPr="00EF4EA3">
        <w:rPr>
          <w:rFonts w:ascii="Arial" w:eastAsia="Times New Roman" w:hAnsi="Arial" w:cs="Arial"/>
          <w:sz w:val="21"/>
          <w:szCs w:val="21"/>
          <w:lang w:eastAsia="es-ES_tradnl"/>
        </w:rPr>
        <w:t>del mismo</w:t>
      </w:r>
      <w:proofErr w:type="gramEnd"/>
      <w:r w:rsidRPr="00EF4EA3">
        <w:rPr>
          <w:rFonts w:ascii="Arial" w:eastAsia="Times New Roman" w:hAnsi="Arial" w:cs="Arial"/>
          <w:sz w:val="21"/>
          <w:szCs w:val="21"/>
          <w:lang w:eastAsia="es-ES_tradnl"/>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30579E78"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 xml:space="preserve">5. Los criterios para seleccionar la oferta más favorable. </w:t>
      </w:r>
    </w:p>
    <w:p w14:paraId="2C671C6A"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 xml:space="preserve">6. El análisis de Riesgo y la forma de mitigarlo. </w:t>
      </w:r>
    </w:p>
    <w:p w14:paraId="0AB9D88A"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 xml:space="preserve">7. Las garantías que la Entidad Estatal contempla exigir en el proceso de contratación. </w:t>
      </w:r>
    </w:p>
    <w:p w14:paraId="16B4EB4B" w14:textId="77777777" w:rsidR="00EF4EA3" w:rsidRPr="00EF4EA3" w:rsidRDefault="00EF4EA3" w:rsidP="006D33E0">
      <w:pPr>
        <w:spacing w:after="12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 xml:space="preserve">8. La indicación de si el proceso de contratación está cobijado por un acuerdo comercial. </w:t>
      </w:r>
    </w:p>
    <w:p w14:paraId="35B368D3" w14:textId="77777777" w:rsidR="00EF4EA3" w:rsidRPr="00EF4EA3" w:rsidRDefault="00EF4EA3" w:rsidP="006D33E0">
      <w:pPr>
        <w:spacing w:after="0" w:line="240" w:lineRule="auto"/>
        <w:ind w:left="709" w:right="709"/>
        <w:jc w:val="both"/>
        <w:rPr>
          <w:rFonts w:ascii="Arial" w:eastAsia="Times New Roman" w:hAnsi="Arial" w:cs="Arial"/>
          <w:sz w:val="21"/>
          <w:szCs w:val="21"/>
          <w:lang w:eastAsia="es-ES_tradnl"/>
        </w:rPr>
      </w:pPr>
      <w:r w:rsidRPr="00EF4EA3">
        <w:rPr>
          <w:rFonts w:ascii="Arial" w:eastAsia="Times New Roman" w:hAnsi="Arial" w:cs="Arial"/>
          <w:sz w:val="21"/>
          <w:szCs w:val="21"/>
          <w:lang w:eastAsia="es-ES_tradnl"/>
        </w:rPr>
        <w:t>El presente artículo no es aplicable a la contratación por mínima cuantía.</w:t>
      </w:r>
    </w:p>
    <w:p w14:paraId="3EC9328E" w14:textId="77777777" w:rsidR="00EF4EA3" w:rsidRPr="00EF4EA3" w:rsidRDefault="00EF4EA3" w:rsidP="00086875">
      <w:pPr>
        <w:widowControl w:val="0"/>
        <w:tabs>
          <w:tab w:val="left" w:pos="1305"/>
        </w:tabs>
        <w:autoSpaceDE w:val="0"/>
        <w:autoSpaceDN w:val="0"/>
        <w:spacing w:after="0" w:line="276" w:lineRule="auto"/>
        <w:rPr>
          <w:rFonts w:ascii="Arial" w:eastAsia="Calibri" w:hAnsi="Arial" w:cs="Arial"/>
          <w:lang w:val="es-MX"/>
        </w:rPr>
      </w:pPr>
    </w:p>
    <w:p w14:paraId="47A54B80" w14:textId="77777777" w:rsidR="00EF4EA3" w:rsidRPr="00EF4EA3" w:rsidRDefault="00EF4EA3" w:rsidP="001600C5">
      <w:pPr>
        <w:spacing w:after="120" w:line="276" w:lineRule="auto"/>
        <w:ind w:firstLine="709"/>
        <w:jc w:val="both"/>
        <w:rPr>
          <w:rFonts w:ascii="Arial" w:eastAsia="Times New Roman" w:hAnsi="Arial" w:cs="Arial"/>
          <w:szCs w:val="24"/>
          <w:lang w:eastAsia="es-ES_tradnl"/>
        </w:rPr>
      </w:pPr>
      <w:bookmarkStart w:id="7" w:name="_Hlk54011351"/>
      <w:r w:rsidRPr="00EF4EA3">
        <w:rPr>
          <w:rFonts w:ascii="Arial" w:eastAsia="Times New Roman" w:hAnsi="Arial" w:cs="Arial"/>
          <w:szCs w:val="24"/>
          <w:lang w:eastAsia="es-ES_tradnl"/>
        </w:rPr>
        <w:t xml:space="preserve">De esta manera, antes de iniciar un procedimiento de selección, la entidad estatal podrá determinar con los estudios previos: i) la verdadera necesidad de la celebración del contrato; </w:t>
      </w:r>
      <w:proofErr w:type="spellStart"/>
      <w:r w:rsidRPr="00EF4EA3">
        <w:rPr>
          <w:rFonts w:ascii="Arial" w:eastAsia="Times New Roman" w:hAnsi="Arial" w:cs="Arial"/>
          <w:szCs w:val="24"/>
          <w:lang w:eastAsia="es-ES_tradnl"/>
        </w:rPr>
        <w:t>ii</w:t>
      </w:r>
      <w:proofErr w:type="spellEnd"/>
      <w:r w:rsidRPr="00EF4EA3">
        <w:rPr>
          <w:rFonts w:ascii="Arial" w:eastAsia="Times New Roman" w:hAnsi="Arial" w:cs="Arial"/>
          <w:szCs w:val="24"/>
          <w:lang w:eastAsia="es-ES_tradnl"/>
        </w:rPr>
        <w:t xml:space="preserve">) las modalidades existentes para satisfacer esa necesidad y las razones que justifiquen la modalidad o tipo contractual que se escoja; </w:t>
      </w:r>
      <w:proofErr w:type="spellStart"/>
      <w:r w:rsidRPr="00EF4EA3">
        <w:rPr>
          <w:rFonts w:ascii="Arial" w:eastAsia="Times New Roman" w:hAnsi="Arial" w:cs="Arial"/>
          <w:szCs w:val="24"/>
          <w:lang w:eastAsia="es-ES_tradnl"/>
        </w:rPr>
        <w:t>iii</w:t>
      </w:r>
      <w:proofErr w:type="spellEnd"/>
      <w:r w:rsidRPr="00EF4EA3">
        <w:rPr>
          <w:rFonts w:ascii="Arial" w:eastAsia="Times New Roman" w:hAnsi="Arial" w:cs="Arial"/>
          <w:szCs w:val="24"/>
          <w:lang w:eastAsia="es-ES_tradnl"/>
        </w:rPr>
        <w:t xml:space="preserve">) las calidades, especificaciones, cantidades y demás características que puedan o deban reunir los bienes, las obras o los servicios cuya contratación se haya determinado necesaria, </w:t>
      </w:r>
      <w:proofErr w:type="spellStart"/>
      <w:r w:rsidRPr="00086875">
        <w:rPr>
          <w:rFonts w:ascii="Arial" w:eastAsia="Times New Roman" w:hAnsi="Arial" w:cs="Arial"/>
          <w:i/>
          <w:iCs/>
          <w:szCs w:val="24"/>
          <w:lang w:eastAsia="es-ES_tradnl"/>
        </w:rPr>
        <w:t>iv</w:t>
      </w:r>
      <w:proofErr w:type="spellEnd"/>
      <w:r w:rsidRPr="00086875">
        <w:rPr>
          <w:rFonts w:ascii="Arial" w:eastAsia="Times New Roman" w:hAnsi="Arial" w:cs="Arial"/>
          <w:i/>
          <w:iCs/>
          <w:szCs w:val="24"/>
          <w:lang w:eastAsia="es-ES_tradnl"/>
        </w:rPr>
        <w:t xml:space="preserve">) los costos, valores y alternativas que, a precios de mercado reales, podría demandar la celebración y ejecución del contrato, </w:t>
      </w:r>
      <w:r w:rsidRPr="00EF4EA3">
        <w:rPr>
          <w:rFonts w:ascii="Arial" w:eastAsia="Times New Roman" w:hAnsi="Arial" w:cs="Arial"/>
          <w:szCs w:val="24"/>
          <w:lang w:eastAsia="es-ES_tradnl"/>
        </w:rPr>
        <w:t xml:space="preserve">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EF4EA3">
        <w:rPr>
          <w:rFonts w:ascii="Arial" w:eastAsia="Times New Roman" w:hAnsi="Arial" w:cs="Arial"/>
          <w:szCs w:val="24"/>
          <w:lang w:eastAsia="es-ES_tradnl"/>
        </w:rPr>
        <w:t>vii</w:t>
      </w:r>
      <w:proofErr w:type="spellEnd"/>
      <w:r w:rsidRPr="00EF4EA3">
        <w:rPr>
          <w:rFonts w:ascii="Arial" w:eastAsia="Times New Roman" w:hAnsi="Arial" w:cs="Arial"/>
          <w:szCs w:val="24"/>
          <w:lang w:eastAsia="es-ES_tradnl"/>
        </w:rPr>
        <w:t xml:space="preserve">) los procedimientos, trámites y </w:t>
      </w:r>
      <w:r w:rsidRPr="00EF4EA3">
        <w:rPr>
          <w:rFonts w:ascii="Arial" w:eastAsia="Times New Roman" w:hAnsi="Arial" w:cs="Arial"/>
          <w:szCs w:val="24"/>
          <w:lang w:eastAsia="es-ES_tradnl"/>
        </w:rPr>
        <w:lastRenderedPageBreak/>
        <w:t>requisitos que deban satisfacerse, reunirse u obtenerse para llevar a cabo la selección del respectivo contratista y la celebración del contrato que se pretenda celebrar.</w:t>
      </w:r>
    </w:p>
    <w:bookmarkEnd w:id="7"/>
    <w:p w14:paraId="2B4E4624" w14:textId="77777777" w:rsidR="00EF4EA3" w:rsidRPr="00EF4EA3" w:rsidRDefault="00EF4EA3" w:rsidP="001600C5">
      <w:pPr>
        <w:spacing w:after="120" w:line="276" w:lineRule="auto"/>
        <w:ind w:firstLine="709"/>
        <w:jc w:val="both"/>
        <w:rPr>
          <w:rFonts w:ascii="Arial" w:eastAsia="Times New Roman" w:hAnsi="Arial" w:cs="Arial"/>
          <w:szCs w:val="24"/>
          <w:lang w:eastAsia="es-ES_tradnl"/>
        </w:rPr>
      </w:pPr>
      <w:r w:rsidRPr="00EF4EA3">
        <w:rPr>
          <w:rFonts w:ascii="Arial" w:eastAsia="Times New Roman" w:hAnsi="Arial" w:cs="Arial"/>
          <w:szCs w:val="24"/>
          <w:lang w:eastAsia="es-ES_tradnl"/>
        </w:rPr>
        <w:t xml:space="preserve">Por ello, el hecho que las entidades cumplan con los elementos mínimos establecidos en la norma y aquellos adicionales que identifiquen en la etapa de planeación de los </w:t>
      </w:r>
      <w:r w:rsidRPr="00EF4EA3">
        <w:rPr>
          <w:rFonts w:ascii="Arial" w:eastAsia="Calibri" w:hAnsi="Arial" w:cs="Arial"/>
          <w:bCs/>
          <w:szCs w:val="24"/>
          <w:lang w:val="es-ES_tradnl" w:eastAsia="es-ES_tradnl"/>
        </w:rPr>
        <w:t xml:space="preserve">procedimientos de contratación, permite que los contratos resultantes cuenten con el sustento técnico, económico y jurídico que incidirá </w:t>
      </w:r>
      <w:r w:rsidRPr="00EF4EA3">
        <w:rPr>
          <w:rFonts w:ascii="Arial" w:eastAsia="Times New Roman" w:hAnsi="Arial" w:cs="Arial"/>
          <w:szCs w:val="24"/>
          <w:lang w:eastAsia="es-ES_tradnl"/>
        </w:rPr>
        <w:t>en una adecuada ejecución.</w:t>
      </w:r>
    </w:p>
    <w:p w14:paraId="74E5A858" w14:textId="77777777" w:rsidR="00EF4EA3" w:rsidRPr="00EF4EA3" w:rsidRDefault="00EF4EA3" w:rsidP="001600C5">
      <w:pPr>
        <w:spacing w:after="120" w:line="276" w:lineRule="auto"/>
        <w:ind w:firstLine="708"/>
        <w:jc w:val="both"/>
        <w:rPr>
          <w:rFonts w:ascii="Arial" w:eastAsia="Times New Roman" w:hAnsi="Arial" w:cs="Arial"/>
          <w:szCs w:val="24"/>
          <w:lang w:eastAsia="es-ES_tradnl"/>
        </w:rPr>
      </w:pPr>
      <w:r w:rsidRPr="00EF4EA3">
        <w:rPr>
          <w:rFonts w:ascii="Arial" w:eastAsia="Times New Roman" w:hAnsi="Arial" w:cs="Arial"/>
          <w:szCs w:val="24"/>
          <w:lang w:eastAsia="es-ES_tradnl"/>
        </w:rPr>
        <w:t>Mas allá del cumplimiento de la normativa, «los estudios y documentos previos son el soporte para elaborar el proyecto de pliegos, los pliegos de condiciones, y el contrato»</w:t>
      </w:r>
      <w:r w:rsidRPr="00EF4EA3">
        <w:rPr>
          <w:rFonts w:ascii="Arial" w:eastAsia="Times New Roman" w:hAnsi="Arial" w:cs="Arial"/>
          <w:szCs w:val="24"/>
          <w:vertAlign w:val="superscript"/>
          <w:lang w:eastAsia="es-ES_tradnl"/>
        </w:rPr>
        <w:footnoteReference w:id="3"/>
      </w:r>
      <w:r w:rsidRPr="00EF4EA3">
        <w:rPr>
          <w:rFonts w:ascii="Arial" w:eastAsia="Times New Roman" w:hAnsi="Arial" w:cs="Arial"/>
          <w:szCs w:val="24"/>
          <w:lang w:eastAsia="es-ES_tradnl"/>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29782CEF" w14:textId="77777777" w:rsidR="00EF4EA3" w:rsidRPr="00EF4EA3" w:rsidRDefault="00EF4EA3" w:rsidP="001600C5">
      <w:pPr>
        <w:spacing w:after="120" w:line="276" w:lineRule="auto"/>
        <w:ind w:firstLine="709"/>
        <w:jc w:val="both"/>
        <w:rPr>
          <w:rFonts w:ascii="Arial" w:eastAsia="Times New Roman" w:hAnsi="Arial" w:cs="Arial"/>
          <w:szCs w:val="24"/>
          <w:lang w:eastAsia="es-ES_tradnl"/>
        </w:rPr>
      </w:pPr>
      <w:bookmarkStart w:id="9" w:name="_Hlk54011438"/>
      <w:r w:rsidRPr="00EF4EA3">
        <w:rPr>
          <w:rFonts w:ascii="Arial" w:eastAsia="Times New Roman" w:hAnsi="Arial" w:cs="Arial"/>
          <w:szCs w:val="24"/>
          <w:lang w:eastAsia="es-ES_tradnl"/>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9"/>
      <w:r w:rsidRPr="00EF4EA3">
        <w:rPr>
          <w:rFonts w:ascii="Arial" w:eastAsia="Times New Roman" w:hAnsi="Arial" w:cs="Arial"/>
          <w:szCs w:val="24"/>
          <w:vertAlign w:val="superscript"/>
          <w:lang w:eastAsia="es-ES_tradnl"/>
        </w:rPr>
        <w:footnoteReference w:id="4"/>
      </w:r>
      <w:r w:rsidRPr="00EF4EA3">
        <w:rPr>
          <w:rFonts w:ascii="Arial" w:eastAsia="Times New Roman" w:hAnsi="Arial" w:cs="Arial"/>
          <w:szCs w:val="24"/>
          <w:lang w:eastAsia="es-ES_tradnl"/>
        </w:rPr>
        <w:t>.</w:t>
      </w:r>
    </w:p>
    <w:p w14:paraId="02609522" w14:textId="77777777" w:rsidR="00EF4EA3" w:rsidRPr="00EF4EA3" w:rsidRDefault="00EF4EA3" w:rsidP="001600C5">
      <w:pPr>
        <w:spacing w:after="120" w:line="276" w:lineRule="auto"/>
        <w:ind w:firstLine="709"/>
        <w:jc w:val="both"/>
        <w:rPr>
          <w:rFonts w:ascii="Arial" w:eastAsia="Times New Roman" w:hAnsi="Arial" w:cs="Arial"/>
          <w:szCs w:val="24"/>
          <w:lang w:eastAsia="es-ES_tradnl"/>
        </w:rPr>
      </w:pPr>
      <w:r w:rsidRPr="00EF4EA3">
        <w:rPr>
          <w:rFonts w:ascii="Arial" w:eastAsia="Times New Roman" w:hAnsi="Arial" w:cs="Arial"/>
          <w:szCs w:val="24"/>
          <w:lang w:eastAsia="es-ES_tradnl"/>
        </w:rPr>
        <w:t xml:space="preserve">El numeral 12 del artículo 25 de la Ley 80 de 1993, antes citado, establece el deber de las entidades de realizar estudios previos en dos momentos específicos: i) previo a la apertura de un proceso de selección y </w:t>
      </w:r>
      <w:proofErr w:type="spellStart"/>
      <w:r w:rsidRPr="00EF4EA3">
        <w:rPr>
          <w:rFonts w:ascii="Arial" w:eastAsia="Times New Roman" w:hAnsi="Arial" w:cs="Arial"/>
          <w:szCs w:val="24"/>
          <w:lang w:eastAsia="es-ES_tradnl"/>
        </w:rPr>
        <w:t>ii</w:t>
      </w:r>
      <w:proofErr w:type="spellEnd"/>
      <w:r w:rsidRPr="00EF4EA3">
        <w:rPr>
          <w:rFonts w:ascii="Arial" w:eastAsia="Times New Roman" w:hAnsi="Arial" w:cs="Arial"/>
          <w:szCs w:val="24"/>
          <w:lang w:eastAsia="es-ES_tradnl"/>
        </w:rPr>
        <w:t xml:space="preserve">) previo a la firma del contrato en el caso en que la modalidad de selección sea contratación directa. </w:t>
      </w:r>
    </w:p>
    <w:p w14:paraId="4E45F7B1" w14:textId="6FE60363" w:rsidR="00EF4EA3" w:rsidRDefault="00EF4EA3" w:rsidP="001600C5">
      <w:pPr>
        <w:spacing w:after="120" w:line="276" w:lineRule="auto"/>
        <w:ind w:firstLine="709"/>
        <w:jc w:val="both"/>
        <w:rPr>
          <w:rFonts w:ascii="Arial" w:eastAsia="Times New Roman" w:hAnsi="Arial" w:cs="Arial"/>
          <w:szCs w:val="24"/>
          <w:lang w:eastAsia="es-ES_tradnl"/>
        </w:rPr>
      </w:pPr>
      <w:r w:rsidRPr="00EF4EA3">
        <w:rPr>
          <w:rFonts w:ascii="Arial" w:eastAsia="Times New Roman" w:hAnsi="Arial" w:cs="Arial"/>
          <w:szCs w:val="24"/>
          <w:lang w:eastAsia="es-ES_tradnl"/>
        </w:rPr>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w:t>
      </w:r>
      <w:r w:rsidRPr="00EF4EA3">
        <w:rPr>
          <w:rFonts w:ascii="Arial" w:eastAsia="Times New Roman" w:hAnsi="Arial" w:cs="Arial"/>
          <w:szCs w:val="24"/>
          <w:vertAlign w:val="superscript"/>
          <w:lang w:eastAsia="es-ES_tradnl"/>
        </w:rPr>
        <w:footnoteReference w:id="5"/>
      </w:r>
      <w:r w:rsidRPr="00EF4EA3">
        <w:rPr>
          <w:rFonts w:ascii="Arial" w:eastAsia="Times New Roman" w:hAnsi="Arial" w:cs="Arial"/>
          <w:szCs w:val="24"/>
          <w:lang w:eastAsia="es-ES_tradnl"/>
        </w:rPr>
        <w:t xml:space="preserve">. De esta manera, de conformidad con la estructura interna de cada </w:t>
      </w:r>
      <w:r w:rsidRPr="00EF4EA3">
        <w:rPr>
          <w:rFonts w:ascii="Arial" w:eastAsia="Times New Roman" w:hAnsi="Arial" w:cs="Arial"/>
          <w:szCs w:val="24"/>
          <w:lang w:eastAsia="es-ES_tradnl"/>
        </w:rPr>
        <w:lastRenderedPageBreak/>
        <w:t xml:space="preserve">entidad, la elaboración de los estudios previos corresponderá al funcionario responsable de la dependencia </w:t>
      </w:r>
      <w:r w:rsidRPr="00EF4EA3">
        <w:rPr>
          <w:rFonts w:ascii="Arial" w:eastAsia="Times New Roman" w:hAnsi="Arial" w:cs="Arial"/>
          <w:spacing w:val="2"/>
          <w:szCs w:val="24"/>
          <w:lang w:eastAsia="es-ES_tradnl"/>
        </w:rPr>
        <w:t xml:space="preserve">con </w:t>
      </w:r>
      <w:r w:rsidRPr="00EF4EA3">
        <w:rPr>
          <w:rFonts w:ascii="Arial" w:eastAsia="Times New Roman" w:hAnsi="Arial" w:cs="Arial"/>
          <w:szCs w:val="24"/>
          <w:lang w:eastAsia="es-ES_tradnl"/>
        </w:rPr>
        <w:t>la necesidad a</w:t>
      </w:r>
      <w:r w:rsidRPr="00EF4EA3">
        <w:rPr>
          <w:rFonts w:ascii="Arial" w:eastAsia="Times New Roman" w:hAnsi="Arial" w:cs="Arial"/>
          <w:spacing w:val="-4"/>
          <w:szCs w:val="24"/>
          <w:lang w:eastAsia="es-ES_tradnl"/>
        </w:rPr>
        <w:t xml:space="preserve"> </w:t>
      </w:r>
      <w:r w:rsidRPr="00EF4EA3">
        <w:rPr>
          <w:rFonts w:ascii="Arial" w:eastAsia="Times New Roman" w:hAnsi="Arial" w:cs="Arial"/>
          <w:szCs w:val="24"/>
          <w:lang w:eastAsia="es-ES_tradnl"/>
        </w:rPr>
        <w:t>satisfacer.</w:t>
      </w:r>
    </w:p>
    <w:p w14:paraId="6D3C1FEF" w14:textId="534EB1DF" w:rsidR="00EF4EA3" w:rsidRPr="00EF4EA3" w:rsidRDefault="0008053B" w:rsidP="001600C5">
      <w:pPr>
        <w:spacing w:after="120" w:line="276" w:lineRule="auto"/>
        <w:jc w:val="both"/>
        <w:rPr>
          <w:rFonts w:ascii="Arial" w:eastAsia="Calibri" w:hAnsi="Arial" w:cs="Arial"/>
          <w:bCs/>
          <w:szCs w:val="24"/>
          <w:lang w:val="es-ES_tradnl" w:eastAsia="es-ES_tradnl"/>
        </w:rPr>
      </w:pPr>
      <w:r>
        <w:rPr>
          <w:rFonts w:ascii="Arial" w:eastAsia="Times New Roman" w:hAnsi="Arial" w:cs="Arial"/>
          <w:szCs w:val="24"/>
          <w:lang w:eastAsia="es-ES_tradnl"/>
        </w:rPr>
        <w:tab/>
      </w:r>
      <w:r w:rsidRPr="00086875">
        <w:rPr>
          <w:rFonts w:ascii="Arial" w:eastAsia="Times New Roman" w:hAnsi="Arial" w:cs="Arial"/>
          <w:szCs w:val="24"/>
          <w:lang w:eastAsia="es-ES_tradnl"/>
        </w:rPr>
        <w:t xml:space="preserve">Por otra </w:t>
      </w:r>
      <w:r>
        <w:rPr>
          <w:rFonts w:ascii="Arial" w:eastAsia="Times New Roman" w:hAnsi="Arial" w:cs="Arial"/>
          <w:szCs w:val="24"/>
          <w:lang w:eastAsia="es-ES_tradnl"/>
        </w:rPr>
        <w:t>p</w:t>
      </w:r>
      <w:r w:rsidRPr="00086875">
        <w:rPr>
          <w:rFonts w:ascii="Arial" w:eastAsia="Times New Roman" w:hAnsi="Arial" w:cs="Arial"/>
          <w:szCs w:val="24"/>
          <w:lang w:eastAsia="es-ES_tradnl"/>
        </w:rPr>
        <w:t>art</w:t>
      </w:r>
      <w:r>
        <w:rPr>
          <w:rFonts w:ascii="Arial" w:eastAsia="Times New Roman" w:hAnsi="Arial" w:cs="Arial"/>
          <w:szCs w:val="24"/>
          <w:lang w:eastAsia="es-ES_tradnl"/>
        </w:rPr>
        <w:t>e</w:t>
      </w:r>
      <w:r w:rsidRPr="00086875">
        <w:rPr>
          <w:rFonts w:ascii="Arial" w:eastAsia="Times New Roman" w:hAnsi="Arial" w:cs="Arial"/>
          <w:szCs w:val="24"/>
          <w:lang w:eastAsia="es-ES_tradnl"/>
        </w:rPr>
        <w:t>, l</w:t>
      </w:r>
      <w:r w:rsidR="00EF4EA3" w:rsidRPr="00086875">
        <w:rPr>
          <w:rFonts w:ascii="Arial" w:eastAsia="Times New Roman" w:hAnsi="Arial" w:cs="Arial"/>
          <w:szCs w:val="24"/>
          <w:lang w:eastAsia="es-ES_tradnl"/>
        </w:rPr>
        <w:t>os numerales 2 y</w:t>
      </w:r>
      <w:r w:rsidR="00EF4EA3" w:rsidRPr="0008053B">
        <w:rPr>
          <w:rFonts w:ascii="Arial" w:eastAsia="Times New Roman" w:hAnsi="Arial" w:cs="Arial"/>
          <w:szCs w:val="24"/>
          <w:lang w:eastAsia="es-ES_tradnl"/>
        </w:rPr>
        <w:t xml:space="preserve"> 4 del artículo 2.2.1.1.2.1.1 del Decreto 1082 de 2015 exigen</w:t>
      </w:r>
      <w:r w:rsidR="00EF4EA3" w:rsidRPr="00EF4EA3">
        <w:rPr>
          <w:rFonts w:ascii="Arial" w:eastAsia="Times New Roman" w:hAnsi="Arial" w:cs="Arial"/>
          <w:szCs w:val="24"/>
          <w:lang w:eastAsia="es-ES_tradnl"/>
        </w:rPr>
        <w:t xml:space="preserve"> que se determine el objeto a contratar con sus especificaciones y se estime el costo que implica la celebración del contrato. </w:t>
      </w:r>
      <w:r w:rsidR="00EF4EA3" w:rsidRPr="00EF4EA3">
        <w:rPr>
          <w:rFonts w:ascii="Arial" w:eastAsia="Calibri" w:hAnsi="Arial" w:cs="Arial"/>
          <w:bCs/>
          <w:szCs w:val="24"/>
          <w:lang w:val="es-ES_tradnl" w:eastAsia="es-ES_tradnl"/>
        </w:rPr>
        <w:t xml:space="preserve">Para cumplir </w:t>
      </w:r>
      <w:r w:rsidR="00D010B6">
        <w:rPr>
          <w:rFonts w:ascii="Arial" w:eastAsia="Calibri" w:hAnsi="Arial" w:cs="Arial"/>
          <w:bCs/>
          <w:szCs w:val="24"/>
          <w:lang w:val="es-ES_tradnl" w:eastAsia="es-ES_tradnl"/>
        </w:rPr>
        <w:t xml:space="preserve">con </w:t>
      </w:r>
      <w:r w:rsidR="00EF4EA3" w:rsidRPr="00EF4EA3">
        <w:rPr>
          <w:rFonts w:ascii="Arial" w:eastAsia="Calibri" w:hAnsi="Arial" w:cs="Arial"/>
          <w:bCs/>
          <w:szCs w:val="24"/>
          <w:lang w:val="es-ES_tradnl" w:eastAsia="es-ES_tradnl"/>
        </w:rPr>
        <w:t xml:space="preserve">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w:t>
      </w:r>
      <w:bookmarkStart w:id="10" w:name="_Hlk36117416"/>
      <w:r w:rsidR="00EF4EA3" w:rsidRPr="00EF4EA3">
        <w:rPr>
          <w:rFonts w:ascii="Arial" w:eastAsia="Calibri" w:hAnsi="Arial" w:cs="Arial"/>
          <w:bCs/>
          <w:szCs w:val="24"/>
          <w:lang w:val="es-ES_tradnl" w:eastAsia="es-ES_tradnl"/>
        </w:rPr>
        <w:t>2.2.1.1.1.6.1 del Decreto 1082 de 2015</w:t>
      </w:r>
      <w:bookmarkEnd w:id="10"/>
      <w:r w:rsidR="00EF4EA3" w:rsidRPr="00EF4EA3">
        <w:rPr>
          <w:rFonts w:ascii="Arial" w:eastAsia="Calibri" w:hAnsi="Arial" w:cs="Arial"/>
          <w:bCs/>
          <w:szCs w:val="24"/>
          <w:lang w:val="es-ES_tradnl" w:eastAsia="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36A2147A" w14:textId="77777777" w:rsidR="00EF4EA3" w:rsidRPr="00EF4EA3" w:rsidRDefault="00EF4EA3" w:rsidP="001600C5">
      <w:pPr>
        <w:spacing w:before="120" w:after="0" w:line="276" w:lineRule="auto"/>
        <w:ind w:firstLine="709"/>
        <w:jc w:val="both"/>
        <w:rPr>
          <w:rFonts w:ascii="Arial" w:eastAsia="Calibri" w:hAnsi="Arial" w:cs="Arial"/>
          <w:bCs/>
          <w:szCs w:val="24"/>
          <w:lang w:val="es-ES_tradnl" w:eastAsia="es-ES_tradnl"/>
        </w:rPr>
      </w:pPr>
      <w:r w:rsidRPr="00EF4EA3">
        <w:rPr>
          <w:rFonts w:ascii="Arial" w:eastAsia="Calibri" w:hAnsi="Arial" w:cs="Arial"/>
          <w:bCs/>
          <w:szCs w:val="24"/>
          <w:lang w:val="es-ES_tradnl" w:eastAsia="es-ES_tradnl"/>
        </w:rPr>
        <w:t xml:space="preserve">De acuerdo con la norma citada, </w:t>
      </w:r>
      <w:bookmarkStart w:id="11" w:name="_Hlk36140682"/>
      <w:r w:rsidRPr="00EF4EA3">
        <w:rPr>
          <w:rFonts w:ascii="Arial" w:eastAsia="Calibri" w:hAnsi="Arial" w:cs="Arial"/>
          <w:bCs/>
          <w:szCs w:val="24"/>
          <w:lang w:val="es-ES_tradnl" w:eastAsia="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02F86185" w14:textId="77777777" w:rsidR="00EF4EA3" w:rsidRPr="00EF4EA3" w:rsidRDefault="00EF4EA3" w:rsidP="001600C5">
      <w:pPr>
        <w:spacing w:before="120" w:after="0" w:line="276" w:lineRule="auto"/>
        <w:ind w:firstLine="709"/>
        <w:jc w:val="both"/>
        <w:rPr>
          <w:rFonts w:ascii="Arial" w:eastAsia="Calibri" w:hAnsi="Arial" w:cs="Arial"/>
          <w:bCs/>
          <w:szCs w:val="24"/>
          <w:lang w:val="es-ES_tradnl" w:eastAsia="es-ES_tradnl"/>
        </w:rPr>
      </w:pPr>
      <w:r w:rsidRPr="00EF4EA3">
        <w:rPr>
          <w:rFonts w:ascii="Arial" w:eastAsia="Calibri" w:hAnsi="Arial" w:cs="Arial"/>
          <w:bCs/>
          <w:szCs w:val="24"/>
          <w:lang w:val="es-ES_tradnl" w:eastAsia="es-ES_tradnl"/>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0DC1CC97" w14:textId="77777777" w:rsidR="00EF4EA3" w:rsidRPr="00EF4EA3" w:rsidRDefault="00EF4EA3" w:rsidP="001600C5">
      <w:pPr>
        <w:spacing w:before="120" w:after="0" w:line="276" w:lineRule="auto"/>
        <w:ind w:firstLine="709"/>
        <w:jc w:val="both"/>
        <w:rPr>
          <w:rFonts w:ascii="Arial" w:eastAsia="Calibri" w:hAnsi="Arial" w:cs="Arial"/>
          <w:bCs/>
          <w:szCs w:val="24"/>
          <w:lang w:val="es-ES_tradnl" w:eastAsia="es-ES_tradnl"/>
        </w:rPr>
      </w:pPr>
      <w:r w:rsidRPr="00EF4EA3">
        <w:rPr>
          <w:rFonts w:ascii="Arial" w:eastAsia="Calibri" w:hAnsi="Arial" w:cs="Arial"/>
          <w:bCs/>
          <w:szCs w:val="24"/>
          <w:lang w:val="es-ES_tradnl" w:eastAsia="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w:t>
      </w:r>
      <w:r w:rsidRPr="00EF4EA3">
        <w:rPr>
          <w:rFonts w:ascii="Arial" w:eastAsia="Calibri" w:hAnsi="Arial" w:cs="Arial"/>
          <w:bCs/>
          <w:szCs w:val="24"/>
          <w:lang w:val="es-ES_tradnl" w:eastAsia="es-ES_tradnl"/>
        </w:rPr>
        <w:lastRenderedPageBreak/>
        <w:t xml:space="preserve">o servicios. Así mismo, podrá estudiar la demanda para determinar cómo las entidades estatales y los particulares adquieren esos bienes, obras o servicios para extraer las mejores prácticas e información para el proceso de contratación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bookmarkEnd w:id="11"/>
    <w:p w14:paraId="4C11407F" w14:textId="3FC6D7E2" w:rsidR="00537AD2" w:rsidRPr="00EF4EA3" w:rsidRDefault="00207AEA" w:rsidP="001600C5">
      <w:pPr>
        <w:spacing w:before="120"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La </w:t>
      </w:r>
      <w:r w:rsidR="00EF4EA3" w:rsidRPr="00EF4EA3">
        <w:rPr>
          <w:rFonts w:ascii="Arial" w:eastAsia="Calibri" w:hAnsi="Arial" w:cs="Arial"/>
          <w:bCs/>
          <w:szCs w:val="24"/>
          <w:lang w:val="es-ES_tradnl" w:eastAsia="es-ES_tradnl"/>
        </w:rPr>
        <w:t>«Guía para la Elaboración de Estudios del Sector»</w:t>
      </w:r>
      <w:r w:rsidR="007B2C76">
        <w:rPr>
          <w:rStyle w:val="Refdenotaalpie"/>
          <w:rFonts w:ascii="Arial" w:eastAsia="Calibri" w:hAnsi="Arial" w:cs="Arial"/>
          <w:bCs/>
          <w:szCs w:val="24"/>
          <w:lang w:val="es-ES_tradnl" w:eastAsia="es-ES_tradnl"/>
        </w:rPr>
        <w:footnoteReference w:id="6"/>
      </w:r>
      <w:r>
        <w:rPr>
          <w:rFonts w:ascii="Arial" w:eastAsia="Calibri" w:hAnsi="Arial" w:cs="Arial"/>
          <w:bCs/>
          <w:szCs w:val="24"/>
          <w:lang w:val="es-ES_tradnl" w:eastAsia="es-ES_tradnl"/>
        </w:rPr>
        <w:t xml:space="preserve">, expedida por la Agencia Nacional de Contratación Pública – Colombia Compra Eficiente, </w:t>
      </w:r>
      <w:r w:rsidR="007B2C76">
        <w:rPr>
          <w:rFonts w:ascii="Arial" w:eastAsia="Calibri" w:hAnsi="Arial" w:cs="Arial"/>
          <w:bCs/>
          <w:szCs w:val="24"/>
          <w:lang w:val="es-ES_tradnl" w:eastAsia="es-ES_tradnl"/>
        </w:rPr>
        <w:t xml:space="preserve">en relación con el análisis de la </w:t>
      </w:r>
      <w:r w:rsidR="00C93F10">
        <w:rPr>
          <w:rFonts w:ascii="Arial" w:eastAsia="Calibri" w:hAnsi="Arial" w:cs="Arial"/>
          <w:bCs/>
          <w:szCs w:val="24"/>
          <w:lang w:val="es-ES_tradnl" w:eastAsia="es-ES_tradnl"/>
        </w:rPr>
        <w:t>d</w:t>
      </w:r>
      <w:r w:rsidR="007B2C76">
        <w:rPr>
          <w:rFonts w:ascii="Arial" w:eastAsia="Calibri" w:hAnsi="Arial" w:cs="Arial"/>
          <w:bCs/>
          <w:szCs w:val="24"/>
          <w:lang w:val="es-ES_tradnl" w:eastAsia="es-ES_tradnl"/>
        </w:rPr>
        <w:t xml:space="preserve">emanda, </w:t>
      </w:r>
      <w:r w:rsidR="00C93F10">
        <w:rPr>
          <w:rFonts w:ascii="Arial" w:eastAsia="Calibri" w:hAnsi="Arial" w:cs="Arial"/>
          <w:bCs/>
          <w:szCs w:val="24"/>
          <w:lang w:val="es-ES_tradnl" w:eastAsia="es-ES_tradnl"/>
        </w:rPr>
        <w:t xml:space="preserve">dispone que </w:t>
      </w:r>
      <w:r w:rsidR="00537AD2">
        <w:rPr>
          <w:rFonts w:ascii="Arial" w:eastAsia="Calibri" w:hAnsi="Arial" w:cs="Arial"/>
          <w:bCs/>
          <w:szCs w:val="24"/>
          <w:lang w:val="es-ES_tradnl" w:eastAsia="es-ES_tradnl"/>
        </w:rPr>
        <w:t xml:space="preserve">las entidades pueden acudir a la revisión del gasto histórico. </w:t>
      </w:r>
      <w:r w:rsidR="007B2C76">
        <w:rPr>
          <w:rFonts w:ascii="Arial" w:eastAsia="Calibri" w:hAnsi="Arial" w:cs="Arial"/>
          <w:bCs/>
          <w:szCs w:val="24"/>
          <w:lang w:val="es-ES_tradnl" w:eastAsia="es-ES_tradnl"/>
        </w:rPr>
        <w:t>Est</w:t>
      </w:r>
      <w:r w:rsidR="00C93F10">
        <w:rPr>
          <w:rFonts w:ascii="Arial" w:eastAsia="Calibri" w:hAnsi="Arial" w:cs="Arial"/>
          <w:bCs/>
          <w:szCs w:val="24"/>
          <w:lang w:val="es-ES_tradnl" w:eastAsia="es-ES_tradnl"/>
        </w:rPr>
        <w:t>a herramienta</w:t>
      </w:r>
      <w:r w:rsidR="007B2C76">
        <w:rPr>
          <w:rFonts w:ascii="Arial" w:eastAsia="Calibri" w:hAnsi="Arial" w:cs="Arial"/>
          <w:bCs/>
          <w:szCs w:val="24"/>
          <w:lang w:val="es-ES_tradnl" w:eastAsia="es-ES_tradnl"/>
        </w:rPr>
        <w:t xml:space="preserve"> sirve de referente para futuros </w:t>
      </w:r>
      <w:r w:rsidR="00C93F10">
        <w:rPr>
          <w:rFonts w:ascii="Arial" w:eastAsia="Calibri" w:hAnsi="Arial" w:cs="Arial"/>
          <w:bCs/>
          <w:szCs w:val="24"/>
          <w:lang w:val="es-ES_tradnl" w:eastAsia="es-ES_tradnl"/>
        </w:rPr>
        <w:t>p</w:t>
      </w:r>
      <w:r w:rsidR="007B2C76">
        <w:rPr>
          <w:rFonts w:ascii="Arial" w:eastAsia="Calibri" w:hAnsi="Arial" w:cs="Arial"/>
          <w:bCs/>
          <w:szCs w:val="24"/>
          <w:lang w:val="es-ES_tradnl" w:eastAsia="es-ES_tradnl"/>
        </w:rPr>
        <w:t xml:space="preserve">rocesos de </w:t>
      </w:r>
      <w:r w:rsidR="00C93F10">
        <w:rPr>
          <w:rFonts w:ascii="Arial" w:eastAsia="Calibri" w:hAnsi="Arial" w:cs="Arial"/>
          <w:bCs/>
          <w:szCs w:val="24"/>
          <w:lang w:val="es-ES_tradnl" w:eastAsia="es-ES_tradnl"/>
        </w:rPr>
        <w:t>c</w:t>
      </w:r>
      <w:r w:rsidR="007B2C76">
        <w:rPr>
          <w:rFonts w:ascii="Arial" w:eastAsia="Calibri" w:hAnsi="Arial" w:cs="Arial"/>
          <w:bCs/>
          <w:szCs w:val="24"/>
          <w:lang w:val="es-ES_tradnl" w:eastAsia="es-ES_tradnl"/>
        </w:rPr>
        <w:t xml:space="preserve">ontratación </w:t>
      </w:r>
      <w:r w:rsidR="00C93F10">
        <w:rPr>
          <w:rFonts w:ascii="Arial" w:eastAsia="Calibri" w:hAnsi="Arial" w:cs="Arial"/>
          <w:bCs/>
          <w:szCs w:val="24"/>
          <w:lang w:val="es-ES_tradnl" w:eastAsia="es-ES_tradnl"/>
        </w:rPr>
        <w:t xml:space="preserve">que pretenda adelantar la entidad, </w:t>
      </w:r>
      <w:r w:rsidR="007B2C76">
        <w:rPr>
          <w:rFonts w:ascii="Arial" w:eastAsia="Calibri" w:hAnsi="Arial" w:cs="Arial"/>
          <w:bCs/>
          <w:szCs w:val="24"/>
          <w:lang w:val="es-ES_tradnl" w:eastAsia="es-ES_tradnl"/>
        </w:rPr>
        <w:t xml:space="preserve">y provee información necesaria en cuanto a aspectos relacionados con: i) la relevancia de categorías de compras, </w:t>
      </w:r>
      <w:proofErr w:type="spellStart"/>
      <w:r w:rsidR="007B2C76">
        <w:rPr>
          <w:rFonts w:ascii="Arial" w:eastAsia="Calibri" w:hAnsi="Arial" w:cs="Arial"/>
          <w:bCs/>
          <w:szCs w:val="24"/>
          <w:lang w:val="es-ES_tradnl" w:eastAsia="es-ES_tradnl"/>
        </w:rPr>
        <w:t>ii</w:t>
      </w:r>
      <w:proofErr w:type="spellEnd"/>
      <w:r w:rsidR="007B2C76">
        <w:rPr>
          <w:rFonts w:ascii="Arial" w:eastAsia="Calibri" w:hAnsi="Arial" w:cs="Arial"/>
          <w:bCs/>
          <w:szCs w:val="24"/>
          <w:lang w:val="es-ES_tradnl" w:eastAsia="es-ES_tradnl"/>
        </w:rPr>
        <w:t xml:space="preserve">) los principales y </w:t>
      </w:r>
      <w:r w:rsidR="00CF41FA">
        <w:rPr>
          <w:rFonts w:ascii="Arial" w:eastAsia="Calibri" w:hAnsi="Arial" w:cs="Arial"/>
          <w:bCs/>
          <w:szCs w:val="24"/>
          <w:lang w:val="es-ES_tradnl" w:eastAsia="es-ES_tradnl"/>
        </w:rPr>
        <w:t>potenciales</w:t>
      </w:r>
      <w:r w:rsidR="007B2C76">
        <w:rPr>
          <w:rFonts w:ascii="Arial" w:eastAsia="Calibri" w:hAnsi="Arial" w:cs="Arial"/>
          <w:bCs/>
          <w:szCs w:val="24"/>
          <w:lang w:val="es-ES_tradnl" w:eastAsia="es-ES_tradnl"/>
        </w:rPr>
        <w:t xml:space="preserve"> proveedores, </w:t>
      </w:r>
      <w:proofErr w:type="spellStart"/>
      <w:r w:rsidR="007B2C76">
        <w:rPr>
          <w:rFonts w:ascii="Arial" w:eastAsia="Calibri" w:hAnsi="Arial" w:cs="Arial"/>
          <w:bCs/>
          <w:szCs w:val="24"/>
          <w:lang w:val="es-ES_tradnl" w:eastAsia="es-ES_tradnl"/>
        </w:rPr>
        <w:t>iii</w:t>
      </w:r>
      <w:proofErr w:type="spellEnd"/>
      <w:r w:rsidR="007B2C76">
        <w:rPr>
          <w:rFonts w:ascii="Arial" w:eastAsia="Calibri" w:hAnsi="Arial" w:cs="Arial"/>
          <w:bCs/>
          <w:szCs w:val="24"/>
          <w:lang w:val="es-ES_tradnl" w:eastAsia="es-ES_tradnl"/>
        </w:rPr>
        <w:t xml:space="preserve">) </w:t>
      </w:r>
      <w:r w:rsidR="007B2C76" w:rsidRPr="00086875">
        <w:rPr>
          <w:rFonts w:ascii="Arial" w:eastAsia="Calibri" w:hAnsi="Arial" w:cs="Arial"/>
          <w:bCs/>
          <w:i/>
          <w:iCs/>
          <w:szCs w:val="24"/>
          <w:lang w:val="es-ES_tradnl" w:eastAsia="es-ES_tradnl"/>
        </w:rPr>
        <w:t>los históricos de precios,</w:t>
      </w:r>
      <w:r w:rsidR="007B2C76">
        <w:rPr>
          <w:rFonts w:ascii="Arial" w:eastAsia="Calibri" w:hAnsi="Arial" w:cs="Arial"/>
          <w:bCs/>
          <w:szCs w:val="24"/>
          <w:lang w:val="es-ES_tradnl" w:eastAsia="es-ES_tradnl"/>
        </w:rPr>
        <w:t xml:space="preserve"> </w:t>
      </w:r>
      <w:proofErr w:type="spellStart"/>
      <w:r w:rsidR="007B2C76">
        <w:rPr>
          <w:rFonts w:ascii="Arial" w:eastAsia="Calibri" w:hAnsi="Arial" w:cs="Arial"/>
          <w:bCs/>
          <w:szCs w:val="24"/>
          <w:lang w:val="es-ES_tradnl" w:eastAsia="es-ES_tradnl"/>
        </w:rPr>
        <w:t>iv</w:t>
      </w:r>
      <w:proofErr w:type="spellEnd"/>
      <w:r w:rsidR="007B2C76">
        <w:rPr>
          <w:rFonts w:ascii="Arial" w:eastAsia="Calibri" w:hAnsi="Arial" w:cs="Arial"/>
          <w:bCs/>
          <w:szCs w:val="24"/>
          <w:lang w:val="es-ES_tradnl" w:eastAsia="es-ES_tradnl"/>
        </w:rPr>
        <w:t xml:space="preserve">) la retroalimentación general del mercado, entre otros. </w:t>
      </w:r>
      <w:r w:rsidR="00537AD2">
        <w:rPr>
          <w:rFonts w:ascii="Arial" w:eastAsia="Calibri" w:hAnsi="Arial" w:cs="Arial"/>
          <w:bCs/>
          <w:szCs w:val="24"/>
          <w:lang w:val="es-ES_tradnl" w:eastAsia="es-ES_tradnl"/>
        </w:rPr>
        <w:t xml:space="preserve">Mediante esta herramienta la entidad puede determinar </w:t>
      </w:r>
      <w:r w:rsidR="00C7535E">
        <w:rPr>
          <w:rFonts w:ascii="Arial" w:eastAsia="Calibri" w:hAnsi="Arial" w:cs="Arial"/>
          <w:bCs/>
          <w:szCs w:val="24"/>
          <w:lang w:val="es-ES_tradnl" w:eastAsia="es-ES_tradnl"/>
        </w:rPr>
        <w:t>cómo</w:t>
      </w:r>
      <w:r w:rsidR="00537AD2">
        <w:rPr>
          <w:rFonts w:ascii="Arial" w:eastAsia="Calibri" w:hAnsi="Arial" w:cs="Arial"/>
          <w:bCs/>
          <w:szCs w:val="24"/>
          <w:lang w:val="es-ES_tradnl" w:eastAsia="es-ES_tradnl"/>
        </w:rPr>
        <w:t xml:space="preserve"> ha adquirido en el pasado el bien, obra o servicio, o como adquieren </w:t>
      </w:r>
      <w:r w:rsidR="00C93F10">
        <w:rPr>
          <w:rFonts w:ascii="Arial" w:eastAsia="Calibri" w:hAnsi="Arial" w:cs="Arial"/>
          <w:bCs/>
          <w:szCs w:val="24"/>
          <w:lang w:val="es-ES_tradnl" w:eastAsia="es-ES_tradnl"/>
        </w:rPr>
        <w:t>otras entidades estatales</w:t>
      </w:r>
      <w:r w:rsidR="00537AD2">
        <w:rPr>
          <w:rFonts w:ascii="Arial" w:eastAsia="Calibri" w:hAnsi="Arial" w:cs="Arial"/>
          <w:bCs/>
          <w:szCs w:val="24"/>
          <w:lang w:val="es-ES_tradnl" w:eastAsia="es-ES_tradnl"/>
        </w:rPr>
        <w:t xml:space="preserve"> y las empresas privadas </w:t>
      </w:r>
      <w:r w:rsidR="00C93F10">
        <w:rPr>
          <w:rFonts w:ascii="Arial" w:eastAsia="Calibri" w:hAnsi="Arial" w:cs="Arial"/>
          <w:bCs/>
          <w:szCs w:val="24"/>
          <w:lang w:val="es-ES_tradnl" w:eastAsia="es-ES_tradnl"/>
        </w:rPr>
        <w:t xml:space="preserve">un determinado </w:t>
      </w:r>
      <w:r w:rsidR="00537AD2">
        <w:rPr>
          <w:rFonts w:ascii="Arial" w:eastAsia="Calibri" w:hAnsi="Arial" w:cs="Arial"/>
          <w:bCs/>
          <w:szCs w:val="24"/>
          <w:lang w:val="es-ES_tradnl" w:eastAsia="es-ES_tradnl"/>
        </w:rPr>
        <w:t xml:space="preserve">bien, obra o servicios. </w:t>
      </w:r>
    </w:p>
    <w:p w14:paraId="4357124E" w14:textId="7B021A16" w:rsidR="00584F2F" w:rsidRDefault="00CF41FA" w:rsidP="00B03DC3">
      <w:pPr>
        <w:spacing w:after="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El estudio de mercado permite comprender la dinámica de los </w:t>
      </w:r>
      <w:r w:rsidR="008F451C">
        <w:rPr>
          <w:rFonts w:ascii="Arial" w:eastAsia="Calibri" w:hAnsi="Arial" w:cs="Arial"/>
          <w:bCs/>
          <w:szCs w:val="24"/>
          <w:lang w:val="es-ES_tradnl" w:eastAsia="es-ES_tradnl"/>
        </w:rPr>
        <w:t>precios</w:t>
      </w:r>
      <w:r>
        <w:rPr>
          <w:rFonts w:ascii="Arial" w:eastAsia="Calibri" w:hAnsi="Arial" w:cs="Arial"/>
          <w:bCs/>
          <w:szCs w:val="24"/>
          <w:lang w:val="es-ES_tradnl" w:eastAsia="es-ES_tradnl"/>
        </w:rPr>
        <w:t xml:space="preserve"> y establecer el presupuesto oficial de la contratación. Este comprende la realización de un análisis de los diferentes precios de los bienes y servicios </w:t>
      </w:r>
      <w:r w:rsidR="00C93F10">
        <w:rPr>
          <w:rFonts w:ascii="Arial" w:eastAsia="Calibri" w:hAnsi="Arial" w:cs="Arial"/>
          <w:bCs/>
          <w:szCs w:val="24"/>
          <w:lang w:val="es-ES_tradnl" w:eastAsia="es-ES_tradnl"/>
        </w:rPr>
        <w:t xml:space="preserve">a </w:t>
      </w:r>
      <w:r>
        <w:rPr>
          <w:rFonts w:ascii="Arial" w:eastAsia="Calibri" w:hAnsi="Arial" w:cs="Arial"/>
          <w:bCs/>
          <w:szCs w:val="24"/>
          <w:lang w:val="es-ES_tradnl" w:eastAsia="es-ES_tradnl"/>
        </w:rPr>
        <w:t>contrata</w:t>
      </w:r>
      <w:r w:rsidR="00C93F10">
        <w:rPr>
          <w:rFonts w:ascii="Arial" w:eastAsia="Calibri" w:hAnsi="Arial" w:cs="Arial"/>
          <w:bCs/>
          <w:szCs w:val="24"/>
          <w:lang w:val="es-ES_tradnl" w:eastAsia="es-ES_tradnl"/>
        </w:rPr>
        <w:t>r</w:t>
      </w:r>
      <w:r>
        <w:rPr>
          <w:rFonts w:ascii="Arial" w:eastAsia="Calibri" w:hAnsi="Arial" w:cs="Arial"/>
          <w:bCs/>
          <w:szCs w:val="24"/>
          <w:lang w:val="es-ES_tradnl" w:eastAsia="es-ES_tradnl"/>
        </w:rPr>
        <w:t xml:space="preserve"> que se registran en el mercado</w:t>
      </w:r>
      <w:r w:rsidR="00584F2F">
        <w:rPr>
          <w:rFonts w:ascii="Arial" w:eastAsia="Calibri" w:hAnsi="Arial" w:cs="Arial"/>
          <w:bCs/>
          <w:szCs w:val="24"/>
          <w:lang w:val="es-ES_tradnl" w:eastAsia="es-ES_tradnl"/>
        </w:rPr>
        <w:t>.</w:t>
      </w:r>
    </w:p>
    <w:p w14:paraId="3113B803" w14:textId="77777777" w:rsidR="00554071" w:rsidRDefault="00554071" w:rsidP="00B03DC3">
      <w:pPr>
        <w:spacing w:after="0" w:line="276" w:lineRule="auto"/>
        <w:contextualSpacing/>
        <w:jc w:val="both"/>
        <w:rPr>
          <w:rFonts w:ascii="Arial" w:hAnsi="Arial" w:cs="Arial"/>
          <w:b/>
          <w:lang w:val="es-ES_tradnl"/>
        </w:rPr>
      </w:pPr>
    </w:p>
    <w:p w14:paraId="4834B8B8" w14:textId="2CC23263" w:rsidR="00554071" w:rsidRPr="0033016F" w:rsidRDefault="00554071" w:rsidP="00B03DC3">
      <w:pPr>
        <w:spacing w:after="0" w:line="276" w:lineRule="auto"/>
        <w:contextualSpacing/>
        <w:jc w:val="both"/>
        <w:rPr>
          <w:rFonts w:ascii="Arial" w:hAnsi="Arial" w:cs="Arial"/>
          <w:b/>
          <w:lang w:val="es-ES_tradnl"/>
        </w:rPr>
      </w:pPr>
      <w:r w:rsidRPr="0033016F">
        <w:rPr>
          <w:rFonts w:ascii="Arial" w:hAnsi="Arial" w:cs="Arial"/>
          <w:b/>
          <w:lang w:val="es-ES_tradnl"/>
        </w:rPr>
        <w:t>2.</w:t>
      </w:r>
      <w:r>
        <w:rPr>
          <w:rFonts w:ascii="Arial" w:hAnsi="Arial" w:cs="Arial"/>
          <w:b/>
          <w:lang w:val="es-ES_tradnl"/>
        </w:rPr>
        <w:t>2</w:t>
      </w:r>
      <w:r w:rsidRPr="0033016F">
        <w:rPr>
          <w:rFonts w:ascii="Arial" w:hAnsi="Arial" w:cs="Arial"/>
          <w:b/>
          <w:lang w:val="es-ES_tradnl"/>
        </w:rPr>
        <w:t>. Autonomía para calcular el precio</w:t>
      </w:r>
      <w:r>
        <w:rPr>
          <w:rFonts w:ascii="Arial" w:hAnsi="Arial" w:cs="Arial"/>
          <w:b/>
          <w:lang w:val="es-ES_tradnl"/>
        </w:rPr>
        <w:t xml:space="preserve"> y la forma de pago en</w:t>
      </w:r>
      <w:r w:rsidRPr="0033016F">
        <w:rPr>
          <w:rFonts w:ascii="Arial" w:hAnsi="Arial" w:cs="Arial"/>
          <w:b/>
          <w:lang w:val="es-ES_tradnl"/>
        </w:rPr>
        <w:t xml:space="preserve"> los contratos estatales</w:t>
      </w:r>
    </w:p>
    <w:p w14:paraId="5104F14E" w14:textId="77777777" w:rsidR="00554071" w:rsidRDefault="00554071" w:rsidP="00B03DC3">
      <w:pPr>
        <w:spacing w:after="0" w:line="276" w:lineRule="auto"/>
        <w:ind w:firstLine="709"/>
        <w:contextualSpacing/>
        <w:jc w:val="both"/>
        <w:rPr>
          <w:rFonts w:ascii="Arial" w:eastAsia="Calibri" w:hAnsi="Arial" w:cs="Arial"/>
          <w:lang w:val="es-MX"/>
        </w:rPr>
      </w:pPr>
    </w:p>
    <w:p w14:paraId="0BCE3B3D" w14:textId="09810A3F" w:rsidR="00584F2F" w:rsidRPr="00EF4EA3" w:rsidRDefault="00C7535E" w:rsidP="00B03DC3">
      <w:pPr>
        <w:spacing w:after="120" w:line="276" w:lineRule="auto"/>
        <w:jc w:val="both"/>
        <w:rPr>
          <w:rFonts w:ascii="Arial" w:eastAsia="Calibri" w:hAnsi="Arial" w:cs="Arial"/>
          <w:lang w:val="es-MX"/>
        </w:rPr>
      </w:pPr>
      <w:r>
        <w:rPr>
          <w:rFonts w:ascii="Arial" w:eastAsia="Calibri" w:hAnsi="Arial" w:cs="Arial"/>
          <w:lang w:val="es-MX"/>
        </w:rPr>
        <w:t>En relación con e</w:t>
      </w:r>
      <w:r w:rsidR="00584F2F" w:rsidRPr="00EF4EA3">
        <w:rPr>
          <w:rFonts w:ascii="Arial" w:eastAsia="Calibri" w:hAnsi="Arial" w:cs="Arial"/>
          <w:lang w:val="es-MX"/>
        </w:rPr>
        <w:t>l precio</w:t>
      </w:r>
      <w:r>
        <w:rPr>
          <w:rFonts w:ascii="Arial" w:eastAsia="Calibri" w:hAnsi="Arial" w:cs="Arial"/>
          <w:lang w:val="es-MX"/>
        </w:rPr>
        <w:t xml:space="preserve">, </w:t>
      </w:r>
      <w:r w:rsidR="00554071">
        <w:rPr>
          <w:rFonts w:ascii="Arial" w:eastAsia="Calibri" w:hAnsi="Arial" w:cs="Arial"/>
          <w:lang w:val="es-MX"/>
        </w:rPr>
        <w:t xml:space="preserve">debe señalarse que </w:t>
      </w:r>
      <w:r>
        <w:rPr>
          <w:rFonts w:ascii="Arial" w:eastAsia="Calibri" w:hAnsi="Arial" w:cs="Arial"/>
          <w:lang w:val="es-MX"/>
        </w:rPr>
        <w:t>este</w:t>
      </w:r>
      <w:r w:rsidR="00584F2F" w:rsidRPr="00EF4EA3">
        <w:rPr>
          <w:rFonts w:ascii="Arial" w:eastAsia="Calibri" w:hAnsi="Arial" w:cs="Arial"/>
          <w:lang w:val="es-MX"/>
        </w:rPr>
        <w:t xml:space="preserve"> es el «valor pecuniario en que se estima algo»</w:t>
      </w:r>
      <w:r w:rsidR="00584F2F" w:rsidRPr="00EF4EA3">
        <w:rPr>
          <w:rFonts w:ascii="Arial" w:eastAsia="Calibri" w:hAnsi="Arial" w:cs="Arial"/>
          <w:vertAlign w:val="superscript"/>
          <w:lang w:val="es-MX"/>
        </w:rPr>
        <w:footnoteReference w:id="7"/>
      </w:r>
      <w:r w:rsidR="00584F2F" w:rsidRPr="00EF4EA3">
        <w:rPr>
          <w:rFonts w:ascii="Arial" w:eastAsia="Calibri" w:hAnsi="Arial" w:cs="Arial"/>
          <w:lang w:val="es-MX"/>
        </w:rPr>
        <w:t>. En nuestro ordenamiento jurídico, tenemos una definición de precio en el Código Civil y en el Código de Comercio. Ambas codificaciones, al regular el contrato de compraventa, definen el precio como el dinero que el comprador entrega a cambio de la cosa vendida</w:t>
      </w:r>
      <w:r w:rsidR="00CA0FFE">
        <w:rPr>
          <w:rStyle w:val="Refdenotaalpie"/>
          <w:rFonts w:ascii="Arial" w:eastAsia="Calibri" w:hAnsi="Arial" w:cs="Arial"/>
          <w:lang w:val="es-MX"/>
        </w:rPr>
        <w:footnoteReference w:id="8"/>
      </w:r>
      <w:r w:rsidR="00CA0FFE">
        <w:rPr>
          <w:rFonts w:ascii="Arial" w:eastAsia="Calibri" w:hAnsi="Arial" w:cs="Arial"/>
          <w:lang w:val="es-MX"/>
        </w:rPr>
        <w:t>.</w:t>
      </w:r>
    </w:p>
    <w:p w14:paraId="23E783D4" w14:textId="77777777" w:rsidR="00584F2F" w:rsidRPr="00EF4EA3" w:rsidRDefault="00584F2F" w:rsidP="001600C5">
      <w:pPr>
        <w:spacing w:after="120" w:line="276" w:lineRule="auto"/>
        <w:ind w:firstLine="708"/>
        <w:jc w:val="both"/>
        <w:rPr>
          <w:rFonts w:ascii="Arial" w:eastAsia="Times New Roman" w:hAnsi="Arial" w:cs="Arial"/>
          <w:bCs/>
          <w:szCs w:val="24"/>
          <w:lang w:val="es-ES" w:eastAsia="es-ES_tradnl"/>
        </w:rPr>
      </w:pPr>
      <w:r w:rsidRPr="00EF4EA3">
        <w:rPr>
          <w:rFonts w:ascii="Arial" w:eastAsia="Times New Roman" w:hAnsi="Arial" w:cs="Arial"/>
          <w:bCs/>
          <w:szCs w:val="24"/>
          <w:lang w:val="es-ES_tradnl" w:eastAsia="es-ES_tradnl"/>
        </w:rPr>
        <w:lastRenderedPageBreak/>
        <w:t>Como es sabido, uno de los elementos de los contratos estatales es el precio, que por lo general se identifica con el valor del contrato. Aunque no todo contrato lo incluye –pues también existen negocios gratuitos– lo usual es que los contratos estatales se perfeccionen como 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w:t>
      </w:r>
      <w:r w:rsidRPr="00EF4EA3">
        <w:rPr>
          <w:rFonts w:ascii="Arial" w:eastAsia="Times New Roman" w:hAnsi="Arial" w:cs="Arial"/>
          <w:bCs/>
          <w:szCs w:val="24"/>
          <w:vertAlign w:val="superscript"/>
          <w:lang w:val="es-ES_tradnl" w:eastAsia="es-ES_tradnl"/>
        </w:rPr>
        <w:footnoteReference w:id="9"/>
      </w:r>
      <w:r w:rsidRPr="00EF4EA3">
        <w:rPr>
          <w:rFonts w:ascii="Arial" w:eastAsia="Times New Roman" w:hAnsi="Arial" w:cs="Arial"/>
          <w:bCs/>
          <w:szCs w:val="24"/>
          <w:lang w:val="es-ES_tradnl" w:eastAsia="es-ES_tradnl"/>
        </w:rPr>
        <w:t>, en los términos de los artículos 1864 y 1865 del Código Civil y, de manera general está compuesto por dos elementos esenciales: los costos y la utilidad, cuya estructuración interna depende de las condiciones técnicas, financieras, regulatorias, etc. de cada contrato</w:t>
      </w:r>
      <w:r w:rsidRPr="00EF4EA3">
        <w:rPr>
          <w:rFonts w:ascii="Arial" w:eastAsia="Times New Roman" w:hAnsi="Arial" w:cs="Arial"/>
          <w:bCs/>
          <w:szCs w:val="24"/>
          <w:vertAlign w:val="superscript"/>
          <w:lang w:val="es-ES_tradnl" w:eastAsia="es-ES_tradnl"/>
        </w:rPr>
        <w:footnoteReference w:id="10"/>
      </w:r>
      <w:r w:rsidRPr="00EF4EA3">
        <w:rPr>
          <w:rFonts w:ascii="Arial" w:eastAsia="Times New Roman" w:hAnsi="Arial" w:cs="Arial"/>
          <w:bCs/>
          <w:szCs w:val="24"/>
          <w:lang w:val="es-ES_tradnl" w:eastAsia="es-ES_tradnl"/>
        </w:rPr>
        <w:t>.</w:t>
      </w:r>
    </w:p>
    <w:p w14:paraId="1C06084B" w14:textId="77777777" w:rsidR="00B940CF" w:rsidRPr="0033016F" w:rsidRDefault="00584F2F" w:rsidP="00B940CF">
      <w:pPr>
        <w:spacing w:before="120" w:after="120" w:line="276" w:lineRule="auto"/>
        <w:ind w:firstLine="709"/>
        <w:jc w:val="both"/>
        <w:rPr>
          <w:rFonts w:ascii="Arial" w:hAnsi="Arial" w:cs="Arial"/>
          <w:bCs/>
          <w:lang w:val="es-ES_tradnl"/>
        </w:rPr>
      </w:pPr>
      <w:r w:rsidRPr="00EF4EA3">
        <w:rPr>
          <w:rFonts w:ascii="Arial" w:eastAsia="Times New Roman" w:hAnsi="Arial" w:cs="Arial"/>
          <w:bCs/>
          <w:szCs w:val="24"/>
          <w:lang w:val="es-ES_tradnl" w:eastAsia="es-ES_tradnl"/>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w:t>
      </w:r>
      <w:r w:rsidR="00B940CF" w:rsidRPr="0033016F">
        <w:rPr>
          <w:rFonts w:ascii="Arial" w:hAnsi="Arial" w:cs="Arial"/>
          <w:bCs/>
          <w:lang w:val="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00B940CF" w:rsidRPr="0033016F">
        <w:rPr>
          <w:rFonts w:ascii="Arial" w:hAnsi="Arial" w:cs="Arial"/>
          <w:bCs/>
          <w:lang w:val="es-ES_tradnl"/>
        </w:rPr>
        <w:t>ii</w:t>
      </w:r>
      <w:proofErr w:type="spellEnd"/>
      <w:r w:rsidR="00B940CF" w:rsidRPr="0033016F">
        <w:rPr>
          <w:rFonts w:ascii="Arial" w:hAnsi="Arial" w:cs="Arial"/>
          <w:bCs/>
          <w:lang w:val="es-ES_tradnl"/>
        </w:rPr>
        <w:t xml:space="preserve">) el precio global –que equivale al monto total, sin discriminar unidades–, y </w:t>
      </w:r>
      <w:proofErr w:type="spellStart"/>
      <w:r w:rsidR="00B940CF" w:rsidRPr="0033016F">
        <w:rPr>
          <w:rFonts w:ascii="Arial" w:hAnsi="Arial" w:cs="Arial"/>
          <w:bCs/>
          <w:lang w:val="es-ES_tradnl"/>
        </w:rPr>
        <w:t>iii</w:t>
      </w:r>
      <w:proofErr w:type="spellEnd"/>
      <w:r w:rsidR="00B940CF" w:rsidRPr="0033016F">
        <w:rPr>
          <w:rFonts w:ascii="Arial" w:hAnsi="Arial" w:cs="Arial"/>
          <w:bCs/>
          <w:lang w:val="es-ES_tradnl"/>
        </w:rPr>
        <w:t>) la administración delegada de recursos –en la que se distinguen los costos de inversión de los honorarios del administrador–.</w:t>
      </w:r>
    </w:p>
    <w:p w14:paraId="265851AB" w14:textId="0AF4B4FC" w:rsidR="00C93F10" w:rsidRDefault="002A7601" w:rsidP="001600C5">
      <w:pPr>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La </w:t>
      </w:r>
      <w:r w:rsidRPr="00EF4EA3">
        <w:rPr>
          <w:rFonts w:ascii="Arial" w:eastAsia="Calibri" w:hAnsi="Arial" w:cs="Arial"/>
          <w:bCs/>
          <w:szCs w:val="24"/>
          <w:lang w:val="es-ES_tradnl" w:eastAsia="es-ES_tradnl"/>
        </w:rPr>
        <w:t>«Guía para la Elaboración de Estudios del Sector</w:t>
      </w:r>
      <w:r>
        <w:rPr>
          <w:rFonts w:ascii="Arial" w:eastAsia="Calibri" w:hAnsi="Arial" w:cs="Arial"/>
          <w:bCs/>
          <w:szCs w:val="24"/>
          <w:lang w:val="es-ES_tradnl" w:eastAsia="es-ES_tradnl"/>
        </w:rPr>
        <w:t xml:space="preserve">» dispone que el análisis de los diferentes precios de los bienes y servicios a contratar que se registran en el mercado, </w:t>
      </w:r>
      <w:r w:rsidR="00CF41FA">
        <w:rPr>
          <w:rFonts w:ascii="Arial" w:eastAsia="Calibri" w:hAnsi="Arial" w:cs="Arial"/>
          <w:bCs/>
          <w:szCs w:val="24"/>
          <w:lang w:val="es-ES_tradnl" w:eastAsia="es-ES_tradnl"/>
        </w:rPr>
        <w:t>pueden consultarse a través de mecanismo como</w:t>
      </w:r>
      <w:r>
        <w:rPr>
          <w:rFonts w:ascii="Arial" w:eastAsia="Calibri" w:hAnsi="Arial" w:cs="Arial"/>
          <w:bCs/>
          <w:szCs w:val="24"/>
          <w:lang w:val="es-ES_tradnl" w:eastAsia="es-ES_tradnl"/>
        </w:rPr>
        <w:t xml:space="preserve">: i) </w:t>
      </w:r>
      <w:r w:rsidR="00CF41FA">
        <w:rPr>
          <w:rFonts w:ascii="Arial" w:eastAsia="Calibri" w:hAnsi="Arial" w:cs="Arial"/>
          <w:bCs/>
          <w:szCs w:val="24"/>
          <w:lang w:val="es-ES_tradnl" w:eastAsia="es-ES_tradnl"/>
        </w:rPr>
        <w:t>la solicitud de cotizaciones</w:t>
      </w:r>
      <w:r w:rsidR="00584F2F">
        <w:rPr>
          <w:rFonts w:ascii="Arial" w:eastAsia="Calibri" w:hAnsi="Arial" w:cs="Arial"/>
          <w:bCs/>
          <w:szCs w:val="24"/>
          <w:lang w:val="es-ES_tradnl" w:eastAsia="es-ES_tradnl"/>
        </w:rPr>
        <w:t>,</w:t>
      </w:r>
      <w:r>
        <w:rPr>
          <w:rFonts w:ascii="Arial" w:eastAsia="Calibri" w:hAnsi="Arial" w:cs="Arial"/>
          <w:bCs/>
          <w:szCs w:val="24"/>
          <w:lang w:val="es-ES_tradnl" w:eastAsia="es-ES_tradnl"/>
        </w:rPr>
        <w:t xml:space="preserve"> </w:t>
      </w:r>
      <w:proofErr w:type="spellStart"/>
      <w:r>
        <w:rPr>
          <w:rFonts w:ascii="Arial" w:eastAsia="Calibri" w:hAnsi="Arial" w:cs="Arial"/>
          <w:bCs/>
          <w:szCs w:val="24"/>
          <w:lang w:val="es-ES_tradnl" w:eastAsia="es-ES_tradnl"/>
        </w:rPr>
        <w:t>ii</w:t>
      </w:r>
      <w:proofErr w:type="spellEnd"/>
      <w:r>
        <w:rPr>
          <w:rFonts w:ascii="Arial" w:eastAsia="Calibri" w:hAnsi="Arial" w:cs="Arial"/>
          <w:bCs/>
          <w:szCs w:val="24"/>
          <w:lang w:val="es-ES_tradnl" w:eastAsia="es-ES_tradnl"/>
        </w:rPr>
        <w:t>)</w:t>
      </w:r>
      <w:r w:rsidR="00C93F10">
        <w:rPr>
          <w:rFonts w:ascii="Arial" w:eastAsia="Calibri" w:hAnsi="Arial" w:cs="Arial"/>
          <w:bCs/>
          <w:szCs w:val="24"/>
          <w:lang w:val="es-ES_tradnl" w:eastAsia="es-ES_tradnl"/>
        </w:rPr>
        <w:t xml:space="preserve"> </w:t>
      </w:r>
      <w:r w:rsidR="00CF41FA">
        <w:rPr>
          <w:rFonts w:ascii="Arial" w:eastAsia="Calibri" w:hAnsi="Arial" w:cs="Arial"/>
          <w:bCs/>
          <w:szCs w:val="24"/>
          <w:lang w:val="es-ES_tradnl" w:eastAsia="es-ES_tradnl"/>
        </w:rPr>
        <w:t xml:space="preserve">bases de datos </w:t>
      </w:r>
      <w:r w:rsidR="008F451C">
        <w:rPr>
          <w:rFonts w:ascii="Arial" w:eastAsia="Calibri" w:hAnsi="Arial" w:cs="Arial"/>
          <w:bCs/>
          <w:szCs w:val="24"/>
          <w:lang w:val="es-ES_tradnl" w:eastAsia="es-ES_tradnl"/>
        </w:rPr>
        <w:t>especializadas</w:t>
      </w:r>
      <w:r>
        <w:rPr>
          <w:rFonts w:ascii="Arial" w:eastAsia="Calibri" w:hAnsi="Arial" w:cs="Arial"/>
          <w:bCs/>
          <w:szCs w:val="24"/>
          <w:lang w:val="es-ES_tradnl" w:eastAsia="es-ES_tradnl"/>
        </w:rPr>
        <w:t>,</w:t>
      </w:r>
      <w:r w:rsidR="00CF41FA">
        <w:rPr>
          <w:rFonts w:ascii="Arial" w:eastAsia="Calibri" w:hAnsi="Arial" w:cs="Arial"/>
          <w:bCs/>
          <w:szCs w:val="24"/>
          <w:lang w:val="es-ES_tradnl" w:eastAsia="es-ES_tradnl"/>
        </w:rPr>
        <w:t xml:space="preserve"> y </w:t>
      </w:r>
      <w:proofErr w:type="spellStart"/>
      <w:r>
        <w:rPr>
          <w:rFonts w:ascii="Arial" w:eastAsia="Calibri" w:hAnsi="Arial" w:cs="Arial"/>
          <w:bCs/>
          <w:szCs w:val="24"/>
          <w:lang w:val="es-ES_tradnl" w:eastAsia="es-ES_tradnl"/>
        </w:rPr>
        <w:t>iii</w:t>
      </w:r>
      <w:proofErr w:type="spellEnd"/>
      <w:r>
        <w:rPr>
          <w:rFonts w:ascii="Arial" w:eastAsia="Calibri" w:hAnsi="Arial" w:cs="Arial"/>
          <w:bCs/>
          <w:szCs w:val="24"/>
          <w:lang w:val="es-ES_tradnl" w:eastAsia="es-ES_tradnl"/>
        </w:rPr>
        <w:t xml:space="preserve">) </w:t>
      </w:r>
      <w:r w:rsidR="00CF41FA">
        <w:rPr>
          <w:rFonts w:ascii="Arial" w:eastAsia="Calibri" w:hAnsi="Arial" w:cs="Arial"/>
          <w:bCs/>
          <w:szCs w:val="24"/>
          <w:lang w:val="es-ES_tradnl" w:eastAsia="es-ES_tradnl"/>
        </w:rPr>
        <w:t xml:space="preserve">el análisis de precios históricos. </w:t>
      </w:r>
      <w:bookmarkStart w:id="12" w:name="_Hlk91231640"/>
    </w:p>
    <w:p w14:paraId="0E0B3C3C" w14:textId="745C7B11" w:rsidR="00207AEA" w:rsidRDefault="00C93F10" w:rsidP="001600C5">
      <w:pPr>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lastRenderedPageBreak/>
        <w:t xml:space="preserve">En relación con la revisión de precios por solicitud de cotizaciones, mediante este mecanismo se requiere a los potenciales proveedores de los bienes o servicios para que remitan la información necesaria para determinar, entre otros aspectos el valor del servicio o del bien correspondiente. </w:t>
      </w:r>
      <w:r w:rsidR="008263E2">
        <w:rPr>
          <w:rFonts w:ascii="Arial" w:eastAsia="Calibri" w:hAnsi="Arial" w:cs="Arial"/>
          <w:bCs/>
          <w:szCs w:val="24"/>
          <w:lang w:val="es-ES_tradnl" w:eastAsia="es-ES_tradnl"/>
        </w:rPr>
        <w:t xml:space="preserve">Por su parte, la revisión de bases de datos especializadas es el mecanismo que se adelanta </w:t>
      </w:r>
      <w:r w:rsidR="002A7601">
        <w:rPr>
          <w:rFonts w:ascii="Arial" w:eastAsia="Calibri" w:hAnsi="Arial" w:cs="Arial"/>
          <w:bCs/>
          <w:szCs w:val="24"/>
          <w:lang w:val="es-ES_tradnl" w:eastAsia="es-ES_tradnl"/>
        </w:rPr>
        <w:t xml:space="preserve">cuando </w:t>
      </w:r>
      <w:r w:rsidR="008263E2">
        <w:rPr>
          <w:rFonts w:ascii="Arial" w:eastAsia="Calibri" w:hAnsi="Arial" w:cs="Arial"/>
          <w:bCs/>
          <w:szCs w:val="24"/>
          <w:lang w:val="es-ES_tradnl" w:eastAsia="es-ES_tradnl"/>
        </w:rPr>
        <w:t>por las condiciones del mercado del bien o servicio a contratar se requiera, y el responsable deberá de dejar constancia de las constas realizadas y de los precios que soportan su estudio. Finalmente, en la revisión de precios históricos se sugiere verificar la variación de los precios históricos derivados del indica de precios al consumidor en cada año, examinando si se han presentado fenómenos económicos que hayan implicado fluctuaciones importantes en el comercio del bien o servicio, en todo caso, las características del bien o servicio deben ser las misma entre una contratación y otra</w:t>
      </w:r>
      <w:r w:rsidR="008263E2">
        <w:rPr>
          <w:rStyle w:val="Refdenotaalpie"/>
          <w:rFonts w:ascii="Arial" w:eastAsia="Calibri" w:hAnsi="Arial" w:cs="Arial"/>
          <w:bCs/>
          <w:szCs w:val="24"/>
          <w:lang w:val="es-ES_tradnl" w:eastAsia="es-ES_tradnl"/>
        </w:rPr>
        <w:footnoteReference w:id="11"/>
      </w:r>
      <w:r w:rsidR="008263E2">
        <w:rPr>
          <w:rFonts w:ascii="Arial" w:eastAsia="Calibri" w:hAnsi="Arial" w:cs="Arial"/>
          <w:bCs/>
          <w:szCs w:val="24"/>
          <w:lang w:val="es-ES_tradnl" w:eastAsia="es-ES_tradnl"/>
        </w:rPr>
        <w:t xml:space="preserve">. </w:t>
      </w:r>
    </w:p>
    <w:p w14:paraId="669E0C89" w14:textId="77777777" w:rsidR="00584F2F" w:rsidRDefault="00584F2F" w:rsidP="001600C5">
      <w:pPr>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Cualquiera que sea el mecanismo empleado para conocer los precios del mercado, es importante identificar y analizar las variables que pueden incidir en los precios como por ejemplo la variación del IPC o de la tasa de cambio, así como el cambio en los precios de las materias primas. La conclusión de estudio de mercado deberá responder claramente cuáles son las dinámicas de precios y, de esta manera, establecer el Presupuesto Oficial del Proceso de Contratación. </w:t>
      </w:r>
    </w:p>
    <w:p w14:paraId="56290CEC" w14:textId="33A5869E" w:rsidR="00871CD7" w:rsidRDefault="00B44C70" w:rsidP="00B03DC3">
      <w:pPr>
        <w:spacing w:after="120" w:line="276" w:lineRule="auto"/>
        <w:ind w:firstLine="709"/>
        <w:jc w:val="both"/>
        <w:rPr>
          <w:rFonts w:ascii="Arial" w:hAnsi="Arial" w:cs="Arial"/>
          <w:bCs/>
          <w:lang w:val="es-ES_tradnl"/>
        </w:rPr>
      </w:pPr>
      <w:bookmarkStart w:id="13" w:name="_Hlk114843688"/>
      <w:r>
        <w:rPr>
          <w:rFonts w:ascii="Arial" w:eastAsia="Times New Roman" w:hAnsi="Arial" w:cs="Arial"/>
          <w:bCs/>
          <w:szCs w:val="24"/>
          <w:lang w:val="es-ES_tradnl" w:eastAsia="es-ES_tradnl"/>
        </w:rPr>
        <w:t xml:space="preserve">Sin perjuicio de los mecanismos señalados en la guía para realizar un análisis de los precios de los bienes o servicios a contratar, </w:t>
      </w:r>
      <w:r>
        <w:rPr>
          <w:rFonts w:ascii="Arial" w:eastAsia="Calibri" w:hAnsi="Arial" w:cs="Arial"/>
          <w:bCs/>
          <w:szCs w:val="24"/>
          <w:lang w:val="es-ES_tradnl" w:eastAsia="es-ES_tradnl"/>
        </w:rPr>
        <w:t xml:space="preserve">que se tratan de </w:t>
      </w:r>
      <w:r w:rsidRPr="004B25B3">
        <w:rPr>
          <w:rFonts w:ascii="Arial" w:hAnsi="Arial" w:cs="Arial"/>
          <w:color w:val="000000"/>
          <w:shd w:val="clear" w:color="auto" w:fill="FFFFFF"/>
        </w:rPr>
        <w:t>criterios de buenas prácticas y de apoyo a los partícipes de la contratación pública</w:t>
      </w:r>
      <w:r w:rsidR="00B940CF">
        <w:rPr>
          <w:rFonts w:ascii="Arial" w:hAnsi="Arial" w:cs="Arial"/>
          <w:color w:val="000000"/>
          <w:shd w:val="clear" w:color="auto" w:fill="FFFFFF"/>
        </w:rPr>
        <w:t>,</w:t>
      </w:r>
      <w:r w:rsidRPr="004B25B3">
        <w:rPr>
          <w:rFonts w:ascii="Arial" w:eastAsia="Times New Roman" w:hAnsi="Arial" w:cs="Arial"/>
          <w:bCs/>
          <w:szCs w:val="24"/>
          <w:lang w:val="es-ES_tradnl" w:eastAsia="es-ES_tradnl"/>
        </w:rPr>
        <w:t xml:space="preserve"> las entidades sometidas al Estatuto General de Contratación de la Administración Pública, como las excluidas de este –es decir, las que tienen un régimen especial– gozan de autonomía para configurar el precio</w:t>
      </w:r>
      <w:r w:rsidR="00B940CF">
        <w:rPr>
          <w:rFonts w:ascii="Arial" w:eastAsia="Times New Roman" w:hAnsi="Arial" w:cs="Arial"/>
          <w:bCs/>
          <w:szCs w:val="24"/>
          <w:lang w:val="es-ES_tradnl" w:eastAsia="es-ES_tradnl"/>
        </w:rPr>
        <w:t>, respetando los limites previstos en el ordenamiento jurídico</w:t>
      </w:r>
      <w:r>
        <w:rPr>
          <w:rFonts w:ascii="Arial" w:eastAsia="Times New Roman" w:hAnsi="Arial" w:cs="Arial"/>
          <w:bCs/>
          <w:szCs w:val="24"/>
          <w:lang w:val="es-ES_tradnl" w:eastAsia="es-ES_tradnl"/>
        </w:rPr>
        <w:t xml:space="preserve">. </w:t>
      </w:r>
      <w:r w:rsidR="00B940CF" w:rsidRPr="0033016F">
        <w:rPr>
          <w:rFonts w:ascii="Arial" w:hAnsi="Arial" w:cs="Arial"/>
          <w:bCs/>
          <w:lang w:val="es-ES_tradnl"/>
        </w:rPr>
        <w:t xml:space="preserve">En tal perspectiva, cuentan con discrecionalidad para establecer en el pliego de condiciones o en su documento equivalente, así como en el contrato, el </w:t>
      </w:r>
      <w:r w:rsidR="00B940CF">
        <w:rPr>
          <w:rFonts w:ascii="Arial" w:hAnsi="Arial" w:cs="Arial"/>
          <w:bCs/>
          <w:lang w:val="es-ES_tradnl"/>
        </w:rPr>
        <w:t xml:space="preserve">precio del contrato. </w:t>
      </w:r>
    </w:p>
    <w:p w14:paraId="3454386D" w14:textId="4EA33371" w:rsidR="00B44C70" w:rsidRPr="00EF4EA3" w:rsidRDefault="00B44C70" w:rsidP="001600C5">
      <w:pPr>
        <w:spacing w:after="0" w:line="276" w:lineRule="auto"/>
        <w:ind w:firstLine="709"/>
        <w:contextualSpacing/>
        <w:jc w:val="both"/>
        <w:rPr>
          <w:rFonts w:ascii="Arial" w:eastAsia="Times New Roman" w:hAnsi="Arial" w:cs="Arial"/>
          <w:bCs/>
          <w:szCs w:val="24"/>
          <w:lang w:val="es-ES_tradnl" w:eastAsia="es-ES_tradnl"/>
        </w:rPr>
      </w:pPr>
      <w:r>
        <w:rPr>
          <w:rFonts w:ascii="Arial" w:eastAsia="Times New Roman" w:hAnsi="Arial" w:cs="Arial"/>
          <w:bCs/>
          <w:szCs w:val="24"/>
          <w:lang w:val="es-ES_tradnl" w:eastAsia="es-ES_tradnl"/>
        </w:rPr>
        <w:t>E</w:t>
      </w:r>
      <w:r w:rsidRPr="004B25B3">
        <w:rPr>
          <w:rFonts w:ascii="Arial" w:eastAsia="Times New Roman" w:hAnsi="Arial" w:cs="Arial"/>
          <w:bCs/>
          <w:szCs w:val="24"/>
          <w:lang w:val="es-ES_tradnl" w:eastAsia="es-ES_tradnl"/>
        </w:rPr>
        <w:t>n este sentido, la entidad podrá determinar</w:t>
      </w:r>
      <w:r w:rsidR="00B940CF">
        <w:rPr>
          <w:rFonts w:ascii="Arial" w:eastAsia="Times New Roman" w:hAnsi="Arial" w:cs="Arial"/>
          <w:bCs/>
          <w:szCs w:val="24"/>
          <w:lang w:val="es-ES_tradnl" w:eastAsia="es-ES_tradnl"/>
        </w:rPr>
        <w:t>, de acuerdo con los estudios previos que realice,</w:t>
      </w:r>
      <w:r w:rsidRPr="004B25B3">
        <w:rPr>
          <w:rFonts w:ascii="Arial" w:eastAsia="Times New Roman" w:hAnsi="Arial" w:cs="Arial"/>
          <w:bCs/>
          <w:szCs w:val="24"/>
          <w:lang w:val="es-ES_tradnl" w:eastAsia="es-ES_tradnl"/>
        </w:rPr>
        <w:t xml:space="preserve"> </w:t>
      </w:r>
      <w:r w:rsidRPr="004B25B3">
        <w:rPr>
          <w:rFonts w:ascii="Arial" w:hAnsi="Arial" w:cs="Arial"/>
        </w:rPr>
        <w:t xml:space="preserve">la </w:t>
      </w:r>
      <w:r>
        <w:rPr>
          <w:rFonts w:ascii="Arial" w:hAnsi="Arial" w:cs="Arial"/>
        </w:rPr>
        <w:t xml:space="preserve">viabilidad </w:t>
      </w:r>
      <w:r w:rsidRPr="004B25B3">
        <w:rPr>
          <w:rFonts w:ascii="Arial" w:hAnsi="Arial" w:cs="Arial"/>
        </w:rPr>
        <w:t>de fijar como precio de referencia un valor que se obtuvo del resultado de un evento de subasta en el cual se presentaron lances. Ahora bien, este</w:t>
      </w:r>
      <w:r w:rsidR="00871CD7">
        <w:rPr>
          <w:rFonts w:ascii="Arial" w:hAnsi="Arial" w:cs="Arial"/>
        </w:rPr>
        <w:t xml:space="preserve"> precio</w:t>
      </w:r>
      <w:r w:rsidRPr="004B25B3">
        <w:rPr>
          <w:rFonts w:ascii="Arial" w:hAnsi="Arial" w:cs="Arial"/>
        </w:rPr>
        <w:t xml:space="preserve"> debe ser </w:t>
      </w:r>
      <w:r w:rsidRPr="004B25B3">
        <w:rPr>
          <w:rFonts w:ascii="Arial" w:eastAsia="Times New Roman" w:hAnsi="Arial" w:cs="Arial"/>
          <w:bCs/>
          <w:szCs w:val="24"/>
          <w:lang w:val="es-ES_tradnl" w:eastAsia="es-ES_tradnl"/>
        </w:rPr>
        <w:t xml:space="preserve">apropiado para satisfacer los fines de la contratación, respetando los límites previstos en el ordenamiento. </w:t>
      </w:r>
    </w:p>
    <w:bookmarkEnd w:id="12"/>
    <w:p w14:paraId="71BA8007" w14:textId="77777777" w:rsidR="00EF4EA3" w:rsidRPr="00086875" w:rsidRDefault="00EF4EA3" w:rsidP="008B7F97">
      <w:pPr>
        <w:tabs>
          <w:tab w:val="left" w:pos="0"/>
        </w:tabs>
        <w:spacing w:after="0" w:line="240" w:lineRule="auto"/>
        <w:contextualSpacing/>
        <w:jc w:val="both"/>
        <w:rPr>
          <w:rFonts w:ascii="Arial" w:eastAsia="Calibri" w:hAnsi="Arial" w:cs="Arial"/>
          <w:bCs/>
          <w:color w:val="000000"/>
          <w:szCs w:val="24"/>
          <w:lang w:val="es-ES_tradnl" w:eastAsia="es-ES_tradnl"/>
        </w:rPr>
      </w:pPr>
    </w:p>
    <w:bookmarkEnd w:id="13"/>
    <w:p w14:paraId="1ACE7AC4" w14:textId="42D45E6E" w:rsidR="00EF4EA3" w:rsidRPr="00EF4EA3" w:rsidRDefault="00EF4EA3" w:rsidP="00B03DC3">
      <w:pPr>
        <w:tabs>
          <w:tab w:val="left" w:pos="0"/>
        </w:tabs>
        <w:spacing w:after="0" w:line="240" w:lineRule="auto"/>
        <w:contextualSpacing/>
        <w:jc w:val="both"/>
        <w:rPr>
          <w:rFonts w:ascii="Arial" w:eastAsia="Calibri" w:hAnsi="Arial" w:cs="Arial"/>
          <w:b/>
          <w:color w:val="000000"/>
          <w:szCs w:val="24"/>
          <w:lang w:val="es-ES_tradnl" w:eastAsia="es-ES_tradnl"/>
        </w:rPr>
      </w:pPr>
      <w:r w:rsidRPr="00EF4EA3">
        <w:rPr>
          <w:rFonts w:ascii="Arial" w:eastAsia="Calibri" w:hAnsi="Arial" w:cs="Arial"/>
          <w:b/>
          <w:color w:val="000000"/>
          <w:szCs w:val="24"/>
          <w:lang w:val="es-ES_tradnl" w:eastAsia="es-ES_tradnl"/>
        </w:rPr>
        <w:t>3. Respuesta</w:t>
      </w:r>
    </w:p>
    <w:p w14:paraId="7E486C2B" w14:textId="0B4509BC" w:rsidR="00EF4EA3" w:rsidRDefault="00EF4EA3" w:rsidP="00B03DC3">
      <w:pPr>
        <w:tabs>
          <w:tab w:val="left" w:pos="0"/>
        </w:tabs>
        <w:spacing w:after="0" w:line="240" w:lineRule="auto"/>
        <w:contextualSpacing/>
        <w:jc w:val="both"/>
        <w:rPr>
          <w:rFonts w:ascii="Arial" w:eastAsia="Calibri" w:hAnsi="Arial" w:cs="Arial"/>
          <w:color w:val="000000"/>
          <w:szCs w:val="24"/>
          <w:lang w:val="es-ES_tradnl" w:eastAsia="es-ES_tradnl"/>
        </w:rPr>
      </w:pPr>
    </w:p>
    <w:p w14:paraId="3779B35C" w14:textId="77777777" w:rsidR="00AD24C6" w:rsidRPr="00086875" w:rsidRDefault="00AD24C6" w:rsidP="00B03DC3">
      <w:pPr>
        <w:spacing w:after="0" w:line="240" w:lineRule="auto"/>
        <w:ind w:left="709" w:right="709"/>
        <w:contextualSpacing/>
        <w:jc w:val="both"/>
        <w:rPr>
          <w:rFonts w:ascii="Arial" w:eastAsia="Times New Roman" w:hAnsi="Arial" w:cs="Arial"/>
          <w:color w:val="000000"/>
          <w:sz w:val="21"/>
          <w:szCs w:val="21"/>
          <w:lang w:val="es-ES_tradnl" w:eastAsia="es-ES_tradnl"/>
        </w:rPr>
      </w:pPr>
      <w:r w:rsidRPr="00086875">
        <w:rPr>
          <w:rFonts w:ascii="Arial" w:eastAsia="Times New Roman" w:hAnsi="Arial" w:cs="Arial"/>
          <w:color w:val="000000"/>
          <w:sz w:val="21"/>
          <w:szCs w:val="21"/>
          <w:lang w:val="es-ES_tradnl" w:eastAsia="es-ES_tradnl"/>
        </w:rPr>
        <w:t>«</w:t>
      </w:r>
      <w:r w:rsidRPr="00086875">
        <w:rPr>
          <w:rFonts w:ascii="Arial" w:hAnsi="Arial" w:cs="Arial"/>
          <w:sz w:val="21"/>
          <w:szCs w:val="21"/>
        </w:rPr>
        <w:t xml:space="preserve">¿Es posible fijar como precio de referencia un valor que se obtuvo del resultado de un evento de subasta en el cual se presentaron lances considerables?». </w:t>
      </w:r>
    </w:p>
    <w:p w14:paraId="72932CDD" w14:textId="77777777" w:rsidR="00AD24C6" w:rsidRPr="00EF4EA3" w:rsidRDefault="00AD24C6" w:rsidP="00B03DC3">
      <w:pPr>
        <w:tabs>
          <w:tab w:val="left" w:pos="0"/>
        </w:tabs>
        <w:spacing w:after="0" w:line="240" w:lineRule="auto"/>
        <w:contextualSpacing/>
        <w:jc w:val="both"/>
        <w:rPr>
          <w:rFonts w:ascii="Arial" w:eastAsia="Calibri" w:hAnsi="Arial" w:cs="Arial"/>
          <w:color w:val="000000"/>
          <w:szCs w:val="24"/>
          <w:lang w:val="es-ES_tradnl" w:eastAsia="es-ES_tradnl"/>
        </w:rPr>
      </w:pPr>
    </w:p>
    <w:p w14:paraId="35BA0F29" w14:textId="663AB149" w:rsidR="00B44C70" w:rsidRPr="00EF4EA3" w:rsidRDefault="0052002B" w:rsidP="00B03DC3">
      <w:pPr>
        <w:spacing w:after="120" w:line="276" w:lineRule="auto"/>
        <w:jc w:val="both"/>
        <w:rPr>
          <w:rFonts w:ascii="Arial" w:eastAsia="Times New Roman" w:hAnsi="Arial" w:cs="Arial"/>
          <w:bCs/>
          <w:szCs w:val="24"/>
          <w:lang w:val="es-ES" w:eastAsia="es-ES_tradnl"/>
        </w:rPr>
      </w:pPr>
      <w:r>
        <w:rPr>
          <w:rFonts w:ascii="Arial" w:eastAsia="Calibri" w:hAnsi="Arial" w:cs="Arial"/>
          <w:bCs/>
          <w:szCs w:val="24"/>
          <w:lang w:val="es-ES_tradnl" w:eastAsia="es-ES_tradnl"/>
        </w:rPr>
        <w:lastRenderedPageBreak/>
        <w:t xml:space="preserve">Conforme lo expuesto, </w:t>
      </w:r>
      <w:r>
        <w:rPr>
          <w:rFonts w:ascii="Arial" w:eastAsia="Calibri" w:hAnsi="Arial" w:cs="Arial"/>
          <w:lang w:val="es-MX"/>
        </w:rPr>
        <w:t>e</w:t>
      </w:r>
      <w:r w:rsidR="00B44C70" w:rsidRPr="00EF4EA3">
        <w:rPr>
          <w:rFonts w:ascii="Arial" w:eastAsia="Calibri" w:hAnsi="Arial" w:cs="Arial"/>
          <w:lang w:val="es-MX"/>
        </w:rPr>
        <w:t>l precio es el «valor pecuniario en que se estima algo».</w:t>
      </w:r>
      <w:r w:rsidR="00B44C70">
        <w:rPr>
          <w:rFonts w:ascii="Arial" w:eastAsia="Calibri" w:hAnsi="Arial" w:cs="Arial"/>
          <w:lang w:val="es-MX"/>
        </w:rPr>
        <w:t xml:space="preserve"> </w:t>
      </w:r>
      <w:r w:rsidR="00F5660F" w:rsidRPr="00EF4EA3">
        <w:rPr>
          <w:rFonts w:ascii="Arial" w:eastAsia="Times New Roman" w:hAnsi="Arial" w:cs="Arial"/>
          <w:bCs/>
          <w:szCs w:val="24"/>
          <w:lang w:val="es-ES_tradnl" w:eastAsia="es-ES_tradnl"/>
        </w:rPr>
        <w:t>En los términos de los artículos 1864 y 1865 del Código Civi</w:t>
      </w:r>
      <w:r w:rsidR="00F5660F">
        <w:rPr>
          <w:rFonts w:ascii="Arial" w:eastAsia="Times New Roman" w:hAnsi="Arial" w:cs="Arial"/>
          <w:bCs/>
          <w:szCs w:val="24"/>
          <w:lang w:val="es-ES_tradnl" w:eastAsia="es-ES_tradnl"/>
        </w:rPr>
        <w:t>l, e</w:t>
      </w:r>
      <w:r w:rsidR="00B44C70" w:rsidRPr="00EF4EA3">
        <w:rPr>
          <w:rFonts w:ascii="Arial" w:eastAsia="Times New Roman" w:hAnsi="Arial" w:cs="Arial"/>
          <w:bCs/>
          <w:szCs w:val="24"/>
          <w:lang w:val="es-ES_tradnl" w:eastAsia="es-ES_tradnl"/>
        </w:rPr>
        <w:t xml:space="preserve">l precio, entonces, es el valor que se da por el objeto, </w:t>
      </w:r>
      <w:r w:rsidR="00B44C70" w:rsidRPr="00EF4EA3">
        <w:rPr>
          <w:rFonts w:ascii="Arial" w:eastAsia="Times New Roman" w:hAnsi="Arial" w:cs="Arial"/>
          <w:bCs/>
          <w:szCs w:val="24"/>
          <w:lang w:val="es-ES_tradnl" w:eastAsia="es-ES_tradnl"/>
        </w:rPr>
        <w:lastRenderedPageBreak/>
        <w:t>generalmente en dinero, que debe ser determinado o determinable y, de manera general</w:t>
      </w:r>
      <w:r w:rsidR="00F5660F">
        <w:rPr>
          <w:rFonts w:ascii="Arial" w:eastAsia="Times New Roman" w:hAnsi="Arial" w:cs="Arial"/>
          <w:bCs/>
          <w:szCs w:val="24"/>
          <w:lang w:val="es-ES_tradnl" w:eastAsia="es-ES_tradnl"/>
        </w:rPr>
        <w:t>,</w:t>
      </w:r>
      <w:r w:rsidR="00B44C70" w:rsidRPr="00EF4EA3">
        <w:rPr>
          <w:rFonts w:ascii="Arial" w:eastAsia="Times New Roman" w:hAnsi="Arial" w:cs="Arial"/>
          <w:bCs/>
          <w:szCs w:val="24"/>
          <w:lang w:val="es-ES_tradnl" w:eastAsia="es-ES_tradnl"/>
        </w:rPr>
        <w:t xml:space="preserve"> está compuesto por dos elementos esenciales: los costos y la utilidad, cuya estructuración interna depende de las condiciones técnicas, financieras, regulatorias, etc. de cada contrato.</w:t>
      </w:r>
    </w:p>
    <w:p w14:paraId="3DE469F1" w14:textId="77777777" w:rsidR="00B44C70" w:rsidRPr="00EF4EA3" w:rsidRDefault="00B44C70" w:rsidP="001600C5">
      <w:pPr>
        <w:spacing w:before="120" w:after="120" w:line="276" w:lineRule="auto"/>
        <w:ind w:firstLine="709"/>
        <w:jc w:val="both"/>
        <w:rPr>
          <w:rFonts w:ascii="Arial" w:eastAsia="Times New Roman" w:hAnsi="Arial" w:cs="Arial"/>
          <w:bCs/>
          <w:szCs w:val="24"/>
          <w:lang w:val="es-ES_tradnl" w:eastAsia="es-ES_tradnl"/>
        </w:rPr>
      </w:pPr>
      <w:r w:rsidRPr="00EF4EA3">
        <w:rPr>
          <w:rFonts w:ascii="Arial" w:eastAsia="Times New Roman" w:hAnsi="Arial" w:cs="Arial"/>
          <w:bCs/>
          <w:szCs w:val="24"/>
          <w:lang w:val="es-ES_tradnl" w:eastAsia="es-ES_tradnl"/>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w:t>
      </w:r>
    </w:p>
    <w:p w14:paraId="7EC1186A" w14:textId="77777777" w:rsidR="00B44C70" w:rsidRDefault="00B44C70" w:rsidP="001600C5">
      <w:pPr>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El análisis de los diferentes precios de los bienes y servicios a contratar que se registran en el mercado, según la </w:t>
      </w:r>
      <w:r w:rsidRPr="00EF4EA3">
        <w:rPr>
          <w:rFonts w:ascii="Arial" w:eastAsia="Calibri" w:hAnsi="Arial" w:cs="Arial"/>
          <w:bCs/>
          <w:szCs w:val="24"/>
          <w:lang w:val="es-ES_tradnl" w:eastAsia="es-ES_tradnl"/>
        </w:rPr>
        <w:t>«Guía para la Elaboración de Estudios del Sector»</w:t>
      </w:r>
      <w:r>
        <w:rPr>
          <w:rFonts w:ascii="Arial" w:eastAsia="Calibri" w:hAnsi="Arial" w:cs="Arial"/>
          <w:bCs/>
          <w:szCs w:val="24"/>
          <w:lang w:val="es-ES_tradnl" w:eastAsia="es-ES_tradnl"/>
        </w:rPr>
        <w:t xml:space="preserve">, estos pueden consultarse a través de mecanismo como la solicitud de cotizaciones, bases de datos especializadas y el análisis de precios históricos. </w:t>
      </w:r>
    </w:p>
    <w:p w14:paraId="3B71BF43" w14:textId="77777777" w:rsidR="00B44C70" w:rsidRDefault="00B44C70" w:rsidP="001600C5">
      <w:pPr>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Cualquiera que sea el mecanismo empleado para conocer los precios del mercado, es importante identificar y analizar las variables que pueden incidir en los precios como por ejemplo la variación del IPC o de la tasa de cambio, así como el cambio en los precios de las materias primas. La conclusión de estudio de mercado deberá responder claramente cuáles son las dinámicas de precios y, de esta manera, establecer el Presupuesto Oficial del Proceso de Contratación. </w:t>
      </w:r>
    </w:p>
    <w:p w14:paraId="5F121462" w14:textId="2FBCDAE4" w:rsidR="00EC4423" w:rsidRDefault="00B44C70" w:rsidP="00EC4423">
      <w:pPr>
        <w:spacing w:after="120" w:line="276" w:lineRule="auto"/>
        <w:ind w:firstLine="709"/>
        <w:jc w:val="both"/>
        <w:rPr>
          <w:rFonts w:ascii="Arial" w:hAnsi="Arial" w:cs="Arial"/>
          <w:bCs/>
          <w:lang w:val="es-ES_tradnl"/>
        </w:rPr>
      </w:pPr>
      <w:r>
        <w:rPr>
          <w:rFonts w:ascii="Arial" w:eastAsia="Times New Roman" w:hAnsi="Arial" w:cs="Arial"/>
          <w:bCs/>
          <w:szCs w:val="24"/>
          <w:lang w:val="es-ES_tradnl" w:eastAsia="es-ES_tradnl"/>
        </w:rPr>
        <w:t xml:space="preserve">Sin perjuicio de los mecanismos señalados en la guía para realizar un análisis de los precios de los bienes o servicios a contratar, </w:t>
      </w:r>
      <w:r>
        <w:rPr>
          <w:rFonts w:ascii="Arial" w:eastAsia="Calibri" w:hAnsi="Arial" w:cs="Arial"/>
          <w:bCs/>
          <w:szCs w:val="24"/>
          <w:lang w:val="es-ES_tradnl" w:eastAsia="es-ES_tradnl"/>
        </w:rPr>
        <w:t xml:space="preserve">teniendo en cuenta que se tratan de </w:t>
      </w:r>
      <w:r w:rsidRPr="004B25B3">
        <w:rPr>
          <w:rFonts w:ascii="Arial" w:hAnsi="Arial" w:cs="Arial"/>
          <w:color w:val="000000"/>
          <w:shd w:val="clear" w:color="auto" w:fill="FFFFFF"/>
        </w:rPr>
        <w:t>criterios de buenas prácticas y de apoyo a los partícipes de la contratación pública</w:t>
      </w:r>
      <w:r w:rsidR="00F02CA8">
        <w:rPr>
          <w:rFonts w:ascii="Arial" w:eastAsia="Times New Roman" w:hAnsi="Arial" w:cs="Arial"/>
          <w:bCs/>
          <w:szCs w:val="24"/>
          <w:lang w:val="es-ES_tradnl" w:eastAsia="es-ES_tradnl"/>
        </w:rPr>
        <w:t xml:space="preserve">, </w:t>
      </w:r>
      <w:r w:rsidRPr="004B25B3">
        <w:rPr>
          <w:rFonts w:ascii="Arial" w:eastAsia="Times New Roman" w:hAnsi="Arial" w:cs="Arial"/>
          <w:bCs/>
          <w:szCs w:val="24"/>
          <w:lang w:val="es-ES_tradnl" w:eastAsia="es-ES_tradnl"/>
        </w:rPr>
        <w:t xml:space="preserve">las entidades sometidas al Estatuto General de Contratación de la Administración </w:t>
      </w:r>
      <w:proofErr w:type="gramStart"/>
      <w:r w:rsidRPr="004B25B3">
        <w:rPr>
          <w:rFonts w:ascii="Arial" w:eastAsia="Times New Roman" w:hAnsi="Arial" w:cs="Arial"/>
          <w:bCs/>
          <w:szCs w:val="24"/>
          <w:lang w:val="es-ES_tradnl" w:eastAsia="es-ES_tradnl"/>
        </w:rPr>
        <w:t>Pública,</w:t>
      </w:r>
      <w:proofErr w:type="gramEnd"/>
      <w:r w:rsidRPr="004B25B3">
        <w:rPr>
          <w:rFonts w:ascii="Arial" w:eastAsia="Times New Roman" w:hAnsi="Arial" w:cs="Arial"/>
          <w:bCs/>
          <w:szCs w:val="24"/>
          <w:lang w:val="es-ES_tradnl" w:eastAsia="es-ES_tradnl"/>
        </w:rPr>
        <w:t xml:space="preserve"> gozan de autonomía para configurar el precio</w:t>
      </w:r>
      <w:r>
        <w:rPr>
          <w:rFonts w:ascii="Arial" w:eastAsia="Times New Roman" w:hAnsi="Arial" w:cs="Arial"/>
          <w:bCs/>
          <w:szCs w:val="24"/>
          <w:lang w:val="es-ES_tradnl" w:eastAsia="es-ES_tradnl"/>
        </w:rPr>
        <w:t xml:space="preserve">. </w:t>
      </w:r>
      <w:r w:rsidR="00EC4423" w:rsidRPr="0033016F">
        <w:rPr>
          <w:rFonts w:ascii="Arial" w:hAnsi="Arial" w:cs="Arial"/>
          <w:bCs/>
          <w:lang w:val="es-ES_tradnl"/>
        </w:rPr>
        <w:t xml:space="preserve">En tal perspectiva, cuentan con discrecionalidad para establecer en el pliego de condiciones o en su documento equivalente, así como en el contrato, el </w:t>
      </w:r>
      <w:r w:rsidR="00EC4423">
        <w:rPr>
          <w:rFonts w:ascii="Arial" w:hAnsi="Arial" w:cs="Arial"/>
          <w:bCs/>
          <w:lang w:val="es-ES_tradnl"/>
        </w:rPr>
        <w:t xml:space="preserve">precio del contrato. </w:t>
      </w:r>
    </w:p>
    <w:p w14:paraId="15C32EAE" w14:textId="74B027C4" w:rsidR="00B44C70" w:rsidRPr="00EF4EA3" w:rsidRDefault="00B44C70" w:rsidP="001600C5">
      <w:pPr>
        <w:spacing w:after="0" w:line="276" w:lineRule="auto"/>
        <w:ind w:firstLine="709"/>
        <w:contextualSpacing/>
        <w:jc w:val="both"/>
        <w:rPr>
          <w:rFonts w:ascii="Arial" w:eastAsia="Times New Roman" w:hAnsi="Arial" w:cs="Arial"/>
          <w:bCs/>
          <w:szCs w:val="24"/>
          <w:lang w:val="es-ES_tradnl" w:eastAsia="es-ES_tradnl"/>
        </w:rPr>
      </w:pPr>
      <w:r>
        <w:rPr>
          <w:rFonts w:ascii="Arial" w:eastAsia="Times New Roman" w:hAnsi="Arial" w:cs="Arial"/>
          <w:bCs/>
          <w:szCs w:val="24"/>
          <w:lang w:val="es-ES_tradnl" w:eastAsia="es-ES_tradnl"/>
        </w:rPr>
        <w:t>E</w:t>
      </w:r>
      <w:r w:rsidRPr="004B25B3">
        <w:rPr>
          <w:rFonts w:ascii="Arial" w:eastAsia="Times New Roman" w:hAnsi="Arial" w:cs="Arial"/>
          <w:bCs/>
          <w:szCs w:val="24"/>
          <w:lang w:val="es-ES_tradnl" w:eastAsia="es-ES_tradnl"/>
        </w:rPr>
        <w:t>n este sentido, la entidad podrá determinar</w:t>
      </w:r>
      <w:r w:rsidR="00EC4423">
        <w:rPr>
          <w:rFonts w:ascii="Arial" w:eastAsia="Times New Roman" w:hAnsi="Arial" w:cs="Arial"/>
          <w:bCs/>
          <w:szCs w:val="24"/>
          <w:lang w:val="es-ES_tradnl" w:eastAsia="es-ES_tradnl"/>
        </w:rPr>
        <w:t>, de acuerdo con los estudios previos que realice,</w:t>
      </w:r>
      <w:r w:rsidR="00EC4423" w:rsidRPr="004B25B3">
        <w:rPr>
          <w:rFonts w:ascii="Arial" w:eastAsia="Times New Roman" w:hAnsi="Arial" w:cs="Arial"/>
          <w:bCs/>
          <w:szCs w:val="24"/>
          <w:lang w:val="es-ES_tradnl" w:eastAsia="es-ES_tradnl"/>
        </w:rPr>
        <w:t xml:space="preserve"> </w:t>
      </w:r>
      <w:r w:rsidRPr="004B25B3">
        <w:rPr>
          <w:rFonts w:ascii="Arial" w:hAnsi="Arial" w:cs="Arial"/>
        </w:rPr>
        <w:t xml:space="preserve">la </w:t>
      </w:r>
      <w:r>
        <w:rPr>
          <w:rFonts w:ascii="Arial" w:hAnsi="Arial" w:cs="Arial"/>
        </w:rPr>
        <w:t xml:space="preserve">viabilidad </w:t>
      </w:r>
      <w:r w:rsidRPr="004B25B3">
        <w:rPr>
          <w:rFonts w:ascii="Arial" w:hAnsi="Arial" w:cs="Arial"/>
        </w:rPr>
        <w:t xml:space="preserve">de fijar como precio de referencia un valor que se obtuvo del resultado de un evento de subasta en el cual se presentaron lances. Ahora bien, este debe ser </w:t>
      </w:r>
      <w:r w:rsidRPr="004B25B3">
        <w:rPr>
          <w:rFonts w:ascii="Arial" w:eastAsia="Times New Roman" w:hAnsi="Arial" w:cs="Arial"/>
          <w:bCs/>
          <w:szCs w:val="24"/>
          <w:lang w:val="es-ES_tradnl" w:eastAsia="es-ES_tradnl"/>
        </w:rPr>
        <w:t xml:space="preserve">apropiado para satisfacer los fines de la contratación, respetando los límites previstos en el ordenamiento. </w:t>
      </w:r>
    </w:p>
    <w:p w14:paraId="7F340705" w14:textId="77777777" w:rsidR="00EF4EA3" w:rsidRPr="00EF4EA3" w:rsidRDefault="00EF4EA3" w:rsidP="001600C5">
      <w:pPr>
        <w:spacing w:after="0" w:line="276" w:lineRule="auto"/>
        <w:jc w:val="both"/>
        <w:rPr>
          <w:rFonts w:ascii="Arial" w:eastAsia="Times New Roman" w:hAnsi="Arial" w:cs="Arial"/>
          <w:color w:val="000000"/>
          <w:szCs w:val="24"/>
          <w:lang w:eastAsia="es-ES_tradnl"/>
        </w:rPr>
      </w:pPr>
    </w:p>
    <w:p w14:paraId="09FE506B" w14:textId="77777777" w:rsidR="00EF4EA3" w:rsidRPr="00EF4EA3" w:rsidRDefault="00EF4EA3" w:rsidP="001600C5">
      <w:pPr>
        <w:spacing w:after="0" w:line="276" w:lineRule="auto"/>
        <w:jc w:val="both"/>
        <w:rPr>
          <w:rFonts w:ascii="Arial" w:eastAsia="Times New Roman" w:hAnsi="Arial" w:cs="Arial"/>
          <w:color w:val="000000"/>
          <w:szCs w:val="24"/>
          <w:lang w:val="es-ES_tradnl" w:eastAsia="es-ES_tradnl"/>
        </w:rPr>
      </w:pPr>
      <w:r w:rsidRPr="00EF4EA3">
        <w:rPr>
          <w:rFonts w:ascii="Arial" w:eastAsia="Times New Roman" w:hAnsi="Arial" w:cs="Arial"/>
          <w:color w:val="000000"/>
          <w:szCs w:val="24"/>
          <w:lang w:val="es-ES_tradnl" w:eastAsia="es-ES_tradnl"/>
        </w:rPr>
        <w:t>Este concepto tiene el alcance previsto en el artículo 28 del Código de Procedimiento Administrativo y de lo Contencioso Administrativo.</w:t>
      </w:r>
    </w:p>
    <w:p w14:paraId="7C5FC740" w14:textId="77777777" w:rsidR="00EF4EA3" w:rsidRPr="00EF4EA3" w:rsidRDefault="00EF4EA3" w:rsidP="00EF4EA3">
      <w:pPr>
        <w:spacing w:after="0" w:line="276" w:lineRule="auto"/>
        <w:jc w:val="both"/>
        <w:rPr>
          <w:rFonts w:ascii="Arial" w:eastAsia="Times New Roman" w:hAnsi="Arial" w:cs="Arial"/>
          <w:color w:val="000000"/>
          <w:lang w:val="es-ES_tradnl" w:eastAsia="es-CO"/>
        </w:rPr>
      </w:pPr>
    </w:p>
    <w:p w14:paraId="016BCCCD" w14:textId="77777777" w:rsidR="00EF4EA3" w:rsidRPr="00EF4EA3" w:rsidRDefault="00EF4EA3" w:rsidP="00EF4EA3">
      <w:pPr>
        <w:spacing w:after="0" w:line="276" w:lineRule="auto"/>
        <w:jc w:val="both"/>
        <w:rPr>
          <w:rFonts w:ascii="Arial" w:eastAsia="Times New Roman" w:hAnsi="Arial" w:cs="Arial"/>
          <w:color w:val="000000"/>
          <w:lang w:val="es-ES_tradnl" w:eastAsia="es-CO"/>
        </w:rPr>
      </w:pPr>
      <w:r w:rsidRPr="00EF4EA3">
        <w:rPr>
          <w:rFonts w:ascii="Arial" w:eastAsia="Times New Roman" w:hAnsi="Arial" w:cs="Arial"/>
          <w:color w:val="000000"/>
          <w:lang w:val="es-ES_tradnl" w:eastAsia="es-CO"/>
        </w:rPr>
        <w:t>Atentamente,</w:t>
      </w:r>
    </w:p>
    <w:p w14:paraId="1F9C9357" w14:textId="3A6E3AB0" w:rsidR="00EF4EA3" w:rsidRPr="00EF4EA3" w:rsidRDefault="00EF4EA3" w:rsidP="00EF4EA3">
      <w:pPr>
        <w:spacing w:after="0" w:line="240" w:lineRule="auto"/>
        <w:jc w:val="center"/>
        <w:rPr>
          <w:rFonts w:ascii="Arial" w:eastAsia="Times New Roman" w:hAnsi="Arial" w:cs="Arial"/>
          <w:color w:val="000000"/>
          <w:sz w:val="18"/>
          <w:szCs w:val="20"/>
          <w:lang w:val="es-ES_tradnl" w:eastAsia="es-CO"/>
        </w:rPr>
      </w:pPr>
    </w:p>
    <w:p w14:paraId="0466E234" w14:textId="77777777" w:rsidR="0022774A" w:rsidRDefault="0022774A" w:rsidP="0022774A">
      <w:pPr>
        <w:spacing w:after="0" w:line="276" w:lineRule="auto"/>
        <w:jc w:val="center"/>
        <w:rPr>
          <w:rFonts w:ascii="Arial" w:eastAsia="Times New Roman" w:hAnsi="Arial" w:cs="Arial"/>
          <w:color w:val="000000"/>
          <w:lang w:val="es-ES_tradnl" w:eastAsia="es-CO"/>
        </w:rPr>
      </w:pPr>
    </w:p>
    <w:p w14:paraId="4C1FB589" w14:textId="62674C4B" w:rsidR="0022774A" w:rsidRPr="00D505B1" w:rsidRDefault="00B03DC3" w:rsidP="0022774A">
      <w:pPr>
        <w:spacing w:after="0" w:line="276" w:lineRule="auto"/>
        <w:jc w:val="center"/>
        <w:rPr>
          <w:rFonts w:ascii="Arial" w:eastAsia="Times New Roman" w:hAnsi="Arial" w:cs="Arial"/>
          <w:color w:val="000000"/>
          <w:lang w:val="es-ES_tradnl" w:eastAsia="es-CO"/>
        </w:rPr>
      </w:pPr>
      <w:r>
        <w:rPr>
          <w:rFonts w:ascii="Arial" w:hAnsi="Arial" w:cs="Arial"/>
          <w:noProof/>
          <w:color w:val="000000" w:themeColor="text1"/>
          <w:lang w:val="es-ES_tradnl"/>
        </w:rPr>
        <w:drawing>
          <wp:inline distT="0" distB="0" distL="0" distR="0" wp14:anchorId="2FE6B376" wp14:editId="407F8405">
            <wp:extent cx="2993390" cy="116459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2774A" w:rsidRPr="00D505B1" w14:paraId="7B6F4454" w14:textId="77777777" w:rsidTr="005A377C">
        <w:trPr>
          <w:trHeight w:val="160"/>
        </w:trPr>
        <w:tc>
          <w:tcPr>
            <w:tcW w:w="812" w:type="dxa"/>
            <w:vAlign w:val="center"/>
            <w:hideMark/>
          </w:tcPr>
          <w:p w14:paraId="7784211B" w14:textId="77777777" w:rsidR="0022774A" w:rsidRPr="00D505B1" w:rsidRDefault="0022774A" w:rsidP="005A377C">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7797397A" w14:textId="08377999" w:rsidR="0022774A" w:rsidRDefault="0022774A" w:rsidP="005A377C">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Carlos Mario Castrillon Endo</w:t>
            </w:r>
          </w:p>
          <w:p w14:paraId="7B049FB1" w14:textId="03914881" w:rsidR="0022774A" w:rsidRPr="00D505B1" w:rsidRDefault="0022774A" w:rsidP="005A377C">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Contratista de la Subdirección de Gestión Contractual</w:t>
            </w:r>
          </w:p>
        </w:tc>
      </w:tr>
      <w:tr w:rsidR="0022774A" w:rsidRPr="00D505B1" w14:paraId="60EA15B8" w14:textId="77777777" w:rsidTr="005A377C">
        <w:trPr>
          <w:trHeight w:val="330"/>
        </w:trPr>
        <w:tc>
          <w:tcPr>
            <w:tcW w:w="812" w:type="dxa"/>
            <w:vAlign w:val="center"/>
            <w:hideMark/>
          </w:tcPr>
          <w:p w14:paraId="769D549B" w14:textId="77777777" w:rsidR="0022774A" w:rsidRPr="00D505B1" w:rsidRDefault="0022774A" w:rsidP="005A377C">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1D754292" w14:textId="76FDB4DB" w:rsidR="0022774A" w:rsidRDefault="0022774A" w:rsidP="005A377C">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Diana Lucia Saavedra Castañeda</w:t>
            </w:r>
          </w:p>
          <w:p w14:paraId="4B1788DB" w14:textId="7ACCCA2E" w:rsidR="0022774A" w:rsidRPr="00D505B1" w:rsidRDefault="0022774A" w:rsidP="005A377C">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shd w:val="clear" w:color="auto" w:fill="FFFFFF"/>
                <w:lang w:val="es-ES_tradnl" w:eastAsia="es-ES_tradnl"/>
              </w:rPr>
              <w:t xml:space="preserve">Contratista </w:t>
            </w:r>
            <w:r w:rsidRPr="00D505B1">
              <w:rPr>
                <w:rFonts w:ascii="Arial" w:eastAsia="Times New Roman" w:hAnsi="Arial" w:cs="Arial"/>
                <w:color w:val="000000"/>
                <w:sz w:val="16"/>
                <w:szCs w:val="16"/>
                <w:shd w:val="clear" w:color="auto" w:fill="FFFFFF"/>
                <w:lang w:eastAsia="es-ES_tradnl"/>
              </w:rPr>
              <w:t>de la </w:t>
            </w:r>
            <w:r w:rsidRPr="00D505B1">
              <w:rPr>
                <w:rFonts w:ascii="Arial" w:eastAsia="Times New Roman" w:hAnsi="Arial" w:cs="Arial"/>
                <w:color w:val="000000"/>
                <w:sz w:val="16"/>
                <w:szCs w:val="16"/>
                <w:lang w:val="es-ES" w:eastAsia="es-ES"/>
              </w:rPr>
              <w:t>Subdirección de Gestión Contractual</w:t>
            </w:r>
          </w:p>
        </w:tc>
      </w:tr>
      <w:tr w:rsidR="0022774A" w:rsidRPr="00D505B1" w14:paraId="6A764368" w14:textId="77777777" w:rsidTr="005A377C">
        <w:trPr>
          <w:trHeight w:val="300"/>
        </w:trPr>
        <w:tc>
          <w:tcPr>
            <w:tcW w:w="812" w:type="dxa"/>
            <w:vAlign w:val="center"/>
            <w:hideMark/>
          </w:tcPr>
          <w:p w14:paraId="0F501DB9" w14:textId="77777777" w:rsidR="0022774A" w:rsidRPr="00D505B1" w:rsidRDefault="0022774A" w:rsidP="005A377C">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0F90E893" w14:textId="77777777" w:rsidR="0022774A" w:rsidRPr="00D505B1" w:rsidRDefault="0022774A" w:rsidP="005A377C">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Juan David Marín López</w:t>
            </w:r>
          </w:p>
          <w:p w14:paraId="453702E1" w14:textId="77777777" w:rsidR="0022774A" w:rsidRPr="00D505B1" w:rsidRDefault="0022774A" w:rsidP="005A377C">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Subdirector de Gestión Contractual</w:t>
            </w:r>
            <w:r w:rsidRPr="00D505B1">
              <w:rPr>
                <w:rFonts w:ascii="Arial" w:eastAsia="Times New Roman" w:hAnsi="Arial" w:cs="Arial"/>
                <w:color w:val="000000"/>
                <w:sz w:val="16"/>
                <w:szCs w:val="16"/>
                <w:lang w:eastAsia="es-ES"/>
              </w:rPr>
              <w:t xml:space="preserve"> (E) </w:t>
            </w:r>
          </w:p>
        </w:tc>
      </w:tr>
    </w:tbl>
    <w:p w14:paraId="54CD334B" w14:textId="77777777" w:rsidR="00EF4EA3" w:rsidRPr="00EF4EA3" w:rsidRDefault="00EF4EA3" w:rsidP="00086875">
      <w:pPr>
        <w:spacing w:after="0" w:line="240" w:lineRule="auto"/>
        <w:rPr>
          <w:rFonts w:ascii="Arial" w:eastAsia="Times New Roman" w:hAnsi="Arial" w:cs="Arial"/>
          <w:color w:val="000000"/>
          <w:sz w:val="18"/>
          <w:szCs w:val="20"/>
          <w:lang w:val="es-ES_tradnl" w:eastAsia="es-CO"/>
        </w:rPr>
      </w:pPr>
    </w:p>
    <w:p w14:paraId="161741A7" w14:textId="77777777" w:rsidR="00EF4EA3" w:rsidRPr="00EF4EA3" w:rsidRDefault="00EF4EA3" w:rsidP="00EF4EA3">
      <w:pPr>
        <w:spacing w:after="0" w:line="240" w:lineRule="auto"/>
        <w:jc w:val="both"/>
        <w:rPr>
          <w:rFonts w:ascii="Arial" w:eastAsia="Times New Roman" w:hAnsi="Arial" w:cs="Arial"/>
          <w:sz w:val="24"/>
          <w:szCs w:val="24"/>
          <w:lang w:val="es-ES_tradnl" w:eastAsia="es-ES_tradnl"/>
        </w:rPr>
      </w:pPr>
    </w:p>
    <w:p w14:paraId="5CC80ED9" w14:textId="77777777" w:rsidR="00FB347B" w:rsidRDefault="00FB347B"/>
    <w:sectPr w:rsidR="00FB347B"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73D2" w14:textId="77777777" w:rsidR="00DF4C66" w:rsidRDefault="00DF4C66" w:rsidP="00EF4EA3">
      <w:pPr>
        <w:spacing w:after="0" w:line="240" w:lineRule="auto"/>
      </w:pPr>
      <w:r>
        <w:separator/>
      </w:r>
    </w:p>
  </w:endnote>
  <w:endnote w:type="continuationSeparator" w:id="0">
    <w:p w14:paraId="72E1C617" w14:textId="77777777" w:rsidR="00DF4C66" w:rsidRDefault="00DF4C66" w:rsidP="00EF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3512" w14:textId="77777777" w:rsidR="006A59DE" w:rsidRPr="00EF4EA3" w:rsidRDefault="00246CEE" w:rsidP="00FE42ED">
    <w:pPr>
      <w:pStyle w:val="Piedepgina"/>
      <w:jc w:val="right"/>
      <w:rPr>
        <w:rFonts w:ascii="Arial" w:hAnsi="Arial" w:cs="Arial"/>
        <w:color w:val="7F7F7F"/>
        <w:sz w:val="16"/>
        <w:szCs w:val="16"/>
      </w:rPr>
    </w:pPr>
    <w:r w:rsidRPr="00EF4EA3">
      <w:rPr>
        <w:rFonts w:ascii="Arial" w:hAnsi="Arial" w:cs="Arial"/>
        <w:bCs/>
        <w:color w:val="7F7F7F"/>
        <w:sz w:val="16"/>
        <w:szCs w:val="16"/>
      </w:rPr>
      <w:t xml:space="preserve">Página </w:t>
    </w:r>
    <w:r w:rsidRPr="00EF4EA3">
      <w:rPr>
        <w:rFonts w:ascii="Arial" w:hAnsi="Arial" w:cs="Arial"/>
        <w:b/>
        <w:bCs/>
        <w:color w:val="7F7F7F"/>
        <w:sz w:val="16"/>
        <w:szCs w:val="16"/>
      </w:rPr>
      <w:fldChar w:fldCharType="begin"/>
    </w:r>
    <w:r w:rsidRPr="00EF4EA3">
      <w:rPr>
        <w:rFonts w:ascii="Arial" w:hAnsi="Arial" w:cs="Arial"/>
        <w:b/>
        <w:bCs/>
        <w:color w:val="7F7F7F"/>
        <w:sz w:val="16"/>
        <w:szCs w:val="16"/>
      </w:rPr>
      <w:instrText>PAGE  \* Arabic  \* MERGEFORMAT</w:instrText>
    </w:r>
    <w:r w:rsidRPr="00EF4EA3">
      <w:rPr>
        <w:rFonts w:ascii="Arial" w:hAnsi="Arial" w:cs="Arial"/>
        <w:b/>
        <w:bCs/>
        <w:color w:val="7F7F7F"/>
        <w:sz w:val="16"/>
        <w:szCs w:val="16"/>
      </w:rPr>
      <w:fldChar w:fldCharType="separate"/>
    </w:r>
    <w:r w:rsidRPr="00EF4EA3">
      <w:rPr>
        <w:rFonts w:ascii="Arial" w:hAnsi="Arial" w:cs="Arial"/>
        <w:b/>
        <w:bCs/>
        <w:noProof/>
        <w:color w:val="7F7F7F"/>
        <w:sz w:val="16"/>
        <w:szCs w:val="16"/>
      </w:rPr>
      <w:t>2</w:t>
    </w:r>
    <w:r w:rsidRPr="00EF4EA3">
      <w:rPr>
        <w:rFonts w:ascii="Arial" w:hAnsi="Arial" w:cs="Arial"/>
        <w:b/>
        <w:bCs/>
        <w:color w:val="7F7F7F"/>
        <w:sz w:val="16"/>
        <w:szCs w:val="16"/>
      </w:rPr>
      <w:fldChar w:fldCharType="end"/>
    </w:r>
    <w:r w:rsidRPr="00EF4EA3">
      <w:rPr>
        <w:rFonts w:ascii="Arial" w:hAnsi="Arial" w:cs="Arial"/>
        <w:color w:val="7F7F7F"/>
        <w:sz w:val="16"/>
        <w:szCs w:val="16"/>
      </w:rPr>
      <w:t xml:space="preserve"> de </w:t>
    </w:r>
    <w:r w:rsidRPr="00EF4EA3">
      <w:rPr>
        <w:rFonts w:ascii="Arial" w:hAnsi="Arial" w:cs="Arial"/>
        <w:b/>
        <w:bCs/>
        <w:color w:val="7F7F7F"/>
        <w:sz w:val="16"/>
        <w:szCs w:val="16"/>
      </w:rPr>
      <w:fldChar w:fldCharType="begin"/>
    </w:r>
    <w:r w:rsidRPr="00EF4EA3">
      <w:rPr>
        <w:rFonts w:ascii="Arial" w:hAnsi="Arial" w:cs="Arial"/>
        <w:b/>
        <w:bCs/>
        <w:color w:val="7F7F7F"/>
        <w:sz w:val="16"/>
        <w:szCs w:val="16"/>
      </w:rPr>
      <w:instrText>NUMPAGES  \* Arabic  \* MERGEFORMAT</w:instrText>
    </w:r>
    <w:r w:rsidRPr="00EF4EA3">
      <w:rPr>
        <w:rFonts w:ascii="Arial" w:hAnsi="Arial" w:cs="Arial"/>
        <w:b/>
        <w:bCs/>
        <w:color w:val="7F7F7F"/>
        <w:sz w:val="16"/>
        <w:szCs w:val="16"/>
      </w:rPr>
      <w:fldChar w:fldCharType="separate"/>
    </w:r>
    <w:r w:rsidRPr="00EF4EA3">
      <w:rPr>
        <w:rFonts w:ascii="Arial" w:hAnsi="Arial" w:cs="Arial"/>
        <w:b/>
        <w:bCs/>
        <w:noProof/>
        <w:color w:val="7F7F7F"/>
        <w:sz w:val="16"/>
        <w:szCs w:val="16"/>
      </w:rPr>
      <w:t>15</w:t>
    </w:r>
    <w:r w:rsidRPr="00EF4EA3">
      <w:rPr>
        <w:rFonts w:ascii="Arial" w:hAnsi="Arial" w:cs="Arial"/>
        <w:b/>
        <w:bCs/>
        <w:color w:val="7F7F7F"/>
        <w:sz w:val="16"/>
        <w:szCs w:val="16"/>
      </w:rPr>
      <w:fldChar w:fldCharType="end"/>
    </w:r>
  </w:p>
  <w:p w14:paraId="1F1CF76A" w14:textId="77777777" w:rsidR="006A59DE" w:rsidRDefault="00246CEE" w:rsidP="00322937">
    <w:pPr>
      <w:pStyle w:val="Piedepgina"/>
      <w:jc w:val="center"/>
      <w:rPr>
        <w:lang w:val="es-ES"/>
      </w:rPr>
    </w:pPr>
    <w:r>
      <w:rPr>
        <w:noProof/>
      </w:rPr>
      <w:drawing>
        <wp:inline distT="0" distB="0" distL="0" distR="0" wp14:anchorId="545FFD5E" wp14:editId="0187E7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54C6B5C" w14:textId="77777777" w:rsidR="006A59DE" w:rsidRDefault="00B03DC3" w:rsidP="007B0854">
    <w:pPr>
      <w:pStyle w:val="Piedepgina"/>
      <w:jc w:val="center"/>
      <w:rPr>
        <w:lang w:val="es-ES"/>
      </w:rPr>
    </w:pPr>
  </w:p>
  <w:p w14:paraId="4FBF77B2" w14:textId="77777777" w:rsidR="006A59DE" w:rsidRPr="007B0854" w:rsidRDefault="00B03DC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A547" w14:textId="77777777" w:rsidR="00DF4C66" w:rsidRDefault="00DF4C66" w:rsidP="00EF4EA3">
      <w:pPr>
        <w:spacing w:after="0" w:line="240" w:lineRule="auto"/>
      </w:pPr>
      <w:r>
        <w:separator/>
      </w:r>
    </w:p>
  </w:footnote>
  <w:footnote w:type="continuationSeparator" w:id="0">
    <w:p w14:paraId="4C63F68F" w14:textId="77777777" w:rsidR="00DF4C66" w:rsidRDefault="00DF4C66" w:rsidP="00EF4EA3">
      <w:pPr>
        <w:spacing w:after="0" w:line="240" w:lineRule="auto"/>
      </w:pPr>
      <w:r>
        <w:continuationSeparator/>
      </w:r>
    </w:p>
  </w:footnote>
  <w:footnote w:id="1">
    <w:p w14:paraId="6839FA6A" w14:textId="77777777" w:rsidR="00EF4EA3" w:rsidRPr="00CA0FFE" w:rsidRDefault="00EF4EA3" w:rsidP="00CA0FFE">
      <w:pPr>
        <w:pStyle w:val="Car1"/>
        <w:spacing w:before="120" w:after="120"/>
        <w:ind w:firstLine="708"/>
        <w:jc w:val="both"/>
        <w:rPr>
          <w:rFonts w:ascii="Arial" w:hAnsi="Arial" w:cs="Arial"/>
          <w:sz w:val="19"/>
          <w:szCs w:val="19"/>
          <w:lang w:val="es-ES"/>
        </w:rPr>
      </w:pPr>
      <w:r w:rsidRPr="00CA0FFE">
        <w:rPr>
          <w:rStyle w:val="Refdenotaalpie"/>
          <w:rFonts w:ascii="Arial" w:hAnsi="Arial" w:cs="Arial"/>
          <w:sz w:val="19"/>
          <w:szCs w:val="19"/>
        </w:rPr>
        <w:footnoteRef/>
      </w:r>
      <w:r w:rsidRPr="00CA0FFE">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A0FFE">
        <w:rPr>
          <w:rFonts w:ascii="Arial" w:hAnsi="Arial" w:cs="Arial"/>
          <w:i/>
          <w:iCs/>
          <w:sz w:val="19"/>
          <w:szCs w:val="19"/>
        </w:rPr>
        <w:t xml:space="preserve">ibidem </w:t>
      </w:r>
      <w:r w:rsidRPr="00CA0FFE">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CA0FFE">
        <w:rPr>
          <w:rFonts w:ascii="Arial" w:hAnsi="Arial" w:cs="Arial"/>
          <w:sz w:val="19"/>
          <w:szCs w:val="19"/>
        </w:rPr>
        <w:t>bsolver</w:t>
      </w:r>
      <w:proofErr w:type="spellEnd"/>
      <w:r w:rsidRPr="00CA0FFE">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A0FFE">
        <w:rPr>
          <w:rFonts w:ascii="Arial" w:hAnsi="Arial" w:cs="Arial"/>
          <w:sz w:val="19"/>
          <w:szCs w:val="19"/>
        </w:rPr>
        <w:t>bsolver</w:t>
      </w:r>
      <w:proofErr w:type="spellEnd"/>
      <w:r w:rsidRPr="00CA0FFE">
        <w:rPr>
          <w:rFonts w:ascii="Arial" w:hAnsi="Arial" w:cs="Arial"/>
          <w:sz w:val="19"/>
          <w:szCs w:val="19"/>
        </w:rPr>
        <w:t xml:space="preserve"> consultas sobre la aplicación de normas de carácter general».</w:t>
      </w:r>
    </w:p>
  </w:footnote>
  <w:footnote w:id="2">
    <w:p w14:paraId="13489F0F" w14:textId="77777777" w:rsidR="00EF4EA3" w:rsidRPr="00CA0FFE" w:rsidRDefault="00EF4EA3" w:rsidP="00CA0FFE">
      <w:pPr>
        <w:spacing w:before="120" w:after="120"/>
        <w:ind w:firstLine="707"/>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position w:val="6"/>
          <w:sz w:val="19"/>
          <w:szCs w:val="19"/>
        </w:rPr>
        <w:t xml:space="preserve"> </w:t>
      </w:r>
      <w:r w:rsidRPr="00CA0FFE">
        <w:rPr>
          <w:rFonts w:ascii="Arial" w:hAnsi="Arial" w:cs="Arial"/>
          <w:sz w:val="19"/>
          <w:szCs w:val="19"/>
        </w:rPr>
        <w:t>DEIK ACOSTAMADIEDO, Carolina, Guía de Contratación Estatal: Deber de planeación y modalidades de selección, Buenos Aires, 2015, p. 59.</w:t>
      </w:r>
    </w:p>
    <w:p w14:paraId="640AC12A" w14:textId="77777777" w:rsidR="00EF4EA3" w:rsidRPr="00CA0FFE" w:rsidRDefault="00EF4EA3" w:rsidP="00CA0FFE">
      <w:pPr>
        <w:pStyle w:val="Car1"/>
        <w:spacing w:before="120" w:after="120"/>
        <w:jc w:val="both"/>
        <w:rPr>
          <w:rFonts w:ascii="Arial" w:hAnsi="Arial" w:cs="Arial"/>
          <w:sz w:val="19"/>
          <w:szCs w:val="19"/>
        </w:rPr>
      </w:pPr>
    </w:p>
  </w:footnote>
  <w:footnote w:id="3">
    <w:p w14:paraId="44A2688E" w14:textId="6805CA5D" w:rsidR="00EF4EA3" w:rsidRPr="00CA0FFE" w:rsidRDefault="00EF4EA3" w:rsidP="00CA0FFE">
      <w:pPr>
        <w:pStyle w:val="Textoindependiente"/>
        <w:spacing w:before="120" w:line="240" w:lineRule="auto"/>
        <w:ind w:firstLine="709"/>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position w:val="6"/>
          <w:sz w:val="19"/>
          <w:szCs w:val="19"/>
        </w:rPr>
        <w:t xml:space="preserve"> </w:t>
      </w:r>
      <w:r w:rsidRPr="00CA0FFE">
        <w:rPr>
          <w:rFonts w:ascii="Arial" w:hAnsi="Arial" w:cs="Arial"/>
          <w:sz w:val="19"/>
          <w:szCs w:val="19"/>
        </w:rPr>
        <w:t xml:space="preserve">«Artículo </w:t>
      </w:r>
      <w:bookmarkStart w:id="8" w:name="_Hlk54173885"/>
      <w:r w:rsidRPr="00CA0FFE">
        <w:rPr>
          <w:rFonts w:ascii="Arial" w:hAnsi="Arial" w:cs="Arial"/>
          <w:sz w:val="19"/>
          <w:szCs w:val="19"/>
        </w:rPr>
        <w:t>2.2.1.1.2.1.1</w:t>
      </w:r>
      <w:bookmarkEnd w:id="8"/>
      <w:r w:rsidRPr="00CA0FFE">
        <w:rPr>
          <w:rFonts w:ascii="Arial" w:hAnsi="Arial" w:cs="Arial"/>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footnote>
  <w:footnote w:id="4">
    <w:p w14:paraId="2591EFA5" w14:textId="77777777" w:rsidR="00EF4EA3" w:rsidRPr="00CA0FFE" w:rsidRDefault="00EF4EA3" w:rsidP="00CA0FFE">
      <w:pPr>
        <w:pStyle w:val="Textoindependiente"/>
        <w:spacing w:before="120" w:line="240" w:lineRule="auto"/>
        <w:ind w:firstLine="709"/>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Consejo de Estado. Sección Tercera. Subsección B. Sentencia del 31 de agosto de 2011. </w:t>
      </w:r>
      <w:proofErr w:type="spellStart"/>
      <w:r w:rsidRPr="00CA0FFE">
        <w:rPr>
          <w:rFonts w:ascii="Arial" w:hAnsi="Arial" w:cs="Arial"/>
          <w:sz w:val="19"/>
          <w:szCs w:val="19"/>
        </w:rPr>
        <w:t>Exp</w:t>
      </w:r>
      <w:proofErr w:type="spellEnd"/>
      <w:r w:rsidRPr="00CA0FFE">
        <w:rPr>
          <w:rFonts w:ascii="Arial" w:hAnsi="Arial" w:cs="Arial"/>
          <w:sz w:val="19"/>
          <w:szCs w:val="19"/>
        </w:rPr>
        <w:t>.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6AA36188" w14:textId="77777777" w:rsidR="00EF4EA3" w:rsidRPr="00CA0FFE" w:rsidRDefault="00EF4EA3" w:rsidP="00CA0FFE">
      <w:pPr>
        <w:pStyle w:val="Car1"/>
        <w:spacing w:before="120" w:after="120"/>
        <w:jc w:val="both"/>
        <w:rPr>
          <w:rFonts w:ascii="Arial" w:hAnsi="Arial" w:cs="Arial"/>
          <w:sz w:val="19"/>
          <w:szCs w:val="19"/>
        </w:rPr>
      </w:pPr>
    </w:p>
  </w:footnote>
  <w:footnote w:id="5">
    <w:p w14:paraId="18E1A162" w14:textId="77777777" w:rsidR="00EF4EA3" w:rsidRPr="00CA0FFE" w:rsidRDefault="00EF4EA3" w:rsidP="00CA0FFE">
      <w:pPr>
        <w:spacing w:before="120" w:after="120"/>
        <w:ind w:firstLine="708"/>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i/>
          <w:sz w:val="19"/>
          <w:szCs w:val="19"/>
        </w:rPr>
        <w:t>Ibidem</w:t>
      </w:r>
      <w:r w:rsidRPr="00CA0FFE">
        <w:rPr>
          <w:rFonts w:ascii="Arial" w:hAnsi="Arial" w:cs="Arial"/>
          <w:sz w:val="19"/>
          <w:szCs w:val="19"/>
        </w:rPr>
        <w:t>.</w:t>
      </w:r>
    </w:p>
    <w:p w14:paraId="22F8F390" w14:textId="77777777" w:rsidR="00EF4EA3" w:rsidRPr="00CA0FFE" w:rsidRDefault="00EF4EA3" w:rsidP="00CA0FFE">
      <w:pPr>
        <w:spacing w:before="120" w:after="120"/>
        <w:jc w:val="both"/>
        <w:rPr>
          <w:rFonts w:ascii="Arial" w:hAnsi="Arial" w:cs="Arial"/>
          <w:sz w:val="19"/>
          <w:szCs w:val="19"/>
        </w:rPr>
      </w:pPr>
    </w:p>
  </w:footnote>
  <w:footnote w:id="6">
    <w:p w14:paraId="37C67F1D" w14:textId="04095A53" w:rsidR="007B2C76" w:rsidRPr="00CA0FFE" w:rsidRDefault="007B2C76" w:rsidP="00CA0FFE">
      <w:pPr>
        <w:spacing w:before="120" w:after="120" w:line="240" w:lineRule="auto"/>
        <w:ind w:firstLine="709"/>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00207AEA" w:rsidRPr="00CA0FFE">
        <w:rPr>
          <w:rFonts w:ascii="Arial" w:eastAsia="Calibri" w:hAnsi="Arial" w:cs="Arial"/>
          <w:bCs/>
          <w:sz w:val="19"/>
          <w:szCs w:val="19"/>
          <w:lang w:val="es-ES_tradnl" w:eastAsia="es-ES_tradnl"/>
        </w:rPr>
        <w:t>Esta Guía es un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w:t>
      </w:r>
    </w:p>
  </w:footnote>
  <w:footnote w:id="7">
    <w:p w14:paraId="5AD4243E" w14:textId="75DADAB8" w:rsidR="00584F2F" w:rsidRPr="00CA0FFE" w:rsidRDefault="00584F2F" w:rsidP="00CA0FFE">
      <w:pPr>
        <w:pStyle w:val="Car1"/>
        <w:spacing w:before="120" w:after="120"/>
        <w:ind w:firstLine="708"/>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sz w:val="19"/>
          <w:szCs w:val="19"/>
          <w:lang w:val="es-ES"/>
        </w:rPr>
        <w:t>Diccionario de la Lengua Española.</w:t>
      </w:r>
      <w:r w:rsidRPr="00CA0FFE">
        <w:rPr>
          <w:rFonts w:ascii="Arial" w:hAnsi="Arial" w:cs="Arial"/>
          <w:sz w:val="19"/>
          <w:szCs w:val="19"/>
        </w:rPr>
        <w:t xml:space="preserve"> </w:t>
      </w:r>
    </w:p>
  </w:footnote>
  <w:footnote w:id="8">
    <w:p w14:paraId="081660B8" w14:textId="77777777" w:rsidR="00CA0FFE" w:rsidRPr="00EF4EA3" w:rsidRDefault="00CA0FFE" w:rsidP="00CA0FFE">
      <w:pPr>
        <w:spacing w:before="120" w:after="120" w:line="240" w:lineRule="auto"/>
        <w:ind w:firstLine="708"/>
        <w:jc w:val="both"/>
        <w:rPr>
          <w:rFonts w:ascii="Arial" w:eastAsia="Calibri" w:hAnsi="Arial" w:cs="Arial"/>
          <w:sz w:val="19"/>
          <w:szCs w:val="19"/>
          <w:lang w:val="es-MX"/>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EF4EA3">
        <w:rPr>
          <w:rFonts w:ascii="Arial" w:eastAsia="Calibri" w:hAnsi="Arial" w:cs="Arial"/>
          <w:sz w:val="19"/>
          <w:szCs w:val="19"/>
          <w:lang w:val="es-MX"/>
        </w:rPr>
        <w:t>[Artículo 1849 del Código Civil]: La compraventa es un contrato en que una de las partes se obliga a dar una cosa y la otra a pagarla en dinero. Aquella se dice vender y esta comprar. El dinero que el comprador da por la cosa vendida se llama precio.</w:t>
      </w:r>
    </w:p>
    <w:p w14:paraId="0FA7D54E" w14:textId="5A59A4A3" w:rsidR="00CA0FFE" w:rsidRPr="00CA0FFE" w:rsidRDefault="00CA0FFE" w:rsidP="002A7601">
      <w:pPr>
        <w:spacing w:before="120" w:after="120" w:line="240" w:lineRule="auto"/>
        <w:jc w:val="both"/>
        <w:rPr>
          <w:rFonts w:ascii="Arial" w:hAnsi="Arial" w:cs="Arial"/>
          <w:sz w:val="19"/>
          <w:szCs w:val="19"/>
        </w:rPr>
      </w:pPr>
      <w:r w:rsidRPr="00EF4EA3">
        <w:rPr>
          <w:rFonts w:ascii="Arial" w:eastAsia="Calibri" w:hAnsi="Arial" w:cs="Arial"/>
          <w:sz w:val="19"/>
          <w:szCs w:val="19"/>
          <w:lang w:val="es-MX"/>
        </w:rPr>
        <w:t>[Artículo 905 del Código de Comercio]: La compraventa es un contrato en que una de las partes se obliga a trasmitir la propiedad de una cosa y la otra a pagarla en dinero. El dinero que el comprador da por la cosa vendida se llama precio.</w:t>
      </w:r>
    </w:p>
  </w:footnote>
  <w:footnote w:id="9">
    <w:p w14:paraId="177F4E3F" w14:textId="77777777" w:rsidR="00584F2F" w:rsidRPr="00CA0FFE" w:rsidRDefault="00584F2F" w:rsidP="00CA0FFE">
      <w:pPr>
        <w:pStyle w:val="Car1"/>
        <w:spacing w:before="120" w:after="120"/>
        <w:ind w:firstLine="708"/>
        <w:jc w:val="both"/>
        <w:rPr>
          <w:rFonts w:ascii="Arial" w:hAnsi="Arial" w:cs="Arial"/>
          <w:sz w:val="19"/>
          <w:szCs w:val="19"/>
          <w:lang w:val="es-ES"/>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sz w:val="19"/>
          <w:szCs w:val="19"/>
          <w:lang w:val="es-ES"/>
        </w:rPr>
        <w:t xml:space="preserve">Marín Cortés, Fabián G. El precio. Ed. Librería Jurídica Sánchez R. Ltda. y Centro de Estudios de Derecho Administrativo, Medellín, 2012, p. 60. </w:t>
      </w:r>
    </w:p>
  </w:footnote>
  <w:footnote w:id="10">
    <w:p w14:paraId="5C083EF7" w14:textId="77777777" w:rsidR="00584F2F" w:rsidRPr="00CA0FFE" w:rsidRDefault="00584F2F" w:rsidP="00CA0FFE">
      <w:pPr>
        <w:pStyle w:val="Car1"/>
        <w:spacing w:before="120" w:after="120"/>
        <w:ind w:firstLine="708"/>
        <w:jc w:val="both"/>
        <w:rPr>
          <w:rFonts w:ascii="Arial" w:hAnsi="Arial" w:cs="Arial"/>
          <w:sz w:val="19"/>
          <w:szCs w:val="19"/>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hAnsi="Arial" w:cs="Arial"/>
          <w:sz w:val="19"/>
          <w:szCs w:val="19"/>
          <w:lang w:val="es-ES"/>
        </w:rPr>
        <w:t>Consejo de Estado, Sección Tercera, Subsección A sentencia de 19 de julio de 2018, M.P. Marta Nubia Velázquez Rico, Rad. 2013-01826(57.576)</w:t>
      </w:r>
      <w:r w:rsidRPr="00CA0FFE">
        <w:rPr>
          <w:rFonts w:ascii="Arial" w:hAnsi="Arial" w:cs="Arial"/>
          <w:sz w:val="19"/>
          <w:szCs w:val="19"/>
        </w:rPr>
        <w:t xml:space="preserve"> </w:t>
      </w:r>
    </w:p>
    <w:p w14:paraId="436478A0" w14:textId="77777777" w:rsidR="00584F2F" w:rsidRPr="00CA0FFE" w:rsidRDefault="00584F2F" w:rsidP="00CA0FFE">
      <w:pPr>
        <w:pStyle w:val="Car1"/>
        <w:spacing w:before="120" w:after="120"/>
        <w:ind w:firstLine="708"/>
        <w:jc w:val="both"/>
        <w:rPr>
          <w:rFonts w:ascii="Arial" w:hAnsi="Arial" w:cs="Arial"/>
          <w:sz w:val="19"/>
          <w:szCs w:val="19"/>
        </w:rPr>
      </w:pPr>
    </w:p>
  </w:footnote>
  <w:footnote w:id="11">
    <w:p w14:paraId="54236844" w14:textId="14ABAA0A" w:rsidR="008263E2" w:rsidRPr="00CA0FFE" w:rsidRDefault="008263E2" w:rsidP="00CA0FFE">
      <w:pPr>
        <w:pStyle w:val="Textonotapie"/>
        <w:spacing w:before="120" w:after="120"/>
        <w:ind w:firstLine="708"/>
        <w:jc w:val="both"/>
        <w:rPr>
          <w:rFonts w:ascii="Arial" w:eastAsia="Calibri" w:hAnsi="Arial" w:cs="Arial"/>
          <w:bCs/>
          <w:sz w:val="19"/>
          <w:szCs w:val="19"/>
          <w:lang w:val="es-ES_tradnl"/>
        </w:rPr>
      </w:pPr>
      <w:r w:rsidRPr="00CA0FFE">
        <w:rPr>
          <w:rStyle w:val="Refdenotaalpie"/>
          <w:rFonts w:ascii="Arial" w:hAnsi="Arial" w:cs="Arial"/>
          <w:sz w:val="19"/>
          <w:szCs w:val="19"/>
        </w:rPr>
        <w:footnoteRef/>
      </w:r>
      <w:r w:rsidRPr="00CA0FFE">
        <w:rPr>
          <w:rFonts w:ascii="Arial" w:hAnsi="Arial" w:cs="Arial"/>
          <w:sz w:val="19"/>
          <w:szCs w:val="19"/>
        </w:rPr>
        <w:t xml:space="preserve"> </w:t>
      </w:r>
      <w:r w:rsidRPr="00CA0FFE">
        <w:rPr>
          <w:rFonts w:ascii="Arial" w:eastAsia="Calibri" w:hAnsi="Arial" w:cs="Arial"/>
          <w:bCs/>
          <w:sz w:val="19"/>
          <w:szCs w:val="19"/>
          <w:lang w:val="es-ES_tradnl"/>
        </w:rPr>
        <w:t xml:space="preserve">Colombia Compra Eficiente: «Guía para la Elaboración de Estudios del Sector», disponible en el siguiente enlace: </w:t>
      </w:r>
      <w:hyperlink r:id="rId1" w:history="1">
        <w:r w:rsidRPr="00CA0FFE">
          <w:rPr>
            <w:rStyle w:val="Hipervnculo"/>
            <w:rFonts w:ascii="Arial" w:eastAsia="Calibri" w:hAnsi="Arial" w:cs="Arial"/>
            <w:bCs/>
            <w:sz w:val="19"/>
            <w:szCs w:val="19"/>
            <w:lang w:val="es-ES_tradnl"/>
          </w:rPr>
          <w:t>https://www.colombiacompra.gov.co/sites/cce_public/files/cce_documentos/cce-eicp-gi-18._gees_v.2_2.pdf</w:t>
        </w:r>
      </w:hyperlink>
      <w:r w:rsidRPr="00CA0FFE">
        <w:rPr>
          <w:rFonts w:ascii="Arial" w:eastAsia="Calibri" w:hAnsi="Arial" w:cs="Arial"/>
          <w:bCs/>
          <w:sz w:val="19"/>
          <w:szCs w:val="19"/>
          <w:lang w:val="es-ES_tradnl"/>
        </w:rPr>
        <w:t xml:space="preserve">  </w:t>
      </w:r>
    </w:p>
    <w:p w14:paraId="018D185C" w14:textId="77777777" w:rsidR="008263E2" w:rsidRPr="00CA0FFE" w:rsidRDefault="008263E2" w:rsidP="00CA0FFE">
      <w:pPr>
        <w:pStyle w:val="Textonotapie"/>
        <w:spacing w:before="120" w:after="120"/>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B7F" w14:textId="77777777" w:rsidR="006A59DE" w:rsidRDefault="00246CEE">
    <w:pPr>
      <w:pStyle w:val="Encabezado"/>
    </w:pPr>
    <w:r>
      <w:rPr>
        <w:noProof/>
        <w:lang w:val="es-ES_tradnl" w:eastAsia="es-ES_tradnl"/>
      </w:rPr>
      <w:drawing>
        <wp:anchor distT="0" distB="0" distL="114300" distR="114300" simplePos="0" relativeHeight="251659264" behindDoc="1" locked="0" layoutInCell="1" allowOverlap="1" wp14:anchorId="1891F7E6" wp14:editId="32DFF25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38450358">
    <w:abstractNumId w:val="0"/>
  </w:num>
  <w:num w:numId="2" w16cid:durableId="6462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A3"/>
    <w:rsid w:val="0008053B"/>
    <w:rsid w:val="000864EE"/>
    <w:rsid w:val="00086875"/>
    <w:rsid w:val="000D26E2"/>
    <w:rsid w:val="001425C6"/>
    <w:rsid w:val="001600C5"/>
    <w:rsid w:val="00174082"/>
    <w:rsid w:val="00181A0F"/>
    <w:rsid w:val="001A5C14"/>
    <w:rsid w:val="001E5C90"/>
    <w:rsid w:val="00207AEA"/>
    <w:rsid w:val="0022774A"/>
    <w:rsid w:val="00244680"/>
    <w:rsid w:val="00246CEE"/>
    <w:rsid w:val="00250D03"/>
    <w:rsid w:val="0026556A"/>
    <w:rsid w:val="002A7601"/>
    <w:rsid w:val="003716F4"/>
    <w:rsid w:val="0052002B"/>
    <w:rsid w:val="00537AD2"/>
    <w:rsid w:val="00554071"/>
    <w:rsid w:val="00584F2F"/>
    <w:rsid w:val="005A3892"/>
    <w:rsid w:val="005C7C54"/>
    <w:rsid w:val="006D33E0"/>
    <w:rsid w:val="006D762F"/>
    <w:rsid w:val="007B2C76"/>
    <w:rsid w:val="008263E2"/>
    <w:rsid w:val="00871CD7"/>
    <w:rsid w:val="008B7F97"/>
    <w:rsid w:val="008F451C"/>
    <w:rsid w:val="009228EB"/>
    <w:rsid w:val="00A2453B"/>
    <w:rsid w:val="00AD24C6"/>
    <w:rsid w:val="00B03DC3"/>
    <w:rsid w:val="00B44C70"/>
    <w:rsid w:val="00B54572"/>
    <w:rsid w:val="00B940CF"/>
    <w:rsid w:val="00C7535E"/>
    <w:rsid w:val="00C93F10"/>
    <w:rsid w:val="00CA0FFE"/>
    <w:rsid w:val="00CE0152"/>
    <w:rsid w:val="00CE6648"/>
    <w:rsid w:val="00CF41FA"/>
    <w:rsid w:val="00D010B6"/>
    <w:rsid w:val="00DF4C66"/>
    <w:rsid w:val="00EC4423"/>
    <w:rsid w:val="00EF4EA3"/>
    <w:rsid w:val="00F02CA8"/>
    <w:rsid w:val="00F5660F"/>
    <w:rsid w:val="00FB3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E8C2"/>
  <w15:chartTrackingRefBased/>
  <w15:docId w15:val="{79161CCE-EFA5-44E3-937E-624536F1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E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EA3"/>
  </w:style>
  <w:style w:type="paragraph" w:styleId="Piedepgina">
    <w:name w:val="footer"/>
    <w:basedOn w:val="Normal"/>
    <w:link w:val="PiedepginaCar"/>
    <w:uiPriority w:val="99"/>
    <w:unhideWhenUsed/>
    <w:rsid w:val="00EF4E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EA3"/>
  </w:style>
  <w:style w:type="paragraph" w:styleId="Sinespaciado">
    <w:name w:val="No Spacing"/>
    <w:uiPriority w:val="1"/>
    <w:qFormat/>
    <w:rsid w:val="00EF4EA3"/>
    <w:pPr>
      <w:spacing w:after="0" w:line="240" w:lineRule="auto"/>
    </w:pPr>
  </w:style>
  <w:style w:type="paragraph" w:styleId="Textoindependiente">
    <w:name w:val="Body Text"/>
    <w:basedOn w:val="Normal"/>
    <w:link w:val="TextoindependienteCar"/>
    <w:uiPriority w:val="99"/>
    <w:unhideWhenUsed/>
    <w:rsid w:val="00EF4EA3"/>
    <w:pPr>
      <w:spacing w:after="120"/>
    </w:pPr>
  </w:style>
  <w:style w:type="character" w:customStyle="1" w:styleId="TextoindependienteCar">
    <w:name w:val="Texto independiente Car"/>
    <w:basedOn w:val="Fuentedeprrafopredeter"/>
    <w:link w:val="Textoindependiente"/>
    <w:uiPriority w:val="99"/>
    <w:rsid w:val="00EF4EA3"/>
  </w:style>
  <w:style w:type="table" w:styleId="Tablaconcuadrcula">
    <w:name w:val="Table Grid"/>
    <w:basedOn w:val="Tablanormal"/>
    <w:uiPriority w:val="59"/>
    <w:rsid w:val="00E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qFormat/>
    <w:locked/>
    <w:rsid w:val="00EF4EA3"/>
    <w:rPr>
      <w:sz w:val="20"/>
      <w:szCs w:val="20"/>
      <w:lang w:val="es-MX"/>
    </w:rPr>
  </w:style>
  <w:style w:type="paragraph" w:customStyle="1" w:styleId="Car1">
    <w:name w:val="Car1"/>
    <w:basedOn w:val="Normal"/>
    <w:next w:val="Textonotapie"/>
    <w:uiPriority w:val="99"/>
    <w:unhideWhenUsed/>
    <w:qFormat/>
    <w:rsid w:val="00EF4EA3"/>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EF4EA3"/>
    <w:rPr>
      <w:vertAlign w:val="superscript"/>
    </w:rPr>
  </w:style>
  <w:style w:type="paragraph" w:customStyle="1" w:styleId="Appelnotedebasde">
    <w:name w:val="Appel note de bas de..."/>
    <w:basedOn w:val="Normal"/>
    <w:link w:val="Refdenotaalpie"/>
    <w:uiPriority w:val="99"/>
    <w:rsid w:val="00EF4EA3"/>
    <w:pPr>
      <w:spacing w:line="240" w:lineRule="exact"/>
    </w:pPr>
    <w:rPr>
      <w:vertAlign w:val="superscript"/>
    </w:rPr>
  </w:style>
  <w:style w:type="paragraph" w:styleId="Textonotapie">
    <w:name w:val="footnote text"/>
    <w:basedOn w:val="Normal"/>
    <w:link w:val="TextonotapieCar"/>
    <w:uiPriority w:val="99"/>
    <w:semiHidden/>
    <w:unhideWhenUsed/>
    <w:rsid w:val="00EF4EA3"/>
    <w:pPr>
      <w:spacing w:after="0" w:line="240" w:lineRule="auto"/>
    </w:pPr>
    <w:rPr>
      <w:sz w:val="20"/>
      <w:szCs w:val="20"/>
      <w:lang w:val="es-MX"/>
    </w:rPr>
  </w:style>
  <w:style w:type="character" w:customStyle="1" w:styleId="TextonotapieCar1">
    <w:name w:val="Texto nota pie Car1"/>
    <w:basedOn w:val="Fuentedeprrafopredeter"/>
    <w:uiPriority w:val="99"/>
    <w:semiHidden/>
    <w:rsid w:val="00EF4EA3"/>
    <w:rPr>
      <w:sz w:val="20"/>
      <w:szCs w:val="20"/>
    </w:rPr>
  </w:style>
  <w:style w:type="paragraph" w:styleId="Revisin">
    <w:name w:val="Revision"/>
    <w:hidden/>
    <w:uiPriority w:val="99"/>
    <w:semiHidden/>
    <w:rsid w:val="00AD24C6"/>
    <w:pPr>
      <w:spacing w:after="0" w:line="240" w:lineRule="auto"/>
    </w:pPr>
  </w:style>
  <w:style w:type="character" w:styleId="Hipervnculo">
    <w:name w:val="Hyperlink"/>
    <w:basedOn w:val="Fuentedeprrafopredeter"/>
    <w:uiPriority w:val="99"/>
    <w:unhideWhenUsed/>
    <w:rsid w:val="008263E2"/>
    <w:rPr>
      <w:color w:val="0563C1" w:themeColor="hyperlink"/>
      <w:u w:val="single"/>
    </w:rPr>
  </w:style>
  <w:style w:type="character" w:styleId="Mencinsinresolver">
    <w:name w:val="Unresolved Mention"/>
    <w:basedOn w:val="Fuentedeprrafopredeter"/>
    <w:uiPriority w:val="99"/>
    <w:semiHidden/>
    <w:unhideWhenUsed/>
    <w:rsid w:val="008263E2"/>
    <w:rPr>
      <w:color w:val="605E5C"/>
      <w:shd w:val="clear" w:color="auto" w:fill="E1DFDD"/>
    </w:rPr>
  </w:style>
  <w:style w:type="table" w:customStyle="1" w:styleId="Tablaconcuadrcula1">
    <w:name w:val="Tabla con cuadrícula1"/>
    <w:basedOn w:val="Tablanormal"/>
    <w:next w:val="Tablaconcuadrcula"/>
    <w:uiPriority w:val="59"/>
    <w:qFormat/>
    <w:rsid w:val="0022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4071"/>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54071"/>
    <w:rPr>
      <w:sz w:val="24"/>
      <w:lang w:val="es-MX"/>
    </w:rPr>
  </w:style>
  <w:style w:type="character" w:styleId="Refdecomentario">
    <w:name w:val="annotation reference"/>
    <w:basedOn w:val="Fuentedeprrafopredeter"/>
    <w:uiPriority w:val="99"/>
    <w:semiHidden/>
    <w:unhideWhenUsed/>
    <w:rsid w:val="009228EB"/>
    <w:rPr>
      <w:sz w:val="16"/>
      <w:szCs w:val="16"/>
    </w:rPr>
  </w:style>
  <w:style w:type="paragraph" w:styleId="Textocomentario">
    <w:name w:val="annotation text"/>
    <w:basedOn w:val="Normal"/>
    <w:link w:val="TextocomentarioCar"/>
    <w:uiPriority w:val="99"/>
    <w:unhideWhenUsed/>
    <w:rsid w:val="009228EB"/>
    <w:pPr>
      <w:spacing w:line="240" w:lineRule="auto"/>
    </w:pPr>
    <w:rPr>
      <w:sz w:val="20"/>
      <w:szCs w:val="20"/>
    </w:rPr>
  </w:style>
  <w:style w:type="character" w:customStyle="1" w:styleId="TextocomentarioCar">
    <w:name w:val="Texto comentario Car"/>
    <w:basedOn w:val="Fuentedeprrafopredeter"/>
    <w:link w:val="Textocomentario"/>
    <w:uiPriority w:val="99"/>
    <w:rsid w:val="009228EB"/>
    <w:rPr>
      <w:sz w:val="20"/>
      <w:szCs w:val="20"/>
    </w:rPr>
  </w:style>
  <w:style w:type="paragraph" w:styleId="Asuntodelcomentario">
    <w:name w:val="annotation subject"/>
    <w:basedOn w:val="Textocomentario"/>
    <w:next w:val="Textocomentario"/>
    <w:link w:val="AsuntodelcomentarioCar"/>
    <w:uiPriority w:val="99"/>
    <w:semiHidden/>
    <w:unhideWhenUsed/>
    <w:rsid w:val="009228EB"/>
    <w:rPr>
      <w:b/>
      <w:bCs/>
    </w:rPr>
  </w:style>
  <w:style w:type="character" w:customStyle="1" w:styleId="AsuntodelcomentarioCar">
    <w:name w:val="Asunto del comentario Car"/>
    <w:basedOn w:val="TextocomentarioCar"/>
    <w:link w:val="Asuntodelcomentario"/>
    <w:uiPriority w:val="99"/>
    <w:semiHidden/>
    <w:rsid w:val="00922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01002">
      <w:bodyDiv w:val="1"/>
      <w:marLeft w:val="0"/>
      <w:marRight w:val="0"/>
      <w:marTop w:val="0"/>
      <w:marBottom w:val="0"/>
      <w:divBdr>
        <w:top w:val="none" w:sz="0" w:space="0" w:color="auto"/>
        <w:left w:val="none" w:sz="0" w:space="0" w:color="auto"/>
        <w:bottom w:val="none" w:sz="0" w:space="0" w:color="auto"/>
        <w:right w:val="none" w:sz="0" w:space="0" w:color="auto"/>
      </w:divBdr>
      <w:divsChild>
        <w:div w:id="741023157">
          <w:marLeft w:val="0"/>
          <w:marRight w:val="0"/>
          <w:marTop w:val="0"/>
          <w:marBottom w:val="0"/>
          <w:divBdr>
            <w:top w:val="none" w:sz="0" w:space="0" w:color="auto"/>
            <w:left w:val="none" w:sz="0" w:space="0" w:color="auto"/>
            <w:bottom w:val="none" w:sz="0" w:space="0" w:color="auto"/>
            <w:right w:val="none" w:sz="0" w:space="0" w:color="auto"/>
          </w:divBdr>
        </w:div>
        <w:div w:id="1090614923">
          <w:marLeft w:val="0"/>
          <w:marRight w:val="0"/>
          <w:marTop w:val="0"/>
          <w:marBottom w:val="0"/>
          <w:divBdr>
            <w:top w:val="none" w:sz="0" w:space="0" w:color="auto"/>
            <w:left w:val="none" w:sz="0" w:space="0" w:color="auto"/>
            <w:bottom w:val="none" w:sz="0" w:space="0" w:color="auto"/>
            <w:right w:val="none" w:sz="0" w:space="0" w:color="auto"/>
          </w:divBdr>
        </w:div>
        <w:div w:id="1665161912">
          <w:marLeft w:val="0"/>
          <w:marRight w:val="0"/>
          <w:marTop w:val="0"/>
          <w:marBottom w:val="0"/>
          <w:divBdr>
            <w:top w:val="none" w:sz="0" w:space="0" w:color="auto"/>
            <w:left w:val="none" w:sz="0" w:space="0" w:color="auto"/>
            <w:bottom w:val="none" w:sz="0" w:space="0" w:color="auto"/>
            <w:right w:val="none" w:sz="0" w:space="0" w:color="auto"/>
          </w:divBdr>
        </w:div>
        <w:div w:id="1615163394">
          <w:marLeft w:val="0"/>
          <w:marRight w:val="0"/>
          <w:marTop w:val="0"/>
          <w:marBottom w:val="0"/>
          <w:divBdr>
            <w:top w:val="none" w:sz="0" w:space="0" w:color="auto"/>
            <w:left w:val="none" w:sz="0" w:space="0" w:color="auto"/>
            <w:bottom w:val="none" w:sz="0" w:space="0" w:color="auto"/>
            <w:right w:val="none" w:sz="0" w:space="0" w:color="auto"/>
          </w:divBdr>
        </w:div>
        <w:div w:id="365106926">
          <w:marLeft w:val="0"/>
          <w:marRight w:val="0"/>
          <w:marTop w:val="0"/>
          <w:marBottom w:val="0"/>
          <w:divBdr>
            <w:top w:val="none" w:sz="0" w:space="0" w:color="auto"/>
            <w:left w:val="none" w:sz="0" w:space="0" w:color="auto"/>
            <w:bottom w:val="none" w:sz="0" w:space="0" w:color="auto"/>
            <w:right w:val="none" w:sz="0" w:space="0" w:color="auto"/>
          </w:divBdr>
        </w:div>
        <w:div w:id="1017192072">
          <w:marLeft w:val="0"/>
          <w:marRight w:val="0"/>
          <w:marTop w:val="0"/>
          <w:marBottom w:val="0"/>
          <w:divBdr>
            <w:top w:val="none" w:sz="0" w:space="0" w:color="auto"/>
            <w:left w:val="none" w:sz="0" w:space="0" w:color="auto"/>
            <w:bottom w:val="none" w:sz="0" w:space="0" w:color="auto"/>
            <w:right w:val="none" w:sz="0" w:space="0" w:color="auto"/>
          </w:divBdr>
        </w:div>
        <w:div w:id="127031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oxta2.colombiacompra.gov.co/sites/docs/_layouts/15/listform.aspx?PageType=6&amp;ListId=%7b41406f67-8aaf-444a-8f23-f6b9ad006b34%7d&amp;ID=9104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os/cce-eicp-gi-18._gees_v.2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9CB78D-E669-4438-BF1F-717DF15F1830}">
  <ds:schemaRefs>
    <ds:schemaRef ds:uri="http://schemas.openxmlformats.org/officeDocument/2006/bibliography"/>
  </ds:schemaRefs>
</ds:datastoreItem>
</file>

<file path=customXml/itemProps2.xml><?xml version="1.0" encoding="utf-8"?>
<ds:datastoreItem xmlns:ds="http://schemas.openxmlformats.org/officeDocument/2006/customXml" ds:itemID="{80E77340-C886-48C0-A8F5-0B1A02F79401}"/>
</file>

<file path=customXml/itemProps3.xml><?xml version="1.0" encoding="utf-8"?>
<ds:datastoreItem xmlns:ds="http://schemas.openxmlformats.org/officeDocument/2006/customXml" ds:itemID="{EBD91A8D-793E-4309-8802-70EC6C1B08F2}"/>
</file>

<file path=customXml/itemProps4.xml><?xml version="1.0" encoding="utf-8"?>
<ds:datastoreItem xmlns:ds="http://schemas.openxmlformats.org/officeDocument/2006/customXml" ds:itemID="{4494DE2D-F071-4B5E-9671-25C9850DED93}"/>
</file>

<file path=docProps/app.xml><?xml version="1.0" encoding="utf-8"?>
<Properties xmlns="http://schemas.openxmlformats.org/officeDocument/2006/extended-properties" xmlns:vt="http://schemas.openxmlformats.org/officeDocument/2006/docPropsVTypes">
  <Template>Normal</Template>
  <TotalTime>5</TotalTime>
  <Pages>13</Pages>
  <Words>5353</Words>
  <Characters>29442</Characters>
  <Application>Microsoft Office Word</Application>
  <DocSecurity>4</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Castrillon Endo</cp:lastModifiedBy>
  <cp:revision>2</cp:revision>
  <dcterms:created xsi:type="dcterms:W3CDTF">2022-10-04T18:20:00Z</dcterms:created>
  <dcterms:modified xsi:type="dcterms:W3CDTF">2022-10-04T18:20:00Z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