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E07CA2" w:rsidRDefault="00FE4C26" w:rsidP="0022167B">
      <w:pPr>
        <w:jc w:val="right"/>
        <w:rPr>
          <w:rFonts w:ascii="Arial" w:eastAsia="Calibri" w:hAnsi="Arial" w:cs="Arial"/>
          <w:b/>
          <w:bCs/>
          <w:color w:val="161616" w:themeColor="background1" w:themeShade="1A"/>
          <w:sz w:val="16"/>
          <w:szCs w:val="16"/>
          <w:lang w:val="es-ES_tradnl"/>
        </w:rPr>
      </w:pPr>
      <w:bookmarkStart w:id="0" w:name="_Hlk47949675"/>
      <w:r w:rsidRPr="00E07CA2">
        <w:rPr>
          <w:rFonts w:ascii="Arial" w:hAnsi="Arial" w:cs="Arial"/>
          <w:b/>
          <w:bCs/>
          <w:color w:val="161616" w:themeColor="background1" w:themeShade="1A"/>
          <w:sz w:val="16"/>
          <w:szCs w:val="16"/>
          <w:lang w:val="es-ES_tradnl" w:eastAsia="es-ES"/>
        </w:rPr>
        <w:t>CCE-DES-FM-17</w:t>
      </w:r>
    </w:p>
    <w:bookmarkEnd w:id="0"/>
    <w:p w14:paraId="7BB63B4F" w14:textId="77777777" w:rsidR="00A1653D" w:rsidRDefault="00A1653D" w:rsidP="0022167B">
      <w:pPr>
        <w:jc w:val="both"/>
        <w:rPr>
          <w:rFonts w:ascii="Arial" w:hAnsi="Arial" w:cs="Arial"/>
          <w:b/>
          <w:bCs/>
          <w:color w:val="161616" w:themeColor="background1" w:themeShade="1A"/>
          <w:sz w:val="22"/>
          <w:szCs w:val="22"/>
          <w:lang w:val="es-ES_tradnl" w:eastAsia="es-CO"/>
        </w:rPr>
      </w:pPr>
    </w:p>
    <w:p w14:paraId="11204E6A" w14:textId="77777777" w:rsidR="0020582D" w:rsidRPr="004A1D82" w:rsidRDefault="0020582D" w:rsidP="0020582D">
      <w:pPr>
        <w:tabs>
          <w:tab w:val="left" w:pos="426"/>
        </w:tabs>
        <w:rPr>
          <w:rFonts w:ascii="Arial" w:eastAsia="Calibri" w:hAnsi="Arial" w:cs="Arial"/>
          <w:b/>
          <w:bCs/>
          <w:color w:val="000000" w:themeColor="text1"/>
          <w:sz w:val="22"/>
          <w:szCs w:val="22"/>
        </w:rPr>
      </w:pPr>
      <w:bookmarkStart w:id="1" w:name="_Hlk77152637"/>
      <w:bookmarkStart w:id="2" w:name="_Hlk77157066"/>
      <w:bookmarkStart w:id="3" w:name="_Hlk102385276"/>
      <w:r w:rsidRPr="004A1D82">
        <w:rPr>
          <w:rFonts w:ascii="Arial" w:eastAsia="Calibri" w:hAnsi="Arial" w:cs="Arial"/>
          <w:b/>
          <w:bCs/>
          <w:color w:val="000000" w:themeColor="text1"/>
          <w:sz w:val="22"/>
          <w:szCs w:val="22"/>
        </w:rPr>
        <w:t>LEY DE GARANTÍAS ELECTORALES ‒</w:t>
      </w:r>
      <w:bookmarkEnd w:id="1"/>
      <w:r w:rsidRPr="004A1D82">
        <w:rPr>
          <w:rFonts w:ascii="Arial" w:eastAsia="Calibri" w:hAnsi="Arial" w:cs="Arial"/>
          <w:b/>
          <w:bCs/>
          <w:color w:val="000000" w:themeColor="text1"/>
          <w:sz w:val="22"/>
          <w:szCs w:val="22"/>
        </w:rPr>
        <w:t xml:space="preserve"> </w:t>
      </w:r>
      <w:r w:rsidRPr="004A1D82">
        <w:rPr>
          <w:rFonts w:ascii="Arial" w:eastAsia="Calibri" w:hAnsi="Arial" w:cs="Arial"/>
          <w:b/>
          <w:bCs/>
          <w:color w:val="000000" w:themeColor="text1"/>
          <w:sz w:val="22"/>
          <w:szCs w:val="22"/>
          <w:lang w:val="es-ES_tradnl" w:eastAsia="en-US"/>
        </w:rPr>
        <w:t xml:space="preserve">Definición </w:t>
      </w:r>
      <w:r w:rsidRPr="004A1D82">
        <w:rPr>
          <w:rFonts w:ascii="Arial" w:eastAsia="Calibri" w:hAnsi="Arial" w:cs="Arial"/>
          <w:b/>
          <w:bCs/>
          <w:color w:val="000000" w:themeColor="text1"/>
          <w:sz w:val="22"/>
          <w:szCs w:val="22"/>
        </w:rPr>
        <w:t>‒</w:t>
      </w:r>
      <w:r w:rsidRPr="004A1D82">
        <w:rPr>
          <w:rFonts w:ascii="Arial" w:eastAsia="Calibri" w:hAnsi="Arial" w:cs="Arial"/>
          <w:b/>
          <w:bCs/>
          <w:color w:val="000000" w:themeColor="text1"/>
          <w:sz w:val="22"/>
          <w:szCs w:val="22"/>
          <w:lang w:val="es-ES_tradnl" w:eastAsia="en-US"/>
        </w:rPr>
        <w:t xml:space="preserve"> </w:t>
      </w:r>
      <w:r>
        <w:rPr>
          <w:rFonts w:ascii="Arial" w:eastAsia="Calibri" w:hAnsi="Arial" w:cs="Arial"/>
          <w:b/>
          <w:bCs/>
          <w:color w:val="000000" w:themeColor="text1"/>
          <w:sz w:val="22"/>
          <w:szCs w:val="22"/>
          <w:lang w:val="es-ES_tradnl" w:eastAsia="en-US"/>
        </w:rPr>
        <w:t>F</w:t>
      </w:r>
      <w:r w:rsidRPr="004A1D82">
        <w:rPr>
          <w:rFonts w:ascii="Arial" w:eastAsia="Calibri" w:hAnsi="Arial" w:cs="Arial"/>
          <w:b/>
          <w:bCs/>
          <w:color w:val="000000" w:themeColor="text1"/>
          <w:sz w:val="22"/>
          <w:szCs w:val="22"/>
          <w:lang w:val="es-ES_tradnl" w:eastAsia="en-US"/>
        </w:rPr>
        <w:t xml:space="preserve">inalidad </w:t>
      </w:r>
    </w:p>
    <w:p w14:paraId="1F6CF115" w14:textId="77777777" w:rsidR="0020582D" w:rsidRPr="004A1D82" w:rsidRDefault="0020582D" w:rsidP="0020582D">
      <w:pPr>
        <w:tabs>
          <w:tab w:val="left" w:pos="426"/>
        </w:tabs>
        <w:rPr>
          <w:rFonts w:ascii="Arial" w:eastAsia="Calibri" w:hAnsi="Arial" w:cs="Arial"/>
          <w:b/>
          <w:bCs/>
          <w:color w:val="000000" w:themeColor="text1"/>
          <w:sz w:val="20"/>
          <w:szCs w:val="20"/>
        </w:rPr>
      </w:pPr>
    </w:p>
    <w:bookmarkEnd w:id="2"/>
    <w:p w14:paraId="31696B6D" w14:textId="77777777" w:rsidR="0020582D" w:rsidRPr="00E5404C" w:rsidRDefault="0020582D" w:rsidP="0020582D">
      <w:pPr>
        <w:tabs>
          <w:tab w:val="left" w:pos="426"/>
        </w:tabs>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lang w:val="es-ES_tradnl"/>
        </w:rPr>
        <w:t xml:space="preserve">[…] </w:t>
      </w:r>
      <w:r w:rsidRPr="00E5404C">
        <w:rPr>
          <w:rFonts w:ascii="Arial" w:eastAsia="Calibri" w:hAnsi="Arial" w:cs="Arial"/>
          <w:noProof/>
          <w:color w:val="000000" w:themeColor="text1"/>
          <w:sz w:val="20"/>
          <w:szCs w:val="20"/>
        </w:rPr>
        <w:t>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p>
    <w:bookmarkEnd w:id="3"/>
    <w:p w14:paraId="63665591" w14:textId="77777777" w:rsidR="00825CB9" w:rsidRPr="004A1D82" w:rsidRDefault="00825CB9" w:rsidP="00825CB9">
      <w:pPr>
        <w:jc w:val="both"/>
        <w:rPr>
          <w:rFonts w:ascii="Arial" w:eastAsia="Calibri" w:hAnsi="Arial" w:cs="Arial"/>
          <w:color w:val="000000" w:themeColor="text1"/>
          <w:sz w:val="20"/>
          <w:szCs w:val="20"/>
          <w:lang w:eastAsia="en-US"/>
        </w:rPr>
      </w:pPr>
    </w:p>
    <w:p w14:paraId="67ED7CA2" w14:textId="2DC82DB0" w:rsidR="00825CB9" w:rsidRDefault="00825CB9" w:rsidP="00825CB9">
      <w:pPr>
        <w:jc w:val="both"/>
        <w:rPr>
          <w:rFonts w:ascii="Arial" w:hAnsi="Arial" w:cs="Arial"/>
          <w:b/>
          <w:bCs/>
          <w:sz w:val="22"/>
          <w:szCs w:val="22"/>
          <w:lang w:val="es-ES_tradnl" w:eastAsia="es-CO"/>
        </w:rPr>
      </w:pPr>
      <w:r w:rsidRPr="000D05FB">
        <w:rPr>
          <w:rFonts w:ascii="Arial" w:eastAsia="Calibri" w:hAnsi="Arial" w:cs="Arial"/>
          <w:b/>
          <w:bCs/>
          <w:sz w:val="22"/>
          <w:szCs w:val="22"/>
          <w:lang w:val="es-ES_tradnl" w:eastAsia="en-US"/>
        </w:rPr>
        <w:t>LEY DE GARANTÍAS ELECTORALES ‒</w:t>
      </w:r>
      <w:r w:rsidRPr="00D0124B">
        <w:rPr>
          <w:rFonts w:ascii="Arial" w:eastAsia="Calibri" w:hAnsi="Arial" w:cs="Arial"/>
          <w:sz w:val="22"/>
          <w:szCs w:val="22"/>
          <w:lang w:val="es-ES_tradnl" w:eastAsia="en-US"/>
        </w:rPr>
        <w:t xml:space="preserve"> </w:t>
      </w:r>
      <w:bookmarkStart w:id="4" w:name="_Hlk102386654"/>
      <w:r w:rsidRPr="000D05FB">
        <w:rPr>
          <w:rFonts w:ascii="Arial" w:eastAsia="Calibri" w:hAnsi="Arial" w:cs="Arial"/>
          <w:b/>
          <w:bCs/>
          <w:sz w:val="22"/>
          <w:szCs w:val="22"/>
          <w:lang w:val="es-ES_tradnl" w:eastAsia="en-US"/>
        </w:rPr>
        <w:t>Prohibición</w:t>
      </w:r>
      <w:r w:rsidR="00482ED4">
        <w:rPr>
          <w:rFonts w:ascii="Arial" w:eastAsia="Calibri" w:hAnsi="Arial" w:cs="Arial"/>
          <w:b/>
          <w:bCs/>
          <w:sz w:val="22"/>
          <w:szCs w:val="22"/>
          <w:lang w:val="es-ES_tradnl" w:eastAsia="en-US"/>
        </w:rPr>
        <w:t xml:space="preserve"> artículo 33</w:t>
      </w:r>
      <w:r w:rsidRPr="000D05FB">
        <w:rPr>
          <w:rFonts w:ascii="Arial" w:eastAsia="Calibri" w:hAnsi="Arial" w:cs="Arial"/>
          <w:b/>
          <w:bCs/>
          <w:sz w:val="22"/>
          <w:szCs w:val="22"/>
          <w:lang w:val="es-ES_tradnl" w:eastAsia="en-US"/>
        </w:rPr>
        <w:t>‒ Contratación directa ‒ Alcance</w:t>
      </w:r>
      <w:bookmarkStart w:id="5" w:name="_Hlk77022358"/>
      <w:r>
        <w:rPr>
          <w:rFonts w:ascii="Arial" w:eastAsia="Calibri" w:hAnsi="Arial" w:cs="Arial"/>
          <w:b/>
          <w:bCs/>
          <w:sz w:val="22"/>
          <w:szCs w:val="22"/>
          <w:lang w:val="es-ES_tradnl" w:eastAsia="en-US"/>
        </w:rPr>
        <w:t xml:space="preserve"> </w:t>
      </w:r>
      <w:bookmarkEnd w:id="4"/>
      <w:bookmarkEnd w:id="5"/>
    </w:p>
    <w:p w14:paraId="1CD32E57" w14:textId="77777777" w:rsidR="00825CB9" w:rsidRPr="00D0124B" w:rsidRDefault="00825CB9" w:rsidP="00825CB9">
      <w:pPr>
        <w:jc w:val="both"/>
        <w:rPr>
          <w:rFonts w:ascii="Arial" w:hAnsi="Arial" w:cs="Arial"/>
          <w:b/>
          <w:color w:val="000000" w:themeColor="text1"/>
          <w:sz w:val="22"/>
          <w:szCs w:val="22"/>
          <w:lang w:val="es-ES_tradnl" w:eastAsia="es-CO"/>
        </w:rPr>
      </w:pPr>
    </w:p>
    <w:p w14:paraId="26BD6A71" w14:textId="77777777" w:rsidR="00825CB9" w:rsidRPr="00264FB8" w:rsidRDefault="00825CB9" w:rsidP="00825CB9">
      <w:pPr>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rPr>
        <w:t xml:space="preserve">[…] </w:t>
      </w:r>
      <w:r w:rsidRPr="00264FB8">
        <w:rPr>
          <w:rFonts w:ascii="Arial" w:eastAsia="Calibri" w:hAnsi="Arial" w:cs="Arial"/>
          <w:noProof/>
          <w:color w:val="000000" w:themeColor="text1"/>
          <w:sz w:val="20"/>
          <w:szCs w:val="20"/>
        </w:rPr>
        <w:t>El ámbito material de la prohibición contenida en el artículo 33 de la ley 996 de 2005 está delimitado por la expresión «queda prohibida la contratación directa»</w:t>
      </w:r>
      <w:r>
        <w:rPr>
          <w:rFonts w:ascii="Arial" w:eastAsia="Calibri" w:hAnsi="Arial" w:cs="Arial"/>
          <w:noProof/>
          <w:color w:val="000000" w:themeColor="text1"/>
          <w:sz w:val="20"/>
          <w:szCs w:val="20"/>
        </w:rPr>
        <w:t xml:space="preserve">. </w:t>
      </w:r>
      <w:r w:rsidRPr="004A1D82">
        <w:rPr>
          <w:rFonts w:ascii="Arial" w:eastAsia="Calibri" w:hAnsi="Arial" w:cs="Arial"/>
          <w:noProof/>
          <w:color w:val="000000" w:themeColor="text1"/>
          <w:sz w:val="20"/>
          <w:szCs w:val="20"/>
        </w:rPr>
        <w:t>[…]</w:t>
      </w:r>
      <w:r>
        <w:rPr>
          <w:rFonts w:ascii="Arial" w:eastAsia="Calibri" w:hAnsi="Arial" w:cs="Arial"/>
          <w:noProof/>
          <w:color w:val="000000" w:themeColor="text1"/>
          <w:sz w:val="20"/>
          <w:szCs w:val="20"/>
        </w:rPr>
        <w:t xml:space="preserve"> </w:t>
      </w:r>
      <w:r w:rsidRPr="00264FB8">
        <w:rPr>
          <w:rFonts w:ascii="Arial" w:eastAsia="Calibri" w:hAnsi="Arial" w:cs="Arial"/>
          <w:noProof/>
          <w:color w:val="000000" w:themeColor="text1"/>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De lo anterior se desprende que la restricción aplica, sin perjuicio de las excepciones establecidas en la misma ley, para celebrar cualquier contrato de forma directa, esto es, sin que exista un proceso abierto y competitivo.</w:t>
      </w:r>
    </w:p>
    <w:p w14:paraId="4BA94798" w14:textId="77777777" w:rsidR="00825CB9" w:rsidRPr="004A1D82" w:rsidRDefault="00825CB9" w:rsidP="00825CB9">
      <w:pPr>
        <w:tabs>
          <w:tab w:val="left" w:pos="426"/>
        </w:tabs>
        <w:jc w:val="both"/>
        <w:rPr>
          <w:rFonts w:ascii="Arial" w:eastAsia="Calibri" w:hAnsi="Arial" w:cs="Arial"/>
          <w:noProof/>
          <w:color w:val="000000" w:themeColor="text1"/>
          <w:sz w:val="20"/>
          <w:szCs w:val="20"/>
        </w:rPr>
      </w:pPr>
      <w:bookmarkStart w:id="6" w:name="_Hlk102386689"/>
    </w:p>
    <w:p w14:paraId="382C6431" w14:textId="77777777" w:rsidR="00825CB9" w:rsidRDefault="00825CB9" w:rsidP="00825CB9">
      <w:pPr>
        <w:jc w:val="both"/>
        <w:rPr>
          <w:rFonts w:ascii="Arial" w:eastAsia="Calibri" w:hAnsi="Arial" w:cs="Arial"/>
          <w:b/>
          <w:bCs/>
          <w:sz w:val="22"/>
          <w:szCs w:val="22"/>
          <w:lang w:val="es-ES_tradnl" w:eastAsia="en-US"/>
        </w:rPr>
      </w:pPr>
      <w:r w:rsidRPr="000D05FB">
        <w:rPr>
          <w:rFonts w:ascii="Arial" w:hAnsi="Arial" w:cs="Arial"/>
          <w:b/>
          <w:bCs/>
          <w:sz w:val="22"/>
          <w:szCs w:val="22"/>
          <w:lang w:val="es-ES_tradnl" w:eastAsia="es-CO"/>
        </w:rPr>
        <w:t xml:space="preserve">LEY DE GARANTÍAS ELECTORALES </w:t>
      </w:r>
      <w:r w:rsidRPr="000D05FB">
        <w:rPr>
          <w:rFonts w:ascii="Arial" w:eastAsia="Calibri" w:hAnsi="Arial" w:cs="Arial"/>
          <w:b/>
          <w:bCs/>
          <w:sz w:val="22"/>
          <w:szCs w:val="22"/>
          <w:lang w:val="es-ES_tradnl" w:eastAsia="en-US"/>
        </w:rPr>
        <w:t>‒</w:t>
      </w:r>
      <w:r w:rsidRPr="00D0124B">
        <w:rPr>
          <w:rFonts w:ascii="Arial" w:eastAsia="Calibri" w:hAnsi="Arial" w:cs="Arial"/>
          <w:sz w:val="22"/>
          <w:szCs w:val="22"/>
          <w:lang w:val="es-ES_tradnl" w:eastAsia="en-US"/>
        </w:rPr>
        <w:t xml:space="preserve"> </w:t>
      </w:r>
      <w:r w:rsidRPr="000D05FB">
        <w:rPr>
          <w:rFonts w:ascii="Arial" w:eastAsia="Calibri" w:hAnsi="Arial" w:cs="Arial"/>
          <w:b/>
          <w:bCs/>
          <w:sz w:val="22"/>
          <w:szCs w:val="22"/>
          <w:lang w:val="es-ES_tradnl" w:eastAsia="en-US"/>
        </w:rPr>
        <w:t>Prohibición artículo 3</w:t>
      </w:r>
      <w:r>
        <w:rPr>
          <w:rFonts w:ascii="Arial" w:eastAsia="Calibri" w:hAnsi="Arial" w:cs="Arial"/>
          <w:b/>
          <w:bCs/>
          <w:sz w:val="22"/>
          <w:szCs w:val="22"/>
          <w:lang w:val="es-ES_tradnl" w:eastAsia="en-US"/>
        </w:rPr>
        <w:t>8</w:t>
      </w:r>
      <w:r w:rsidRPr="000D05FB">
        <w:rPr>
          <w:rFonts w:ascii="Arial" w:eastAsia="Calibri" w:hAnsi="Arial" w:cs="Arial"/>
          <w:b/>
          <w:bCs/>
          <w:sz w:val="22"/>
          <w:szCs w:val="22"/>
          <w:lang w:val="es-ES_tradnl" w:eastAsia="en-US"/>
        </w:rPr>
        <w:t xml:space="preserve"> ‒ Con</w:t>
      </w:r>
      <w:r>
        <w:rPr>
          <w:rFonts w:ascii="Arial" w:eastAsia="Calibri" w:hAnsi="Arial" w:cs="Arial"/>
          <w:b/>
          <w:bCs/>
          <w:sz w:val="22"/>
          <w:szCs w:val="22"/>
          <w:lang w:val="es-ES_tradnl" w:eastAsia="en-US"/>
        </w:rPr>
        <w:t>venios y contratos interadministrativos</w:t>
      </w:r>
    </w:p>
    <w:bookmarkEnd w:id="6"/>
    <w:p w14:paraId="1A0C7AB4" w14:textId="77777777" w:rsidR="00825CB9" w:rsidRDefault="00825CB9" w:rsidP="00825CB9">
      <w:pPr>
        <w:jc w:val="both"/>
        <w:rPr>
          <w:rFonts w:ascii="Arial" w:hAnsi="Arial" w:cs="Arial"/>
          <w:b/>
          <w:bCs/>
          <w:sz w:val="22"/>
          <w:szCs w:val="22"/>
          <w:lang w:val="es-ES_tradnl" w:eastAsia="es-CO"/>
        </w:rPr>
      </w:pPr>
    </w:p>
    <w:p w14:paraId="6BCC0921" w14:textId="77777777" w:rsidR="00825CB9" w:rsidRDefault="00825CB9" w:rsidP="00825CB9">
      <w:pPr>
        <w:spacing w:after="120"/>
        <w:jc w:val="both"/>
        <w:rPr>
          <w:rFonts w:ascii="Arial" w:eastAsia="Calibri" w:hAnsi="Arial" w:cs="Arial"/>
          <w:noProof/>
          <w:color w:val="000000" w:themeColor="text1"/>
          <w:sz w:val="20"/>
          <w:szCs w:val="20"/>
        </w:rPr>
      </w:pPr>
      <w:r>
        <w:rPr>
          <w:rFonts w:ascii="Arial" w:eastAsia="Calibri" w:hAnsi="Arial" w:cs="Arial"/>
          <w:noProof/>
          <w:color w:val="000000" w:themeColor="text1"/>
          <w:sz w:val="20"/>
          <w:szCs w:val="20"/>
        </w:rPr>
        <w:t>L</w:t>
      </w:r>
      <w:r w:rsidRPr="004B72B2">
        <w:rPr>
          <w:rFonts w:ascii="Arial" w:eastAsia="Calibri" w:hAnsi="Arial" w:cs="Arial"/>
          <w:noProof/>
          <w:color w:val="000000" w:themeColor="text1"/>
          <w:sz w:val="20"/>
          <w:szCs w:val="20"/>
        </w:rPr>
        <w:t>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r>
        <w:rPr>
          <w:rFonts w:ascii="Arial" w:eastAsia="Calibri" w:hAnsi="Arial" w:cs="Arial"/>
          <w:noProof/>
          <w:color w:val="000000" w:themeColor="text1"/>
          <w:sz w:val="20"/>
          <w:szCs w:val="20"/>
        </w:rPr>
        <w:t xml:space="preserve">. </w:t>
      </w:r>
    </w:p>
    <w:p w14:paraId="0D872A9B" w14:textId="77777777" w:rsidR="00825CB9" w:rsidRDefault="00825CB9" w:rsidP="00825CB9">
      <w:pPr>
        <w:jc w:val="both"/>
        <w:rPr>
          <w:rFonts w:ascii="Arial" w:hAnsi="Arial" w:cs="Arial"/>
          <w:b/>
          <w:bCs/>
          <w:sz w:val="22"/>
          <w:szCs w:val="22"/>
          <w:lang w:val="es-ES_tradnl" w:eastAsia="es-CO"/>
        </w:rPr>
      </w:pPr>
    </w:p>
    <w:p w14:paraId="157A3A47" w14:textId="79D8A97D" w:rsidR="00825CB9" w:rsidRPr="000D05FB" w:rsidRDefault="00825CB9" w:rsidP="00825CB9">
      <w:pPr>
        <w:jc w:val="both"/>
        <w:rPr>
          <w:rFonts w:ascii="Arial" w:hAnsi="Arial" w:cs="Arial"/>
          <w:b/>
          <w:sz w:val="22"/>
          <w:szCs w:val="22"/>
          <w:lang w:val="es-ES_tradnl" w:eastAsia="es-CO"/>
        </w:rPr>
      </w:pPr>
      <w:bookmarkStart w:id="7" w:name="_Hlk102386721"/>
      <w:r w:rsidRPr="000D05FB">
        <w:rPr>
          <w:rFonts w:ascii="Arial" w:hAnsi="Arial" w:cs="Arial"/>
          <w:b/>
          <w:bCs/>
          <w:sz w:val="22"/>
          <w:szCs w:val="22"/>
          <w:lang w:val="es-ES_tradnl" w:eastAsia="es-CO"/>
        </w:rPr>
        <w:t xml:space="preserve">LEY DE GARANTÍAS ELECTORALES </w:t>
      </w:r>
      <w:bookmarkStart w:id="8" w:name="_Hlk77166669"/>
      <w:r w:rsidRPr="000D05FB">
        <w:rPr>
          <w:rFonts w:ascii="Arial" w:hAnsi="Arial" w:cs="Arial"/>
          <w:b/>
          <w:bCs/>
          <w:sz w:val="22"/>
          <w:szCs w:val="22"/>
          <w:lang w:val="es-ES_tradnl" w:eastAsia="es-CO"/>
        </w:rPr>
        <w:t>‒</w:t>
      </w:r>
      <w:bookmarkEnd w:id="8"/>
      <w:r w:rsidRPr="000D05FB">
        <w:rPr>
          <w:rFonts w:ascii="Arial" w:hAnsi="Arial" w:cs="Arial"/>
          <w:b/>
          <w:bCs/>
          <w:sz w:val="22"/>
          <w:szCs w:val="22"/>
          <w:lang w:val="es-ES_tradnl" w:eastAsia="es-CO"/>
        </w:rPr>
        <w:t xml:space="preserve"> Destinatarios</w:t>
      </w:r>
      <w:r>
        <w:rPr>
          <w:rFonts w:ascii="Arial" w:hAnsi="Arial" w:cs="Arial"/>
          <w:b/>
          <w:bCs/>
          <w:sz w:val="22"/>
          <w:szCs w:val="22"/>
          <w:lang w:val="es-ES_tradnl" w:eastAsia="es-CO"/>
        </w:rPr>
        <w:t xml:space="preserve"> </w:t>
      </w:r>
      <w:r w:rsidRPr="000D05FB">
        <w:rPr>
          <w:rFonts w:ascii="Arial" w:hAnsi="Arial" w:cs="Arial"/>
          <w:b/>
          <w:bCs/>
          <w:sz w:val="22"/>
          <w:szCs w:val="22"/>
          <w:lang w:val="es-ES_tradnl" w:eastAsia="es-CO"/>
        </w:rPr>
        <w:t>‒</w:t>
      </w:r>
      <w:r>
        <w:rPr>
          <w:rFonts w:ascii="Arial" w:hAnsi="Arial" w:cs="Arial"/>
          <w:b/>
          <w:bCs/>
          <w:sz w:val="22"/>
          <w:szCs w:val="22"/>
          <w:lang w:val="es-ES_tradnl" w:eastAsia="es-CO"/>
        </w:rPr>
        <w:t xml:space="preserve"> Excepciones</w:t>
      </w:r>
    </w:p>
    <w:bookmarkEnd w:id="7"/>
    <w:p w14:paraId="0D1A7197" w14:textId="77777777" w:rsidR="00825CB9" w:rsidRPr="000D05FB" w:rsidRDefault="00825CB9" w:rsidP="00825CB9">
      <w:pPr>
        <w:tabs>
          <w:tab w:val="left" w:pos="426"/>
        </w:tabs>
        <w:jc w:val="both"/>
        <w:rPr>
          <w:rFonts w:ascii="Arial" w:eastAsia="Calibri" w:hAnsi="Arial" w:cs="Arial"/>
          <w:noProof/>
          <w:sz w:val="22"/>
          <w:szCs w:val="22"/>
          <w:lang w:val="es-ES_tradnl" w:eastAsia="en-US"/>
        </w:rPr>
      </w:pPr>
    </w:p>
    <w:p w14:paraId="2FA35E13" w14:textId="2871CC31" w:rsidR="00882F66" w:rsidRDefault="00E07CA2" w:rsidP="00825CB9">
      <w:pPr>
        <w:tabs>
          <w:tab w:val="left" w:pos="426"/>
        </w:tabs>
        <w:jc w:val="both"/>
        <w:rPr>
          <w:rFonts w:ascii="Arial" w:hAnsi="Arial" w:cs="Arial"/>
          <w:bCs/>
          <w:sz w:val="20"/>
          <w:szCs w:val="20"/>
          <w:lang w:val="es-ES_tradnl" w:eastAsia="x-none"/>
        </w:rPr>
      </w:pPr>
      <w:r w:rsidRPr="00E07CA2">
        <w:rPr>
          <w:rFonts w:ascii="Arial" w:hAnsi="Arial" w:cs="Arial"/>
          <w:bCs/>
          <w:sz w:val="20"/>
          <w:szCs w:val="20"/>
          <w:lang w:val="es-ES_tradnl" w:eastAsia="x-none"/>
        </w:rPr>
        <w:t xml:space="preserve">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w:t>
      </w:r>
      <w:r w:rsidRPr="00E07CA2">
        <w:rPr>
          <w:rFonts w:ascii="Arial" w:hAnsi="Arial" w:cs="Arial"/>
          <w:bCs/>
          <w:sz w:val="20"/>
          <w:szCs w:val="20"/>
          <w:lang w:val="es-ES_tradnl" w:eastAsia="x-none"/>
        </w:rPr>
        <w:lastRenderedPageBreak/>
        <w:t>incluso si las entidades estatales tienen régimen especial de contratación y están exceptuadas del ámbito de aplicación del Estatuto General de Contratación de la Administración Pública.</w:t>
      </w:r>
    </w:p>
    <w:p w14:paraId="30B34626" w14:textId="77777777" w:rsidR="00E07CA2" w:rsidRDefault="00E07CA2" w:rsidP="00825CB9">
      <w:pPr>
        <w:tabs>
          <w:tab w:val="left" w:pos="426"/>
        </w:tabs>
        <w:jc w:val="both"/>
        <w:rPr>
          <w:rFonts w:ascii="Arial" w:hAnsi="Arial" w:cs="Arial"/>
          <w:bCs/>
          <w:sz w:val="20"/>
          <w:szCs w:val="20"/>
          <w:lang w:val="es-ES_tradnl" w:eastAsia="x-none"/>
        </w:rPr>
      </w:pPr>
    </w:p>
    <w:p w14:paraId="6695697E" w14:textId="555F8F3B" w:rsidR="00882F66" w:rsidRPr="00882F66" w:rsidRDefault="00882F66" w:rsidP="00825CB9">
      <w:pPr>
        <w:tabs>
          <w:tab w:val="left" w:pos="426"/>
        </w:tabs>
        <w:jc w:val="both"/>
        <w:rPr>
          <w:rFonts w:ascii="Arial" w:hAnsi="Arial" w:cs="Arial"/>
          <w:b/>
          <w:bCs/>
          <w:sz w:val="20"/>
          <w:szCs w:val="20"/>
          <w:lang w:val="es-ES_tradnl" w:eastAsia="x-none"/>
        </w:rPr>
      </w:pPr>
      <w:r w:rsidRPr="00882F66">
        <w:rPr>
          <w:rFonts w:ascii="Arial" w:hAnsi="Arial" w:cs="Arial"/>
          <w:b/>
          <w:bCs/>
          <w:sz w:val="22"/>
          <w:szCs w:val="22"/>
          <w:lang w:val="es-ES_tradnl" w:eastAsia="es-CO"/>
        </w:rPr>
        <w:t>CONTRATOS DE CONCURRENCIA ENTRE LA NACIÓN Y ENTIDADES TERRITORIALES</w:t>
      </w:r>
      <w:r w:rsidR="004008AD">
        <w:rPr>
          <w:rFonts w:ascii="Arial" w:hAnsi="Arial" w:cs="Arial"/>
          <w:b/>
          <w:bCs/>
          <w:sz w:val="22"/>
          <w:szCs w:val="22"/>
          <w:lang w:val="es-ES_tradnl" w:eastAsia="es-CO"/>
        </w:rPr>
        <w:t xml:space="preserve"> </w:t>
      </w:r>
      <w:r w:rsidRPr="00882F66">
        <w:rPr>
          <w:rFonts w:ascii="Arial" w:hAnsi="Arial" w:cs="Arial"/>
          <w:b/>
          <w:bCs/>
          <w:sz w:val="22"/>
          <w:szCs w:val="22"/>
          <w:lang w:val="es-ES_tradnl" w:eastAsia="es-CO"/>
        </w:rPr>
        <w:t>–</w:t>
      </w:r>
      <w:r w:rsidRPr="00882F66">
        <w:rPr>
          <w:rFonts w:ascii="Arial" w:hAnsi="Arial" w:cs="Arial"/>
          <w:b/>
          <w:bCs/>
          <w:sz w:val="20"/>
          <w:szCs w:val="20"/>
          <w:lang w:val="es-ES_tradnl" w:eastAsia="x-none"/>
        </w:rPr>
        <w:t xml:space="preserve"> Aplicación ley de garantías </w:t>
      </w:r>
    </w:p>
    <w:p w14:paraId="656919C8" w14:textId="77777777" w:rsidR="00882F66" w:rsidRDefault="00882F66" w:rsidP="00882F66">
      <w:pPr>
        <w:tabs>
          <w:tab w:val="left" w:pos="426"/>
        </w:tabs>
        <w:jc w:val="both"/>
        <w:rPr>
          <w:rFonts w:ascii="Arial" w:hAnsi="Arial" w:cs="Arial"/>
          <w:bCs/>
          <w:sz w:val="20"/>
          <w:szCs w:val="20"/>
          <w:lang w:val="es-ES_tradnl" w:eastAsia="x-none"/>
        </w:rPr>
      </w:pPr>
    </w:p>
    <w:p w14:paraId="3C8034ED" w14:textId="3FFCA7BF" w:rsidR="00717780" w:rsidRPr="00882F66" w:rsidRDefault="00E07CA2" w:rsidP="00882F66">
      <w:pPr>
        <w:tabs>
          <w:tab w:val="left" w:pos="426"/>
        </w:tabs>
        <w:jc w:val="both"/>
        <w:rPr>
          <w:rFonts w:ascii="Arial" w:hAnsi="Arial" w:cs="Arial"/>
          <w:bCs/>
          <w:sz w:val="20"/>
          <w:szCs w:val="20"/>
          <w:lang w:val="es-ES_tradnl" w:eastAsia="x-none"/>
        </w:rPr>
      </w:pPr>
      <w:r w:rsidRPr="00E07CA2">
        <w:rPr>
          <w:rFonts w:ascii="Arial" w:hAnsi="Arial" w:cs="Arial"/>
          <w:bCs/>
          <w:sz w:val="20"/>
          <w:szCs w:val="20"/>
          <w:lang w:val="es-ES_tradnl" w:eastAsia="x-none"/>
        </w:rPr>
        <w:t xml:space="preserve">Como puede observarse, la determinación de las responsabilidades financieras tiene gran importancia, no solo por cuanto fija la forma como la Nación y las entidades territoriales concurren con las instituciones de salud al pago del pasivo pensional, sino porque mientras no se perfeccione el acuerdo o contrato de concurrencia éstas últimas continúan con la responsabilidad de presupuestar y pagar las pensiones a que están obligadas, según lo dispone el inciso 5° del artículo 242 de la ley 100 de 1993. Es así como aun cuando la etapa precontractual del contrato de concurrencia referido está sometido a normas especiales, para efectos de determinar la concurrencia de la Nación y las entidades territoriales para la asunción del pasivo de entidades hospitalarias del sector salud, no se observa que dicho negocio jurídico este excluido del cumplimiento de las restricciones de la Ley de Garantías.  </w:t>
      </w:r>
    </w:p>
    <w:p w14:paraId="1A5B9FDB" w14:textId="48105E4A" w:rsidR="00717780" w:rsidRDefault="00717780" w:rsidP="006D78DC">
      <w:pPr>
        <w:pStyle w:val="Textoindependiente"/>
        <w:jc w:val="both"/>
        <w:rPr>
          <w:rFonts w:ascii="Calibri" w:eastAsia="Calibri" w:hAnsi="Calibri" w:cs="Calibri"/>
          <w:b/>
          <w:color w:val="000000" w:themeColor="text1"/>
          <w:sz w:val="20"/>
          <w:szCs w:val="20"/>
        </w:rPr>
      </w:pPr>
    </w:p>
    <w:p w14:paraId="36FE0C88" w14:textId="4B339A78" w:rsidR="00717780" w:rsidRDefault="00717780" w:rsidP="006D78DC">
      <w:pPr>
        <w:pStyle w:val="Textoindependiente"/>
        <w:jc w:val="both"/>
        <w:rPr>
          <w:rFonts w:ascii="Calibri" w:eastAsia="Calibri" w:hAnsi="Calibri" w:cs="Calibri"/>
          <w:b/>
          <w:color w:val="000000" w:themeColor="text1"/>
          <w:sz w:val="20"/>
          <w:szCs w:val="20"/>
        </w:rPr>
      </w:pPr>
    </w:p>
    <w:p w14:paraId="15B9B800" w14:textId="10D499A4" w:rsidR="00717780" w:rsidRDefault="00717780" w:rsidP="006D78DC">
      <w:pPr>
        <w:pStyle w:val="Textoindependiente"/>
        <w:jc w:val="both"/>
        <w:rPr>
          <w:rFonts w:ascii="Calibri" w:eastAsia="Calibri" w:hAnsi="Calibri" w:cs="Calibri"/>
          <w:b/>
          <w:color w:val="000000" w:themeColor="text1"/>
          <w:sz w:val="20"/>
          <w:szCs w:val="20"/>
        </w:rPr>
      </w:pPr>
    </w:p>
    <w:p w14:paraId="4716E08D" w14:textId="77777777" w:rsidR="00717780" w:rsidRDefault="00717780" w:rsidP="006D78DC">
      <w:pPr>
        <w:pStyle w:val="Textoindependiente"/>
        <w:jc w:val="both"/>
        <w:rPr>
          <w:rFonts w:ascii="Calibri" w:eastAsia="Calibri" w:hAnsi="Calibri" w:cs="Calibri"/>
          <w:b/>
          <w:color w:val="000000" w:themeColor="text1"/>
          <w:sz w:val="20"/>
          <w:szCs w:val="20"/>
        </w:rPr>
      </w:pPr>
    </w:p>
    <w:p w14:paraId="7046682D" w14:textId="62CB84BD" w:rsidR="00B012D7" w:rsidRDefault="00B012D7" w:rsidP="002D08FE">
      <w:pPr>
        <w:tabs>
          <w:tab w:val="left" w:pos="426"/>
        </w:tabs>
        <w:jc w:val="both"/>
        <w:rPr>
          <w:rFonts w:ascii="Arial" w:eastAsia="Calibri" w:hAnsi="Arial" w:cs="Arial"/>
          <w:color w:val="161616" w:themeColor="background1" w:themeShade="1A"/>
          <w:sz w:val="22"/>
          <w:szCs w:val="22"/>
        </w:rPr>
      </w:pPr>
    </w:p>
    <w:p w14:paraId="34B0388D" w14:textId="677656A8" w:rsidR="006D78DC" w:rsidRDefault="006D78DC" w:rsidP="002D08FE">
      <w:pPr>
        <w:tabs>
          <w:tab w:val="left" w:pos="426"/>
        </w:tabs>
        <w:jc w:val="both"/>
        <w:rPr>
          <w:rFonts w:ascii="Arial" w:eastAsia="Calibri" w:hAnsi="Arial" w:cs="Arial"/>
          <w:color w:val="161616" w:themeColor="background1" w:themeShade="1A"/>
          <w:sz w:val="22"/>
          <w:szCs w:val="22"/>
        </w:rPr>
      </w:pPr>
    </w:p>
    <w:p w14:paraId="4096FACA" w14:textId="7B1FF544" w:rsidR="006D78DC" w:rsidRDefault="006D78DC" w:rsidP="002D08FE">
      <w:pPr>
        <w:tabs>
          <w:tab w:val="left" w:pos="426"/>
        </w:tabs>
        <w:jc w:val="both"/>
        <w:rPr>
          <w:rFonts w:ascii="Arial" w:eastAsia="Calibri" w:hAnsi="Arial" w:cs="Arial"/>
          <w:color w:val="161616" w:themeColor="background1" w:themeShade="1A"/>
          <w:sz w:val="22"/>
          <w:szCs w:val="22"/>
        </w:rPr>
      </w:pPr>
    </w:p>
    <w:p w14:paraId="2A14E832" w14:textId="60448E8D" w:rsidR="00A10053" w:rsidRDefault="00A10053" w:rsidP="0022167B">
      <w:pPr>
        <w:jc w:val="both"/>
        <w:rPr>
          <w:rFonts w:ascii="Arial" w:hAnsi="Arial" w:cs="Arial"/>
          <w:bCs/>
          <w:color w:val="161616" w:themeColor="background1" w:themeShade="1A"/>
          <w:sz w:val="22"/>
          <w:szCs w:val="22"/>
          <w:lang w:val="es-ES_tradnl"/>
        </w:rPr>
      </w:pPr>
    </w:p>
    <w:p w14:paraId="411D9076" w14:textId="263BE585" w:rsidR="00370AD3" w:rsidRDefault="00370AD3" w:rsidP="0022167B">
      <w:pPr>
        <w:jc w:val="both"/>
        <w:rPr>
          <w:rFonts w:ascii="Arial" w:hAnsi="Arial" w:cs="Arial"/>
          <w:bCs/>
          <w:color w:val="161616" w:themeColor="background1" w:themeShade="1A"/>
          <w:sz w:val="22"/>
          <w:szCs w:val="22"/>
          <w:lang w:val="es-ES_tradnl"/>
        </w:rPr>
      </w:pPr>
    </w:p>
    <w:p w14:paraId="62E0F34F" w14:textId="6AE30F4A" w:rsidR="00370AD3" w:rsidRDefault="00370AD3" w:rsidP="0022167B">
      <w:pPr>
        <w:jc w:val="both"/>
        <w:rPr>
          <w:rFonts w:ascii="Arial" w:hAnsi="Arial" w:cs="Arial"/>
          <w:bCs/>
          <w:color w:val="161616" w:themeColor="background1" w:themeShade="1A"/>
          <w:sz w:val="22"/>
          <w:szCs w:val="22"/>
          <w:lang w:val="es-ES_tradnl"/>
        </w:rPr>
      </w:pPr>
    </w:p>
    <w:p w14:paraId="23CE71CF" w14:textId="41F0E9A4" w:rsidR="00370AD3" w:rsidRDefault="00370AD3" w:rsidP="0022167B">
      <w:pPr>
        <w:jc w:val="both"/>
        <w:rPr>
          <w:rFonts w:ascii="Arial" w:hAnsi="Arial" w:cs="Arial"/>
          <w:bCs/>
          <w:color w:val="161616" w:themeColor="background1" w:themeShade="1A"/>
          <w:sz w:val="22"/>
          <w:szCs w:val="22"/>
          <w:lang w:val="es-ES_tradnl"/>
        </w:rPr>
      </w:pPr>
    </w:p>
    <w:p w14:paraId="52401171" w14:textId="7EEA0638" w:rsidR="00370AD3" w:rsidRDefault="00370AD3" w:rsidP="0022167B">
      <w:pPr>
        <w:jc w:val="both"/>
        <w:rPr>
          <w:rFonts w:ascii="Arial" w:hAnsi="Arial" w:cs="Arial"/>
          <w:bCs/>
          <w:color w:val="161616" w:themeColor="background1" w:themeShade="1A"/>
          <w:sz w:val="22"/>
          <w:szCs w:val="22"/>
          <w:lang w:val="es-ES_tradnl"/>
        </w:rPr>
      </w:pPr>
    </w:p>
    <w:p w14:paraId="72FDA14E" w14:textId="07221D0F" w:rsidR="00370AD3" w:rsidRDefault="00370AD3" w:rsidP="0022167B">
      <w:pPr>
        <w:jc w:val="both"/>
        <w:rPr>
          <w:rFonts w:ascii="Arial" w:hAnsi="Arial" w:cs="Arial"/>
          <w:bCs/>
          <w:color w:val="161616" w:themeColor="background1" w:themeShade="1A"/>
          <w:sz w:val="22"/>
          <w:szCs w:val="22"/>
          <w:lang w:val="es-ES_tradnl"/>
        </w:rPr>
      </w:pPr>
    </w:p>
    <w:p w14:paraId="42C17555" w14:textId="12BF1027" w:rsidR="00370AD3" w:rsidRDefault="00370AD3" w:rsidP="0022167B">
      <w:pPr>
        <w:jc w:val="both"/>
        <w:rPr>
          <w:rFonts w:ascii="Arial" w:hAnsi="Arial" w:cs="Arial"/>
          <w:bCs/>
          <w:color w:val="161616" w:themeColor="background1" w:themeShade="1A"/>
          <w:sz w:val="22"/>
          <w:szCs w:val="22"/>
          <w:lang w:val="es-ES_tradnl"/>
        </w:rPr>
      </w:pPr>
    </w:p>
    <w:p w14:paraId="46DB6C94" w14:textId="6AE13D62" w:rsidR="00370AD3" w:rsidRDefault="00370AD3" w:rsidP="0022167B">
      <w:pPr>
        <w:jc w:val="both"/>
        <w:rPr>
          <w:rFonts w:ascii="Arial" w:hAnsi="Arial" w:cs="Arial"/>
          <w:bCs/>
          <w:color w:val="161616" w:themeColor="background1" w:themeShade="1A"/>
          <w:sz w:val="22"/>
          <w:szCs w:val="22"/>
          <w:lang w:val="es-ES_tradnl"/>
        </w:rPr>
      </w:pPr>
    </w:p>
    <w:p w14:paraId="5DFCCDB7" w14:textId="466CBBB9" w:rsidR="00370AD3" w:rsidRDefault="00370AD3" w:rsidP="0022167B">
      <w:pPr>
        <w:jc w:val="both"/>
        <w:rPr>
          <w:rFonts w:ascii="Arial" w:hAnsi="Arial" w:cs="Arial"/>
          <w:bCs/>
          <w:color w:val="161616" w:themeColor="background1" w:themeShade="1A"/>
          <w:sz w:val="22"/>
          <w:szCs w:val="22"/>
          <w:lang w:val="es-ES_tradnl"/>
        </w:rPr>
      </w:pPr>
    </w:p>
    <w:p w14:paraId="546A84AB" w14:textId="4AD7D6F6" w:rsidR="00370AD3" w:rsidRDefault="00370AD3" w:rsidP="0022167B">
      <w:pPr>
        <w:jc w:val="both"/>
        <w:rPr>
          <w:rFonts w:ascii="Arial" w:hAnsi="Arial" w:cs="Arial"/>
          <w:bCs/>
          <w:color w:val="161616" w:themeColor="background1" w:themeShade="1A"/>
          <w:sz w:val="22"/>
          <w:szCs w:val="22"/>
          <w:lang w:val="es-ES_tradnl"/>
        </w:rPr>
      </w:pPr>
    </w:p>
    <w:p w14:paraId="555E8756" w14:textId="411C5ACB" w:rsidR="004008AD" w:rsidRDefault="004008AD" w:rsidP="0022167B">
      <w:pPr>
        <w:jc w:val="both"/>
        <w:rPr>
          <w:rFonts w:ascii="Arial" w:hAnsi="Arial" w:cs="Arial"/>
          <w:bCs/>
          <w:color w:val="161616" w:themeColor="background1" w:themeShade="1A"/>
          <w:sz w:val="22"/>
          <w:szCs w:val="22"/>
          <w:lang w:val="es-ES_tradnl"/>
        </w:rPr>
      </w:pPr>
    </w:p>
    <w:p w14:paraId="77D3F6C2" w14:textId="616ECBDE" w:rsidR="004008AD" w:rsidRDefault="004008AD" w:rsidP="0022167B">
      <w:pPr>
        <w:jc w:val="both"/>
        <w:rPr>
          <w:rFonts w:ascii="Arial" w:hAnsi="Arial" w:cs="Arial"/>
          <w:bCs/>
          <w:color w:val="161616" w:themeColor="background1" w:themeShade="1A"/>
          <w:sz w:val="22"/>
          <w:szCs w:val="22"/>
          <w:lang w:val="es-ES_tradnl"/>
        </w:rPr>
      </w:pPr>
    </w:p>
    <w:p w14:paraId="728FDEAF" w14:textId="7F323082" w:rsidR="004008AD" w:rsidRDefault="004008AD" w:rsidP="0022167B">
      <w:pPr>
        <w:jc w:val="both"/>
        <w:rPr>
          <w:rFonts w:ascii="Arial" w:hAnsi="Arial" w:cs="Arial"/>
          <w:bCs/>
          <w:color w:val="161616" w:themeColor="background1" w:themeShade="1A"/>
          <w:sz w:val="22"/>
          <w:szCs w:val="22"/>
          <w:lang w:val="es-ES_tradnl"/>
        </w:rPr>
      </w:pPr>
    </w:p>
    <w:p w14:paraId="437BF71E" w14:textId="5C29648E" w:rsidR="004008AD" w:rsidRDefault="004008AD" w:rsidP="0022167B">
      <w:pPr>
        <w:jc w:val="both"/>
        <w:rPr>
          <w:rFonts w:ascii="Arial" w:hAnsi="Arial" w:cs="Arial"/>
          <w:bCs/>
          <w:color w:val="161616" w:themeColor="background1" w:themeShade="1A"/>
          <w:sz w:val="22"/>
          <w:szCs w:val="22"/>
          <w:lang w:val="es-ES_tradnl"/>
        </w:rPr>
      </w:pPr>
    </w:p>
    <w:p w14:paraId="3B037C2B" w14:textId="01439133" w:rsidR="004008AD" w:rsidRDefault="004008AD" w:rsidP="0022167B">
      <w:pPr>
        <w:jc w:val="both"/>
        <w:rPr>
          <w:rFonts w:ascii="Arial" w:hAnsi="Arial" w:cs="Arial"/>
          <w:bCs/>
          <w:color w:val="161616" w:themeColor="background1" w:themeShade="1A"/>
          <w:sz w:val="22"/>
          <w:szCs w:val="22"/>
          <w:lang w:val="es-ES_tradnl"/>
        </w:rPr>
      </w:pPr>
    </w:p>
    <w:p w14:paraId="1825F57F" w14:textId="77777777" w:rsidR="004008AD" w:rsidRDefault="004008AD" w:rsidP="0022167B">
      <w:pPr>
        <w:jc w:val="both"/>
        <w:rPr>
          <w:rFonts w:ascii="Arial" w:hAnsi="Arial" w:cs="Arial"/>
          <w:bCs/>
          <w:color w:val="161616" w:themeColor="background1" w:themeShade="1A"/>
          <w:sz w:val="22"/>
          <w:szCs w:val="22"/>
          <w:lang w:val="es-ES_tradnl"/>
        </w:rPr>
      </w:pPr>
    </w:p>
    <w:p w14:paraId="160BFE79" w14:textId="652E1CEE" w:rsidR="00370AD3" w:rsidRDefault="00370AD3" w:rsidP="0022167B">
      <w:pPr>
        <w:jc w:val="both"/>
        <w:rPr>
          <w:rFonts w:ascii="Arial" w:hAnsi="Arial" w:cs="Arial"/>
          <w:bCs/>
          <w:color w:val="161616" w:themeColor="background1" w:themeShade="1A"/>
          <w:sz w:val="22"/>
          <w:szCs w:val="22"/>
          <w:lang w:val="es-ES_tradnl"/>
        </w:rPr>
      </w:pPr>
    </w:p>
    <w:p w14:paraId="3518C069" w14:textId="119A4FD8" w:rsidR="00370AD3" w:rsidRDefault="00370AD3" w:rsidP="0022167B">
      <w:pPr>
        <w:jc w:val="both"/>
        <w:rPr>
          <w:rFonts w:ascii="Arial" w:hAnsi="Arial" w:cs="Arial"/>
          <w:bCs/>
          <w:color w:val="161616" w:themeColor="background1" w:themeShade="1A"/>
          <w:sz w:val="22"/>
          <w:szCs w:val="22"/>
          <w:lang w:val="es-ES_tradnl"/>
        </w:rPr>
      </w:pPr>
    </w:p>
    <w:p w14:paraId="19BBF3F8" w14:textId="77777777" w:rsidR="00697D26" w:rsidRDefault="00697D26" w:rsidP="00697D26">
      <w:pPr>
        <w:jc w:val="both"/>
        <w:rPr>
          <w:rFonts w:ascii="Arial" w:hAnsi="Arial" w:cs="Arial"/>
          <w:bCs/>
          <w:color w:val="161616" w:themeColor="background1" w:themeShade="1A"/>
          <w:sz w:val="22"/>
          <w:szCs w:val="22"/>
          <w:lang w:val="es-ES_tradnl"/>
        </w:rPr>
      </w:pPr>
      <w:bookmarkStart w:id="9" w:name="_Hlk70510939"/>
    </w:p>
    <w:p w14:paraId="26E5C9D6" w14:textId="550A8AFA" w:rsidR="00741442" w:rsidRDefault="00741442" w:rsidP="00697D26">
      <w:pPr>
        <w:jc w:val="both"/>
        <w:rPr>
          <w:rFonts w:ascii="Arial" w:hAnsi="Arial" w:cs="Arial"/>
          <w:color w:val="161616" w:themeColor="background1" w:themeShade="1A"/>
          <w:sz w:val="22"/>
          <w:szCs w:val="22"/>
          <w:lang w:val="es-ES_tradnl"/>
        </w:rPr>
      </w:pPr>
      <w:r>
        <w:rPr>
          <w:rFonts w:ascii="_õÄ_ò" w:eastAsiaTheme="minorHAnsi" w:hAnsi="_õÄ_ò" w:cs="_õÄ_ò"/>
          <w:color w:val="4E4D4D"/>
          <w:sz w:val="22"/>
          <w:szCs w:val="22"/>
          <w:lang w:val="es-ES_tradnl" w:eastAsia="en-US"/>
        </w:rPr>
        <w:lastRenderedPageBreak/>
        <w:t xml:space="preserve">Bogotá, 16 </w:t>
      </w:r>
      <w:proofErr w:type="gramStart"/>
      <w:r>
        <w:rPr>
          <w:rFonts w:ascii="_õÄ_ò" w:eastAsiaTheme="minorHAnsi" w:hAnsi="_õÄ_ò" w:cs="_õÄ_ò"/>
          <w:color w:val="4E4D4D"/>
          <w:sz w:val="22"/>
          <w:szCs w:val="22"/>
          <w:lang w:val="es-ES_tradnl" w:eastAsia="en-US"/>
        </w:rPr>
        <w:t>Junio</w:t>
      </w:r>
      <w:proofErr w:type="gramEnd"/>
      <w:r>
        <w:rPr>
          <w:rFonts w:ascii="_õÄ_ò" w:eastAsiaTheme="minorHAnsi" w:hAnsi="_õÄ_ò" w:cs="_õÄ_ò"/>
          <w:color w:val="4E4D4D"/>
          <w:sz w:val="22"/>
          <w:szCs w:val="22"/>
          <w:lang w:val="es-ES_tradnl" w:eastAsia="en-US"/>
        </w:rPr>
        <w:t xml:space="preserve"> 2022.                                                     </w:t>
      </w:r>
      <w:r w:rsidRPr="00741442">
        <w:rPr>
          <w:rFonts w:ascii="_õÄ_ò" w:eastAsiaTheme="minorHAnsi" w:hAnsi="_õÄ_ò" w:cs="_õÄ_ò"/>
          <w:noProof/>
          <w:color w:val="4E4D4D"/>
          <w:sz w:val="22"/>
          <w:szCs w:val="22"/>
          <w:lang w:val="es-ES_tradnl" w:eastAsia="en-US"/>
        </w:rPr>
        <w:drawing>
          <wp:inline distT="0" distB="0" distL="0" distR="0" wp14:anchorId="108277E8" wp14:editId="0C7149F2">
            <wp:extent cx="2879090" cy="751911"/>
            <wp:effectExtent l="0" t="0" r="381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900393" cy="757475"/>
                    </a:xfrm>
                    <a:prstGeom prst="rect">
                      <a:avLst/>
                    </a:prstGeom>
                  </pic:spPr>
                </pic:pic>
              </a:graphicData>
            </a:graphic>
          </wp:inline>
        </w:drawing>
      </w:r>
    </w:p>
    <w:p w14:paraId="4801BC86" w14:textId="77777777" w:rsidR="00741442" w:rsidRDefault="00741442" w:rsidP="00697D26">
      <w:pPr>
        <w:jc w:val="both"/>
        <w:rPr>
          <w:rFonts w:ascii="Arial" w:hAnsi="Arial" w:cs="Arial"/>
          <w:color w:val="161616" w:themeColor="background1" w:themeShade="1A"/>
          <w:sz w:val="22"/>
          <w:szCs w:val="22"/>
          <w:lang w:val="es-ES_tradnl"/>
        </w:rPr>
      </w:pPr>
    </w:p>
    <w:p w14:paraId="6E444D61" w14:textId="03531F56" w:rsidR="00E54365" w:rsidRPr="00697D26" w:rsidRDefault="00E54365" w:rsidP="00697D26">
      <w:pPr>
        <w:jc w:val="both"/>
        <w:rPr>
          <w:rFonts w:ascii="Arial" w:hAnsi="Arial" w:cs="Arial"/>
          <w:bCs/>
          <w:color w:val="161616" w:themeColor="background1" w:themeShade="1A"/>
          <w:sz w:val="22"/>
          <w:szCs w:val="22"/>
          <w:lang w:val="es-ES_tradnl"/>
        </w:rPr>
      </w:pPr>
      <w:r w:rsidRPr="00DE3BBA">
        <w:rPr>
          <w:rFonts w:ascii="Arial" w:hAnsi="Arial" w:cs="Arial"/>
          <w:color w:val="161616" w:themeColor="background1" w:themeShade="1A"/>
          <w:sz w:val="22"/>
          <w:szCs w:val="22"/>
          <w:lang w:val="es-ES_tradnl"/>
        </w:rPr>
        <w:t>Señor</w:t>
      </w:r>
    </w:p>
    <w:p w14:paraId="1CB0E71B" w14:textId="25319261" w:rsidR="00C64E43" w:rsidRPr="00DE3BBA" w:rsidRDefault="00563169" w:rsidP="0022167B">
      <w:pPr>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Felipe José Tinoco Zapata</w:t>
      </w:r>
      <w:r w:rsidR="005D483D" w:rsidRPr="00DE3BBA">
        <w:rPr>
          <w:rFonts w:ascii="Arial" w:hAnsi="Arial" w:cs="Arial"/>
          <w:b/>
          <w:color w:val="000000" w:themeColor="text1"/>
          <w:sz w:val="22"/>
          <w:szCs w:val="22"/>
          <w:lang w:val="es-ES_tradnl"/>
        </w:rPr>
        <w:t xml:space="preserve"> </w:t>
      </w:r>
    </w:p>
    <w:p w14:paraId="3F0F1FB8" w14:textId="4801A2FD" w:rsidR="005D483D" w:rsidRPr="00DE3BBA" w:rsidRDefault="00563169" w:rsidP="005D483D">
      <w:pPr>
        <w:jc w:val="both"/>
        <w:rPr>
          <w:rFonts w:ascii="Arial" w:hAnsi="Arial" w:cs="Arial"/>
          <w:sz w:val="22"/>
          <w:szCs w:val="22"/>
          <w:lang w:eastAsia="en-US"/>
        </w:rPr>
      </w:pPr>
      <w:r>
        <w:rPr>
          <w:rFonts w:ascii="Arial" w:hAnsi="Arial" w:cs="Arial"/>
          <w:sz w:val="22"/>
          <w:szCs w:val="22"/>
        </w:rPr>
        <w:t>Representante Legal</w:t>
      </w:r>
      <w:r w:rsidR="005D483D" w:rsidRPr="00DE3BBA">
        <w:rPr>
          <w:rFonts w:ascii="Arial" w:hAnsi="Arial" w:cs="Arial"/>
          <w:sz w:val="22"/>
          <w:szCs w:val="22"/>
        </w:rPr>
        <w:t xml:space="preserve"> </w:t>
      </w:r>
    </w:p>
    <w:p w14:paraId="638AB638" w14:textId="6CE3B0A7" w:rsidR="005D483D" w:rsidRDefault="00563169" w:rsidP="0022167B">
      <w:pPr>
        <w:rPr>
          <w:rFonts w:ascii="Arial" w:hAnsi="Arial" w:cs="Arial"/>
          <w:bCs/>
          <w:color w:val="161616" w:themeColor="background1" w:themeShade="1A"/>
          <w:sz w:val="22"/>
          <w:szCs w:val="22"/>
        </w:rPr>
      </w:pPr>
      <w:r>
        <w:rPr>
          <w:rFonts w:ascii="Arial" w:hAnsi="Arial" w:cs="Arial"/>
          <w:bCs/>
          <w:color w:val="161616" w:themeColor="background1" w:themeShade="1A"/>
          <w:sz w:val="22"/>
          <w:szCs w:val="22"/>
        </w:rPr>
        <w:t xml:space="preserve">ESE Hospital Departamental Tomás Uribe </w:t>
      </w:r>
      <w:proofErr w:type="spellStart"/>
      <w:r>
        <w:rPr>
          <w:rFonts w:ascii="Arial" w:hAnsi="Arial" w:cs="Arial"/>
          <w:bCs/>
          <w:color w:val="161616" w:themeColor="background1" w:themeShade="1A"/>
          <w:sz w:val="22"/>
          <w:szCs w:val="22"/>
        </w:rPr>
        <w:t>Uribe</w:t>
      </w:r>
      <w:proofErr w:type="spellEnd"/>
    </w:p>
    <w:p w14:paraId="75FCE316" w14:textId="40B068C8" w:rsidR="00563169" w:rsidRPr="00DE3BBA" w:rsidRDefault="00563169" w:rsidP="0022167B">
      <w:pPr>
        <w:rPr>
          <w:rFonts w:ascii="Arial" w:hAnsi="Arial" w:cs="Arial"/>
          <w:bCs/>
          <w:color w:val="161616" w:themeColor="background1" w:themeShade="1A"/>
          <w:sz w:val="22"/>
          <w:szCs w:val="22"/>
        </w:rPr>
      </w:pPr>
      <w:r>
        <w:rPr>
          <w:rFonts w:ascii="Arial" w:hAnsi="Arial" w:cs="Arial"/>
          <w:bCs/>
          <w:color w:val="161616" w:themeColor="background1" w:themeShade="1A"/>
          <w:sz w:val="22"/>
          <w:szCs w:val="22"/>
        </w:rPr>
        <w:t xml:space="preserve">Tuluá, Valle del Cauca </w:t>
      </w:r>
    </w:p>
    <w:p w14:paraId="462F7397" w14:textId="77777777" w:rsidR="0076432E" w:rsidRPr="00515D32" w:rsidRDefault="0076432E" w:rsidP="0022167B">
      <w:pPr>
        <w:ind w:left="2124" w:firstLine="708"/>
        <w:rPr>
          <w:rFonts w:ascii="Arial" w:hAnsi="Arial" w:cs="Arial"/>
          <w:b/>
          <w:bCs/>
          <w:color w:val="161616" w:themeColor="background1" w:themeShade="1A"/>
          <w:sz w:val="22"/>
          <w:szCs w:val="22"/>
          <w:lang w:val="es-ES_tradnl"/>
        </w:rPr>
      </w:pPr>
    </w:p>
    <w:p w14:paraId="17BA6817" w14:textId="46315D02" w:rsidR="00E54365" w:rsidRPr="00515D32" w:rsidRDefault="00E54365" w:rsidP="0022167B">
      <w:pPr>
        <w:ind w:left="2124" w:firstLine="708"/>
        <w:rPr>
          <w:rFonts w:ascii="Arial" w:hAnsi="Arial" w:cs="Arial"/>
          <w:b/>
          <w:bCs/>
          <w:color w:val="161616" w:themeColor="background1" w:themeShade="1A"/>
          <w:sz w:val="22"/>
          <w:szCs w:val="22"/>
          <w:lang w:val="es-ES_tradnl"/>
        </w:rPr>
      </w:pPr>
      <w:r w:rsidRPr="00515D32">
        <w:rPr>
          <w:rFonts w:ascii="Arial" w:hAnsi="Arial" w:cs="Arial"/>
          <w:b/>
          <w:bCs/>
          <w:color w:val="161616" w:themeColor="background1" w:themeShade="1A"/>
          <w:sz w:val="22"/>
          <w:szCs w:val="22"/>
          <w:lang w:val="es-ES_tradnl"/>
        </w:rPr>
        <w:t>Concepto</w:t>
      </w:r>
      <w:r w:rsidR="006559E3"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C</w:t>
      </w:r>
      <w:r w:rsidR="00766A70" w:rsidRPr="00515D32">
        <w:rPr>
          <w:rFonts w:ascii="Arial" w:hAnsi="Arial" w:cs="Arial"/>
          <w:b/>
          <w:bCs/>
          <w:color w:val="161616" w:themeColor="background1" w:themeShade="1A"/>
          <w:sz w:val="22"/>
          <w:szCs w:val="22"/>
          <w:lang w:val="es-ES_tradnl"/>
        </w:rPr>
        <w:t xml:space="preserve"> </w:t>
      </w:r>
      <w:r w:rsidR="00F301AD" w:rsidRPr="00515D32">
        <w:rPr>
          <w:rFonts w:ascii="Arial" w:hAnsi="Arial" w:cs="Arial"/>
          <w:b/>
          <w:bCs/>
          <w:color w:val="161616" w:themeColor="background1" w:themeShade="1A"/>
          <w:sz w:val="22"/>
          <w:szCs w:val="22"/>
          <w:lang w:val="es-ES_tradnl"/>
        </w:rPr>
        <w:t>–</w:t>
      </w:r>
      <w:r w:rsidR="00766A70" w:rsidRPr="00515D32">
        <w:rPr>
          <w:rFonts w:ascii="Arial" w:hAnsi="Arial" w:cs="Arial"/>
          <w:b/>
          <w:bCs/>
          <w:color w:val="161616" w:themeColor="background1" w:themeShade="1A"/>
          <w:sz w:val="22"/>
          <w:szCs w:val="22"/>
          <w:lang w:val="es-ES_tradnl"/>
        </w:rPr>
        <w:t xml:space="preserve"> </w:t>
      </w:r>
      <w:r w:rsidR="00D35791">
        <w:rPr>
          <w:rFonts w:ascii="Arial" w:hAnsi="Arial" w:cs="Arial"/>
          <w:b/>
          <w:bCs/>
          <w:color w:val="161616" w:themeColor="background1" w:themeShade="1A"/>
          <w:sz w:val="22"/>
          <w:szCs w:val="22"/>
          <w:lang w:val="es-ES_tradnl"/>
        </w:rPr>
        <w:t>2</w:t>
      </w:r>
      <w:r w:rsidR="00563169">
        <w:rPr>
          <w:rFonts w:ascii="Arial" w:hAnsi="Arial" w:cs="Arial"/>
          <w:b/>
          <w:bCs/>
          <w:color w:val="161616" w:themeColor="background1" w:themeShade="1A"/>
          <w:sz w:val="22"/>
          <w:szCs w:val="22"/>
          <w:lang w:val="es-ES_tradnl"/>
        </w:rPr>
        <w:t>63</w:t>
      </w:r>
      <w:r w:rsidR="00E81FD0" w:rsidRPr="00515D32">
        <w:rPr>
          <w:rFonts w:ascii="Arial" w:hAnsi="Arial" w:cs="Arial"/>
          <w:b/>
          <w:bCs/>
          <w:color w:val="161616" w:themeColor="background1" w:themeShade="1A"/>
          <w:sz w:val="22"/>
          <w:szCs w:val="22"/>
          <w:lang w:val="es-ES_tradnl"/>
        </w:rPr>
        <w:t xml:space="preserve"> </w:t>
      </w:r>
      <w:r w:rsidRPr="00515D32">
        <w:rPr>
          <w:rFonts w:ascii="Arial" w:hAnsi="Arial" w:cs="Arial"/>
          <w:b/>
          <w:bCs/>
          <w:color w:val="161616" w:themeColor="background1" w:themeShade="1A"/>
          <w:sz w:val="22"/>
          <w:szCs w:val="22"/>
          <w:lang w:val="es-ES_tradnl"/>
        </w:rPr>
        <w:t>de 202</w:t>
      </w:r>
      <w:r w:rsidR="00DC02B2" w:rsidRPr="00515D32">
        <w:rPr>
          <w:rFonts w:ascii="Arial" w:hAnsi="Arial" w:cs="Arial"/>
          <w:b/>
          <w:bCs/>
          <w:color w:val="161616" w:themeColor="background1" w:themeShade="1A"/>
          <w:sz w:val="22"/>
          <w:szCs w:val="22"/>
          <w:lang w:val="es-ES_tradnl"/>
        </w:rPr>
        <w:t>2</w:t>
      </w:r>
    </w:p>
    <w:p w14:paraId="3C57C781" w14:textId="77777777" w:rsidR="00FE4C26" w:rsidRPr="00515D32"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18EF2AD1" w14:textId="53D9629A" w:rsidR="0076432E" w:rsidRDefault="00E54365" w:rsidP="0022167B">
      <w:pPr>
        <w:ind w:left="2824" w:hanging="2818"/>
        <w:jc w:val="both"/>
        <w:rPr>
          <w:rFonts w:ascii="Arial" w:eastAsia="Calibri" w:hAnsi="Arial" w:cs="Arial"/>
          <w:bCs/>
          <w:color w:val="000000" w:themeColor="text1"/>
          <w:sz w:val="22"/>
          <w:lang w:val="es-ES_tradnl"/>
        </w:rPr>
      </w:pPr>
      <w:r w:rsidRPr="00515D32">
        <w:rPr>
          <w:rFonts w:ascii="Arial" w:eastAsia="Calibri" w:hAnsi="Arial" w:cs="Arial"/>
          <w:b/>
          <w:noProof/>
          <w:color w:val="161616" w:themeColor="background1" w:themeShade="1A"/>
          <w:sz w:val="22"/>
          <w:szCs w:val="22"/>
          <w:lang w:val="es-ES_tradnl" w:eastAsia="en-US"/>
        </w:rPr>
        <w:t>Temas</w:t>
      </w:r>
      <w:r w:rsidRPr="00515D32">
        <w:rPr>
          <w:rFonts w:ascii="Arial" w:eastAsia="Calibri" w:hAnsi="Arial" w:cs="Arial"/>
          <w:bCs/>
          <w:noProof/>
          <w:color w:val="161616" w:themeColor="background1" w:themeShade="1A"/>
          <w:sz w:val="22"/>
          <w:szCs w:val="22"/>
          <w:lang w:val="es-ES_tradnl" w:eastAsia="en-US"/>
        </w:rPr>
        <w:t xml:space="preserve">: </w:t>
      </w:r>
      <w:r w:rsidRPr="00515D32">
        <w:rPr>
          <w:rFonts w:ascii="Arial" w:eastAsia="Calibri" w:hAnsi="Arial" w:cs="Arial"/>
          <w:bCs/>
          <w:noProof/>
          <w:color w:val="161616" w:themeColor="background1" w:themeShade="1A"/>
          <w:sz w:val="22"/>
          <w:szCs w:val="22"/>
          <w:lang w:val="es-ES_tradnl" w:eastAsia="en-US"/>
        </w:rPr>
        <w:tab/>
      </w:r>
      <w:r w:rsidR="00E32C09" w:rsidRPr="00E32C09">
        <w:rPr>
          <w:rFonts w:ascii="Arial" w:eastAsia="Calibri" w:hAnsi="Arial" w:cs="Arial"/>
          <w:bCs/>
          <w:color w:val="000000" w:themeColor="text1"/>
          <w:sz w:val="22"/>
          <w:lang w:val="es-ES_tradnl"/>
        </w:rPr>
        <w:t>LEY DE GARANTÍAS ELECTORALES ‒ Definición ‒ Finalidad / LEY DE GARANTÍAS ELECTORALES ‒ Prohibición</w:t>
      </w:r>
      <w:r w:rsidR="00C04776">
        <w:rPr>
          <w:rFonts w:ascii="Arial" w:eastAsia="Calibri" w:hAnsi="Arial" w:cs="Arial"/>
          <w:bCs/>
          <w:color w:val="000000" w:themeColor="text1"/>
          <w:sz w:val="22"/>
          <w:lang w:val="es-ES_tradnl"/>
        </w:rPr>
        <w:t xml:space="preserve"> artículo 33</w:t>
      </w:r>
      <w:r w:rsidR="00E32C09" w:rsidRPr="00E32C09">
        <w:rPr>
          <w:rFonts w:ascii="Arial" w:eastAsia="Calibri" w:hAnsi="Arial" w:cs="Arial"/>
          <w:bCs/>
          <w:color w:val="000000" w:themeColor="text1"/>
          <w:sz w:val="22"/>
          <w:lang w:val="es-ES_tradnl"/>
        </w:rPr>
        <w:t xml:space="preserve"> ‒ Contratación directa ‒ Alcance / LEY DE GARANTÍAS ELECTORALES ‒ Prohibición artículo 38 ‒ Convenios y contratos interadministrativos / LEY DE GARANTÍAS ELECTORALES ‒ Destinatarios ‒ Excepciones</w:t>
      </w:r>
      <w:r w:rsidR="00697D26">
        <w:rPr>
          <w:rFonts w:ascii="Arial" w:eastAsia="Calibri" w:hAnsi="Arial" w:cs="Arial"/>
          <w:bCs/>
          <w:color w:val="000000" w:themeColor="text1"/>
          <w:sz w:val="22"/>
          <w:lang w:val="es-ES_tradnl"/>
        </w:rPr>
        <w:t xml:space="preserve"> </w:t>
      </w:r>
      <w:r w:rsidR="00697D26" w:rsidRPr="00697D26">
        <w:rPr>
          <w:rFonts w:ascii="Arial" w:eastAsia="Calibri" w:hAnsi="Arial" w:cs="Arial"/>
          <w:bCs/>
          <w:color w:val="000000" w:themeColor="text1"/>
          <w:sz w:val="22"/>
          <w:lang w:val="es-ES_tradnl"/>
        </w:rPr>
        <w:t>CONTRATOS DE CONCURRENCIA ENTRE LA NACIÓN Y ENTIDADES TERRITORIALES– Aplicación ley de garantías</w:t>
      </w:r>
    </w:p>
    <w:p w14:paraId="589EA09E" w14:textId="77777777" w:rsidR="00E32C09" w:rsidRPr="00515D32" w:rsidRDefault="00E32C09" w:rsidP="0022167B">
      <w:pPr>
        <w:ind w:left="2824" w:hanging="2818"/>
        <w:jc w:val="both"/>
        <w:rPr>
          <w:rFonts w:ascii="Arial" w:eastAsia="Calibri" w:hAnsi="Arial" w:cs="Arial"/>
          <w:bCs/>
          <w:noProof/>
          <w:color w:val="161616" w:themeColor="background1" w:themeShade="1A"/>
          <w:sz w:val="22"/>
          <w:szCs w:val="22"/>
          <w:lang w:val="es-ES_tradnl" w:eastAsia="en-US"/>
        </w:rPr>
      </w:pPr>
    </w:p>
    <w:p w14:paraId="49699107" w14:textId="3078B4B4" w:rsidR="00E54365" w:rsidRPr="00515D32" w:rsidRDefault="00E54365" w:rsidP="00563169">
      <w:pPr>
        <w:ind w:left="2835" w:hanging="2835"/>
        <w:jc w:val="both"/>
        <w:rPr>
          <w:rFonts w:ascii="Arial" w:hAnsi="Arial" w:cs="Arial"/>
          <w:color w:val="161616" w:themeColor="background1" w:themeShade="1A"/>
          <w:sz w:val="22"/>
          <w:szCs w:val="22"/>
          <w:lang w:val="es-ES_tradnl"/>
        </w:rPr>
      </w:pPr>
      <w:r w:rsidRPr="00515D32">
        <w:rPr>
          <w:rFonts w:ascii="Arial" w:eastAsia="Calibri" w:hAnsi="Arial" w:cs="Arial"/>
          <w:b/>
          <w:noProof/>
          <w:color w:val="161616" w:themeColor="background1" w:themeShade="1A"/>
          <w:sz w:val="22"/>
          <w:szCs w:val="22"/>
          <w:lang w:val="es-ES_tradnl" w:eastAsia="en-US"/>
        </w:rPr>
        <w:t>Radicación</w:t>
      </w:r>
      <w:r w:rsidRPr="00515D32">
        <w:rPr>
          <w:rFonts w:ascii="Arial" w:eastAsia="Calibri" w:hAnsi="Arial" w:cs="Arial"/>
          <w:bCs/>
          <w:noProof/>
          <w:color w:val="161616" w:themeColor="background1" w:themeShade="1A"/>
          <w:sz w:val="22"/>
          <w:szCs w:val="22"/>
          <w:lang w:val="es-ES_tradnl" w:eastAsia="en-US"/>
        </w:rPr>
        <w:t>:</w:t>
      </w:r>
      <w:r w:rsidRPr="00515D32">
        <w:rPr>
          <w:rFonts w:ascii="Arial" w:eastAsia="Calibri" w:hAnsi="Arial" w:cs="Arial"/>
          <w:bCs/>
          <w:noProof/>
          <w:color w:val="161616" w:themeColor="background1" w:themeShade="1A"/>
          <w:sz w:val="22"/>
          <w:szCs w:val="22"/>
          <w:lang w:val="es-ES_tradnl" w:eastAsia="en-US"/>
        </w:rPr>
        <w:tab/>
        <w:t>Respuesta a consulta</w:t>
      </w:r>
      <w:r w:rsidR="00FB5E3B" w:rsidRPr="00515D32">
        <w:rPr>
          <w:rFonts w:ascii="Arial" w:eastAsia="Calibri" w:hAnsi="Arial" w:cs="Arial"/>
          <w:bCs/>
          <w:noProof/>
          <w:color w:val="161616" w:themeColor="background1" w:themeShade="1A"/>
          <w:sz w:val="22"/>
          <w:szCs w:val="22"/>
          <w:lang w:val="es-ES_tradnl" w:eastAsia="en-US"/>
        </w:rPr>
        <w:t xml:space="preserve"> </w:t>
      </w:r>
      <w:r w:rsidR="00563169" w:rsidRPr="00563169">
        <w:rPr>
          <w:rFonts w:ascii="Arial" w:eastAsia="Calibri" w:hAnsi="Arial" w:cs="Arial"/>
          <w:bCs/>
          <w:noProof/>
          <w:color w:val="161616" w:themeColor="background1" w:themeShade="1A"/>
          <w:sz w:val="22"/>
          <w:szCs w:val="22"/>
          <w:lang w:val="es-ES_tradnl" w:eastAsia="en-US"/>
        </w:rPr>
        <w:t>P20220323002872</w:t>
      </w:r>
    </w:p>
    <w:p w14:paraId="6502F989" w14:textId="77777777" w:rsidR="00C366C4" w:rsidRPr="00515D32" w:rsidRDefault="00C366C4" w:rsidP="0022167B">
      <w:pPr>
        <w:rPr>
          <w:rFonts w:ascii="Arial" w:hAnsi="Arial" w:cs="Arial"/>
          <w:color w:val="161616" w:themeColor="background1" w:themeShade="1A"/>
          <w:sz w:val="22"/>
          <w:szCs w:val="22"/>
          <w:lang w:val="es-ES_tradnl"/>
        </w:rPr>
      </w:pPr>
    </w:p>
    <w:p w14:paraId="71ED9EB2" w14:textId="0EEA7EF8" w:rsidR="00E54365" w:rsidRPr="00515D32" w:rsidRDefault="00E54365" w:rsidP="0022167B">
      <w:pPr>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Estimad</w:t>
      </w:r>
      <w:r w:rsidR="004E5A0D">
        <w:rPr>
          <w:rFonts w:ascii="Arial" w:hAnsi="Arial" w:cs="Arial"/>
          <w:color w:val="161616" w:themeColor="background1" w:themeShade="1A"/>
          <w:sz w:val="22"/>
          <w:szCs w:val="22"/>
          <w:lang w:val="es-ES_tradnl"/>
        </w:rPr>
        <w:t>o</w:t>
      </w:r>
      <w:r w:rsidR="007168C5">
        <w:rPr>
          <w:rFonts w:ascii="Arial" w:hAnsi="Arial" w:cs="Arial"/>
          <w:color w:val="161616" w:themeColor="background1" w:themeShade="1A"/>
          <w:sz w:val="22"/>
          <w:szCs w:val="22"/>
          <w:lang w:val="es-ES_tradnl"/>
        </w:rPr>
        <w:t xml:space="preserve"> Señor</w:t>
      </w:r>
      <w:r w:rsidR="00563169">
        <w:rPr>
          <w:rFonts w:ascii="Arial" w:hAnsi="Arial" w:cs="Arial"/>
          <w:color w:val="161616" w:themeColor="background1" w:themeShade="1A"/>
          <w:sz w:val="22"/>
          <w:szCs w:val="22"/>
          <w:lang w:val="es-ES_tradnl"/>
        </w:rPr>
        <w:t xml:space="preserve"> Tinoco</w:t>
      </w:r>
      <w:r w:rsidR="007168C5">
        <w:rPr>
          <w:rFonts w:ascii="Arial" w:hAnsi="Arial" w:cs="Arial"/>
          <w:color w:val="161616" w:themeColor="background1" w:themeShade="1A"/>
          <w:sz w:val="22"/>
          <w:szCs w:val="22"/>
          <w:lang w:val="es-ES_tradnl"/>
        </w:rPr>
        <w:t xml:space="preserve">, </w:t>
      </w:r>
      <w:r w:rsidR="006D2519" w:rsidRPr="00515D32">
        <w:rPr>
          <w:rFonts w:ascii="Arial" w:hAnsi="Arial" w:cs="Arial"/>
          <w:color w:val="161616" w:themeColor="background1" w:themeShade="1A"/>
          <w:sz w:val="22"/>
          <w:szCs w:val="22"/>
          <w:lang w:val="es-ES_tradnl"/>
        </w:rPr>
        <w:t xml:space="preserve"> </w:t>
      </w:r>
      <w:r w:rsidRPr="00515D32">
        <w:rPr>
          <w:rFonts w:ascii="Arial" w:hAnsi="Arial" w:cs="Arial"/>
          <w:color w:val="161616" w:themeColor="background1" w:themeShade="1A"/>
          <w:sz w:val="22"/>
          <w:szCs w:val="22"/>
          <w:lang w:val="es-ES_tradnl"/>
        </w:rPr>
        <w:t xml:space="preserve"> </w:t>
      </w:r>
    </w:p>
    <w:p w14:paraId="60D2C28E" w14:textId="77777777" w:rsidR="006F56C4" w:rsidRPr="00515D32" w:rsidRDefault="006F56C4" w:rsidP="0022167B">
      <w:pPr>
        <w:rPr>
          <w:rFonts w:ascii="Arial" w:hAnsi="Arial" w:cs="Arial"/>
          <w:color w:val="161616" w:themeColor="background1" w:themeShade="1A"/>
          <w:sz w:val="22"/>
          <w:szCs w:val="22"/>
          <w:lang w:val="es-ES_tradnl"/>
        </w:rPr>
      </w:pPr>
    </w:p>
    <w:p w14:paraId="43EDF4BF" w14:textId="6F2CA93F" w:rsidR="00E54365" w:rsidRPr="00515D32" w:rsidRDefault="00E54365" w:rsidP="009A0F94">
      <w:pPr>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En ejercicio de la competencia otorgada por el numeral 8 del artículo 11 y el numeral 5 del artículo 3 del Decreto Ley 4170 de 2011, la Agencia Nacional de Contratación Pública− Colombia Compra Eficiente responde su consulta</w:t>
      </w:r>
      <w:r w:rsidR="00563169">
        <w:rPr>
          <w:rFonts w:ascii="Arial" w:hAnsi="Arial" w:cs="Arial"/>
          <w:color w:val="161616" w:themeColor="background1" w:themeShade="1A"/>
          <w:sz w:val="22"/>
          <w:szCs w:val="22"/>
          <w:lang w:val="es-ES_tradnl"/>
        </w:rPr>
        <w:t xml:space="preserve"> de 17 de marzo de 2022, remitida por competencia por la Contraloría General de la República</w:t>
      </w:r>
      <w:r w:rsidR="009C5EB5">
        <w:rPr>
          <w:rFonts w:ascii="Arial" w:hAnsi="Arial" w:cs="Arial"/>
          <w:color w:val="161616" w:themeColor="background1" w:themeShade="1A"/>
          <w:sz w:val="22"/>
          <w:szCs w:val="22"/>
          <w:lang w:val="es-ES_tradnl"/>
        </w:rPr>
        <w:t xml:space="preserve"> a esta entidad</w:t>
      </w:r>
      <w:r w:rsidR="00584D9E" w:rsidRPr="00584D9E">
        <w:rPr>
          <w:rFonts w:ascii="Arial" w:hAnsi="Arial" w:cs="Arial"/>
          <w:color w:val="161616" w:themeColor="background1" w:themeShade="1A"/>
          <w:sz w:val="22"/>
          <w:szCs w:val="22"/>
          <w:lang w:val="es-ES_tradnl"/>
        </w:rPr>
        <w:t xml:space="preserve"> el </w:t>
      </w:r>
      <w:r w:rsidR="00563169">
        <w:rPr>
          <w:rFonts w:ascii="Arial" w:hAnsi="Arial" w:cs="Arial"/>
          <w:color w:val="161616" w:themeColor="background1" w:themeShade="1A"/>
          <w:sz w:val="22"/>
          <w:szCs w:val="22"/>
          <w:lang w:val="es-ES_tradnl"/>
        </w:rPr>
        <w:t>23</w:t>
      </w:r>
      <w:r w:rsidR="009353BC">
        <w:rPr>
          <w:rFonts w:ascii="Arial" w:hAnsi="Arial" w:cs="Arial"/>
          <w:color w:val="161616" w:themeColor="background1" w:themeShade="1A"/>
          <w:sz w:val="22"/>
          <w:szCs w:val="22"/>
          <w:lang w:val="es-ES_tradnl"/>
        </w:rPr>
        <w:t xml:space="preserve"> de marzo</w:t>
      </w:r>
      <w:r w:rsidR="00EA2015">
        <w:rPr>
          <w:rFonts w:ascii="Arial" w:hAnsi="Arial" w:cs="Arial"/>
          <w:color w:val="161616" w:themeColor="background1" w:themeShade="1A"/>
          <w:sz w:val="22"/>
          <w:szCs w:val="22"/>
          <w:lang w:val="es-ES_tradnl"/>
        </w:rPr>
        <w:t xml:space="preserve"> de 2022</w:t>
      </w:r>
      <w:r w:rsidR="009A0F94">
        <w:rPr>
          <w:rFonts w:ascii="Arial" w:hAnsi="Arial" w:cs="Arial"/>
          <w:color w:val="161616" w:themeColor="background1" w:themeShade="1A"/>
          <w:sz w:val="22"/>
          <w:szCs w:val="22"/>
          <w:lang w:val="es-ES_tradnl"/>
        </w:rPr>
        <w:t>.</w:t>
      </w:r>
    </w:p>
    <w:p w14:paraId="7163A7AF" w14:textId="77777777" w:rsidR="00015E80" w:rsidRPr="00515D32" w:rsidRDefault="00015E80" w:rsidP="0022167B">
      <w:pPr>
        <w:rPr>
          <w:rFonts w:ascii="Arial" w:hAnsi="Arial" w:cs="Arial"/>
          <w:color w:val="161616" w:themeColor="background1" w:themeShade="1A"/>
          <w:sz w:val="22"/>
          <w:szCs w:val="22"/>
          <w:lang w:val="es-ES_tradnl"/>
        </w:rPr>
      </w:pPr>
    </w:p>
    <w:p w14:paraId="4CDB27A1" w14:textId="23AF4B73" w:rsidR="00FB5E3B" w:rsidRPr="00515D32" w:rsidRDefault="00E54365" w:rsidP="0022167B">
      <w:pPr>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t xml:space="preserve">1. Problema planteado </w:t>
      </w:r>
    </w:p>
    <w:p w14:paraId="5834083C" w14:textId="5B5F17F3" w:rsidR="00695B70" w:rsidRPr="00515D32" w:rsidRDefault="00695B70" w:rsidP="0022167B">
      <w:pPr>
        <w:rPr>
          <w:rFonts w:ascii="Arial" w:hAnsi="Arial" w:cs="Arial"/>
          <w:b/>
          <w:color w:val="161616" w:themeColor="background1" w:themeShade="1A"/>
          <w:sz w:val="22"/>
          <w:szCs w:val="22"/>
          <w:lang w:val="es-ES_tradnl"/>
        </w:rPr>
      </w:pPr>
    </w:p>
    <w:p w14:paraId="14D7785A" w14:textId="154DBDC4" w:rsidR="00C76212" w:rsidRPr="00515D32" w:rsidRDefault="00FB5E3B" w:rsidP="0022167B">
      <w:pPr>
        <w:jc w:val="both"/>
        <w:rPr>
          <w:rFonts w:ascii="Arial" w:hAnsi="Arial" w:cs="Arial"/>
          <w:color w:val="161616" w:themeColor="background1" w:themeShade="1A"/>
          <w:sz w:val="22"/>
          <w:szCs w:val="22"/>
          <w:lang w:val="es-ES_tradnl"/>
        </w:rPr>
      </w:pPr>
      <w:r w:rsidRPr="00515D32">
        <w:rPr>
          <w:rFonts w:ascii="Arial" w:hAnsi="Arial" w:cs="Arial"/>
          <w:color w:val="161616" w:themeColor="background1" w:themeShade="1A"/>
          <w:sz w:val="22"/>
          <w:szCs w:val="22"/>
          <w:lang w:val="es-ES_tradnl"/>
        </w:rPr>
        <w:t xml:space="preserve">Usted </w:t>
      </w:r>
      <w:r w:rsidR="00EF64D8" w:rsidRPr="00515D32">
        <w:rPr>
          <w:rFonts w:ascii="Arial" w:hAnsi="Arial" w:cs="Arial"/>
          <w:color w:val="161616" w:themeColor="background1" w:themeShade="1A"/>
          <w:sz w:val="22"/>
          <w:szCs w:val="22"/>
          <w:lang w:val="es-ES_tradnl"/>
        </w:rPr>
        <w:t>formula</w:t>
      </w:r>
      <w:r w:rsidRPr="00515D32">
        <w:rPr>
          <w:rFonts w:ascii="Arial" w:hAnsi="Arial" w:cs="Arial"/>
          <w:color w:val="161616" w:themeColor="background1" w:themeShade="1A"/>
          <w:sz w:val="22"/>
          <w:szCs w:val="22"/>
          <w:lang w:val="es-ES_tradnl"/>
        </w:rPr>
        <w:t xml:space="preserve"> la siguiente consulta</w:t>
      </w:r>
      <w:r w:rsidR="00A74544" w:rsidRPr="00515D32">
        <w:rPr>
          <w:rFonts w:ascii="Arial" w:hAnsi="Arial" w:cs="Arial"/>
          <w:color w:val="161616" w:themeColor="background1" w:themeShade="1A"/>
          <w:sz w:val="22"/>
          <w:szCs w:val="22"/>
          <w:lang w:val="es-ES_tradnl"/>
        </w:rPr>
        <w:t>:</w:t>
      </w:r>
      <w:r w:rsidR="00880D11" w:rsidRPr="00515D32">
        <w:rPr>
          <w:rFonts w:ascii="Arial" w:hAnsi="Arial" w:cs="Arial"/>
          <w:color w:val="161616" w:themeColor="background1" w:themeShade="1A"/>
          <w:sz w:val="22"/>
          <w:szCs w:val="22"/>
          <w:lang w:val="es-ES_tradnl"/>
        </w:rPr>
        <w:t xml:space="preserve"> </w:t>
      </w:r>
    </w:p>
    <w:p w14:paraId="6275C7F7" w14:textId="77777777" w:rsidR="00F26F3C" w:rsidRPr="00515D32" w:rsidRDefault="00F26F3C" w:rsidP="009E5D6E">
      <w:pPr>
        <w:ind w:right="786"/>
        <w:jc w:val="both"/>
        <w:rPr>
          <w:rFonts w:ascii="Arial" w:hAnsi="Arial" w:cs="Arial"/>
          <w:color w:val="161616" w:themeColor="background1" w:themeShade="1A"/>
          <w:sz w:val="22"/>
          <w:szCs w:val="22"/>
          <w:lang w:val="es-ES_tradnl"/>
        </w:rPr>
      </w:pPr>
    </w:p>
    <w:p w14:paraId="122CAC42" w14:textId="7A90F1BF" w:rsidR="00074D1E" w:rsidRDefault="00B94548" w:rsidP="006A47E7">
      <w:pPr>
        <w:ind w:left="567" w:right="786"/>
        <w:jc w:val="both"/>
        <w:rPr>
          <w:rFonts w:ascii="Arial" w:hAnsi="Arial" w:cs="Arial"/>
          <w:color w:val="161616" w:themeColor="background1" w:themeShade="1A"/>
          <w:sz w:val="21"/>
          <w:szCs w:val="21"/>
          <w:lang w:val="es-ES_tradnl"/>
        </w:rPr>
      </w:pPr>
      <w:r w:rsidRPr="00515D32">
        <w:rPr>
          <w:rFonts w:ascii="Arial" w:hAnsi="Arial" w:cs="Arial"/>
          <w:color w:val="161616" w:themeColor="background1" w:themeShade="1A"/>
          <w:sz w:val="21"/>
          <w:szCs w:val="21"/>
          <w:lang w:val="es-ES_tradnl"/>
        </w:rPr>
        <w:t>«</w:t>
      </w:r>
      <w:r w:rsidR="006A47E7" w:rsidRPr="00EA04BE">
        <w:rPr>
          <w:rFonts w:ascii="Arial" w:hAnsi="Arial" w:cs="Arial"/>
          <w:color w:val="161616" w:themeColor="background1" w:themeShade="1A"/>
          <w:sz w:val="21"/>
          <w:szCs w:val="21"/>
          <w:lang w:val="es-ES_tradnl"/>
        </w:rPr>
        <w:t>[…]</w:t>
      </w:r>
      <w:r w:rsidR="009C5EB5">
        <w:rPr>
          <w:rFonts w:ascii="Arial" w:hAnsi="Arial" w:cs="Arial"/>
          <w:color w:val="161616" w:themeColor="background1" w:themeShade="1A"/>
          <w:sz w:val="21"/>
          <w:szCs w:val="21"/>
          <w:lang w:val="es-ES_tradnl"/>
        </w:rPr>
        <w:t>Se aclare si las restricciones señaladas en la Ley de Garantías sobre</w:t>
      </w:r>
      <w:r w:rsidR="006A47E7">
        <w:rPr>
          <w:rFonts w:ascii="Arial" w:hAnsi="Arial" w:cs="Arial"/>
          <w:color w:val="161616" w:themeColor="background1" w:themeShade="1A"/>
          <w:sz w:val="21"/>
          <w:szCs w:val="21"/>
          <w:lang w:val="es-ES_tradnl"/>
        </w:rPr>
        <w:t xml:space="preserve"> la celebración de convenios </w:t>
      </w:r>
      <w:proofErr w:type="gramStart"/>
      <w:r w:rsidR="006A47E7">
        <w:rPr>
          <w:rFonts w:ascii="Arial" w:hAnsi="Arial" w:cs="Arial"/>
          <w:color w:val="161616" w:themeColor="background1" w:themeShade="1A"/>
          <w:sz w:val="21"/>
          <w:szCs w:val="21"/>
          <w:lang w:val="es-ES_tradnl"/>
        </w:rPr>
        <w:t>interadministrativos,</w:t>
      </w:r>
      <w:proofErr w:type="gramEnd"/>
      <w:r w:rsidR="006A47E7">
        <w:rPr>
          <w:rFonts w:ascii="Arial" w:hAnsi="Arial" w:cs="Arial"/>
          <w:color w:val="161616" w:themeColor="background1" w:themeShade="1A"/>
          <w:sz w:val="21"/>
          <w:szCs w:val="21"/>
          <w:lang w:val="es-ES_tradnl"/>
        </w:rPr>
        <w:t xml:space="preserve"> deben ser o no aplicadas al procedimiento descrito en el Decreto 586 de 2017, el cual busca obtener el Cálculo Actuarial y posterior firma de Contrato de Concurrencia entre la Nación, Ministerio de Hacienda y Crédito Público, y de las entidades territoriales (siendo estas las Entidades responsables de cubrir el pasivo pensional de las entidades hospitalarias)</w:t>
      </w:r>
      <w:r w:rsidR="00EA04BE" w:rsidRPr="00EA04BE">
        <w:rPr>
          <w:rFonts w:ascii="Arial" w:hAnsi="Arial" w:cs="Arial"/>
          <w:color w:val="161616" w:themeColor="background1" w:themeShade="1A"/>
          <w:sz w:val="21"/>
          <w:szCs w:val="21"/>
          <w:lang w:val="es-ES_tradnl"/>
        </w:rPr>
        <w:t>»</w:t>
      </w:r>
    </w:p>
    <w:p w14:paraId="382444EA" w14:textId="77777777" w:rsidR="00A979B0" w:rsidRDefault="00A979B0" w:rsidP="00A979B0">
      <w:pPr>
        <w:spacing w:before="120"/>
        <w:ind w:left="567" w:right="786"/>
        <w:jc w:val="both"/>
        <w:rPr>
          <w:rFonts w:ascii="Arial" w:hAnsi="Arial" w:cs="Arial"/>
          <w:color w:val="161616" w:themeColor="background1" w:themeShade="1A"/>
          <w:sz w:val="21"/>
          <w:szCs w:val="21"/>
          <w:lang w:val="es-ES_tradnl"/>
        </w:rPr>
      </w:pPr>
    </w:p>
    <w:p w14:paraId="0DC08A5F" w14:textId="2F3ECD10" w:rsidR="00380FAE" w:rsidRDefault="00E54365" w:rsidP="006B1779">
      <w:pPr>
        <w:spacing w:before="120" w:line="276" w:lineRule="auto"/>
        <w:rPr>
          <w:rFonts w:ascii="Arial" w:hAnsi="Arial" w:cs="Arial"/>
          <w:b/>
          <w:color w:val="161616" w:themeColor="background1" w:themeShade="1A"/>
          <w:sz w:val="22"/>
          <w:szCs w:val="22"/>
          <w:lang w:val="es-ES_tradnl"/>
        </w:rPr>
      </w:pPr>
      <w:r w:rsidRPr="00515D32">
        <w:rPr>
          <w:rFonts w:ascii="Arial" w:hAnsi="Arial" w:cs="Arial"/>
          <w:b/>
          <w:color w:val="161616" w:themeColor="background1" w:themeShade="1A"/>
          <w:sz w:val="22"/>
          <w:szCs w:val="22"/>
          <w:lang w:val="es-ES_tradnl"/>
        </w:rPr>
        <w:lastRenderedPageBreak/>
        <w:t xml:space="preserve">2. Consideraciones </w:t>
      </w:r>
    </w:p>
    <w:p w14:paraId="174DA506" w14:textId="77777777" w:rsidR="007121A2" w:rsidRDefault="007121A2" w:rsidP="00490E94">
      <w:pPr>
        <w:spacing w:line="276" w:lineRule="auto"/>
        <w:rPr>
          <w:rFonts w:ascii="Arial" w:hAnsi="Arial" w:cs="Arial"/>
          <w:b/>
          <w:color w:val="161616" w:themeColor="background1" w:themeShade="1A"/>
          <w:sz w:val="22"/>
          <w:szCs w:val="22"/>
          <w:lang w:val="es-ES_tradnl"/>
        </w:rPr>
      </w:pPr>
    </w:p>
    <w:p w14:paraId="23E13401" w14:textId="1194DAB1" w:rsidR="00380FAE" w:rsidRDefault="00B16829" w:rsidP="00490E94">
      <w:pPr>
        <w:spacing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D</w:t>
      </w:r>
      <w:r w:rsidR="00A91BEA" w:rsidRPr="00515D32">
        <w:rPr>
          <w:rFonts w:ascii="Arial" w:eastAsia="Calibri" w:hAnsi="Arial" w:cs="Arial"/>
          <w:color w:val="161616" w:themeColor="background1" w:themeShade="1A"/>
          <w:sz w:val="22"/>
          <w:szCs w:val="22"/>
          <w:lang w:val="es-ES_tradnl"/>
        </w:rPr>
        <w:t>e conformidad con la competencia consultiva otorgada por el numeral 5 del artículo 3 y el numeral 8 del artículo 11 del Decreto 4170 de 2011, la Agencia Nacional de Contratación Pública – Colombia Compra Eficiente</w:t>
      </w:r>
      <w:r w:rsidRPr="00515D32">
        <w:rPr>
          <w:rFonts w:ascii="Arial" w:eastAsia="Calibri" w:hAnsi="Arial" w:cs="Arial"/>
          <w:color w:val="161616" w:themeColor="background1" w:themeShade="1A"/>
          <w:sz w:val="22"/>
          <w:szCs w:val="22"/>
          <w:lang w:val="es-ES_tradnl"/>
        </w:rPr>
        <w:t>,</w:t>
      </w:r>
      <w:r w:rsidR="00A91BEA" w:rsidRPr="00515D32">
        <w:rPr>
          <w:rFonts w:ascii="Arial" w:eastAsia="Calibri" w:hAnsi="Arial" w:cs="Arial"/>
          <w:color w:val="161616" w:themeColor="background1" w:themeShade="1A"/>
          <w:sz w:val="22"/>
          <w:szCs w:val="22"/>
          <w:lang w:val="es-ES_tradnl"/>
        </w:rPr>
        <w:t xml:space="preserve"> está facultada para atender solicitudes relacionadas con temas contractuales, pero solo para «absolver consultas sobre la aplicación de normas de carácter general»</w:t>
      </w:r>
      <w:r w:rsidR="00F77855" w:rsidRPr="00515D32">
        <w:rPr>
          <w:rStyle w:val="Refdenotaalpie"/>
          <w:rFonts w:ascii="Arial" w:eastAsia="Calibri" w:hAnsi="Arial" w:cs="Arial"/>
        </w:rPr>
        <w:footnoteReference w:id="1"/>
      </w:r>
      <w:r w:rsidR="00A91BEA" w:rsidRPr="00515D32">
        <w:rPr>
          <w:rFonts w:ascii="Arial" w:eastAsia="Calibri" w:hAnsi="Arial" w:cs="Arial"/>
          <w:color w:val="161616" w:themeColor="background1" w:themeShade="1A"/>
          <w:sz w:val="22"/>
          <w:szCs w:val="22"/>
          <w:lang w:val="es-ES_tradnl"/>
        </w:rPr>
        <w:t>. Por ello, la Agencia no tiene atribuciones para resolver casos particulares y concretos, ni para validar las actuaciones de las entidades estatales.</w:t>
      </w:r>
    </w:p>
    <w:p w14:paraId="1814A873" w14:textId="21EB5CF0" w:rsidR="00A20765" w:rsidRDefault="00554A77" w:rsidP="00E07CA2">
      <w:pPr>
        <w:spacing w:before="120" w:after="120" w:line="276" w:lineRule="auto"/>
        <w:ind w:firstLine="709"/>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 xml:space="preserve">Es </w:t>
      </w:r>
      <w:r w:rsidR="00A91BEA" w:rsidRPr="00515D32">
        <w:rPr>
          <w:rFonts w:ascii="Arial" w:eastAsia="Calibri" w:hAnsi="Arial" w:cs="Arial"/>
          <w:color w:val="161616" w:themeColor="background1" w:themeShade="1A"/>
          <w:sz w:val="22"/>
          <w:szCs w:val="22"/>
          <w:lang w:val="es-ES_tradnl"/>
        </w:rPr>
        <w:t>preciso advertir que los conceptos contienen la posición hermenéutica de la Subdirección de Gestión Contractual</w:t>
      </w:r>
      <w:r w:rsidR="001041A9" w:rsidRPr="00E34DEB">
        <w:rPr>
          <w:rFonts w:ascii="Arial" w:eastAsia="Calibri" w:hAnsi="Arial" w:cs="Arial"/>
          <w:color w:val="161616" w:themeColor="background1" w:themeShade="1A"/>
          <w:sz w:val="22"/>
          <w:szCs w:val="22"/>
          <w:lang w:val="es-ES_tradnl"/>
        </w:rPr>
        <w:t>,</w:t>
      </w:r>
      <w:r w:rsidR="00A91BEA" w:rsidRPr="00515D32">
        <w:rPr>
          <w:rFonts w:ascii="Arial" w:eastAsia="Calibri" w:hAnsi="Arial" w:cs="Arial"/>
          <w:color w:val="161616" w:themeColor="background1" w:themeShade="1A"/>
          <w:sz w:val="22"/>
          <w:szCs w:val="22"/>
          <w:lang w:val="es-ES_tradnl"/>
        </w:rPr>
        <w:t xml:space="preserve">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9F1040">
        <w:rPr>
          <w:rFonts w:ascii="Arial" w:eastAsia="Calibri" w:hAnsi="Arial" w:cs="Arial"/>
          <w:color w:val="161616" w:themeColor="background1" w:themeShade="1A"/>
          <w:sz w:val="22"/>
          <w:szCs w:val="22"/>
          <w:lang w:val="es-ES_tradnl"/>
        </w:rPr>
        <w:t>de obligatorio cumplimiento para el destinatario, sino que expresan la posición interpretativa del ente que elabora el concepto.</w:t>
      </w:r>
    </w:p>
    <w:p w14:paraId="634B8887" w14:textId="6191CD8C" w:rsidR="00A20765" w:rsidRPr="00987069" w:rsidRDefault="006C4534" w:rsidP="00987069">
      <w:pPr>
        <w:tabs>
          <w:tab w:val="left" w:pos="426"/>
        </w:tabs>
        <w:spacing w:after="120" w:line="276" w:lineRule="auto"/>
        <w:jc w:val="both"/>
        <w:rPr>
          <w:rFonts w:ascii="Arial" w:eastAsia="Calibri" w:hAnsi="Arial" w:cs="Arial"/>
          <w:bCs/>
          <w:sz w:val="22"/>
          <w:szCs w:val="22"/>
          <w:lang w:eastAsia="en-US"/>
        </w:rPr>
      </w:pPr>
      <w:r>
        <w:rPr>
          <w:rFonts w:ascii="Arial" w:eastAsiaTheme="minorHAnsi" w:hAnsi="Arial" w:cs="Arial"/>
          <w:bCs/>
          <w:sz w:val="22"/>
          <w:szCs w:val="22"/>
          <w:lang w:val="es-MX" w:eastAsia="en-US"/>
        </w:rPr>
        <w:tab/>
      </w:r>
      <w:r w:rsidR="00A20765">
        <w:rPr>
          <w:rFonts w:ascii="Arial" w:eastAsiaTheme="minorHAnsi" w:hAnsi="Arial" w:cs="Arial"/>
          <w:bCs/>
          <w:sz w:val="22"/>
          <w:szCs w:val="22"/>
          <w:lang w:val="es-MX" w:eastAsia="en-US"/>
        </w:rPr>
        <w:tab/>
      </w:r>
      <w:r w:rsidR="00A20765" w:rsidRPr="00A20765">
        <w:rPr>
          <w:rFonts w:ascii="Arial" w:eastAsiaTheme="minorHAnsi" w:hAnsi="Arial" w:cs="Arial"/>
          <w:bCs/>
          <w:sz w:val="22"/>
          <w:szCs w:val="22"/>
          <w:lang w:val="es-MX" w:eastAsia="en-US"/>
        </w:rPr>
        <w:t>Esta Subdirección –dentro de los límites de sus atribuciones</w:t>
      </w:r>
      <w:r w:rsidR="00A20765" w:rsidRPr="00A20765">
        <w:rPr>
          <w:rFonts w:ascii="Arial" w:eastAsiaTheme="minorHAnsi" w:hAnsi="Arial" w:cs="Arial"/>
          <w:bCs/>
          <w:sz w:val="22"/>
          <w:szCs w:val="22"/>
          <w:vertAlign w:val="superscript"/>
          <w:lang w:val="es-MX" w:eastAsia="en-US"/>
        </w:rPr>
        <w:footnoteReference w:id="2"/>
      </w:r>
      <w:r>
        <w:rPr>
          <w:rFonts w:ascii="Arial" w:eastAsiaTheme="minorHAnsi" w:hAnsi="Arial" w:cs="Arial"/>
          <w:bCs/>
          <w:sz w:val="22"/>
          <w:szCs w:val="22"/>
          <w:lang w:val="es-MX" w:eastAsia="en-US"/>
        </w:rPr>
        <w:t>–</w:t>
      </w:r>
      <w:r w:rsidR="00A20765" w:rsidRPr="00A20765">
        <w:rPr>
          <w:rFonts w:ascii="Arial" w:eastAsiaTheme="minorHAnsi" w:hAnsi="Arial" w:cs="Arial"/>
          <w:bCs/>
          <w:sz w:val="22"/>
          <w:szCs w:val="22"/>
          <w:lang w:val="es-MX" w:eastAsia="en-US"/>
        </w:rPr>
        <w:t xml:space="preserve"> resolverá los problemas planteados, conforme a las normas generales en materia de contratación estatal, previo análisis de</w:t>
      </w:r>
      <w:r w:rsidR="00A20765" w:rsidRPr="00A20765">
        <w:rPr>
          <w:rFonts w:ascii="Arial" w:eastAsia="Calibri" w:hAnsi="Arial" w:cs="Arial"/>
          <w:color w:val="000000" w:themeColor="text1"/>
          <w:sz w:val="22"/>
          <w:szCs w:val="22"/>
          <w:lang w:val="es-ES" w:eastAsia="en-US"/>
        </w:rPr>
        <w:t xml:space="preserve"> los siguientes temas:</w:t>
      </w:r>
      <w:r w:rsidR="00A20765" w:rsidRPr="00A20765">
        <w:rPr>
          <w:rFonts w:ascii="Arial" w:eastAsia="Calibri" w:hAnsi="Arial" w:cs="Arial"/>
          <w:bCs/>
          <w:sz w:val="22"/>
          <w:szCs w:val="22"/>
          <w:lang w:eastAsia="en-US"/>
        </w:rPr>
        <w:t xml:space="preserve"> i) definición y finalidad de la Ley de Garantías Electorales, </w:t>
      </w:r>
      <w:proofErr w:type="spellStart"/>
      <w:r w:rsidR="00A20765" w:rsidRPr="00A20765">
        <w:rPr>
          <w:rFonts w:ascii="Arial" w:eastAsia="Calibri" w:hAnsi="Arial" w:cs="Arial"/>
          <w:bCs/>
          <w:sz w:val="22"/>
          <w:szCs w:val="22"/>
          <w:lang w:eastAsia="en-US"/>
        </w:rPr>
        <w:t>ii</w:t>
      </w:r>
      <w:proofErr w:type="spellEnd"/>
      <w:r w:rsidR="00A20765" w:rsidRPr="00A20765">
        <w:rPr>
          <w:rFonts w:ascii="Arial" w:eastAsia="Calibri" w:hAnsi="Arial" w:cs="Arial"/>
          <w:bCs/>
          <w:sz w:val="22"/>
          <w:szCs w:val="22"/>
          <w:lang w:eastAsia="en-US"/>
        </w:rPr>
        <w:t xml:space="preserve">) restricciones </w:t>
      </w:r>
      <w:r w:rsidR="00A20765" w:rsidRPr="00A20765">
        <w:rPr>
          <w:rFonts w:ascii="Arial" w:eastAsia="Calibri" w:hAnsi="Arial" w:cs="Arial"/>
          <w:bCs/>
          <w:sz w:val="22"/>
          <w:szCs w:val="22"/>
          <w:lang w:val="es-MX" w:eastAsia="en-US"/>
        </w:rPr>
        <w:t>para elecciones presidenciales</w:t>
      </w:r>
      <w:r w:rsidR="004471BD">
        <w:rPr>
          <w:rFonts w:ascii="Arial" w:eastAsia="Calibri" w:hAnsi="Arial" w:cs="Arial"/>
          <w:bCs/>
          <w:sz w:val="22"/>
          <w:szCs w:val="22"/>
          <w:lang w:val="es-MX" w:eastAsia="en-US"/>
        </w:rPr>
        <w:t xml:space="preserve">, donde se analizará la </w:t>
      </w:r>
      <w:r w:rsidR="004471BD" w:rsidRPr="004471BD">
        <w:rPr>
          <w:rFonts w:ascii="Arial" w:eastAsia="Calibri" w:hAnsi="Arial" w:cs="Arial"/>
          <w:bCs/>
          <w:sz w:val="22"/>
          <w:szCs w:val="22"/>
          <w:lang w:val="es-MX" w:eastAsia="en-US"/>
        </w:rPr>
        <w:t>prohibición del artículo 33 de la Ley 996 de 2005</w:t>
      </w:r>
      <w:r w:rsidR="004471BD">
        <w:rPr>
          <w:rFonts w:ascii="Arial" w:eastAsia="Calibri" w:hAnsi="Arial" w:cs="Arial"/>
          <w:bCs/>
          <w:sz w:val="22"/>
          <w:szCs w:val="22"/>
          <w:lang w:val="es-MX" w:eastAsia="en-US"/>
        </w:rPr>
        <w:t xml:space="preserve">; </w:t>
      </w:r>
      <w:r w:rsidR="00A20765" w:rsidRPr="00A20765">
        <w:rPr>
          <w:rFonts w:ascii="Arial" w:eastAsia="Calibri" w:hAnsi="Arial" w:cs="Arial"/>
          <w:bCs/>
          <w:sz w:val="22"/>
          <w:szCs w:val="22"/>
          <w:lang w:val="es-MX" w:eastAsia="en-US"/>
        </w:rPr>
        <w:t>i</w:t>
      </w:r>
      <w:r w:rsidR="004471BD">
        <w:rPr>
          <w:rFonts w:ascii="Arial" w:eastAsia="Calibri" w:hAnsi="Arial" w:cs="Arial"/>
          <w:bCs/>
          <w:sz w:val="22"/>
          <w:szCs w:val="22"/>
          <w:lang w:val="es-MX" w:eastAsia="en-US"/>
        </w:rPr>
        <w:t>ii</w:t>
      </w:r>
      <w:r w:rsidR="00A20765" w:rsidRPr="00A20765">
        <w:rPr>
          <w:rFonts w:ascii="Arial" w:eastAsia="Calibri" w:hAnsi="Arial" w:cs="Arial"/>
          <w:bCs/>
          <w:sz w:val="22"/>
          <w:szCs w:val="22"/>
          <w:lang w:val="es-MX" w:eastAsia="en-US"/>
        </w:rPr>
        <w:t xml:space="preserve">) </w:t>
      </w:r>
      <w:r w:rsidR="00A20765" w:rsidRPr="00A20765">
        <w:rPr>
          <w:rFonts w:ascii="Arial" w:eastAsia="Calibri" w:hAnsi="Arial" w:cs="Arial"/>
          <w:sz w:val="22"/>
          <w:szCs w:val="22"/>
          <w:lang w:val="es-MX" w:eastAsia="en-US"/>
        </w:rPr>
        <w:t>restricciones en los comicios para cargos de elección popular</w:t>
      </w:r>
      <w:bookmarkStart w:id="10" w:name="_Hlk76110351"/>
      <w:r w:rsidR="004471BD">
        <w:rPr>
          <w:rFonts w:ascii="Arial" w:eastAsia="Calibri" w:hAnsi="Arial" w:cs="Arial"/>
          <w:sz w:val="22"/>
          <w:szCs w:val="22"/>
          <w:lang w:val="es-MX" w:eastAsia="en-US"/>
        </w:rPr>
        <w:t>, donde se analizará la prohibición del parágrafo del artículo 38 de la Ley 996 de 2005; y</w:t>
      </w:r>
      <w:r w:rsidR="00A20765" w:rsidRPr="00A20765">
        <w:rPr>
          <w:rFonts w:ascii="Arial" w:eastAsia="Calibri" w:hAnsi="Arial" w:cs="Arial"/>
          <w:sz w:val="22"/>
          <w:szCs w:val="22"/>
          <w:lang w:val="es-MX" w:eastAsia="en-US"/>
        </w:rPr>
        <w:t xml:space="preserve"> </w:t>
      </w:r>
      <w:r w:rsidR="004471BD">
        <w:rPr>
          <w:rFonts w:ascii="Arial" w:eastAsia="Calibri" w:hAnsi="Arial" w:cs="Arial"/>
          <w:sz w:val="22"/>
          <w:szCs w:val="22"/>
          <w:lang w:val="es-MX" w:eastAsia="en-US"/>
        </w:rPr>
        <w:t>i</w:t>
      </w:r>
      <w:r w:rsidR="00A20765" w:rsidRPr="00A20765">
        <w:rPr>
          <w:rFonts w:ascii="Arial" w:eastAsia="Calibri" w:hAnsi="Arial" w:cs="Arial"/>
          <w:sz w:val="22"/>
          <w:szCs w:val="22"/>
          <w:lang w:val="es-MX" w:eastAsia="en-US"/>
        </w:rPr>
        <w:t>v)</w:t>
      </w:r>
      <w:r w:rsidR="004471BD">
        <w:rPr>
          <w:rFonts w:ascii="Arial" w:eastAsia="Calibri" w:hAnsi="Arial" w:cs="Arial"/>
          <w:sz w:val="22"/>
          <w:szCs w:val="22"/>
          <w:lang w:val="es-MX" w:eastAsia="en-US"/>
        </w:rPr>
        <w:t xml:space="preserve"> la</w:t>
      </w:r>
      <w:r w:rsidR="00A20765" w:rsidRPr="00A20765">
        <w:rPr>
          <w:rFonts w:ascii="Arial" w:eastAsia="Calibri" w:hAnsi="Arial" w:cs="Arial"/>
          <w:sz w:val="22"/>
          <w:szCs w:val="22"/>
          <w:lang w:val="es-MX" w:eastAsia="en-US"/>
        </w:rPr>
        <w:t xml:space="preserve"> aplicación de la Ley de Garantías Electorales frente a </w:t>
      </w:r>
      <w:r w:rsidR="004471BD">
        <w:rPr>
          <w:rFonts w:ascii="Arial" w:eastAsia="Calibri" w:hAnsi="Arial" w:cs="Arial"/>
          <w:sz w:val="22"/>
          <w:szCs w:val="22"/>
          <w:lang w:val="es-MX" w:eastAsia="en-US"/>
        </w:rPr>
        <w:t xml:space="preserve">los </w:t>
      </w:r>
      <w:r w:rsidR="00A20765">
        <w:rPr>
          <w:rFonts w:ascii="Arial" w:eastAsia="Calibri" w:hAnsi="Arial" w:cs="Arial"/>
          <w:sz w:val="22"/>
          <w:szCs w:val="22"/>
          <w:lang w:val="es-MX" w:eastAsia="en-US"/>
        </w:rPr>
        <w:t>convenios de concurrencia</w:t>
      </w:r>
      <w:r w:rsidR="004471BD">
        <w:rPr>
          <w:rFonts w:ascii="Arial" w:eastAsia="Calibri" w:hAnsi="Arial" w:cs="Arial"/>
          <w:sz w:val="22"/>
          <w:szCs w:val="22"/>
          <w:lang w:val="es-MX" w:eastAsia="en-US"/>
        </w:rPr>
        <w:t>.</w:t>
      </w:r>
      <w:bookmarkEnd w:id="10"/>
    </w:p>
    <w:p w14:paraId="52325605" w14:textId="31876035" w:rsidR="00380FAE" w:rsidRDefault="008148C7" w:rsidP="006B1779">
      <w:pPr>
        <w:spacing w:before="120" w:line="276" w:lineRule="auto"/>
        <w:ind w:firstLine="709"/>
        <w:jc w:val="both"/>
        <w:rPr>
          <w:rFonts w:ascii="Arial" w:eastAsia="Calibri" w:hAnsi="Arial" w:cs="Arial"/>
          <w:color w:val="161616" w:themeColor="background1" w:themeShade="1A"/>
          <w:sz w:val="22"/>
          <w:szCs w:val="22"/>
          <w:lang w:val="es-ES_tradnl"/>
        </w:rPr>
      </w:pPr>
      <w:r w:rsidRPr="00B24DD1">
        <w:rPr>
          <w:rFonts w:ascii="Arial" w:eastAsia="Calibri" w:hAnsi="Arial" w:cs="Arial"/>
          <w:bCs/>
          <w:sz w:val="22"/>
        </w:rPr>
        <w:lastRenderedPageBreak/>
        <w:t>La Agencia Nacional de Contratación Pública – Colombia Compra Eficiente ha impartido lineamientos sobre la aplicación de la Ley 996 de 2005 y también se ha pronunciado al respecto, entre otros</w:t>
      </w:r>
      <w:r>
        <w:rPr>
          <w:rStyle w:val="Refdenotaalpie"/>
          <w:rFonts w:ascii="Arial" w:eastAsia="Calibri" w:hAnsi="Arial" w:cs="Arial"/>
          <w:bCs/>
          <w:sz w:val="22"/>
        </w:rPr>
        <w:footnoteReference w:id="3"/>
      </w:r>
      <w:r w:rsidRPr="00B24DD1">
        <w:rPr>
          <w:rFonts w:ascii="Arial" w:eastAsia="Calibri" w:hAnsi="Arial" w:cs="Arial"/>
          <w:bCs/>
          <w:sz w:val="22"/>
        </w:rPr>
        <w:t>, en los Conceptos</w:t>
      </w:r>
      <w:r>
        <w:rPr>
          <w:rFonts w:ascii="Arial" w:eastAsia="Calibri" w:hAnsi="Arial" w:cs="Arial"/>
          <w:bCs/>
          <w:sz w:val="22"/>
        </w:rPr>
        <w:t xml:space="preserve"> </w:t>
      </w:r>
      <w:r w:rsidRPr="00B24DD1">
        <w:rPr>
          <w:rFonts w:ascii="Arial" w:eastAsia="Calibri" w:hAnsi="Arial" w:cs="Arial"/>
          <w:bCs/>
          <w:sz w:val="22"/>
        </w:rPr>
        <w:t>C-697 del 3 de enero de 2022, C-699 del 6 de enero de 2022, C-700 del 6 de enero de 2021, C-723 del 28 de diciembre de 2021, C-715 del 21 de enero de 2022, C-718 del 24 de enero de 2022, C-726 del 24 de enero de 2022, C-015 del 12 de enero de 2022, C-002 del 15 de febrero de 2022, C-005 del 16 de febrero de 2022 C-023 del 22 de febrero de 2022</w:t>
      </w:r>
      <w:r w:rsidR="006C4534">
        <w:rPr>
          <w:rFonts w:ascii="Arial" w:eastAsia="Calibri" w:hAnsi="Arial" w:cs="Arial"/>
          <w:bCs/>
          <w:sz w:val="22"/>
        </w:rPr>
        <w:t>,</w:t>
      </w:r>
      <w:r>
        <w:rPr>
          <w:rFonts w:ascii="Arial" w:eastAsia="Calibri" w:hAnsi="Arial" w:cs="Arial"/>
          <w:bCs/>
          <w:sz w:val="22"/>
        </w:rPr>
        <w:t xml:space="preserve"> C-094 de 16 de marzo de 2022, </w:t>
      </w:r>
      <w:r>
        <w:rPr>
          <w:rFonts w:ascii="Arial" w:eastAsia="Calibri" w:hAnsi="Arial" w:cs="Arial"/>
          <w:bCs/>
          <w:color w:val="000000" w:themeColor="text1"/>
          <w:sz w:val="22"/>
        </w:rPr>
        <w:t xml:space="preserve">C-107 del 18 de marzo de 2022 y C-231 de 2 de mayo de 2022. </w:t>
      </w:r>
      <w:r w:rsidRPr="008148C7">
        <w:rPr>
          <w:rFonts w:ascii="Arial" w:eastAsia="Calibri" w:hAnsi="Arial" w:cs="Arial"/>
          <w:bCs/>
          <w:color w:val="000000" w:themeColor="text1"/>
          <w:sz w:val="22"/>
        </w:rPr>
        <w:t>La tesis desarrollada en estos conceptos se reitera y complementa en lo que corresponde a continuación:</w:t>
      </w:r>
      <w:r>
        <w:rPr>
          <w:rFonts w:ascii="Arial" w:eastAsia="Calibri" w:hAnsi="Arial" w:cs="Arial"/>
          <w:bCs/>
          <w:sz w:val="22"/>
        </w:rPr>
        <w:t xml:space="preserve"> </w:t>
      </w:r>
    </w:p>
    <w:p w14:paraId="2EF875FD" w14:textId="77777777" w:rsidR="003A62A6" w:rsidRDefault="003A62A6" w:rsidP="001B2052">
      <w:pPr>
        <w:spacing w:line="276" w:lineRule="auto"/>
        <w:ind w:firstLine="709"/>
        <w:jc w:val="both"/>
        <w:rPr>
          <w:rFonts w:ascii="Arial" w:eastAsia="Calibri" w:hAnsi="Arial" w:cs="Arial"/>
          <w:color w:val="161616" w:themeColor="background1" w:themeShade="1A"/>
          <w:sz w:val="22"/>
          <w:szCs w:val="22"/>
          <w:lang w:val="es-ES_tradnl"/>
        </w:rPr>
      </w:pPr>
    </w:p>
    <w:p w14:paraId="29EDCB88" w14:textId="77777777" w:rsidR="00450CAF" w:rsidRPr="004A1D82" w:rsidRDefault="00450CAF" w:rsidP="001B2052">
      <w:pPr>
        <w:tabs>
          <w:tab w:val="left" w:pos="426"/>
        </w:tabs>
        <w:spacing w:line="276" w:lineRule="auto"/>
        <w:jc w:val="both"/>
        <w:rPr>
          <w:rFonts w:ascii="Arial" w:eastAsia="Calibri" w:hAnsi="Arial" w:cs="Arial"/>
          <w:b/>
          <w:bCs/>
          <w:color w:val="000000" w:themeColor="text1"/>
          <w:sz w:val="22"/>
          <w:szCs w:val="22"/>
          <w:lang w:val="es-ES_tradnl" w:eastAsia="en-US"/>
        </w:rPr>
      </w:pPr>
      <w:bookmarkStart w:id="11" w:name="_Hlk75783800"/>
      <w:r w:rsidRPr="004A1D82">
        <w:rPr>
          <w:rFonts w:ascii="Arial" w:eastAsia="Calibri" w:hAnsi="Arial" w:cs="Arial"/>
          <w:b/>
          <w:bCs/>
          <w:color w:val="000000" w:themeColor="text1"/>
          <w:sz w:val="22"/>
          <w:szCs w:val="22"/>
          <w:lang w:val="es-ES_tradnl" w:eastAsia="en-US"/>
        </w:rPr>
        <w:t>2.1. Definición y finalidad de la Ley de Garantías Electorales: alcance de las restricciones</w:t>
      </w:r>
    </w:p>
    <w:p w14:paraId="22A5D96E" w14:textId="77777777" w:rsidR="00450CAF" w:rsidRPr="004A1D82" w:rsidRDefault="00450CAF" w:rsidP="001B2052">
      <w:pPr>
        <w:tabs>
          <w:tab w:val="left" w:pos="426"/>
        </w:tabs>
        <w:spacing w:line="276" w:lineRule="auto"/>
        <w:ind w:firstLine="709"/>
        <w:jc w:val="both"/>
        <w:rPr>
          <w:rFonts w:ascii="Arial" w:eastAsia="Calibri" w:hAnsi="Arial" w:cs="Arial"/>
          <w:bCs/>
          <w:color w:val="000000" w:themeColor="text1"/>
          <w:sz w:val="22"/>
          <w:szCs w:val="22"/>
          <w:lang w:val="es-ES_tradnl" w:eastAsia="en-US"/>
        </w:rPr>
      </w:pPr>
    </w:p>
    <w:p w14:paraId="4F930D34" w14:textId="77777777" w:rsidR="00450CAF" w:rsidRPr="004A1D82" w:rsidRDefault="00450CAF" w:rsidP="001B2052">
      <w:pPr>
        <w:tabs>
          <w:tab w:val="left" w:pos="426"/>
        </w:tabs>
        <w:spacing w:after="120" w:line="276" w:lineRule="auto"/>
        <w:jc w:val="both"/>
        <w:rPr>
          <w:rFonts w:ascii="Arial" w:hAnsi="Arial" w:cs="Arial"/>
          <w:bCs/>
          <w:color w:val="000000" w:themeColor="text1"/>
          <w:sz w:val="22"/>
          <w:szCs w:val="22"/>
          <w:lang w:val="es-ES_tradnl" w:eastAsia="es-CO"/>
        </w:rPr>
      </w:pPr>
      <w:r w:rsidRPr="004A1D82">
        <w:rPr>
          <w:rFonts w:ascii="Arial" w:eastAsia="Calibri" w:hAnsi="Arial" w:cs="Arial"/>
          <w:bCs/>
          <w:color w:val="000000" w:themeColor="text1"/>
          <w:sz w:val="22"/>
          <w:szCs w:val="22"/>
          <w:lang w:val="es-ES_tradnl" w:eastAsia="en-US"/>
        </w:rPr>
        <w:t>El ordenamiento jurídico colombiano contempla previsiones claras para evitar la obtención de beneficios personales en asuntos propios de la administración pública</w:t>
      </w:r>
      <w:r w:rsidRPr="004A1D82">
        <w:rPr>
          <w:rFonts w:ascii="Arial" w:eastAsia="Calibri" w:hAnsi="Arial" w:cs="Arial"/>
          <w:bCs/>
          <w:i/>
          <w:iCs/>
          <w:color w:val="000000" w:themeColor="text1"/>
          <w:sz w:val="22"/>
          <w:szCs w:val="22"/>
          <w:lang w:val="es-ES_tradnl" w:eastAsia="en-US"/>
        </w:rPr>
        <w:t xml:space="preserve">. </w:t>
      </w:r>
      <w:r w:rsidRPr="004A1D82">
        <w:rPr>
          <w:rFonts w:ascii="Arial" w:eastAsia="Calibri" w:hAnsi="Arial" w:cs="Arial"/>
          <w:bCs/>
          <w:color w:val="000000" w:themeColor="text1"/>
          <w:sz w:val="22"/>
          <w:szCs w:val="22"/>
          <w:lang w:val="es-ES_tradnl"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4A1D82">
        <w:rPr>
          <w:rFonts w:ascii="Arial" w:eastAsia="Calibri" w:hAnsi="Arial" w:cs="Arial"/>
          <w:color w:val="000000" w:themeColor="text1"/>
          <w:vertAlign w:val="superscript"/>
          <w:lang w:eastAsia="es-ES_tradnl"/>
        </w:rPr>
        <w:footnoteReference w:id="4"/>
      </w:r>
      <w:r w:rsidRPr="004A1D82">
        <w:rPr>
          <w:rFonts w:ascii="Arial" w:eastAsia="Calibri" w:hAnsi="Arial" w:cs="Arial"/>
          <w:bCs/>
          <w:color w:val="000000" w:themeColor="text1"/>
          <w:sz w:val="22"/>
          <w:szCs w:val="22"/>
          <w:lang w:val="es-ES_tradnl" w:eastAsia="en-US"/>
        </w:rPr>
        <w:t xml:space="preserve">. </w:t>
      </w:r>
    </w:p>
    <w:p w14:paraId="576E5F3A" w14:textId="77777777" w:rsidR="00450CAF" w:rsidRPr="004A1D82" w:rsidRDefault="00450CAF" w:rsidP="00450CAF">
      <w:pPr>
        <w:tabs>
          <w:tab w:val="left" w:pos="426"/>
        </w:tabs>
        <w:spacing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lastRenderedPageBreak/>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A1D82">
        <w:rPr>
          <w:rFonts w:ascii="Arial" w:hAnsi="Arial" w:cs="Arial"/>
          <w:color w:val="000000" w:themeColor="text1"/>
          <w:vertAlign w:val="superscript"/>
          <w:lang w:eastAsia="es-ES_tradnl"/>
        </w:rPr>
        <w:footnoteReference w:id="5"/>
      </w:r>
      <w:r w:rsidRPr="004A1D82">
        <w:rPr>
          <w:rFonts w:ascii="Arial" w:hAnsi="Arial" w:cs="Arial"/>
          <w:bCs/>
          <w:color w:val="000000" w:themeColor="text1"/>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4A1D82">
        <w:rPr>
          <w:rFonts w:ascii="Arial" w:eastAsia="Calibri" w:hAnsi="Arial" w:cs="Arial"/>
          <w:noProof/>
          <w:color w:val="000000" w:themeColor="text1"/>
          <w:sz w:val="22"/>
          <w:szCs w:val="22"/>
          <w:lang w:val="es-ES_tradnl" w:eastAsia="en-US"/>
        </w:rPr>
        <w:t xml:space="preserve"> </w:t>
      </w:r>
      <w:r w:rsidRPr="004A1D82">
        <w:rPr>
          <w:rFonts w:ascii="Arial" w:hAnsi="Arial" w:cs="Arial"/>
          <w:bCs/>
          <w:color w:val="000000" w:themeColor="text1"/>
          <w:sz w:val="22"/>
          <w:szCs w:val="22"/>
          <w:lang w:val="es-ES_tradnl" w:eastAsia="es-CO"/>
        </w:rPr>
        <w:t>En armonía con lo anterior, la Corte Constitucional ha abordado la definición de la Ley de Garantías Electorales. De esta manera, explica que tiene como propósito:</w:t>
      </w:r>
    </w:p>
    <w:p w14:paraId="40481E05" w14:textId="77777777" w:rsidR="00450CAF" w:rsidRPr="004A1D82" w:rsidRDefault="00450CAF" w:rsidP="00450CAF">
      <w:pPr>
        <w:ind w:right="709"/>
        <w:jc w:val="both"/>
        <w:rPr>
          <w:rFonts w:ascii="Arial" w:hAnsi="Arial" w:cs="Arial"/>
          <w:color w:val="000000" w:themeColor="text1"/>
          <w:sz w:val="21"/>
          <w:szCs w:val="21"/>
          <w:lang w:val="es-ES_tradnl" w:eastAsia="es-CO"/>
        </w:rPr>
      </w:pPr>
    </w:p>
    <w:p w14:paraId="29B47983" w14:textId="77777777" w:rsidR="00450CAF" w:rsidRPr="004A1D82" w:rsidRDefault="00450CAF" w:rsidP="00450CAF">
      <w:pPr>
        <w:ind w:left="709" w:right="709"/>
        <w:jc w:val="both"/>
        <w:rPr>
          <w:rFonts w:ascii="Arial" w:hAnsi="Arial" w:cs="Arial"/>
          <w:bCs/>
          <w:color w:val="000000" w:themeColor="text1"/>
          <w:sz w:val="21"/>
          <w:szCs w:val="21"/>
          <w:lang w:val="es-ES_tradnl" w:eastAsia="es-CO"/>
        </w:rPr>
      </w:pPr>
      <w:r w:rsidRPr="004A1D82">
        <w:rPr>
          <w:rFonts w:ascii="Arial" w:hAnsi="Arial" w:cs="Arial"/>
          <w:color w:val="000000" w:themeColor="text1"/>
          <w:sz w:val="21"/>
          <w:szCs w:val="21"/>
          <w:lang w:val="es-ES_tradnl" w:eastAsia="es-CO"/>
        </w:rPr>
        <w:t xml:space="preserve">[…] </w:t>
      </w:r>
      <w:r w:rsidRPr="004A1D82">
        <w:rPr>
          <w:rFonts w:ascii="Arial"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0BA66C50" w14:textId="77777777" w:rsidR="00450CAF" w:rsidRPr="004A1D82" w:rsidRDefault="00450CAF" w:rsidP="00450CAF">
      <w:pPr>
        <w:spacing w:after="120"/>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 xml:space="preserve">[…] </w:t>
      </w:r>
    </w:p>
    <w:p w14:paraId="0A95E4C0" w14:textId="77777777" w:rsidR="00450CAF" w:rsidRPr="004A1D82" w:rsidRDefault="00450CAF" w:rsidP="00450CAF">
      <w:pPr>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A1D82">
        <w:rPr>
          <w:rFonts w:ascii="Arial" w:eastAsiaTheme="minorHAnsi" w:hAnsi="Arial" w:cs="Arial"/>
          <w:color w:val="000000" w:themeColor="text1"/>
          <w:vertAlign w:val="superscript"/>
          <w:lang w:eastAsia="es-ES_tradnl"/>
        </w:rPr>
        <w:footnoteReference w:id="6"/>
      </w:r>
    </w:p>
    <w:p w14:paraId="33754941" w14:textId="77777777" w:rsidR="00450CAF" w:rsidRPr="004A1D82" w:rsidRDefault="00450CAF" w:rsidP="00450CAF">
      <w:pPr>
        <w:spacing w:line="276" w:lineRule="auto"/>
        <w:ind w:left="709" w:right="709"/>
        <w:jc w:val="both"/>
        <w:rPr>
          <w:rFonts w:ascii="Arial" w:hAnsi="Arial" w:cs="Arial"/>
          <w:bCs/>
          <w:color w:val="000000" w:themeColor="text1"/>
          <w:sz w:val="21"/>
          <w:szCs w:val="21"/>
          <w:lang w:val="es-ES_tradnl" w:eastAsia="es-CO"/>
        </w:rPr>
      </w:pPr>
    </w:p>
    <w:p w14:paraId="35882299" w14:textId="77777777" w:rsidR="00450CAF" w:rsidRPr="004A1D82" w:rsidRDefault="00450CAF" w:rsidP="00450CAF">
      <w:pPr>
        <w:spacing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2A41535" w14:textId="77777777" w:rsidR="00450CAF" w:rsidRPr="004A1D82" w:rsidRDefault="00450CAF" w:rsidP="00450CAF">
      <w:pPr>
        <w:spacing w:line="276" w:lineRule="auto"/>
        <w:ind w:firstLine="709"/>
        <w:jc w:val="both"/>
        <w:rPr>
          <w:rFonts w:ascii="Arial" w:hAnsi="Arial" w:cs="Arial"/>
          <w:bCs/>
          <w:color w:val="000000" w:themeColor="text1"/>
          <w:sz w:val="22"/>
          <w:szCs w:val="22"/>
          <w:lang w:val="es-ES_tradnl" w:eastAsia="es-CO"/>
        </w:rPr>
      </w:pPr>
    </w:p>
    <w:p w14:paraId="2BCE72FD" w14:textId="77777777" w:rsidR="00450CAF" w:rsidRPr="004A1D82" w:rsidRDefault="00450CAF" w:rsidP="00450CAF">
      <w:pPr>
        <w:spacing w:after="120"/>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A1D82">
        <w:rPr>
          <w:rFonts w:ascii="Arial" w:hAnsi="Arial" w:cs="Arial"/>
          <w:bCs/>
          <w:color w:val="000000" w:themeColor="text1"/>
          <w:sz w:val="21"/>
          <w:szCs w:val="21"/>
          <w:lang w:val="es-ES_tradnl" w:eastAsia="es-CO"/>
        </w:rPr>
        <w:t>legis</w:t>
      </w:r>
      <w:proofErr w:type="spellEnd"/>
      <w:r w:rsidRPr="004A1D82">
        <w:rPr>
          <w:rFonts w:ascii="Arial" w:hAnsi="Arial" w:cs="Arial"/>
          <w:bCs/>
          <w:color w:val="000000" w:themeColor="text1"/>
          <w:sz w:val="21"/>
          <w:szCs w:val="21"/>
          <w:lang w:val="es-ES_tradnl" w:eastAsia="es-CO"/>
        </w:rPr>
        <w:t xml:space="preserve"> o iuris y la interpretación </w:t>
      </w:r>
      <w:r w:rsidRPr="004A1D82">
        <w:rPr>
          <w:rFonts w:ascii="Arial" w:hAnsi="Arial" w:cs="Arial"/>
          <w:bCs/>
          <w:color w:val="000000" w:themeColor="text1"/>
          <w:sz w:val="21"/>
          <w:szCs w:val="21"/>
          <w:lang w:val="es-ES_tradnl" w:eastAsia="es-CO"/>
        </w:rPr>
        <w:lastRenderedPageBreak/>
        <w:t>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A1E1A7F" w14:textId="77777777" w:rsidR="00450CAF" w:rsidRPr="004A1D82" w:rsidRDefault="00450CAF" w:rsidP="00450CAF">
      <w:pPr>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La jurisprudencia de la Corte Constitucional</w:t>
      </w:r>
      <w:r w:rsidRPr="004A1D82">
        <w:rPr>
          <w:rFonts w:ascii="Arial" w:hAnsi="Arial" w:cs="Arial"/>
          <w:color w:val="000000" w:themeColor="text1"/>
          <w:vertAlign w:val="superscript"/>
          <w:lang w:eastAsia="es-ES_tradnl"/>
        </w:rPr>
        <w:footnoteReference w:id="7"/>
      </w:r>
      <w:r w:rsidRPr="004A1D82">
        <w:rPr>
          <w:rFonts w:ascii="Arial" w:hAnsi="Arial" w:cs="Arial"/>
          <w:bCs/>
          <w:color w:val="000000" w:themeColor="text1"/>
          <w:sz w:val="21"/>
          <w:szCs w:val="21"/>
          <w:lang w:val="es-ES_tradnl" w:eastAsia="es-CO"/>
        </w:rPr>
        <w:t> y del Consejo de Estado</w:t>
      </w:r>
      <w:r w:rsidRPr="004A1D82">
        <w:rPr>
          <w:rFonts w:ascii="Arial" w:hAnsi="Arial" w:cs="Arial"/>
          <w:color w:val="000000" w:themeColor="text1"/>
          <w:vertAlign w:val="superscript"/>
          <w:lang w:eastAsia="es-ES_tradnl"/>
        </w:rPr>
        <w:footnoteReference w:id="8"/>
      </w:r>
      <w:r w:rsidRPr="004A1D82">
        <w:rPr>
          <w:rFonts w:ascii="Arial" w:hAnsi="Arial" w:cs="Arial"/>
          <w:bCs/>
          <w:color w:val="000000" w:themeColor="text1"/>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A1D82">
        <w:rPr>
          <w:rFonts w:ascii="Arial" w:hAnsi="Arial" w:cs="Arial"/>
          <w:color w:val="000000" w:themeColor="text1"/>
          <w:vertAlign w:val="superscript"/>
          <w:lang w:eastAsia="es-ES_tradnl"/>
        </w:rPr>
        <w:footnoteReference w:id="9"/>
      </w:r>
      <w:r w:rsidRPr="004A1D82">
        <w:rPr>
          <w:rFonts w:ascii="Arial" w:hAnsi="Arial" w:cs="Arial"/>
          <w:bCs/>
          <w:color w:val="000000" w:themeColor="text1"/>
          <w:sz w:val="21"/>
          <w:szCs w:val="21"/>
          <w:lang w:val="es-ES_tradnl" w:eastAsia="es-CO"/>
        </w:rPr>
        <w:t>.</w:t>
      </w:r>
    </w:p>
    <w:p w14:paraId="5FEB31A8" w14:textId="77777777" w:rsidR="00450CAF" w:rsidRPr="004A1D82" w:rsidRDefault="00450CAF" w:rsidP="00450CAF">
      <w:pPr>
        <w:spacing w:line="276" w:lineRule="auto"/>
        <w:ind w:right="709"/>
        <w:jc w:val="both"/>
        <w:rPr>
          <w:rFonts w:ascii="Arial" w:hAnsi="Arial" w:cs="Arial"/>
          <w:bCs/>
          <w:color w:val="000000" w:themeColor="text1"/>
          <w:sz w:val="22"/>
          <w:szCs w:val="22"/>
          <w:lang w:val="es-ES_tradnl" w:eastAsia="es-CO"/>
        </w:rPr>
      </w:pPr>
    </w:p>
    <w:p w14:paraId="5CDCEAB9" w14:textId="77777777" w:rsidR="00450CAF" w:rsidRPr="004A1D82" w:rsidRDefault="00450CAF" w:rsidP="00450CAF">
      <w:pPr>
        <w:spacing w:after="120" w:line="276" w:lineRule="auto"/>
        <w:jc w:val="both"/>
        <w:rPr>
          <w:rFonts w:ascii="Arial" w:eastAsia="Arial" w:hAnsi="Arial" w:cs="Arial"/>
          <w:color w:val="000000" w:themeColor="text1"/>
          <w:sz w:val="22"/>
          <w:szCs w:val="22"/>
          <w:lang w:val="es-ES_tradnl" w:eastAsia="es-ES" w:bidi="es-ES"/>
        </w:rPr>
      </w:pPr>
      <w:r w:rsidRPr="004A1D82">
        <w:rPr>
          <w:rFonts w:ascii="Arial" w:hAnsi="Arial" w:cs="Arial"/>
          <w:bCs/>
          <w:color w:val="000000" w:themeColor="text1"/>
          <w:sz w:val="22"/>
          <w:szCs w:val="22"/>
          <w:lang w:val="es-ES_tradnl" w:eastAsia="es-CO"/>
        </w:rPr>
        <w:tab/>
        <w:t>De</w:t>
      </w:r>
      <w:r w:rsidRPr="004A1D82">
        <w:rPr>
          <w:rFonts w:ascii="Arial" w:eastAsia="Arial" w:hAnsi="Arial" w:cs="Arial"/>
          <w:color w:val="000000" w:themeColor="text1"/>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2259C3E" w14:textId="77777777" w:rsidR="00450CAF" w:rsidRPr="004A1D82" w:rsidRDefault="00450CAF" w:rsidP="00450CAF">
      <w:pPr>
        <w:spacing w:after="120" w:line="276" w:lineRule="auto"/>
        <w:ind w:firstLine="708"/>
        <w:jc w:val="both"/>
        <w:rPr>
          <w:rFonts w:ascii="Arial" w:eastAsia="Calibri" w:hAnsi="Arial" w:cs="Arial"/>
          <w:color w:val="000000" w:themeColor="text1"/>
          <w:sz w:val="22"/>
          <w:szCs w:val="22"/>
          <w:lang w:val="es-ES_tradnl" w:eastAsia="en-US"/>
        </w:rPr>
      </w:pPr>
      <w:r w:rsidRPr="004A1D82">
        <w:rPr>
          <w:rFonts w:ascii="Arial" w:eastAsia="Calibri" w:hAnsi="Arial" w:cs="Arial"/>
          <w:color w:val="000000" w:themeColor="text1"/>
          <w:sz w:val="22"/>
          <w:szCs w:val="22"/>
          <w:lang w:val="es-ES_tradnl" w:eastAsia="en-US"/>
        </w:rPr>
        <w:t xml:space="preserve">Por un lado, el artículo 33 de la Ley 996 de 2005 prohíbe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la contratación directa por parte de todos los entes del Estado</w:t>
      </w:r>
      <w:r w:rsidRPr="004A1D82">
        <w:rPr>
          <w:rFonts w:ascii="Arial" w:eastAsia="Calibri" w:hAnsi="Arial" w:cs="Arial"/>
          <w:bCs/>
          <w:color w:val="000000" w:themeColor="text1"/>
          <w:sz w:val="22"/>
          <w:szCs w:val="22"/>
          <w:lang w:val="es-ES_tradnl" w:eastAsia="en-US"/>
        </w:rPr>
        <w:t>»</w:t>
      </w:r>
      <w:r w:rsidRPr="004A1D82">
        <w:rPr>
          <w:rFonts w:ascii="Arial" w:eastAsia="Calibri" w:hAnsi="Arial" w:cs="Arial"/>
          <w:color w:val="000000" w:themeColor="text1"/>
          <w:sz w:val="22"/>
          <w:szCs w:val="22"/>
          <w:lang w:val="es-ES_tradnl" w:eastAsia="en-US"/>
        </w:rPr>
        <w:t xml:space="preserve"> durante los cuatro (4) meses anteriores a las elecciones presidenciales, salvo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4A1D82">
        <w:rPr>
          <w:rFonts w:ascii="Arial" w:eastAsia="Calibri" w:hAnsi="Arial" w:cs="Arial"/>
          <w:color w:val="000000" w:themeColor="text1"/>
          <w:sz w:val="22"/>
          <w:szCs w:val="22"/>
          <w:lang w:val="es-ES_tradnl" w:eastAsia="en-US"/>
        </w:rPr>
        <w:lastRenderedPageBreak/>
        <w:t>sido objeto de atentados, acciones terroristas, desastres naturales o casos de fuerza mayor, y los que deban realizar las entidades sanitarias y hospitalarias</w:t>
      </w:r>
      <w:r w:rsidRPr="004A1D82">
        <w:rPr>
          <w:rFonts w:ascii="Arial" w:eastAsia="Calibri" w:hAnsi="Arial" w:cs="Arial"/>
          <w:bCs/>
          <w:color w:val="000000" w:themeColor="text1"/>
          <w:sz w:val="22"/>
          <w:szCs w:val="22"/>
          <w:lang w:val="es-ES_tradnl" w:eastAsia="en-US"/>
        </w:rPr>
        <w:t>»</w:t>
      </w:r>
      <w:r w:rsidRPr="004A1D82">
        <w:rPr>
          <w:rFonts w:ascii="Arial" w:eastAsia="Calibri" w:hAnsi="Arial" w:cs="Arial"/>
          <w:color w:val="000000" w:themeColor="text1"/>
          <w:vertAlign w:val="superscript"/>
          <w:lang w:eastAsia="es-ES_tradnl"/>
        </w:rPr>
        <w:footnoteReference w:id="10"/>
      </w:r>
      <w:r w:rsidRPr="004A1D82">
        <w:rPr>
          <w:rFonts w:ascii="Arial" w:eastAsia="Calibri" w:hAnsi="Arial" w:cs="Arial"/>
          <w:color w:val="000000" w:themeColor="text1"/>
          <w:sz w:val="22"/>
          <w:szCs w:val="22"/>
          <w:lang w:val="es-ES_tradnl" w:eastAsia="en-US"/>
        </w:rPr>
        <w:t>.</w:t>
      </w:r>
    </w:p>
    <w:p w14:paraId="17E7B29E" w14:textId="77777777" w:rsidR="00450CAF" w:rsidRPr="004A1D82" w:rsidRDefault="00450CAF" w:rsidP="00450CAF">
      <w:pPr>
        <w:widowControl w:val="0"/>
        <w:autoSpaceDE w:val="0"/>
        <w:autoSpaceDN w:val="0"/>
        <w:spacing w:line="276" w:lineRule="auto"/>
        <w:ind w:right="113" w:firstLine="708"/>
        <w:jc w:val="both"/>
        <w:rPr>
          <w:rFonts w:ascii="Arial" w:eastAsia="Arial" w:hAnsi="Arial" w:cs="Arial"/>
          <w:color w:val="000000" w:themeColor="text1"/>
          <w:sz w:val="22"/>
          <w:szCs w:val="22"/>
          <w:lang w:val="es-ES_tradnl" w:eastAsia="es-ES" w:bidi="es-ES"/>
        </w:rPr>
      </w:pPr>
      <w:r w:rsidRPr="004A1D82">
        <w:rPr>
          <w:rFonts w:ascii="Arial" w:eastAsia="Calibri" w:hAnsi="Arial" w:cs="Arial"/>
          <w:color w:val="000000" w:themeColor="text1"/>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A1D82">
        <w:rPr>
          <w:rFonts w:ascii="Arial" w:eastAsia="Calibri" w:hAnsi="Arial" w:cs="Arial"/>
          <w:bCs/>
          <w:color w:val="000000" w:themeColor="text1"/>
          <w:sz w:val="19"/>
          <w:szCs w:val="19"/>
          <w:lang w:val="es-ES_tradnl" w:eastAsia="en-US"/>
        </w:rPr>
        <w:t>»</w:t>
      </w:r>
      <w:r w:rsidRPr="004A1D82">
        <w:rPr>
          <w:rFonts w:ascii="Arial" w:eastAsia="Calibri" w:hAnsi="Arial" w:cs="Arial"/>
          <w:color w:val="000000" w:themeColor="text1"/>
          <w:vertAlign w:val="superscript"/>
          <w:lang w:eastAsia="es-ES_tradnl"/>
        </w:rPr>
        <w:footnoteReference w:id="11"/>
      </w:r>
      <w:r w:rsidRPr="004A1D82">
        <w:rPr>
          <w:rFonts w:ascii="Arial" w:eastAsia="Calibri" w:hAnsi="Arial" w:cs="Arial"/>
          <w:color w:val="000000" w:themeColor="text1"/>
          <w:sz w:val="22"/>
          <w:szCs w:val="22"/>
          <w:lang w:val="es-ES_tradnl" w:eastAsia="en-US"/>
        </w:rPr>
        <w:t>.</w:t>
      </w:r>
      <w:r w:rsidRPr="004A1D82">
        <w:rPr>
          <w:rFonts w:ascii="Arial" w:eastAsia="Arial" w:hAnsi="Arial" w:cs="Arial"/>
          <w:color w:val="000000" w:themeColor="text1"/>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EBC24CD" w14:textId="77777777" w:rsidR="00450CAF" w:rsidRPr="004A1D82" w:rsidRDefault="00450CAF" w:rsidP="00450CAF">
      <w:pPr>
        <w:widowControl w:val="0"/>
        <w:autoSpaceDE w:val="0"/>
        <w:autoSpaceDN w:val="0"/>
        <w:ind w:left="805" w:right="812"/>
        <w:jc w:val="both"/>
        <w:rPr>
          <w:rFonts w:ascii="Arial" w:eastAsia="Arial" w:hAnsi="Arial" w:cs="Arial"/>
          <w:color w:val="000000" w:themeColor="text1"/>
          <w:sz w:val="22"/>
          <w:szCs w:val="22"/>
          <w:lang w:val="es-ES_tradnl" w:eastAsia="es-ES" w:bidi="es-ES"/>
        </w:rPr>
      </w:pPr>
    </w:p>
    <w:p w14:paraId="02DC984E" w14:textId="77777777" w:rsidR="00450CAF" w:rsidRPr="004A1D82" w:rsidRDefault="00450CAF" w:rsidP="00450CAF">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4A1D82">
        <w:rPr>
          <w:rFonts w:ascii="Arial" w:eastAsia="Arial" w:hAnsi="Arial" w:cs="Arial"/>
          <w:color w:val="000000" w:themeColor="text1"/>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A1D82">
        <w:rPr>
          <w:rFonts w:ascii="Arial" w:eastAsia="Arial" w:hAnsi="Arial" w:cs="Arial"/>
          <w:bCs/>
          <w:color w:val="000000" w:themeColor="text1"/>
          <w:sz w:val="21"/>
          <w:szCs w:val="21"/>
          <w:lang w:val="es-ES_tradnl" w:eastAsia="es-ES" w:bidi="es-ES"/>
        </w:rPr>
        <w:t xml:space="preserve">En cambio, para elecciones en general, excluyendo las correspondientes a </w:t>
      </w:r>
      <w:proofErr w:type="gramStart"/>
      <w:r w:rsidRPr="004A1D82">
        <w:rPr>
          <w:rFonts w:ascii="Arial" w:eastAsia="Arial" w:hAnsi="Arial" w:cs="Arial"/>
          <w:bCs/>
          <w:color w:val="000000" w:themeColor="text1"/>
          <w:sz w:val="21"/>
          <w:szCs w:val="21"/>
          <w:lang w:val="es-ES_tradnl" w:eastAsia="es-ES" w:bidi="es-ES"/>
        </w:rPr>
        <w:t>Presidente</w:t>
      </w:r>
      <w:proofErr w:type="gramEnd"/>
      <w:r w:rsidRPr="004A1D82">
        <w:rPr>
          <w:rFonts w:ascii="Arial" w:eastAsia="Arial" w:hAnsi="Arial" w:cs="Arial"/>
          <w:bCs/>
          <w:color w:val="000000" w:themeColor="text1"/>
          <w:sz w:val="21"/>
          <w:szCs w:val="21"/>
          <w:lang w:val="es-ES_tradnl" w:eastAsia="es-ES" w:bidi="es-ES"/>
        </w:rPr>
        <w:t xml:space="preserve"> de la República, a las autoridades territoriales allí mencionadas sólo se aplican las </w:t>
      </w:r>
      <w:r w:rsidRPr="004A1D82">
        <w:rPr>
          <w:rFonts w:ascii="Arial" w:eastAsia="Arial" w:hAnsi="Arial" w:cs="Arial"/>
          <w:bCs/>
          <w:color w:val="000000" w:themeColor="text1"/>
          <w:sz w:val="21"/>
          <w:szCs w:val="21"/>
          <w:lang w:val="es-ES_tradnl" w:eastAsia="es-ES" w:bidi="es-ES"/>
        </w:rPr>
        <w:lastRenderedPageBreak/>
        <w:t>restricciones contenidas en el parágrafo del artículo 38</w:t>
      </w:r>
      <w:r w:rsidRPr="004A1D82">
        <w:rPr>
          <w:rFonts w:ascii="Arial" w:eastAsia="Arial" w:hAnsi="Arial" w:cs="Arial"/>
          <w:color w:val="000000" w:themeColor="text1"/>
          <w:vertAlign w:val="superscript"/>
          <w:lang w:eastAsia="es-ES_tradnl"/>
        </w:rPr>
        <w:footnoteReference w:id="12"/>
      </w:r>
      <w:r w:rsidRPr="004A1D82">
        <w:rPr>
          <w:rFonts w:ascii="Arial" w:eastAsia="Arial" w:hAnsi="Arial" w:cs="Arial"/>
          <w:bCs/>
          <w:color w:val="000000" w:themeColor="text1"/>
          <w:sz w:val="21"/>
          <w:szCs w:val="21"/>
          <w:lang w:val="es-ES_tradnl" w:eastAsia="es-ES" w:bidi="es-ES"/>
        </w:rPr>
        <w:t>.</w:t>
      </w:r>
    </w:p>
    <w:p w14:paraId="63CB94EB" w14:textId="77777777" w:rsidR="00450CAF" w:rsidRPr="004A1D82" w:rsidRDefault="00450CAF" w:rsidP="00450CAF">
      <w:pPr>
        <w:widowControl w:val="0"/>
        <w:autoSpaceDE w:val="0"/>
        <w:autoSpaceDN w:val="0"/>
        <w:spacing w:before="8"/>
        <w:rPr>
          <w:rFonts w:ascii="Arial" w:eastAsia="Arial" w:hAnsi="Arial" w:cs="Arial"/>
          <w:color w:val="000000" w:themeColor="text1"/>
          <w:sz w:val="22"/>
          <w:szCs w:val="22"/>
          <w:lang w:val="es-ES_tradnl" w:eastAsia="es-ES" w:bidi="es-ES"/>
        </w:rPr>
      </w:pPr>
    </w:p>
    <w:p w14:paraId="141CD823" w14:textId="77777777" w:rsidR="00450CAF" w:rsidRPr="004A1D82" w:rsidRDefault="00450CAF" w:rsidP="00450CAF">
      <w:pPr>
        <w:spacing w:after="12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De lo anterior se desprende que la Ley 996 de 2005 establece dos (2) tipos de restricciones en materia de contratación, las cuales coinciden parcialmente. </w:t>
      </w:r>
      <w:r w:rsidRPr="004A1D82">
        <w:rPr>
          <w:rFonts w:ascii="Arial" w:eastAsia="Arial" w:hAnsi="Arial" w:cs="Arial"/>
          <w:i/>
          <w:iCs/>
          <w:color w:val="000000" w:themeColor="text1"/>
          <w:sz w:val="22"/>
          <w:szCs w:val="22"/>
          <w:lang w:val="es-ES_tradnl" w:eastAsia="es-ES" w:bidi="es-ES"/>
        </w:rPr>
        <w:t>En primer lugar</w:t>
      </w:r>
      <w:r w:rsidRPr="004A1D82">
        <w:rPr>
          <w:rFonts w:ascii="Arial" w:eastAsia="Arial" w:hAnsi="Arial" w:cs="Arial"/>
          <w:color w:val="000000" w:themeColor="text1"/>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4A1D82">
        <w:rPr>
          <w:rFonts w:ascii="Arial" w:eastAsia="Arial" w:hAnsi="Arial" w:cs="Arial"/>
          <w:i/>
          <w:iCs/>
          <w:color w:val="000000" w:themeColor="text1"/>
          <w:sz w:val="22"/>
          <w:szCs w:val="22"/>
          <w:lang w:val="es-ES_tradnl" w:eastAsia="es-ES" w:bidi="es-ES"/>
        </w:rPr>
        <w:t>En segundo lugar</w:t>
      </w:r>
      <w:r w:rsidRPr="004A1D82">
        <w:rPr>
          <w:rFonts w:ascii="Arial" w:eastAsia="Arial" w:hAnsi="Arial" w:cs="Arial"/>
          <w:color w:val="000000" w:themeColor="text1"/>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19C7C40" w14:textId="77777777" w:rsidR="00450CAF" w:rsidRPr="004A1D82" w:rsidRDefault="00450CAF" w:rsidP="00450CAF">
      <w:pPr>
        <w:spacing w:after="12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Ambas restricciones no son excluyentes, lo que permite concluir que en el período preelectoral para elección de </w:t>
      </w:r>
      <w:proofErr w:type="gramStart"/>
      <w:r w:rsidRPr="004A1D82">
        <w:rPr>
          <w:rFonts w:ascii="Arial" w:eastAsia="Arial" w:hAnsi="Arial" w:cs="Arial"/>
          <w:color w:val="000000" w:themeColor="text1"/>
          <w:sz w:val="22"/>
          <w:szCs w:val="22"/>
          <w:lang w:val="es-ES_tradnl" w:eastAsia="es-ES" w:bidi="es-ES"/>
        </w:rPr>
        <w:t>Presidente</w:t>
      </w:r>
      <w:proofErr w:type="gramEnd"/>
      <w:r w:rsidRPr="004A1D82">
        <w:rPr>
          <w:rFonts w:ascii="Arial" w:eastAsia="Arial" w:hAnsi="Arial" w:cs="Arial"/>
          <w:color w:val="000000" w:themeColor="text1"/>
          <w:sz w:val="22"/>
          <w:szCs w:val="22"/>
          <w:lang w:val="es-ES_tradnl"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A1D82">
        <w:rPr>
          <w:rFonts w:ascii="Arial" w:eastAsia="Arial" w:hAnsi="Arial" w:cs="Arial"/>
          <w:color w:val="000000" w:themeColor="text1"/>
          <w:sz w:val="22"/>
          <w:szCs w:val="22"/>
          <w:lang w:val="es-ES_tradnl" w:eastAsia="es-ES" w:bidi="es-ES"/>
        </w:rPr>
        <w:t>Presidente</w:t>
      </w:r>
      <w:proofErr w:type="gramEnd"/>
      <w:r w:rsidRPr="004A1D82">
        <w:rPr>
          <w:rFonts w:ascii="Arial" w:eastAsia="Arial" w:hAnsi="Arial" w:cs="Arial"/>
          <w:color w:val="000000" w:themeColor="text1"/>
          <w:sz w:val="22"/>
          <w:szCs w:val="22"/>
          <w:lang w:val="es-ES_tradnl" w:eastAsia="es-ES" w:bidi="es-ES"/>
        </w:rPr>
        <w:t xml:space="preserve"> de la República, las autoridades allí mencionadas solo deben aplicar las restricciones contenidas en el parágrafo del artículo 38.</w:t>
      </w:r>
    </w:p>
    <w:p w14:paraId="5B576C4E" w14:textId="77777777" w:rsidR="00450CAF" w:rsidRPr="004A1D82" w:rsidRDefault="00450CAF" w:rsidP="00450CAF">
      <w:pPr>
        <w:spacing w:line="276" w:lineRule="auto"/>
        <w:ind w:firstLine="708"/>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La Corte Constitucional, en la Sentencia C-1153 del 11 de noviembre de 2005, señaló que, para que la garantía sea plena, era necesario que la prohibición se aplicara para el </w:t>
      </w:r>
      <w:proofErr w:type="gramStart"/>
      <w:r w:rsidRPr="004A1D82">
        <w:rPr>
          <w:rFonts w:ascii="Arial" w:eastAsia="Arial" w:hAnsi="Arial" w:cs="Arial"/>
          <w:color w:val="000000" w:themeColor="text1"/>
          <w:sz w:val="22"/>
          <w:szCs w:val="22"/>
          <w:lang w:val="es-ES_tradnl" w:eastAsia="es-ES" w:bidi="es-ES"/>
        </w:rPr>
        <w:t>Presidente</w:t>
      </w:r>
      <w:proofErr w:type="gramEnd"/>
      <w:r w:rsidRPr="004A1D82">
        <w:rPr>
          <w:rFonts w:ascii="Arial" w:eastAsia="Arial" w:hAnsi="Arial" w:cs="Arial"/>
          <w:color w:val="000000" w:themeColor="text1"/>
          <w:sz w:val="22"/>
          <w:szCs w:val="22"/>
          <w:lang w:val="es-ES_tradnl"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43E2C9FF" w14:textId="77777777" w:rsidR="00450CAF" w:rsidRPr="004A1D82" w:rsidRDefault="00450CAF" w:rsidP="00450CAF">
      <w:pPr>
        <w:spacing w:line="276" w:lineRule="auto"/>
        <w:jc w:val="both"/>
        <w:rPr>
          <w:rFonts w:ascii="Arial" w:eastAsia="Arial" w:hAnsi="Arial" w:cs="Arial"/>
          <w:color w:val="000000" w:themeColor="text1"/>
          <w:sz w:val="22"/>
          <w:szCs w:val="22"/>
          <w:lang w:val="es-ES_tradnl" w:eastAsia="es-ES" w:bidi="es-ES"/>
        </w:rPr>
      </w:pPr>
    </w:p>
    <w:p w14:paraId="6E6C176C" w14:textId="77777777" w:rsidR="00450CAF" w:rsidRPr="004A1D82" w:rsidRDefault="00450CAF" w:rsidP="00450CAF">
      <w:pPr>
        <w:spacing w:line="276" w:lineRule="auto"/>
        <w:jc w:val="both"/>
        <w:rPr>
          <w:rFonts w:ascii="Arial" w:hAnsi="Arial" w:cs="Arial"/>
          <w:b/>
          <w:color w:val="000000" w:themeColor="text1"/>
          <w:sz w:val="22"/>
          <w:szCs w:val="22"/>
          <w:lang w:val="es-ES_tradnl" w:eastAsia="es-CO"/>
        </w:rPr>
      </w:pPr>
      <w:r w:rsidRPr="004A1D82">
        <w:rPr>
          <w:rFonts w:ascii="Arial" w:hAnsi="Arial" w:cs="Arial"/>
          <w:b/>
          <w:color w:val="000000" w:themeColor="text1"/>
          <w:sz w:val="22"/>
          <w:szCs w:val="22"/>
          <w:lang w:val="es-ES_tradnl" w:eastAsia="es-CO"/>
        </w:rPr>
        <w:t xml:space="preserve">2.2. </w:t>
      </w:r>
      <w:r w:rsidRPr="004A1D82">
        <w:rPr>
          <w:rFonts w:ascii="Arial" w:hAnsi="Arial" w:cs="Arial"/>
          <w:b/>
          <w:bCs/>
          <w:color w:val="000000" w:themeColor="text1"/>
          <w:sz w:val="22"/>
          <w:szCs w:val="22"/>
          <w:lang w:val="es-ES_tradnl" w:eastAsia="es-CO"/>
        </w:rPr>
        <w:t>Restricciones en elecciones presidenciales: prohibición del artículo 33 de la Ley 996 de 2005</w:t>
      </w:r>
    </w:p>
    <w:p w14:paraId="43CB77A1" w14:textId="77777777" w:rsidR="00450CAF" w:rsidRPr="004A1D82" w:rsidRDefault="00450CAF" w:rsidP="00450CAF">
      <w:pPr>
        <w:spacing w:line="276" w:lineRule="auto"/>
        <w:jc w:val="both"/>
        <w:rPr>
          <w:rFonts w:ascii="Arial" w:hAnsi="Arial" w:cs="Arial"/>
          <w:bCs/>
          <w:color w:val="000000" w:themeColor="text1"/>
          <w:sz w:val="22"/>
          <w:szCs w:val="22"/>
          <w:lang w:val="es-ES_tradnl" w:eastAsia="x-none"/>
        </w:rPr>
      </w:pPr>
    </w:p>
    <w:p w14:paraId="6FB93CD1" w14:textId="77777777" w:rsidR="00450CAF" w:rsidRPr="004A1D82" w:rsidRDefault="00450CAF" w:rsidP="00450CAF">
      <w:pPr>
        <w:spacing w:line="276" w:lineRule="auto"/>
        <w:jc w:val="both"/>
        <w:rPr>
          <w:rFonts w:ascii="Arial" w:hAnsi="Arial" w:cs="Arial"/>
          <w:bCs/>
          <w:color w:val="000000" w:themeColor="text1"/>
          <w:sz w:val="22"/>
          <w:szCs w:val="22"/>
          <w:lang w:val="es-ES_tradnl" w:eastAsia="es-CO"/>
        </w:rPr>
      </w:pPr>
      <w:bookmarkStart w:id="12" w:name="_Hlk98519720"/>
      <w:r w:rsidRPr="004A1D82">
        <w:rPr>
          <w:rFonts w:ascii="Arial" w:hAnsi="Arial" w:cs="Arial"/>
          <w:bCs/>
          <w:color w:val="000000" w:themeColor="text1"/>
          <w:sz w:val="22"/>
          <w:szCs w:val="22"/>
          <w:lang w:val="es-ES_tradnl" w:eastAsia="x-none"/>
        </w:rPr>
        <w:t xml:space="preserve">El ámbito material de la prohibición contenida en el artículo 33 de la ley 996 de 2005 está delimitado por la expresión </w:t>
      </w:r>
      <w:r w:rsidRPr="004A1D82">
        <w:rPr>
          <w:rFonts w:ascii="Arial" w:eastAsia="Calibri" w:hAnsi="Arial" w:cs="Arial"/>
          <w:bCs/>
          <w:color w:val="000000" w:themeColor="text1"/>
          <w:sz w:val="20"/>
          <w:szCs w:val="20"/>
          <w:lang w:val="es-ES_tradnl" w:eastAsia="en-US"/>
        </w:rPr>
        <w:t>«</w:t>
      </w:r>
      <w:r w:rsidRPr="004A1D82">
        <w:rPr>
          <w:rFonts w:ascii="Arial" w:hAnsi="Arial" w:cs="Arial"/>
          <w:bCs/>
          <w:color w:val="000000" w:themeColor="text1"/>
          <w:sz w:val="22"/>
          <w:szCs w:val="22"/>
          <w:lang w:val="es-ES_tradnl" w:eastAsia="x-none"/>
        </w:rPr>
        <w:t>queda prohibida la contratación directa</w:t>
      </w:r>
      <w:r w:rsidRPr="004A1D82">
        <w:rPr>
          <w:rFonts w:ascii="Arial" w:eastAsiaTheme="minorHAnsi" w:hAnsi="Arial" w:cs="Arial"/>
          <w:color w:val="000000" w:themeColor="text1"/>
          <w:sz w:val="20"/>
          <w:szCs w:val="20"/>
          <w:lang w:val="es-ES_tradnl" w:eastAsia="en-US"/>
        </w:rPr>
        <w:t>»</w:t>
      </w:r>
      <w:bookmarkEnd w:id="12"/>
      <w:r w:rsidRPr="004A1D82">
        <w:rPr>
          <w:rFonts w:ascii="Arial" w:hAnsi="Arial" w:cs="Arial"/>
          <w:bCs/>
          <w:color w:val="000000" w:themeColor="text1"/>
          <w:sz w:val="22"/>
          <w:szCs w:val="22"/>
          <w:lang w:val="es-ES_tradnl" w:eastAsia="x-none"/>
        </w:rPr>
        <w:t xml:space="preserve">. </w:t>
      </w:r>
      <w:r w:rsidRPr="004A1D82">
        <w:rPr>
          <w:rFonts w:ascii="Arial" w:hAnsi="Arial" w:cs="Arial"/>
          <w:color w:val="000000" w:themeColor="text1"/>
          <w:sz w:val="22"/>
          <w:szCs w:val="22"/>
          <w:lang w:val="es-ES_tradnl" w:eastAsia="es-CO"/>
        </w:rPr>
        <w:t xml:space="preserve"> A propósito de esta restricción de la Ley de Garantías Electorales, la Sala de Consulta y Servicio Civil del Consejo de Estado ha considerado que:</w:t>
      </w:r>
    </w:p>
    <w:p w14:paraId="305F1C42" w14:textId="77777777" w:rsidR="00450CAF" w:rsidRPr="004A1D82" w:rsidRDefault="00450CAF" w:rsidP="00450CAF">
      <w:pPr>
        <w:ind w:left="708" w:right="709"/>
        <w:jc w:val="both"/>
        <w:rPr>
          <w:rFonts w:ascii="Arial" w:eastAsiaTheme="minorHAnsi" w:hAnsi="Arial" w:cs="Arial"/>
          <w:color w:val="000000" w:themeColor="text1"/>
          <w:sz w:val="21"/>
          <w:szCs w:val="21"/>
          <w:lang w:val="es-ES_tradnl" w:eastAsia="en-US"/>
        </w:rPr>
      </w:pPr>
    </w:p>
    <w:p w14:paraId="4BCBCD0B" w14:textId="77777777" w:rsidR="00450CAF" w:rsidRPr="004A1D82" w:rsidRDefault="00450CAF" w:rsidP="00450CAF">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A1D82">
        <w:rPr>
          <w:rFonts w:ascii="Arial" w:hAnsi="Arial" w:cs="Arial"/>
          <w:color w:val="000000" w:themeColor="text1"/>
          <w:vertAlign w:val="superscript"/>
          <w:lang w:eastAsia="es-ES_tradnl"/>
        </w:rPr>
        <w:footnoteReference w:id="13"/>
      </w:r>
      <w:r w:rsidRPr="004A1D82">
        <w:rPr>
          <w:rFonts w:ascii="Arial" w:eastAsiaTheme="minorHAnsi" w:hAnsi="Arial" w:cs="Arial"/>
          <w:color w:val="000000" w:themeColor="text1"/>
          <w:sz w:val="21"/>
          <w:szCs w:val="21"/>
          <w:lang w:val="es-ES_tradnl" w:eastAsia="en-US"/>
        </w:rPr>
        <w:t>.</w:t>
      </w:r>
    </w:p>
    <w:p w14:paraId="6485FA42" w14:textId="77777777" w:rsidR="00450CAF" w:rsidRPr="004A1D82" w:rsidRDefault="00450CAF" w:rsidP="00450CAF">
      <w:pPr>
        <w:ind w:left="708"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 xml:space="preserve">Esta Sala ha entendido </w:t>
      </w:r>
      <w:proofErr w:type="gramStart"/>
      <w:r w:rsidRPr="004A1D82">
        <w:rPr>
          <w:rFonts w:ascii="Arial" w:eastAsiaTheme="minorHAnsi" w:hAnsi="Arial" w:cs="Arial"/>
          <w:color w:val="000000" w:themeColor="text1"/>
          <w:sz w:val="21"/>
          <w:szCs w:val="21"/>
          <w:lang w:val="es-ES_tradnl" w:eastAsia="en-US"/>
        </w:rPr>
        <w:t>que</w:t>
      </w:r>
      <w:proofErr w:type="gramEnd"/>
      <w:r w:rsidRPr="004A1D82">
        <w:rPr>
          <w:rFonts w:ascii="Arial" w:eastAsiaTheme="minorHAnsi" w:hAnsi="Arial" w:cs="Arial"/>
          <w:color w:val="000000" w:themeColor="text1"/>
          <w:sz w:val="21"/>
          <w:szCs w:val="21"/>
          <w:lang w:val="es-ES_tradnl"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A1D82">
        <w:rPr>
          <w:rFonts w:ascii="Arial" w:hAnsi="Arial" w:cs="Arial"/>
          <w:color w:val="000000" w:themeColor="text1"/>
          <w:vertAlign w:val="superscript"/>
          <w:lang w:eastAsia="es-ES_tradnl"/>
        </w:rPr>
        <w:footnoteReference w:id="14"/>
      </w:r>
      <w:r w:rsidRPr="004A1D82">
        <w:rPr>
          <w:rFonts w:ascii="Arial" w:hAnsi="Arial" w:cs="Arial"/>
          <w:color w:val="000000" w:themeColor="text1"/>
          <w:sz w:val="21"/>
          <w:szCs w:val="21"/>
          <w:vertAlign w:val="superscript"/>
          <w:lang w:val="es-ES_tradnl" w:eastAsia="en-US"/>
        </w:rPr>
        <w:t>.</w:t>
      </w:r>
      <w:r w:rsidRPr="004A1D82">
        <w:rPr>
          <w:rFonts w:ascii="Arial" w:eastAsiaTheme="minorHAnsi" w:hAnsi="Arial" w:cs="Arial"/>
          <w:color w:val="000000" w:themeColor="text1"/>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A1D82">
        <w:rPr>
          <w:rFonts w:ascii="Arial" w:hAnsi="Arial" w:cs="Arial"/>
          <w:color w:val="000000" w:themeColor="text1"/>
          <w:vertAlign w:val="superscript"/>
          <w:lang w:eastAsia="es-ES_tradnl"/>
        </w:rPr>
        <w:footnoteReference w:id="15"/>
      </w:r>
      <w:r w:rsidRPr="004A1D82">
        <w:rPr>
          <w:rFonts w:ascii="Arial" w:eastAsiaTheme="minorHAnsi" w:hAnsi="Arial" w:cs="Arial"/>
          <w:color w:val="000000" w:themeColor="text1"/>
          <w:sz w:val="21"/>
          <w:szCs w:val="21"/>
          <w:lang w:val="es-ES_tradnl" w:eastAsia="en-US"/>
        </w:rPr>
        <w:t xml:space="preserve"> .</w:t>
      </w:r>
    </w:p>
    <w:p w14:paraId="02DE98F6" w14:textId="77777777" w:rsidR="00450CAF" w:rsidRPr="004A1D82" w:rsidRDefault="00450CAF" w:rsidP="00450CAF">
      <w:pPr>
        <w:shd w:val="clear" w:color="auto" w:fill="FFFFFF"/>
        <w:spacing w:line="276" w:lineRule="auto"/>
        <w:ind w:firstLine="709"/>
        <w:jc w:val="both"/>
        <w:rPr>
          <w:rFonts w:ascii="Arial" w:hAnsi="Arial" w:cs="Arial"/>
          <w:color w:val="000000" w:themeColor="text1"/>
          <w:sz w:val="22"/>
          <w:szCs w:val="22"/>
          <w:lang w:val="es-ES_tradnl" w:eastAsia="x-none"/>
        </w:rPr>
      </w:pPr>
    </w:p>
    <w:p w14:paraId="309EC6D2" w14:textId="793E7620"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color w:val="000000" w:themeColor="text1"/>
          <w:sz w:val="22"/>
          <w:szCs w:val="22"/>
          <w:lang w:val="es-ES_tradnl" w:eastAsia="x-none"/>
        </w:rPr>
        <w:t xml:space="preserve">De acuerdo con el citado concepto, </w:t>
      </w:r>
      <w:bookmarkStart w:id="13" w:name="_Hlk98519748"/>
      <w:r w:rsidRPr="004A1D82">
        <w:rPr>
          <w:rFonts w:ascii="Arial" w:hAnsi="Arial" w:cs="Arial"/>
          <w:color w:val="000000" w:themeColor="text1"/>
          <w:sz w:val="22"/>
          <w:szCs w:val="22"/>
          <w:lang w:val="es-ES_tradnl" w:eastAsia="x-none"/>
        </w:rPr>
        <w:t xml:space="preserve">la prohibición del artículo 33 de la Ley de Garantías Electorales se refiere a </w:t>
      </w:r>
      <w:r w:rsidRPr="004A1D82">
        <w:rPr>
          <w:rFonts w:ascii="Arial" w:hAnsi="Arial" w:cs="Arial"/>
          <w:color w:val="000000" w:themeColor="text1"/>
          <w:sz w:val="19"/>
          <w:szCs w:val="19"/>
          <w:lang w:val="es-ES_tradnl"/>
        </w:rPr>
        <w:t>«</w:t>
      </w:r>
      <w:r w:rsidRPr="004A1D82">
        <w:rPr>
          <w:rFonts w:ascii="Arial" w:hAnsi="Arial" w:cs="Arial"/>
          <w:color w:val="000000" w:themeColor="text1"/>
          <w:sz w:val="22"/>
          <w:szCs w:val="22"/>
          <w:lang w:val="es-ES_tradnl" w:eastAsia="x-none"/>
        </w:rPr>
        <w:t>cualquier sistema que no implique convocatoria pública y posibilidad de pluralidad de oferentes</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bookmarkEnd w:id="13"/>
      <w:r w:rsidRPr="004A1D82">
        <w:rPr>
          <w:rFonts w:ascii="Arial" w:hAnsi="Arial" w:cs="Arial"/>
          <w:color w:val="000000" w:themeColor="text1"/>
          <w:sz w:val="22"/>
          <w:szCs w:val="22"/>
          <w:lang w:val="es-ES_tradnl" w:eastAsia="x-none"/>
        </w:rPr>
        <w:t xml:space="preserve"> Esta posición es congruente con la expedición de la Ley 1150 de 2007 que, entre otras reformas, introdujo la selección abreviada, rediseñó el concurso de méritos</w:t>
      </w:r>
      <w:r w:rsidRPr="004A1D82">
        <w:rPr>
          <w:rFonts w:ascii="Arial" w:hAnsi="Arial" w:cs="Arial"/>
          <w:color w:val="000000" w:themeColor="text1"/>
          <w:vertAlign w:val="superscript"/>
          <w:lang w:eastAsia="es-ES_tradnl"/>
        </w:rPr>
        <w:footnoteReference w:id="16"/>
      </w:r>
      <w:r w:rsidRPr="004A1D82">
        <w:rPr>
          <w:rFonts w:ascii="Arial" w:hAnsi="Arial" w:cs="Arial"/>
          <w:color w:val="000000" w:themeColor="text1"/>
          <w:sz w:val="22"/>
          <w:szCs w:val="22"/>
          <w:lang w:val="es-ES_tradnl" w:eastAsia="x-none"/>
        </w:rPr>
        <w:t xml:space="preserve"> y sistematizó las causales de contratación directa</w:t>
      </w:r>
      <w:r w:rsidRPr="004A1D82">
        <w:rPr>
          <w:rFonts w:ascii="Arial" w:hAnsi="Arial" w:cs="Arial"/>
          <w:color w:val="000000" w:themeColor="text1"/>
          <w:vertAlign w:val="superscript"/>
          <w:lang w:eastAsia="es-ES_tradnl"/>
        </w:rPr>
        <w:footnoteReference w:id="17"/>
      </w:r>
      <w:r w:rsidRPr="004A1D82">
        <w:rPr>
          <w:rFonts w:ascii="Arial" w:hAnsi="Arial" w:cs="Arial"/>
          <w:color w:val="000000" w:themeColor="text1"/>
          <w:sz w:val="22"/>
          <w:szCs w:val="22"/>
          <w:lang w:val="es-ES_tradnl" w:eastAsia="x-none"/>
        </w:rPr>
        <w:t xml:space="preserve">, </w:t>
      </w:r>
      <w:r w:rsidRPr="004A1D82">
        <w:rPr>
          <w:rFonts w:ascii="Arial" w:eastAsiaTheme="minorHAnsi" w:hAnsi="Arial" w:cs="Arial"/>
          <w:color w:val="000000" w:themeColor="text1"/>
          <w:sz w:val="22"/>
          <w:lang w:eastAsia="x-none"/>
        </w:rPr>
        <w:t>además</w:t>
      </w:r>
      <w:r w:rsidR="000633B3">
        <w:rPr>
          <w:rFonts w:ascii="Arial" w:eastAsiaTheme="minorHAnsi" w:hAnsi="Arial" w:cs="Arial"/>
          <w:color w:val="000000" w:themeColor="text1"/>
          <w:sz w:val="22"/>
          <w:lang w:eastAsia="x-none"/>
        </w:rPr>
        <w:t>,</w:t>
      </w:r>
      <w:r w:rsidRPr="004A1D82">
        <w:rPr>
          <w:rFonts w:ascii="Arial" w:eastAsiaTheme="minorHAnsi" w:hAnsi="Arial" w:cs="Arial"/>
          <w:color w:val="000000" w:themeColor="text1"/>
          <w:sz w:val="22"/>
          <w:lang w:eastAsia="x-none"/>
        </w:rPr>
        <w:t xml:space="preserve"> lo es con la posterior </w:t>
      </w:r>
      <w:r w:rsidR="000633B3">
        <w:rPr>
          <w:rFonts w:ascii="Arial" w:eastAsiaTheme="minorHAnsi" w:hAnsi="Arial" w:cs="Arial"/>
          <w:color w:val="000000" w:themeColor="text1"/>
          <w:sz w:val="22"/>
          <w:lang w:eastAsia="x-none"/>
        </w:rPr>
        <w:t xml:space="preserve">regulación </w:t>
      </w:r>
      <w:r w:rsidRPr="004A1D82">
        <w:rPr>
          <w:rFonts w:ascii="Arial" w:eastAsiaTheme="minorHAnsi" w:hAnsi="Arial" w:cs="Arial"/>
          <w:color w:val="000000" w:themeColor="text1"/>
          <w:sz w:val="22"/>
          <w:lang w:eastAsia="x-none"/>
        </w:rPr>
        <w:lastRenderedPageBreak/>
        <w:t>de la modalidad de mínima cuantía</w:t>
      </w:r>
      <w:r w:rsidR="000633B3">
        <w:rPr>
          <w:rFonts w:ascii="Arial" w:eastAsiaTheme="minorHAnsi" w:hAnsi="Arial" w:cs="Arial"/>
          <w:color w:val="000000" w:themeColor="text1"/>
          <w:sz w:val="22"/>
          <w:lang w:eastAsia="x-none"/>
        </w:rPr>
        <w:t>,</w:t>
      </w:r>
      <w:r w:rsidRPr="004A1D82">
        <w:rPr>
          <w:rFonts w:ascii="Arial" w:eastAsiaTheme="minorHAnsi" w:hAnsi="Arial" w:cs="Arial"/>
          <w:color w:val="000000" w:themeColor="text1"/>
          <w:sz w:val="22"/>
          <w:lang w:eastAsia="x-none"/>
        </w:rPr>
        <w:t xml:space="preserve"> establecida actualmente en el numeral 5 del artículo 2 de la Ley 1150 de 2007, de acuerdo con las modificaciones realizadas por leyes posteriores.</w:t>
      </w:r>
    </w:p>
    <w:p w14:paraId="563E3BA2" w14:textId="77777777" w:rsidR="00450CAF" w:rsidRPr="004A1D82" w:rsidRDefault="00450CAF" w:rsidP="00450CAF">
      <w:pPr>
        <w:spacing w:after="120" w:line="276" w:lineRule="auto"/>
        <w:ind w:firstLine="708"/>
        <w:jc w:val="both"/>
        <w:rPr>
          <w:rFonts w:ascii="Arial" w:hAnsi="Arial" w:cs="Arial"/>
          <w:color w:val="000000" w:themeColor="text1"/>
          <w:sz w:val="22"/>
          <w:szCs w:val="22"/>
          <w:lang w:val="es-ES_tradnl" w:eastAsia="x-none"/>
        </w:rPr>
      </w:pPr>
      <w:r w:rsidRPr="004A1D82">
        <w:rPr>
          <w:rFonts w:ascii="Arial" w:hAnsi="Arial" w:cs="Arial"/>
          <w:color w:val="000000" w:themeColor="text1"/>
          <w:sz w:val="22"/>
          <w:szCs w:val="22"/>
          <w:lang w:val="es-ES_tradnl" w:eastAsia="x-none"/>
        </w:rPr>
        <w:t xml:space="preserve">De esta forma, con fundamento en la evolución de la normativa sobre la contratación pública, se ha depurado la noción de </w:t>
      </w:r>
      <w:r w:rsidRPr="004A1D82">
        <w:rPr>
          <w:rFonts w:ascii="Arial" w:hAnsi="Arial" w:cs="Arial"/>
          <w:color w:val="000000" w:themeColor="text1"/>
          <w:sz w:val="19"/>
          <w:szCs w:val="19"/>
          <w:lang w:val="es-ES_tradnl"/>
        </w:rPr>
        <w:t>«</w:t>
      </w:r>
      <w:r w:rsidRPr="004A1D82">
        <w:rPr>
          <w:rFonts w:ascii="Arial" w:hAnsi="Arial" w:cs="Arial"/>
          <w:color w:val="000000" w:themeColor="text1"/>
          <w:sz w:val="22"/>
          <w:szCs w:val="22"/>
          <w:lang w:val="es-ES_tradnl" w:eastAsia="x-none"/>
        </w:rPr>
        <w:t>contratación directa</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A1D82">
        <w:rPr>
          <w:rFonts w:ascii="Arial" w:hAnsi="Arial" w:cs="Arial"/>
          <w:color w:val="000000" w:themeColor="text1"/>
          <w:vertAlign w:val="superscript"/>
          <w:lang w:eastAsia="es-ES_tradnl"/>
        </w:rPr>
        <w:footnoteReference w:id="18"/>
      </w:r>
      <w:r w:rsidRPr="004A1D82">
        <w:rPr>
          <w:rFonts w:ascii="Arial" w:hAnsi="Arial" w:cs="Arial"/>
          <w:color w:val="000000" w:themeColor="text1"/>
          <w:sz w:val="22"/>
          <w:szCs w:val="22"/>
          <w:lang w:val="es-ES_tradnl" w:eastAsia="x-none"/>
        </w:rPr>
        <w:t>, han establecido sistemas de contratación que implican convocatoria pública y participación de varios oferentes</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xml:space="preserve">. </w:t>
      </w:r>
    </w:p>
    <w:p w14:paraId="2C82A26D"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x-none"/>
        </w:rPr>
        <w:t>E</w:t>
      </w:r>
      <w:r w:rsidRPr="004A1D82">
        <w:rPr>
          <w:rFonts w:ascii="Arial" w:hAnsi="Arial" w:cs="Arial"/>
          <w:color w:val="000000" w:themeColor="text1"/>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4A1D82">
        <w:rPr>
          <w:rFonts w:ascii="Arial" w:hAnsi="Arial" w:cs="Arial"/>
          <w:color w:val="000000" w:themeColor="text1"/>
          <w:vertAlign w:val="superscript"/>
          <w:lang w:eastAsia="es-ES_tradnl"/>
        </w:rPr>
        <w:footnoteReference w:id="19"/>
      </w:r>
      <w:r w:rsidRPr="004A1D82">
        <w:rPr>
          <w:rFonts w:ascii="Arial" w:hAnsi="Arial" w:cs="Arial"/>
          <w:color w:val="000000" w:themeColor="text1"/>
          <w:sz w:val="22"/>
          <w:szCs w:val="22"/>
          <w:lang w:val="es-ES_tradnl" w:eastAsia="x-none"/>
        </w:rPr>
        <w:t xml:space="preserve">. </w:t>
      </w:r>
    </w:p>
    <w:p w14:paraId="2A9DEAA5"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73F7484"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w:t>
      </w:r>
      <w:r w:rsidRPr="004A1D82">
        <w:rPr>
          <w:rFonts w:ascii="Arial" w:hAnsi="Arial" w:cs="Arial"/>
          <w:bCs/>
          <w:color w:val="000000" w:themeColor="text1"/>
          <w:sz w:val="22"/>
          <w:szCs w:val="22"/>
          <w:lang w:val="es-ES_tradnl" w:eastAsia="x-none"/>
        </w:rPr>
        <w:lastRenderedPageBreak/>
        <w:t>contratación utilizado por las entidades estatales que no incluya la convocatoria pública en alguna de sus etapas, ni permita la participación de una pluralidad de oferentes</w:t>
      </w:r>
      <w:r w:rsidRPr="004A1D82">
        <w:rPr>
          <w:rFonts w:ascii="Arial" w:hAnsi="Arial" w:cs="Arial"/>
          <w:color w:val="000000" w:themeColor="text1"/>
          <w:vertAlign w:val="superscript"/>
          <w:lang w:eastAsia="es-ES_tradnl"/>
        </w:rPr>
        <w:footnoteReference w:id="20"/>
      </w:r>
      <w:r w:rsidRPr="004A1D82">
        <w:rPr>
          <w:rFonts w:ascii="Arial" w:hAnsi="Arial" w:cs="Arial"/>
          <w:bCs/>
          <w:color w:val="000000" w:themeColor="text1"/>
          <w:sz w:val="22"/>
          <w:szCs w:val="22"/>
          <w:lang w:val="es-ES_tradnl" w:eastAsia="x-none"/>
        </w:rPr>
        <w:t>.</w:t>
      </w:r>
      <w:r w:rsidRPr="004A1D82">
        <w:rPr>
          <w:rFonts w:ascii="Arial" w:hAnsi="Arial" w:cs="Arial"/>
          <w:color w:val="000000" w:themeColor="text1"/>
          <w:sz w:val="22"/>
          <w:szCs w:val="22"/>
          <w:vertAlign w:val="superscript"/>
          <w:lang w:val="es-ES_tradnl" w:eastAsia="x-none"/>
        </w:rPr>
        <w:t xml:space="preserve"> </w:t>
      </w:r>
    </w:p>
    <w:p w14:paraId="2865A4C0" w14:textId="321455D0" w:rsidR="00450CAF" w:rsidRPr="004A1D82" w:rsidRDefault="00450CAF" w:rsidP="00450CAF">
      <w:pPr>
        <w:spacing w:after="120" w:line="276" w:lineRule="auto"/>
        <w:ind w:firstLine="708"/>
        <w:jc w:val="both"/>
        <w:rPr>
          <w:rFonts w:ascii="Arial" w:hAnsi="Arial" w:cs="Arial"/>
          <w:color w:val="000000" w:themeColor="text1"/>
          <w:sz w:val="22"/>
          <w:szCs w:val="22"/>
          <w:lang w:val="es-ES_tradnl" w:eastAsia="x-none"/>
        </w:rPr>
      </w:pPr>
      <w:bookmarkStart w:id="14" w:name="_Hlk98519874"/>
      <w:r w:rsidRPr="004A1D82">
        <w:rPr>
          <w:rFonts w:ascii="Arial" w:hAnsi="Arial" w:cs="Arial"/>
          <w:bCs/>
          <w:color w:val="000000" w:themeColor="text1"/>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A1D82">
        <w:rPr>
          <w:rFonts w:ascii="Arial" w:hAnsi="Arial" w:cs="Arial"/>
          <w:color w:val="000000" w:themeColor="text1"/>
          <w:sz w:val="22"/>
          <w:szCs w:val="22"/>
          <w:lang w:val="es-ES_tradnl" w:eastAsia="x-none"/>
        </w:rPr>
        <w:t xml:space="preserve"> </w:t>
      </w:r>
      <w:bookmarkEnd w:id="14"/>
      <w:r w:rsidRPr="004A1D82">
        <w:rPr>
          <w:rFonts w:ascii="Arial" w:hAnsi="Arial" w:cs="Arial"/>
          <w:color w:val="000000" w:themeColor="text1"/>
          <w:sz w:val="22"/>
          <w:szCs w:val="22"/>
          <w:lang w:val="es-ES_tradnl" w:eastAsia="x-none"/>
        </w:rPr>
        <w:t>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r w:rsidR="003C257F">
        <w:rPr>
          <w:rFonts w:ascii="Arial" w:hAnsi="Arial" w:cs="Arial"/>
          <w:color w:val="000000" w:themeColor="text1"/>
          <w:sz w:val="22"/>
          <w:szCs w:val="22"/>
          <w:lang w:val="es-ES_tradnl" w:eastAsia="x-none"/>
        </w:rPr>
        <w:t xml:space="preserve"> de selección</w:t>
      </w:r>
      <w:r w:rsidRPr="004A1D82">
        <w:rPr>
          <w:rFonts w:ascii="Arial" w:hAnsi="Arial" w:cs="Arial"/>
          <w:color w:val="000000" w:themeColor="text1"/>
          <w:sz w:val="22"/>
          <w:szCs w:val="22"/>
          <w:lang w:val="es-ES_tradnl" w:eastAsia="x-none"/>
        </w:rPr>
        <w:t>.</w:t>
      </w:r>
    </w:p>
    <w:p w14:paraId="5E6E2773"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es-CO"/>
        </w:rPr>
        <w:t xml:space="preserve">Como en otras oportunidades lo ha manifestado esta Agencia, las prórrogas, modificaciones o adiciones de los contratos suscritos antes de la </w:t>
      </w:r>
      <w:proofErr w:type="gramStart"/>
      <w:r w:rsidRPr="004A1D82">
        <w:rPr>
          <w:rFonts w:ascii="Arial" w:hAnsi="Arial" w:cs="Arial"/>
          <w:bCs/>
          <w:color w:val="000000" w:themeColor="text1"/>
          <w:sz w:val="22"/>
          <w:szCs w:val="22"/>
          <w:lang w:val="es-ES_tradnl" w:eastAsia="es-CO"/>
        </w:rPr>
        <w:t>entrada en vigencia</w:t>
      </w:r>
      <w:proofErr w:type="gramEnd"/>
      <w:r w:rsidRPr="004A1D82">
        <w:rPr>
          <w:rFonts w:ascii="Arial" w:hAnsi="Arial" w:cs="Arial"/>
          <w:bCs/>
          <w:color w:val="000000" w:themeColor="text1"/>
          <w:sz w:val="22"/>
          <w:szCs w:val="22"/>
          <w:lang w:val="es-ES_tradnl" w:eastAsia="es-CO"/>
        </w:rPr>
        <w:t xml:space="preserve"> de las prohibiciones anotadas, así como la cesión de los mismos, pueden tener lugar en el período de aplicación de la Ley de Garantías</w:t>
      </w:r>
      <w:r w:rsidRPr="004A1D82">
        <w:rPr>
          <w:rFonts w:ascii="Arial" w:hAnsi="Arial" w:cs="Arial"/>
          <w:color w:val="000000" w:themeColor="text1"/>
          <w:vertAlign w:val="superscript"/>
          <w:lang w:eastAsia="es-ES_tradnl"/>
        </w:rPr>
        <w:footnoteReference w:id="21"/>
      </w:r>
      <w:r w:rsidRPr="004A1D82">
        <w:rPr>
          <w:rFonts w:ascii="Arial" w:hAnsi="Arial" w:cs="Arial"/>
          <w:bCs/>
          <w:color w:val="000000" w:themeColor="text1"/>
          <w:sz w:val="22"/>
          <w:szCs w:val="22"/>
          <w:lang w:val="es-ES_tradnl" w:eastAsia="es-CO"/>
        </w:rPr>
        <w:t>. Esto sin que ello haga nugatoria la restricción de la contratación directa y siempre que cumplan los principios de planeación, transparencia y responsabilidad.</w:t>
      </w:r>
    </w:p>
    <w:p w14:paraId="42EC4E7A" w14:textId="77777777" w:rsidR="00450CAF" w:rsidRPr="004A1D82" w:rsidRDefault="00450CAF" w:rsidP="00450CAF">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x-none"/>
        </w:rPr>
        <w:t xml:space="preserve">De otro lado, </w:t>
      </w:r>
      <w:bookmarkStart w:id="15" w:name="_Hlk98520335"/>
      <w:r w:rsidRPr="004A1D82">
        <w:rPr>
          <w:rFonts w:ascii="Arial" w:hAnsi="Arial" w:cs="Arial"/>
          <w:bCs/>
          <w:color w:val="000000" w:themeColor="text1"/>
          <w:sz w:val="22"/>
          <w:szCs w:val="22"/>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4A1D82">
        <w:rPr>
          <w:rFonts w:ascii="Arial" w:hAnsi="Arial" w:cs="Arial"/>
          <w:bCs/>
          <w:color w:val="000000" w:themeColor="text1"/>
          <w:sz w:val="22"/>
          <w:szCs w:val="22"/>
          <w:lang w:val="es-ES_tradnl" w:eastAsia="x-none"/>
        </w:rPr>
        <w:t>ii</w:t>
      </w:r>
      <w:proofErr w:type="spellEnd"/>
      <w:r w:rsidRPr="004A1D82">
        <w:rPr>
          <w:rFonts w:ascii="Arial" w:hAnsi="Arial" w:cs="Arial"/>
          <w:bCs/>
          <w:color w:val="000000" w:themeColor="text1"/>
          <w:sz w:val="22"/>
          <w:szCs w:val="22"/>
          <w:lang w:val="es-ES_tradnl" w:eastAsia="x-none"/>
        </w:rPr>
        <w:t xml:space="preserve">) los contratos de crédito público; </w:t>
      </w:r>
      <w:proofErr w:type="spellStart"/>
      <w:r w:rsidRPr="004A1D82">
        <w:rPr>
          <w:rFonts w:ascii="Arial" w:hAnsi="Arial" w:cs="Arial"/>
          <w:bCs/>
          <w:color w:val="000000" w:themeColor="text1"/>
          <w:sz w:val="22"/>
          <w:szCs w:val="22"/>
          <w:lang w:val="es-ES_tradnl" w:eastAsia="x-none"/>
        </w:rPr>
        <w:t>iii</w:t>
      </w:r>
      <w:proofErr w:type="spellEnd"/>
      <w:r w:rsidRPr="004A1D82">
        <w:rPr>
          <w:rFonts w:ascii="Arial" w:hAnsi="Arial" w:cs="Arial"/>
          <w:bCs/>
          <w:color w:val="000000" w:themeColor="text1"/>
          <w:sz w:val="22"/>
          <w:szCs w:val="22"/>
          <w:lang w:val="es-ES_tradnl" w:eastAsia="x-none"/>
        </w:rPr>
        <w:t xml:space="preserve">) los requeridos para cubrir las emergencias educativas, sanitarias y desastres; </w:t>
      </w:r>
      <w:proofErr w:type="spellStart"/>
      <w:r w:rsidRPr="004A1D82">
        <w:rPr>
          <w:rFonts w:ascii="Arial" w:hAnsi="Arial" w:cs="Arial"/>
          <w:bCs/>
          <w:color w:val="000000" w:themeColor="text1"/>
          <w:sz w:val="22"/>
          <w:szCs w:val="22"/>
          <w:lang w:val="es-ES_tradnl" w:eastAsia="x-none"/>
        </w:rPr>
        <w:t>iv</w:t>
      </w:r>
      <w:proofErr w:type="spellEnd"/>
      <w:r w:rsidRPr="004A1D82">
        <w:rPr>
          <w:rFonts w:ascii="Arial" w:hAnsi="Arial" w:cs="Arial"/>
          <w:bCs/>
          <w:color w:val="000000" w:themeColor="text1"/>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A1D82">
        <w:rPr>
          <w:rFonts w:ascii="Arial" w:hAnsi="Arial" w:cs="Arial"/>
          <w:bCs/>
          <w:color w:val="000000" w:themeColor="text1"/>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15"/>
    </w:p>
    <w:p w14:paraId="7E8B8724"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4A1D82">
        <w:rPr>
          <w:rFonts w:ascii="Arial" w:hAnsi="Arial" w:cs="Arial"/>
          <w:bCs/>
          <w:color w:val="000000" w:themeColor="text1"/>
          <w:sz w:val="22"/>
          <w:szCs w:val="22"/>
          <w:lang w:val="es-ES_tradnl" w:eastAsia="x-none"/>
        </w:rPr>
        <w:lastRenderedPageBreak/>
        <w:t>ejecutivo, como son los inmersos en las excepciones para la prohibición de contratación»</w:t>
      </w:r>
      <w:r w:rsidRPr="004A1D82">
        <w:rPr>
          <w:rFonts w:ascii="Arial" w:eastAsiaTheme="minorHAnsi" w:hAnsi="Arial" w:cs="Arial"/>
          <w:color w:val="000000" w:themeColor="text1"/>
          <w:vertAlign w:val="superscript"/>
          <w:lang w:eastAsia="es-ES_tradnl"/>
        </w:rPr>
        <w:footnoteReference w:id="22"/>
      </w:r>
      <w:r w:rsidRPr="004A1D82">
        <w:rPr>
          <w:rFonts w:ascii="Arial" w:hAnsi="Arial" w:cs="Arial"/>
          <w:bCs/>
          <w:color w:val="000000" w:themeColor="text1"/>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49CC74B3"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es-CO"/>
        </w:rPr>
      </w:pPr>
      <w:bookmarkStart w:id="16" w:name="_Hlk106178149"/>
      <w:r w:rsidRPr="004A1D82">
        <w:rPr>
          <w:rFonts w:ascii="Arial" w:hAnsi="Arial" w:cs="Arial"/>
          <w:bCs/>
          <w:color w:val="000000" w:themeColor="text1"/>
          <w:sz w:val="22"/>
          <w:szCs w:val="22"/>
          <w:lang w:val="es-MX" w:eastAsia="x-none"/>
        </w:rPr>
        <w:t>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4A1D82">
        <w:rPr>
          <w:rFonts w:ascii="Arial" w:hAnsi="Arial" w:cs="Arial"/>
          <w:bCs/>
          <w:color w:val="000000" w:themeColor="text1"/>
          <w:sz w:val="22"/>
          <w:szCs w:val="22"/>
          <w:vertAlign w:val="superscript"/>
          <w:lang w:val="es-MX" w:eastAsia="x-none"/>
        </w:rPr>
        <w:footnoteReference w:id="23"/>
      </w:r>
      <w:r w:rsidRPr="004A1D82">
        <w:rPr>
          <w:rFonts w:ascii="Arial" w:hAnsi="Arial" w:cs="Arial"/>
          <w:bCs/>
          <w:color w:val="000000" w:themeColor="text1"/>
          <w:sz w:val="22"/>
          <w:szCs w:val="22"/>
          <w:lang w:val="es-MX" w:eastAsia="x-none"/>
        </w:rPr>
        <w:t xml:space="preserve">. </w:t>
      </w:r>
    </w:p>
    <w:bookmarkEnd w:id="16"/>
    <w:p w14:paraId="43A5E459" w14:textId="77777777" w:rsidR="00450CAF" w:rsidRPr="004A1D82" w:rsidRDefault="00450CAF" w:rsidP="00450CAF">
      <w:pPr>
        <w:spacing w:line="276" w:lineRule="auto"/>
        <w:ind w:firstLine="708"/>
        <w:jc w:val="both"/>
        <w:rPr>
          <w:rFonts w:ascii="Arial" w:eastAsiaTheme="minorHAnsi" w:hAnsi="Arial" w:cs="Arial"/>
          <w:color w:val="000000" w:themeColor="text1"/>
          <w:sz w:val="22"/>
          <w:szCs w:val="22"/>
          <w:lang w:val="es-ES_tradnl" w:eastAsia="en-US"/>
        </w:rPr>
      </w:pPr>
      <w:r w:rsidRPr="004A1D82">
        <w:rPr>
          <w:rFonts w:ascii="Arial" w:hAnsi="Arial" w:cs="Arial"/>
          <w:bCs/>
          <w:color w:val="000000" w:themeColor="text1"/>
          <w:sz w:val="22"/>
          <w:szCs w:val="22"/>
          <w:lang w:val="es-ES_tradnl" w:eastAsia="x-none"/>
        </w:rPr>
        <w:t xml:space="preserve">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w:t>
      </w:r>
      <w:r w:rsidRPr="004A1D82">
        <w:rPr>
          <w:rFonts w:ascii="Arial" w:hAnsi="Arial" w:cs="Arial"/>
          <w:bCs/>
          <w:color w:val="000000" w:themeColor="text1"/>
          <w:sz w:val="22"/>
          <w:szCs w:val="22"/>
          <w:lang w:val="es-ES_tradnl" w:eastAsia="x-none"/>
        </w:rPr>
        <w:lastRenderedPageBreak/>
        <w:t>interadministrativo sea ordenada, para ambas partes, por el Legislador»</w:t>
      </w:r>
      <w:r w:rsidRPr="004A1D82">
        <w:rPr>
          <w:rFonts w:ascii="Arial" w:eastAsiaTheme="minorHAnsi" w:hAnsi="Arial" w:cs="Arial"/>
          <w:color w:val="000000" w:themeColor="text1"/>
          <w:vertAlign w:val="superscript"/>
          <w:lang w:eastAsia="es-ES_tradnl"/>
        </w:rPr>
        <w:footnoteReference w:id="24"/>
      </w:r>
      <w:r w:rsidRPr="004A1D82">
        <w:rPr>
          <w:rFonts w:ascii="Arial" w:hAnsi="Arial" w:cs="Arial"/>
          <w:bCs/>
          <w:color w:val="000000" w:themeColor="text1"/>
          <w:sz w:val="22"/>
          <w:szCs w:val="22"/>
          <w:lang w:val="es-ES_tradnl" w:eastAsia="x-none"/>
        </w:rPr>
        <w:t>.</w:t>
      </w:r>
      <w:r w:rsidRPr="004A1D82">
        <w:rPr>
          <w:rFonts w:ascii="Arial" w:eastAsiaTheme="minorHAnsi" w:hAnsi="Arial" w:cs="Arial"/>
          <w:color w:val="000000" w:themeColor="text1"/>
          <w:sz w:val="22"/>
          <w:szCs w:val="22"/>
          <w:lang w:val="es-ES_tradnl" w:eastAsia="en-US"/>
        </w:rPr>
        <w:t xml:space="preserve"> Sin embargo, debe precisarse el siguiente aspecto que distinguió la Sala de Consulta y Servicio Civil:</w:t>
      </w:r>
    </w:p>
    <w:p w14:paraId="4E3604B2" w14:textId="77777777" w:rsidR="00450CAF" w:rsidRPr="004A1D82" w:rsidRDefault="00450CAF" w:rsidP="00450CAF">
      <w:pPr>
        <w:spacing w:line="276" w:lineRule="auto"/>
        <w:jc w:val="both"/>
        <w:rPr>
          <w:rFonts w:ascii="Arial" w:eastAsiaTheme="minorHAnsi" w:hAnsi="Arial" w:cs="Arial"/>
          <w:color w:val="000000" w:themeColor="text1"/>
          <w:sz w:val="22"/>
          <w:szCs w:val="22"/>
          <w:lang w:val="es-ES_tradnl" w:eastAsia="en-US"/>
        </w:rPr>
      </w:pPr>
    </w:p>
    <w:p w14:paraId="095EFCC1" w14:textId="77777777" w:rsidR="00450CAF" w:rsidRPr="004A1D82" w:rsidRDefault="00450CAF" w:rsidP="00450CAF">
      <w:pPr>
        <w:ind w:left="708"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A1D82">
        <w:rPr>
          <w:rFonts w:ascii="Arial" w:eastAsiaTheme="minorHAnsi" w:hAnsi="Arial" w:cs="Arial"/>
          <w:color w:val="000000" w:themeColor="text1"/>
          <w:vertAlign w:val="superscript"/>
          <w:lang w:eastAsia="es-ES_tradnl"/>
        </w:rPr>
        <w:footnoteReference w:id="25"/>
      </w:r>
      <w:r w:rsidRPr="004A1D82">
        <w:rPr>
          <w:rFonts w:ascii="Arial" w:hAnsi="Arial" w:cs="Arial"/>
          <w:bCs/>
          <w:color w:val="000000" w:themeColor="text1"/>
          <w:sz w:val="22"/>
          <w:szCs w:val="22"/>
          <w:lang w:val="es-ES_tradnl" w:eastAsia="x-none"/>
        </w:rPr>
        <w:t>.</w:t>
      </w:r>
    </w:p>
    <w:p w14:paraId="1C1334A8" w14:textId="77777777" w:rsidR="00450CAF" w:rsidRPr="004A1D82" w:rsidRDefault="00450CAF" w:rsidP="00450CAF">
      <w:pPr>
        <w:spacing w:line="276" w:lineRule="auto"/>
        <w:jc w:val="both"/>
        <w:rPr>
          <w:rFonts w:ascii="Arial" w:eastAsiaTheme="minorHAnsi" w:hAnsi="Arial" w:cs="Arial"/>
          <w:color w:val="000000" w:themeColor="text1"/>
          <w:sz w:val="22"/>
          <w:szCs w:val="22"/>
          <w:lang w:val="es-ES_tradnl" w:eastAsia="en-US"/>
        </w:rPr>
      </w:pPr>
    </w:p>
    <w:p w14:paraId="27D7E1E1"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eastAsiaTheme="minorHAnsi" w:hAnsi="Arial" w:cs="Arial"/>
          <w:color w:val="000000" w:themeColor="text1"/>
          <w:sz w:val="22"/>
          <w:szCs w:val="22"/>
          <w:lang w:val="es-ES_tradnl" w:eastAsia="en-US"/>
        </w:rPr>
        <w:t>Aplicando este razonamiento, se tiene, por ejemplo,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éstas entidades va a prestar un servicio […]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Pr="004A1D82">
        <w:rPr>
          <w:rFonts w:ascii="Arial" w:eastAsiaTheme="minorHAnsi" w:hAnsi="Arial" w:cs="Arial"/>
          <w:color w:val="000000" w:themeColor="text1"/>
          <w:szCs w:val="22"/>
          <w:vertAlign w:val="superscript"/>
          <w:lang w:val="es-ES_tradnl" w:eastAsia="en-US"/>
        </w:rPr>
        <w:t xml:space="preserve"> </w:t>
      </w:r>
      <w:r w:rsidRPr="004A1D82">
        <w:rPr>
          <w:rFonts w:ascii="Arial" w:eastAsiaTheme="minorHAnsi" w:hAnsi="Arial" w:cs="Arial"/>
          <w:color w:val="000000" w:themeColor="text1"/>
          <w:vertAlign w:val="superscript"/>
          <w:lang w:eastAsia="es-ES_tradnl"/>
        </w:rPr>
        <w:footnoteReference w:id="26"/>
      </w:r>
      <w:r w:rsidRPr="004A1D82">
        <w:rPr>
          <w:rFonts w:ascii="Arial" w:eastAsiaTheme="minorHAnsi" w:hAnsi="Arial" w:cs="Arial"/>
          <w:color w:val="000000" w:themeColor="text1"/>
          <w:sz w:val="22"/>
          <w:szCs w:val="22"/>
          <w:lang w:val="es-ES_tradnl" w:eastAsia="en-US"/>
        </w:rPr>
        <w:t>.</w:t>
      </w:r>
    </w:p>
    <w:p w14:paraId="20014E34" w14:textId="77777777" w:rsidR="00450CAF" w:rsidRPr="004A1D82" w:rsidRDefault="00450CAF" w:rsidP="00450CAF">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eastAsiaTheme="minorHAnsi" w:hAnsi="Arial" w:cs="Arial"/>
          <w:color w:val="000000" w:themeColor="text1"/>
          <w:sz w:val="22"/>
          <w:szCs w:val="22"/>
          <w:lang w:val="es-ES_tradnl" w:eastAsia="en-US"/>
        </w:rPr>
        <w:t xml:space="preserve">Por lo tanto, la restricción prevista en la Ley 996 de 2005, </w:t>
      </w:r>
      <w:r w:rsidRPr="004A1D82">
        <w:rPr>
          <w:rFonts w:ascii="Arial" w:hAnsi="Arial" w:cs="Arial"/>
          <w:bCs/>
          <w:color w:val="000000" w:themeColor="text1"/>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w:t>
      </w:r>
      <w:r w:rsidRPr="004A1D82">
        <w:rPr>
          <w:rFonts w:ascii="Arial" w:hAnsi="Arial" w:cs="Arial"/>
          <w:bCs/>
          <w:color w:val="000000" w:themeColor="text1"/>
          <w:sz w:val="22"/>
          <w:szCs w:val="22"/>
          <w:lang w:val="es-ES_tradnl" w:eastAsia="x-none"/>
        </w:rPr>
        <w:lastRenderedPageBreak/>
        <w:t xml:space="preserve">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 </w:t>
      </w:r>
    </w:p>
    <w:p w14:paraId="2532459D" w14:textId="1AE69204" w:rsidR="00620BD9" w:rsidRPr="00620BD9" w:rsidRDefault="00450CAF" w:rsidP="00620BD9">
      <w:pPr>
        <w:spacing w:before="120" w:after="120" w:line="276" w:lineRule="auto"/>
        <w:ind w:firstLine="709"/>
        <w:jc w:val="both"/>
        <w:rPr>
          <w:rFonts w:ascii="Arial" w:eastAsia="Calibri" w:hAnsi="Arial" w:cs="Arial"/>
          <w:color w:val="000000" w:themeColor="text1"/>
          <w:sz w:val="22"/>
          <w:szCs w:val="22"/>
          <w:lang w:val="es-ES" w:eastAsia="en-US"/>
        </w:rPr>
      </w:pPr>
      <w:r w:rsidRPr="004A1D82">
        <w:rPr>
          <w:rFonts w:ascii="Arial" w:hAnsi="Arial" w:cs="Arial"/>
          <w:bCs/>
          <w:color w:val="000000" w:themeColor="text1"/>
          <w:sz w:val="22"/>
          <w:szCs w:val="22"/>
          <w:lang w:val="es-ES_tradnl" w:eastAsia="x-none"/>
        </w:rPr>
        <w:t>Aplicadas las consideraciones a la problemática planteada por el peticionario,</w:t>
      </w:r>
      <w:r w:rsidRPr="004A1D82">
        <w:rPr>
          <w:rFonts w:ascii="Arial" w:eastAsia="Calibri" w:hAnsi="Arial" w:cs="Arial"/>
          <w:color w:val="000000" w:themeColor="text1"/>
          <w:sz w:val="22"/>
          <w:szCs w:val="22"/>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consagra excepciones taxativas a dicha prohibición. Por tanto, como lo señala la Circular Conjunta 100-006 de 2021 del Departamento Administrativo de la Presidencia de la República y del Departamento Administrativo de la Función Pública</w:t>
      </w:r>
      <w:r w:rsidRPr="004A1D82">
        <w:rPr>
          <w:rFonts w:ascii="Arial" w:eastAsia="Calibri" w:hAnsi="Arial" w:cs="Arial"/>
          <w:color w:val="000000" w:themeColor="text1"/>
          <w:vertAlign w:val="superscript"/>
          <w:lang w:eastAsia="es-ES_tradnl"/>
        </w:rPr>
        <w:footnoteReference w:id="27"/>
      </w:r>
      <w:r w:rsidRPr="004A1D82">
        <w:rPr>
          <w:rFonts w:ascii="Arial" w:eastAsia="Calibri" w:hAnsi="Arial" w:cs="Arial"/>
          <w:color w:val="000000" w:themeColor="text1"/>
          <w:sz w:val="22"/>
          <w:szCs w:val="22"/>
          <w:lang w:val="es-ES" w:eastAsia="en-US"/>
        </w:rPr>
        <w:t>, el artículo 33 de la Ley de Garantías Electorales «restringe la contratación directa por parte de todos los entes del Estado desde el día 29 de enero de 2022 y hasta la elección en segunda vuelta, si fuere el caso». Lo anterior, salvo que en el caso concreto se presente alguna de las excepciones establecidas a la prohibición consagrada en el inciso segundo del artículo 33 de la Ley de Garantías Electorales.</w:t>
      </w:r>
      <w:r w:rsidR="00AA3C26">
        <w:rPr>
          <w:rFonts w:ascii="Arial" w:eastAsia="Calibri" w:hAnsi="Arial" w:cs="Arial"/>
          <w:color w:val="000000" w:themeColor="text1"/>
          <w:sz w:val="22"/>
          <w:szCs w:val="22"/>
          <w:lang w:val="es-ES" w:eastAsia="en-US"/>
        </w:rPr>
        <w:t xml:space="preserve"> </w:t>
      </w:r>
      <w:r w:rsidR="00620BD9">
        <w:rPr>
          <w:rFonts w:ascii="Arial" w:eastAsia="Calibri" w:hAnsi="Arial" w:cs="Arial"/>
          <w:color w:val="000000" w:themeColor="text1"/>
          <w:sz w:val="22"/>
          <w:szCs w:val="22"/>
          <w:lang w:val="es-ES" w:eastAsia="en-US"/>
        </w:rPr>
        <w:t xml:space="preserve"> </w:t>
      </w:r>
      <w:r w:rsidR="00620BD9" w:rsidRPr="00620BD9">
        <w:rPr>
          <w:rFonts w:ascii="Arial" w:eastAsia="Calibri" w:hAnsi="Arial" w:cs="Arial"/>
          <w:bCs/>
          <w:sz w:val="22"/>
          <w:szCs w:val="22"/>
          <w:lang w:val="es-ES_tradnl" w:eastAsia="en-US"/>
        </w:rPr>
        <w:t>Las excepciones a la prohibición del artículo 33 de la norma mencionada son las siguientes:</w:t>
      </w:r>
    </w:p>
    <w:p w14:paraId="14A563F1" w14:textId="77777777" w:rsidR="00620BD9" w:rsidRPr="00620BD9" w:rsidRDefault="00620BD9" w:rsidP="00620BD9">
      <w:pPr>
        <w:tabs>
          <w:tab w:val="left" w:pos="709"/>
        </w:tabs>
        <w:spacing w:after="120" w:line="276" w:lineRule="auto"/>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tab/>
        <w:t>i) La contratación referente a la defensa y seguridad del Estado;</w:t>
      </w:r>
    </w:p>
    <w:p w14:paraId="27F7C81A" w14:textId="77777777" w:rsidR="00620BD9" w:rsidRPr="00620BD9" w:rsidRDefault="00620BD9" w:rsidP="00620BD9">
      <w:pPr>
        <w:tabs>
          <w:tab w:val="left" w:pos="709"/>
        </w:tabs>
        <w:spacing w:after="120" w:line="276" w:lineRule="auto"/>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tab/>
      </w:r>
      <w:proofErr w:type="spellStart"/>
      <w:r w:rsidRPr="00620BD9">
        <w:rPr>
          <w:rFonts w:ascii="Arial" w:eastAsia="Calibri" w:hAnsi="Arial" w:cs="Arial"/>
          <w:bCs/>
          <w:sz w:val="22"/>
          <w:szCs w:val="22"/>
          <w:lang w:val="es-ES_tradnl" w:eastAsia="en-US"/>
        </w:rPr>
        <w:t>ii</w:t>
      </w:r>
      <w:proofErr w:type="spellEnd"/>
      <w:r w:rsidRPr="00620BD9">
        <w:rPr>
          <w:rFonts w:ascii="Arial" w:eastAsia="Calibri" w:hAnsi="Arial" w:cs="Arial"/>
          <w:bCs/>
          <w:sz w:val="22"/>
          <w:szCs w:val="22"/>
          <w:lang w:val="es-ES_tradnl" w:eastAsia="en-US"/>
        </w:rPr>
        <w:t>) Los contratos de crédito público;</w:t>
      </w:r>
    </w:p>
    <w:p w14:paraId="67C46615" w14:textId="77777777" w:rsidR="00620BD9" w:rsidRPr="00620BD9" w:rsidRDefault="00620BD9" w:rsidP="00620BD9">
      <w:pPr>
        <w:tabs>
          <w:tab w:val="left" w:pos="709"/>
        </w:tabs>
        <w:spacing w:after="120" w:line="276" w:lineRule="auto"/>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tab/>
      </w:r>
      <w:proofErr w:type="spellStart"/>
      <w:r w:rsidRPr="00620BD9">
        <w:rPr>
          <w:rFonts w:ascii="Arial" w:eastAsia="Calibri" w:hAnsi="Arial" w:cs="Arial"/>
          <w:bCs/>
          <w:sz w:val="22"/>
          <w:szCs w:val="22"/>
          <w:lang w:val="es-ES_tradnl" w:eastAsia="en-US"/>
        </w:rPr>
        <w:t>iii</w:t>
      </w:r>
      <w:proofErr w:type="spellEnd"/>
      <w:r w:rsidRPr="00620BD9">
        <w:rPr>
          <w:rFonts w:ascii="Arial" w:eastAsia="Calibri" w:hAnsi="Arial" w:cs="Arial"/>
          <w:bCs/>
          <w:sz w:val="22"/>
          <w:szCs w:val="22"/>
          <w:lang w:val="es-ES_tradnl" w:eastAsia="en-US"/>
        </w:rPr>
        <w:t xml:space="preserve">) Los contratos requeridos para cubrir las emergencias educativas, sanitarias y desastres; </w:t>
      </w:r>
    </w:p>
    <w:p w14:paraId="748D2F42" w14:textId="77777777" w:rsidR="00620BD9" w:rsidRPr="00620BD9" w:rsidRDefault="00620BD9" w:rsidP="00620BD9">
      <w:pPr>
        <w:tabs>
          <w:tab w:val="left" w:pos="709"/>
        </w:tabs>
        <w:spacing w:after="120" w:line="276" w:lineRule="auto"/>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tab/>
      </w:r>
      <w:proofErr w:type="spellStart"/>
      <w:r w:rsidRPr="00620BD9">
        <w:rPr>
          <w:rFonts w:ascii="Arial" w:eastAsia="Calibri" w:hAnsi="Arial" w:cs="Arial"/>
          <w:bCs/>
          <w:sz w:val="22"/>
          <w:szCs w:val="22"/>
          <w:lang w:val="es-ES_tradnl" w:eastAsia="en-US"/>
        </w:rPr>
        <w:t>iv</w:t>
      </w:r>
      <w:proofErr w:type="spellEnd"/>
      <w:r w:rsidRPr="00620BD9">
        <w:rPr>
          <w:rFonts w:ascii="Arial" w:eastAsia="Calibri" w:hAnsi="Arial" w:cs="Arial"/>
          <w:bCs/>
          <w:sz w:val="22"/>
          <w:szCs w:val="22"/>
          <w:lang w:val="es-ES_tradnl" w:eastAsia="en-US"/>
        </w:rPr>
        <w:t>) La contratación para la reconstrucción de vías, puentes, carreteras, infraestructura energética y de comunicaciones, en caso de que hayan sido objeto de atentados, acciones terroristas, desastres naturales o casos de fuerza mayor y;</w:t>
      </w:r>
    </w:p>
    <w:p w14:paraId="675AEBF0" w14:textId="77777777" w:rsidR="00620BD9" w:rsidRPr="00620BD9" w:rsidRDefault="00620BD9" w:rsidP="00620BD9">
      <w:pPr>
        <w:tabs>
          <w:tab w:val="left" w:pos="709"/>
        </w:tabs>
        <w:spacing w:after="120" w:line="276" w:lineRule="auto"/>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tab/>
        <w:t>v) La contratación que deban realizar las entidades sanitarias y hospitalarias</w:t>
      </w:r>
      <w:r w:rsidRPr="00620BD9">
        <w:rPr>
          <w:rFonts w:ascii="Arial" w:eastAsia="Calibri" w:hAnsi="Arial" w:cs="Arial"/>
          <w:bCs/>
          <w:sz w:val="22"/>
          <w:szCs w:val="22"/>
          <w:vertAlign w:val="superscript"/>
          <w:lang w:val="es-ES_tradnl" w:eastAsia="en-US"/>
        </w:rPr>
        <w:footnoteReference w:id="28"/>
      </w:r>
      <w:r w:rsidRPr="00620BD9">
        <w:rPr>
          <w:rFonts w:ascii="Arial" w:eastAsia="Calibri" w:hAnsi="Arial" w:cs="Arial"/>
          <w:bCs/>
          <w:sz w:val="22"/>
          <w:szCs w:val="22"/>
          <w:lang w:val="es-ES_tradnl" w:eastAsia="en-US"/>
        </w:rPr>
        <w:t xml:space="preserve">. </w:t>
      </w:r>
    </w:p>
    <w:p w14:paraId="261A44DC" w14:textId="77777777" w:rsidR="00620BD9" w:rsidRPr="00620BD9" w:rsidRDefault="00620BD9" w:rsidP="00620BD9">
      <w:pPr>
        <w:tabs>
          <w:tab w:val="left" w:pos="426"/>
        </w:tabs>
        <w:spacing w:after="120" w:line="276" w:lineRule="auto"/>
        <w:ind w:firstLine="709"/>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lastRenderedPageBreak/>
        <w:t>La Sala de Consulta y Servicio Civil del Consejo de Estado, en concepto del 4 de febrero de 2010, se pronunció frente a las razones por las que el legislador consagró excepciones al artículo 33 de la Ley de Garantías Electorales: «</w:t>
      </w:r>
      <w:r w:rsidRPr="00620BD9">
        <w:rPr>
          <w:rFonts w:ascii="Arial" w:hAnsi="Arial" w:cs="Arial"/>
          <w:sz w:val="22"/>
          <w:szCs w:val="22"/>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620BD9">
        <w:rPr>
          <w:rFonts w:ascii="Arial" w:hAnsi="Arial" w:cs="Arial"/>
          <w:sz w:val="22"/>
          <w:szCs w:val="22"/>
          <w:vertAlign w:val="superscript"/>
          <w:lang w:val="es-ES_tradnl" w:eastAsia="es-CO"/>
        </w:rPr>
        <w:footnoteReference w:id="29"/>
      </w:r>
      <w:r w:rsidRPr="00620BD9">
        <w:rPr>
          <w:rFonts w:ascii="Arial" w:hAnsi="Arial" w:cs="Arial"/>
          <w:sz w:val="22"/>
          <w:szCs w:val="22"/>
          <w:lang w:val="es-ES_tradnl" w:eastAsia="es-CO"/>
        </w:rPr>
        <w:t xml:space="preserve">. </w:t>
      </w:r>
    </w:p>
    <w:p w14:paraId="58D06A43" w14:textId="77777777" w:rsidR="00620BD9" w:rsidRPr="00620BD9" w:rsidRDefault="00620BD9" w:rsidP="00620BD9">
      <w:pPr>
        <w:shd w:val="clear" w:color="auto" w:fill="FFFFFF"/>
        <w:spacing w:after="120" w:line="276" w:lineRule="auto"/>
        <w:ind w:firstLine="709"/>
        <w:jc w:val="both"/>
        <w:rPr>
          <w:rFonts w:ascii="Arial" w:hAnsi="Arial" w:cs="Arial"/>
          <w:sz w:val="22"/>
          <w:szCs w:val="22"/>
          <w:lang w:val="es-ES_tradnl" w:eastAsia="es-CO"/>
        </w:rPr>
      </w:pPr>
      <w:r w:rsidRPr="00620BD9">
        <w:rPr>
          <w:rFonts w:ascii="Arial" w:hAnsi="Arial" w:cs="Arial"/>
          <w:sz w:val="22"/>
          <w:szCs w:val="22"/>
          <w:lang w:val="es-ES_tradnl" w:eastAsia="es-CO"/>
        </w:rPr>
        <w:t>A su vez, la Corte Constitucional, al analizar la constitucionalidad de la Ley de Garantías Electorales, consideró que las prohibiciones consagradas en los artículos 32 y 33 de la ley mencionada no pueden ir en detrimento de intereses públicos. Por lo anterior, el Tribunal Constitucional consideró que las excepciones para la prohibición de contratación se encontraban justificadas, avalando su exequibilidad.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620BD9">
        <w:rPr>
          <w:rFonts w:ascii="Arial" w:hAnsi="Arial" w:cs="Arial"/>
          <w:sz w:val="22"/>
          <w:szCs w:val="22"/>
          <w:vertAlign w:val="superscript"/>
          <w:lang w:val="es-ES_tradnl" w:eastAsia="es-CO"/>
        </w:rPr>
        <w:footnoteReference w:id="30"/>
      </w:r>
      <w:r w:rsidRPr="00620BD9">
        <w:rPr>
          <w:rFonts w:ascii="Arial" w:hAnsi="Arial" w:cs="Arial"/>
          <w:sz w:val="22"/>
          <w:szCs w:val="22"/>
          <w:lang w:val="es-ES_tradnl" w:eastAsia="es-CO"/>
        </w:rPr>
        <w:t xml:space="preserve">. </w:t>
      </w:r>
    </w:p>
    <w:p w14:paraId="4E896AF9" w14:textId="77777777" w:rsidR="00620BD9" w:rsidRPr="00620BD9" w:rsidRDefault="00620BD9" w:rsidP="00620BD9">
      <w:pPr>
        <w:tabs>
          <w:tab w:val="left" w:pos="426"/>
        </w:tabs>
        <w:spacing w:after="120" w:line="276" w:lineRule="auto"/>
        <w:ind w:firstLine="709"/>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t>Por tanto, las excepciones a la prohibición contenida en el inciso segundo de artículo 33 de la ley de garantías electorales tienen por finalidad garantizar la prestación ininterrumpida de algunos servicios públicos, que, dada su importancia en el orden interno, se verían irrazonablemente afectados por la restricción explicada. De igual forma, la Sala de Consulta y Servicio Civil del Consejo de Estado, en concepto del 2 de septiembre de 2013</w:t>
      </w:r>
      <w:r w:rsidRPr="00620BD9">
        <w:rPr>
          <w:rFonts w:ascii="Arial" w:eastAsiaTheme="minorHAnsi" w:hAnsi="Arial" w:cs="Arial"/>
          <w:sz w:val="22"/>
          <w:szCs w:val="22"/>
          <w:lang w:val="es-ES_tradnl" w:eastAsia="en-US"/>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08D9BC1C" w14:textId="77777777" w:rsidR="00620BD9" w:rsidRPr="00620BD9" w:rsidRDefault="00620BD9" w:rsidP="00620BD9">
      <w:pPr>
        <w:tabs>
          <w:tab w:val="left" w:pos="426"/>
        </w:tabs>
        <w:spacing w:after="120"/>
        <w:ind w:right="709"/>
        <w:jc w:val="both"/>
        <w:rPr>
          <w:rFonts w:ascii="Arial" w:eastAsiaTheme="minorHAnsi" w:hAnsi="Arial" w:cs="Arial"/>
          <w:sz w:val="21"/>
          <w:szCs w:val="21"/>
          <w:lang w:val="es-ES_tradnl" w:eastAsia="en-US"/>
        </w:rPr>
      </w:pPr>
      <w:r w:rsidRPr="00620BD9">
        <w:rPr>
          <w:rFonts w:ascii="Arial" w:eastAsiaTheme="minorHAnsi" w:hAnsi="Arial" w:cs="Arial"/>
          <w:sz w:val="21"/>
          <w:szCs w:val="21"/>
          <w:lang w:val="es-ES_tradnl" w:eastAsia="en-US"/>
        </w:rPr>
        <w:tab/>
      </w:r>
      <w:r w:rsidRPr="00620BD9">
        <w:rPr>
          <w:rFonts w:ascii="Arial" w:eastAsiaTheme="minorHAnsi" w:hAnsi="Arial" w:cs="Arial"/>
          <w:sz w:val="21"/>
          <w:szCs w:val="21"/>
          <w:lang w:val="es-ES_tradnl" w:eastAsia="en-US"/>
        </w:rPr>
        <w:tab/>
        <w:t>[…]</w:t>
      </w:r>
    </w:p>
    <w:p w14:paraId="241235FF" w14:textId="77777777" w:rsidR="00620BD9" w:rsidRPr="00620BD9" w:rsidRDefault="00620BD9" w:rsidP="00620BD9">
      <w:pPr>
        <w:spacing w:after="120"/>
        <w:ind w:left="709" w:right="709"/>
        <w:jc w:val="both"/>
        <w:rPr>
          <w:rFonts w:ascii="Arial" w:eastAsiaTheme="minorHAnsi" w:hAnsi="Arial" w:cs="Arial"/>
          <w:i/>
          <w:sz w:val="21"/>
          <w:szCs w:val="21"/>
          <w:lang w:val="es-ES_tradnl" w:eastAsia="en-US"/>
        </w:rPr>
      </w:pPr>
      <w:r w:rsidRPr="00620BD9">
        <w:rPr>
          <w:rFonts w:ascii="Arial" w:eastAsiaTheme="minorHAnsi" w:hAnsi="Arial" w:cs="Arial"/>
          <w:i/>
          <w:sz w:val="21"/>
          <w:szCs w:val="21"/>
          <w:lang w:val="es-ES_tradnl" w:eastAsia="en-US"/>
        </w:rPr>
        <w:t>Las excepciones aplicables a la restricción de contratación pública</w:t>
      </w:r>
    </w:p>
    <w:p w14:paraId="69AE3779" w14:textId="77777777" w:rsidR="00620BD9" w:rsidRPr="00620BD9" w:rsidRDefault="00620BD9" w:rsidP="00620BD9">
      <w:pPr>
        <w:spacing w:after="120"/>
        <w:ind w:left="709" w:right="709"/>
        <w:jc w:val="both"/>
        <w:rPr>
          <w:rFonts w:ascii="Arial" w:eastAsiaTheme="minorHAnsi" w:hAnsi="Arial" w:cs="Arial"/>
          <w:sz w:val="21"/>
          <w:szCs w:val="21"/>
          <w:shd w:val="clear" w:color="auto" w:fill="FFFFFF"/>
          <w:lang w:val="es-ES_tradnl" w:eastAsia="en-US"/>
        </w:rPr>
      </w:pPr>
      <w:r w:rsidRPr="00620BD9">
        <w:rPr>
          <w:rFonts w:ascii="Arial" w:eastAsiaTheme="minorHAnsi" w:hAnsi="Arial" w:cs="Arial"/>
          <w:sz w:val="21"/>
          <w:szCs w:val="21"/>
          <w:shd w:val="clear" w:color="auto" w:fill="FFFFFF"/>
          <w:lang w:val="es-ES_tradnl" w:eastAsia="en-US"/>
        </w:rPr>
        <w:t>Ahora bien, las únicas excepciones a las disposiciones previstas en la Ley de Garantías se encuentran numeradas taxativamente en el último inciso del artículo 33 de la ley 996 de 2005, dentro de las que se encuentran:</w:t>
      </w:r>
    </w:p>
    <w:p w14:paraId="5B9313DE" w14:textId="77777777" w:rsidR="00620BD9" w:rsidRPr="00620BD9" w:rsidRDefault="00620BD9" w:rsidP="00620BD9">
      <w:pPr>
        <w:spacing w:after="120"/>
        <w:ind w:left="709" w:right="709"/>
        <w:jc w:val="both"/>
        <w:rPr>
          <w:rFonts w:ascii="Arial" w:eastAsiaTheme="minorHAnsi" w:hAnsi="Arial" w:cs="Arial"/>
          <w:sz w:val="21"/>
          <w:szCs w:val="21"/>
          <w:shd w:val="clear" w:color="auto" w:fill="FFFFFF"/>
          <w:lang w:val="es-ES_tradnl" w:eastAsia="en-US"/>
        </w:rPr>
      </w:pPr>
      <w:r w:rsidRPr="00620BD9">
        <w:rPr>
          <w:rFonts w:ascii="Arial" w:eastAsiaTheme="minorHAnsi" w:hAnsi="Arial" w:cs="Arial"/>
          <w:sz w:val="21"/>
          <w:szCs w:val="21"/>
          <w:shd w:val="clear" w:color="auto" w:fill="FFFFFF"/>
          <w:lang w:val="es-ES_tradnl" w:eastAsia="en-US"/>
        </w:rPr>
        <w:t xml:space="preserve">[…] </w:t>
      </w:r>
    </w:p>
    <w:p w14:paraId="346E0F9B" w14:textId="77777777" w:rsidR="00620BD9" w:rsidRPr="00620BD9" w:rsidRDefault="00620BD9" w:rsidP="00620BD9">
      <w:pPr>
        <w:spacing w:after="200"/>
        <w:ind w:left="709" w:right="709"/>
        <w:jc w:val="both"/>
        <w:rPr>
          <w:rFonts w:ascii="Arial" w:eastAsiaTheme="minorHAnsi" w:hAnsi="Arial" w:cs="Arial"/>
          <w:sz w:val="21"/>
          <w:szCs w:val="21"/>
          <w:shd w:val="clear" w:color="auto" w:fill="FFFFFF"/>
          <w:lang w:val="es-ES_tradnl" w:eastAsia="en-US"/>
        </w:rPr>
      </w:pPr>
      <w:r w:rsidRPr="00620BD9">
        <w:rPr>
          <w:rFonts w:ascii="Arial" w:eastAsiaTheme="minorHAnsi" w:hAnsi="Arial" w:cs="Arial"/>
          <w:sz w:val="21"/>
          <w:szCs w:val="21"/>
          <w:shd w:val="clear" w:color="auto" w:fill="FFFFFF"/>
          <w:lang w:val="es-ES_tradnl" w:eastAsia="en-US"/>
        </w:rPr>
        <w:t>5. Los que deban realizar las entidades sanitarias y hospitalarias […]</w:t>
      </w:r>
      <w:r w:rsidRPr="00620BD9">
        <w:rPr>
          <w:rFonts w:ascii="Arial" w:eastAsiaTheme="minorHAnsi" w:hAnsi="Arial" w:cs="Arial"/>
          <w:sz w:val="21"/>
          <w:szCs w:val="21"/>
          <w:shd w:val="clear" w:color="auto" w:fill="FFFFFF"/>
          <w:vertAlign w:val="superscript"/>
          <w:lang w:val="es-ES_tradnl" w:eastAsia="en-US"/>
        </w:rPr>
        <w:footnoteReference w:id="31"/>
      </w:r>
      <w:r w:rsidRPr="00620BD9">
        <w:rPr>
          <w:rFonts w:ascii="Arial" w:eastAsiaTheme="minorHAnsi" w:hAnsi="Arial" w:cs="Arial"/>
          <w:sz w:val="21"/>
          <w:szCs w:val="21"/>
          <w:shd w:val="clear" w:color="auto" w:fill="FFFFFF"/>
          <w:lang w:val="es-ES_tradnl" w:eastAsia="en-US"/>
        </w:rPr>
        <w:t>.</w:t>
      </w:r>
    </w:p>
    <w:p w14:paraId="4AEA71A0" w14:textId="3075CABF" w:rsidR="00450CAF" w:rsidRPr="00620BD9" w:rsidRDefault="00620BD9" w:rsidP="00620BD9">
      <w:pPr>
        <w:tabs>
          <w:tab w:val="left" w:pos="426"/>
        </w:tabs>
        <w:spacing w:after="120" w:line="276" w:lineRule="auto"/>
        <w:ind w:firstLine="709"/>
        <w:jc w:val="both"/>
        <w:rPr>
          <w:rFonts w:ascii="Arial" w:eastAsia="Calibri" w:hAnsi="Arial" w:cs="Arial"/>
          <w:bCs/>
          <w:sz w:val="22"/>
          <w:szCs w:val="22"/>
          <w:lang w:val="es-ES_tradnl" w:eastAsia="en-US"/>
        </w:rPr>
      </w:pPr>
      <w:r w:rsidRPr="00620BD9">
        <w:rPr>
          <w:rFonts w:ascii="Arial" w:eastAsia="Calibri" w:hAnsi="Arial" w:cs="Arial"/>
          <w:bCs/>
          <w:sz w:val="22"/>
          <w:szCs w:val="22"/>
          <w:lang w:val="es-ES_tradnl" w:eastAsia="en-US"/>
        </w:rPr>
        <w:lastRenderedPageBreak/>
        <w:t>Lo anterior implica que las excepciones al artículo 33 en comento deben interpretarse y aplicarse manera restrictiva. En otras palabras, que no sería posible hacer interpretaciones extensivas</w:t>
      </w:r>
      <w:r w:rsidRPr="00620BD9">
        <w:rPr>
          <w:rFonts w:ascii="Arial" w:eastAsia="Calibri" w:hAnsi="Arial" w:cs="Arial"/>
          <w:bCs/>
          <w:i/>
          <w:iCs/>
          <w:sz w:val="22"/>
          <w:szCs w:val="22"/>
          <w:lang w:val="es-ES_tradnl" w:eastAsia="en-US"/>
        </w:rPr>
        <w:t xml:space="preserve"> </w:t>
      </w:r>
      <w:r w:rsidRPr="00620BD9">
        <w:rPr>
          <w:rFonts w:ascii="Arial" w:eastAsia="Calibri" w:hAnsi="Arial" w:cs="Arial"/>
          <w:bCs/>
          <w:sz w:val="22"/>
          <w:szCs w:val="22"/>
          <w:lang w:val="es-ES_tradnl" w:eastAsia="en-US"/>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1F15D37B" w14:textId="77777777" w:rsidR="00450CAF" w:rsidRPr="004A1D82" w:rsidRDefault="00450CAF" w:rsidP="00450CAF">
      <w:pPr>
        <w:pStyle w:val="NormalWeb"/>
        <w:shd w:val="clear" w:color="auto" w:fill="FFFFFF"/>
        <w:spacing w:before="0" w:beforeAutospacing="0" w:after="0" w:afterAutospacing="0"/>
        <w:ind w:firstLine="708"/>
        <w:rPr>
          <w:rFonts w:ascii="Arial" w:eastAsiaTheme="minorHAnsi" w:hAnsi="Arial" w:cs="Arial"/>
          <w:color w:val="000000" w:themeColor="text1"/>
          <w:sz w:val="22"/>
          <w:szCs w:val="22"/>
          <w:lang w:val="es-MX" w:eastAsia="en-US"/>
        </w:rPr>
      </w:pPr>
    </w:p>
    <w:p w14:paraId="235ECCAF" w14:textId="77777777" w:rsidR="00450CAF" w:rsidRPr="004A1D82" w:rsidRDefault="00450CAF" w:rsidP="00450CAF">
      <w:pPr>
        <w:spacing w:line="276" w:lineRule="auto"/>
        <w:jc w:val="both"/>
        <w:rPr>
          <w:rFonts w:ascii="Arial" w:hAnsi="Arial" w:cs="Arial"/>
          <w:b/>
          <w:bCs/>
          <w:color w:val="000000" w:themeColor="text1"/>
          <w:sz w:val="22"/>
          <w:szCs w:val="22"/>
          <w:lang w:val="es-ES_tradnl" w:eastAsia="es-CO"/>
        </w:rPr>
      </w:pPr>
      <w:r w:rsidRPr="004A1D82">
        <w:rPr>
          <w:rFonts w:ascii="Arial" w:eastAsiaTheme="minorHAnsi" w:hAnsi="Arial" w:cs="Arial"/>
          <w:b/>
          <w:bCs/>
          <w:color w:val="000000" w:themeColor="text1"/>
          <w:sz w:val="22"/>
          <w:szCs w:val="22"/>
          <w:lang w:val="es-ES_tradnl" w:eastAsia="en-US"/>
        </w:rPr>
        <w:t xml:space="preserve">2.3. </w:t>
      </w:r>
      <w:r w:rsidRPr="004A1D82">
        <w:rPr>
          <w:rFonts w:ascii="Arial" w:hAnsi="Arial" w:cs="Arial"/>
          <w:b/>
          <w:bCs/>
          <w:color w:val="000000" w:themeColor="text1"/>
          <w:sz w:val="22"/>
          <w:szCs w:val="22"/>
          <w:lang w:val="es-ES_tradnl" w:eastAsia="es-CO"/>
        </w:rPr>
        <w:t xml:space="preserve">Restricciones para la celebración de contratos y convenios interadministrativos en los comicios de cargos de elección popular: prohibición del parágrafo del artículo 38 de la Ley 996 de 2005 </w:t>
      </w:r>
    </w:p>
    <w:p w14:paraId="06DF157E" w14:textId="77777777" w:rsidR="00450CAF" w:rsidRPr="004A1D82" w:rsidRDefault="00450CAF" w:rsidP="00450CAF">
      <w:pPr>
        <w:spacing w:line="276" w:lineRule="auto"/>
        <w:jc w:val="both"/>
        <w:rPr>
          <w:rFonts w:ascii="Arial" w:eastAsiaTheme="minorHAnsi" w:hAnsi="Arial" w:cs="Arial"/>
          <w:b/>
          <w:bCs/>
          <w:color w:val="000000" w:themeColor="text1"/>
          <w:sz w:val="22"/>
          <w:szCs w:val="22"/>
          <w:lang w:val="es-ES_tradnl" w:eastAsia="en-US"/>
        </w:rPr>
      </w:pPr>
    </w:p>
    <w:p w14:paraId="374833ED" w14:textId="77777777" w:rsidR="00450CAF" w:rsidRPr="004A1D82" w:rsidRDefault="00450CAF" w:rsidP="00450CAF">
      <w:pPr>
        <w:tabs>
          <w:tab w:val="left" w:pos="426"/>
        </w:tabs>
        <w:spacing w:after="120" w:line="276" w:lineRule="auto"/>
        <w:jc w:val="both"/>
        <w:rPr>
          <w:rFonts w:ascii="Arial" w:eastAsia="Calibri" w:hAnsi="Arial" w:cs="Arial"/>
          <w:bCs/>
          <w:color w:val="000000" w:themeColor="text1"/>
          <w:sz w:val="22"/>
          <w:szCs w:val="22"/>
          <w:lang w:val="es-ES_tradnl" w:eastAsia="en-US"/>
        </w:rPr>
      </w:pPr>
      <w:r w:rsidRPr="004A1D82">
        <w:rPr>
          <w:rFonts w:ascii="Arial" w:eastAsia="Calibri" w:hAnsi="Arial" w:cs="Arial"/>
          <w:bCs/>
          <w:color w:val="000000" w:themeColor="text1"/>
          <w:sz w:val="22"/>
          <w:szCs w:val="22"/>
          <w:lang w:val="es-ES_tradnl" w:eastAsia="en-US"/>
        </w:rPr>
        <w:t xml:space="preserve">El parágrafo del artículo 38 de la Ley 996 de 2005 dispone que «[l]os Gobernadores, </w:t>
      </w:r>
      <w:proofErr w:type="gramStart"/>
      <w:r w:rsidRPr="004A1D82">
        <w:rPr>
          <w:rFonts w:ascii="Arial" w:eastAsia="Calibri" w:hAnsi="Arial" w:cs="Arial"/>
          <w:bCs/>
          <w:color w:val="000000" w:themeColor="text1"/>
          <w:sz w:val="22"/>
          <w:szCs w:val="22"/>
          <w:lang w:val="es-ES_tradnl" w:eastAsia="en-US"/>
        </w:rPr>
        <w:t>Alcaldes</w:t>
      </w:r>
      <w:proofErr w:type="gramEnd"/>
      <w:r w:rsidRPr="004A1D82">
        <w:rPr>
          <w:rFonts w:ascii="Arial" w:eastAsia="Calibri" w:hAnsi="Arial" w:cs="Arial"/>
          <w:bCs/>
          <w:color w:val="000000" w:themeColor="text1"/>
          <w:sz w:val="22"/>
          <w:szCs w:val="22"/>
          <w:lang w:val="es-ES_tradnl" w:eastAsia="en-U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A1D82">
        <w:rPr>
          <w:rFonts w:ascii="Arial" w:hAnsi="Arial" w:cs="Arial"/>
          <w:bCs/>
          <w:iCs/>
          <w:color w:val="000000" w:themeColor="text1"/>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A1D82">
        <w:rPr>
          <w:rFonts w:ascii="Arial" w:hAnsi="Arial" w:cs="Arial"/>
          <w:color w:val="000000" w:themeColor="text1"/>
          <w:vertAlign w:val="superscript"/>
          <w:lang w:eastAsia="es-ES_tradnl"/>
        </w:rPr>
        <w:footnoteReference w:id="32"/>
      </w:r>
      <w:r w:rsidRPr="004A1D82">
        <w:rPr>
          <w:rFonts w:ascii="Arial" w:hAnsi="Arial" w:cs="Arial"/>
          <w:bCs/>
          <w:iCs/>
          <w:color w:val="000000" w:themeColor="text1"/>
          <w:sz w:val="22"/>
          <w:szCs w:val="22"/>
          <w:lang w:val="es-ES_tradnl" w:eastAsia="x-none"/>
        </w:rPr>
        <w:t>.</w:t>
      </w:r>
      <w:r w:rsidRPr="004A1D82">
        <w:rPr>
          <w:rFonts w:ascii="Arial" w:eastAsiaTheme="minorHAnsi" w:hAnsi="Arial" w:cs="Arial"/>
          <w:color w:val="000000" w:themeColor="text1"/>
          <w:szCs w:val="22"/>
          <w:lang w:val="es-ES_tradnl" w:eastAsia="en-US"/>
        </w:rPr>
        <w:t xml:space="preserve"> </w:t>
      </w:r>
    </w:p>
    <w:p w14:paraId="67FCEAEE" w14:textId="77777777" w:rsidR="00450CAF" w:rsidRPr="004A1D82" w:rsidRDefault="00450CAF" w:rsidP="00450CAF">
      <w:pPr>
        <w:widowControl w:val="0"/>
        <w:autoSpaceDE w:val="0"/>
        <w:autoSpaceDN w:val="0"/>
        <w:spacing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Calibri" w:hAnsi="Arial" w:cs="Arial"/>
          <w:bCs/>
          <w:color w:val="000000" w:themeColor="text1"/>
          <w:sz w:val="22"/>
          <w:szCs w:val="22"/>
          <w:lang w:val="es-ES_tradnl" w:eastAsia="es-ES" w:bidi="es-ES"/>
        </w:rPr>
        <w:t xml:space="preserve">Ahora bien, </w:t>
      </w:r>
      <w:bookmarkStart w:id="17" w:name="_Hlk78820161"/>
      <w:r w:rsidRPr="004A1D82">
        <w:rPr>
          <w:rFonts w:ascii="Arial" w:eastAsia="Calibri" w:hAnsi="Arial" w:cs="Arial"/>
          <w:bCs/>
          <w:color w:val="000000" w:themeColor="text1"/>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4A1D82">
        <w:rPr>
          <w:rFonts w:ascii="Arial" w:eastAsia="Arial" w:hAnsi="Arial" w:cs="Arial"/>
          <w:color w:val="000000" w:themeColor="text1"/>
          <w:sz w:val="22"/>
          <w:szCs w:val="22"/>
          <w:lang w:val="es-ES_tradnl" w:eastAsia="es-ES" w:bidi="es-ES"/>
        </w:rPr>
        <w:t>Aunque la ley no la definió ni desarrolló, el Decreto 1082 de 2015 califica a los convenios o contratos interadministrativos como aquella contratación entre entidades estatales</w:t>
      </w:r>
      <w:r w:rsidRPr="004A1D82">
        <w:rPr>
          <w:rFonts w:ascii="Arial" w:eastAsia="Arial" w:hAnsi="Arial" w:cs="Arial"/>
          <w:color w:val="000000" w:themeColor="text1"/>
          <w:vertAlign w:val="superscript"/>
          <w:lang w:eastAsia="es-ES_tradnl"/>
        </w:rPr>
        <w:footnoteReference w:id="33"/>
      </w:r>
      <w:r w:rsidRPr="004A1D82">
        <w:rPr>
          <w:rFonts w:ascii="Arial" w:eastAsia="Arial" w:hAnsi="Arial" w:cs="Arial"/>
          <w:color w:val="000000" w:themeColor="text1"/>
          <w:sz w:val="22"/>
          <w:szCs w:val="22"/>
          <w:lang w:val="es-ES_tradnl"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A1D82">
        <w:rPr>
          <w:rFonts w:ascii="Arial" w:eastAsia="Arial" w:hAnsi="Arial" w:cs="Arial"/>
          <w:color w:val="000000" w:themeColor="text1"/>
          <w:spacing w:val="-6"/>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p>
    <w:p w14:paraId="6CCD9283" w14:textId="77777777" w:rsidR="00450CAF" w:rsidRPr="004A1D82" w:rsidRDefault="00450CAF" w:rsidP="00450CAF">
      <w:pPr>
        <w:widowControl w:val="0"/>
        <w:autoSpaceDE w:val="0"/>
        <w:autoSpaceDN w:val="0"/>
        <w:spacing w:before="117" w:after="120" w:line="276" w:lineRule="auto"/>
        <w:ind w:firstLine="707"/>
        <w:jc w:val="both"/>
        <w:rPr>
          <w:rFonts w:ascii="Arial" w:eastAsia="Arial" w:hAnsi="Arial" w:cs="Arial"/>
          <w:color w:val="000000" w:themeColor="text1"/>
          <w:sz w:val="22"/>
          <w:szCs w:val="22"/>
          <w:lang w:val="es-ES_tradnl" w:eastAsia="es-ES" w:bidi="es-ES"/>
        </w:rPr>
      </w:pPr>
      <w:bookmarkStart w:id="18" w:name="_Hlk78820654"/>
      <w:bookmarkEnd w:id="17"/>
      <w:r w:rsidRPr="004A1D82">
        <w:rPr>
          <w:rFonts w:ascii="Arial" w:eastAsia="Arial" w:hAnsi="Arial" w:cs="Arial"/>
          <w:color w:val="000000" w:themeColor="text1"/>
          <w:sz w:val="22"/>
          <w:szCs w:val="22"/>
          <w:lang w:val="es-ES_tradnl" w:eastAsia="es-ES" w:bidi="es-ES"/>
        </w:rPr>
        <w:lastRenderedPageBreak/>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8"/>
    <w:p w14:paraId="257A9491" w14:textId="77777777" w:rsidR="00450CAF" w:rsidRPr="004A1D82" w:rsidRDefault="00450CAF" w:rsidP="00450CAF">
      <w:pPr>
        <w:widowControl w:val="0"/>
        <w:autoSpaceDE w:val="0"/>
        <w:autoSpaceDN w:val="0"/>
        <w:spacing w:before="121"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A1D82">
        <w:rPr>
          <w:rFonts w:ascii="Arial" w:eastAsia="Arial" w:hAnsi="Arial" w:cs="Arial"/>
          <w:color w:val="000000" w:themeColor="text1"/>
          <w:vertAlign w:val="superscript"/>
          <w:lang w:eastAsia="es-ES_tradnl"/>
        </w:rPr>
        <w:footnoteReference w:id="34"/>
      </w:r>
      <w:r w:rsidRPr="004A1D82">
        <w:rPr>
          <w:rFonts w:ascii="Arial" w:eastAsia="Arial" w:hAnsi="Arial" w:cs="Arial"/>
          <w:color w:val="000000" w:themeColor="text1"/>
          <w:sz w:val="22"/>
          <w:szCs w:val="22"/>
          <w:lang w:val="es-ES_tradnl" w:eastAsia="es-ES" w:bidi="es-ES"/>
        </w:rPr>
        <w:t>. Nótese que, en este caso, lo que cambia es la modalidad de selección y no la naturaleza de contrato</w:t>
      </w:r>
      <w:r w:rsidRPr="004A1D82">
        <w:rPr>
          <w:rFonts w:ascii="Arial" w:eastAsia="Arial" w:hAnsi="Arial" w:cs="Arial"/>
          <w:color w:val="000000" w:themeColor="text1"/>
          <w:spacing w:val="-18"/>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interadministrativo.</w:t>
      </w:r>
    </w:p>
    <w:p w14:paraId="6AA24495" w14:textId="77777777" w:rsidR="00450CAF" w:rsidRPr="004A1D82" w:rsidRDefault="00450CAF" w:rsidP="00450CAF">
      <w:pPr>
        <w:widowControl w:val="0"/>
        <w:autoSpaceDE w:val="0"/>
        <w:autoSpaceDN w:val="0"/>
        <w:spacing w:before="114"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A1D82">
        <w:rPr>
          <w:rFonts w:ascii="Arial" w:eastAsia="Arial" w:hAnsi="Arial" w:cs="Arial"/>
          <w:color w:val="000000" w:themeColor="text1"/>
          <w:spacing w:val="-13"/>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que:</w:t>
      </w:r>
    </w:p>
    <w:p w14:paraId="6E2DF406" w14:textId="77777777" w:rsidR="00450CAF" w:rsidRPr="004A1D82" w:rsidRDefault="00450CAF" w:rsidP="00450CAF">
      <w:pPr>
        <w:widowControl w:val="0"/>
        <w:autoSpaceDE w:val="0"/>
        <w:autoSpaceDN w:val="0"/>
        <w:spacing w:line="276" w:lineRule="auto"/>
        <w:ind w:firstLine="707"/>
        <w:jc w:val="both"/>
        <w:rPr>
          <w:rFonts w:ascii="Arial" w:eastAsia="Arial" w:hAnsi="Arial" w:cs="Arial"/>
          <w:color w:val="000000" w:themeColor="text1"/>
          <w:sz w:val="22"/>
          <w:szCs w:val="22"/>
          <w:lang w:val="es-ES_tradnl" w:eastAsia="es-ES" w:bidi="es-ES"/>
        </w:rPr>
      </w:pPr>
    </w:p>
    <w:p w14:paraId="73F77998" w14:textId="77777777" w:rsidR="00450CAF" w:rsidRPr="004A1D82" w:rsidRDefault="00450CAF" w:rsidP="00450CAF">
      <w:pPr>
        <w:ind w:left="709" w:right="709"/>
        <w:jc w:val="both"/>
        <w:rPr>
          <w:rFonts w:ascii="Arial" w:eastAsiaTheme="minorHAnsi" w:hAnsi="Arial" w:cs="Arial"/>
          <w:color w:val="000000" w:themeColor="text1"/>
          <w:sz w:val="21"/>
          <w:szCs w:val="22"/>
          <w:lang w:val="es-ES_tradnl" w:eastAsia="en-US"/>
        </w:rPr>
      </w:pPr>
      <w:r w:rsidRPr="004A1D82">
        <w:rPr>
          <w:rFonts w:ascii="Arial" w:eastAsiaTheme="minorHAnsi" w:hAnsi="Arial" w:cs="Arial"/>
          <w:color w:val="000000" w:themeColor="text1"/>
          <w:sz w:val="21"/>
          <w:szCs w:val="22"/>
          <w:lang w:val="es-ES_tradnl"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A1D82">
        <w:rPr>
          <w:rFonts w:ascii="Arial" w:eastAsiaTheme="minorHAnsi" w:hAnsi="Arial" w:cs="Arial"/>
          <w:color w:val="000000" w:themeColor="text1"/>
          <w:sz w:val="21"/>
          <w:szCs w:val="22"/>
          <w:lang w:val="es-ES_tradnl" w:eastAsia="en-US"/>
        </w:rPr>
        <w:t>ii</w:t>
      </w:r>
      <w:proofErr w:type="spellEnd"/>
      <w:r w:rsidRPr="004A1D82">
        <w:rPr>
          <w:rFonts w:ascii="Arial" w:eastAsiaTheme="minorHAnsi" w:hAnsi="Arial" w:cs="Arial"/>
          <w:color w:val="000000" w:themeColor="text1"/>
          <w:sz w:val="21"/>
          <w:szCs w:val="22"/>
          <w:lang w:val="es-ES_tradnl" w:eastAsia="en-US"/>
        </w:rPr>
        <w:t>) tienen como fuente la autonomía contractual; (</w:t>
      </w:r>
      <w:proofErr w:type="spellStart"/>
      <w:r w:rsidRPr="004A1D82">
        <w:rPr>
          <w:rFonts w:ascii="Arial" w:eastAsiaTheme="minorHAnsi" w:hAnsi="Arial" w:cs="Arial"/>
          <w:color w:val="000000" w:themeColor="text1"/>
          <w:sz w:val="21"/>
          <w:szCs w:val="22"/>
          <w:lang w:val="es-ES_tradnl" w:eastAsia="en-US"/>
        </w:rPr>
        <w:t>iii</w:t>
      </w:r>
      <w:proofErr w:type="spellEnd"/>
      <w:r w:rsidRPr="004A1D82">
        <w:rPr>
          <w:rFonts w:ascii="Arial" w:eastAsiaTheme="minorHAnsi" w:hAnsi="Arial" w:cs="Arial"/>
          <w:color w:val="000000" w:themeColor="text1"/>
          <w:sz w:val="21"/>
          <w:szCs w:val="22"/>
          <w:lang w:val="es-ES_tradnl" w:eastAsia="en-US"/>
        </w:rPr>
        <w:t>) son contratos nominados puesto que están mencionados en la ley; (</w:t>
      </w:r>
      <w:proofErr w:type="spellStart"/>
      <w:r w:rsidRPr="004A1D82">
        <w:rPr>
          <w:rFonts w:ascii="Arial" w:eastAsiaTheme="minorHAnsi" w:hAnsi="Arial" w:cs="Arial"/>
          <w:color w:val="000000" w:themeColor="text1"/>
          <w:sz w:val="21"/>
          <w:szCs w:val="22"/>
          <w:lang w:val="es-ES_tradnl" w:eastAsia="en-US"/>
        </w:rPr>
        <w:t>iv</w:t>
      </w:r>
      <w:proofErr w:type="spellEnd"/>
      <w:r w:rsidRPr="004A1D82">
        <w:rPr>
          <w:rFonts w:ascii="Arial" w:eastAsiaTheme="minorHAnsi" w:hAnsi="Arial" w:cs="Arial"/>
          <w:color w:val="000000" w:themeColor="text1"/>
          <w:sz w:val="21"/>
          <w:szCs w:val="22"/>
          <w:lang w:val="es-ES_tradnl" w:eastAsia="en-US"/>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w:t>
      </w:r>
      <w:r w:rsidRPr="004A1D82">
        <w:rPr>
          <w:rFonts w:ascii="Arial" w:eastAsiaTheme="minorHAnsi" w:hAnsi="Arial" w:cs="Arial"/>
          <w:color w:val="000000" w:themeColor="text1"/>
          <w:sz w:val="21"/>
          <w:szCs w:val="22"/>
          <w:lang w:val="es-ES_tradnl" w:eastAsia="en-US"/>
        </w:rPr>
        <w:lastRenderedPageBreak/>
        <w:t>consiguiente, también se obligan a las disposiciones que resulten pertinentes del Código Civil y del Código de Comercio; (vi) dan lugar a la creación de obligaciones jurídicamente exigibles; (</w:t>
      </w:r>
      <w:proofErr w:type="spellStart"/>
      <w:r w:rsidRPr="004A1D82">
        <w:rPr>
          <w:rFonts w:ascii="Arial" w:eastAsiaTheme="minorHAnsi" w:hAnsi="Arial" w:cs="Arial"/>
          <w:color w:val="000000" w:themeColor="text1"/>
          <w:sz w:val="21"/>
          <w:szCs w:val="22"/>
          <w:lang w:val="es-ES_tradnl" w:eastAsia="en-US"/>
        </w:rPr>
        <w:t>vii</w:t>
      </w:r>
      <w:proofErr w:type="spellEnd"/>
      <w:r w:rsidRPr="004A1D82">
        <w:rPr>
          <w:rFonts w:ascii="Arial" w:eastAsiaTheme="minorHAnsi" w:hAnsi="Arial" w:cs="Arial"/>
          <w:color w:val="000000" w:themeColor="text1"/>
          <w:sz w:val="21"/>
          <w:szCs w:val="22"/>
          <w:lang w:val="es-ES_tradnl" w:eastAsia="en-US"/>
        </w:rPr>
        <w:t>) persiguen  una finalidad común a través de la realización de intereses compartidos entre las entidades vinculadas; (</w:t>
      </w:r>
      <w:proofErr w:type="spellStart"/>
      <w:r w:rsidRPr="004A1D82">
        <w:rPr>
          <w:rFonts w:ascii="Arial" w:eastAsiaTheme="minorHAnsi" w:hAnsi="Arial" w:cs="Arial"/>
          <w:color w:val="000000" w:themeColor="text1"/>
          <w:sz w:val="21"/>
          <w:szCs w:val="22"/>
          <w:lang w:val="es-ES_tradnl" w:eastAsia="en-US"/>
        </w:rPr>
        <w:t>viii</w:t>
      </w:r>
      <w:proofErr w:type="spellEnd"/>
      <w:r w:rsidRPr="004A1D82">
        <w:rPr>
          <w:rFonts w:ascii="Arial" w:eastAsiaTheme="minorHAnsi" w:hAnsi="Arial" w:cs="Arial"/>
          <w:color w:val="000000" w:themeColor="text1"/>
          <w:sz w:val="21"/>
          <w:szCs w:val="22"/>
          <w:lang w:val="es-ES_tradnl" w:eastAsia="en-US"/>
        </w:rPr>
        <w:t>) la acción mediante la cual se deben ventilar las diferencias que sobre el particular surjan es la de controversias contractuales</w:t>
      </w:r>
      <w:r w:rsidRPr="004A1D82">
        <w:rPr>
          <w:rFonts w:ascii="Arial" w:eastAsiaTheme="minorHAnsi" w:hAnsi="Arial" w:cs="Arial"/>
          <w:color w:val="000000" w:themeColor="text1"/>
          <w:vertAlign w:val="superscript"/>
          <w:lang w:eastAsia="es-ES_tradnl"/>
        </w:rPr>
        <w:footnoteReference w:id="35"/>
      </w:r>
      <w:r w:rsidRPr="004A1D82">
        <w:rPr>
          <w:rFonts w:ascii="Arial" w:eastAsiaTheme="minorHAnsi" w:hAnsi="Arial" w:cs="Arial"/>
          <w:color w:val="000000" w:themeColor="text1"/>
          <w:sz w:val="21"/>
          <w:szCs w:val="22"/>
          <w:lang w:val="es-ES_tradnl" w:eastAsia="en-US"/>
        </w:rPr>
        <w:t>.</w:t>
      </w:r>
    </w:p>
    <w:p w14:paraId="7800C050" w14:textId="77777777" w:rsidR="00450CAF" w:rsidRPr="004A1D82" w:rsidRDefault="00450CAF" w:rsidP="00450CAF">
      <w:pPr>
        <w:spacing w:line="276" w:lineRule="auto"/>
        <w:ind w:left="709" w:right="709"/>
        <w:jc w:val="both"/>
        <w:rPr>
          <w:rFonts w:ascii="Arial" w:eastAsiaTheme="minorHAnsi" w:hAnsi="Arial" w:cs="Arial"/>
          <w:color w:val="000000" w:themeColor="text1"/>
          <w:sz w:val="22"/>
          <w:szCs w:val="22"/>
          <w:lang w:val="es-ES_tradnl" w:eastAsia="en-US"/>
        </w:rPr>
      </w:pPr>
    </w:p>
    <w:p w14:paraId="4FDEC641" w14:textId="77777777" w:rsidR="00450CAF" w:rsidRPr="004A1D82" w:rsidRDefault="00450CAF" w:rsidP="00450CAF">
      <w:pPr>
        <w:widowControl w:val="0"/>
        <w:autoSpaceDE w:val="0"/>
        <w:autoSpaceDN w:val="0"/>
        <w:spacing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30689BEF" w14:textId="77777777" w:rsidR="00450CAF" w:rsidRPr="004A1D82" w:rsidRDefault="00450CAF" w:rsidP="00450CAF">
      <w:pPr>
        <w:widowControl w:val="0"/>
        <w:autoSpaceDE w:val="0"/>
        <w:autoSpaceDN w:val="0"/>
        <w:spacing w:before="119"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Así las cosas, </w:t>
      </w:r>
      <w:bookmarkStart w:id="19" w:name="_Hlk102385813"/>
      <w:r w:rsidRPr="004A1D82">
        <w:rPr>
          <w:rFonts w:ascii="Arial" w:eastAsia="Arial" w:hAnsi="Arial" w:cs="Arial"/>
          <w:color w:val="000000" w:themeColor="text1"/>
          <w:sz w:val="22"/>
          <w:szCs w:val="22"/>
          <w:lang w:val="es-ES_tradnl" w:eastAsia="es-ES" w:bidi="es-ES"/>
        </w:rPr>
        <w:t>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A1D82">
        <w:rPr>
          <w:rFonts w:ascii="Arial" w:eastAsia="Arial" w:hAnsi="Arial" w:cs="Arial"/>
          <w:color w:val="000000" w:themeColor="text1"/>
          <w:spacing w:val="-3"/>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bookmarkEnd w:id="19"/>
      <w:r w:rsidRPr="004A1D82">
        <w:rPr>
          <w:rFonts w:ascii="Arial" w:eastAsia="Arial" w:hAnsi="Arial" w:cs="Arial"/>
          <w:color w:val="000000" w:themeColor="text1"/>
          <w:sz w:val="22"/>
          <w:szCs w:val="22"/>
          <w:lang w:val="es-ES_tradnl" w:eastAsia="es-ES" w:bidi="es-ES"/>
        </w:rPr>
        <w:t>.</w:t>
      </w:r>
    </w:p>
    <w:p w14:paraId="3832DE04" w14:textId="77777777" w:rsidR="00450CAF" w:rsidRPr="004A1D82" w:rsidRDefault="00450CAF" w:rsidP="00450CAF">
      <w:pPr>
        <w:widowControl w:val="0"/>
        <w:autoSpaceDE w:val="0"/>
        <w:autoSpaceDN w:val="0"/>
        <w:spacing w:before="120" w:after="20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A1D82">
        <w:rPr>
          <w:rFonts w:ascii="Arial" w:eastAsia="Arial" w:hAnsi="Arial" w:cs="Arial"/>
          <w:color w:val="000000" w:themeColor="text1"/>
          <w:spacing w:val="-4"/>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lastRenderedPageBreak/>
        <w:t>estatales.</w:t>
      </w:r>
    </w:p>
    <w:p w14:paraId="127C1027" w14:textId="77777777" w:rsidR="00450CAF" w:rsidRPr="004A1D82" w:rsidRDefault="00450CAF" w:rsidP="00450CAF">
      <w:pPr>
        <w:widowControl w:val="0"/>
        <w:autoSpaceDE w:val="0"/>
        <w:autoSpaceDN w:val="0"/>
        <w:spacing w:before="122" w:after="120" w:line="276" w:lineRule="auto"/>
        <w:ind w:firstLine="708"/>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C8473B2" w14:textId="77777777" w:rsidR="00450CAF" w:rsidRPr="004A1D82" w:rsidRDefault="00450CAF" w:rsidP="00450CAF">
      <w:pPr>
        <w:widowControl w:val="0"/>
        <w:autoSpaceDE w:val="0"/>
        <w:autoSpaceDN w:val="0"/>
        <w:spacing w:line="276" w:lineRule="auto"/>
        <w:ind w:firstLine="708"/>
        <w:jc w:val="both"/>
        <w:rPr>
          <w:rFonts w:ascii="Arial" w:eastAsia="Calibri" w:hAnsi="Arial" w:cs="Arial"/>
          <w:bCs/>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A1D82">
        <w:rPr>
          <w:rFonts w:ascii="Arial" w:eastAsia="Arial" w:hAnsi="Arial" w:cs="Arial"/>
          <w:color w:val="000000" w:themeColor="text1"/>
          <w:spacing w:val="-4"/>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w:t>
      </w:r>
      <w:r w:rsidRPr="004A1D82">
        <w:rPr>
          <w:rFonts w:ascii="Arial" w:eastAsia="Arial" w:hAnsi="Arial" w:cs="Arial"/>
          <w:color w:val="000000" w:themeColor="text1"/>
          <w:vertAlign w:val="superscript"/>
          <w:lang w:eastAsia="es-ES_tradnl"/>
        </w:rPr>
        <w:footnoteReference w:id="36"/>
      </w:r>
      <w:r w:rsidRPr="004A1D82">
        <w:rPr>
          <w:rFonts w:ascii="Arial" w:eastAsia="Arial" w:hAnsi="Arial" w:cs="Arial"/>
          <w:color w:val="000000" w:themeColor="text1"/>
          <w:sz w:val="22"/>
          <w:szCs w:val="22"/>
          <w:lang w:val="es-ES_tradnl" w:eastAsia="es-ES" w:bidi="es-ES"/>
        </w:rPr>
        <w:t>.</w:t>
      </w:r>
      <w:bookmarkStart w:id="20" w:name="_Hlk77171241"/>
    </w:p>
    <w:p w14:paraId="4057511A" w14:textId="77777777" w:rsidR="00450CAF" w:rsidRPr="004A1D82" w:rsidRDefault="00450CAF" w:rsidP="00450CAF">
      <w:pPr>
        <w:widowControl w:val="0"/>
        <w:autoSpaceDE w:val="0"/>
        <w:autoSpaceDN w:val="0"/>
        <w:spacing w:before="122"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expresó:</w:t>
      </w:r>
    </w:p>
    <w:p w14:paraId="70CF1953" w14:textId="77777777" w:rsidR="00450CAF" w:rsidRPr="004A1D82" w:rsidRDefault="00450CAF" w:rsidP="00450CAF">
      <w:pPr>
        <w:widowControl w:val="0"/>
        <w:autoSpaceDE w:val="0"/>
        <w:autoSpaceDN w:val="0"/>
        <w:spacing w:line="276" w:lineRule="auto"/>
        <w:ind w:firstLine="709"/>
        <w:jc w:val="both"/>
        <w:rPr>
          <w:rFonts w:ascii="Arial" w:eastAsia="Arial" w:hAnsi="Arial" w:cs="Arial"/>
          <w:color w:val="000000" w:themeColor="text1"/>
          <w:sz w:val="22"/>
          <w:szCs w:val="22"/>
          <w:lang w:val="es-ES_tradnl" w:eastAsia="es-ES" w:bidi="es-ES"/>
        </w:rPr>
      </w:pPr>
    </w:p>
    <w:p w14:paraId="540B7EE9" w14:textId="77777777" w:rsidR="00450CAF" w:rsidRPr="004A1D82" w:rsidRDefault="00450CAF" w:rsidP="00450CAF">
      <w:pPr>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La Sala de Consulta y Servicio Civil</w:t>
      </w:r>
      <w:r w:rsidRPr="004A1D82">
        <w:rPr>
          <w:rFonts w:ascii="Arial" w:eastAsiaTheme="minorHAnsi" w:hAnsi="Arial" w:cs="Arial"/>
          <w:color w:val="000000" w:themeColor="text1"/>
          <w:vertAlign w:val="superscript"/>
          <w:lang w:eastAsia="es-ES_tradnl"/>
        </w:rPr>
        <w:footnoteReference w:id="37"/>
      </w:r>
      <w:r w:rsidRPr="004A1D82">
        <w:rPr>
          <w:rFonts w:ascii="Arial" w:eastAsiaTheme="minorHAnsi" w:hAnsi="Arial" w:cs="Arial"/>
          <w:color w:val="000000" w:themeColor="text1"/>
          <w:sz w:val="21"/>
          <w:szCs w:val="21"/>
          <w:lang w:val="es-ES_tradnl" w:eastAsia="en-US"/>
        </w:rPr>
        <w:t xml:space="preserve"> de esta Corporación se ha referido a los </w:t>
      </w:r>
      <w:r w:rsidRPr="004A1D82">
        <w:rPr>
          <w:rFonts w:ascii="Arial" w:eastAsiaTheme="minorHAnsi" w:hAnsi="Arial" w:cs="Arial"/>
          <w:i/>
          <w:color w:val="000000" w:themeColor="text1"/>
          <w:sz w:val="21"/>
          <w:szCs w:val="21"/>
          <w:lang w:val="es-ES_tradnl" w:eastAsia="en-US"/>
        </w:rPr>
        <w:t>“convenios interadministrativos”</w:t>
      </w:r>
      <w:r w:rsidRPr="004A1D82">
        <w:rPr>
          <w:rFonts w:ascii="Arial" w:eastAsiaTheme="minorHAnsi" w:hAnsi="Arial" w:cs="Arial"/>
          <w:color w:val="000000" w:themeColor="text1"/>
          <w:sz w:val="21"/>
          <w:szCs w:val="21"/>
          <w:lang w:val="es-ES_tradnl" w:eastAsia="en-US"/>
        </w:rPr>
        <w:t xml:space="preserve"> a los cuales alude el artículo 95 de la Ley 489 de 1998, calificándolos de </w:t>
      </w:r>
      <w:r w:rsidRPr="004A1D82">
        <w:rPr>
          <w:rFonts w:ascii="Arial" w:eastAsiaTheme="minorHAnsi" w:hAnsi="Arial" w:cs="Arial"/>
          <w:i/>
          <w:color w:val="000000" w:themeColor="text1"/>
          <w:sz w:val="21"/>
          <w:szCs w:val="21"/>
          <w:lang w:val="es-ES_tradnl" w:eastAsia="en-US"/>
        </w:rPr>
        <w:t xml:space="preserve">“puros” </w:t>
      </w:r>
      <w:r w:rsidRPr="004A1D82">
        <w:rPr>
          <w:rFonts w:ascii="Arial" w:eastAsiaTheme="minorHAns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4A1D82">
        <w:rPr>
          <w:rFonts w:ascii="Arial" w:eastAsiaTheme="minorHAnsi" w:hAnsi="Arial" w:cs="Arial"/>
          <w:i/>
          <w:color w:val="000000" w:themeColor="text1"/>
          <w:sz w:val="21"/>
          <w:szCs w:val="21"/>
          <w:lang w:val="es-ES_tradnl" w:eastAsia="en-US"/>
        </w:rPr>
        <w:t>“intercambio patrimonial”</w:t>
      </w:r>
      <w:r w:rsidRPr="004A1D82">
        <w:rPr>
          <w:rFonts w:ascii="Arial" w:eastAsiaTheme="minorHAnsi" w:hAnsi="Arial" w:cs="Arial"/>
          <w:color w:val="000000" w:themeColor="text1"/>
          <w:sz w:val="21"/>
          <w:szCs w:val="21"/>
          <w:lang w:val="es-ES_tradnl" w:eastAsia="en-US"/>
        </w:rPr>
        <w:t>. Sin perjuicio de lo anterior, en otra oportunidad, la misma Sala</w:t>
      </w:r>
      <w:r w:rsidRPr="004A1D82">
        <w:rPr>
          <w:rFonts w:ascii="Arial" w:eastAsiaTheme="minorHAnsi" w:hAnsi="Arial" w:cs="Arial"/>
          <w:color w:val="000000" w:themeColor="text1"/>
          <w:vertAlign w:val="superscript"/>
          <w:lang w:eastAsia="es-ES_tradnl"/>
        </w:rPr>
        <w:footnoteReference w:id="38"/>
      </w:r>
      <w:r w:rsidRPr="004A1D82">
        <w:rPr>
          <w:rFonts w:ascii="Arial" w:eastAsiaTheme="minorHAnsi" w:hAnsi="Arial" w:cs="Arial"/>
          <w:color w:val="000000" w:themeColor="text1"/>
          <w:sz w:val="21"/>
          <w:szCs w:val="21"/>
          <w:lang w:val="es-ES_tradnl" w:eastAsia="en-US"/>
        </w:rPr>
        <w:t xml:space="preserve"> había indicado que, si bien en dichos convenios no se daba un </w:t>
      </w:r>
      <w:r w:rsidRPr="004A1D82">
        <w:rPr>
          <w:rFonts w:ascii="Arial" w:eastAsiaTheme="minorHAnsi" w:hAnsi="Arial" w:cs="Arial"/>
          <w:i/>
          <w:color w:val="000000" w:themeColor="text1"/>
          <w:sz w:val="21"/>
          <w:szCs w:val="21"/>
          <w:lang w:val="es-ES_tradnl" w:eastAsia="en-US"/>
        </w:rPr>
        <w:t xml:space="preserve">“verdadero intercambio de bienes o </w:t>
      </w:r>
      <w:r w:rsidRPr="004A1D82">
        <w:rPr>
          <w:rFonts w:ascii="Arial" w:eastAsiaTheme="minorHAnsi" w:hAnsi="Arial" w:cs="Arial"/>
          <w:i/>
          <w:color w:val="000000" w:themeColor="text1"/>
          <w:sz w:val="21"/>
          <w:szCs w:val="21"/>
          <w:lang w:val="es-ES_tradnl" w:eastAsia="en-US"/>
        </w:rPr>
        <w:lastRenderedPageBreak/>
        <w:t>servicios (contrato conmutativo)”</w:t>
      </w:r>
      <w:r w:rsidRPr="004A1D82">
        <w:rPr>
          <w:rFonts w:ascii="Arial" w:eastAsiaTheme="minorHAnsi" w:hAnsi="Arial" w:cs="Arial"/>
          <w:color w:val="000000" w:themeColor="text1"/>
          <w:sz w:val="21"/>
          <w:szCs w:val="21"/>
          <w:lang w:val="es-ES_tradnl" w:eastAsia="en-US"/>
        </w:rPr>
        <w:t>, ello no impedía que se conviniera una remuneración a cargo de alguna(s) entidad(es).</w:t>
      </w:r>
    </w:p>
    <w:p w14:paraId="581090ED" w14:textId="77777777" w:rsidR="00450CAF" w:rsidRPr="004A1D82" w:rsidRDefault="00450CAF" w:rsidP="00450CAF">
      <w:pPr>
        <w:ind w:left="709" w:right="709"/>
        <w:jc w:val="both"/>
        <w:rPr>
          <w:rFonts w:ascii="Arial" w:eastAsiaTheme="minorHAnsi" w:hAnsi="Arial" w:cs="Arial"/>
          <w:color w:val="000000" w:themeColor="text1"/>
          <w:sz w:val="21"/>
          <w:szCs w:val="21"/>
          <w:lang w:val="es-ES_tradnl" w:eastAsia="en-US"/>
        </w:rPr>
      </w:pPr>
    </w:p>
    <w:p w14:paraId="0E94BD9A" w14:textId="77777777" w:rsidR="00450CAF" w:rsidRPr="004A1D82" w:rsidRDefault="00450CAF" w:rsidP="00450CAF">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4A1D82">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4A1D82">
        <w:rPr>
          <w:rFonts w:ascii="Arial" w:eastAsia="Arial" w:hAnsi="Arial" w:cs="Arial"/>
          <w:i/>
          <w:color w:val="000000" w:themeColor="text1"/>
          <w:sz w:val="21"/>
          <w:szCs w:val="21"/>
          <w:lang w:val="es-ES_tradnl" w:eastAsia="es-ES" w:bidi="es-ES"/>
        </w:rPr>
        <w:t>“convenios interadministrativos”</w:t>
      </w:r>
      <w:r w:rsidRPr="004A1D82">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A1D82">
        <w:rPr>
          <w:rFonts w:ascii="Arial" w:eastAsia="Arial" w:hAnsi="Arial" w:cs="Arial"/>
          <w:color w:val="000000" w:themeColor="text1"/>
          <w:vertAlign w:val="superscript"/>
          <w:lang w:eastAsia="es-ES_tradnl"/>
        </w:rPr>
        <w:footnoteReference w:id="39"/>
      </w:r>
      <w:r w:rsidRPr="004A1D82">
        <w:rPr>
          <w:rFonts w:ascii="Arial" w:eastAsia="Arial" w:hAnsi="Arial" w:cs="Arial"/>
          <w:color w:val="000000" w:themeColor="text1"/>
          <w:vertAlign w:val="superscript"/>
          <w:lang w:eastAsia="es-ES_tradnl"/>
        </w:rPr>
        <w:footnoteReference w:id="40"/>
      </w:r>
      <w:r w:rsidRPr="004A1D82">
        <w:rPr>
          <w:rFonts w:ascii="Arial" w:eastAsia="Arial" w:hAnsi="Arial" w:cs="Arial"/>
          <w:color w:val="000000" w:themeColor="text1"/>
          <w:sz w:val="21"/>
          <w:szCs w:val="21"/>
          <w:lang w:val="es-ES_tradnl" w:eastAsia="es-ES" w:bidi="es-ES"/>
        </w:rPr>
        <w:t>.</w:t>
      </w:r>
    </w:p>
    <w:p w14:paraId="7B3A66D4" w14:textId="77777777" w:rsidR="00450CAF" w:rsidRPr="004A1D82" w:rsidRDefault="00450CAF" w:rsidP="00450CAF">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p>
    <w:p w14:paraId="0A87C177" w14:textId="77777777" w:rsidR="00450CAF" w:rsidRPr="004A1D82" w:rsidRDefault="00450CAF" w:rsidP="00450CAF">
      <w:pPr>
        <w:widowControl w:val="0"/>
        <w:autoSpaceDE w:val="0"/>
        <w:autoSpaceDN w:val="0"/>
        <w:spacing w:after="120" w:line="276" w:lineRule="auto"/>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b/>
        <w:t>En todo caso, debe reiterarse que el ordenamiento jurídico, en distintas ocasiones utiliza de forma indistinta los conceptos de contrato o convenio para referirse a la misma institución jurídica</w:t>
      </w:r>
      <w:r w:rsidRPr="004A1D82">
        <w:rPr>
          <w:rFonts w:ascii="Arial" w:eastAsia="Arial" w:hAnsi="Arial" w:cs="Arial"/>
          <w:color w:val="000000" w:themeColor="text1"/>
          <w:vertAlign w:val="superscript"/>
          <w:lang w:eastAsia="es-ES_tradnl"/>
        </w:rPr>
        <w:footnoteReference w:id="41"/>
      </w:r>
      <w:r w:rsidRPr="004A1D82">
        <w:rPr>
          <w:rFonts w:ascii="Arial" w:eastAsia="Arial" w:hAnsi="Arial" w:cs="Arial"/>
          <w:color w:val="000000" w:themeColor="text1"/>
          <w:sz w:val="22"/>
          <w:szCs w:val="22"/>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4A1D82">
        <w:rPr>
          <w:rFonts w:ascii="Arial" w:eastAsia="Arial" w:hAnsi="Arial" w:cs="Arial"/>
          <w:color w:val="000000" w:themeColor="text1"/>
          <w:vertAlign w:val="superscript"/>
          <w:lang w:eastAsia="es-ES_tradnl"/>
        </w:rPr>
        <w:footnoteReference w:id="42"/>
      </w:r>
      <w:r w:rsidRPr="004A1D82">
        <w:rPr>
          <w:rFonts w:ascii="Arial" w:eastAsia="Arial" w:hAnsi="Arial" w:cs="Arial"/>
          <w:color w:val="000000" w:themeColor="text1"/>
          <w:sz w:val="22"/>
          <w:szCs w:val="22"/>
          <w:lang w:val="es-ES_tradnl" w:eastAsia="es-ES" w:bidi="es-ES"/>
        </w:rPr>
        <w:t>.</w:t>
      </w:r>
    </w:p>
    <w:p w14:paraId="15159BD2" w14:textId="77777777" w:rsidR="00450CAF" w:rsidRPr="004A1D82" w:rsidRDefault="00450CAF" w:rsidP="00450CAF">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w:t>
      </w:r>
      <w:r w:rsidRPr="004A1D82">
        <w:rPr>
          <w:rFonts w:ascii="Arial" w:eastAsia="Arial" w:hAnsi="Arial" w:cs="Arial"/>
          <w:color w:val="000000" w:themeColor="text1"/>
          <w:sz w:val="22"/>
          <w:szCs w:val="22"/>
          <w:lang w:val="es-ES_tradnl" w:eastAsia="es-ES" w:bidi="es-ES"/>
        </w:rPr>
        <w:lastRenderedPageBreak/>
        <w:t>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relevante en este concepto para la aplicación de la Ley de Garantías. En este sentido, la Circular Externa Única, refiriéndose al parágrafo del artículo 38 de la Ley 996 de 2005, expresa:</w:t>
      </w:r>
    </w:p>
    <w:p w14:paraId="7907737E" w14:textId="77777777" w:rsidR="00450CAF" w:rsidRPr="004A1D82" w:rsidRDefault="00450CAF" w:rsidP="00450CAF">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p>
    <w:p w14:paraId="2DE6AF6C" w14:textId="77777777" w:rsidR="00450CAF" w:rsidRPr="004A1D82" w:rsidRDefault="00450CAF" w:rsidP="00450CAF">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5E48573" w14:textId="77777777" w:rsidR="00450CAF" w:rsidRPr="004A1D82" w:rsidRDefault="00450CAF" w:rsidP="00450CAF">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2AE03DA2" w14:textId="77777777" w:rsidR="00450CAF" w:rsidRPr="004A1D82" w:rsidRDefault="00450CAF" w:rsidP="000E71B9">
      <w:pPr>
        <w:ind w:left="709" w:right="709"/>
        <w:jc w:val="both"/>
        <w:rPr>
          <w:rFonts w:ascii="Arial" w:eastAsiaTheme="minorHAnsi" w:hAnsi="Arial" w:cs="Arial"/>
          <w:color w:val="000000" w:themeColor="text1"/>
          <w:szCs w:val="22"/>
          <w:lang w:val="es-ES_tradnl" w:eastAsia="en-US"/>
        </w:rPr>
      </w:pPr>
      <w:r w:rsidRPr="004A1D82">
        <w:rPr>
          <w:rFonts w:ascii="Arial" w:eastAsiaTheme="minorHAnsi" w:hAnsi="Arial" w:cs="Arial"/>
          <w:color w:val="000000" w:themeColor="text1"/>
          <w:sz w:val="21"/>
          <w:szCs w:val="21"/>
          <w:lang w:val="es-ES_tradnl"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7A933CF" w14:textId="77777777" w:rsidR="00450CAF" w:rsidRPr="004A1D82" w:rsidRDefault="00450CAF" w:rsidP="00450CAF">
      <w:pPr>
        <w:widowControl w:val="0"/>
        <w:autoSpaceDE w:val="0"/>
        <w:autoSpaceDN w:val="0"/>
        <w:spacing w:before="3" w:line="276" w:lineRule="auto"/>
        <w:jc w:val="both"/>
        <w:rPr>
          <w:rFonts w:ascii="Arial" w:eastAsia="Arial" w:hAnsi="Arial" w:cs="Arial"/>
          <w:color w:val="000000" w:themeColor="text1"/>
          <w:sz w:val="22"/>
          <w:szCs w:val="22"/>
          <w:lang w:val="es-ES_tradnl" w:eastAsia="es-ES" w:bidi="es-ES"/>
        </w:rPr>
      </w:pPr>
    </w:p>
    <w:p w14:paraId="313582BD" w14:textId="77777777" w:rsidR="00450CAF" w:rsidRPr="004A1D82" w:rsidRDefault="00450CAF" w:rsidP="00450CAF">
      <w:pPr>
        <w:widowControl w:val="0"/>
        <w:autoSpaceDE w:val="0"/>
        <w:autoSpaceDN w:val="0"/>
        <w:spacing w:after="120" w:line="276" w:lineRule="auto"/>
        <w:jc w:val="both"/>
        <w:rPr>
          <w:rFonts w:ascii="Arial" w:eastAsia="Calibri" w:hAnsi="Arial" w:cs="Arial"/>
          <w:bCs/>
          <w:color w:val="000000" w:themeColor="text1"/>
          <w:sz w:val="22"/>
          <w:szCs w:val="22"/>
          <w:lang w:val="es-ES_tradnl" w:eastAsia="es-ES" w:bidi="es-ES"/>
        </w:rPr>
      </w:pPr>
      <w:r w:rsidRPr="004A1D82">
        <w:rPr>
          <w:rFonts w:ascii="Arial" w:eastAsia="Arial" w:hAnsi="Arial" w:cs="Arial"/>
          <w:color w:val="000000" w:themeColor="text1"/>
          <w:sz w:val="25"/>
          <w:szCs w:val="22"/>
          <w:lang w:val="es-ES_tradnl" w:eastAsia="es-ES" w:bidi="es-ES"/>
        </w:rPr>
        <w:tab/>
      </w:r>
      <w:r w:rsidRPr="004A1D82">
        <w:rPr>
          <w:rFonts w:ascii="Arial" w:eastAsia="Arial" w:hAnsi="Arial" w:cs="Arial"/>
          <w:color w:val="000000" w:themeColor="text1"/>
          <w:sz w:val="22"/>
          <w:szCs w:val="22"/>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0"/>
    </w:p>
    <w:p w14:paraId="6CE54DEC" w14:textId="77777777" w:rsidR="00450CAF" w:rsidRPr="004A1D82" w:rsidRDefault="00450CAF" w:rsidP="00450CAF">
      <w:pPr>
        <w:tabs>
          <w:tab w:val="left" w:pos="426"/>
        </w:tabs>
        <w:spacing w:after="120"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lastRenderedPageBreak/>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A1D82">
        <w:rPr>
          <w:rFonts w:ascii="Arial" w:hAnsi="Arial" w:cs="Arial"/>
          <w:bCs/>
          <w:i/>
          <w:iCs/>
          <w:color w:val="000000" w:themeColor="text1"/>
          <w:sz w:val="22"/>
          <w:szCs w:val="22"/>
          <w:lang w:val="es-ES_tradnl" w:eastAsia="es-CO"/>
        </w:rPr>
        <w:t>ibidem</w:t>
      </w:r>
      <w:r w:rsidRPr="004A1D82">
        <w:rPr>
          <w:rFonts w:ascii="Arial" w:hAnsi="Arial" w:cs="Arial"/>
          <w:bCs/>
          <w:color w:val="000000" w:themeColor="text1"/>
          <w:sz w:val="22"/>
          <w:szCs w:val="22"/>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4A1D82">
        <w:rPr>
          <w:rFonts w:ascii="Arial" w:hAnsi="Arial" w:cs="Arial"/>
          <w:color w:val="000000" w:themeColor="text1"/>
          <w:vertAlign w:val="superscript"/>
          <w:lang w:eastAsia="es-ES_tradnl"/>
        </w:rPr>
        <w:footnoteReference w:id="43"/>
      </w:r>
      <w:r w:rsidRPr="004A1D82">
        <w:rPr>
          <w:rFonts w:ascii="Arial" w:hAnsi="Arial" w:cs="Arial"/>
          <w:bCs/>
          <w:color w:val="000000" w:themeColor="text1"/>
          <w:sz w:val="22"/>
          <w:szCs w:val="22"/>
          <w:lang w:val="es-ES_tradnl" w:eastAsia="es-CO"/>
        </w:rPr>
        <w:t xml:space="preserve">. </w:t>
      </w:r>
    </w:p>
    <w:p w14:paraId="751D6B8E" w14:textId="7AEAE068" w:rsidR="00450CAF" w:rsidRPr="00EA032F" w:rsidRDefault="00450CAF" w:rsidP="000E71B9">
      <w:pPr>
        <w:spacing w:before="120" w:line="276" w:lineRule="auto"/>
        <w:ind w:right="-65" w:firstLine="709"/>
        <w:jc w:val="both"/>
        <w:rPr>
          <w:rFonts w:ascii="Arial" w:eastAsia="Calibri" w:hAnsi="Arial" w:cs="Arial"/>
          <w:color w:val="000000" w:themeColor="text1"/>
          <w:sz w:val="22"/>
          <w:szCs w:val="22"/>
          <w:lang w:val="es-ES_tradnl" w:eastAsia="es-ES" w:bidi="es-ES"/>
        </w:rPr>
      </w:pPr>
      <w:r w:rsidRPr="004A1D82">
        <w:rPr>
          <w:rFonts w:ascii="Arial" w:hAnsi="Arial" w:cs="Arial"/>
          <w:bCs/>
          <w:color w:val="000000" w:themeColor="text1"/>
          <w:sz w:val="22"/>
          <w:szCs w:val="22"/>
          <w:lang w:val="es-ES_tradnl" w:eastAsia="es-CO" w:bidi="es-ES"/>
        </w:rPr>
        <w:t>En todo caso</w:t>
      </w:r>
      <w:bookmarkStart w:id="21" w:name="_Hlk77154098"/>
      <w:r w:rsidRPr="004A1D82">
        <w:rPr>
          <w:rFonts w:ascii="Arial" w:eastAsia="Arial" w:hAnsi="Arial" w:cs="Arial"/>
          <w:color w:val="000000" w:themeColor="text1"/>
          <w:sz w:val="22"/>
          <w:szCs w:val="22"/>
          <w:lang w:val="es-ES_tradnl" w:eastAsia="es-ES" w:bidi="es-ES"/>
        </w:rPr>
        <w:t xml:space="preserve">, es importante resaltar que la Sala de Consulta y Servicio Civil del Consejo de Estado se ha pronunciado en el sentido de que </w:t>
      </w:r>
      <w:bookmarkStart w:id="22" w:name="_Hlk78820889"/>
      <w:r w:rsidRPr="004A1D82">
        <w:rPr>
          <w:rFonts w:ascii="Arial" w:eastAsia="Arial" w:hAnsi="Arial" w:cs="Arial"/>
          <w:color w:val="000000" w:themeColor="text1"/>
          <w:sz w:val="22"/>
          <w:szCs w:val="22"/>
          <w:lang w:val="es-ES_tradnl"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2"/>
      <w:r w:rsidR="001F1F3F">
        <w:rPr>
          <w:rFonts w:ascii="Arial" w:eastAsia="Arial" w:hAnsi="Arial" w:cs="Arial"/>
          <w:color w:val="000000" w:themeColor="text1"/>
          <w:sz w:val="22"/>
          <w:szCs w:val="22"/>
          <w:lang w:val="es-ES_tradnl" w:eastAsia="es-ES" w:bidi="es-ES"/>
        </w:rPr>
        <w:t xml:space="preserve">, </w:t>
      </w:r>
      <w:r w:rsidR="001F1F3F" w:rsidRPr="00AA6559">
        <w:rPr>
          <w:rFonts w:ascii="Arial" w:eastAsia="Arial" w:hAnsi="Arial" w:cs="Arial"/>
          <w:sz w:val="22"/>
          <w:szCs w:val="22"/>
          <w:lang w:val="es-ES_tradnl" w:eastAsia="es-ES" w:bidi="es-ES"/>
        </w:rPr>
        <w:t xml:space="preserve">lo que también es señalado en el numeral 15.3 de la Circular Externa Única de Colombia Compra Eficiente, apoyándose en </w:t>
      </w:r>
      <w:r w:rsidR="001F1F3F" w:rsidRPr="00EA032F">
        <w:rPr>
          <w:rFonts w:ascii="Arial" w:eastAsia="Arial" w:hAnsi="Arial" w:cs="Arial"/>
          <w:sz w:val="22"/>
          <w:szCs w:val="22"/>
          <w:lang w:val="es-ES_tradnl" w:eastAsia="es-ES" w:bidi="es-ES"/>
        </w:rPr>
        <w:t>lo indicado por la Sala de Consulta y Servicio Civil del Consejo de Estado</w:t>
      </w:r>
      <w:r w:rsidR="001F1F3F" w:rsidRPr="00EA032F">
        <w:rPr>
          <w:rFonts w:ascii="Arial" w:eastAsia="Arial" w:hAnsi="Arial" w:cs="Arial"/>
          <w:sz w:val="22"/>
          <w:szCs w:val="22"/>
          <w:vertAlign w:val="superscript"/>
          <w:lang w:val="es-ES_tradnl" w:eastAsia="es-ES" w:bidi="es-ES"/>
        </w:rPr>
        <w:footnoteReference w:id="44"/>
      </w:r>
      <w:r w:rsidR="001F1F3F" w:rsidRPr="00EA032F">
        <w:rPr>
          <w:rFonts w:ascii="Arial" w:eastAsia="Calibri" w:hAnsi="Arial" w:cs="Arial"/>
          <w:sz w:val="22"/>
          <w:szCs w:val="22"/>
          <w:lang w:val="es-ES_tradnl" w:eastAsia="es-ES" w:bidi="es-ES"/>
        </w:rPr>
        <w:t>.</w:t>
      </w:r>
      <w:bookmarkEnd w:id="21"/>
    </w:p>
    <w:p w14:paraId="1ECE7614" w14:textId="77777777" w:rsidR="00FA5C2A" w:rsidRPr="00EA032F" w:rsidRDefault="00FA5C2A" w:rsidP="00490E94">
      <w:pPr>
        <w:ind w:right="-65" w:firstLine="709"/>
        <w:jc w:val="both"/>
        <w:rPr>
          <w:rFonts w:ascii="Arial" w:hAnsi="Arial" w:cs="Arial"/>
          <w:b/>
          <w:color w:val="161616" w:themeColor="background1" w:themeShade="1A"/>
          <w:sz w:val="22"/>
          <w:szCs w:val="22"/>
          <w:lang w:val="es-ES_tradnl" w:eastAsia="es-CO"/>
        </w:rPr>
      </w:pPr>
    </w:p>
    <w:p w14:paraId="20E3265B" w14:textId="01782792" w:rsidR="00FA5C2A" w:rsidRPr="00EA032F" w:rsidRDefault="00CB4D61" w:rsidP="00FA5C2A">
      <w:pPr>
        <w:spacing w:line="276" w:lineRule="auto"/>
        <w:ind w:right="49"/>
        <w:jc w:val="both"/>
        <w:rPr>
          <w:rFonts w:ascii="Arial" w:hAnsi="Arial" w:cs="Arial"/>
          <w:b/>
          <w:color w:val="000000" w:themeColor="text1"/>
          <w:sz w:val="22"/>
          <w:szCs w:val="22"/>
          <w:lang w:val="es-MX" w:eastAsia="x-none"/>
        </w:rPr>
      </w:pPr>
      <w:r w:rsidRPr="00EA032F">
        <w:rPr>
          <w:rFonts w:ascii="Arial" w:hAnsi="Arial" w:cs="Arial"/>
          <w:b/>
          <w:color w:val="000000" w:themeColor="text1"/>
          <w:sz w:val="22"/>
          <w:szCs w:val="22"/>
          <w:lang w:val="es-MX" w:eastAsia="x-none"/>
        </w:rPr>
        <w:t>2.</w:t>
      </w:r>
      <w:r w:rsidR="009D2749" w:rsidRPr="00EA032F">
        <w:rPr>
          <w:rFonts w:ascii="Arial" w:hAnsi="Arial" w:cs="Arial"/>
          <w:b/>
          <w:color w:val="000000" w:themeColor="text1"/>
          <w:sz w:val="22"/>
          <w:szCs w:val="22"/>
          <w:lang w:val="es-MX" w:eastAsia="x-none"/>
        </w:rPr>
        <w:t>4</w:t>
      </w:r>
      <w:r w:rsidR="001F1F3F" w:rsidRPr="00EA032F">
        <w:rPr>
          <w:rFonts w:ascii="Arial" w:hAnsi="Arial" w:cs="Arial"/>
          <w:b/>
          <w:color w:val="000000" w:themeColor="text1"/>
          <w:sz w:val="22"/>
          <w:szCs w:val="22"/>
          <w:lang w:val="es-MX" w:eastAsia="x-none"/>
        </w:rPr>
        <w:t>.</w:t>
      </w:r>
      <w:r w:rsidR="00453F50" w:rsidRPr="00EA032F">
        <w:rPr>
          <w:rFonts w:ascii="Arial" w:hAnsi="Arial" w:cs="Arial"/>
          <w:b/>
          <w:color w:val="000000" w:themeColor="text1"/>
          <w:sz w:val="22"/>
          <w:szCs w:val="22"/>
          <w:lang w:val="es-MX" w:eastAsia="x-none"/>
        </w:rPr>
        <w:t xml:space="preserve"> </w:t>
      </w:r>
      <w:r w:rsidR="001F1F3F" w:rsidRPr="00EA032F">
        <w:rPr>
          <w:rFonts w:ascii="Arial" w:hAnsi="Arial" w:cs="Arial"/>
          <w:b/>
          <w:color w:val="000000" w:themeColor="text1"/>
          <w:sz w:val="22"/>
          <w:szCs w:val="22"/>
          <w:lang w:val="es-MX" w:eastAsia="x-none"/>
        </w:rPr>
        <w:t>C</w:t>
      </w:r>
      <w:r w:rsidR="00453F50" w:rsidRPr="00EA032F">
        <w:rPr>
          <w:rFonts w:ascii="Arial" w:hAnsi="Arial" w:cs="Arial"/>
          <w:b/>
          <w:color w:val="000000" w:themeColor="text1"/>
          <w:sz w:val="22"/>
          <w:szCs w:val="22"/>
          <w:lang w:val="es-MX" w:eastAsia="x-none"/>
        </w:rPr>
        <w:t>ontratos de concurrencia para el pago del pasivo pensional de</w:t>
      </w:r>
      <w:r w:rsidR="00722B6B" w:rsidRPr="00EA032F">
        <w:rPr>
          <w:rFonts w:ascii="Arial" w:hAnsi="Arial" w:cs="Arial"/>
          <w:b/>
          <w:color w:val="000000" w:themeColor="text1"/>
          <w:sz w:val="22"/>
          <w:szCs w:val="22"/>
          <w:lang w:val="es-MX" w:eastAsia="x-none"/>
        </w:rPr>
        <w:t xml:space="preserve"> instituciones del</w:t>
      </w:r>
      <w:r w:rsidR="00453F50" w:rsidRPr="00EA032F">
        <w:rPr>
          <w:rFonts w:ascii="Arial" w:hAnsi="Arial" w:cs="Arial"/>
          <w:b/>
          <w:color w:val="000000" w:themeColor="text1"/>
          <w:sz w:val="22"/>
          <w:szCs w:val="22"/>
          <w:lang w:val="es-MX" w:eastAsia="x-none"/>
        </w:rPr>
        <w:t xml:space="preserve"> sector salud</w:t>
      </w:r>
    </w:p>
    <w:p w14:paraId="0E94908E" w14:textId="77777777" w:rsidR="001E207B" w:rsidRPr="00EA032F" w:rsidRDefault="001E207B" w:rsidP="00490E94">
      <w:pPr>
        <w:spacing w:line="276" w:lineRule="auto"/>
        <w:ind w:right="786"/>
        <w:jc w:val="both"/>
        <w:rPr>
          <w:rFonts w:ascii="Arial" w:hAnsi="Arial" w:cs="Arial"/>
          <w:bCs/>
          <w:color w:val="161616" w:themeColor="background1" w:themeShade="1A"/>
          <w:sz w:val="22"/>
          <w:szCs w:val="22"/>
          <w:lang w:val="es-ES_tradnl" w:eastAsia="es-CO"/>
        </w:rPr>
      </w:pPr>
    </w:p>
    <w:p w14:paraId="208AECD7" w14:textId="7992B120" w:rsidR="00BC0877" w:rsidRPr="00EA032F" w:rsidRDefault="00BC0877" w:rsidP="00E07CA2">
      <w:pPr>
        <w:spacing w:after="120" w:line="276" w:lineRule="auto"/>
        <w:jc w:val="both"/>
        <w:rPr>
          <w:rFonts w:ascii="Arial" w:eastAsia="Arial" w:hAnsi="Arial" w:cs="Arial"/>
          <w:sz w:val="22"/>
          <w:szCs w:val="22"/>
        </w:rPr>
      </w:pPr>
      <w:bookmarkStart w:id="23" w:name="_Hlk102385891"/>
      <w:r w:rsidRPr="00EA032F">
        <w:rPr>
          <w:rFonts w:ascii="Arial" w:eastAsia="Arial" w:hAnsi="Arial" w:cs="Arial"/>
          <w:sz w:val="22"/>
          <w:szCs w:val="22"/>
        </w:rPr>
        <w:t>La Ley 60 de 1993 creó el Fondo del Pasivo Prestacional del Sector Salud – Ministerio de Salud con el objeto de garantizar el pago de acreencias laborales de extrabajadores del sector, tales como cesantías, reservas para pensiones y pensiones de jubilación de los servidores retirados de las instituciones hospitalarias, que reuniendo los requisitos legales, fueran reconocidos como beneficiarios a 31 de diciembre de 1993.</w:t>
      </w:r>
    </w:p>
    <w:bookmarkEnd w:id="23"/>
    <w:p w14:paraId="6452E34C" w14:textId="641E000B" w:rsidR="00BC6023" w:rsidRPr="00EA032F" w:rsidRDefault="00BC6023" w:rsidP="000E5FF8">
      <w:pPr>
        <w:spacing w:after="120" w:line="276" w:lineRule="auto"/>
        <w:ind w:firstLine="708"/>
        <w:jc w:val="both"/>
        <w:rPr>
          <w:rFonts w:ascii="Arial" w:hAnsi="Arial" w:cs="Arial"/>
          <w:sz w:val="22"/>
          <w:lang w:eastAsia="es-MX"/>
        </w:rPr>
      </w:pPr>
      <w:r w:rsidRPr="00EA032F">
        <w:rPr>
          <w:rFonts w:ascii="Arial" w:hAnsi="Arial" w:cs="Arial"/>
          <w:sz w:val="22"/>
          <w:lang w:eastAsia="es-MX"/>
        </w:rPr>
        <w:t>Así, el numeral 3 del artículo 33 de esa ley dispuso que</w:t>
      </w:r>
      <w:r w:rsidR="000E5FF8" w:rsidRPr="00EA032F">
        <w:rPr>
          <w:rFonts w:ascii="Arial" w:hAnsi="Arial" w:cs="Arial"/>
          <w:sz w:val="22"/>
          <w:lang w:eastAsia="es-MX"/>
        </w:rPr>
        <w:t xml:space="preserve"> </w:t>
      </w:r>
      <w:r w:rsidR="000E5FF8" w:rsidRPr="00EA032F">
        <w:rPr>
          <w:rFonts w:ascii="Arial" w:hAnsi="Arial" w:cs="Arial"/>
          <w:sz w:val="19"/>
          <w:szCs w:val="19"/>
        </w:rPr>
        <w:t>«</w:t>
      </w:r>
      <w:r w:rsidR="000E5FF8" w:rsidRPr="00EA032F">
        <w:rPr>
          <w:rFonts w:ascii="Arial" w:hAnsi="Arial" w:cs="Arial"/>
          <w:sz w:val="22"/>
          <w:lang w:eastAsia="es-MX"/>
        </w:rPr>
        <w:t>l</w:t>
      </w:r>
      <w:r w:rsidRPr="00EA032F">
        <w:rPr>
          <w:rFonts w:ascii="Arial" w:hAnsi="Arial" w:cs="Arial"/>
          <w:sz w:val="22"/>
          <w:lang w:eastAsia="es-MX"/>
        </w:rPr>
        <w:t xml:space="preserve">a responsabilidad financiera para el pago del pasivo prestacional de los servidores de las entidades o dependencias identificadas en el numeral 2, reconocidas en los términos de la presente ley, se establecerá mediante un reglamento expedido por el Gobierno Nacional que defina la forma en que deberán concurrir la Nación y las entidades territoriales, para cuyo efecto se tendrá en cuenta la proporción en que han </w:t>
      </w:r>
      <w:r w:rsidRPr="00EA032F">
        <w:rPr>
          <w:rFonts w:ascii="Arial" w:hAnsi="Arial" w:cs="Arial"/>
          <w:i/>
          <w:iCs/>
          <w:sz w:val="22"/>
          <w:lang w:eastAsia="es-MX"/>
        </w:rPr>
        <w:t>concurrido</w:t>
      </w:r>
      <w:r w:rsidRPr="00EA032F">
        <w:rPr>
          <w:rFonts w:ascii="Arial" w:hAnsi="Arial" w:cs="Arial"/>
          <w:sz w:val="22"/>
          <w:lang w:eastAsia="es-MX"/>
        </w:rPr>
        <w:t xml:space="preserve"> los diversos niveles administrativos </w:t>
      </w:r>
      <w:r w:rsidRPr="00EA032F">
        <w:rPr>
          <w:rFonts w:ascii="Arial" w:hAnsi="Arial" w:cs="Arial"/>
          <w:sz w:val="22"/>
          <w:lang w:eastAsia="es-MX"/>
        </w:rPr>
        <w:lastRenderedPageBreak/>
        <w:t>a la financiación de las entidades y dependencias del sector salud de que trata el presente artículo, la condición financiera de los distintos niveles territoriales y la naturaleza jurídica de las entidades</w:t>
      </w:r>
      <w:r w:rsidR="000E5FF8" w:rsidRPr="00EA032F">
        <w:rPr>
          <w:rFonts w:ascii="Arial" w:hAnsi="Arial" w:cs="Arial"/>
          <w:sz w:val="19"/>
          <w:szCs w:val="19"/>
          <w:lang w:eastAsia="es-CO"/>
        </w:rPr>
        <w:t>»</w:t>
      </w:r>
      <w:r w:rsidRPr="00EA032F">
        <w:rPr>
          <w:rFonts w:ascii="Arial" w:hAnsi="Arial" w:cs="Arial"/>
          <w:sz w:val="22"/>
          <w:lang w:eastAsia="es-MX"/>
        </w:rPr>
        <w:t>.</w:t>
      </w:r>
    </w:p>
    <w:p w14:paraId="4E31BF1E" w14:textId="2E61CC66" w:rsidR="00BC6023" w:rsidRPr="00EA032F" w:rsidRDefault="000E5FF8" w:rsidP="000E5FF8">
      <w:pPr>
        <w:spacing w:after="120" w:line="276" w:lineRule="auto"/>
        <w:ind w:firstLine="708"/>
        <w:jc w:val="both"/>
        <w:rPr>
          <w:rFonts w:ascii="Arial" w:hAnsi="Arial" w:cs="Arial"/>
          <w:sz w:val="22"/>
          <w:lang w:eastAsia="es-MX"/>
        </w:rPr>
      </w:pPr>
      <w:r w:rsidRPr="00EA032F">
        <w:rPr>
          <w:rFonts w:ascii="Arial" w:hAnsi="Arial" w:cs="Arial"/>
          <w:sz w:val="22"/>
          <w:lang w:eastAsia="es-MX"/>
        </w:rPr>
        <w:t xml:space="preserve">A su turno, en el artículo 242 de </w:t>
      </w:r>
      <w:r w:rsidR="00BC6023" w:rsidRPr="00EA032F">
        <w:rPr>
          <w:rFonts w:ascii="Arial" w:hAnsi="Arial" w:cs="Arial"/>
          <w:sz w:val="22"/>
          <w:lang w:eastAsia="es-MX"/>
        </w:rPr>
        <w:t>la Ley 100 de 1993</w:t>
      </w:r>
      <w:r w:rsidRPr="00EA032F">
        <w:rPr>
          <w:rFonts w:ascii="Arial" w:hAnsi="Arial" w:cs="Arial"/>
          <w:sz w:val="22"/>
          <w:lang w:eastAsia="es-MX"/>
        </w:rPr>
        <w:t xml:space="preserve"> se previó, en consonancia con la norma precitada</w:t>
      </w:r>
      <w:r w:rsidR="00BC6023" w:rsidRPr="00EA032F">
        <w:rPr>
          <w:rFonts w:ascii="Arial" w:hAnsi="Arial" w:cs="Arial"/>
          <w:sz w:val="22"/>
          <w:lang w:eastAsia="es-MX"/>
        </w:rPr>
        <w:t xml:space="preserve"> que </w:t>
      </w:r>
      <w:r w:rsidRPr="00EA032F">
        <w:rPr>
          <w:rFonts w:ascii="Arial" w:hAnsi="Arial" w:cs="Arial"/>
          <w:sz w:val="19"/>
          <w:szCs w:val="19"/>
        </w:rPr>
        <w:t>«</w:t>
      </w:r>
      <w:r w:rsidR="00BC6023" w:rsidRPr="00EA032F">
        <w:rPr>
          <w:rFonts w:ascii="Arial" w:hAnsi="Arial" w:cs="Arial"/>
          <w:sz w:val="22"/>
          <w:lang w:eastAsia="es-MX"/>
        </w:rPr>
        <w:t>el fondo del pasivo prestacional para el sector salud, de que trata la Ley 60 de 1993, cubrirá las cesantías netas acumuladas y el pasivo laboral por pensiones de jubilación causado a 31 de diciembre de 1993</w:t>
      </w:r>
      <w:r w:rsidRPr="00EA032F">
        <w:rPr>
          <w:rFonts w:ascii="Arial" w:hAnsi="Arial" w:cs="Arial"/>
          <w:sz w:val="19"/>
          <w:szCs w:val="19"/>
          <w:lang w:eastAsia="es-CO"/>
        </w:rPr>
        <w:t>»</w:t>
      </w:r>
      <w:r w:rsidR="00BC6023" w:rsidRPr="00EA032F">
        <w:rPr>
          <w:rFonts w:ascii="Arial" w:hAnsi="Arial" w:cs="Arial"/>
          <w:sz w:val="22"/>
          <w:lang w:eastAsia="es-MX"/>
        </w:rPr>
        <w:t xml:space="preserve">. </w:t>
      </w:r>
      <w:r w:rsidRPr="00EA032F">
        <w:rPr>
          <w:rFonts w:ascii="Arial" w:hAnsi="Arial" w:cs="Arial"/>
          <w:sz w:val="22"/>
          <w:lang w:eastAsia="es-MX"/>
        </w:rPr>
        <w:t xml:space="preserve">Igualmente dispuso que </w:t>
      </w:r>
      <w:r w:rsidR="00BC6023" w:rsidRPr="00EA032F">
        <w:rPr>
          <w:rFonts w:ascii="Arial" w:hAnsi="Arial" w:cs="Arial"/>
          <w:sz w:val="22"/>
          <w:lang w:eastAsia="es-MX"/>
        </w:rPr>
        <w:t xml:space="preserve">las entidades del sector salud deberían seguir presupuestando y pagando las cesantías y pensiones a que están obligadas hasta tanto no se realice el corte de cuentas y se establezca la </w:t>
      </w:r>
      <w:r w:rsidR="00BC6023" w:rsidRPr="00EA032F">
        <w:rPr>
          <w:rFonts w:ascii="Arial" w:hAnsi="Arial" w:cs="Arial"/>
          <w:i/>
          <w:iCs/>
          <w:sz w:val="22"/>
          <w:lang w:eastAsia="es-MX"/>
        </w:rPr>
        <w:t>concurrencia</w:t>
      </w:r>
      <w:r w:rsidR="00BC6023" w:rsidRPr="00EA032F">
        <w:rPr>
          <w:rFonts w:ascii="Arial" w:hAnsi="Arial" w:cs="Arial"/>
          <w:sz w:val="22"/>
          <w:lang w:eastAsia="es-MX"/>
        </w:rPr>
        <w:t xml:space="preserve"> de cada entidad territorial.</w:t>
      </w:r>
    </w:p>
    <w:p w14:paraId="6AEB59D1" w14:textId="6DF49E54" w:rsidR="00BC0877" w:rsidRPr="00EA032F" w:rsidRDefault="004008AD" w:rsidP="005E1D35">
      <w:pPr>
        <w:spacing w:after="120" w:line="276" w:lineRule="auto"/>
        <w:ind w:firstLine="708"/>
        <w:jc w:val="both"/>
        <w:rPr>
          <w:rFonts w:ascii="Arial" w:hAnsi="Arial" w:cs="Arial"/>
          <w:sz w:val="22"/>
          <w:lang w:eastAsia="es-MX"/>
        </w:rPr>
      </w:pPr>
      <w:r w:rsidRPr="00EA032F">
        <w:rPr>
          <w:rFonts w:ascii="Arial" w:hAnsi="Arial" w:cs="Arial"/>
          <w:sz w:val="22"/>
          <w:lang w:eastAsia="es-MX"/>
        </w:rPr>
        <w:t>Posteriormente</w:t>
      </w:r>
      <w:r w:rsidR="00AC13F4" w:rsidRPr="00EA032F">
        <w:rPr>
          <w:rFonts w:ascii="Arial" w:hAnsi="Arial" w:cs="Arial"/>
          <w:sz w:val="22"/>
          <w:lang w:eastAsia="es-MX"/>
        </w:rPr>
        <w:t xml:space="preserve">, con la expedición de la </w:t>
      </w:r>
      <w:r w:rsidR="00BC6023" w:rsidRPr="00EA032F">
        <w:rPr>
          <w:rFonts w:ascii="Arial" w:hAnsi="Arial" w:cs="Arial"/>
          <w:sz w:val="22"/>
          <w:lang w:eastAsia="es-MX"/>
        </w:rPr>
        <w:t xml:space="preserve">a Ley 715 de 2001 </w:t>
      </w:r>
      <w:r w:rsidR="00AC13F4" w:rsidRPr="00EA032F">
        <w:rPr>
          <w:rFonts w:ascii="Arial" w:hAnsi="Arial" w:cs="Arial"/>
          <w:sz w:val="22"/>
          <w:lang w:eastAsia="es-MX"/>
        </w:rPr>
        <w:t xml:space="preserve">se </w:t>
      </w:r>
      <w:r w:rsidR="00BC6023" w:rsidRPr="00EA032F">
        <w:rPr>
          <w:rFonts w:ascii="Arial" w:hAnsi="Arial" w:cs="Arial"/>
          <w:sz w:val="22"/>
          <w:lang w:eastAsia="es-MX"/>
        </w:rPr>
        <w:t>suprimió el Fondo del Pasivo Prestacional para el Sector Salud</w:t>
      </w:r>
      <w:r w:rsidR="0047676E" w:rsidRPr="00EA032F">
        <w:rPr>
          <w:rStyle w:val="Refdenotaalpie"/>
          <w:rFonts w:ascii="Arial" w:hAnsi="Arial" w:cs="Arial"/>
          <w:sz w:val="22"/>
          <w:lang w:eastAsia="es-MX"/>
        </w:rPr>
        <w:footnoteReference w:id="45"/>
      </w:r>
      <w:r w:rsidR="00BC6023" w:rsidRPr="00EA032F">
        <w:rPr>
          <w:rFonts w:ascii="Arial" w:hAnsi="Arial" w:cs="Arial"/>
          <w:sz w:val="22"/>
          <w:lang w:eastAsia="es-MX"/>
        </w:rPr>
        <w:t xml:space="preserve"> y</w:t>
      </w:r>
      <w:r w:rsidR="00AC13F4" w:rsidRPr="00EA032F">
        <w:rPr>
          <w:rFonts w:ascii="Arial" w:hAnsi="Arial" w:cs="Arial"/>
          <w:sz w:val="22"/>
          <w:lang w:eastAsia="es-MX"/>
        </w:rPr>
        <w:t>, en su lugar, el Legislador determinó</w:t>
      </w:r>
      <w:r w:rsidR="0047676E" w:rsidRPr="00EA032F">
        <w:rPr>
          <w:rFonts w:ascii="Arial" w:hAnsi="Arial" w:cs="Arial"/>
          <w:sz w:val="22"/>
          <w:lang w:eastAsia="es-MX"/>
        </w:rPr>
        <w:t xml:space="preserve"> </w:t>
      </w:r>
      <w:r w:rsidR="00BC6023" w:rsidRPr="00EA032F">
        <w:rPr>
          <w:rFonts w:ascii="Arial" w:hAnsi="Arial" w:cs="Arial"/>
          <w:sz w:val="22"/>
          <w:lang w:eastAsia="es-MX"/>
        </w:rPr>
        <w:t xml:space="preserve">que para el pago de las cesantías y pensiones de las personas beneficiarias de dicho fondo y, de acuerdo con los </w:t>
      </w:r>
      <w:r w:rsidR="00BC6023" w:rsidRPr="00EA032F">
        <w:rPr>
          <w:rFonts w:ascii="Arial" w:hAnsi="Arial" w:cs="Arial"/>
          <w:i/>
          <w:iCs/>
          <w:sz w:val="22"/>
          <w:lang w:eastAsia="es-MX"/>
        </w:rPr>
        <w:t>convenios de concurrencia</w:t>
      </w:r>
      <w:r w:rsidR="006322D3" w:rsidRPr="00EA032F">
        <w:rPr>
          <w:rStyle w:val="Refdenotaalpie"/>
          <w:rFonts w:ascii="Arial" w:hAnsi="Arial" w:cs="Arial"/>
          <w:i/>
          <w:iCs/>
          <w:sz w:val="22"/>
          <w:lang w:eastAsia="es-MX"/>
        </w:rPr>
        <w:footnoteReference w:id="46"/>
      </w:r>
      <w:r w:rsidR="00BC6023" w:rsidRPr="00EA032F">
        <w:rPr>
          <w:rFonts w:ascii="Arial" w:hAnsi="Arial" w:cs="Arial"/>
          <w:sz w:val="22"/>
          <w:lang w:eastAsia="es-MX"/>
        </w:rPr>
        <w:t xml:space="preserve"> correspondientes, la Nación a través del M</w:t>
      </w:r>
      <w:r w:rsidR="0047676E" w:rsidRPr="00EA032F">
        <w:rPr>
          <w:rFonts w:ascii="Arial" w:hAnsi="Arial" w:cs="Arial"/>
          <w:sz w:val="22"/>
          <w:lang w:eastAsia="es-MX"/>
        </w:rPr>
        <w:t>inisterio de Hacienda y Crédito Público</w:t>
      </w:r>
      <w:r w:rsidR="00BC6023" w:rsidRPr="00EA032F">
        <w:rPr>
          <w:rFonts w:ascii="Arial" w:hAnsi="Arial" w:cs="Arial"/>
          <w:sz w:val="22"/>
          <w:lang w:eastAsia="es-MX"/>
        </w:rPr>
        <w:t>, ser</w:t>
      </w:r>
      <w:r w:rsidR="0047676E" w:rsidRPr="00EA032F">
        <w:rPr>
          <w:rFonts w:ascii="Arial" w:hAnsi="Arial" w:cs="Arial"/>
          <w:sz w:val="22"/>
          <w:lang w:eastAsia="es-MX"/>
        </w:rPr>
        <w:t>ía</w:t>
      </w:r>
      <w:r w:rsidR="00BC6023" w:rsidRPr="00EA032F">
        <w:rPr>
          <w:rFonts w:ascii="Arial" w:hAnsi="Arial" w:cs="Arial"/>
          <w:sz w:val="22"/>
          <w:lang w:eastAsia="es-MX"/>
        </w:rPr>
        <w:t xml:space="preserve"> la encargada del giro de los recursos </w:t>
      </w:r>
      <w:r w:rsidR="0047676E" w:rsidRPr="00EA032F">
        <w:rPr>
          <w:rFonts w:ascii="Arial" w:hAnsi="Arial" w:cs="Arial"/>
          <w:sz w:val="19"/>
          <w:szCs w:val="19"/>
        </w:rPr>
        <w:t>«</w:t>
      </w:r>
      <w:r w:rsidR="00BC6023" w:rsidRPr="00EA032F">
        <w:rPr>
          <w:rFonts w:ascii="Arial" w:hAnsi="Arial" w:cs="Arial"/>
          <w:sz w:val="22"/>
          <w:lang w:eastAsia="es-MX"/>
        </w:rPr>
        <w:t>a las entidades administradoras de pensiones o cesantías a las cuales se encuentren afiliados los servidores públicos</w:t>
      </w:r>
      <w:r w:rsidR="0047676E" w:rsidRPr="00EA032F">
        <w:rPr>
          <w:rFonts w:ascii="Arial" w:hAnsi="Arial" w:cs="Arial"/>
          <w:sz w:val="19"/>
          <w:szCs w:val="19"/>
          <w:lang w:eastAsia="es-CO"/>
        </w:rPr>
        <w:t>»</w:t>
      </w:r>
      <w:r w:rsidR="00BC6023" w:rsidRPr="00EA032F">
        <w:rPr>
          <w:rFonts w:ascii="Arial" w:hAnsi="Arial" w:cs="Arial"/>
          <w:sz w:val="22"/>
          <w:lang w:eastAsia="es-MX"/>
        </w:rPr>
        <w:t>.</w:t>
      </w:r>
      <w:r w:rsidR="0047676E" w:rsidRPr="00EA032F">
        <w:rPr>
          <w:rFonts w:ascii="Arial" w:hAnsi="Arial" w:cs="Arial"/>
          <w:sz w:val="22"/>
          <w:lang w:eastAsia="es-MX"/>
        </w:rPr>
        <w:t xml:space="preserve"> </w:t>
      </w:r>
    </w:p>
    <w:p w14:paraId="2B925A89" w14:textId="6926A45A" w:rsidR="001D3DF7" w:rsidRPr="00EA032F" w:rsidRDefault="00942EE3" w:rsidP="00BC0877">
      <w:pPr>
        <w:spacing w:before="120" w:line="276" w:lineRule="auto"/>
        <w:ind w:firstLine="709"/>
        <w:jc w:val="both"/>
        <w:rPr>
          <w:rFonts w:ascii="Arial" w:hAnsi="Arial" w:cs="Arial"/>
          <w:sz w:val="22"/>
          <w:lang w:eastAsia="es-MX"/>
        </w:rPr>
      </w:pPr>
      <w:r w:rsidRPr="00EA032F">
        <w:rPr>
          <w:rFonts w:ascii="Arial" w:hAnsi="Arial" w:cs="Arial"/>
          <w:sz w:val="22"/>
          <w:lang w:eastAsia="es-MX"/>
        </w:rPr>
        <w:t>Acerca</w:t>
      </w:r>
      <w:r w:rsidR="001D3DF7" w:rsidRPr="00EA032F">
        <w:rPr>
          <w:rFonts w:ascii="Arial" w:hAnsi="Arial" w:cs="Arial"/>
          <w:sz w:val="22"/>
          <w:lang w:eastAsia="es-MX"/>
        </w:rPr>
        <w:t xml:space="preserve"> del modelo legal de atención de estos pasivos del sector salud, el Consejo de Estado</w:t>
      </w:r>
      <w:r w:rsidR="001D3DF7" w:rsidRPr="00EA032F">
        <w:rPr>
          <w:rStyle w:val="Refdenotaalpie"/>
          <w:rFonts w:ascii="Arial" w:hAnsi="Arial" w:cs="Arial"/>
          <w:sz w:val="22"/>
          <w:lang w:eastAsia="es-MX"/>
        </w:rPr>
        <w:footnoteReference w:id="47"/>
      </w:r>
      <w:r w:rsidR="001D3DF7" w:rsidRPr="00EA032F">
        <w:rPr>
          <w:rFonts w:ascii="Arial" w:hAnsi="Arial" w:cs="Arial"/>
          <w:sz w:val="22"/>
          <w:lang w:eastAsia="es-MX"/>
        </w:rPr>
        <w:t xml:space="preserve"> resalta la aplicación del principio de concurrencia en los siguientes términos: </w:t>
      </w:r>
    </w:p>
    <w:p w14:paraId="254D6773" w14:textId="77777777" w:rsidR="00BC0877" w:rsidRPr="00EA032F" w:rsidRDefault="00BC0877" w:rsidP="001D3DF7">
      <w:pPr>
        <w:spacing w:line="276" w:lineRule="auto"/>
        <w:jc w:val="both"/>
        <w:rPr>
          <w:rFonts w:ascii="Arial" w:hAnsi="Arial" w:cs="Arial"/>
          <w:sz w:val="22"/>
          <w:lang w:eastAsia="es-MX"/>
        </w:rPr>
      </w:pPr>
    </w:p>
    <w:p w14:paraId="7E57022B" w14:textId="0A7BF0D5" w:rsidR="001D3DF7" w:rsidRPr="00EA032F" w:rsidRDefault="001D3DF7" w:rsidP="001D3DF7">
      <w:pPr>
        <w:ind w:left="709" w:right="709"/>
        <w:jc w:val="both"/>
        <w:rPr>
          <w:rFonts w:ascii="Arial" w:hAnsi="Arial" w:cs="Arial"/>
          <w:sz w:val="21"/>
          <w:szCs w:val="21"/>
          <w:lang w:eastAsia="es-MX"/>
        </w:rPr>
      </w:pPr>
      <w:r w:rsidRPr="00EA032F">
        <w:rPr>
          <w:rFonts w:ascii="Arial" w:hAnsi="Arial" w:cs="Arial"/>
          <w:sz w:val="21"/>
          <w:szCs w:val="21"/>
          <w:lang w:eastAsia="es-MX"/>
        </w:rPr>
        <w:lastRenderedPageBreak/>
        <w:t xml:space="preserve">El nuevo mecanismo previsto para atender la responsabilidad financiera a cargo de la Nación por el pago de las cesantías y pensiones de las personas beneficiarias de dicho Fondo y de acuerdo con los convenios de concurrencia correspondientes, consiste en el giro de los recursos por parte de la Nación – a través del Ministerio de Hacienda y Crédito Público - ya sea al encargo Fiduciario o Patrimonio Autónomo constituido por la entidad territorial para el pago de las mesadas y bonos pensionales de las Instituciones de Salud (Decreto 1296 de 1994), a las entidades administradoras de pensiones </w:t>
      </w:r>
      <w:r w:rsidR="00942EE3" w:rsidRPr="00EA032F">
        <w:rPr>
          <w:rFonts w:ascii="Arial" w:hAnsi="Arial" w:cs="Arial"/>
          <w:sz w:val="21"/>
          <w:szCs w:val="21"/>
          <w:lang w:eastAsia="es-MX"/>
        </w:rPr>
        <w:t>y</w:t>
      </w:r>
      <w:r w:rsidRPr="00EA032F">
        <w:rPr>
          <w:rFonts w:ascii="Arial" w:hAnsi="Arial" w:cs="Arial"/>
          <w:sz w:val="21"/>
          <w:szCs w:val="21"/>
          <w:lang w:eastAsia="es-MX"/>
        </w:rPr>
        <w:t xml:space="preserve"> cesantías a las cuales se encuentren afiliados los servidores públicos, a los fondos de cuotas partes (art. 23 decreto ley 1299 de 1994) o a los fideicomisos en garantía (art.19, numeral 3).</w:t>
      </w:r>
    </w:p>
    <w:p w14:paraId="7EA58669" w14:textId="77777777" w:rsidR="001D3DF7" w:rsidRPr="00EA032F" w:rsidRDefault="001D3DF7" w:rsidP="001D3DF7">
      <w:pPr>
        <w:ind w:left="709" w:right="709"/>
        <w:jc w:val="both"/>
        <w:rPr>
          <w:rFonts w:ascii="Arial" w:hAnsi="Arial" w:cs="Arial"/>
          <w:sz w:val="21"/>
          <w:szCs w:val="21"/>
          <w:lang w:eastAsia="es-MX"/>
        </w:rPr>
      </w:pPr>
    </w:p>
    <w:p w14:paraId="25865BFA" w14:textId="6D0C5B41" w:rsidR="00BC0877" w:rsidRPr="00EA032F" w:rsidRDefault="001D3DF7" w:rsidP="001D3DF7">
      <w:pPr>
        <w:ind w:left="709" w:right="709"/>
        <w:jc w:val="both"/>
        <w:rPr>
          <w:rFonts w:ascii="Arial" w:hAnsi="Arial" w:cs="Arial"/>
          <w:sz w:val="21"/>
          <w:szCs w:val="21"/>
          <w:lang w:eastAsia="es-MX"/>
        </w:rPr>
      </w:pPr>
      <w:r w:rsidRPr="00EA032F">
        <w:rPr>
          <w:rFonts w:ascii="Arial" w:hAnsi="Arial" w:cs="Arial"/>
          <w:sz w:val="21"/>
          <w:szCs w:val="21"/>
          <w:lang w:eastAsia="es-MX"/>
        </w:rPr>
        <w:t xml:space="preserve">No obstante haberse suprimido el Fondo, la ley 715 mantiene el principio de concurrencia para efectos de la suscripción de los contratos respectivos en los que se acuerden las correspondientes responsabilidades compartidas de la Nación y las entidades territoriales en la atención del pasivo, para lo cual se da continuidad a los procedimientos que se venían aplicando sobre la manera en que concurren las diferentes entidades para cubrir el pasivo prestacional, la forma de cálculo del mismo, el sistema empleado para su actualización financiera y actuarial, las obligaciones de los convenios de concurrencia y los requisitos que deben acreditarse ( art. 62). </w:t>
      </w:r>
    </w:p>
    <w:p w14:paraId="2E835E50" w14:textId="77777777" w:rsidR="00BC0877" w:rsidRPr="00EA032F" w:rsidRDefault="00BC0877" w:rsidP="00BC0877">
      <w:pPr>
        <w:spacing w:line="276" w:lineRule="auto"/>
        <w:jc w:val="both"/>
        <w:rPr>
          <w:rFonts w:ascii="Arial" w:hAnsi="Arial" w:cs="Arial"/>
          <w:sz w:val="22"/>
          <w:lang w:eastAsia="es-MX"/>
        </w:rPr>
      </w:pPr>
    </w:p>
    <w:p w14:paraId="00C5EA66" w14:textId="5C6AF1C7" w:rsidR="00BC0877" w:rsidRPr="00EA032F" w:rsidRDefault="00694F9C" w:rsidP="00BC0877">
      <w:pPr>
        <w:spacing w:line="276" w:lineRule="auto"/>
        <w:ind w:firstLine="709"/>
        <w:jc w:val="both"/>
        <w:rPr>
          <w:rFonts w:ascii="Arial" w:hAnsi="Arial" w:cs="Arial"/>
          <w:sz w:val="22"/>
          <w:lang w:eastAsia="es-MX"/>
        </w:rPr>
      </w:pPr>
      <w:r w:rsidRPr="00EA032F">
        <w:rPr>
          <w:rFonts w:ascii="Arial" w:hAnsi="Arial" w:cs="Arial"/>
          <w:sz w:val="22"/>
          <w:lang w:eastAsia="es-MX"/>
        </w:rPr>
        <w:t>De otra parte, el Decreto 586 de 2017 que adicionó «el Capítulo 4 al Título 4 Parte 12 del Libro 2 del Decreto Único Reglamentario 1068 de 2015 del Sector Hacienda y Crédito Público</w:t>
      </w:r>
      <w:r w:rsidRPr="00EA032F">
        <w:rPr>
          <w:rFonts w:ascii="Arial" w:hAnsi="Arial" w:cs="Arial"/>
          <w:sz w:val="19"/>
          <w:szCs w:val="19"/>
          <w:lang w:eastAsia="es-CO"/>
        </w:rPr>
        <w:t xml:space="preserve">» </w:t>
      </w:r>
      <w:r w:rsidRPr="00EA032F">
        <w:rPr>
          <w:rFonts w:ascii="Arial" w:hAnsi="Arial" w:cs="Arial"/>
          <w:sz w:val="22"/>
          <w:lang w:eastAsia="es-MX"/>
        </w:rPr>
        <w:t>contiene la reglamentación</w:t>
      </w:r>
      <w:r w:rsidR="00CA6AAC" w:rsidRPr="00EA032F">
        <w:rPr>
          <w:rFonts w:ascii="Arial" w:hAnsi="Arial" w:cs="Arial"/>
          <w:sz w:val="22"/>
          <w:lang w:eastAsia="es-MX"/>
        </w:rPr>
        <w:t>,</w:t>
      </w:r>
      <w:r w:rsidRPr="00EA032F">
        <w:rPr>
          <w:rFonts w:ascii="Arial" w:hAnsi="Arial" w:cs="Arial"/>
          <w:sz w:val="22"/>
          <w:lang w:eastAsia="es-MX"/>
        </w:rPr>
        <w:t xml:space="preserve"> actualmente vigente</w:t>
      </w:r>
      <w:r w:rsidR="00CA6AAC" w:rsidRPr="00EA032F">
        <w:rPr>
          <w:rFonts w:ascii="Arial" w:hAnsi="Arial" w:cs="Arial"/>
          <w:sz w:val="22"/>
          <w:lang w:eastAsia="es-MX"/>
        </w:rPr>
        <w:t>,</w:t>
      </w:r>
      <w:r w:rsidRPr="00EA032F">
        <w:rPr>
          <w:rFonts w:ascii="Arial" w:hAnsi="Arial" w:cs="Arial"/>
          <w:sz w:val="22"/>
          <w:lang w:eastAsia="es-MX"/>
        </w:rPr>
        <w:t xml:space="preserve"> de los artículos 61 a 63 de la Ley 715 de 2001</w:t>
      </w:r>
      <w:r w:rsidR="00CA6AAC" w:rsidRPr="00EA032F">
        <w:rPr>
          <w:rFonts w:ascii="Arial" w:hAnsi="Arial" w:cs="Arial"/>
          <w:sz w:val="22"/>
          <w:lang w:eastAsia="es-MX"/>
        </w:rPr>
        <w:t>,</w:t>
      </w:r>
      <w:r w:rsidRPr="00EA032F">
        <w:rPr>
          <w:rFonts w:ascii="Arial" w:hAnsi="Arial" w:cs="Arial"/>
          <w:sz w:val="22"/>
          <w:lang w:eastAsia="es-MX"/>
        </w:rPr>
        <w:t xml:space="preserve"> </w:t>
      </w:r>
      <w:r w:rsidR="00CA6AAC" w:rsidRPr="00EA032F">
        <w:rPr>
          <w:rFonts w:ascii="Arial" w:hAnsi="Arial" w:cs="Arial"/>
          <w:sz w:val="22"/>
          <w:lang w:eastAsia="es-MX"/>
        </w:rPr>
        <w:t>para aplicar la concurrencia de la Nación y las entidades territoriales en el pago de los pasivos de las instituciones hospitalarias del sector salud a que hace referencia la ley.</w:t>
      </w:r>
      <w:r w:rsidRPr="00EA032F">
        <w:rPr>
          <w:rFonts w:ascii="Arial" w:hAnsi="Arial" w:cs="Arial"/>
          <w:sz w:val="22"/>
          <w:lang w:eastAsia="es-MX"/>
        </w:rPr>
        <w:t xml:space="preserve"> </w:t>
      </w:r>
      <w:r w:rsidR="00BC0877" w:rsidRPr="00EA032F">
        <w:rPr>
          <w:rFonts w:ascii="Arial" w:hAnsi="Arial" w:cs="Arial"/>
          <w:sz w:val="22"/>
          <w:lang w:eastAsia="es-MX"/>
        </w:rPr>
        <w:t>Para es</w:t>
      </w:r>
      <w:r w:rsidR="00CA6AAC" w:rsidRPr="00EA032F">
        <w:rPr>
          <w:rFonts w:ascii="Arial" w:hAnsi="Arial" w:cs="Arial"/>
          <w:sz w:val="22"/>
          <w:lang w:eastAsia="es-MX"/>
        </w:rPr>
        <w:t>o</w:t>
      </w:r>
      <w:r w:rsidR="00BC0877" w:rsidRPr="00EA032F">
        <w:rPr>
          <w:rFonts w:ascii="Arial" w:hAnsi="Arial" w:cs="Arial"/>
          <w:sz w:val="22"/>
          <w:lang w:eastAsia="es-MX"/>
        </w:rPr>
        <w:t xml:space="preserve">s efectos, el artículo </w:t>
      </w:r>
      <w:bookmarkStart w:id="24" w:name="_Hlk61284248"/>
      <w:r w:rsidR="00BC0877" w:rsidRPr="00EA032F">
        <w:rPr>
          <w:rFonts w:ascii="Arial" w:hAnsi="Arial" w:cs="Arial"/>
          <w:sz w:val="22"/>
          <w:lang w:eastAsia="es-MX"/>
        </w:rPr>
        <w:t>2.</w:t>
      </w:r>
      <w:r w:rsidR="001E3CB9" w:rsidRPr="00EA032F">
        <w:rPr>
          <w:rFonts w:ascii="Arial" w:hAnsi="Arial" w:cs="Arial"/>
          <w:sz w:val="22"/>
          <w:lang w:eastAsia="es-MX"/>
        </w:rPr>
        <w:t>12.4.4.2</w:t>
      </w:r>
      <w:r w:rsidR="00BC0877" w:rsidRPr="00EA032F">
        <w:rPr>
          <w:rFonts w:ascii="Arial" w:hAnsi="Arial" w:cs="Arial"/>
          <w:sz w:val="22"/>
          <w:lang w:eastAsia="es-MX"/>
        </w:rPr>
        <w:t xml:space="preserve"> del </w:t>
      </w:r>
      <w:r w:rsidR="001E3CB9" w:rsidRPr="00EA032F">
        <w:rPr>
          <w:rFonts w:ascii="Arial" w:hAnsi="Arial" w:cs="Arial"/>
          <w:sz w:val="22"/>
          <w:lang w:eastAsia="es-MX"/>
        </w:rPr>
        <w:t>d</w:t>
      </w:r>
      <w:r w:rsidR="00BC0877" w:rsidRPr="00EA032F">
        <w:rPr>
          <w:rFonts w:ascii="Arial" w:hAnsi="Arial" w:cs="Arial"/>
          <w:sz w:val="22"/>
          <w:lang w:eastAsia="es-MX"/>
        </w:rPr>
        <w:t>ecreto</w:t>
      </w:r>
      <w:r w:rsidR="001E3CB9" w:rsidRPr="00EA032F">
        <w:rPr>
          <w:rFonts w:ascii="Arial" w:hAnsi="Arial" w:cs="Arial"/>
          <w:sz w:val="22"/>
          <w:lang w:eastAsia="es-MX"/>
        </w:rPr>
        <w:t xml:space="preserve"> reglamenta el procedimiento especial para el cálculo y pago del pasivo pensional del sector salud generado por el personal retirado a 31 de diciembre de 1993 que culmina con la expedición de un acto administrativo a cargo del Ministerio de Hacienda y Crédito Público que determina el valor total del pasivo que será sufragado, de forma </w:t>
      </w:r>
      <w:r w:rsidR="00882F66" w:rsidRPr="00EA032F">
        <w:rPr>
          <w:rFonts w:ascii="Arial" w:hAnsi="Arial" w:cs="Arial"/>
          <w:sz w:val="22"/>
          <w:lang w:eastAsia="es-MX"/>
        </w:rPr>
        <w:t>concurrente</w:t>
      </w:r>
      <w:r w:rsidR="001E3CB9" w:rsidRPr="00EA032F">
        <w:rPr>
          <w:rFonts w:ascii="Arial" w:hAnsi="Arial" w:cs="Arial"/>
          <w:sz w:val="22"/>
          <w:lang w:eastAsia="es-MX"/>
        </w:rPr>
        <w:t xml:space="preserve">, por la Nación y las entidades territoriales del caso. Cumplido lo anterior, se acude a la suscripción de </w:t>
      </w:r>
      <w:r w:rsidR="000200DA" w:rsidRPr="00EA032F">
        <w:rPr>
          <w:rFonts w:ascii="Arial" w:hAnsi="Arial" w:cs="Arial"/>
          <w:sz w:val="22"/>
          <w:lang w:eastAsia="es-MX"/>
        </w:rPr>
        <w:t>un contrato de concurrencia, definido en el artículo 2.12.4.4.4. del referido decreto en los siguientes términos</w:t>
      </w:r>
      <w:bookmarkEnd w:id="24"/>
      <w:r w:rsidR="00BC0877" w:rsidRPr="00EA032F">
        <w:rPr>
          <w:rFonts w:ascii="Arial" w:hAnsi="Arial" w:cs="Arial"/>
          <w:sz w:val="22"/>
          <w:lang w:eastAsia="es-MX"/>
        </w:rPr>
        <w:t>:</w:t>
      </w:r>
    </w:p>
    <w:p w14:paraId="43BDFB89" w14:textId="77777777" w:rsidR="00BC0877" w:rsidRPr="00EA032F" w:rsidRDefault="00BC0877" w:rsidP="00BC0877">
      <w:pPr>
        <w:spacing w:line="276" w:lineRule="auto"/>
        <w:ind w:firstLine="709"/>
        <w:jc w:val="both"/>
        <w:rPr>
          <w:rFonts w:ascii="Arial" w:hAnsi="Arial" w:cs="Arial"/>
          <w:sz w:val="22"/>
          <w:lang w:eastAsia="es-MX"/>
        </w:rPr>
      </w:pPr>
    </w:p>
    <w:p w14:paraId="4F04BDFE" w14:textId="7D44F224" w:rsidR="000200DA" w:rsidRPr="00EA032F" w:rsidRDefault="000200DA" w:rsidP="000200DA">
      <w:pPr>
        <w:spacing w:after="120"/>
        <w:ind w:left="709" w:right="709"/>
        <w:jc w:val="both"/>
        <w:textAlignment w:val="baseline"/>
        <w:rPr>
          <w:rFonts w:ascii="Arial" w:hAnsi="Arial" w:cs="Arial"/>
          <w:color w:val="000000"/>
          <w:sz w:val="21"/>
          <w:szCs w:val="21"/>
          <w:lang w:val="es-ES" w:eastAsia="es-ES"/>
        </w:rPr>
      </w:pPr>
      <w:r w:rsidRPr="00EA032F">
        <w:rPr>
          <w:rFonts w:ascii="Arial" w:hAnsi="Arial" w:cs="Arial"/>
          <w:color w:val="000000"/>
          <w:sz w:val="21"/>
          <w:szCs w:val="21"/>
          <w:lang w:val="es-ES" w:eastAsia="es-ES"/>
        </w:rPr>
        <w:t xml:space="preserve">ARTÍCULO 2.12.4.4.4. CONTRATOS DE CONCURRENCIA. Una vez efectuada la verificación del valor de la reserva pensional de retirados y determinado el valor del pasivo conforme con lo establecido en el artículo 2.12.4.4.2. del presente Decreto, la Dirección General de Regulación Económica de la Seguridad Social del Ministerio de Hacienda y Crédito Público, procederá a la suscripción de los contratos de concurrencia de acuerdo con lo previsto en los artículos 2.12.4.2.9., 2.12.4.2.11. y 2.12.4.2.12. del presente Decreto. En la medida en que se realicen nuevos cobros a la institución hospitalaria, se procederá a celebrar un nuevo contrato de concurrencia o una adición al contrato </w:t>
      </w:r>
      <w:r w:rsidRPr="00EA032F">
        <w:rPr>
          <w:rFonts w:ascii="Arial" w:hAnsi="Arial" w:cs="Arial"/>
          <w:color w:val="000000"/>
          <w:sz w:val="21"/>
          <w:szCs w:val="21"/>
          <w:lang w:val="es-ES" w:eastAsia="es-ES"/>
        </w:rPr>
        <w:lastRenderedPageBreak/>
        <w:t>inicial, previo agotamiento del procedimiento previsto en el artículo 2.12.4.4.2. del presente Decreto.</w:t>
      </w:r>
    </w:p>
    <w:p w14:paraId="45B9AEF2" w14:textId="2F2F48A7" w:rsidR="000200DA" w:rsidRPr="00EA032F" w:rsidRDefault="000200DA" w:rsidP="000200DA">
      <w:pPr>
        <w:spacing w:after="120"/>
        <w:ind w:left="709" w:right="709"/>
        <w:jc w:val="both"/>
        <w:textAlignment w:val="baseline"/>
        <w:rPr>
          <w:rFonts w:ascii="Arial" w:hAnsi="Arial" w:cs="Arial"/>
          <w:color w:val="000000"/>
          <w:sz w:val="21"/>
          <w:szCs w:val="21"/>
          <w:lang w:val="es-ES" w:eastAsia="es-ES"/>
        </w:rPr>
      </w:pPr>
      <w:r w:rsidRPr="00EA032F">
        <w:rPr>
          <w:rFonts w:ascii="Arial" w:hAnsi="Arial" w:cs="Arial"/>
          <w:color w:val="000000"/>
          <w:sz w:val="21"/>
          <w:szCs w:val="21"/>
          <w:lang w:val="es-ES" w:eastAsia="es-ES"/>
        </w:rPr>
        <w:t>PARÁGRAFO 1°. Los pagos efectuados por concepto de bonos pensionales, cuotas partes de bonos pensionales, títulos pensionales, o cuotas partes pensionales, por las instituciones hospitalarias o las entidades territoriales, se reembolsarán hasta el valor que resulte de la revisión de los tiempos contenidos en el cálculo actuarial con base en la información y los soportes remitidos a la Dirección General de Regulación Económica de la Seguridad Social del Ministerio de Hacienda y Crédito Público, para el corte de cuentas que se realice, valor que quedará contenido dentro del contrato de concurrencia o sus adiciones.</w:t>
      </w:r>
    </w:p>
    <w:p w14:paraId="3FA0B85C" w14:textId="50235048" w:rsidR="00BC0877" w:rsidRPr="00EA032F" w:rsidRDefault="000200DA" w:rsidP="000200DA">
      <w:pPr>
        <w:spacing w:after="120"/>
        <w:ind w:left="709" w:right="709"/>
        <w:jc w:val="both"/>
        <w:textAlignment w:val="baseline"/>
        <w:rPr>
          <w:rFonts w:ascii="Arial" w:hAnsi="Arial" w:cs="Arial"/>
          <w:sz w:val="18"/>
          <w:szCs w:val="18"/>
          <w:lang w:val="es-ES" w:eastAsia="es-ES"/>
        </w:rPr>
      </w:pPr>
      <w:r w:rsidRPr="00EA032F">
        <w:rPr>
          <w:rFonts w:ascii="Arial" w:hAnsi="Arial" w:cs="Arial"/>
          <w:color w:val="000000"/>
          <w:sz w:val="21"/>
          <w:szCs w:val="21"/>
          <w:lang w:val="es-ES" w:eastAsia="es-ES"/>
        </w:rPr>
        <w:t xml:space="preserve">PARÁGRAFO 2°: En aquellos casos en que no se haya efectuado el corte de cuentas, ni suscrito el contrato de concurrencia o sus adiciones o modificaciones, se deberá dar aplicación a lo consagrado en el inciso quinto 5° del artículo 242 de la Ley 100 de 1993.  </w:t>
      </w:r>
    </w:p>
    <w:p w14:paraId="75CBAB87" w14:textId="77777777" w:rsidR="000200DA" w:rsidRPr="00EA032F" w:rsidRDefault="000200DA" w:rsidP="000200DA">
      <w:pPr>
        <w:spacing w:after="120"/>
        <w:ind w:left="709" w:right="709"/>
        <w:jc w:val="both"/>
        <w:textAlignment w:val="baseline"/>
        <w:rPr>
          <w:rFonts w:ascii="Arial" w:hAnsi="Arial" w:cs="Arial"/>
          <w:sz w:val="18"/>
          <w:szCs w:val="18"/>
          <w:lang w:val="es-ES" w:eastAsia="es-ES"/>
        </w:rPr>
      </w:pPr>
    </w:p>
    <w:p w14:paraId="3345821E" w14:textId="21C3E292" w:rsidR="009B18E9" w:rsidRPr="00EA032F" w:rsidRDefault="009B18E9" w:rsidP="009B18E9">
      <w:pPr>
        <w:spacing w:after="120" w:line="276" w:lineRule="auto"/>
        <w:ind w:firstLine="709"/>
        <w:jc w:val="both"/>
        <w:rPr>
          <w:rFonts w:ascii="Arial" w:hAnsi="Arial" w:cs="Arial"/>
          <w:sz w:val="22"/>
          <w:lang w:eastAsia="es-MX"/>
        </w:rPr>
      </w:pPr>
      <w:r w:rsidRPr="00EA032F">
        <w:rPr>
          <w:rFonts w:ascii="Arial" w:hAnsi="Arial" w:cs="Arial"/>
          <w:sz w:val="22"/>
          <w:lang w:eastAsia="es-MX"/>
        </w:rPr>
        <w:t>Como puede observarse</w:t>
      </w:r>
      <w:r w:rsidR="00CC087E" w:rsidRPr="00EA032F">
        <w:rPr>
          <w:rFonts w:ascii="Arial" w:hAnsi="Arial" w:cs="Arial"/>
          <w:sz w:val="22"/>
          <w:lang w:eastAsia="es-MX"/>
        </w:rPr>
        <w:t>,</w:t>
      </w:r>
      <w:r w:rsidRPr="00EA032F">
        <w:rPr>
          <w:rFonts w:ascii="Arial" w:hAnsi="Arial" w:cs="Arial"/>
          <w:sz w:val="22"/>
          <w:lang w:eastAsia="es-MX"/>
        </w:rPr>
        <w:t xml:space="preserve"> la determinación de las responsabilidades financieras tiene gran importancia, no solo por cuanto fija la forma como la Nación y las entidades territoriales concurren con las instituciones de salud al pago del pasivo pensional, sino porque mientras no se perfeccione el acuerdo o contrato de concurrencia éstas últimas continúan con la responsabilidad de presupuestar y pagar las pensiones a que están obligadas, según lo dispone el inciso 5° del artículo 242 de la ley 100 de 1993. </w:t>
      </w:r>
      <w:r w:rsidR="003E738E" w:rsidRPr="00EA032F">
        <w:rPr>
          <w:rFonts w:ascii="Arial" w:hAnsi="Arial" w:cs="Arial"/>
          <w:sz w:val="22"/>
          <w:lang w:eastAsia="es-MX"/>
        </w:rPr>
        <w:t xml:space="preserve">Es </w:t>
      </w:r>
      <w:r w:rsidR="00CC087E" w:rsidRPr="00EA032F">
        <w:rPr>
          <w:rFonts w:ascii="Arial" w:hAnsi="Arial" w:cs="Arial"/>
          <w:sz w:val="22"/>
          <w:lang w:eastAsia="es-MX"/>
        </w:rPr>
        <w:t>a</w:t>
      </w:r>
      <w:r w:rsidRPr="00EA032F">
        <w:rPr>
          <w:rFonts w:ascii="Arial" w:hAnsi="Arial" w:cs="Arial"/>
          <w:sz w:val="22"/>
          <w:lang w:eastAsia="es-MX"/>
        </w:rPr>
        <w:t>s</w:t>
      </w:r>
      <w:r w:rsidR="003E738E" w:rsidRPr="00EA032F">
        <w:rPr>
          <w:rFonts w:ascii="Arial" w:hAnsi="Arial" w:cs="Arial"/>
          <w:sz w:val="22"/>
          <w:lang w:eastAsia="es-MX"/>
        </w:rPr>
        <w:t>í como</w:t>
      </w:r>
      <w:r w:rsidRPr="00EA032F">
        <w:rPr>
          <w:rFonts w:ascii="Arial" w:hAnsi="Arial" w:cs="Arial"/>
          <w:sz w:val="22"/>
          <w:lang w:eastAsia="es-MX"/>
        </w:rPr>
        <w:t xml:space="preserve"> aun cuando la etapa precontractual del contrato de concurrencia referido está sometido a normas especiales,</w:t>
      </w:r>
      <w:r w:rsidR="002A487F" w:rsidRPr="00EA032F">
        <w:rPr>
          <w:rFonts w:ascii="Arial" w:hAnsi="Arial" w:cs="Arial"/>
          <w:sz w:val="22"/>
          <w:lang w:eastAsia="es-MX"/>
        </w:rPr>
        <w:t xml:space="preserve"> para efectos de determinar la concurrencia de la Nación y las entidades territoriales para la asunción del pasivo de entidades hospitalarias del sector salud,</w:t>
      </w:r>
      <w:r w:rsidRPr="00EA032F">
        <w:rPr>
          <w:rFonts w:ascii="Arial" w:hAnsi="Arial" w:cs="Arial"/>
          <w:sz w:val="22"/>
          <w:lang w:eastAsia="es-MX"/>
        </w:rPr>
        <w:t xml:space="preserve"> no se observa que dicho negocio jurídico este excluido del cumplimiento de la</w:t>
      </w:r>
      <w:r w:rsidR="00AE5406" w:rsidRPr="00EA032F">
        <w:rPr>
          <w:rFonts w:ascii="Arial" w:hAnsi="Arial" w:cs="Arial"/>
          <w:sz w:val="22"/>
          <w:lang w:eastAsia="es-MX"/>
        </w:rPr>
        <w:t>s</w:t>
      </w:r>
      <w:r w:rsidRPr="00EA032F">
        <w:rPr>
          <w:rFonts w:ascii="Arial" w:hAnsi="Arial" w:cs="Arial"/>
          <w:sz w:val="22"/>
          <w:lang w:eastAsia="es-MX"/>
        </w:rPr>
        <w:t xml:space="preserve"> restricciones de la Ley de Garantías.  </w:t>
      </w:r>
    </w:p>
    <w:p w14:paraId="38422850" w14:textId="77016C9D" w:rsidR="00BC0877" w:rsidRPr="00EA032F" w:rsidRDefault="00BC0877" w:rsidP="002A487F">
      <w:pPr>
        <w:spacing w:after="120" w:line="276" w:lineRule="auto"/>
        <w:ind w:firstLine="708"/>
        <w:jc w:val="both"/>
        <w:rPr>
          <w:rFonts w:ascii="Arial" w:hAnsi="Arial" w:cs="Arial"/>
          <w:bCs/>
          <w:color w:val="000000"/>
          <w:sz w:val="22"/>
          <w:lang w:eastAsia="es-CO"/>
        </w:rPr>
      </w:pPr>
      <w:r w:rsidRPr="00EA032F">
        <w:rPr>
          <w:rFonts w:ascii="Arial" w:eastAsia="Calibri" w:hAnsi="Arial" w:cs="Arial"/>
          <w:color w:val="000000"/>
          <w:sz w:val="22"/>
          <w:lang w:eastAsia="es-MX"/>
        </w:rPr>
        <w:t xml:space="preserve">En este contexto, para la restricción del artículo 33 de la </w:t>
      </w:r>
      <w:r w:rsidRPr="00EA032F">
        <w:rPr>
          <w:rFonts w:ascii="Arial" w:hAnsi="Arial" w:cs="Arial"/>
          <w:bCs/>
          <w:color w:val="000000"/>
          <w:sz w:val="22"/>
          <w:lang w:eastAsia="es-CO"/>
        </w:rPr>
        <w:t xml:space="preserve">Ley 996 de 2005 es necesario considerar que </w:t>
      </w:r>
      <w:r w:rsidRPr="00EA032F">
        <w:rPr>
          <w:rFonts w:ascii="Arial" w:eastAsia="Calibri" w:hAnsi="Arial" w:cs="Arial"/>
          <w:sz w:val="22"/>
          <w:lang w:val="es-ES" w:eastAsia="es-MX"/>
        </w:rPr>
        <w:t xml:space="preserve">el </w:t>
      </w:r>
      <w:r w:rsidR="002A487F" w:rsidRPr="00EA032F">
        <w:rPr>
          <w:rFonts w:ascii="Arial" w:eastAsia="Calibri" w:hAnsi="Arial" w:cs="Arial"/>
          <w:sz w:val="22"/>
          <w:lang w:val="es-ES" w:eastAsia="es-MX"/>
        </w:rPr>
        <w:t xml:space="preserve">contrato de concurrencia es un contrato interadministrativo dada la naturaleza pública de ambas partes, esto es, la Nación y las entidades territoriales, cuya modalidad de suscripción es la contratación directa. En consecuencia, la restricción se aplica, sin que se observe que el mismo encaje en alguna de las excepciones previstas en la misma norma. </w:t>
      </w:r>
    </w:p>
    <w:p w14:paraId="2745FD4B" w14:textId="439799BE" w:rsidR="00E7054A" w:rsidRPr="00EA032F" w:rsidRDefault="00BC0877" w:rsidP="00D70CDA">
      <w:pPr>
        <w:spacing w:line="276" w:lineRule="auto"/>
        <w:ind w:firstLine="708"/>
        <w:jc w:val="both"/>
        <w:rPr>
          <w:rFonts w:ascii="Arial" w:hAnsi="Arial" w:cs="Arial"/>
          <w:bCs/>
          <w:i/>
          <w:iCs/>
          <w:sz w:val="22"/>
          <w:lang w:eastAsia="es-CO"/>
        </w:rPr>
      </w:pPr>
      <w:r w:rsidRPr="00EA032F">
        <w:rPr>
          <w:rFonts w:ascii="Arial" w:hAnsi="Arial" w:cs="Arial"/>
          <w:bCs/>
          <w:color w:val="000000"/>
          <w:sz w:val="22"/>
          <w:lang w:eastAsia="es-CO"/>
        </w:rPr>
        <w:t xml:space="preserve">Por otra parte, respecto a </w:t>
      </w:r>
      <w:r w:rsidRPr="00EA032F">
        <w:rPr>
          <w:rFonts w:ascii="Arial" w:eastAsia="Calibri" w:hAnsi="Arial" w:cs="Arial"/>
          <w:color w:val="000000"/>
          <w:sz w:val="22"/>
          <w:lang w:eastAsia="es-MX"/>
        </w:rPr>
        <w:t xml:space="preserve">la restricción del artículo 38 de la </w:t>
      </w:r>
      <w:r w:rsidRPr="00EA032F">
        <w:rPr>
          <w:rFonts w:ascii="Arial" w:hAnsi="Arial" w:cs="Arial"/>
          <w:bCs/>
          <w:color w:val="000000"/>
          <w:sz w:val="22"/>
          <w:lang w:eastAsia="es-CO"/>
        </w:rPr>
        <w:t>Ley de Garantías se considera que los contratos</w:t>
      </w:r>
      <w:r w:rsidR="002A487F" w:rsidRPr="00EA032F">
        <w:rPr>
          <w:rFonts w:ascii="Arial" w:hAnsi="Arial" w:cs="Arial"/>
          <w:bCs/>
          <w:color w:val="000000"/>
          <w:sz w:val="22"/>
          <w:lang w:eastAsia="es-CO"/>
        </w:rPr>
        <w:t xml:space="preserve"> de concurrencia</w:t>
      </w:r>
      <w:r w:rsidRPr="00EA032F">
        <w:rPr>
          <w:rFonts w:ascii="Arial" w:hAnsi="Arial" w:cs="Arial"/>
          <w:bCs/>
          <w:color w:val="000000"/>
          <w:sz w:val="22"/>
          <w:lang w:eastAsia="es-CO"/>
        </w:rPr>
        <w:t xml:space="preserve"> celebrados </w:t>
      </w:r>
      <w:r w:rsidR="00D70CDA" w:rsidRPr="00EA032F">
        <w:rPr>
          <w:rFonts w:ascii="Arial" w:hAnsi="Arial" w:cs="Arial"/>
          <w:bCs/>
          <w:color w:val="000000"/>
          <w:sz w:val="22"/>
          <w:lang w:eastAsia="es-CO"/>
        </w:rPr>
        <w:t>tiene</w:t>
      </w:r>
      <w:r w:rsidR="00CC087E" w:rsidRPr="00EA032F">
        <w:rPr>
          <w:rFonts w:ascii="Arial" w:hAnsi="Arial" w:cs="Arial"/>
          <w:bCs/>
          <w:color w:val="000000"/>
          <w:sz w:val="22"/>
          <w:lang w:eastAsia="es-CO"/>
        </w:rPr>
        <w:t>n</w:t>
      </w:r>
      <w:r w:rsidR="00D70CDA" w:rsidRPr="00EA032F">
        <w:rPr>
          <w:rFonts w:ascii="Arial" w:hAnsi="Arial" w:cs="Arial"/>
          <w:bCs/>
          <w:color w:val="000000"/>
          <w:sz w:val="22"/>
          <w:lang w:eastAsia="es-CO"/>
        </w:rPr>
        <w:t xml:space="preserve"> como una de las partes, necesariamente, a una entidad territorial. Se observa entonces que el parágrafo del artículo 38 de la Ley 996 de 2005 prohíbe a los alcaldes, gobernadores, secretarios, gerentes y directores de entidades descentralizadas del orden municipal, departamental o distrital celebrar convenios y contratos interadministrativos para la ejecución de recursos públicos. En este sentido, si una o ambas partes de la relación contractual es una entidad de aquellas </w:t>
      </w:r>
      <w:r w:rsidR="00D70CDA" w:rsidRPr="00EA032F">
        <w:rPr>
          <w:rFonts w:ascii="Arial" w:hAnsi="Arial" w:cs="Arial"/>
          <w:bCs/>
          <w:color w:val="000000"/>
          <w:sz w:val="22"/>
          <w:lang w:eastAsia="es-CO"/>
        </w:rPr>
        <w:lastRenderedPageBreak/>
        <w:t>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p>
    <w:p w14:paraId="1DBE1E94" w14:textId="77777777" w:rsidR="00D70CDA" w:rsidRPr="00EA032F" w:rsidRDefault="00D70CDA" w:rsidP="00E7054A">
      <w:pPr>
        <w:spacing w:line="276" w:lineRule="auto"/>
        <w:ind w:right="79"/>
        <w:jc w:val="both"/>
        <w:rPr>
          <w:rFonts w:ascii="Arial" w:eastAsia="Calibri" w:hAnsi="Arial" w:cs="Arial"/>
          <w:b/>
          <w:noProof/>
          <w:color w:val="161616" w:themeColor="background1" w:themeShade="1A"/>
          <w:sz w:val="22"/>
          <w:szCs w:val="22"/>
          <w:lang w:val="es-ES_tradnl"/>
        </w:rPr>
      </w:pPr>
      <w:bookmarkStart w:id="25" w:name="_1y810tw" w:colFirst="0" w:colLast="0"/>
      <w:bookmarkStart w:id="26" w:name="_2xcytpi" w:colFirst="0" w:colLast="0"/>
      <w:bookmarkStart w:id="27" w:name="_1ci93xb" w:colFirst="0" w:colLast="0"/>
      <w:bookmarkStart w:id="28" w:name="_3whwml4" w:colFirst="0" w:colLast="0"/>
      <w:bookmarkEnd w:id="11"/>
      <w:bookmarkEnd w:id="25"/>
      <w:bookmarkEnd w:id="26"/>
      <w:bookmarkEnd w:id="27"/>
      <w:bookmarkEnd w:id="28"/>
    </w:p>
    <w:p w14:paraId="0B5723FA" w14:textId="4EEAB8BE" w:rsidR="00C32018" w:rsidRPr="00EA032F" w:rsidRDefault="00E54365" w:rsidP="00E7054A">
      <w:pPr>
        <w:spacing w:line="276" w:lineRule="auto"/>
        <w:ind w:right="79"/>
        <w:jc w:val="both"/>
        <w:rPr>
          <w:rFonts w:ascii="Arial" w:eastAsia="Calibri" w:hAnsi="Arial" w:cs="Arial"/>
          <w:b/>
          <w:noProof/>
          <w:color w:val="161616" w:themeColor="background1" w:themeShade="1A"/>
          <w:sz w:val="22"/>
          <w:szCs w:val="22"/>
          <w:lang w:val="es-ES_tradnl"/>
        </w:rPr>
      </w:pPr>
      <w:r w:rsidRPr="00EA032F">
        <w:rPr>
          <w:rFonts w:ascii="Arial" w:eastAsia="Calibri" w:hAnsi="Arial" w:cs="Arial"/>
          <w:b/>
          <w:noProof/>
          <w:color w:val="161616" w:themeColor="background1" w:themeShade="1A"/>
          <w:sz w:val="22"/>
          <w:szCs w:val="22"/>
          <w:lang w:val="es-ES_tradnl"/>
        </w:rPr>
        <w:t>3. Respuesta</w:t>
      </w:r>
    </w:p>
    <w:p w14:paraId="7321D67C" w14:textId="77777777" w:rsidR="00D85587" w:rsidRPr="00EA032F" w:rsidRDefault="00D85587" w:rsidP="00490E94">
      <w:pPr>
        <w:spacing w:line="276" w:lineRule="auto"/>
        <w:ind w:right="79"/>
        <w:jc w:val="both"/>
        <w:rPr>
          <w:rFonts w:ascii="Arial" w:eastAsia="Calibri" w:hAnsi="Arial" w:cs="Arial"/>
          <w:b/>
          <w:noProof/>
          <w:color w:val="161616" w:themeColor="background1" w:themeShade="1A"/>
          <w:sz w:val="22"/>
          <w:szCs w:val="22"/>
          <w:lang w:val="es-ES_tradnl"/>
        </w:rPr>
      </w:pPr>
    </w:p>
    <w:p w14:paraId="500DC63B" w14:textId="0E72E0AD" w:rsidR="00940A75" w:rsidRPr="00EA032F" w:rsidRDefault="00940A75" w:rsidP="00490E94">
      <w:pPr>
        <w:ind w:left="567" w:right="786"/>
        <w:jc w:val="both"/>
        <w:rPr>
          <w:rFonts w:ascii="Arial" w:hAnsi="Arial" w:cs="Arial"/>
          <w:color w:val="161616" w:themeColor="background1" w:themeShade="1A"/>
          <w:sz w:val="21"/>
          <w:szCs w:val="21"/>
          <w:lang w:val="es-ES_tradnl"/>
        </w:rPr>
      </w:pPr>
      <w:r w:rsidRPr="00EA032F">
        <w:rPr>
          <w:rFonts w:ascii="Arial" w:hAnsi="Arial" w:cs="Arial"/>
          <w:color w:val="161616" w:themeColor="background1" w:themeShade="1A"/>
          <w:sz w:val="21"/>
          <w:szCs w:val="21"/>
          <w:lang w:val="es-ES_tradnl"/>
        </w:rPr>
        <w:t xml:space="preserve">«[…]Se aclare si las restricciones señaladas en la Ley de Garantías sobre la celebración de convenios </w:t>
      </w:r>
      <w:proofErr w:type="gramStart"/>
      <w:r w:rsidRPr="00EA032F">
        <w:rPr>
          <w:rFonts w:ascii="Arial" w:hAnsi="Arial" w:cs="Arial"/>
          <w:color w:val="161616" w:themeColor="background1" w:themeShade="1A"/>
          <w:sz w:val="21"/>
          <w:szCs w:val="21"/>
          <w:lang w:val="es-ES_tradnl"/>
        </w:rPr>
        <w:t>interadministrativos,</w:t>
      </w:r>
      <w:proofErr w:type="gramEnd"/>
      <w:r w:rsidRPr="00EA032F">
        <w:rPr>
          <w:rFonts w:ascii="Arial" w:hAnsi="Arial" w:cs="Arial"/>
          <w:color w:val="161616" w:themeColor="background1" w:themeShade="1A"/>
          <w:sz w:val="21"/>
          <w:szCs w:val="21"/>
          <w:lang w:val="es-ES_tradnl"/>
        </w:rPr>
        <w:t xml:space="preserve"> deben ser o no aplicadas al procedimiento descrito en el Decreto 586 de 2017, el cual busca obtener el Cálculo Actuarial y posterior firma de Contrato de Concurrencia entre la Nación, Ministerio de Hacienda y Crédito Público, y de las entidades territoriales (siendo estas las Entidades responsables de cubrir el pasivo pensional de las entidades hospitalarias)»</w:t>
      </w:r>
      <w:r w:rsidR="00E55535" w:rsidRPr="00EA032F">
        <w:rPr>
          <w:rFonts w:ascii="Arial" w:hAnsi="Arial" w:cs="Arial"/>
          <w:color w:val="161616" w:themeColor="background1" w:themeShade="1A"/>
          <w:sz w:val="21"/>
          <w:szCs w:val="21"/>
          <w:lang w:val="es-ES_tradnl"/>
        </w:rPr>
        <w:t>.</w:t>
      </w:r>
    </w:p>
    <w:p w14:paraId="6B09B2CD" w14:textId="77777777" w:rsidR="001E320D" w:rsidRPr="00EA032F" w:rsidRDefault="001E320D" w:rsidP="00490E94">
      <w:pPr>
        <w:ind w:left="567" w:right="786"/>
        <w:jc w:val="both"/>
        <w:rPr>
          <w:rFonts w:ascii="Arial" w:hAnsi="Arial" w:cs="Arial"/>
          <w:color w:val="161616" w:themeColor="background1" w:themeShade="1A"/>
          <w:sz w:val="21"/>
          <w:szCs w:val="21"/>
          <w:lang w:val="es-ES_tradnl"/>
        </w:rPr>
      </w:pPr>
    </w:p>
    <w:p w14:paraId="1C0BD609" w14:textId="5753430E" w:rsidR="00940A75" w:rsidRPr="00EA032F" w:rsidRDefault="00940A75" w:rsidP="00940A75">
      <w:pPr>
        <w:spacing w:after="120" w:line="276" w:lineRule="auto"/>
        <w:jc w:val="both"/>
        <w:rPr>
          <w:rFonts w:ascii="Arial" w:hAnsi="Arial" w:cs="Arial"/>
          <w:sz w:val="22"/>
          <w:lang w:eastAsia="es-MX"/>
        </w:rPr>
      </w:pPr>
      <w:r w:rsidRPr="00EA032F">
        <w:rPr>
          <w:rFonts w:ascii="Arial" w:hAnsi="Arial" w:cs="Arial"/>
          <w:sz w:val="22"/>
        </w:rPr>
        <w:t xml:space="preserve">Conforme a las consideraciones de este concepto, lo que define los contratos o convenios interadministrativos es la naturaleza de las partes, en el sentido de que están determinados por un criterio orgánico, pues es necesario que los extremos de la relación contractual sean entidades estatales. </w:t>
      </w:r>
      <w:r w:rsidRPr="00EA032F">
        <w:rPr>
          <w:rFonts w:ascii="Arial" w:hAnsi="Arial" w:cs="Arial"/>
          <w:sz w:val="22"/>
          <w:lang w:eastAsia="es-MX"/>
        </w:rPr>
        <w:t xml:space="preserve">Es </w:t>
      </w:r>
      <w:r w:rsidR="00AE5406" w:rsidRPr="00EA032F">
        <w:rPr>
          <w:rFonts w:ascii="Arial" w:hAnsi="Arial" w:cs="Arial"/>
          <w:sz w:val="22"/>
          <w:lang w:eastAsia="es-MX"/>
        </w:rPr>
        <w:t>a</w:t>
      </w:r>
      <w:r w:rsidRPr="00EA032F">
        <w:rPr>
          <w:rFonts w:ascii="Arial" w:hAnsi="Arial" w:cs="Arial"/>
          <w:sz w:val="22"/>
          <w:lang w:eastAsia="es-MX"/>
        </w:rPr>
        <w:t>sí como aun cuando la etapa precontractual del contrato de concurrencia referido está sometido a normas especiales, para efectos de determinar la concurrencia de la Nación y las entidades territoriales para la asunción del pasivo de entidades hospitalarias del sector salud, no se observa que dicho negocio jurídico est</w:t>
      </w:r>
      <w:r w:rsidR="00AE5406" w:rsidRPr="00EA032F">
        <w:rPr>
          <w:rFonts w:ascii="Arial" w:hAnsi="Arial" w:cs="Arial"/>
          <w:sz w:val="22"/>
          <w:lang w:eastAsia="es-MX"/>
        </w:rPr>
        <w:t>é</w:t>
      </w:r>
      <w:r w:rsidRPr="00EA032F">
        <w:rPr>
          <w:rFonts w:ascii="Arial" w:hAnsi="Arial" w:cs="Arial"/>
          <w:sz w:val="22"/>
          <w:lang w:eastAsia="es-MX"/>
        </w:rPr>
        <w:t xml:space="preserve"> excluido del cumplimiento de la</w:t>
      </w:r>
      <w:r w:rsidR="005F0A53" w:rsidRPr="00EA032F">
        <w:rPr>
          <w:rFonts w:ascii="Arial" w:hAnsi="Arial" w:cs="Arial"/>
          <w:sz w:val="22"/>
          <w:lang w:eastAsia="es-MX"/>
        </w:rPr>
        <w:t>s</w:t>
      </w:r>
      <w:r w:rsidRPr="00EA032F">
        <w:rPr>
          <w:rFonts w:ascii="Arial" w:hAnsi="Arial" w:cs="Arial"/>
          <w:sz w:val="22"/>
          <w:lang w:eastAsia="es-MX"/>
        </w:rPr>
        <w:t xml:space="preserve"> restricciones de la Ley de Garantías.  </w:t>
      </w:r>
    </w:p>
    <w:p w14:paraId="0D1EE2E0" w14:textId="30ACD9BE" w:rsidR="00940A75" w:rsidRPr="00EA032F" w:rsidRDefault="00940A75" w:rsidP="00940A75">
      <w:pPr>
        <w:spacing w:after="120" w:line="276" w:lineRule="auto"/>
        <w:ind w:firstLine="708"/>
        <w:jc w:val="both"/>
        <w:rPr>
          <w:rFonts w:ascii="Arial" w:hAnsi="Arial" w:cs="Arial"/>
          <w:bCs/>
          <w:color w:val="000000"/>
          <w:sz w:val="22"/>
          <w:lang w:eastAsia="es-CO"/>
        </w:rPr>
      </w:pPr>
      <w:r w:rsidRPr="00EA032F">
        <w:rPr>
          <w:rFonts w:ascii="Arial" w:eastAsia="Calibri" w:hAnsi="Arial" w:cs="Arial"/>
          <w:color w:val="000000"/>
          <w:sz w:val="22"/>
          <w:lang w:eastAsia="es-MX"/>
        </w:rPr>
        <w:t xml:space="preserve">En este contexto, para la restricción del artículo 33 de la </w:t>
      </w:r>
      <w:r w:rsidRPr="00EA032F">
        <w:rPr>
          <w:rFonts w:ascii="Arial" w:hAnsi="Arial" w:cs="Arial"/>
          <w:bCs/>
          <w:color w:val="000000"/>
          <w:sz w:val="22"/>
          <w:lang w:eastAsia="es-CO"/>
        </w:rPr>
        <w:t xml:space="preserve">Ley 996 de 2005 es necesario considerar que </w:t>
      </w:r>
      <w:r w:rsidRPr="00EA032F">
        <w:rPr>
          <w:rFonts w:ascii="Arial" w:eastAsia="Calibri" w:hAnsi="Arial" w:cs="Arial"/>
          <w:sz w:val="22"/>
          <w:lang w:val="es-ES" w:eastAsia="es-MX"/>
        </w:rPr>
        <w:t xml:space="preserve">el contrato de concurrencia es un contrato interadministrativo dada la naturaleza pública de ambas partes, esto es, la Nación y las entidades territoriales, cuya modalidad de suscripción es la contratación directa. En consecuencia, </w:t>
      </w:r>
      <w:r w:rsidR="00DF341F" w:rsidRPr="00EA032F">
        <w:rPr>
          <w:rFonts w:ascii="Arial" w:eastAsia="Calibri" w:hAnsi="Arial" w:cs="Arial"/>
          <w:sz w:val="22"/>
          <w:lang w:val="es-ES" w:eastAsia="es-MX"/>
        </w:rPr>
        <w:t xml:space="preserve">en opinión de esta Agencia </w:t>
      </w:r>
      <w:r w:rsidRPr="00EA032F">
        <w:rPr>
          <w:rFonts w:ascii="Arial" w:eastAsia="Calibri" w:hAnsi="Arial" w:cs="Arial"/>
          <w:sz w:val="22"/>
          <w:lang w:val="es-ES" w:eastAsia="es-MX"/>
        </w:rPr>
        <w:t xml:space="preserve">la restricción </w:t>
      </w:r>
      <w:r w:rsidR="00AE5406" w:rsidRPr="00EA032F">
        <w:rPr>
          <w:rFonts w:ascii="Arial" w:eastAsia="Calibri" w:hAnsi="Arial" w:cs="Arial"/>
          <w:sz w:val="22"/>
          <w:lang w:val="es-ES" w:eastAsia="es-MX"/>
        </w:rPr>
        <w:t xml:space="preserve">frente a la contratación directa </w:t>
      </w:r>
      <w:r w:rsidRPr="00EA032F">
        <w:rPr>
          <w:rFonts w:ascii="Arial" w:eastAsia="Calibri" w:hAnsi="Arial" w:cs="Arial"/>
          <w:sz w:val="22"/>
          <w:lang w:val="es-ES" w:eastAsia="es-MX"/>
        </w:rPr>
        <w:t xml:space="preserve">se aplica, sin que se observe que el mismo encaje en alguna de las excepciones previstas en </w:t>
      </w:r>
      <w:r w:rsidR="00AE5406" w:rsidRPr="00EA032F">
        <w:rPr>
          <w:rFonts w:ascii="Arial" w:eastAsia="Calibri" w:hAnsi="Arial" w:cs="Arial"/>
          <w:sz w:val="22"/>
          <w:lang w:val="es-ES" w:eastAsia="es-MX"/>
        </w:rPr>
        <w:t xml:space="preserve">el inciso segundo de </w:t>
      </w:r>
      <w:r w:rsidRPr="00EA032F">
        <w:rPr>
          <w:rFonts w:ascii="Arial" w:eastAsia="Calibri" w:hAnsi="Arial" w:cs="Arial"/>
          <w:sz w:val="22"/>
          <w:lang w:val="es-ES" w:eastAsia="es-MX"/>
        </w:rPr>
        <w:t xml:space="preserve">la misma norma. </w:t>
      </w:r>
    </w:p>
    <w:p w14:paraId="74F2696A" w14:textId="77777777" w:rsidR="00940A75" w:rsidRPr="00340C7C" w:rsidRDefault="00940A75" w:rsidP="00940A75">
      <w:pPr>
        <w:spacing w:line="276" w:lineRule="auto"/>
        <w:ind w:firstLine="708"/>
        <w:jc w:val="both"/>
        <w:rPr>
          <w:rFonts w:ascii="Arial" w:hAnsi="Arial" w:cs="Arial"/>
          <w:bCs/>
          <w:i/>
          <w:iCs/>
          <w:sz w:val="22"/>
          <w:lang w:eastAsia="es-CO"/>
        </w:rPr>
      </w:pPr>
      <w:r w:rsidRPr="00EA032F">
        <w:rPr>
          <w:rFonts w:ascii="Arial" w:hAnsi="Arial" w:cs="Arial"/>
          <w:bCs/>
          <w:color w:val="000000"/>
          <w:sz w:val="22"/>
          <w:lang w:eastAsia="es-CO"/>
        </w:rPr>
        <w:t xml:space="preserve">Por otra parte, respecto a </w:t>
      </w:r>
      <w:r w:rsidRPr="00EA032F">
        <w:rPr>
          <w:rFonts w:ascii="Arial" w:eastAsia="Calibri" w:hAnsi="Arial" w:cs="Arial"/>
          <w:color w:val="000000"/>
          <w:sz w:val="22"/>
          <w:lang w:eastAsia="es-MX"/>
        </w:rPr>
        <w:t xml:space="preserve">la restricción del artículo 38 de la </w:t>
      </w:r>
      <w:r w:rsidRPr="00EA032F">
        <w:rPr>
          <w:rFonts w:ascii="Arial" w:hAnsi="Arial" w:cs="Arial"/>
          <w:bCs/>
          <w:color w:val="000000"/>
          <w:sz w:val="22"/>
          <w:lang w:eastAsia="es-CO"/>
        </w:rPr>
        <w:t xml:space="preserve">Ley de Garantías se considera que los contratos de concurrencia celebrados tiene como una de las partes, necesariamente, a una entidad territorial. Se observa entonces que el parágrafo del artículo 38 de la Ley 996 de 2005 prohíbe a los alcaldes, gobernadores, secretarios, gerentes y directores de entidades descentralizadas del orden municipal, departamental o distrital celebrar convenios y contratos interadministrativos para la ejecución de recursos públicos. 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w:t>
      </w:r>
      <w:r w:rsidRPr="00EA032F">
        <w:rPr>
          <w:rFonts w:ascii="Arial" w:hAnsi="Arial" w:cs="Arial"/>
          <w:bCs/>
          <w:color w:val="000000"/>
          <w:sz w:val="22"/>
          <w:lang w:eastAsia="es-CO"/>
        </w:rPr>
        <w:lastRenderedPageBreak/>
        <w:t>tipología contractual sin que el legislador hubiere contemplado excepción alguna frente a la modalidad de selección o naturaleza de su objeto.</w:t>
      </w:r>
    </w:p>
    <w:p w14:paraId="13554085" w14:textId="12C2F0A3" w:rsidR="003A2AFD" w:rsidRDefault="003A2AFD" w:rsidP="00940A75">
      <w:pPr>
        <w:spacing w:after="120" w:line="276" w:lineRule="auto"/>
        <w:jc w:val="both"/>
        <w:rPr>
          <w:rFonts w:ascii="Arial" w:eastAsia="Arial" w:hAnsi="Arial" w:cs="Arial"/>
          <w:color w:val="161616" w:themeColor="background1" w:themeShade="1A"/>
          <w:sz w:val="22"/>
          <w:szCs w:val="22"/>
          <w:vertAlign w:val="superscript"/>
        </w:rPr>
      </w:pPr>
    </w:p>
    <w:p w14:paraId="64BE30C1" w14:textId="5DAA5EB3" w:rsidR="00695B70" w:rsidRDefault="00695B70" w:rsidP="00490E94">
      <w:pPr>
        <w:spacing w:line="276" w:lineRule="auto"/>
        <w:jc w:val="both"/>
        <w:rPr>
          <w:rFonts w:ascii="Arial" w:eastAsia="Calibri" w:hAnsi="Arial" w:cs="Arial"/>
          <w:color w:val="161616" w:themeColor="background1" w:themeShade="1A"/>
          <w:sz w:val="22"/>
          <w:szCs w:val="22"/>
          <w:lang w:val="es-ES_tradnl"/>
        </w:rPr>
      </w:pPr>
      <w:r w:rsidRPr="00515D32">
        <w:rPr>
          <w:rFonts w:ascii="Arial" w:eastAsia="Calibri"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7D2EF4B0" w14:textId="19607560" w:rsidR="002E71C9" w:rsidRDefault="00EE6A82" w:rsidP="00697D26">
      <w:pPr>
        <w:spacing w:before="120" w:line="276" w:lineRule="auto"/>
        <w:jc w:val="both"/>
        <w:rPr>
          <w:rFonts w:ascii="Arial" w:hAnsi="Arial" w:cs="Arial"/>
          <w:color w:val="161616" w:themeColor="background1" w:themeShade="1A"/>
          <w:sz w:val="22"/>
          <w:szCs w:val="22"/>
          <w:lang w:val="es-ES_tradnl" w:eastAsia="es-CO"/>
        </w:rPr>
      </w:pPr>
      <w:bookmarkStart w:id="29" w:name="_Hlk50986665"/>
      <w:bookmarkStart w:id="30" w:name="_Hlk52766744"/>
      <w:r w:rsidRPr="00515D32">
        <w:rPr>
          <w:rFonts w:ascii="Arial" w:hAnsi="Arial" w:cs="Arial"/>
          <w:color w:val="161616" w:themeColor="background1" w:themeShade="1A"/>
          <w:sz w:val="22"/>
          <w:szCs w:val="22"/>
          <w:lang w:val="es-ES_tradnl" w:eastAsia="es-CO"/>
        </w:rPr>
        <w:t>Atentament</w:t>
      </w:r>
      <w:bookmarkEnd w:id="9"/>
      <w:bookmarkEnd w:id="29"/>
      <w:bookmarkEnd w:id="30"/>
      <w:r w:rsidR="00697D26">
        <w:rPr>
          <w:rFonts w:ascii="Arial" w:hAnsi="Arial" w:cs="Arial"/>
          <w:color w:val="161616" w:themeColor="background1" w:themeShade="1A"/>
          <w:sz w:val="22"/>
          <w:szCs w:val="22"/>
          <w:lang w:val="es-ES_tradnl" w:eastAsia="es-CO"/>
        </w:rPr>
        <w:t>e,</w:t>
      </w:r>
    </w:p>
    <w:p w14:paraId="55ADE649" w14:textId="58DF924B" w:rsidR="002E71C9" w:rsidRDefault="00741442" w:rsidP="0022167B">
      <w:pPr>
        <w:jc w:val="center"/>
        <w:rPr>
          <w:rFonts w:ascii="Arial" w:hAnsi="Arial" w:cs="Arial"/>
          <w:color w:val="161616" w:themeColor="background1" w:themeShade="1A"/>
          <w:sz w:val="22"/>
          <w:szCs w:val="22"/>
          <w:lang w:val="es-ES_tradnl" w:eastAsia="es-CO"/>
        </w:rPr>
      </w:pPr>
      <w:r>
        <w:rPr>
          <w:noProof/>
        </w:rPr>
        <w:drawing>
          <wp:inline distT="0" distB="0" distL="0" distR="0" wp14:anchorId="13FC2330" wp14:editId="4ADE970B">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F4E0680" w14:textId="4044A587" w:rsidR="002E71C9" w:rsidRPr="00515D32" w:rsidRDefault="002E71C9" w:rsidP="00025E6E">
      <w:pPr>
        <w:rPr>
          <w:rFonts w:ascii="Arial" w:hAnsi="Arial" w:cs="Arial"/>
          <w:color w:val="161616" w:themeColor="background1" w:themeShade="1A"/>
          <w:sz w:val="22"/>
          <w:szCs w:val="22"/>
          <w:lang w:val="es-ES_tradnl"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4298"/>
      </w:tblGrid>
      <w:tr w:rsidR="009922C8" w:rsidRPr="00E34DEB" w14:paraId="62043797" w14:textId="77777777" w:rsidTr="00AA0B78">
        <w:trPr>
          <w:trHeight w:val="237"/>
        </w:trPr>
        <w:tc>
          <w:tcPr>
            <w:tcW w:w="790" w:type="dxa"/>
            <w:vAlign w:val="center"/>
          </w:tcPr>
          <w:p w14:paraId="7016AE9D"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Elaboró:</w:t>
            </w:r>
          </w:p>
        </w:tc>
        <w:tc>
          <w:tcPr>
            <w:tcW w:w="4298" w:type="dxa"/>
            <w:tcBorders>
              <w:bottom w:val="dotted" w:sz="4" w:space="0" w:color="7F7F7F"/>
            </w:tcBorders>
            <w:vAlign w:val="center"/>
          </w:tcPr>
          <w:p w14:paraId="3135B5D2" w14:textId="2620D60E" w:rsidR="00123BE2" w:rsidRPr="00515D32" w:rsidRDefault="00004171" w:rsidP="0022167B">
            <w:pPr>
              <w:rPr>
                <w:rFonts w:ascii="Arial" w:hAnsi="Arial" w:cs="Arial"/>
                <w:color w:val="161616" w:themeColor="background1" w:themeShade="1A"/>
                <w:sz w:val="14"/>
                <w:szCs w:val="14"/>
                <w:lang w:val="es-ES_tradnl" w:eastAsia="es-ES"/>
              </w:rPr>
            </w:pPr>
            <w:r>
              <w:rPr>
                <w:rFonts w:ascii="Arial" w:hAnsi="Arial" w:cs="Arial"/>
                <w:color w:val="161616" w:themeColor="background1" w:themeShade="1A"/>
                <w:sz w:val="14"/>
                <w:szCs w:val="14"/>
                <w:lang w:val="es-ES_tradnl" w:eastAsia="es-ES"/>
              </w:rPr>
              <w:t>Felipe Bastidas Paredes</w:t>
            </w:r>
          </w:p>
          <w:p w14:paraId="748D0BA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Contratista de la Subdirección de Gestión Contractual</w:t>
            </w:r>
          </w:p>
        </w:tc>
      </w:tr>
      <w:tr w:rsidR="009922C8" w:rsidRPr="00E34DEB" w14:paraId="7E176450" w14:textId="77777777" w:rsidTr="00AA0B78">
        <w:trPr>
          <w:trHeight w:val="248"/>
        </w:trPr>
        <w:tc>
          <w:tcPr>
            <w:tcW w:w="790" w:type="dxa"/>
            <w:vAlign w:val="center"/>
          </w:tcPr>
          <w:p w14:paraId="56D591DE"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Revisó:</w:t>
            </w:r>
          </w:p>
        </w:tc>
        <w:tc>
          <w:tcPr>
            <w:tcW w:w="4298" w:type="dxa"/>
            <w:tcBorders>
              <w:top w:val="dotted" w:sz="4" w:space="0" w:color="7F7F7F"/>
              <w:bottom w:val="dotted" w:sz="4" w:space="0" w:color="7F7F7F"/>
            </w:tcBorders>
            <w:vAlign w:val="center"/>
          </w:tcPr>
          <w:p w14:paraId="59CA7888" w14:textId="31F975A8" w:rsidR="00C551EE" w:rsidRPr="00C551EE" w:rsidRDefault="00004171" w:rsidP="00C551EE">
            <w:pPr>
              <w:rPr>
                <w:rFonts w:ascii="Arial" w:hAnsi="Arial" w:cs="Arial"/>
                <w:color w:val="161616" w:themeColor="background1" w:themeShade="1A"/>
                <w:sz w:val="14"/>
                <w:szCs w:val="14"/>
                <w:lang w:val="es-ES_tradnl" w:eastAsia="es-ES"/>
              </w:rPr>
            </w:pPr>
            <w:r>
              <w:rPr>
                <w:rFonts w:ascii="Arial" w:hAnsi="Arial" w:cs="Arial"/>
                <w:color w:val="161616" w:themeColor="background1" w:themeShade="1A"/>
                <w:sz w:val="14"/>
                <w:szCs w:val="14"/>
                <w:lang w:val="es-ES_tradnl" w:eastAsia="es-ES"/>
              </w:rPr>
              <w:t>Sebastián Ramírez Grisales</w:t>
            </w:r>
          </w:p>
          <w:p w14:paraId="5C8BE685" w14:textId="67E96254" w:rsidR="00123BE2" w:rsidRPr="00515D32" w:rsidRDefault="00004171" w:rsidP="00C551EE">
            <w:pPr>
              <w:rPr>
                <w:rFonts w:ascii="Arial" w:hAnsi="Arial" w:cs="Arial"/>
                <w:color w:val="161616" w:themeColor="background1" w:themeShade="1A"/>
                <w:sz w:val="14"/>
                <w:szCs w:val="14"/>
                <w:lang w:val="es-ES_tradnl" w:eastAsia="es-ES"/>
              </w:rPr>
            </w:pPr>
            <w:r>
              <w:rPr>
                <w:rFonts w:ascii="Arial" w:hAnsi="Arial" w:cs="Arial"/>
                <w:color w:val="161616" w:themeColor="background1" w:themeShade="1A"/>
                <w:sz w:val="14"/>
                <w:szCs w:val="14"/>
                <w:lang w:val="es-ES_tradnl" w:eastAsia="es-ES"/>
              </w:rPr>
              <w:t>Contratista</w:t>
            </w:r>
            <w:r w:rsidR="00C551EE" w:rsidRPr="00C551EE">
              <w:rPr>
                <w:rFonts w:ascii="Arial" w:hAnsi="Arial" w:cs="Arial"/>
                <w:color w:val="161616" w:themeColor="background1" w:themeShade="1A"/>
                <w:sz w:val="14"/>
                <w:szCs w:val="14"/>
                <w:lang w:val="es-ES_tradnl" w:eastAsia="es-ES"/>
              </w:rPr>
              <w:t xml:space="preserve"> de la Subdirección de Gestión Contractual</w:t>
            </w:r>
          </w:p>
        </w:tc>
      </w:tr>
      <w:tr w:rsidR="009922C8" w:rsidRPr="00E34DEB" w14:paraId="611127FC" w14:textId="77777777" w:rsidTr="00AA0B78">
        <w:trPr>
          <w:trHeight w:val="225"/>
        </w:trPr>
        <w:tc>
          <w:tcPr>
            <w:tcW w:w="790" w:type="dxa"/>
            <w:vAlign w:val="center"/>
          </w:tcPr>
          <w:p w14:paraId="627055C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Aprobó:</w:t>
            </w:r>
          </w:p>
        </w:tc>
        <w:tc>
          <w:tcPr>
            <w:tcW w:w="4298" w:type="dxa"/>
            <w:tcBorders>
              <w:top w:val="dotted" w:sz="4" w:space="0" w:color="7F7F7F"/>
              <w:bottom w:val="dotted" w:sz="4" w:space="0" w:color="7F7F7F"/>
            </w:tcBorders>
            <w:vAlign w:val="center"/>
          </w:tcPr>
          <w:p w14:paraId="0A96E7B2"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Jorge Augusto Tirado Navarro</w:t>
            </w:r>
          </w:p>
          <w:p w14:paraId="5A434093" w14:textId="77777777" w:rsidR="00123BE2" w:rsidRPr="00515D32" w:rsidRDefault="00123BE2" w:rsidP="0022167B">
            <w:pPr>
              <w:rPr>
                <w:rFonts w:ascii="Arial" w:hAnsi="Arial" w:cs="Arial"/>
                <w:color w:val="161616" w:themeColor="background1" w:themeShade="1A"/>
                <w:sz w:val="14"/>
                <w:szCs w:val="14"/>
                <w:lang w:val="es-ES_tradnl" w:eastAsia="es-ES"/>
              </w:rPr>
            </w:pPr>
            <w:r w:rsidRPr="00515D32">
              <w:rPr>
                <w:rFonts w:ascii="Arial" w:hAnsi="Arial" w:cs="Arial"/>
                <w:color w:val="161616" w:themeColor="background1" w:themeShade="1A"/>
                <w:sz w:val="14"/>
                <w:szCs w:val="14"/>
                <w:lang w:val="es-ES_tradnl" w:eastAsia="es-ES"/>
              </w:rPr>
              <w:t>Subdirector de Gestión Contractual ANCP – CCE</w:t>
            </w:r>
          </w:p>
        </w:tc>
      </w:tr>
    </w:tbl>
    <w:p w14:paraId="46A2D6C9" w14:textId="77777777" w:rsidR="00123BE2" w:rsidRPr="00515D32" w:rsidRDefault="00123BE2" w:rsidP="00697D26">
      <w:pPr>
        <w:rPr>
          <w:rFonts w:ascii="Arial" w:hAnsi="Arial" w:cs="Arial"/>
          <w:color w:val="161616" w:themeColor="background1" w:themeShade="1A"/>
          <w:sz w:val="22"/>
          <w:szCs w:val="22"/>
          <w:lang w:val="es-ES_tradnl"/>
        </w:rPr>
      </w:pPr>
    </w:p>
    <w:sectPr w:rsidR="00123BE2" w:rsidRPr="00515D32" w:rsidSect="00E07CA2">
      <w:headerReference w:type="default" r:id="rId13"/>
      <w:footerReference w:type="default" r:id="rId14"/>
      <w:pgSz w:w="12240" w:h="15840"/>
      <w:pgMar w:top="2041" w:right="1701" w:bottom="1474"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9E34" w14:textId="77777777" w:rsidR="00634297" w:rsidRDefault="00634297">
      <w:r>
        <w:separator/>
      </w:r>
    </w:p>
  </w:endnote>
  <w:endnote w:type="continuationSeparator" w:id="0">
    <w:p w14:paraId="0CF248C2" w14:textId="77777777" w:rsidR="00634297" w:rsidRDefault="0063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_õÄ_ò">
    <w:altName w:val="Calibri"/>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E71C9">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E71C9">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C47A" w14:textId="77777777" w:rsidR="00634297" w:rsidRDefault="00634297">
      <w:r>
        <w:separator/>
      </w:r>
    </w:p>
  </w:footnote>
  <w:footnote w:type="continuationSeparator" w:id="0">
    <w:p w14:paraId="2E1D18A2" w14:textId="77777777" w:rsidR="00634297" w:rsidRDefault="00634297">
      <w:r>
        <w:continuationSeparator/>
      </w:r>
    </w:p>
  </w:footnote>
  <w:footnote w:id="1">
    <w:p w14:paraId="55D7B2FC" w14:textId="77777777" w:rsidR="00F77855" w:rsidRPr="00E07CA2" w:rsidRDefault="00F77855"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color w:val="000000" w:themeColor="text1"/>
          <w:sz w:val="19"/>
          <w:szCs w:val="19"/>
        </w:rPr>
        <w:footnoteRef/>
      </w:r>
      <w:r w:rsidRPr="00E07CA2">
        <w:rPr>
          <w:rFonts w:ascii="Arial" w:hAnsi="Arial" w:cs="Arial"/>
          <w:color w:val="000000" w:themeColor="text1"/>
          <w:sz w:val="19"/>
          <w:szCs w:val="19"/>
        </w:rPr>
        <w:t xml:space="preserve"> </w:t>
      </w:r>
      <w:r w:rsidRPr="00E07CA2">
        <w:rPr>
          <w:rFonts w:ascii="Arial" w:eastAsia="Arial" w:hAnsi="Arial" w:cs="Arial"/>
          <w:color w:val="000000" w:themeColor="text1"/>
          <w:sz w:val="19"/>
          <w:szCs w:val="19"/>
        </w:rPr>
        <w:t>«</w:t>
      </w:r>
      <w:r w:rsidRPr="00E07CA2">
        <w:rPr>
          <w:rFonts w:ascii="Arial" w:hAnsi="Arial" w:cs="Arial"/>
          <w:sz w:val="19"/>
          <w:szCs w:val="19"/>
        </w:rPr>
        <w:t xml:space="preserve">Artículo 3°. Funciones. La Agencia Nacional de Contratación Pública –Colombia Compra Eficiente– ejercerá las siguientes funciones: </w:t>
      </w:r>
    </w:p>
    <w:p w14:paraId="4EFA4669" w14:textId="77777777" w:rsidR="00F77855" w:rsidRPr="00E07CA2" w:rsidRDefault="00F77855" w:rsidP="00DE59DA">
      <w:pPr>
        <w:pStyle w:val="Textonotapie"/>
        <w:spacing w:before="0" w:after="0" w:line="240" w:lineRule="auto"/>
        <w:ind w:firstLine="709"/>
        <w:rPr>
          <w:rFonts w:ascii="Arial" w:hAnsi="Arial" w:cs="Arial"/>
          <w:sz w:val="19"/>
          <w:szCs w:val="19"/>
        </w:rPr>
      </w:pPr>
      <w:r w:rsidRPr="00E07CA2">
        <w:rPr>
          <w:rFonts w:ascii="Arial" w:hAnsi="Arial" w:cs="Arial"/>
          <w:sz w:val="19"/>
          <w:szCs w:val="19"/>
        </w:rPr>
        <w:t xml:space="preserve">[...] </w:t>
      </w:r>
    </w:p>
    <w:p w14:paraId="726C1451" w14:textId="77777777" w:rsidR="00F77855" w:rsidRPr="00E07CA2" w:rsidRDefault="00F77855" w:rsidP="00DE59DA">
      <w:pPr>
        <w:pStyle w:val="Textonotapie"/>
        <w:spacing w:before="0" w:after="0" w:line="240" w:lineRule="auto"/>
        <w:rPr>
          <w:rFonts w:ascii="Arial" w:hAnsi="Arial" w:cs="Arial"/>
          <w:sz w:val="19"/>
          <w:szCs w:val="19"/>
        </w:rPr>
      </w:pPr>
      <w:r w:rsidRPr="00E07CA2">
        <w:rPr>
          <w:rFonts w:ascii="Arial" w:hAnsi="Arial" w:cs="Arial"/>
          <w:sz w:val="19"/>
          <w:szCs w:val="19"/>
        </w:rPr>
        <w:t>» 5. Absolver consultas sobre la aplicación de normas de carácter general y expedir circulares externas en materia de compras y contratación pública».</w:t>
      </w:r>
    </w:p>
    <w:p w14:paraId="37545007" w14:textId="77777777" w:rsidR="00F77855" w:rsidRPr="00E07CA2" w:rsidRDefault="00F77855" w:rsidP="00DE59DA">
      <w:pPr>
        <w:pStyle w:val="Textonotapie"/>
        <w:spacing w:before="0" w:after="0" w:line="240" w:lineRule="auto"/>
        <w:rPr>
          <w:rFonts w:ascii="Arial" w:hAnsi="Arial" w:cs="Arial"/>
          <w:sz w:val="19"/>
          <w:szCs w:val="19"/>
        </w:rPr>
      </w:pPr>
      <w:r w:rsidRPr="00E07CA2">
        <w:rPr>
          <w:rFonts w:ascii="Arial" w:hAnsi="Arial" w:cs="Arial"/>
          <w:sz w:val="19"/>
          <w:szCs w:val="19"/>
        </w:rPr>
        <w:t>[..]</w:t>
      </w:r>
    </w:p>
    <w:p w14:paraId="388EE5E6" w14:textId="77777777" w:rsidR="00F77855" w:rsidRPr="00E07CA2" w:rsidRDefault="00F77855" w:rsidP="00DE59DA">
      <w:pPr>
        <w:pStyle w:val="Textonotapie"/>
        <w:spacing w:before="0" w:after="0" w:line="240" w:lineRule="auto"/>
        <w:rPr>
          <w:rFonts w:ascii="Arial" w:hAnsi="Arial" w:cs="Arial"/>
          <w:sz w:val="19"/>
          <w:szCs w:val="19"/>
        </w:rPr>
      </w:pPr>
      <w:r w:rsidRPr="00E07CA2">
        <w:rPr>
          <w:rFonts w:ascii="Arial" w:hAnsi="Arial" w:cs="Arial"/>
          <w:sz w:val="19"/>
          <w:szCs w:val="19"/>
        </w:rPr>
        <w:t xml:space="preserve">»Artículo 11. Subdirección de Gestión Contractual. Son funciones de la Subdirección de Gestión Contractual las siguientes: </w:t>
      </w:r>
    </w:p>
    <w:p w14:paraId="5D167BB9" w14:textId="77777777" w:rsidR="00F77855" w:rsidRPr="00E07CA2" w:rsidRDefault="00F77855" w:rsidP="00DE59DA">
      <w:pPr>
        <w:pStyle w:val="Textonotapie"/>
        <w:spacing w:before="0" w:after="0" w:line="240" w:lineRule="auto"/>
        <w:rPr>
          <w:rFonts w:ascii="Arial" w:hAnsi="Arial" w:cs="Arial"/>
          <w:sz w:val="19"/>
          <w:szCs w:val="19"/>
        </w:rPr>
      </w:pPr>
      <w:r w:rsidRPr="00E07CA2">
        <w:rPr>
          <w:rFonts w:ascii="Arial" w:hAnsi="Arial" w:cs="Arial"/>
          <w:sz w:val="19"/>
          <w:szCs w:val="19"/>
        </w:rPr>
        <w:t xml:space="preserve">[...] </w:t>
      </w:r>
    </w:p>
    <w:p w14:paraId="429559E0" w14:textId="77777777" w:rsidR="00F77855" w:rsidRPr="00E07CA2" w:rsidRDefault="00F77855" w:rsidP="00DE59DA">
      <w:pPr>
        <w:pStyle w:val="Textonotapie"/>
        <w:spacing w:before="0" w:after="0" w:line="240" w:lineRule="auto"/>
        <w:rPr>
          <w:rFonts w:ascii="Arial" w:hAnsi="Arial" w:cs="Arial"/>
          <w:sz w:val="19"/>
          <w:szCs w:val="19"/>
        </w:rPr>
      </w:pPr>
      <w:r w:rsidRPr="00E07CA2">
        <w:rPr>
          <w:rFonts w:ascii="Arial" w:hAnsi="Arial" w:cs="Arial"/>
          <w:sz w:val="19"/>
          <w:szCs w:val="19"/>
        </w:rPr>
        <w:t xml:space="preserve">»8. Absolver consultas sobre la aplicación de normas de carácter general». </w:t>
      </w:r>
    </w:p>
    <w:p w14:paraId="442F8EC8" w14:textId="76A5AEE7" w:rsidR="00F77855" w:rsidRPr="00E07CA2" w:rsidRDefault="00F77855" w:rsidP="00DE59DA">
      <w:pPr>
        <w:pStyle w:val="Textonotapie"/>
        <w:spacing w:before="0" w:after="0" w:line="240" w:lineRule="auto"/>
        <w:ind w:firstLine="709"/>
        <w:rPr>
          <w:rFonts w:ascii="Arial" w:hAnsi="Arial" w:cs="Arial"/>
          <w:sz w:val="19"/>
          <w:szCs w:val="19"/>
        </w:rPr>
      </w:pPr>
    </w:p>
  </w:footnote>
  <w:footnote w:id="2">
    <w:p w14:paraId="67B4E337" w14:textId="77777777" w:rsidR="00A20765" w:rsidRPr="00E07CA2" w:rsidRDefault="00A20765" w:rsidP="00DE59DA">
      <w:pPr>
        <w:pStyle w:val="Textonotapie"/>
        <w:spacing w:before="0" w:after="0" w:line="240" w:lineRule="auto"/>
        <w:ind w:firstLine="708"/>
        <w:rPr>
          <w:rFonts w:ascii="Arial" w:hAnsi="Arial" w:cs="Arial"/>
          <w:sz w:val="19"/>
          <w:szCs w:val="19"/>
        </w:rPr>
      </w:pPr>
      <w:r w:rsidRPr="00E07CA2">
        <w:rPr>
          <w:rFonts w:ascii="Arial" w:hAnsi="Arial" w:cs="Arial"/>
          <w:sz w:val="19"/>
          <w:szCs w:val="19"/>
        </w:rPr>
        <w:footnoteRef/>
      </w:r>
      <w:r w:rsidRPr="00E07CA2">
        <w:rPr>
          <w:rFonts w:ascii="Arial" w:hAnsi="Arial" w:cs="Arial"/>
          <w:sz w:val="19"/>
          <w:szCs w:val="19"/>
        </w:rPr>
        <w:t xml:space="preserve"> Decreto Ley 4170 de 2011. «Artículo 11. Subdirección de Gestión Contractual. Son funciones de la Subdirección de Gestión Contractual las siguientes: </w:t>
      </w:r>
    </w:p>
    <w:p w14:paraId="217DAF31" w14:textId="77777777" w:rsidR="00A20765" w:rsidRPr="00E07CA2" w:rsidRDefault="00A20765" w:rsidP="00DE59DA">
      <w:pPr>
        <w:pStyle w:val="Textonotapie"/>
        <w:spacing w:before="0" w:after="0" w:line="240" w:lineRule="auto"/>
        <w:rPr>
          <w:rFonts w:ascii="Arial" w:hAnsi="Arial" w:cs="Arial"/>
          <w:sz w:val="19"/>
          <w:szCs w:val="19"/>
        </w:rPr>
      </w:pPr>
      <w:r w:rsidRPr="00E07CA2">
        <w:rPr>
          <w:rFonts w:ascii="Arial" w:hAnsi="Arial" w:cs="Arial"/>
          <w:sz w:val="19"/>
          <w:szCs w:val="19"/>
        </w:rPr>
        <w:t xml:space="preserve">»[...] </w:t>
      </w:r>
    </w:p>
    <w:p w14:paraId="6DB6A817" w14:textId="77777777" w:rsidR="00A20765" w:rsidRPr="00E07CA2" w:rsidRDefault="00A20765" w:rsidP="00DE59DA">
      <w:pPr>
        <w:pStyle w:val="Textonotapie"/>
        <w:spacing w:before="0" w:after="0" w:line="240" w:lineRule="auto"/>
        <w:rPr>
          <w:rFonts w:ascii="Arial" w:hAnsi="Arial" w:cs="Arial"/>
          <w:sz w:val="19"/>
          <w:szCs w:val="19"/>
        </w:rPr>
      </w:pPr>
      <w:r w:rsidRPr="00E07CA2">
        <w:rPr>
          <w:rFonts w:ascii="Arial" w:hAnsi="Arial" w:cs="Arial"/>
          <w:sz w:val="19"/>
          <w:szCs w:val="19"/>
        </w:rPr>
        <w:t>»8. Absolver consultas sobre la aplicación de normas de carácter general».</w:t>
      </w:r>
    </w:p>
  </w:footnote>
  <w:footnote w:id="3">
    <w:p w14:paraId="375BE0FA" w14:textId="05D9448A" w:rsidR="008148C7" w:rsidRPr="00E07CA2" w:rsidRDefault="008148C7" w:rsidP="00E07CA2">
      <w:pPr>
        <w:pStyle w:val="Textonotapie"/>
        <w:spacing w:before="0" w:after="0" w:line="240" w:lineRule="auto"/>
        <w:ind w:firstLine="708"/>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w:t>
      </w:r>
      <w:r w:rsidRPr="00E07CA2">
        <w:rPr>
          <w:rFonts w:ascii="Arial" w:eastAsia="Arial" w:hAnsi="Arial" w:cs="Arial"/>
          <w:color w:val="000000" w:themeColor="text1"/>
          <w:sz w:val="19"/>
          <w:szCs w:val="19"/>
          <w:lang w:val="es-CO" w:eastAsia="en-GB"/>
        </w:rPr>
        <w:t>Ver tambi</w:t>
      </w:r>
      <w:r w:rsidR="00987069" w:rsidRPr="00E07CA2">
        <w:rPr>
          <w:rFonts w:ascii="Arial" w:eastAsia="Arial" w:hAnsi="Arial" w:cs="Arial"/>
          <w:color w:val="000000" w:themeColor="text1"/>
          <w:sz w:val="19"/>
          <w:szCs w:val="19"/>
          <w:lang w:val="es-CO" w:eastAsia="en-GB"/>
        </w:rPr>
        <w:t>é</w:t>
      </w:r>
      <w:r w:rsidRPr="00E07CA2">
        <w:rPr>
          <w:rFonts w:ascii="Arial" w:eastAsia="Arial" w:hAnsi="Arial" w:cs="Arial"/>
          <w:color w:val="000000" w:themeColor="text1"/>
          <w:sz w:val="19"/>
          <w:szCs w:val="19"/>
          <w:lang w:val="es-CO" w:eastAsia="en-GB"/>
        </w:rPr>
        <w:t>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C-553 del 25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C-693 del 9 de diciembre de 2021, C-695 del 22 de diciembre de 2021.</w:t>
      </w:r>
    </w:p>
  </w:footnote>
  <w:footnote w:id="4">
    <w:p w14:paraId="707B3955" w14:textId="77777777"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394C0AD" w14:textId="179432FD" w:rsidR="00450CAF" w:rsidRPr="00E07CA2" w:rsidRDefault="00450CAF" w:rsidP="00DE59DA">
      <w:pPr>
        <w:pStyle w:val="Textonotapie"/>
        <w:spacing w:before="0" w:after="0" w:line="240" w:lineRule="auto"/>
        <w:ind w:firstLine="709"/>
        <w:rPr>
          <w:rFonts w:ascii="Arial" w:hAnsi="Arial" w:cs="Arial"/>
          <w:sz w:val="19"/>
          <w:szCs w:val="19"/>
        </w:rPr>
      </w:pPr>
      <w:r w:rsidRPr="00E07CA2">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2B74C284" w14:textId="77777777" w:rsidR="008E6936" w:rsidRPr="00E07CA2" w:rsidRDefault="008E6936" w:rsidP="00DE59DA">
      <w:pPr>
        <w:pStyle w:val="Textonotapie"/>
        <w:spacing w:before="0" w:after="0" w:line="240" w:lineRule="auto"/>
        <w:ind w:firstLine="709"/>
        <w:rPr>
          <w:rFonts w:ascii="Arial" w:hAnsi="Arial" w:cs="Arial"/>
          <w:sz w:val="19"/>
          <w:szCs w:val="19"/>
        </w:rPr>
      </w:pPr>
    </w:p>
  </w:footnote>
  <w:footnote w:id="5">
    <w:p w14:paraId="4CB066B1" w14:textId="77777777"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Gaceta del Congreso de la República No. 71 del 2005.</w:t>
      </w:r>
    </w:p>
    <w:p w14:paraId="266076D5" w14:textId="77777777" w:rsidR="00450CAF" w:rsidRPr="00DE59DA" w:rsidRDefault="00450CAF" w:rsidP="00DE59DA">
      <w:pPr>
        <w:pStyle w:val="Textonotapie"/>
        <w:spacing w:before="0" w:after="0" w:line="240" w:lineRule="auto"/>
        <w:ind w:firstLine="709"/>
        <w:rPr>
          <w:rFonts w:ascii="Arial" w:hAnsi="Arial" w:cs="Arial"/>
          <w:sz w:val="19"/>
          <w:szCs w:val="19"/>
        </w:rPr>
      </w:pPr>
    </w:p>
  </w:footnote>
  <w:footnote w:id="6">
    <w:p w14:paraId="019F9676" w14:textId="39571B0B"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Corte Constitucional, Sentencia C- 1153 de 2005, M.P. Marco Gerardo Monroy Cabra.</w:t>
      </w:r>
    </w:p>
    <w:p w14:paraId="5DB54DB6" w14:textId="77777777" w:rsidR="008E6936" w:rsidRPr="00E07CA2" w:rsidRDefault="008E6936" w:rsidP="00DE59DA">
      <w:pPr>
        <w:pStyle w:val="Textonotapie"/>
        <w:spacing w:before="0" w:after="0" w:line="240" w:lineRule="auto"/>
        <w:ind w:firstLine="709"/>
        <w:rPr>
          <w:rFonts w:ascii="Arial" w:hAnsi="Arial" w:cs="Arial"/>
          <w:sz w:val="19"/>
          <w:szCs w:val="19"/>
        </w:rPr>
      </w:pPr>
    </w:p>
  </w:footnote>
  <w:footnote w:id="7">
    <w:p w14:paraId="78C04CE4" w14:textId="57A39BD3"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14:paraId="0452B8F3" w14:textId="77777777" w:rsidR="00450CAF" w:rsidRPr="00E07CA2" w:rsidRDefault="00450CAF" w:rsidP="00DE59DA">
      <w:pPr>
        <w:pStyle w:val="Textonotapie"/>
        <w:spacing w:before="0" w:after="0" w:line="240" w:lineRule="auto"/>
        <w:ind w:firstLine="709"/>
        <w:rPr>
          <w:rFonts w:ascii="Arial" w:hAnsi="Arial" w:cs="Arial"/>
          <w:sz w:val="19"/>
          <w:szCs w:val="19"/>
          <w:lang w:val="es-CO"/>
        </w:rPr>
      </w:pPr>
      <w:r w:rsidRPr="00E07CA2">
        <w:rPr>
          <w:rStyle w:val="Refdenotaalpie"/>
          <w:rFonts w:ascii="Arial" w:hAnsi="Arial" w:cs="Arial"/>
          <w:sz w:val="19"/>
          <w:szCs w:val="19"/>
        </w:rPr>
        <w:footnoteRef/>
      </w:r>
      <w:r w:rsidRPr="00E07CA2">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48DE7F7" w14:textId="77777777" w:rsidR="00450CAF" w:rsidRPr="00DE59DA" w:rsidRDefault="00450CAF" w:rsidP="00DE59DA">
      <w:pPr>
        <w:pStyle w:val="Textonotapie"/>
        <w:spacing w:before="0" w:after="0" w:line="240" w:lineRule="auto"/>
        <w:ind w:firstLine="709"/>
        <w:rPr>
          <w:rFonts w:ascii="Arial" w:hAnsi="Arial" w:cs="Arial"/>
          <w:sz w:val="19"/>
          <w:szCs w:val="19"/>
          <w:lang w:val="es-CO"/>
        </w:rPr>
      </w:pPr>
    </w:p>
  </w:footnote>
  <w:footnote w:id="9">
    <w:p w14:paraId="4DED3C89" w14:textId="77777777" w:rsidR="008E6936"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 de fecha 24 de julio de 2013, radicado 2166, Consejero Ponente: Álvaro Namén Vargas. </w:t>
      </w:r>
    </w:p>
    <w:p w14:paraId="0308D696" w14:textId="0F731B5B" w:rsidR="00450CAF" w:rsidRPr="00E07CA2" w:rsidRDefault="00450CAF" w:rsidP="00DE59DA">
      <w:pPr>
        <w:pStyle w:val="Textonotapie"/>
        <w:spacing w:before="0" w:after="0" w:line="240" w:lineRule="auto"/>
        <w:ind w:firstLine="709"/>
        <w:rPr>
          <w:rFonts w:ascii="Arial" w:hAnsi="Arial" w:cs="Arial"/>
          <w:sz w:val="19"/>
          <w:szCs w:val="19"/>
        </w:rPr>
      </w:pPr>
      <w:r w:rsidRPr="00E07CA2">
        <w:rPr>
          <w:rFonts w:ascii="Arial" w:hAnsi="Arial" w:cs="Arial"/>
          <w:sz w:val="19"/>
          <w:szCs w:val="19"/>
        </w:rPr>
        <w:t xml:space="preserve"> </w:t>
      </w:r>
    </w:p>
  </w:footnote>
  <w:footnote w:id="10">
    <w:p w14:paraId="051CE2AE" w14:textId="77777777" w:rsidR="00450CAF" w:rsidRPr="00E07CA2" w:rsidRDefault="00450CAF" w:rsidP="00DE59DA">
      <w:pPr>
        <w:ind w:firstLine="709"/>
        <w:jc w:val="both"/>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w:t>
      </w:r>
      <w:r w:rsidRPr="00E07CA2">
        <w:rPr>
          <w:rFonts w:ascii="Arial" w:eastAsia="Calibri" w:hAnsi="Arial" w:cs="Arial"/>
          <w:bCs/>
          <w:color w:val="000000"/>
          <w:sz w:val="19"/>
          <w:szCs w:val="19"/>
        </w:rPr>
        <w:t>«</w:t>
      </w:r>
      <w:r w:rsidRPr="00E07CA2">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2FACB725" w14:textId="213842BE" w:rsidR="00450CAF" w:rsidRPr="00E07CA2" w:rsidRDefault="00450CAF" w:rsidP="00DE59DA">
      <w:pPr>
        <w:ind w:firstLine="709"/>
        <w:jc w:val="both"/>
        <w:rPr>
          <w:rFonts w:ascii="Arial" w:hAnsi="Arial" w:cs="Arial"/>
          <w:sz w:val="19"/>
          <w:szCs w:val="19"/>
        </w:rPr>
      </w:pPr>
      <w:r w:rsidRPr="00E07CA2">
        <w:rPr>
          <w:rFonts w:ascii="Arial" w:eastAsia="Calibri" w:hAnsi="Arial" w:cs="Arial"/>
          <w:bCs/>
          <w:color w:val="000000"/>
          <w:sz w:val="19"/>
          <w:szCs w:val="19"/>
        </w:rPr>
        <w:t>»</w:t>
      </w:r>
      <w:r w:rsidRPr="00E07CA2">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07CA2">
        <w:rPr>
          <w:rFonts w:ascii="Arial" w:eastAsia="Calibri" w:hAnsi="Arial" w:cs="Arial"/>
          <w:bCs/>
          <w:color w:val="000000"/>
          <w:sz w:val="19"/>
          <w:szCs w:val="19"/>
        </w:rPr>
        <w:t>»</w:t>
      </w:r>
      <w:r w:rsidRPr="00E07CA2">
        <w:rPr>
          <w:rFonts w:ascii="Arial" w:hAnsi="Arial" w:cs="Arial"/>
          <w:sz w:val="19"/>
          <w:szCs w:val="19"/>
        </w:rPr>
        <w:t>.</w:t>
      </w:r>
    </w:p>
    <w:p w14:paraId="066526E1" w14:textId="77777777" w:rsidR="008E6936" w:rsidRPr="00E07CA2" w:rsidRDefault="008E6936" w:rsidP="00DE59DA">
      <w:pPr>
        <w:ind w:firstLine="709"/>
        <w:jc w:val="both"/>
        <w:rPr>
          <w:rFonts w:ascii="Arial" w:hAnsi="Arial" w:cs="Arial"/>
          <w:sz w:val="19"/>
          <w:szCs w:val="19"/>
        </w:rPr>
      </w:pPr>
    </w:p>
  </w:footnote>
  <w:footnote w:id="11">
    <w:p w14:paraId="0FFADA97" w14:textId="77777777" w:rsidR="00450CAF" w:rsidRPr="00E07CA2" w:rsidRDefault="00450CAF" w:rsidP="00DE59DA">
      <w:pPr>
        <w:pStyle w:val="NormalWeb"/>
        <w:spacing w:before="0" w:beforeAutospacing="0" w:after="0" w:afterAutospacing="0" w:line="240" w:lineRule="auto"/>
        <w:ind w:firstLine="709"/>
        <w:rPr>
          <w:rFonts w:ascii="Arial" w:hAnsi="Arial" w:cs="Arial"/>
          <w:sz w:val="19"/>
          <w:szCs w:val="19"/>
          <w:lang w:val="es-MX"/>
        </w:rPr>
      </w:pPr>
      <w:r w:rsidRPr="00E07CA2">
        <w:rPr>
          <w:rStyle w:val="Refdenotaalpie"/>
          <w:rFonts w:ascii="Arial" w:hAnsi="Arial" w:cs="Arial"/>
          <w:sz w:val="19"/>
          <w:szCs w:val="19"/>
        </w:rPr>
        <w:footnoteRef/>
      </w:r>
      <w:r w:rsidRPr="00E07CA2">
        <w:rPr>
          <w:rFonts w:ascii="Arial" w:hAnsi="Arial" w:cs="Arial"/>
          <w:sz w:val="19"/>
          <w:szCs w:val="19"/>
        </w:rPr>
        <w:t xml:space="preserve"> </w:t>
      </w:r>
      <w:r w:rsidRPr="00E07CA2">
        <w:rPr>
          <w:rFonts w:ascii="Arial" w:eastAsia="Calibri" w:hAnsi="Arial" w:cs="Arial"/>
          <w:bCs/>
          <w:color w:val="000000"/>
          <w:sz w:val="19"/>
          <w:szCs w:val="19"/>
        </w:rPr>
        <w:t>«</w:t>
      </w:r>
      <w:r w:rsidRPr="00E07CA2">
        <w:rPr>
          <w:rFonts w:ascii="Arial" w:hAnsi="Arial" w:cs="Arial"/>
          <w:sz w:val="19"/>
          <w:szCs w:val="19"/>
          <w:lang w:val="es-MX"/>
        </w:rPr>
        <w:t>Artículo 38. Prohibiciones para los servidores públicos. A los empleados del Estado les está prohibido:</w:t>
      </w:r>
    </w:p>
    <w:p w14:paraId="25A085A9" w14:textId="77777777" w:rsidR="00450CAF" w:rsidRPr="00E07CA2" w:rsidRDefault="00450CAF" w:rsidP="00DE59DA">
      <w:pPr>
        <w:pStyle w:val="NormalWeb"/>
        <w:spacing w:before="0" w:beforeAutospacing="0" w:after="0" w:afterAutospacing="0" w:line="240" w:lineRule="auto"/>
        <w:ind w:firstLine="709"/>
        <w:rPr>
          <w:rFonts w:ascii="Arial" w:hAnsi="Arial" w:cs="Arial"/>
          <w:sz w:val="19"/>
          <w:szCs w:val="19"/>
          <w:lang w:val="es-MX"/>
        </w:rPr>
      </w:pPr>
      <w:r w:rsidRPr="00E07CA2">
        <w:rPr>
          <w:rFonts w:ascii="Arial" w:eastAsia="Calibri" w:hAnsi="Arial" w:cs="Arial"/>
          <w:bCs/>
          <w:color w:val="000000"/>
          <w:sz w:val="19"/>
          <w:szCs w:val="19"/>
        </w:rPr>
        <w:t>»</w:t>
      </w:r>
      <w:r w:rsidRPr="00E07CA2">
        <w:rPr>
          <w:rFonts w:ascii="Arial" w:hAnsi="Arial" w:cs="Arial"/>
          <w:sz w:val="19"/>
          <w:szCs w:val="19"/>
          <w:lang w:val="es-MX"/>
        </w:rPr>
        <w:t xml:space="preserve"> […]</w:t>
      </w:r>
    </w:p>
    <w:p w14:paraId="65FC0D98" w14:textId="529ED713" w:rsidR="00450CAF" w:rsidRPr="00E07CA2" w:rsidRDefault="00450CAF" w:rsidP="00DE59DA">
      <w:pPr>
        <w:ind w:firstLine="709"/>
        <w:jc w:val="both"/>
        <w:rPr>
          <w:rFonts w:ascii="Arial" w:hAnsi="Arial" w:cs="Arial"/>
          <w:sz w:val="19"/>
          <w:szCs w:val="19"/>
          <w:lang w:val="es-MX"/>
        </w:rPr>
      </w:pPr>
      <w:r w:rsidRPr="00E07CA2">
        <w:rPr>
          <w:rFonts w:ascii="Arial" w:eastAsia="Calibri" w:hAnsi="Arial" w:cs="Arial"/>
          <w:bCs/>
          <w:color w:val="000000"/>
          <w:sz w:val="19"/>
          <w:szCs w:val="19"/>
        </w:rPr>
        <w:t>»</w:t>
      </w:r>
      <w:r w:rsidRPr="00E07CA2">
        <w:rPr>
          <w:rStyle w:val="baj"/>
          <w:rFonts w:ascii="Arial" w:hAnsi="Arial" w:cs="Arial"/>
          <w:sz w:val="19"/>
          <w:szCs w:val="19"/>
          <w:lang w:val="es-MX"/>
        </w:rPr>
        <w:t xml:space="preserve"> Parágrafo.</w:t>
      </w:r>
      <w:r w:rsidRPr="00E07CA2">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07CA2">
        <w:rPr>
          <w:rFonts w:ascii="Arial" w:eastAsia="Calibri" w:hAnsi="Arial" w:cs="Arial"/>
          <w:bCs/>
          <w:color w:val="000000"/>
          <w:sz w:val="19"/>
          <w:szCs w:val="19"/>
        </w:rPr>
        <w:t>»</w:t>
      </w:r>
      <w:r w:rsidRPr="00E07CA2">
        <w:rPr>
          <w:rFonts w:ascii="Arial" w:hAnsi="Arial" w:cs="Arial"/>
          <w:sz w:val="19"/>
          <w:szCs w:val="19"/>
          <w:lang w:val="es-MX"/>
        </w:rPr>
        <w:t>.</w:t>
      </w:r>
    </w:p>
  </w:footnote>
  <w:footnote w:id="12">
    <w:p w14:paraId="11A27170" w14:textId="77777777" w:rsidR="00450CAF" w:rsidRPr="00DE59DA" w:rsidRDefault="00450CAF" w:rsidP="00DE59DA">
      <w:pPr>
        <w:ind w:firstLine="709"/>
        <w:jc w:val="both"/>
        <w:rPr>
          <w:rFonts w:ascii="Arial" w:hAnsi="Arial" w:cs="Arial"/>
          <w:sz w:val="19"/>
          <w:szCs w:val="19"/>
          <w:lang w:val="es-ES"/>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3">
    <w:p w14:paraId="6CCC6389" w14:textId="5BADE543"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w:t>
      </w:r>
      <w:r w:rsidRPr="00E07CA2">
        <w:rPr>
          <w:rFonts w:ascii="Arial" w:hAnsi="Arial" w:cs="Arial"/>
          <w:sz w:val="19"/>
          <w:szCs w:val="19"/>
          <w:lang w:val="es-ES"/>
        </w:rPr>
        <w:t xml:space="preserve">[25] </w:t>
      </w:r>
      <w:r w:rsidRPr="00E07CA2">
        <w:rPr>
          <w:rFonts w:ascii="Arial" w:hAnsi="Arial" w:cs="Arial"/>
          <w:sz w:val="19"/>
          <w:szCs w:val="19"/>
        </w:rPr>
        <w:t>Cfr. Consejo de Estado. Sección Tercera. Sentencia de 3 de diciembre de 2007. Radicados: 24.715, 25.206, 25.409, 24.524, 27.834, 25.410, 26.105, 28.244, 31.447 -acumulados-».</w:t>
      </w:r>
    </w:p>
    <w:p w14:paraId="394114BB" w14:textId="77777777" w:rsidR="008E6936" w:rsidRPr="00E07CA2" w:rsidRDefault="008E6936" w:rsidP="00DE59DA">
      <w:pPr>
        <w:pStyle w:val="Textonotapie"/>
        <w:spacing w:before="0" w:after="0" w:line="240" w:lineRule="auto"/>
        <w:ind w:firstLine="709"/>
        <w:rPr>
          <w:rFonts w:ascii="Arial" w:hAnsi="Arial" w:cs="Arial"/>
          <w:sz w:val="19"/>
          <w:szCs w:val="19"/>
        </w:rPr>
      </w:pPr>
    </w:p>
  </w:footnote>
  <w:footnote w:id="14">
    <w:p w14:paraId="1D825913" w14:textId="6F8E290A" w:rsidR="00450CAF" w:rsidRPr="00DE59DA"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w:t>
      </w:r>
      <w:r w:rsidRPr="00E07CA2">
        <w:rPr>
          <w:rFonts w:ascii="Arial" w:hAnsi="Arial" w:cs="Arial"/>
          <w:sz w:val="19"/>
          <w:szCs w:val="19"/>
          <w:lang w:val="es-ES"/>
        </w:rPr>
        <w:t xml:space="preserve">[26] </w:t>
      </w:r>
      <w:r w:rsidRPr="00E07CA2">
        <w:rPr>
          <w:rFonts w:ascii="Arial" w:hAnsi="Arial" w:cs="Arial"/>
          <w:sz w:val="19"/>
          <w:szCs w:val="19"/>
        </w:rPr>
        <w:t>Al respecto ver el concepto 1712 de 2 de febrero de 2006. Consejo de Estado Sala de Consulta y Servicio Civil».</w:t>
      </w:r>
    </w:p>
  </w:footnote>
  <w:footnote w:id="15">
    <w:p w14:paraId="0CF213C6" w14:textId="71912D86"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698C58D3" w14:textId="77777777" w:rsidR="008E6936" w:rsidRPr="00E07CA2" w:rsidRDefault="008E6936" w:rsidP="00DE59DA">
      <w:pPr>
        <w:pStyle w:val="Textonotapie"/>
        <w:spacing w:before="0" w:after="0" w:line="240" w:lineRule="auto"/>
        <w:ind w:firstLine="709"/>
        <w:rPr>
          <w:rFonts w:ascii="Arial" w:hAnsi="Arial" w:cs="Arial"/>
          <w:sz w:val="19"/>
          <w:szCs w:val="19"/>
        </w:rPr>
      </w:pPr>
    </w:p>
  </w:footnote>
  <w:footnote w:id="16">
    <w:p w14:paraId="55DD70FB" w14:textId="48388D43" w:rsidR="00450CAF" w:rsidRPr="00E07CA2" w:rsidRDefault="00450CAF" w:rsidP="00DE59DA">
      <w:pPr>
        <w:pStyle w:val="Textonotapie"/>
        <w:spacing w:before="0" w:after="0" w:line="240" w:lineRule="auto"/>
        <w:ind w:firstLine="709"/>
        <w:rPr>
          <w:rFonts w:ascii="Arial" w:hAnsi="Arial" w:cs="Arial"/>
          <w:sz w:val="19"/>
          <w:szCs w:val="19"/>
          <w:lang w:val="es-ES"/>
        </w:rPr>
      </w:pPr>
      <w:r w:rsidRPr="00E07CA2">
        <w:rPr>
          <w:rStyle w:val="Refdenotaalpie"/>
          <w:rFonts w:ascii="Arial" w:hAnsi="Arial" w:cs="Arial"/>
          <w:sz w:val="19"/>
          <w:szCs w:val="19"/>
        </w:rPr>
        <w:footnoteRef/>
      </w:r>
      <w:r w:rsidRPr="00E07CA2">
        <w:rPr>
          <w:rFonts w:ascii="Arial" w:hAnsi="Arial" w:cs="Arial"/>
          <w:sz w:val="19"/>
          <w:szCs w:val="19"/>
        </w:rPr>
        <w:t xml:space="preserve"> </w:t>
      </w:r>
      <w:r w:rsidRPr="00E07CA2">
        <w:rPr>
          <w:rFonts w:ascii="Arial" w:hAnsi="Arial" w:cs="Arial"/>
          <w:sz w:val="19"/>
          <w:szCs w:val="19"/>
          <w:lang w:val="es-ES"/>
        </w:rPr>
        <w:t xml:space="preserve">Artículo 2. </w:t>
      </w:r>
    </w:p>
    <w:p w14:paraId="3C9031C9" w14:textId="77777777" w:rsidR="008E6936" w:rsidRPr="00E07CA2" w:rsidRDefault="008E6936" w:rsidP="00DE59DA">
      <w:pPr>
        <w:pStyle w:val="Textonotapie"/>
        <w:spacing w:before="0" w:after="0" w:line="240" w:lineRule="auto"/>
        <w:ind w:firstLine="709"/>
        <w:rPr>
          <w:rFonts w:ascii="Arial" w:hAnsi="Arial" w:cs="Arial"/>
          <w:sz w:val="19"/>
          <w:szCs w:val="19"/>
          <w:lang w:val="es-ES"/>
        </w:rPr>
      </w:pPr>
    </w:p>
  </w:footnote>
  <w:footnote w:id="17">
    <w:p w14:paraId="749934CF" w14:textId="02D2BBD2" w:rsidR="00450CAF" w:rsidRPr="00E07CA2" w:rsidRDefault="00450CAF" w:rsidP="00DE59DA">
      <w:pPr>
        <w:pStyle w:val="Textonotapie"/>
        <w:spacing w:before="0" w:after="0" w:line="240" w:lineRule="auto"/>
        <w:ind w:firstLine="709"/>
        <w:rPr>
          <w:rFonts w:ascii="Arial" w:hAnsi="Arial" w:cs="Arial"/>
          <w:sz w:val="19"/>
          <w:szCs w:val="19"/>
          <w:lang w:val="es-ES"/>
        </w:rPr>
      </w:pPr>
      <w:r w:rsidRPr="00E07CA2">
        <w:rPr>
          <w:rStyle w:val="Refdenotaalpie"/>
          <w:rFonts w:ascii="Arial" w:hAnsi="Arial" w:cs="Arial"/>
          <w:sz w:val="19"/>
          <w:szCs w:val="19"/>
        </w:rPr>
        <w:footnoteRef/>
      </w:r>
      <w:r w:rsidRPr="00E07CA2">
        <w:rPr>
          <w:rFonts w:ascii="Arial" w:hAnsi="Arial" w:cs="Arial"/>
          <w:sz w:val="19"/>
          <w:szCs w:val="19"/>
        </w:rPr>
        <w:t xml:space="preserve"> </w:t>
      </w:r>
      <w:r w:rsidRPr="00E07CA2">
        <w:rPr>
          <w:rFonts w:ascii="Arial" w:hAnsi="Arial" w:cs="Arial"/>
          <w:i/>
          <w:sz w:val="19"/>
          <w:szCs w:val="19"/>
          <w:lang w:val="es-ES"/>
        </w:rPr>
        <w:t>Ídem</w:t>
      </w:r>
      <w:r w:rsidRPr="00E07CA2">
        <w:rPr>
          <w:rFonts w:ascii="Arial" w:hAnsi="Arial" w:cs="Arial"/>
          <w:sz w:val="19"/>
          <w:szCs w:val="19"/>
          <w:lang w:val="es-ES"/>
        </w:rPr>
        <w:t>.</w:t>
      </w:r>
    </w:p>
    <w:p w14:paraId="697C2BEC" w14:textId="77777777" w:rsidR="008E6936" w:rsidRPr="00E07CA2" w:rsidRDefault="008E6936" w:rsidP="00DE59DA">
      <w:pPr>
        <w:pStyle w:val="Textonotapie"/>
        <w:spacing w:before="0" w:after="0" w:line="240" w:lineRule="auto"/>
        <w:ind w:firstLine="709"/>
        <w:rPr>
          <w:rFonts w:ascii="Arial" w:hAnsi="Arial" w:cs="Arial"/>
          <w:sz w:val="19"/>
          <w:szCs w:val="19"/>
          <w:lang w:val="es-ES"/>
        </w:rPr>
      </w:pPr>
    </w:p>
  </w:footnote>
  <w:footnote w:id="18">
    <w:p w14:paraId="348BDFA9" w14:textId="77777777" w:rsidR="00450CAF" w:rsidRPr="00E07CA2" w:rsidRDefault="00450CAF" w:rsidP="00DE59DA">
      <w:pPr>
        <w:pStyle w:val="Textonotapie"/>
        <w:spacing w:before="0" w:after="0" w:line="240" w:lineRule="auto"/>
        <w:ind w:firstLine="709"/>
        <w:rPr>
          <w:rFonts w:ascii="Arial" w:hAnsi="Arial" w:cs="Arial"/>
          <w:sz w:val="19"/>
          <w:szCs w:val="19"/>
          <w:lang w:val="es-ES"/>
        </w:rPr>
      </w:pPr>
      <w:r w:rsidRPr="00E07CA2">
        <w:rPr>
          <w:rStyle w:val="Refdenotaalpie"/>
          <w:rFonts w:ascii="Arial" w:hAnsi="Arial" w:cs="Arial"/>
          <w:sz w:val="19"/>
          <w:szCs w:val="19"/>
        </w:rPr>
        <w:footnoteRef/>
      </w:r>
      <w:r w:rsidRPr="00E07CA2">
        <w:rPr>
          <w:rStyle w:val="Refdenotaalpie"/>
          <w:rFonts w:ascii="Arial" w:hAnsi="Arial" w:cs="Arial"/>
          <w:sz w:val="19"/>
          <w:szCs w:val="19"/>
        </w:rPr>
        <w:t xml:space="preserve"> </w:t>
      </w:r>
      <w:r w:rsidRPr="00E07CA2">
        <w:rPr>
          <w:rFonts w:ascii="Arial" w:hAnsi="Arial" w:cs="Arial"/>
          <w:sz w:val="19"/>
          <w:szCs w:val="19"/>
          <w:lang w:val="es-ES"/>
        </w:rPr>
        <w:t xml:space="preserve">«[…] A este respecto, cabe recordar que el artículo 860 del Código de Comercio regula la licitación en el derecho privado». </w:t>
      </w:r>
    </w:p>
    <w:p w14:paraId="751036F9" w14:textId="77777777" w:rsidR="00450CAF" w:rsidRPr="00DE59DA" w:rsidRDefault="00450CAF" w:rsidP="00DE59DA">
      <w:pPr>
        <w:pStyle w:val="Textonotapie"/>
        <w:spacing w:before="0" w:after="0" w:line="240" w:lineRule="auto"/>
        <w:ind w:firstLine="709"/>
        <w:rPr>
          <w:rFonts w:ascii="Arial" w:hAnsi="Arial" w:cs="Arial"/>
          <w:sz w:val="19"/>
          <w:szCs w:val="19"/>
          <w:lang w:val="es-ES"/>
        </w:rPr>
      </w:pPr>
    </w:p>
  </w:footnote>
  <w:footnote w:id="19">
    <w:p w14:paraId="0A19F3D5" w14:textId="10C51829" w:rsidR="00450CAF" w:rsidRPr="00E07CA2" w:rsidRDefault="00450CAF" w:rsidP="00DE59DA">
      <w:pPr>
        <w:shd w:val="clear" w:color="auto" w:fill="FFFFFF"/>
        <w:ind w:firstLine="709"/>
        <w:jc w:val="both"/>
        <w:rPr>
          <w:rFonts w:ascii="Arial" w:hAnsi="Arial" w:cs="Arial"/>
          <w:sz w:val="19"/>
          <w:szCs w:val="19"/>
          <w:lang w:val="es-ES"/>
        </w:rPr>
      </w:pPr>
      <w:r w:rsidRPr="00E07CA2">
        <w:rPr>
          <w:rStyle w:val="Refdenotaalpie"/>
          <w:rFonts w:ascii="Arial" w:hAnsi="Arial" w:cs="Arial"/>
          <w:sz w:val="19"/>
          <w:szCs w:val="19"/>
        </w:rPr>
        <w:footnoteRef/>
      </w:r>
      <w:r w:rsidRPr="00E07CA2">
        <w:rPr>
          <w:rStyle w:val="Refdenotaalpie"/>
          <w:rFonts w:ascii="Arial" w:hAnsi="Arial" w:cs="Arial"/>
          <w:sz w:val="19"/>
          <w:szCs w:val="19"/>
        </w:rPr>
        <w:t xml:space="preserve"> </w:t>
      </w:r>
      <w:r w:rsidRPr="00E07CA2">
        <w:rPr>
          <w:rFonts w:ascii="Arial" w:hAnsi="Arial" w:cs="Arial"/>
          <w:sz w:val="19"/>
          <w:szCs w:val="19"/>
          <w:lang w:val="es-ES"/>
        </w:rPr>
        <w:t xml:space="preserve">Consejo de Estado. Sala de Consulta y Servicio Civil, Concepto de 8 de mayo de 2018. Radicación Número: 11001-03-06-000-2018-00095-00(2382). Consejero Ponente: Álvaro </w:t>
      </w:r>
      <w:r w:rsidRPr="00E07CA2">
        <w:rPr>
          <w:rFonts w:ascii="Arial" w:hAnsi="Arial" w:cs="Arial"/>
          <w:sz w:val="19"/>
          <w:szCs w:val="19"/>
          <w:lang w:val="es-ES"/>
        </w:rPr>
        <w:t>Namén Vargas.</w:t>
      </w:r>
    </w:p>
    <w:p w14:paraId="743CA8A5" w14:textId="77777777" w:rsidR="008E6936" w:rsidRPr="00E07CA2" w:rsidRDefault="008E6936" w:rsidP="00DE59DA">
      <w:pPr>
        <w:shd w:val="clear" w:color="auto" w:fill="FFFFFF"/>
        <w:ind w:firstLine="709"/>
        <w:jc w:val="both"/>
        <w:rPr>
          <w:rFonts w:ascii="Arial" w:hAnsi="Arial" w:cs="Arial"/>
          <w:sz w:val="19"/>
          <w:szCs w:val="19"/>
          <w:lang w:val="es-ES"/>
        </w:rPr>
      </w:pPr>
    </w:p>
  </w:footnote>
  <w:footnote w:id="20">
    <w:p w14:paraId="7F753F04" w14:textId="561EB448"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 Concepto del 08 de mayo de 2018. Exp. 2.382. C.P. Álvaro Namén Vargas.</w:t>
      </w:r>
    </w:p>
    <w:p w14:paraId="72F70F30" w14:textId="77777777" w:rsidR="008E6936" w:rsidRPr="00E07CA2" w:rsidRDefault="008E6936" w:rsidP="00DE59DA">
      <w:pPr>
        <w:pStyle w:val="Textonotapie"/>
        <w:spacing w:before="0" w:after="0" w:line="240" w:lineRule="auto"/>
        <w:ind w:firstLine="709"/>
        <w:rPr>
          <w:rFonts w:ascii="Arial" w:hAnsi="Arial" w:cs="Arial"/>
          <w:sz w:val="19"/>
          <w:szCs w:val="19"/>
        </w:rPr>
      </w:pPr>
    </w:p>
  </w:footnote>
  <w:footnote w:id="21">
    <w:p w14:paraId="4FFF8AE4" w14:textId="77777777" w:rsidR="00450CAF" w:rsidRPr="00DE59DA"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Cfr. Concepto C-757 del 30 de diciembre de 2021.</w:t>
      </w:r>
    </w:p>
  </w:footnote>
  <w:footnote w:id="22">
    <w:p w14:paraId="19803235" w14:textId="77777777"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612EBE0" w14:textId="77777777" w:rsidR="00450CAF" w:rsidRPr="00DE59DA" w:rsidRDefault="00450CAF" w:rsidP="00DE59DA">
      <w:pPr>
        <w:pStyle w:val="Textonotapie"/>
        <w:spacing w:before="0" w:after="0" w:line="240" w:lineRule="auto"/>
        <w:ind w:firstLine="709"/>
        <w:rPr>
          <w:rFonts w:ascii="Arial" w:hAnsi="Arial" w:cs="Arial"/>
          <w:sz w:val="19"/>
          <w:szCs w:val="19"/>
        </w:rPr>
      </w:pPr>
    </w:p>
  </w:footnote>
  <w:footnote w:id="23">
    <w:p w14:paraId="52BCD42A" w14:textId="0B0E86E6" w:rsidR="00450CAF" w:rsidRPr="00E07CA2" w:rsidRDefault="00450CAF" w:rsidP="00DE59DA">
      <w:pPr>
        <w:ind w:firstLine="709"/>
        <w:jc w:val="both"/>
        <w:rPr>
          <w:rFonts w:ascii="Arial" w:hAnsi="Arial" w:cs="Arial"/>
          <w:color w:val="000000" w:themeColor="text1"/>
          <w:sz w:val="19"/>
          <w:szCs w:val="19"/>
        </w:rPr>
      </w:pPr>
      <w:r w:rsidRPr="00E07CA2">
        <w:rPr>
          <w:rStyle w:val="Refdenotaalpie"/>
          <w:rFonts w:ascii="Arial" w:hAnsi="Arial" w:cs="Arial"/>
          <w:color w:val="000000" w:themeColor="text1"/>
          <w:sz w:val="19"/>
          <w:szCs w:val="19"/>
        </w:rPr>
        <w:footnoteRef/>
      </w:r>
      <w:r w:rsidRPr="00E07CA2">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4759CCBE" w14:textId="77777777" w:rsidR="008E6936" w:rsidRPr="00E07CA2" w:rsidRDefault="008E6936" w:rsidP="00DE59DA">
      <w:pPr>
        <w:ind w:firstLine="709"/>
        <w:jc w:val="both"/>
        <w:rPr>
          <w:rFonts w:ascii="Arial" w:hAnsi="Arial" w:cs="Arial"/>
          <w:color w:val="000000" w:themeColor="text1"/>
          <w:sz w:val="19"/>
          <w:szCs w:val="19"/>
        </w:rPr>
      </w:pPr>
    </w:p>
  </w:footnote>
  <w:footnote w:id="24">
    <w:p w14:paraId="562954A5" w14:textId="5B106EC9" w:rsidR="00450CAF" w:rsidRPr="00E07CA2" w:rsidRDefault="00450CAF" w:rsidP="00DE59DA">
      <w:pPr>
        <w:pStyle w:val="Textonotapie"/>
        <w:spacing w:before="0" w:after="0" w:line="240" w:lineRule="auto"/>
        <w:ind w:firstLine="709"/>
        <w:rPr>
          <w:rFonts w:ascii="Arial" w:eastAsia="Times New Roman" w:hAnsi="Arial" w:cs="Arial"/>
          <w:bCs/>
          <w:sz w:val="19"/>
          <w:szCs w:val="19"/>
          <w:lang w:eastAsia="x-none"/>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E07CA2">
        <w:rPr>
          <w:rFonts w:ascii="Arial" w:eastAsia="Times New Roman" w:hAnsi="Arial" w:cs="Arial"/>
          <w:bCs/>
          <w:sz w:val="19"/>
          <w:szCs w:val="19"/>
          <w:lang w:eastAsia="x-none"/>
        </w:rPr>
        <w:t xml:space="preserve"> «</w:t>
      </w:r>
      <w:r w:rsidRPr="00E07CA2">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07CA2">
        <w:rPr>
          <w:rFonts w:ascii="Arial" w:eastAsia="Times New Roman" w:hAnsi="Arial" w:cs="Arial"/>
          <w:bCs/>
          <w:sz w:val="19"/>
          <w:szCs w:val="19"/>
          <w:lang w:eastAsia="x-none"/>
        </w:rPr>
        <w:t>».</w:t>
      </w:r>
    </w:p>
    <w:p w14:paraId="20770617" w14:textId="77777777" w:rsidR="008E6936" w:rsidRPr="00E07CA2" w:rsidRDefault="008E6936" w:rsidP="00DE59DA">
      <w:pPr>
        <w:pStyle w:val="Textonotapie"/>
        <w:spacing w:before="0" w:after="0" w:line="240" w:lineRule="auto"/>
        <w:ind w:firstLine="709"/>
        <w:rPr>
          <w:rFonts w:ascii="Arial" w:eastAsia="Times New Roman" w:hAnsi="Arial" w:cs="Arial"/>
          <w:bCs/>
          <w:sz w:val="19"/>
          <w:szCs w:val="19"/>
          <w:lang w:eastAsia="x-none"/>
        </w:rPr>
      </w:pPr>
    </w:p>
  </w:footnote>
  <w:footnote w:id="25">
    <w:p w14:paraId="0AA12A84" w14:textId="77777777"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3E8C4FF" w14:textId="77777777" w:rsidR="00450CAF" w:rsidRPr="00DE59DA" w:rsidRDefault="00450CAF" w:rsidP="00DE59DA">
      <w:pPr>
        <w:pStyle w:val="Textonotapie"/>
        <w:spacing w:before="0" w:after="0" w:line="240" w:lineRule="auto"/>
        <w:ind w:firstLine="709"/>
        <w:rPr>
          <w:rFonts w:ascii="Arial" w:hAnsi="Arial" w:cs="Arial"/>
          <w:sz w:val="19"/>
          <w:szCs w:val="19"/>
        </w:rPr>
      </w:pPr>
    </w:p>
  </w:footnote>
  <w:footnote w:id="26">
    <w:p w14:paraId="18454533" w14:textId="11315782"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 ídem.</w:t>
      </w:r>
    </w:p>
    <w:p w14:paraId="2CF6BDB7" w14:textId="77777777" w:rsidR="008E6936" w:rsidRPr="00E07CA2" w:rsidRDefault="008E6936" w:rsidP="00DE59DA">
      <w:pPr>
        <w:pStyle w:val="Textonotapie"/>
        <w:spacing w:before="0" w:after="0" w:line="240" w:lineRule="auto"/>
        <w:ind w:firstLine="709"/>
        <w:rPr>
          <w:rFonts w:ascii="Arial" w:hAnsi="Arial" w:cs="Arial"/>
          <w:sz w:val="19"/>
          <w:szCs w:val="19"/>
        </w:rPr>
      </w:pPr>
    </w:p>
  </w:footnote>
  <w:footnote w:id="27">
    <w:p w14:paraId="347C8361" w14:textId="77777777" w:rsidR="00450CAF" w:rsidRPr="00E07CA2" w:rsidRDefault="00450CAF" w:rsidP="00DE59DA">
      <w:pPr>
        <w:pStyle w:val="Textonotapie"/>
        <w:spacing w:before="0" w:after="0" w:line="240" w:lineRule="auto"/>
        <w:ind w:firstLine="708"/>
        <w:rPr>
          <w:rFonts w:ascii="Arial" w:hAnsi="Arial" w:cs="Arial"/>
          <w:color w:val="000000" w:themeColor="text1"/>
          <w:sz w:val="19"/>
          <w:szCs w:val="19"/>
          <w:lang w:val="es-ES"/>
        </w:rPr>
      </w:pPr>
      <w:r w:rsidRPr="00E07CA2">
        <w:rPr>
          <w:rStyle w:val="Refdenotaalpie"/>
          <w:rFonts w:ascii="Arial" w:hAnsi="Arial" w:cs="Arial"/>
          <w:sz w:val="19"/>
          <w:szCs w:val="19"/>
        </w:rPr>
        <w:footnoteRef/>
      </w:r>
      <w:hyperlink r:id="rId1" w:anchor=":~:text=La%20Ley%20de%20Garant%C3%ADas%20proh%C3%ADbe,de%20la%20Rep%C3%BAblica%20sea%20elegido" w:history="1">
        <w:r w:rsidRPr="00E07CA2">
          <w:rPr>
            <w:rStyle w:val="Hipervnculo"/>
            <w:rFonts w:ascii="Arial" w:hAnsi="Arial" w:cs="Arial"/>
            <w:color w:val="000000" w:themeColor="text1"/>
            <w:sz w:val="19"/>
            <w:szCs w:val="19"/>
            <w:lang w:val="es-ES"/>
          </w:rPr>
          <w:t>https://www.funcionpublica.gov.co/eva/gestornormativo/norma.php?i=173606#:~:text=La%20Ley%20de%20Garant%C3%ADas%20proh%C3%ADbe,de%20la%20Rep%C3%BAblica%20sea%20elegido</w:t>
        </w:r>
      </w:hyperlink>
      <w:r w:rsidRPr="00E07CA2">
        <w:rPr>
          <w:rFonts w:ascii="Arial" w:hAnsi="Arial" w:cs="Arial"/>
          <w:color w:val="000000" w:themeColor="text1"/>
          <w:sz w:val="19"/>
          <w:szCs w:val="19"/>
          <w:lang w:val="es-ES"/>
        </w:rPr>
        <w:t>.</w:t>
      </w:r>
    </w:p>
    <w:p w14:paraId="27C8EF84" w14:textId="77777777" w:rsidR="00450CAF" w:rsidRPr="00DE59DA" w:rsidRDefault="00450CAF" w:rsidP="00DE59DA">
      <w:pPr>
        <w:pStyle w:val="Textonotapie"/>
        <w:spacing w:before="0" w:after="0" w:line="240" w:lineRule="auto"/>
        <w:ind w:firstLine="708"/>
        <w:rPr>
          <w:rFonts w:ascii="Arial" w:hAnsi="Arial" w:cs="Arial"/>
          <w:color w:val="000000" w:themeColor="text1"/>
          <w:sz w:val="19"/>
          <w:szCs w:val="19"/>
        </w:rPr>
      </w:pPr>
    </w:p>
  </w:footnote>
  <w:footnote w:id="28">
    <w:p w14:paraId="6AA8FC41" w14:textId="77777777" w:rsidR="00620BD9" w:rsidRPr="00E07CA2" w:rsidRDefault="00620BD9" w:rsidP="00E07CA2">
      <w:pPr>
        <w:pStyle w:val="Textonotapie"/>
        <w:spacing w:before="0" w:after="0" w:line="240" w:lineRule="auto"/>
        <w:ind w:firstLine="708"/>
        <w:rPr>
          <w:rFonts w:ascii="Arial" w:hAnsi="Arial" w:cs="Arial"/>
          <w:sz w:val="19"/>
          <w:szCs w:val="19"/>
          <w:lang w:val="es-CO"/>
        </w:rPr>
      </w:pPr>
      <w:r w:rsidRPr="00DE59DA">
        <w:rPr>
          <w:rStyle w:val="Refdenotaalpie"/>
          <w:rFonts w:ascii="Arial" w:hAnsi="Arial" w:cs="Arial"/>
          <w:sz w:val="19"/>
          <w:szCs w:val="19"/>
        </w:rPr>
        <w:footnoteRef/>
      </w:r>
      <w:r w:rsidRPr="00DE59DA">
        <w:rPr>
          <w:rFonts w:ascii="Arial" w:hAnsi="Arial" w:cs="Arial"/>
          <w:sz w:val="19"/>
          <w:szCs w:val="19"/>
        </w:rPr>
        <w:t xml:space="preserve"> </w:t>
      </w:r>
      <w:r w:rsidRPr="00E07CA2">
        <w:rPr>
          <w:rFonts w:ascii="Arial" w:hAnsi="Arial" w:cs="Arial"/>
          <w:sz w:val="19"/>
          <w:szCs w:val="19"/>
        </w:rPr>
        <w:t>El artículo 33 de la Ley 996 de 2005 prescribe: «</w:t>
      </w:r>
      <w:r w:rsidRPr="00E07CA2">
        <w:rPr>
          <w:rFonts w:ascii="Arial" w:hAnsi="Arial" w:cs="Arial"/>
          <w:sz w:val="19"/>
          <w:szCs w:val="19"/>
          <w:lang w:val="es-CO"/>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574DA790" w14:textId="565337E1" w:rsidR="00620BD9" w:rsidRPr="00E07CA2" w:rsidRDefault="00620BD9" w:rsidP="00E07CA2">
      <w:pPr>
        <w:pStyle w:val="Textonotapie"/>
        <w:spacing w:before="0" w:after="0" w:line="240" w:lineRule="auto"/>
        <w:ind w:firstLine="708"/>
        <w:rPr>
          <w:rFonts w:ascii="Arial" w:hAnsi="Arial" w:cs="Arial"/>
          <w:sz w:val="19"/>
          <w:szCs w:val="19"/>
          <w:lang w:val="es-CO"/>
        </w:rPr>
      </w:pPr>
      <w:r w:rsidRPr="00E07CA2">
        <w:rPr>
          <w:rFonts w:ascii="Arial" w:hAnsi="Arial" w:cs="Arial"/>
          <w:sz w:val="19"/>
          <w:szCs w:val="19"/>
          <w:lang w:val="es-CO"/>
        </w:rPr>
        <w:t>»</w:t>
      </w:r>
      <w:r w:rsidRPr="00E07CA2">
        <w:rPr>
          <w:rFonts w:ascii="Arial" w:hAnsi="Arial" w:cs="Arial"/>
          <w:i/>
          <w:iCs/>
          <w:sz w:val="19"/>
          <w:szCs w:val="19"/>
          <w:lang w:val="es-CO"/>
        </w:rPr>
        <w:t>Queda exceptuado</w:t>
      </w:r>
      <w:r w:rsidRPr="00E07CA2">
        <w:rPr>
          <w:rFonts w:ascii="Arial" w:hAnsi="Arial" w:cs="Arial"/>
          <w:sz w:val="19"/>
          <w:szCs w:val="19"/>
          <w:lang w:val="es-CO"/>
        </w:rPr>
        <w:t xml:space="preserve"> lo referente a la defensa y seguridad del Estado, </w:t>
      </w:r>
      <w:r w:rsidRPr="00E07CA2">
        <w:rPr>
          <w:rFonts w:ascii="Arial" w:hAnsi="Arial" w:cs="Arial"/>
          <w:i/>
          <w:iCs/>
          <w:sz w:val="19"/>
          <w:szCs w:val="19"/>
          <w:lang w:val="es-CO"/>
        </w:rPr>
        <w:t>los contratos</w:t>
      </w:r>
      <w:r w:rsidRPr="00E07CA2">
        <w:rPr>
          <w:rFonts w:ascii="Arial" w:hAnsi="Arial" w:cs="Arial"/>
          <w:sz w:val="19"/>
          <w:szCs w:val="19"/>
          <w:lang w:val="es-CO"/>
        </w:rPr>
        <w:t xml:space="preserve">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w:t>
      </w:r>
      <w:r w:rsidRPr="00E07CA2">
        <w:rPr>
          <w:rFonts w:ascii="Arial" w:hAnsi="Arial" w:cs="Arial"/>
          <w:i/>
          <w:iCs/>
          <w:sz w:val="19"/>
          <w:szCs w:val="19"/>
          <w:lang w:val="es-CO"/>
        </w:rPr>
        <w:t>los que deban realizar las entidades sanitarias y hospitalarias</w:t>
      </w:r>
      <w:r w:rsidRPr="00E07CA2">
        <w:rPr>
          <w:rFonts w:ascii="Arial" w:hAnsi="Arial" w:cs="Arial"/>
          <w:sz w:val="19"/>
          <w:szCs w:val="19"/>
          <w:lang w:val="es-CO"/>
        </w:rPr>
        <w:t>» (Cursiva fuera del original).</w:t>
      </w:r>
    </w:p>
  </w:footnote>
  <w:footnote w:id="29">
    <w:p w14:paraId="0CEF360D" w14:textId="519397AA" w:rsidR="00620BD9" w:rsidRPr="00E07CA2" w:rsidRDefault="00620BD9" w:rsidP="00E07CA2">
      <w:pPr>
        <w:pStyle w:val="Textonotapie"/>
        <w:spacing w:before="0" w:after="0" w:line="240" w:lineRule="auto"/>
        <w:ind w:firstLine="708"/>
        <w:rPr>
          <w:rFonts w:ascii="Arial" w:hAnsi="Arial" w:cs="Arial"/>
          <w:sz w:val="19"/>
          <w:szCs w:val="19"/>
        </w:rPr>
      </w:pPr>
      <w:r w:rsidRPr="00DE59DA">
        <w:rPr>
          <w:rStyle w:val="Refdenotaalpie"/>
          <w:rFonts w:ascii="Arial" w:hAnsi="Arial" w:cs="Arial"/>
          <w:sz w:val="19"/>
          <w:szCs w:val="19"/>
        </w:rPr>
        <w:footnoteRef/>
      </w:r>
      <w:r w:rsidRPr="00DE59DA">
        <w:rPr>
          <w:rFonts w:ascii="Arial" w:hAnsi="Arial" w:cs="Arial"/>
          <w:sz w:val="19"/>
          <w:szCs w:val="19"/>
        </w:rPr>
        <w:t xml:space="preserve"> </w:t>
      </w:r>
      <w:r w:rsidRPr="00E07CA2">
        <w:rPr>
          <w:rFonts w:ascii="Arial" w:hAnsi="Arial" w:cs="Arial"/>
          <w:sz w:val="19"/>
          <w:szCs w:val="19"/>
        </w:rPr>
        <w:t>Consejo de Estado. Sala de Consulta y Servicio Civil. Concepto del 18 de febrero 2010. Rad. 11001-03-06-000-2010-00006-00 (1985). C.P. Enrique José Arboleda Perdomo.</w:t>
      </w:r>
    </w:p>
  </w:footnote>
  <w:footnote w:id="30">
    <w:p w14:paraId="4FF9380F" w14:textId="77777777" w:rsidR="00620BD9" w:rsidRPr="00E07CA2" w:rsidRDefault="00620BD9" w:rsidP="00E07CA2">
      <w:pPr>
        <w:pStyle w:val="Textonotapie"/>
        <w:spacing w:before="0" w:after="0" w:line="240" w:lineRule="auto"/>
        <w:ind w:firstLine="708"/>
        <w:rPr>
          <w:rFonts w:ascii="Arial" w:hAnsi="Arial" w:cs="Arial"/>
          <w:sz w:val="19"/>
          <w:szCs w:val="19"/>
        </w:rPr>
      </w:pPr>
      <w:r w:rsidRPr="00DE59DA">
        <w:rPr>
          <w:rStyle w:val="Refdenotaalpie"/>
          <w:rFonts w:ascii="Arial" w:hAnsi="Arial" w:cs="Arial"/>
          <w:sz w:val="19"/>
          <w:szCs w:val="19"/>
        </w:rPr>
        <w:footnoteRef/>
      </w:r>
      <w:r w:rsidRPr="00DE59DA">
        <w:rPr>
          <w:rFonts w:ascii="Arial" w:hAnsi="Arial" w:cs="Arial"/>
          <w:sz w:val="19"/>
          <w:szCs w:val="19"/>
        </w:rPr>
        <w:t xml:space="preserve"> </w:t>
      </w:r>
      <w:r w:rsidRPr="00E07CA2">
        <w:rPr>
          <w:rFonts w:ascii="Arial" w:hAnsi="Arial" w:cs="Arial"/>
          <w:sz w:val="19"/>
          <w:szCs w:val="19"/>
        </w:rPr>
        <w:t xml:space="preserve">Corte Constitucional. Sentencia C-1153 de 2005 M.P. Marco Gerardo Monroy Cabra. </w:t>
      </w:r>
    </w:p>
  </w:footnote>
  <w:footnote w:id="31">
    <w:p w14:paraId="4062BDA1" w14:textId="589868E5" w:rsidR="00620BD9" w:rsidRPr="00E07CA2" w:rsidRDefault="00620BD9" w:rsidP="00E07CA2">
      <w:pPr>
        <w:pStyle w:val="Textonotapie"/>
        <w:spacing w:before="0" w:after="0" w:line="240" w:lineRule="auto"/>
        <w:ind w:firstLine="708"/>
        <w:rPr>
          <w:rFonts w:ascii="Arial" w:hAnsi="Arial" w:cs="Arial"/>
          <w:sz w:val="19"/>
          <w:szCs w:val="19"/>
        </w:rPr>
      </w:pPr>
      <w:r w:rsidRPr="00DE59DA">
        <w:rPr>
          <w:rStyle w:val="Refdenotaalpie"/>
          <w:rFonts w:ascii="Arial" w:hAnsi="Arial" w:cs="Arial"/>
          <w:sz w:val="19"/>
          <w:szCs w:val="19"/>
        </w:rPr>
        <w:footnoteRef/>
      </w:r>
      <w:r w:rsidRPr="00DE59DA">
        <w:rPr>
          <w:rFonts w:ascii="Arial" w:hAnsi="Arial" w:cs="Arial"/>
          <w:sz w:val="19"/>
          <w:szCs w:val="19"/>
        </w:rPr>
        <w:t xml:space="preserve"> </w:t>
      </w:r>
      <w:r w:rsidRPr="00E07CA2">
        <w:rPr>
          <w:rFonts w:ascii="Arial" w:hAnsi="Arial" w:cs="Arial"/>
          <w:sz w:val="19"/>
          <w:szCs w:val="19"/>
        </w:rPr>
        <w:t>Consejo de Estado. Sala de Consulta y Servicio Civil. Concepto del 02 de septiembre de 2013. Rad. 11001-03-06-000-2013-00412-00 (2168). C.P. Álvaro Namén Vargas.</w:t>
      </w:r>
    </w:p>
    <w:p w14:paraId="69FCF87F" w14:textId="77777777" w:rsidR="00722B6B" w:rsidRPr="00E07CA2" w:rsidRDefault="00722B6B" w:rsidP="00E07CA2">
      <w:pPr>
        <w:pStyle w:val="Textonotapie"/>
        <w:spacing w:before="0" w:after="0" w:line="240" w:lineRule="auto"/>
        <w:ind w:firstLine="708"/>
        <w:rPr>
          <w:rFonts w:ascii="Arial" w:hAnsi="Arial" w:cs="Arial"/>
          <w:sz w:val="19"/>
          <w:szCs w:val="19"/>
        </w:rPr>
      </w:pPr>
    </w:p>
  </w:footnote>
  <w:footnote w:id="32">
    <w:p w14:paraId="2F6557FF" w14:textId="28D62224"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color w:val="000000" w:themeColor="text1"/>
          <w:sz w:val="19"/>
          <w:szCs w:val="19"/>
        </w:rPr>
        <w:t xml:space="preserve"> Consejo de Estado. Sala de Consulta y Servicio Civil. Concepto de 20 de febrero de2006. Radicación 11001</w:t>
      </w:r>
      <w:r w:rsidRPr="00E07CA2">
        <w:rPr>
          <w:rFonts w:ascii="Arial" w:hAnsi="Arial" w:cs="Arial"/>
          <w:sz w:val="19"/>
          <w:szCs w:val="19"/>
        </w:rPr>
        <w:t>-03-06-000-2006-00023-00(1724). Consejero Ponente: Flavio Augusto Rodríguez Arce.</w:t>
      </w:r>
    </w:p>
    <w:p w14:paraId="39E8782D" w14:textId="77777777" w:rsidR="00722B6B" w:rsidRPr="00E07CA2" w:rsidRDefault="00722B6B" w:rsidP="00DE59DA">
      <w:pPr>
        <w:pStyle w:val="Textonotapie"/>
        <w:spacing w:before="0" w:after="0" w:line="240" w:lineRule="auto"/>
        <w:ind w:firstLine="709"/>
        <w:rPr>
          <w:rFonts w:ascii="Arial" w:hAnsi="Arial" w:cs="Arial"/>
          <w:sz w:val="19"/>
          <w:szCs w:val="19"/>
        </w:rPr>
      </w:pPr>
    </w:p>
  </w:footnote>
  <w:footnote w:id="33">
    <w:p w14:paraId="5DED9166" w14:textId="77777777" w:rsidR="00450CAF" w:rsidRPr="00E07CA2" w:rsidRDefault="00450CAF" w:rsidP="00DE59DA">
      <w:pPr>
        <w:ind w:firstLine="709"/>
        <w:jc w:val="both"/>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DEFE5FE" w14:textId="77777777" w:rsidR="00450CAF" w:rsidRPr="00E07CA2" w:rsidRDefault="00450CAF" w:rsidP="00DE59DA">
      <w:pPr>
        <w:ind w:firstLine="709"/>
        <w:jc w:val="both"/>
        <w:rPr>
          <w:rFonts w:ascii="Arial" w:hAnsi="Arial" w:cs="Arial"/>
          <w:sz w:val="19"/>
          <w:szCs w:val="19"/>
        </w:rPr>
      </w:pPr>
      <w:r w:rsidRPr="00E07CA2">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07CA2">
        <w:rPr>
          <w:rFonts w:ascii="Arial" w:hAnsi="Arial" w:cs="Arial"/>
          <w:spacing w:val="-1"/>
          <w:sz w:val="19"/>
          <w:szCs w:val="19"/>
        </w:rPr>
        <w:t xml:space="preserve"> </w:t>
      </w:r>
      <w:r w:rsidRPr="00E07CA2">
        <w:rPr>
          <w:rFonts w:ascii="Arial" w:hAnsi="Arial" w:cs="Arial"/>
          <w:sz w:val="19"/>
          <w:szCs w:val="19"/>
        </w:rPr>
        <w:t>Estatales».</w:t>
      </w:r>
    </w:p>
    <w:p w14:paraId="77574FB6" w14:textId="77777777" w:rsidR="00450CAF" w:rsidRPr="00DE59DA" w:rsidRDefault="00450CAF" w:rsidP="00DE59DA">
      <w:pPr>
        <w:ind w:firstLine="709"/>
        <w:jc w:val="both"/>
        <w:rPr>
          <w:rFonts w:ascii="Arial" w:hAnsi="Arial" w:cs="Arial"/>
          <w:sz w:val="19"/>
          <w:szCs w:val="19"/>
        </w:rPr>
      </w:pPr>
    </w:p>
  </w:footnote>
  <w:footnote w:id="34">
    <w:p w14:paraId="6B99DE7E" w14:textId="77777777" w:rsidR="00450CAF" w:rsidRPr="00E07CA2" w:rsidRDefault="00450CAF" w:rsidP="00DE59DA">
      <w:pPr>
        <w:ind w:firstLine="709"/>
        <w:jc w:val="both"/>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07CA2">
        <w:rPr>
          <w:rFonts w:ascii="Arial" w:hAnsi="Arial" w:cs="Arial"/>
          <w:spacing w:val="-6"/>
          <w:sz w:val="19"/>
          <w:szCs w:val="19"/>
        </w:rPr>
        <w:t xml:space="preserve"> </w:t>
      </w:r>
      <w:r w:rsidRPr="00E07CA2">
        <w:rPr>
          <w:rFonts w:ascii="Arial" w:hAnsi="Arial" w:cs="Arial"/>
          <w:sz w:val="19"/>
          <w:szCs w:val="19"/>
        </w:rPr>
        <w:t>artículo».</w:t>
      </w:r>
    </w:p>
    <w:p w14:paraId="08F97ED7" w14:textId="77777777" w:rsidR="00450CAF" w:rsidRPr="00DE59DA" w:rsidRDefault="00450CAF" w:rsidP="00DE59DA">
      <w:pPr>
        <w:ind w:firstLine="709"/>
        <w:jc w:val="both"/>
        <w:rPr>
          <w:rFonts w:ascii="Arial" w:hAnsi="Arial" w:cs="Arial"/>
          <w:sz w:val="19"/>
          <w:szCs w:val="19"/>
        </w:rPr>
      </w:pPr>
    </w:p>
  </w:footnote>
  <w:footnote w:id="35">
    <w:p w14:paraId="6683A358" w14:textId="77777777" w:rsidR="00450CAF" w:rsidRPr="00E07CA2" w:rsidRDefault="00450CAF" w:rsidP="00DE59DA">
      <w:pPr>
        <w:ind w:firstLine="709"/>
        <w:jc w:val="both"/>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position w:val="7"/>
          <w:sz w:val="19"/>
          <w:szCs w:val="19"/>
        </w:rPr>
        <w:t xml:space="preserve"> </w:t>
      </w:r>
      <w:r w:rsidRPr="00E07CA2">
        <w:rPr>
          <w:rFonts w:ascii="Arial" w:hAnsi="Arial" w:cs="Arial"/>
          <w:sz w:val="19"/>
          <w:szCs w:val="19"/>
        </w:rPr>
        <w:t>Consejo de Estado. Sección Tercera. Sentencia del 23 de junio de 2010. Radicación No. 66001-23-31-000-1998-00261-01(17.860). Consejero Ponente: Mauricio Fajardo Gómez.</w:t>
      </w:r>
    </w:p>
  </w:footnote>
  <w:footnote w:id="36">
    <w:p w14:paraId="1C3E64A3" w14:textId="2657198F" w:rsidR="00450CAF" w:rsidRPr="00E07CA2" w:rsidRDefault="00450CAF" w:rsidP="00DE59DA">
      <w:pPr>
        <w:ind w:firstLine="709"/>
        <w:jc w:val="both"/>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Sección Tercera. Subsección C. Sentencia del 11 de diciembre de 2019. </w:t>
      </w:r>
      <w:r w:rsidRPr="00E07CA2">
        <w:rPr>
          <w:rFonts w:ascii="Arial" w:hAnsi="Arial" w:cs="Arial"/>
          <w:sz w:val="19"/>
          <w:szCs w:val="19"/>
        </w:rPr>
        <w:t>Exp. 46.986. C.P. Jaime Enrique Rodríguez Navas.</w:t>
      </w:r>
    </w:p>
    <w:p w14:paraId="767C5A2A" w14:textId="77777777" w:rsidR="00722B6B" w:rsidRPr="00E07CA2" w:rsidRDefault="00722B6B" w:rsidP="00DE59DA">
      <w:pPr>
        <w:ind w:firstLine="709"/>
        <w:jc w:val="both"/>
        <w:rPr>
          <w:rFonts w:ascii="Arial" w:hAnsi="Arial" w:cs="Arial"/>
          <w:sz w:val="19"/>
          <w:szCs w:val="19"/>
        </w:rPr>
      </w:pPr>
    </w:p>
  </w:footnote>
  <w:footnote w:id="37">
    <w:p w14:paraId="580B643B" w14:textId="3104BC8C"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[Referencia propia de la cita] «CE. SCSC. Concepto de 1 de noviembre de 2016 [Rad. 11001-03-06-000-2016-00125-00(2305)]. MP. Germán Alberto Bula Escobar».</w:t>
      </w:r>
    </w:p>
  </w:footnote>
  <w:footnote w:id="38">
    <w:p w14:paraId="48111FB9" w14:textId="1B9BE795"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07CA2">
        <w:rPr>
          <w:rFonts w:ascii="Arial" w:hAnsi="Arial" w:cs="Arial"/>
          <w:i/>
          <w:sz w:val="19"/>
          <w:szCs w:val="19"/>
        </w:rPr>
        <w:t>“obligacional”</w:t>
      </w:r>
      <w:r w:rsidRPr="00E07CA2">
        <w:rPr>
          <w:rFonts w:ascii="Arial" w:hAnsi="Arial" w:cs="Arial"/>
          <w:sz w:val="19"/>
          <w:szCs w:val="19"/>
        </w:rPr>
        <w:t xml:space="preserve"> de los convenios se estructura definiendo el resultado querido por las partes y los medios que cada entidad despliega para la obtención del respectivo objeto».</w:t>
      </w:r>
    </w:p>
    <w:p w14:paraId="47100F61" w14:textId="77777777" w:rsidR="00722B6B" w:rsidRPr="00DE59DA" w:rsidRDefault="00722B6B" w:rsidP="00DE59DA">
      <w:pPr>
        <w:pStyle w:val="Textonotapie"/>
        <w:spacing w:before="0" w:after="0" w:line="240" w:lineRule="auto"/>
        <w:ind w:firstLine="709"/>
        <w:rPr>
          <w:rFonts w:ascii="Arial" w:hAnsi="Arial" w:cs="Arial"/>
          <w:sz w:val="19"/>
          <w:szCs w:val="19"/>
        </w:rPr>
      </w:pPr>
    </w:p>
  </w:footnote>
  <w:footnote w:id="39">
    <w:p w14:paraId="5868623D" w14:textId="4E2AC452"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[Referencia propia de la cita] «La normativa vigente del EGCAP </w:t>
      </w:r>
      <w:r w:rsidRPr="00E07CA2">
        <w:rPr>
          <w:rFonts w:ascii="Arial" w:hAnsi="Arial" w:cs="Arial"/>
          <w:i/>
          <w:sz w:val="19"/>
          <w:szCs w:val="19"/>
        </w:rPr>
        <w:t>[literal c) del numeral 4. del artículo 2 de la Ley 1150/07]</w:t>
      </w:r>
      <w:r w:rsidRPr="00E07CA2">
        <w:rPr>
          <w:rFonts w:ascii="Arial" w:hAnsi="Arial" w:cs="Arial"/>
          <w:sz w:val="19"/>
          <w:szCs w:val="19"/>
        </w:rPr>
        <w:t xml:space="preserve"> se refiere a </w:t>
      </w:r>
      <w:r w:rsidRPr="00E07CA2">
        <w:rPr>
          <w:rFonts w:ascii="Arial" w:hAnsi="Arial" w:cs="Arial"/>
          <w:i/>
          <w:sz w:val="19"/>
          <w:szCs w:val="19"/>
        </w:rPr>
        <w:t>“contratos interadministrativos”</w:t>
      </w:r>
      <w:r w:rsidRPr="00E07CA2">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59BA4D96" w14:textId="77777777" w:rsidR="00722B6B" w:rsidRPr="00E07CA2" w:rsidRDefault="00722B6B" w:rsidP="00DE59DA">
      <w:pPr>
        <w:pStyle w:val="Textonotapie"/>
        <w:spacing w:before="0" w:after="0" w:line="240" w:lineRule="auto"/>
        <w:ind w:firstLine="709"/>
        <w:rPr>
          <w:rFonts w:ascii="Arial" w:hAnsi="Arial" w:cs="Arial"/>
          <w:sz w:val="19"/>
          <w:szCs w:val="19"/>
        </w:rPr>
      </w:pPr>
    </w:p>
  </w:footnote>
  <w:footnote w:id="40">
    <w:p w14:paraId="4EE1C01A" w14:textId="5B3F5E7D"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2918C9F0" w14:textId="77777777" w:rsidR="00722B6B" w:rsidRPr="00E07CA2" w:rsidRDefault="00722B6B" w:rsidP="00DE59DA">
      <w:pPr>
        <w:pStyle w:val="Textonotapie"/>
        <w:spacing w:before="0" w:after="0" w:line="240" w:lineRule="auto"/>
        <w:ind w:firstLine="709"/>
        <w:rPr>
          <w:rFonts w:ascii="Arial" w:hAnsi="Arial" w:cs="Arial"/>
          <w:sz w:val="19"/>
          <w:szCs w:val="19"/>
        </w:rPr>
      </w:pPr>
    </w:p>
  </w:footnote>
  <w:footnote w:id="41">
    <w:p w14:paraId="46C0629B" w14:textId="3707BE93" w:rsidR="00450CAF"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Es lo que sucede, por ejemplo, con el Decreto 092 de 2017, que en su desarrollo hace referencia tanto a los «contratos» como a los «convenios». </w:t>
      </w:r>
    </w:p>
    <w:p w14:paraId="3F26E4B2" w14:textId="77777777" w:rsidR="00722B6B" w:rsidRPr="00E07CA2" w:rsidRDefault="00722B6B" w:rsidP="00DE59DA">
      <w:pPr>
        <w:pStyle w:val="Textonotapie"/>
        <w:spacing w:before="0" w:after="0" w:line="240" w:lineRule="auto"/>
        <w:ind w:firstLine="709"/>
        <w:rPr>
          <w:rFonts w:ascii="Arial" w:hAnsi="Arial" w:cs="Arial"/>
          <w:sz w:val="19"/>
          <w:szCs w:val="19"/>
        </w:rPr>
      </w:pPr>
    </w:p>
  </w:footnote>
  <w:footnote w:id="42">
    <w:p w14:paraId="5D93A801" w14:textId="77777777" w:rsidR="00450CAF" w:rsidRPr="00DE59DA" w:rsidRDefault="00450CAF" w:rsidP="00DE59DA">
      <w:pPr>
        <w:pStyle w:val="Textonotapie"/>
        <w:spacing w:before="0" w:after="0" w:line="240" w:lineRule="auto"/>
        <w:ind w:firstLine="709"/>
        <w:rPr>
          <w:rFonts w:ascii="Arial" w:hAnsi="Arial" w:cs="Arial"/>
          <w:sz w:val="19"/>
          <w:szCs w:val="19"/>
          <w:lang w:val="es-CO"/>
        </w:rPr>
      </w:pPr>
      <w:r w:rsidRPr="00E07CA2">
        <w:rPr>
          <w:rStyle w:val="Refdenotaalpie"/>
          <w:rFonts w:ascii="Arial" w:hAnsi="Arial" w:cs="Arial"/>
          <w:sz w:val="19"/>
          <w:szCs w:val="19"/>
        </w:rPr>
        <w:footnoteRef/>
      </w:r>
      <w:r w:rsidRPr="00E07CA2">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43">
    <w:p w14:paraId="79413CD2" w14:textId="304063A0" w:rsidR="00CB4D61" w:rsidRPr="00E07CA2" w:rsidRDefault="00450CAF" w:rsidP="00DE59DA">
      <w:pPr>
        <w:pStyle w:val="Textonotapie"/>
        <w:spacing w:before="0" w:after="0" w:line="240" w:lineRule="auto"/>
        <w:ind w:firstLine="709"/>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44">
    <w:p w14:paraId="09DEE14F" w14:textId="6E4A9418" w:rsidR="001F1F3F" w:rsidRPr="00DE59DA" w:rsidRDefault="001F1F3F" w:rsidP="00E07CA2">
      <w:pPr>
        <w:pStyle w:val="Textonotapie"/>
        <w:spacing w:before="0" w:after="0" w:line="240" w:lineRule="auto"/>
        <w:ind w:firstLine="709"/>
        <w:rPr>
          <w:rFonts w:ascii="Arial" w:hAnsi="Arial" w:cs="Arial"/>
          <w:sz w:val="19"/>
          <w:szCs w:val="19"/>
          <w:lang w:val="es-CO"/>
        </w:rPr>
      </w:pPr>
      <w:r w:rsidRPr="00DE59DA">
        <w:rPr>
          <w:rStyle w:val="Refdenotaalpie"/>
          <w:rFonts w:ascii="Arial" w:hAnsi="Arial" w:cs="Arial"/>
          <w:sz w:val="19"/>
          <w:szCs w:val="19"/>
        </w:rPr>
        <w:footnoteRef/>
      </w:r>
      <w:r w:rsidRPr="00DE59DA">
        <w:rPr>
          <w:rFonts w:ascii="Arial" w:hAnsi="Arial" w:cs="Arial"/>
          <w:sz w:val="19"/>
          <w:szCs w:val="19"/>
        </w:rPr>
        <w:t xml:space="preserve"> Consejo de Estado. Sala de Consulta y Servicio Civil. Concepto del 15 de noviembre de 2007. Expediente número 1863. Consejero Ponente: Luis Fernando Álvarez Jaramillo. </w:t>
      </w:r>
      <w:r w:rsidRPr="00DE59DA">
        <w:rPr>
          <w:rFonts w:ascii="Arial" w:hAnsi="Arial" w:cs="Arial"/>
          <w:color w:val="000000" w:themeColor="text1"/>
          <w:sz w:val="19"/>
          <w:szCs w:val="19"/>
        </w:rPr>
        <w:t xml:space="preserve">Igualmente, Cfr. </w:t>
      </w:r>
      <w:r w:rsidRPr="00DE59DA">
        <w:rPr>
          <w:rFonts w:ascii="Arial" w:hAnsi="Arial" w:cs="Arial"/>
          <w:sz w:val="19"/>
          <w:szCs w:val="19"/>
        </w:rPr>
        <w:t>Agencia Nacional de Contratación Pública – Colombia Compra Eficiente. Circular Externa Única. Numeral 15.3.</w:t>
      </w:r>
    </w:p>
  </w:footnote>
  <w:footnote w:id="45">
    <w:p w14:paraId="7DCEDC5E" w14:textId="127A197A" w:rsidR="0047676E" w:rsidRPr="00E07CA2" w:rsidRDefault="0047676E" w:rsidP="00E07CA2">
      <w:pPr>
        <w:pStyle w:val="Textonotapie"/>
        <w:spacing w:before="0" w:after="0" w:line="240" w:lineRule="auto"/>
        <w:ind w:firstLine="708"/>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«Artículo 61. Fondo del Pasivo Prestacional para el Sector Salud. Suprímase el Fondo del Pasivo Prestacional para el Sector Salud creado por el artículo 33 de la Ley 60 de 1993. En adelante, con el fin de atender la responsabilidad financiera a cargo de la Nación para el pago de las cesantías y pensiones de las personas beneficiarias de dicho Fondo y de acuerdo con los convenios de concurrencia correspondientes, la Nación a través del Ministerio de Hacienda y Crédito Público, se hará cargo del giro de los recursos […]» </w:t>
      </w:r>
    </w:p>
  </w:footnote>
  <w:footnote w:id="46">
    <w:p w14:paraId="19506152" w14:textId="42331D00" w:rsidR="006322D3" w:rsidRPr="00E07CA2" w:rsidRDefault="006322D3" w:rsidP="00E07CA2">
      <w:pPr>
        <w:pStyle w:val="Textonotapie"/>
        <w:spacing w:before="0" w:after="0" w:line="240" w:lineRule="auto"/>
        <w:ind w:firstLine="708"/>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«Artículo 62. Convenios de Concurrencia. Para efectos de los convenios de concurrencia, los cuales deberán ser suscritos a partir de la vigencia de la presente ley por el Ministerio de Hacienda y Crédito Público, se continuarán aplicando los procedimientos del Fondo del Pasivo Prestacional del Sector Salud, la forma en que concurren las diferentes entidades para cubrir el pasivo prestacional, la forma de cálculo del mismo, su actualización financiera y actuarial, las obligaciones de los convenios de concurrencia y los requisitos que deben acreditarse. </w:t>
      </w:r>
    </w:p>
    <w:p w14:paraId="5F03F53B" w14:textId="0060E901" w:rsidR="006322D3" w:rsidRPr="00E07CA2" w:rsidRDefault="006322D3" w:rsidP="00E07CA2">
      <w:pPr>
        <w:pStyle w:val="Textonotapie"/>
        <w:spacing w:before="0" w:after="0" w:line="240" w:lineRule="auto"/>
        <w:ind w:firstLine="708"/>
        <w:rPr>
          <w:rFonts w:ascii="Arial" w:hAnsi="Arial" w:cs="Arial"/>
          <w:sz w:val="19"/>
          <w:szCs w:val="19"/>
        </w:rPr>
      </w:pPr>
      <w:r w:rsidRPr="00E07CA2">
        <w:rPr>
          <w:rFonts w:ascii="Arial" w:hAnsi="Arial" w:cs="Arial"/>
          <w:sz w:val="19"/>
          <w:szCs w:val="19"/>
        </w:rPr>
        <w:t xml:space="preserve">El Ministerio de Hacienda y Crédito Público podrá establecer, en concertación con el ente territorial, las condiciones para celebrar los convenios de concurrencia y el desarrollo de los mismos y de los que se encuentren en ejecución, para lo cual podrá verificar el contenido de los convenios suscritos y ordenará el ajuste a las normas sobre el particular. </w:t>
      </w:r>
    </w:p>
    <w:p w14:paraId="0CDEDF02" w14:textId="04FCE864" w:rsidR="006322D3" w:rsidRPr="00E07CA2" w:rsidRDefault="006322D3" w:rsidP="00E07CA2">
      <w:pPr>
        <w:pStyle w:val="Textonotapie"/>
        <w:spacing w:before="0" w:after="0" w:line="240" w:lineRule="auto"/>
        <w:ind w:firstLine="708"/>
        <w:rPr>
          <w:rFonts w:ascii="Arial" w:hAnsi="Arial" w:cs="Arial"/>
          <w:sz w:val="19"/>
          <w:szCs w:val="19"/>
        </w:rPr>
      </w:pPr>
      <w:r w:rsidRPr="00E07CA2">
        <w:rPr>
          <w:rFonts w:ascii="Arial" w:hAnsi="Arial" w:cs="Arial"/>
          <w:sz w:val="19"/>
          <w:szCs w:val="19"/>
        </w:rPr>
        <w:t xml:space="preserve">El Ministerio de Hacienda y Crédito Público deberá revisar y actualizar en forma periódica el valor de la deuda prestacional, definiendo la responsabilidad de cada uno de los entes que suscribe el convenio de concurrencia. </w:t>
      </w:r>
    </w:p>
    <w:p w14:paraId="6DE95F0D" w14:textId="380D7174" w:rsidR="006322D3" w:rsidRPr="00E07CA2" w:rsidRDefault="006322D3" w:rsidP="00E07CA2">
      <w:pPr>
        <w:pStyle w:val="Textonotapie"/>
        <w:spacing w:before="0" w:after="0" w:line="240" w:lineRule="auto"/>
        <w:ind w:firstLine="708"/>
        <w:rPr>
          <w:rFonts w:ascii="Arial" w:hAnsi="Arial" w:cs="Arial"/>
          <w:sz w:val="19"/>
          <w:szCs w:val="19"/>
        </w:rPr>
      </w:pPr>
      <w:r w:rsidRPr="00E07CA2">
        <w:rPr>
          <w:rFonts w:ascii="Arial" w:hAnsi="Arial" w:cs="Arial"/>
          <w:sz w:val="19"/>
          <w:szCs w:val="19"/>
        </w:rPr>
        <w:t>Parágrafo. Para efectos de lo ordenado en el presente artículo, el Gobierno Nacional definirá la información, condiciones y términos que considere necesarios»</w:t>
      </w:r>
      <w:r w:rsidR="004008AD">
        <w:rPr>
          <w:rFonts w:ascii="Arial" w:hAnsi="Arial" w:cs="Arial"/>
          <w:sz w:val="19"/>
          <w:szCs w:val="19"/>
        </w:rPr>
        <w:t>.</w:t>
      </w:r>
      <w:r w:rsidRPr="00E07CA2">
        <w:rPr>
          <w:rFonts w:ascii="Arial" w:hAnsi="Arial" w:cs="Arial"/>
          <w:sz w:val="19"/>
          <w:szCs w:val="19"/>
        </w:rPr>
        <w:t xml:space="preserve">  </w:t>
      </w:r>
    </w:p>
  </w:footnote>
  <w:footnote w:id="47">
    <w:p w14:paraId="1DABA921" w14:textId="302F93C1" w:rsidR="001D3DF7" w:rsidRPr="00E07CA2" w:rsidRDefault="001D3DF7" w:rsidP="00E07CA2">
      <w:pPr>
        <w:pStyle w:val="Textonotapie"/>
        <w:spacing w:before="0" w:after="0" w:line="240" w:lineRule="auto"/>
        <w:ind w:firstLine="708"/>
        <w:rPr>
          <w:rFonts w:ascii="Arial" w:hAnsi="Arial" w:cs="Arial"/>
          <w:sz w:val="19"/>
          <w:szCs w:val="19"/>
        </w:rPr>
      </w:pPr>
      <w:r w:rsidRPr="00E07CA2">
        <w:rPr>
          <w:rStyle w:val="Refdenotaalpie"/>
          <w:rFonts w:ascii="Arial" w:hAnsi="Arial" w:cs="Arial"/>
          <w:sz w:val="19"/>
          <w:szCs w:val="19"/>
        </w:rPr>
        <w:footnoteRef/>
      </w:r>
      <w:r w:rsidRPr="00E07CA2">
        <w:rPr>
          <w:rFonts w:ascii="Arial" w:hAnsi="Arial" w:cs="Arial"/>
          <w:sz w:val="19"/>
          <w:szCs w:val="19"/>
        </w:rPr>
        <w:t xml:space="preserve"> Consejo de Estado, Sala de Consulta y Servicio Civil</w:t>
      </w:r>
      <w:r w:rsidR="00CC087E">
        <w:rPr>
          <w:rFonts w:ascii="Arial" w:hAnsi="Arial" w:cs="Arial"/>
          <w:sz w:val="19"/>
          <w:szCs w:val="19"/>
        </w:rPr>
        <w:t>.</w:t>
      </w:r>
      <w:r w:rsidRPr="00E07CA2">
        <w:rPr>
          <w:rFonts w:ascii="Arial" w:hAnsi="Arial" w:cs="Arial"/>
          <w:sz w:val="19"/>
          <w:szCs w:val="19"/>
        </w:rPr>
        <w:t xml:space="preserve"> Concepto 1</w:t>
      </w:r>
      <w:r w:rsidR="00CC087E">
        <w:rPr>
          <w:rFonts w:ascii="Arial" w:hAnsi="Arial" w:cs="Arial"/>
          <w:sz w:val="19"/>
          <w:szCs w:val="19"/>
        </w:rPr>
        <w:t>.</w:t>
      </w:r>
      <w:r w:rsidRPr="00E07CA2">
        <w:rPr>
          <w:rFonts w:ascii="Arial" w:hAnsi="Arial" w:cs="Arial"/>
          <w:sz w:val="19"/>
          <w:szCs w:val="19"/>
        </w:rPr>
        <w:t>867 de</w:t>
      </w:r>
      <w:r w:rsidR="00CC087E">
        <w:rPr>
          <w:rFonts w:ascii="Arial" w:hAnsi="Arial" w:cs="Arial"/>
          <w:sz w:val="19"/>
          <w:szCs w:val="19"/>
        </w:rPr>
        <w:t>l</w:t>
      </w:r>
      <w:r w:rsidRPr="00E07CA2">
        <w:rPr>
          <w:rFonts w:ascii="Arial" w:hAnsi="Arial" w:cs="Arial"/>
          <w:sz w:val="19"/>
          <w:szCs w:val="19"/>
        </w:rPr>
        <w:t xml:space="preserve"> 6 de diciembre de 2007</w:t>
      </w:r>
      <w:r w:rsidR="00CC087E">
        <w:rPr>
          <w:rFonts w:ascii="Arial" w:hAnsi="Arial" w:cs="Arial"/>
          <w:sz w:val="19"/>
          <w:szCs w:val="19"/>
        </w:rPr>
        <w:t>.</w:t>
      </w:r>
      <w:r w:rsidRPr="00E07CA2">
        <w:rPr>
          <w:rFonts w:ascii="Arial" w:hAnsi="Arial" w:cs="Arial"/>
          <w:sz w:val="19"/>
          <w:szCs w:val="19"/>
        </w:rPr>
        <w:t xml:space="preserve"> C.P.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77627856">
    <w:abstractNumId w:val="10"/>
  </w:num>
  <w:num w:numId="2" w16cid:durableId="437335710">
    <w:abstractNumId w:val="8"/>
  </w:num>
  <w:num w:numId="3" w16cid:durableId="1223711372">
    <w:abstractNumId w:val="15"/>
  </w:num>
  <w:num w:numId="4" w16cid:durableId="1834105543">
    <w:abstractNumId w:val="16"/>
  </w:num>
  <w:num w:numId="5" w16cid:durableId="1263420261">
    <w:abstractNumId w:val="20"/>
  </w:num>
  <w:num w:numId="6" w16cid:durableId="7847384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058839">
    <w:abstractNumId w:val="17"/>
  </w:num>
  <w:num w:numId="8" w16cid:durableId="863058355">
    <w:abstractNumId w:val="5"/>
  </w:num>
  <w:num w:numId="9" w16cid:durableId="2023169047">
    <w:abstractNumId w:val="1"/>
  </w:num>
  <w:num w:numId="10" w16cid:durableId="1000429006">
    <w:abstractNumId w:val="6"/>
  </w:num>
  <w:num w:numId="11" w16cid:durableId="506096335">
    <w:abstractNumId w:val="2"/>
  </w:num>
  <w:num w:numId="12" w16cid:durableId="1483428417">
    <w:abstractNumId w:val="9"/>
  </w:num>
  <w:num w:numId="13" w16cid:durableId="1702436222">
    <w:abstractNumId w:val="3"/>
  </w:num>
  <w:num w:numId="14" w16cid:durableId="1278292022">
    <w:abstractNumId w:val="18"/>
  </w:num>
  <w:num w:numId="15" w16cid:durableId="1130905117">
    <w:abstractNumId w:val="14"/>
  </w:num>
  <w:num w:numId="16" w16cid:durableId="1640568677">
    <w:abstractNumId w:val="12"/>
  </w:num>
  <w:num w:numId="17" w16cid:durableId="1414356985">
    <w:abstractNumId w:val="22"/>
  </w:num>
  <w:num w:numId="18" w16cid:durableId="1663964977">
    <w:abstractNumId w:val="4"/>
  </w:num>
  <w:num w:numId="19" w16cid:durableId="1647658429">
    <w:abstractNumId w:val="11"/>
  </w:num>
  <w:num w:numId="20" w16cid:durableId="264122850">
    <w:abstractNumId w:val="13"/>
  </w:num>
  <w:num w:numId="21" w16cid:durableId="949045231">
    <w:abstractNumId w:val="19"/>
  </w:num>
  <w:num w:numId="22" w16cid:durableId="1541161846">
    <w:abstractNumId w:val="7"/>
  </w:num>
  <w:num w:numId="23" w16cid:durableId="1472557999">
    <w:abstractNumId w:val="23"/>
  </w:num>
  <w:num w:numId="24" w16cid:durableId="4590374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1A1D"/>
    <w:rsid w:val="000025E0"/>
    <w:rsid w:val="000034EE"/>
    <w:rsid w:val="00004171"/>
    <w:rsid w:val="000070A8"/>
    <w:rsid w:val="0001231C"/>
    <w:rsid w:val="00013487"/>
    <w:rsid w:val="000135A1"/>
    <w:rsid w:val="00013F7C"/>
    <w:rsid w:val="00015BF3"/>
    <w:rsid w:val="00015E80"/>
    <w:rsid w:val="00015F78"/>
    <w:rsid w:val="000169A0"/>
    <w:rsid w:val="00016D26"/>
    <w:rsid w:val="00016D2E"/>
    <w:rsid w:val="00016FBD"/>
    <w:rsid w:val="00017245"/>
    <w:rsid w:val="00017253"/>
    <w:rsid w:val="00017C1D"/>
    <w:rsid w:val="000200DA"/>
    <w:rsid w:val="000205F1"/>
    <w:rsid w:val="000210DF"/>
    <w:rsid w:val="0002264C"/>
    <w:rsid w:val="0002271C"/>
    <w:rsid w:val="000229A9"/>
    <w:rsid w:val="00023CD9"/>
    <w:rsid w:val="00024653"/>
    <w:rsid w:val="00025E6E"/>
    <w:rsid w:val="000268E2"/>
    <w:rsid w:val="0002739B"/>
    <w:rsid w:val="000300C6"/>
    <w:rsid w:val="00030271"/>
    <w:rsid w:val="00032989"/>
    <w:rsid w:val="00032A51"/>
    <w:rsid w:val="00033739"/>
    <w:rsid w:val="00033802"/>
    <w:rsid w:val="00033C14"/>
    <w:rsid w:val="00033D8C"/>
    <w:rsid w:val="00034398"/>
    <w:rsid w:val="00034663"/>
    <w:rsid w:val="00040044"/>
    <w:rsid w:val="000414BE"/>
    <w:rsid w:val="000432DF"/>
    <w:rsid w:val="00044D8C"/>
    <w:rsid w:val="00050C64"/>
    <w:rsid w:val="0005181E"/>
    <w:rsid w:val="00053136"/>
    <w:rsid w:val="000540E1"/>
    <w:rsid w:val="00054817"/>
    <w:rsid w:val="000633B3"/>
    <w:rsid w:val="000641A8"/>
    <w:rsid w:val="0006467C"/>
    <w:rsid w:val="0006474E"/>
    <w:rsid w:val="00065205"/>
    <w:rsid w:val="000661AE"/>
    <w:rsid w:val="00066517"/>
    <w:rsid w:val="00071132"/>
    <w:rsid w:val="00071351"/>
    <w:rsid w:val="000716B2"/>
    <w:rsid w:val="0007405A"/>
    <w:rsid w:val="00074BEE"/>
    <w:rsid w:val="00074D1E"/>
    <w:rsid w:val="00075D07"/>
    <w:rsid w:val="0007618C"/>
    <w:rsid w:val="00076B31"/>
    <w:rsid w:val="000770DB"/>
    <w:rsid w:val="0008228E"/>
    <w:rsid w:val="000822A6"/>
    <w:rsid w:val="0008274C"/>
    <w:rsid w:val="00082CE0"/>
    <w:rsid w:val="00084B97"/>
    <w:rsid w:val="0008676E"/>
    <w:rsid w:val="00086D8D"/>
    <w:rsid w:val="000877B5"/>
    <w:rsid w:val="000902BC"/>
    <w:rsid w:val="000912B0"/>
    <w:rsid w:val="00091AC6"/>
    <w:rsid w:val="00092617"/>
    <w:rsid w:val="00092B6A"/>
    <w:rsid w:val="000942EB"/>
    <w:rsid w:val="000943FC"/>
    <w:rsid w:val="00095B25"/>
    <w:rsid w:val="00096C01"/>
    <w:rsid w:val="0009763D"/>
    <w:rsid w:val="000A04EB"/>
    <w:rsid w:val="000A4DD7"/>
    <w:rsid w:val="000A5915"/>
    <w:rsid w:val="000B076C"/>
    <w:rsid w:val="000B0E61"/>
    <w:rsid w:val="000B103F"/>
    <w:rsid w:val="000B14BA"/>
    <w:rsid w:val="000B2778"/>
    <w:rsid w:val="000B2D9A"/>
    <w:rsid w:val="000B5C13"/>
    <w:rsid w:val="000C00A2"/>
    <w:rsid w:val="000C0769"/>
    <w:rsid w:val="000C1515"/>
    <w:rsid w:val="000C3232"/>
    <w:rsid w:val="000C394F"/>
    <w:rsid w:val="000C3F9B"/>
    <w:rsid w:val="000C4E3E"/>
    <w:rsid w:val="000C5512"/>
    <w:rsid w:val="000C5D99"/>
    <w:rsid w:val="000D1837"/>
    <w:rsid w:val="000D186A"/>
    <w:rsid w:val="000D25BC"/>
    <w:rsid w:val="000D7953"/>
    <w:rsid w:val="000D7A0F"/>
    <w:rsid w:val="000E0DED"/>
    <w:rsid w:val="000E3909"/>
    <w:rsid w:val="000E46B3"/>
    <w:rsid w:val="000E5FF8"/>
    <w:rsid w:val="000E6563"/>
    <w:rsid w:val="000E71B9"/>
    <w:rsid w:val="000E739D"/>
    <w:rsid w:val="000F091C"/>
    <w:rsid w:val="000F14E8"/>
    <w:rsid w:val="000F2AA2"/>
    <w:rsid w:val="000F2EE1"/>
    <w:rsid w:val="000F3319"/>
    <w:rsid w:val="000F4695"/>
    <w:rsid w:val="000F5137"/>
    <w:rsid w:val="000F7FC3"/>
    <w:rsid w:val="00100D69"/>
    <w:rsid w:val="00101018"/>
    <w:rsid w:val="00103915"/>
    <w:rsid w:val="001041A9"/>
    <w:rsid w:val="00106441"/>
    <w:rsid w:val="001072DB"/>
    <w:rsid w:val="001078AA"/>
    <w:rsid w:val="00110CE1"/>
    <w:rsid w:val="001112FD"/>
    <w:rsid w:val="0011178C"/>
    <w:rsid w:val="00111CDF"/>
    <w:rsid w:val="001124EB"/>
    <w:rsid w:val="00112B27"/>
    <w:rsid w:val="00113157"/>
    <w:rsid w:val="00114327"/>
    <w:rsid w:val="00114900"/>
    <w:rsid w:val="0011520A"/>
    <w:rsid w:val="001155B8"/>
    <w:rsid w:val="00116C84"/>
    <w:rsid w:val="0011766B"/>
    <w:rsid w:val="00120D67"/>
    <w:rsid w:val="001214BC"/>
    <w:rsid w:val="001218DF"/>
    <w:rsid w:val="00122B23"/>
    <w:rsid w:val="00122B9A"/>
    <w:rsid w:val="00123BE2"/>
    <w:rsid w:val="0012416B"/>
    <w:rsid w:val="00124A82"/>
    <w:rsid w:val="00130457"/>
    <w:rsid w:val="001336B2"/>
    <w:rsid w:val="00133F8F"/>
    <w:rsid w:val="00134D65"/>
    <w:rsid w:val="0013770F"/>
    <w:rsid w:val="001377EC"/>
    <w:rsid w:val="00137E66"/>
    <w:rsid w:val="00137FFA"/>
    <w:rsid w:val="0014071F"/>
    <w:rsid w:val="00141B41"/>
    <w:rsid w:val="00141CCA"/>
    <w:rsid w:val="00141E25"/>
    <w:rsid w:val="0014214B"/>
    <w:rsid w:val="00142560"/>
    <w:rsid w:val="001429C2"/>
    <w:rsid w:val="00143595"/>
    <w:rsid w:val="00143D03"/>
    <w:rsid w:val="00144D68"/>
    <w:rsid w:val="001468DA"/>
    <w:rsid w:val="00150CB3"/>
    <w:rsid w:val="00151129"/>
    <w:rsid w:val="00151936"/>
    <w:rsid w:val="00152FDA"/>
    <w:rsid w:val="00154785"/>
    <w:rsid w:val="00154F76"/>
    <w:rsid w:val="00155B3D"/>
    <w:rsid w:val="00155C13"/>
    <w:rsid w:val="00156216"/>
    <w:rsid w:val="0015738F"/>
    <w:rsid w:val="00160CB0"/>
    <w:rsid w:val="00161A37"/>
    <w:rsid w:val="001643A4"/>
    <w:rsid w:val="00165347"/>
    <w:rsid w:val="00165995"/>
    <w:rsid w:val="00170414"/>
    <w:rsid w:val="00171685"/>
    <w:rsid w:val="0017335A"/>
    <w:rsid w:val="00173B85"/>
    <w:rsid w:val="00180188"/>
    <w:rsid w:val="00181C7E"/>
    <w:rsid w:val="001824DD"/>
    <w:rsid w:val="001827CB"/>
    <w:rsid w:val="00182A86"/>
    <w:rsid w:val="00182EEE"/>
    <w:rsid w:val="0018335C"/>
    <w:rsid w:val="00185A59"/>
    <w:rsid w:val="0018635C"/>
    <w:rsid w:val="00190961"/>
    <w:rsid w:val="00191C4D"/>
    <w:rsid w:val="00192CDC"/>
    <w:rsid w:val="00192CE0"/>
    <w:rsid w:val="00195514"/>
    <w:rsid w:val="001961C8"/>
    <w:rsid w:val="00197BB3"/>
    <w:rsid w:val="001A0A19"/>
    <w:rsid w:val="001A0E7A"/>
    <w:rsid w:val="001A1753"/>
    <w:rsid w:val="001A1FB1"/>
    <w:rsid w:val="001A217F"/>
    <w:rsid w:val="001A40A1"/>
    <w:rsid w:val="001A78DE"/>
    <w:rsid w:val="001A7FD7"/>
    <w:rsid w:val="001B0444"/>
    <w:rsid w:val="001B0BE3"/>
    <w:rsid w:val="001B2052"/>
    <w:rsid w:val="001B2F08"/>
    <w:rsid w:val="001B39FA"/>
    <w:rsid w:val="001B5217"/>
    <w:rsid w:val="001B5D90"/>
    <w:rsid w:val="001B6E10"/>
    <w:rsid w:val="001C01AF"/>
    <w:rsid w:val="001C174E"/>
    <w:rsid w:val="001C24BF"/>
    <w:rsid w:val="001C47C8"/>
    <w:rsid w:val="001C6F95"/>
    <w:rsid w:val="001C763E"/>
    <w:rsid w:val="001D0C03"/>
    <w:rsid w:val="001D1560"/>
    <w:rsid w:val="001D17C2"/>
    <w:rsid w:val="001D2F93"/>
    <w:rsid w:val="001D2FC9"/>
    <w:rsid w:val="001D30D8"/>
    <w:rsid w:val="001D33DD"/>
    <w:rsid w:val="001D3DF7"/>
    <w:rsid w:val="001D4EA4"/>
    <w:rsid w:val="001D5434"/>
    <w:rsid w:val="001D567B"/>
    <w:rsid w:val="001D612F"/>
    <w:rsid w:val="001E01F9"/>
    <w:rsid w:val="001E074F"/>
    <w:rsid w:val="001E185D"/>
    <w:rsid w:val="001E1959"/>
    <w:rsid w:val="001E1EEE"/>
    <w:rsid w:val="001E207B"/>
    <w:rsid w:val="001E2866"/>
    <w:rsid w:val="001E2A7A"/>
    <w:rsid w:val="001E320D"/>
    <w:rsid w:val="001E3CB9"/>
    <w:rsid w:val="001E4B0D"/>
    <w:rsid w:val="001E6C8C"/>
    <w:rsid w:val="001E7D79"/>
    <w:rsid w:val="001F1F3F"/>
    <w:rsid w:val="001F4D43"/>
    <w:rsid w:val="001F4F5C"/>
    <w:rsid w:val="001F5388"/>
    <w:rsid w:val="001F5745"/>
    <w:rsid w:val="001F6290"/>
    <w:rsid w:val="001F6378"/>
    <w:rsid w:val="001F7341"/>
    <w:rsid w:val="001F774C"/>
    <w:rsid w:val="0020001F"/>
    <w:rsid w:val="0020059F"/>
    <w:rsid w:val="00200651"/>
    <w:rsid w:val="00200E03"/>
    <w:rsid w:val="002025CC"/>
    <w:rsid w:val="0020324E"/>
    <w:rsid w:val="00203E16"/>
    <w:rsid w:val="00204675"/>
    <w:rsid w:val="00205185"/>
    <w:rsid w:val="00205753"/>
    <w:rsid w:val="0020582D"/>
    <w:rsid w:val="00205CAE"/>
    <w:rsid w:val="0020632A"/>
    <w:rsid w:val="00207366"/>
    <w:rsid w:val="002075B6"/>
    <w:rsid w:val="002076CC"/>
    <w:rsid w:val="00210A2D"/>
    <w:rsid w:val="00210DF2"/>
    <w:rsid w:val="002110EB"/>
    <w:rsid w:val="00211338"/>
    <w:rsid w:val="00213541"/>
    <w:rsid w:val="0021495A"/>
    <w:rsid w:val="0021518A"/>
    <w:rsid w:val="00215618"/>
    <w:rsid w:val="00215B97"/>
    <w:rsid w:val="00216AEE"/>
    <w:rsid w:val="00216E64"/>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64D4"/>
    <w:rsid w:val="0023691B"/>
    <w:rsid w:val="002379B1"/>
    <w:rsid w:val="002409B6"/>
    <w:rsid w:val="00243EE8"/>
    <w:rsid w:val="002456B1"/>
    <w:rsid w:val="002456DB"/>
    <w:rsid w:val="00246944"/>
    <w:rsid w:val="00247C35"/>
    <w:rsid w:val="00250014"/>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616C"/>
    <w:rsid w:val="00267A47"/>
    <w:rsid w:val="00267DDA"/>
    <w:rsid w:val="002708A2"/>
    <w:rsid w:val="00271043"/>
    <w:rsid w:val="002725EE"/>
    <w:rsid w:val="00272FBF"/>
    <w:rsid w:val="002737FD"/>
    <w:rsid w:val="00273E83"/>
    <w:rsid w:val="00274DDF"/>
    <w:rsid w:val="00275C49"/>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96B40"/>
    <w:rsid w:val="002A2E12"/>
    <w:rsid w:val="002A3C35"/>
    <w:rsid w:val="002A487F"/>
    <w:rsid w:val="002A4F9E"/>
    <w:rsid w:val="002A5498"/>
    <w:rsid w:val="002A5F87"/>
    <w:rsid w:val="002A695B"/>
    <w:rsid w:val="002B3433"/>
    <w:rsid w:val="002B41FB"/>
    <w:rsid w:val="002B4390"/>
    <w:rsid w:val="002B55C7"/>
    <w:rsid w:val="002C216A"/>
    <w:rsid w:val="002C28E1"/>
    <w:rsid w:val="002C2B56"/>
    <w:rsid w:val="002C2D1E"/>
    <w:rsid w:val="002C32E1"/>
    <w:rsid w:val="002C40FB"/>
    <w:rsid w:val="002C4C0C"/>
    <w:rsid w:val="002C57C8"/>
    <w:rsid w:val="002C5942"/>
    <w:rsid w:val="002C6821"/>
    <w:rsid w:val="002D08FE"/>
    <w:rsid w:val="002D155C"/>
    <w:rsid w:val="002D2CD0"/>
    <w:rsid w:val="002D3589"/>
    <w:rsid w:val="002D481A"/>
    <w:rsid w:val="002D65E2"/>
    <w:rsid w:val="002D7275"/>
    <w:rsid w:val="002D7D11"/>
    <w:rsid w:val="002E06A1"/>
    <w:rsid w:val="002E71C9"/>
    <w:rsid w:val="002E7979"/>
    <w:rsid w:val="002F334B"/>
    <w:rsid w:val="002F35C2"/>
    <w:rsid w:val="002F4470"/>
    <w:rsid w:val="002F7BD7"/>
    <w:rsid w:val="003016E2"/>
    <w:rsid w:val="003033BA"/>
    <w:rsid w:val="00304580"/>
    <w:rsid w:val="00304B38"/>
    <w:rsid w:val="0030589C"/>
    <w:rsid w:val="00306C30"/>
    <w:rsid w:val="00307067"/>
    <w:rsid w:val="003073C0"/>
    <w:rsid w:val="00307855"/>
    <w:rsid w:val="003078D7"/>
    <w:rsid w:val="003108EF"/>
    <w:rsid w:val="0031206F"/>
    <w:rsid w:val="00312204"/>
    <w:rsid w:val="00312ADC"/>
    <w:rsid w:val="00312D89"/>
    <w:rsid w:val="00314C7D"/>
    <w:rsid w:val="00316214"/>
    <w:rsid w:val="003162C8"/>
    <w:rsid w:val="00316B16"/>
    <w:rsid w:val="00321018"/>
    <w:rsid w:val="00322937"/>
    <w:rsid w:val="0032350A"/>
    <w:rsid w:val="003238A9"/>
    <w:rsid w:val="00327549"/>
    <w:rsid w:val="00327CEB"/>
    <w:rsid w:val="00330722"/>
    <w:rsid w:val="00334638"/>
    <w:rsid w:val="00337AF6"/>
    <w:rsid w:val="003404C6"/>
    <w:rsid w:val="0034096E"/>
    <w:rsid w:val="0034177C"/>
    <w:rsid w:val="00341D52"/>
    <w:rsid w:val="003429F6"/>
    <w:rsid w:val="00342EC7"/>
    <w:rsid w:val="00344B03"/>
    <w:rsid w:val="00345705"/>
    <w:rsid w:val="0034680A"/>
    <w:rsid w:val="00347024"/>
    <w:rsid w:val="00350AA9"/>
    <w:rsid w:val="00350DA7"/>
    <w:rsid w:val="00352AD1"/>
    <w:rsid w:val="00353653"/>
    <w:rsid w:val="00353DD5"/>
    <w:rsid w:val="00353EE8"/>
    <w:rsid w:val="00355084"/>
    <w:rsid w:val="00355E8C"/>
    <w:rsid w:val="00357167"/>
    <w:rsid w:val="00361495"/>
    <w:rsid w:val="00364EF6"/>
    <w:rsid w:val="003652E7"/>
    <w:rsid w:val="00365BA4"/>
    <w:rsid w:val="00366283"/>
    <w:rsid w:val="00366693"/>
    <w:rsid w:val="003668EB"/>
    <w:rsid w:val="00367828"/>
    <w:rsid w:val="00370682"/>
    <w:rsid w:val="003707A7"/>
    <w:rsid w:val="00370AD3"/>
    <w:rsid w:val="00370B79"/>
    <w:rsid w:val="00371F43"/>
    <w:rsid w:val="00372E26"/>
    <w:rsid w:val="003754D2"/>
    <w:rsid w:val="003757C2"/>
    <w:rsid w:val="00376930"/>
    <w:rsid w:val="00380FAE"/>
    <w:rsid w:val="00381C32"/>
    <w:rsid w:val="00384C43"/>
    <w:rsid w:val="00385CF3"/>
    <w:rsid w:val="00386456"/>
    <w:rsid w:val="003901B3"/>
    <w:rsid w:val="003903B0"/>
    <w:rsid w:val="00390C02"/>
    <w:rsid w:val="00390E7B"/>
    <w:rsid w:val="003912A3"/>
    <w:rsid w:val="0039143D"/>
    <w:rsid w:val="003923F8"/>
    <w:rsid w:val="003949EE"/>
    <w:rsid w:val="003964D5"/>
    <w:rsid w:val="00396918"/>
    <w:rsid w:val="003A0878"/>
    <w:rsid w:val="003A0EBE"/>
    <w:rsid w:val="003A2AFD"/>
    <w:rsid w:val="003A30B4"/>
    <w:rsid w:val="003A4CA4"/>
    <w:rsid w:val="003A581E"/>
    <w:rsid w:val="003A5E90"/>
    <w:rsid w:val="003A62A6"/>
    <w:rsid w:val="003A6751"/>
    <w:rsid w:val="003A7F89"/>
    <w:rsid w:val="003B027A"/>
    <w:rsid w:val="003B18A2"/>
    <w:rsid w:val="003B2341"/>
    <w:rsid w:val="003B25D2"/>
    <w:rsid w:val="003B267F"/>
    <w:rsid w:val="003B43DB"/>
    <w:rsid w:val="003B49DA"/>
    <w:rsid w:val="003B73DE"/>
    <w:rsid w:val="003C01B1"/>
    <w:rsid w:val="003C257F"/>
    <w:rsid w:val="003C6CBA"/>
    <w:rsid w:val="003C75FC"/>
    <w:rsid w:val="003D1BE9"/>
    <w:rsid w:val="003D33FF"/>
    <w:rsid w:val="003D3D29"/>
    <w:rsid w:val="003D3D9D"/>
    <w:rsid w:val="003D43B0"/>
    <w:rsid w:val="003D45AC"/>
    <w:rsid w:val="003D527E"/>
    <w:rsid w:val="003D7E29"/>
    <w:rsid w:val="003E04EE"/>
    <w:rsid w:val="003E0D9E"/>
    <w:rsid w:val="003E1992"/>
    <w:rsid w:val="003E4A30"/>
    <w:rsid w:val="003E6423"/>
    <w:rsid w:val="003E6884"/>
    <w:rsid w:val="003E738E"/>
    <w:rsid w:val="003E7AA5"/>
    <w:rsid w:val="003F00C3"/>
    <w:rsid w:val="003F0161"/>
    <w:rsid w:val="003F18DE"/>
    <w:rsid w:val="003F1D3C"/>
    <w:rsid w:val="003F4E89"/>
    <w:rsid w:val="003F69E3"/>
    <w:rsid w:val="004008AD"/>
    <w:rsid w:val="0040246E"/>
    <w:rsid w:val="004030F2"/>
    <w:rsid w:val="00403C2B"/>
    <w:rsid w:val="00405913"/>
    <w:rsid w:val="00406251"/>
    <w:rsid w:val="00406A1A"/>
    <w:rsid w:val="00407705"/>
    <w:rsid w:val="0040799E"/>
    <w:rsid w:val="004129BB"/>
    <w:rsid w:val="00413C8D"/>
    <w:rsid w:val="00413E61"/>
    <w:rsid w:val="00414152"/>
    <w:rsid w:val="004146D7"/>
    <w:rsid w:val="00415DDE"/>
    <w:rsid w:val="00416308"/>
    <w:rsid w:val="00416996"/>
    <w:rsid w:val="00417025"/>
    <w:rsid w:val="00417425"/>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490E"/>
    <w:rsid w:val="00446E21"/>
    <w:rsid w:val="00447165"/>
    <w:rsid w:val="004471BD"/>
    <w:rsid w:val="00447729"/>
    <w:rsid w:val="00450CAF"/>
    <w:rsid w:val="004511B1"/>
    <w:rsid w:val="00452D23"/>
    <w:rsid w:val="00452F9A"/>
    <w:rsid w:val="00453F50"/>
    <w:rsid w:val="00456E1B"/>
    <w:rsid w:val="00457110"/>
    <w:rsid w:val="00460D1C"/>
    <w:rsid w:val="00464311"/>
    <w:rsid w:val="00466026"/>
    <w:rsid w:val="0046603E"/>
    <w:rsid w:val="00466082"/>
    <w:rsid w:val="0046653B"/>
    <w:rsid w:val="0046694E"/>
    <w:rsid w:val="00472B78"/>
    <w:rsid w:val="0047380F"/>
    <w:rsid w:val="0047426F"/>
    <w:rsid w:val="0047453E"/>
    <w:rsid w:val="004746AD"/>
    <w:rsid w:val="00475F18"/>
    <w:rsid w:val="0047676E"/>
    <w:rsid w:val="00477498"/>
    <w:rsid w:val="00477514"/>
    <w:rsid w:val="004779F8"/>
    <w:rsid w:val="00480824"/>
    <w:rsid w:val="00480D03"/>
    <w:rsid w:val="00480ECA"/>
    <w:rsid w:val="00482ED4"/>
    <w:rsid w:val="004861E4"/>
    <w:rsid w:val="0048674D"/>
    <w:rsid w:val="004870BB"/>
    <w:rsid w:val="004872D8"/>
    <w:rsid w:val="0048754A"/>
    <w:rsid w:val="00487C10"/>
    <w:rsid w:val="00490A62"/>
    <w:rsid w:val="00490E94"/>
    <w:rsid w:val="0049241A"/>
    <w:rsid w:val="004956F3"/>
    <w:rsid w:val="004974CD"/>
    <w:rsid w:val="004A0085"/>
    <w:rsid w:val="004A0106"/>
    <w:rsid w:val="004A0F49"/>
    <w:rsid w:val="004A34D2"/>
    <w:rsid w:val="004A4F76"/>
    <w:rsid w:val="004A6841"/>
    <w:rsid w:val="004A7B59"/>
    <w:rsid w:val="004B0B42"/>
    <w:rsid w:val="004B1BD5"/>
    <w:rsid w:val="004B353C"/>
    <w:rsid w:val="004B6500"/>
    <w:rsid w:val="004B6E7D"/>
    <w:rsid w:val="004B7D5F"/>
    <w:rsid w:val="004C0A46"/>
    <w:rsid w:val="004C246A"/>
    <w:rsid w:val="004C31AF"/>
    <w:rsid w:val="004C3ADF"/>
    <w:rsid w:val="004C3BA4"/>
    <w:rsid w:val="004C5268"/>
    <w:rsid w:val="004C59F7"/>
    <w:rsid w:val="004C60C5"/>
    <w:rsid w:val="004C755C"/>
    <w:rsid w:val="004C7603"/>
    <w:rsid w:val="004D087D"/>
    <w:rsid w:val="004D22DE"/>
    <w:rsid w:val="004D4A87"/>
    <w:rsid w:val="004D52FA"/>
    <w:rsid w:val="004D53FA"/>
    <w:rsid w:val="004D5756"/>
    <w:rsid w:val="004D63F7"/>
    <w:rsid w:val="004D646A"/>
    <w:rsid w:val="004D65AC"/>
    <w:rsid w:val="004D702B"/>
    <w:rsid w:val="004D7944"/>
    <w:rsid w:val="004D7D21"/>
    <w:rsid w:val="004D7FB4"/>
    <w:rsid w:val="004E05CC"/>
    <w:rsid w:val="004E07A4"/>
    <w:rsid w:val="004E4C6D"/>
    <w:rsid w:val="004E5463"/>
    <w:rsid w:val="004E5A0D"/>
    <w:rsid w:val="004F1425"/>
    <w:rsid w:val="004F16DB"/>
    <w:rsid w:val="004F30F8"/>
    <w:rsid w:val="004F3492"/>
    <w:rsid w:val="004F3517"/>
    <w:rsid w:val="004F3CDF"/>
    <w:rsid w:val="004F510B"/>
    <w:rsid w:val="004F5B24"/>
    <w:rsid w:val="004F6048"/>
    <w:rsid w:val="00501473"/>
    <w:rsid w:val="0050190F"/>
    <w:rsid w:val="005051F8"/>
    <w:rsid w:val="0051074C"/>
    <w:rsid w:val="00510CF8"/>
    <w:rsid w:val="005112E4"/>
    <w:rsid w:val="00511922"/>
    <w:rsid w:val="00513AF2"/>
    <w:rsid w:val="00514439"/>
    <w:rsid w:val="00514D99"/>
    <w:rsid w:val="00514E3C"/>
    <w:rsid w:val="00515D32"/>
    <w:rsid w:val="0051759B"/>
    <w:rsid w:val="005216C1"/>
    <w:rsid w:val="00523703"/>
    <w:rsid w:val="0052492C"/>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2754"/>
    <w:rsid w:val="00552FBA"/>
    <w:rsid w:val="005546AC"/>
    <w:rsid w:val="00554A77"/>
    <w:rsid w:val="005564CA"/>
    <w:rsid w:val="005601A8"/>
    <w:rsid w:val="00561506"/>
    <w:rsid w:val="0056182B"/>
    <w:rsid w:val="005622EB"/>
    <w:rsid w:val="00562332"/>
    <w:rsid w:val="00563169"/>
    <w:rsid w:val="0056728F"/>
    <w:rsid w:val="00567F3B"/>
    <w:rsid w:val="00570F08"/>
    <w:rsid w:val="0057142B"/>
    <w:rsid w:val="005721B3"/>
    <w:rsid w:val="00573F4F"/>
    <w:rsid w:val="005756AA"/>
    <w:rsid w:val="0057591C"/>
    <w:rsid w:val="00575A1C"/>
    <w:rsid w:val="0057646F"/>
    <w:rsid w:val="00577148"/>
    <w:rsid w:val="00582AE3"/>
    <w:rsid w:val="00584D9E"/>
    <w:rsid w:val="0058679D"/>
    <w:rsid w:val="00586BDB"/>
    <w:rsid w:val="005879CA"/>
    <w:rsid w:val="00590380"/>
    <w:rsid w:val="005930B1"/>
    <w:rsid w:val="0059377A"/>
    <w:rsid w:val="00594A53"/>
    <w:rsid w:val="00595D28"/>
    <w:rsid w:val="00596896"/>
    <w:rsid w:val="00597412"/>
    <w:rsid w:val="005A0414"/>
    <w:rsid w:val="005A119F"/>
    <w:rsid w:val="005A1645"/>
    <w:rsid w:val="005A2130"/>
    <w:rsid w:val="005A4FC5"/>
    <w:rsid w:val="005A6AB9"/>
    <w:rsid w:val="005A7DBD"/>
    <w:rsid w:val="005B1144"/>
    <w:rsid w:val="005B1817"/>
    <w:rsid w:val="005B2C72"/>
    <w:rsid w:val="005B4267"/>
    <w:rsid w:val="005B5BE2"/>
    <w:rsid w:val="005B753A"/>
    <w:rsid w:val="005C00FA"/>
    <w:rsid w:val="005C343C"/>
    <w:rsid w:val="005C3BE4"/>
    <w:rsid w:val="005C5C9A"/>
    <w:rsid w:val="005C6A48"/>
    <w:rsid w:val="005C6C85"/>
    <w:rsid w:val="005C7184"/>
    <w:rsid w:val="005C7FC4"/>
    <w:rsid w:val="005D1BC0"/>
    <w:rsid w:val="005D3155"/>
    <w:rsid w:val="005D35B6"/>
    <w:rsid w:val="005D36B1"/>
    <w:rsid w:val="005D483D"/>
    <w:rsid w:val="005D4AEF"/>
    <w:rsid w:val="005D4E8A"/>
    <w:rsid w:val="005D50CE"/>
    <w:rsid w:val="005D51FA"/>
    <w:rsid w:val="005D5B90"/>
    <w:rsid w:val="005D6170"/>
    <w:rsid w:val="005D7345"/>
    <w:rsid w:val="005D791B"/>
    <w:rsid w:val="005E01CE"/>
    <w:rsid w:val="005E09A6"/>
    <w:rsid w:val="005E139E"/>
    <w:rsid w:val="005E1974"/>
    <w:rsid w:val="005E1D35"/>
    <w:rsid w:val="005E2C01"/>
    <w:rsid w:val="005E3B5B"/>
    <w:rsid w:val="005E4765"/>
    <w:rsid w:val="005E5697"/>
    <w:rsid w:val="005F055F"/>
    <w:rsid w:val="005F0A53"/>
    <w:rsid w:val="005F1B0F"/>
    <w:rsid w:val="005F317C"/>
    <w:rsid w:val="005F37CD"/>
    <w:rsid w:val="005F3CD0"/>
    <w:rsid w:val="005F51FB"/>
    <w:rsid w:val="005F53B6"/>
    <w:rsid w:val="005F599B"/>
    <w:rsid w:val="005F650A"/>
    <w:rsid w:val="005F68F7"/>
    <w:rsid w:val="005F788C"/>
    <w:rsid w:val="005F7E6F"/>
    <w:rsid w:val="0060070B"/>
    <w:rsid w:val="00602708"/>
    <w:rsid w:val="00603E4D"/>
    <w:rsid w:val="00603FBE"/>
    <w:rsid w:val="00604303"/>
    <w:rsid w:val="00604893"/>
    <w:rsid w:val="00604B04"/>
    <w:rsid w:val="006058F6"/>
    <w:rsid w:val="00606CF0"/>
    <w:rsid w:val="00611ED9"/>
    <w:rsid w:val="00612C51"/>
    <w:rsid w:val="00613FDA"/>
    <w:rsid w:val="006146F1"/>
    <w:rsid w:val="00614817"/>
    <w:rsid w:val="00616E1F"/>
    <w:rsid w:val="00620BD9"/>
    <w:rsid w:val="00620C5F"/>
    <w:rsid w:val="00620FE8"/>
    <w:rsid w:val="00621021"/>
    <w:rsid w:val="00621A1E"/>
    <w:rsid w:val="00623D2C"/>
    <w:rsid w:val="00624498"/>
    <w:rsid w:val="0062724E"/>
    <w:rsid w:val="00630D7C"/>
    <w:rsid w:val="006318E7"/>
    <w:rsid w:val="0063224F"/>
    <w:rsid w:val="006322D3"/>
    <w:rsid w:val="0063269D"/>
    <w:rsid w:val="00632CF7"/>
    <w:rsid w:val="00633DBF"/>
    <w:rsid w:val="006341BB"/>
    <w:rsid w:val="00634297"/>
    <w:rsid w:val="00635DED"/>
    <w:rsid w:val="0063667E"/>
    <w:rsid w:val="0063754D"/>
    <w:rsid w:val="00643B51"/>
    <w:rsid w:val="006441CE"/>
    <w:rsid w:val="006447B9"/>
    <w:rsid w:val="00644D7F"/>
    <w:rsid w:val="0064514E"/>
    <w:rsid w:val="00650FE8"/>
    <w:rsid w:val="00651335"/>
    <w:rsid w:val="006518DC"/>
    <w:rsid w:val="00652BAA"/>
    <w:rsid w:val="00653CA3"/>
    <w:rsid w:val="00654069"/>
    <w:rsid w:val="0065480B"/>
    <w:rsid w:val="00655371"/>
    <w:rsid w:val="006559E3"/>
    <w:rsid w:val="00656EB7"/>
    <w:rsid w:val="00657259"/>
    <w:rsid w:val="00657446"/>
    <w:rsid w:val="00660D51"/>
    <w:rsid w:val="00662C7E"/>
    <w:rsid w:val="0066325D"/>
    <w:rsid w:val="00667768"/>
    <w:rsid w:val="006678A3"/>
    <w:rsid w:val="00667E0E"/>
    <w:rsid w:val="00670466"/>
    <w:rsid w:val="0067148D"/>
    <w:rsid w:val="0067157B"/>
    <w:rsid w:val="00672272"/>
    <w:rsid w:val="006728A0"/>
    <w:rsid w:val="006734E6"/>
    <w:rsid w:val="006748E0"/>
    <w:rsid w:val="00674F99"/>
    <w:rsid w:val="00677866"/>
    <w:rsid w:val="006807C6"/>
    <w:rsid w:val="00680B58"/>
    <w:rsid w:val="00681EED"/>
    <w:rsid w:val="00682E7B"/>
    <w:rsid w:val="006852F3"/>
    <w:rsid w:val="006906D4"/>
    <w:rsid w:val="0069141C"/>
    <w:rsid w:val="006919EA"/>
    <w:rsid w:val="00692992"/>
    <w:rsid w:val="00692BF6"/>
    <w:rsid w:val="00692F57"/>
    <w:rsid w:val="00694F9C"/>
    <w:rsid w:val="006954E4"/>
    <w:rsid w:val="00695B70"/>
    <w:rsid w:val="00697665"/>
    <w:rsid w:val="00697742"/>
    <w:rsid w:val="00697C55"/>
    <w:rsid w:val="00697D26"/>
    <w:rsid w:val="00697DD0"/>
    <w:rsid w:val="006A0EB7"/>
    <w:rsid w:val="006A47E7"/>
    <w:rsid w:val="006A6ACB"/>
    <w:rsid w:val="006A7BB4"/>
    <w:rsid w:val="006A7CB5"/>
    <w:rsid w:val="006A7FD0"/>
    <w:rsid w:val="006B064B"/>
    <w:rsid w:val="006B08EC"/>
    <w:rsid w:val="006B0C4E"/>
    <w:rsid w:val="006B1779"/>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4534"/>
    <w:rsid w:val="006C6EE9"/>
    <w:rsid w:val="006C771B"/>
    <w:rsid w:val="006C7CD4"/>
    <w:rsid w:val="006C7EC1"/>
    <w:rsid w:val="006C7F3D"/>
    <w:rsid w:val="006D06CC"/>
    <w:rsid w:val="006D0BAE"/>
    <w:rsid w:val="006D2519"/>
    <w:rsid w:val="006D4E54"/>
    <w:rsid w:val="006D5552"/>
    <w:rsid w:val="006D5B2B"/>
    <w:rsid w:val="006D7687"/>
    <w:rsid w:val="006D78DC"/>
    <w:rsid w:val="006D7CF6"/>
    <w:rsid w:val="006E034F"/>
    <w:rsid w:val="006E0572"/>
    <w:rsid w:val="006E131E"/>
    <w:rsid w:val="006E170C"/>
    <w:rsid w:val="006E19D3"/>
    <w:rsid w:val="006E1E98"/>
    <w:rsid w:val="006E37FA"/>
    <w:rsid w:val="006E66D9"/>
    <w:rsid w:val="006F3617"/>
    <w:rsid w:val="006F4EB3"/>
    <w:rsid w:val="006F56C4"/>
    <w:rsid w:val="006F6168"/>
    <w:rsid w:val="006F7679"/>
    <w:rsid w:val="00700B57"/>
    <w:rsid w:val="007014F8"/>
    <w:rsid w:val="00705403"/>
    <w:rsid w:val="00705631"/>
    <w:rsid w:val="00706C8B"/>
    <w:rsid w:val="00707531"/>
    <w:rsid w:val="00710134"/>
    <w:rsid w:val="00711205"/>
    <w:rsid w:val="007121A2"/>
    <w:rsid w:val="007136AC"/>
    <w:rsid w:val="00715437"/>
    <w:rsid w:val="00715EAA"/>
    <w:rsid w:val="007168C5"/>
    <w:rsid w:val="00716CC3"/>
    <w:rsid w:val="00717780"/>
    <w:rsid w:val="00717B0C"/>
    <w:rsid w:val="00720050"/>
    <w:rsid w:val="007213F0"/>
    <w:rsid w:val="00722293"/>
    <w:rsid w:val="00722B6B"/>
    <w:rsid w:val="00723B38"/>
    <w:rsid w:val="00724D11"/>
    <w:rsid w:val="00725F36"/>
    <w:rsid w:val="00726F60"/>
    <w:rsid w:val="00733BCA"/>
    <w:rsid w:val="0073441F"/>
    <w:rsid w:val="0073589B"/>
    <w:rsid w:val="00735AEF"/>
    <w:rsid w:val="007412B8"/>
    <w:rsid w:val="00741442"/>
    <w:rsid w:val="00741A9E"/>
    <w:rsid w:val="00742281"/>
    <w:rsid w:val="00742DD2"/>
    <w:rsid w:val="00746E08"/>
    <w:rsid w:val="00747C96"/>
    <w:rsid w:val="007503E9"/>
    <w:rsid w:val="0075094E"/>
    <w:rsid w:val="007522E8"/>
    <w:rsid w:val="00755CC4"/>
    <w:rsid w:val="0075621B"/>
    <w:rsid w:val="0075647A"/>
    <w:rsid w:val="007572F9"/>
    <w:rsid w:val="00760166"/>
    <w:rsid w:val="00762948"/>
    <w:rsid w:val="00762F48"/>
    <w:rsid w:val="007634AD"/>
    <w:rsid w:val="00764011"/>
    <w:rsid w:val="0076432E"/>
    <w:rsid w:val="007668D9"/>
    <w:rsid w:val="007669AA"/>
    <w:rsid w:val="00766A70"/>
    <w:rsid w:val="0077057C"/>
    <w:rsid w:val="007707A7"/>
    <w:rsid w:val="00770B28"/>
    <w:rsid w:val="00771DF3"/>
    <w:rsid w:val="00773CB2"/>
    <w:rsid w:val="00775563"/>
    <w:rsid w:val="00775EE1"/>
    <w:rsid w:val="00776689"/>
    <w:rsid w:val="00776838"/>
    <w:rsid w:val="0078122E"/>
    <w:rsid w:val="00783A83"/>
    <w:rsid w:val="00792E66"/>
    <w:rsid w:val="00792F13"/>
    <w:rsid w:val="007930A5"/>
    <w:rsid w:val="00793E57"/>
    <w:rsid w:val="00794007"/>
    <w:rsid w:val="00795647"/>
    <w:rsid w:val="007973B1"/>
    <w:rsid w:val="007A174B"/>
    <w:rsid w:val="007A3611"/>
    <w:rsid w:val="007A397E"/>
    <w:rsid w:val="007A5737"/>
    <w:rsid w:val="007A6125"/>
    <w:rsid w:val="007A76FC"/>
    <w:rsid w:val="007B0854"/>
    <w:rsid w:val="007B1ACE"/>
    <w:rsid w:val="007B27D7"/>
    <w:rsid w:val="007B2D7A"/>
    <w:rsid w:val="007B4F45"/>
    <w:rsid w:val="007B4F4C"/>
    <w:rsid w:val="007B660A"/>
    <w:rsid w:val="007C0AB3"/>
    <w:rsid w:val="007C1528"/>
    <w:rsid w:val="007C15C8"/>
    <w:rsid w:val="007C209F"/>
    <w:rsid w:val="007C22B6"/>
    <w:rsid w:val="007C2357"/>
    <w:rsid w:val="007C2D7E"/>
    <w:rsid w:val="007C33A6"/>
    <w:rsid w:val="007C4A1C"/>
    <w:rsid w:val="007C4BE5"/>
    <w:rsid w:val="007C58BD"/>
    <w:rsid w:val="007C5C1C"/>
    <w:rsid w:val="007C691F"/>
    <w:rsid w:val="007D00BD"/>
    <w:rsid w:val="007D01F0"/>
    <w:rsid w:val="007D0B72"/>
    <w:rsid w:val="007D3671"/>
    <w:rsid w:val="007D4919"/>
    <w:rsid w:val="007D4DBE"/>
    <w:rsid w:val="007D4F06"/>
    <w:rsid w:val="007D5C3E"/>
    <w:rsid w:val="007D6C71"/>
    <w:rsid w:val="007D7901"/>
    <w:rsid w:val="007D7DD8"/>
    <w:rsid w:val="007E02AE"/>
    <w:rsid w:val="007E0C58"/>
    <w:rsid w:val="007E1312"/>
    <w:rsid w:val="007E25A3"/>
    <w:rsid w:val="007E3ACA"/>
    <w:rsid w:val="007E5C16"/>
    <w:rsid w:val="007E676C"/>
    <w:rsid w:val="007E6E11"/>
    <w:rsid w:val="007E7A93"/>
    <w:rsid w:val="007F0D4A"/>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6AD5"/>
    <w:rsid w:val="008132FA"/>
    <w:rsid w:val="00813988"/>
    <w:rsid w:val="008148C7"/>
    <w:rsid w:val="00814E0D"/>
    <w:rsid w:val="0081553B"/>
    <w:rsid w:val="00815BCC"/>
    <w:rsid w:val="008160B2"/>
    <w:rsid w:val="00817744"/>
    <w:rsid w:val="00817C29"/>
    <w:rsid w:val="0082065D"/>
    <w:rsid w:val="00820A37"/>
    <w:rsid w:val="008217B7"/>
    <w:rsid w:val="00824BF9"/>
    <w:rsid w:val="00825CB9"/>
    <w:rsid w:val="00827F03"/>
    <w:rsid w:val="00830018"/>
    <w:rsid w:val="00830303"/>
    <w:rsid w:val="0083119B"/>
    <w:rsid w:val="00831556"/>
    <w:rsid w:val="00833039"/>
    <w:rsid w:val="00833B7A"/>
    <w:rsid w:val="00835917"/>
    <w:rsid w:val="00836EAB"/>
    <w:rsid w:val="0083782B"/>
    <w:rsid w:val="00840960"/>
    <w:rsid w:val="008420C6"/>
    <w:rsid w:val="0084452C"/>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7EEA"/>
    <w:rsid w:val="00861F54"/>
    <w:rsid w:val="0086218A"/>
    <w:rsid w:val="008632AF"/>
    <w:rsid w:val="00864821"/>
    <w:rsid w:val="008654BA"/>
    <w:rsid w:val="00870AF9"/>
    <w:rsid w:val="00871990"/>
    <w:rsid w:val="00872A2E"/>
    <w:rsid w:val="008749A9"/>
    <w:rsid w:val="00876146"/>
    <w:rsid w:val="0087668B"/>
    <w:rsid w:val="00876868"/>
    <w:rsid w:val="008770F7"/>
    <w:rsid w:val="008779AD"/>
    <w:rsid w:val="00880378"/>
    <w:rsid w:val="00880D11"/>
    <w:rsid w:val="00881812"/>
    <w:rsid w:val="00881A23"/>
    <w:rsid w:val="00882C43"/>
    <w:rsid w:val="00882F5E"/>
    <w:rsid w:val="00882F66"/>
    <w:rsid w:val="0088409B"/>
    <w:rsid w:val="0088434E"/>
    <w:rsid w:val="0088605D"/>
    <w:rsid w:val="00886E97"/>
    <w:rsid w:val="00887C57"/>
    <w:rsid w:val="0089039A"/>
    <w:rsid w:val="00890D42"/>
    <w:rsid w:val="00891FB0"/>
    <w:rsid w:val="008927F9"/>
    <w:rsid w:val="0089306D"/>
    <w:rsid w:val="00894211"/>
    <w:rsid w:val="00894D5C"/>
    <w:rsid w:val="0089774F"/>
    <w:rsid w:val="008A18EE"/>
    <w:rsid w:val="008A1C35"/>
    <w:rsid w:val="008A1C99"/>
    <w:rsid w:val="008A1E91"/>
    <w:rsid w:val="008A2550"/>
    <w:rsid w:val="008A2823"/>
    <w:rsid w:val="008A3153"/>
    <w:rsid w:val="008A383B"/>
    <w:rsid w:val="008A4934"/>
    <w:rsid w:val="008A519B"/>
    <w:rsid w:val="008B1829"/>
    <w:rsid w:val="008B2C6A"/>
    <w:rsid w:val="008B3AED"/>
    <w:rsid w:val="008B6265"/>
    <w:rsid w:val="008B6B7E"/>
    <w:rsid w:val="008C0CFC"/>
    <w:rsid w:val="008C30C7"/>
    <w:rsid w:val="008C34B5"/>
    <w:rsid w:val="008C3736"/>
    <w:rsid w:val="008C4741"/>
    <w:rsid w:val="008C6796"/>
    <w:rsid w:val="008C6F87"/>
    <w:rsid w:val="008C7C2E"/>
    <w:rsid w:val="008D1EFE"/>
    <w:rsid w:val="008D271F"/>
    <w:rsid w:val="008D46D3"/>
    <w:rsid w:val="008D56BF"/>
    <w:rsid w:val="008D572E"/>
    <w:rsid w:val="008D5F8F"/>
    <w:rsid w:val="008D711B"/>
    <w:rsid w:val="008D79F4"/>
    <w:rsid w:val="008D7EE7"/>
    <w:rsid w:val="008E1BC1"/>
    <w:rsid w:val="008E1C15"/>
    <w:rsid w:val="008E2863"/>
    <w:rsid w:val="008E35DC"/>
    <w:rsid w:val="008E3C08"/>
    <w:rsid w:val="008E4E6A"/>
    <w:rsid w:val="008E5687"/>
    <w:rsid w:val="008E6936"/>
    <w:rsid w:val="008E69B5"/>
    <w:rsid w:val="008E7DBB"/>
    <w:rsid w:val="008F0B5E"/>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08CB"/>
    <w:rsid w:val="00911466"/>
    <w:rsid w:val="0091187A"/>
    <w:rsid w:val="00911E6D"/>
    <w:rsid w:val="0091247F"/>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39FF"/>
    <w:rsid w:val="009246D0"/>
    <w:rsid w:val="00924C63"/>
    <w:rsid w:val="009271AA"/>
    <w:rsid w:val="00927D00"/>
    <w:rsid w:val="009326E7"/>
    <w:rsid w:val="00932F28"/>
    <w:rsid w:val="009350C1"/>
    <w:rsid w:val="009353BC"/>
    <w:rsid w:val="009368B9"/>
    <w:rsid w:val="00937020"/>
    <w:rsid w:val="00940A75"/>
    <w:rsid w:val="00940DB9"/>
    <w:rsid w:val="009417F7"/>
    <w:rsid w:val="00941FEB"/>
    <w:rsid w:val="00942EE3"/>
    <w:rsid w:val="0094567D"/>
    <w:rsid w:val="009458F0"/>
    <w:rsid w:val="009471A0"/>
    <w:rsid w:val="00947622"/>
    <w:rsid w:val="00951621"/>
    <w:rsid w:val="00951B07"/>
    <w:rsid w:val="00952E98"/>
    <w:rsid w:val="0095385A"/>
    <w:rsid w:val="00955202"/>
    <w:rsid w:val="00955B44"/>
    <w:rsid w:val="00956821"/>
    <w:rsid w:val="00964425"/>
    <w:rsid w:val="00964942"/>
    <w:rsid w:val="009658C0"/>
    <w:rsid w:val="00967268"/>
    <w:rsid w:val="00967CD8"/>
    <w:rsid w:val="00970437"/>
    <w:rsid w:val="00970544"/>
    <w:rsid w:val="00971F9D"/>
    <w:rsid w:val="00971FAB"/>
    <w:rsid w:val="009726BB"/>
    <w:rsid w:val="0097447B"/>
    <w:rsid w:val="0097606C"/>
    <w:rsid w:val="00976295"/>
    <w:rsid w:val="00981216"/>
    <w:rsid w:val="00982027"/>
    <w:rsid w:val="009820DB"/>
    <w:rsid w:val="0098238F"/>
    <w:rsid w:val="0098489D"/>
    <w:rsid w:val="00984AB9"/>
    <w:rsid w:val="00987069"/>
    <w:rsid w:val="009900DC"/>
    <w:rsid w:val="009906BE"/>
    <w:rsid w:val="0099095D"/>
    <w:rsid w:val="009916A7"/>
    <w:rsid w:val="00992127"/>
    <w:rsid w:val="009922C8"/>
    <w:rsid w:val="0099237F"/>
    <w:rsid w:val="0099262B"/>
    <w:rsid w:val="00994DF5"/>
    <w:rsid w:val="00994E2D"/>
    <w:rsid w:val="009976EE"/>
    <w:rsid w:val="009A0F94"/>
    <w:rsid w:val="009A21D9"/>
    <w:rsid w:val="009A2B57"/>
    <w:rsid w:val="009A3569"/>
    <w:rsid w:val="009A4826"/>
    <w:rsid w:val="009A60FC"/>
    <w:rsid w:val="009A758C"/>
    <w:rsid w:val="009B18E9"/>
    <w:rsid w:val="009B4776"/>
    <w:rsid w:val="009B512E"/>
    <w:rsid w:val="009B5190"/>
    <w:rsid w:val="009B61A4"/>
    <w:rsid w:val="009C0D78"/>
    <w:rsid w:val="009C31BE"/>
    <w:rsid w:val="009C37DC"/>
    <w:rsid w:val="009C38F7"/>
    <w:rsid w:val="009C57EF"/>
    <w:rsid w:val="009C5EB5"/>
    <w:rsid w:val="009C6959"/>
    <w:rsid w:val="009C713B"/>
    <w:rsid w:val="009D2749"/>
    <w:rsid w:val="009D3BBA"/>
    <w:rsid w:val="009D3CF6"/>
    <w:rsid w:val="009D4945"/>
    <w:rsid w:val="009D4AAF"/>
    <w:rsid w:val="009D4B2F"/>
    <w:rsid w:val="009D5C7D"/>
    <w:rsid w:val="009D6E69"/>
    <w:rsid w:val="009E21B8"/>
    <w:rsid w:val="009E30D4"/>
    <w:rsid w:val="009E54F2"/>
    <w:rsid w:val="009E5853"/>
    <w:rsid w:val="009E5D6E"/>
    <w:rsid w:val="009E64D5"/>
    <w:rsid w:val="009F1040"/>
    <w:rsid w:val="009F261D"/>
    <w:rsid w:val="009F3602"/>
    <w:rsid w:val="009F41CF"/>
    <w:rsid w:val="009F5096"/>
    <w:rsid w:val="009F59C2"/>
    <w:rsid w:val="009F78A0"/>
    <w:rsid w:val="00A00B7F"/>
    <w:rsid w:val="00A0103E"/>
    <w:rsid w:val="00A010FC"/>
    <w:rsid w:val="00A02213"/>
    <w:rsid w:val="00A03425"/>
    <w:rsid w:val="00A04977"/>
    <w:rsid w:val="00A04B5C"/>
    <w:rsid w:val="00A05140"/>
    <w:rsid w:val="00A0528D"/>
    <w:rsid w:val="00A066BD"/>
    <w:rsid w:val="00A10053"/>
    <w:rsid w:val="00A104B7"/>
    <w:rsid w:val="00A11895"/>
    <w:rsid w:val="00A12B18"/>
    <w:rsid w:val="00A13886"/>
    <w:rsid w:val="00A14415"/>
    <w:rsid w:val="00A146B7"/>
    <w:rsid w:val="00A153D8"/>
    <w:rsid w:val="00A1653D"/>
    <w:rsid w:val="00A16FAB"/>
    <w:rsid w:val="00A1798B"/>
    <w:rsid w:val="00A20765"/>
    <w:rsid w:val="00A2084E"/>
    <w:rsid w:val="00A21B32"/>
    <w:rsid w:val="00A228C5"/>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62AB"/>
    <w:rsid w:val="00A500EF"/>
    <w:rsid w:val="00A509BC"/>
    <w:rsid w:val="00A51659"/>
    <w:rsid w:val="00A529CB"/>
    <w:rsid w:val="00A5350E"/>
    <w:rsid w:val="00A5539A"/>
    <w:rsid w:val="00A56055"/>
    <w:rsid w:val="00A568F6"/>
    <w:rsid w:val="00A57160"/>
    <w:rsid w:val="00A61297"/>
    <w:rsid w:val="00A612F6"/>
    <w:rsid w:val="00A62322"/>
    <w:rsid w:val="00A65AD5"/>
    <w:rsid w:val="00A7090A"/>
    <w:rsid w:val="00A725D8"/>
    <w:rsid w:val="00A734C1"/>
    <w:rsid w:val="00A73C6F"/>
    <w:rsid w:val="00A74544"/>
    <w:rsid w:val="00A757E2"/>
    <w:rsid w:val="00A771A5"/>
    <w:rsid w:val="00A82473"/>
    <w:rsid w:val="00A83087"/>
    <w:rsid w:val="00A83E55"/>
    <w:rsid w:val="00A83F78"/>
    <w:rsid w:val="00A8570E"/>
    <w:rsid w:val="00A87ECD"/>
    <w:rsid w:val="00A91699"/>
    <w:rsid w:val="00A91761"/>
    <w:rsid w:val="00A91BEA"/>
    <w:rsid w:val="00A944C2"/>
    <w:rsid w:val="00A9502E"/>
    <w:rsid w:val="00A95095"/>
    <w:rsid w:val="00A95142"/>
    <w:rsid w:val="00A957B9"/>
    <w:rsid w:val="00A9641E"/>
    <w:rsid w:val="00A97125"/>
    <w:rsid w:val="00A97234"/>
    <w:rsid w:val="00A979B0"/>
    <w:rsid w:val="00AA08E7"/>
    <w:rsid w:val="00AA0B78"/>
    <w:rsid w:val="00AA0BE1"/>
    <w:rsid w:val="00AA2094"/>
    <w:rsid w:val="00AA23EE"/>
    <w:rsid w:val="00AA3C26"/>
    <w:rsid w:val="00AA442B"/>
    <w:rsid w:val="00AA669D"/>
    <w:rsid w:val="00AA6E1B"/>
    <w:rsid w:val="00AA7403"/>
    <w:rsid w:val="00AA7471"/>
    <w:rsid w:val="00AA7503"/>
    <w:rsid w:val="00AB0808"/>
    <w:rsid w:val="00AB3212"/>
    <w:rsid w:val="00AB35A6"/>
    <w:rsid w:val="00AB5852"/>
    <w:rsid w:val="00AB5969"/>
    <w:rsid w:val="00AB5C7F"/>
    <w:rsid w:val="00AB628F"/>
    <w:rsid w:val="00AB6591"/>
    <w:rsid w:val="00AC13F4"/>
    <w:rsid w:val="00AC146A"/>
    <w:rsid w:val="00AC27E8"/>
    <w:rsid w:val="00AC4829"/>
    <w:rsid w:val="00AC514C"/>
    <w:rsid w:val="00AC5690"/>
    <w:rsid w:val="00AC5F3A"/>
    <w:rsid w:val="00AD1A73"/>
    <w:rsid w:val="00AD45E3"/>
    <w:rsid w:val="00AE08F9"/>
    <w:rsid w:val="00AE1539"/>
    <w:rsid w:val="00AE2493"/>
    <w:rsid w:val="00AE2D2E"/>
    <w:rsid w:val="00AE32F2"/>
    <w:rsid w:val="00AE3618"/>
    <w:rsid w:val="00AE4B35"/>
    <w:rsid w:val="00AE4C20"/>
    <w:rsid w:val="00AE5406"/>
    <w:rsid w:val="00AE5ABF"/>
    <w:rsid w:val="00AE61E1"/>
    <w:rsid w:val="00AE6434"/>
    <w:rsid w:val="00AE69A5"/>
    <w:rsid w:val="00AE6C09"/>
    <w:rsid w:val="00AE7779"/>
    <w:rsid w:val="00AF07FB"/>
    <w:rsid w:val="00AF0BEC"/>
    <w:rsid w:val="00AF373E"/>
    <w:rsid w:val="00AF561D"/>
    <w:rsid w:val="00B000D8"/>
    <w:rsid w:val="00B012D7"/>
    <w:rsid w:val="00B02774"/>
    <w:rsid w:val="00B04012"/>
    <w:rsid w:val="00B04E6F"/>
    <w:rsid w:val="00B050B8"/>
    <w:rsid w:val="00B05411"/>
    <w:rsid w:val="00B0753B"/>
    <w:rsid w:val="00B12F06"/>
    <w:rsid w:val="00B13EC0"/>
    <w:rsid w:val="00B16829"/>
    <w:rsid w:val="00B179C1"/>
    <w:rsid w:val="00B20525"/>
    <w:rsid w:val="00B21442"/>
    <w:rsid w:val="00B22E22"/>
    <w:rsid w:val="00B2513E"/>
    <w:rsid w:val="00B2548B"/>
    <w:rsid w:val="00B25E66"/>
    <w:rsid w:val="00B27AD4"/>
    <w:rsid w:val="00B30086"/>
    <w:rsid w:val="00B31F22"/>
    <w:rsid w:val="00B32BCD"/>
    <w:rsid w:val="00B35625"/>
    <w:rsid w:val="00B359ED"/>
    <w:rsid w:val="00B36260"/>
    <w:rsid w:val="00B37C00"/>
    <w:rsid w:val="00B426AA"/>
    <w:rsid w:val="00B44270"/>
    <w:rsid w:val="00B44AD6"/>
    <w:rsid w:val="00B44E8E"/>
    <w:rsid w:val="00B46343"/>
    <w:rsid w:val="00B46C42"/>
    <w:rsid w:val="00B51003"/>
    <w:rsid w:val="00B512FD"/>
    <w:rsid w:val="00B517DC"/>
    <w:rsid w:val="00B525CB"/>
    <w:rsid w:val="00B5487A"/>
    <w:rsid w:val="00B552B6"/>
    <w:rsid w:val="00B5546E"/>
    <w:rsid w:val="00B5566E"/>
    <w:rsid w:val="00B55851"/>
    <w:rsid w:val="00B5758A"/>
    <w:rsid w:val="00B577D8"/>
    <w:rsid w:val="00B57B27"/>
    <w:rsid w:val="00B60461"/>
    <w:rsid w:val="00B61B4F"/>
    <w:rsid w:val="00B62A61"/>
    <w:rsid w:val="00B62F95"/>
    <w:rsid w:val="00B633F9"/>
    <w:rsid w:val="00B63872"/>
    <w:rsid w:val="00B63CB2"/>
    <w:rsid w:val="00B641D9"/>
    <w:rsid w:val="00B64EDB"/>
    <w:rsid w:val="00B654E7"/>
    <w:rsid w:val="00B66578"/>
    <w:rsid w:val="00B71C79"/>
    <w:rsid w:val="00B72391"/>
    <w:rsid w:val="00B7315F"/>
    <w:rsid w:val="00B746BC"/>
    <w:rsid w:val="00B750D9"/>
    <w:rsid w:val="00B76967"/>
    <w:rsid w:val="00B77F95"/>
    <w:rsid w:val="00B81F6E"/>
    <w:rsid w:val="00B84416"/>
    <w:rsid w:val="00B84BA7"/>
    <w:rsid w:val="00B85186"/>
    <w:rsid w:val="00B860E8"/>
    <w:rsid w:val="00B903C2"/>
    <w:rsid w:val="00B91AF0"/>
    <w:rsid w:val="00B91B8E"/>
    <w:rsid w:val="00B9384C"/>
    <w:rsid w:val="00B93C9A"/>
    <w:rsid w:val="00B94548"/>
    <w:rsid w:val="00B955AB"/>
    <w:rsid w:val="00B95AC8"/>
    <w:rsid w:val="00B9618B"/>
    <w:rsid w:val="00B967B8"/>
    <w:rsid w:val="00B97E63"/>
    <w:rsid w:val="00BA19D8"/>
    <w:rsid w:val="00BA3286"/>
    <w:rsid w:val="00BA3871"/>
    <w:rsid w:val="00BA4D28"/>
    <w:rsid w:val="00BA4E77"/>
    <w:rsid w:val="00BB00BC"/>
    <w:rsid w:val="00BB06EB"/>
    <w:rsid w:val="00BB3B04"/>
    <w:rsid w:val="00BB3EE8"/>
    <w:rsid w:val="00BB584D"/>
    <w:rsid w:val="00BB7084"/>
    <w:rsid w:val="00BB7E79"/>
    <w:rsid w:val="00BC0450"/>
    <w:rsid w:val="00BC0877"/>
    <w:rsid w:val="00BC1C28"/>
    <w:rsid w:val="00BC2704"/>
    <w:rsid w:val="00BC2C0A"/>
    <w:rsid w:val="00BC6023"/>
    <w:rsid w:val="00BC7280"/>
    <w:rsid w:val="00BD120E"/>
    <w:rsid w:val="00BD2036"/>
    <w:rsid w:val="00BD2700"/>
    <w:rsid w:val="00BD78FE"/>
    <w:rsid w:val="00BE0AD3"/>
    <w:rsid w:val="00BE15DA"/>
    <w:rsid w:val="00BE16E8"/>
    <w:rsid w:val="00BE1CEA"/>
    <w:rsid w:val="00BE642B"/>
    <w:rsid w:val="00BE67A9"/>
    <w:rsid w:val="00BE72D6"/>
    <w:rsid w:val="00BF31BA"/>
    <w:rsid w:val="00BF5E9C"/>
    <w:rsid w:val="00BF618F"/>
    <w:rsid w:val="00BF6D9D"/>
    <w:rsid w:val="00BF7724"/>
    <w:rsid w:val="00C00B9C"/>
    <w:rsid w:val="00C00EDD"/>
    <w:rsid w:val="00C014AB"/>
    <w:rsid w:val="00C0241E"/>
    <w:rsid w:val="00C02CA7"/>
    <w:rsid w:val="00C0362B"/>
    <w:rsid w:val="00C03773"/>
    <w:rsid w:val="00C0469E"/>
    <w:rsid w:val="00C04776"/>
    <w:rsid w:val="00C055D5"/>
    <w:rsid w:val="00C06A57"/>
    <w:rsid w:val="00C06B30"/>
    <w:rsid w:val="00C07B9B"/>
    <w:rsid w:val="00C126E0"/>
    <w:rsid w:val="00C1486D"/>
    <w:rsid w:val="00C170AF"/>
    <w:rsid w:val="00C17177"/>
    <w:rsid w:val="00C17E35"/>
    <w:rsid w:val="00C20738"/>
    <w:rsid w:val="00C20AB9"/>
    <w:rsid w:val="00C220CE"/>
    <w:rsid w:val="00C22BB6"/>
    <w:rsid w:val="00C24150"/>
    <w:rsid w:val="00C245B6"/>
    <w:rsid w:val="00C24D7E"/>
    <w:rsid w:val="00C24F4D"/>
    <w:rsid w:val="00C269AB"/>
    <w:rsid w:val="00C27711"/>
    <w:rsid w:val="00C3033B"/>
    <w:rsid w:val="00C309CE"/>
    <w:rsid w:val="00C32018"/>
    <w:rsid w:val="00C32119"/>
    <w:rsid w:val="00C34208"/>
    <w:rsid w:val="00C366C4"/>
    <w:rsid w:val="00C373C2"/>
    <w:rsid w:val="00C374F0"/>
    <w:rsid w:val="00C404E4"/>
    <w:rsid w:val="00C42508"/>
    <w:rsid w:val="00C42C10"/>
    <w:rsid w:val="00C42D9F"/>
    <w:rsid w:val="00C4437C"/>
    <w:rsid w:val="00C472D7"/>
    <w:rsid w:val="00C50170"/>
    <w:rsid w:val="00C50A4B"/>
    <w:rsid w:val="00C5372F"/>
    <w:rsid w:val="00C538D6"/>
    <w:rsid w:val="00C54BAF"/>
    <w:rsid w:val="00C551EE"/>
    <w:rsid w:val="00C6465E"/>
    <w:rsid w:val="00C64A86"/>
    <w:rsid w:val="00C64E43"/>
    <w:rsid w:val="00C6552A"/>
    <w:rsid w:val="00C65533"/>
    <w:rsid w:val="00C67634"/>
    <w:rsid w:val="00C67FDB"/>
    <w:rsid w:val="00C70B9D"/>
    <w:rsid w:val="00C75629"/>
    <w:rsid w:val="00C758C6"/>
    <w:rsid w:val="00C76212"/>
    <w:rsid w:val="00C76AD9"/>
    <w:rsid w:val="00C76F89"/>
    <w:rsid w:val="00C77041"/>
    <w:rsid w:val="00C77849"/>
    <w:rsid w:val="00C77F03"/>
    <w:rsid w:val="00C818AF"/>
    <w:rsid w:val="00C81ADC"/>
    <w:rsid w:val="00C81F3D"/>
    <w:rsid w:val="00C822C2"/>
    <w:rsid w:val="00C841DD"/>
    <w:rsid w:val="00C8458D"/>
    <w:rsid w:val="00C8725E"/>
    <w:rsid w:val="00C87688"/>
    <w:rsid w:val="00C90701"/>
    <w:rsid w:val="00C9106A"/>
    <w:rsid w:val="00C91242"/>
    <w:rsid w:val="00C91E8D"/>
    <w:rsid w:val="00C93F39"/>
    <w:rsid w:val="00C9585F"/>
    <w:rsid w:val="00C96C1B"/>
    <w:rsid w:val="00C97AAA"/>
    <w:rsid w:val="00CA059D"/>
    <w:rsid w:val="00CA096F"/>
    <w:rsid w:val="00CA2C72"/>
    <w:rsid w:val="00CA6AAC"/>
    <w:rsid w:val="00CA6FB7"/>
    <w:rsid w:val="00CA7385"/>
    <w:rsid w:val="00CB0765"/>
    <w:rsid w:val="00CB2B36"/>
    <w:rsid w:val="00CB2C0F"/>
    <w:rsid w:val="00CB42FC"/>
    <w:rsid w:val="00CB4D61"/>
    <w:rsid w:val="00CB5943"/>
    <w:rsid w:val="00CB619A"/>
    <w:rsid w:val="00CB63B3"/>
    <w:rsid w:val="00CB67C1"/>
    <w:rsid w:val="00CC00CD"/>
    <w:rsid w:val="00CC0339"/>
    <w:rsid w:val="00CC087E"/>
    <w:rsid w:val="00CC0B3D"/>
    <w:rsid w:val="00CC0E85"/>
    <w:rsid w:val="00CC1703"/>
    <w:rsid w:val="00CC2169"/>
    <w:rsid w:val="00CC4DF1"/>
    <w:rsid w:val="00CC622D"/>
    <w:rsid w:val="00CC748E"/>
    <w:rsid w:val="00CD02E0"/>
    <w:rsid w:val="00CD2727"/>
    <w:rsid w:val="00CD2B8C"/>
    <w:rsid w:val="00CD4A86"/>
    <w:rsid w:val="00CD5576"/>
    <w:rsid w:val="00CD7E27"/>
    <w:rsid w:val="00CE12E2"/>
    <w:rsid w:val="00CE15B5"/>
    <w:rsid w:val="00CE2805"/>
    <w:rsid w:val="00CE4E6E"/>
    <w:rsid w:val="00CE7A1A"/>
    <w:rsid w:val="00CF02E0"/>
    <w:rsid w:val="00CF0701"/>
    <w:rsid w:val="00CF600D"/>
    <w:rsid w:val="00CF7275"/>
    <w:rsid w:val="00CF7A13"/>
    <w:rsid w:val="00D00A7A"/>
    <w:rsid w:val="00D01760"/>
    <w:rsid w:val="00D01EBF"/>
    <w:rsid w:val="00D06596"/>
    <w:rsid w:val="00D077EB"/>
    <w:rsid w:val="00D078B8"/>
    <w:rsid w:val="00D10800"/>
    <w:rsid w:val="00D116A1"/>
    <w:rsid w:val="00D12085"/>
    <w:rsid w:val="00D1285A"/>
    <w:rsid w:val="00D129EB"/>
    <w:rsid w:val="00D13D5F"/>
    <w:rsid w:val="00D15B95"/>
    <w:rsid w:val="00D16E39"/>
    <w:rsid w:val="00D170B9"/>
    <w:rsid w:val="00D17379"/>
    <w:rsid w:val="00D1798A"/>
    <w:rsid w:val="00D21C43"/>
    <w:rsid w:val="00D220D3"/>
    <w:rsid w:val="00D2214A"/>
    <w:rsid w:val="00D223B6"/>
    <w:rsid w:val="00D22BEB"/>
    <w:rsid w:val="00D23AD8"/>
    <w:rsid w:val="00D2423E"/>
    <w:rsid w:val="00D261E8"/>
    <w:rsid w:val="00D26282"/>
    <w:rsid w:val="00D2686C"/>
    <w:rsid w:val="00D26B57"/>
    <w:rsid w:val="00D32A50"/>
    <w:rsid w:val="00D350DE"/>
    <w:rsid w:val="00D35791"/>
    <w:rsid w:val="00D35FC1"/>
    <w:rsid w:val="00D41655"/>
    <w:rsid w:val="00D41EE1"/>
    <w:rsid w:val="00D42298"/>
    <w:rsid w:val="00D4320D"/>
    <w:rsid w:val="00D44E97"/>
    <w:rsid w:val="00D460D9"/>
    <w:rsid w:val="00D47709"/>
    <w:rsid w:val="00D506C0"/>
    <w:rsid w:val="00D53894"/>
    <w:rsid w:val="00D53C6C"/>
    <w:rsid w:val="00D54876"/>
    <w:rsid w:val="00D54C45"/>
    <w:rsid w:val="00D60327"/>
    <w:rsid w:val="00D641C3"/>
    <w:rsid w:val="00D64981"/>
    <w:rsid w:val="00D650B5"/>
    <w:rsid w:val="00D66C4F"/>
    <w:rsid w:val="00D679D8"/>
    <w:rsid w:val="00D7075B"/>
    <w:rsid w:val="00D70CDA"/>
    <w:rsid w:val="00D710B9"/>
    <w:rsid w:val="00D71D22"/>
    <w:rsid w:val="00D72126"/>
    <w:rsid w:val="00D72E9D"/>
    <w:rsid w:val="00D73FA7"/>
    <w:rsid w:val="00D74765"/>
    <w:rsid w:val="00D7568C"/>
    <w:rsid w:val="00D7727A"/>
    <w:rsid w:val="00D82CE5"/>
    <w:rsid w:val="00D8366F"/>
    <w:rsid w:val="00D84FE0"/>
    <w:rsid w:val="00D85587"/>
    <w:rsid w:val="00D85C8F"/>
    <w:rsid w:val="00D86474"/>
    <w:rsid w:val="00D87181"/>
    <w:rsid w:val="00D8736E"/>
    <w:rsid w:val="00D90EFA"/>
    <w:rsid w:val="00D914DB"/>
    <w:rsid w:val="00D92770"/>
    <w:rsid w:val="00D93287"/>
    <w:rsid w:val="00D94D04"/>
    <w:rsid w:val="00D970D3"/>
    <w:rsid w:val="00D978B4"/>
    <w:rsid w:val="00D97DDD"/>
    <w:rsid w:val="00DA41EF"/>
    <w:rsid w:val="00DA583D"/>
    <w:rsid w:val="00DA5AB1"/>
    <w:rsid w:val="00DA7B6E"/>
    <w:rsid w:val="00DA7CCA"/>
    <w:rsid w:val="00DB0DFA"/>
    <w:rsid w:val="00DB1542"/>
    <w:rsid w:val="00DB19A7"/>
    <w:rsid w:val="00DB28B8"/>
    <w:rsid w:val="00DB3D31"/>
    <w:rsid w:val="00DB478A"/>
    <w:rsid w:val="00DB6234"/>
    <w:rsid w:val="00DB68F9"/>
    <w:rsid w:val="00DC02B2"/>
    <w:rsid w:val="00DC1562"/>
    <w:rsid w:val="00DC2AFD"/>
    <w:rsid w:val="00DC3544"/>
    <w:rsid w:val="00DC3A87"/>
    <w:rsid w:val="00DC4E41"/>
    <w:rsid w:val="00DC62E5"/>
    <w:rsid w:val="00DC743F"/>
    <w:rsid w:val="00DC78DC"/>
    <w:rsid w:val="00DD09C6"/>
    <w:rsid w:val="00DD0BB0"/>
    <w:rsid w:val="00DD293E"/>
    <w:rsid w:val="00DD32A0"/>
    <w:rsid w:val="00DD3E02"/>
    <w:rsid w:val="00DD3E55"/>
    <w:rsid w:val="00DD451F"/>
    <w:rsid w:val="00DD47A2"/>
    <w:rsid w:val="00DD5376"/>
    <w:rsid w:val="00DD652D"/>
    <w:rsid w:val="00DD6845"/>
    <w:rsid w:val="00DD6847"/>
    <w:rsid w:val="00DD735D"/>
    <w:rsid w:val="00DD7FA8"/>
    <w:rsid w:val="00DE07A5"/>
    <w:rsid w:val="00DE247F"/>
    <w:rsid w:val="00DE308A"/>
    <w:rsid w:val="00DE3119"/>
    <w:rsid w:val="00DE3139"/>
    <w:rsid w:val="00DE3BBA"/>
    <w:rsid w:val="00DE59DA"/>
    <w:rsid w:val="00DE5BCA"/>
    <w:rsid w:val="00DE6872"/>
    <w:rsid w:val="00DF20FB"/>
    <w:rsid w:val="00DF2128"/>
    <w:rsid w:val="00DF236B"/>
    <w:rsid w:val="00DF2804"/>
    <w:rsid w:val="00DF28C7"/>
    <w:rsid w:val="00DF341F"/>
    <w:rsid w:val="00DF3553"/>
    <w:rsid w:val="00DF3F8D"/>
    <w:rsid w:val="00DF64F5"/>
    <w:rsid w:val="00DF6AA5"/>
    <w:rsid w:val="00DF7086"/>
    <w:rsid w:val="00DF7F9E"/>
    <w:rsid w:val="00E00221"/>
    <w:rsid w:val="00E0048D"/>
    <w:rsid w:val="00E018F9"/>
    <w:rsid w:val="00E01B4E"/>
    <w:rsid w:val="00E04A52"/>
    <w:rsid w:val="00E057C5"/>
    <w:rsid w:val="00E0677C"/>
    <w:rsid w:val="00E06A8D"/>
    <w:rsid w:val="00E06B6F"/>
    <w:rsid w:val="00E07CA2"/>
    <w:rsid w:val="00E10879"/>
    <w:rsid w:val="00E13AB8"/>
    <w:rsid w:val="00E13D3F"/>
    <w:rsid w:val="00E152C5"/>
    <w:rsid w:val="00E1640E"/>
    <w:rsid w:val="00E16924"/>
    <w:rsid w:val="00E234D7"/>
    <w:rsid w:val="00E25CB3"/>
    <w:rsid w:val="00E27E15"/>
    <w:rsid w:val="00E3074B"/>
    <w:rsid w:val="00E31A47"/>
    <w:rsid w:val="00E32A49"/>
    <w:rsid w:val="00E32C09"/>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3B77"/>
    <w:rsid w:val="00E54365"/>
    <w:rsid w:val="00E5462E"/>
    <w:rsid w:val="00E55535"/>
    <w:rsid w:val="00E56EC0"/>
    <w:rsid w:val="00E57652"/>
    <w:rsid w:val="00E62C10"/>
    <w:rsid w:val="00E631C7"/>
    <w:rsid w:val="00E651E5"/>
    <w:rsid w:val="00E65BDD"/>
    <w:rsid w:val="00E66455"/>
    <w:rsid w:val="00E7054A"/>
    <w:rsid w:val="00E70C4B"/>
    <w:rsid w:val="00E73728"/>
    <w:rsid w:val="00E73C2F"/>
    <w:rsid w:val="00E73F9E"/>
    <w:rsid w:val="00E742E7"/>
    <w:rsid w:val="00E76013"/>
    <w:rsid w:val="00E76D64"/>
    <w:rsid w:val="00E76DD0"/>
    <w:rsid w:val="00E77B02"/>
    <w:rsid w:val="00E81CD9"/>
    <w:rsid w:val="00E81FD0"/>
    <w:rsid w:val="00E87FB5"/>
    <w:rsid w:val="00E91B88"/>
    <w:rsid w:val="00E9622C"/>
    <w:rsid w:val="00E96F1A"/>
    <w:rsid w:val="00E97FB0"/>
    <w:rsid w:val="00EA032F"/>
    <w:rsid w:val="00EA04BE"/>
    <w:rsid w:val="00EA0C20"/>
    <w:rsid w:val="00EA0C86"/>
    <w:rsid w:val="00EA2015"/>
    <w:rsid w:val="00EA2E7A"/>
    <w:rsid w:val="00EA3761"/>
    <w:rsid w:val="00EA3B8E"/>
    <w:rsid w:val="00EA4951"/>
    <w:rsid w:val="00EB03A0"/>
    <w:rsid w:val="00EB0D38"/>
    <w:rsid w:val="00EB23D0"/>
    <w:rsid w:val="00EB2CBD"/>
    <w:rsid w:val="00EB5263"/>
    <w:rsid w:val="00EB5408"/>
    <w:rsid w:val="00EB55EE"/>
    <w:rsid w:val="00EB5A79"/>
    <w:rsid w:val="00EB5E41"/>
    <w:rsid w:val="00EC5592"/>
    <w:rsid w:val="00EC5B1B"/>
    <w:rsid w:val="00EC77E0"/>
    <w:rsid w:val="00ED0181"/>
    <w:rsid w:val="00ED05A8"/>
    <w:rsid w:val="00ED0D83"/>
    <w:rsid w:val="00ED18C9"/>
    <w:rsid w:val="00ED1921"/>
    <w:rsid w:val="00ED1A5E"/>
    <w:rsid w:val="00ED21E1"/>
    <w:rsid w:val="00ED2C7A"/>
    <w:rsid w:val="00ED5E7E"/>
    <w:rsid w:val="00ED6D48"/>
    <w:rsid w:val="00ED716D"/>
    <w:rsid w:val="00EE084F"/>
    <w:rsid w:val="00EE2835"/>
    <w:rsid w:val="00EE2C9C"/>
    <w:rsid w:val="00EE336A"/>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F0076F"/>
    <w:rsid w:val="00F01990"/>
    <w:rsid w:val="00F04156"/>
    <w:rsid w:val="00F04D40"/>
    <w:rsid w:val="00F05E5B"/>
    <w:rsid w:val="00F0608C"/>
    <w:rsid w:val="00F06296"/>
    <w:rsid w:val="00F074DD"/>
    <w:rsid w:val="00F0774D"/>
    <w:rsid w:val="00F077AE"/>
    <w:rsid w:val="00F10061"/>
    <w:rsid w:val="00F10954"/>
    <w:rsid w:val="00F11955"/>
    <w:rsid w:val="00F11D29"/>
    <w:rsid w:val="00F128BC"/>
    <w:rsid w:val="00F166BF"/>
    <w:rsid w:val="00F16735"/>
    <w:rsid w:val="00F16AE2"/>
    <w:rsid w:val="00F172E0"/>
    <w:rsid w:val="00F2035B"/>
    <w:rsid w:val="00F2107D"/>
    <w:rsid w:val="00F2195A"/>
    <w:rsid w:val="00F21B2C"/>
    <w:rsid w:val="00F21BA2"/>
    <w:rsid w:val="00F21D09"/>
    <w:rsid w:val="00F224BB"/>
    <w:rsid w:val="00F24230"/>
    <w:rsid w:val="00F25C0B"/>
    <w:rsid w:val="00F26F3C"/>
    <w:rsid w:val="00F26F4E"/>
    <w:rsid w:val="00F301AD"/>
    <w:rsid w:val="00F3110C"/>
    <w:rsid w:val="00F33364"/>
    <w:rsid w:val="00F34431"/>
    <w:rsid w:val="00F34C8E"/>
    <w:rsid w:val="00F34CBA"/>
    <w:rsid w:val="00F3533F"/>
    <w:rsid w:val="00F3791E"/>
    <w:rsid w:val="00F42CA4"/>
    <w:rsid w:val="00F4315D"/>
    <w:rsid w:val="00F43A17"/>
    <w:rsid w:val="00F43A68"/>
    <w:rsid w:val="00F476A9"/>
    <w:rsid w:val="00F5101F"/>
    <w:rsid w:val="00F51E02"/>
    <w:rsid w:val="00F520D5"/>
    <w:rsid w:val="00F536CD"/>
    <w:rsid w:val="00F53A70"/>
    <w:rsid w:val="00F55F3A"/>
    <w:rsid w:val="00F574CC"/>
    <w:rsid w:val="00F6029C"/>
    <w:rsid w:val="00F6064F"/>
    <w:rsid w:val="00F61B1D"/>
    <w:rsid w:val="00F61C41"/>
    <w:rsid w:val="00F61F32"/>
    <w:rsid w:val="00F64812"/>
    <w:rsid w:val="00F65EC5"/>
    <w:rsid w:val="00F6751F"/>
    <w:rsid w:val="00F7100E"/>
    <w:rsid w:val="00F73D70"/>
    <w:rsid w:val="00F747B3"/>
    <w:rsid w:val="00F764CE"/>
    <w:rsid w:val="00F77855"/>
    <w:rsid w:val="00F80D0F"/>
    <w:rsid w:val="00F80E8A"/>
    <w:rsid w:val="00F84899"/>
    <w:rsid w:val="00F859F0"/>
    <w:rsid w:val="00F90DB0"/>
    <w:rsid w:val="00F91287"/>
    <w:rsid w:val="00F91CA1"/>
    <w:rsid w:val="00F92D53"/>
    <w:rsid w:val="00F93250"/>
    <w:rsid w:val="00F94805"/>
    <w:rsid w:val="00F94B44"/>
    <w:rsid w:val="00F9511B"/>
    <w:rsid w:val="00F95598"/>
    <w:rsid w:val="00F95FAB"/>
    <w:rsid w:val="00FA0BE5"/>
    <w:rsid w:val="00FA1420"/>
    <w:rsid w:val="00FA15DA"/>
    <w:rsid w:val="00FA1947"/>
    <w:rsid w:val="00FA28BF"/>
    <w:rsid w:val="00FA3221"/>
    <w:rsid w:val="00FA5C2A"/>
    <w:rsid w:val="00FA63A7"/>
    <w:rsid w:val="00FA6B54"/>
    <w:rsid w:val="00FB48C5"/>
    <w:rsid w:val="00FB5E3B"/>
    <w:rsid w:val="00FC08AD"/>
    <w:rsid w:val="00FC16AE"/>
    <w:rsid w:val="00FC4AF7"/>
    <w:rsid w:val="00FC5EB6"/>
    <w:rsid w:val="00FD1C4A"/>
    <w:rsid w:val="00FD2088"/>
    <w:rsid w:val="00FD27E8"/>
    <w:rsid w:val="00FD2829"/>
    <w:rsid w:val="00FD2EA3"/>
    <w:rsid w:val="00FD3F65"/>
    <w:rsid w:val="00FD461D"/>
    <w:rsid w:val="00FD46B4"/>
    <w:rsid w:val="00FD4AA4"/>
    <w:rsid w:val="00FD5F1B"/>
    <w:rsid w:val="00FD7084"/>
    <w:rsid w:val="00FD7D17"/>
    <w:rsid w:val="00FE07B7"/>
    <w:rsid w:val="00FE094E"/>
    <w:rsid w:val="00FE0B32"/>
    <w:rsid w:val="00FE141E"/>
    <w:rsid w:val="00FE1C75"/>
    <w:rsid w:val="00FE1E34"/>
    <w:rsid w:val="00FE38FF"/>
    <w:rsid w:val="00FE42ED"/>
    <w:rsid w:val="00FE4C26"/>
    <w:rsid w:val="00FE4EF2"/>
    <w:rsid w:val="00FE63C7"/>
    <w:rsid w:val="00FE6445"/>
    <w:rsid w:val="00FE759E"/>
    <w:rsid w:val="00FE7664"/>
    <w:rsid w:val="00FF1C68"/>
    <w:rsid w:val="00FF4164"/>
    <w:rsid w:val="00FF485B"/>
    <w:rsid w:val="00FF4CB9"/>
    <w:rsid w:val="00FF583A"/>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5468624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186990070">
      <w:bodyDiv w:val="1"/>
      <w:marLeft w:val="0"/>
      <w:marRight w:val="0"/>
      <w:marTop w:val="0"/>
      <w:marBottom w:val="0"/>
      <w:divBdr>
        <w:top w:val="none" w:sz="0" w:space="0" w:color="auto"/>
        <w:left w:val="none" w:sz="0" w:space="0" w:color="auto"/>
        <w:bottom w:val="none" w:sz="0" w:space="0" w:color="auto"/>
        <w:right w:val="none" w:sz="0" w:space="0" w:color="auto"/>
      </w:divBdr>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29997638">
      <w:bodyDiv w:val="1"/>
      <w:marLeft w:val="0"/>
      <w:marRight w:val="0"/>
      <w:marTop w:val="0"/>
      <w:marBottom w:val="0"/>
      <w:divBdr>
        <w:top w:val="none" w:sz="0" w:space="0" w:color="auto"/>
        <w:left w:val="none" w:sz="0" w:space="0" w:color="auto"/>
        <w:bottom w:val="none" w:sz="0" w:space="0" w:color="auto"/>
        <w:right w:val="none" w:sz="0" w:space="0" w:color="auto"/>
      </w:divBdr>
      <w:divsChild>
        <w:div w:id="1132362209">
          <w:marLeft w:val="0"/>
          <w:marRight w:val="0"/>
          <w:marTop w:val="0"/>
          <w:marBottom w:val="0"/>
          <w:divBdr>
            <w:top w:val="none" w:sz="0" w:space="0" w:color="auto"/>
            <w:left w:val="none" w:sz="0" w:space="0" w:color="auto"/>
            <w:bottom w:val="none" w:sz="0" w:space="0" w:color="auto"/>
            <w:right w:val="none" w:sz="0" w:space="0" w:color="auto"/>
          </w:divBdr>
        </w:div>
        <w:div w:id="1651402352">
          <w:marLeft w:val="0"/>
          <w:marRight w:val="0"/>
          <w:marTop w:val="0"/>
          <w:marBottom w:val="0"/>
          <w:divBdr>
            <w:top w:val="none" w:sz="0" w:space="0" w:color="auto"/>
            <w:left w:val="none" w:sz="0" w:space="0" w:color="auto"/>
            <w:bottom w:val="none" w:sz="0" w:space="0" w:color="auto"/>
            <w:right w:val="none" w:sz="0" w:space="0" w:color="auto"/>
          </w:divBdr>
        </w:div>
        <w:div w:id="192808458">
          <w:marLeft w:val="0"/>
          <w:marRight w:val="0"/>
          <w:marTop w:val="0"/>
          <w:marBottom w:val="0"/>
          <w:divBdr>
            <w:top w:val="none" w:sz="0" w:space="0" w:color="auto"/>
            <w:left w:val="none" w:sz="0" w:space="0" w:color="auto"/>
            <w:bottom w:val="none" w:sz="0" w:space="0" w:color="auto"/>
            <w:right w:val="none" w:sz="0" w:space="0" w:color="auto"/>
          </w:divBdr>
        </w:div>
        <w:div w:id="924147517">
          <w:marLeft w:val="0"/>
          <w:marRight w:val="0"/>
          <w:marTop w:val="0"/>
          <w:marBottom w:val="0"/>
          <w:divBdr>
            <w:top w:val="none" w:sz="0" w:space="0" w:color="auto"/>
            <w:left w:val="none" w:sz="0" w:space="0" w:color="auto"/>
            <w:bottom w:val="none" w:sz="0" w:space="0" w:color="auto"/>
            <w:right w:val="none" w:sz="0" w:space="0" w:color="auto"/>
          </w:divBdr>
        </w:div>
        <w:div w:id="1093429734">
          <w:marLeft w:val="0"/>
          <w:marRight w:val="0"/>
          <w:marTop w:val="0"/>
          <w:marBottom w:val="0"/>
          <w:divBdr>
            <w:top w:val="none" w:sz="0" w:space="0" w:color="auto"/>
            <w:left w:val="none" w:sz="0" w:space="0" w:color="auto"/>
            <w:bottom w:val="none" w:sz="0" w:space="0" w:color="auto"/>
            <w:right w:val="none" w:sz="0" w:space="0" w:color="auto"/>
          </w:divBdr>
        </w:div>
        <w:div w:id="893590584">
          <w:marLeft w:val="0"/>
          <w:marRight w:val="0"/>
          <w:marTop w:val="0"/>
          <w:marBottom w:val="0"/>
          <w:divBdr>
            <w:top w:val="none" w:sz="0" w:space="0" w:color="auto"/>
            <w:left w:val="none" w:sz="0" w:space="0" w:color="auto"/>
            <w:bottom w:val="none" w:sz="0" w:space="0" w:color="auto"/>
            <w:right w:val="none" w:sz="0" w:space="0" w:color="auto"/>
          </w:divBdr>
        </w:div>
        <w:div w:id="672222670">
          <w:marLeft w:val="0"/>
          <w:marRight w:val="0"/>
          <w:marTop w:val="0"/>
          <w:marBottom w:val="0"/>
          <w:divBdr>
            <w:top w:val="none" w:sz="0" w:space="0" w:color="auto"/>
            <w:left w:val="none" w:sz="0" w:space="0" w:color="auto"/>
            <w:bottom w:val="none" w:sz="0" w:space="0" w:color="auto"/>
            <w:right w:val="none" w:sz="0" w:space="0" w:color="auto"/>
          </w:divBdr>
        </w:div>
        <w:div w:id="1708751715">
          <w:marLeft w:val="0"/>
          <w:marRight w:val="0"/>
          <w:marTop w:val="0"/>
          <w:marBottom w:val="0"/>
          <w:divBdr>
            <w:top w:val="none" w:sz="0" w:space="0" w:color="auto"/>
            <w:left w:val="none" w:sz="0" w:space="0" w:color="auto"/>
            <w:bottom w:val="none" w:sz="0" w:space="0" w:color="auto"/>
            <w:right w:val="none" w:sz="0" w:space="0" w:color="auto"/>
          </w:divBdr>
        </w:div>
        <w:div w:id="986276663">
          <w:marLeft w:val="0"/>
          <w:marRight w:val="0"/>
          <w:marTop w:val="0"/>
          <w:marBottom w:val="0"/>
          <w:divBdr>
            <w:top w:val="none" w:sz="0" w:space="0" w:color="auto"/>
            <w:left w:val="none" w:sz="0" w:space="0" w:color="auto"/>
            <w:bottom w:val="none" w:sz="0" w:space="0" w:color="auto"/>
            <w:right w:val="none" w:sz="0" w:space="0" w:color="auto"/>
          </w:divBdr>
        </w:div>
        <w:div w:id="1793552375">
          <w:marLeft w:val="0"/>
          <w:marRight w:val="0"/>
          <w:marTop w:val="0"/>
          <w:marBottom w:val="0"/>
          <w:divBdr>
            <w:top w:val="none" w:sz="0" w:space="0" w:color="auto"/>
            <w:left w:val="none" w:sz="0" w:space="0" w:color="auto"/>
            <w:bottom w:val="none" w:sz="0" w:space="0" w:color="auto"/>
            <w:right w:val="none" w:sz="0" w:space="0" w:color="auto"/>
          </w:divBdr>
        </w:div>
        <w:div w:id="2057973533">
          <w:marLeft w:val="0"/>
          <w:marRight w:val="0"/>
          <w:marTop w:val="0"/>
          <w:marBottom w:val="0"/>
          <w:divBdr>
            <w:top w:val="none" w:sz="0" w:space="0" w:color="auto"/>
            <w:left w:val="none" w:sz="0" w:space="0" w:color="auto"/>
            <w:bottom w:val="none" w:sz="0" w:space="0" w:color="auto"/>
            <w:right w:val="none" w:sz="0" w:space="0" w:color="auto"/>
          </w:divBdr>
        </w:div>
        <w:div w:id="237131479">
          <w:marLeft w:val="0"/>
          <w:marRight w:val="0"/>
          <w:marTop w:val="0"/>
          <w:marBottom w:val="0"/>
          <w:divBdr>
            <w:top w:val="none" w:sz="0" w:space="0" w:color="auto"/>
            <w:left w:val="none" w:sz="0" w:space="0" w:color="auto"/>
            <w:bottom w:val="none" w:sz="0" w:space="0" w:color="auto"/>
            <w:right w:val="none" w:sz="0" w:space="0" w:color="auto"/>
          </w:divBdr>
        </w:div>
        <w:div w:id="374963214">
          <w:marLeft w:val="0"/>
          <w:marRight w:val="0"/>
          <w:marTop w:val="0"/>
          <w:marBottom w:val="0"/>
          <w:divBdr>
            <w:top w:val="none" w:sz="0" w:space="0" w:color="auto"/>
            <w:left w:val="none" w:sz="0" w:space="0" w:color="auto"/>
            <w:bottom w:val="none" w:sz="0" w:space="0" w:color="auto"/>
            <w:right w:val="none" w:sz="0" w:space="0" w:color="auto"/>
          </w:divBdr>
        </w:div>
        <w:div w:id="1523206276">
          <w:marLeft w:val="0"/>
          <w:marRight w:val="0"/>
          <w:marTop w:val="0"/>
          <w:marBottom w:val="0"/>
          <w:divBdr>
            <w:top w:val="none" w:sz="0" w:space="0" w:color="auto"/>
            <w:left w:val="none" w:sz="0" w:space="0" w:color="auto"/>
            <w:bottom w:val="none" w:sz="0" w:space="0" w:color="auto"/>
            <w:right w:val="none" w:sz="0" w:space="0" w:color="auto"/>
          </w:divBdr>
        </w:div>
        <w:div w:id="161363092">
          <w:marLeft w:val="0"/>
          <w:marRight w:val="0"/>
          <w:marTop w:val="0"/>
          <w:marBottom w:val="0"/>
          <w:divBdr>
            <w:top w:val="none" w:sz="0" w:space="0" w:color="auto"/>
            <w:left w:val="none" w:sz="0" w:space="0" w:color="auto"/>
            <w:bottom w:val="none" w:sz="0" w:space="0" w:color="auto"/>
            <w:right w:val="none" w:sz="0" w:space="0" w:color="auto"/>
          </w:divBdr>
        </w:div>
        <w:div w:id="723409728">
          <w:marLeft w:val="0"/>
          <w:marRight w:val="0"/>
          <w:marTop w:val="0"/>
          <w:marBottom w:val="0"/>
          <w:divBdr>
            <w:top w:val="none" w:sz="0" w:space="0" w:color="auto"/>
            <w:left w:val="none" w:sz="0" w:space="0" w:color="auto"/>
            <w:bottom w:val="none" w:sz="0" w:space="0" w:color="auto"/>
            <w:right w:val="none" w:sz="0" w:space="0" w:color="auto"/>
          </w:divBdr>
        </w:div>
        <w:div w:id="1097212770">
          <w:marLeft w:val="0"/>
          <w:marRight w:val="0"/>
          <w:marTop w:val="0"/>
          <w:marBottom w:val="0"/>
          <w:divBdr>
            <w:top w:val="none" w:sz="0" w:space="0" w:color="auto"/>
            <w:left w:val="none" w:sz="0" w:space="0" w:color="auto"/>
            <w:bottom w:val="none" w:sz="0" w:space="0" w:color="auto"/>
            <w:right w:val="none" w:sz="0" w:space="0" w:color="auto"/>
          </w:divBdr>
        </w:div>
        <w:div w:id="2043745795">
          <w:marLeft w:val="0"/>
          <w:marRight w:val="0"/>
          <w:marTop w:val="0"/>
          <w:marBottom w:val="0"/>
          <w:divBdr>
            <w:top w:val="none" w:sz="0" w:space="0" w:color="auto"/>
            <w:left w:val="none" w:sz="0" w:space="0" w:color="auto"/>
            <w:bottom w:val="none" w:sz="0" w:space="0" w:color="auto"/>
            <w:right w:val="none" w:sz="0" w:space="0" w:color="auto"/>
          </w:divBdr>
        </w:div>
        <w:div w:id="1864173373">
          <w:marLeft w:val="0"/>
          <w:marRight w:val="0"/>
          <w:marTop w:val="0"/>
          <w:marBottom w:val="0"/>
          <w:divBdr>
            <w:top w:val="none" w:sz="0" w:space="0" w:color="auto"/>
            <w:left w:val="none" w:sz="0" w:space="0" w:color="auto"/>
            <w:bottom w:val="none" w:sz="0" w:space="0" w:color="auto"/>
            <w:right w:val="none" w:sz="0" w:space="0" w:color="auto"/>
          </w:divBdr>
        </w:div>
        <w:div w:id="1132596617">
          <w:marLeft w:val="0"/>
          <w:marRight w:val="0"/>
          <w:marTop w:val="0"/>
          <w:marBottom w:val="0"/>
          <w:divBdr>
            <w:top w:val="none" w:sz="0" w:space="0" w:color="auto"/>
            <w:left w:val="none" w:sz="0" w:space="0" w:color="auto"/>
            <w:bottom w:val="none" w:sz="0" w:space="0" w:color="auto"/>
            <w:right w:val="none" w:sz="0" w:space="0" w:color="auto"/>
          </w:divBdr>
        </w:div>
        <w:div w:id="1520850055">
          <w:marLeft w:val="0"/>
          <w:marRight w:val="0"/>
          <w:marTop w:val="0"/>
          <w:marBottom w:val="0"/>
          <w:divBdr>
            <w:top w:val="none" w:sz="0" w:space="0" w:color="auto"/>
            <w:left w:val="none" w:sz="0" w:space="0" w:color="auto"/>
            <w:bottom w:val="none" w:sz="0" w:space="0" w:color="auto"/>
            <w:right w:val="none" w:sz="0" w:space="0" w:color="auto"/>
          </w:divBdr>
        </w:div>
        <w:div w:id="1768304682">
          <w:marLeft w:val="0"/>
          <w:marRight w:val="0"/>
          <w:marTop w:val="0"/>
          <w:marBottom w:val="0"/>
          <w:divBdr>
            <w:top w:val="none" w:sz="0" w:space="0" w:color="auto"/>
            <w:left w:val="none" w:sz="0" w:space="0" w:color="auto"/>
            <w:bottom w:val="none" w:sz="0" w:space="0" w:color="auto"/>
            <w:right w:val="none" w:sz="0" w:space="0" w:color="auto"/>
          </w:divBdr>
        </w:div>
        <w:div w:id="1387483621">
          <w:marLeft w:val="0"/>
          <w:marRight w:val="0"/>
          <w:marTop w:val="0"/>
          <w:marBottom w:val="0"/>
          <w:divBdr>
            <w:top w:val="none" w:sz="0" w:space="0" w:color="auto"/>
            <w:left w:val="none" w:sz="0" w:space="0" w:color="auto"/>
            <w:bottom w:val="none" w:sz="0" w:space="0" w:color="auto"/>
            <w:right w:val="none" w:sz="0" w:space="0" w:color="auto"/>
          </w:divBdr>
        </w:div>
        <w:div w:id="1832482752">
          <w:marLeft w:val="0"/>
          <w:marRight w:val="0"/>
          <w:marTop w:val="0"/>
          <w:marBottom w:val="0"/>
          <w:divBdr>
            <w:top w:val="none" w:sz="0" w:space="0" w:color="auto"/>
            <w:left w:val="none" w:sz="0" w:space="0" w:color="auto"/>
            <w:bottom w:val="none" w:sz="0" w:space="0" w:color="auto"/>
            <w:right w:val="none" w:sz="0" w:space="0" w:color="auto"/>
          </w:divBdr>
        </w:div>
        <w:div w:id="841358267">
          <w:marLeft w:val="0"/>
          <w:marRight w:val="0"/>
          <w:marTop w:val="0"/>
          <w:marBottom w:val="0"/>
          <w:divBdr>
            <w:top w:val="none" w:sz="0" w:space="0" w:color="auto"/>
            <w:left w:val="none" w:sz="0" w:space="0" w:color="auto"/>
            <w:bottom w:val="none" w:sz="0" w:space="0" w:color="auto"/>
            <w:right w:val="none" w:sz="0" w:space="0" w:color="auto"/>
          </w:divBdr>
        </w:div>
        <w:div w:id="1901207096">
          <w:marLeft w:val="0"/>
          <w:marRight w:val="0"/>
          <w:marTop w:val="0"/>
          <w:marBottom w:val="0"/>
          <w:divBdr>
            <w:top w:val="none" w:sz="0" w:space="0" w:color="auto"/>
            <w:left w:val="none" w:sz="0" w:space="0" w:color="auto"/>
            <w:bottom w:val="none" w:sz="0" w:space="0" w:color="auto"/>
            <w:right w:val="none" w:sz="0" w:space="0" w:color="auto"/>
          </w:divBdr>
        </w:div>
        <w:div w:id="1669406005">
          <w:marLeft w:val="0"/>
          <w:marRight w:val="0"/>
          <w:marTop w:val="0"/>
          <w:marBottom w:val="0"/>
          <w:divBdr>
            <w:top w:val="none" w:sz="0" w:space="0" w:color="auto"/>
            <w:left w:val="none" w:sz="0" w:space="0" w:color="auto"/>
            <w:bottom w:val="none" w:sz="0" w:space="0" w:color="auto"/>
            <w:right w:val="none" w:sz="0" w:space="0" w:color="auto"/>
          </w:divBdr>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74527350">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07139070">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9334319">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736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DC85A-046C-40C9-8BE8-A18F4ECE0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6FADE-B3B5-4996-A7FE-4F438EE0879E}">
  <ds:schemaRefs>
    <ds:schemaRef ds:uri="http://schemas.openxmlformats.org/officeDocument/2006/bibliography"/>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28</Pages>
  <Words>9904</Words>
  <Characters>54477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2022-10-11T13:02:00Z</dcterms:created>
  <dcterms:modified xsi:type="dcterms:W3CDTF">2022-10-11T13:02:00Z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