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B02D3" w14:textId="77777777" w:rsidR="001453EF" w:rsidRPr="00523017" w:rsidRDefault="001453EF" w:rsidP="001453EF">
      <w:pPr>
        <w:tabs>
          <w:tab w:val="left" w:pos="426"/>
        </w:tabs>
        <w:spacing w:after="0" w:line="240" w:lineRule="auto"/>
        <w:rPr>
          <w:rFonts w:ascii="Arial" w:eastAsia="Calibri" w:hAnsi="Arial" w:cs="Arial"/>
          <w:noProof/>
          <w:sz w:val="20"/>
          <w:szCs w:val="20"/>
          <w:lang w:val="es-ES_tradnl"/>
        </w:rPr>
      </w:pPr>
      <w:bookmarkStart w:id="0" w:name="_Hlk77165666"/>
      <w:bookmarkStart w:id="1" w:name="_Hlk78821436"/>
    </w:p>
    <w:p w14:paraId="123E5A89" w14:textId="74D78BA9" w:rsidR="00D1347F" w:rsidRDefault="00D1347F" w:rsidP="002E7E35">
      <w:pPr>
        <w:spacing w:after="120" w:line="240" w:lineRule="auto"/>
        <w:rPr>
          <w:rFonts w:ascii="Arial" w:eastAsia="Arial" w:hAnsi="Arial" w:cs="Arial"/>
          <w:color w:val="000000"/>
          <w:sz w:val="20"/>
          <w:szCs w:val="20"/>
          <w:lang w:val="es-CO" w:eastAsia="es-ES_tradnl"/>
        </w:rPr>
      </w:pPr>
    </w:p>
    <w:p w14:paraId="4661F134" w14:textId="77777777" w:rsidR="008572B5" w:rsidRPr="008572B5" w:rsidRDefault="008572B5" w:rsidP="008572B5">
      <w:pPr>
        <w:spacing w:after="0" w:line="240" w:lineRule="auto"/>
        <w:contextualSpacing/>
        <w:rPr>
          <w:rFonts w:ascii="Arial" w:eastAsia="Calibri" w:hAnsi="Arial" w:cs="Arial"/>
          <w:b/>
          <w:bCs/>
          <w:sz w:val="22"/>
        </w:rPr>
      </w:pPr>
      <w:r w:rsidRPr="008572B5">
        <w:rPr>
          <w:rFonts w:ascii="Arial" w:eastAsia="Calibri" w:hAnsi="Arial" w:cs="Arial"/>
          <w:b/>
          <w:bCs/>
          <w:sz w:val="22"/>
        </w:rPr>
        <w:t>LEY DE GARANTÍAS ELECTORALES – Finalidad</w:t>
      </w:r>
    </w:p>
    <w:p w14:paraId="366F3B2C" w14:textId="77777777" w:rsidR="008572B5" w:rsidRPr="008572B5" w:rsidRDefault="008572B5" w:rsidP="008572B5">
      <w:pPr>
        <w:spacing w:after="0" w:line="240" w:lineRule="auto"/>
        <w:contextualSpacing/>
        <w:rPr>
          <w:rFonts w:ascii="Arial" w:eastAsia="Calibri" w:hAnsi="Arial" w:cs="Arial"/>
          <w:sz w:val="20"/>
          <w:szCs w:val="20"/>
        </w:rPr>
      </w:pPr>
    </w:p>
    <w:p w14:paraId="643DD44F" w14:textId="77777777" w:rsidR="008572B5" w:rsidRPr="008572B5" w:rsidRDefault="008572B5" w:rsidP="008572B5">
      <w:pPr>
        <w:tabs>
          <w:tab w:val="left" w:pos="426"/>
        </w:tabs>
        <w:spacing w:after="0" w:line="240" w:lineRule="auto"/>
        <w:rPr>
          <w:rFonts w:ascii="Arial" w:eastAsia="Calibri" w:hAnsi="Arial" w:cs="Arial"/>
          <w:bCs/>
          <w:sz w:val="20"/>
          <w:szCs w:val="20"/>
          <w:lang w:val="es-CO" w:eastAsia="es-ES_tradnl"/>
        </w:rPr>
      </w:pPr>
      <w:r w:rsidRPr="008572B5">
        <w:rPr>
          <w:rFonts w:ascii="Arial" w:eastAsia="Times New Roman" w:hAnsi="Arial" w:cs="Arial"/>
          <w:bCs/>
          <w:sz w:val="20"/>
          <w:szCs w:val="20"/>
          <w:lang w:val="es-CO" w:eastAsia="es-CO"/>
        </w:rPr>
        <w:t xml:space="preserve">[…] la Ley 996 de 2005 </w:t>
      </w:r>
      <w:r w:rsidRPr="008572B5">
        <w:rPr>
          <w:rFonts w:ascii="Arial" w:eastAsia="Calibri" w:hAnsi="Arial" w:cs="Arial"/>
          <w:sz w:val="20"/>
          <w:szCs w:val="20"/>
          <w:lang w:val="es-CO"/>
        </w:rPr>
        <w:t>«</w:t>
      </w:r>
      <w:r w:rsidRPr="008572B5">
        <w:rPr>
          <w:rFonts w:ascii="Arial" w:eastAsia="Times New Roman" w:hAnsi="Arial" w:cs="Arial"/>
          <w:bCs/>
          <w:sz w:val="20"/>
          <w:szCs w:val="20"/>
          <w:shd w:val="clear" w:color="auto" w:fill="FFFFFF"/>
          <w:lang w:val="es-CO" w:eastAsia="es-ES_tradnl"/>
        </w:rPr>
        <w:t>Por medio de la cual se reglamenta la elección de Presidente de la República, de conformidad con el artículo 152 literal f) de la Constitución Política de Colombia, y de acuerdo con lo establecido en el Acto Legislativo 02 de 2004, y se dictan otras disposiciones</w:t>
      </w:r>
      <w:r w:rsidRPr="008572B5">
        <w:rPr>
          <w:rFonts w:ascii="Arial" w:eastAsia="Calibri" w:hAnsi="Arial" w:cs="Arial"/>
          <w:bCs/>
          <w:sz w:val="20"/>
          <w:szCs w:val="20"/>
          <w:lang w:val="es-CO"/>
        </w:rPr>
        <w:t>»,</w:t>
      </w:r>
      <w:r w:rsidRPr="008572B5">
        <w:rPr>
          <w:rFonts w:ascii="Arial" w:eastAsia="Times New Roman" w:hAnsi="Arial" w:cs="Arial"/>
          <w:b/>
          <w:bCs/>
          <w:sz w:val="20"/>
          <w:szCs w:val="20"/>
          <w:shd w:val="clear" w:color="auto" w:fill="FFFFFF"/>
          <w:lang w:val="es-CO" w:eastAsia="es-ES_tradnl"/>
        </w:rPr>
        <w:t xml:space="preserve"> </w:t>
      </w:r>
      <w:r w:rsidRPr="008572B5">
        <w:rPr>
          <w:rFonts w:ascii="Arial" w:eastAsia="Times New Roman" w:hAnsi="Arial" w:cs="Arial"/>
          <w:bCs/>
          <w:sz w:val="20"/>
          <w:szCs w:val="20"/>
          <w:lang w:val="es-CO" w:eastAsia="es-CO"/>
        </w:rPr>
        <w:t>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Siguiendo esta línea, 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3306C5EC" w14:textId="77777777" w:rsidR="008572B5" w:rsidRPr="008572B5" w:rsidRDefault="008572B5" w:rsidP="008572B5">
      <w:pPr>
        <w:tabs>
          <w:tab w:val="left" w:pos="426"/>
        </w:tabs>
        <w:spacing w:after="0" w:line="240" w:lineRule="auto"/>
        <w:rPr>
          <w:rFonts w:ascii="Arial" w:eastAsia="Calibri" w:hAnsi="Arial" w:cs="Arial"/>
          <w:bCs/>
          <w:sz w:val="20"/>
          <w:szCs w:val="20"/>
        </w:rPr>
      </w:pPr>
    </w:p>
    <w:p w14:paraId="25E3C5CE" w14:textId="77777777" w:rsidR="008572B5" w:rsidRPr="008572B5" w:rsidRDefault="008572B5" w:rsidP="008572B5">
      <w:pPr>
        <w:tabs>
          <w:tab w:val="left" w:pos="426"/>
        </w:tabs>
        <w:spacing w:after="0" w:line="240" w:lineRule="auto"/>
        <w:rPr>
          <w:rFonts w:ascii="Arial" w:eastAsia="Calibri" w:hAnsi="Arial" w:cs="Arial"/>
          <w:b/>
          <w:bCs/>
          <w:sz w:val="22"/>
        </w:rPr>
      </w:pPr>
      <w:bookmarkStart w:id="2" w:name="_Hlk77152637"/>
      <w:bookmarkStart w:id="3" w:name="_Hlk77157066"/>
      <w:r w:rsidRPr="008572B5">
        <w:rPr>
          <w:rFonts w:ascii="Arial" w:eastAsia="Calibri" w:hAnsi="Arial" w:cs="Arial"/>
          <w:b/>
          <w:bCs/>
          <w:sz w:val="22"/>
        </w:rPr>
        <w:t>LEY DE GARANTÍAS ELECTORALES ‒</w:t>
      </w:r>
      <w:bookmarkEnd w:id="2"/>
      <w:r w:rsidRPr="008572B5">
        <w:rPr>
          <w:rFonts w:ascii="Arial" w:eastAsia="Calibri" w:hAnsi="Arial" w:cs="Arial"/>
          <w:b/>
          <w:bCs/>
          <w:sz w:val="22"/>
        </w:rPr>
        <w:t xml:space="preserve"> Restricciones </w:t>
      </w:r>
      <w:bookmarkStart w:id="4" w:name="_Hlk77157034"/>
      <w:r w:rsidRPr="008572B5">
        <w:rPr>
          <w:rFonts w:ascii="Arial" w:eastAsia="Calibri" w:hAnsi="Arial" w:cs="Arial"/>
          <w:b/>
          <w:bCs/>
          <w:sz w:val="22"/>
        </w:rPr>
        <w:t xml:space="preserve">‒ </w:t>
      </w:r>
      <w:bookmarkEnd w:id="4"/>
      <w:r w:rsidRPr="008572B5">
        <w:rPr>
          <w:rFonts w:ascii="Arial" w:eastAsia="Calibri" w:hAnsi="Arial" w:cs="Arial"/>
          <w:b/>
          <w:bCs/>
          <w:sz w:val="22"/>
        </w:rPr>
        <w:t>Contratación</w:t>
      </w:r>
      <w:bookmarkStart w:id="5" w:name="_Hlk77153098"/>
      <w:r w:rsidRPr="008572B5">
        <w:rPr>
          <w:rFonts w:ascii="Arial" w:eastAsia="Calibri" w:hAnsi="Arial" w:cs="Arial"/>
          <w:b/>
          <w:bCs/>
          <w:sz w:val="22"/>
        </w:rPr>
        <w:t xml:space="preserve"> ‒ Tipos de elección</w:t>
      </w:r>
      <w:bookmarkEnd w:id="5"/>
      <w:r w:rsidRPr="008572B5">
        <w:rPr>
          <w:rFonts w:ascii="Arial" w:eastAsia="Calibri" w:hAnsi="Arial" w:cs="Arial"/>
          <w:b/>
          <w:bCs/>
          <w:sz w:val="22"/>
        </w:rPr>
        <w:t xml:space="preserve"> </w:t>
      </w:r>
    </w:p>
    <w:p w14:paraId="2E2825DC" w14:textId="77777777" w:rsidR="008572B5" w:rsidRPr="008572B5" w:rsidRDefault="008572B5" w:rsidP="008572B5">
      <w:pPr>
        <w:tabs>
          <w:tab w:val="left" w:pos="426"/>
        </w:tabs>
        <w:spacing w:after="0" w:line="240" w:lineRule="auto"/>
        <w:rPr>
          <w:rFonts w:ascii="Arial" w:eastAsia="Calibri" w:hAnsi="Arial" w:cs="Arial"/>
          <w:b/>
          <w:bCs/>
          <w:sz w:val="20"/>
          <w:szCs w:val="20"/>
        </w:rPr>
      </w:pPr>
    </w:p>
    <w:p w14:paraId="55414156" w14:textId="77777777" w:rsidR="008572B5" w:rsidRPr="008572B5" w:rsidRDefault="008572B5" w:rsidP="008572B5">
      <w:pPr>
        <w:spacing w:after="0" w:line="240" w:lineRule="auto"/>
        <w:rPr>
          <w:rFonts w:ascii="Arial" w:eastAsia="Arial" w:hAnsi="Arial" w:cs="Arial"/>
          <w:sz w:val="20"/>
          <w:szCs w:val="20"/>
          <w:lang w:val="es-ES" w:eastAsia="es-ES" w:bidi="es-ES"/>
        </w:rPr>
      </w:pPr>
      <w:r w:rsidRPr="008572B5">
        <w:rPr>
          <w:rFonts w:ascii="Arial" w:eastAsia="Times New Roman" w:hAnsi="Arial" w:cs="Arial"/>
          <w:bCs/>
          <w:sz w:val="20"/>
          <w:szCs w:val="20"/>
          <w:lang w:eastAsia="es-CO"/>
        </w:rPr>
        <w:t xml:space="preserve">La </w:t>
      </w:r>
      <w:r w:rsidRPr="008572B5">
        <w:rPr>
          <w:rFonts w:ascii="Arial" w:eastAsia="Arial" w:hAnsi="Arial" w:cs="Arial"/>
          <w:sz w:val="20"/>
          <w:szCs w:val="20"/>
          <w:lang w:val="es-ES" w:eastAsia="es-ES" w:bidi="es-ES"/>
        </w:rPr>
        <w:t>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r w:rsidRPr="008572B5">
        <w:rPr>
          <w:rFonts w:ascii="Arial" w:eastAsia="Calibri" w:hAnsi="Arial" w:cs="Arial"/>
          <w:sz w:val="20"/>
          <w:szCs w:val="20"/>
          <w:lang w:val="es-CO"/>
        </w:rPr>
        <w:t xml:space="preserve">Por una parte, el artículo 33 de la Ley 996 de 2005 establece una prohibición que impide </w:t>
      </w:r>
      <w:r w:rsidRPr="008572B5">
        <w:rPr>
          <w:rFonts w:ascii="Arial" w:eastAsia="Calibri" w:hAnsi="Arial" w:cs="Arial"/>
          <w:bCs/>
          <w:sz w:val="20"/>
          <w:szCs w:val="20"/>
          <w:lang w:val="es-CO"/>
        </w:rPr>
        <w:t xml:space="preserve">«[…] </w:t>
      </w:r>
      <w:r w:rsidRPr="008572B5">
        <w:rPr>
          <w:rFonts w:ascii="Arial" w:eastAsia="Calibri" w:hAnsi="Arial" w:cs="Arial"/>
          <w:sz w:val="20"/>
          <w:szCs w:val="20"/>
          <w:lang w:val="es-CO"/>
        </w:rPr>
        <w:t>la contratación directa por parte de todos los entes del Estado</w:t>
      </w:r>
      <w:r w:rsidRPr="008572B5">
        <w:rPr>
          <w:rFonts w:ascii="Arial" w:eastAsia="Calibri" w:hAnsi="Arial" w:cs="Arial"/>
          <w:bCs/>
          <w:sz w:val="20"/>
          <w:szCs w:val="20"/>
          <w:lang w:val="es-CO"/>
        </w:rPr>
        <w:t>»</w:t>
      </w:r>
      <w:r w:rsidRPr="008572B5">
        <w:rPr>
          <w:rFonts w:ascii="Arial" w:eastAsia="Calibri" w:hAnsi="Arial" w:cs="Arial"/>
          <w:sz w:val="20"/>
          <w:szCs w:val="20"/>
          <w:lang w:val="es-CO"/>
        </w:rPr>
        <w:t xml:space="preserve"> durante los cuatro (4) meses anteriores a las elecciones presidenciales, salvo </w:t>
      </w:r>
      <w:r w:rsidRPr="008572B5">
        <w:rPr>
          <w:rFonts w:ascii="Arial" w:eastAsia="Calibri" w:hAnsi="Arial" w:cs="Arial"/>
          <w:bCs/>
          <w:sz w:val="20"/>
          <w:szCs w:val="20"/>
          <w:lang w:val="es-CO"/>
        </w:rPr>
        <w:t xml:space="preserve">«[…] </w:t>
      </w:r>
      <w:r w:rsidRPr="008572B5">
        <w:rPr>
          <w:rFonts w:ascii="Arial" w:eastAsia="Calibri" w:hAnsi="Arial" w:cs="Arial"/>
          <w:sz w:val="20"/>
          <w:szCs w:val="20"/>
          <w:lang w:val="es-CO"/>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572B5">
        <w:rPr>
          <w:rFonts w:ascii="Arial" w:eastAsia="Calibri" w:hAnsi="Arial" w:cs="Arial"/>
          <w:bCs/>
          <w:sz w:val="20"/>
          <w:szCs w:val="20"/>
          <w:lang w:val="es-CO"/>
        </w:rPr>
        <w:t>»</w:t>
      </w:r>
      <w:r w:rsidRPr="008572B5">
        <w:rPr>
          <w:rFonts w:ascii="Arial" w:eastAsia="Calibri" w:hAnsi="Arial" w:cs="Arial"/>
          <w:sz w:val="20"/>
          <w:szCs w:val="20"/>
          <w:lang w:val="es-CO"/>
        </w:rPr>
        <w:t xml:space="preserve">. 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8572B5">
        <w:rPr>
          <w:rFonts w:ascii="Arial" w:eastAsia="Calibri" w:hAnsi="Arial" w:cs="Arial"/>
          <w:bCs/>
          <w:sz w:val="20"/>
          <w:szCs w:val="20"/>
          <w:lang w:val="es-CO"/>
        </w:rPr>
        <w:t xml:space="preserve">«[…] </w:t>
      </w:r>
      <w:r w:rsidRPr="008572B5">
        <w:rPr>
          <w:rFonts w:ascii="Arial" w:eastAsia="Calibri" w:hAnsi="Arial" w:cs="Arial"/>
          <w:sz w:val="20"/>
          <w:szCs w:val="20"/>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572B5">
        <w:rPr>
          <w:rFonts w:ascii="Arial" w:eastAsia="Calibri" w:hAnsi="Arial" w:cs="Arial"/>
          <w:bCs/>
          <w:sz w:val="20"/>
          <w:szCs w:val="20"/>
          <w:lang w:val="es-CO"/>
        </w:rPr>
        <w:t>»</w:t>
      </w:r>
      <w:r w:rsidRPr="008572B5">
        <w:rPr>
          <w:rFonts w:ascii="Arial" w:eastAsia="Calibri" w:hAnsi="Arial" w:cs="Arial"/>
          <w:sz w:val="20"/>
          <w:szCs w:val="20"/>
        </w:rPr>
        <w:t>.</w:t>
      </w:r>
      <w:r w:rsidRPr="008572B5">
        <w:rPr>
          <w:rFonts w:ascii="Arial" w:eastAsia="Calibri" w:hAnsi="Arial" w:cs="Arial"/>
          <w:noProof/>
          <w:sz w:val="20"/>
          <w:szCs w:val="20"/>
          <w:lang w:val="es-ES_tradnl"/>
        </w:rPr>
        <w:t>.</w:t>
      </w:r>
    </w:p>
    <w:bookmarkEnd w:id="3"/>
    <w:p w14:paraId="437466F8" w14:textId="77777777" w:rsidR="008572B5" w:rsidRPr="008572B5" w:rsidRDefault="008572B5" w:rsidP="008572B5">
      <w:pPr>
        <w:spacing w:after="0" w:line="240" w:lineRule="auto"/>
        <w:rPr>
          <w:rFonts w:ascii="Arial" w:eastAsia="Arial" w:hAnsi="Arial" w:cs="Arial"/>
          <w:sz w:val="20"/>
          <w:szCs w:val="20"/>
          <w:lang w:val="es-ES" w:eastAsia="es-ES" w:bidi="es-ES"/>
        </w:rPr>
      </w:pPr>
    </w:p>
    <w:p w14:paraId="639F130E" w14:textId="77777777" w:rsidR="008572B5" w:rsidRPr="008572B5" w:rsidRDefault="008572B5" w:rsidP="008572B5">
      <w:pPr>
        <w:tabs>
          <w:tab w:val="left" w:pos="426"/>
        </w:tabs>
        <w:spacing w:after="0" w:line="240" w:lineRule="auto"/>
        <w:rPr>
          <w:rFonts w:ascii="Arial" w:eastAsia="Calibri" w:hAnsi="Arial" w:cs="Arial"/>
          <w:b/>
          <w:bCs/>
          <w:sz w:val="22"/>
        </w:rPr>
      </w:pPr>
      <w:r w:rsidRPr="008572B5">
        <w:rPr>
          <w:rFonts w:ascii="Arial" w:eastAsia="Calibri" w:hAnsi="Arial" w:cs="Arial"/>
          <w:b/>
          <w:bCs/>
          <w:sz w:val="22"/>
        </w:rPr>
        <w:t xml:space="preserve">LEY DE GARANTÍAS ELECTORALES ─ Prohibición artículo 33 ‒ Contratación directa ‒ Alcance </w:t>
      </w:r>
    </w:p>
    <w:p w14:paraId="68AAED8E" w14:textId="77777777" w:rsidR="008572B5" w:rsidRPr="008572B5" w:rsidRDefault="008572B5" w:rsidP="008572B5">
      <w:pPr>
        <w:tabs>
          <w:tab w:val="left" w:pos="426"/>
        </w:tabs>
        <w:spacing w:after="0" w:line="240" w:lineRule="auto"/>
        <w:rPr>
          <w:rFonts w:ascii="Arial" w:eastAsia="Calibri" w:hAnsi="Arial" w:cs="Arial"/>
          <w:noProof/>
          <w:sz w:val="20"/>
          <w:szCs w:val="20"/>
        </w:rPr>
      </w:pPr>
    </w:p>
    <w:p w14:paraId="006848E4" w14:textId="467C375A" w:rsidR="008572B5" w:rsidRDefault="008572B5" w:rsidP="008572B5">
      <w:pPr>
        <w:spacing w:after="0" w:line="240" w:lineRule="auto"/>
        <w:rPr>
          <w:rFonts w:ascii="Arial" w:eastAsia="Times New Roman" w:hAnsi="Arial" w:cs="Arial"/>
          <w:sz w:val="20"/>
          <w:szCs w:val="20"/>
          <w:lang w:val="es-CO" w:eastAsia="x-none"/>
        </w:rPr>
      </w:pPr>
      <w:r w:rsidRPr="008572B5">
        <w:rPr>
          <w:rFonts w:ascii="Arial" w:eastAsia="Calibri" w:hAnsi="Arial" w:cs="Arial"/>
          <w:noProof/>
          <w:sz w:val="20"/>
          <w:szCs w:val="20"/>
        </w:rPr>
        <w:t xml:space="preserve">[…] </w:t>
      </w:r>
      <w:r w:rsidRPr="008572B5">
        <w:rPr>
          <w:rFonts w:ascii="Arial" w:eastAsia="Times New Roman" w:hAnsi="Arial" w:cs="Arial"/>
          <w:bCs/>
          <w:sz w:val="20"/>
          <w:szCs w:val="20"/>
          <w:lang w:eastAsia="x-none"/>
        </w:rPr>
        <w:t xml:space="preserve">la Ley de Garantías Electorales y, en particular, para la prohibición o restricción temporal contenida en su artículo 33, «contratación directa» es cualquier sistema de selección o procedimiento </w:t>
      </w:r>
      <w:r w:rsidRPr="008572B5">
        <w:rPr>
          <w:rFonts w:ascii="Arial" w:eastAsia="Times New Roman" w:hAnsi="Arial" w:cs="Arial"/>
          <w:bCs/>
          <w:sz w:val="20"/>
          <w:szCs w:val="20"/>
          <w:lang w:eastAsia="x-none"/>
        </w:rPr>
        <w:lastRenderedPageBreak/>
        <w:t>de contratación utilizado por las entidades estatales que no incluya la convocatoria pública en alguna de sus etapas, ni permita la participación de una pluralidad de oferentes</w:t>
      </w:r>
      <w:r w:rsidRPr="008572B5">
        <w:rPr>
          <w:rFonts w:ascii="Arial" w:eastAsia="Times New Roman" w:hAnsi="Arial" w:cs="Arial"/>
          <w:sz w:val="20"/>
          <w:szCs w:val="20"/>
          <w:vertAlign w:val="superscript"/>
          <w:lang w:val="es-CO" w:eastAsia="x-none"/>
        </w:rPr>
        <w:t xml:space="preserve">. </w:t>
      </w:r>
      <w:r w:rsidRPr="008572B5">
        <w:rPr>
          <w:rFonts w:ascii="Arial" w:eastAsia="Times New Roman" w:hAnsi="Arial" w:cs="Arial"/>
          <w:bCs/>
          <w:sz w:val="20"/>
          <w:szCs w:val="20"/>
          <w:lang w:eastAsia="x-none"/>
        </w:rPr>
        <w:t>De lo anterior se desprende que la restricción aplica, sin perjuicio de las excepciones establecidas en la misma ley, para celebrar cualquier contrato de forma directa, esto es, sin que exista un proceso abierto y competitivo.</w:t>
      </w:r>
      <w:r w:rsidRPr="008572B5">
        <w:rPr>
          <w:rFonts w:ascii="Arial" w:eastAsia="Times New Roman" w:hAnsi="Arial" w:cs="Arial"/>
          <w:sz w:val="20"/>
          <w:szCs w:val="20"/>
          <w:lang w:val="es-CO"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r>
        <w:rPr>
          <w:rFonts w:ascii="Arial" w:eastAsia="Times New Roman" w:hAnsi="Arial" w:cs="Arial"/>
          <w:sz w:val="20"/>
          <w:szCs w:val="20"/>
          <w:lang w:val="es-CO" w:eastAsia="x-none"/>
        </w:rPr>
        <w:t xml:space="preserve">. </w:t>
      </w:r>
    </w:p>
    <w:p w14:paraId="18E4FF5C" w14:textId="4A3E292B" w:rsidR="008572B5" w:rsidRDefault="008572B5" w:rsidP="008572B5">
      <w:pPr>
        <w:spacing w:after="0" w:line="240" w:lineRule="auto"/>
        <w:rPr>
          <w:rFonts w:ascii="Arial" w:eastAsia="Times New Roman" w:hAnsi="Arial" w:cs="Arial"/>
          <w:sz w:val="20"/>
          <w:szCs w:val="20"/>
          <w:lang w:val="es-CO" w:eastAsia="x-none"/>
        </w:rPr>
      </w:pPr>
    </w:p>
    <w:p w14:paraId="488ED4F4" w14:textId="77777777" w:rsidR="008572B5" w:rsidRPr="002F7E31" w:rsidRDefault="008572B5" w:rsidP="008572B5">
      <w:pPr>
        <w:spacing w:after="0" w:line="240" w:lineRule="auto"/>
        <w:rPr>
          <w:rFonts w:ascii="Arial" w:eastAsia="Times New Roman" w:hAnsi="Arial" w:cs="Arial"/>
          <w:b/>
          <w:color w:val="000000" w:themeColor="text1"/>
          <w:sz w:val="20"/>
          <w:szCs w:val="20"/>
          <w:lang w:val="es-ES" w:eastAsia="es-CO"/>
        </w:rPr>
      </w:pPr>
      <w:r w:rsidRPr="002F7E31">
        <w:rPr>
          <w:rFonts w:ascii="Arial" w:eastAsia="Times New Roman" w:hAnsi="Arial" w:cs="Arial"/>
          <w:b/>
          <w:bCs/>
          <w:color w:val="000000" w:themeColor="text1"/>
          <w:sz w:val="20"/>
          <w:szCs w:val="20"/>
          <w:lang w:val="es-CO" w:eastAsia="es-CO"/>
        </w:rPr>
        <w:t xml:space="preserve">LEY DE GARANTÍAS ELECTORALES </w:t>
      </w:r>
      <w:bookmarkStart w:id="6" w:name="_Hlk77166669"/>
      <w:r w:rsidRPr="002F7E31">
        <w:rPr>
          <w:rFonts w:ascii="Arial" w:eastAsia="Times New Roman" w:hAnsi="Arial" w:cs="Arial"/>
          <w:b/>
          <w:bCs/>
          <w:color w:val="000000" w:themeColor="text1"/>
          <w:sz w:val="20"/>
          <w:szCs w:val="20"/>
          <w:lang w:val="es-CO" w:eastAsia="es-CO"/>
        </w:rPr>
        <w:t>‒</w:t>
      </w:r>
      <w:bookmarkEnd w:id="6"/>
      <w:r w:rsidRPr="002F7E31">
        <w:rPr>
          <w:rFonts w:ascii="Arial" w:eastAsia="Times New Roman" w:hAnsi="Arial" w:cs="Arial"/>
          <w:b/>
          <w:bCs/>
          <w:color w:val="000000" w:themeColor="text1"/>
          <w:sz w:val="20"/>
          <w:szCs w:val="20"/>
          <w:lang w:val="es-CO" w:eastAsia="es-CO"/>
        </w:rPr>
        <w:t xml:space="preserve"> </w:t>
      </w:r>
      <w:r w:rsidRPr="002F7E31">
        <w:rPr>
          <w:rFonts w:ascii="Arial" w:eastAsia="Times New Roman" w:hAnsi="Arial" w:cs="Arial"/>
          <w:b/>
          <w:color w:val="000000" w:themeColor="text1"/>
          <w:sz w:val="20"/>
          <w:szCs w:val="20"/>
          <w:lang w:val="es-ES" w:eastAsia="es-CO"/>
        </w:rPr>
        <w:t xml:space="preserve">Prohibición del artículo 33 de la Ley de garantías </w:t>
      </w:r>
      <w:r w:rsidRPr="002F7E31">
        <w:rPr>
          <w:rFonts w:ascii="Arial" w:eastAsia="Times New Roman" w:hAnsi="Arial" w:cs="Arial"/>
          <w:b/>
          <w:bCs/>
          <w:color w:val="000000" w:themeColor="text1"/>
          <w:sz w:val="20"/>
          <w:szCs w:val="20"/>
          <w:lang w:val="es-CO" w:eastAsia="es-CO"/>
        </w:rPr>
        <w:t>‒ Destinatarios</w:t>
      </w:r>
    </w:p>
    <w:p w14:paraId="2A8C7201" w14:textId="77777777" w:rsidR="008572B5" w:rsidRPr="002F7E31" w:rsidRDefault="008572B5" w:rsidP="008572B5">
      <w:pPr>
        <w:tabs>
          <w:tab w:val="left" w:pos="426"/>
        </w:tabs>
        <w:spacing w:after="0" w:line="240" w:lineRule="auto"/>
        <w:rPr>
          <w:rFonts w:ascii="Arial" w:eastAsia="Calibri" w:hAnsi="Arial" w:cs="Arial"/>
          <w:noProof/>
          <w:color w:val="000000" w:themeColor="text1"/>
          <w:sz w:val="20"/>
          <w:szCs w:val="20"/>
          <w:lang w:val="es-ES"/>
        </w:rPr>
      </w:pPr>
    </w:p>
    <w:p w14:paraId="68FE5046" w14:textId="613FCD4B" w:rsidR="008572B5" w:rsidRPr="008572B5" w:rsidRDefault="008572B5" w:rsidP="008572B5">
      <w:pPr>
        <w:tabs>
          <w:tab w:val="left" w:pos="426"/>
        </w:tabs>
        <w:spacing w:after="0" w:line="240" w:lineRule="auto"/>
        <w:rPr>
          <w:rFonts w:ascii="Arial" w:eastAsia="Calibri" w:hAnsi="Arial" w:cs="Arial"/>
          <w:noProof/>
          <w:color w:val="000000" w:themeColor="text1"/>
          <w:sz w:val="20"/>
          <w:szCs w:val="20"/>
          <w:lang w:val="es-CO"/>
        </w:rPr>
      </w:pPr>
      <w:r w:rsidRPr="002F7E31">
        <w:rPr>
          <w:rFonts w:ascii="Arial" w:eastAsia="Calibri" w:hAnsi="Arial" w:cs="Arial"/>
          <w:noProof/>
          <w:color w:val="000000" w:themeColor="text1"/>
          <w:sz w:val="20"/>
          <w:szCs w:val="20"/>
          <w:lang w:val="es-CO"/>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r w:rsidR="00AF5C13">
        <w:rPr>
          <w:rFonts w:ascii="Arial" w:eastAsia="Calibri" w:hAnsi="Arial" w:cs="Arial"/>
          <w:noProof/>
          <w:color w:val="000000" w:themeColor="text1"/>
          <w:sz w:val="20"/>
          <w:szCs w:val="20"/>
          <w:lang w:val="es-CO"/>
        </w:rPr>
        <w:t xml:space="preserve"> </w:t>
      </w:r>
    </w:p>
    <w:p w14:paraId="4DBE3182" w14:textId="77777777" w:rsidR="008572B5" w:rsidRPr="008572B5" w:rsidRDefault="008572B5" w:rsidP="008572B5">
      <w:pPr>
        <w:spacing w:after="0" w:line="240" w:lineRule="auto"/>
        <w:rPr>
          <w:rFonts w:ascii="Arial" w:eastAsia="Times New Roman" w:hAnsi="Arial" w:cs="Arial"/>
          <w:bCs/>
          <w:sz w:val="20"/>
          <w:szCs w:val="20"/>
          <w:lang w:eastAsia="x-none"/>
        </w:rPr>
      </w:pPr>
    </w:p>
    <w:p w14:paraId="3BC1004F" w14:textId="77777777" w:rsidR="008572B5" w:rsidRPr="008572B5" w:rsidRDefault="008572B5" w:rsidP="008572B5">
      <w:pPr>
        <w:spacing w:after="0" w:line="240" w:lineRule="auto"/>
        <w:rPr>
          <w:rFonts w:ascii="Arial" w:eastAsia="Times New Roman" w:hAnsi="Arial" w:cs="Arial"/>
          <w:b/>
          <w:bCs/>
          <w:sz w:val="20"/>
          <w:szCs w:val="20"/>
          <w:lang w:eastAsia="es-ES"/>
        </w:rPr>
      </w:pPr>
    </w:p>
    <w:p w14:paraId="7635BA5A" w14:textId="77777777" w:rsidR="008572B5" w:rsidRPr="008572B5" w:rsidRDefault="008572B5" w:rsidP="008572B5">
      <w:pPr>
        <w:shd w:val="clear" w:color="auto" w:fill="FFFFFF"/>
        <w:spacing w:after="0" w:line="240" w:lineRule="auto"/>
        <w:rPr>
          <w:rFonts w:ascii="Arial" w:eastAsia="Times New Roman" w:hAnsi="Arial" w:cs="Arial"/>
          <w:b/>
          <w:bCs/>
          <w:sz w:val="22"/>
          <w:lang w:val="es-CO" w:eastAsia="es-CO"/>
        </w:rPr>
      </w:pPr>
      <w:r w:rsidRPr="008572B5">
        <w:rPr>
          <w:rFonts w:ascii="Arial" w:eastAsia="Times New Roman" w:hAnsi="Arial" w:cs="Arial"/>
          <w:b/>
          <w:bCs/>
          <w:sz w:val="22"/>
          <w:lang w:val="es-CO" w:eastAsia="es-CO"/>
        </w:rPr>
        <w:t xml:space="preserve">LEY DE GARANTÍAS ELECTORALES </w:t>
      </w:r>
      <w:bookmarkStart w:id="7" w:name="_Hlk77022358"/>
      <w:r w:rsidRPr="008572B5">
        <w:rPr>
          <w:rFonts w:ascii="Arial" w:eastAsia="Times New Roman" w:hAnsi="Arial" w:cs="Arial"/>
          <w:b/>
          <w:bCs/>
          <w:sz w:val="22"/>
          <w:lang w:val="es-CO" w:eastAsia="es-CO"/>
        </w:rPr>
        <w:t>‒</w:t>
      </w:r>
      <w:bookmarkEnd w:id="7"/>
      <w:r w:rsidRPr="008572B5">
        <w:rPr>
          <w:rFonts w:ascii="Arial" w:eastAsia="Times New Roman" w:hAnsi="Arial" w:cs="Arial"/>
          <w:b/>
          <w:bCs/>
          <w:sz w:val="22"/>
          <w:lang w:val="es-CO" w:eastAsia="es-CO"/>
        </w:rPr>
        <w:t xml:space="preserve"> Excepciones</w:t>
      </w:r>
      <w:r w:rsidRPr="008572B5">
        <w:rPr>
          <w:rFonts w:ascii="Arial" w:eastAsia="Times New Roman" w:hAnsi="Arial" w:cs="Arial"/>
          <w:b/>
          <w:sz w:val="22"/>
          <w:lang w:val="es-CO" w:eastAsia="es-CO"/>
        </w:rPr>
        <w:t xml:space="preserve"> </w:t>
      </w:r>
    </w:p>
    <w:p w14:paraId="063B0D41" w14:textId="77777777" w:rsidR="008572B5" w:rsidRPr="008572B5" w:rsidRDefault="008572B5" w:rsidP="008572B5">
      <w:pPr>
        <w:shd w:val="clear" w:color="auto" w:fill="FFFFFF"/>
        <w:spacing w:after="0" w:line="240" w:lineRule="auto"/>
        <w:rPr>
          <w:rFonts w:ascii="Arial" w:eastAsia="Times New Roman" w:hAnsi="Arial" w:cs="Arial"/>
          <w:b/>
          <w:sz w:val="22"/>
          <w:lang w:val="es-CO" w:eastAsia="es-CO"/>
        </w:rPr>
      </w:pPr>
    </w:p>
    <w:p w14:paraId="22782226" w14:textId="36454ED0" w:rsidR="008572B5" w:rsidRDefault="008572B5" w:rsidP="008572B5">
      <w:pPr>
        <w:tabs>
          <w:tab w:val="left" w:pos="426"/>
        </w:tabs>
        <w:spacing w:after="0" w:line="240" w:lineRule="auto"/>
        <w:rPr>
          <w:rFonts w:ascii="Arial" w:eastAsia="Times New Roman" w:hAnsi="Arial" w:cs="Arial"/>
          <w:bCs/>
          <w:sz w:val="20"/>
          <w:szCs w:val="20"/>
          <w:lang w:eastAsia="x-none"/>
        </w:rPr>
      </w:pPr>
      <w:r w:rsidRPr="008572B5">
        <w:rPr>
          <w:rFonts w:ascii="Arial" w:eastAsia="Times New Roman" w:hAnsi="Arial" w:cs="Arial"/>
          <w:sz w:val="20"/>
          <w:szCs w:val="20"/>
          <w:lang w:val="es-CO" w:eastAsia="x-none"/>
        </w:rPr>
        <w:t xml:space="preserve">[…] </w:t>
      </w:r>
      <w:r w:rsidRPr="008572B5">
        <w:rPr>
          <w:rFonts w:ascii="Arial" w:eastAsia="Times New Roman" w:hAnsi="Arial" w:cs="Arial"/>
          <w:bCs/>
          <w:sz w:val="20"/>
          <w:szCs w:val="20"/>
          <w:lang w:eastAsia="x-none"/>
        </w:rPr>
        <w:t>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1BED514A" w14:textId="3A3F4529" w:rsidR="00946218" w:rsidRDefault="00946218" w:rsidP="008572B5">
      <w:pPr>
        <w:tabs>
          <w:tab w:val="left" w:pos="426"/>
        </w:tabs>
        <w:spacing w:after="0" w:line="240" w:lineRule="auto"/>
        <w:rPr>
          <w:rFonts w:ascii="Arial" w:eastAsia="Times New Roman" w:hAnsi="Arial" w:cs="Arial"/>
          <w:bCs/>
          <w:sz w:val="20"/>
          <w:szCs w:val="20"/>
          <w:lang w:eastAsia="x-none"/>
        </w:rPr>
      </w:pPr>
    </w:p>
    <w:p w14:paraId="272FFB9C" w14:textId="77777777" w:rsidR="00946218" w:rsidRPr="002F7E31" w:rsidRDefault="00946218" w:rsidP="00946218">
      <w:pPr>
        <w:spacing w:after="0" w:line="240" w:lineRule="auto"/>
        <w:rPr>
          <w:rFonts w:ascii="Arial" w:eastAsia="Calibri" w:hAnsi="Arial" w:cs="Arial"/>
          <w:b/>
          <w:color w:val="000000" w:themeColor="text1"/>
          <w:sz w:val="22"/>
        </w:rPr>
      </w:pPr>
      <w:bookmarkStart w:id="8" w:name="_Hlk108024832"/>
      <w:r w:rsidRPr="002F7E31">
        <w:rPr>
          <w:rFonts w:ascii="Arial" w:eastAsia="Calibri" w:hAnsi="Arial" w:cs="Arial"/>
          <w:b/>
          <w:color w:val="000000" w:themeColor="text1"/>
          <w:sz w:val="22"/>
        </w:rPr>
        <w:t xml:space="preserve">ADICIÓN, PRÓRROGA Y RENOVACIÓN </w:t>
      </w:r>
      <w:bookmarkEnd w:id="8"/>
      <w:r w:rsidRPr="002F7E31">
        <w:rPr>
          <w:rFonts w:ascii="Arial" w:eastAsia="Calibri" w:hAnsi="Arial" w:cs="Arial"/>
          <w:b/>
          <w:color w:val="000000" w:themeColor="text1"/>
          <w:sz w:val="22"/>
        </w:rPr>
        <w:t>– Diferencias</w:t>
      </w:r>
    </w:p>
    <w:p w14:paraId="76D4671C" w14:textId="77777777" w:rsidR="00946218" w:rsidRPr="002F7E31" w:rsidRDefault="00946218" w:rsidP="00946218">
      <w:pPr>
        <w:spacing w:after="0" w:line="240" w:lineRule="auto"/>
        <w:rPr>
          <w:rFonts w:ascii="Arial" w:eastAsia="Calibri" w:hAnsi="Arial" w:cs="Arial"/>
          <w:color w:val="000000" w:themeColor="text1"/>
          <w:sz w:val="20"/>
          <w:szCs w:val="20"/>
        </w:rPr>
      </w:pPr>
    </w:p>
    <w:p w14:paraId="4D849C66" w14:textId="77777777" w:rsidR="00946218" w:rsidRPr="002F7E31" w:rsidRDefault="00946218" w:rsidP="00946218">
      <w:pPr>
        <w:tabs>
          <w:tab w:val="left" w:pos="709"/>
        </w:tabs>
        <w:spacing w:after="120" w:line="240" w:lineRule="auto"/>
        <w:rPr>
          <w:rFonts w:ascii="Arial" w:eastAsia="Times New Roman" w:hAnsi="Arial" w:cs="Arial"/>
          <w:color w:val="000000" w:themeColor="text1"/>
          <w:sz w:val="20"/>
          <w:szCs w:val="20"/>
          <w:lang w:eastAsia="es-ES"/>
        </w:rPr>
      </w:pPr>
      <w:r w:rsidRPr="002F7E31">
        <w:rPr>
          <w:rFonts w:ascii="Arial" w:eastAsia="Times New Roman" w:hAnsi="Arial" w:cs="Arial"/>
          <w:color w:val="000000" w:themeColor="text1"/>
          <w:sz w:val="20"/>
          <w:szCs w:val="20"/>
          <w:lang w:eastAsia="es-ES"/>
        </w:rPr>
        <w:t>[…] como los estatutos contractuales no establecen una diferencia clara entre los conceptos propuestos, es necesario recurrir a otras disposiciones y aportes doctrinarios para distinguirlos. Como distinción inicial, se tiene que el concepto prórroga está particularmente ligado con la modificación ―ampliación― del plazo de los contratos; las adiciones con el incremento del valor, debido a la inclusión de nuevas obligaciones, sea por la introducción de nuevas actividades o por la ejecución de una mayor cantidad de las pactadas inicialmente; y la renovación con el nacimiento de un nuevo contrato, en condiciones similares o idénticas al contrato inicial.</w:t>
      </w:r>
    </w:p>
    <w:p w14:paraId="7370DF60" w14:textId="1A8B8F2D" w:rsidR="00946218" w:rsidRDefault="00946218" w:rsidP="00946218">
      <w:pPr>
        <w:tabs>
          <w:tab w:val="left" w:pos="709"/>
        </w:tabs>
        <w:spacing w:after="120" w:line="240" w:lineRule="auto"/>
        <w:rPr>
          <w:rFonts w:ascii="Arial" w:eastAsia="Times New Roman" w:hAnsi="Arial" w:cs="Arial"/>
          <w:color w:val="000000" w:themeColor="text1"/>
          <w:sz w:val="20"/>
          <w:szCs w:val="20"/>
          <w:lang w:eastAsia="es-ES"/>
        </w:rPr>
      </w:pPr>
      <w:r w:rsidRPr="002F7E31">
        <w:rPr>
          <w:rFonts w:ascii="Arial" w:eastAsia="Times New Roman" w:hAnsi="Arial" w:cs="Arial"/>
          <w:color w:val="000000" w:themeColor="text1"/>
          <w:sz w:val="20"/>
          <w:szCs w:val="20"/>
          <w:lang w:eastAsia="es-ES"/>
        </w:rPr>
        <w:t xml:space="preserve">Estas distinciones guardan relación con el uso común de los conceptos, es decir, no reducido a su significación jurídica. En efecto, el Diccionario de la Lengua Española ―DLE― define la prórroga como: «1. f. Continuación de algo por un tiempo determinado. 2. f. Plazo por el cual se continúa o prorroga algo». Como se observa, la definición indica que la prórroga está asociada a los plazos, lo que implica extender los efectos de algo por un tiempo mayor. Ahora bien, en relación con la adición, el DLE señala que consiste en la acción y efecto de añadir, definiendo añadir como: «1. tr. Agregar, incorporar algo a otra cosa. 2. tr. Aumentar, acrecentar, ampliar». Como se observa, la adición en </w:t>
      </w:r>
      <w:r w:rsidRPr="002F7E31">
        <w:rPr>
          <w:rFonts w:ascii="Arial" w:eastAsia="Times New Roman" w:hAnsi="Arial" w:cs="Arial"/>
          <w:color w:val="000000" w:themeColor="text1"/>
          <w:sz w:val="20"/>
          <w:szCs w:val="20"/>
          <w:lang w:eastAsia="es-ES"/>
        </w:rPr>
        <w:lastRenderedPageBreak/>
        <w:t>relación con los contratos implicaría incorporar nuevas obligaciones, lo que en los contratos estatales aparejaría un incremento en la contraprestación, es decir, en el precio. Finalmente, el diccionario indica que la renovación consiste en: «1. tr. Hacer como de nuevo algo, o volverlo a su primer estado 2. tr. Restablecer o reanudar una relación u otra cosa que se había interrumpido (…) 4. tr. Sustituir una cosa vieja, o que ya ha servido, por otra nueva de la misma clase». Como se observa, la renovación consiste en hacer algo de nuevo, de manera que, en principio consistiría en la celebración de un nuevo contrato en condiciones idénticas o similares a un contrato anterior.</w:t>
      </w:r>
    </w:p>
    <w:p w14:paraId="77005FCD" w14:textId="02C81E4C" w:rsidR="00231255" w:rsidRPr="00946218" w:rsidRDefault="00231255" w:rsidP="00946218">
      <w:pPr>
        <w:tabs>
          <w:tab w:val="left" w:pos="709"/>
        </w:tabs>
        <w:spacing w:after="120" w:line="240" w:lineRule="auto"/>
        <w:rPr>
          <w:rFonts w:ascii="Arial" w:eastAsia="Times New Roman" w:hAnsi="Arial" w:cs="Arial"/>
          <w:color w:val="000000" w:themeColor="text1"/>
          <w:sz w:val="20"/>
          <w:szCs w:val="20"/>
          <w:lang w:eastAsia="es-ES"/>
        </w:rPr>
      </w:pPr>
      <w:r w:rsidRPr="002F7E31">
        <w:rPr>
          <w:rFonts w:ascii="Arial" w:eastAsia="Calibri" w:hAnsi="Arial" w:cs="Arial"/>
          <w:b/>
          <w:color w:val="000000" w:themeColor="text1"/>
          <w:sz w:val="22"/>
        </w:rPr>
        <w:t>ADICIÓN, PRÓRROGA Y RENOVACIÓN</w:t>
      </w:r>
      <w:r>
        <w:rPr>
          <w:rFonts w:ascii="Arial" w:eastAsia="Calibri" w:hAnsi="Arial" w:cs="Arial"/>
          <w:b/>
          <w:color w:val="000000" w:themeColor="text1"/>
          <w:sz w:val="22"/>
        </w:rPr>
        <w:t xml:space="preserve"> </w:t>
      </w:r>
      <w:r w:rsidRPr="002F7E31">
        <w:rPr>
          <w:rFonts w:ascii="Arial" w:eastAsia="Calibri" w:hAnsi="Arial" w:cs="Arial"/>
          <w:b/>
          <w:color w:val="000000" w:themeColor="text1"/>
          <w:sz w:val="22"/>
        </w:rPr>
        <w:t>–</w:t>
      </w:r>
      <w:r>
        <w:rPr>
          <w:rFonts w:ascii="Arial" w:eastAsia="Calibri" w:hAnsi="Arial" w:cs="Arial"/>
          <w:b/>
          <w:color w:val="000000" w:themeColor="text1"/>
          <w:sz w:val="22"/>
        </w:rPr>
        <w:t xml:space="preserve"> Posibilidad de suscripción </w:t>
      </w:r>
    </w:p>
    <w:p w14:paraId="284D1415" w14:textId="77777777" w:rsidR="00946218" w:rsidRPr="008572B5" w:rsidRDefault="00946218" w:rsidP="008572B5">
      <w:pPr>
        <w:tabs>
          <w:tab w:val="left" w:pos="426"/>
        </w:tabs>
        <w:spacing w:after="0" w:line="240" w:lineRule="auto"/>
        <w:rPr>
          <w:rFonts w:ascii="Arial" w:eastAsia="Calibri" w:hAnsi="Arial" w:cs="Arial"/>
          <w:sz w:val="20"/>
          <w:szCs w:val="20"/>
        </w:rPr>
      </w:pPr>
    </w:p>
    <w:p w14:paraId="6156B69A" w14:textId="2B8ECD17" w:rsidR="006E74A5" w:rsidRDefault="00231255" w:rsidP="00F176B9">
      <w:pPr>
        <w:spacing w:after="0" w:line="240" w:lineRule="auto"/>
        <w:rPr>
          <w:rFonts w:ascii="Arial" w:eastAsia="Calibri" w:hAnsi="Arial" w:cs="Arial"/>
          <w:sz w:val="22"/>
          <w:lang w:val="es-CO"/>
        </w:rPr>
      </w:pPr>
      <w:r w:rsidRPr="00231255">
        <w:rPr>
          <w:rFonts w:ascii="Arial" w:eastAsia="Times New Roman" w:hAnsi="Arial" w:cs="Arial"/>
          <w:color w:val="000000" w:themeColor="text1"/>
          <w:sz w:val="20"/>
          <w:szCs w:val="20"/>
          <w:lang w:eastAsia="es-ES"/>
        </w:rPr>
        <w:t>En cuanto a la celebración de prórrogas, adiciones, modificaciones o cesiones de los contratos suscritos antes de la entrada en vigencia de las prohibiciones anotadas una vez éstas han comenzado a surtir efectos, esta Agencia, reiteradamente, ha señalado que dichas actuaciones pueden tener lugar, sin que con ello se transgredan las restricciones explicadas. Lo anterior, siempre que se cumplan los principios de planeación, transparencia y responsabilidad. Esto por cuanto se ha considerado que actuaciones como cesiones, prórrogas, modificaciones y adiciones de contratos vigentes, no se encuentran dentro del ámbito de aplicación de las mencionadas restricciones.</w:t>
      </w:r>
      <w:r w:rsidR="001453EF">
        <w:rPr>
          <w:rFonts w:ascii="Arial" w:eastAsia="Calibri" w:hAnsi="Arial" w:cs="Arial"/>
          <w:noProof/>
          <w:sz w:val="20"/>
          <w:szCs w:val="20"/>
          <w:lang w:val="es-ES"/>
        </w:rPr>
        <w:br w:type="page"/>
      </w:r>
      <w:bookmarkEnd w:id="0"/>
      <w:bookmarkEnd w:id="1"/>
    </w:p>
    <w:p w14:paraId="4993B704" w14:textId="77777777" w:rsidR="00F90219" w:rsidRDefault="00F90219" w:rsidP="00F176B9">
      <w:pPr>
        <w:spacing w:after="0" w:line="240" w:lineRule="auto"/>
        <w:rPr>
          <w:rFonts w:ascii="Arial" w:eastAsia="Calibri" w:hAnsi="Arial" w:cs="Arial"/>
          <w:sz w:val="22"/>
          <w:lang w:val="es-CO"/>
        </w:rPr>
      </w:pPr>
    </w:p>
    <w:p w14:paraId="4C364CFE" w14:textId="24E2A5DC" w:rsidR="00F90219" w:rsidRDefault="00F90219" w:rsidP="00F90219">
      <w:pPr>
        <w:spacing w:after="0" w:line="240" w:lineRule="auto"/>
        <w:jc w:val="right"/>
        <w:rPr>
          <w:rFonts w:ascii="Arial" w:eastAsia="Calibri" w:hAnsi="Arial" w:cs="Arial"/>
          <w:sz w:val="22"/>
          <w:lang w:val="es-CO"/>
        </w:rPr>
      </w:pPr>
      <w:r w:rsidRPr="00F90219">
        <w:rPr>
          <w:rFonts w:ascii="Arial" w:eastAsia="Calibri" w:hAnsi="Arial" w:cs="Arial"/>
          <w:noProof/>
          <w:sz w:val="22"/>
          <w:lang w:val="es-CO"/>
        </w:rPr>
        <w:drawing>
          <wp:inline distT="0" distB="0" distL="0" distR="0" wp14:anchorId="785D1A37" wp14:editId="0DA718A7">
            <wp:extent cx="3681555" cy="77343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2804" cy="775793"/>
                    </a:xfrm>
                    <a:prstGeom prst="rect">
                      <a:avLst/>
                    </a:prstGeom>
                    <a:noFill/>
                    <a:ln>
                      <a:noFill/>
                    </a:ln>
                  </pic:spPr>
                </pic:pic>
              </a:graphicData>
            </a:graphic>
          </wp:inline>
        </w:drawing>
      </w:r>
    </w:p>
    <w:p w14:paraId="2CB37094" w14:textId="77777777" w:rsidR="00F90219" w:rsidRDefault="00F90219" w:rsidP="00F176B9">
      <w:pPr>
        <w:spacing w:after="0" w:line="240" w:lineRule="auto"/>
        <w:rPr>
          <w:rFonts w:ascii="Arial" w:eastAsia="Calibri" w:hAnsi="Arial" w:cs="Arial"/>
          <w:sz w:val="22"/>
          <w:lang w:val="es-CO"/>
        </w:rPr>
      </w:pPr>
    </w:p>
    <w:p w14:paraId="6A81B1B9" w14:textId="5A348A88" w:rsidR="00303D47" w:rsidRPr="00F176B9" w:rsidRDefault="004653E7" w:rsidP="00F176B9">
      <w:pPr>
        <w:spacing w:after="0" w:line="240" w:lineRule="auto"/>
        <w:rPr>
          <w:rFonts w:ascii="Arial" w:eastAsia="Calibri" w:hAnsi="Arial" w:cs="Arial"/>
          <w:sz w:val="22"/>
          <w:lang w:val="es-CO"/>
        </w:rPr>
      </w:pPr>
      <w:r w:rsidRPr="00F176B9">
        <w:rPr>
          <w:rFonts w:ascii="Arial" w:eastAsia="Calibri" w:hAnsi="Arial" w:cs="Arial"/>
          <w:sz w:val="22"/>
          <w:lang w:val="es-CO"/>
        </w:rPr>
        <w:t>Señor</w:t>
      </w:r>
    </w:p>
    <w:p w14:paraId="38F5C0DE" w14:textId="40B6B63F" w:rsidR="004653E7" w:rsidRPr="00F176B9" w:rsidRDefault="00DA3ACF" w:rsidP="00F176B9">
      <w:pPr>
        <w:spacing w:after="0" w:line="240" w:lineRule="auto"/>
        <w:rPr>
          <w:rFonts w:ascii="Arial" w:eastAsia="Calibri" w:hAnsi="Arial" w:cs="Arial"/>
          <w:b/>
          <w:sz w:val="22"/>
          <w:lang w:val="es-CO"/>
        </w:rPr>
      </w:pPr>
      <w:r>
        <w:rPr>
          <w:rFonts w:ascii="Arial" w:eastAsia="Calibri" w:hAnsi="Arial" w:cs="Arial"/>
          <w:b/>
          <w:sz w:val="22"/>
          <w:lang w:val="es-CO"/>
        </w:rPr>
        <w:t>Javier Marulanda Barreto</w:t>
      </w:r>
      <w:r w:rsidR="001D4536">
        <w:rPr>
          <w:rFonts w:ascii="Arial" w:eastAsia="Calibri" w:hAnsi="Arial" w:cs="Arial"/>
          <w:b/>
          <w:sz w:val="22"/>
          <w:lang w:val="es-CO"/>
        </w:rPr>
        <w:t xml:space="preserve"> </w:t>
      </w:r>
      <w:r w:rsidR="0041386A">
        <w:rPr>
          <w:rFonts w:ascii="Arial" w:eastAsia="Calibri" w:hAnsi="Arial" w:cs="Arial"/>
          <w:b/>
          <w:sz w:val="22"/>
          <w:lang w:val="es-CO"/>
        </w:rPr>
        <w:t xml:space="preserve"> </w:t>
      </w:r>
    </w:p>
    <w:p w14:paraId="72352372" w14:textId="3D390E74" w:rsidR="00303D47" w:rsidRPr="00F176B9" w:rsidRDefault="00042B29" w:rsidP="00F176B9">
      <w:pPr>
        <w:spacing w:after="0" w:line="240" w:lineRule="auto"/>
        <w:rPr>
          <w:rFonts w:ascii="Arial" w:eastAsia="Calibri" w:hAnsi="Arial" w:cs="Arial"/>
          <w:sz w:val="22"/>
          <w:lang w:val="es-CO"/>
        </w:rPr>
      </w:pPr>
      <w:r>
        <w:rPr>
          <w:rFonts w:ascii="Arial" w:eastAsia="Calibri" w:hAnsi="Arial" w:cs="Arial"/>
          <w:sz w:val="22"/>
          <w:lang w:val="es-CO"/>
        </w:rPr>
        <w:t xml:space="preserve">Chinchiná, Caldas </w:t>
      </w:r>
    </w:p>
    <w:p w14:paraId="20C73A65" w14:textId="77777777" w:rsidR="002B72C0" w:rsidRPr="00F176B9" w:rsidRDefault="002B72C0" w:rsidP="00F176B9">
      <w:pPr>
        <w:spacing w:after="0" w:line="240" w:lineRule="auto"/>
        <w:rPr>
          <w:rFonts w:ascii="Arial" w:eastAsia="Calibri" w:hAnsi="Arial" w:cs="Arial"/>
          <w:sz w:val="22"/>
          <w:lang w:val="es-CO"/>
        </w:rPr>
      </w:pPr>
    </w:p>
    <w:p w14:paraId="6316E3D6" w14:textId="50EC42D8" w:rsidR="00FE0395" w:rsidRPr="00F176B9" w:rsidRDefault="00904CD9" w:rsidP="00F176B9">
      <w:pPr>
        <w:spacing w:after="0" w:line="240" w:lineRule="auto"/>
        <w:rPr>
          <w:rFonts w:ascii="Arial" w:hAnsi="Arial" w:cs="Arial"/>
          <w:sz w:val="22"/>
          <w:lang w:val="es-CO"/>
        </w:rPr>
      </w:pPr>
      <w:r w:rsidRPr="00F176B9">
        <w:rPr>
          <w:rFonts w:ascii="Arial" w:eastAsia="Calibri" w:hAnsi="Arial" w:cs="Arial"/>
          <w:sz w:val="22"/>
          <w:lang w:val="es-CO"/>
        </w:rPr>
        <w:t xml:space="preserve">                                            </w:t>
      </w:r>
      <w:r w:rsidRPr="00F176B9">
        <w:rPr>
          <w:rFonts w:ascii="Arial" w:eastAsia="Calibri" w:hAnsi="Arial" w:cs="Arial"/>
          <w:b/>
          <w:sz w:val="22"/>
          <w:lang w:val="es-CO"/>
        </w:rPr>
        <w:t>Concepto C –</w:t>
      </w:r>
      <w:r w:rsidR="000E190F" w:rsidRPr="00F176B9">
        <w:rPr>
          <w:rFonts w:ascii="Arial" w:eastAsia="Calibri" w:hAnsi="Arial" w:cs="Arial"/>
          <w:b/>
          <w:sz w:val="22"/>
          <w:lang w:val="es-CO"/>
        </w:rPr>
        <w:t xml:space="preserve"> </w:t>
      </w:r>
      <w:r w:rsidR="001D4536">
        <w:rPr>
          <w:rFonts w:ascii="Arial" w:eastAsia="Calibri" w:hAnsi="Arial" w:cs="Arial"/>
          <w:b/>
          <w:sz w:val="22"/>
          <w:lang w:val="es-CO"/>
        </w:rPr>
        <w:t>4</w:t>
      </w:r>
      <w:r w:rsidR="00DA3ACF">
        <w:rPr>
          <w:rFonts w:ascii="Arial" w:eastAsia="Calibri" w:hAnsi="Arial" w:cs="Arial"/>
          <w:b/>
          <w:sz w:val="22"/>
          <w:lang w:val="es-CO"/>
        </w:rPr>
        <w:t>28</w:t>
      </w:r>
      <w:r w:rsidR="00F63738">
        <w:rPr>
          <w:rFonts w:ascii="Arial" w:eastAsia="Calibri" w:hAnsi="Arial" w:cs="Arial"/>
          <w:b/>
          <w:sz w:val="22"/>
          <w:lang w:val="es-CO"/>
        </w:rPr>
        <w:t xml:space="preserve"> </w:t>
      </w:r>
      <w:r w:rsidR="00285D82" w:rsidRPr="00F176B9">
        <w:rPr>
          <w:rFonts w:ascii="Arial" w:eastAsia="Calibri" w:hAnsi="Arial" w:cs="Arial"/>
          <w:b/>
          <w:sz w:val="22"/>
          <w:lang w:val="es-CO"/>
        </w:rPr>
        <w:t>de 202</w:t>
      </w:r>
      <w:r w:rsidR="001640BC" w:rsidRPr="00F176B9">
        <w:rPr>
          <w:rFonts w:ascii="Arial" w:eastAsia="Calibri" w:hAnsi="Arial" w:cs="Arial"/>
          <w:b/>
          <w:sz w:val="22"/>
          <w:lang w:val="es-CO"/>
        </w:rPr>
        <w:t>2</w:t>
      </w:r>
      <w:r w:rsidR="00B346CC" w:rsidRPr="00F176B9">
        <w:rPr>
          <w:rFonts w:ascii="Arial" w:hAnsi="Arial" w:cs="Arial"/>
          <w:sz w:val="22"/>
          <w:lang w:val="es-CO"/>
        </w:rPr>
        <w:t xml:space="preserve"> </w:t>
      </w:r>
    </w:p>
    <w:p w14:paraId="4736A594" w14:textId="77777777" w:rsidR="00303D47" w:rsidRPr="00F176B9" w:rsidRDefault="00303D47" w:rsidP="00F176B9">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176B9" w:rsidRPr="00F176B9" w14:paraId="1701BC3D" w14:textId="77777777" w:rsidTr="000641BE">
        <w:trPr>
          <w:trHeight w:val="485"/>
        </w:trPr>
        <w:tc>
          <w:tcPr>
            <w:tcW w:w="2689" w:type="dxa"/>
            <w:hideMark/>
          </w:tcPr>
          <w:p w14:paraId="69F7D7B9" w14:textId="77777777" w:rsidR="00714833" w:rsidRPr="00F176B9" w:rsidRDefault="00714833" w:rsidP="00F176B9">
            <w:pPr>
              <w:contextualSpacing/>
              <w:rPr>
                <w:rFonts w:ascii="Arial" w:eastAsia="Calibri" w:hAnsi="Arial" w:cs="Arial"/>
                <w:noProof/>
                <w:sz w:val="22"/>
                <w:lang w:val="es-ES_tradnl"/>
              </w:rPr>
            </w:pPr>
            <w:r w:rsidRPr="00F176B9">
              <w:rPr>
                <w:rFonts w:ascii="Arial" w:eastAsia="Calibri" w:hAnsi="Arial" w:cs="Arial"/>
                <w:b/>
                <w:noProof/>
                <w:sz w:val="22"/>
                <w:lang w:val="es-ES_tradnl"/>
              </w:rPr>
              <w:t>Temas:</w:t>
            </w:r>
            <w:r w:rsidRPr="00F176B9">
              <w:rPr>
                <w:rFonts w:ascii="Arial" w:eastAsia="Calibri" w:hAnsi="Arial" w:cs="Arial"/>
                <w:noProof/>
                <w:sz w:val="22"/>
                <w:lang w:val="es-ES_tradnl"/>
              </w:rPr>
              <w:t xml:space="preserve">        </w:t>
            </w:r>
          </w:p>
        </w:tc>
        <w:tc>
          <w:tcPr>
            <w:tcW w:w="6237" w:type="dxa"/>
            <w:hideMark/>
          </w:tcPr>
          <w:p w14:paraId="641BBBD5" w14:textId="1BAA327F" w:rsidR="00714833" w:rsidRPr="00F176B9" w:rsidRDefault="00303888" w:rsidP="002F7E31">
            <w:pPr>
              <w:spacing w:after="120"/>
              <w:ind w:right="703"/>
              <w:jc w:val="both"/>
              <w:rPr>
                <w:rFonts w:ascii="Arial" w:eastAsia="Calibri" w:hAnsi="Arial" w:cs="Arial"/>
                <w:bCs/>
                <w:sz w:val="22"/>
              </w:rPr>
            </w:pPr>
            <w:r w:rsidRPr="00303888">
              <w:rPr>
                <w:rFonts w:ascii="Arial" w:eastAsia="Calibri" w:hAnsi="Arial" w:cs="Arial"/>
                <w:bCs/>
                <w:sz w:val="22"/>
                <w:lang w:val="es-ES_tradnl"/>
              </w:rPr>
              <w:t>LEY DE GARANTÍAS ELECTORALES – Finalidad</w:t>
            </w:r>
            <w:r>
              <w:rPr>
                <w:rFonts w:ascii="Arial" w:eastAsia="Calibri" w:hAnsi="Arial" w:cs="Arial"/>
                <w:bCs/>
                <w:sz w:val="22"/>
                <w:lang w:val="es-ES_tradnl"/>
              </w:rPr>
              <w:t xml:space="preserve"> / </w:t>
            </w:r>
            <w:r w:rsidRPr="00303888">
              <w:rPr>
                <w:rFonts w:ascii="Arial" w:eastAsia="Calibri" w:hAnsi="Arial" w:cs="Arial"/>
                <w:bCs/>
                <w:sz w:val="22"/>
                <w:lang w:val="es-ES_tradnl"/>
              </w:rPr>
              <w:t xml:space="preserve">LEY DE GARANTÍAS ELECTORALES ‒ Restricciones ‒ Contratación ‒ Tipos de elección </w:t>
            </w:r>
            <w:r>
              <w:rPr>
                <w:rFonts w:ascii="Arial" w:eastAsia="Calibri" w:hAnsi="Arial" w:cs="Arial"/>
                <w:bCs/>
                <w:sz w:val="22"/>
                <w:lang w:val="es-ES_tradnl"/>
              </w:rPr>
              <w:t xml:space="preserve">/ </w:t>
            </w:r>
            <w:r w:rsidRPr="00303888">
              <w:rPr>
                <w:rFonts w:ascii="Arial" w:eastAsia="Calibri" w:hAnsi="Arial" w:cs="Arial"/>
                <w:bCs/>
                <w:sz w:val="22"/>
                <w:lang w:val="es-ES_tradnl"/>
              </w:rPr>
              <w:t xml:space="preserve">LEY DE GARANTÍAS ELECTORALES ─ Prohibición artículo 33 ‒ Contratación directa ‒ Alcance </w:t>
            </w:r>
            <w:r>
              <w:rPr>
                <w:rFonts w:ascii="Arial" w:eastAsia="Calibri" w:hAnsi="Arial" w:cs="Arial"/>
                <w:bCs/>
                <w:sz w:val="22"/>
                <w:lang w:val="es-ES_tradnl"/>
              </w:rPr>
              <w:t xml:space="preserve">/ </w:t>
            </w:r>
            <w:r w:rsidRPr="00303888">
              <w:rPr>
                <w:rFonts w:ascii="Arial" w:eastAsia="Calibri" w:hAnsi="Arial" w:cs="Arial"/>
                <w:bCs/>
                <w:sz w:val="22"/>
                <w:lang w:val="es-ES_tradnl"/>
              </w:rPr>
              <w:t>LEY DE GARANTÍAS ELECTORALES ‒ Prohibición del artículo 33 de la Ley de garantías ‒ Destinatarios</w:t>
            </w:r>
            <w:r>
              <w:rPr>
                <w:rFonts w:ascii="Arial" w:eastAsia="Calibri" w:hAnsi="Arial" w:cs="Arial"/>
                <w:bCs/>
                <w:sz w:val="22"/>
                <w:lang w:val="es-ES_tradnl"/>
              </w:rPr>
              <w:t xml:space="preserve"> / </w:t>
            </w:r>
            <w:r w:rsidRPr="00303888">
              <w:rPr>
                <w:rFonts w:ascii="Arial" w:eastAsia="Calibri" w:hAnsi="Arial" w:cs="Arial"/>
                <w:bCs/>
                <w:sz w:val="22"/>
                <w:lang w:val="es-ES_tradnl"/>
              </w:rPr>
              <w:t>LEY DE GARANTÍAS ELECTORALES ‒ Excepciones</w:t>
            </w:r>
            <w:r w:rsidR="00F43FC8">
              <w:rPr>
                <w:rFonts w:ascii="Arial" w:eastAsia="Calibri" w:hAnsi="Arial" w:cs="Arial"/>
                <w:bCs/>
                <w:sz w:val="22"/>
                <w:lang w:val="es-ES_tradnl"/>
              </w:rPr>
              <w:t xml:space="preserve"> </w:t>
            </w:r>
            <w:r w:rsidR="003D0503">
              <w:rPr>
                <w:rFonts w:ascii="Arial" w:eastAsia="Calibri" w:hAnsi="Arial" w:cs="Arial"/>
                <w:bCs/>
                <w:sz w:val="22"/>
                <w:lang w:val="es-ES_tradnl"/>
              </w:rPr>
              <w:t xml:space="preserve">/ </w:t>
            </w:r>
            <w:r w:rsidR="003D0503" w:rsidRPr="00303888">
              <w:rPr>
                <w:rFonts w:ascii="Arial" w:eastAsia="Calibri" w:hAnsi="Arial" w:cs="Arial"/>
                <w:bCs/>
                <w:sz w:val="22"/>
                <w:lang w:val="es-ES_tradnl"/>
              </w:rPr>
              <w:t>ADICIÓN</w:t>
            </w:r>
            <w:r w:rsidR="00F43FC8" w:rsidRPr="00F43FC8">
              <w:rPr>
                <w:rFonts w:ascii="Arial" w:eastAsia="Calibri" w:hAnsi="Arial" w:cs="Arial"/>
                <w:bCs/>
                <w:sz w:val="22"/>
                <w:lang w:val="es-ES_tradnl"/>
              </w:rPr>
              <w:t>, PRÓRROGA Y RENOVACIÓN – Diferencias</w:t>
            </w:r>
            <w:r w:rsidR="00231255">
              <w:rPr>
                <w:rFonts w:ascii="Arial" w:eastAsia="Calibri" w:hAnsi="Arial" w:cs="Arial"/>
                <w:bCs/>
                <w:sz w:val="22"/>
                <w:lang w:val="es-ES_tradnl"/>
              </w:rPr>
              <w:t xml:space="preserve"> / </w:t>
            </w:r>
            <w:r w:rsidR="00231255" w:rsidRPr="00231255">
              <w:rPr>
                <w:rFonts w:ascii="Arial" w:eastAsia="Calibri" w:hAnsi="Arial" w:cs="Arial"/>
                <w:bCs/>
                <w:sz w:val="22"/>
                <w:lang w:val="es-ES_tradnl"/>
              </w:rPr>
              <w:t xml:space="preserve">ADICIÓN, PRÓRROGA Y RENOVACIÓN – Posibilidad de suscripción </w:t>
            </w:r>
            <w:r>
              <w:rPr>
                <w:rFonts w:ascii="Arial" w:eastAsia="Calibri" w:hAnsi="Arial" w:cs="Arial"/>
                <w:bCs/>
                <w:sz w:val="22"/>
                <w:lang w:val="es-ES_tradnl"/>
              </w:rPr>
              <w:t xml:space="preserve"> </w:t>
            </w:r>
          </w:p>
        </w:tc>
      </w:tr>
      <w:tr w:rsidR="00B66D78" w:rsidRPr="00F176B9" w14:paraId="4074FCE6" w14:textId="77777777" w:rsidTr="000641BE">
        <w:tc>
          <w:tcPr>
            <w:tcW w:w="2689" w:type="dxa"/>
          </w:tcPr>
          <w:p w14:paraId="389F2C2E" w14:textId="77777777" w:rsidR="00FE0395" w:rsidRPr="00F176B9" w:rsidRDefault="00FE0395" w:rsidP="00F176B9">
            <w:pPr>
              <w:contextualSpacing/>
              <w:rPr>
                <w:rFonts w:ascii="Arial" w:eastAsia="Calibri" w:hAnsi="Arial" w:cs="Arial"/>
                <w:b/>
                <w:noProof/>
                <w:sz w:val="22"/>
                <w:lang w:val="es-ES_tradnl"/>
              </w:rPr>
            </w:pPr>
            <w:r w:rsidRPr="00F176B9">
              <w:rPr>
                <w:rFonts w:ascii="Arial" w:eastAsia="Calibri" w:hAnsi="Arial" w:cs="Arial"/>
                <w:b/>
                <w:noProof/>
                <w:sz w:val="22"/>
                <w:lang w:val="es-ES_tradnl"/>
              </w:rPr>
              <w:t>Radicación:</w:t>
            </w:r>
            <w:r w:rsidRPr="00F176B9">
              <w:rPr>
                <w:rFonts w:ascii="Arial" w:eastAsia="Calibri" w:hAnsi="Arial" w:cs="Arial"/>
                <w:noProof/>
                <w:sz w:val="22"/>
                <w:lang w:val="es-ES_tradnl"/>
              </w:rPr>
              <w:t xml:space="preserve">                              </w:t>
            </w:r>
          </w:p>
        </w:tc>
        <w:tc>
          <w:tcPr>
            <w:tcW w:w="6237" w:type="dxa"/>
          </w:tcPr>
          <w:p w14:paraId="290F0664" w14:textId="205EC80B" w:rsidR="00FE0395" w:rsidRPr="00F176B9" w:rsidRDefault="00FE0395" w:rsidP="00F176B9">
            <w:pPr>
              <w:contextualSpacing/>
              <w:jc w:val="both"/>
              <w:rPr>
                <w:rFonts w:ascii="Arial" w:eastAsia="Calibri" w:hAnsi="Arial" w:cs="Arial"/>
                <w:noProof/>
                <w:sz w:val="22"/>
                <w:lang w:val="es-ES_tradnl"/>
              </w:rPr>
            </w:pPr>
            <w:r w:rsidRPr="00F176B9">
              <w:rPr>
                <w:rFonts w:ascii="Arial" w:eastAsia="Calibri" w:hAnsi="Arial" w:cs="Arial"/>
                <w:noProof/>
                <w:sz w:val="22"/>
                <w:lang w:val="es-ES_tradnl"/>
              </w:rPr>
              <w:t>Respuesta a consulta</w:t>
            </w:r>
            <w:r w:rsidR="003F7230">
              <w:rPr>
                <w:rFonts w:ascii="Arial" w:eastAsia="Calibri" w:hAnsi="Arial" w:cs="Arial"/>
                <w:noProof/>
                <w:sz w:val="22"/>
                <w:lang w:val="es-ES_tradnl"/>
              </w:rPr>
              <w:t>s</w:t>
            </w:r>
            <w:r w:rsidRPr="00F176B9">
              <w:rPr>
                <w:rFonts w:ascii="Arial" w:eastAsia="Calibri" w:hAnsi="Arial" w:cs="Arial"/>
                <w:noProof/>
                <w:sz w:val="22"/>
                <w:lang w:val="es-ES_tradnl"/>
              </w:rPr>
              <w:t xml:space="preserve"> </w:t>
            </w:r>
            <w:r w:rsidR="004653E7" w:rsidRPr="00F176B9">
              <w:rPr>
                <w:rFonts w:ascii="Arial" w:eastAsia="Calibri" w:hAnsi="Arial" w:cs="Arial"/>
                <w:noProof/>
                <w:sz w:val="22"/>
                <w:lang w:val="es-ES_tradnl"/>
              </w:rPr>
              <w:t>P2022</w:t>
            </w:r>
            <w:r w:rsidR="006E34D5">
              <w:rPr>
                <w:rFonts w:ascii="Arial" w:eastAsia="Calibri" w:hAnsi="Arial" w:cs="Arial"/>
                <w:noProof/>
                <w:sz w:val="22"/>
                <w:lang w:val="es-ES_tradnl"/>
              </w:rPr>
              <w:t>0519004989</w:t>
            </w:r>
            <w:r w:rsidR="003F7230">
              <w:rPr>
                <w:rFonts w:ascii="Arial" w:eastAsia="Calibri" w:hAnsi="Arial" w:cs="Arial"/>
                <w:noProof/>
                <w:sz w:val="22"/>
                <w:lang w:val="es-ES_tradnl"/>
              </w:rPr>
              <w:t xml:space="preserve"> y P20220524005147 (acumuladas)</w:t>
            </w:r>
          </w:p>
        </w:tc>
      </w:tr>
    </w:tbl>
    <w:p w14:paraId="0CB3D4D0" w14:textId="77777777" w:rsidR="00FE0395" w:rsidRPr="00F176B9" w:rsidRDefault="00FE0395" w:rsidP="00F176B9">
      <w:pPr>
        <w:spacing w:after="0" w:line="240" w:lineRule="auto"/>
        <w:rPr>
          <w:rFonts w:ascii="Arial" w:eastAsia="Calibri" w:hAnsi="Arial" w:cs="Arial"/>
          <w:sz w:val="22"/>
          <w:lang w:val="es-CO"/>
        </w:rPr>
      </w:pPr>
    </w:p>
    <w:p w14:paraId="3C6248D2" w14:textId="77777777" w:rsidR="00F246FE" w:rsidRPr="00F176B9" w:rsidRDefault="00F246FE" w:rsidP="00F176B9">
      <w:pPr>
        <w:spacing w:after="0" w:line="240" w:lineRule="auto"/>
        <w:rPr>
          <w:rFonts w:ascii="Arial" w:eastAsia="Calibri" w:hAnsi="Arial" w:cs="Arial"/>
          <w:sz w:val="22"/>
          <w:lang w:val="es-CO"/>
        </w:rPr>
      </w:pPr>
    </w:p>
    <w:p w14:paraId="0ADE9D41" w14:textId="40A58256" w:rsidR="00990612" w:rsidRPr="00F176B9" w:rsidRDefault="00990612" w:rsidP="00F176B9">
      <w:pPr>
        <w:spacing w:after="0"/>
        <w:rPr>
          <w:rFonts w:ascii="Arial" w:eastAsia="Calibri" w:hAnsi="Arial" w:cs="Arial"/>
          <w:sz w:val="22"/>
          <w:lang w:val="es-CO"/>
        </w:rPr>
      </w:pPr>
      <w:r w:rsidRPr="00F176B9">
        <w:rPr>
          <w:rFonts w:ascii="Arial" w:eastAsia="Calibri" w:hAnsi="Arial" w:cs="Arial"/>
          <w:sz w:val="22"/>
          <w:lang w:val="es-CO"/>
        </w:rPr>
        <w:t>Estimad</w:t>
      </w:r>
      <w:r w:rsidR="001260C4">
        <w:rPr>
          <w:rFonts w:ascii="Arial" w:eastAsia="Calibri" w:hAnsi="Arial" w:cs="Arial"/>
          <w:sz w:val="22"/>
          <w:lang w:val="es-CO"/>
        </w:rPr>
        <w:t>o</w:t>
      </w:r>
      <w:r w:rsidR="009D7290" w:rsidRPr="00F176B9">
        <w:rPr>
          <w:rFonts w:ascii="Arial" w:eastAsia="Calibri" w:hAnsi="Arial" w:cs="Arial"/>
          <w:sz w:val="22"/>
          <w:lang w:val="es-CO"/>
        </w:rPr>
        <w:t xml:space="preserve"> </w:t>
      </w:r>
      <w:r w:rsidR="004653E7" w:rsidRPr="00F176B9">
        <w:rPr>
          <w:rFonts w:ascii="Arial" w:eastAsia="Calibri" w:hAnsi="Arial" w:cs="Arial"/>
          <w:sz w:val="22"/>
          <w:lang w:val="es-CO"/>
        </w:rPr>
        <w:t>señ</w:t>
      </w:r>
      <w:r w:rsidR="00042B29">
        <w:rPr>
          <w:rFonts w:ascii="Arial" w:eastAsia="Calibri" w:hAnsi="Arial" w:cs="Arial"/>
          <w:sz w:val="22"/>
          <w:lang w:val="es-CO"/>
        </w:rPr>
        <w:t>or Marulanda Barreto</w:t>
      </w:r>
      <w:r w:rsidR="006D44E6">
        <w:rPr>
          <w:rFonts w:ascii="Arial" w:eastAsia="Calibri" w:hAnsi="Arial" w:cs="Arial"/>
          <w:sz w:val="22"/>
          <w:lang w:val="es-CO"/>
        </w:rPr>
        <w:t>:</w:t>
      </w:r>
    </w:p>
    <w:p w14:paraId="19436ABB" w14:textId="77777777" w:rsidR="00990612" w:rsidRPr="00F176B9" w:rsidRDefault="00990612" w:rsidP="00F176B9">
      <w:pPr>
        <w:spacing w:after="0"/>
        <w:ind w:firstLine="709"/>
        <w:rPr>
          <w:rFonts w:ascii="Arial" w:eastAsia="Calibri" w:hAnsi="Arial" w:cs="Arial"/>
          <w:sz w:val="22"/>
          <w:lang w:val="es-CO"/>
        </w:rPr>
      </w:pPr>
    </w:p>
    <w:p w14:paraId="4A62508A" w14:textId="2885E94C" w:rsidR="00990612" w:rsidRPr="00F176B9" w:rsidRDefault="00990612" w:rsidP="00F176B9">
      <w:pPr>
        <w:spacing w:after="0"/>
        <w:ind w:right="51"/>
        <w:rPr>
          <w:rFonts w:ascii="Arial" w:eastAsia="Calibri" w:hAnsi="Arial" w:cs="Arial"/>
          <w:sz w:val="22"/>
          <w:lang w:val="es-CO"/>
        </w:rPr>
      </w:pPr>
      <w:r w:rsidRPr="00F176B9">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w:t>
      </w:r>
      <w:r w:rsidR="00E7503A" w:rsidRPr="00F176B9">
        <w:rPr>
          <w:rFonts w:ascii="Arial" w:eastAsia="Calibri" w:hAnsi="Arial" w:cs="Arial"/>
          <w:sz w:val="22"/>
          <w:lang w:val="es-CO"/>
        </w:rPr>
        <w:t xml:space="preserve"> responde</w:t>
      </w:r>
      <w:r w:rsidRPr="00F176B9">
        <w:rPr>
          <w:rFonts w:ascii="Arial" w:eastAsia="Calibri" w:hAnsi="Arial" w:cs="Arial"/>
          <w:sz w:val="22"/>
          <w:lang w:val="es-CO"/>
        </w:rPr>
        <w:t xml:space="preserve"> la</w:t>
      </w:r>
      <w:r w:rsidR="00F92D56">
        <w:rPr>
          <w:rFonts w:ascii="Arial" w:eastAsia="Calibri" w:hAnsi="Arial" w:cs="Arial"/>
          <w:sz w:val="22"/>
          <w:lang w:val="es-CO"/>
        </w:rPr>
        <w:t>s</w:t>
      </w:r>
      <w:r w:rsidRPr="00F176B9">
        <w:rPr>
          <w:rFonts w:ascii="Arial" w:eastAsia="Calibri" w:hAnsi="Arial" w:cs="Arial"/>
          <w:sz w:val="22"/>
          <w:lang w:val="es-CO"/>
        </w:rPr>
        <w:t xml:space="preserve"> consulta</w:t>
      </w:r>
      <w:r w:rsidR="00F92D56">
        <w:rPr>
          <w:rFonts w:ascii="Arial" w:eastAsia="Calibri" w:hAnsi="Arial" w:cs="Arial"/>
          <w:sz w:val="22"/>
          <w:lang w:val="es-CO"/>
        </w:rPr>
        <w:t>s</w:t>
      </w:r>
      <w:r w:rsidRPr="00F176B9">
        <w:rPr>
          <w:rFonts w:ascii="Arial" w:eastAsia="Calibri" w:hAnsi="Arial" w:cs="Arial"/>
          <w:sz w:val="22"/>
          <w:lang w:val="es-CO"/>
        </w:rPr>
        <w:t xml:space="preserve"> </w:t>
      </w:r>
      <w:r w:rsidR="00FE65B4" w:rsidRPr="00F176B9">
        <w:rPr>
          <w:rFonts w:ascii="Arial" w:eastAsia="Calibri" w:hAnsi="Arial" w:cs="Arial"/>
          <w:sz w:val="22"/>
          <w:lang w:val="es-CO"/>
        </w:rPr>
        <w:t>radicada</w:t>
      </w:r>
      <w:r w:rsidR="00F92D56">
        <w:rPr>
          <w:rFonts w:ascii="Arial" w:eastAsia="Calibri" w:hAnsi="Arial" w:cs="Arial"/>
          <w:sz w:val="22"/>
          <w:lang w:val="es-CO"/>
        </w:rPr>
        <w:t>s</w:t>
      </w:r>
      <w:r w:rsidR="00FE65B4" w:rsidRPr="00F176B9">
        <w:rPr>
          <w:rFonts w:ascii="Arial" w:eastAsia="Calibri" w:hAnsi="Arial" w:cs="Arial"/>
          <w:sz w:val="22"/>
          <w:lang w:val="es-CO"/>
        </w:rPr>
        <w:t xml:space="preserve"> </w:t>
      </w:r>
      <w:r w:rsidRPr="00F176B9">
        <w:rPr>
          <w:rFonts w:ascii="Arial" w:eastAsia="Calibri" w:hAnsi="Arial" w:cs="Arial"/>
          <w:sz w:val="22"/>
          <w:lang w:val="es-CO"/>
        </w:rPr>
        <w:t xml:space="preserve">el </w:t>
      </w:r>
      <w:r w:rsidR="00042B29">
        <w:rPr>
          <w:rFonts w:ascii="Arial" w:eastAsia="Calibri" w:hAnsi="Arial" w:cs="Arial"/>
          <w:sz w:val="22"/>
          <w:lang w:val="es-CO"/>
        </w:rPr>
        <w:t>19</w:t>
      </w:r>
      <w:r w:rsidR="006D44E6">
        <w:rPr>
          <w:rFonts w:ascii="Arial" w:eastAsia="Calibri" w:hAnsi="Arial" w:cs="Arial"/>
          <w:sz w:val="22"/>
          <w:lang w:val="es-CO"/>
        </w:rPr>
        <w:t xml:space="preserve"> </w:t>
      </w:r>
      <w:r w:rsidR="00975490" w:rsidRPr="00F176B9">
        <w:rPr>
          <w:rFonts w:ascii="Arial" w:eastAsia="Calibri" w:hAnsi="Arial" w:cs="Arial"/>
          <w:sz w:val="22"/>
          <w:lang w:val="es-CO"/>
        </w:rPr>
        <w:t>de</w:t>
      </w:r>
      <w:r w:rsidR="006D44E6">
        <w:rPr>
          <w:rFonts w:ascii="Arial" w:eastAsia="Calibri" w:hAnsi="Arial" w:cs="Arial"/>
          <w:sz w:val="22"/>
          <w:lang w:val="es-CO"/>
        </w:rPr>
        <w:t xml:space="preserve"> </w:t>
      </w:r>
      <w:r w:rsidR="00861F65">
        <w:rPr>
          <w:rFonts w:ascii="Arial" w:eastAsia="Calibri" w:hAnsi="Arial" w:cs="Arial"/>
          <w:sz w:val="22"/>
          <w:lang w:val="es-CO"/>
        </w:rPr>
        <w:t>mayo</w:t>
      </w:r>
      <w:r w:rsidR="00E3568A" w:rsidRPr="00F176B9">
        <w:rPr>
          <w:rFonts w:ascii="Arial" w:eastAsia="Calibri" w:hAnsi="Arial" w:cs="Arial"/>
          <w:sz w:val="22"/>
          <w:lang w:val="es-CO"/>
        </w:rPr>
        <w:t xml:space="preserve"> </w:t>
      </w:r>
      <w:r w:rsidRPr="00F176B9">
        <w:rPr>
          <w:rFonts w:ascii="Arial" w:eastAsia="Calibri" w:hAnsi="Arial" w:cs="Arial"/>
          <w:sz w:val="22"/>
          <w:lang w:val="es-CO"/>
        </w:rPr>
        <w:t>de 202</w:t>
      </w:r>
      <w:r w:rsidR="004653E7" w:rsidRPr="00F176B9">
        <w:rPr>
          <w:rFonts w:ascii="Arial" w:eastAsia="Calibri" w:hAnsi="Arial" w:cs="Arial"/>
          <w:sz w:val="22"/>
          <w:lang w:val="es-CO"/>
        </w:rPr>
        <w:t>2</w:t>
      </w:r>
      <w:r w:rsidRPr="00F176B9">
        <w:rPr>
          <w:rFonts w:ascii="Arial" w:eastAsia="Calibri" w:hAnsi="Arial" w:cs="Arial"/>
          <w:sz w:val="22"/>
          <w:lang w:val="es-CO"/>
        </w:rPr>
        <w:t xml:space="preserve">. </w:t>
      </w:r>
    </w:p>
    <w:p w14:paraId="6512D341" w14:textId="77777777" w:rsidR="00303D47" w:rsidRPr="00F176B9" w:rsidRDefault="00303D47" w:rsidP="00F176B9">
      <w:pPr>
        <w:spacing w:after="0"/>
        <w:rPr>
          <w:rFonts w:ascii="Arial" w:eastAsia="Calibri" w:hAnsi="Arial" w:cs="Arial"/>
          <w:sz w:val="22"/>
          <w:lang w:val="es-CO"/>
        </w:rPr>
      </w:pPr>
    </w:p>
    <w:p w14:paraId="3B0D1063" w14:textId="420ECC95" w:rsidR="005A114C" w:rsidRPr="00F176B9" w:rsidRDefault="002B72C0" w:rsidP="00F176B9">
      <w:pPr>
        <w:tabs>
          <w:tab w:val="left" w:pos="284"/>
        </w:tabs>
        <w:spacing w:after="0"/>
        <w:rPr>
          <w:rFonts w:ascii="Arial" w:eastAsia="Calibri" w:hAnsi="Arial" w:cs="Arial"/>
          <w:b/>
          <w:sz w:val="22"/>
          <w:lang w:val="es-CO"/>
        </w:rPr>
      </w:pPr>
      <w:r w:rsidRPr="00F176B9">
        <w:rPr>
          <w:rFonts w:ascii="Arial" w:eastAsia="Calibri" w:hAnsi="Arial" w:cs="Arial"/>
          <w:b/>
          <w:sz w:val="22"/>
          <w:lang w:val="es-CO"/>
        </w:rPr>
        <w:t xml:space="preserve">1. </w:t>
      </w:r>
      <w:r w:rsidR="00990612" w:rsidRPr="00F176B9">
        <w:rPr>
          <w:rFonts w:ascii="Arial" w:eastAsia="Calibri" w:hAnsi="Arial" w:cs="Arial"/>
          <w:b/>
          <w:sz w:val="22"/>
          <w:lang w:val="es-CO"/>
        </w:rPr>
        <w:t>Problema</w:t>
      </w:r>
      <w:r w:rsidR="00AD55A8">
        <w:rPr>
          <w:rFonts w:ascii="Arial" w:eastAsia="Calibri" w:hAnsi="Arial" w:cs="Arial"/>
          <w:b/>
          <w:sz w:val="22"/>
          <w:lang w:val="es-CO"/>
        </w:rPr>
        <w:t>s</w:t>
      </w:r>
      <w:r w:rsidR="00990612" w:rsidRPr="00F176B9">
        <w:rPr>
          <w:rFonts w:ascii="Arial" w:eastAsia="Calibri" w:hAnsi="Arial" w:cs="Arial"/>
          <w:b/>
          <w:sz w:val="22"/>
          <w:lang w:val="es-CO"/>
        </w:rPr>
        <w:t xml:space="preserve"> planteado</w:t>
      </w:r>
      <w:r w:rsidR="00AD55A8">
        <w:rPr>
          <w:rFonts w:ascii="Arial" w:eastAsia="Calibri" w:hAnsi="Arial" w:cs="Arial"/>
          <w:b/>
          <w:sz w:val="22"/>
          <w:lang w:val="es-CO"/>
        </w:rPr>
        <w:t>s</w:t>
      </w:r>
    </w:p>
    <w:p w14:paraId="2FBDB7F6" w14:textId="77777777" w:rsidR="005A114C" w:rsidRPr="007B78B9" w:rsidRDefault="005A114C" w:rsidP="00F176B9">
      <w:pPr>
        <w:pStyle w:val="Prrafodelista"/>
        <w:tabs>
          <w:tab w:val="left" w:pos="284"/>
        </w:tabs>
        <w:spacing w:after="0"/>
        <w:ind w:left="0" w:firstLine="709"/>
        <w:rPr>
          <w:rFonts w:ascii="Arial" w:eastAsia="Calibri" w:hAnsi="Arial" w:cs="Arial"/>
          <w:b/>
          <w:sz w:val="18"/>
          <w:szCs w:val="18"/>
          <w:lang w:val="es-CO"/>
        </w:rPr>
      </w:pPr>
    </w:p>
    <w:p w14:paraId="1598A224" w14:textId="3453CA19" w:rsidR="009B2C78" w:rsidRDefault="004653E7" w:rsidP="002E7E35">
      <w:pPr>
        <w:autoSpaceDE w:val="0"/>
        <w:autoSpaceDN w:val="0"/>
        <w:adjustRightInd w:val="0"/>
        <w:spacing w:after="0" w:line="240" w:lineRule="auto"/>
        <w:jc w:val="left"/>
        <w:rPr>
          <w:rFonts w:ascii="Arial" w:hAnsi="Arial" w:cs="Arial"/>
          <w:sz w:val="22"/>
          <w:shd w:val="clear" w:color="auto" w:fill="FFFFFF"/>
        </w:rPr>
      </w:pPr>
      <w:bookmarkStart w:id="9" w:name="_Hlk58917991"/>
      <w:bookmarkStart w:id="10" w:name="_Hlk56103000"/>
      <w:r w:rsidRPr="00F176B9">
        <w:rPr>
          <w:rFonts w:ascii="Arial" w:hAnsi="Arial" w:cs="Arial"/>
          <w:sz w:val="22"/>
        </w:rPr>
        <w:t xml:space="preserve">Usted realiza </w:t>
      </w:r>
      <w:r w:rsidR="00C67716">
        <w:rPr>
          <w:rFonts w:ascii="Arial" w:hAnsi="Arial" w:cs="Arial"/>
          <w:sz w:val="22"/>
        </w:rPr>
        <w:t>la</w:t>
      </w:r>
      <w:r w:rsidR="00861F65">
        <w:rPr>
          <w:rFonts w:ascii="Arial" w:hAnsi="Arial" w:cs="Arial"/>
          <w:sz w:val="22"/>
        </w:rPr>
        <w:t>s</w:t>
      </w:r>
      <w:r w:rsidR="00C67716">
        <w:rPr>
          <w:rFonts w:ascii="Arial" w:hAnsi="Arial" w:cs="Arial"/>
          <w:sz w:val="22"/>
        </w:rPr>
        <w:t xml:space="preserve"> siguiente</w:t>
      </w:r>
      <w:r w:rsidR="00861F65">
        <w:rPr>
          <w:rFonts w:ascii="Arial" w:hAnsi="Arial" w:cs="Arial"/>
          <w:sz w:val="22"/>
        </w:rPr>
        <w:t>s</w:t>
      </w:r>
      <w:r w:rsidR="00C67716">
        <w:rPr>
          <w:rFonts w:ascii="Arial" w:hAnsi="Arial" w:cs="Arial"/>
          <w:sz w:val="22"/>
        </w:rPr>
        <w:t xml:space="preserve"> </w:t>
      </w:r>
      <w:r w:rsidRPr="00F176B9">
        <w:rPr>
          <w:rFonts w:ascii="Arial" w:hAnsi="Arial" w:cs="Arial"/>
          <w:sz w:val="22"/>
        </w:rPr>
        <w:t>consulta</w:t>
      </w:r>
      <w:r w:rsidR="00861F65">
        <w:rPr>
          <w:rFonts w:ascii="Arial" w:hAnsi="Arial" w:cs="Arial"/>
          <w:sz w:val="22"/>
        </w:rPr>
        <w:t xml:space="preserve">s relacionadas con la </w:t>
      </w:r>
      <w:r w:rsidR="00AE10E4">
        <w:rPr>
          <w:rFonts w:ascii="Arial" w:hAnsi="Arial" w:cs="Arial"/>
          <w:sz w:val="22"/>
        </w:rPr>
        <w:t>Ley de Garantías</w:t>
      </w:r>
      <w:r w:rsidR="008C710C" w:rsidRPr="00F176B9">
        <w:rPr>
          <w:rFonts w:ascii="Arial" w:hAnsi="Arial" w:cs="Arial"/>
          <w:sz w:val="22"/>
          <w:shd w:val="clear" w:color="auto" w:fill="FFFFFF"/>
        </w:rPr>
        <w:t xml:space="preserve">: </w:t>
      </w:r>
    </w:p>
    <w:p w14:paraId="267A195A" w14:textId="77777777" w:rsidR="009B2C78" w:rsidRDefault="009B2C78" w:rsidP="002E7E35">
      <w:pPr>
        <w:autoSpaceDE w:val="0"/>
        <w:autoSpaceDN w:val="0"/>
        <w:adjustRightInd w:val="0"/>
        <w:spacing w:after="0" w:line="240" w:lineRule="auto"/>
        <w:jc w:val="left"/>
        <w:rPr>
          <w:rFonts w:ascii="Arial" w:hAnsi="Arial" w:cs="Arial"/>
          <w:sz w:val="22"/>
          <w:shd w:val="clear" w:color="auto" w:fill="FFFFFF"/>
        </w:rPr>
      </w:pPr>
    </w:p>
    <w:p w14:paraId="7DCB4449" w14:textId="0D7CF17C" w:rsidR="00AE10E4" w:rsidRPr="005977FA" w:rsidRDefault="00AE10E4" w:rsidP="00231255">
      <w:pPr>
        <w:autoSpaceDE w:val="0"/>
        <w:autoSpaceDN w:val="0"/>
        <w:adjustRightInd w:val="0"/>
        <w:spacing w:after="0" w:line="240" w:lineRule="auto"/>
        <w:ind w:left="709" w:right="709"/>
        <w:rPr>
          <w:rFonts w:ascii="Arial" w:hAnsi="Arial" w:cs="Arial"/>
          <w:sz w:val="21"/>
          <w:szCs w:val="21"/>
          <w:shd w:val="clear" w:color="auto" w:fill="FFFFFF"/>
        </w:rPr>
      </w:pPr>
      <w:bookmarkStart w:id="11" w:name="_Hlk101815807"/>
      <w:bookmarkStart w:id="12" w:name="_Hlk107498242"/>
      <w:bookmarkStart w:id="13" w:name="_Hlk105769369"/>
      <w:r w:rsidRPr="005977FA">
        <w:rPr>
          <w:rFonts w:ascii="Arial" w:hAnsi="Arial" w:cs="Arial"/>
          <w:sz w:val="21"/>
          <w:szCs w:val="21"/>
          <w:shd w:val="clear" w:color="auto" w:fill="FFFFFF"/>
        </w:rPr>
        <w:t>«</w:t>
      </w:r>
      <w:r w:rsidRPr="00231255">
        <w:rPr>
          <w:rFonts w:ascii="Arial" w:hAnsi="Arial" w:cs="Arial"/>
          <w:sz w:val="21"/>
          <w:szCs w:val="21"/>
        </w:rPr>
        <w:t>1</w:t>
      </w:r>
      <w:r w:rsidRPr="005977FA">
        <w:rPr>
          <w:rFonts w:ascii="Arial" w:hAnsi="Arial" w:cs="Arial"/>
          <w:sz w:val="21"/>
          <w:szCs w:val="21"/>
          <w:shd w:val="clear" w:color="auto" w:fill="FFFFFF"/>
        </w:rPr>
        <w:t>. Están incluidas o excluidas las renovaciones de contratos cuya vigencia vence en ley de garantías, pues la norma solo refiere a prorrogas. Debo aclarar que en materia comercial no son aplicables las prórrogas, ni en el sector privado, ni público.</w:t>
      </w:r>
    </w:p>
    <w:p w14:paraId="77D90C92" w14:textId="77777777" w:rsidR="00AE10E4" w:rsidRPr="005977FA" w:rsidRDefault="00AE10E4" w:rsidP="00231255">
      <w:pPr>
        <w:autoSpaceDE w:val="0"/>
        <w:autoSpaceDN w:val="0"/>
        <w:adjustRightInd w:val="0"/>
        <w:spacing w:after="0" w:line="240" w:lineRule="auto"/>
        <w:ind w:left="709" w:right="709"/>
        <w:rPr>
          <w:rFonts w:ascii="Arial" w:hAnsi="Arial" w:cs="Arial"/>
          <w:sz w:val="21"/>
          <w:szCs w:val="21"/>
          <w:shd w:val="clear" w:color="auto" w:fill="FFFFFF"/>
        </w:rPr>
      </w:pPr>
    </w:p>
    <w:p w14:paraId="301D0E3D" w14:textId="10ED3401" w:rsidR="00AE10E4" w:rsidRPr="005977FA" w:rsidRDefault="00E50065" w:rsidP="00231255">
      <w:pPr>
        <w:autoSpaceDE w:val="0"/>
        <w:autoSpaceDN w:val="0"/>
        <w:adjustRightInd w:val="0"/>
        <w:spacing w:after="0" w:line="240" w:lineRule="auto"/>
        <w:ind w:left="709" w:right="709"/>
        <w:rPr>
          <w:rFonts w:ascii="Arial" w:hAnsi="Arial" w:cs="Arial"/>
          <w:sz w:val="21"/>
          <w:szCs w:val="21"/>
          <w:shd w:val="clear" w:color="auto" w:fill="FFFFFF"/>
        </w:rPr>
      </w:pPr>
      <w:r>
        <w:rPr>
          <w:rFonts w:ascii="Arial" w:hAnsi="Arial" w:cs="Arial"/>
          <w:sz w:val="21"/>
          <w:szCs w:val="21"/>
          <w:shd w:val="clear" w:color="auto" w:fill="FFFFFF"/>
        </w:rPr>
        <w:t>»</w:t>
      </w:r>
      <w:r w:rsidR="00AE10E4" w:rsidRPr="005977FA">
        <w:rPr>
          <w:rFonts w:ascii="Arial" w:hAnsi="Arial" w:cs="Arial"/>
          <w:sz w:val="21"/>
          <w:szCs w:val="21"/>
          <w:shd w:val="clear" w:color="auto" w:fill="FFFFFF"/>
        </w:rPr>
        <w:t>2. La ley de garantías excluye la celebración de contratos de arrendamiento en entidades del estado que tienen como parte de su objeto social la entrega de bienes en arrendamiento.</w:t>
      </w:r>
    </w:p>
    <w:p w14:paraId="494826CE" w14:textId="77777777" w:rsidR="00AE10E4" w:rsidRPr="005977FA" w:rsidRDefault="00AE10E4" w:rsidP="00231255">
      <w:pPr>
        <w:autoSpaceDE w:val="0"/>
        <w:autoSpaceDN w:val="0"/>
        <w:adjustRightInd w:val="0"/>
        <w:spacing w:after="0" w:line="240" w:lineRule="auto"/>
        <w:ind w:left="709" w:right="709"/>
        <w:rPr>
          <w:rFonts w:ascii="Arial" w:hAnsi="Arial" w:cs="Arial"/>
          <w:sz w:val="21"/>
          <w:szCs w:val="21"/>
          <w:shd w:val="clear" w:color="auto" w:fill="FFFFFF"/>
        </w:rPr>
      </w:pPr>
    </w:p>
    <w:p w14:paraId="08412056" w14:textId="69547059" w:rsidR="00AE10E4" w:rsidRPr="005977FA" w:rsidRDefault="00E50065" w:rsidP="00231255">
      <w:pPr>
        <w:autoSpaceDE w:val="0"/>
        <w:autoSpaceDN w:val="0"/>
        <w:adjustRightInd w:val="0"/>
        <w:spacing w:after="0" w:line="240" w:lineRule="auto"/>
        <w:ind w:left="709" w:right="709"/>
        <w:rPr>
          <w:rFonts w:ascii="Arial" w:hAnsi="Arial" w:cs="Arial"/>
          <w:sz w:val="21"/>
          <w:szCs w:val="21"/>
          <w:shd w:val="clear" w:color="auto" w:fill="FFFFFF"/>
        </w:rPr>
      </w:pPr>
      <w:r>
        <w:rPr>
          <w:rFonts w:ascii="Arial" w:hAnsi="Arial" w:cs="Arial"/>
          <w:sz w:val="21"/>
          <w:szCs w:val="21"/>
          <w:shd w:val="clear" w:color="auto" w:fill="FFFFFF"/>
        </w:rPr>
        <w:t>»</w:t>
      </w:r>
      <w:r w:rsidR="00AE10E4" w:rsidRPr="005977FA">
        <w:rPr>
          <w:rFonts w:ascii="Arial" w:hAnsi="Arial" w:cs="Arial"/>
          <w:sz w:val="21"/>
          <w:szCs w:val="21"/>
          <w:shd w:val="clear" w:color="auto" w:fill="FFFFFF"/>
        </w:rPr>
        <w:t>3. Si la regla general de la ley de garantías es la no celebración de contratos nuevos, entonces que puede hacer la entidad estatal que tenga parte de este objeto social, para dar cumplimiento a su finalidad comercial, en la prolongada y reiterativa época de elecciones. Terminales terrestres, marítimos, aeropuertos.</w:t>
      </w:r>
    </w:p>
    <w:p w14:paraId="155EFEED" w14:textId="77777777" w:rsidR="00AE10E4" w:rsidRPr="005977FA" w:rsidRDefault="00AE10E4" w:rsidP="00231255">
      <w:pPr>
        <w:autoSpaceDE w:val="0"/>
        <w:autoSpaceDN w:val="0"/>
        <w:adjustRightInd w:val="0"/>
        <w:spacing w:after="0" w:line="240" w:lineRule="auto"/>
        <w:ind w:left="709" w:right="709"/>
        <w:rPr>
          <w:rFonts w:ascii="Arial" w:hAnsi="Arial" w:cs="Arial"/>
          <w:sz w:val="21"/>
          <w:szCs w:val="21"/>
          <w:shd w:val="clear" w:color="auto" w:fill="FFFFFF"/>
        </w:rPr>
      </w:pPr>
    </w:p>
    <w:p w14:paraId="18E53445" w14:textId="21D2650D" w:rsidR="00AE10E4" w:rsidRPr="005977FA" w:rsidRDefault="00E50065" w:rsidP="00231255">
      <w:pPr>
        <w:autoSpaceDE w:val="0"/>
        <w:autoSpaceDN w:val="0"/>
        <w:adjustRightInd w:val="0"/>
        <w:spacing w:after="0" w:line="240" w:lineRule="auto"/>
        <w:ind w:left="709" w:right="709"/>
        <w:rPr>
          <w:rFonts w:ascii="Arial" w:hAnsi="Arial" w:cs="Arial"/>
          <w:sz w:val="21"/>
          <w:szCs w:val="21"/>
          <w:shd w:val="clear" w:color="auto" w:fill="FFFFFF"/>
        </w:rPr>
      </w:pPr>
      <w:r>
        <w:rPr>
          <w:rFonts w:ascii="Arial" w:hAnsi="Arial" w:cs="Arial"/>
          <w:sz w:val="21"/>
          <w:szCs w:val="21"/>
          <w:shd w:val="clear" w:color="auto" w:fill="FFFFFF"/>
        </w:rPr>
        <w:t>»</w:t>
      </w:r>
      <w:r w:rsidR="00AE10E4" w:rsidRPr="005977FA">
        <w:rPr>
          <w:rFonts w:ascii="Arial" w:hAnsi="Arial" w:cs="Arial"/>
          <w:sz w:val="21"/>
          <w:szCs w:val="21"/>
          <w:shd w:val="clear" w:color="auto" w:fill="FFFFFF"/>
        </w:rPr>
        <w:t>4. Si no se pueden firmar contratos de arrendamiento en ley de garantías,</w:t>
      </w:r>
      <w:r w:rsidR="00501E99" w:rsidRPr="005977FA">
        <w:rPr>
          <w:rFonts w:ascii="Arial" w:hAnsi="Arial" w:cs="Arial"/>
          <w:sz w:val="21"/>
          <w:szCs w:val="21"/>
          <w:shd w:val="clear" w:color="auto" w:fill="FFFFFF"/>
        </w:rPr>
        <w:t xml:space="preserve"> </w:t>
      </w:r>
      <w:r w:rsidR="00AE10E4" w:rsidRPr="005977FA">
        <w:rPr>
          <w:rFonts w:ascii="Arial" w:hAnsi="Arial" w:cs="Arial"/>
          <w:sz w:val="21"/>
          <w:szCs w:val="21"/>
          <w:shd w:val="clear" w:color="auto" w:fill="FFFFFF"/>
        </w:rPr>
        <w:t>entonces en qué situación quedan los contratos de arrendamiento cuya</w:t>
      </w:r>
      <w:r w:rsidR="00501E99" w:rsidRPr="005977FA">
        <w:rPr>
          <w:rFonts w:ascii="Arial" w:hAnsi="Arial" w:cs="Arial"/>
          <w:sz w:val="21"/>
          <w:szCs w:val="21"/>
          <w:shd w:val="clear" w:color="auto" w:fill="FFFFFF"/>
        </w:rPr>
        <w:t xml:space="preserve"> </w:t>
      </w:r>
      <w:r w:rsidR="00AE10E4" w:rsidRPr="005977FA">
        <w:rPr>
          <w:rFonts w:ascii="Arial" w:hAnsi="Arial" w:cs="Arial"/>
          <w:sz w:val="21"/>
          <w:szCs w:val="21"/>
          <w:shd w:val="clear" w:color="auto" w:fill="FFFFFF"/>
        </w:rPr>
        <w:t>vigencia vence en ley de garantía y que requieran renovación, ello</w:t>
      </w:r>
      <w:r w:rsidR="00501E99" w:rsidRPr="005977FA">
        <w:rPr>
          <w:rFonts w:ascii="Arial" w:hAnsi="Arial" w:cs="Arial"/>
          <w:sz w:val="21"/>
          <w:szCs w:val="21"/>
          <w:shd w:val="clear" w:color="auto" w:fill="FFFFFF"/>
        </w:rPr>
        <w:t xml:space="preserve"> </w:t>
      </w:r>
      <w:r w:rsidR="00AE10E4" w:rsidRPr="005977FA">
        <w:rPr>
          <w:rFonts w:ascii="Arial" w:hAnsi="Arial" w:cs="Arial"/>
          <w:sz w:val="21"/>
          <w:szCs w:val="21"/>
          <w:shd w:val="clear" w:color="auto" w:fill="FFFFFF"/>
        </w:rPr>
        <w:t>recordando que en entidades del estado no hay renovación automática de</w:t>
      </w:r>
      <w:r w:rsidR="00501E99" w:rsidRPr="005977FA">
        <w:rPr>
          <w:rFonts w:ascii="Arial" w:hAnsi="Arial" w:cs="Arial"/>
          <w:sz w:val="21"/>
          <w:szCs w:val="21"/>
          <w:shd w:val="clear" w:color="auto" w:fill="FFFFFF"/>
        </w:rPr>
        <w:t xml:space="preserve"> </w:t>
      </w:r>
      <w:r w:rsidR="00AE10E4" w:rsidRPr="005977FA">
        <w:rPr>
          <w:rFonts w:ascii="Arial" w:hAnsi="Arial" w:cs="Arial"/>
          <w:sz w:val="21"/>
          <w:szCs w:val="21"/>
          <w:shd w:val="clear" w:color="auto" w:fill="FFFFFF"/>
        </w:rPr>
        <w:t>contratos, ni los contratos de arrendamiento comercial existen las prórrogas.</w:t>
      </w:r>
    </w:p>
    <w:p w14:paraId="2AB64951" w14:textId="77777777" w:rsidR="00AE10E4" w:rsidRPr="005977FA" w:rsidRDefault="00AE10E4" w:rsidP="00231255">
      <w:pPr>
        <w:autoSpaceDE w:val="0"/>
        <w:autoSpaceDN w:val="0"/>
        <w:adjustRightInd w:val="0"/>
        <w:spacing w:after="0" w:line="240" w:lineRule="auto"/>
        <w:ind w:left="709" w:right="709"/>
        <w:rPr>
          <w:rFonts w:ascii="Arial" w:hAnsi="Arial" w:cs="Arial"/>
          <w:sz w:val="21"/>
          <w:szCs w:val="21"/>
          <w:shd w:val="clear" w:color="auto" w:fill="FFFFFF"/>
        </w:rPr>
      </w:pPr>
    </w:p>
    <w:p w14:paraId="6639328B" w14:textId="64315B02" w:rsidR="00714833" w:rsidRPr="005977FA" w:rsidRDefault="00E50065" w:rsidP="00231255">
      <w:pPr>
        <w:autoSpaceDE w:val="0"/>
        <w:autoSpaceDN w:val="0"/>
        <w:adjustRightInd w:val="0"/>
        <w:spacing w:after="0" w:line="240" w:lineRule="auto"/>
        <w:ind w:left="709" w:right="709"/>
        <w:rPr>
          <w:rFonts w:ascii="Arial" w:hAnsi="Arial" w:cs="Arial"/>
          <w:sz w:val="21"/>
          <w:szCs w:val="21"/>
          <w:shd w:val="clear" w:color="auto" w:fill="FFFFFF"/>
        </w:rPr>
      </w:pPr>
      <w:r>
        <w:rPr>
          <w:rFonts w:ascii="Arial" w:hAnsi="Arial" w:cs="Arial"/>
          <w:sz w:val="21"/>
          <w:szCs w:val="21"/>
          <w:shd w:val="clear" w:color="auto" w:fill="FFFFFF"/>
        </w:rPr>
        <w:t>»</w:t>
      </w:r>
      <w:r w:rsidR="00AE10E4" w:rsidRPr="005977FA">
        <w:rPr>
          <w:rFonts w:ascii="Arial" w:hAnsi="Arial" w:cs="Arial"/>
          <w:sz w:val="21"/>
          <w:szCs w:val="21"/>
          <w:shd w:val="clear" w:color="auto" w:fill="FFFFFF"/>
        </w:rPr>
        <w:t>5. Finalmente, en que condiciones queda la entidad cuyo objeto social es la</w:t>
      </w:r>
      <w:r w:rsidR="00501E99" w:rsidRPr="005977FA">
        <w:rPr>
          <w:rFonts w:ascii="Arial" w:hAnsi="Arial" w:cs="Arial"/>
          <w:sz w:val="21"/>
          <w:szCs w:val="21"/>
          <w:shd w:val="clear" w:color="auto" w:fill="FFFFFF"/>
        </w:rPr>
        <w:t xml:space="preserve"> </w:t>
      </w:r>
      <w:r w:rsidR="00AE10E4" w:rsidRPr="005977FA">
        <w:rPr>
          <w:rFonts w:ascii="Arial" w:hAnsi="Arial" w:cs="Arial"/>
          <w:sz w:val="21"/>
          <w:szCs w:val="21"/>
          <w:shd w:val="clear" w:color="auto" w:fill="FFFFFF"/>
        </w:rPr>
        <w:t>entrega de bienes fiscales en arriendo, sino puede cumplir esa parte de su</w:t>
      </w:r>
      <w:r w:rsidR="00501E99" w:rsidRPr="005977FA">
        <w:rPr>
          <w:rFonts w:ascii="Arial" w:hAnsi="Arial" w:cs="Arial"/>
          <w:sz w:val="21"/>
          <w:szCs w:val="21"/>
          <w:shd w:val="clear" w:color="auto" w:fill="FFFFFF"/>
        </w:rPr>
        <w:t xml:space="preserve"> </w:t>
      </w:r>
      <w:r w:rsidR="00AE10E4" w:rsidRPr="005977FA">
        <w:rPr>
          <w:rFonts w:ascii="Arial" w:hAnsi="Arial" w:cs="Arial"/>
          <w:sz w:val="21"/>
          <w:szCs w:val="21"/>
          <w:shd w:val="clear" w:color="auto" w:fill="FFFFFF"/>
        </w:rPr>
        <w:t>objeto social, durante un muy importante, prolongado tiempo que dure la ley</w:t>
      </w:r>
      <w:r w:rsidR="00501E99" w:rsidRPr="005977FA">
        <w:rPr>
          <w:rFonts w:ascii="Arial" w:hAnsi="Arial" w:cs="Arial"/>
          <w:sz w:val="21"/>
          <w:szCs w:val="21"/>
          <w:shd w:val="clear" w:color="auto" w:fill="FFFFFF"/>
        </w:rPr>
        <w:t xml:space="preserve"> </w:t>
      </w:r>
      <w:r w:rsidR="00AE10E4" w:rsidRPr="005977FA">
        <w:rPr>
          <w:rFonts w:ascii="Arial" w:hAnsi="Arial" w:cs="Arial"/>
          <w:sz w:val="21"/>
          <w:szCs w:val="21"/>
          <w:shd w:val="clear" w:color="auto" w:fill="FFFFFF"/>
        </w:rPr>
        <w:t>de garantías.</w:t>
      </w:r>
      <w:bookmarkEnd w:id="11"/>
      <w:r w:rsidR="004653E7" w:rsidRPr="005977FA">
        <w:rPr>
          <w:rFonts w:ascii="Arial" w:hAnsi="Arial" w:cs="Arial"/>
          <w:sz w:val="21"/>
          <w:szCs w:val="21"/>
        </w:rPr>
        <w:t>»</w:t>
      </w:r>
      <w:r w:rsidR="0067388D" w:rsidRPr="005977FA">
        <w:rPr>
          <w:rFonts w:ascii="Arial" w:hAnsi="Arial" w:cs="Arial"/>
          <w:sz w:val="21"/>
          <w:szCs w:val="21"/>
        </w:rPr>
        <w:t>.</w:t>
      </w:r>
      <w:r w:rsidR="00AE0CBF" w:rsidRPr="005977FA">
        <w:rPr>
          <w:rFonts w:ascii="Arial" w:hAnsi="Arial" w:cs="Arial"/>
          <w:sz w:val="21"/>
          <w:szCs w:val="21"/>
        </w:rPr>
        <w:t xml:space="preserve"> </w:t>
      </w:r>
      <w:bookmarkEnd w:id="12"/>
    </w:p>
    <w:bookmarkEnd w:id="13"/>
    <w:p w14:paraId="0340A3A7" w14:textId="77777777" w:rsidR="009F3C99" w:rsidRPr="00F176B9" w:rsidRDefault="009F3C99" w:rsidP="00F176B9">
      <w:pPr>
        <w:tabs>
          <w:tab w:val="left" w:pos="426"/>
        </w:tabs>
        <w:spacing w:after="0"/>
        <w:rPr>
          <w:rFonts w:ascii="Arial" w:eastAsia="Calibri" w:hAnsi="Arial" w:cs="Arial"/>
          <w:sz w:val="22"/>
          <w:lang w:val="es-CO"/>
        </w:rPr>
      </w:pPr>
    </w:p>
    <w:bookmarkEnd w:id="9"/>
    <w:bookmarkEnd w:id="10"/>
    <w:p w14:paraId="509ED1DE" w14:textId="4F8AAED4" w:rsidR="005027F0" w:rsidRDefault="002B72C0" w:rsidP="00F176B9">
      <w:pPr>
        <w:tabs>
          <w:tab w:val="left" w:pos="284"/>
        </w:tabs>
        <w:spacing w:after="0"/>
        <w:rPr>
          <w:rFonts w:ascii="Arial" w:eastAsia="Calibri" w:hAnsi="Arial" w:cs="Arial"/>
          <w:b/>
          <w:sz w:val="22"/>
          <w:lang w:val="es-CO"/>
        </w:rPr>
      </w:pPr>
      <w:r w:rsidRPr="00F176B9">
        <w:rPr>
          <w:rFonts w:ascii="Arial" w:eastAsia="Calibri" w:hAnsi="Arial" w:cs="Arial"/>
          <w:b/>
          <w:sz w:val="22"/>
          <w:lang w:val="es-CO"/>
        </w:rPr>
        <w:t xml:space="preserve">2. </w:t>
      </w:r>
      <w:r w:rsidR="00990612" w:rsidRPr="00F176B9">
        <w:rPr>
          <w:rFonts w:ascii="Arial" w:eastAsia="Calibri" w:hAnsi="Arial" w:cs="Arial"/>
          <w:b/>
          <w:sz w:val="22"/>
          <w:lang w:val="es-CO"/>
        </w:rPr>
        <w:t>Consideraciones</w:t>
      </w:r>
    </w:p>
    <w:p w14:paraId="1661D409" w14:textId="167BE9D4" w:rsidR="00817931" w:rsidRDefault="00817931" w:rsidP="00F176B9">
      <w:pPr>
        <w:tabs>
          <w:tab w:val="left" w:pos="284"/>
        </w:tabs>
        <w:spacing w:after="0"/>
        <w:rPr>
          <w:rFonts w:ascii="Arial" w:eastAsia="Calibri" w:hAnsi="Arial" w:cs="Arial"/>
          <w:b/>
          <w:sz w:val="22"/>
          <w:lang w:val="es-CO"/>
        </w:rPr>
      </w:pPr>
    </w:p>
    <w:p w14:paraId="16F98412" w14:textId="77777777" w:rsidR="00817931" w:rsidRPr="00817931" w:rsidRDefault="00817931" w:rsidP="00817931">
      <w:pPr>
        <w:spacing w:after="0"/>
        <w:rPr>
          <w:rFonts w:ascii="Arial" w:eastAsia="Calibri" w:hAnsi="Arial" w:cs="Arial"/>
          <w:color w:val="000000"/>
          <w:sz w:val="22"/>
          <w:szCs w:val="24"/>
          <w:lang w:val="es-CO" w:eastAsia="es-ES_tradnl"/>
        </w:rPr>
      </w:pPr>
      <w:r w:rsidRPr="00817931">
        <w:rPr>
          <w:rFonts w:ascii="Arial" w:eastAsia="Calibri" w:hAnsi="Arial" w:cs="Arial"/>
          <w:color w:val="000000"/>
          <w:sz w:val="22"/>
          <w:szCs w:val="24"/>
          <w:lang w:val="es-CO" w:eastAsia="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817931">
        <w:rPr>
          <w:rFonts w:ascii="Arial" w:eastAsia="Calibri" w:hAnsi="Arial" w:cs="Arial"/>
          <w:color w:val="000000"/>
          <w:sz w:val="22"/>
          <w:szCs w:val="24"/>
          <w:vertAlign w:val="superscript"/>
          <w:lang w:val="es-CO" w:eastAsia="es-ES_tradnl"/>
        </w:rPr>
        <w:footnoteReference w:id="1"/>
      </w:r>
      <w:r w:rsidRPr="00817931">
        <w:rPr>
          <w:rFonts w:ascii="Arial" w:eastAsia="Calibri" w:hAnsi="Arial" w:cs="Arial"/>
          <w:color w:val="000000"/>
          <w:sz w:val="22"/>
          <w:szCs w:val="24"/>
          <w:lang w:val="es-CO" w:eastAsia="es-ES_tradnl"/>
        </w:rPr>
        <w:t>. 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508EB392" w14:textId="2A912BDE" w:rsidR="00F43FC8" w:rsidRDefault="00817931" w:rsidP="00231255">
      <w:pPr>
        <w:spacing w:before="120" w:after="120"/>
        <w:ind w:firstLine="708"/>
        <w:rPr>
          <w:rFonts w:ascii="Arial" w:eastAsia="Calibri" w:hAnsi="Arial" w:cs="Arial"/>
          <w:color w:val="000000"/>
          <w:sz w:val="22"/>
          <w:szCs w:val="24"/>
          <w:lang w:val="es-CO" w:eastAsia="es-ES_tradnl"/>
        </w:rPr>
      </w:pPr>
      <w:r w:rsidRPr="00817931">
        <w:rPr>
          <w:rFonts w:ascii="Arial" w:eastAsia="Calibri" w:hAnsi="Arial" w:cs="Arial"/>
          <w:color w:val="000000"/>
          <w:sz w:val="22"/>
          <w:szCs w:val="24"/>
          <w:lang w:val="es-CO" w:eastAsia="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w:t>
      </w:r>
      <w:r w:rsidRPr="00817931">
        <w:rPr>
          <w:rFonts w:ascii="Arial" w:eastAsia="Calibri" w:hAnsi="Arial" w:cs="Arial"/>
          <w:color w:val="000000"/>
          <w:sz w:val="22"/>
          <w:szCs w:val="24"/>
          <w:lang w:val="es-CO" w:eastAsia="es-ES_tradnl"/>
        </w:rPr>
        <w:lastRenderedPageBreak/>
        <w:t>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4B35FBB2" w14:textId="311E9533" w:rsidR="00066743" w:rsidRDefault="00A66F25" w:rsidP="00231255">
      <w:pPr>
        <w:tabs>
          <w:tab w:val="left" w:pos="284"/>
        </w:tabs>
        <w:spacing w:after="120"/>
        <w:rPr>
          <w:rFonts w:ascii="Arial" w:eastAsia="Calibri" w:hAnsi="Arial" w:cs="Arial"/>
          <w:b/>
          <w:sz w:val="22"/>
          <w:lang w:val="es-CO"/>
        </w:rPr>
      </w:pPr>
      <w:r>
        <w:rPr>
          <w:rFonts w:ascii="Arial" w:eastAsia="Calibri" w:hAnsi="Arial" w:cs="Arial"/>
          <w:bCs/>
          <w:color w:val="000000" w:themeColor="text1"/>
          <w:sz w:val="22"/>
          <w:lang w:val="es-ES_tradnl"/>
        </w:rPr>
        <w:tab/>
      </w:r>
      <w:r>
        <w:rPr>
          <w:rFonts w:ascii="Arial" w:eastAsia="Calibri" w:hAnsi="Arial" w:cs="Arial"/>
          <w:bCs/>
          <w:color w:val="000000" w:themeColor="text1"/>
          <w:sz w:val="22"/>
          <w:lang w:val="es-ES_tradnl"/>
        </w:rPr>
        <w:tab/>
      </w:r>
      <w:r w:rsidR="00817931">
        <w:rPr>
          <w:rFonts w:ascii="Arial" w:eastAsia="Calibri" w:hAnsi="Arial" w:cs="Arial"/>
          <w:bCs/>
          <w:color w:val="000000" w:themeColor="text1"/>
          <w:sz w:val="22"/>
          <w:lang w:val="es-ES_tradnl"/>
        </w:rPr>
        <w:t>Sin perjuicio de lo anterior, dentro de los límites de la competencia consultiva atribuida a esta entidad, se resolverán sus preguntas, previo análisis</w:t>
      </w:r>
      <w:r w:rsidR="00817931">
        <w:rPr>
          <w:rFonts w:ascii="Arial" w:eastAsia="Calibri" w:hAnsi="Arial" w:cs="Arial"/>
          <w:color w:val="000000" w:themeColor="text1"/>
          <w:sz w:val="22"/>
          <w:lang w:val="es-ES"/>
        </w:rPr>
        <w:t xml:space="preserve"> de </w:t>
      </w:r>
      <w:r w:rsidR="00817931" w:rsidRPr="0098556F">
        <w:rPr>
          <w:rFonts w:ascii="Arial" w:eastAsia="Calibri" w:hAnsi="Arial" w:cs="Arial"/>
          <w:color w:val="000000" w:themeColor="text1"/>
          <w:sz w:val="22"/>
          <w:lang w:val="es-ES"/>
        </w:rPr>
        <w:t>los siguientes temas</w:t>
      </w:r>
      <w:r w:rsidR="00817931" w:rsidRPr="0098556F">
        <w:rPr>
          <w:rFonts w:ascii="Arial" w:hAnsi="Arial" w:cs="Arial"/>
          <w:color w:val="000000" w:themeColor="text1"/>
          <w:sz w:val="22"/>
          <w:lang w:val="es-ES"/>
        </w:rPr>
        <w:t>:</w:t>
      </w:r>
      <w:r w:rsidR="00F87B39">
        <w:rPr>
          <w:rFonts w:ascii="Arial" w:eastAsia="Calibri" w:hAnsi="Arial" w:cs="Arial"/>
          <w:color w:val="000000"/>
          <w:sz w:val="22"/>
          <w:lang w:val="es-CO"/>
        </w:rPr>
        <w:t xml:space="preserve"> </w:t>
      </w:r>
      <w:r w:rsidR="00726279" w:rsidRPr="00726279">
        <w:rPr>
          <w:rFonts w:ascii="Arial" w:eastAsia="Calibri" w:hAnsi="Arial" w:cs="Arial"/>
          <w:color w:val="000000"/>
          <w:sz w:val="22"/>
          <w:lang w:val="es-CO"/>
        </w:rPr>
        <w:t xml:space="preserve">i) definición y finalidad de la Ley de Garantías Electorales, ii) restricciones para elecciones presidenciales, </w:t>
      </w:r>
      <w:proofErr w:type="spellStart"/>
      <w:r w:rsidR="00726279" w:rsidRPr="00726279">
        <w:rPr>
          <w:rFonts w:ascii="Arial" w:eastAsia="Calibri" w:hAnsi="Arial" w:cs="Arial"/>
          <w:color w:val="000000"/>
          <w:sz w:val="22"/>
          <w:lang w:val="es-CO"/>
        </w:rPr>
        <w:t>iii</w:t>
      </w:r>
      <w:proofErr w:type="spellEnd"/>
      <w:r w:rsidR="00726279" w:rsidRPr="00726279">
        <w:rPr>
          <w:rFonts w:ascii="Arial" w:eastAsia="Calibri" w:hAnsi="Arial" w:cs="Arial"/>
          <w:color w:val="000000"/>
          <w:sz w:val="22"/>
          <w:lang w:val="es-CO"/>
        </w:rPr>
        <w:t>) destinatarios de la prohibición del artículo 33 de la Ley 996 de 2005</w:t>
      </w:r>
      <w:r w:rsidR="00726279">
        <w:rPr>
          <w:rFonts w:ascii="Arial" w:eastAsia="Calibri" w:hAnsi="Arial" w:cs="Arial"/>
          <w:color w:val="000000"/>
          <w:sz w:val="22"/>
          <w:lang w:val="es-CO"/>
        </w:rPr>
        <w:t xml:space="preserve"> y iv) diferencias entre prórroga, adición y renovación de los contratos estatales. </w:t>
      </w:r>
    </w:p>
    <w:p w14:paraId="26AC2A7D" w14:textId="25F69960" w:rsidR="00066743" w:rsidRDefault="00726279" w:rsidP="00231255">
      <w:pPr>
        <w:spacing w:after="0"/>
        <w:ind w:firstLine="708"/>
        <w:rPr>
          <w:rFonts w:ascii="Arial" w:eastAsia="Calibri" w:hAnsi="Arial" w:cs="Arial"/>
          <w:sz w:val="22"/>
          <w:lang w:val="es-ES_tradnl"/>
        </w:rPr>
      </w:pPr>
      <w:r w:rsidRPr="00726279">
        <w:rPr>
          <w:rFonts w:ascii="Arial" w:eastAsia="Calibri" w:hAnsi="Arial" w:cs="Arial"/>
          <w:sz w:val="22"/>
          <w:lang w:val="es-ES_tradnl"/>
        </w:rPr>
        <w:t>La Agencia Nacional de Contratación Pública – Colombia Compra Eficiente ha impartido lineamientos sobre la aplicación de la Ley 996 de 2005, Ley de Garantías Electorales,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C-227 de 2021 del 5 de mayo de 2021, C-296 del 22 de junio de 2021, C-381 del 02 de julio de 2021, C- 528 del 27 de septiembre de 2021, C-550 del 5 de octubre de 2021,  C-523 del 10 de octubre de 2021, C-614 del 2 de noviembre de 2021, C-543 del 11 de noviembre de 2021, C-633 del 11 de noviembre de 2021, C-677 del 4 de diciembre de 2021, C-674 del 6 de diciembre de 2021, C-592 del 7 de diciembre de 2021, C-695 del 22 de diciembre de 2021 C-723 del 28 de diciembre de 2021, C-702 del 7 de enero de 2022, C-037 de 21 de enero de 2022, C-726 de 24 de enero de 2022, C-009 del 15 de febrero de 2022, C- 005 del 16 de febrero de 2022, C-079 del 18 de febrero de 2022 y C-216 del 9 de marzo de 2022. Las tesis desarrolladas en estos conceptos se reiteran y complementan a continuación.</w:t>
      </w:r>
    </w:p>
    <w:p w14:paraId="2E4B716B" w14:textId="77777777" w:rsidR="00FC6A13" w:rsidRPr="00066743" w:rsidRDefault="00FC6A13" w:rsidP="00066743">
      <w:pPr>
        <w:spacing w:after="0"/>
        <w:rPr>
          <w:rFonts w:ascii="Arial" w:eastAsia="Calibri" w:hAnsi="Arial" w:cs="Arial"/>
          <w:sz w:val="22"/>
        </w:rPr>
      </w:pPr>
    </w:p>
    <w:p w14:paraId="60CF9660" w14:textId="77777777" w:rsidR="00FC6A13" w:rsidRPr="00FC6A13" w:rsidRDefault="00FC6A13" w:rsidP="00FC6A13">
      <w:pPr>
        <w:tabs>
          <w:tab w:val="left" w:pos="426"/>
        </w:tabs>
        <w:spacing w:after="0" w:line="240" w:lineRule="auto"/>
        <w:rPr>
          <w:rFonts w:ascii="Arial" w:eastAsia="Calibri" w:hAnsi="Arial" w:cs="Arial"/>
          <w:b/>
          <w:bCs/>
          <w:sz w:val="22"/>
          <w:lang w:val="es-CO" w:eastAsia="es-ES_tradnl"/>
        </w:rPr>
      </w:pPr>
      <w:r w:rsidRPr="00FC6A13">
        <w:rPr>
          <w:rFonts w:ascii="Arial" w:eastAsia="Calibri" w:hAnsi="Arial" w:cs="Arial"/>
          <w:b/>
          <w:bCs/>
          <w:sz w:val="22"/>
          <w:lang w:val="es-CO" w:eastAsia="es-ES_tradnl"/>
        </w:rPr>
        <w:t>2.1. Definición y finalidad de la Ley de Garantías Electorales: alcance de las restricciones</w:t>
      </w:r>
    </w:p>
    <w:p w14:paraId="16C8D7CA" w14:textId="77777777" w:rsidR="00FC6A13" w:rsidRPr="00FC6A13" w:rsidRDefault="00FC6A13" w:rsidP="00FC6A13">
      <w:pPr>
        <w:tabs>
          <w:tab w:val="left" w:pos="426"/>
        </w:tabs>
        <w:spacing w:after="0" w:line="240" w:lineRule="auto"/>
        <w:ind w:firstLine="709"/>
        <w:jc w:val="left"/>
        <w:rPr>
          <w:rFonts w:ascii="Arial" w:eastAsia="Calibri" w:hAnsi="Arial" w:cs="Arial"/>
          <w:bCs/>
          <w:sz w:val="22"/>
          <w:lang w:val="es-CO" w:eastAsia="es-ES_tradnl"/>
        </w:rPr>
      </w:pPr>
    </w:p>
    <w:p w14:paraId="320B1DFA" w14:textId="77777777" w:rsidR="00FC6A13" w:rsidRPr="00FC6A13" w:rsidRDefault="00FC6A13" w:rsidP="00FC6A13">
      <w:pPr>
        <w:tabs>
          <w:tab w:val="left" w:pos="426"/>
        </w:tabs>
        <w:spacing w:after="120"/>
        <w:rPr>
          <w:rFonts w:ascii="Arial" w:eastAsia="Times New Roman" w:hAnsi="Arial" w:cs="Arial"/>
          <w:bCs/>
          <w:sz w:val="22"/>
          <w:lang w:val="es-CO" w:eastAsia="es-CO"/>
        </w:rPr>
      </w:pPr>
      <w:r w:rsidRPr="00FC6A13">
        <w:rPr>
          <w:rFonts w:ascii="Arial" w:eastAsia="Calibri" w:hAnsi="Arial" w:cs="Arial"/>
          <w:bCs/>
          <w:sz w:val="22"/>
          <w:lang w:val="es-CO" w:eastAsia="es-ES_tradnl"/>
        </w:rPr>
        <w:t>El ordenamiento jurídico colombiano contempla previsiones claras para evitar la obtención de beneficios personales en asuntos propios de la administración pública</w:t>
      </w:r>
      <w:r w:rsidRPr="00FC6A13">
        <w:rPr>
          <w:rFonts w:ascii="Arial" w:eastAsia="Calibri" w:hAnsi="Arial" w:cs="Arial"/>
          <w:bCs/>
          <w:i/>
          <w:iCs/>
          <w:sz w:val="22"/>
          <w:lang w:val="es-CO" w:eastAsia="es-ES_tradnl"/>
        </w:rPr>
        <w:t xml:space="preserve">. </w:t>
      </w:r>
      <w:r w:rsidRPr="00FC6A13">
        <w:rPr>
          <w:rFonts w:ascii="Arial" w:eastAsia="Calibri" w:hAnsi="Arial" w:cs="Arial"/>
          <w:bCs/>
          <w:sz w:val="22"/>
          <w:lang w:val="es-CO" w:eastAsia="es-ES_tradnl"/>
        </w:rPr>
        <w:t>Por ejemplo, el artículo 127 de la Constitución Política establece una prohibición contractual a los servidores públicos y en cuanto a aspectos políticos establece restricciones a ciertos empleados del Estado, incluso en época no electoral</w:t>
      </w:r>
      <w:r w:rsidRPr="00FC6A13">
        <w:rPr>
          <w:rFonts w:ascii="Arial" w:eastAsia="Calibri" w:hAnsi="Arial" w:cs="Arial"/>
          <w:bCs/>
          <w:sz w:val="22"/>
          <w:vertAlign w:val="superscript"/>
          <w:lang w:val="es-CO" w:eastAsia="es-ES_tradnl"/>
        </w:rPr>
        <w:footnoteReference w:id="2"/>
      </w:r>
      <w:r w:rsidRPr="00FC6A13">
        <w:rPr>
          <w:rFonts w:ascii="Arial" w:eastAsia="Calibri" w:hAnsi="Arial" w:cs="Arial"/>
          <w:bCs/>
          <w:sz w:val="22"/>
          <w:lang w:val="es-CO" w:eastAsia="es-ES_tradnl"/>
        </w:rPr>
        <w:t xml:space="preserve">. En consonancia con esto, el artículo </w:t>
      </w:r>
      <w:r w:rsidRPr="00FC6A13">
        <w:rPr>
          <w:rFonts w:ascii="Arial" w:eastAsia="Calibri" w:hAnsi="Arial" w:cs="Arial"/>
          <w:bCs/>
          <w:sz w:val="22"/>
          <w:lang w:val="es-CO" w:eastAsia="es-ES_tradnl"/>
        </w:rPr>
        <w:lastRenderedPageBreak/>
        <w:t>152, literal f) establece el deber del Legislador de expedir normas estatutarias que garanticen la igualdad entre los candidatos a la Presidencia de la República</w:t>
      </w:r>
      <w:r w:rsidRPr="00FC6A13">
        <w:rPr>
          <w:rFonts w:ascii="Arial" w:eastAsia="Calibri" w:hAnsi="Arial" w:cs="Arial"/>
          <w:bCs/>
          <w:sz w:val="22"/>
          <w:vertAlign w:val="superscript"/>
          <w:lang w:val="es-CO" w:eastAsia="es-ES_tradnl"/>
        </w:rPr>
        <w:footnoteReference w:id="3"/>
      </w:r>
      <w:r w:rsidRPr="00FC6A13">
        <w:rPr>
          <w:rFonts w:ascii="Arial" w:eastAsia="Calibri" w:hAnsi="Arial" w:cs="Arial"/>
          <w:bCs/>
          <w:sz w:val="22"/>
          <w:lang w:val="es-CO" w:eastAsia="es-ES_tradnl"/>
        </w:rPr>
        <w:t>.</w:t>
      </w:r>
    </w:p>
    <w:p w14:paraId="6F89BF22" w14:textId="77777777" w:rsidR="00FC6A13" w:rsidRPr="00FC6A13" w:rsidRDefault="00FC6A13" w:rsidP="00FC6A13">
      <w:pPr>
        <w:tabs>
          <w:tab w:val="left" w:pos="426"/>
        </w:tabs>
        <w:spacing w:after="0"/>
        <w:ind w:firstLine="709"/>
        <w:rPr>
          <w:rFonts w:ascii="Arial" w:eastAsia="Times New Roman" w:hAnsi="Arial" w:cs="Arial"/>
          <w:bCs/>
          <w:sz w:val="22"/>
          <w:lang w:val="es-CO" w:eastAsia="es-CO"/>
        </w:rPr>
      </w:pPr>
      <w:r w:rsidRPr="00FC6A13">
        <w:rPr>
          <w:rFonts w:ascii="Arial" w:eastAsia="Times New Roman" w:hAnsi="Arial" w:cs="Arial"/>
          <w:bCs/>
          <w:sz w:val="22"/>
          <w:lang w:val="es-CO" w:eastAsia="es-CO"/>
        </w:rPr>
        <w:t>La Ley 996 de 2005, conocida como «Ley de Garantías Electorales», se suma a este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FC6A13">
        <w:rPr>
          <w:rFonts w:ascii="Arial" w:eastAsia="Times New Roman" w:hAnsi="Arial" w:cs="Arial"/>
          <w:bCs/>
          <w:sz w:val="22"/>
          <w:vertAlign w:val="superscript"/>
          <w:lang w:val="es-CO" w:eastAsia="es-CO"/>
        </w:rPr>
        <w:footnoteReference w:id="4"/>
      </w:r>
      <w:r w:rsidRPr="00FC6A13">
        <w:rPr>
          <w:rFonts w:ascii="Arial" w:eastAsia="Times New Roman" w:hAnsi="Arial" w:cs="Arial"/>
          <w:bCs/>
          <w:sz w:val="22"/>
          <w:lang w:val="es-CO" w:eastAsia="es-CO"/>
        </w:rPr>
        <w:t>. En esta medida, introduce limitaciones para realizar nombramientos, postulaciones, contrataciones o cualquier otro tipo de actividad que implique destinación de recursos públicos bajo el devenir propio de las entidades estatales.</w:t>
      </w:r>
      <w:r w:rsidRPr="00FC6A13">
        <w:rPr>
          <w:rFonts w:ascii="Arial" w:eastAsia="Calibri" w:hAnsi="Arial" w:cs="Arial"/>
          <w:noProof/>
          <w:sz w:val="22"/>
          <w:lang w:val="es-ES_tradnl" w:eastAsia="es-ES_tradnl"/>
        </w:rPr>
        <w:t xml:space="preserve"> </w:t>
      </w:r>
      <w:r w:rsidRPr="00FC6A13">
        <w:rPr>
          <w:rFonts w:ascii="Arial" w:eastAsia="Times New Roman" w:hAnsi="Arial" w:cs="Arial"/>
          <w:bCs/>
          <w:sz w:val="22"/>
          <w:lang w:val="es-CO" w:eastAsia="es-CO"/>
        </w:rPr>
        <w:t>En armonía con lo anterior, la Corte Constitucional ha abordado la definición de la Ley de Garantías Electorales, en los siguientes términos:</w:t>
      </w:r>
    </w:p>
    <w:p w14:paraId="127667DA" w14:textId="77777777" w:rsidR="00FC6A13" w:rsidRPr="00FC6A13" w:rsidRDefault="00FC6A13" w:rsidP="00FC6A13">
      <w:pPr>
        <w:spacing w:after="0" w:line="240" w:lineRule="auto"/>
        <w:ind w:right="709"/>
        <w:jc w:val="left"/>
        <w:rPr>
          <w:rFonts w:ascii="Arial" w:eastAsia="Times New Roman" w:hAnsi="Arial" w:cs="Arial"/>
          <w:sz w:val="22"/>
          <w:lang w:val="es-ES" w:eastAsia="es-CO"/>
        </w:rPr>
      </w:pPr>
    </w:p>
    <w:p w14:paraId="637ACA45" w14:textId="77777777" w:rsidR="00FC6A13" w:rsidRPr="00FC6A13" w:rsidRDefault="00FC6A13" w:rsidP="00FC6A13">
      <w:pPr>
        <w:spacing w:after="0" w:line="240" w:lineRule="auto"/>
        <w:ind w:left="709" w:right="709"/>
        <w:rPr>
          <w:rFonts w:ascii="Arial" w:eastAsia="Times New Roman" w:hAnsi="Arial" w:cs="Arial"/>
          <w:bCs/>
          <w:sz w:val="22"/>
          <w:lang w:val="es-CO" w:eastAsia="es-CO"/>
        </w:rPr>
      </w:pPr>
      <w:r w:rsidRPr="00FC6A13">
        <w:rPr>
          <w:rFonts w:ascii="Arial" w:eastAsia="Times New Roman" w:hAnsi="Arial" w:cs="Arial"/>
          <w:sz w:val="22"/>
          <w:lang w:val="es-ES" w:eastAsia="es-CO"/>
        </w:rPr>
        <w:t xml:space="preserve">[…] </w:t>
      </w:r>
      <w:r w:rsidRPr="00FC6A13">
        <w:rPr>
          <w:rFonts w:ascii="Arial" w:eastAsia="Times New Roman" w:hAnsi="Arial" w:cs="Arial"/>
          <w:bCs/>
          <w:sz w:val="22"/>
          <w:lang w:val="es-CO" w:eastAsia="es-CO"/>
        </w:rPr>
        <w:t>la definición de reglas claras que permitan acceder a los canales de expresión democrática de manera efectiva e igualitaria. El objetivo de una ley de garantías es definir esas reglas.</w:t>
      </w:r>
    </w:p>
    <w:p w14:paraId="78AE9C1E" w14:textId="77777777" w:rsidR="00FC6A13" w:rsidRPr="00FC6A13" w:rsidRDefault="00FC6A13" w:rsidP="00FC6A13">
      <w:pPr>
        <w:spacing w:after="120" w:line="240" w:lineRule="auto"/>
        <w:ind w:left="709" w:right="709"/>
        <w:rPr>
          <w:rFonts w:ascii="Arial" w:eastAsia="Times New Roman" w:hAnsi="Arial" w:cs="Arial"/>
          <w:bCs/>
          <w:sz w:val="22"/>
          <w:lang w:val="es-CO" w:eastAsia="es-CO"/>
        </w:rPr>
      </w:pPr>
      <w:r w:rsidRPr="00FC6A13">
        <w:rPr>
          <w:rFonts w:ascii="Arial" w:eastAsia="Times New Roman" w:hAnsi="Arial" w:cs="Arial"/>
          <w:bCs/>
          <w:sz w:val="22"/>
          <w:lang w:val="es-CO" w:eastAsia="es-CO"/>
        </w:rPr>
        <w:t xml:space="preserve">[…] </w:t>
      </w:r>
    </w:p>
    <w:p w14:paraId="5DA8300B" w14:textId="77777777" w:rsidR="00FC6A13" w:rsidRPr="00FC6A13" w:rsidRDefault="00FC6A13" w:rsidP="00FC6A13">
      <w:pPr>
        <w:spacing w:after="0" w:line="240" w:lineRule="auto"/>
        <w:ind w:left="709" w:right="709"/>
        <w:rPr>
          <w:rFonts w:ascii="Arial" w:eastAsia="Times New Roman" w:hAnsi="Arial" w:cs="Arial"/>
          <w:bCs/>
          <w:sz w:val="22"/>
          <w:lang w:val="es-CO" w:eastAsia="es-CO"/>
        </w:rPr>
      </w:pPr>
      <w:r w:rsidRPr="00FC6A13">
        <w:rPr>
          <w:rFonts w:ascii="Arial" w:eastAsia="Times New Roman" w:hAnsi="Arial" w:cs="Arial"/>
          <w:bCs/>
          <w:sz w:val="22"/>
          <w:lang w:val="es-CO"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FC6A13">
        <w:rPr>
          <w:rFonts w:ascii="Arial" w:eastAsia="Times New Roman" w:hAnsi="Arial" w:cs="Arial"/>
          <w:sz w:val="22"/>
          <w:vertAlign w:val="superscript"/>
          <w:lang w:val="es-CO" w:eastAsia="es-ES_tradnl"/>
        </w:rPr>
        <w:footnoteReference w:id="5"/>
      </w:r>
    </w:p>
    <w:p w14:paraId="18480DA9" w14:textId="77777777" w:rsidR="00FC6A13" w:rsidRPr="00FC6A13" w:rsidRDefault="00FC6A13" w:rsidP="00FC6A13">
      <w:pPr>
        <w:spacing w:after="0" w:line="240" w:lineRule="auto"/>
        <w:ind w:left="709" w:right="709"/>
        <w:jc w:val="left"/>
        <w:rPr>
          <w:rFonts w:ascii="Arial" w:eastAsia="Times New Roman" w:hAnsi="Arial" w:cs="Arial"/>
          <w:bCs/>
          <w:sz w:val="22"/>
          <w:lang w:val="es-CO" w:eastAsia="es-CO"/>
        </w:rPr>
      </w:pPr>
    </w:p>
    <w:p w14:paraId="1F40C2F2" w14:textId="77777777" w:rsidR="00FC6A13" w:rsidRPr="00FC6A13" w:rsidRDefault="00FC6A13" w:rsidP="00FC6A13">
      <w:pPr>
        <w:spacing w:after="0"/>
        <w:ind w:firstLine="709"/>
        <w:rPr>
          <w:rFonts w:ascii="Arial" w:eastAsia="Times New Roman" w:hAnsi="Arial" w:cs="Arial"/>
          <w:bCs/>
          <w:sz w:val="22"/>
          <w:lang w:val="es-CO" w:eastAsia="es-CO"/>
        </w:rPr>
      </w:pPr>
      <w:bookmarkStart w:id="14" w:name="_Hlk78818186"/>
      <w:r w:rsidRPr="00FC6A13">
        <w:rPr>
          <w:rFonts w:ascii="Arial" w:eastAsia="Times New Roman" w:hAnsi="Arial" w:cs="Arial"/>
          <w:bCs/>
          <w:sz w:val="22"/>
          <w:lang w:val="es-CO"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4"/>
      <w:r w:rsidRPr="00FC6A13">
        <w:rPr>
          <w:rFonts w:ascii="Arial" w:eastAsia="Times New Roman" w:hAnsi="Arial" w:cs="Arial"/>
          <w:bCs/>
          <w:sz w:val="22"/>
          <w:lang w:val="es-CO"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12837A62" w14:textId="77777777" w:rsidR="00FC6A13" w:rsidRPr="00FC6A13" w:rsidRDefault="00FC6A13" w:rsidP="00FC6A13">
      <w:pPr>
        <w:spacing w:after="0" w:line="240" w:lineRule="auto"/>
        <w:ind w:firstLine="709"/>
        <w:jc w:val="left"/>
        <w:rPr>
          <w:rFonts w:ascii="Arial" w:eastAsia="Times New Roman" w:hAnsi="Arial" w:cs="Arial"/>
          <w:bCs/>
          <w:sz w:val="22"/>
          <w:szCs w:val="24"/>
          <w:lang w:val="es-CO" w:eastAsia="es-CO"/>
        </w:rPr>
      </w:pPr>
    </w:p>
    <w:p w14:paraId="58FACB7B" w14:textId="77777777" w:rsidR="00FC6A13" w:rsidRPr="00FC6A13" w:rsidRDefault="00FC6A13" w:rsidP="00FC6A13">
      <w:pPr>
        <w:spacing w:after="120" w:line="240" w:lineRule="auto"/>
        <w:ind w:left="709" w:right="709"/>
        <w:rPr>
          <w:rFonts w:ascii="Arial" w:eastAsia="Times New Roman" w:hAnsi="Arial" w:cs="Arial"/>
          <w:bCs/>
          <w:sz w:val="21"/>
          <w:szCs w:val="21"/>
          <w:lang w:val="es-CO" w:eastAsia="es-CO"/>
        </w:rPr>
      </w:pPr>
      <w:r w:rsidRPr="00FC6A13">
        <w:rPr>
          <w:rFonts w:ascii="Arial" w:eastAsia="Times New Roman" w:hAnsi="Arial" w:cs="Arial"/>
          <w:bCs/>
          <w:sz w:val="21"/>
          <w:szCs w:val="21"/>
          <w:lang w:val="es-CO"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FC6A13">
        <w:rPr>
          <w:rFonts w:ascii="Arial" w:eastAsia="Times New Roman" w:hAnsi="Arial" w:cs="Arial"/>
          <w:bCs/>
          <w:sz w:val="21"/>
          <w:szCs w:val="21"/>
          <w:lang w:val="es-CO" w:eastAsia="es-CO"/>
        </w:rPr>
        <w:t>legis</w:t>
      </w:r>
      <w:proofErr w:type="spellEnd"/>
      <w:r w:rsidRPr="00FC6A13">
        <w:rPr>
          <w:rFonts w:ascii="Arial" w:eastAsia="Times New Roman" w:hAnsi="Arial" w:cs="Arial"/>
          <w:bCs/>
          <w:sz w:val="21"/>
          <w:szCs w:val="21"/>
          <w:lang w:val="es-CO"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285D0B45" w14:textId="77777777" w:rsidR="00FC6A13" w:rsidRPr="00FC6A13" w:rsidRDefault="00FC6A13" w:rsidP="00FC6A13">
      <w:pPr>
        <w:spacing w:after="0" w:line="240" w:lineRule="auto"/>
        <w:ind w:left="709" w:right="709"/>
        <w:rPr>
          <w:rFonts w:ascii="Arial" w:eastAsia="Times New Roman" w:hAnsi="Arial" w:cs="Arial"/>
          <w:bCs/>
          <w:sz w:val="21"/>
          <w:szCs w:val="21"/>
          <w:lang w:val="es-CO" w:eastAsia="es-CO"/>
        </w:rPr>
      </w:pPr>
      <w:r w:rsidRPr="00FC6A13">
        <w:rPr>
          <w:rFonts w:ascii="Arial" w:eastAsia="Times New Roman" w:hAnsi="Arial" w:cs="Arial"/>
          <w:bCs/>
          <w:sz w:val="21"/>
          <w:szCs w:val="21"/>
          <w:lang w:val="es-CO" w:eastAsia="es-CO"/>
        </w:rPr>
        <w:t>La jurisprudencia de la Corte Constitucional</w:t>
      </w:r>
      <w:r w:rsidRPr="00FC6A13">
        <w:rPr>
          <w:rFonts w:ascii="Arial" w:eastAsia="Times New Roman" w:hAnsi="Arial" w:cs="Arial"/>
          <w:bCs/>
          <w:sz w:val="21"/>
          <w:szCs w:val="21"/>
          <w:vertAlign w:val="superscript"/>
          <w:lang w:val="es-CO" w:eastAsia="es-CO"/>
        </w:rPr>
        <w:footnoteReference w:id="6"/>
      </w:r>
      <w:r w:rsidRPr="00FC6A13">
        <w:rPr>
          <w:rFonts w:ascii="Arial" w:eastAsia="Times New Roman" w:hAnsi="Arial" w:cs="Arial"/>
          <w:bCs/>
          <w:sz w:val="21"/>
          <w:szCs w:val="21"/>
          <w:lang w:val="es-CO" w:eastAsia="es-CO"/>
        </w:rPr>
        <w:t> y del Consejo de Estado</w:t>
      </w:r>
      <w:r w:rsidRPr="00FC6A13">
        <w:rPr>
          <w:rFonts w:ascii="Arial" w:eastAsia="Times New Roman" w:hAnsi="Arial" w:cs="Arial"/>
          <w:bCs/>
          <w:sz w:val="21"/>
          <w:szCs w:val="21"/>
          <w:vertAlign w:val="superscript"/>
          <w:lang w:val="es-CO" w:eastAsia="es-CO"/>
        </w:rPr>
        <w:footnoteReference w:id="7"/>
      </w:r>
      <w:r w:rsidRPr="00FC6A13">
        <w:rPr>
          <w:rFonts w:ascii="Arial" w:eastAsia="Times New Roman" w:hAnsi="Arial" w:cs="Arial"/>
          <w:bCs/>
          <w:sz w:val="21"/>
          <w:szCs w:val="21"/>
          <w:lang w:val="es-CO"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FC6A13">
        <w:rPr>
          <w:rFonts w:ascii="Arial" w:eastAsia="Times New Roman" w:hAnsi="Arial" w:cs="Arial"/>
          <w:bCs/>
          <w:sz w:val="21"/>
          <w:szCs w:val="21"/>
          <w:vertAlign w:val="superscript"/>
          <w:lang w:val="es-CO" w:eastAsia="es-CO"/>
        </w:rPr>
        <w:footnoteReference w:id="8"/>
      </w:r>
      <w:r w:rsidRPr="00FC6A13">
        <w:rPr>
          <w:rFonts w:ascii="Arial" w:eastAsia="Times New Roman" w:hAnsi="Arial" w:cs="Arial"/>
          <w:bCs/>
          <w:sz w:val="21"/>
          <w:szCs w:val="21"/>
          <w:lang w:val="es-CO" w:eastAsia="es-CO"/>
        </w:rPr>
        <w:t>.</w:t>
      </w:r>
    </w:p>
    <w:p w14:paraId="14862AE3" w14:textId="77777777" w:rsidR="00FC6A13" w:rsidRPr="00FC6A13" w:rsidRDefault="00FC6A13" w:rsidP="00FC6A13">
      <w:pPr>
        <w:spacing w:after="0" w:line="240" w:lineRule="auto"/>
        <w:ind w:right="709"/>
        <w:jc w:val="left"/>
        <w:rPr>
          <w:rFonts w:ascii="Arial" w:eastAsia="Times New Roman" w:hAnsi="Arial" w:cs="Arial"/>
          <w:bCs/>
          <w:sz w:val="21"/>
          <w:szCs w:val="21"/>
          <w:lang w:val="es-CO" w:eastAsia="es-CO"/>
        </w:rPr>
      </w:pPr>
    </w:p>
    <w:p w14:paraId="7A28119D" w14:textId="77777777" w:rsidR="00FC6A13" w:rsidRPr="00FC6A13" w:rsidRDefault="00FC6A13" w:rsidP="00FC6A13">
      <w:pPr>
        <w:spacing w:after="120"/>
        <w:rPr>
          <w:rFonts w:ascii="Arial" w:eastAsia="Arial" w:hAnsi="Arial" w:cs="Arial"/>
          <w:sz w:val="22"/>
          <w:szCs w:val="24"/>
          <w:lang w:val="es-ES" w:eastAsia="es-ES" w:bidi="es-ES"/>
        </w:rPr>
      </w:pPr>
      <w:r w:rsidRPr="00FC6A13">
        <w:rPr>
          <w:rFonts w:ascii="Arial" w:eastAsia="Times New Roman" w:hAnsi="Arial" w:cs="Arial"/>
          <w:bCs/>
          <w:sz w:val="22"/>
          <w:szCs w:val="24"/>
          <w:lang w:val="es-CO" w:eastAsia="es-CO"/>
        </w:rPr>
        <w:tab/>
        <w:t>De</w:t>
      </w:r>
      <w:r w:rsidRPr="00FC6A13">
        <w:rPr>
          <w:rFonts w:ascii="Arial" w:eastAsia="Arial" w:hAnsi="Arial" w:cs="Arial"/>
          <w:sz w:val="22"/>
          <w:szCs w:val="24"/>
          <w:lang w:val="es-ES" w:eastAsia="es-ES" w:bidi="es-ES"/>
        </w:rPr>
        <w:t xml:space="preserve"> conformidad con lo anterior, </w:t>
      </w:r>
      <w:bookmarkStart w:id="15" w:name="_Hlk77236098"/>
      <w:r w:rsidRPr="00FC6A13">
        <w:rPr>
          <w:rFonts w:ascii="Arial" w:eastAsia="Arial" w:hAnsi="Arial" w:cs="Arial"/>
          <w:sz w:val="22"/>
          <w:szCs w:val="24"/>
          <w:lang w:val="es-ES" w:eastAsia="es-ES" w:bidi="es-ES"/>
        </w:rPr>
        <w:t xml:space="preserve">la Ley de Garantías Electorales fijó una serie de regulaciones y prohibiciones dirigidas a los servidores públicos. Así, con la finalidad de preservar la igualdad entre los candidatos en las elecciones, aumentó las garantías en </w:t>
      </w:r>
      <w:r w:rsidRPr="00FC6A13">
        <w:rPr>
          <w:rFonts w:ascii="Arial" w:eastAsia="Arial" w:hAnsi="Arial" w:cs="Arial"/>
          <w:sz w:val="22"/>
          <w:szCs w:val="24"/>
          <w:lang w:val="es-ES" w:eastAsia="es-ES" w:bidi="es-ES"/>
        </w:rPr>
        <w:lastRenderedPageBreak/>
        <w:t>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5"/>
    </w:p>
    <w:p w14:paraId="6E38BB5A" w14:textId="77777777" w:rsidR="00FC6A13" w:rsidRPr="00FC6A13" w:rsidRDefault="00FC6A13" w:rsidP="00FC6A13">
      <w:pPr>
        <w:spacing w:after="120"/>
        <w:ind w:firstLine="708"/>
        <w:rPr>
          <w:rFonts w:ascii="Arial" w:eastAsia="Calibri" w:hAnsi="Arial" w:cs="Arial"/>
          <w:sz w:val="22"/>
          <w:szCs w:val="24"/>
          <w:lang w:val="es-CO" w:eastAsia="es-ES_tradnl"/>
        </w:rPr>
      </w:pPr>
      <w:r w:rsidRPr="00FC6A13">
        <w:rPr>
          <w:rFonts w:ascii="Arial" w:eastAsia="Calibri" w:hAnsi="Arial" w:cs="Arial"/>
          <w:sz w:val="22"/>
          <w:szCs w:val="24"/>
          <w:lang w:val="es-CO" w:eastAsia="es-ES_tradnl"/>
        </w:rPr>
        <w:t xml:space="preserve">Por un lado, el artículo 33 de la Ley 996 de 2005 prohíbe </w:t>
      </w:r>
      <w:r w:rsidRPr="00FC6A13">
        <w:rPr>
          <w:rFonts w:ascii="Arial" w:eastAsia="Calibri" w:hAnsi="Arial" w:cs="Arial"/>
          <w:bCs/>
          <w:sz w:val="22"/>
          <w:szCs w:val="24"/>
          <w:lang w:val="es-CO" w:eastAsia="es-ES_tradnl"/>
        </w:rPr>
        <w:t xml:space="preserve">«[…] </w:t>
      </w:r>
      <w:r w:rsidRPr="00FC6A13">
        <w:rPr>
          <w:rFonts w:ascii="Arial" w:eastAsia="Calibri" w:hAnsi="Arial" w:cs="Arial"/>
          <w:sz w:val="22"/>
          <w:szCs w:val="24"/>
          <w:lang w:val="es-CO" w:eastAsia="es-ES_tradnl"/>
        </w:rPr>
        <w:t>la contratación directa por parte de todos los entes del Estado</w:t>
      </w:r>
      <w:r w:rsidRPr="00FC6A13">
        <w:rPr>
          <w:rFonts w:ascii="Arial" w:eastAsia="Calibri" w:hAnsi="Arial" w:cs="Arial"/>
          <w:bCs/>
          <w:sz w:val="22"/>
          <w:szCs w:val="24"/>
          <w:lang w:val="es-CO" w:eastAsia="es-ES_tradnl"/>
        </w:rPr>
        <w:t>»</w:t>
      </w:r>
      <w:r w:rsidRPr="00FC6A13">
        <w:rPr>
          <w:rFonts w:ascii="Arial" w:eastAsia="Calibri" w:hAnsi="Arial" w:cs="Arial"/>
          <w:sz w:val="22"/>
          <w:szCs w:val="24"/>
          <w:lang w:val="es-CO" w:eastAsia="es-ES_tradnl"/>
        </w:rPr>
        <w:t xml:space="preserve"> durante los cuatro (4) meses anteriores a las elecciones presidenciales, salvo </w:t>
      </w:r>
      <w:r w:rsidRPr="00FC6A13">
        <w:rPr>
          <w:rFonts w:ascii="Arial" w:eastAsia="Calibri" w:hAnsi="Arial" w:cs="Arial"/>
          <w:bCs/>
          <w:sz w:val="22"/>
          <w:szCs w:val="24"/>
          <w:lang w:val="es-CO" w:eastAsia="es-ES_tradnl"/>
        </w:rPr>
        <w:t xml:space="preserve">«[…] </w:t>
      </w:r>
      <w:r w:rsidRPr="00FC6A13">
        <w:rPr>
          <w:rFonts w:ascii="Arial" w:eastAsia="Calibri" w:hAnsi="Arial" w:cs="Arial"/>
          <w:sz w:val="22"/>
          <w:szCs w:val="24"/>
          <w:lang w:val="es-CO" w:eastAsia="es-ES_tradn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FC6A13">
        <w:rPr>
          <w:rFonts w:ascii="Arial" w:eastAsia="Calibri" w:hAnsi="Arial" w:cs="Arial"/>
          <w:bCs/>
          <w:sz w:val="22"/>
          <w:szCs w:val="24"/>
          <w:lang w:val="es-CO" w:eastAsia="es-ES_tradnl"/>
        </w:rPr>
        <w:t>»</w:t>
      </w:r>
      <w:r w:rsidRPr="00FC6A13">
        <w:rPr>
          <w:rFonts w:ascii="Arial" w:eastAsia="Calibri" w:hAnsi="Arial" w:cs="Arial"/>
          <w:bCs/>
          <w:sz w:val="22"/>
          <w:szCs w:val="24"/>
          <w:vertAlign w:val="superscript"/>
          <w:lang w:val="es-CO" w:eastAsia="es-ES_tradnl"/>
        </w:rPr>
        <w:footnoteReference w:id="9"/>
      </w:r>
      <w:r w:rsidRPr="00FC6A13">
        <w:rPr>
          <w:rFonts w:ascii="Arial" w:eastAsia="Calibri" w:hAnsi="Arial" w:cs="Arial"/>
          <w:sz w:val="22"/>
          <w:szCs w:val="24"/>
          <w:lang w:val="es-CO" w:eastAsia="es-ES_tradnl"/>
        </w:rPr>
        <w:t>.</w:t>
      </w:r>
    </w:p>
    <w:p w14:paraId="11786DB3" w14:textId="77777777" w:rsidR="00FC6A13" w:rsidRPr="00FC6A13" w:rsidRDefault="00FC6A13" w:rsidP="00FC6A13">
      <w:pPr>
        <w:widowControl w:val="0"/>
        <w:autoSpaceDE w:val="0"/>
        <w:autoSpaceDN w:val="0"/>
        <w:spacing w:after="0"/>
        <w:ind w:right="113" w:firstLine="708"/>
        <w:rPr>
          <w:rFonts w:ascii="Arial" w:eastAsia="Arial" w:hAnsi="Arial" w:cs="Arial"/>
          <w:sz w:val="22"/>
          <w:szCs w:val="24"/>
          <w:lang w:val="es-ES" w:eastAsia="es-ES" w:bidi="es-ES"/>
        </w:rPr>
      </w:pPr>
      <w:r w:rsidRPr="00FC6A13">
        <w:rPr>
          <w:rFonts w:ascii="Arial" w:eastAsia="Calibri" w:hAnsi="Arial" w:cs="Arial"/>
          <w:sz w:val="22"/>
          <w:szCs w:val="24"/>
          <w:lang w:val="es-CO" w:eastAsia="es-ES_tradn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FC6A13">
        <w:rPr>
          <w:rFonts w:ascii="Arial" w:eastAsia="Calibri" w:hAnsi="Arial" w:cs="Arial"/>
          <w:bCs/>
          <w:sz w:val="22"/>
          <w:szCs w:val="24"/>
          <w:lang w:val="es-CO" w:eastAsia="es-ES_tradnl"/>
        </w:rPr>
        <w:t xml:space="preserve">«[…] </w:t>
      </w:r>
      <w:r w:rsidRPr="00FC6A13">
        <w:rPr>
          <w:rFonts w:ascii="Arial" w:eastAsia="Calibri" w:hAnsi="Arial" w:cs="Arial"/>
          <w:sz w:val="22"/>
          <w:szCs w:val="24"/>
          <w:lang w:val="es-CO" w:eastAsia="es-ES_tradnl"/>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FC6A13">
        <w:rPr>
          <w:rFonts w:ascii="Arial" w:eastAsia="Calibri" w:hAnsi="Arial" w:cs="Arial"/>
          <w:bCs/>
          <w:sz w:val="19"/>
          <w:szCs w:val="19"/>
          <w:lang w:val="es-CO" w:eastAsia="es-ES_tradnl"/>
        </w:rPr>
        <w:t>»</w:t>
      </w:r>
      <w:r w:rsidRPr="00FC6A13">
        <w:rPr>
          <w:rFonts w:ascii="Arial" w:eastAsia="Calibri" w:hAnsi="Arial" w:cs="Arial"/>
          <w:bCs/>
          <w:sz w:val="19"/>
          <w:szCs w:val="19"/>
          <w:vertAlign w:val="superscript"/>
          <w:lang w:val="es-CO" w:eastAsia="es-ES_tradnl"/>
        </w:rPr>
        <w:footnoteReference w:id="10"/>
      </w:r>
      <w:r w:rsidRPr="00FC6A13">
        <w:rPr>
          <w:rFonts w:ascii="Arial" w:eastAsia="Calibri" w:hAnsi="Arial" w:cs="Arial"/>
          <w:sz w:val="22"/>
          <w:szCs w:val="24"/>
          <w:lang w:val="es-CO" w:eastAsia="es-ES_tradnl"/>
        </w:rPr>
        <w:t>.</w:t>
      </w:r>
      <w:r w:rsidRPr="00FC6A13">
        <w:rPr>
          <w:rFonts w:ascii="Arial" w:eastAsia="Arial" w:hAnsi="Arial" w:cs="Arial"/>
          <w:sz w:val="22"/>
          <w:szCs w:val="24"/>
          <w:lang w:val="es-ES" w:eastAsia="es-ES" w:bidi="es-ES"/>
        </w:rPr>
        <w:t xml:space="preserve"> La Sala de Consulta y Servicio Civil del Consejo de Estado ha aclarado la distinción en la aplicación de las prohibiciones de la Ley 996 de 2005, dependiendo del </w:t>
      </w:r>
      <w:r w:rsidRPr="00FC6A13">
        <w:rPr>
          <w:rFonts w:ascii="Arial" w:eastAsia="Arial" w:hAnsi="Arial" w:cs="Arial"/>
          <w:sz w:val="22"/>
          <w:szCs w:val="24"/>
          <w:lang w:val="es-ES" w:eastAsia="es-ES" w:bidi="es-ES"/>
        </w:rPr>
        <w:lastRenderedPageBreak/>
        <w:t>tipo de elección que se trate. Al respecto, considera que:</w:t>
      </w:r>
    </w:p>
    <w:p w14:paraId="54152532" w14:textId="77777777" w:rsidR="00FC6A13" w:rsidRPr="00FC6A13" w:rsidRDefault="00FC6A13" w:rsidP="00FC6A13">
      <w:pPr>
        <w:widowControl w:val="0"/>
        <w:autoSpaceDE w:val="0"/>
        <w:autoSpaceDN w:val="0"/>
        <w:spacing w:after="0" w:line="240" w:lineRule="auto"/>
        <w:ind w:left="805" w:right="812"/>
        <w:jc w:val="left"/>
        <w:rPr>
          <w:rFonts w:ascii="Arial" w:eastAsia="Arial" w:hAnsi="Arial" w:cs="Arial"/>
          <w:sz w:val="22"/>
          <w:szCs w:val="24"/>
          <w:lang w:val="es-ES" w:eastAsia="es-ES" w:bidi="es-ES"/>
        </w:rPr>
      </w:pPr>
    </w:p>
    <w:p w14:paraId="4A40DFB5" w14:textId="77777777" w:rsidR="00FC6A13" w:rsidRPr="00FC6A13" w:rsidRDefault="00FC6A13" w:rsidP="00FC6A13">
      <w:pPr>
        <w:widowControl w:val="0"/>
        <w:autoSpaceDE w:val="0"/>
        <w:autoSpaceDN w:val="0"/>
        <w:spacing w:after="0" w:line="240" w:lineRule="auto"/>
        <w:ind w:left="709" w:right="709"/>
        <w:rPr>
          <w:rFonts w:ascii="Arial" w:eastAsia="Arial" w:hAnsi="Arial" w:cs="Arial"/>
          <w:sz w:val="21"/>
          <w:szCs w:val="21"/>
          <w:lang w:val="es-ES" w:eastAsia="es-ES" w:bidi="es-ES"/>
        </w:rPr>
      </w:pPr>
      <w:r w:rsidRPr="00FC6A13">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FC6A13">
        <w:rPr>
          <w:rFonts w:ascii="Arial" w:eastAsia="Arial" w:hAnsi="Arial" w:cs="Arial"/>
          <w:bCs/>
          <w:sz w:val="21"/>
          <w:szCs w:val="21"/>
          <w:lang w:val="es-ES" w:eastAsia="es-ES" w:bidi="es-ES"/>
        </w:rPr>
        <w:t xml:space="preserve">En cambio, para elecciones en general, excluyendo las correspondientes a </w:t>
      </w:r>
      <w:proofErr w:type="gramStart"/>
      <w:r w:rsidRPr="00FC6A13">
        <w:rPr>
          <w:rFonts w:ascii="Arial" w:eastAsia="Arial" w:hAnsi="Arial" w:cs="Arial"/>
          <w:bCs/>
          <w:sz w:val="21"/>
          <w:szCs w:val="21"/>
          <w:lang w:val="es-ES" w:eastAsia="es-ES" w:bidi="es-ES"/>
        </w:rPr>
        <w:t>Presidente</w:t>
      </w:r>
      <w:proofErr w:type="gramEnd"/>
      <w:r w:rsidRPr="00FC6A13">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FC6A13">
        <w:rPr>
          <w:rFonts w:ascii="Arial" w:eastAsia="Arial" w:hAnsi="Arial" w:cs="Arial"/>
          <w:sz w:val="21"/>
          <w:szCs w:val="21"/>
          <w:lang w:val="es-ES" w:eastAsia="es-ES" w:bidi="es-ES"/>
        </w:rPr>
        <w:t>.</w:t>
      </w:r>
      <w:r w:rsidRPr="00FC6A13">
        <w:rPr>
          <w:rFonts w:ascii="Arial" w:eastAsia="Arial" w:hAnsi="Arial" w:cs="Arial"/>
          <w:sz w:val="21"/>
          <w:szCs w:val="21"/>
          <w:vertAlign w:val="superscript"/>
          <w:lang w:val="es-ES" w:eastAsia="es-ES" w:bidi="es-ES"/>
        </w:rPr>
        <w:footnoteReference w:id="11"/>
      </w:r>
    </w:p>
    <w:p w14:paraId="35D2F5DA" w14:textId="77777777" w:rsidR="00FC6A13" w:rsidRPr="00FC6A13" w:rsidRDefault="00FC6A13" w:rsidP="00FC6A13">
      <w:pPr>
        <w:widowControl w:val="0"/>
        <w:autoSpaceDE w:val="0"/>
        <w:autoSpaceDN w:val="0"/>
        <w:spacing w:before="8" w:after="0" w:line="240" w:lineRule="auto"/>
        <w:jc w:val="left"/>
        <w:rPr>
          <w:rFonts w:ascii="Arial" w:eastAsia="Arial" w:hAnsi="Arial" w:cs="Arial"/>
          <w:sz w:val="22"/>
          <w:szCs w:val="24"/>
          <w:lang w:val="es-ES" w:eastAsia="es-ES" w:bidi="es-ES"/>
        </w:rPr>
      </w:pPr>
    </w:p>
    <w:p w14:paraId="792E7087" w14:textId="77777777" w:rsidR="00FC6A13" w:rsidRPr="00FC6A13" w:rsidRDefault="00FC6A13" w:rsidP="00FC6A13">
      <w:pPr>
        <w:spacing w:after="120"/>
        <w:ind w:firstLine="709"/>
        <w:rPr>
          <w:rFonts w:ascii="Arial" w:eastAsia="Arial" w:hAnsi="Arial" w:cs="Arial"/>
          <w:sz w:val="22"/>
          <w:szCs w:val="24"/>
          <w:lang w:val="es-ES" w:eastAsia="es-ES" w:bidi="es-ES"/>
        </w:rPr>
      </w:pPr>
      <w:r w:rsidRPr="00FC6A13">
        <w:rPr>
          <w:rFonts w:ascii="Arial" w:eastAsia="Arial" w:hAnsi="Arial" w:cs="Arial"/>
          <w:sz w:val="22"/>
          <w:szCs w:val="24"/>
          <w:lang w:val="es-ES" w:eastAsia="es-ES" w:bidi="es-ES"/>
        </w:rPr>
        <w:t xml:space="preserve">De lo anterior se desprende que </w:t>
      </w:r>
      <w:bookmarkStart w:id="17" w:name="_Hlk77236420"/>
      <w:bookmarkStart w:id="18" w:name="_Hlk78818435"/>
      <w:r w:rsidRPr="00FC6A13">
        <w:rPr>
          <w:rFonts w:ascii="Arial" w:eastAsia="Arial" w:hAnsi="Arial" w:cs="Arial"/>
          <w:sz w:val="22"/>
          <w:szCs w:val="24"/>
          <w:lang w:val="es-ES" w:eastAsia="es-ES" w:bidi="es-ES"/>
        </w:rPr>
        <w:t xml:space="preserve">la Ley 996 de 2005 establece dos (2) tipos de restricciones en materia de contratación, las cuales coinciden parcialmente. </w:t>
      </w:r>
      <w:r w:rsidRPr="00FC6A13">
        <w:rPr>
          <w:rFonts w:ascii="Arial" w:eastAsia="Arial" w:hAnsi="Arial" w:cs="Arial"/>
          <w:i/>
          <w:iCs/>
          <w:sz w:val="22"/>
          <w:szCs w:val="24"/>
          <w:lang w:val="es-ES" w:eastAsia="es-ES" w:bidi="es-ES"/>
        </w:rPr>
        <w:t>En primer lugar</w:t>
      </w:r>
      <w:r w:rsidRPr="00FC6A13">
        <w:rPr>
          <w:rFonts w:ascii="Arial" w:eastAsia="Arial" w:hAnsi="Arial" w:cs="Arial"/>
          <w:sz w:val="22"/>
          <w:szCs w:val="24"/>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FC6A13">
        <w:rPr>
          <w:rFonts w:ascii="Arial" w:eastAsia="Arial" w:hAnsi="Arial" w:cs="Arial"/>
          <w:i/>
          <w:iCs/>
          <w:sz w:val="22"/>
          <w:szCs w:val="24"/>
          <w:lang w:val="es-ES" w:eastAsia="es-ES" w:bidi="es-ES"/>
        </w:rPr>
        <w:t>En segundo lugar</w:t>
      </w:r>
      <w:r w:rsidRPr="00FC6A13">
        <w:rPr>
          <w:rFonts w:ascii="Arial" w:eastAsia="Arial" w:hAnsi="Arial" w:cs="Arial"/>
          <w:sz w:val="22"/>
          <w:szCs w:val="24"/>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7"/>
    </w:p>
    <w:bookmarkEnd w:id="18"/>
    <w:p w14:paraId="059FDE10" w14:textId="77777777" w:rsidR="00FC6A13" w:rsidRPr="00FC6A13" w:rsidRDefault="00FC6A13" w:rsidP="00FC6A13">
      <w:pPr>
        <w:spacing w:after="120"/>
        <w:ind w:firstLine="709"/>
        <w:rPr>
          <w:rFonts w:ascii="Arial" w:eastAsia="Arial" w:hAnsi="Arial" w:cs="Arial"/>
          <w:sz w:val="22"/>
          <w:szCs w:val="24"/>
          <w:lang w:val="es-ES" w:eastAsia="es-ES" w:bidi="es-ES"/>
        </w:rPr>
      </w:pPr>
      <w:r w:rsidRPr="00FC6A13">
        <w:rPr>
          <w:rFonts w:ascii="Arial" w:eastAsia="Arial" w:hAnsi="Arial" w:cs="Arial"/>
          <w:sz w:val="22"/>
          <w:szCs w:val="24"/>
          <w:lang w:val="es-ES" w:eastAsia="es-ES" w:bidi="es-ES"/>
        </w:rPr>
        <w:t xml:space="preserve">Ambas restricciones no son excluyentes, lo que permite concluir que en el período preelectoral para elección de </w:t>
      </w:r>
      <w:proofErr w:type="gramStart"/>
      <w:r w:rsidRPr="00FC6A13">
        <w:rPr>
          <w:rFonts w:ascii="Arial" w:eastAsia="Arial" w:hAnsi="Arial" w:cs="Arial"/>
          <w:sz w:val="22"/>
          <w:szCs w:val="24"/>
          <w:lang w:val="es-ES" w:eastAsia="es-ES" w:bidi="es-ES"/>
        </w:rPr>
        <w:t>Presidente</w:t>
      </w:r>
      <w:proofErr w:type="gramEnd"/>
      <w:r w:rsidRPr="00FC6A13">
        <w:rPr>
          <w:rFonts w:ascii="Arial" w:eastAsia="Arial" w:hAnsi="Arial" w:cs="Arial"/>
          <w:sz w:val="22"/>
          <w:szCs w:val="24"/>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FC6A13">
        <w:rPr>
          <w:rFonts w:ascii="Arial" w:eastAsia="Arial" w:hAnsi="Arial" w:cs="Arial"/>
          <w:sz w:val="22"/>
          <w:szCs w:val="24"/>
          <w:lang w:val="es-ES" w:eastAsia="es-ES" w:bidi="es-ES"/>
        </w:rPr>
        <w:t>Presidente</w:t>
      </w:r>
      <w:proofErr w:type="gramEnd"/>
      <w:r w:rsidRPr="00FC6A13">
        <w:rPr>
          <w:rFonts w:ascii="Arial" w:eastAsia="Arial" w:hAnsi="Arial" w:cs="Arial"/>
          <w:sz w:val="22"/>
          <w:szCs w:val="24"/>
          <w:lang w:val="es-ES" w:eastAsia="es-ES" w:bidi="es-ES"/>
        </w:rPr>
        <w:t xml:space="preserve"> de la República, las autoridades allí mencionadas sólo deben aplicar las restricciones contenidas en el parágrafo del artículo 38.</w:t>
      </w:r>
    </w:p>
    <w:p w14:paraId="6116B865" w14:textId="77777777" w:rsidR="00FC6A13" w:rsidRPr="00FC6A13" w:rsidRDefault="00FC6A13" w:rsidP="00FC6A13">
      <w:pPr>
        <w:spacing w:after="0"/>
        <w:ind w:firstLine="708"/>
        <w:rPr>
          <w:rFonts w:ascii="Arial" w:eastAsia="Arial" w:hAnsi="Arial" w:cs="Arial"/>
          <w:sz w:val="22"/>
          <w:szCs w:val="24"/>
          <w:lang w:val="es-ES" w:eastAsia="es-ES" w:bidi="es-ES"/>
        </w:rPr>
      </w:pPr>
      <w:r w:rsidRPr="00FC6A13">
        <w:rPr>
          <w:rFonts w:ascii="Arial" w:eastAsia="Arial" w:hAnsi="Arial" w:cs="Arial"/>
          <w:sz w:val="22"/>
          <w:szCs w:val="24"/>
          <w:lang w:val="es-ES" w:eastAsia="es-ES" w:bidi="es-ES"/>
        </w:rPr>
        <w:lastRenderedPageBreak/>
        <w:t xml:space="preserve">La Corte Constitucional, en la Sentencia C-1153 del 11 de noviembre de 2005, señaló que, para que la garantía sea plena, era necesario que la prohibición se aplicara para el </w:t>
      </w:r>
      <w:proofErr w:type="gramStart"/>
      <w:r w:rsidRPr="00FC6A13">
        <w:rPr>
          <w:rFonts w:ascii="Arial" w:eastAsia="Arial" w:hAnsi="Arial" w:cs="Arial"/>
          <w:sz w:val="22"/>
          <w:szCs w:val="24"/>
          <w:lang w:val="es-ES" w:eastAsia="es-ES" w:bidi="es-ES"/>
        </w:rPr>
        <w:t>Presidente</w:t>
      </w:r>
      <w:proofErr w:type="gramEnd"/>
      <w:r w:rsidRPr="00FC6A13">
        <w:rPr>
          <w:rFonts w:ascii="Arial" w:eastAsia="Arial" w:hAnsi="Arial" w:cs="Arial"/>
          <w:sz w:val="22"/>
          <w:szCs w:val="24"/>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3FACD774" w14:textId="77777777" w:rsidR="00FC6A13" w:rsidRPr="00FC6A13" w:rsidRDefault="00FC6A13" w:rsidP="00FC6A13">
      <w:pPr>
        <w:spacing w:after="0" w:line="240" w:lineRule="auto"/>
        <w:jc w:val="left"/>
        <w:rPr>
          <w:rFonts w:ascii="Arial" w:eastAsia="Times New Roman" w:hAnsi="Arial" w:cs="Arial"/>
          <w:bCs/>
          <w:sz w:val="22"/>
          <w:szCs w:val="24"/>
          <w:lang w:val="es-ES" w:eastAsia="es-CO"/>
        </w:rPr>
      </w:pPr>
    </w:p>
    <w:p w14:paraId="64D25208" w14:textId="77777777" w:rsidR="00FC6A13" w:rsidRPr="00FC6A13" w:rsidRDefault="00FC6A13" w:rsidP="00FC6A13">
      <w:pPr>
        <w:spacing w:after="0" w:line="240" w:lineRule="auto"/>
        <w:jc w:val="left"/>
        <w:rPr>
          <w:rFonts w:ascii="Arial" w:eastAsia="Times New Roman" w:hAnsi="Arial" w:cs="Arial"/>
          <w:b/>
          <w:sz w:val="22"/>
          <w:szCs w:val="24"/>
          <w:lang w:val="es-ES" w:eastAsia="es-CO"/>
        </w:rPr>
      </w:pPr>
      <w:r w:rsidRPr="00FC6A13">
        <w:rPr>
          <w:rFonts w:ascii="Arial" w:eastAsia="Times New Roman" w:hAnsi="Arial" w:cs="Arial"/>
          <w:b/>
          <w:sz w:val="22"/>
          <w:szCs w:val="24"/>
          <w:lang w:val="es-ES" w:eastAsia="es-CO"/>
        </w:rPr>
        <w:t xml:space="preserve">2.2. </w:t>
      </w:r>
      <w:r w:rsidRPr="00FC6A13">
        <w:rPr>
          <w:rFonts w:ascii="Arial" w:eastAsia="Times New Roman" w:hAnsi="Arial" w:cs="Arial"/>
          <w:b/>
          <w:bCs/>
          <w:sz w:val="22"/>
          <w:szCs w:val="24"/>
          <w:lang w:val="es-CO" w:eastAsia="es-CO"/>
        </w:rPr>
        <w:t xml:space="preserve">La restricción a la contratación directa en elecciones presidenciales </w:t>
      </w:r>
    </w:p>
    <w:p w14:paraId="73A1F563" w14:textId="77777777" w:rsidR="00FC6A13" w:rsidRPr="00FC6A13" w:rsidRDefault="00FC6A13" w:rsidP="00FC6A13">
      <w:pPr>
        <w:spacing w:after="0" w:line="240" w:lineRule="auto"/>
        <w:jc w:val="left"/>
        <w:rPr>
          <w:rFonts w:ascii="Arial" w:eastAsia="Times New Roman" w:hAnsi="Arial" w:cs="Arial"/>
          <w:bCs/>
          <w:sz w:val="22"/>
          <w:szCs w:val="24"/>
          <w:lang w:val="es-CO" w:eastAsia="x-none"/>
        </w:rPr>
      </w:pPr>
    </w:p>
    <w:p w14:paraId="274FDA2B" w14:textId="2FF94C15" w:rsidR="00FC6A13" w:rsidRPr="00FC6A13" w:rsidRDefault="00FC6A13" w:rsidP="00FC6A13">
      <w:pPr>
        <w:spacing w:after="0"/>
        <w:rPr>
          <w:rFonts w:ascii="Arial" w:eastAsia="Times New Roman" w:hAnsi="Arial" w:cs="Arial"/>
          <w:bCs/>
          <w:sz w:val="22"/>
          <w:szCs w:val="24"/>
          <w:lang w:val="es-CO" w:eastAsia="es-CO"/>
        </w:rPr>
      </w:pPr>
      <w:r w:rsidRPr="00FC6A13">
        <w:rPr>
          <w:rFonts w:ascii="Arial" w:eastAsia="Times New Roman" w:hAnsi="Arial" w:cs="Arial"/>
          <w:bCs/>
          <w:sz w:val="22"/>
          <w:szCs w:val="24"/>
          <w:lang w:val="es-CO" w:eastAsia="x-none"/>
        </w:rPr>
        <w:t xml:space="preserve">El ámbito material de la prohibición contenida en el artículo 33 de la ley 996 de 2005 está delimitado por la expresión </w:t>
      </w:r>
      <w:r w:rsidRPr="00FC6A13">
        <w:rPr>
          <w:rFonts w:ascii="Arial" w:eastAsia="Calibri" w:hAnsi="Arial" w:cs="Arial"/>
          <w:bCs/>
          <w:sz w:val="20"/>
          <w:szCs w:val="20"/>
          <w:lang w:val="es-CO" w:eastAsia="es-ES_tradnl"/>
        </w:rPr>
        <w:t>«</w:t>
      </w:r>
      <w:r w:rsidRPr="00FC6A13">
        <w:rPr>
          <w:rFonts w:ascii="Arial" w:eastAsia="Times New Roman" w:hAnsi="Arial" w:cs="Arial"/>
          <w:bCs/>
          <w:sz w:val="22"/>
          <w:szCs w:val="24"/>
          <w:lang w:val="es-CO" w:eastAsia="x-none"/>
        </w:rPr>
        <w:t>queda prohibida la contratación directa</w:t>
      </w:r>
      <w:r w:rsidRPr="00FC6A13">
        <w:rPr>
          <w:rFonts w:ascii="Arial" w:eastAsia="Times New Roman" w:hAnsi="Arial" w:cs="Arial"/>
          <w:sz w:val="20"/>
          <w:szCs w:val="20"/>
          <w:lang w:val="es-CO" w:eastAsia="es-ES_tradnl"/>
        </w:rPr>
        <w:t>»</w:t>
      </w:r>
      <w:r w:rsidRPr="00FC6A13">
        <w:rPr>
          <w:rFonts w:ascii="Arial" w:eastAsia="Times New Roman" w:hAnsi="Arial" w:cs="Arial"/>
          <w:bCs/>
          <w:sz w:val="22"/>
          <w:szCs w:val="24"/>
          <w:lang w:val="es-CO" w:eastAsia="x-none"/>
        </w:rPr>
        <w:t>.</w:t>
      </w:r>
      <w:r w:rsidR="001259FF">
        <w:rPr>
          <w:rFonts w:ascii="Arial" w:eastAsia="Times New Roman" w:hAnsi="Arial" w:cs="Arial"/>
          <w:bCs/>
          <w:sz w:val="22"/>
          <w:szCs w:val="24"/>
          <w:lang w:val="es-CO" w:eastAsia="x-none"/>
        </w:rPr>
        <w:t xml:space="preserve"> </w:t>
      </w:r>
      <w:r w:rsidRPr="00FC6A13">
        <w:rPr>
          <w:rFonts w:ascii="Arial" w:eastAsia="Times New Roman" w:hAnsi="Arial" w:cs="Arial"/>
          <w:sz w:val="22"/>
          <w:szCs w:val="24"/>
          <w:lang w:val="es-CO" w:eastAsia="es-CO"/>
        </w:rPr>
        <w:t>A propósito de esta restricción de la Ley de Garantías Electorales, la Sala de Consulta y Servicio Civil del Consejo de Estado ha considerado que:</w:t>
      </w:r>
    </w:p>
    <w:p w14:paraId="3D715932" w14:textId="77777777" w:rsidR="00FC6A13" w:rsidRPr="00FC6A13" w:rsidRDefault="00FC6A13" w:rsidP="00FC6A13">
      <w:pPr>
        <w:spacing w:after="0" w:line="240" w:lineRule="auto"/>
        <w:ind w:left="708" w:right="709"/>
        <w:jc w:val="left"/>
        <w:rPr>
          <w:rFonts w:ascii="Arial" w:eastAsia="Times New Roman" w:hAnsi="Arial" w:cs="Arial"/>
          <w:sz w:val="21"/>
          <w:szCs w:val="21"/>
          <w:lang w:val="es-CO" w:eastAsia="es-ES_tradnl"/>
        </w:rPr>
      </w:pPr>
    </w:p>
    <w:p w14:paraId="4077A822" w14:textId="77777777" w:rsidR="00FC6A13" w:rsidRPr="00FC6A13" w:rsidRDefault="00FC6A13" w:rsidP="00FC6A13">
      <w:pPr>
        <w:spacing w:after="120" w:line="240" w:lineRule="auto"/>
        <w:ind w:left="709" w:right="709"/>
        <w:rPr>
          <w:rFonts w:ascii="Arial" w:eastAsia="Times New Roman" w:hAnsi="Arial" w:cs="Arial"/>
          <w:sz w:val="21"/>
          <w:szCs w:val="21"/>
          <w:lang w:val="es-CO" w:eastAsia="es-ES_tradnl"/>
        </w:rPr>
      </w:pPr>
      <w:r w:rsidRPr="00FC6A13">
        <w:rPr>
          <w:rFonts w:ascii="Arial" w:eastAsia="Times New Roman" w:hAnsi="Arial" w:cs="Arial"/>
          <w:sz w:val="21"/>
          <w:szCs w:val="21"/>
          <w:lang w:val="es-CO" w:eastAsia="es-ES_tradnl"/>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FC6A13">
        <w:rPr>
          <w:rFonts w:ascii="Arial" w:eastAsia="Times New Roman" w:hAnsi="Arial" w:cs="Arial"/>
          <w:sz w:val="21"/>
          <w:szCs w:val="21"/>
          <w:vertAlign w:val="superscript"/>
          <w:lang w:val="es-CO" w:eastAsia="es-CO"/>
        </w:rPr>
        <w:footnoteReference w:id="12"/>
      </w:r>
      <w:r w:rsidRPr="00FC6A13">
        <w:rPr>
          <w:rFonts w:ascii="Arial" w:eastAsia="Times New Roman" w:hAnsi="Arial" w:cs="Arial"/>
          <w:sz w:val="21"/>
          <w:szCs w:val="21"/>
          <w:lang w:val="es-CO" w:eastAsia="es-ES_tradnl"/>
        </w:rPr>
        <w:t>.</w:t>
      </w:r>
    </w:p>
    <w:p w14:paraId="4979F971" w14:textId="77777777" w:rsidR="00FC6A13" w:rsidRPr="00FC6A13" w:rsidRDefault="00FC6A13" w:rsidP="00FC6A13">
      <w:pPr>
        <w:spacing w:after="0" w:line="240" w:lineRule="auto"/>
        <w:ind w:left="708" w:right="709"/>
        <w:rPr>
          <w:rFonts w:ascii="Arial" w:eastAsia="Times New Roman" w:hAnsi="Arial" w:cs="Arial"/>
          <w:sz w:val="21"/>
          <w:szCs w:val="21"/>
          <w:lang w:val="es-CO" w:eastAsia="es-ES_tradnl"/>
        </w:rPr>
      </w:pPr>
      <w:r w:rsidRPr="00FC6A13">
        <w:rPr>
          <w:rFonts w:ascii="Arial" w:eastAsia="Times New Roman" w:hAnsi="Arial" w:cs="Arial"/>
          <w:sz w:val="21"/>
          <w:szCs w:val="21"/>
          <w:lang w:val="es-CO" w:eastAsia="es-ES_tradnl"/>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FC6A13">
        <w:rPr>
          <w:rFonts w:ascii="Arial" w:eastAsia="Times New Roman" w:hAnsi="Arial" w:cs="Arial"/>
          <w:sz w:val="21"/>
          <w:szCs w:val="21"/>
          <w:vertAlign w:val="superscript"/>
          <w:lang w:val="es-CO" w:eastAsia="es-ES_tradnl"/>
        </w:rPr>
        <w:footnoteReference w:id="13"/>
      </w:r>
      <w:r w:rsidRPr="00FC6A13">
        <w:rPr>
          <w:rFonts w:ascii="Arial" w:eastAsia="Times New Roman" w:hAnsi="Arial" w:cs="Arial"/>
          <w:sz w:val="21"/>
          <w:szCs w:val="21"/>
          <w:vertAlign w:val="superscript"/>
          <w:lang w:val="es-CO" w:eastAsia="es-ES_tradnl"/>
        </w:rPr>
        <w:t>.</w:t>
      </w:r>
      <w:r w:rsidRPr="00FC6A13">
        <w:rPr>
          <w:rFonts w:ascii="Arial" w:eastAsia="Times New Roman" w:hAnsi="Arial" w:cs="Arial"/>
          <w:sz w:val="21"/>
          <w:szCs w:val="21"/>
          <w:lang w:val="es-CO" w:eastAsia="es-ES_tradnl"/>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w:t>
      </w:r>
      <w:r w:rsidRPr="00FC6A13">
        <w:rPr>
          <w:rFonts w:ascii="Arial" w:eastAsia="Times New Roman" w:hAnsi="Arial" w:cs="Arial"/>
          <w:sz w:val="21"/>
          <w:szCs w:val="21"/>
          <w:lang w:val="es-CO" w:eastAsia="es-ES_tradnl"/>
        </w:rPr>
        <w:lastRenderedPageBreak/>
        <w:t>disposición pueden las entidades públicas seguir contratando bajo estos sistemas. [...]</w:t>
      </w:r>
      <w:r w:rsidRPr="00FC6A13">
        <w:rPr>
          <w:rFonts w:ascii="Arial" w:eastAsia="Times New Roman" w:hAnsi="Arial" w:cs="Arial"/>
          <w:sz w:val="21"/>
          <w:szCs w:val="21"/>
          <w:vertAlign w:val="superscript"/>
          <w:lang w:val="es-CO" w:eastAsia="es-CO"/>
        </w:rPr>
        <w:footnoteReference w:id="14"/>
      </w:r>
      <w:r w:rsidRPr="00FC6A13">
        <w:rPr>
          <w:rFonts w:ascii="Arial" w:eastAsia="Times New Roman" w:hAnsi="Arial" w:cs="Arial"/>
          <w:sz w:val="21"/>
          <w:szCs w:val="21"/>
          <w:lang w:val="es-CO" w:eastAsia="es-ES_tradnl"/>
        </w:rPr>
        <w:t xml:space="preserve"> .</w:t>
      </w:r>
    </w:p>
    <w:p w14:paraId="67633CC4" w14:textId="77777777" w:rsidR="00FC6A13" w:rsidRPr="00FC6A13" w:rsidRDefault="00FC6A13" w:rsidP="00FC6A13">
      <w:pPr>
        <w:shd w:val="clear" w:color="auto" w:fill="FFFFFF"/>
        <w:spacing w:after="0" w:line="240" w:lineRule="auto"/>
        <w:ind w:firstLine="709"/>
        <w:jc w:val="left"/>
        <w:rPr>
          <w:rFonts w:ascii="Arial" w:eastAsia="Times New Roman" w:hAnsi="Arial" w:cs="Arial"/>
          <w:sz w:val="22"/>
          <w:szCs w:val="24"/>
          <w:lang w:val="es-CO" w:eastAsia="x-none"/>
        </w:rPr>
      </w:pPr>
    </w:p>
    <w:p w14:paraId="487A8237" w14:textId="77777777" w:rsidR="00E412EA" w:rsidRDefault="00E412EA" w:rsidP="00FC6A13">
      <w:pPr>
        <w:spacing w:after="120"/>
        <w:ind w:firstLine="708"/>
        <w:rPr>
          <w:rFonts w:ascii="Arial" w:eastAsia="Times New Roman" w:hAnsi="Arial" w:cs="Arial"/>
          <w:sz w:val="22"/>
          <w:lang w:eastAsia="x-none"/>
        </w:rPr>
      </w:pPr>
      <w:r w:rsidRPr="00D02A08">
        <w:rPr>
          <w:rFonts w:ascii="Arial" w:hAnsi="Arial" w:cs="Arial"/>
          <w:sz w:val="22"/>
          <w:lang w:eastAsia="x-none"/>
        </w:rPr>
        <w:t xml:space="preserve">De acuerdo con el citado concepto, la prohibición del artículo 33 de la Ley de Garantías Electorales se refiere a </w:t>
      </w:r>
      <w:r w:rsidRPr="00D02A08">
        <w:rPr>
          <w:rFonts w:ascii="Arial" w:hAnsi="Arial" w:cs="Arial"/>
          <w:sz w:val="22"/>
          <w:lang w:eastAsia="en-GB"/>
        </w:rPr>
        <w:t>«</w:t>
      </w:r>
      <w:r w:rsidRPr="00D02A08">
        <w:rPr>
          <w:rFonts w:ascii="Arial" w:hAnsi="Arial" w:cs="Arial"/>
          <w:sz w:val="22"/>
          <w:lang w:eastAsia="x-none"/>
        </w:rPr>
        <w:t>cualquier sistema que no implique convocatoria pública y posibilidad de pluralidad de oferentes</w:t>
      </w:r>
      <w:r w:rsidRPr="00D02A08">
        <w:rPr>
          <w:rFonts w:ascii="Arial" w:hAnsi="Arial" w:cs="Arial"/>
          <w:sz w:val="22"/>
          <w:lang w:eastAsia="en-GB"/>
        </w:rPr>
        <w:t>»</w:t>
      </w:r>
      <w:r w:rsidRPr="00D02A08">
        <w:rPr>
          <w:rFonts w:ascii="Arial" w:hAnsi="Arial" w:cs="Arial"/>
          <w:sz w:val="22"/>
          <w:lang w:eastAsia="x-none"/>
        </w:rPr>
        <w:t xml:space="preserve">,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 y sistematizó las causales de contratación directa, </w:t>
      </w:r>
      <w:r w:rsidRPr="00D02A08">
        <w:rPr>
          <w:rFonts w:ascii="Arial" w:hAnsi="Arial" w:cs="Arial"/>
          <w:color w:val="000000" w:themeColor="text1"/>
          <w:sz w:val="22"/>
          <w:lang w:eastAsia="x-none"/>
        </w:rPr>
        <w:t>además lo es con la posterior creación de la modalidad de mínima cuantía establecida actualmente en el numeral 5 del artículo 2 de la Ley 1150 de 2007, de acuerdo con las modificaciones realizadas por leyes posteriores</w:t>
      </w:r>
      <w:r w:rsidRPr="00D02A08">
        <w:rPr>
          <w:rStyle w:val="Refdenotaalpie"/>
          <w:rFonts w:ascii="Arial" w:hAnsi="Arial" w:cs="Arial"/>
          <w:color w:val="000000" w:themeColor="text1"/>
          <w:sz w:val="22"/>
          <w:lang w:eastAsia="x-none"/>
        </w:rPr>
        <w:footnoteReference w:id="15"/>
      </w:r>
      <w:r w:rsidRPr="00D02A08">
        <w:rPr>
          <w:rFonts w:ascii="Arial" w:hAnsi="Arial" w:cs="Arial"/>
          <w:color w:val="000000" w:themeColor="text1"/>
          <w:sz w:val="22"/>
          <w:lang w:eastAsia="x-none"/>
        </w:rPr>
        <w:t>.</w:t>
      </w:r>
      <w:r w:rsidRPr="00D02A08">
        <w:rPr>
          <w:rFonts w:ascii="Arial" w:eastAsia="Times New Roman" w:hAnsi="Arial" w:cs="Arial"/>
          <w:sz w:val="22"/>
          <w:lang w:eastAsia="x-none"/>
        </w:rPr>
        <w:t xml:space="preserve"> </w:t>
      </w:r>
    </w:p>
    <w:p w14:paraId="726D4487" w14:textId="6F0C5DE1" w:rsidR="00FC6A13" w:rsidRPr="00FC6A13" w:rsidRDefault="00FC6A13" w:rsidP="00FC6A13">
      <w:pPr>
        <w:spacing w:after="120"/>
        <w:ind w:firstLine="708"/>
        <w:rPr>
          <w:rFonts w:ascii="Arial" w:eastAsia="Times New Roman" w:hAnsi="Arial" w:cs="Arial"/>
          <w:sz w:val="22"/>
          <w:szCs w:val="24"/>
          <w:lang w:val="es-CO" w:eastAsia="x-none"/>
        </w:rPr>
      </w:pPr>
      <w:r w:rsidRPr="00FC6A13">
        <w:rPr>
          <w:rFonts w:ascii="Arial" w:eastAsia="Times New Roman" w:hAnsi="Arial" w:cs="Arial"/>
          <w:sz w:val="22"/>
          <w:szCs w:val="24"/>
          <w:lang w:val="es-CO" w:eastAsia="x-none"/>
        </w:rPr>
        <w:t xml:space="preserve">De esta forma, con fundamento en la evolución de la normativa sobre la contratación pública, se ha depurado la noción de </w:t>
      </w:r>
      <w:r w:rsidRPr="00FC6A13">
        <w:rPr>
          <w:rFonts w:ascii="Arial" w:eastAsia="Times New Roman" w:hAnsi="Arial" w:cs="Arial"/>
          <w:sz w:val="19"/>
          <w:szCs w:val="19"/>
          <w:lang w:val="es-CO" w:eastAsia="en-GB"/>
        </w:rPr>
        <w:t>«</w:t>
      </w:r>
      <w:r w:rsidRPr="00FC6A13">
        <w:rPr>
          <w:rFonts w:ascii="Arial" w:eastAsia="Times New Roman" w:hAnsi="Arial" w:cs="Arial"/>
          <w:sz w:val="22"/>
          <w:szCs w:val="24"/>
          <w:lang w:val="es-CO" w:eastAsia="x-none"/>
        </w:rPr>
        <w:t>contratación directa</w:t>
      </w:r>
      <w:r w:rsidRPr="00FC6A13">
        <w:rPr>
          <w:rFonts w:ascii="Arial" w:eastAsia="Times New Roman" w:hAnsi="Arial" w:cs="Arial"/>
          <w:sz w:val="22"/>
          <w:szCs w:val="24"/>
          <w:lang w:val="es-CO" w:eastAsia="en-GB"/>
        </w:rPr>
        <w:t>»</w:t>
      </w:r>
      <w:r w:rsidRPr="00FC6A13">
        <w:rPr>
          <w:rFonts w:ascii="Arial" w:eastAsia="Times New Roman" w:hAnsi="Arial" w:cs="Arial"/>
          <w:sz w:val="22"/>
          <w:szCs w:val="24"/>
          <w:lang w:val="es-CO"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FC6A13">
        <w:rPr>
          <w:rFonts w:ascii="Arial" w:eastAsia="Times New Roman" w:hAnsi="Arial" w:cs="Arial"/>
          <w:sz w:val="22"/>
          <w:szCs w:val="24"/>
          <w:vertAlign w:val="superscript"/>
          <w:lang w:val="en-GB" w:eastAsia="x-none"/>
        </w:rPr>
        <w:footnoteReference w:id="16"/>
      </w:r>
      <w:r w:rsidRPr="00FC6A13">
        <w:rPr>
          <w:rFonts w:ascii="Arial" w:eastAsia="Times New Roman" w:hAnsi="Arial" w:cs="Arial"/>
          <w:sz w:val="22"/>
          <w:szCs w:val="24"/>
          <w:lang w:val="es-CO" w:eastAsia="x-none"/>
        </w:rPr>
        <w:t>, han establecido sistemas de contratación que implican convocatoria pública y participación de varios oferentes</w:t>
      </w:r>
      <w:r w:rsidRPr="00FC6A13">
        <w:rPr>
          <w:rFonts w:ascii="Arial" w:eastAsia="Times New Roman" w:hAnsi="Arial" w:cs="Arial"/>
          <w:sz w:val="22"/>
          <w:szCs w:val="24"/>
          <w:lang w:val="es-CO" w:eastAsia="en-GB"/>
        </w:rPr>
        <w:t>»</w:t>
      </w:r>
      <w:r w:rsidRPr="00FC6A13">
        <w:rPr>
          <w:rFonts w:ascii="Arial" w:eastAsia="Times New Roman" w:hAnsi="Arial" w:cs="Arial"/>
          <w:sz w:val="22"/>
          <w:szCs w:val="24"/>
          <w:lang w:val="es-CO" w:eastAsia="x-none"/>
        </w:rPr>
        <w:t xml:space="preserve">. </w:t>
      </w:r>
    </w:p>
    <w:p w14:paraId="64EADE03" w14:textId="77777777" w:rsidR="00FC6A13" w:rsidRPr="00FC6A13" w:rsidRDefault="00FC6A13" w:rsidP="00FC6A13">
      <w:pPr>
        <w:spacing w:after="120"/>
        <w:ind w:firstLine="708"/>
        <w:rPr>
          <w:rFonts w:ascii="Arial" w:eastAsia="Times New Roman" w:hAnsi="Arial" w:cs="Arial"/>
          <w:bCs/>
          <w:sz w:val="22"/>
          <w:szCs w:val="24"/>
          <w:lang w:val="es-CO" w:eastAsia="es-CO"/>
        </w:rPr>
      </w:pPr>
      <w:r w:rsidRPr="00231255">
        <w:rPr>
          <w:rFonts w:ascii="Arial" w:eastAsia="Times New Roman" w:hAnsi="Arial" w:cs="Arial"/>
          <w:bCs/>
          <w:sz w:val="22"/>
          <w:szCs w:val="24"/>
          <w:lang w:val="es-CO" w:eastAsia="x-none"/>
        </w:rPr>
        <w:t>E</w:t>
      </w:r>
      <w:r w:rsidRPr="00231255">
        <w:rPr>
          <w:rFonts w:ascii="Arial" w:eastAsia="Times New Roman" w:hAnsi="Arial" w:cs="Arial"/>
          <w:sz w:val="22"/>
          <w:szCs w:val="24"/>
          <w:lang w:val="es-CO" w:eastAsia="x-none"/>
        </w:rPr>
        <w:t xml:space="preserve">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w:t>
      </w:r>
      <w:r w:rsidRPr="00231255">
        <w:rPr>
          <w:rFonts w:ascii="Arial" w:eastAsia="Times New Roman" w:hAnsi="Arial" w:cs="Arial"/>
          <w:sz w:val="22"/>
          <w:szCs w:val="24"/>
          <w:lang w:val="es-CO" w:eastAsia="x-none"/>
        </w:rPr>
        <w:lastRenderedPageBreak/>
        <w:t>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231255">
        <w:rPr>
          <w:rFonts w:ascii="Arial" w:eastAsia="Times New Roman" w:hAnsi="Arial" w:cs="Arial"/>
          <w:sz w:val="22"/>
          <w:szCs w:val="24"/>
          <w:vertAlign w:val="superscript"/>
          <w:lang w:val="es-CO" w:eastAsia="x-none"/>
        </w:rPr>
        <w:footnoteReference w:id="17"/>
      </w:r>
      <w:r w:rsidRPr="00231255">
        <w:rPr>
          <w:rFonts w:ascii="Arial" w:eastAsia="Times New Roman" w:hAnsi="Arial" w:cs="Arial"/>
          <w:sz w:val="22"/>
          <w:szCs w:val="24"/>
          <w:lang w:val="es-CO" w:eastAsia="x-none"/>
        </w:rPr>
        <w:t>.</w:t>
      </w:r>
      <w:r w:rsidRPr="00FC6A13">
        <w:rPr>
          <w:rFonts w:ascii="Arial" w:eastAsia="Times New Roman" w:hAnsi="Arial" w:cs="Arial"/>
          <w:sz w:val="22"/>
          <w:szCs w:val="24"/>
          <w:lang w:val="es-CO" w:eastAsia="x-none"/>
        </w:rPr>
        <w:t xml:space="preserve"> </w:t>
      </w:r>
    </w:p>
    <w:p w14:paraId="2153F361" w14:textId="77777777" w:rsidR="00FC6A13" w:rsidRPr="00FC6A13" w:rsidRDefault="00FC6A13" w:rsidP="00FC6A13">
      <w:pPr>
        <w:spacing w:after="120"/>
        <w:ind w:firstLine="708"/>
        <w:rPr>
          <w:rFonts w:ascii="Arial" w:eastAsia="Times New Roman" w:hAnsi="Arial" w:cs="Arial"/>
          <w:bCs/>
          <w:sz w:val="22"/>
          <w:szCs w:val="24"/>
          <w:lang w:val="es-CO" w:eastAsia="es-CO"/>
        </w:rPr>
      </w:pPr>
      <w:r w:rsidRPr="00FC6A13">
        <w:rPr>
          <w:rFonts w:ascii="Arial" w:eastAsia="Times New Roman" w:hAnsi="Arial" w:cs="Arial"/>
          <w:bCs/>
          <w:sz w:val="22"/>
          <w:szCs w:val="24"/>
          <w:lang w:val="es-CO"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2CACA55C" w14:textId="77777777" w:rsidR="00FC6A13" w:rsidRPr="00FC6A13" w:rsidRDefault="00FC6A13" w:rsidP="00FC6A13">
      <w:pPr>
        <w:spacing w:after="120"/>
        <w:ind w:firstLine="708"/>
        <w:rPr>
          <w:rFonts w:ascii="Arial" w:eastAsia="Times New Roman" w:hAnsi="Arial" w:cs="Arial"/>
          <w:bCs/>
          <w:sz w:val="22"/>
          <w:szCs w:val="24"/>
          <w:lang w:val="es-CO" w:eastAsia="x-none"/>
        </w:rPr>
      </w:pPr>
      <w:r w:rsidRPr="00FC6A13">
        <w:rPr>
          <w:rFonts w:ascii="Arial" w:eastAsia="Times New Roman" w:hAnsi="Arial" w:cs="Arial"/>
          <w:bCs/>
          <w:sz w:val="22"/>
          <w:szCs w:val="24"/>
          <w:lang w:val="es-CO"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FC6A13">
        <w:rPr>
          <w:rFonts w:ascii="Arial" w:eastAsia="Times New Roman" w:hAnsi="Arial" w:cs="Arial"/>
          <w:sz w:val="22"/>
          <w:szCs w:val="24"/>
          <w:vertAlign w:val="superscript"/>
          <w:lang w:val="es-CO" w:eastAsia="x-none"/>
        </w:rPr>
        <w:footnoteReference w:id="18"/>
      </w:r>
      <w:r w:rsidRPr="00FC6A13">
        <w:rPr>
          <w:rFonts w:ascii="Arial" w:eastAsia="Times New Roman" w:hAnsi="Arial" w:cs="Arial"/>
          <w:bCs/>
          <w:sz w:val="22"/>
          <w:szCs w:val="24"/>
          <w:lang w:val="es-CO" w:eastAsia="x-none"/>
        </w:rPr>
        <w:t>.</w:t>
      </w:r>
      <w:r w:rsidRPr="00FC6A13">
        <w:rPr>
          <w:rFonts w:ascii="Arial" w:eastAsia="Times New Roman" w:hAnsi="Arial" w:cs="Arial"/>
          <w:sz w:val="22"/>
          <w:szCs w:val="24"/>
          <w:vertAlign w:val="superscript"/>
          <w:lang w:val="es-CO" w:eastAsia="x-none"/>
        </w:rPr>
        <w:t xml:space="preserve"> </w:t>
      </w:r>
    </w:p>
    <w:p w14:paraId="76507B15" w14:textId="0CBE49AE" w:rsidR="00FC6A13" w:rsidRPr="00FC6A13" w:rsidRDefault="00FC6A13" w:rsidP="00FC6A13">
      <w:pPr>
        <w:spacing w:after="120"/>
        <w:ind w:firstLine="708"/>
        <w:rPr>
          <w:rFonts w:ascii="Arial" w:eastAsia="Times New Roman" w:hAnsi="Arial" w:cs="Arial"/>
          <w:sz w:val="22"/>
          <w:szCs w:val="24"/>
          <w:lang w:val="es-CO" w:eastAsia="x-none"/>
        </w:rPr>
      </w:pPr>
      <w:r w:rsidRPr="00FC6A13">
        <w:rPr>
          <w:rFonts w:ascii="Arial" w:eastAsia="Times New Roman" w:hAnsi="Arial" w:cs="Arial"/>
          <w:bCs/>
          <w:sz w:val="22"/>
          <w:szCs w:val="24"/>
          <w:lang w:val="es-CO" w:eastAsia="x-none"/>
        </w:rPr>
        <w:t>De lo anterior se desprende que la restricción aplica, sin perjuicio de las excepciones establecidas en la misma ley, para celebrar cualquier contrato de forma directa, esto es, sin que exista un proceso abierto y competitivo.</w:t>
      </w:r>
      <w:r w:rsidRPr="00FC6A13">
        <w:rPr>
          <w:rFonts w:ascii="Arial" w:eastAsia="Times New Roman" w:hAnsi="Arial" w:cs="Arial"/>
          <w:sz w:val="22"/>
          <w:szCs w:val="24"/>
          <w:lang w:val="es-CO" w:eastAsia="x-none"/>
        </w:rPr>
        <w:t xml:space="preserve"> Por tanto, no son materia de la prohibición las demás modalidades de selección previstas en la Ley 1150 de 2007, es decir, la licitación pública, el concurso de méritos</w:t>
      </w:r>
      <w:r w:rsidR="00E412EA">
        <w:rPr>
          <w:rFonts w:ascii="Arial" w:eastAsia="Times New Roman" w:hAnsi="Arial" w:cs="Arial"/>
          <w:sz w:val="22"/>
          <w:szCs w:val="24"/>
          <w:lang w:val="es-CO" w:eastAsia="x-none"/>
        </w:rPr>
        <w:t>,</w:t>
      </w:r>
      <w:r w:rsidRPr="00FC6A13">
        <w:rPr>
          <w:rFonts w:ascii="Arial" w:eastAsia="Times New Roman" w:hAnsi="Arial" w:cs="Arial"/>
          <w:sz w:val="22"/>
          <w:szCs w:val="24"/>
          <w:lang w:val="es-CO" w:eastAsia="x-none"/>
        </w:rPr>
        <w:t xml:space="preserve"> la selección abreviada</w:t>
      </w:r>
      <w:r w:rsidR="00E412EA">
        <w:rPr>
          <w:rFonts w:ascii="Arial" w:eastAsia="Times New Roman" w:hAnsi="Arial" w:cs="Arial"/>
          <w:sz w:val="22"/>
          <w:szCs w:val="24"/>
          <w:lang w:val="es-CO" w:eastAsia="x-none"/>
        </w:rPr>
        <w:t xml:space="preserve"> y la mínima cuantía</w:t>
      </w:r>
      <w:r w:rsidRPr="00FC6A13">
        <w:rPr>
          <w:rFonts w:ascii="Arial" w:eastAsia="Times New Roman" w:hAnsi="Arial" w:cs="Arial"/>
          <w:sz w:val="22"/>
          <w:szCs w:val="24"/>
          <w:lang w:val="es-CO" w:eastAsia="x-none"/>
        </w:rPr>
        <w:t xml:space="preserve"> razón por la cual en ese período preelectoral de que trata la disposición pueden las entidades públicas seguir contratando bajo estos sistemas.</w:t>
      </w:r>
    </w:p>
    <w:p w14:paraId="088ECB78" w14:textId="77777777" w:rsidR="00FC6A13" w:rsidRPr="00FC6A13" w:rsidRDefault="00FC6A13" w:rsidP="00FC6A13">
      <w:pPr>
        <w:spacing w:after="120"/>
        <w:ind w:firstLine="708"/>
        <w:rPr>
          <w:rFonts w:ascii="Arial" w:eastAsia="Times New Roman" w:hAnsi="Arial" w:cs="Arial"/>
          <w:bCs/>
          <w:sz w:val="22"/>
          <w:szCs w:val="24"/>
          <w:lang w:val="es-CO" w:eastAsia="x-none"/>
        </w:rPr>
      </w:pPr>
      <w:r w:rsidRPr="00FC6A13">
        <w:rPr>
          <w:rFonts w:ascii="Arial" w:eastAsia="Times New Roman" w:hAnsi="Arial" w:cs="Arial"/>
          <w:bCs/>
          <w:sz w:val="22"/>
          <w:szCs w:val="24"/>
          <w:lang w:val="es-CO"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p>
    <w:p w14:paraId="6920715D" w14:textId="7B1D4936" w:rsidR="00FC6A13" w:rsidRPr="00FC6A13" w:rsidRDefault="00FC6A13" w:rsidP="00FC6A13">
      <w:pPr>
        <w:spacing w:after="120"/>
        <w:ind w:firstLine="708"/>
        <w:rPr>
          <w:rFonts w:ascii="Arial" w:eastAsia="Times New Roman" w:hAnsi="Arial" w:cs="Arial"/>
          <w:bCs/>
          <w:sz w:val="22"/>
          <w:szCs w:val="24"/>
          <w:lang w:val="es-CO" w:eastAsia="es-CO"/>
        </w:rPr>
      </w:pPr>
      <w:r w:rsidRPr="00FC6A13">
        <w:rPr>
          <w:rFonts w:ascii="Arial" w:eastAsia="Times New Roman" w:hAnsi="Arial" w:cs="Arial"/>
          <w:bCs/>
          <w:sz w:val="22"/>
          <w:szCs w:val="24"/>
          <w:lang w:val="es-CO"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w:t>
      </w:r>
      <w:r w:rsidRPr="00FC6A13">
        <w:rPr>
          <w:rFonts w:ascii="Arial" w:eastAsia="Times New Roman" w:hAnsi="Arial" w:cs="Arial"/>
          <w:bCs/>
          <w:sz w:val="22"/>
          <w:szCs w:val="24"/>
          <w:lang w:val="es-CO" w:eastAsia="x-none"/>
        </w:rPr>
        <w:lastRenderedPageBreak/>
        <w:t>encuentran consagradas en el inciso final del citado artículo 33 de la Ley 996 de 2005</w:t>
      </w:r>
      <w:r w:rsidR="007147D2">
        <w:rPr>
          <w:rFonts w:ascii="Arial" w:eastAsia="Times New Roman" w:hAnsi="Arial" w:cs="Arial"/>
          <w:bCs/>
          <w:sz w:val="22"/>
          <w:szCs w:val="24"/>
          <w:lang w:val="es-CO" w:eastAsia="x-none"/>
        </w:rPr>
        <w:t>,</w:t>
      </w:r>
      <w:r w:rsidRPr="00FC6A13">
        <w:rPr>
          <w:rFonts w:ascii="Arial" w:eastAsia="Times New Roman" w:hAnsi="Arial" w:cs="Arial"/>
          <w:bCs/>
          <w:sz w:val="22"/>
          <w:szCs w:val="24"/>
          <w:lang w:val="es-CO" w:eastAsia="x-none"/>
        </w:rPr>
        <w:t xml:space="preserve"> en lo referente a</w:t>
      </w:r>
      <w:r w:rsidR="007147D2">
        <w:rPr>
          <w:rFonts w:ascii="Arial" w:eastAsia="Times New Roman" w:hAnsi="Arial" w:cs="Arial"/>
          <w:bCs/>
          <w:sz w:val="22"/>
          <w:szCs w:val="24"/>
          <w:lang w:val="es-CO" w:eastAsia="x-none"/>
        </w:rPr>
        <w:t>:</w:t>
      </w:r>
      <w:r w:rsidRPr="00FC6A13">
        <w:rPr>
          <w:rFonts w:ascii="Arial" w:eastAsia="Times New Roman" w:hAnsi="Arial" w:cs="Arial"/>
          <w:bCs/>
          <w:sz w:val="22"/>
          <w:szCs w:val="24"/>
          <w:lang w:val="es-CO" w:eastAsia="x-none"/>
        </w:rPr>
        <w:t xml:space="preserve"> i) la defensa y seguridad del Estado; ii) los contratos de crédito público; </w:t>
      </w:r>
      <w:proofErr w:type="spellStart"/>
      <w:r w:rsidRPr="00FC6A13">
        <w:rPr>
          <w:rFonts w:ascii="Arial" w:eastAsia="Times New Roman" w:hAnsi="Arial" w:cs="Arial"/>
          <w:bCs/>
          <w:sz w:val="22"/>
          <w:szCs w:val="24"/>
          <w:lang w:val="es-CO" w:eastAsia="x-none"/>
        </w:rPr>
        <w:t>iii</w:t>
      </w:r>
      <w:proofErr w:type="spellEnd"/>
      <w:r w:rsidRPr="00FC6A13">
        <w:rPr>
          <w:rFonts w:ascii="Arial" w:eastAsia="Times New Roman" w:hAnsi="Arial" w:cs="Arial"/>
          <w:bCs/>
          <w:sz w:val="22"/>
          <w:szCs w:val="24"/>
          <w:lang w:val="es-CO" w:eastAsia="x-none"/>
        </w:rPr>
        <w:t>)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FC6A13">
        <w:rPr>
          <w:rFonts w:ascii="Arial" w:eastAsia="Times New Roman" w:hAnsi="Arial" w:cs="Arial"/>
          <w:bCs/>
          <w:sz w:val="22"/>
          <w:szCs w:val="24"/>
          <w:lang w:val="es-CO"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1CA9F486" w14:textId="5085C206" w:rsidR="00FC6A13" w:rsidRDefault="00FC6A13" w:rsidP="00231255">
      <w:pPr>
        <w:spacing w:after="120"/>
        <w:ind w:firstLine="709"/>
        <w:rPr>
          <w:rFonts w:ascii="Arial" w:eastAsia="Times New Roman" w:hAnsi="Arial" w:cs="Arial"/>
          <w:bCs/>
          <w:sz w:val="22"/>
          <w:szCs w:val="24"/>
          <w:lang w:val="es-CO" w:eastAsia="x-none"/>
        </w:rPr>
      </w:pPr>
      <w:r w:rsidRPr="00FC6A13">
        <w:rPr>
          <w:rFonts w:ascii="Arial" w:eastAsia="Times New Roman" w:hAnsi="Arial" w:cs="Arial"/>
          <w:bCs/>
          <w:sz w:val="22"/>
          <w:szCs w:val="24"/>
          <w:lang w:val="es-CO" w:eastAsia="x-none"/>
        </w:rPr>
        <w:t>En esta labor es importante tener en cuenta, como lo anotó la Corte Constitucional, en Sentencia C-1153 de noviembre 11 de 2005</w:t>
      </w:r>
      <w:r w:rsidRPr="00FC6A13">
        <w:rPr>
          <w:rFonts w:ascii="Arial" w:eastAsia="Times New Roman" w:hAnsi="Arial" w:cs="Arial"/>
          <w:szCs w:val="24"/>
          <w:vertAlign w:val="superscript"/>
          <w:lang w:val="es-CO" w:eastAsia="es-ES_tradnl"/>
        </w:rPr>
        <w:t>,</w:t>
      </w:r>
      <w:r w:rsidRPr="00FC6A13">
        <w:rPr>
          <w:rFonts w:ascii="Arial" w:eastAsia="Times New Roman" w:hAnsi="Arial" w:cs="Arial"/>
          <w:bCs/>
          <w:sz w:val="22"/>
          <w:szCs w:val="24"/>
          <w:lang w:val="es-CO" w:eastAsia="x-none"/>
        </w:rPr>
        <w:t xml:space="preserve">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FC6A13">
        <w:rPr>
          <w:rFonts w:ascii="Arial" w:eastAsia="Times New Roman" w:hAnsi="Arial" w:cs="Arial"/>
          <w:sz w:val="22"/>
          <w:szCs w:val="24"/>
          <w:vertAlign w:val="superscript"/>
          <w:lang w:val="es-CO" w:eastAsia="es-ES_tradnl"/>
        </w:rPr>
        <w:footnoteReference w:id="19"/>
      </w:r>
      <w:r w:rsidRPr="00FC6A13">
        <w:rPr>
          <w:rFonts w:ascii="Arial" w:eastAsia="Times New Roman" w:hAnsi="Arial" w:cs="Arial"/>
          <w:bCs/>
          <w:sz w:val="22"/>
          <w:szCs w:val="24"/>
          <w:lang w:val="es-CO"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69E20306" w14:textId="77777777" w:rsidR="006E2F8F" w:rsidRPr="00020DEF" w:rsidRDefault="006E2F8F" w:rsidP="006E2F8F">
      <w:pPr>
        <w:spacing w:after="120"/>
        <w:ind w:firstLine="709"/>
        <w:rPr>
          <w:rFonts w:ascii="Arial" w:eastAsia="Times New Roman" w:hAnsi="Arial" w:cs="Arial"/>
          <w:bCs/>
          <w:sz w:val="21"/>
          <w:szCs w:val="21"/>
          <w:lang w:eastAsia="es-CO"/>
        </w:rPr>
      </w:pPr>
      <w:r w:rsidRPr="00020DEF">
        <w:rPr>
          <w:rFonts w:ascii="Arial" w:hAnsi="Arial" w:cs="Arial"/>
          <w:bCs/>
          <w:color w:val="000000"/>
          <w:sz w:val="22"/>
          <w:lang w:eastAsia="x-none"/>
        </w:rPr>
        <w:t>En relación con los destinatarios de la restricción analizada</w:t>
      </w:r>
      <w:r w:rsidRPr="00020DEF">
        <w:rPr>
          <w:rFonts w:ascii="Arial" w:eastAsia="Times New Roman" w:hAnsi="Arial" w:cs="Arial"/>
          <w:bCs/>
          <w:sz w:val="22"/>
          <w:lang w:eastAsia="x-none"/>
        </w:rPr>
        <w:t>, 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020DEF">
        <w:rPr>
          <w:rFonts w:ascii="Arial" w:hAnsi="Arial" w:cs="Arial"/>
        </w:rPr>
        <w:t xml:space="preserve"> </w:t>
      </w:r>
      <w:r w:rsidRPr="00020DEF">
        <w:rPr>
          <w:rFonts w:ascii="Arial" w:eastAsia="Times New Roman" w:hAnsi="Arial" w:cs="Arial"/>
          <w:bCs/>
          <w:sz w:val="22"/>
          <w:lang w:eastAsia="x-none"/>
        </w:rPr>
        <w:t>En efecto, tal como lo ha sostenido el Consejo de Estado, el vocablo «todos» utilizado por el legislador comprende</w:t>
      </w:r>
      <w:r w:rsidRPr="00020DEF">
        <w:rPr>
          <w:rFonts w:ascii="Arial" w:hAnsi="Arial" w:cs="Arial"/>
        </w:rPr>
        <w:t xml:space="preserve"> </w:t>
      </w:r>
      <w:r w:rsidRPr="00020DEF">
        <w:rPr>
          <w:rFonts w:ascii="Arial" w:eastAsia="Times New Roman" w:hAnsi="Arial" w:cs="Arial"/>
          <w:bCs/>
          <w:sz w:val="22"/>
          <w:lang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Sobre el particular, el Consejo de Estado, en Concepto con radicado 1727 de fecha 20 de febrero de 2006, consideró que </w:t>
      </w:r>
      <w:r w:rsidRPr="00020DEF">
        <w:rPr>
          <w:rFonts w:ascii="Arial" w:hAnsi="Arial" w:cs="Arial"/>
          <w:bCs/>
          <w:color w:val="000000"/>
          <w:sz w:val="22"/>
          <w:lang w:eastAsia="x-none"/>
        </w:rPr>
        <w:t xml:space="preserve">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w:t>
      </w:r>
      <w:r w:rsidRPr="00020DEF">
        <w:rPr>
          <w:rFonts w:ascii="Arial" w:hAnsi="Arial" w:cs="Arial"/>
          <w:bCs/>
          <w:color w:val="000000"/>
          <w:sz w:val="22"/>
          <w:lang w:eastAsia="x-none"/>
        </w:rPr>
        <w:lastRenderedPageBreak/>
        <w:t>públicos domiciliarios (empresas de servicios públicos oficiales y empresas industriales y comerciales del Estado) y a los municipios prestadores directos, incluyendo las excepciones contenidas en el segundo inciso de esta norma»</w:t>
      </w:r>
      <w:r w:rsidRPr="00020DEF">
        <w:rPr>
          <w:rFonts w:ascii="Arial" w:hAnsi="Arial" w:cs="Arial"/>
          <w:bCs/>
          <w:color w:val="000000"/>
          <w:sz w:val="22"/>
          <w:vertAlign w:val="superscript"/>
          <w:lang w:eastAsia="x-none"/>
        </w:rPr>
        <w:footnoteReference w:id="20"/>
      </w:r>
      <w:r w:rsidRPr="00020DEF">
        <w:rPr>
          <w:rFonts w:ascii="Arial" w:hAnsi="Arial" w:cs="Arial"/>
          <w:bCs/>
          <w:color w:val="000000"/>
          <w:sz w:val="22"/>
          <w:lang w:eastAsia="x-none"/>
        </w:rPr>
        <w:t>.</w:t>
      </w:r>
    </w:p>
    <w:p w14:paraId="03E88C61" w14:textId="34DEE73B" w:rsidR="0045067B" w:rsidRPr="00FC6A13" w:rsidRDefault="006E2F8F" w:rsidP="00231255">
      <w:pPr>
        <w:spacing w:after="120"/>
        <w:ind w:firstLine="709"/>
        <w:rPr>
          <w:rFonts w:ascii="Arial" w:eastAsia="Times New Roman" w:hAnsi="Arial" w:cs="Arial"/>
          <w:bCs/>
          <w:sz w:val="22"/>
          <w:szCs w:val="24"/>
          <w:lang w:val="es-CO" w:eastAsia="x-none"/>
        </w:rPr>
      </w:pPr>
      <w:r w:rsidRPr="00020DEF">
        <w:rPr>
          <w:rFonts w:ascii="Arial" w:hAnsi="Arial" w:cs="Arial"/>
          <w:sz w:val="22"/>
        </w:rPr>
        <w:t xml:space="preserve">Por lo tanto, la restricción prevista en la Ley 996 de 2005, </w:t>
      </w:r>
      <w:r w:rsidRPr="00020DEF">
        <w:rPr>
          <w:rFonts w:ascii="Arial" w:eastAsia="Times New Roman"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3F167632" w14:textId="13A06B53" w:rsidR="00FC6A13" w:rsidRPr="00231255" w:rsidRDefault="00920F53" w:rsidP="002F7E31">
      <w:pPr>
        <w:spacing w:after="0"/>
        <w:ind w:firstLine="708"/>
        <w:rPr>
          <w:rFonts w:ascii="Arial" w:hAnsi="Arial" w:cs="Arial"/>
          <w:color w:val="000000" w:themeColor="text1"/>
          <w:sz w:val="22"/>
        </w:rPr>
      </w:pPr>
      <w:r w:rsidRPr="00231255">
        <w:rPr>
          <w:rFonts w:ascii="Arial" w:hAnsi="Arial" w:cs="Arial"/>
          <w:color w:val="000000" w:themeColor="text1"/>
          <w:sz w:val="22"/>
        </w:rPr>
        <w:t>En armonía con lo anterior</w:t>
      </w:r>
      <w:r w:rsidR="00F63D87" w:rsidRPr="00231255">
        <w:rPr>
          <w:rFonts w:ascii="Arial" w:hAnsi="Arial" w:cs="Arial"/>
          <w:color w:val="000000" w:themeColor="text1"/>
          <w:sz w:val="22"/>
        </w:rPr>
        <w:t>, es preciso afirmar que, al margen de que las Empresas Industriales y Comerciales del Estado y las Sociedades de Economía Mixta celebren contratos, para el caso en consulta de arrendamiento, en atención a unas normas especiales, ello no las releva de la prohibición del artículo 33 de la Ley 996 de 2005, por lo que, en principio, para suscribir un contrato durante el mencionado periodo preelectoral, necesariamente debe acudir a un proceso competitivo, o ampararse en alguna de las excepciones consagradas en el inciso final del citado artículo 33</w:t>
      </w:r>
      <w:r w:rsidRPr="00231255">
        <w:rPr>
          <w:rFonts w:ascii="Arial" w:hAnsi="Arial" w:cs="Arial"/>
          <w:color w:val="000000" w:themeColor="text1"/>
          <w:sz w:val="22"/>
        </w:rPr>
        <w:t>, toda vez que estaría prohibida la celebración de contratos de forma directa, salvo las excepciones indicadas</w:t>
      </w:r>
      <w:r w:rsidR="00F63D87" w:rsidRPr="00231255">
        <w:rPr>
          <w:rFonts w:ascii="Arial" w:hAnsi="Arial" w:cs="Arial"/>
          <w:color w:val="000000" w:themeColor="text1"/>
          <w:sz w:val="22"/>
        </w:rPr>
        <w:t>. En todo caso, se aclara que la planeación y los estudios técnicos, jurídicos y económicos, que deben preceder la celebración de cada contrato, y que determinan su viabilidad desde tales perspectivas, son asuntos que competen a las entidades estatales que adelantan lo</w:t>
      </w:r>
      <w:r w:rsidR="00DC7ABE" w:rsidRPr="00231255">
        <w:rPr>
          <w:rFonts w:ascii="Arial" w:hAnsi="Arial" w:cs="Arial"/>
          <w:color w:val="000000" w:themeColor="text1"/>
          <w:sz w:val="22"/>
        </w:rPr>
        <w:t>s</w:t>
      </w:r>
      <w:r w:rsidR="00F63D87" w:rsidRPr="00231255">
        <w:rPr>
          <w:rFonts w:ascii="Arial" w:hAnsi="Arial" w:cs="Arial"/>
          <w:color w:val="000000" w:themeColor="text1"/>
          <w:sz w:val="22"/>
        </w:rPr>
        <w:t xml:space="preserve"> procesos de contratación respectivos, con el apoyo de sus funcionarios y órganos asesores. </w:t>
      </w:r>
      <w:r w:rsidRPr="00231255">
        <w:rPr>
          <w:rFonts w:ascii="Arial" w:hAnsi="Arial" w:cs="Arial"/>
          <w:color w:val="000000" w:themeColor="text1"/>
          <w:sz w:val="22"/>
        </w:rPr>
        <w:t>En tal sentido, cada entidad estatal debe organizar y planificar su actividad contractual teniendo en cuenta las restricciones establecidas en el ordenamiento jurídico.</w:t>
      </w:r>
    </w:p>
    <w:p w14:paraId="3E9DA9E9" w14:textId="7D809F94" w:rsidR="005D7512" w:rsidRPr="00231255" w:rsidRDefault="005D7512" w:rsidP="00FC6A13">
      <w:pPr>
        <w:spacing w:after="0"/>
        <w:rPr>
          <w:rFonts w:ascii="Arial" w:eastAsia="Times New Roman" w:hAnsi="Arial" w:cs="Arial"/>
          <w:bCs/>
          <w:sz w:val="22"/>
          <w:szCs w:val="24"/>
          <w:lang w:val="es-CO" w:eastAsia="x-none"/>
        </w:rPr>
      </w:pPr>
    </w:p>
    <w:p w14:paraId="3004C06C" w14:textId="0C421583" w:rsidR="005D7512" w:rsidRPr="00231255" w:rsidRDefault="005D7512" w:rsidP="005D7512">
      <w:pPr>
        <w:spacing w:after="0"/>
        <w:rPr>
          <w:rFonts w:ascii="Arial" w:hAnsi="Arial" w:cs="Arial"/>
          <w:b/>
          <w:color w:val="000000" w:themeColor="text1"/>
          <w:sz w:val="22"/>
        </w:rPr>
      </w:pPr>
      <w:r w:rsidRPr="00231255">
        <w:rPr>
          <w:rFonts w:ascii="Arial" w:hAnsi="Arial" w:cs="Arial"/>
          <w:b/>
          <w:color w:val="000000" w:themeColor="text1"/>
          <w:sz w:val="22"/>
        </w:rPr>
        <w:t>2.</w:t>
      </w:r>
      <w:r w:rsidR="00696932" w:rsidRPr="00231255">
        <w:rPr>
          <w:rFonts w:ascii="Arial" w:hAnsi="Arial" w:cs="Arial"/>
          <w:b/>
          <w:color w:val="000000" w:themeColor="text1"/>
          <w:sz w:val="22"/>
        </w:rPr>
        <w:t>3</w:t>
      </w:r>
      <w:r w:rsidRPr="00231255">
        <w:rPr>
          <w:rFonts w:ascii="Arial" w:hAnsi="Arial" w:cs="Arial"/>
          <w:b/>
          <w:color w:val="000000" w:themeColor="text1"/>
          <w:sz w:val="22"/>
        </w:rPr>
        <w:t xml:space="preserve">. Diferencias </w:t>
      </w:r>
      <w:r w:rsidRPr="00231255">
        <w:rPr>
          <w:rFonts w:ascii="Arial" w:hAnsi="Arial" w:cs="Arial"/>
          <w:b/>
          <w:bCs/>
          <w:iCs/>
          <w:color w:val="000000" w:themeColor="text1"/>
          <w:sz w:val="22"/>
          <w:lang w:eastAsia="es-ES"/>
        </w:rPr>
        <w:t>entre prórroga, adición y renovación de los contratos estatales</w:t>
      </w:r>
      <w:r w:rsidRPr="00231255">
        <w:rPr>
          <w:rFonts w:ascii="Arial" w:hAnsi="Arial" w:cs="Arial"/>
          <w:b/>
          <w:color w:val="000000" w:themeColor="text1"/>
          <w:sz w:val="22"/>
        </w:rPr>
        <w:t xml:space="preserve"> </w:t>
      </w:r>
    </w:p>
    <w:p w14:paraId="4156B19F" w14:textId="77777777" w:rsidR="005D7512" w:rsidRPr="00231255" w:rsidRDefault="005D7512" w:rsidP="005D7512">
      <w:pPr>
        <w:spacing w:after="0"/>
        <w:rPr>
          <w:rFonts w:ascii="Arial" w:hAnsi="Arial" w:cs="Arial"/>
          <w:b/>
          <w:color w:val="000000" w:themeColor="text1"/>
          <w:sz w:val="22"/>
        </w:rPr>
      </w:pPr>
    </w:p>
    <w:p w14:paraId="35E8F80E" w14:textId="77777777" w:rsidR="005D7512" w:rsidRPr="00231255" w:rsidRDefault="005D7512" w:rsidP="005D7512">
      <w:pPr>
        <w:spacing w:after="120"/>
        <w:rPr>
          <w:rFonts w:ascii="Arial" w:eastAsia="Times New Roman" w:hAnsi="Arial" w:cs="Arial"/>
          <w:color w:val="000000" w:themeColor="text1"/>
          <w:sz w:val="22"/>
          <w:lang w:eastAsia="es-ES"/>
        </w:rPr>
      </w:pPr>
      <w:r w:rsidRPr="00231255">
        <w:rPr>
          <w:rFonts w:ascii="Arial" w:eastAsia="Times New Roman" w:hAnsi="Arial" w:cs="Arial"/>
          <w:color w:val="000000" w:themeColor="text1"/>
          <w:sz w:val="22"/>
          <w:lang w:eastAsia="es-ES"/>
        </w:rPr>
        <w:t xml:space="preserve">La confusión entre estos conceptos se debe al uso indistinto o impreciso realizado por la legislación, la doctrina y la jurisprudencia. De esta manera, el artículo 45 del derogado </w:t>
      </w:r>
      <w:r w:rsidRPr="00231255">
        <w:rPr>
          <w:rFonts w:ascii="Arial" w:eastAsia="Times New Roman" w:hAnsi="Arial" w:cs="Arial"/>
          <w:color w:val="000000" w:themeColor="text1"/>
          <w:sz w:val="22"/>
          <w:lang w:eastAsia="es-ES"/>
        </w:rPr>
        <w:lastRenderedPageBreak/>
        <w:t>Decreto 150 de 1976</w:t>
      </w:r>
      <w:r w:rsidRPr="00231255">
        <w:rPr>
          <w:rFonts w:ascii="Arial" w:eastAsia="Times New Roman" w:hAnsi="Arial" w:cs="Arial"/>
          <w:color w:val="000000" w:themeColor="text1"/>
          <w:sz w:val="22"/>
          <w:vertAlign w:val="superscript"/>
          <w:lang w:eastAsia="es-ES"/>
        </w:rPr>
        <w:footnoteReference w:id="21"/>
      </w:r>
      <w:r w:rsidRPr="00231255">
        <w:rPr>
          <w:rFonts w:ascii="Arial" w:eastAsia="Times New Roman" w:hAnsi="Arial" w:cs="Arial"/>
          <w:color w:val="000000" w:themeColor="text1"/>
          <w:sz w:val="22"/>
          <w:lang w:eastAsia="es-ES"/>
        </w:rPr>
        <w:t xml:space="preserve">, al ocuparse de los contratos adicionales, estableció que las </w:t>
      </w:r>
      <w:r w:rsidRPr="00231255">
        <w:rPr>
          <w:rFonts w:ascii="Arial" w:eastAsia="Times New Roman" w:hAnsi="Arial" w:cs="Arial"/>
          <w:i/>
          <w:color w:val="000000" w:themeColor="text1"/>
          <w:sz w:val="22"/>
          <w:lang w:eastAsia="es-ES"/>
        </w:rPr>
        <w:t>adiciones</w:t>
      </w:r>
      <w:r w:rsidRPr="00231255">
        <w:rPr>
          <w:rFonts w:ascii="Arial" w:eastAsia="Times New Roman" w:hAnsi="Arial" w:cs="Arial"/>
          <w:color w:val="000000" w:themeColor="text1"/>
          <w:sz w:val="22"/>
          <w:lang w:eastAsia="es-ES"/>
        </w:rPr>
        <w:t xml:space="preserve"> podían efectuarse en relación con el valor o el plazo, de manera que se desarrolló bajo un mismo concepto la posibilidad de modificar el valor o el plazo de los contratos, esto es, mediante </w:t>
      </w:r>
      <w:r w:rsidRPr="00231255">
        <w:rPr>
          <w:rFonts w:ascii="Arial" w:eastAsia="Times New Roman" w:hAnsi="Arial" w:cs="Arial"/>
          <w:i/>
          <w:color w:val="000000" w:themeColor="text1"/>
          <w:sz w:val="22"/>
          <w:lang w:eastAsia="es-ES"/>
        </w:rPr>
        <w:t xml:space="preserve">adiciones. </w:t>
      </w:r>
    </w:p>
    <w:p w14:paraId="4580FC04" w14:textId="77777777" w:rsidR="005D7512" w:rsidRPr="00231255" w:rsidRDefault="005D7512" w:rsidP="005D7512">
      <w:pPr>
        <w:tabs>
          <w:tab w:val="left" w:pos="6237"/>
        </w:tabs>
        <w:spacing w:before="120" w:after="120"/>
        <w:ind w:firstLine="708"/>
        <w:rPr>
          <w:rFonts w:ascii="Arial" w:eastAsia="Times New Roman" w:hAnsi="Arial" w:cs="Arial"/>
          <w:color w:val="000000" w:themeColor="text1"/>
          <w:sz w:val="22"/>
          <w:lang w:eastAsia="es-ES"/>
        </w:rPr>
      </w:pPr>
      <w:r w:rsidRPr="00231255">
        <w:rPr>
          <w:rFonts w:ascii="Arial" w:eastAsia="Times New Roman" w:hAnsi="Arial" w:cs="Arial"/>
          <w:color w:val="000000" w:themeColor="text1"/>
          <w:sz w:val="22"/>
          <w:lang w:eastAsia="es-ES"/>
        </w:rPr>
        <w:t>El derogado Decreto Ley 222 de 1983 conservó la estructura de la norma anterior, al señalar, en el inciso primero del artículo 58, que: «</w:t>
      </w:r>
      <w:r w:rsidRPr="00231255">
        <w:rPr>
          <w:rFonts w:ascii="Arial" w:eastAsia="Times New Roman" w:hAnsi="Arial" w:cs="Arial"/>
          <w:i/>
          <w:color w:val="000000" w:themeColor="text1"/>
          <w:sz w:val="22"/>
          <w:lang w:eastAsia="es-ES"/>
        </w:rPr>
        <w:t>Las adiciones relacionadas con el valor</w:t>
      </w:r>
      <w:r w:rsidRPr="00231255">
        <w:rPr>
          <w:rFonts w:ascii="Arial" w:eastAsia="Times New Roman" w:hAnsi="Arial" w:cs="Arial"/>
          <w:color w:val="000000" w:themeColor="text1"/>
          <w:sz w:val="22"/>
          <w:lang w:eastAsia="es-ES"/>
        </w:rPr>
        <w:t xml:space="preserve"> quedarán perfeccionadas una vez suscrito el contrato y efectuado el registro presupuestal. </w:t>
      </w:r>
      <w:r w:rsidRPr="00231255">
        <w:rPr>
          <w:rFonts w:ascii="Arial" w:eastAsia="Times New Roman" w:hAnsi="Arial" w:cs="Arial"/>
          <w:i/>
          <w:color w:val="000000" w:themeColor="text1"/>
          <w:sz w:val="22"/>
          <w:lang w:eastAsia="es-ES"/>
        </w:rPr>
        <w:t xml:space="preserve">Las relacionadas con el plazo sólo requerirán firma del jefe de la entidad contratante y prórroga de las garantías </w:t>
      </w:r>
      <w:r w:rsidRPr="00231255">
        <w:rPr>
          <w:rFonts w:ascii="Arial" w:eastAsia="Times New Roman" w:hAnsi="Arial" w:cs="Arial"/>
          <w:iCs/>
          <w:color w:val="000000" w:themeColor="text1"/>
          <w:sz w:val="22"/>
          <w:lang w:eastAsia="es-ES"/>
        </w:rPr>
        <w:t>[…]»</w:t>
      </w:r>
      <w:r w:rsidRPr="00231255">
        <w:rPr>
          <w:rFonts w:ascii="Arial" w:eastAsia="Times New Roman" w:hAnsi="Arial" w:cs="Arial"/>
          <w:iCs/>
          <w:color w:val="000000" w:themeColor="text1"/>
          <w:sz w:val="22"/>
          <w:vertAlign w:val="superscript"/>
          <w:lang w:eastAsia="es-ES"/>
        </w:rPr>
        <w:footnoteReference w:id="22"/>
      </w:r>
      <w:r w:rsidRPr="00231255">
        <w:rPr>
          <w:rFonts w:ascii="Arial" w:eastAsia="Times New Roman" w:hAnsi="Arial" w:cs="Arial"/>
          <w:iCs/>
          <w:color w:val="000000" w:themeColor="text1"/>
          <w:sz w:val="22"/>
          <w:lang w:eastAsia="es-ES"/>
        </w:rPr>
        <w:t>.</w:t>
      </w:r>
      <w:r w:rsidRPr="00231255">
        <w:rPr>
          <w:rFonts w:ascii="Arial" w:eastAsia="Times New Roman" w:hAnsi="Arial" w:cs="Arial"/>
          <w:color w:val="000000" w:themeColor="text1"/>
          <w:sz w:val="22"/>
          <w:lang w:eastAsia="es-ES"/>
        </w:rPr>
        <w:t xml:space="preserve"> De esta manera, pese a que esta disposición en algunos de sus incisos utiliza el concepto prórroga, no contiene una distinción clara entre las adiciones y las prórrogas, en vista de que mediante las </w:t>
      </w:r>
      <w:r w:rsidRPr="00231255">
        <w:rPr>
          <w:rFonts w:ascii="Arial" w:eastAsia="Times New Roman" w:hAnsi="Arial" w:cs="Arial"/>
          <w:i/>
          <w:color w:val="000000" w:themeColor="text1"/>
          <w:sz w:val="22"/>
          <w:lang w:eastAsia="es-ES"/>
        </w:rPr>
        <w:t xml:space="preserve">adiciones </w:t>
      </w:r>
      <w:r w:rsidRPr="00231255">
        <w:rPr>
          <w:rFonts w:ascii="Arial" w:eastAsia="Times New Roman" w:hAnsi="Arial" w:cs="Arial"/>
          <w:color w:val="000000" w:themeColor="text1"/>
          <w:sz w:val="22"/>
          <w:lang w:eastAsia="es-ES"/>
        </w:rPr>
        <w:t>puede modificarse tanto el plazo como el valor de los contratos, para dichos eventos el artículo indicado señaló que debía suscribirse un «contrato adicional».</w:t>
      </w:r>
    </w:p>
    <w:p w14:paraId="0050F182" w14:textId="77777777" w:rsidR="005D7512" w:rsidRPr="00231255" w:rsidRDefault="005D7512" w:rsidP="005D7512">
      <w:pPr>
        <w:spacing w:before="120" w:after="120"/>
        <w:ind w:firstLine="708"/>
        <w:rPr>
          <w:rFonts w:ascii="Arial" w:eastAsia="Times New Roman" w:hAnsi="Arial" w:cs="Arial"/>
          <w:color w:val="000000" w:themeColor="text1"/>
          <w:sz w:val="22"/>
          <w:lang w:eastAsia="es-ES"/>
        </w:rPr>
      </w:pPr>
      <w:r w:rsidRPr="00231255">
        <w:rPr>
          <w:rFonts w:ascii="Arial" w:eastAsia="Times New Roman" w:hAnsi="Arial" w:cs="Arial"/>
          <w:color w:val="000000" w:themeColor="text1"/>
          <w:sz w:val="22"/>
          <w:lang w:eastAsia="es-ES"/>
        </w:rPr>
        <w:t xml:space="preserve">La Ley 80 de 1993 no se refirió en términos generales a la posibilidad de modificar el plazo de los contratos estatales o a la fijación de límites o condiciones de procedencia, como se hizo en los anteriores estatutos de contratación, aunque dicha posibilidad se desprendería de lo dispuesto en el tercer inciso del artículo 40 de la Ley 80 de 1993, según el cual «En los contratos que celebren las entidades estatales podrán incluirse las </w:t>
      </w:r>
      <w:r w:rsidRPr="00231255">
        <w:rPr>
          <w:rFonts w:ascii="Arial" w:eastAsia="Times New Roman" w:hAnsi="Arial" w:cs="Arial"/>
          <w:color w:val="000000" w:themeColor="text1"/>
          <w:sz w:val="22"/>
          <w:lang w:eastAsia="es-ES"/>
        </w:rPr>
        <w:lastRenderedPageBreak/>
        <w:t xml:space="preserve">modalidades, condiciones y, en general, las cláusulas o estipulaciones que las partes consideren necesarias y convenientes […]»; no obstante, en el inciso segundo del parágrafo del mismo artículo estableció límites a la </w:t>
      </w:r>
      <w:r w:rsidRPr="00231255">
        <w:rPr>
          <w:rFonts w:ascii="Arial" w:eastAsia="Times New Roman" w:hAnsi="Arial" w:cs="Arial"/>
          <w:i/>
          <w:color w:val="000000" w:themeColor="text1"/>
          <w:sz w:val="22"/>
          <w:lang w:eastAsia="es-ES"/>
        </w:rPr>
        <w:t>adición</w:t>
      </w:r>
      <w:r w:rsidRPr="00231255">
        <w:rPr>
          <w:rFonts w:ascii="Arial" w:eastAsia="Times New Roman" w:hAnsi="Arial" w:cs="Arial"/>
          <w:color w:val="000000" w:themeColor="text1"/>
          <w:sz w:val="22"/>
          <w:lang w:eastAsia="es-ES"/>
        </w:rPr>
        <w:t xml:space="preserve"> de los contratos estatales, indicando que «Los contratos no podrán adicionarse en más del cincuenta por ciento (50%) de su valor inicial, expresado éste en salarios mínimos legales mensuales»</w:t>
      </w:r>
      <w:r w:rsidRPr="00231255">
        <w:rPr>
          <w:rFonts w:ascii="Arial" w:eastAsia="Times New Roman" w:hAnsi="Arial" w:cs="Arial"/>
          <w:color w:val="000000" w:themeColor="text1"/>
          <w:sz w:val="22"/>
          <w:vertAlign w:val="superscript"/>
          <w:lang w:eastAsia="es-ES"/>
        </w:rPr>
        <w:footnoteReference w:id="23"/>
      </w:r>
      <w:r w:rsidRPr="00231255">
        <w:rPr>
          <w:rFonts w:ascii="Arial" w:eastAsia="Times New Roman" w:hAnsi="Arial" w:cs="Arial"/>
          <w:color w:val="000000" w:themeColor="text1"/>
          <w:sz w:val="22"/>
          <w:lang w:eastAsia="es-ES"/>
        </w:rPr>
        <w:t>.</w:t>
      </w:r>
    </w:p>
    <w:p w14:paraId="3C4DC9B7" w14:textId="77777777" w:rsidR="005D7512" w:rsidRPr="00231255" w:rsidRDefault="005D7512" w:rsidP="005D7512">
      <w:pPr>
        <w:tabs>
          <w:tab w:val="left" w:pos="709"/>
        </w:tabs>
        <w:spacing w:before="120" w:after="120"/>
        <w:rPr>
          <w:rFonts w:ascii="Arial" w:eastAsia="Times New Roman" w:hAnsi="Arial" w:cs="Arial"/>
          <w:color w:val="000000" w:themeColor="text1"/>
          <w:sz w:val="22"/>
          <w:lang w:eastAsia="es-ES"/>
        </w:rPr>
      </w:pPr>
      <w:r w:rsidRPr="00937348">
        <w:rPr>
          <w:rFonts w:ascii="Arial" w:eastAsia="Times New Roman" w:hAnsi="Arial" w:cs="Arial"/>
          <w:color w:val="000000" w:themeColor="text1"/>
          <w:sz w:val="22"/>
          <w:lang w:eastAsia="es-ES"/>
        </w:rPr>
        <w:tab/>
      </w:r>
      <w:r w:rsidRPr="00231255">
        <w:rPr>
          <w:rFonts w:ascii="Arial" w:eastAsia="Times New Roman" w:hAnsi="Arial" w:cs="Arial"/>
          <w:color w:val="000000" w:themeColor="text1"/>
          <w:sz w:val="22"/>
          <w:lang w:eastAsia="es-ES"/>
        </w:rPr>
        <w:t xml:space="preserve">Ahora bien, como los estatutos contractuales no establecen una diferencia clara entre los conceptos propuestos, es necesario recurrir a otras disposiciones y aportes doctrinarios para distinguirlos. Como distinción inicial, se tiene que el concepto </w:t>
      </w:r>
      <w:r w:rsidRPr="00231255">
        <w:rPr>
          <w:rFonts w:ascii="Arial" w:eastAsia="Times New Roman" w:hAnsi="Arial" w:cs="Arial"/>
          <w:i/>
          <w:color w:val="000000" w:themeColor="text1"/>
          <w:sz w:val="22"/>
          <w:lang w:eastAsia="es-ES"/>
        </w:rPr>
        <w:t>prórroga</w:t>
      </w:r>
      <w:r w:rsidRPr="00231255">
        <w:rPr>
          <w:rFonts w:ascii="Arial" w:eastAsia="Times New Roman" w:hAnsi="Arial" w:cs="Arial"/>
          <w:color w:val="000000" w:themeColor="text1"/>
          <w:sz w:val="22"/>
          <w:lang w:eastAsia="es-ES"/>
        </w:rPr>
        <w:t xml:space="preserve"> está particularmente ligado con la modificación ―ampliación― del plazo de los contratos; las </w:t>
      </w:r>
      <w:r w:rsidRPr="00231255">
        <w:rPr>
          <w:rFonts w:ascii="Arial" w:eastAsia="Times New Roman" w:hAnsi="Arial" w:cs="Arial"/>
          <w:i/>
          <w:color w:val="000000" w:themeColor="text1"/>
          <w:sz w:val="22"/>
          <w:lang w:eastAsia="es-ES"/>
        </w:rPr>
        <w:t>adiciones</w:t>
      </w:r>
      <w:r w:rsidRPr="00231255">
        <w:rPr>
          <w:rFonts w:ascii="Arial" w:eastAsia="Times New Roman" w:hAnsi="Arial" w:cs="Arial"/>
          <w:color w:val="000000" w:themeColor="text1"/>
          <w:sz w:val="22"/>
          <w:lang w:eastAsia="es-ES"/>
        </w:rPr>
        <w:t xml:space="preserve"> con el incremento del valor, debido a la inclusión de nuevas obligaciones, sea por la introducción de nuevas actividades o por la ejecución de una mayor cantidad de las pactadas inicialmente; y la </w:t>
      </w:r>
      <w:r w:rsidRPr="00231255">
        <w:rPr>
          <w:rFonts w:ascii="Arial" w:eastAsia="Times New Roman" w:hAnsi="Arial" w:cs="Arial"/>
          <w:i/>
          <w:color w:val="000000" w:themeColor="text1"/>
          <w:sz w:val="22"/>
          <w:lang w:eastAsia="es-ES"/>
        </w:rPr>
        <w:t>renovación</w:t>
      </w:r>
      <w:r w:rsidRPr="00231255">
        <w:rPr>
          <w:rFonts w:ascii="Arial" w:eastAsia="Times New Roman" w:hAnsi="Arial" w:cs="Arial"/>
          <w:color w:val="000000" w:themeColor="text1"/>
          <w:sz w:val="22"/>
          <w:lang w:eastAsia="es-ES"/>
        </w:rPr>
        <w:t xml:space="preserve"> con el nacimiento de un nuevo contrato, en condiciones similares o idénticas al contrato inicial.</w:t>
      </w:r>
    </w:p>
    <w:p w14:paraId="0F4041E2" w14:textId="77777777" w:rsidR="005D7512" w:rsidRPr="00231255" w:rsidRDefault="005D7512" w:rsidP="005D7512">
      <w:pPr>
        <w:spacing w:before="120" w:after="120"/>
        <w:ind w:firstLine="708"/>
        <w:rPr>
          <w:rFonts w:ascii="Arial" w:eastAsia="Times New Roman" w:hAnsi="Arial" w:cs="Arial"/>
          <w:color w:val="000000" w:themeColor="text1"/>
          <w:sz w:val="22"/>
          <w:lang w:eastAsia="es-ES"/>
        </w:rPr>
      </w:pPr>
      <w:r w:rsidRPr="00231255">
        <w:rPr>
          <w:rFonts w:ascii="Arial" w:eastAsia="Times New Roman" w:hAnsi="Arial" w:cs="Arial"/>
          <w:color w:val="000000" w:themeColor="text1"/>
          <w:sz w:val="22"/>
          <w:lang w:eastAsia="es-ES"/>
        </w:rPr>
        <w:t xml:space="preserve">Estas distinciones guardan relación con el uso común de los conceptos, es decir, no reducido a su significación jurídica. En efecto, el Diccionario de la Lengua Española ―DLE― define la </w:t>
      </w:r>
      <w:r w:rsidRPr="00231255">
        <w:rPr>
          <w:rFonts w:ascii="Arial" w:eastAsia="Times New Roman" w:hAnsi="Arial" w:cs="Arial"/>
          <w:i/>
          <w:color w:val="000000" w:themeColor="text1"/>
          <w:sz w:val="22"/>
          <w:lang w:eastAsia="es-ES"/>
        </w:rPr>
        <w:t>prórroga</w:t>
      </w:r>
      <w:r w:rsidRPr="00231255">
        <w:rPr>
          <w:rFonts w:ascii="Arial" w:eastAsia="Times New Roman" w:hAnsi="Arial" w:cs="Arial"/>
          <w:color w:val="000000" w:themeColor="text1"/>
          <w:sz w:val="22"/>
          <w:lang w:eastAsia="es-ES"/>
        </w:rPr>
        <w:t xml:space="preserve"> como: «1. f. Continuación de algo por un tiempo determinado. 2. f. Plazo por el cual se continúa o prorroga algo». Como se observa, la definición indica que la prórroga está asociada a los plazos, lo que implica extender los efectos de algo por un tiempo mayor. Ahora bien, en relación con la </w:t>
      </w:r>
      <w:r w:rsidRPr="00231255">
        <w:rPr>
          <w:rFonts w:ascii="Arial" w:eastAsia="Times New Roman" w:hAnsi="Arial" w:cs="Arial"/>
          <w:i/>
          <w:color w:val="000000" w:themeColor="text1"/>
          <w:sz w:val="22"/>
          <w:lang w:eastAsia="es-ES"/>
        </w:rPr>
        <w:t>adición</w:t>
      </w:r>
      <w:r w:rsidRPr="00231255">
        <w:rPr>
          <w:rFonts w:ascii="Arial" w:eastAsia="Times New Roman" w:hAnsi="Arial" w:cs="Arial"/>
          <w:color w:val="000000" w:themeColor="text1"/>
          <w:sz w:val="22"/>
          <w:lang w:eastAsia="es-ES"/>
        </w:rPr>
        <w:t xml:space="preserve">, el DLE señala que consiste en la acción y efecto de añadir, definiendo añadir como: «1. tr. Agregar, incorporar algo a otra cosa. 2. tr. Aumentar, acrecentar, ampliar». Como se observa, la adición en relación con los contratos implicaría incorporar nuevas obligaciones, lo que en los contratos estatales aparejaría un incremento en la contraprestación, es decir, en el precio. Finalmente, el diccionario indica que la </w:t>
      </w:r>
      <w:r w:rsidRPr="00231255">
        <w:rPr>
          <w:rFonts w:ascii="Arial" w:eastAsia="Times New Roman" w:hAnsi="Arial" w:cs="Arial"/>
          <w:i/>
          <w:color w:val="000000" w:themeColor="text1"/>
          <w:sz w:val="22"/>
          <w:lang w:eastAsia="es-ES"/>
        </w:rPr>
        <w:t>renovación</w:t>
      </w:r>
      <w:r w:rsidRPr="00231255">
        <w:rPr>
          <w:rFonts w:ascii="Arial" w:eastAsia="Times New Roman" w:hAnsi="Arial" w:cs="Arial"/>
          <w:color w:val="000000" w:themeColor="text1"/>
          <w:sz w:val="22"/>
          <w:lang w:eastAsia="es-ES"/>
        </w:rPr>
        <w:t xml:space="preserve"> consiste en: «1. tr. Hacer como de nuevo algo, o volverlo a su primer estado 2. tr. Restablecer o reanudar una relación u otra cosa que se había interrumpido (…) 4. tr. Sustituir una cosa vieja, o que ya ha servido, por otra nueva de la misma clase». Como se observa, la renovación consiste en hacer algo de nuevo, de manera que, en principio consistiría en la celebración de un nuevo contrato en condiciones idénticas o similares a un contrato anterior.</w:t>
      </w:r>
    </w:p>
    <w:p w14:paraId="2F2C3925" w14:textId="77777777" w:rsidR="005D7512" w:rsidRPr="00231255" w:rsidRDefault="005D7512" w:rsidP="005D7512">
      <w:pPr>
        <w:spacing w:before="120" w:after="0"/>
        <w:ind w:firstLine="708"/>
        <w:rPr>
          <w:rFonts w:ascii="Arial" w:eastAsia="Times New Roman" w:hAnsi="Arial" w:cs="Arial"/>
          <w:color w:val="000000" w:themeColor="text1"/>
          <w:sz w:val="22"/>
          <w:lang w:eastAsia="es-ES"/>
        </w:rPr>
      </w:pPr>
      <w:r w:rsidRPr="00231255">
        <w:rPr>
          <w:rFonts w:ascii="Arial" w:eastAsia="Times New Roman" w:hAnsi="Arial" w:cs="Arial"/>
          <w:color w:val="000000" w:themeColor="text1"/>
          <w:sz w:val="22"/>
          <w:lang w:eastAsia="es-ES"/>
        </w:rPr>
        <w:t xml:space="preserve">Algunos doctrinantes del contrato estatal se han esforzado en señalar las diferencias entre los conceptos de </w:t>
      </w:r>
      <w:r w:rsidRPr="00231255">
        <w:rPr>
          <w:rFonts w:ascii="Arial" w:eastAsia="Times New Roman" w:hAnsi="Arial" w:cs="Arial"/>
          <w:i/>
          <w:color w:val="000000" w:themeColor="text1"/>
          <w:sz w:val="22"/>
          <w:lang w:eastAsia="es-ES"/>
        </w:rPr>
        <w:t>adición</w:t>
      </w:r>
      <w:r w:rsidRPr="00231255">
        <w:rPr>
          <w:rFonts w:ascii="Arial" w:eastAsia="Times New Roman" w:hAnsi="Arial" w:cs="Arial"/>
          <w:color w:val="000000" w:themeColor="text1"/>
          <w:sz w:val="22"/>
          <w:lang w:eastAsia="es-ES"/>
        </w:rPr>
        <w:t xml:space="preserve"> y </w:t>
      </w:r>
      <w:r w:rsidRPr="00231255">
        <w:rPr>
          <w:rFonts w:ascii="Arial" w:eastAsia="Times New Roman" w:hAnsi="Arial" w:cs="Arial"/>
          <w:i/>
          <w:color w:val="000000" w:themeColor="text1"/>
          <w:sz w:val="22"/>
          <w:lang w:eastAsia="es-ES"/>
        </w:rPr>
        <w:t>prórroga</w:t>
      </w:r>
      <w:r w:rsidRPr="00231255">
        <w:rPr>
          <w:rFonts w:ascii="Arial" w:eastAsia="Times New Roman" w:hAnsi="Arial" w:cs="Arial"/>
          <w:color w:val="000000" w:themeColor="text1"/>
          <w:sz w:val="22"/>
          <w:lang w:eastAsia="es-ES"/>
        </w:rPr>
        <w:t xml:space="preserve">, que son comúnmente utilizados en estos contratos; no así en relación con el concepto de </w:t>
      </w:r>
      <w:r w:rsidRPr="00231255">
        <w:rPr>
          <w:rFonts w:ascii="Arial" w:eastAsia="Times New Roman" w:hAnsi="Arial" w:cs="Arial"/>
          <w:i/>
          <w:color w:val="000000" w:themeColor="text1"/>
          <w:sz w:val="22"/>
          <w:lang w:eastAsia="es-ES"/>
        </w:rPr>
        <w:t>renovación</w:t>
      </w:r>
      <w:r w:rsidRPr="00231255">
        <w:rPr>
          <w:rFonts w:ascii="Arial" w:eastAsia="Times New Roman" w:hAnsi="Arial" w:cs="Arial"/>
          <w:color w:val="000000" w:themeColor="text1"/>
          <w:sz w:val="22"/>
          <w:lang w:eastAsia="es-ES"/>
        </w:rPr>
        <w:t xml:space="preserve">, cuya diferencia con la prórroga es desarrollada por la jurisprudencia y la doctrina del derecho privado, en vista de que aquel </w:t>
      </w:r>
      <w:r w:rsidRPr="00231255">
        <w:rPr>
          <w:rFonts w:ascii="Arial" w:eastAsia="Times New Roman" w:hAnsi="Arial" w:cs="Arial"/>
          <w:color w:val="000000" w:themeColor="text1"/>
          <w:sz w:val="22"/>
          <w:lang w:eastAsia="es-ES"/>
        </w:rPr>
        <w:lastRenderedPageBreak/>
        <w:t xml:space="preserve">concepto es propio de los contratos de arrendamiento, concluyendo que la prórroga consiste en extender los efectos de un contrato por un término mayor, es decir, prorrogar el mismo contrato; mientras que la renovación consiste en la celebración de un nuevo contrato, al indicar que «el renovado es uno nuevo». En efecto, la Corte Suprema de Justicia, en sentencia del 8 de octubre de 1997, exp. 4.818 (M.P. Pedro Lafont Pianetta), indicó: </w:t>
      </w:r>
    </w:p>
    <w:p w14:paraId="4E990334" w14:textId="77777777" w:rsidR="005D7512" w:rsidRPr="00231255" w:rsidRDefault="005D7512" w:rsidP="005D7512">
      <w:pPr>
        <w:spacing w:after="0" w:line="240" w:lineRule="auto"/>
        <w:rPr>
          <w:rFonts w:ascii="Arial" w:eastAsia="Times New Roman" w:hAnsi="Arial" w:cs="Arial"/>
          <w:color w:val="000000" w:themeColor="text1"/>
          <w:sz w:val="22"/>
          <w:lang w:eastAsia="es-ES"/>
        </w:rPr>
      </w:pPr>
    </w:p>
    <w:p w14:paraId="5F1CB5A9" w14:textId="77777777" w:rsidR="005D7512" w:rsidRPr="00231255" w:rsidRDefault="005D7512" w:rsidP="005D7512">
      <w:pPr>
        <w:spacing w:after="0" w:line="240" w:lineRule="auto"/>
        <w:ind w:left="709" w:right="709"/>
        <w:rPr>
          <w:rFonts w:ascii="Arial" w:hAnsi="Arial" w:cs="Arial"/>
          <w:color w:val="000000" w:themeColor="text1"/>
          <w:sz w:val="21"/>
          <w:szCs w:val="21"/>
          <w:lang w:val="es-ES"/>
        </w:rPr>
      </w:pPr>
      <w:r w:rsidRPr="00231255">
        <w:rPr>
          <w:rFonts w:ascii="Arial" w:hAnsi="Arial" w:cs="Arial"/>
          <w:color w:val="000000" w:themeColor="text1"/>
          <w:sz w:val="21"/>
          <w:szCs w:val="21"/>
          <w:lang w:val="es-ES"/>
        </w:rPr>
        <w:t xml:space="preserve">El derecho a la </w:t>
      </w:r>
      <w:r w:rsidRPr="00231255">
        <w:rPr>
          <w:rFonts w:ascii="Arial" w:hAnsi="Arial" w:cs="Arial"/>
          <w:i/>
          <w:color w:val="000000" w:themeColor="text1"/>
          <w:sz w:val="21"/>
          <w:szCs w:val="21"/>
          <w:lang w:val="es-ES"/>
        </w:rPr>
        <w:t>renovación</w:t>
      </w:r>
      <w:r w:rsidRPr="00231255">
        <w:rPr>
          <w:rFonts w:ascii="Arial" w:hAnsi="Arial" w:cs="Arial"/>
          <w:color w:val="000000" w:themeColor="text1"/>
          <w:sz w:val="21"/>
          <w:szCs w:val="21"/>
          <w:lang w:val="es-ES"/>
        </w:rPr>
        <w:t xml:space="preserve"> del contrato para el </w:t>
      </w:r>
      <w:hyperlink r:id="rId12" w:history="1">
        <w:r w:rsidRPr="00231255">
          <w:rPr>
            <w:rFonts w:ascii="Arial" w:hAnsi="Arial" w:cs="Arial"/>
            <w:color w:val="000000" w:themeColor="text1"/>
            <w:sz w:val="21"/>
            <w:szCs w:val="21"/>
            <w:lang w:val="es-ES"/>
          </w:rPr>
          <w:t>comerciante</w:t>
        </w:r>
      </w:hyperlink>
      <w:r w:rsidRPr="00231255">
        <w:rPr>
          <w:rFonts w:ascii="Arial" w:hAnsi="Arial" w:cs="Arial"/>
          <w:color w:val="000000" w:themeColor="text1"/>
          <w:sz w:val="21"/>
          <w:szCs w:val="21"/>
          <w:lang w:val="es-ES"/>
        </w:rPr>
        <w:t xml:space="preserve"> que haya ocupado el inmueble con un mismo establecimiento mercantil por lapso no inferior a dos años consecutivos, derecho este respecto del cual, precisó la Corte en sentencia de su sala Plena proferida el 20 de noviembre de 1971, que no ha de confundirse con la prórroga del contrato, pues </w:t>
      </w:r>
      <w:r w:rsidRPr="00231255">
        <w:rPr>
          <w:rFonts w:ascii="Arial" w:hAnsi="Arial" w:cs="Arial"/>
          <w:i/>
          <w:color w:val="000000" w:themeColor="text1"/>
          <w:sz w:val="21"/>
          <w:szCs w:val="21"/>
          <w:lang w:val="es-ES"/>
        </w:rPr>
        <w:t>el renovado es uno nuevo, que puede acordarse o celebrarse con sujeción a las circunstancias especialmente en cuanto a </w:t>
      </w:r>
      <w:hyperlink r:id="rId13" w:history="1">
        <w:r w:rsidRPr="00231255">
          <w:rPr>
            <w:rFonts w:ascii="Arial" w:hAnsi="Arial" w:cs="Arial"/>
            <w:i/>
            <w:color w:val="000000" w:themeColor="text1"/>
            <w:sz w:val="21"/>
            <w:szCs w:val="21"/>
            <w:lang w:val="es-ES"/>
          </w:rPr>
          <w:t>precio</w:t>
        </w:r>
      </w:hyperlink>
      <w:r w:rsidRPr="00231255">
        <w:rPr>
          <w:rFonts w:ascii="Arial" w:hAnsi="Arial" w:cs="Arial"/>
          <w:i/>
          <w:color w:val="000000" w:themeColor="text1"/>
          <w:sz w:val="21"/>
          <w:szCs w:val="21"/>
          <w:lang w:val="es-ES"/>
        </w:rPr>
        <w:t> y utilización de la cosa arrendada</w:t>
      </w:r>
      <w:r w:rsidRPr="00231255">
        <w:rPr>
          <w:rFonts w:ascii="Arial" w:hAnsi="Arial" w:cs="Arial"/>
          <w:color w:val="000000" w:themeColor="text1"/>
          <w:sz w:val="21"/>
          <w:szCs w:val="21"/>
          <w:vertAlign w:val="superscript"/>
          <w:lang w:val="es-ES"/>
        </w:rPr>
        <w:footnoteReference w:id="24"/>
      </w:r>
      <w:r w:rsidRPr="00231255">
        <w:rPr>
          <w:rFonts w:ascii="Arial" w:hAnsi="Arial" w:cs="Arial"/>
          <w:color w:val="000000" w:themeColor="text1"/>
          <w:sz w:val="21"/>
          <w:szCs w:val="21"/>
          <w:lang w:val="es-ES"/>
        </w:rPr>
        <w:t>. (Cursiva fuera de texto)</w:t>
      </w:r>
    </w:p>
    <w:p w14:paraId="6B71F114" w14:textId="77777777" w:rsidR="005D7512" w:rsidRPr="00231255" w:rsidRDefault="005D7512" w:rsidP="005D7512">
      <w:pPr>
        <w:spacing w:after="0" w:line="240" w:lineRule="auto"/>
        <w:rPr>
          <w:rFonts w:ascii="Arial" w:eastAsia="Times New Roman" w:hAnsi="Arial" w:cs="Arial"/>
          <w:color w:val="000000" w:themeColor="text1"/>
          <w:sz w:val="22"/>
          <w:lang w:eastAsia="es-ES"/>
        </w:rPr>
      </w:pPr>
    </w:p>
    <w:p w14:paraId="0D3A808F" w14:textId="77777777" w:rsidR="005D7512" w:rsidRPr="00231255" w:rsidRDefault="005D7512" w:rsidP="005D7512">
      <w:pPr>
        <w:spacing w:after="0"/>
        <w:ind w:firstLine="708"/>
        <w:rPr>
          <w:rFonts w:ascii="Arial" w:eastAsia="Times New Roman" w:hAnsi="Arial" w:cs="Arial"/>
          <w:color w:val="000000" w:themeColor="text1"/>
          <w:sz w:val="22"/>
          <w:lang w:eastAsia="es-ES"/>
        </w:rPr>
      </w:pPr>
      <w:r w:rsidRPr="00231255">
        <w:rPr>
          <w:rFonts w:ascii="Arial" w:eastAsia="Times New Roman" w:hAnsi="Arial" w:cs="Arial"/>
          <w:color w:val="000000" w:themeColor="text1"/>
          <w:sz w:val="22"/>
          <w:lang w:eastAsia="es-ES"/>
        </w:rPr>
        <w:t xml:space="preserve">Establecidas las líneas de distinción entre la prórroga y la renovación, es necesario hacer lo propio entre aquel y la adición. Como se indicó, este tema ha tenido gran trascendencia en los contratos estatales, pese a que suelen utilizarse indistintamente, para referirse a diferentes modificaciones del contrato estatal. La doctrina sintetiza dicha distinción al indicar que: </w:t>
      </w:r>
    </w:p>
    <w:p w14:paraId="18629DD5" w14:textId="77777777" w:rsidR="005D7512" w:rsidRPr="00231255" w:rsidRDefault="005D7512" w:rsidP="005D7512">
      <w:pPr>
        <w:spacing w:before="120" w:after="120" w:line="240" w:lineRule="auto"/>
        <w:contextualSpacing/>
        <w:rPr>
          <w:rFonts w:ascii="Arial" w:eastAsia="Times New Roman" w:hAnsi="Arial" w:cs="Arial"/>
          <w:color w:val="000000" w:themeColor="text1"/>
          <w:sz w:val="22"/>
          <w:lang w:eastAsia="es-ES"/>
        </w:rPr>
      </w:pPr>
    </w:p>
    <w:p w14:paraId="1A4DAA7B" w14:textId="77777777" w:rsidR="005D7512" w:rsidRPr="00231255" w:rsidRDefault="005D7512" w:rsidP="005D7512">
      <w:pPr>
        <w:spacing w:before="120" w:after="120" w:line="240" w:lineRule="auto"/>
        <w:ind w:left="709" w:right="709"/>
        <w:contextualSpacing/>
        <w:rPr>
          <w:rFonts w:ascii="Arial" w:eastAsia="Times New Roman" w:hAnsi="Arial" w:cs="Arial"/>
          <w:color w:val="000000" w:themeColor="text1"/>
          <w:sz w:val="21"/>
          <w:szCs w:val="21"/>
          <w:lang w:eastAsia="es-ES"/>
        </w:rPr>
      </w:pPr>
      <w:r w:rsidRPr="00231255">
        <w:rPr>
          <w:rFonts w:ascii="Arial" w:eastAsia="Times New Roman" w:hAnsi="Arial" w:cs="Arial"/>
          <w:color w:val="000000" w:themeColor="text1"/>
          <w:sz w:val="21"/>
          <w:szCs w:val="21"/>
          <w:lang w:eastAsia="es-ES"/>
        </w:rPr>
        <w:t xml:space="preserve">[…] la norma lo que autoriza es la </w:t>
      </w:r>
      <w:r w:rsidRPr="00231255">
        <w:rPr>
          <w:rFonts w:ascii="Arial" w:eastAsia="Times New Roman" w:hAnsi="Arial" w:cs="Arial"/>
          <w:i/>
          <w:color w:val="000000" w:themeColor="text1"/>
          <w:sz w:val="21"/>
          <w:szCs w:val="21"/>
          <w:lang w:eastAsia="es-ES"/>
        </w:rPr>
        <w:t xml:space="preserve">prórroga </w:t>
      </w:r>
      <w:r w:rsidRPr="00231255">
        <w:rPr>
          <w:rFonts w:ascii="Arial" w:eastAsia="Times New Roman" w:hAnsi="Arial" w:cs="Arial"/>
          <w:color w:val="000000" w:themeColor="text1"/>
          <w:sz w:val="21"/>
          <w:szCs w:val="21"/>
          <w:lang w:eastAsia="es-ES"/>
        </w:rPr>
        <w:t xml:space="preserve">del contrato de interventoría, cuando simplemente debió decir </w:t>
      </w:r>
      <w:r w:rsidRPr="00231255">
        <w:rPr>
          <w:rFonts w:ascii="Arial" w:eastAsia="Times New Roman" w:hAnsi="Arial" w:cs="Arial"/>
          <w:i/>
          <w:color w:val="000000" w:themeColor="text1"/>
          <w:sz w:val="21"/>
          <w:szCs w:val="21"/>
          <w:lang w:eastAsia="es-ES"/>
        </w:rPr>
        <w:t>adición,</w:t>
      </w:r>
      <w:r w:rsidRPr="00231255">
        <w:rPr>
          <w:rFonts w:ascii="Arial" w:eastAsia="Times New Roman" w:hAnsi="Arial" w:cs="Arial"/>
          <w:color w:val="000000" w:themeColor="text1"/>
          <w:sz w:val="21"/>
          <w:szCs w:val="21"/>
          <w:lang w:eastAsia="es-ES"/>
        </w:rPr>
        <w:t xml:space="preserve"> porque en sentido jurídico-técnico aquella supone la reproducción de las obligaciones del contrato inicial para un nuevo plazo ―como acontece con el contrato de arrendamiento o el laboral―, mientras que la adición supone agregar obligaciones al contrato principal ―de las mismas pactadas o de otras distintas―, con o sin un nuevo plazo para su ejecución</w:t>
      </w:r>
      <w:r w:rsidRPr="00231255">
        <w:rPr>
          <w:rFonts w:ascii="Arial" w:eastAsia="Times New Roman" w:hAnsi="Arial" w:cs="Arial"/>
          <w:color w:val="000000" w:themeColor="text1"/>
          <w:sz w:val="21"/>
          <w:szCs w:val="21"/>
          <w:vertAlign w:val="superscript"/>
          <w:lang w:eastAsia="es-ES"/>
        </w:rPr>
        <w:footnoteReference w:id="25"/>
      </w:r>
      <w:r w:rsidRPr="00231255">
        <w:rPr>
          <w:rFonts w:ascii="Arial" w:eastAsia="Times New Roman" w:hAnsi="Arial" w:cs="Arial"/>
          <w:color w:val="000000" w:themeColor="text1"/>
          <w:sz w:val="21"/>
          <w:szCs w:val="21"/>
          <w:lang w:eastAsia="es-ES"/>
        </w:rPr>
        <w:t>.</w:t>
      </w:r>
    </w:p>
    <w:p w14:paraId="3091E9B5" w14:textId="77777777" w:rsidR="005D7512" w:rsidRPr="00231255" w:rsidRDefault="005D7512" w:rsidP="005D7512">
      <w:pPr>
        <w:spacing w:before="120" w:after="120" w:line="240" w:lineRule="auto"/>
        <w:contextualSpacing/>
        <w:rPr>
          <w:rFonts w:ascii="Arial" w:eastAsia="Times New Roman" w:hAnsi="Arial" w:cs="Arial"/>
          <w:b/>
          <w:color w:val="000000" w:themeColor="text1"/>
          <w:sz w:val="22"/>
          <w:lang w:eastAsia="es-ES"/>
        </w:rPr>
      </w:pPr>
    </w:p>
    <w:p w14:paraId="68BF80FE" w14:textId="77777777" w:rsidR="005D7512" w:rsidRPr="00231255" w:rsidRDefault="005D7512" w:rsidP="005D7512">
      <w:pPr>
        <w:spacing w:before="120" w:after="120"/>
        <w:ind w:firstLine="708"/>
        <w:rPr>
          <w:rFonts w:ascii="Arial" w:eastAsia="Times New Roman" w:hAnsi="Arial" w:cs="Arial"/>
          <w:color w:val="000000" w:themeColor="text1"/>
          <w:sz w:val="22"/>
          <w:lang w:eastAsia="es-ES"/>
        </w:rPr>
      </w:pPr>
      <w:r w:rsidRPr="00231255">
        <w:rPr>
          <w:rFonts w:ascii="Arial" w:eastAsia="Times New Roman" w:hAnsi="Arial" w:cs="Arial"/>
          <w:color w:val="000000" w:themeColor="text1"/>
          <w:sz w:val="22"/>
          <w:lang w:eastAsia="es-ES"/>
        </w:rPr>
        <w:t xml:space="preserve">De esta manera, la adición, al estar relacionada con agregar obligaciones al contrato principal, y dado el carácter oneroso de los contratos estatales implica un aumento del valor del contrato y, como se señala en la cita, puede traer como consecuencia que se aumente </w:t>
      </w:r>
      <w:r w:rsidRPr="00231255">
        <w:rPr>
          <w:rFonts w:ascii="Arial" w:eastAsia="Times New Roman" w:hAnsi="Arial" w:cs="Arial"/>
          <w:color w:val="000000" w:themeColor="text1"/>
          <w:sz w:val="22"/>
          <w:lang w:eastAsia="es-ES"/>
        </w:rPr>
        <w:lastRenderedPageBreak/>
        <w:t>el plazo del contrato ―esto se debe a que esas obligaciones pueden necesitar un término adicional para ejecutarse―, pero no es necesario que ello ocurra, lo que dependerá del caso concreto. Ahora bien, la prórroga tiene una relación directa con el incremento del plazo del contrato, extendiendo los efectos de aquel por un término diferente.</w:t>
      </w:r>
    </w:p>
    <w:p w14:paraId="15C491FA" w14:textId="77777777" w:rsidR="005D7512" w:rsidRPr="00231255" w:rsidRDefault="005D7512" w:rsidP="00231255">
      <w:pPr>
        <w:spacing w:before="120" w:after="120"/>
        <w:ind w:firstLine="709"/>
        <w:rPr>
          <w:rFonts w:ascii="Arial" w:eastAsia="Times New Roman" w:hAnsi="Arial" w:cs="Arial"/>
          <w:color w:val="000000" w:themeColor="text1"/>
          <w:sz w:val="22"/>
          <w:lang w:eastAsia="es-ES"/>
        </w:rPr>
      </w:pPr>
      <w:r w:rsidRPr="00231255">
        <w:rPr>
          <w:rFonts w:ascii="Arial" w:eastAsia="Times New Roman" w:hAnsi="Arial" w:cs="Arial"/>
          <w:color w:val="000000" w:themeColor="text1"/>
          <w:sz w:val="22"/>
          <w:lang w:eastAsia="es-ES"/>
        </w:rPr>
        <w:t>En sentido similar a lo expuesto, DÁVILA VINUEZA vincula la prórroga con el incremento del plazo y señala que no necesariamente implica un aumento en el valor del contrato, aunque podría hacerlo. Al respecto afirma: «[…] por medio de la prórroga el plazo de cumplimiento de las obligaciones nacidas del contrato se desplaza en el tiempo. Per se no implica aumento de valor ya que el objeto contratado no se altera. Cosa diferente es que el aumento del plazo por razones no imputables al contratista en muchas ocasiones genera un mayor costo que debe ser reconocido, siendo, entonces, el mayor plazo la causa del mayor valor. Este deberá ser aceptado para mantener a salvo la ecuación financiera del contrato»</w:t>
      </w:r>
      <w:r w:rsidRPr="00231255">
        <w:rPr>
          <w:rFonts w:ascii="Arial" w:eastAsia="Times New Roman" w:hAnsi="Arial" w:cs="Arial"/>
          <w:color w:val="000000" w:themeColor="text1"/>
          <w:sz w:val="22"/>
          <w:vertAlign w:val="superscript"/>
          <w:lang w:eastAsia="es-ES"/>
        </w:rPr>
        <w:footnoteReference w:id="26"/>
      </w:r>
      <w:r w:rsidRPr="00231255">
        <w:rPr>
          <w:rFonts w:ascii="Arial" w:eastAsia="Times New Roman" w:hAnsi="Arial" w:cs="Arial"/>
          <w:color w:val="000000" w:themeColor="text1"/>
          <w:sz w:val="22"/>
          <w:lang w:eastAsia="es-ES"/>
        </w:rPr>
        <w:t xml:space="preserve">.  </w:t>
      </w:r>
    </w:p>
    <w:p w14:paraId="289C8638" w14:textId="6B6AAA1D" w:rsidR="00876B9A" w:rsidRPr="00231255" w:rsidRDefault="00F37D26" w:rsidP="00FC6A13">
      <w:pPr>
        <w:spacing w:after="0"/>
        <w:rPr>
          <w:rFonts w:ascii="Arial" w:eastAsia="Calibri" w:hAnsi="Arial" w:cs="Arial"/>
          <w:sz w:val="22"/>
          <w:lang w:val="es-ES_tradnl"/>
        </w:rPr>
      </w:pPr>
      <w:r w:rsidRPr="00231255">
        <w:rPr>
          <w:rFonts w:ascii="Arial" w:eastAsia="Calibri" w:hAnsi="Arial" w:cs="Arial"/>
          <w:sz w:val="22"/>
          <w:lang w:val="es-ES_tradnl"/>
        </w:rPr>
        <w:tab/>
        <w:t xml:space="preserve">Teniendo en cuenta las precisiones anteriores, expresadas en ocasiones anteriores por esta Agencia, resulta importante resaltar la particularidad que implica la </w:t>
      </w:r>
      <w:r w:rsidRPr="00231255">
        <w:rPr>
          <w:rFonts w:ascii="Arial" w:eastAsia="Calibri" w:hAnsi="Arial" w:cs="Arial"/>
          <w:i/>
          <w:iCs/>
          <w:sz w:val="22"/>
          <w:lang w:val="es-ES_tradnl"/>
        </w:rPr>
        <w:t>renovación</w:t>
      </w:r>
      <w:r w:rsidR="0095681F" w:rsidRPr="00231255">
        <w:rPr>
          <w:rFonts w:ascii="Arial" w:eastAsia="Calibri" w:hAnsi="Arial" w:cs="Arial"/>
          <w:sz w:val="22"/>
          <w:lang w:val="es-ES_tradnl"/>
        </w:rPr>
        <w:t>, que incluso es advertida por el peticionario en su solicitud, en el sentido de que la renovación implica la celebración de un nuevo contrato. En tales términos, como se precisará en el siguiente numeral, esta Agencia, de acuerdo con las precisiones realizadas en torno al contenido del artículo 33 de la Ley de Garantías Electorales considera que la celebración de estos contratos haría parte de la prohibición, sin perjuicio de las excepciones establecidas en el inciso segundo de dicho artículo.</w:t>
      </w:r>
    </w:p>
    <w:p w14:paraId="3C6AAE03" w14:textId="77777777" w:rsidR="00F37D26" w:rsidRPr="00231255" w:rsidRDefault="00F37D26" w:rsidP="00FC6A13">
      <w:pPr>
        <w:spacing w:after="0"/>
        <w:rPr>
          <w:rFonts w:ascii="Arial" w:eastAsia="Calibri" w:hAnsi="Arial" w:cs="Arial"/>
          <w:sz w:val="22"/>
          <w:lang w:val="es-ES_tradnl"/>
        </w:rPr>
      </w:pPr>
    </w:p>
    <w:p w14:paraId="4611EDA4" w14:textId="671D8B6C" w:rsidR="00C30E92" w:rsidRPr="00231255" w:rsidRDefault="00C30E92" w:rsidP="00C30E92">
      <w:pPr>
        <w:spacing w:after="0"/>
        <w:rPr>
          <w:rFonts w:ascii="Arial" w:eastAsia="Times New Roman" w:hAnsi="Arial" w:cs="Arial"/>
          <w:b/>
          <w:bCs/>
          <w:sz w:val="22"/>
          <w:lang w:eastAsia="es-CO"/>
        </w:rPr>
      </w:pPr>
      <w:r w:rsidRPr="00231255">
        <w:rPr>
          <w:rFonts w:ascii="Arial" w:eastAsia="Times New Roman" w:hAnsi="Arial" w:cs="Arial"/>
          <w:b/>
          <w:sz w:val="22"/>
          <w:lang w:val="es-ES" w:eastAsia="es-CO"/>
        </w:rPr>
        <w:t>2.</w:t>
      </w:r>
      <w:r w:rsidR="000E7C3A" w:rsidRPr="00231255">
        <w:rPr>
          <w:rFonts w:ascii="Arial" w:eastAsia="Times New Roman" w:hAnsi="Arial" w:cs="Arial"/>
          <w:b/>
          <w:sz w:val="22"/>
          <w:lang w:val="es-ES" w:eastAsia="es-CO"/>
        </w:rPr>
        <w:t>3</w:t>
      </w:r>
      <w:r w:rsidRPr="00231255">
        <w:rPr>
          <w:rFonts w:ascii="Arial" w:eastAsia="Times New Roman" w:hAnsi="Arial" w:cs="Arial"/>
          <w:b/>
          <w:sz w:val="22"/>
          <w:lang w:val="es-ES" w:eastAsia="es-CO"/>
        </w:rPr>
        <w:t xml:space="preserve">. </w:t>
      </w:r>
      <w:r w:rsidRPr="00231255">
        <w:rPr>
          <w:rFonts w:ascii="Arial" w:eastAsia="Times New Roman" w:hAnsi="Arial" w:cs="Arial"/>
          <w:b/>
          <w:bCs/>
          <w:sz w:val="22"/>
          <w:lang w:val="es-CO" w:eastAsia="es-CO"/>
        </w:rPr>
        <w:t>Análisis de la posibilidad de suscribir prórrogas, adiciones, modificaciones y cesiones</w:t>
      </w:r>
      <w:r w:rsidR="000E7C3A" w:rsidRPr="00231255">
        <w:rPr>
          <w:rFonts w:ascii="Arial" w:eastAsia="Times New Roman" w:hAnsi="Arial" w:cs="Arial"/>
          <w:b/>
          <w:bCs/>
          <w:sz w:val="22"/>
          <w:lang w:val="es-CO" w:eastAsia="es-CO"/>
        </w:rPr>
        <w:t xml:space="preserve"> de contratos</w:t>
      </w:r>
    </w:p>
    <w:p w14:paraId="38D6793B" w14:textId="77777777" w:rsidR="00C30E92" w:rsidRPr="00231255" w:rsidRDefault="00C30E92" w:rsidP="00C30E92">
      <w:pPr>
        <w:spacing w:after="0"/>
        <w:rPr>
          <w:rFonts w:ascii="Arial" w:eastAsia="Times New Roman" w:hAnsi="Arial" w:cs="Arial"/>
          <w:b/>
          <w:sz w:val="22"/>
          <w:lang w:val="es-ES" w:eastAsia="es-CO"/>
        </w:rPr>
      </w:pPr>
    </w:p>
    <w:p w14:paraId="16F59F4F" w14:textId="77777777" w:rsidR="00C30E92" w:rsidRPr="00231255" w:rsidRDefault="00C30E92" w:rsidP="00C30E92">
      <w:pPr>
        <w:spacing w:after="160"/>
        <w:rPr>
          <w:rFonts w:ascii="Arial" w:eastAsia="Times New Roman" w:hAnsi="Arial" w:cs="Arial"/>
          <w:bCs/>
          <w:sz w:val="22"/>
          <w:lang w:val="es-ES" w:eastAsia="es-CO"/>
        </w:rPr>
      </w:pPr>
      <w:r w:rsidRPr="00231255">
        <w:rPr>
          <w:rFonts w:ascii="Arial" w:eastAsia="Times New Roman" w:hAnsi="Arial" w:cs="Arial"/>
          <w:bCs/>
          <w:sz w:val="22"/>
          <w:lang w:val="es-ES" w:eastAsia="es-CO"/>
        </w:rPr>
        <w:t xml:space="preserve">En cuanto a la celebración de prórrogas, adiciones, modificaciones o cesiones de los contratos suscritos antes de la entrada en vigencia de las prohibiciones anotadas una vez éstas han comenzado a surtir efectos, esta Agencia, reiteradamente, ha señalado que dichas actuaciones pueden tener lugar, sin que con ello se transgredan las restricciones explicadas. Lo anterior, siempre que se cumplan los principios de planeación, transparencia y responsabilidad. Esto por cuanto se ha considerado que actuaciones como cesiones, prórrogas, modificaciones y adiciones de contratos vigentes, no se encuentran dentro del ámbito de aplicación de las mencionadas restricciones. </w:t>
      </w:r>
    </w:p>
    <w:p w14:paraId="67ED4920" w14:textId="77777777" w:rsidR="00C30E92" w:rsidRPr="00231255" w:rsidRDefault="00C30E92" w:rsidP="00C30E92">
      <w:pPr>
        <w:spacing w:after="160"/>
        <w:ind w:firstLine="709"/>
        <w:rPr>
          <w:rFonts w:ascii="Arial" w:eastAsia="Times New Roman" w:hAnsi="Arial" w:cs="Arial"/>
          <w:bCs/>
          <w:sz w:val="22"/>
          <w:lang w:eastAsia="es-CO"/>
        </w:rPr>
      </w:pPr>
      <w:r w:rsidRPr="00231255">
        <w:rPr>
          <w:rFonts w:ascii="Arial" w:eastAsia="Times New Roman" w:hAnsi="Arial" w:cs="Arial"/>
          <w:bCs/>
          <w:sz w:val="22"/>
          <w:lang w:val="es-ES" w:eastAsia="es-CO"/>
        </w:rPr>
        <w:lastRenderedPageBreak/>
        <w:t xml:space="preserve">De hecho, esta fue la postura que asumió en su momento Colombia Compra Eficiente en la Circular No. 3 del 16 de agosto de 2013, expedida con el fin de establecer unas pautas para el cumplimiento de las restricciones a la contratación pública establecidas en la Ley 996 de 2005, en los meses anteriores a las elecciones presidenciales que tuvieron lugar en el 2014. En el texto de la mencionada Circular, en relación con la restricción del artículo 33 </w:t>
      </w:r>
      <w:r w:rsidRPr="00231255">
        <w:rPr>
          <w:rFonts w:ascii="Arial" w:eastAsia="Times New Roman" w:hAnsi="Arial" w:cs="Arial"/>
          <w:bCs/>
          <w:i/>
          <w:iCs/>
          <w:sz w:val="22"/>
          <w:lang w:val="es-ES" w:eastAsia="es-CO"/>
        </w:rPr>
        <w:t>ibidem</w:t>
      </w:r>
      <w:r w:rsidRPr="00231255">
        <w:rPr>
          <w:rFonts w:ascii="Arial" w:eastAsia="Times New Roman" w:hAnsi="Arial" w:cs="Arial"/>
          <w:bCs/>
          <w:sz w:val="22"/>
          <w:lang w:val="es-ES" w:eastAsia="es-CO"/>
        </w:rPr>
        <w:t xml:space="preserve">, la Agencia sostuvo que </w:t>
      </w:r>
      <w:r w:rsidRPr="00231255">
        <w:rPr>
          <w:rFonts w:ascii="Arial" w:eastAsia="Times New Roman" w:hAnsi="Arial" w:cs="Arial"/>
          <w:bCs/>
          <w:sz w:val="22"/>
          <w:lang w:eastAsia="es-CO"/>
        </w:rPr>
        <w:t>«Las prórrogas, modificaciones o adiciones, y la cesión de los contratos suscritos antes del período de la campaña presidencial están permitidas durante la campaña de acuerdo con lo establecido en las normas aplicables, siempre que tales prórrogas, modificaciones o adiciones, y cesiones cumplan los principios de planeación, transparencia y responsabilidad»</w:t>
      </w:r>
      <w:r w:rsidRPr="00231255">
        <w:rPr>
          <w:rStyle w:val="Refdenotaalpie"/>
          <w:rFonts w:ascii="Arial" w:eastAsia="Times New Roman" w:hAnsi="Arial" w:cs="Arial"/>
          <w:bCs/>
          <w:sz w:val="22"/>
          <w:lang w:eastAsia="es-CO"/>
        </w:rPr>
        <w:footnoteReference w:id="27"/>
      </w:r>
      <w:r w:rsidRPr="00231255">
        <w:rPr>
          <w:rFonts w:ascii="Arial" w:eastAsia="Times New Roman" w:hAnsi="Arial" w:cs="Arial"/>
          <w:bCs/>
          <w:sz w:val="22"/>
          <w:lang w:eastAsia="es-CO"/>
        </w:rPr>
        <w:t xml:space="preserve">. </w:t>
      </w:r>
    </w:p>
    <w:p w14:paraId="151B5002" w14:textId="77777777" w:rsidR="00C30E92" w:rsidRPr="00231255" w:rsidRDefault="00C30E92" w:rsidP="00C30E92">
      <w:pPr>
        <w:spacing w:after="160"/>
        <w:ind w:firstLine="709"/>
        <w:rPr>
          <w:rFonts w:ascii="Arial" w:eastAsia="Times New Roman" w:hAnsi="Arial" w:cs="Arial"/>
          <w:bCs/>
          <w:sz w:val="22"/>
          <w:lang w:eastAsia="es-CO"/>
        </w:rPr>
      </w:pPr>
      <w:r w:rsidRPr="00231255">
        <w:rPr>
          <w:rFonts w:ascii="Arial" w:eastAsia="Times New Roman" w:hAnsi="Arial" w:cs="Arial"/>
          <w:bCs/>
          <w:sz w:val="22"/>
          <w:lang w:eastAsia="es-CO"/>
        </w:rPr>
        <w:t xml:space="preserve">Respecto del contenido de esta última Circular, se llama la atención sobre el condicionamiento relativo a que el contrato objeto de prórroga, adición, modificación o cesión se encuentre vigente al momento de realizar alguna de estas actuaciones. Esto se justifica en el hecho de que realizar una modificación, prórroga, adición o cesión de un contrato cuyo plazo de ejecución ha fenecido, en realidad supone celebrar un nuevo contrato, actuación que supondría una transgresión no solo de las restricciones establecidas en la Ley 996 de 2005, sino también de las normas que rigen los procedimientos de selección. </w:t>
      </w:r>
    </w:p>
    <w:p w14:paraId="53D9081C" w14:textId="77777777" w:rsidR="00C30E92" w:rsidRPr="00231255" w:rsidRDefault="00C30E92" w:rsidP="00C30E92">
      <w:pPr>
        <w:spacing w:after="160"/>
        <w:ind w:firstLine="709"/>
        <w:rPr>
          <w:rFonts w:ascii="Arial" w:eastAsia="Times New Roman" w:hAnsi="Arial" w:cs="Arial"/>
          <w:bCs/>
          <w:sz w:val="22"/>
          <w:lang w:eastAsia="es-CO"/>
        </w:rPr>
      </w:pPr>
      <w:r w:rsidRPr="00231255">
        <w:rPr>
          <w:rFonts w:ascii="Arial" w:eastAsia="Times New Roman" w:hAnsi="Arial" w:cs="Arial"/>
          <w:bCs/>
          <w:sz w:val="22"/>
          <w:lang w:eastAsia="es-CO"/>
        </w:rPr>
        <w:t xml:space="preserve">La interpretación mencionada ha sido compartida por la Procuraduría General de la Nación, órgano de control, que se ha referido en varias de las circulares expedidas sobre la posibilidad de suscribir adiciones, modificaciones, prórrogas y cesiones de contratos suscritos antes del inicio de las restricciones de la Ley de Garantías Electorales. Particularmente, en las Circulares No. 016 del 3 de septiembre de 2013, 005 del 7 de abril de 2015 y 007 del 22 de mayo de 2017, todas expedidas desde el despacho del Procurador General, en las que se formularon consideraciones a modo de recomendaciones, dirigidas a los servidores públicos avocados a la celebración de las actuaciones a las que se refiere la hipótesis objeto de consulta. En la última de las circulares referidas, de manera casi idéntica a lo señalado en las anteriores, previa referencia a las restricciones de los artículos 33 y 38 de la Ley 996 de 2005, se insta a los servidores públicos a: </w:t>
      </w:r>
    </w:p>
    <w:p w14:paraId="4818FA88" w14:textId="77777777" w:rsidR="00C30E92" w:rsidRPr="00231255" w:rsidRDefault="00C30E92" w:rsidP="00C30E92">
      <w:pPr>
        <w:spacing w:after="160" w:line="240" w:lineRule="auto"/>
        <w:ind w:left="709" w:right="709"/>
        <w:rPr>
          <w:rFonts w:ascii="Arial" w:eastAsia="Times New Roman" w:hAnsi="Arial" w:cs="Arial"/>
          <w:bCs/>
          <w:sz w:val="21"/>
          <w:szCs w:val="21"/>
          <w:lang w:eastAsia="es-CO"/>
        </w:rPr>
      </w:pPr>
      <w:r w:rsidRPr="00231255">
        <w:rPr>
          <w:rFonts w:ascii="Arial" w:eastAsia="Times New Roman" w:hAnsi="Arial" w:cs="Arial"/>
          <w:bCs/>
          <w:sz w:val="21"/>
          <w:szCs w:val="21"/>
          <w:lang w:eastAsia="es-CO"/>
        </w:rPr>
        <w:t xml:space="preserve">«Verificar el sustento técnico, económico, legal y de cualquier otra índole de las prórrogas, modificaciones o adiciones de los contratos suscritos antes de la entrada en vigencia de las prohibiciones anotadas, así como la cesión de estos, velando porque siempre cumplan las reglas aplicables a la materia, dentro de </w:t>
      </w:r>
      <w:r w:rsidRPr="00231255">
        <w:rPr>
          <w:rFonts w:ascii="Arial" w:eastAsia="Times New Roman" w:hAnsi="Arial" w:cs="Arial"/>
          <w:bCs/>
          <w:sz w:val="21"/>
          <w:szCs w:val="21"/>
          <w:lang w:eastAsia="es-CO"/>
        </w:rPr>
        <w:lastRenderedPageBreak/>
        <w:t>los principios de selección objetiva, libre concurrencia, planeación, transparencia y responsabilidad»</w:t>
      </w:r>
      <w:r w:rsidRPr="00231255">
        <w:rPr>
          <w:rStyle w:val="Refdenotaalpie"/>
          <w:rFonts w:ascii="Arial" w:eastAsia="Times New Roman" w:hAnsi="Arial" w:cs="Arial"/>
          <w:bCs/>
          <w:sz w:val="21"/>
          <w:szCs w:val="21"/>
          <w:lang w:eastAsia="es-CO"/>
        </w:rPr>
        <w:footnoteReference w:id="28"/>
      </w:r>
      <w:r w:rsidRPr="00231255">
        <w:rPr>
          <w:rFonts w:ascii="Arial" w:eastAsia="Times New Roman" w:hAnsi="Arial" w:cs="Arial"/>
          <w:bCs/>
          <w:sz w:val="21"/>
          <w:szCs w:val="21"/>
          <w:lang w:eastAsia="es-CO"/>
        </w:rPr>
        <w:t xml:space="preserve">. </w:t>
      </w:r>
    </w:p>
    <w:p w14:paraId="014FFD84" w14:textId="77777777" w:rsidR="00C30E92" w:rsidRPr="00231255" w:rsidRDefault="00C30E92" w:rsidP="00C30E92">
      <w:pPr>
        <w:spacing w:after="160"/>
        <w:ind w:firstLine="709"/>
        <w:rPr>
          <w:rFonts w:ascii="Arial" w:eastAsia="Times New Roman" w:hAnsi="Arial" w:cs="Arial"/>
          <w:bCs/>
          <w:sz w:val="22"/>
          <w:lang w:eastAsia="x-none"/>
        </w:rPr>
      </w:pPr>
      <w:r w:rsidRPr="00231255">
        <w:rPr>
          <w:rFonts w:ascii="Arial" w:eastAsia="Times New Roman" w:hAnsi="Arial" w:cs="Arial"/>
          <w:bCs/>
          <w:sz w:val="22"/>
          <w:lang w:eastAsia="x-none"/>
        </w:rPr>
        <w:t xml:space="preserve">De acuerdo con lo anterior, la suscripción de cesiones, modificaciones, adiciones y prórrogas de contratos celebrados antes de los periodos preelectorales durante los que rigen las restricciones de los artículos 33 y 38 de la Ley de Garantías, es una posibilidad que ha sido considerada como jurídicamente válida, no solo por esta Agencia en su calidad de ente rector en materia de contratación pública, sino también por la Procuraduría General de la Nación, en calidad de órgano de control y máxima autoridad disciplinaria. Dicho ente, lejos de ubicar estas actuaciones dentro del ámbito de aplicación de las mencionadas restricciones, ha formulado recomendaciones para su adecuada celebración durante la vigencia de las referidas restricciones. En ese sentido, la Procuraduría y la Agencia, en las circulares antes mencionadas, han coincidido en señalar que esta posibilidad de realizar prórrogas, adiciones, modificaciones y cesiones en las condiciones advertidas está sujeta a que se cumplan los principios de planeación, transparencia y responsabilidad. </w:t>
      </w:r>
    </w:p>
    <w:p w14:paraId="74BD56B7" w14:textId="77777777" w:rsidR="00C30E92" w:rsidRPr="00231255" w:rsidRDefault="00C30E92" w:rsidP="00C30E92">
      <w:pPr>
        <w:spacing w:after="160"/>
        <w:ind w:firstLine="708"/>
        <w:rPr>
          <w:rFonts w:ascii="Arial" w:eastAsia="Times New Roman" w:hAnsi="Arial" w:cs="Arial"/>
          <w:bCs/>
          <w:sz w:val="22"/>
          <w:lang w:eastAsia="x-none"/>
        </w:rPr>
      </w:pPr>
      <w:r w:rsidRPr="00231255">
        <w:rPr>
          <w:rFonts w:ascii="Arial" w:eastAsia="Times New Roman" w:hAnsi="Arial" w:cs="Arial"/>
          <w:bCs/>
          <w:sz w:val="22"/>
          <w:lang w:eastAsia="x-none"/>
        </w:rPr>
        <w:t xml:space="preserve">De forma similar, en la Circular Externa Única del 16 de abril de 2019, la Agencia Nacional de Contratación Pública – Colombia Compra Eficiente, en el numeral 15.5 señaló lo siguiente: </w:t>
      </w:r>
    </w:p>
    <w:p w14:paraId="1EB4994E" w14:textId="77777777" w:rsidR="00C30E92" w:rsidRPr="00231255" w:rsidRDefault="00C30E92" w:rsidP="00C30E92">
      <w:pPr>
        <w:spacing w:after="160" w:line="240" w:lineRule="auto"/>
        <w:ind w:left="709" w:right="709"/>
        <w:rPr>
          <w:rFonts w:ascii="Arial" w:eastAsia="Times New Roman" w:hAnsi="Arial" w:cs="Arial"/>
          <w:bCs/>
          <w:sz w:val="21"/>
          <w:szCs w:val="21"/>
          <w:lang w:eastAsia="es-CO"/>
        </w:rPr>
      </w:pPr>
      <w:r w:rsidRPr="00231255">
        <w:rPr>
          <w:rFonts w:ascii="Arial" w:eastAsia="Times New Roman" w:hAnsi="Arial" w:cs="Arial"/>
          <w:bCs/>
          <w:sz w:val="21"/>
          <w:szCs w:val="21"/>
          <w:lang w:eastAsia="es-CO"/>
        </w:rPr>
        <w:t xml:space="preserve">La Ley de Garantías no establece restricciones para las prórrogas, modificaciones o adiciones, y la cesión de los contratos suscritos antes del período electoral, siempre que tales prórrogas, modificaciones, adiciones y cesiones cumplan los principios de planeación, transparencia y responsabilidad. </w:t>
      </w:r>
    </w:p>
    <w:p w14:paraId="1169F6DE" w14:textId="77777777" w:rsidR="00C30E92" w:rsidRPr="00231255" w:rsidRDefault="00C30E92" w:rsidP="00C30E92">
      <w:pPr>
        <w:spacing w:after="160" w:line="240" w:lineRule="auto"/>
        <w:ind w:left="709" w:right="709"/>
        <w:rPr>
          <w:rFonts w:ascii="Arial" w:eastAsia="Times New Roman" w:hAnsi="Arial" w:cs="Arial"/>
          <w:bCs/>
          <w:sz w:val="21"/>
          <w:szCs w:val="21"/>
          <w:lang w:eastAsia="es-CO"/>
        </w:rPr>
      </w:pPr>
      <w:r w:rsidRPr="00231255">
        <w:rPr>
          <w:rFonts w:ascii="Arial" w:eastAsia="Times New Roman" w:hAnsi="Arial" w:cs="Arial"/>
          <w:bCs/>
          <w:sz w:val="21"/>
          <w:szCs w:val="21"/>
          <w:lang w:eastAsia="es-CO"/>
        </w:rPr>
        <w:t>En este sentido, las prórrogas, modificaciones o adiciones, y la cesión de los contratos suscritos antes del período de la campaña electoral, pueden realizarse en cualquier tiempo antes o después del comienzo de la aplicación de la Ley de Garantías siempre y cuando el contrato se encuentre vigente.</w:t>
      </w:r>
    </w:p>
    <w:p w14:paraId="29305899" w14:textId="77777777" w:rsidR="00C30E92" w:rsidRPr="00231255" w:rsidRDefault="00C30E92" w:rsidP="00C30E92">
      <w:pPr>
        <w:spacing w:after="160"/>
        <w:ind w:firstLine="709"/>
        <w:rPr>
          <w:rFonts w:ascii="Arial" w:eastAsia="Times New Roman" w:hAnsi="Arial" w:cs="Arial"/>
          <w:bCs/>
          <w:sz w:val="22"/>
          <w:lang w:eastAsia="x-none"/>
        </w:rPr>
      </w:pPr>
      <w:r w:rsidRPr="00231255">
        <w:rPr>
          <w:rFonts w:ascii="Arial" w:eastAsia="Times New Roman" w:hAnsi="Arial" w:cs="Arial"/>
          <w:bCs/>
          <w:sz w:val="22"/>
          <w:lang w:eastAsia="x-none"/>
        </w:rPr>
        <w:t xml:space="preserve">En atención a esta interpretación y a las orientaciones incluidas en las referidas circulares, las entidades estatales han desarrollado su gestión contractual, para evitar eventuales transgresiones a las restricciones en comento. Esto se refleja en el contenido de la Circular Conjunta 100-006 del 16 de noviembre de 2021, expedida por los directores del Departamento Administrativo de la Presidencia de la República -DAPRE- y del Departamento Administrativo de la Función Pública -DAFP-, en la que se acoge la interpretación expuesta en los párrafos precedentes, y se insta a actuar conforme a la misma a todos los ministros, directores de departamentos administrativos, superintendentes, gerentes y directores de entidades descentralizadas en la Rama </w:t>
      </w:r>
      <w:r w:rsidRPr="00231255">
        <w:rPr>
          <w:rFonts w:ascii="Arial" w:eastAsia="Times New Roman" w:hAnsi="Arial" w:cs="Arial"/>
          <w:bCs/>
          <w:sz w:val="22"/>
          <w:lang w:eastAsia="x-none"/>
        </w:rPr>
        <w:lastRenderedPageBreak/>
        <w:t>Ejecutiva del orden nacional, así como gobernadores, alcaldes municipales y/o distritales, secretarios, gerentes y directores de entidades descentralizadas del orden municipal, departamental o distrital</w:t>
      </w:r>
      <w:r w:rsidRPr="00231255">
        <w:rPr>
          <w:rStyle w:val="Refdenotaalpie"/>
          <w:rFonts w:ascii="Arial" w:eastAsia="Times New Roman" w:hAnsi="Arial" w:cs="Arial"/>
          <w:bCs/>
          <w:sz w:val="22"/>
          <w:lang w:eastAsia="x-none"/>
        </w:rPr>
        <w:footnoteReference w:id="29"/>
      </w:r>
      <w:r w:rsidRPr="00231255">
        <w:rPr>
          <w:rFonts w:ascii="Arial" w:eastAsia="Times New Roman" w:hAnsi="Arial" w:cs="Arial"/>
          <w:bCs/>
          <w:sz w:val="22"/>
          <w:lang w:eastAsia="x-none"/>
        </w:rPr>
        <w:t>.</w:t>
      </w:r>
    </w:p>
    <w:p w14:paraId="3EC3B708" w14:textId="6AC326E9" w:rsidR="00C30E92" w:rsidRPr="00231255" w:rsidRDefault="00C30E92" w:rsidP="00C30E92">
      <w:pPr>
        <w:spacing w:after="160"/>
        <w:ind w:firstLine="709"/>
        <w:rPr>
          <w:rFonts w:ascii="Arial" w:eastAsia="Times New Roman" w:hAnsi="Arial" w:cs="Arial"/>
          <w:bCs/>
          <w:sz w:val="22"/>
          <w:lang w:eastAsia="x-none"/>
        </w:rPr>
      </w:pPr>
      <w:r w:rsidRPr="00231255">
        <w:rPr>
          <w:rFonts w:ascii="Arial" w:eastAsia="Times New Roman" w:hAnsi="Arial" w:cs="Arial"/>
          <w:bCs/>
          <w:sz w:val="22"/>
          <w:lang w:eastAsia="x-none"/>
        </w:rPr>
        <w:t xml:space="preserve">Sin perjuicio de lo anterior, debe precisarse que si bien se </w:t>
      </w:r>
      <w:r w:rsidR="006A1757" w:rsidRPr="00231255">
        <w:rPr>
          <w:rFonts w:ascii="Arial" w:eastAsia="Times New Roman" w:hAnsi="Arial" w:cs="Arial"/>
          <w:bCs/>
          <w:sz w:val="22"/>
          <w:lang w:eastAsia="x-none"/>
        </w:rPr>
        <w:t>ha estimado</w:t>
      </w:r>
      <w:r w:rsidRPr="00231255">
        <w:rPr>
          <w:rFonts w:ascii="Arial" w:eastAsia="Times New Roman" w:hAnsi="Arial" w:cs="Arial"/>
          <w:bCs/>
          <w:sz w:val="22"/>
          <w:lang w:eastAsia="x-none"/>
        </w:rPr>
        <w:t xml:space="preserve"> válida la suscripción de las referidas actuaciones durante los períodos preelectorales en los que aplican las restricciones analizadas, en la medida en que, </w:t>
      </w:r>
      <w:r w:rsidRPr="00231255">
        <w:rPr>
          <w:rFonts w:ascii="Arial" w:eastAsia="Times New Roman" w:hAnsi="Arial" w:cs="Arial"/>
          <w:bCs/>
          <w:i/>
          <w:iCs/>
          <w:sz w:val="22"/>
          <w:lang w:eastAsia="x-none"/>
        </w:rPr>
        <w:t>per se,</w:t>
      </w:r>
      <w:r w:rsidRPr="00231255">
        <w:rPr>
          <w:rFonts w:ascii="Arial" w:eastAsia="Times New Roman" w:hAnsi="Arial" w:cs="Arial"/>
          <w:bCs/>
          <w:sz w:val="22"/>
          <w:lang w:eastAsia="x-none"/>
        </w:rPr>
        <w:t xml:space="preserve"> no suponen una vulneración de las prohibiciones mencionadas, ello no significa que puedan realizarse todo tipo de prórrogas, adiciones, modificaciones o cesiones sin reparar en si estas se ajustan o no a las demás disposiciones normativas conforme a las cuales deben ser realizadas. En este sentido, si, por ejemplo, en vigencia de las referidas restricciones se pretendiera realizar la cesión de un contrato, esto estaría condicionado a que el eventual cesionario del contratista fuere una persona con capacidad jurídica para ejecutar el contrato</w:t>
      </w:r>
      <w:r w:rsidRPr="00231255">
        <w:rPr>
          <w:rStyle w:val="Refdenotaalpie"/>
          <w:rFonts w:ascii="Arial" w:eastAsia="Times New Roman" w:hAnsi="Arial" w:cs="Arial"/>
          <w:bCs/>
          <w:sz w:val="22"/>
          <w:lang w:eastAsia="x-none"/>
        </w:rPr>
        <w:footnoteReference w:id="30"/>
      </w:r>
      <w:r w:rsidRPr="00231255">
        <w:rPr>
          <w:rFonts w:ascii="Arial" w:eastAsia="Times New Roman" w:hAnsi="Arial" w:cs="Arial"/>
          <w:bCs/>
          <w:sz w:val="22"/>
          <w:lang w:eastAsia="x-none"/>
        </w:rPr>
        <w:t>, por lo que no resultaría viable realizar la cesión en favor de una persona objeto de alguna inhabilidad</w:t>
      </w:r>
      <w:r w:rsidRPr="00231255">
        <w:rPr>
          <w:rStyle w:val="Refdenotaalpie"/>
          <w:rFonts w:ascii="Arial" w:eastAsia="Times New Roman" w:hAnsi="Arial" w:cs="Arial"/>
          <w:bCs/>
          <w:sz w:val="22"/>
          <w:lang w:eastAsia="x-none"/>
        </w:rPr>
        <w:footnoteReference w:id="31"/>
      </w:r>
      <w:r w:rsidRPr="00231255">
        <w:rPr>
          <w:rFonts w:ascii="Arial" w:eastAsia="Times New Roman" w:hAnsi="Arial" w:cs="Arial"/>
          <w:bCs/>
          <w:sz w:val="22"/>
          <w:lang w:eastAsia="x-none"/>
        </w:rPr>
        <w:t xml:space="preserve">. Además, el análisis concreto sobre la procedencia en cada caso concreto corresponde realizarlo a cada entidad estatal. </w:t>
      </w:r>
    </w:p>
    <w:p w14:paraId="75517263" w14:textId="77777777" w:rsidR="00C30E92" w:rsidRPr="00231255" w:rsidRDefault="00C30E92" w:rsidP="00C30E92">
      <w:pPr>
        <w:spacing w:after="160"/>
        <w:ind w:firstLine="709"/>
        <w:rPr>
          <w:rFonts w:ascii="Arial" w:eastAsia="Times New Roman" w:hAnsi="Arial" w:cs="Arial"/>
          <w:bCs/>
          <w:sz w:val="22"/>
          <w:lang w:eastAsia="x-none"/>
        </w:rPr>
      </w:pPr>
      <w:r w:rsidRPr="00231255">
        <w:rPr>
          <w:rFonts w:ascii="Arial" w:eastAsia="Times New Roman" w:hAnsi="Arial" w:cs="Arial"/>
          <w:bCs/>
          <w:sz w:val="22"/>
          <w:lang w:eastAsia="x-none"/>
        </w:rPr>
        <w:t xml:space="preserve">Debe advertirse que estas limitaciones temporales a la contratación directa durante la campaña presidencial y a la celebración de los convenios y contratos interadministrativos frente a los comicios a cargos de elección popular, requiere que los órganos y entidades que tengan capacidad contractual planifiquen su gestión contractual con suficiente antelación a los períodos de elección presidencial o de elecciones de cualquier otro cargo, </w:t>
      </w:r>
      <w:r w:rsidRPr="00231255">
        <w:rPr>
          <w:rFonts w:ascii="Arial" w:eastAsia="Times New Roman" w:hAnsi="Arial" w:cs="Arial"/>
          <w:bCs/>
          <w:sz w:val="22"/>
          <w:lang w:eastAsia="x-none"/>
        </w:rPr>
        <w:lastRenderedPageBreak/>
        <w:t xml:space="preserve">según el caso, de forma que no se vea afectada la función administrativa en razón de la restricción impuesta por la Ley de Garantías Electorales. De ahí la importancia de que los principios de planeación, transparencia y responsabilidad se materialicen en la eventual celebración de prórrogas, modificaciones, adiciones o cesiones de los contratos vigentes suscritos antes del inicio de las restricciones aplicables, por cuenta de los artículos 33 y 38 de la Ley 996 de 2005 en materia de contratación pública. </w:t>
      </w:r>
    </w:p>
    <w:p w14:paraId="24D15AAD" w14:textId="2F72FCE4" w:rsidR="00C30E92" w:rsidRPr="00231255" w:rsidRDefault="006A1757" w:rsidP="00FC6A13">
      <w:pPr>
        <w:spacing w:after="0"/>
        <w:rPr>
          <w:rFonts w:ascii="Arial" w:eastAsia="Calibri" w:hAnsi="Arial" w:cs="Arial"/>
          <w:sz w:val="22"/>
        </w:rPr>
      </w:pPr>
      <w:r w:rsidRPr="00231255">
        <w:rPr>
          <w:rFonts w:ascii="Arial" w:eastAsia="Calibri" w:hAnsi="Arial" w:cs="Arial"/>
          <w:sz w:val="22"/>
        </w:rPr>
        <w:tab/>
        <w:t xml:space="preserve">Ahora bien, luego de expuestos los fundamentos en los que se ha cimentado la posibilidad de realizar </w:t>
      </w:r>
      <w:r w:rsidRPr="00231255">
        <w:rPr>
          <w:rFonts w:ascii="Arial" w:eastAsia="Times New Roman" w:hAnsi="Arial" w:cs="Arial"/>
          <w:bCs/>
          <w:sz w:val="21"/>
          <w:szCs w:val="21"/>
          <w:lang w:eastAsia="es-CO"/>
        </w:rPr>
        <w:t xml:space="preserve">prórrogas, modificaciones o adiciones, y la cesión de contratos durante la vigencia de la Ley de Garantías Electorales, es importante señalar que no se ha hecho referencia a la posibilidad de </w:t>
      </w:r>
      <w:r w:rsidRPr="00231255">
        <w:rPr>
          <w:rFonts w:ascii="Arial" w:eastAsia="Times New Roman" w:hAnsi="Arial" w:cs="Arial"/>
          <w:bCs/>
          <w:i/>
          <w:iCs/>
          <w:sz w:val="21"/>
          <w:szCs w:val="21"/>
          <w:lang w:eastAsia="es-CO"/>
        </w:rPr>
        <w:t xml:space="preserve">renovar </w:t>
      </w:r>
      <w:r w:rsidRPr="00231255">
        <w:rPr>
          <w:rFonts w:ascii="Arial" w:eastAsia="Times New Roman" w:hAnsi="Arial" w:cs="Arial"/>
          <w:bCs/>
          <w:sz w:val="21"/>
          <w:szCs w:val="21"/>
          <w:lang w:eastAsia="es-CO"/>
        </w:rPr>
        <w:t xml:space="preserve">contratos y, concretamente, celebrar contratos nuevos con fundamento en los que vencieron durante el periodo de vigencia de las prohibiciones. En concreto, se considera que la ausencia de esta posibilidad se fundamenta en lo señalado en el acápite anterior, en el sentido de que </w:t>
      </w:r>
      <w:r w:rsidR="00440400" w:rsidRPr="00231255">
        <w:rPr>
          <w:rFonts w:ascii="Arial" w:eastAsia="Times New Roman" w:hAnsi="Arial" w:cs="Arial"/>
          <w:bCs/>
          <w:i/>
          <w:iCs/>
          <w:sz w:val="21"/>
          <w:szCs w:val="21"/>
          <w:lang w:eastAsia="es-CO"/>
        </w:rPr>
        <w:t xml:space="preserve">renovar </w:t>
      </w:r>
      <w:r w:rsidR="00440400" w:rsidRPr="00231255">
        <w:rPr>
          <w:rFonts w:ascii="Arial" w:eastAsia="Times New Roman" w:hAnsi="Arial" w:cs="Arial"/>
          <w:bCs/>
          <w:sz w:val="21"/>
          <w:szCs w:val="21"/>
          <w:lang w:eastAsia="es-CO"/>
        </w:rPr>
        <w:t>un contrato en realidad implica celebrar uno nuevo, pese a que tenga un contenido similar o idéntico a uno anterior</w:t>
      </w:r>
      <w:r w:rsidR="00BF7DC7" w:rsidRPr="00231255">
        <w:rPr>
          <w:rFonts w:ascii="Arial" w:eastAsia="Times New Roman" w:hAnsi="Arial" w:cs="Arial"/>
          <w:bCs/>
          <w:sz w:val="21"/>
          <w:szCs w:val="21"/>
          <w:lang w:eastAsia="es-CO"/>
        </w:rPr>
        <w:t>, por ello se considera que no es posible celebrar de forma directa estos contratos durante la vigencia de la prohibición establecida en el artículo 33 de la Ley de Garantías Electorales; sin perjuicio de que dichos contratos puedan prorrogarse, adicionarse o modificarse con la finalidad de mantener su continuidad, respetando los alcances fijados en torno a esta posibilidad, desarrollados en este numeral.</w:t>
      </w:r>
    </w:p>
    <w:p w14:paraId="0384BA85" w14:textId="77777777" w:rsidR="00B0312C" w:rsidRPr="00231255" w:rsidRDefault="00B0312C" w:rsidP="00C529C9">
      <w:pPr>
        <w:spacing w:after="0"/>
        <w:rPr>
          <w:rFonts w:ascii="Arial" w:eastAsia="Calibri" w:hAnsi="Arial" w:cs="Arial"/>
          <w:sz w:val="22"/>
        </w:rPr>
      </w:pPr>
    </w:p>
    <w:p w14:paraId="52ACB68C" w14:textId="65210C65" w:rsidR="001C1A26" w:rsidRPr="00231255" w:rsidRDefault="00231E50" w:rsidP="00F176B9">
      <w:pPr>
        <w:spacing w:after="0"/>
        <w:rPr>
          <w:rFonts w:ascii="Arial" w:eastAsia="Calibri" w:hAnsi="Arial" w:cs="Arial"/>
          <w:b/>
          <w:sz w:val="22"/>
          <w:lang w:val="es-CO"/>
        </w:rPr>
      </w:pPr>
      <w:r w:rsidRPr="00231255">
        <w:rPr>
          <w:rFonts w:ascii="Arial" w:eastAsia="Calibri" w:hAnsi="Arial" w:cs="Arial"/>
          <w:b/>
          <w:sz w:val="22"/>
          <w:lang w:val="es-CO"/>
        </w:rPr>
        <w:t>3</w:t>
      </w:r>
      <w:r w:rsidR="00CF2AA3" w:rsidRPr="00231255">
        <w:rPr>
          <w:rFonts w:ascii="Arial" w:eastAsia="Calibri" w:hAnsi="Arial" w:cs="Arial"/>
          <w:b/>
          <w:sz w:val="22"/>
          <w:lang w:val="es-CO"/>
        </w:rPr>
        <w:t>. Respuest</w:t>
      </w:r>
      <w:r w:rsidR="001C1A26" w:rsidRPr="00231255">
        <w:rPr>
          <w:rFonts w:ascii="Arial" w:eastAsia="Calibri" w:hAnsi="Arial" w:cs="Arial"/>
          <w:b/>
          <w:sz w:val="22"/>
          <w:lang w:val="es-CO"/>
        </w:rPr>
        <w:t>a</w:t>
      </w:r>
    </w:p>
    <w:p w14:paraId="79A8F50A" w14:textId="77777777" w:rsidR="00264924" w:rsidRPr="00231255" w:rsidRDefault="00264924" w:rsidP="00F176B9">
      <w:pPr>
        <w:spacing w:after="0" w:line="240" w:lineRule="auto"/>
        <w:rPr>
          <w:rFonts w:ascii="Arial" w:eastAsia="Calibri" w:hAnsi="Arial" w:cs="Arial"/>
          <w:bCs/>
          <w:sz w:val="22"/>
          <w:lang w:val="es-CO"/>
        </w:rPr>
      </w:pPr>
    </w:p>
    <w:p w14:paraId="2514C037" w14:textId="0392E429" w:rsidR="00C449F2" w:rsidRPr="00231255" w:rsidRDefault="00C449F2" w:rsidP="00C449F2">
      <w:pPr>
        <w:spacing w:after="0" w:line="240" w:lineRule="auto"/>
        <w:ind w:left="709" w:right="709"/>
        <w:rPr>
          <w:rFonts w:ascii="Arial" w:hAnsi="Arial" w:cs="Arial"/>
          <w:sz w:val="21"/>
          <w:szCs w:val="21"/>
          <w:shd w:val="clear" w:color="auto" w:fill="FFFFFF"/>
          <w:lang w:val="es-CO"/>
        </w:rPr>
      </w:pPr>
      <w:bookmarkStart w:id="19" w:name="_Hlk101816210"/>
      <w:bookmarkStart w:id="20" w:name="_Hlk57650395"/>
      <w:r w:rsidRPr="00231255">
        <w:rPr>
          <w:rFonts w:ascii="Arial" w:hAnsi="Arial" w:cs="Arial"/>
          <w:sz w:val="21"/>
          <w:szCs w:val="21"/>
          <w:shd w:val="clear" w:color="auto" w:fill="FFFFFF"/>
          <w:lang w:val="es-CO"/>
        </w:rPr>
        <w:t>«1. Están incluidas o excluidas las renovaciones de contratos cuya vigencia vence en ley de garantías, pues la norma solo refiere a prorrogas. Debo aclarar que en materia comercial no son aplicables las prórrogas, ni en el sector privado, ni público.</w:t>
      </w:r>
    </w:p>
    <w:p w14:paraId="281ED520" w14:textId="77777777" w:rsidR="00C449F2" w:rsidRPr="00231255" w:rsidRDefault="00C449F2" w:rsidP="00C449F2">
      <w:pPr>
        <w:spacing w:after="0" w:line="240" w:lineRule="auto"/>
        <w:ind w:left="709" w:right="709"/>
        <w:rPr>
          <w:rFonts w:ascii="Arial" w:hAnsi="Arial" w:cs="Arial"/>
          <w:sz w:val="21"/>
          <w:szCs w:val="21"/>
          <w:shd w:val="clear" w:color="auto" w:fill="FFFFFF"/>
          <w:lang w:val="es-CO"/>
        </w:rPr>
      </w:pPr>
    </w:p>
    <w:p w14:paraId="41E2E99E" w14:textId="77777777" w:rsidR="00C449F2" w:rsidRPr="00231255" w:rsidRDefault="00C449F2" w:rsidP="00C449F2">
      <w:pPr>
        <w:spacing w:after="0" w:line="240" w:lineRule="auto"/>
        <w:ind w:left="709" w:right="709"/>
        <w:rPr>
          <w:rFonts w:ascii="Arial" w:hAnsi="Arial" w:cs="Arial"/>
          <w:sz w:val="21"/>
          <w:szCs w:val="21"/>
          <w:shd w:val="clear" w:color="auto" w:fill="FFFFFF"/>
          <w:lang w:val="es-CO"/>
        </w:rPr>
      </w:pPr>
      <w:r w:rsidRPr="00231255">
        <w:rPr>
          <w:rFonts w:ascii="Arial" w:hAnsi="Arial" w:cs="Arial"/>
          <w:sz w:val="21"/>
          <w:szCs w:val="21"/>
          <w:shd w:val="clear" w:color="auto" w:fill="FFFFFF"/>
          <w:lang w:val="es-CO"/>
        </w:rPr>
        <w:t>2. La ley de garantías excluye la celebración de contratos de arrendamiento en entidades del estado que tienen como parte de su objeto social la entrega de bienes en arrendamiento.</w:t>
      </w:r>
    </w:p>
    <w:p w14:paraId="392926B2" w14:textId="77777777" w:rsidR="00C449F2" w:rsidRPr="00231255" w:rsidRDefault="00C449F2" w:rsidP="00C449F2">
      <w:pPr>
        <w:spacing w:after="0" w:line="240" w:lineRule="auto"/>
        <w:ind w:left="709" w:right="709"/>
        <w:rPr>
          <w:rFonts w:ascii="Arial" w:hAnsi="Arial" w:cs="Arial"/>
          <w:sz w:val="21"/>
          <w:szCs w:val="21"/>
          <w:shd w:val="clear" w:color="auto" w:fill="FFFFFF"/>
          <w:lang w:val="es-CO"/>
        </w:rPr>
      </w:pPr>
    </w:p>
    <w:p w14:paraId="7ABE3B66" w14:textId="77777777" w:rsidR="00C449F2" w:rsidRPr="00231255" w:rsidRDefault="00C449F2" w:rsidP="00C449F2">
      <w:pPr>
        <w:spacing w:after="0" w:line="240" w:lineRule="auto"/>
        <w:ind w:left="709" w:right="709"/>
        <w:rPr>
          <w:rFonts w:ascii="Arial" w:hAnsi="Arial" w:cs="Arial"/>
          <w:sz w:val="21"/>
          <w:szCs w:val="21"/>
          <w:shd w:val="clear" w:color="auto" w:fill="FFFFFF"/>
          <w:lang w:val="es-CO"/>
        </w:rPr>
      </w:pPr>
      <w:r w:rsidRPr="00231255">
        <w:rPr>
          <w:rFonts w:ascii="Arial" w:hAnsi="Arial" w:cs="Arial"/>
          <w:sz w:val="21"/>
          <w:szCs w:val="21"/>
          <w:shd w:val="clear" w:color="auto" w:fill="FFFFFF"/>
          <w:lang w:val="es-CO"/>
        </w:rPr>
        <w:t>3. Si la regla general de la ley de garantías es la no celebración de contratos nuevos, entonces que puede hacer la entidad estatal que tenga parte de este objeto social, para dar cumplimiento a su finalidad comercial, en la prolongada y reiterativa época de elecciones. Terminales terrestres, marítimos, aeropuertos.</w:t>
      </w:r>
    </w:p>
    <w:p w14:paraId="6EF9B5DB" w14:textId="77777777" w:rsidR="00C449F2" w:rsidRPr="00231255" w:rsidRDefault="00C449F2" w:rsidP="00C449F2">
      <w:pPr>
        <w:spacing w:after="0" w:line="240" w:lineRule="auto"/>
        <w:ind w:left="709" w:right="709"/>
        <w:rPr>
          <w:rFonts w:ascii="Arial" w:hAnsi="Arial" w:cs="Arial"/>
          <w:sz w:val="21"/>
          <w:szCs w:val="21"/>
          <w:shd w:val="clear" w:color="auto" w:fill="FFFFFF"/>
          <w:lang w:val="es-CO"/>
        </w:rPr>
      </w:pPr>
    </w:p>
    <w:p w14:paraId="7CC291DC" w14:textId="77777777" w:rsidR="00C449F2" w:rsidRPr="00231255" w:rsidRDefault="00C449F2" w:rsidP="00C449F2">
      <w:pPr>
        <w:spacing w:after="0" w:line="240" w:lineRule="auto"/>
        <w:ind w:left="709" w:right="709"/>
        <w:rPr>
          <w:rFonts w:ascii="Arial" w:hAnsi="Arial" w:cs="Arial"/>
          <w:sz w:val="21"/>
          <w:szCs w:val="21"/>
          <w:shd w:val="clear" w:color="auto" w:fill="FFFFFF"/>
          <w:lang w:val="es-CO"/>
        </w:rPr>
      </w:pPr>
      <w:r w:rsidRPr="00231255">
        <w:rPr>
          <w:rFonts w:ascii="Arial" w:hAnsi="Arial" w:cs="Arial"/>
          <w:sz w:val="21"/>
          <w:szCs w:val="21"/>
          <w:shd w:val="clear" w:color="auto" w:fill="FFFFFF"/>
          <w:lang w:val="es-CO"/>
        </w:rPr>
        <w:t>4. Si no se pueden firmar contratos de arrendamiento en ley de garantías, entonces en qué situación quedan los contratos de arrendamiento cuya vigencia vence en ley de garantía y que requieran renovación, ello recordando que en entidades del estado no hay renovación automática de contratos, ni los contratos de arrendamiento comercial existen las prórrogas.</w:t>
      </w:r>
    </w:p>
    <w:p w14:paraId="4F629623" w14:textId="77777777" w:rsidR="00C449F2" w:rsidRPr="00231255" w:rsidRDefault="00C449F2" w:rsidP="00C449F2">
      <w:pPr>
        <w:spacing w:after="0" w:line="240" w:lineRule="auto"/>
        <w:ind w:left="709" w:right="709"/>
        <w:rPr>
          <w:rFonts w:ascii="Arial" w:hAnsi="Arial" w:cs="Arial"/>
          <w:sz w:val="21"/>
          <w:szCs w:val="21"/>
          <w:shd w:val="clear" w:color="auto" w:fill="FFFFFF"/>
          <w:lang w:val="es-CO"/>
        </w:rPr>
      </w:pPr>
    </w:p>
    <w:p w14:paraId="34C2DA00" w14:textId="0ABF9D14" w:rsidR="00EF6B86" w:rsidRPr="00231255" w:rsidRDefault="00C449F2" w:rsidP="00C449F2">
      <w:pPr>
        <w:spacing w:after="0" w:line="240" w:lineRule="auto"/>
        <w:ind w:left="709" w:right="709"/>
        <w:rPr>
          <w:rFonts w:ascii="Arial" w:hAnsi="Arial" w:cs="Arial"/>
          <w:sz w:val="21"/>
          <w:szCs w:val="21"/>
          <w:shd w:val="clear" w:color="auto" w:fill="FFFFFF"/>
          <w:lang w:val="es-CO"/>
        </w:rPr>
      </w:pPr>
      <w:r w:rsidRPr="00231255">
        <w:rPr>
          <w:rFonts w:ascii="Arial" w:hAnsi="Arial" w:cs="Arial"/>
          <w:sz w:val="21"/>
          <w:szCs w:val="21"/>
          <w:shd w:val="clear" w:color="auto" w:fill="FFFFFF"/>
          <w:lang w:val="es-CO"/>
        </w:rPr>
        <w:t xml:space="preserve">5. Finalmente, en </w:t>
      </w:r>
      <w:proofErr w:type="spellStart"/>
      <w:r w:rsidRPr="00231255">
        <w:rPr>
          <w:rFonts w:ascii="Arial" w:hAnsi="Arial" w:cs="Arial"/>
          <w:sz w:val="21"/>
          <w:szCs w:val="21"/>
          <w:shd w:val="clear" w:color="auto" w:fill="FFFFFF"/>
          <w:lang w:val="es-CO"/>
        </w:rPr>
        <w:t>que</w:t>
      </w:r>
      <w:proofErr w:type="spellEnd"/>
      <w:r w:rsidRPr="00231255">
        <w:rPr>
          <w:rFonts w:ascii="Arial" w:hAnsi="Arial" w:cs="Arial"/>
          <w:sz w:val="21"/>
          <w:szCs w:val="21"/>
          <w:shd w:val="clear" w:color="auto" w:fill="FFFFFF"/>
          <w:lang w:val="es-CO"/>
        </w:rPr>
        <w:t xml:space="preserve"> condiciones queda la entidad cuyo objeto social es la entrega de bienes fiscales en arriendo, sino puede cumplir esa parte de su objeto </w:t>
      </w:r>
      <w:r w:rsidRPr="00231255">
        <w:rPr>
          <w:rFonts w:ascii="Arial" w:hAnsi="Arial" w:cs="Arial"/>
          <w:sz w:val="21"/>
          <w:szCs w:val="21"/>
          <w:shd w:val="clear" w:color="auto" w:fill="FFFFFF"/>
          <w:lang w:val="es-CO"/>
        </w:rPr>
        <w:lastRenderedPageBreak/>
        <w:t xml:space="preserve">social, durante un muy importante, prolongado tiempo que dure la ley de garantías.».       </w:t>
      </w:r>
    </w:p>
    <w:p w14:paraId="0C2CAB70" w14:textId="6E002ABF" w:rsidR="00D777A2" w:rsidRPr="00231255" w:rsidRDefault="00D777A2" w:rsidP="00D777A2">
      <w:pPr>
        <w:spacing w:after="0" w:line="240" w:lineRule="auto"/>
        <w:ind w:right="709"/>
        <w:rPr>
          <w:rFonts w:ascii="Arial" w:hAnsi="Arial" w:cs="Arial"/>
          <w:sz w:val="21"/>
          <w:szCs w:val="21"/>
          <w:shd w:val="clear" w:color="auto" w:fill="FFFFFF"/>
          <w:lang w:val="es-CO"/>
        </w:rPr>
      </w:pPr>
    </w:p>
    <w:p w14:paraId="030B90F7" w14:textId="00D569DD" w:rsidR="006A7A49" w:rsidRPr="00231255" w:rsidRDefault="002F098C" w:rsidP="00960A8B">
      <w:pPr>
        <w:spacing w:after="160"/>
        <w:rPr>
          <w:rFonts w:ascii="Arial" w:eastAsia="Calibri" w:hAnsi="Arial" w:cs="Arial"/>
          <w:sz w:val="22"/>
          <w:lang w:val="es-ES_tradnl" w:eastAsia="es-ES_tradnl"/>
        </w:rPr>
      </w:pPr>
      <w:r w:rsidRPr="00231255">
        <w:rPr>
          <w:rFonts w:ascii="Arial" w:eastAsia="Calibri" w:hAnsi="Arial" w:cs="Arial"/>
          <w:sz w:val="22"/>
          <w:lang w:val="es-ES_tradnl" w:eastAsia="es-ES_tradnl"/>
        </w:rPr>
        <w:t xml:space="preserve">Teniendo en cuenta la unidad temática de las preguntas planeadas, estas se responderán de forma unificada. </w:t>
      </w:r>
      <w:r w:rsidR="006A7A49" w:rsidRPr="00231255">
        <w:rPr>
          <w:rFonts w:ascii="Arial" w:eastAsia="Calibri" w:hAnsi="Arial" w:cs="Arial"/>
          <w:sz w:val="22"/>
          <w:lang w:val="es-ES_tradnl" w:eastAsia="es-ES_tradnl"/>
        </w:rPr>
        <w:t>Sin embargo, es importante precisar que en las presentes consideraciones se expresa la postura hermenéutica de la Agencia en relación con las problemáticas planteadas, pues le corresponde a cada entidad, en desarrollo de su actividad contractual, analizar el alcance de las prohibiciones establecidas en la Ley de Garantías teniendo en cuenta se ámbito de funciones y circunstancias concretas.</w:t>
      </w:r>
    </w:p>
    <w:p w14:paraId="1774E4F7" w14:textId="7FE6A962" w:rsidR="00D777A2" w:rsidRPr="00231255" w:rsidRDefault="006A7A49" w:rsidP="00960A8B">
      <w:pPr>
        <w:spacing w:after="160"/>
        <w:rPr>
          <w:rFonts w:ascii="Arial" w:eastAsia="Calibri" w:hAnsi="Arial" w:cs="Arial"/>
          <w:sz w:val="22"/>
          <w:lang w:val="es-ES_tradnl" w:eastAsia="es-ES_tradnl"/>
        </w:rPr>
      </w:pPr>
      <w:r w:rsidRPr="00231255">
        <w:rPr>
          <w:rFonts w:ascii="Arial" w:eastAsia="Calibri" w:hAnsi="Arial" w:cs="Arial"/>
          <w:sz w:val="22"/>
          <w:lang w:val="es-ES_tradnl" w:eastAsia="es-ES_tradnl"/>
        </w:rPr>
        <w:tab/>
        <w:t>Sin perjuicio de lo anterior</w:t>
      </w:r>
      <w:r w:rsidR="002F098C" w:rsidRPr="00231255">
        <w:rPr>
          <w:rFonts w:ascii="Arial" w:eastAsia="Calibri" w:hAnsi="Arial" w:cs="Arial"/>
          <w:sz w:val="22"/>
          <w:lang w:val="es-ES_tradnl" w:eastAsia="es-ES_tradnl"/>
        </w:rPr>
        <w:t xml:space="preserve">, de acuerdo con lo señalado en las consideraciones, </w:t>
      </w:r>
      <w:r w:rsidR="00390091" w:rsidRPr="00231255">
        <w:rPr>
          <w:rFonts w:ascii="Arial" w:eastAsia="Calibri" w:hAnsi="Arial" w:cs="Arial"/>
          <w:sz w:val="22"/>
          <w:lang w:val="es-ES_tradnl" w:eastAsia="es-ES_tradnl"/>
        </w:rPr>
        <w:t xml:space="preserve">la restricción del artículo 33 de la Ley 996 de 2005, </w:t>
      </w:r>
      <w:r w:rsidR="002F098C" w:rsidRPr="00231255">
        <w:rPr>
          <w:rFonts w:ascii="Arial" w:eastAsia="Calibri" w:hAnsi="Arial" w:cs="Arial"/>
          <w:sz w:val="22"/>
          <w:lang w:val="es-ES_tradnl" w:eastAsia="es-ES_tradnl"/>
        </w:rPr>
        <w:t>relacionada con la contratación directa</w:t>
      </w:r>
      <w:r w:rsidR="00410682" w:rsidRPr="00231255">
        <w:rPr>
          <w:rFonts w:ascii="Arial" w:eastAsia="Calibri" w:hAnsi="Arial" w:cs="Arial"/>
          <w:sz w:val="22"/>
          <w:lang w:val="es-ES_tradnl" w:eastAsia="es-ES_tradnl"/>
        </w:rPr>
        <w:t>,</w:t>
      </w:r>
      <w:r w:rsidR="002F098C" w:rsidRPr="00231255">
        <w:rPr>
          <w:rFonts w:ascii="Arial" w:eastAsia="Calibri" w:hAnsi="Arial" w:cs="Arial"/>
          <w:sz w:val="22"/>
          <w:lang w:val="es-ES_tradnl" w:eastAsia="es-ES_tradnl"/>
        </w:rPr>
        <w:t xml:space="preserve"> aplica</w:t>
      </w:r>
      <w:r w:rsidR="00390091" w:rsidRPr="00231255">
        <w:rPr>
          <w:rFonts w:ascii="Arial" w:eastAsia="Calibri" w:hAnsi="Arial" w:cs="Arial"/>
          <w:sz w:val="22"/>
          <w:lang w:val="es-ES_tradnl" w:eastAsia="es-ES_tradnl"/>
        </w:rPr>
        <w:t xml:space="preserve"> independientemente del régimen contractual de l</w:t>
      </w:r>
      <w:r w:rsidR="002F098C" w:rsidRPr="00231255">
        <w:rPr>
          <w:rFonts w:ascii="Arial" w:eastAsia="Calibri" w:hAnsi="Arial" w:cs="Arial"/>
          <w:sz w:val="22"/>
          <w:lang w:val="es-ES_tradnl" w:eastAsia="es-ES_tradnl"/>
        </w:rPr>
        <w:t>os entes del Estado, que s</w:t>
      </w:r>
      <w:r w:rsidR="00410682" w:rsidRPr="00231255">
        <w:rPr>
          <w:rFonts w:ascii="Arial" w:eastAsia="Calibri" w:hAnsi="Arial" w:cs="Arial"/>
          <w:sz w:val="22"/>
          <w:lang w:val="es-ES_tradnl" w:eastAsia="es-ES_tradnl"/>
        </w:rPr>
        <w:t>on</w:t>
      </w:r>
      <w:r w:rsidR="002F098C" w:rsidRPr="00231255">
        <w:rPr>
          <w:rFonts w:ascii="Arial" w:eastAsia="Calibri" w:hAnsi="Arial" w:cs="Arial"/>
          <w:sz w:val="22"/>
          <w:lang w:val="es-ES_tradnl" w:eastAsia="es-ES_tradnl"/>
        </w:rPr>
        <w:t xml:space="preserve"> sus destinatarios. </w:t>
      </w:r>
      <w:r w:rsidR="00390091" w:rsidRPr="00231255">
        <w:rPr>
          <w:rFonts w:ascii="Arial" w:eastAsia="Calibri" w:hAnsi="Arial" w:cs="Arial"/>
          <w:sz w:val="22"/>
          <w:lang w:val="es-ES_tradnl" w:eastAsia="es-ES_tradnl"/>
        </w:rPr>
        <w:t>Esto comoquiera que, según lo ha establecido la Sala de Consulta y Servicio Civil del Consejo de Estado</w:t>
      </w:r>
      <w:r w:rsidR="002F098C" w:rsidRPr="00231255">
        <w:rPr>
          <w:rFonts w:ascii="Arial" w:eastAsia="Calibri" w:hAnsi="Arial" w:cs="Arial"/>
          <w:sz w:val="22"/>
          <w:lang w:val="es-ES_tradnl" w:eastAsia="es-ES_tradnl"/>
        </w:rPr>
        <w:t xml:space="preserve">, para efectos de la aplicación de la Ley de Garantías Electorales se entiende por contratación directa </w:t>
      </w:r>
      <w:r w:rsidR="002F098C" w:rsidRPr="00231255">
        <w:rPr>
          <w:rFonts w:ascii="Arial" w:hAnsi="Arial" w:cs="Arial"/>
          <w:sz w:val="22"/>
          <w:lang w:eastAsia="en-GB"/>
        </w:rPr>
        <w:t>«</w:t>
      </w:r>
      <w:r w:rsidR="002F098C" w:rsidRPr="00231255">
        <w:rPr>
          <w:rFonts w:ascii="Arial" w:hAnsi="Arial" w:cs="Arial"/>
          <w:sz w:val="22"/>
          <w:lang w:eastAsia="x-none"/>
        </w:rPr>
        <w:t>cualquier sistema que no implique convocatoria pública y posibilidad de pluralidad de oferentes</w:t>
      </w:r>
      <w:r w:rsidR="002F098C" w:rsidRPr="00231255">
        <w:rPr>
          <w:rFonts w:ascii="Arial" w:hAnsi="Arial" w:cs="Arial"/>
          <w:sz w:val="22"/>
          <w:lang w:eastAsia="en-GB"/>
        </w:rPr>
        <w:t>».</w:t>
      </w:r>
      <w:r w:rsidR="00390091" w:rsidRPr="00231255">
        <w:rPr>
          <w:rFonts w:ascii="Arial" w:eastAsia="Calibri" w:hAnsi="Arial" w:cs="Arial"/>
          <w:sz w:val="22"/>
          <w:lang w:val="es-ES_tradnl" w:eastAsia="es-ES_tradnl"/>
        </w:rPr>
        <w:t xml:space="preserve"> Por tanto, durante la vigencia de la prohibición del artículo 33 de la Ley 996 de 2005 está restringida cualquier modalidad de selección que excluya la </w:t>
      </w:r>
      <w:r w:rsidR="007147D2" w:rsidRPr="00231255">
        <w:rPr>
          <w:rFonts w:ascii="Arial" w:eastAsia="Calibri" w:hAnsi="Arial" w:cs="Arial"/>
          <w:sz w:val="22"/>
          <w:lang w:val="es-ES_tradnl" w:eastAsia="es-ES_tradnl"/>
        </w:rPr>
        <w:t xml:space="preserve">posibilidad de </w:t>
      </w:r>
      <w:r w:rsidR="00390091" w:rsidRPr="00231255">
        <w:rPr>
          <w:rFonts w:ascii="Arial" w:eastAsia="Calibri" w:hAnsi="Arial" w:cs="Arial"/>
          <w:sz w:val="22"/>
          <w:lang w:val="es-ES_tradnl" w:eastAsia="es-ES_tradnl"/>
        </w:rPr>
        <w:t>pluralidad de oferentes, sin perjuicio de que se suscriban contratos en el marco de procesos competitivos</w:t>
      </w:r>
      <w:r w:rsidR="002F098C" w:rsidRPr="00231255">
        <w:rPr>
          <w:rFonts w:ascii="Arial" w:eastAsia="Calibri" w:hAnsi="Arial" w:cs="Arial"/>
          <w:sz w:val="22"/>
          <w:lang w:val="es-ES_tradnl" w:eastAsia="es-ES_tradnl"/>
        </w:rPr>
        <w:t>.</w:t>
      </w:r>
      <w:r w:rsidR="007147D2" w:rsidRPr="00231255">
        <w:rPr>
          <w:rFonts w:ascii="Arial" w:eastAsia="Calibri" w:hAnsi="Arial" w:cs="Arial"/>
          <w:sz w:val="22"/>
          <w:lang w:val="es-ES_tradnl" w:eastAsia="es-ES_tradnl"/>
        </w:rPr>
        <w:t xml:space="preserve"> Además, es importante precisar que la prohibición aplica sin distinguir objetos o tipologías contractuales, por lo que la prohibición aplicaría frente a contratos de arrendamiento. Lo anterior, sin perjuicio de las excepciones a la prohibición establecidas en el inciso segundo del mismo artículo 33.</w:t>
      </w:r>
    </w:p>
    <w:p w14:paraId="7BAC3DAA" w14:textId="19988C8C" w:rsidR="007147D2" w:rsidRPr="00231255" w:rsidRDefault="007147D2" w:rsidP="00231255">
      <w:pPr>
        <w:spacing w:after="120"/>
        <w:ind w:firstLine="709"/>
        <w:rPr>
          <w:rFonts w:ascii="Arial" w:hAnsi="Arial" w:cs="Arial"/>
          <w:color w:val="000000" w:themeColor="text1"/>
          <w:sz w:val="22"/>
        </w:rPr>
      </w:pPr>
      <w:r w:rsidRPr="00231255">
        <w:rPr>
          <w:rFonts w:ascii="Arial" w:hAnsi="Arial" w:cs="Arial"/>
          <w:color w:val="000000" w:themeColor="text1"/>
          <w:sz w:val="22"/>
        </w:rPr>
        <w:t>En armonía con lo anterior, es preciso afirmar que, al margen de que las Empresas Industriales y Comerciales del Estado y las Sociedades de Economía Mixta celebren contratos, para el caso en consulta de arrendamiento, en atención a unas normas especiales, ello no las releva de la prohibición del artículo 33 de la Ley 996 de 2005, por lo que, en principio, para suscribir un contrato durante el mencionado periodo preelectoral, necesariamente debe acudir a un proceso competitivo, o ampararse en alguna de las excepciones consagradas en el inciso final del citado artículo 33, toda vez que estaría prohibida la celebración de contratos de forma directa, salvo las excepciones indicadas. En todo caso, se aclara que la planeación y los estudios técnicos, jurídicos y económicos, que deben preceder la celebración de cada contrato, y que determinan su viabilidad desde tales perspectivas, son asuntos que competen a las entidades estatales que adelantan lo</w:t>
      </w:r>
      <w:r w:rsidR="00DC7ABE" w:rsidRPr="00231255">
        <w:rPr>
          <w:rFonts w:ascii="Arial" w:hAnsi="Arial" w:cs="Arial"/>
          <w:color w:val="000000" w:themeColor="text1"/>
          <w:sz w:val="22"/>
        </w:rPr>
        <w:t>s</w:t>
      </w:r>
      <w:r w:rsidRPr="00231255">
        <w:rPr>
          <w:rFonts w:ascii="Arial" w:hAnsi="Arial" w:cs="Arial"/>
          <w:color w:val="000000" w:themeColor="text1"/>
          <w:sz w:val="22"/>
        </w:rPr>
        <w:t xml:space="preserve"> procesos de contratación respectivos, con el apoyo de sus funcionarios y órganos asesores. En tal sentido, cada entidad estatal debe organizar y planificar su actividad contractual teniendo en cuenta las restricciones establecidas en el ordenamiento jurídico.</w:t>
      </w:r>
    </w:p>
    <w:p w14:paraId="25F41387" w14:textId="4D6FEBFF" w:rsidR="0069232F" w:rsidRPr="00231255" w:rsidRDefault="0069232F" w:rsidP="00231255">
      <w:pPr>
        <w:spacing w:after="0"/>
        <w:ind w:firstLine="708"/>
        <w:rPr>
          <w:rFonts w:ascii="Arial" w:eastAsia="Calibri" w:hAnsi="Arial" w:cs="Arial"/>
          <w:sz w:val="22"/>
        </w:rPr>
      </w:pPr>
      <w:r w:rsidRPr="00231255">
        <w:rPr>
          <w:rFonts w:ascii="Arial" w:eastAsia="Times New Roman" w:hAnsi="Arial" w:cs="Arial"/>
          <w:bCs/>
          <w:sz w:val="22"/>
          <w:lang w:eastAsia="es-CO"/>
        </w:rPr>
        <w:t xml:space="preserve">Finalmente, </w:t>
      </w:r>
      <w:r w:rsidRPr="00231255">
        <w:rPr>
          <w:rFonts w:ascii="Arial" w:eastAsia="Calibri" w:hAnsi="Arial" w:cs="Arial"/>
          <w:sz w:val="22"/>
        </w:rPr>
        <w:t xml:space="preserve">luego de expuestos los fundamentos en los que se ha cimentado la posibilidad de realizar </w:t>
      </w:r>
      <w:r w:rsidRPr="00231255">
        <w:rPr>
          <w:rFonts w:ascii="Arial" w:eastAsia="Times New Roman" w:hAnsi="Arial" w:cs="Arial"/>
          <w:bCs/>
          <w:sz w:val="21"/>
          <w:szCs w:val="21"/>
          <w:lang w:eastAsia="es-CO"/>
        </w:rPr>
        <w:t xml:space="preserve">prórrogas, modificaciones o adiciones, y la cesión de contratos durante la vigencia de la Ley de Garantías Electorales –numeral 2.3. del concepto–, es importante </w:t>
      </w:r>
      <w:r w:rsidRPr="00231255">
        <w:rPr>
          <w:rFonts w:ascii="Arial" w:eastAsia="Times New Roman" w:hAnsi="Arial" w:cs="Arial"/>
          <w:bCs/>
          <w:sz w:val="21"/>
          <w:szCs w:val="21"/>
          <w:lang w:eastAsia="es-CO"/>
        </w:rPr>
        <w:lastRenderedPageBreak/>
        <w:t xml:space="preserve">señalar que no se ha hecho referencia a la posibilidad de </w:t>
      </w:r>
      <w:r w:rsidRPr="00231255">
        <w:rPr>
          <w:rFonts w:ascii="Arial" w:eastAsia="Times New Roman" w:hAnsi="Arial" w:cs="Arial"/>
          <w:bCs/>
          <w:i/>
          <w:iCs/>
          <w:sz w:val="21"/>
          <w:szCs w:val="21"/>
          <w:lang w:eastAsia="es-CO"/>
        </w:rPr>
        <w:t xml:space="preserve">renovar </w:t>
      </w:r>
      <w:r w:rsidRPr="00231255">
        <w:rPr>
          <w:rFonts w:ascii="Arial" w:eastAsia="Times New Roman" w:hAnsi="Arial" w:cs="Arial"/>
          <w:bCs/>
          <w:sz w:val="21"/>
          <w:szCs w:val="21"/>
          <w:lang w:eastAsia="es-CO"/>
        </w:rPr>
        <w:t xml:space="preserve">contratos y, concretamente, celebrar contratos nuevos con fundamento en los que vencieron durante el periodo de vigencia de las prohibiciones. En concreto, se considera que la ausencia de esta posibilidad se fundamenta en lo señalado en el numeral 2.2. de este concepto, en el sentido de que </w:t>
      </w:r>
      <w:r w:rsidRPr="00231255">
        <w:rPr>
          <w:rFonts w:ascii="Arial" w:eastAsia="Times New Roman" w:hAnsi="Arial" w:cs="Arial"/>
          <w:bCs/>
          <w:i/>
          <w:iCs/>
          <w:sz w:val="21"/>
          <w:szCs w:val="21"/>
          <w:lang w:eastAsia="es-CO"/>
        </w:rPr>
        <w:t xml:space="preserve">renovar </w:t>
      </w:r>
      <w:r w:rsidRPr="00231255">
        <w:rPr>
          <w:rFonts w:ascii="Arial" w:eastAsia="Times New Roman" w:hAnsi="Arial" w:cs="Arial"/>
          <w:bCs/>
          <w:sz w:val="21"/>
          <w:szCs w:val="21"/>
          <w:lang w:eastAsia="es-CO"/>
        </w:rPr>
        <w:t>un contrato en realidad implica celebrar uno nuevo, pese a que tenga un contenido similar o idéntico a uno anterior, por ello se considera que no es posible celebrar de forma directa estos contratos durante la vigencia de la prohibición establecida en el artículo 33 de la Ley de Garantías Electorales. Lo anterior, sin perjuicio de que dichos contratos puedan prorrogarse, adicionarse o modificarse con la finalidad de mantener su continuidad, respetando los alcances fijados en torno a esta posibilidad, desarrollados en el numeral 2.3. de este concepto.</w:t>
      </w:r>
    </w:p>
    <w:p w14:paraId="47C160C8" w14:textId="363C6F61" w:rsidR="00C54ED0" w:rsidRDefault="0069232F" w:rsidP="002E18A4">
      <w:pPr>
        <w:spacing w:before="120" w:after="0"/>
        <w:ind w:firstLine="709"/>
        <w:rPr>
          <w:rFonts w:ascii="Arial" w:eastAsia="Times New Roman" w:hAnsi="Arial" w:cs="Arial"/>
          <w:bCs/>
          <w:sz w:val="22"/>
          <w:lang w:eastAsia="es-CO"/>
        </w:rPr>
      </w:pPr>
      <w:r w:rsidRPr="00231255">
        <w:rPr>
          <w:rFonts w:ascii="Arial" w:eastAsia="Times New Roman" w:hAnsi="Arial" w:cs="Arial"/>
          <w:bCs/>
          <w:sz w:val="22"/>
          <w:lang w:eastAsia="es-CO"/>
        </w:rPr>
        <w:t>Teniendo en cuenta lo anterior</w:t>
      </w:r>
      <w:r w:rsidR="00C54ED0" w:rsidRPr="00231255">
        <w:rPr>
          <w:rFonts w:ascii="Arial" w:eastAsia="Times New Roman" w:hAnsi="Arial" w:cs="Arial"/>
          <w:bCs/>
          <w:sz w:val="22"/>
          <w:lang w:eastAsia="es-CO"/>
        </w:rPr>
        <w:t xml:space="preserve">, </w:t>
      </w:r>
      <w:r w:rsidRPr="00231255">
        <w:rPr>
          <w:rFonts w:ascii="Arial" w:eastAsia="Times New Roman" w:hAnsi="Arial" w:cs="Arial"/>
          <w:bCs/>
          <w:sz w:val="22"/>
          <w:lang w:eastAsia="es-CO"/>
        </w:rPr>
        <w:t>atendiendo a la debida planeación que deben realizar las entidades estatales</w:t>
      </w:r>
      <w:r w:rsidR="00C54ED0" w:rsidRPr="00231255">
        <w:rPr>
          <w:rFonts w:ascii="Arial" w:eastAsia="Times New Roman" w:hAnsi="Arial" w:cs="Arial"/>
          <w:bCs/>
          <w:sz w:val="22"/>
          <w:lang w:eastAsia="es-CO"/>
        </w:rPr>
        <w:t xml:space="preserve">, </w:t>
      </w:r>
      <w:r w:rsidRPr="00231255">
        <w:rPr>
          <w:rFonts w:ascii="Arial" w:eastAsia="Times New Roman" w:hAnsi="Arial" w:cs="Arial"/>
          <w:bCs/>
          <w:sz w:val="22"/>
          <w:lang w:eastAsia="es-CO"/>
        </w:rPr>
        <w:t>a cada una de ellas le corresponde</w:t>
      </w:r>
      <w:r w:rsidR="00C54ED0" w:rsidRPr="00231255">
        <w:rPr>
          <w:rFonts w:ascii="Arial" w:eastAsia="Times New Roman" w:hAnsi="Arial" w:cs="Arial"/>
          <w:bCs/>
          <w:sz w:val="22"/>
          <w:lang w:eastAsia="es-CO"/>
        </w:rPr>
        <w:t xml:space="preserve"> prever la entrada en vigencia de la Ley de Garantías Electorales y de manera previa o anticipada celebrar </w:t>
      </w:r>
      <w:r w:rsidRPr="00231255">
        <w:rPr>
          <w:rFonts w:ascii="Arial" w:eastAsia="Times New Roman" w:hAnsi="Arial" w:cs="Arial"/>
          <w:bCs/>
          <w:sz w:val="22"/>
          <w:lang w:eastAsia="es-CO"/>
        </w:rPr>
        <w:t>los contratos que sean requeridos para su adecuado funcionamiento</w:t>
      </w:r>
      <w:r w:rsidR="008A0CCC" w:rsidRPr="00231255">
        <w:rPr>
          <w:rFonts w:ascii="Arial" w:eastAsia="Times New Roman" w:hAnsi="Arial" w:cs="Arial"/>
          <w:bCs/>
          <w:sz w:val="22"/>
          <w:lang w:eastAsia="es-CO"/>
        </w:rPr>
        <w:t>, sin perjuicio de la posibilidad de prorrogar, adicionar o modificar los contratos celebrados; decisiones que corresponderá tomar a cada entidad estatal armonizando el desarrollo de sus funciones con el ordenamiento jurídico.</w:t>
      </w:r>
      <w:r w:rsidR="00C54ED0">
        <w:rPr>
          <w:rFonts w:ascii="Arial" w:eastAsia="Times New Roman" w:hAnsi="Arial" w:cs="Arial"/>
          <w:bCs/>
          <w:sz w:val="22"/>
          <w:lang w:eastAsia="es-CO"/>
        </w:rPr>
        <w:t xml:space="preserve">  </w:t>
      </w:r>
    </w:p>
    <w:p w14:paraId="0FC32752" w14:textId="4D857122" w:rsidR="00D228A3" w:rsidRPr="000D75DD" w:rsidRDefault="00F672BE" w:rsidP="002F7E31">
      <w:pPr>
        <w:spacing w:before="120" w:after="0"/>
        <w:ind w:firstLine="709"/>
        <w:rPr>
          <w:rFonts w:ascii="Arial" w:eastAsia="Calibri" w:hAnsi="Arial" w:cs="Arial"/>
          <w:sz w:val="22"/>
          <w:lang w:val="es-CO"/>
        </w:rPr>
      </w:pPr>
      <w:r>
        <w:rPr>
          <w:rFonts w:ascii="Arial" w:eastAsia="Calibri" w:hAnsi="Arial" w:cs="Arial"/>
          <w:sz w:val="22"/>
          <w:szCs w:val="20"/>
        </w:rPr>
        <w:t xml:space="preserve"> </w:t>
      </w:r>
      <w:bookmarkEnd w:id="19"/>
    </w:p>
    <w:p w14:paraId="06025F48" w14:textId="1C6BD03F" w:rsidR="00506085" w:rsidRPr="000D75DD" w:rsidRDefault="00506085" w:rsidP="00F176B9">
      <w:pPr>
        <w:spacing w:after="0"/>
        <w:rPr>
          <w:rFonts w:ascii="Times New Roman" w:eastAsia="Times New Roman" w:hAnsi="Times New Roman" w:cs="Times New Roman"/>
          <w:szCs w:val="24"/>
          <w:lang w:val="es-CO" w:eastAsia="es-ES_tradnl"/>
        </w:rPr>
      </w:pPr>
      <w:r w:rsidRPr="000D75DD">
        <w:rPr>
          <w:rFonts w:ascii="Arial" w:eastAsia="Calibri" w:hAnsi="Arial" w:cs="Arial"/>
          <w:sz w:val="22"/>
          <w:lang w:val="es-CO"/>
        </w:rPr>
        <w:t>Este concepto tiene el alcance previsto en el artículo 28 del Código de Procedimiento Administrativo y de lo Contencioso Administrativo.</w:t>
      </w:r>
      <w:r w:rsidRPr="000D75DD">
        <w:rPr>
          <w:rFonts w:ascii="Arial" w:hAnsi="Arial" w:cs="Arial"/>
          <w:noProof/>
          <w:lang w:val="es-CO" w:eastAsia="es-CO"/>
        </w:rPr>
        <mc:AlternateContent>
          <mc:Choice Requires="wps">
            <w:drawing>
              <wp:anchor distT="0" distB="0" distL="114300" distR="114300" simplePos="0" relativeHeight="251659264" behindDoc="0" locked="0" layoutInCell="1" allowOverlap="1" wp14:anchorId="6B9241D6" wp14:editId="64F49FC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ACA7B9B"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0827501E" w14:textId="77777777" w:rsidR="00717A45" w:rsidRPr="000D75DD" w:rsidRDefault="00717A45" w:rsidP="00F176B9">
      <w:pPr>
        <w:spacing w:after="0"/>
        <w:rPr>
          <w:noProof/>
        </w:rPr>
      </w:pPr>
    </w:p>
    <w:p w14:paraId="240E0475" w14:textId="55B126B8" w:rsidR="00506085" w:rsidRPr="000D75DD" w:rsidRDefault="00506085" w:rsidP="00F176B9">
      <w:pPr>
        <w:rPr>
          <w:rFonts w:ascii="Arial" w:eastAsia="Times New Roman" w:hAnsi="Arial" w:cs="Arial"/>
          <w:sz w:val="22"/>
          <w:lang w:val="es-CO" w:eastAsia="es-CO"/>
        </w:rPr>
      </w:pPr>
      <w:r w:rsidRPr="000D75DD">
        <w:rPr>
          <w:rFonts w:ascii="Arial" w:eastAsia="Times New Roman" w:hAnsi="Arial" w:cs="Arial"/>
          <w:sz w:val="22"/>
          <w:lang w:val="es-CO" w:eastAsia="es-CO"/>
        </w:rPr>
        <w:t>Atentamente,</w:t>
      </w:r>
    </w:p>
    <w:p w14:paraId="300BE44C" w14:textId="1FEB0B20" w:rsidR="00843449" w:rsidRPr="000D75DD" w:rsidRDefault="004F43E2" w:rsidP="00F176B9">
      <w:pPr>
        <w:jc w:val="center"/>
        <w:rPr>
          <w:rFonts w:ascii="Arial" w:eastAsia="Times New Roman" w:hAnsi="Arial" w:cs="Arial"/>
          <w:sz w:val="18"/>
          <w:szCs w:val="20"/>
          <w:lang w:eastAsia="es-CO"/>
        </w:rPr>
      </w:pPr>
      <w:r w:rsidRPr="00F46EA2">
        <w:rPr>
          <w:rFonts w:ascii="Times New Roman" w:eastAsia="Times New Roman" w:hAnsi="Times New Roman" w:cs="Times New Roman"/>
          <w:noProof/>
          <w:szCs w:val="24"/>
          <w:lang w:val="es-CO" w:eastAsia="es-ES_tradnl"/>
        </w:rPr>
        <w:drawing>
          <wp:inline distT="0" distB="0" distL="0" distR="0" wp14:anchorId="17169508" wp14:editId="5860158B">
            <wp:extent cx="2533650" cy="990600"/>
            <wp:effectExtent l="0" t="0" r="0" b="0"/>
            <wp:docPr id="968045507" name="Imagen 96804550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533650" cy="990600"/>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F176B9" w:rsidRPr="000D75DD" w14:paraId="59E26AD8" w14:textId="77777777" w:rsidTr="00DE279B">
        <w:trPr>
          <w:trHeight w:val="315"/>
        </w:trPr>
        <w:tc>
          <w:tcPr>
            <w:tcW w:w="812" w:type="dxa"/>
            <w:vAlign w:val="center"/>
            <w:hideMark/>
          </w:tcPr>
          <w:p w14:paraId="53421173" w14:textId="77777777" w:rsidR="00843449" w:rsidRPr="000D75DD" w:rsidRDefault="00843449"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Elaboró:</w:t>
            </w:r>
          </w:p>
        </w:tc>
        <w:tc>
          <w:tcPr>
            <w:tcW w:w="4291" w:type="dxa"/>
            <w:tcBorders>
              <w:top w:val="nil"/>
              <w:left w:val="nil"/>
              <w:bottom w:val="dotted" w:sz="4" w:space="0" w:color="7F7F7F" w:themeColor="text1" w:themeTint="80"/>
              <w:right w:val="nil"/>
            </w:tcBorders>
            <w:vAlign w:val="center"/>
            <w:hideMark/>
          </w:tcPr>
          <w:p w14:paraId="6E5507FB" w14:textId="77777777" w:rsidR="00F354B5" w:rsidRPr="00F354B5" w:rsidRDefault="00F354B5" w:rsidP="00F354B5">
            <w:pPr>
              <w:rPr>
                <w:rFonts w:ascii="Arial" w:eastAsia="Times New Roman" w:hAnsi="Arial" w:cs="Arial"/>
                <w:color w:val="000000" w:themeColor="text1"/>
                <w:sz w:val="16"/>
                <w:szCs w:val="16"/>
                <w:lang w:val="es-ES_tradnl" w:eastAsia="es-ES"/>
              </w:rPr>
            </w:pPr>
            <w:r w:rsidRPr="00F354B5">
              <w:rPr>
                <w:rFonts w:ascii="Arial" w:eastAsia="Times New Roman" w:hAnsi="Arial" w:cs="Arial"/>
                <w:color w:val="000000" w:themeColor="text1"/>
                <w:sz w:val="16"/>
                <w:szCs w:val="16"/>
                <w:lang w:val="es-ES_tradnl" w:eastAsia="es-ES"/>
              </w:rPr>
              <w:t>Gabriel Alejandro Murcia Taboada</w:t>
            </w:r>
          </w:p>
          <w:p w14:paraId="3F63272B" w14:textId="4F20144E" w:rsidR="00843449" w:rsidRPr="000D75DD" w:rsidRDefault="00F354B5" w:rsidP="00F354B5">
            <w:pPr>
              <w:rPr>
                <w:rFonts w:ascii="Arial" w:eastAsia="Times New Roman" w:hAnsi="Arial" w:cs="Arial"/>
                <w:sz w:val="16"/>
                <w:szCs w:val="16"/>
                <w:lang w:val="es-CO" w:eastAsia="es-ES"/>
              </w:rPr>
            </w:pPr>
            <w:r w:rsidRPr="00F354B5">
              <w:rPr>
                <w:rFonts w:ascii="Arial" w:eastAsia="Times New Roman" w:hAnsi="Arial" w:cs="Arial"/>
                <w:color w:val="000000" w:themeColor="text1"/>
                <w:sz w:val="16"/>
                <w:szCs w:val="16"/>
                <w:lang w:val="es-ES_tradnl" w:eastAsia="es-ES"/>
              </w:rPr>
              <w:t>Contratista de la Subdirección de Gestión Contractual</w:t>
            </w:r>
          </w:p>
        </w:tc>
      </w:tr>
      <w:tr w:rsidR="00F176B9" w:rsidRPr="000D75DD" w14:paraId="363E18D7" w14:textId="77777777" w:rsidTr="00DE279B">
        <w:trPr>
          <w:trHeight w:val="330"/>
        </w:trPr>
        <w:tc>
          <w:tcPr>
            <w:tcW w:w="812" w:type="dxa"/>
            <w:vAlign w:val="center"/>
            <w:hideMark/>
          </w:tcPr>
          <w:p w14:paraId="5E29D295" w14:textId="77777777" w:rsidR="00843449" w:rsidRPr="000D75DD" w:rsidRDefault="00843449"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34021DD6" w14:textId="77777777" w:rsidR="00DA3ACF" w:rsidRPr="00DA3ACF" w:rsidRDefault="00DA3ACF" w:rsidP="00DA3ACF">
            <w:pPr>
              <w:jc w:val="left"/>
              <w:rPr>
                <w:rFonts w:ascii="Arial" w:eastAsia="Times New Roman" w:hAnsi="Arial" w:cs="Arial"/>
                <w:sz w:val="16"/>
                <w:szCs w:val="16"/>
                <w:lang w:val="es-ES_tradnl" w:eastAsia="es-ES"/>
              </w:rPr>
            </w:pPr>
            <w:r w:rsidRPr="00DA3ACF">
              <w:rPr>
                <w:rFonts w:ascii="Arial" w:eastAsia="Times New Roman" w:hAnsi="Arial" w:cs="Arial"/>
                <w:sz w:val="16"/>
                <w:szCs w:val="16"/>
                <w:lang w:val="es-ES_tradnl" w:eastAsia="es-ES"/>
              </w:rPr>
              <w:t>Sebastián Ramírez Grisales</w:t>
            </w:r>
          </w:p>
          <w:p w14:paraId="30332C7A" w14:textId="09025EB1" w:rsidR="00843449" w:rsidRPr="000D75DD" w:rsidRDefault="00DA3ACF" w:rsidP="00DA3ACF">
            <w:pPr>
              <w:rPr>
                <w:rFonts w:ascii="Arial" w:eastAsia="Times New Roman" w:hAnsi="Arial" w:cs="Arial"/>
                <w:sz w:val="16"/>
                <w:szCs w:val="16"/>
                <w:lang w:val="es-CO" w:eastAsia="es-ES"/>
              </w:rPr>
            </w:pPr>
            <w:r w:rsidRPr="00DA3ACF">
              <w:rPr>
                <w:rFonts w:ascii="Arial" w:eastAsia="Times New Roman" w:hAnsi="Arial" w:cs="Arial"/>
                <w:sz w:val="16"/>
                <w:szCs w:val="16"/>
                <w:lang w:val="es-ES_tradnl" w:eastAsia="es-ES"/>
              </w:rPr>
              <w:t xml:space="preserve">Contratista </w:t>
            </w:r>
            <w:r w:rsidR="00784E6C" w:rsidRPr="00DA3ACF">
              <w:rPr>
                <w:rFonts w:ascii="Arial" w:eastAsia="Times New Roman" w:hAnsi="Arial" w:cs="Arial"/>
                <w:sz w:val="16"/>
                <w:szCs w:val="16"/>
                <w:lang w:val="es-ES_tradnl" w:eastAsia="es-ES"/>
              </w:rPr>
              <w:t>de la</w:t>
            </w:r>
            <w:r w:rsidRPr="00DA3ACF">
              <w:rPr>
                <w:rFonts w:ascii="Arial" w:eastAsia="Times New Roman" w:hAnsi="Arial" w:cs="Arial"/>
                <w:sz w:val="16"/>
                <w:szCs w:val="16"/>
                <w:lang w:val="es-ES_tradnl" w:eastAsia="es-ES"/>
              </w:rPr>
              <w:t xml:space="preserve"> Subdirección de Gestión Contractual</w:t>
            </w:r>
          </w:p>
        </w:tc>
      </w:tr>
      <w:tr w:rsidR="00F176B9" w:rsidRPr="00F176B9" w14:paraId="4231B1F9" w14:textId="77777777" w:rsidTr="00DE279B">
        <w:trPr>
          <w:trHeight w:val="300"/>
        </w:trPr>
        <w:tc>
          <w:tcPr>
            <w:tcW w:w="812" w:type="dxa"/>
            <w:vAlign w:val="center"/>
            <w:hideMark/>
          </w:tcPr>
          <w:p w14:paraId="074BC5C1" w14:textId="77777777" w:rsidR="00843449" w:rsidRPr="000D75DD" w:rsidRDefault="00843449"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0EE21D5" w14:textId="27DCBD0A" w:rsidR="00843449" w:rsidRPr="000D75DD" w:rsidRDefault="00843449"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J</w:t>
            </w:r>
            <w:r w:rsidR="003D2C5E">
              <w:rPr>
                <w:rFonts w:ascii="Arial" w:eastAsia="Times New Roman" w:hAnsi="Arial" w:cs="Arial"/>
                <w:sz w:val="16"/>
                <w:szCs w:val="16"/>
                <w:lang w:val="es-CO" w:eastAsia="es-ES"/>
              </w:rPr>
              <w:t>uan David Marín López</w:t>
            </w:r>
          </w:p>
          <w:p w14:paraId="4A949C01" w14:textId="4789A239" w:rsidR="00843449" w:rsidRPr="00F176B9" w:rsidRDefault="00843449" w:rsidP="00F176B9">
            <w:pPr>
              <w:rPr>
                <w:rFonts w:ascii="Arial" w:eastAsia="Times New Roman" w:hAnsi="Arial" w:cs="Arial"/>
                <w:sz w:val="16"/>
                <w:szCs w:val="16"/>
                <w:lang w:val="es-CO" w:eastAsia="es-ES"/>
              </w:rPr>
            </w:pPr>
            <w:r w:rsidRPr="000D75DD">
              <w:rPr>
                <w:rFonts w:ascii="Arial" w:eastAsia="Times New Roman" w:hAnsi="Arial" w:cs="Arial"/>
                <w:sz w:val="16"/>
                <w:szCs w:val="16"/>
                <w:lang w:val="es-CO" w:eastAsia="es-ES"/>
              </w:rPr>
              <w:t xml:space="preserve">Subdirector de Gestión Contractual </w:t>
            </w:r>
            <w:r w:rsidR="001427BC">
              <w:rPr>
                <w:rFonts w:ascii="Arial" w:eastAsia="Times New Roman" w:hAnsi="Arial" w:cs="Arial"/>
                <w:sz w:val="16"/>
                <w:szCs w:val="16"/>
                <w:lang w:val="es-CO" w:eastAsia="es-ES"/>
              </w:rPr>
              <w:t>(E)</w:t>
            </w:r>
          </w:p>
        </w:tc>
      </w:tr>
      <w:bookmarkEnd w:id="20"/>
    </w:tbl>
    <w:p w14:paraId="20333B98" w14:textId="77777777" w:rsidR="006674C1" w:rsidRPr="00F176B9" w:rsidRDefault="006674C1" w:rsidP="00F176B9">
      <w:pPr>
        <w:spacing w:after="120"/>
        <w:contextualSpacing/>
        <w:rPr>
          <w:rFonts w:ascii="Arial" w:eastAsia="Calibri" w:hAnsi="Arial" w:cs="Arial"/>
          <w:b/>
          <w:bCs/>
          <w:sz w:val="20"/>
          <w:szCs w:val="20"/>
        </w:rPr>
      </w:pPr>
    </w:p>
    <w:sectPr w:rsidR="006674C1" w:rsidRPr="00F176B9" w:rsidSect="00231255">
      <w:headerReference w:type="default" r:id="rId15"/>
      <w:footerReference w:type="default" r:id="rId16"/>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97A7" w14:textId="77777777" w:rsidR="00241AB9" w:rsidRDefault="00241AB9">
      <w:r>
        <w:separator/>
      </w:r>
    </w:p>
  </w:endnote>
  <w:endnote w:type="continuationSeparator" w:id="0">
    <w:p w14:paraId="6E55A158" w14:textId="77777777" w:rsidR="00241AB9" w:rsidRDefault="0024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BC200" w14:textId="77777777" w:rsidR="00241AB9" w:rsidRDefault="00241AB9">
      <w:r>
        <w:separator/>
      </w:r>
    </w:p>
  </w:footnote>
  <w:footnote w:type="continuationSeparator" w:id="0">
    <w:p w14:paraId="753884B1" w14:textId="77777777" w:rsidR="00241AB9" w:rsidRDefault="00241AB9">
      <w:r>
        <w:continuationSeparator/>
      </w:r>
    </w:p>
  </w:footnote>
  <w:footnote w:id="1">
    <w:p w14:paraId="7445E736" w14:textId="77777777" w:rsidR="00817931" w:rsidRPr="005977FA" w:rsidRDefault="00817931" w:rsidP="00231255">
      <w:pPr>
        <w:pStyle w:val="Textonotapie"/>
        <w:spacing w:after="0" w:line="240" w:lineRule="auto"/>
        <w:ind w:firstLine="708"/>
        <w:rPr>
          <w:rFonts w:ascii="Arial" w:hAnsi="Arial" w:cs="Arial"/>
          <w:sz w:val="19"/>
          <w:szCs w:val="19"/>
        </w:rPr>
      </w:pPr>
      <w:r w:rsidRPr="005977FA">
        <w:rPr>
          <w:rStyle w:val="Refdenotaalpie"/>
          <w:rFonts w:ascii="Arial" w:hAnsi="Arial" w:cs="Arial"/>
          <w:sz w:val="19"/>
          <w:szCs w:val="19"/>
        </w:rPr>
        <w:footnoteRef/>
      </w:r>
      <w:r w:rsidRPr="005977FA">
        <w:rPr>
          <w:rFonts w:ascii="Arial" w:hAnsi="Arial" w:cs="Arial"/>
          <w:sz w:val="19"/>
          <w:szCs w:val="19"/>
        </w:rPr>
        <w:t xml:space="preserve"> «Artículo 3°. Funciones. La Agencia Nacional de Contratación Pública –Colombia Compra Eficiente– ejercerá las siguientes funciones: </w:t>
      </w:r>
    </w:p>
    <w:p w14:paraId="38C3EA8B" w14:textId="77777777" w:rsidR="00817931" w:rsidRPr="005977FA" w:rsidRDefault="00817931" w:rsidP="00231255">
      <w:pPr>
        <w:pStyle w:val="Textonotapie"/>
        <w:spacing w:after="0" w:line="240" w:lineRule="auto"/>
        <w:ind w:firstLine="709"/>
        <w:rPr>
          <w:rFonts w:ascii="Arial" w:hAnsi="Arial" w:cs="Arial"/>
          <w:sz w:val="19"/>
          <w:szCs w:val="19"/>
          <w:lang w:val="es-ES"/>
        </w:rPr>
      </w:pPr>
      <w:r w:rsidRPr="005977FA">
        <w:rPr>
          <w:rFonts w:ascii="Arial" w:hAnsi="Arial" w:cs="Arial"/>
          <w:sz w:val="19"/>
          <w:szCs w:val="19"/>
          <w:lang w:val="es-ES"/>
        </w:rPr>
        <w:t xml:space="preserve">»[...] </w:t>
      </w:r>
    </w:p>
    <w:p w14:paraId="4F09ADF0" w14:textId="77777777" w:rsidR="00817931" w:rsidRPr="005977FA" w:rsidRDefault="00817931" w:rsidP="00231255">
      <w:pPr>
        <w:pStyle w:val="Textonotapie"/>
        <w:spacing w:after="0" w:line="240" w:lineRule="auto"/>
        <w:ind w:firstLine="709"/>
        <w:rPr>
          <w:rFonts w:ascii="Arial" w:hAnsi="Arial" w:cs="Arial"/>
          <w:sz w:val="19"/>
          <w:szCs w:val="19"/>
          <w:lang w:val="es-ES"/>
        </w:rPr>
      </w:pPr>
      <w:r w:rsidRPr="005977FA">
        <w:rPr>
          <w:rFonts w:ascii="Arial" w:hAnsi="Arial" w:cs="Arial"/>
          <w:sz w:val="19"/>
          <w:szCs w:val="19"/>
          <w:lang w:val="es-ES"/>
        </w:rPr>
        <w:t>»5. Absolver consultas sobre la aplicación de normas de carácter general y expedir circulares externas en materia de compras y contratación pública».</w:t>
      </w:r>
    </w:p>
    <w:p w14:paraId="4162A90D" w14:textId="77777777" w:rsidR="00817931" w:rsidRPr="005977FA" w:rsidRDefault="00817931" w:rsidP="00231255">
      <w:pPr>
        <w:pStyle w:val="Textonotapie"/>
        <w:spacing w:after="0" w:line="240" w:lineRule="auto"/>
        <w:ind w:firstLine="709"/>
        <w:rPr>
          <w:rFonts w:ascii="Arial" w:hAnsi="Arial" w:cs="Arial"/>
          <w:sz w:val="19"/>
          <w:szCs w:val="19"/>
          <w:lang w:val="es-ES"/>
        </w:rPr>
      </w:pPr>
      <w:r w:rsidRPr="005977FA">
        <w:rPr>
          <w:rFonts w:ascii="Arial" w:eastAsia="Times New Roman" w:hAnsi="Arial" w:cs="Arial"/>
          <w:sz w:val="19"/>
          <w:szCs w:val="19"/>
          <w:lang w:val="es-CO" w:eastAsia="es-ES_tradnl"/>
        </w:rPr>
        <w:t>«</w:t>
      </w:r>
      <w:r w:rsidRPr="005977FA">
        <w:rPr>
          <w:rFonts w:ascii="Arial" w:hAnsi="Arial" w:cs="Arial"/>
          <w:sz w:val="19"/>
          <w:szCs w:val="19"/>
          <w:lang w:val="es-ES"/>
        </w:rPr>
        <w:t xml:space="preserve">Artículo 11. Subdirección de Gestión Contractual. Son funciones de la Subdirección de Gestión Contractual las siguientes: </w:t>
      </w:r>
    </w:p>
    <w:p w14:paraId="00FC41E6" w14:textId="77777777" w:rsidR="00817931" w:rsidRPr="005977FA" w:rsidRDefault="00817931" w:rsidP="00231255">
      <w:pPr>
        <w:pStyle w:val="Textonotapie"/>
        <w:spacing w:after="0" w:line="240" w:lineRule="auto"/>
        <w:ind w:firstLine="709"/>
        <w:rPr>
          <w:rFonts w:ascii="Arial" w:hAnsi="Arial" w:cs="Arial"/>
          <w:sz w:val="19"/>
          <w:szCs w:val="19"/>
          <w:lang w:val="es-ES"/>
        </w:rPr>
      </w:pPr>
      <w:r w:rsidRPr="005977FA">
        <w:rPr>
          <w:rFonts w:ascii="Arial" w:hAnsi="Arial" w:cs="Arial"/>
          <w:sz w:val="19"/>
          <w:szCs w:val="19"/>
          <w:lang w:val="es-ES"/>
        </w:rPr>
        <w:t xml:space="preserve">»[...] </w:t>
      </w:r>
    </w:p>
    <w:p w14:paraId="6878D6CA" w14:textId="77777777" w:rsidR="00817931" w:rsidRPr="005977FA" w:rsidRDefault="00817931" w:rsidP="00231255">
      <w:pPr>
        <w:pStyle w:val="Textonotapie"/>
        <w:spacing w:after="0" w:line="240" w:lineRule="auto"/>
        <w:ind w:firstLine="708"/>
        <w:rPr>
          <w:rFonts w:ascii="Arial" w:hAnsi="Arial" w:cs="Arial"/>
          <w:sz w:val="19"/>
          <w:szCs w:val="19"/>
        </w:rPr>
      </w:pPr>
      <w:r w:rsidRPr="005977FA">
        <w:rPr>
          <w:rFonts w:ascii="Arial" w:eastAsia="Times New Roman" w:hAnsi="Arial" w:cs="Arial"/>
          <w:sz w:val="19"/>
          <w:szCs w:val="19"/>
          <w:lang w:val="es-CO" w:eastAsia="es-ES_tradnl"/>
        </w:rPr>
        <w:t>»</w:t>
      </w:r>
      <w:r w:rsidRPr="005977FA">
        <w:rPr>
          <w:rFonts w:ascii="Arial" w:hAnsi="Arial" w:cs="Arial"/>
          <w:sz w:val="19"/>
          <w:szCs w:val="19"/>
          <w:lang w:val="es-ES"/>
        </w:rPr>
        <w:t>8. Absolver consultas sobre la aplicación de normas de carácter general».</w:t>
      </w:r>
    </w:p>
  </w:footnote>
  <w:footnote w:id="2">
    <w:p w14:paraId="2484AFAD" w14:textId="77777777" w:rsidR="00FC6A13" w:rsidRPr="00231255" w:rsidRDefault="00FC6A13" w:rsidP="00231255">
      <w:pPr>
        <w:pStyle w:val="Textonotapie"/>
        <w:spacing w:after="0" w:line="240" w:lineRule="auto"/>
        <w:ind w:firstLine="709"/>
        <w:rPr>
          <w:rFonts w:ascii="Arial" w:hAnsi="Arial" w:cs="Arial"/>
          <w:sz w:val="19"/>
          <w:szCs w:val="19"/>
        </w:rPr>
      </w:pPr>
      <w:r w:rsidRPr="00231255">
        <w:rPr>
          <w:rStyle w:val="Refdenotaalpie"/>
          <w:rFonts w:ascii="Arial" w:hAnsi="Arial" w:cs="Arial"/>
          <w:sz w:val="19"/>
          <w:szCs w:val="19"/>
        </w:rPr>
        <w:footnoteRef/>
      </w:r>
      <w:r w:rsidRPr="00231255">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1544589" w14:textId="77777777" w:rsidR="00FC6A13" w:rsidRPr="00231255" w:rsidRDefault="00FC6A13" w:rsidP="00231255">
      <w:pPr>
        <w:pStyle w:val="Textonotapie"/>
        <w:spacing w:after="0" w:line="240" w:lineRule="auto"/>
        <w:ind w:firstLine="709"/>
        <w:rPr>
          <w:rFonts w:ascii="Arial" w:hAnsi="Arial" w:cs="Arial"/>
          <w:sz w:val="19"/>
          <w:szCs w:val="19"/>
        </w:rPr>
      </w:pPr>
      <w:r w:rsidRPr="00231255">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68FC4965" w14:textId="77777777" w:rsidR="00FC6A13" w:rsidRPr="00231255" w:rsidRDefault="00FC6A13" w:rsidP="00231255">
      <w:pPr>
        <w:pStyle w:val="Textonotapie"/>
        <w:spacing w:after="0" w:line="240" w:lineRule="auto"/>
        <w:ind w:firstLine="709"/>
        <w:rPr>
          <w:rFonts w:ascii="Arial" w:hAnsi="Arial" w:cs="Arial"/>
          <w:sz w:val="19"/>
          <w:szCs w:val="19"/>
        </w:rPr>
      </w:pPr>
    </w:p>
  </w:footnote>
  <w:footnote w:id="3">
    <w:p w14:paraId="3198A379" w14:textId="77777777" w:rsidR="00FC6A13" w:rsidRPr="00231255" w:rsidRDefault="00FC6A13" w:rsidP="00231255">
      <w:pPr>
        <w:pStyle w:val="Textonotapie"/>
        <w:spacing w:after="0" w:line="240" w:lineRule="auto"/>
        <w:ind w:firstLine="708"/>
        <w:rPr>
          <w:rFonts w:ascii="Arial" w:hAnsi="Arial" w:cs="Arial"/>
          <w:sz w:val="19"/>
          <w:szCs w:val="19"/>
        </w:rPr>
      </w:pPr>
      <w:r w:rsidRPr="00231255">
        <w:rPr>
          <w:rStyle w:val="Refdenotaalpie"/>
          <w:rFonts w:ascii="Arial" w:hAnsi="Arial" w:cs="Arial"/>
          <w:sz w:val="19"/>
          <w:szCs w:val="19"/>
        </w:rPr>
        <w:footnoteRef/>
      </w:r>
      <w:r w:rsidRPr="00231255">
        <w:rPr>
          <w:rFonts w:ascii="Arial" w:hAnsi="Arial" w:cs="Arial"/>
          <w:sz w:val="19"/>
          <w:szCs w:val="19"/>
        </w:rPr>
        <w:t xml:space="preserve"> El literal f) del artículo 152 de la Carta política, adicionado por el Acto Legislativo 2 de 2004n señala: «Mediante las leyes estatutarias, el Congreso de la República regulará las siguientes materias […] La igualdad electoral entre los candidatos a la Presidencia de la República que reúnan los requisitos que determine la ley».</w:t>
      </w:r>
    </w:p>
    <w:p w14:paraId="47C4357E" w14:textId="77777777" w:rsidR="00FC6A13" w:rsidRPr="00231255" w:rsidRDefault="00FC6A13" w:rsidP="00231255">
      <w:pPr>
        <w:pStyle w:val="Textonotapie"/>
        <w:spacing w:after="0" w:line="240" w:lineRule="auto"/>
        <w:ind w:firstLine="708"/>
        <w:rPr>
          <w:rFonts w:ascii="Arial" w:hAnsi="Arial" w:cs="Arial"/>
          <w:sz w:val="19"/>
          <w:szCs w:val="19"/>
          <w:lang w:val="es-CO"/>
        </w:rPr>
      </w:pPr>
      <w:r w:rsidRPr="00231255">
        <w:rPr>
          <w:rFonts w:ascii="Arial" w:hAnsi="Arial" w:cs="Arial"/>
          <w:sz w:val="19"/>
          <w:szCs w:val="19"/>
        </w:rPr>
        <w:t xml:space="preserve"> </w:t>
      </w:r>
    </w:p>
  </w:footnote>
  <w:footnote w:id="4">
    <w:p w14:paraId="4D450920" w14:textId="77777777" w:rsidR="00FC6A13" w:rsidRPr="00231255" w:rsidRDefault="00FC6A13" w:rsidP="00231255">
      <w:pPr>
        <w:pStyle w:val="Textonotapie"/>
        <w:spacing w:after="0" w:line="240" w:lineRule="auto"/>
        <w:ind w:firstLine="709"/>
        <w:rPr>
          <w:rFonts w:ascii="Arial" w:hAnsi="Arial" w:cs="Arial"/>
          <w:sz w:val="19"/>
          <w:szCs w:val="19"/>
        </w:rPr>
      </w:pPr>
      <w:r w:rsidRPr="00231255">
        <w:rPr>
          <w:rStyle w:val="Refdenotaalpie"/>
          <w:rFonts w:ascii="Arial" w:hAnsi="Arial" w:cs="Arial"/>
          <w:sz w:val="19"/>
          <w:szCs w:val="19"/>
        </w:rPr>
        <w:footnoteRef/>
      </w:r>
      <w:r w:rsidRPr="00231255">
        <w:rPr>
          <w:rFonts w:ascii="Arial" w:hAnsi="Arial" w:cs="Arial"/>
          <w:sz w:val="19"/>
          <w:szCs w:val="19"/>
        </w:rPr>
        <w:t xml:space="preserve"> Gaceta del Congreso de la República No. 71 del 2005.</w:t>
      </w:r>
    </w:p>
    <w:p w14:paraId="6C7BEF1B" w14:textId="77777777" w:rsidR="00FC6A13" w:rsidRPr="00231255" w:rsidRDefault="00FC6A13" w:rsidP="00231255">
      <w:pPr>
        <w:pStyle w:val="Textonotapie"/>
        <w:spacing w:after="0" w:line="240" w:lineRule="auto"/>
        <w:ind w:firstLine="709"/>
        <w:rPr>
          <w:rFonts w:ascii="Arial" w:hAnsi="Arial" w:cs="Arial"/>
          <w:sz w:val="19"/>
          <w:szCs w:val="19"/>
        </w:rPr>
      </w:pPr>
    </w:p>
  </w:footnote>
  <w:footnote w:id="5">
    <w:p w14:paraId="6990E0E2" w14:textId="77777777" w:rsidR="00FC6A13" w:rsidRPr="00231255" w:rsidRDefault="00FC6A13" w:rsidP="00231255">
      <w:pPr>
        <w:pStyle w:val="Textonotapie"/>
        <w:spacing w:after="0" w:line="240" w:lineRule="auto"/>
        <w:ind w:firstLine="709"/>
        <w:rPr>
          <w:rFonts w:ascii="Arial" w:hAnsi="Arial" w:cs="Arial"/>
          <w:sz w:val="19"/>
          <w:szCs w:val="19"/>
        </w:rPr>
      </w:pPr>
      <w:r w:rsidRPr="00231255">
        <w:rPr>
          <w:rStyle w:val="Refdenotaalpie"/>
          <w:rFonts w:ascii="Arial" w:hAnsi="Arial" w:cs="Arial"/>
          <w:sz w:val="19"/>
          <w:szCs w:val="19"/>
        </w:rPr>
        <w:footnoteRef/>
      </w:r>
      <w:r w:rsidRPr="00231255">
        <w:rPr>
          <w:rFonts w:ascii="Arial" w:hAnsi="Arial" w:cs="Arial"/>
          <w:sz w:val="19"/>
          <w:szCs w:val="19"/>
        </w:rPr>
        <w:t xml:space="preserve"> Corte Constitucional, Sentencia C- 1153 de 2005, M.P. Marco Gerardo Monroy Cabra.</w:t>
      </w:r>
    </w:p>
    <w:p w14:paraId="76102487" w14:textId="77777777" w:rsidR="00FC6A13" w:rsidRPr="00231255" w:rsidRDefault="00FC6A13" w:rsidP="00231255">
      <w:pPr>
        <w:pStyle w:val="Textonotapie"/>
        <w:spacing w:after="0" w:line="240" w:lineRule="auto"/>
        <w:ind w:firstLine="709"/>
        <w:rPr>
          <w:rFonts w:ascii="Arial" w:hAnsi="Arial" w:cs="Arial"/>
          <w:sz w:val="19"/>
          <w:szCs w:val="19"/>
        </w:rPr>
      </w:pPr>
    </w:p>
  </w:footnote>
  <w:footnote w:id="6">
    <w:p w14:paraId="6456347E" w14:textId="77777777" w:rsidR="00FC6A13" w:rsidRPr="00231255" w:rsidRDefault="00FC6A13" w:rsidP="00231255">
      <w:pPr>
        <w:pStyle w:val="Textonotapie"/>
        <w:spacing w:after="0" w:line="240" w:lineRule="auto"/>
        <w:ind w:firstLine="709"/>
        <w:rPr>
          <w:rFonts w:ascii="Arial" w:hAnsi="Arial" w:cs="Arial"/>
          <w:sz w:val="19"/>
          <w:szCs w:val="19"/>
        </w:rPr>
      </w:pPr>
      <w:r w:rsidRPr="00231255">
        <w:rPr>
          <w:rStyle w:val="Refdenotaalpie"/>
          <w:rFonts w:ascii="Arial" w:hAnsi="Arial" w:cs="Arial"/>
          <w:sz w:val="19"/>
          <w:szCs w:val="19"/>
        </w:rPr>
        <w:footnoteRef/>
      </w:r>
      <w:r w:rsidRPr="00231255">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5A28C3E0" w14:textId="77777777" w:rsidR="00FC6A13" w:rsidRPr="00231255" w:rsidRDefault="00FC6A13" w:rsidP="00231255">
      <w:pPr>
        <w:pStyle w:val="Textonotapie"/>
        <w:spacing w:after="0" w:line="240" w:lineRule="auto"/>
        <w:ind w:firstLine="709"/>
        <w:rPr>
          <w:rFonts w:ascii="Arial" w:hAnsi="Arial" w:cs="Arial"/>
          <w:sz w:val="19"/>
          <w:szCs w:val="19"/>
        </w:rPr>
      </w:pPr>
    </w:p>
  </w:footnote>
  <w:footnote w:id="7">
    <w:p w14:paraId="68EF5D1C" w14:textId="77777777" w:rsidR="00FC6A13" w:rsidRPr="00231255" w:rsidRDefault="00FC6A13" w:rsidP="00231255">
      <w:pPr>
        <w:pStyle w:val="Textonotapie"/>
        <w:spacing w:after="0" w:line="240" w:lineRule="auto"/>
        <w:ind w:firstLine="708"/>
        <w:rPr>
          <w:rFonts w:ascii="Arial" w:hAnsi="Arial" w:cs="Arial"/>
          <w:sz w:val="19"/>
          <w:szCs w:val="19"/>
          <w:lang w:val="es-CO"/>
        </w:rPr>
      </w:pPr>
      <w:r w:rsidRPr="00231255">
        <w:rPr>
          <w:rStyle w:val="Refdenotaalpie"/>
          <w:rFonts w:ascii="Arial" w:hAnsi="Arial" w:cs="Arial"/>
          <w:sz w:val="19"/>
          <w:szCs w:val="19"/>
        </w:rPr>
        <w:footnoteRef/>
      </w:r>
      <w:r w:rsidRPr="00231255">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41D3FB39" w14:textId="77777777" w:rsidR="00FC6A13" w:rsidRPr="00231255" w:rsidRDefault="00FC6A13" w:rsidP="00231255">
      <w:pPr>
        <w:pStyle w:val="Textonotapie"/>
        <w:spacing w:after="0" w:line="240" w:lineRule="auto"/>
        <w:ind w:firstLine="709"/>
        <w:rPr>
          <w:rFonts w:ascii="Arial" w:hAnsi="Arial" w:cs="Arial"/>
          <w:sz w:val="19"/>
          <w:szCs w:val="19"/>
        </w:rPr>
      </w:pPr>
      <w:r w:rsidRPr="00231255">
        <w:rPr>
          <w:rStyle w:val="Refdenotaalpie"/>
          <w:rFonts w:ascii="Arial" w:hAnsi="Arial" w:cs="Arial"/>
          <w:sz w:val="19"/>
          <w:szCs w:val="19"/>
        </w:rPr>
        <w:footnoteRef/>
      </w:r>
      <w:r w:rsidRPr="00231255">
        <w:rPr>
          <w:rFonts w:ascii="Arial" w:hAnsi="Arial" w:cs="Arial"/>
          <w:sz w:val="19"/>
          <w:szCs w:val="19"/>
        </w:rPr>
        <w:t xml:space="preserve"> Consejo de Estado, Sala de Consulta y Servicio Civil de fecha 24 de julio de 2013, radicado 2166, </w:t>
      </w:r>
      <w:r w:rsidRPr="00231255">
        <w:rPr>
          <w:rFonts w:ascii="Arial" w:hAnsi="Arial" w:cs="Arial"/>
          <w:sz w:val="19"/>
          <w:szCs w:val="19"/>
        </w:rPr>
        <w:t xml:space="preserve">Consejero Ponente: Álvaro </w:t>
      </w:r>
      <w:r w:rsidRPr="00231255">
        <w:rPr>
          <w:rFonts w:ascii="Arial" w:hAnsi="Arial" w:cs="Arial"/>
          <w:sz w:val="19"/>
          <w:szCs w:val="19"/>
        </w:rPr>
        <w:t xml:space="preserve">Namén Vargas.  </w:t>
      </w:r>
    </w:p>
    <w:p w14:paraId="7C59A3CD" w14:textId="77777777" w:rsidR="00FC6A13" w:rsidRPr="00231255" w:rsidRDefault="00FC6A13" w:rsidP="00231255">
      <w:pPr>
        <w:pStyle w:val="Textonotapie"/>
        <w:spacing w:after="0" w:line="240" w:lineRule="auto"/>
        <w:ind w:firstLine="709"/>
        <w:rPr>
          <w:rFonts w:ascii="Arial" w:hAnsi="Arial" w:cs="Arial"/>
          <w:sz w:val="19"/>
          <w:szCs w:val="19"/>
        </w:rPr>
      </w:pPr>
    </w:p>
  </w:footnote>
  <w:footnote w:id="9">
    <w:p w14:paraId="15EDF778" w14:textId="77777777" w:rsidR="00FC6A13" w:rsidRPr="00231255" w:rsidRDefault="00FC6A13" w:rsidP="00231255">
      <w:pPr>
        <w:spacing w:after="0" w:line="240" w:lineRule="auto"/>
        <w:ind w:firstLine="709"/>
        <w:rPr>
          <w:rFonts w:ascii="Arial" w:hAnsi="Arial" w:cs="Arial"/>
          <w:sz w:val="19"/>
          <w:szCs w:val="19"/>
        </w:rPr>
      </w:pPr>
      <w:r w:rsidRPr="00231255">
        <w:rPr>
          <w:rStyle w:val="Refdenotaalpie"/>
          <w:rFonts w:ascii="Arial" w:hAnsi="Arial" w:cs="Arial"/>
          <w:sz w:val="19"/>
          <w:szCs w:val="19"/>
        </w:rPr>
        <w:footnoteRef/>
      </w:r>
      <w:r w:rsidRPr="00231255">
        <w:rPr>
          <w:rFonts w:ascii="Arial" w:hAnsi="Arial" w:cs="Arial"/>
          <w:sz w:val="19"/>
          <w:szCs w:val="19"/>
        </w:rPr>
        <w:t xml:space="preserve"> </w:t>
      </w:r>
      <w:r w:rsidRPr="00231255">
        <w:rPr>
          <w:rFonts w:ascii="Arial" w:eastAsia="Calibri" w:hAnsi="Arial" w:cs="Arial"/>
          <w:bCs/>
          <w:color w:val="000000"/>
          <w:sz w:val="19"/>
          <w:szCs w:val="19"/>
        </w:rPr>
        <w:t>«</w:t>
      </w:r>
      <w:r w:rsidRPr="00231255">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653B8425" w14:textId="77777777" w:rsidR="00FC6A13" w:rsidRPr="00231255" w:rsidRDefault="00FC6A13" w:rsidP="00231255">
      <w:pPr>
        <w:spacing w:after="0" w:line="240" w:lineRule="auto"/>
        <w:ind w:firstLine="709"/>
        <w:rPr>
          <w:rFonts w:ascii="Arial" w:hAnsi="Arial" w:cs="Arial"/>
          <w:sz w:val="19"/>
          <w:szCs w:val="19"/>
        </w:rPr>
      </w:pPr>
      <w:r w:rsidRPr="00231255">
        <w:rPr>
          <w:rFonts w:ascii="Arial" w:eastAsia="Calibri" w:hAnsi="Arial" w:cs="Arial"/>
          <w:bCs/>
          <w:color w:val="000000"/>
          <w:sz w:val="19"/>
          <w:szCs w:val="19"/>
        </w:rPr>
        <w:t>»</w:t>
      </w:r>
      <w:r w:rsidRPr="00231255">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231255">
        <w:rPr>
          <w:rFonts w:ascii="Arial" w:eastAsia="Calibri" w:hAnsi="Arial" w:cs="Arial"/>
          <w:bCs/>
          <w:color w:val="000000"/>
          <w:sz w:val="19"/>
          <w:szCs w:val="19"/>
        </w:rPr>
        <w:t>»</w:t>
      </w:r>
      <w:r w:rsidRPr="00231255">
        <w:rPr>
          <w:rFonts w:ascii="Arial" w:hAnsi="Arial" w:cs="Arial"/>
          <w:sz w:val="19"/>
          <w:szCs w:val="19"/>
        </w:rPr>
        <w:t>.</w:t>
      </w:r>
    </w:p>
    <w:p w14:paraId="37495935" w14:textId="77777777" w:rsidR="00FC6A13" w:rsidRPr="00231255" w:rsidRDefault="00FC6A13" w:rsidP="00231255">
      <w:pPr>
        <w:spacing w:after="0" w:line="240" w:lineRule="auto"/>
        <w:ind w:firstLine="709"/>
        <w:rPr>
          <w:rFonts w:ascii="Arial" w:hAnsi="Arial" w:cs="Arial"/>
          <w:sz w:val="19"/>
          <w:szCs w:val="19"/>
        </w:rPr>
      </w:pPr>
    </w:p>
  </w:footnote>
  <w:footnote w:id="10">
    <w:p w14:paraId="13F010F6" w14:textId="77777777" w:rsidR="00FC6A13" w:rsidRPr="00231255" w:rsidRDefault="00FC6A13" w:rsidP="00231255">
      <w:pPr>
        <w:pStyle w:val="NormalWeb"/>
        <w:spacing w:before="0" w:beforeAutospacing="0" w:after="0" w:afterAutospacing="0" w:line="240" w:lineRule="auto"/>
        <w:ind w:firstLine="709"/>
        <w:rPr>
          <w:rFonts w:ascii="Arial" w:hAnsi="Arial" w:cs="Arial"/>
          <w:sz w:val="19"/>
          <w:szCs w:val="19"/>
          <w:lang w:val="es-MX"/>
        </w:rPr>
      </w:pPr>
      <w:r w:rsidRPr="00231255">
        <w:rPr>
          <w:rStyle w:val="Refdenotaalpie"/>
          <w:rFonts w:ascii="Arial" w:hAnsi="Arial" w:cs="Arial"/>
          <w:sz w:val="19"/>
          <w:szCs w:val="19"/>
        </w:rPr>
        <w:footnoteRef/>
      </w:r>
      <w:r w:rsidRPr="00231255">
        <w:rPr>
          <w:rFonts w:ascii="Arial" w:hAnsi="Arial" w:cs="Arial"/>
          <w:sz w:val="19"/>
          <w:szCs w:val="19"/>
        </w:rPr>
        <w:t xml:space="preserve"> </w:t>
      </w:r>
      <w:bookmarkStart w:id="16" w:name="38"/>
      <w:r w:rsidRPr="00231255">
        <w:rPr>
          <w:rFonts w:ascii="Arial" w:eastAsia="Calibri" w:hAnsi="Arial" w:cs="Arial"/>
          <w:bCs/>
          <w:color w:val="000000"/>
          <w:sz w:val="19"/>
          <w:szCs w:val="19"/>
        </w:rPr>
        <w:t>«</w:t>
      </w:r>
      <w:r w:rsidRPr="00231255">
        <w:rPr>
          <w:rFonts w:ascii="Arial" w:hAnsi="Arial" w:cs="Arial"/>
          <w:sz w:val="19"/>
          <w:szCs w:val="19"/>
          <w:lang w:val="es-MX"/>
        </w:rPr>
        <w:t>Artículo 38. Prohibiciones para los servidores públicos. A los empleados del Estado les está prohibido:</w:t>
      </w:r>
      <w:bookmarkEnd w:id="16"/>
    </w:p>
    <w:p w14:paraId="7BC76483" w14:textId="77777777" w:rsidR="00FC6A13" w:rsidRPr="00231255" w:rsidRDefault="00FC6A13" w:rsidP="00231255">
      <w:pPr>
        <w:pStyle w:val="NormalWeb"/>
        <w:spacing w:before="0" w:beforeAutospacing="0" w:after="0" w:afterAutospacing="0" w:line="240" w:lineRule="auto"/>
        <w:ind w:firstLine="709"/>
        <w:rPr>
          <w:rFonts w:ascii="Arial" w:hAnsi="Arial" w:cs="Arial"/>
          <w:sz w:val="19"/>
          <w:szCs w:val="19"/>
          <w:lang w:val="es-MX"/>
        </w:rPr>
      </w:pPr>
      <w:r w:rsidRPr="00231255">
        <w:rPr>
          <w:rFonts w:ascii="Arial" w:eastAsia="Calibri" w:hAnsi="Arial" w:cs="Arial"/>
          <w:bCs/>
          <w:color w:val="000000"/>
          <w:sz w:val="19"/>
          <w:szCs w:val="19"/>
        </w:rPr>
        <w:t>»</w:t>
      </w:r>
      <w:r w:rsidRPr="00231255">
        <w:rPr>
          <w:rFonts w:ascii="Arial" w:hAnsi="Arial" w:cs="Arial"/>
          <w:sz w:val="19"/>
          <w:szCs w:val="19"/>
          <w:lang w:val="es-MX"/>
        </w:rPr>
        <w:t xml:space="preserve"> […]</w:t>
      </w:r>
    </w:p>
    <w:p w14:paraId="2B67E9CE" w14:textId="77777777" w:rsidR="00FC6A13" w:rsidRPr="00231255" w:rsidRDefault="00FC6A13" w:rsidP="00231255">
      <w:pPr>
        <w:pStyle w:val="NormalWeb"/>
        <w:spacing w:before="0" w:beforeAutospacing="0" w:after="0" w:afterAutospacing="0" w:line="240" w:lineRule="auto"/>
        <w:ind w:firstLine="709"/>
        <w:rPr>
          <w:rFonts w:ascii="Arial" w:hAnsi="Arial" w:cs="Arial"/>
          <w:sz w:val="19"/>
          <w:szCs w:val="19"/>
          <w:lang w:val="es-MX"/>
        </w:rPr>
      </w:pPr>
      <w:r w:rsidRPr="00231255">
        <w:rPr>
          <w:rFonts w:ascii="Arial" w:eastAsia="Calibri" w:hAnsi="Arial" w:cs="Arial"/>
          <w:bCs/>
          <w:color w:val="000000"/>
          <w:sz w:val="19"/>
          <w:szCs w:val="19"/>
        </w:rPr>
        <w:t>»</w:t>
      </w:r>
      <w:r w:rsidRPr="00231255">
        <w:rPr>
          <w:rStyle w:val="baj"/>
          <w:rFonts w:ascii="Arial" w:hAnsi="Arial" w:cs="Arial"/>
          <w:sz w:val="19"/>
          <w:szCs w:val="19"/>
          <w:lang w:val="es-MX"/>
        </w:rPr>
        <w:t xml:space="preserve"> Parágrafo.</w:t>
      </w:r>
      <w:r w:rsidRPr="00231255">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31255">
        <w:rPr>
          <w:rFonts w:ascii="Arial" w:eastAsia="Calibri" w:hAnsi="Arial" w:cs="Arial"/>
          <w:bCs/>
          <w:color w:val="000000"/>
          <w:sz w:val="19"/>
          <w:szCs w:val="19"/>
        </w:rPr>
        <w:t>»</w:t>
      </w:r>
      <w:r w:rsidRPr="00231255">
        <w:rPr>
          <w:rFonts w:ascii="Arial" w:hAnsi="Arial" w:cs="Arial"/>
          <w:sz w:val="19"/>
          <w:szCs w:val="19"/>
          <w:lang w:val="es-MX"/>
        </w:rPr>
        <w:t>.</w:t>
      </w:r>
    </w:p>
    <w:p w14:paraId="4C81532F" w14:textId="77777777" w:rsidR="00FC6A13" w:rsidRPr="00231255" w:rsidRDefault="00FC6A13" w:rsidP="00231255">
      <w:pPr>
        <w:pStyle w:val="NormalWeb"/>
        <w:spacing w:before="0" w:beforeAutospacing="0" w:after="0" w:afterAutospacing="0" w:line="240" w:lineRule="auto"/>
        <w:ind w:firstLine="709"/>
        <w:rPr>
          <w:rFonts w:ascii="Arial" w:hAnsi="Arial" w:cs="Arial"/>
          <w:sz w:val="19"/>
          <w:szCs w:val="19"/>
          <w:lang w:val="es-MX"/>
        </w:rPr>
      </w:pPr>
    </w:p>
  </w:footnote>
  <w:footnote w:id="11">
    <w:p w14:paraId="186119A1" w14:textId="77777777" w:rsidR="00FC6A13" w:rsidRPr="00231255" w:rsidRDefault="00FC6A13" w:rsidP="00231255">
      <w:pPr>
        <w:spacing w:after="0" w:line="240" w:lineRule="auto"/>
        <w:ind w:firstLine="709"/>
        <w:rPr>
          <w:rFonts w:ascii="Arial" w:hAnsi="Arial" w:cs="Arial"/>
          <w:sz w:val="19"/>
          <w:szCs w:val="19"/>
          <w:lang w:val="es-ES"/>
        </w:rPr>
      </w:pPr>
      <w:r w:rsidRPr="00231255">
        <w:rPr>
          <w:rStyle w:val="Refdenotaalpie"/>
          <w:rFonts w:ascii="Arial" w:hAnsi="Arial" w:cs="Arial"/>
          <w:sz w:val="19"/>
          <w:szCs w:val="19"/>
        </w:rPr>
        <w:footnoteRef/>
      </w:r>
      <w:r w:rsidRPr="00231255">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2">
    <w:p w14:paraId="69BE5B97" w14:textId="6EDD2F1F" w:rsidR="00FC6A13" w:rsidRPr="00231255" w:rsidRDefault="00FC6A13" w:rsidP="00231255">
      <w:pPr>
        <w:pStyle w:val="Textonotapie"/>
        <w:spacing w:after="0" w:line="240" w:lineRule="auto"/>
        <w:ind w:firstLine="709"/>
        <w:rPr>
          <w:rFonts w:ascii="Arial" w:hAnsi="Arial" w:cs="Arial"/>
          <w:sz w:val="19"/>
          <w:szCs w:val="19"/>
        </w:rPr>
      </w:pPr>
      <w:r w:rsidRPr="00231255">
        <w:rPr>
          <w:rStyle w:val="Refdenotaalpie"/>
          <w:rFonts w:ascii="Arial" w:hAnsi="Arial" w:cs="Arial"/>
          <w:sz w:val="19"/>
          <w:szCs w:val="19"/>
        </w:rPr>
        <w:footnoteRef/>
      </w:r>
      <w:r w:rsidRPr="00231255">
        <w:rPr>
          <w:rFonts w:ascii="Arial" w:hAnsi="Arial" w:cs="Arial"/>
          <w:sz w:val="19"/>
          <w:szCs w:val="19"/>
        </w:rPr>
        <w:t xml:space="preserve"> «</w:t>
      </w:r>
      <w:r w:rsidRPr="00231255">
        <w:rPr>
          <w:rFonts w:ascii="Arial" w:hAnsi="Arial" w:cs="Arial"/>
          <w:sz w:val="19"/>
          <w:szCs w:val="19"/>
          <w:lang w:val="es-ES"/>
        </w:rPr>
        <w:t xml:space="preserve">[25] </w:t>
      </w:r>
      <w:r w:rsidRPr="00231255">
        <w:rPr>
          <w:rFonts w:ascii="Arial" w:hAnsi="Arial" w:cs="Arial"/>
          <w:sz w:val="19"/>
          <w:szCs w:val="19"/>
        </w:rPr>
        <w:t>Cfr. Consejo de Estado. Sección Tercera. Sentencia de 3 de diciembre de 2007. Radicados: 24.715, 25.206, 25.409, 24.524, 27.834, 25.410, 26.105, 28.244, 31.447 -acumulados-».</w:t>
      </w:r>
    </w:p>
  </w:footnote>
  <w:footnote w:id="13">
    <w:p w14:paraId="46CC9C47" w14:textId="77777777" w:rsidR="00FC6A13" w:rsidRPr="00231255" w:rsidRDefault="00FC6A13" w:rsidP="00231255">
      <w:pPr>
        <w:pStyle w:val="Textonotapie"/>
        <w:spacing w:after="0" w:line="240" w:lineRule="auto"/>
        <w:ind w:firstLine="709"/>
        <w:rPr>
          <w:rFonts w:ascii="Arial" w:hAnsi="Arial" w:cs="Arial"/>
          <w:sz w:val="19"/>
          <w:szCs w:val="19"/>
        </w:rPr>
      </w:pPr>
      <w:r w:rsidRPr="00231255">
        <w:rPr>
          <w:rStyle w:val="Refdenotaalpie"/>
          <w:rFonts w:ascii="Arial" w:hAnsi="Arial" w:cs="Arial"/>
          <w:sz w:val="19"/>
          <w:szCs w:val="19"/>
        </w:rPr>
        <w:footnoteRef/>
      </w:r>
      <w:r w:rsidRPr="00231255">
        <w:rPr>
          <w:rFonts w:ascii="Arial" w:hAnsi="Arial" w:cs="Arial"/>
          <w:sz w:val="19"/>
          <w:szCs w:val="19"/>
        </w:rPr>
        <w:t xml:space="preserve"> «</w:t>
      </w:r>
      <w:r w:rsidRPr="00231255">
        <w:rPr>
          <w:rFonts w:ascii="Arial" w:hAnsi="Arial" w:cs="Arial"/>
          <w:sz w:val="19"/>
          <w:szCs w:val="19"/>
          <w:lang w:val="es-ES"/>
        </w:rPr>
        <w:t xml:space="preserve">[26] </w:t>
      </w:r>
      <w:r w:rsidRPr="00231255">
        <w:rPr>
          <w:rFonts w:ascii="Arial" w:hAnsi="Arial" w:cs="Arial"/>
          <w:sz w:val="19"/>
          <w:szCs w:val="19"/>
        </w:rPr>
        <w:t>Al respecto ver el concepto 1712 de 2 de febrero de 2006. Consejo de Estado Sala de Consulta y Servicio Civil».</w:t>
      </w:r>
    </w:p>
  </w:footnote>
  <w:footnote w:id="14">
    <w:p w14:paraId="7819A883" w14:textId="790FEC87" w:rsidR="00FC6A13" w:rsidRPr="00231255" w:rsidRDefault="00FC6A13" w:rsidP="00231255">
      <w:pPr>
        <w:pStyle w:val="Textonotapie"/>
        <w:spacing w:after="0" w:line="240" w:lineRule="auto"/>
        <w:ind w:firstLine="709"/>
        <w:rPr>
          <w:rFonts w:ascii="Arial" w:hAnsi="Arial" w:cs="Arial"/>
          <w:sz w:val="19"/>
          <w:szCs w:val="19"/>
        </w:rPr>
      </w:pPr>
      <w:r w:rsidRPr="00231255">
        <w:rPr>
          <w:rStyle w:val="Refdenotaalpie"/>
          <w:rFonts w:ascii="Arial" w:hAnsi="Arial" w:cs="Arial"/>
          <w:sz w:val="19"/>
          <w:szCs w:val="19"/>
        </w:rPr>
        <w:footnoteRef/>
      </w:r>
      <w:r w:rsidRPr="00231255">
        <w:rPr>
          <w:rFonts w:ascii="Arial" w:hAnsi="Arial" w:cs="Arial"/>
          <w:sz w:val="19"/>
          <w:szCs w:val="19"/>
        </w:rPr>
        <w:t xml:space="preserve"> Consejo de Estado. Sala de Consulta y Servicio Civil. Concepto del 2 de septiembre de 2013. Radicación número: 11001-03-06-000-2013-00412-00 (2168). Consejero Ponente: Álvaro </w:t>
      </w:r>
      <w:r w:rsidRPr="00231255">
        <w:rPr>
          <w:rFonts w:ascii="Arial" w:hAnsi="Arial" w:cs="Arial"/>
          <w:sz w:val="19"/>
          <w:szCs w:val="19"/>
        </w:rPr>
        <w:t>Namén Vargas.</w:t>
      </w:r>
    </w:p>
  </w:footnote>
  <w:footnote w:id="15">
    <w:p w14:paraId="66D013DD" w14:textId="77777777" w:rsidR="00E412EA" w:rsidRPr="00020DEF" w:rsidRDefault="00E412EA" w:rsidP="00E412EA">
      <w:pPr>
        <w:pStyle w:val="Textonotapie"/>
        <w:ind w:firstLine="708"/>
        <w:rPr>
          <w:rFonts w:ascii="Arial" w:hAnsi="Arial" w:cs="Arial"/>
          <w:sz w:val="19"/>
          <w:szCs w:val="19"/>
        </w:rPr>
      </w:pPr>
      <w:r w:rsidRPr="00020DEF">
        <w:rPr>
          <w:rStyle w:val="Refdenotaalpie"/>
          <w:rFonts w:ascii="Arial" w:hAnsi="Arial" w:cs="Arial"/>
          <w:sz w:val="19"/>
          <w:szCs w:val="19"/>
        </w:rPr>
        <w:footnoteRef/>
      </w:r>
      <w:r w:rsidRPr="00020DEF">
        <w:rPr>
          <w:rFonts w:ascii="Arial" w:hAnsi="Arial" w:cs="Arial"/>
          <w:sz w:val="19"/>
          <w:szCs w:val="19"/>
        </w:rPr>
        <w:t xml:space="preserve"> «ARTÍCULO 2. DE LAS MODALIDADES DE SELECCIÓN. La escogencia del contratista se efectuará con arreglo a las modalidades de selección de licitación pública, selección abreviada, concurso de méritos y contratación directa, con base en las siguientes reglas: </w:t>
      </w:r>
    </w:p>
    <w:p w14:paraId="5796F048" w14:textId="77777777" w:rsidR="00E412EA" w:rsidRPr="00020DEF" w:rsidRDefault="00E412EA" w:rsidP="00E412EA">
      <w:pPr>
        <w:pStyle w:val="Textonotapie"/>
        <w:ind w:firstLine="708"/>
        <w:rPr>
          <w:rFonts w:ascii="Arial" w:hAnsi="Arial" w:cs="Arial"/>
          <w:sz w:val="19"/>
          <w:szCs w:val="19"/>
        </w:rPr>
      </w:pPr>
      <w:r w:rsidRPr="00020DEF">
        <w:rPr>
          <w:rFonts w:ascii="Arial" w:hAnsi="Arial" w:cs="Arial"/>
          <w:sz w:val="19"/>
          <w:szCs w:val="19"/>
        </w:rPr>
        <w:t>[…]</w:t>
      </w:r>
    </w:p>
    <w:p w14:paraId="548CE2AE" w14:textId="77777777" w:rsidR="00E412EA" w:rsidRPr="00020DEF" w:rsidRDefault="00E412EA" w:rsidP="00E412EA">
      <w:pPr>
        <w:pStyle w:val="Textonotapie"/>
        <w:ind w:firstLine="708"/>
        <w:rPr>
          <w:rFonts w:ascii="Arial" w:hAnsi="Arial" w:cs="Arial"/>
          <w:sz w:val="19"/>
          <w:szCs w:val="19"/>
        </w:rPr>
      </w:pPr>
      <w:r w:rsidRPr="00020DEF">
        <w:rPr>
          <w:rFonts w:ascii="Arial" w:hAnsi="Arial" w:cs="Arial"/>
          <w:sz w:val="19"/>
          <w:szCs w:val="19"/>
        </w:rPr>
        <w:t>5. Contratación mínima cuantía. [Numeral modificado por el artículo 30 de la Ley 2069 de 2020]».</w:t>
      </w:r>
    </w:p>
  </w:footnote>
  <w:footnote w:id="16">
    <w:p w14:paraId="5964EBF0" w14:textId="77777777" w:rsidR="00FC6A13" w:rsidRPr="00231255" w:rsidRDefault="00FC6A13" w:rsidP="00231255">
      <w:pPr>
        <w:pStyle w:val="Textonotapie"/>
        <w:spacing w:after="0" w:line="240" w:lineRule="auto"/>
        <w:ind w:firstLine="709"/>
        <w:rPr>
          <w:rFonts w:ascii="Arial" w:hAnsi="Arial" w:cs="Arial"/>
          <w:sz w:val="19"/>
          <w:szCs w:val="19"/>
          <w:lang w:val="es-ES"/>
        </w:rPr>
      </w:pPr>
      <w:r w:rsidRPr="00231255">
        <w:rPr>
          <w:rStyle w:val="Refdenotaalpie"/>
          <w:rFonts w:ascii="Arial" w:hAnsi="Arial" w:cs="Arial"/>
          <w:sz w:val="19"/>
          <w:szCs w:val="19"/>
        </w:rPr>
        <w:footnoteRef/>
      </w:r>
      <w:r w:rsidRPr="00231255">
        <w:rPr>
          <w:rStyle w:val="Refdenotaalpie"/>
          <w:rFonts w:ascii="Arial" w:hAnsi="Arial" w:cs="Arial"/>
          <w:sz w:val="19"/>
          <w:szCs w:val="19"/>
        </w:rPr>
        <w:t xml:space="preserve"> </w:t>
      </w:r>
      <w:r w:rsidRPr="00231255">
        <w:rPr>
          <w:rFonts w:ascii="Arial" w:hAnsi="Arial" w:cs="Arial"/>
          <w:sz w:val="19"/>
          <w:szCs w:val="19"/>
          <w:lang w:val="es-ES"/>
        </w:rPr>
        <w:t xml:space="preserve">«[…] A este respecto, cabe recordar que el artículo 860 del Código de Comercio regula la licitación en el derecho privado». </w:t>
      </w:r>
    </w:p>
    <w:p w14:paraId="0FBC2B3C" w14:textId="77777777" w:rsidR="00FC6A13" w:rsidRPr="00231255" w:rsidRDefault="00FC6A13" w:rsidP="00231255">
      <w:pPr>
        <w:pStyle w:val="Textonotapie"/>
        <w:spacing w:after="0" w:line="240" w:lineRule="auto"/>
        <w:ind w:firstLine="709"/>
        <w:rPr>
          <w:rFonts w:ascii="Arial" w:hAnsi="Arial" w:cs="Arial"/>
          <w:sz w:val="19"/>
          <w:szCs w:val="19"/>
          <w:lang w:val="es-ES"/>
        </w:rPr>
      </w:pPr>
    </w:p>
  </w:footnote>
  <w:footnote w:id="17">
    <w:p w14:paraId="40D3567E" w14:textId="77777777" w:rsidR="00FC6A13" w:rsidRPr="00231255" w:rsidRDefault="00FC6A13" w:rsidP="00231255">
      <w:pPr>
        <w:shd w:val="clear" w:color="auto" w:fill="FFFFFF"/>
        <w:spacing w:after="0" w:line="240" w:lineRule="auto"/>
        <w:ind w:firstLine="709"/>
        <w:rPr>
          <w:rFonts w:ascii="Arial" w:hAnsi="Arial" w:cs="Arial"/>
          <w:sz w:val="19"/>
          <w:szCs w:val="19"/>
          <w:lang w:val="es-ES"/>
        </w:rPr>
      </w:pPr>
      <w:r w:rsidRPr="00231255">
        <w:rPr>
          <w:rStyle w:val="Refdenotaalpie"/>
          <w:rFonts w:ascii="Arial" w:hAnsi="Arial" w:cs="Arial"/>
          <w:sz w:val="19"/>
          <w:szCs w:val="19"/>
        </w:rPr>
        <w:footnoteRef/>
      </w:r>
      <w:r w:rsidRPr="00231255">
        <w:rPr>
          <w:rStyle w:val="Refdenotaalpie"/>
          <w:rFonts w:ascii="Arial" w:hAnsi="Arial" w:cs="Arial"/>
          <w:sz w:val="19"/>
          <w:szCs w:val="19"/>
        </w:rPr>
        <w:t xml:space="preserve"> </w:t>
      </w:r>
      <w:r w:rsidRPr="00231255">
        <w:rPr>
          <w:rFonts w:ascii="Arial" w:hAnsi="Arial" w:cs="Arial"/>
          <w:sz w:val="19"/>
          <w:szCs w:val="19"/>
          <w:lang w:val="es-ES"/>
        </w:rPr>
        <w:t xml:space="preserve">Consejo de Estado. Sala de Consulta y Servicio Civil, Concepto de 8 de mayo de 2018. Radicación Número: 11001-03-06-000-2018-00095-00(2382). Consejero Ponente: Álvaro </w:t>
      </w:r>
      <w:r w:rsidRPr="00231255">
        <w:rPr>
          <w:rFonts w:ascii="Arial" w:hAnsi="Arial" w:cs="Arial"/>
          <w:sz w:val="19"/>
          <w:szCs w:val="19"/>
          <w:lang w:val="es-ES"/>
        </w:rPr>
        <w:t>Namén Vargas.</w:t>
      </w:r>
    </w:p>
    <w:p w14:paraId="06A9F45F" w14:textId="77777777" w:rsidR="00FC6A13" w:rsidRPr="00231255" w:rsidRDefault="00FC6A13" w:rsidP="00231255">
      <w:pPr>
        <w:shd w:val="clear" w:color="auto" w:fill="FFFFFF"/>
        <w:spacing w:after="0" w:line="240" w:lineRule="auto"/>
        <w:ind w:firstLine="709"/>
        <w:rPr>
          <w:rFonts w:ascii="Arial" w:hAnsi="Arial" w:cs="Arial"/>
          <w:sz w:val="19"/>
          <w:szCs w:val="19"/>
          <w:lang w:val="es-ES"/>
        </w:rPr>
      </w:pPr>
    </w:p>
  </w:footnote>
  <w:footnote w:id="18">
    <w:p w14:paraId="411096C3" w14:textId="77777777" w:rsidR="00FC6A13" w:rsidRPr="00231255" w:rsidRDefault="00FC6A13" w:rsidP="00231255">
      <w:pPr>
        <w:pStyle w:val="Textonotapie"/>
        <w:spacing w:after="0" w:line="240" w:lineRule="auto"/>
        <w:ind w:firstLine="709"/>
        <w:rPr>
          <w:rFonts w:ascii="Arial" w:hAnsi="Arial" w:cs="Arial"/>
          <w:sz w:val="19"/>
          <w:szCs w:val="19"/>
        </w:rPr>
      </w:pPr>
      <w:r w:rsidRPr="00231255">
        <w:rPr>
          <w:rStyle w:val="Refdenotaalpie"/>
          <w:rFonts w:ascii="Arial" w:hAnsi="Arial" w:cs="Arial"/>
          <w:sz w:val="19"/>
          <w:szCs w:val="19"/>
        </w:rPr>
        <w:footnoteRef/>
      </w:r>
      <w:r w:rsidRPr="00231255">
        <w:rPr>
          <w:rFonts w:ascii="Arial" w:hAnsi="Arial" w:cs="Arial"/>
          <w:sz w:val="19"/>
          <w:szCs w:val="19"/>
        </w:rPr>
        <w:t xml:space="preserve"> Consejo de Estado. Sala de Consulta y Servicio Civil. Concepto del 08 de mayo de 2018. </w:t>
      </w:r>
      <w:r w:rsidRPr="00231255">
        <w:rPr>
          <w:rFonts w:ascii="Arial" w:hAnsi="Arial" w:cs="Arial"/>
          <w:sz w:val="19"/>
          <w:szCs w:val="19"/>
        </w:rPr>
        <w:t>Exp. 2.382. C.P. Álvaro Namén Vargas.</w:t>
      </w:r>
    </w:p>
  </w:footnote>
  <w:footnote w:id="19">
    <w:p w14:paraId="34747DCC" w14:textId="77777777" w:rsidR="00FC6A13" w:rsidRPr="00231255" w:rsidRDefault="00FC6A13" w:rsidP="00231255">
      <w:pPr>
        <w:pStyle w:val="Textonotapie"/>
        <w:spacing w:after="0" w:line="240" w:lineRule="auto"/>
        <w:ind w:firstLine="709"/>
        <w:rPr>
          <w:rFonts w:ascii="Arial" w:hAnsi="Arial" w:cs="Arial"/>
          <w:sz w:val="19"/>
          <w:szCs w:val="19"/>
        </w:rPr>
      </w:pPr>
      <w:r w:rsidRPr="00231255">
        <w:rPr>
          <w:rStyle w:val="Refdenotaalpie"/>
          <w:rFonts w:ascii="Arial" w:hAnsi="Arial" w:cs="Arial"/>
          <w:sz w:val="19"/>
          <w:szCs w:val="19"/>
        </w:rPr>
        <w:footnoteRef/>
      </w:r>
      <w:r w:rsidRPr="00231255">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p w14:paraId="740AD578" w14:textId="77777777" w:rsidR="00FC6A13" w:rsidRPr="00231255" w:rsidRDefault="00FC6A13" w:rsidP="00231255">
      <w:pPr>
        <w:pStyle w:val="Textonotapie"/>
        <w:spacing w:after="0" w:line="240" w:lineRule="auto"/>
        <w:ind w:firstLine="709"/>
        <w:rPr>
          <w:rFonts w:ascii="Arial" w:hAnsi="Arial" w:cs="Arial"/>
          <w:sz w:val="19"/>
          <w:szCs w:val="19"/>
        </w:rPr>
      </w:pPr>
    </w:p>
  </w:footnote>
  <w:footnote w:id="20">
    <w:p w14:paraId="3811CBA4" w14:textId="77777777" w:rsidR="006E2F8F" w:rsidRPr="00020DEF" w:rsidRDefault="006E2F8F" w:rsidP="006E2F8F">
      <w:pPr>
        <w:spacing w:after="0" w:line="240" w:lineRule="auto"/>
        <w:ind w:firstLine="709"/>
        <w:rPr>
          <w:rFonts w:ascii="Arial" w:hAnsi="Arial" w:cs="Arial"/>
          <w:color w:val="000000"/>
          <w:sz w:val="19"/>
          <w:szCs w:val="19"/>
        </w:rPr>
      </w:pPr>
      <w:r w:rsidRPr="00020DEF">
        <w:rPr>
          <w:rStyle w:val="Refdenotaalpie"/>
          <w:rFonts w:ascii="Arial" w:hAnsi="Arial" w:cs="Arial"/>
          <w:color w:val="000000"/>
          <w:sz w:val="19"/>
          <w:szCs w:val="19"/>
        </w:rPr>
        <w:footnoteRef/>
      </w:r>
      <w:r w:rsidRPr="00020DEF">
        <w:rPr>
          <w:rFonts w:ascii="Arial" w:hAnsi="Arial" w:cs="Arial"/>
          <w:color w:val="000000"/>
          <w:sz w:val="19"/>
          <w:szCs w:val="19"/>
        </w:rPr>
        <w:t xml:space="preserve"> Consejo de Estado. Sala de Consulta y Servicio Civil. Concepto de 20 de febrero de 2006. Radicación Número: 11001-03-06-000-2006-00026-00 (1727).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1">
    <w:p w14:paraId="3120E768" w14:textId="77777777" w:rsidR="005D7512" w:rsidRPr="005977FA" w:rsidRDefault="005D7512" w:rsidP="00231255">
      <w:pPr>
        <w:spacing w:after="0" w:line="240" w:lineRule="auto"/>
        <w:ind w:firstLine="709"/>
        <w:rPr>
          <w:rFonts w:ascii="Arial" w:hAnsi="Arial" w:cs="Arial"/>
          <w:color w:val="000000" w:themeColor="text1"/>
          <w:sz w:val="19"/>
          <w:szCs w:val="19"/>
        </w:rPr>
      </w:pPr>
      <w:r w:rsidRPr="005977FA">
        <w:rPr>
          <w:rStyle w:val="Refdenotaalpie"/>
          <w:rFonts w:ascii="Arial" w:hAnsi="Arial" w:cs="Arial"/>
          <w:color w:val="000000" w:themeColor="text1"/>
          <w:sz w:val="19"/>
          <w:szCs w:val="19"/>
        </w:rPr>
        <w:footnoteRef/>
      </w:r>
      <w:r w:rsidRPr="005977FA">
        <w:rPr>
          <w:rFonts w:ascii="Arial" w:hAnsi="Arial" w:cs="Arial"/>
          <w:color w:val="000000" w:themeColor="text1"/>
          <w:sz w:val="19"/>
          <w:szCs w:val="19"/>
        </w:rPr>
        <w:t xml:space="preserve"> «Art. 45. De los contratos adicionales. Cuando por circunstancias especiales haya necesidad de modificar el plazo o el valor convenidos, y no se trate de reajuste de precios previstos en este estatuto, la entidad interesada suscribirá un contrato adicional que no podrá exceder la mitad de la cuantía originalmente pactada más los reajustes que se hubieren efectuado. </w:t>
      </w:r>
      <w:r w:rsidRPr="005977FA">
        <w:rPr>
          <w:rFonts w:ascii="Arial" w:hAnsi="Arial" w:cs="Arial"/>
          <w:i/>
          <w:color w:val="000000" w:themeColor="text1"/>
          <w:sz w:val="19"/>
          <w:szCs w:val="19"/>
        </w:rPr>
        <w:t>Las adiciones relacionadas con el valor</w:t>
      </w:r>
      <w:r w:rsidRPr="005977FA">
        <w:rPr>
          <w:rFonts w:ascii="Arial" w:hAnsi="Arial" w:cs="Arial"/>
          <w:color w:val="000000" w:themeColor="text1"/>
          <w:sz w:val="19"/>
          <w:szCs w:val="19"/>
        </w:rPr>
        <w:t xml:space="preserve"> quedarán perfeccionadas con la firma del jefe de la entidad contratante, previo registro presupuestal, adición y prórroga de las garantías otorgadas y pago de los impuestos correspondientes. </w:t>
      </w:r>
      <w:r w:rsidRPr="005977FA">
        <w:rPr>
          <w:rFonts w:ascii="Arial" w:hAnsi="Arial" w:cs="Arial"/>
          <w:i/>
          <w:color w:val="000000" w:themeColor="text1"/>
          <w:sz w:val="19"/>
          <w:szCs w:val="19"/>
        </w:rPr>
        <w:t>Las relacionadas con el plazo</w:t>
      </w:r>
      <w:r w:rsidRPr="005977FA">
        <w:rPr>
          <w:rFonts w:ascii="Arial" w:hAnsi="Arial" w:cs="Arial"/>
          <w:color w:val="000000" w:themeColor="text1"/>
          <w:sz w:val="19"/>
          <w:szCs w:val="19"/>
        </w:rPr>
        <w:t xml:space="preserve"> sólo requerirán firma del jefe de la entidad contratante y prórroga de las garantías».</w:t>
      </w:r>
    </w:p>
    <w:p w14:paraId="565A547A" w14:textId="77777777" w:rsidR="005D7512" w:rsidRPr="005977FA" w:rsidRDefault="005D7512" w:rsidP="00231255">
      <w:pPr>
        <w:spacing w:after="0" w:line="240" w:lineRule="auto"/>
        <w:ind w:firstLine="709"/>
        <w:rPr>
          <w:rFonts w:ascii="Arial" w:hAnsi="Arial" w:cs="Arial"/>
          <w:color w:val="000000" w:themeColor="text1"/>
          <w:sz w:val="19"/>
          <w:szCs w:val="19"/>
        </w:rPr>
      </w:pPr>
    </w:p>
  </w:footnote>
  <w:footnote w:id="22">
    <w:p w14:paraId="6267A209" w14:textId="77777777" w:rsidR="005D7512" w:rsidRPr="005977FA" w:rsidRDefault="005D7512" w:rsidP="00231255">
      <w:pPr>
        <w:pStyle w:val="NormalWeb"/>
        <w:spacing w:before="0" w:beforeAutospacing="0" w:after="0" w:afterAutospacing="0" w:line="240" w:lineRule="auto"/>
        <w:ind w:firstLine="708"/>
        <w:rPr>
          <w:rFonts w:ascii="Arial" w:hAnsi="Arial" w:cs="Arial"/>
          <w:color w:val="000000" w:themeColor="text1"/>
          <w:sz w:val="19"/>
          <w:szCs w:val="19"/>
        </w:rPr>
      </w:pPr>
      <w:r w:rsidRPr="005977FA">
        <w:rPr>
          <w:rStyle w:val="Refdenotaalpie"/>
          <w:rFonts w:ascii="Arial" w:hAnsi="Arial" w:cs="Arial"/>
          <w:color w:val="000000" w:themeColor="text1"/>
          <w:sz w:val="19"/>
          <w:szCs w:val="19"/>
        </w:rPr>
        <w:footnoteRef/>
      </w:r>
      <w:r w:rsidRPr="005977FA">
        <w:rPr>
          <w:rFonts w:ascii="Arial" w:hAnsi="Arial" w:cs="Arial"/>
          <w:color w:val="000000" w:themeColor="text1"/>
          <w:sz w:val="19"/>
          <w:szCs w:val="19"/>
        </w:rPr>
        <w:t xml:space="preserve"> «Artículo 58. De los contratos adicionales. Salvo lo dispuesto en el título IV, cuando haya necesidad de modificar el plazo o el valor convenido y no se tratare de la revisión de precios prevista en este estatuto, se suscribirá un contrato adicional que no podrá exceder la cifra resultante de sumar la mitad de la cuantía originalmente pactada más el valor de los reajustes que se hubieren efectuado a la fecha de acordarse la suscripción del contrato adicional. </w:t>
      </w:r>
    </w:p>
    <w:p w14:paraId="3CC02BAE" w14:textId="77777777" w:rsidR="005D7512" w:rsidRPr="005977FA" w:rsidRDefault="005D7512" w:rsidP="00231255">
      <w:pPr>
        <w:spacing w:after="0" w:line="240" w:lineRule="auto"/>
        <w:ind w:firstLine="708"/>
        <w:rPr>
          <w:rFonts w:ascii="Arial" w:eastAsia="Times New Roman" w:hAnsi="Arial" w:cs="Arial"/>
          <w:color w:val="000000" w:themeColor="text1"/>
          <w:sz w:val="19"/>
          <w:szCs w:val="19"/>
          <w:lang w:val="es-CO" w:eastAsia="es-CO"/>
        </w:rPr>
      </w:pPr>
      <w:r w:rsidRPr="005977FA">
        <w:rPr>
          <w:rFonts w:ascii="Arial" w:eastAsia="Times New Roman" w:hAnsi="Arial" w:cs="Arial"/>
          <w:color w:val="000000" w:themeColor="text1"/>
          <w:sz w:val="19"/>
          <w:szCs w:val="19"/>
          <w:lang w:val="es-CO" w:eastAsia="es-CO"/>
        </w:rPr>
        <w:t>»Las adiciones relacionadas con el valor quedarán perfeccionadas una vez suscrito el contrato y efectuado el registro presupuestal. Las relaciones con el plazo sólo requerirán firma del jefe de la entidad contratante y prórroga de las garantías. </w:t>
      </w:r>
    </w:p>
    <w:p w14:paraId="33588814" w14:textId="77777777" w:rsidR="005D7512" w:rsidRPr="005977FA" w:rsidRDefault="005D7512" w:rsidP="00231255">
      <w:pPr>
        <w:spacing w:after="0" w:line="240" w:lineRule="auto"/>
        <w:rPr>
          <w:rFonts w:ascii="Arial" w:eastAsia="Times New Roman" w:hAnsi="Arial" w:cs="Arial"/>
          <w:color w:val="000000" w:themeColor="text1"/>
          <w:sz w:val="19"/>
          <w:szCs w:val="19"/>
          <w:lang w:val="es-CO" w:eastAsia="es-CO"/>
        </w:rPr>
      </w:pPr>
      <w:r w:rsidRPr="005977FA">
        <w:rPr>
          <w:rFonts w:ascii="Arial" w:eastAsia="Times New Roman" w:hAnsi="Arial" w:cs="Arial"/>
          <w:color w:val="000000" w:themeColor="text1"/>
          <w:sz w:val="19"/>
          <w:szCs w:val="19"/>
          <w:lang w:val="es-CO" w:eastAsia="es-CO"/>
        </w:rPr>
        <w:t>  </w:t>
      </w:r>
      <w:r w:rsidRPr="005977FA">
        <w:rPr>
          <w:rFonts w:ascii="Arial" w:eastAsia="Times New Roman" w:hAnsi="Arial" w:cs="Arial"/>
          <w:color w:val="000000" w:themeColor="text1"/>
          <w:sz w:val="19"/>
          <w:szCs w:val="19"/>
          <w:lang w:val="es-CO" w:eastAsia="es-CO"/>
        </w:rPr>
        <w:tab/>
        <w:t>»Serán requisitos para que pueda iniciarse la ejecución del contrato, la adición y prórroga de las garantías y el pago de los impuestos correspondientes. </w:t>
      </w:r>
    </w:p>
    <w:p w14:paraId="6669473F" w14:textId="77777777" w:rsidR="005D7512" w:rsidRPr="005977FA" w:rsidRDefault="005D7512" w:rsidP="00231255">
      <w:pPr>
        <w:spacing w:after="0" w:line="240" w:lineRule="auto"/>
        <w:rPr>
          <w:rFonts w:ascii="Arial" w:eastAsia="Times New Roman" w:hAnsi="Arial" w:cs="Arial"/>
          <w:color w:val="000000" w:themeColor="text1"/>
          <w:sz w:val="19"/>
          <w:szCs w:val="19"/>
          <w:lang w:val="es-CO" w:eastAsia="es-CO"/>
        </w:rPr>
      </w:pPr>
      <w:r w:rsidRPr="005977FA">
        <w:rPr>
          <w:rFonts w:ascii="Arial" w:eastAsia="Times New Roman" w:hAnsi="Arial" w:cs="Arial"/>
          <w:color w:val="000000" w:themeColor="text1"/>
          <w:sz w:val="19"/>
          <w:szCs w:val="19"/>
          <w:lang w:val="es-CO" w:eastAsia="es-CO"/>
        </w:rPr>
        <w:t>  </w:t>
      </w:r>
      <w:r w:rsidRPr="005977FA">
        <w:rPr>
          <w:rFonts w:ascii="Arial" w:eastAsia="Times New Roman" w:hAnsi="Arial" w:cs="Arial"/>
          <w:color w:val="000000" w:themeColor="text1"/>
          <w:sz w:val="19"/>
          <w:szCs w:val="19"/>
          <w:lang w:val="es-CO" w:eastAsia="es-CO"/>
        </w:rPr>
        <w:tab/>
        <w:t>»Los contratos de interventoría, administración delegada, y consultoría previstos en este estatuto, podrán adicionarse sin el límite fijado en el presente artículo. </w:t>
      </w:r>
    </w:p>
    <w:p w14:paraId="6FDF2FE0" w14:textId="77777777" w:rsidR="005D7512" w:rsidRPr="005977FA" w:rsidRDefault="005D7512" w:rsidP="00231255">
      <w:pPr>
        <w:spacing w:after="0" w:line="240" w:lineRule="auto"/>
        <w:rPr>
          <w:rFonts w:ascii="Arial" w:eastAsia="Times New Roman" w:hAnsi="Arial" w:cs="Arial"/>
          <w:color w:val="000000" w:themeColor="text1"/>
          <w:sz w:val="19"/>
          <w:szCs w:val="19"/>
          <w:lang w:val="es-CO" w:eastAsia="es-CO"/>
        </w:rPr>
      </w:pPr>
      <w:r w:rsidRPr="005977FA">
        <w:rPr>
          <w:rFonts w:ascii="Arial" w:eastAsia="Times New Roman" w:hAnsi="Arial" w:cs="Arial"/>
          <w:color w:val="000000" w:themeColor="text1"/>
          <w:sz w:val="19"/>
          <w:szCs w:val="19"/>
          <w:lang w:val="es-CO" w:eastAsia="es-CO"/>
        </w:rPr>
        <w:t>  </w:t>
      </w:r>
      <w:r w:rsidRPr="005977FA">
        <w:rPr>
          <w:rFonts w:ascii="Arial" w:eastAsia="Times New Roman" w:hAnsi="Arial" w:cs="Arial"/>
          <w:color w:val="000000" w:themeColor="text1"/>
          <w:sz w:val="19"/>
          <w:szCs w:val="19"/>
          <w:lang w:val="es-CO" w:eastAsia="es-CO"/>
        </w:rPr>
        <w:tab/>
        <w:t>»Las adiciones deberán publicarse en el Diario oficial. </w:t>
      </w:r>
    </w:p>
    <w:p w14:paraId="603C851B" w14:textId="77777777" w:rsidR="005D7512" w:rsidRPr="005977FA" w:rsidRDefault="005D7512" w:rsidP="00231255">
      <w:pPr>
        <w:spacing w:after="0" w:line="240" w:lineRule="auto"/>
        <w:rPr>
          <w:rFonts w:ascii="Arial" w:eastAsia="Times New Roman" w:hAnsi="Arial" w:cs="Arial"/>
          <w:color w:val="000000" w:themeColor="text1"/>
          <w:sz w:val="19"/>
          <w:szCs w:val="19"/>
          <w:lang w:val="es-CO" w:eastAsia="es-CO"/>
        </w:rPr>
      </w:pPr>
      <w:r w:rsidRPr="005977FA">
        <w:rPr>
          <w:rFonts w:ascii="Arial" w:eastAsia="Times New Roman" w:hAnsi="Arial" w:cs="Arial"/>
          <w:color w:val="000000" w:themeColor="text1"/>
          <w:sz w:val="19"/>
          <w:szCs w:val="19"/>
          <w:lang w:val="es-CO" w:eastAsia="es-CO"/>
        </w:rPr>
        <w:t>  </w:t>
      </w:r>
      <w:r w:rsidRPr="005977FA">
        <w:rPr>
          <w:rFonts w:ascii="Arial" w:eastAsia="Times New Roman" w:hAnsi="Arial" w:cs="Arial"/>
          <w:color w:val="000000" w:themeColor="text1"/>
          <w:sz w:val="19"/>
          <w:szCs w:val="19"/>
          <w:lang w:val="es-CO" w:eastAsia="es-CO"/>
        </w:rPr>
        <w:tab/>
        <w:t>»En ningún caso podrá modificarse el objeto de los contratos, ni prorrogarse su plazo si estuviere vencido, so pretexto de la celebración de contratos adicionales, ni pactarse prórrogas automáticas. </w:t>
      </w:r>
    </w:p>
    <w:p w14:paraId="0CCB49D5" w14:textId="77777777" w:rsidR="005D7512" w:rsidRPr="005977FA" w:rsidRDefault="005D7512" w:rsidP="00231255">
      <w:pPr>
        <w:spacing w:after="0" w:line="240" w:lineRule="auto"/>
        <w:rPr>
          <w:rFonts w:ascii="Arial" w:eastAsia="Times New Roman" w:hAnsi="Arial" w:cs="Arial"/>
          <w:color w:val="000000" w:themeColor="text1"/>
          <w:sz w:val="19"/>
          <w:szCs w:val="19"/>
          <w:lang w:val="es-CO" w:eastAsia="es-CO"/>
        </w:rPr>
      </w:pPr>
      <w:r w:rsidRPr="005977FA">
        <w:rPr>
          <w:rFonts w:ascii="Arial" w:eastAsia="Times New Roman" w:hAnsi="Arial" w:cs="Arial"/>
          <w:color w:val="000000" w:themeColor="text1"/>
          <w:sz w:val="19"/>
          <w:szCs w:val="19"/>
          <w:lang w:val="es-CO" w:eastAsia="es-CO"/>
        </w:rPr>
        <w:t>  </w:t>
      </w:r>
      <w:r w:rsidRPr="005977FA">
        <w:rPr>
          <w:rFonts w:ascii="Arial" w:eastAsia="Times New Roman" w:hAnsi="Arial" w:cs="Arial"/>
          <w:color w:val="000000" w:themeColor="text1"/>
          <w:sz w:val="19"/>
          <w:szCs w:val="19"/>
          <w:lang w:val="es-CO" w:eastAsia="es-CO"/>
        </w:rPr>
        <w:tab/>
        <w:t>»Parágrafo. Los contratos de empréstito distintos a los créditos de proveedores, no se someterán a lo dispuesto en este artículo».</w:t>
      </w:r>
    </w:p>
    <w:p w14:paraId="6DDC2EDE" w14:textId="77777777" w:rsidR="005D7512" w:rsidRPr="005977FA" w:rsidRDefault="005D7512" w:rsidP="00231255">
      <w:pPr>
        <w:pStyle w:val="Textonotapie"/>
        <w:spacing w:after="0" w:line="240" w:lineRule="auto"/>
        <w:ind w:firstLine="708"/>
        <w:rPr>
          <w:rFonts w:ascii="Arial" w:hAnsi="Arial" w:cs="Arial"/>
          <w:color w:val="000000" w:themeColor="text1"/>
          <w:sz w:val="19"/>
          <w:szCs w:val="19"/>
        </w:rPr>
      </w:pPr>
    </w:p>
  </w:footnote>
  <w:footnote w:id="23">
    <w:p w14:paraId="32FEE738" w14:textId="77777777" w:rsidR="005D7512" w:rsidRPr="005977FA" w:rsidRDefault="005D7512" w:rsidP="00231255">
      <w:pPr>
        <w:pStyle w:val="Textonotapie"/>
        <w:spacing w:after="0" w:line="240" w:lineRule="auto"/>
        <w:ind w:firstLine="709"/>
        <w:rPr>
          <w:rFonts w:ascii="Arial" w:hAnsi="Arial" w:cs="Arial"/>
          <w:color w:val="000000" w:themeColor="text1"/>
          <w:sz w:val="19"/>
          <w:szCs w:val="19"/>
        </w:rPr>
      </w:pPr>
      <w:r w:rsidRPr="005977FA">
        <w:rPr>
          <w:rStyle w:val="Refdenotaalpie"/>
          <w:rFonts w:ascii="Arial" w:hAnsi="Arial" w:cs="Arial"/>
          <w:color w:val="000000" w:themeColor="text1"/>
          <w:sz w:val="19"/>
          <w:szCs w:val="19"/>
        </w:rPr>
        <w:footnoteRef/>
      </w:r>
      <w:r w:rsidRPr="005977FA">
        <w:rPr>
          <w:rFonts w:ascii="Arial" w:hAnsi="Arial" w:cs="Arial"/>
          <w:color w:val="000000" w:themeColor="text1"/>
          <w:sz w:val="19"/>
          <w:szCs w:val="19"/>
        </w:rPr>
        <w:t xml:space="preserve"> Lo anterior sin desconocer: i) que la Ley 80 de 1993 en el artículo 36 y 37 estableció la posibilidad de prorrogar el término de duración de las concesiones para la prestación de los servicios y actividades de telecomunicaciones, al igual que en relación con la concesión de servicios postales; y ii) dicha ley utiliza en varios lugares el concepto prórroga como la posibilidad de ampliar ciertos plazos, referidos a determinadas etapas de la etapa precontractual –arts. 30.4, 30.5 y 30.9-.</w:t>
      </w:r>
    </w:p>
  </w:footnote>
  <w:footnote w:id="24">
    <w:p w14:paraId="77F930D3" w14:textId="77777777" w:rsidR="005D7512" w:rsidRPr="005977FA" w:rsidRDefault="005D7512" w:rsidP="00231255">
      <w:pPr>
        <w:pStyle w:val="Textonotapie"/>
        <w:spacing w:after="0" w:line="240" w:lineRule="auto"/>
        <w:ind w:firstLine="709"/>
        <w:rPr>
          <w:rFonts w:ascii="Arial" w:hAnsi="Arial" w:cs="Arial"/>
          <w:color w:val="000000" w:themeColor="text1"/>
          <w:sz w:val="19"/>
          <w:szCs w:val="19"/>
        </w:rPr>
      </w:pPr>
      <w:r w:rsidRPr="005977FA">
        <w:rPr>
          <w:rStyle w:val="Refdenotaalpie"/>
          <w:rFonts w:ascii="Arial" w:hAnsi="Arial" w:cs="Arial"/>
          <w:color w:val="000000" w:themeColor="text1"/>
          <w:sz w:val="19"/>
          <w:szCs w:val="19"/>
        </w:rPr>
        <w:footnoteRef/>
      </w:r>
      <w:r w:rsidRPr="005977FA">
        <w:rPr>
          <w:rFonts w:ascii="Arial" w:hAnsi="Arial" w:cs="Arial"/>
          <w:color w:val="000000" w:themeColor="text1"/>
          <w:sz w:val="19"/>
          <w:szCs w:val="19"/>
        </w:rPr>
        <w:t xml:space="preserve"> En igual sentido se pronunció la Corte Suprema de Justicia. Sala de Casación Civil. En Sentencia del 30 de agosto de 2011, M.P. William </w:t>
      </w:r>
      <w:r w:rsidRPr="005977FA">
        <w:rPr>
          <w:rFonts w:ascii="Arial" w:hAnsi="Arial" w:cs="Arial"/>
          <w:color w:val="000000" w:themeColor="text1"/>
          <w:sz w:val="19"/>
          <w:szCs w:val="19"/>
        </w:rPr>
        <w:t xml:space="preserve">Namén Vargas. Rad. 1999-01957: «La renovación no se confunde con la prórroga del contrato, ‘el renovado es uno nuevo’ (Corte Suprema de Justicia, Sala Plena, sentencia de 20 de noviembre de 1971, CXXXVIII, 482 y ss; cas. civ. sentencias de 24 de septiembre de 1985 CLXXX, 431; 31 de octubre de 1994, exp. 3868; 7 de julio de 1998, rad. 10825; 8 de octubre de 1997, exp. 4818; 27 de julio de 2001, exp. 5860; 24 de septiembre de 2001, exp. 5876, 14 de abril de 2008, 2001 00082 01), y el prorrogado el mismo. La prórroga mantiene idéntico el contrato, no se presenta más sino por acuerdo anterior al vencimiento del plazo y lo continúa en las condiciones primarias por un período igual (artículos 218 [1], 520, 829, 1425 [“prorrogado por un período igual”], 1510, 1685, 1686, 1712, 1891C. de Co)». (corchetes y paréntesis propios del original). </w:t>
      </w:r>
    </w:p>
    <w:p w14:paraId="2DD2F48E" w14:textId="77777777" w:rsidR="005D7512" w:rsidRPr="005977FA" w:rsidRDefault="005D7512" w:rsidP="00231255">
      <w:pPr>
        <w:pStyle w:val="Textonotapie"/>
        <w:spacing w:after="0" w:line="240" w:lineRule="auto"/>
        <w:ind w:firstLine="709"/>
        <w:rPr>
          <w:rFonts w:ascii="Arial" w:hAnsi="Arial" w:cs="Arial"/>
          <w:color w:val="000000" w:themeColor="text1"/>
          <w:sz w:val="19"/>
          <w:szCs w:val="19"/>
        </w:rPr>
      </w:pPr>
    </w:p>
  </w:footnote>
  <w:footnote w:id="25">
    <w:p w14:paraId="4C5CB633" w14:textId="2C1F2745" w:rsidR="005D7512" w:rsidRPr="005977FA" w:rsidRDefault="005D7512" w:rsidP="00231255">
      <w:pPr>
        <w:pStyle w:val="Textonotapie"/>
        <w:spacing w:after="0" w:line="240" w:lineRule="auto"/>
        <w:ind w:firstLine="709"/>
        <w:rPr>
          <w:rFonts w:ascii="Arial" w:hAnsi="Arial" w:cs="Arial"/>
          <w:color w:val="000000" w:themeColor="text1"/>
          <w:sz w:val="19"/>
          <w:szCs w:val="19"/>
        </w:rPr>
      </w:pPr>
      <w:r w:rsidRPr="005977FA">
        <w:rPr>
          <w:rStyle w:val="Refdenotaalpie"/>
          <w:rFonts w:ascii="Arial" w:hAnsi="Arial" w:cs="Arial"/>
          <w:color w:val="000000" w:themeColor="text1"/>
          <w:sz w:val="19"/>
          <w:szCs w:val="19"/>
        </w:rPr>
        <w:footnoteRef/>
      </w:r>
      <w:r w:rsidRPr="005977FA">
        <w:rPr>
          <w:rFonts w:ascii="Arial" w:hAnsi="Arial" w:cs="Arial"/>
          <w:color w:val="000000" w:themeColor="text1"/>
          <w:sz w:val="19"/>
          <w:szCs w:val="19"/>
        </w:rPr>
        <w:t xml:space="preserve"> MARÍN CORTÉS, Fabián G. El precio.</w:t>
      </w:r>
      <w:r w:rsidRPr="005977FA">
        <w:rPr>
          <w:rFonts w:ascii="Arial" w:hAnsi="Arial" w:cs="Arial"/>
          <w:i/>
          <w:color w:val="000000" w:themeColor="text1"/>
          <w:sz w:val="19"/>
          <w:szCs w:val="19"/>
        </w:rPr>
        <w:t xml:space="preserve"> </w:t>
      </w:r>
      <w:r w:rsidRPr="005977FA">
        <w:rPr>
          <w:rFonts w:ascii="Arial" w:hAnsi="Arial" w:cs="Arial"/>
          <w:color w:val="000000" w:themeColor="text1"/>
          <w:sz w:val="19"/>
          <w:szCs w:val="19"/>
        </w:rPr>
        <w:t>Serie: Las Cláusulas del Contrato Estatal. Medellín: Librería jurídica Sánchez y Centro de Estudios de Derecho Administrativo ―CEDA―, 2012. p. 227 y 228.</w:t>
      </w:r>
    </w:p>
  </w:footnote>
  <w:footnote w:id="26">
    <w:p w14:paraId="1BC6A6B6" w14:textId="77777777" w:rsidR="005D7512" w:rsidRPr="005977FA" w:rsidRDefault="005D7512" w:rsidP="00231255">
      <w:pPr>
        <w:pStyle w:val="Textonotapie"/>
        <w:spacing w:after="0" w:line="240" w:lineRule="auto"/>
        <w:ind w:firstLine="708"/>
        <w:rPr>
          <w:rFonts w:ascii="Arial" w:hAnsi="Arial" w:cs="Arial"/>
          <w:color w:val="000000" w:themeColor="text1"/>
          <w:sz w:val="19"/>
          <w:szCs w:val="19"/>
        </w:rPr>
      </w:pPr>
      <w:r w:rsidRPr="005977FA">
        <w:rPr>
          <w:rStyle w:val="Refdenotaalpie"/>
          <w:rFonts w:ascii="Arial" w:hAnsi="Arial" w:cs="Arial"/>
          <w:color w:val="000000" w:themeColor="text1"/>
          <w:sz w:val="19"/>
          <w:szCs w:val="19"/>
        </w:rPr>
        <w:footnoteRef/>
      </w:r>
      <w:r w:rsidRPr="005977FA">
        <w:rPr>
          <w:rFonts w:ascii="Arial" w:hAnsi="Arial" w:cs="Arial"/>
          <w:color w:val="000000" w:themeColor="text1"/>
          <w:sz w:val="19"/>
          <w:szCs w:val="19"/>
        </w:rPr>
        <w:t xml:space="preserve"> DÁVILA VINUEZA. Luis Guillermo. </w:t>
      </w:r>
      <w:r w:rsidRPr="005977FA">
        <w:rPr>
          <w:rFonts w:ascii="Arial" w:hAnsi="Arial" w:cs="Arial"/>
          <w:iCs/>
          <w:color w:val="000000" w:themeColor="text1"/>
          <w:sz w:val="19"/>
          <w:szCs w:val="19"/>
        </w:rPr>
        <w:t>Régimen jurídico de la contratación estatal. Aproximación crítica a la Ley 80 de 1993.</w:t>
      </w:r>
      <w:r w:rsidRPr="005977FA">
        <w:rPr>
          <w:rFonts w:ascii="Arial" w:hAnsi="Arial" w:cs="Arial"/>
          <w:color w:val="000000" w:themeColor="text1"/>
          <w:sz w:val="19"/>
          <w:szCs w:val="19"/>
        </w:rPr>
        <w:t xml:space="preserve"> 2ª ed. Bogotá: Legis, 2003.</w:t>
      </w:r>
    </w:p>
    <w:p w14:paraId="2EF641FA" w14:textId="77777777" w:rsidR="005D7512" w:rsidRPr="005977FA" w:rsidRDefault="005D7512" w:rsidP="00231255">
      <w:pPr>
        <w:pStyle w:val="Textonotapie"/>
        <w:spacing w:after="0" w:line="240" w:lineRule="auto"/>
        <w:ind w:firstLine="708"/>
        <w:rPr>
          <w:rFonts w:ascii="Arial" w:hAnsi="Arial" w:cs="Arial"/>
          <w:color w:val="000000" w:themeColor="text1"/>
          <w:sz w:val="19"/>
          <w:szCs w:val="19"/>
          <w:lang w:val="es-CO"/>
        </w:rPr>
      </w:pPr>
    </w:p>
  </w:footnote>
  <w:footnote w:id="27">
    <w:p w14:paraId="509E40EA" w14:textId="77777777" w:rsidR="00C30E92" w:rsidRPr="00C259DD" w:rsidRDefault="00C30E92" w:rsidP="00C30E92">
      <w:pPr>
        <w:pStyle w:val="Textonotapie"/>
        <w:spacing w:line="240" w:lineRule="auto"/>
        <w:ind w:firstLine="709"/>
        <w:rPr>
          <w:rFonts w:ascii="Arial" w:hAnsi="Arial" w:cs="Arial"/>
          <w:sz w:val="19"/>
          <w:szCs w:val="19"/>
        </w:rPr>
      </w:pPr>
      <w:r w:rsidRPr="00C259DD">
        <w:rPr>
          <w:rStyle w:val="Refdenotaalpie"/>
          <w:rFonts w:ascii="Arial" w:hAnsi="Arial" w:cs="Arial"/>
          <w:sz w:val="19"/>
          <w:szCs w:val="19"/>
        </w:rPr>
        <w:footnoteRef/>
      </w:r>
      <w:r w:rsidRPr="00C259DD">
        <w:rPr>
          <w:rFonts w:ascii="Arial" w:hAnsi="Arial" w:cs="Arial"/>
          <w:sz w:val="19"/>
          <w:szCs w:val="19"/>
        </w:rPr>
        <w:t xml:space="preserve"> Agencia Nacional de contratación Pública – Colombia Compra Eficiente. Circular No. 3 del 16 de agosto de 2013. Consultada el 29 de diciembre de 2021 en la página web: </w:t>
      </w:r>
      <w:hyperlink r:id="rId1" w:history="1">
        <w:r w:rsidRPr="00C259DD">
          <w:rPr>
            <w:rStyle w:val="Hipervnculo"/>
            <w:rFonts w:ascii="Arial" w:hAnsi="Arial" w:cs="Arial"/>
            <w:color w:val="auto"/>
            <w:sz w:val="19"/>
            <w:szCs w:val="19"/>
          </w:rPr>
          <w:t>https://colombiacompra.gov.co/sites/cce_public/files/cce_circulares/20130816circular3leygarantias.pdf</w:t>
        </w:r>
      </w:hyperlink>
      <w:r w:rsidRPr="00C259DD">
        <w:rPr>
          <w:rFonts w:ascii="Arial" w:hAnsi="Arial" w:cs="Arial"/>
          <w:sz w:val="19"/>
          <w:szCs w:val="19"/>
        </w:rPr>
        <w:t xml:space="preserve"> </w:t>
      </w:r>
    </w:p>
  </w:footnote>
  <w:footnote w:id="28">
    <w:p w14:paraId="622D4213" w14:textId="77777777" w:rsidR="00C30E92" w:rsidRPr="00C259DD" w:rsidRDefault="00C30E92" w:rsidP="00C30E92">
      <w:pPr>
        <w:pStyle w:val="Textonotapie"/>
        <w:spacing w:line="240" w:lineRule="auto"/>
        <w:ind w:firstLine="709"/>
        <w:rPr>
          <w:rFonts w:ascii="Arial" w:hAnsi="Arial" w:cs="Arial"/>
          <w:sz w:val="19"/>
          <w:szCs w:val="19"/>
        </w:rPr>
      </w:pPr>
      <w:r w:rsidRPr="00C259DD">
        <w:rPr>
          <w:rStyle w:val="Refdenotaalpie"/>
          <w:rFonts w:ascii="Arial" w:hAnsi="Arial" w:cs="Arial"/>
          <w:sz w:val="19"/>
          <w:szCs w:val="19"/>
        </w:rPr>
        <w:footnoteRef/>
      </w:r>
      <w:r w:rsidRPr="00C259DD">
        <w:rPr>
          <w:rFonts w:ascii="Arial" w:hAnsi="Arial" w:cs="Arial"/>
          <w:sz w:val="19"/>
          <w:szCs w:val="19"/>
        </w:rPr>
        <w:t xml:space="preserve"> Procuraduría General de la Nación. Circular No. 007 del 22 de mayo de 2021. Consultada el 29 de diciembre de 2021 en la página web: </w:t>
      </w:r>
      <w:hyperlink r:id="rId2" w:history="1">
        <w:r w:rsidRPr="00C259DD">
          <w:rPr>
            <w:rStyle w:val="Hipervnculo"/>
            <w:rFonts w:ascii="Arial" w:hAnsi="Arial" w:cs="Arial"/>
            <w:color w:val="auto"/>
            <w:sz w:val="19"/>
            <w:szCs w:val="19"/>
          </w:rPr>
          <w:t>https://www.procuraduria.gov.co/portal/relatoria_normatividad.page</w:t>
        </w:r>
      </w:hyperlink>
      <w:r>
        <w:rPr>
          <w:rFonts w:ascii="Arial" w:hAnsi="Arial" w:cs="Arial"/>
          <w:sz w:val="19"/>
          <w:szCs w:val="19"/>
        </w:rPr>
        <w:t>.</w:t>
      </w:r>
    </w:p>
  </w:footnote>
  <w:footnote w:id="29">
    <w:p w14:paraId="7D4CB069" w14:textId="77777777" w:rsidR="00C30E92" w:rsidRPr="00C259DD" w:rsidRDefault="00C30E92" w:rsidP="00C30E92">
      <w:pPr>
        <w:pStyle w:val="Textonotapie"/>
        <w:spacing w:line="240" w:lineRule="auto"/>
        <w:ind w:firstLine="709"/>
        <w:rPr>
          <w:rFonts w:ascii="Arial" w:hAnsi="Arial" w:cs="Arial"/>
          <w:sz w:val="19"/>
          <w:szCs w:val="19"/>
        </w:rPr>
      </w:pPr>
      <w:r w:rsidRPr="00C259DD">
        <w:rPr>
          <w:rStyle w:val="Refdenotaalpie"/>
          <w:rFonts w:ascii="Arial" w:hAnsi="Arial" w:cs="Arial"/>
          <w:sz w:val="19"/>
          <w:szCs w:val="19"/>
        </w:rPr>
        <w:footnoteRef/>
      </w:r>
      <w:r w:rsidRPr="00C259DD">
        <w:rPr>
          <w:rFonts w:ascii="Arial" w:hAnsi="Arial" w:cs="Arial"/>
          <w:sz w:val="19"/>
          <w:szCs w:val="19"/>
        </w:rPr>
        <w:t xml:space="preserve"> Dicha circular indica: «La Ley de Garantías no establece restricciones para las prórrogas, modificaciones o adiciones, ni para la cesión de los contratos suscritos antes del período de la campaña presidencial. Estas se pueden celebrar de conformidad con los principios de planeación, transparencia y de responsabilidad establecidos en la Ley 80 de 1993, y demás normas que resulten aplicables a cada caso». Consultada el 29 de diciembre de 2021 en la página web: https://dapre.presidencia.gov.co/normativa/normativa/CIRCULAR%20CONJUNTA%20100-06%20DE%202021.pdf</w:t>
      </w:r>
    </w:p>
  </w:footnote>
  <w:footnote w:id="30">
    <w:p w14:paraId="0218A05D" w14:textId="77777777" w:rsidR="00C30E92" w:rsidRDefault="00C30E92" w:rsidP="00C30E92">
      <w:pPr>
        <w:pStyle w:val="Textonotapie"/>
        <w:spacing w:after="0" w:line="240" w:lineRule="auto"/>
        <w:ind w:firstLine="709"/>
        <w:rPr>
          <w:rFonts w:ascii="Arial" w:hAnsi="Arial" w:cs="Arial"/>
          <w:sz w:val="19"/>
          <w:szCs w:val="19"/>
        </w:rPr>
      </w:pPr>
      <w:r w:rsidRPr="00C259DD">
        <w:rPr>
          <w:rStyle w:val="Refdenotaalpie"/>
          <w:rFonts w:ascii="Arial" w:hAnsi="Arial" w:cs="Arial"/>
          <w:sz w:val="19"/>
          <w:szCs w:val="19"/>
        </w:rPr>
        <w:footnoteRef/>
      </w:r>
      <w:r w:rsidRPr="00C259DD">
        <w:rPr>
          <w:rFonts w:ascii="Arial" w:hAnsi="Arial" w:cs="Arial"/>
          <w:sz w:val="19"/>
          <w:szCs w:val="19"/>
        </w:rPr>
        <w:t xml:space="preserve"> Ley 80 de 1993: «</w:t>
      </w:r>
      <w:r w:rsidRPr="00C259DD">
        <w:rPr>
          <w:rFonts w:ascii="Arial" w:hAnsi="Arial" w:cs="Arial"/>
          <w:sz w:val="19"/>
          <w:szCs w:val="19"/>
        </w:rPr>
        <w:t>Articulo 6o. De la capacidad para contratar. Pueden celebrar contratos con las entidades estatales las personas consideradas legalmente capaces en las disposiciones vigentes […]</w:t>
      </w:r>
      <w:r>
        <w:rPr>
          <w:rFonts w:ascii="Arial" w:hAnsi="Arial" w:cs="Arial"/>
          <w:sz w:val="19"/>
          <w:szCs w:val="19"/>
        </w:rPr>
        <w:t>»</w:t>
      </w:r>
    </w:p>
    <w:p w14:paraId="05CCB8C6" w14:textId="77777777" w:rsidR="00C30E92" w:rsidRPr="00C259DD" w:rsidRDefault="00C30E92" w:rsidP="00C30E92">
      <w:pPr>
        <w:pStyle w:val="Textonotapie"/>
        <w:spacing w:after="0" w:line="240" w:lineRule="auto"/>
        <w:ind w:firstLine="709"/>
        <w:rPr>
          <w:rFonts w:ascii="Arial" w:hAnsi="Arial" w:cs="Arial"/>
          <w:sz w:val="19"/>
          <w:szCs w:val="19"/>
        </w:rPr>
      </w:pPr>
      <w:r>
        <w:rPr>
          <w:rFonts w:ascii="Arial" w:hAnsi="Arial" w:cs="Arial"/>
          <w:sz w:val="19"/>
          <w:szCs w:val="19"/>
        </w:rPr>
        <w:t>«</w:t>
      </w:r>
      <w:r w:rsidRPr="00C259DD">
        <w:rPr>
          <w:rFonts w:ascii="Arial" w:hAnsi="Arial" w:cs="Arial"/>
          <w:sz w:val="19"/>
          <w:szCs w:val="19"/>
        </w:rPr>
        <w:t xml:space="preserve">Articulo 8o. De las inhabilidades e incompatibilidades para contratar. </w:t>
      </w:r>
    </w:p>
    <w:p w14:paraId="19D9451F" w14:textId="77777777" w:rsidR="00C30E92" w:rsidRDefault="00C30E92" w:rsidP="00C30E92">
      <w:pPr>
        <w:pStyle w:val="Textonotapie"/>
        <w:spacing w:after="0" w:line="240" w:lineRule="auto"/>
        <w:ind w:firstLine="709"/>
        <w:rPr>
          <w:rFonts w:ascii="Arial" w:hAnsi="Arial" w:cs="Arial"/>
          <w:sz w:val="19"/>
          <w:szCs w:val="19"/>
        </w:rPr>
      </w:pPr>
      <w:r w:rsidRPr="00C259DD">
        <w:rPr>
          <w:rFonts w:ascii="Arial" w:hAnsi="Arial" w:cs="Arial"/>
          <w:sz w:val="19"/>
          <w:szCs w:val="19"/>
        </w:rPr>
        <w:t>»1o. Son inhábiles para participar en licitaciones o concursos y para celebrar contratos con las entidades estatales</w:t>
      </w:r>
      <w:r w:rsidRPr="00C259DD">
        <w:rPr>
          <w:rFonts w:ascii="Arial" w:hAnsi="Arial" w:cs="Arial"/>
          <w:sz w:val="19"/>
          <w:szCs w:val="19"/>
        </w:rPr>
        <w:t>: »a) Las personas que se hallen inhabilitadas para contratar por la Constitución y las leyes […]»</w:t>
      </w:r>
      <w:r>
        <w:rPr>
          <w:rFonts w:ascii="Arial" w:hAnsi="Arial" w:cs="Arial"/>
          <w:sz w:val="19"/>
          <w:szCs w:val="19"/>
        </w:rPr>
        <w:t>.</w:t>
      </w:r>
    </w:p>
    <w:p w14:paraId="3F3D81C8" w14:textId="77777777" w:rsidR="00C30E92" w:rsidRPr="00C259DD" w:rsidRDefault="00C30E92" w:rsidP="00C30E92">
      <w:pPr>
        <w:pStyle w:val="Textonotapie"/>
        <w:spacing w:after="0" w:line="240" w:lineRule="auto"/>
        <w:ind w:firstLine="709"/>
        <w:rPr>
          <w:rFonts w:ascii="Arial" w:hAnsi="Arial" w:cs="Arial"/>
          <w:sz w:val="19"/>
          <w:szCs w:val="19"/>
        </w:rPr>
      </w:pPr>
    </w:p>
  </w:footnote>
  <w:footnote w:id="31">
    <w:p w14:paraId="35A8A3D8" w14:textId="77777777" w:rsidR="00C30E92" w:rsidRPr="00C259DD" w:rsidRDefault="00C30E92" w:rsidP="00C30E92">
      <w:pPr>
        <w:pStyle w:val="Textonotapie"/>
        <w:spacing w:line="240" w:lineRule="auto"/>
        <w:ind w:firstLine="709"/>
        <w:rPr>
          <w:rFonts w:ascii="Arial" w:hAnsi="Arial" w:cs="Arial"/>
          <w:sz w:val="19"/>
          <w:szCs w:val="19"/>
        </w:rPr>
      </w:pPr>
      <w:r w:rsidRPr="00C259DD">
        <w:rPr>
          <w:rStyle w:val="Refdenotaalpie"/>
          <w:rFonts w:ascii="Arial" w:hAnsi="Arial" w:cs="Arial"/>
          <w:sz w:val="19"/>
          <w:szCs w:val="19"/>
        </w:rPr>
        <w:footnoteRef/>
      </w:r>
      <w:r w:rsidRPr="00C259DD">
        <w:rPr>
          <w:rFonts w:ascii="Arial" w:hAnsi="Arial" w:cs="Arial"/>
          <w:sz w:val="19"/>
          <w:szCs w:val="19"/>
        </w:rPr>
        <w:t xml:space="preserve"> Constitución Política de Colombia: «Artículo 122. […] 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06723387">
    <w:abstractNumId w:val="11"/>
  </w:num>
  <w:num w:numId="2" w16cid:durableId="1958440169">
    <w:abstractNumId w:val="9"/>
  </w:num>
  <w:num w:numId="3" w16cid:durableId="316155424">
    <w:abstractNumId w:val="15"/>
  </w:num>
  <w:num w:numId="4" w16cid:durableId="1768383740">
    <w:abstractNumId w:val="21"/>
  </w:num>
  <w:num w:numId="5" w16cid:durableId="1484350696">
    <w:abstractNumId w:val="23"/>
  </w:num>
  <w:num w:numId="6" w16cid:durableId="158911959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0550102">
    <w:abstractNumId w:val="6"/>
  </w:num>
  <w:num w:numId="8" w16cid:durableId="1737043428">
    <w:abstractNumId w:val="24"/>
  </w:num>
  <w:num w:numId="9" w16cid:durableId="1268270013">
    <w:abstractNumId w:val="6"/>
    <w:lvlOverride w:ilvl="0">
      <w:startOverride w:val="1"/>
    </w:lvlOverride>
  </w:num>
  <w:num w:numId="10" w16cid:durableId="706569284">
    <w:abstractNumId w:val="25"/>
  </w:num>
  <w:num w:numId="11" w16cid:durableId="1309550324">
    <w:abstractNumId w:val="7"/>
  </w:num>
  <w:num w:numId="12" w16cid:durableId="2042898743">
    <w:abstractNumId w:val="2"/>
  </w:num>
  <w:num w:numId="13" w16cid:durableId="290479431">
    <w:abstractNumId w:val="4"/>
  </w:num>
  <w:num w:numId="14" w16cid:durableId="1064569126">
    <w:abstractNumId w:val="20"/>
  </w:num>
  <w:num w:numId="15" w16cid:durableId="1195926361">
    <w:abstractNumId w:val="13"/>
  </w:num>
  <w:num w:numId="16" w16cid:durableId="1651592925">
    <w:abstractNumId w:val="10"/>
  </w:num>
  <w:num w:numId="17" w16cid:durableId="646201754">
    <w:abstractNumId w:val="14"/>
  </w:num>
  <w:num w:numId="18" w16cid:durableId="209729287">
    <w:abstractNumId w:val="16"/>
  </w:num>
  <w:num w:numId="19" w16cid:durableId="506094081">
    <w:abstractNumId w:val="5"/>
  </w:num>
  <w:num w:numId="20" w16cid:durableId="728847338">
    <w:abstractNumId w:val="27"/>
  </w:num>
  <w:num w:numId="21" w16cid:durableId="2070036288">
    <w:abstractNumId w:val="22"/>
  </w:num>
  <w:num w:numId="22" w16cid:durableId="1975478088">
    <w:abstractNumId w:val="18"/>
  </w:num>
  <w:num w:numId="23" w16cid:durableId="1406099759">
    <w:abstractNumId w:val="17"/>
  </w:num>
  <w:num w:numId="24" w16cid:durableId="1081949993">
    <w:abstractNumId w:val="8"/>
  </w:num>
  <w:num w:numId="25" w16cid:durableId="2041709872">
    <w:abstractNumId w:val="19"/>
  </w:num>
  <w:num w:numId="26" w16cid:durableId="1114787580">
    <w:abstractNumId w:val="1"/>
  </w:num>
  <w:num w:numId="27" w16cid:durableId="2065519921">
    <w:abstractNumId w:val="12"/>
  </w:num>
  <w:num w:numId="28" w16cid:durableId="869076342">
    <w:abstractNumId w:val="26"/>
  </w:num>
  <w:num w:numId="29" w16cid:durableId="123697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02D"/>
    <w:rsid w:val="0000210D"/>
    <w:rsid w:val="0000268F"/>
    <w:rsid w:val="000029BC"/>
    <w:rsid w:val="000031A6"/>
    <w:rsid w:val="00003AEE"/>
    <w:rsid w:val="0000404B"/>
    <w:rsid w:val="00004F5E"/>
    <w:rsid w:val="000058C4"/>
    <w:rsid w:val="0000645E"/>
    <w:rsid w:val="0000682D"/>
    <w:rsid w:val="00006906"/>
    <w:rsid w:val="000105E2"/>
    <w:rsid w:val="00010981"/>
    <w:rsid w:val="00011726"/>
    <w:rsid w:val="000123BA"/>
    <w:rsid w:val="000126BB"/>
    <w:rsid w:val="00012A1B"/>
    <w:rsid w:val="000136DC"/>
    <w:rsid w:val="0001574B"/>
    <w:rsid w:val="000165EE"/>
    <w:rsid w:val="00016F33"/>
    <w:rsid w:val="00016FAC"/>
    <w:rsid w:val="0001726A"/>
    <w:rsid w:val="0001794A"/>
    <w:rsid w:val="0001795B"/>
    <w:rsid w:val="00020801"/>
    <w:rsid w:val="000208AF"/>
    <w:rsid w:val="00020D8D"/>
    <w:rsid w:val="000236CF"/>
    <w:rsid w:val="00024BE5"/>
    <w:rsid w:val="00025A4D"/>
    <w:rsid w:val="00026AD9"/>
    <w:rsid w:val="000271AD"/>
    <w:rsid w:val="000271FE"/>
    <w:rsid w:val="00027555"/>
    <w:rsid w:val="00027940"/>
    <w:rsid w:val="00027E9A"/>
    <w:rsid w:val="00027F74"/>
    <w:rsid w:val="000303EC"/>
    <w:rsid w:val="0003041B"/>
    <w:rsid w:val="00030C1F"/>
    <w:rsid w:val="0003107B"/>
    <w:rsid w:val="00031D2D"/>
    <w:rsid w:val="00034F55"/>
    <w:rsid w:val="00035AC7"/>
    <w:rsid w:val="00036083"/>
    <w:rsid w:val="000365C0"/>
    <w:rsid w:val="00036FF6"/>
    <w:rsid w:val="00037112"/>
    <w:rsid w:val="00037F22"/>
    <w:rsid w:val="00042B29"/>
    <w:rsid w:val="000465F7"/>
    <w:rsid w:val="00046F46"/>
    <w:rsid w:val="000471AA"/>
    <w:rsid w:val="0004770A"/>
    <w:rsid w:val="000503A1"/>
    <w:rsid w:val="00050E2C"/>
    <w:rsid w:val="00051590"/>
    <w:rsid w:val="000522B1"/>
    <w:rsid w:val="0005275D"/>
    <w:rsid w:val="000527A5"/>
    <w:rsid w:val="00052CE1"/>
    <w:rsid w:val="00053983"/>
    <w:rsid w:val="00053991"/>
    <w:rsid w:val="00054C6E"/>
    <w:rsid w:val="00054E46"/>
    <w:rsid w:val="00055141"/>
    <w:rsid w:val="00055B28"/>
    <w:rsid w:val="00056024"/>
    <w:rsid w:val="00056809"/>
    <w:rsid w:val="000568C7"/>
    <w:rsid w:val="00057953"/>
    <w:rsid w:val="00057D35"/>
    <w:rsid w:val="00061727"/>
    <w:rsid w:val="00061C7B"/>
    <w:rsid w:val="0006235E"/>
    <w:rsid w:val="0006293E"/>
    <w:rsid w:val="0006331A"/>
    <w:rsid w:val="00063E52"/>
    <w:rsid w:val="000641BE"/>
    <w:rsid w:val="00064542"/>
    <w:rsid w:val="0006625D"/>
    <w:rsid w:val="00066743"/>
    <w:rsid w:val="00067665"/>
    <w:rsid w:val="00070770"/>
    <w:rsid w:val="00070A22"/>
    <w:rsid w:val="00071D6E"/>
    <w:rsid w:val="00072274"/>
    <w:rsid w:val="000731F3"/>
    <w:rsid w:val="000743C2"/>
    <w:rsid w:val="0007460B"/>
    <w:rsid w:val="000751BB"/>
    <w:rsid w:val="0007590A"/>
    <w:rsid w:val="0007639B"/>
    <w:rsid w:val="00077C34"/>
    <w:rsid w:val="00077D20"/>
    <w:rsid w:val="00077E04"/>
    <w:rsid w:val="00077E1C"/>
    <w:rsid w:val="00080D35"/>
    <w:rsid w:val="00081AF3"/>
    <w:rsid w:val="00081B2F"/>
    <w:rsid w:val="00081E50"/>
    <w:rsid w:val="0008260E"/>
    <w:rsid w:val="000828E9"/>
    <w:rsid w:val="00083B1B"/>
    <w:rsid w:val="00083BE4"/>
    <w:rsid w:val="00084DC0"/>
    <w:rsid w:val="0008592F"/>
    <w:rsid w:val="00085CC3"/>
    <w:rsid w:val="0008644C"/>
    <w:rsid w:val="00086C08"/>
    <w:rsid w:val="000873C1"/>
    <w:rsid w:val="00087888"/>
    <w:rsid w:val="00087D9E"/>
    <w:rsid w:val="00090D35"/>
    <w:rsid w:val="000914F4"/>
    <w:rsid w:val="0009180B"/>
    <w:rsid w:val="000932C2"/>
    <w:rsid w:val="000939E0"/>
    <w:rsid w:val="00093D35"/>
    <w:rsid w:val="0009402D"/>
    <w:rsid w:val="000942EB"/>
    <w:rsid w:val="000953A7"/>
    <w:rsid w:val="0009651A"/>
    <w:rsid w:val="00096EAB"/>
    <w:rsid w:val="0009712F"/>
    <w:rsid w:val="000972BA"/>
    <w:rsid w:val="000976FD"/>
    <w:rsid w:val="00097ABD"/>
    <w:rsid w:val="00097B95"/>
    <w:rsid w:val="000A15CB"/>
    <w:rsid w:val="000A1B81"/>
    <w:rsid w:val="000A1DA7"/>
    <w:rsid w:val="000A2C01"/>
    <w:rsid w:val="000A4D0D"/>
    <w:rsid w:val="000A5189"/>
    <w:rsid w:val="000A668C"/>
    <w:rsid w:val="000A66CF"/>
    <w:rsid w:val="000A7E46"/>
    <w:rsid w:val="000B0A9A"/>
    <w:rsid w:val="000B103F"/>
    <w:rsid w:val="000B1C28"/>
    <w:rsid w:val="000B2DA6"/>
    <w:rsid w:val="000B3893"/>
    <w:rsid w:val="000B3F99"/>
    <w:rsid w:val="000B41CF"/>
    <w:rsid w:val="000B4AA9"/>
    <w:rsid w:val="000B4FC6"/>
    <w:rsid w:val="000B53D0"/>
    <w:rsid w:val="000B680C"/>
    <w:rsid w:val="000B707E"/>
    <w:rsid w:val="000C00B6"/>
    <w:rsid w:val="000C0B7C"/>
    <w:rsid w:val="000C21BA"/>
    <w:rsid w:val="000C2DD2"/>
    <w:rsid w:val="000C5BA1"/>
    <w:rsid w:val="000C6347"/>
    <w:rsid w:val="000C7235"/>
    <w:rsid w:val="000C73E5"/>
    <w:rsid w:val="000C755D"/>
    <w:rsid w:val="000C7852"/>
    <w:rsid w:val="000C7BB6"/>
    <w:rsid w:val="000D0148"/>
    <w:rsid w:val="000D05AD"/>
    <w:rsid w:val="000D0AFA"/>
    <w:rsid w:val="000D17D2"/>
    <w:rsid w:val="000D28E0"/>
    <w:rsid w:val="000D2ADD"/>
    <w:rsid w:val="000D44F0"/>
    <w:rsid w:val="000D457E"/>
    <w:rsid w:val="000D5150"/>
    <w:rsid w:val="000D58C2"/>
    <w:rsid w:val="000D75DD"/>
    <w:rsid w:val="000E1761"/>
    <w:rsid w:val="000E182B"/>
    <w:rsid w:val="000E190F"/>
    <w:rsid w:val="000E1F13"/>
    <w:rsid w:val="000E24E1"/>
    <w:rsid w:val="000E32F8"/>
    <w:rsid w:val="000E331F"/>
    <w:rsid w:val="000E33BC"/>
    <w:rsid w:val="000E4B6B"/>
    <w:rsid w:val="000E5299"/>
    <w:rsid w:val="000E576C"/>
    <w:rsid w:val="000E59C2"/>
    <w:rsid w:val="000E68FA"/>
    <w:rsid w:val="000E6962"/>
    <w:rsid w:val="000E6D84"/>
    <w:rsid w:val="000E7C3A"/>
    <w:rsid w:val="000F14E8"/>
    <w:rsid w:val="000F17FC"/>
    <w:rsid w:val="000F1D24"/>
    <w:rsid w:val="000F354B"/>
    <w:rsid w:val="000F3B04"/>
    <w:rsid w:val="000F3C44"/>
    <w:rsid w:val="000F3D91"/>
    <w:rsid w:val="000F6869"/>
    <w:rsid w:val="000F7AE4"/>
    <w:rsid w:val="001000EC"/>
    <w:rsid w:val="001015E9"/>
    <w:rsid w:val="001017F1"/>
    <w:rsid w:val="001024CE"/>
    <w:rsid w:val="00102AA1"/>
    <w:rsid w:val="00103915"/>
    <w:rsid w:val="00103D3D"/>
    <w:rsid w:val="00104423"/>
    <w:rsid w:val="00104CDA"/>
    <w:rsid w:val="00105B6D"/>
    <w:rsid w:val="001065D1"/>
    <w:rsid w:val="00106AC5"/>
    <w:rsid w:val="00106B75"/>
    <w:rsid w:val="00107244"/>
    <w:rsid w:val="001100DE"/>
    <w:rsid w:val="001112CF"/>
    <w:rsid w:val="00111438"/>
    <w:rsid w:val="00111636"/>
    <w:rsid w:val="00112192"/>
    <w:rsid w:val="00112D2F"/>
    <w:rsid w:val="00112D6B"/>
    <w:rsid w:val="001139AE"/>
    <w:rsid w:val="00114236"/>
    <w:rsid w:val="00114A81"/>
    <w:rsid w:val="00114E2B"/>
    <w:rsid w:val="001152BA"/>
    <w:rsid w:val="0011536E"/>
    <w:rsid w:val="0011561C"/>
    <w:rsid w:val="0011730D"/>
    <w:rsid w:val="001208F1"/>
    <w:rsid w:val="00121409"/>
    <w:rsid w:val="001214FF"/>
    <w:rsid w:val="001229C6"/>
    <w:rsid w:val="00122B23"/>
    <w:rsid w:val="00123C67"/>
    <w:rsid w:val="001245D8"/>
    <w:rsid w:val="00124E73"/>
    <w:rsid w:val="00124EC3"/>
    <w:rsid w:val="00124EE5"/>
    <w:rsid w:val="00125291"/>
    <w:rsid w:val="00125390"/>
    <w:rsid w:val="001259FF"/>
    <w:rsid w:val="00125D4C"/>
    <w:rsid w:val="00126087"/>
    <w:rsid w:val="001260C4"/>
    <w:rsid w:val="0012687C"/>
    <w:rsid w:val="0012754A"/>
    <w:rsid w:val="00127BA6"/>
    <w:rsid w:val="00130142"/>
    <w:rsid w:val="0013045B"/>
    <w:rsid w:val="001308DC"/>
    <w:rsid w:val="001310A5"/>
    <w:rsid w:val="001316AB"/>
    <w:rsid w:val="0013236F"/>
    <w:rsid w:val="001332D0"/>
    <w:rsid w:val="00134030"/>
    <w:rsid w:val="001342C0"/>
    <w:rsid w:val="001344AA"/>
    <w:rsid w:val="001355F5"/>
    <w:rsid w:val="00135C93"/>
    <w:rsid w:val="00137BA1"/>
    <w:rsid w:val="00137FFA"/>
    <w:rsid w:val="00140015"/>
    <w:rsid w:val="001406ED"/>
    <w:rsid w:val="00141C42"/>
    <w:rsid w:val="00141E84"/>
    <w:rsid w:val="00141F99"/>
    <w:rsid w:val="001420C8"/>
    <w:rsid w:val="001425C5"/>
    <w:rsid w:val="001427BC"/>
    <w:rsid w:val="001448B5"/>
    <w:rsid w:val="001453EF"/>
    <w:rsid w:val="0014582F"/>
    <w:rsid w:val="00145AAA"/>
    <w:rsid w:val="00146E1D"/>
    <w:rsid w:val="00147605"/>
    <w:rsid w:val="0014792F"/>
    <w:rsid w:val="001509CD"/>
    <w:rsid w:val="00151D31"/>
    <w:rsid w:val="001520A3"/>
    <w:rsid w:val="00152609"/>
    <w:rsid w:val="00152C65"/>
    <w:rsid w:val="00152CA8"/>
    <w:rsid w:val="0015382E"/>
    <w:rsid w:val="00154879"/>
    <w:rsid w:val="00154A20"/>
    <w:rsid w:val="001550CF"/>
    <w:rsid w:val="001554A4"/>
    <w:rsid w:val="001568EE"/>
    <w:rsid w:val="00156DAF"/>
    <w:rsid w:val="0015784C"/>
    <w:rsid w:val="00160F84"/>
    <w:rsid w:val="0016135A"/>
    <w:rsid w:val="0016149E"/>
    <w:rsid w:val="00161D78"/>
    <w:rsid w:val="0016262F"/>
    <w:rsid w:val="0016397F"/>
    <w:rsid w:val="001640BC"/>
    <w:rsid w:val="001650A0"/>
    <w:rsid w:val="00165EA8"/>
    <w:rsid w:val="0016680A"/>
    <w:rsid w:val="00167B9D"/>
    <w:rsid w:val="00167F0C"/>
    <w:rsid w:val="00170733"/>
    <w:rsid w:val="00170813"/>
    <w:rsid w:val="00170C89"/>
    <w:rsid w:val="00170E51"/>
    <w:rsid w:val="00171D50"/>
    <w:rsid w:val="00172B2A"/>
    <w:rsid w:val="00172E0A"/>
    <w:rsid w:val="00173980"/>
    <w:rsid w:val="00173D30"/>
    <w:rsid w:val="00174107"/>
    <w:rsid w:val="00174FBC"/>
    <w:rsid w:val="0017528B"/>
    <w:rsid w:val="001755EC"/>
    <w:rsid w:val="00175795"/>
    <w:rsid w:val="001765FA"/>
    <w:rsid w:val="001770E9"/>
    <w:rsid w:val="00177BAA"/>
    <w:rsid w:val="00180B3B"/>
    <w:rsid w:val="00182427"/>
    <w:rsid w:val="00182855"/>
    <w:rsid w:val="00182C6C"/>
    <w:rsid w:val="00183DD7"/>
    <w:rsid w:val="00184A68"/>
    <w:rsid w:val="00184E93"/>
    <w:rsid w:val="001857DA"/>
    <w:rsid w:val="00186082"/>
    <w:rsid w:val="00186253"/>
    <w:rsid w:val="00186B95"/>
    <w:rsid w:val="00186D8E"/>
    <w:rsid w:val="001900CF"/>
    <w:rsid w:val="00190205"/>
    <w:rsid w:val="001918D6"/>
    <w:rsid w:val="00192341"/>
    <w:rsid w:val="00192D85"/>
    <w:rsid w:val="001939B7"/>
    <w:rsid w:val="0019596D"/>
    <w:rsid w:val="00195A58"/>
    <w:rsid w:val="00195EDB"/>
    <w:rsid w:val="0019626E"/>
    <w:rsid w:val="001963C6"/>
    <w:rsid w:val="0019713D"/>
    <w:rsid w:val="0019745D"/>
    <w:rsid w:val="001A028B"/>
    <w:rsid w:val="001A0467"/>
    <w:rsid w:val="001A08F7"/>
    <w:rsid w:val="001A0DF1"/>
    <w:rsid w:val="001A0EC0"/>
    <w:rsid w:val="001A26FC"/>
    <w:rsid w:val="001A27D7"/>
    <w:rsid w:val="001A3721"/>
    <w:rsid w:val="001A387A"/>
    <w:rsid w:val="001A3F04"/>
    <w:rsid w:val="001A7176"/>
    <w:rsid w:val="001B0FEE"/>
    <w:rsid w:val="001B2EA0"/>
    <w:rsid w:val="001B2F7F"/>
    <w:rsid w:val="001B3306"/>
    <w:rsid w:val="001B38FB"/>
    <w:rsid w:val="001B464A"/>
    <w:rsid w:val="001B4A46"/>
    <w:rsid w:val="001B4CC5"/>
    <w:rsid w:val="001B4D86"/>
    <w:rsid w:val="001B528A"/>
    <w:rsid w:val="001B53B4"/>
    <w:rsid w:val="001B59D6"/>
    <w:rsid w:val="001B6044"/>
    <w:rsid w:val="001B686F"/>
    <w:rsid w:val="001B7618"/>
    <w:rsid w:val="001B7DEA"/>
    <w:rsid w:val="001C1A26"/>
    <w:rsid w:val="001C219D"/>
    <w:rsid w:val="001C33CB"/>
    <w:rsid w:val="001C398F"/>
    <w:rsid w:val="001C4EEE"/>
    <w:rsid w:val="001C5292"/>
    <w:rsid w:val="001C722C"/>
    <w:rsid w:val="001C775D"/>
    <w:rsid w:val="001D0988"/>
    <w:rsid w:val="001D172E"/>
    <w:rsid w:val="001D1FD0"/>
    <w:rsid w:val="001D2E79"/>
    <w:rsid w:val="001D4536"/>
    <w:rsid w:val="001D5E4D"/>
    <w:rsid w:val="001D64EC"/>
    <w:rsid w:val="001D6B16"/>
    <w:rsid w:val="001D7B74"/>
    <w:rsid w:val="001E0042"/>
    <w:rsid w:val="001E008B"/>
    <w:rsid w:val="001E0545"/>
    <w:rsid w:val="001E0849"/>
    <w:rsid w:val="001E118B"/>
    <w:rsid w:val="001E1988"/>
    <w:rsid w:val="001E1A13"/>
    <w:rsid w:val="001E3B90"/>
    <w:rsid w:val="001E3E0C"/>
    <w:rsid w:val="001E453C"/>
    <w:rsid w:val="001E4A2B"/>
    <w:rsid w:val="001E4FA3"/>
    <w:rsid w:val="001E505B"/>
    <w:rsid w:val="001E610D"/>
    <w:rsid w:val="001E75AD"/>
    <w:rsid w:val="001F0524"/>
    <w:rsid w:val="001F0570"/>
    <w:rsid w:val="001F13B9"/>
    <w:rsid w:val="001F140A"/>
    <w:rsid w:val="001F1781"/>
    <w:rsid w:val="001F1AFA"/>
    <w:rsid w:val="001F267A"/>
    <w:rsid w:val="001F2AD0"/>
    <w:rsid w:val="001F2FC2"/>
    <w:rsid w:val="001F3276"/>
    <w:rsid w:val="001F3D53"/>
    <w:rsid w:val="001F416A"/>
    <w:rsid w:val="001F4316"/>
    <w:rsid w:val="001F48BD"/>
    <w:rsid w:val="001F4F3C"/>
    <w:rsid w:val="001F55B5"/>
    <w:rsid w:val="001F59AB"/>
    <w:rsid w:val="001F5E0A"/>
    <w:rsid w:val="001F62DC"/>
    <w:rsid w:val="001F63E1"/>
    <w:rsid w:val="001F64DE"/>
    <w:rsid w:val="001F6AAC"/>
    <w:rsid w:val="001F790E"/>
    <w:rsid w:val="0020033D"/>
    <w:rsid w:val="002005CC"/>
    <w:rsid w:val="002007D2"/>
    <w:rsid w:val="00200F34"/>
    <w:rsid w:val="00203F1A"/>
    <w:rsid w:val="00204114"/>
    <w:rsid w:val="00204C65"/>
    <w:rsid w:val="00204F6E"/>
    <w:rsid w:val="00204FCD"/>
    <w:rsid w:val="0020536A"/>
    <w:rsid w:val="002059AF"/>
    <w:rsid w:val="0020646E"/>
    <w:rsid w:val="00206BC8"/>
    <w:rsid w:val="00211909"/>
    <w:rsid w:val="002135F3"/>
    <w:rsid w:val="002146C0"/>
    <w:rsid w:val="00214A72"/>
    <w:rsid w:val="00215A2F"/>
    <w:rsid w:val="00215BB7"/>
    <w:rsid w:val="00215CA0"/>
    <w:rsid w:val="00216F1A"/>
    <w:rsid w:val="00217155"/>
    <w:rsid w:val="0021759E"/>
    <w:rsid w:val="00217662"/>
    <w:rsid w:val="0022085C"/>
    <w:rsid w:val="002208DC"/>
    <w:rsid w:val="00220CE5"/>
    <w:rsid w:val="00220ED5"/>
    <w:rsid w:val="002215FF"/>
    <w:rsid w:val="002216AA"/>
    <w:rsid w:val="0022173B"/>
    <w:rsid w:val="002217B4"/>
    <w:rsid w:val="002226D4"/>
    <w:rsid w:val="002229F4"/>
    <w:rsid w:val="002236DB"/>
    <w:rsid w:val="00224570"/>
    <w:rsid w:val="00225A48"/>
    <w:rsid w:val="002261EB"/>
    <w:rsid w:val="0022655C"/>
    <w:rsid w:val="0022678E"/>
    <w:rsid w:val="002272CA"/>
    <w:rsid w:val="00227541"/>
    <w:rsid w:val="00227D81"/>
    <w:rsid w:val="002311BD"/>
    <w:rsid w:val="00231255"/>
    <w:rsid w:val="0023158E"/>
    <w:rsid w:val="00231E50"/>
    <w:rsid w:val="0023236C"/>
    <w:rsid w:val="00233A24"/>
    <w:rsid w:val="00233DF3"/>
    <w:rsid w:val="00234500"/>
    <w:rsid w:val="0023484E"/>
    <w:rsid w:val="00234B84"/>
    <w:rsid w:val="00235B42"/>
    <w:rsid w:val="00236137"/>
    <w:rsid w:val="00236740"/>
    <w:rsid w:val="00237253"/>
    <w:rsid w:val="00237329"/>
    <w:rsid w:val="002400B3"/>
    <w:rsid w:val="00240225"/>
    <w:rsid w:val="00240A06"/>
    <w:rsid w:val="002416BA"/>
    <w:rsid w:val="00241AB9"/>
    <w:rsid w:val="002427B1"/>
    <w:rsid w:val="0024280B"/>
    <w:rsid w:val="00244181"/>
    <w:rsid w:val="002446B8"/>
    <w:rsid w:val="00244C00"/>
    <w:rsid w:val="0024535C"/>
    <w:rsid w:val="002457FD"/>
    <w:rsid w:val="00245C7E"/>
    <w:rsid w:val="00246AB2"/>
    <w:rsid w:val="00250718"/>
    <w:rsid w:val="00251445"/>
    <w:rsid w:val="0025237E"/>
    <w:rsid w:val="002523D6"/>
    <w:rsid w:val="00252AEC"/>
    <w:rsid w:val="00253276"/>
    <w:rsid w:val="002536AE"/>
    <w:rsid w:val="00253C1D"/>
    <w:rsid w:val="00254319"/>
    <w:rsid w:val="00254D37"/>
    <w:rsid w:val="002553F1"/>
    <w:rsid w:val="0025578A"/>
    <w:rsid w:val="002563B9"/>
    <w:rsid w:val="0025685E"/>
    <w:rsid w:val="0025768C"/>
    <w:rsid w:val="00257BC1"/>
    <w:rsid w:val="00257C73"/>
    <w:rsid w:val="00257F4E"/>
    <w:rsid w:val="00261631"/>
    <w:rsid w:val="00264666"/>
    <w:rsid w:val="00264924"/>
    <w:rsid w:val="00264AE6"/>
    <w:rsid w:val="00265C96"/>
    <w:rsid w:val="00265CEB"/>
    <w:rsid w:val="00265ED0"/>
    <w:rsid w:val="00265F6D"/>
    <w:rsid w:val="00266E0C"/>
    <w:rsid w:val="0026775B"/>
    <w:rsid w:val="00270234"/>
    <w:rsid w:val="0027071C"/>
    <w:rsid w:val="0027122E"/>
    <w:rsid w:val="00272C62"/>
    <w:rsid w:val="002755B8"/>
    <w:rsid w:val="00275701"/>
    <w:rsid w:val="0027630F"/>
    <w:rsid w:val="00276521"/>
    <w:rsid w:val="00276D7E"/>
    <w:rsid w:val="00277428"/>
    <w:rsid w:val="002806C6"/>
    <w:rsid w:val="002812E1"/>
    <w:rsid w:val="00281E62"/>
    <w:rsid w:val="00281ED6"/>
    <w:rsid w:val="00282493"/>
    <w:rsid w:val="0028312F"/>
    <w:rsid w:val="00283380"/>
    <w:rsid w:val="00284F66"/>
    <w:rsid w:val="00285D7E"/>
    <w:rsid w:val="00285D82"/>
    <w:rsid w:val="00285FED"/>
    <w:rsid w:val="0028630C"/>
    <w:rsid w:val="00286660"/>
    <w:rsid w:val="00286A53"/>
    <w:rsid w:val="00287542"/>
    <w:rsid w:val="002877E9"/>
    <w:rsid w:val="0029159E"/>
    <w:rsid w:val="002933BF"/>
    <w:rsid w:val="002937F6"/>
    <w:rsid w:val="00293B18"/>
    <w:rsid w:val="00293EA5"/>
    <w:rsid w:val="00294801"/>
    <w:rsid w:val="00294EFD"/>
    <w:rsid w:val="0029562E"/>
    <w:rsid w:val="002956E0"/>
    <w:rsid w:val="00296D38"/>
    <w:rsid w:val="00296EA4"/>
    <w:rsid w:val="00296FA3"/>
    <w:rsid w:val="0029772C"/>
    <w:rsid w:val="002A1031"/>
    <w:rsid w:val="002A1308"/>
    <w:rsid w:val="002A3472"/>
    <w:rsid w:val="002A34C5"/>
    <w:rsid w:val="002A3C58"/>
    <w:rsid w:val="002A4F10"/>
    <w:rsid w:val="002A50DC"/>
    <w:rsid w:val="002A632D"/>
    <w:rsid w:val="002A63F4"/>
    <w:rsid w:val="002B03FF"/>
    <w:rsid w:val="002B0B61"/>
    <w:rsid w:val="002B0CA6"/>
    <w:rsid w:val="002B1AAF"/>
    <w:rsid w:val="002B1BDA"/>
    <w:rsid w:val="002B287D"/>
    <w:rsid w:val="002B36EB"/>
    <w:rsid w:val="002B3BD7"/>
    <w:rsid w:val="002B3DA6"/>
    <w:rsid w:val="002B3F20"/>
    <w:rsid w:val="002B484D"/>
    <w:rsid w:val="002B4907"/>
    <w:rsid w:val="002B5092"/>
    <w:rsid w:val="002B50DA"/>
    <w:rsid w:val="002B5AD8"/>
    <w:rsid w:val="002B5ED5"/>
    <w:rsid w:val="002B729F"/>
    <w:rsid w:val="002B72C0"/>
    <w:rsid w:val="002B76BD"/>
    <w:rsid w:val="002B7DD1"/>
    <w:rsid w:val="002C05A7"/>
    <w:rsid w:val="002C087E"/>
    <w:rsid w:val="002C09B8"/>
    <w:rsid w:val="002C0DF9"/>
    <w:rsid w:val="002C27C5"/>
    <w:rsid w:val="002C2BF2"/>
    <w:rsid w:val="002C4BB5"/>
    <w:rsid w:val="002C6D5B"/>
    <w:rsid w:val="002C7E7F"/>
    <w:rsid w:val="002D0C96"/>
    <w:rsid w:val="002D2D19"/>
    <w:rsid w:val="002D3456"/>
    <w:rsid w:val="002D4BB3"/>
    <w:rsid w:val="002D5D70"/>
    <w:rsid w:val="002D6942"/>
    <w:rsid w:val="002D7A44"/>
    <w:rsid w:val="002D7E62"/>
    <w:rsid w:val="002D7F92"/>
    <w:rsid w:val="002E0633"/>
    <w:rsid w:val="002E0A18"/>
    <w:rsid w:val="002E1888"/>
    <w:rsid w:val="002E18A4"/>
    <w:rsid w:val="002E1964"/>
    <w:rsid w:val="002E19A5"/>
    <w:rsid w:val="002E1E7E"/>
    <w:rsid w:val="002E27E0"/>
    <w:rsid w:val="002E39A3"/>
    <w:rsid w:val="002E5EB7"/>
    <w:rsid w:val="002E6150"/>
    <w:rsid w:val="002E631C"/>
    <w:rsid w:val="002E6B6F"/>
    <w:rsid w:val="002E74C9"/>
    <w:rsid w:val="002E7874"/>
    <w:rsid w:val="002E7E35"/>
    <w:rsid w:val="002F0800"/>
    <w:rsid w:val="002F098C"/>
    <w:rsid w:val="002F1307"/>
    <w:rsid w:val="002F3451"/>
    <w:rsid w:val="002F3606"/>
    <w:rsid w:val="002F3CF5"/>
    <w:rsid w:val="002F5131"/>
    <w:rsid w:val="002F51E1"/>
    <w:rsid w:val="002F70EB"/>
    <w:rsid w:val="002F72BB"/>
    <w:rsid w:val="002F7411"/>
    <w:rsid w:val="002F779E"/>
    <w:rsid w:val="002F7AB3"/>
    <w:rsid w:val="002F7E31"/>
    <w:rsid w:val="00301514"/>
    <w:rsid w:val="003033BA"/>
    <w:rsid w:val="003033C0"/>
    <w:rsid w:val="00303888"/>
    <w:rsid w:val="003038BC"/>
    <w:rsid w:val="00303D47"/>
    <w:rsid w:val="00303DF8"/>
    <w:rsid w:val="00303EFC"/>
    <w:rsid w:val="00304081"/>
    <w:rsid w:val="00304130"/>
    <w:rsid w:val="003043B4"/>
    <w:rsid w:val="003046D6"/>
    <w:rsid w:val="0030629D"/>
    <w:rsid w:val="00307855"/>
    <w:rsid w:val="00310422"/>
    <w:rsid w:val="0031068B"/>
    <w:rsid w:val="00311152"/>
    <w:rsid w:val="003112B5"/>
    <w:rsid w:val="0031293C"/>
    <w:rsid w:val="00312DEB"/>
    <w:rsid w:val="00312F3D"/>
    <w:rsid w:val="00313BBA"/>
    <w:rsid w:val="00313CB3"/>
    <w:rsid w:val="00313D9F"/>
    <w:rsid w:val="00314352"/>
    <w:rsid w:val="00314899"/>
    <w:rsid w:val="00315623"/>
    <w:rsid w:val="00316182"/>
    <w:rsid w:val="003203D9"/>
    <w:rsid w:val="0032072B"/>
    <w:rsid w:val="00320DFD"/>
    <w:rsid w:val="003210F8"/>
    <w:rsid w:val="00321947"/>
    <w:rsid w:val="00323ECD"/>
    <w:rsid w:val="00326A5D"/>
    <w:rsid w:val="00326F22"/>
    <w:rsid w:val="00327032"/>
    <w:rsid w:val="003276A0"/>
    <w:rsid w:val="003278FA"/>
    <w:rsid w:val="0033002D"/>
    <w:rsid w:val="00330686"/>
    <w:rsid w:val="00332906"/>
    <w:rsid w:val="00332B6F"/>
    <w:rsid w:val="00332C3C"/>
    <w:rsid w:val="00333BE1"/>
    <w:rsid w:val="00334708"/>
    <w:rsid w:val="00334B76"/>
    <w:rsid w:val="00336644"/>
    <w:rsid w:val="003370FB"/>
    <w:rsid w:val="00337299"/>
    <w:rsid w:val="0033763C"/>
    <w:rsid w:val="00337ADB"/>
    <w:rsid w:val="00337BD8"/>
    <w:rsid w:val="00340206"/>
    <w:rsid w:val="003410DC"/>
    <w:rsid w:val="0034149E"/>
    <w:rsid w:val="003418AA"/>
    <w:rsid w:val="00341CE5"/>
    <w:rsid w:val="00342202"/>
    <w:rsid w:val="003426C6"/>
    <w:rsid w:val="003429C9"/>
    <w:rsid w:val="00343AE9"/>
    <w:rsid w:val="00343C28"/>
    <w:rsid w:val="00344889"/>
    <w:rsid w:val="00345462"/>
    <w:rsid w:val="00345FC4"/>
    <w:rsid w:val="0034680A"/>
    <w:rsid w:val="00347661"/>
    <w:rsid w:val="003478E7"/>
    <w:rsid w:val="00350095"/>
    <w:rsid w:val="00350DC7"/>
    <w:rsid w:val="00350DCD"/>
    <w:rsid w:val="003510C2"/>
    <w:rsid w:val="00351383"/>
    <w:rsid w:val="003528F0"/>
    <w:rsid w:val="00352927"/>
    <w:rsid w:val="00352FE4"/>
    <w:rsid w:val="00353FDF"/>
    <w:rsid w:val="00354545"/>
    <w:rsid w:val="00354FD8"/>
    <w:rsid w:val="003551A5"/>
    <w:rsid w:val="003555B4"/>
    <w:rsid w:val="00356A4C"/>
    <w:rsid w:val="0035733D"/>
    <w:rsid w:val="0036064B"/>
    <w:rsid w:val="00360753"/>
    <w:rsid w:val="00360A53"/>
    <w:rsid w:val="00362486"/>
    <w:rsid w:val="00362CEC"/>
    <w:rsid w:val="00362F73"/>
    <w:rsid w:val="003630B0"/>
    <w:rsid w:val="00363A73"/>
    <w:rsid w:val="0036497E"/>
    <w:rsid w:val="00364F1A"/>
    <w:rsid w:val="00366B93"/>
    <w:rsid w:val="00366C32"/>
    <w:rsid w:val="00367ACD"/>
    <w:rsid w:val="0037099D"/>
    <w:rsid w:val="00372A55"/>
    <w:rsid w:val="003735C0"/>
    <w:rsid w:val="0037401A"/>
    <w:rsid w:val="00374753"/>
    <w:rsid w:val="0037676F"/>
    <w:rsid w:val="003767EE"/>
    <w:rsid w:val="00377AD6"/>
    <w:rsid w:val="00377BF5"/>
    <w:rsid w:val="00381B41"/>
    <w:rsid w:val="00382349"/>
    <w:rsid w:val="003833D7"/>
    <w:rsid w:val="003839DC"/>
    <w:rsid w:val="00383C5B"/>
    <w:rsid w:val="00383DDA"/>
    <w:rsid w:val="00384041"/>
    <w:rsid w:val="00384B44"/>
    <w:rsid w:val="00384F42"/>
    <w:rsid w:val="00385EC9"/>
    <w:rsid w:val="00386456"/>
    <w:rsid w:val="00387241"/>
    <w:rsid w:val="00387E1C"/>
    <w:rsid w:val="00390091"/>
    <w:rsid w:val="0039010E"/>
    <w:rsid w:val="003901D8"/>
    <w:rsid w:val="00390732"/>
    <w:rsid w:val="00390B41"/>
    <w:rsid w:val="0039100A"/>
    <w:rsid w:val="00391D93"/>
    <w:rsid w:val="00392714"/>
    <w:rsid w:val="00392E7E"/>
    <w:rsid w:val="00392F63"/>
    <w:rsid w:val="00393184"/>
    <w:rsid w:val="0039340C"/>
    <w:rsid w:val="003934DD"/>
    <w:rsid w:val="00394337"/>
    <w:rsid w:val="00395BF9"/>
    <w:rsid w:val="00396D23"/>
    <w:rsid w:val="003978D0"/>
    <w:rsid w:val="003A0468"/>
    <w:rsid w:val="003A046A"/>
    <w:rsid w:val="003A0603"/>
    <w:rsid w:val="003A1031"/>
    <w:rsid w:val="003A1157"/>
    <w:rsid w:val="003A25E4"/>
    <w:rsid w:val="003A2A86"/>
    <w:rsid w:val="003A2C66"/>
    <w:rsid w:val="003A2D28"/>
    <w:rsid w:val="003A433D"/>
    <w:rsid w:val="003A4C65"/>
    <w:rsid w:val="003A4F71"/>
    <w:rsid w:val="003A581E"/>
    <w:rsid w:val="003A5E28"/>
    <w:rsid w:val="003A651C"/>
    <w:rsid w:val="003A6DA8"/>
    <w:rsid w:val="003B0136"/>
    <w:rsid w:val="003B0B16"/>
    <w:rsid w:val="003B3D8A"/>
    <w:rsid w:val="003B4162"/>
    <w:rsid w:val="003B5540"/>
    <w:rsid w:val="003B6EE4"/>
    <w:rsid w:val="003B79A5"/>
    <w:rsid w:val="003C1943"/>
    <w:rsid w:val="003C347B"/>
    <w:rsid w:val="003C3D13"/>
    <w:rsid w:val="003C40DD"/>
    <w:rsid w:val="003C4141"/>
    <w:rsid w:val="003C432C"/>
    <w:rsid w:val="003C50C9"/>
    <w:rsid w:val="003C62BD"/>
    <w:rsid w:val="003C71EE"/>
    <w:rsid w:val="003C7DC2"/>
    <w:rsid w:val="003D0503"/>
    <w:rsid w:val="003D2137"/>
    <w:rsid w:val="003D284B"/>
    <w:rsid w:val="003D2C5E"/>
    <w:rsid w:val="003D40F4"/>
    <w:rsid w:val="003D4187"/>
    <w:rsid w:val="003D43F8"/>
    <w:rsid w:val="003D4F72"/>
    <w:rsid w:val="003D603B"/>
    <w:rsid w:val="003D6CF0"/>
    <w:rsid w:val="003D70AA"/>
    <w:rsid w:val="003D73F1"/>
    <w:rsid w:val="003E07B4"/>
    <w:rsid w:val="003E11A8"/>
    <w:rsid w:val="003E14B0"/>
    <w:rsid w:val="003E15E5"/>
    <w:rsid w:val="003E1ABD"/>
    <w:rsid w:val="003E1F12"/>
    <w:rsid w:val="003E4331"/>
    <w:rsid w:val="003E443D"/>
    <w:rsid w:val="003E5505"/>
    <w:rsid w:val="003E55AE"/>
    <w:rsid w:val="003E5C80"/>
    <w:rsid w:val="003E5ED1"/>
    <w:rsid w:val="003E6682"/>
    <w:rsid w:val="003E7261"/>
    <w:rsid w:val="003E7A20"/>
    <w:rsid w:val="003E7AAD"/>
    <w:rsid w:val="003F088B"/>
    <w:rsid w:val="003F0FBE"/>
    <w:rsid w:val="003F165C"/>
    <w:rsid w:val="003F28CF"/>
    <w:rsid w:val="003F2AD2"/>
    <w:rsid w:val="003F30B1"/>
    <w:rsid w:val="003F328D"/>
    <w:rsid w:val="003F3340"/>
    <w:rsid w:val="003F47E5"/>
    <w:rsid w:val="003F5439"/>
    <w:rsid w:val="003F5C24"/>
    <w:rsid w:val="003F5CDD"/>
    <w:rsid w:val="003F5D5D"/>
    <w:rsid w:val="003F60D3"/>
    <w:rsid w:val="003F6F65"/>
    <w:rsid w:val="003F7230"/>
    <w:rsid w:val="003F7E6A"/>
    <w:rsid w:val="00400083"/>
    <w:rsid w:val="0040059A"/>
    <w:rsid w:val="00402FD5"/>
    <w:rsid w:val="00403A30"/>
    <w:rsid w:val="00404797"/>
    <w:rsid w:val="00405524"/>
    <w:rsid w:val="00406868"/>
    <w:rsid w:val="00406898"/>
    <w:rsid w:val="00407BD2"/>
    <w:rsid w:val="0041043C"/>
    <w:rsid w:val="004105AB"/>
    <w:rsid w:val="00410682"/>
    <w:rsid w:val="004106B4"/>
    <w:rsid w:val="00411B85"/>
    <w:rsid w:val="00412132"/>
    <w:rsid w:val="00412214"/>
    <w:rsid w:val="0041266E"/>
    <w:rsid w:val="0041386A"/>
    <w:rsid w:val="00413E71"/>
    <w:rsid w:val="004140EB"/>
    <w:rsid w:val="00414B54"/>
    <w:rsid w:val="0041612C"/>
    <w:rsid w:val="00416511"/>
    <w:rsid w:val="00416C2E"/>
    <w:rsid w:val="00417C69"/>
    <w:rsid w:val="004207E3"/>
    <w:rsid w:val="00420A13"/>
    <w:rsid w:val="00420B44"/>
    <w:rsid w:val="00420D01"/>
    <w:rsid w:val="00421774"/>
    <w:rsid w:val="00421906"/>
    <w:rsid w:val="0042321C"/>
    <w:rsid w:val="00423267"/>
    <w:rsid w:val="004252E8"/>
    <w:rsid w:val="00425B6B"/>
    <w:rsid w:val="00426EEE"/>
    <w:rsid w:val="00426F4A"/>
    <w:rsid w:val="00427BD7"/>
    <w:rsid w:val="00430927"/>
    <w:rsid w:val="0043155D"/>
    <w:rsid w:val="00431A07"/>
    <w:rsid w:val="0043205F"/>
    <w:rsid w:val="00432915"/>
    <w:rsid w:val="00432C5F"/>
    <w:rsid w:val="0043330C"/>
    <w:rsid w:val="0043346D"/>
    <w:rsid w:val="00433A6D"/>
    <w:rsid w:val="00433BA1"/>
    <w:rsid w:val="00435749"/>
    <w:rsid w:val="004357BB"/>
    <w:rsid w:val="00435AA2"/>
    <w:rsid w:val="004363BC"/>
    <w:rsid w:val="00436652"/>
    <w:rsid w:val="004367C8"/>
    <w:rsid w:val="00436A63"/>
    <w:rsid w:val="0043754D"/>
    <w:rsid w:val="00437BF5"/>
    <w:rsid w:val="00437BF8"/>
    <w:rsid w:val="00440400"/>
    <w:rsid w:val="00440E0E"/>
    <w:rsid w:val="004422D6"/>
    <w:rsid w:val="00442BFD"/>
    <w:rsid w:val="00444A46"/>
    <w:rsid w:val="00445831"/>
    <w:rsid w:val="00445EE4"/>
    <w:rsid w:val="00446B03"/>
    <w:rsid w:val="00446CAA"/>
    <w:rsid w:val="00447095"/>
    <w:rsid w:val="00447483"/>
    <w:rsid w:val="00447B2D"/>
    <w:rsid w:val="0045067B"/>
    <w:rsid w:val="004507CF"/>
    <w:rsid w:val="00452BCB"/>
    <w:rsid w:val="0045342C"/>
    <w:rsid w:val="004537E3"/>
    <w:rsid w:val="004547B6"/>
    <w:rsid w:val="00454B0F"/>
    <w:rsid w:val="00454C62"/>
    <w:rsid w:val="0045548D"/>
    <w:rsid w:val="00456BF3"/>
    <w:rsid w:val="004570AB"/>
    <w:rsid w:val="004573BC"/>
    <w:rsid w:val="004620B3"/>
    <w:rsid w:val="00463997"/>
    <w:rsid w:val="004648D2"/>
    <w:rsid w:val="004652E5"/>
    <w:rsid w:val="004653E7"/>
    <w:rsid w:val="0046604D"/>
    <w:rsid w:val="00471F7A"/>
    <w:rsid w:val="0047250D"/>
    <w:rsid w:val="0047358F"/>
    <w:rsid w:val="0047429E"/>
    <w:rsid w:val="00474434"/>
    <w:rsid w:val="0047444E"/>
    <w:rsid w:val="00474614"/>
    <w:rsid w:val="00474880"/>
    <w:rsid w:val="004750AA"/>
    <w:rsid w:val="004755D2"/>
    <w:rsid w:val="004768C9"/>
    <w:rsid w:val="00476A0B"/>
    <w:rsid w:val="00477A49"/>
    <w:rsid w:val="00477BFF"/>
    <w:rsid w:val="00480940"/>
    <w:rsid w:val="00481FA4"/>
    <w:rsid w:val="004821AB"/>
    <w:rsid w:val="00482A4E"/>
    <w:rsid w:val="004832C7"/>
    <w:rsid w:val="0048509E"/>
    <w:rsid w:val="00485197"/>
    <w:rsid w:val="00485AD7"/>
    <w:rsid w:val="00485ED3"/>
    <w:rsid w:val="004866CB"/>
    <w:rsid w:val="00487569"/>
    <w:rsid w:val="004878C1"/>
    <w:rsid w:val="00487986"/>
    <w:rsid w:val="004928C4"/>
    <w:rsid w:val="00492EB5"/>
    <w:rsid w:val="00493E48"/>
    <w:rsid w:val="0049475A"/>
    <w:rsid w:val="0049505C"/>
    <w:rsid w:val="00496626"/>
    <w:rsid w:val="0049684A"/>
    <w:rsid w:val="00496DBC"/>
    <w:rsid w:val="00497B27"/>
    <w:rsid w:val="00497F48"/>
    <w:rsid w:val="004A0A76"/>
    <w:rsid w:val="004A29A9"/>
    <w:rsid w:val="004A34D2"/>
    <w:rsid w:val="004A36C3"/>
    <w:rsid w:val="004A3CCB"/>
    <w:rsid w:val="004A411B"/>
    <w:rsid w:val="004A486C"/>
    <w:rsid w:val="004A488B"/>
    <w:rsid w:val="004A4EE9"/>
    <w:rsid w:val="004A5218"/>
    <w:rsid w:val="004A5B0B"/>
    <w:rsid w:val="004A5B41"/>
    <w:rsid w:val="004A606D"/>
    <w:rsid w:val="004A6356"/>
    <w:rsid w:val="004A7E8A"/>
    <w:rsid w:val="004B159B"/>
    <w:rsid w:val="004B1F7C"/>
    <w:rsid w:val="004B219E"/>
    <w:rsid w:val="004B2774"/>
    <w:rsid w:val="004B28F8"/>
    <w:rsid w:val="004B411E"/>
    <w:rsid w:val="004B4A0E"/>
    <w:rsid w:val="004B4CAD"/>
    <w:rsid w:val="004B567B"/>
    <w:rsid w:val="004B5CAA"/>
    <w:rsid w:val="004B6DE0"/>
    <w:rsid w:val="004B742E"/>
    <w:rsid w:val="004C003F"/>
    <w:rsid w:val="004C026F"/>
    <w:rsid w:val="004C0993"/>
    <w:rsid w:val="004C0ABB"/>
    <w:rsid w:val="004C0B1C"/>
    <w:rsid w:val="004C1226"/>
    <w:rsid w:val="004C1573"/>
    <w:rsid w:val="004C1F44"/>
    <w:rsid w:val="004C1F93"/>
    <w:rsid w:val="004C2021"/>
    <w:rsid w:val="004C21E9"/>
    <w:rsid w:val="004C5092"/>
    <w:rsid w:val="004C5273"/>
    <w:rsid w:val="004C544E"/>
    <w:rsid w:val="004C6C01"/>
    <w:rsid w:val="004C7677"/>
    <w:rsid w:val="004D1653"/>
    <w:rsid w:val="004D1B75"/>
    <w:rsid w:val="004D1CE5"/>
    <w:rsid w:val="004D2B08"/>
    <w:rsid w:val="004D2C64"/>
    <w:rsid w:val="004D2E7D"/>
    <w:rsid w:val="004D3473"/>
    <w:rsid w:val="004D3521"/>
    <w:rsid w:val="004D4556"/>
    <w:rsid w:val="004D47D0"/>
    <w:rsid w:val="004D4FFE"/>
    <w:rsid w:val="004D5372"/>
    <w:rsid w:val="004D6525"/>
    <w:rsid w:val="004D6799"/>
    <w:rsid w:val="004D725A"/>
    <w:rsid w:val="004D78D4"/>
    <w:rsid w:val="004D7A98"/>
    <w:rsid w:val="004D7B77"/>
    <w:rsid w:val="004E06CD"/>
    <w:rsid w:val="004E1267"/>
    <w:rsid w:val="004E2760"/>
    <w:rsid w:val="004E27A0"/>
    <w:rsid w:val="004E2973"/>
    <w:rsid w:val="004E2F8D"/>
    <w:rsid w:val="004E3A4E"/>
    <w:rsid w:val="004E4142"/>
    <w:rsid w:val="004E4900"/>
    <w:rsid w:val="004E4A6B"/>
    <w:rsid w:val="004E4AB3"/>
    <w:rsid w:val="004E5102"/>
    <w:rsid w:val="004E5B78"/>
    <w:rsid w:val="004E5BC5"/>
    <w:rsid w:val="004E6147"/>
    <w:rsid w:val="004E638B"/>
    <w:rsid w:val="004E6C63"/>
    <w:rsid w:val="004F00FF"/>
    <w:rsid w:val="004F0B50"/>
    <w:rsid w:val="004F1050"/>
    <w:rsid w:val="004F1065"/>
    <w:rsid w:val="004F32CC"/>
    <w:rsid w:val="004F38A9"/>
    <w:rsid w:val="004F4394"/>
    <w:rsid w:val="004F43E2"/>
    <w:rsid w:val="004F46FC"/>
    <w:rsid w:val="004F4EB9"/>
    <w:rsid w:val="004F5711"/>
    <w:rsid w:val="004F5F6A"/>
    <w:rsid w:val="004F71C2"/>
    <w:rsid w:val="0050188C"/>
    <w:rsid w:val="00501BC4"/>
    <w:rsid w:val="00501D8A"/>
    <w:rsid w:val="00501E99"/>
    <w:rsid w:val="00501FA2"/>
    <w:rsid w:val="0050246B"/>
    <w:rsid w:val="005027F0"/>
    <w:rsid w:val="00502929"/>
    <w:rsid w:val="00502F06"/>
    <w:rsid w:val="005037BC"/>
    <w:rsid w:val="005037CD"/>
    <w:rsid w:val="00503872"/>
    <w:rsid w:val="00503C1E"/>
    <w:rsid w:val="005046C0"/>
    <w:rsid w:val="005053B0"/>
    <w:rsid w:val="00506085"/>
    <w:rsid w:val="005064F9"/>
    <w:rsid w:val="0051074C"/>
    <w:rsid w:val="0051089A"/>
    <w:rsid w:val="00510BB6"/>
    <w:rsid w:val="0051288D"/>
    <w:rsid w:val="005132B5"/>
    <w:rsid w:val="00513A69"/>
    <w:rsid w:val="00513AF2"/>
    <w:rsid w:val="005144E0"/>
    <w:rsid w:val="005152C2"/>
    <w:rsid w:val="005153B7"/>
    <w:rsid w:val="00516462"/>
    <w:rsid w:val="0051690C"/>
    <w:rsid w:val="005200B5"/>
    <w:rsid w:val="00521B54"/>
    <w:rsid w:val="005222B7"/>
    <w:rsid w:val="00522983"/>
    <w:rsid w:val="0052307C"/>
    <w:rsid w:val="0052446F"/>
    <w:rsid w:val="00524F8D"/>
    <w:rsid w:val="00525D6C"/>
    <w:rsid w:val="005268C9"/>
    <w:rsid w:val="0052715F"/>
    <w:rsid w:val="00527CC7"/>
    <w:rsid w:val="00527D39"/>
    <w:rsid w:val="005305AF"/>
    <w:rsid w:val="00531545"/>
    <w:rsid w:val="00533367"/>
    <w:rsid w:val="00533C01"/>
    <w:rsid w:val="00535161"/>
    <w:rsid w:val="0053557D"/>
    <w:rsid w:val="00535A7F"/>
    <w:rsid w:val="0053606E"/>
    <w:rsid w:val="005369C0"/>
    <w:rsid w:val="00536C0D"/>
    <w:rsid w:val="0053771E"/>
    <w:rsid w:val="00537D21"/>
    <w:rsid w:val="005403D5"/>
    <w:rsid w:val="005418FA"/>
    <w:rsid w:val="00542FF3"/>
    <w:rsid w:val="0054323F"/>
    <w:rsid w:val="00543D6E"/>
    <w:rsid w:val="0054413A"/>
    <w:rsid w:val="005443C9"/>
    <w:rsid w:val="00545144"/>
    <w:rsid w:val="00545326"/>
    <w:rsid w:val="005457A0"/>
    <w:rsid w:val="005465E5"/>
    <w:rsid w:val="00546A34"/>
    <w:rsid w:val="00550551"/>
    <w:rsid w:val="00551DC1"/>
    <w:rsid w:val="00553411"/>
    <w:rsid w:val="00554515"/>
    <w:rsid w:val="00555967"/>
    <w:rsid w:val="005564CA"/>
    <w:rsid w:val="00556CA1"/>
    <w:rsid w:val="00556F5B"/>
    <w:rsid w:val="00557DD1"/>
    <w:rsid w:val="00560437"/>
    <w:rsid w:val="00560C9C"/>
    <w:rsid w:val="0056142D"/>
    <w:rsid w:val="00561510"/>
    <w:rsid w:val="005617FA"/>
    <w:rsid w:val="005620AD"/>
    <w:rsid w:val="005626E7"/>
    <w:rsid w:val="00562D14"/>
    <w:rsid w:val="00563DEE"/>
    <w:rsid w:val="00564281"/>
    <w:rsid w:val="00566EEE"/>
    <w:rsid w:val="00567CF6"/>
    <w:rsid w:val="00570BD6"/>
    <w:rsid w:val="00571897"/>
    <w:rsid w:val="005722C5"/>
    <w:rsid w:val="0057266E"/>
    <w:rsid w:val="00572788"/>
    <w:rsid w:val="005731B5"/>
    <w:rsid w:val="0057389B"/>
    <w:rsid w:val="00573D85"/>
    <w:rsid w:val="0057417D"/>
    <w:rsid w:val="00574CA8"/>
    <w:rsid w:val="00574D20"/>
    <w:rsid w:val="0057530E"/>
    <w:rsid w:val="00575B77"/>
    <w:rsid w:val="00575D08"/>
    <w:rsid w:val="005770F6"/>
    <w:rsid w:val="00577DD4"/>
    <w:rsid w:val="00577EF5"/>
    <w:rsid w:val="00580136"/>
    <w:rsid w:val="005811F1"/>
    <w:rsid w:val="00584E86"/>
    <w:rsid w:val="0058506F"/>
    <w:rsid w:val="0058589B"/>
    <w:rsid w:val="005867BF"/>
    <w:rsid w:val="00587B36"/>
    <w:rsid w:val="0059058A"/>
    <w:rsid w:val="00590963"/>
    <w:rsid w:val="00590DD9"/>
    <w:rsid w:val="00590E6F"/>
    <w:rsid w:val="00591C90"/>
    <w:rsid w:val="00591F4C"/>
    <w:rsid w:val="0059266D"/>
    <w:rsid w:val="00592AC9"/>
    <w:rsid w:val="00592E5C"/>
    <w:rsid w:val="005942C5"/>
    <w:rsid w:val="0059458E"/>
    <w:rsid w:val="00595BD5"/>
    <w:rsid w:val="00596F22"/>
    <w:rsid w:val="005977FA"/>
    <w:rsid w:val="005A0585"/>
    <w:rsid w:val="005A114C"/>
    <w:rsid w:val="005A1570"/>
    <w:rsid w:val="005A1A11"/>
    <w:rsid w:val="005A1C9C"/>
    <w:rsid w:val="005A2D51"/>
    <w:rsid w:val="005A32AF"/>
    <w:rsid w:val="005A34F0"/>
    <w:rsid w:val="005A3C9D"/>
    <w:rsid w:val="005A4079"/>
    <w:rsid w:val="005A436F"/>
    <w:rsid w:val="005A456B"/>
    <w:rsid w:val="005A4A4C"/>
    <w:rsid w:val="005A5275"/>
    <w:rsid w:val="005A54CB"/>
    <w:rsid w:val="005A6DCD"/>
    <w:rsid w:val="005A79FE"/>
    <w:rsid w:val="005B0132"/>
    <w:rsid w:val="005B2AF3"/>
    <w:rsid w:val="005B2F60"/>
    <w:rsid w:val="005B373F"/>
    <w:rsid w:val="005B4049"/>
    <w:rsid w:val="005B41D2"/>
    <w:rsid w:val="005B43FE"/>
    <w:rsid w:val="005B4AA6"/>
    <w:rsid w:val="005B4BC3"/>
    <w:rsid w:val="005B5336"/>
    <w:rsid w:val="005B6F12"/>
    <w:rsid w:val="005B7215"/>
    <w:rsid w:val="005B7515"/>
    <w:rsid w:val="005B7A2F"/>
    <w:rsid w:val="005C0D43"/>
    <w:rsid w:val="005C1E33"/>
    <w:rsid w:val="005C1FFD"/>
    <w:rsid w:val="005C266E"/>
    <w:rsid w:val="005C39A3"/>
    <w:rsid w:val="005C3C95"/>
    <w:rsid w:val="005C3CCE"/>
    <w:rsid w:val="005C4308"/>
    <w:rsid w:val="005C4C81"/>
    <w:rsid w:val="005C5026"/>
    <w:rsid w:val="005C51A7"/>
    <w:rsid w:val="005C5A22"/>
    <w:rsid w:val="005C5B5C"/>
    <w:rsid w:val="005C6D84"/>
    <w:rsid w:val="005D064A"/>
    <w:rsid w:val="005D1CE8"/>
    <w:rsid w:val="005D29B5"/>
    <w:rsid w:val="005D3445"/>
    <w:rsid w:val="005D37F7"/>
    <w:rsid w:val="005D3807"/>
    <w:rsid w:val="005D3A4B"/>
    <w:rsid w:val="005D474D"/>
    <w:rsid w:val="005D552E"/>
    <w:rsid w:val="005D5C5D"/>
    <w:rsid w:val="005D7512"/>
    <w:rsid w:val="005D7F00"/>
    <w:rsid w:val="005E0385"/>
    <w:rsid w:val="005E06A4"/>
    <w:rsid w:val="005E1BC6"/>
    <w:rsid w:val="005E1CF3"/>
    <w:rsid w:val="005E1F70"/>
    <w:rsid w:val="005E23E2"/>
    <w:rsid w:val="005E2E0F"/>
    <w:rsid w:val="005E2F44"/>
    <w:rsid w:val="005E3788"/>
    <w:rsid w:val="005E4F20"/>
    <w:rsid w:val="005E605B"/>
    <w:rsid w:val="005E67FC"/>
    <w:rsid w:val="005E72D5"/>
    <w:rsid w:val="005E7572"/>
    <w:rsid w:val="005E7A0B"/>
    <w:rsid w:val="005F0348"/>
    <w:rsid w:val="005F0C78"/>
    <w:rsid w:val="005F1050"/>
    <w:rsid w:val="005F137C"/>
    <w:rsid w:val="005F3431"/>
    <w:rsid w:val="005F4AB3"/>
    <w:rsid w:val="005F4BF5"/>
    <w:rsid w:val="005F5C6D"/>
    <w:rsid w:val="006007CC"/>
    <w:rsid w:val="00600FA4"/>
    <w:rsid w:val="00601496"/>
    <w:rsid w:val="0060197B"/>
    <w:rsid w:val="00601E1F"/>
    <w:rsid w:val="00601FCA"/>
    <w:rsid w:val="006028B1"/>
    <w:rsid w:val="00602A32"/>
    <w:rsid w:val="006030AA"/>
    <w:rsid w:val="00603999"/>
    <w:rsid w:val="00603BDE"/>
    <w:rsid w:val="006044E9"/>
    <w:rsid w:val="00604737"/>
    <w:rsid w:val="00610C94"/>
    <w:rsid w:val="00611379"/>
    <w:rsid w:val="00611D58"/>
    <w:rsid w:val="00612142"/>
    <w:rsid w:val="00612BDB"/>
    <w:rsid w:val="00612ED3"/>
    <w:rsid w:val="00613073"/>
    <w:rsid w:val="006133BD"/>
    <w:rsid w:val="006134DB"/>
    <w:rsid w:val="006135E8"/>
    <w:rsid w:val="00613F45"/>
    <w:rsid w:val="0061564E"/>
    <w:rsid w:val="00616C91"/>
    <w:rsid w:val="00616F60"/>
    <w:rsid w:val="00617024"/>
    <w:rsid w:val="00617066"/>
    <w:rsid w:val="006178DB"/>
    <w:rsid w:val="00620CBF"/>
    <w:rsid w:val="00620E47"/>
    <w:rsid w:val="0062127B"/>
    <w:rsid w:val="00621771"/>
    <w:rsid w:val="006219B0"/>
    <w:rsid w:val="00622002"/>
    <w:rsid w:val="006220A1"/>
    <w:rsid w:val="006231D1"/>
    <w:rsid w:val="00623F97"/>
    <w:rsid w:val="00624730"/>
    <w:rsid w:val="00624D8F"/>
    <w:rsid w:val="0062567A"/>
    <w:rsid w:val="0062792C"/>
    <w:rsid w:val="00632406"/>
    <w:rsid w:val="006334A8"/>
    <w:rsid w:val="00633633"/>
    <w:rsid w:val="00633AB3"/>
    <w:rsid w:val="006360B1"/>
    <w:rsid w:val="006362A0"/>
    <w:rsid w:val="0063656E"/>
    <w:rsid w:val="006367B1"/>
    <w:rsid w:val="0063788B"/>
    <w:rsid w:val="006404C9"/>
    <w:rsid w:val="0064055D"/>
    <w:rsid w:val="00640B75"/>
    <w:rsid w:val="006426C6"/>
    <w:rsid w:val="00642D57"/>
    <w:rsid w:val="0064395A"/>
    <w:rsid w:val="00646512"/>
    <w:rsid w:val="00646829"/>
    <w:rsid w:val="00647622"/>
    <w:rsid w:val="0065089D"/>
    <w:rsid w:val="00650BA6"/>
    <w:rsid w:val="00651C73"/>
    <w:rsid w:val="00651D31"/>
    <w:rsid w:val="00652478"/>
    <w:rsid w:val="006524A2"/>
    <w:rsid w:val="006524BE"/>
    <w:rsid w:val="00652A5C"/>
    <w:rsid w:val="006533F8"/>
    <w:rsid w:val="006537D0"/>
    <w:rsid w:val="0065455F"/>
    <w:rsid w:val="00655360"/>
    <w:rsid w:val="00655371"/>
    <w:rsid w:val="00655569"/>
    <w:rsid w:val="00656388"/>
    <w:rsid w:val="006563C3"/>
    <w:rsid w:val="00657151"/>
    <w:rsid w:val="00661024"/>
    <w:rsid w:val="006616CE"/>
    <w:rsid w:val="006625BC"/>
    <w:rsid w:val="00663A05"/>
    <w:rsid w:val="006645BF"/>
    <w:rsid w:val="006652E9"/>
    <w:rsid w:val="0066584D"/>
    <w:rsid w:val="00665A16"/>
    <w:rsid w:val="00665E49"/>
    <w:rsid w:val="00666AF7"/>
    <w:rsid w:val="006670F5"/>
    <w:rsid w:val="006674C1"/>
    <w:rsid w:val="00667B7F"/>
    <w:rsid w:val="00667EBB"/>
    <w:rsid w:val="0067040F"/>
    <w:rsid w:val="00670B1B"/>
    <w:rsid w:val="006716ED"/>
    <w:rsid w:val="006729E6"/>
    <w:rsid w:val="00672A0B"/>
    <w:rsid w:val="00672B53"/>
    <w:rsid w:val="00672EEC"/>
    <w:rsid w:val="0067317F"/>
    <w:rsid w:val="00673789"/>
    <w:rsid w:val="0067388D"/>
    <w:rsid w:val="00673AB7"/>
    <w:rsid w:val="00673AB9"/>
    <w:rsid w:val="00674512"/>
    <w:rsid w:val="00675933"/>
    <w:rsid w:val="00676340"/>
    <w:rsid w:val="00681A07"/>
    <w:rsid w:val="00682D0A"/>
    <w:rsid w:val="00683085"/>
    <w:rsid w:val="0068338B"/>
    <w:rsid w:val="00683404"/>
    <w:rsid w:val="006837E9"/>
    <w:rsid w:val="00683D48"/>
    <w:rsid w:val="00686E92"/>
    <w:rsid w:val="006914D0"/>
    <w:rsid w:val="0069158F"/>
    <w:rsid w:val="006916C0"/>
    <w:rsid w:val="00691C58"/>
    <w:rsid w:val="0069232F"/>
    <w:rsid w:val="00692BB0"/>
    <w:rsid w:val="00693CC2"/>
    <w:rsid w:val="00694B76"/>
    <w:rsid w:val="00695E74"/>
    <w:rsid w:val="0069678A"/>
    <w:rsid w:val="00696932"/>
    <w:rsid w:val="00697665"/>
    <w:rsid w:val="00697D73"/>
    <w:rsid w:val="006A00B7"/>
    <w:rsid w:val="006A049D"/>
    <w:rsid w:val="006A0BF9"/>
    <w:rsid w:val="006A11F5"/>
    <w:rsid w:val="006A12F4"/>
    <w:rsid w:val="006A1757"/>
    <w:rsid w:val="006A1A12"/>
    <w:rsid w:val="006A2013"/>
    <w:rsid w:val="006A2F2D"/>
    <w:rsid w:val="006A3206"/>
    <w:rsid w:val="006A3CD1"/>
    <w:rsid w:val="006A3CF2"/>
    <w:rsid w:val="006A454C"/>
    <w:rsid w:val="006A5273"/>
    <w:rsid w:val="006A58B8"/>
    <w:rsid w:val="006A64A9"/>
    <w:rsid w:val="006A7A49"/>
    <w:rsid w:val="006A7FD0"/>
    <w:rsid w:val="006B161A"/>
    <w:rsid w:val="006B2195"/>
    <w:rsid w:val="006B34D7"/>
    <w:rsid w:val="006B4C1B"/>
    <w:rsid w:val="006B5004"/>
    <w:rsid w:val="006B5571"/>
    <w:rsid w:val="006B55C5"/>
    <w:rsid w:val="006B7576"/>
    <w:rsid w:val="006C0662"/>
    <w:rsid w:val="006C084F"/>
    <w:rsid w:val="006C0B38"/>
    <w:rsid w:val="006C14D1"/>
    <w:rsid w:val="006C2EB8"/>
    <w:rsid w:val="006C41CF"/>
    <w:rsid w:val="006C453C"/>
    <w:rsid w:val="006C4F96"/>
    <w:rsid w:val="006C5A51"/>
    <w:rsid w:val="006C627E"/>
    <w:rsid w:val="006C68E5"/>
    <w:rsid w:val="006C6A3B"/>
    <w:rsid w:val="006C6E36"/>
    <w:rsid w:val="006C7E2B"/>
    <w:rsid w:val="006D09F8"/>
    <w:rsid w:val="006D18A5"/>
    <w:rsid w:val="006D23BA"/>
    <w:rsid w:val="006D2CB8"/>
    <w:rsid w:val="006D2CF6"/>
    <w:rsid w:val="006D40DC"/>
    <w:rsid w:val="006D4498"/>
    <w:rsid w:val="006D44E6"/>
    <w:rsid w:val="006D4EC2"/>
    <w:rsid w:val="006D4F07"/>
    <w:rsid w:val="006D5176"/>
    <w:rsid w:val="006D5415"/>
    <w:rsid w:val="006D5EA2"/>
    <w:rsid w:val="006D717D"/>
    <w:rsid w:val="006D7687"/>
    <w:rsid w:val="006E0385"/>
    <w:rsid w:val="006E0572"/>
    <w:rsid w:val="006E0C98"/>
    <w:rsid w:val="006E0F9F"/>
    <w:rsid w:val="006E1324"/>
    <w:rsid w:val="006E140D"/>
    <w:rsid w:val="006E1CCF"/>
    <w:rsid w:val="006E28FE"/>
    <w:rsid w:val="006E2F8F"/>
    <w:rsid w:val="006E34D5"/>
    <w:rsid w:val="006E4F08"/>
    <w:rsid w:val="006E6202"/>
    <w:rsid w:val="006E6B65"/>
    <w:rsid w:val="006E6D63"/>
    <w:rsid w:val="006E6E42"/>
    <w:rsid w:val="006E74A5"/>
    <w:rsid w:val="006F0E22"/>
    <w:rsid w:val="006F2EC7"/>
    <w:rsid w:val="006F3DAA"/>
    <w:rsid w:val="006F514F"/>
    <w:rsid w:val="006F5461"/>
    <w:rsid w:val="006F70A0"/>
    <w:rsid w:val="00700377"/>
    <w:rsid w:val="007008A4"/>
    <w:rsid w:val="00700E8E"/>
    <w:rsid w:val="007018AF"/>
    <w:rsid w:val="00701D9E"/>
    <w:rsid w:val="00701E35"/>
    <w:rsid w:val="007020A1"/>
    <w:rsid w:val="00702115"/>
    <w:rsid w:val="007029A4"/>
    <w:rsid w:val="00703E2C"/>
    <w:rsid w:val="00705631"/>
    <w:rsid w:val="00705FE1"/>
    <w:rsid w:val="00706399"/>
    <w:rsid w:val="00707D87"/>
    <w:rsid w:val="00707EFD"/>
    <w:rsid w:val="00707FF5"/>
    <w:rsid w:val="00711266"/>
    <w:rsid w:val="00711A50"/>
    <w:rsid w:val="007125A7"/>
    <w:rsid w:val="007130EA"/>
    <w:rsid w:val="00713DE5"/>
    <w:rsid w:val="00713FA0"/>
    <w:rsid w:val="00714254"/>
    <w:rsid w:val="00714718"/>
    <w:rsid w:val="007147D2"/>
    <w:rsid w:val="00714833"/>
    <w:rsid w:val="00714C43"/>
    <w:rsid w:val="00715929"/>
    <w:rsid w:val="0071654A"/>
    <w:rsid w:val="007173EA"/>
    <w:rsid w:val="00717A45"/>
    <w:rsid w:val="00717D15"/>
    <w:rsid w:val="0072005B"/>
    <w:rsid w:val="00720966"/>
    <w:rsid w:val="007210EC"/>
    <w:rsid w:val="0072127D"/>
    <w:rsid w:val="007229B0"/>
    <w:rsid w:val="00723351"/>
    <w:rsid w:val="00724809"/>
    <w:rsid w:val="007252B4"/>
    <w:rsid w:val="00725AC2"/>
    <w:rsid w:val="00726279"/>
    <w:rsid w:val="00726DBE"/>
    <w:rsid w:val="00727EAE"/>
    <w:rsid w:val="00727FB6"/>
    <w:rsid w:val="007300F3"/>
    <w:rsid w:val="007303E0"/>
    <w:rsid w:val="00730AB8"/>
    <w:rsid w:val="00734D43"/>
    <w:rsid w:val="007357B0"/>
    <w:rsid w:val="00735A39"/>
    <w:rsid w:val="00736FC1"/>
    <w:rsid w:val="007372C3"/>
    <w:rsid w:val="007404BC"/>
    <w:rsid w:val="00741FC4"/>
    <w:rsid w:val="0074287A"/>
    <w:rsid w:val="00742DD2"/>
    <w:rsid w:val="00744115"/>
    <w:rsid w:val="00744B26"/>
    <w:rsid w:val="00744E7F"/>
    <w:rsid w:val="00745879"/>
    <w:rsid w:val="00745950"/>
    <w:rsid w:val="007464C8"/>
    <w:rsid w:val="00746A77"/>
    <w:rsid w:val="00746D17"/>
    <w:rsid w:val="0074728F"/>
    <w:rsid w:val="00747873"/>
    <w:rsid w:val="00747E9B"/>
    <w:rsid w:val="007506F2"/>
    <w:rsid w:val="00751EE7"/>
    <w:rsid w:val="00752568"/>
    <w:rsid w:val="00752CB1"/>
    <w:rsid w:val="007539E1"/>
    <w:rsid w:val="0075455D"/>
    <w:rsid w:val="00754621"/>
    <w:rsid w:val="0075582E"/>
    <w:rsid w:val="0075647A"/>
    <w:rsid w:val="00756E36"/>
    <w:rsid w:val="007573C1"/>
    <w:rsid w:val="007574E5"/>
    <w:rsid w:val="007605B5"/>
    <w:rsid w:val="007611DB"/>
    <w:rsid w:val="007634AD"/>
    <w:rsid w:val="00763BF0"/>
    <w:rsid w:val="00764CD2"/>
    <w:rsid w:val="0076566F"/>
    <w:rsid w:val="007656E6"/>
    <w:rsid w:val="00765BE2"/>
    <w:rsid w:val="007673F0"/>
    <w:rsid w:val="0076744F"/>
    <w:rsid w:val="00767455"/>
    <w:rsid w:val="007679AF"/>
    <w:rsid w:val="007701D9"/>
    <w:rsid w:val="00772C6C"/>
    <w:rsid w:val="00772D54"/>
    <w:rsid w:val="007741D9"/>
    <w:rsid w:val="007743B6"/>
    <w:rsid w:val="007748F6"/>
    <w:rsid w:val="00774A8C"/>
    <w:rsid w:val="007750BB"/>
    <w:rsid w:val="00775779"/>
    <w:rsid w:val="00776ED5"/>
    <w:rsid w:val="007809E9"/>
    <w:rsid w:val="00780D84"/>
    <w:rsid w:val="0078122E"/>
    <w:rsid w:val="0078165F"/>
    <w:rsid w:val="00782024"/>
    <w:rsid w:val="007828DB"/>
    <w:rsid w:val="00782DC1"/>
    <w:rsid w:val="007831EF"/>
    <w:rsid w:val="00783506"/>
    <w:rsid w:val="0078442B"/>
    <w:rsid w:val="00784AB3"/>
    <w:rsid w:val="00784E6C"/>
    <w:rsid w:val="007853BD"/>
    <w:rsid w:val="00785467"/>
    <w:rsid w:val="00785A12"/>
    <w:rsid w:val="00785E18"/>
    <w:rsid w:val="0078614D"/>
    <w:rsid w:val="00787B6F"/>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DA5"/>
    <w:rsid w:val="007A7F82"/>
    <w:rsid w:val="007B0724"/>
    <w:rsid w:val="007B0854"/>
    <w:rsid w:val="007B0F2D"/>
    <w:rsid w:val="007B0F58"/>
    <w:rsid w:val="007B16E2"/>
    <w:rsid w:val="007B234F"/>
    <w:rsid w:val="007B24B5"/>
    <w:rsid w:val="007B44DA"/>
    <w:rsid w:val="007B5F82"/>
    <w:rsid w:val="007B6218"/>
    <w:rsid w:val="007B6351"/>
    <w:rsid w:val="007B78B9"/>
    <w:rsid w:val="007C0326"/>
    <w:rsid w:val="007C0A36"/>
    <w:rsid w:val="007C19C1"/>
    <w:rsid w:val="007C2221"/>
    <w:rsid w:val="007C36EC"/>
    <w:rsid w:val="007C3946"/>
    <w:rsid w:val="007C60A9"/>
    <w:rsid w:val="007C6117"/>
    <w:rsid w:val="007C6410"/>
    <w:rsid w:val="007C672F"/>
    <w:rsid w:val="007C7077"/>
    <w:rsid w:val="007C7370"/>
    <w:rsid w:val="007C7638"/>
    <w:rsid w:val="007C7F04"/>
    <w:rsid w:val="007D0305"/>
    <w:rsid w:val="007D0F47"/>
    <w:rsid w:val="007D1727"/>
    <w:rsid w:val="007D1AD1"/>
    <w:rsid w:val="007D1B47"/>
    <w:rsid w:val="007D1FD8"/>
    <w:rsid w:val="007D28C9"/>
    <w:rsid w:val="007D40E2"/>
    <w:rsid w:val="007D58E1"/>
    <w:rsid w:val="007D5E0B"/>
    <w:rsid w:val="007D65D4"/>
    <w:rsid w:val="007D71A4"/>
    <w:rsid w:val="007E01FC"/>
    <w:rsid w:val="007E03C8"/>
    <w:rsid w:val="007E044F"/>
    <w:rsid w:val="007E1384"/>
    <w:rsid w:val="007E38F5"/>
    <w:rsid w:val="007E4585"/>
    <w:rsid w:val="007E56BA"/>
    <w:rsid w:val="007E5B03"/>
    <w:rsid w:val="007E6035"/>
    <w:rsid w:val="007E750C"/>
    <w:rsid w:val="007F047F"/>
    <w:rsid w:val="007F0D40"/>
    <w:rsid w:val="007F1322"/>
    <w:rsid w:val="007F168F"/>
    <w:rsid w:val="007F25AB"/>
    <w:rsid w:val="007F2AC3"/>
    <w:rsid w:val="007F3452"/>
    <w:rsid w:val="007F367B"/>
    <w:rsid w:val="007F3F7B"/>
    <w:rsid w:val="007F4347"/>
    <w:rsid w:val="007F5F3B"/>
    <w:rsid w:val="007F723E"/>
    <w:rsid w:val="007F72CB"/>
    <w:rsid w:val="00800175"/>
    <w:rsid w:val="00802A13"/>
    <w:rsid w:val="00802D30"/>
    <w:rsid w:val="0080423D"/>
    <w:rsid w:val="00804C29"/>
    <w:rsid w:val="00804CE6"/>
    <w:rsid w:val="00804EB1"/>
    <w:rsid w:val="0080594C"/>
    <w:rsid w:val="008101D2"/>
    <w:rsid w:val="00810C11"/>
    <w:rsid w:val="00810CB8"/>
    <w:rsid w:val="008111B0"/>
    <w:rsid w:val="00811ED3"/>
    <w:rsid w:val="008125CD"/>
    <w:rsid w:val="0081348A"/>
    <w:rsid w:val="00813504"/>
    <w:rsid w:val="00815027"/>
    <w:rsid w:val="008159D3"/>
    <w:rsid w:val="00816191"/>
    <w:rsid w:val="00816302"/>
    <w:rsid w:val="0081643A"/>
    <w:rsid w:val="00816A51"/>
    <w:rsid w:val="00817931"/>
    <w:rsid w:val="00817A26"/>
    <w:rsid w:val="00817CA8"/>
    <w:rsid w:val="00817DDD"/>
    <w:rsid w:val="0082251D"/>
    <w:rsid w:val="00822D58"/>
    <w:rsid w:val="00822F0F"/>
    <w:rsid w:val="008232F1"/>
    <w:rsid w:val="00824AA3"/>
    <w:rsid w:val="00824D50"/>
    <w:rsid w:val="008259B9"/>
    <w:rsid w:val="00826A9D"/>
    <w:rsid w:val="008303BC"/>
    <w:rsid w:val="0083119B"/>
    <w:rsid w:val="00831238"/>
    <w:rsid w:val="0083133A"/>
    <w:rsid w:val="008313DB"/>
    <w:rsid w:val="008334FC"/>
    <w:rsid w:val="008339C5"/>
    <w:rsid w:val="008344BC"/>
    <w:rsid w:val="00834864"/>
    <w:rsid w:val="008349A7"/>
    <w:rsid w:val="00834EAB"/>
    <w:rsid w:val="00835417"/>
    <w:rsid w:val="008366AF"/>
    <w:rsid w:val="00836793"/>
    <w:rsid w:val="00836AFB"/>
    <w:rsid w:val="00836EAB"/>
    <w:rsid w:val="0083716D"/>
    <w:rsid w:val="008409BE"/>
    <w:rsid w:val="00840B58"/>
    <w:rsid w:val="00841280"/>
    <w:rsid w:val="0084152B"/>
    <w:rsid w:val="00841639"/>
    <w:rsid w:val="00841E0B"/>
    <w:rsid w:val="00842535"/>
    <w:rsid w:val="00842A9F"/>
    <w:rsid w:val="00842F23"/>
    <w:rsid w:val="00843449"/>
    <w:rsid w:val="00843BC4"/>
    <w:rsid w:val="00843E6C"/>
    <w:rsid w:val="00843F7A"/>
    <w:rsid w:val="00844326"/>
    <w:rsid w:val="0084483F"/>
    <w:rsid w:val="00845303"/>
    <w:rsid w:val="00846F5C"/>
    <w:rsid w:val="0084737E"/>
    <w:rsid w:val="00847B6B"/>
    <w:rsid w:val="00847DD7"/>
    <w:rsid w:val="0085092D"/>
    <w:rsid w:val="008509DD"/>
    <w:rsid w:val="00850DF5"/>
    <w:rsid w:val="0085128C"/>
    <w:rsid w:val="00852018"/>
    <w:rsid w:val="008524B4"/>
    <w:rsid w:val="0085264F"/>
    <w:rsid w:val="00852BB0"/>
    <w:rsid w:val="00852E12"/>
    <w:rsid w:val="00852F5E"/>
    <w:rsid w:val="008534E9"/>
    <w:rsid w:val="00853776"/>
    <w:rsid w:val="008541AC"/>
    <w:rsid w:val="00854DBB"/>
    <w:rsid w:val="00856468"/>
    <w:rsid w:val="00856B57"/>
    <w:rsid w:val="008572B5"/>
    <w:rsid w:val="00857F63"/>
    <w:rsid w:val="00860189"/>
    <w:rsid w:val="008601EE"/>
    <w:rsid w:val="00860B10"/>
    <w:rsid w:val="00860C12"/>
    <w:rsid w:val="008610DF"/>
    <w:rsid w:val="008612BF"/>
    <w:rsid w:val="00861408"/>
    <w:rsid w:val="008617E0"/>
    <w:rsid w:val="00861F65"/>
    <w:rsid w:val="00862B2A"/>
    <w:rsid w:val="00862D58"/>
    <w:rsid w:val="0086356F"/>
    <w:rsid w:val="00863C35"/>
    <w:rsid w:val="00865014"/>
    <w:rsid w:val="00865967"/>
    <w:rsid w:val="00865EEA"/>
    <w:rsid w:val="008700C1"/>
    <w:rsid w:val="008705C2"/>
    <w:rsid w:val="008705DE"/>
    <w:rsid w:val="00871295"/>
    <w:rsid w:val="0087249D"/>
    <w:rsid w:val="00873BCF"/>
    <w:rsid w:val="00874A6C"/>
    <w:rsid w:val="00876B9A"/>
    <w:rsid w:val="00877366"/>
    <w:rsid w:val="0087745C"/>
    <w:rsid w:val="00877FC5"/>
    <w:rsid w:val="00880626"/>
    <w:rsid w:val="00881690"/>
    <w:rsid w:val="00881742"/>
    <w:rsid w:val="008817ED"/>
    <w:rsid w:val="0088243F"/>
    <w:rsid w:val="00882EA0"/>
    <w:rsid w:val="00883662"/>
    <w:rsid w:val="00883715"/>
    <w:rsid w:val="0088457C"/>
    <w:rsid w:val="00885287"/>
    <w:rsid w:val="00885AA7"/>
    <w:rsid w:val="00886201"/>
    <w:rsid w:val="00886A5B"/>
    <w:rsid w:val="008871CF"/>
    <w:rsid w:val="00887B15"/>
    <w:rsid w:val="00890549"/>
    <w:rsid w:val="00890882"/>
    <w:rsid w:val="00890A8B"/>
    <w:rsid w:val="008927A8"/>
    <w:rsid w:val="00893165"/>
    <w:rsid w:val="00893180"/>
    <w:rsid w:val="00893C06"/>
    <w:rsid w:val="00894D34"/>
    <w:rsid w:val="00895AA2"/>
    <w:rsid w:val="00896174"/>
    <w:rsid w:val="008967AF"/>
    <w:rsid w:val="00896A1B"/>
    <w:rsid w:val="00897ED9"/>
    <w:rsid w:val="008A0425"/>
    <w:rsid w:val="008A0A11"/>
    <w:rsid w:val="008A0B2C"/>
    <w:rsid w:val="008A0CCC"/>
    <w:rsid w:val="008A1966"/>
    <w:rsid w:val="008A257A"/>
    <w:rsid w:val="008A2F81"/>
    <w:rsid w:val="008A3228"/>
    <w:rsid w:val="008A41E2"/>
    <w:rsid w:val="008A46C3"/>
    <w:rsid w:val="008A53F7"/>
    <w:rsid w:val="008A54C1"/>
    <w:rsid w:val="008A575E"/>
    <w:rsid w:val="008A6443"/>
    <w:rsid w:val="008A69BA"/>
    <w:rsid w:val="008A7AAC"/>
    <w:rsid w:val="008A7DFA"/>
    <w:rsid w:val="008B1A31"/>
    <w:rsid w:val="008B250F"/>
    <w:rsid w:val="008B3299"/>
    <w:rsid w:val="008B3EAF"/>
    <w:rsid w:val="008B4490"/>
    <w:rsid w:val="008C0AF6"/>
    <w:rsid w:val="008C0ED3"/>
    <w:rsid w:val="008C26E3"/>
    <w:rsid w:val="008C2BFB"/>
    <w:rsid w:val="008C41C5"/>
    <w:rsid w:val="008C4353"/>
    <w:rsid w:val="008C596E"/>
    <w:rsid w:val="008C6600"/>
    <w:rsid w:val="008C6B51"/>
    <w:rsid w:val="008C710C"/>
    <w:rsid w:val="008D1B84"/>
    <w:rsid w:val="008D2B54"/>
    <w:rsid w:val="008D3FBB"/>
    <w:rsid w:val="008D4085"/>
    <w:rsid w:val="008D4225"/>
    <w:rsid w:val="008D4533"/>
    <w:rsid w:val="008D4B97"/>
    <w:rsid w:val="008D4C63"/>
    <w:rsid w:val="008D5F00"/>
    <w:rsid w:val="008D71C9"/>
    <w:rsid w:val="008D76C2"/>
    <w:rsid w:val="008D776A"/>
    <w:rsid w:val="008E0A7E"/>
    <w:rsid w:val="008E197B"/>
    <w:rsid w:val="008E1C15"/>
    <w:rsid w:val="008E3219"/>
    <w:rsid w:val="008E425D"/>
    <w:rsid w:val="008E5380"/>
    <w:rsid w:val="008E55D9"/>
    <w:rsid w:val="008E5D4B"/>
    <w:rsid w:val="008E5EBF"/>
    <w:rsid w:val="008E6F70"/>
    <w:rsid w:val="008E7715"/>
    <w:rsid w:val="008E7D23"/>
    <w:rsid w:val="008F0394"/>
    <w:rsid w:val="008F14CC"/>
    <w:rsid w:val="008F1D84"/>
    <w:rsid w:val="008F1E25"/>
    <w:rsid w:val="008F2734"/>
    <w:rsid w:val="008F30C9"/>
    <w:rsid w:val="008F35B7"/>
    <w:rsid w:val="008F39BD"/>
    <w:rsid w:val="008F4123"/>
    <w:rsid w:val="008F489B"/>
    <w:rsid w:val="008F5C25"/>
    <w:rsid w:val="008F646E"/>
    <w:rsid w:val="008F6E4A"/>
    <w:rsid w:val="008F71EB"/>
    <w:rsid w:val="008F7353"/>
    <w:rsid w:val="008F7ABD"/>
    <w:rsid w:val="00900239"/>
    <w:rsid w:val="00900DDB"/>
    <w:rsid w:val="0090136A"/>
    <w:rsid w:val="00901CD9"/>
    <w:rsid w:val="00902199"/>
    <w:rsid w:val="009030CB"/>
    <w:rsid w:val="00903CAD"/>
    <w:rsid w:val="009047C5"/>
    <w:rsid w:val="00904CD9"/>
    <w:rsid w:val="00905603"/>
    <w:rsid w:val="00906322"/>
    <w:rsid w:val="009063A9"/>
    <w:rsid w:val="009064C4"/>
    <w:rsid w:val="009066C0"/>
    <w:rsid w:val="009071F2"/>
    <w:rsid w:val="0090765B"/>
    <w:rsid w:val="00907A73"/>
    <w:rsid w:val="00907E9D"/>
    <w:rsid w:val="009106BD"/>
    <w:rsid w:val="0091085E"/>
    <w:rsid w:val="00910B86"/>
    <w:rsid w:val="009110E3"/>
    <w:rsid w:val="0091237C"/>
    <w:rsid w:val="00914F02"/>
    <w:rsid w:val="00915E71"/>
    <w:rsid w:val="0091678A"/>
    <w:rsid w:val="00916A72"/>
    <w:rsid w:val="00916C89"/>
    <w:rsid w:val="0091746C"/>
    <w:rsid w:val="00917585"/>
    <w:rsid w:val="009176F3"/>
    <w:rsid w:val="00917700"/>
    <w:rsid w:val="00920F53"/>
    <w:rsid w:val="0092110B"/>
    <w:rsid w:val="009213FA"/>
    <w:rsid w:val="00921659"/>
    <w:rsid w:val="009217EE"/>
    <w:rsid w:val="00921A66"/>
    <w:rsid w:val="00921CF3"/>
    <w:rsid w:val="00923DC9"/>
    <w:rsid w:val="00924541"/>
    <w:rsid w:val="0092462A"/>
    <w:rsid w:val="0092465E"/>
    <w:rsid w:val="0092478E"/>
    <w:rsid w:val="00924928"/>
    <w:rsid w:val="00924A84"/>
    <w:rsid w:val="00924C21"/>
    <w:rsid w:val="0092603A"/>
    <w:rsid w:val="009278F1"/>
    <w:rsid w:val="00930831"/>
    <w:rsid w:val="00931364"/>
    <w:rsid w:val="0093167B"/>
    <w:rsid w:val="0093193A"/>
    <w:rsid w:val="00931B7E"/>
    <w:rsid w:val="00932FBD"/>
    <w:rsid w:val="009339B8"/>
    <w:rsid w:val="00933F8F"/>
    <w:rsid w:val="0093633E"/>
    <w:rsid w:val="00936B09"/>
    <w:rsid w:val="00937348"/>
    <w:rsid w:val="00937362"/>
    <w:rsid w:val="00937BFF"/>
    <w:rsid w:val="00937C4F"/>
    <w:rsid w:val="00937E01"/>
    <w:rsid w:val="00937E58"/>
    <w:rsid w:val="00940531"/>
    <w:rsid w:val="0094059F"/>
    <w:rsid w:val="00940714"/>
    <w:rsid w:val="009409CA"/>
    <w:rsid w:val="009418E8"/>
    <w:rsid w:val="009424CF"/>
    <w:rsid w:val="00942B12"/>
    <w:rsid w:val="00942D7C"/>
    <w:rsid w:val="00944342"/>
    <w:rsid w:val="00944CF7"/>
    <w:rsid w:val="00944EA4"/>
    <w:rsid w:val="00945AD3"/>
    <w:rsid w:val="00946218"/>
    <w:rsid w:val="009465F7"/>
    <w:rsid w:val="00946737"/>
    <w:rsid w:val="00946C75"/>
    <w:rsid w:val="00946CFA"/>
    <w:rsid w:val="00947536"/>
    <w:rsid w:val="00947D1F"/>
    <w:rsid w:val="00947D28"/>
    <w:rsid w:val="00947EF5"/>
    <w:rsid w:val="00950258"/>
    <w:rsid w:val="00951364"/>
    <w:rsid w:val="009521FC"/>
    <w:rsid w:val="00952E20"/>
    <w:rsid w:val="0095385A"/>
    <w:rsid w:val="00953A90"/>
    <w:rsid w:val="00954ABD"/>
    <w:rsid w:val="00955CAC"/>
    <w:rsid w:val="00955E10"/>
    <w:rsid w:val="0095681F"/>
    <w:rsid w:val="009568DA"/>
    <w:rsid w:val="00956C80"/>
    <w:rsid w:val="00956E82"/>
    <w:rsid w:val="009604AE"/>
    <w:rsid w:val="00960A8B"/>
    <w:rsid w:val="00961FA1"/>
    <w:rsid w:val="00962034"/>
    <w:rsid w:val="00962A37"/>
    <w:rsid w:val="00964C6F"/>
    <w:rsid w:val="00965849"/>
    <w:rsid w:val="00967FE3"/>
    <w:rsid w:val="00970217"/>
    <w:rsid w:val="00971941"/>
    <w:rsid w:val="00971A67"/>
    <w:rsid w:val="009738F8"/>
    <w:rsid w:val="00973D6C"/>
    <w:rsid w:val="00973F55"/>
    <w:rsid w:val="00975490"/>
    <w:rsid w:val="00975D1B"/>
    <w:rsid w:val="00976CC3"/>
    <w:rsid w:val="00977088"/>
    <w:rsid w:val="0098054E"/>
    <w:rsid w:val="00980A92"/>
    <w:rsid w:val="00981B5D"/>
    <w:rsid w:val="00982489"/>
    <w:rsid w:val="00984DFB"/>
    <w:rsid w:val="009859D0"/>
    <w:rsid w:val="009866C8"/>
    <w:rsid w:val="009874B4"/>
    <w:rsid w:val="00987787"/>
    <w:rsid w:val="00987DBA"/>
    <w:rsid w:val="00987F32"/>
    <w:rsid w:val="00990612"/>
    <w:rsid w:val="00990A26"/>
    <w:rsid w:val="00990A2F"/>
    <w:rsid w:val="0099113C"/>
    <w:rsid w:val="0099114C"/>
    <w:rsid w:val="0099165C"/>
    <w:rsid w:val="00995007"/>
    <w:rsid w:val="0099549D"/>
    <w:rsid w:val="00995CA3"/>
    <w:rsid w:val="009966E7"/>
    <w:rsid w:val="00996D56"/>
    <w:rsid w:val="009A0B76"/>
    <w:rsid w:val="009A1A89"/>
    <w:rsid w:val="009A1A94"/>
    <w:rsid w:val="009A1B74"/>
    <w:rsid w:val="009A1C15"/>
    <w:rsid w:val="009A353C"/>
    <w:rsid w:val="009A3AEB"/>
    <w:rsid w:val="009A4864"/>
    <w:rsid w:val="009B053C"/>
    <w:rsid w:val="009B0BF6"/>
    <w:rsid w:val="009B0CB9"/>
    <w:rsid w:val="009B1415"/>
    <w:rsid w:val="009B17C2"/>
    <w:rsid w:val="009B19D2"/>
    <w:rsid w:val="009B1BF2"/>
    <w:rsid w:val="009B2695"/>
    <w:rsid w:val="009B29F8"/>
    <w:rsid w:val="009B2C78"/>
    <w:rsid w:val="009B5EA5"/>
    <w:rsid w:val="009B6258"/>
    <w:rsid w:val="009B63F0"/>
    <w:rsid w:val="009B7EC0"/>
    <w:rsid w:val="009C02BD"/>
    <w:rsid w:val="009C0EC1"/>
    <w:rsid w:val="009C17B9"/>
    <w:rsid w:val="009C1933"/>
    <w:rsid w:val="009C1FFB"/>
    <w:rsid w:val="009C24BD"/>
    <w:rsid w:val="009C28F4"/>
    <w:rsid w:val="009C2A57"/>
    <w:rsid w:val="009C375E"/>
    <w:rsid w:val="009C376A"/>
    <w:rsid w:val="009C3A06"/>
    <w:rsid w:val="009C3D5F"/>
    <w:rsid w:val="009C446F"/>
    <w:rsid w:val="009C4DAD"/>
    <w:rsid w:val="009C55A7"/>
    <w:rsid w:val="009C5D1B"/>
    <w:rsid w:val="009C7648"/>
    <w:rsid w:val="009C782E"/>
    <w:rsid w:val="009C7F2E"/>
    <w:rsid w:val="009D07CB"/>
    <w:rsid w:val="009D0F4D"/>
    <w:rsid w:val="009D0FC4"/>
    <w:rsid w:val="009D3049"/>
    <w:rsid w:val="009D310C"/>
    <w:rsid w:val="009D4A2A"/>
    <w:rsid w:val="009D4C0B"/>
    <w:rsid w:val="009D4FF8"/>
    <w:rsid w:val="009D54EC"/>
    <w:rsid w:val="009D65B4"/>
    <w:rsid w:val="009D7290"/>
    <w:rsid w:val="009E01BD"/>
    <w:rsid w:val="009E0D1B"/>
    <w:rsid w:val="009E16CE"/>
    <w:rsid w:val="009E1F5A"/>
    <w:rsid w:val="009E245B"/>
    <w:rsid w:val="009E2882"/>
    <w:rsid w:val="009E31DD"/>
    <w:rsid w:val="009E3217"/>
    <w:rsid w:val="009E411D"/>
    <w:rsid w:val="009E4454"/>
    <w:rsid w:val="009E48B1"/>
    <w:rsid w:val="009E50F2"/>
    <w:rsid w:val="009E5DF3"/>
    <w:rsid w:val="009E6915"/>
    <w:rsid w:val="009E70F0"/>
    <w:rsid w:val="009F0BCE"/>
    <w:rsid w:val="009F1817"/>
    <w:rsid w:val="009F1BD6"/>
    <w:rsid w:val="009F2418"/>
    <w:rsid w:val="009F3083"/>
    <w:rsid w:val="009F372D"/>
    <w:rsid w:val="009F3C99"/>
    <w:rsid w:val="009F48F0"/>
    <w:rsid w:val="009F5699"/>
    <w:rsid w:val="009F57D1"/>
    <w:rsid w:val="009F596F"/>
    <w:rsid w:val="009F6369"/>
    <w:rsid w:val="009F6523"/>
    <w:rsid w:val="009F6B3F"/>
    <w:rsid w:val="009F773F"/>
    <w:rsid w:val="009F7802"/>
    <w:rsid w:val="009F7D1F"/>
    <w:rsid w:val="00A00987"/>
    <w:rsid w:val="00A0154B"/>
    <w:rsid w:val="00A01B73"/>
    <w:rsid w:val="00A01F14"/>
    <w:rsid w:val="00A028FC"/>
    <w:rsid w:val="00A02DEF"/>
    <w:rsid w:val="00A03186"/>
    <w:rsid w:val="00A0353C"/>
    <w:rsid w:val="00A0353D"/>
    <w:rsid w:val="00A03556"/>
    <w:rsid w:val="00A035A4"/>
    <w:rsid w:val="00A036C4"/>
    <w:rsid w:val="00A044A1"/>
    <w:rsid w:val="00A07446"/>
    <w:rsid w:val="00A10135"/>
    <w:rsid w:val="00A10706"/>
    <w:rsid w:val="00A1089F"/>
    <w:rsid w:val="00A11267"/>
    <w:rsid w:val="00A113C9"/>
    <w:rsid w:val="00A118A0"/>
    <w:rsid w:val="00A136ED"/>
    <w:rsid w:val="00A13C07"/>
    <w:rsid w:val="00A14F3C"/>
    <w:rsid w:val="00A17B91"/>
    <w:rsid w:val="00A206C9"/>
    <w:rsid w:val="00A20C68"/>
    <w:rsid w:val="00A21624"/>
    <w:rsid w:val="00A23088"/>
    <w:rsid w:val="00A23DDC"/>
    <w:rsid w:val="00A23E37"/>
    <w:rsid w:val="00A24560"/>
    <w:rsid w:val="00A24CAF"/>
    <w:rsid w:val="00A25834"/>
    <w:rsid w:val="00A25EC5"/>
    <w:rsid w:val="00A26731"/>
    <w:rsid w:val="00A26D28"/>
    <w:rsid w:val="00A2734F"/>
    <w:rsid w:val="00A27EFE"/>
    <w:rsid w:val="00A30501"/>
    <w:rsid w:val="00A305CD"/>
    <w:rsid w:val="00A308D1"/>
    <w:rsid w:val="00A3167C"/>
    <w:rsid w:val="00A316F7"/>
    <w:rsid w:val="00A31770"/>
    <w:rsid w:val="00A31AAB"/>
    <w:rsid w:val="00A3216E"/>
    <w:rsid w:val="00A32529"/>
    <w:rsid w:val="00A32559"/>
    <w:rsid w:val="00A338FC"/>
    <w:rsid w:val="00A33A2C"/>
    <w:rsid w:val="00A34538"/>
    <w:rsid w:val="00A35156"/>
    <w:rsid w:val="00A36062"/>
    <w:rsid w:val="00A37529"/>
    <w:rsid w:val="00A41BFA"/>
    <w:rsid w:val="00A4289E"/>
    <w:rsid w:val="00A42A3B"/>
    <w:rsid w:val="00A43490"/>
    <w:rsid w:val="00A43FD5"/>
    <w:rsid w:val="00A44DA5"/>
    <w:rsid w:val="00A46384"/>
    <w:rsid w:val="00A46CED"/>
    <w:rsid w:val="00A470F2"/>
    <w:rsid w:val="00A47803"/>
    <w:rsid w:val="00A47CCC"/>
    <w:rsid w:val="00A47DA6"/>
    <w:rsid w:val="00A47E0A"/>
    <w:rsid w:val="00A47F59"/>
    <w:rsid w:val="00A47F6D"/>
    <w:rsid w:val="00A507B2"/>
    <w:rsid w:val="00A50AD2"/>
    <w:rsid w:val="00A50F5C"/>
    <w:rsid w:val="00A51D51"/>
    <w:rsid w:val="00A5228B"/>
    <w:rsid w:val="00A5235A"/>
    <w:rsid w:val="00A53B56"/>
    <w:rsid w:val="00A53E7C"/>
    <w:rsid w:val="00A546CA"/>
    <w:rsid w:val="00A54A2B"/>
    <w:rsid w:val="00A54AB9"/>
    <w:rsid w:val="00A5584C"/>
    <w:rsid w:val="00A56A79"/>
    <w:rsid w:val="00A572E1"/>
    <w:rsid w:val="00A578E2"/>
    <w:rsid w:val="00A61FEE"/>
    <w:rsid w:val="00A62BAF"/>
    <w:rsid w:val="00A63DEC"/>
    <w:rsid w:val="00A6404B"/>
    <w:rsid w:val="00A641CA"/>
    <w:rsid w:val="00A656EF"/>
    <w:rsid w:val="00A65AA6"/>
    <w:rsid w:val="00A66F25"/>
    <w:rsid w:val="00A679E3"/>
    <w:rsid w:val="00A70311"/>
    <w:rsid w:val="00A70419"/>
    <w:rsid w:val="00A71148"/>
    <w:rsid w:val="00A72A3B"/>
    <w:rsid w:val="00A7332D"/>
    <w:rsid w:val="00A7461D"/>
    <w:rsid w:val="00A80248"/>
    <w:rsid w:val="00A80CF4"/>
    <w:rsid w:val="00A814D6"/>
    <w:rsid w:val="00A8268C"/>
    <w:rsid w:val="00A8275B"/>
    <w:rsid w:val="00A82E32"/>
    <w:rsid w:val="00A84361"/>
    <w:rsid w:val="00A84904"/>
    <w:rsid w:val="00A852F0"/>
    <w:rsid w:val="00A853DD"/>
    <w:rsid w:val="00A85C05"/>
    <w:rsid w:val="00A86F68"/>
    <w:rsid w:val="00A87177"/>
    <w:rsid w:val="00A87B23"/>
    <w:rsid w:val="00A923B7"/>
    <w:rsid w:val="00A95B45"/>
    <w:rsid w:val="00A95D9F"/>
    <w:rsid w:val="00A972D0"/>
    <w:rsid w:val="00A97342"/>
    <w:rsid w:val="00AA03C4"/>
    <w:rsid w:val="00AA077E"/>
    <w:rsid w:val="00AA18DB"/>
    <w:rsid w:val="00AA195D"/>
    <w:rsid w:val="00AA1C27"/>
    <w:rsid w:val="00AA33BA"/>
    <w:rsid w:val="00AA3DEF"/>
    <w:rsid w:val="00AA442B"/>
    <w:rsid w:val="00AA58FD"/>
    <w:rsid w:val="00AA59F5"/>
    <w:rsid w:val="00AA671A"/>
    <w:rsid w:val="00AA686E"/>
    <w:rsid w:val="00AA6CC1"/>
    <w:rsid w:val="00AB00BD"/>
    <w:rsid w:val="00AB0D4D"/>
    <w:rsid w:val="00AB14CE"/>
    <w:rsid w:val="00AB1580"/>
    <w:rsid w:val="00AB1690"/>
    <w:rsid w:val="00AB196B"/>
    <w:rsid w:val="00AB1AC8"/>
    <w:rsid w:val="00AB1CC8"/>
    <w:rsid w:val="00AB214B"/>
    <w:rsid w:val="00AB232F"/>
    <w:rsid w:val="00AB265E"/>
    <w:rsid w:val="00AB30DF"/>
    <w:rsid w:val="00AB3E40"/>
    <w:rsid w:val="00AB47E2"/>
    <w:rsid w:val="00AB4996"/>
    <w:rsid w:val="00AB4B1B"/>
    <w:rsid w:val="00AB4DF6"/>
    <w:rsid w:val="00AB61DC"/>
    <w:rsid w:val="00AB769D"/>
    <w:rsid w:val="00AB7F25"/>
    <w:rsid w:val="00AC004D"/>
    <w:rsid w:val="00AC060F"/>
    <w:rsid w:val="00AC0EEB"/>
    <w:rsid w:val="00AC1272"/>
    <w:rsid w:val="00AC1646"/>
    <w:rsid w:val="00AC1839"/>
    <w:rsid w:val="00AC1887"/>
    <w:rsid w:val="00AC3414"/>
    <w:rsid w:val="00AC3ACC"/>
    <w:rsid w:val="00AC3B09"/>
    <w:rsid w:val="00AD0B1D"/>
    <w:rsid w:val="00AD0F7C"/>
    <w:rsid w:val="00AD204B"/>
    <w:rsid w:val="00AD22FC"/>
    <w:rsid w:val="00AD2E44"/>
    <w:rsid w:val="00AD2F7B"/>
    <w:rsid w:val="00AD47FB"/>
    <w:rsid w:val="00AD48B1"/>
    <w:rsid w:val="00AD493D"/>
    <w:rsid w:val="00AD4EBB"/>
    <w:rsid w:val="00AD55A8"/>
    <w:rsid w:val="00AD5E7A"/>
    <w:rsid w:val="00AD6135"/>
    <w:rsid w:val="00AD73E8"/>
    <w:rsid w:val="00AD7A11"/>
    <w:rsid w:val="00AD7C52"/>
    <w:rsid w:val="00AE0AC7"/>
    <w:rsid w:val="00AE0CBF"/>
    <w:rsid w:val="00AE10E4"/>
    <w:rsid w:val="00AE1289"/>
    <w:rsid w:val="00AE19FC"/>
    <w:rsid w:val="00AE1FAC"/>
    <w:rsid w:val="00AE24EC"/>
    <w:rsid w:val="00AE3710"/>
    <w:rsid w:val="00AE39BD"/>
    <w:rsid w:val="00AE3A7C"/>
    <w:rsid w:val="00AE3E75"/>
    <w:rsid w:val="00AE4072"/>
    <w:rsid w:val="00AE4119"/>
    <w:rsid w:val="00AE4E69"/>
    <w:rsid w:val="00AE5307"/>
    <w:rsid w:val="00AE5B43"/>
    <w:rsid w:val="00AE65B9"/>
    <w:rsid w:val="00AE6719"/>
    <w:rsid w:val="00AE6D68"/>
    <w:rsid w:val="00AE7610"/>
    <w:rsid w:val="00AF0F32"/>
    <w:rsid w:val="00AF1383"/>
    <w:rsid w:val="00AF152E"/>
    <w:rsid w:val="00AF1ED8"/>
    <w:rsid w:val="00AF28FF"/>
    <w:rsid w:val="00AF51A0"/>
    <w:rsid w:val="00AF5644"/>
    <w:rsid w:val="00AF5C13"/>
    <w:rsid w:val="00AF5CE1"/>
    <w:rsid w:val="00AF6D47"/>
    <w:rsid w:val="00AF713D"/>
    <w:rsid w:val="00AF7FCE"/>
    <w:rsid w:val="00B00147"/>
    <w:rsid w:val="00B00F9B"/>
    <w:rsid w:val="00B01850"/>
    <w:rsid w:val="00B02601"/>
    <w:rsid w:val="00B027C4"/>
    <w:rsid w:val="00B029E3"/>
    <w:rsid w:val="00B0312C"/>
    <w:rsid w:val="00B04003"/>
    <w:rsid w:val="00B04843"/>
    <w:rsid w:val="00B055C7"/>
    <w:rsid w:val="00B0560B"/>
    <w:rsid w:val="00B06243"/>
    <w:rsid w:val="00B07B14"/>
    <w:rsid w:val="00B07BE4"/>
    <w:rsid w:val="00B101EE"/>
    <w:rsid w:val="00B1060D"/>
    <w:rsid w:val="00B118E9"/>
    <w:rsid w:val="00B12054"/>
    <w:rsid w:val="00B120C2"/>
    <w:rsid w:val="00B1288F"/>
    <w:rsid w:val="00B12A7B"/>
    <w:rsid w:val="00B12C01"/>
    <w:rsid w:val="00B12C69"/>
    <w:rsid w:val="00B14315"/>
    <w:rsid w:val="00B162E3"/>
    <w:rsid w:val="00B16C38"/>
    <w:rsid w:val="00B16C94"/>
    <w:rsid w:val="00B16D08"/>
    <w:rsid w:val="00B16D7C"/>
    <w:rsid w:val="00B16E58"/>
    <w:rsid w:val="00B17763"/>
    <w:rsid w:val="00B17C06"/>
    <w:rsid w:val="00B21D6C"/>
    <w:rsid w:val="00B22E22"/>
    <w:rsid w:val="00B23B33"/>
    <w:rsid w:val="00B243F7"/>
    <w:rsid w:val="00B258A0"/>
    <w:rsid w:val="00B25E2E"/>
    <w:rsid w:val="00B2636B"/>
    <w:rsid w:val="00B26374"/>
    <w:rsid w:val="00B26EC1"/>
    <w:rsid w:val="00B273B5"/>
    <w:rsid w:val="00B305CF"/>
    <w:rsid w:val="00B30D3C"/>
    <w:rsid w:val="00B32C0B"/>
    <w:rsid w:val="00B32DE6"/>
    <w:rsid w:val="00B33C57"/>
    <w:rsid w:val="00B33D08"/>
    <w:rsid w:val="00B340FE"/>
    <w:rsid w:val="00B346CC"/>
    <w:rsid w:val="00B351B5"/>
    <w:rsid w:val="00B35587"/>
    <w:rsid w:val="00B360BE"/>
    <w:rsid w:val="00B36547"/>
    <w:rsid w:val="00B36E67"/>
    <w:rsid w:val="00B371E9"/>
    <w:rsid w:val="00B401D0"/>
    <w:rsid w:val="00B403DE"/>
    <w:rsid w:val="00B40A2A"/>
    <w:rsid w:val="00B42A55"/>
    <w:rsid w:val="00B439B4"/>
    <w:rsid w:val="00B43AA5"/>
    <w:rsid w:val="00B43C9B"/>
    <w:rsid w:val="00B442B7"/>
    <w:rsid w:val="00B45158"/>
    <w:rsid w:val="00B45DA9"/>
    <w:rsid w:val="00B46798"/>
    <w:rsid w:val="00B46BC7"/>
    <w:rsid w:val="00B47E57"/>
    <w:rsid w:val="00B50315"/>
    <w:rsid w:val="00B512C3"/>
    <w:rsid w:val="00B513FE"/>
    <w:rsid w:val="00B51451"/>
    <w:rsid w:val="00B5146F"/>
    <w:rsid w:val="00B515CA"/>
    <w:rsid w:val="00B51689"/>
    <w:rsid w:val="00B5178D"/>
    <w:rsid w:val="00B525CB"/>
    <w:rsid w:val="00B531D7"/>
    <w:rsid w:val="00B53F68"/>
    <w:rsid w:val="00B54F70"/>
    <w:rsid w:val="00B5556E"/>
    <w:rsid w:val="00B55682"/>
    <w:rsid w:val="00B56556"/>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2E"/>
    <w:rsid w:val="00B6444C"/>
    <w:rsid w:val="00B66866"/>
    <w:rsid w:val="00B66D78"/>
    <w:rsid w:val="00B67C3D"/>
    <w:rsid w:val="00B70169"/>
    <w:rsid w:val="00B70283"/>
    <w:rsid w:val="00B7078C"/>
    <w:rsid w:val="00B710C4"/>
    <w:rsid w:val="00B71561"/>
    <w:rsid w:val="00B72871"/>
    <w:rsid w:val="00B7345C"/>
    <w:rsid w:val="00B737A3"/>
    <w:rsid w:val="00B73B11"/>
    <w:rsid w:val="00B754CA"/>
    <w:rsid w:val="00B75BAA"/>
    <w:rsid w:val="00B75C7C"/>
    <w:rsid w:val="00B77ADE"/>
    <w:rsid w:val="00B77C1C"/>
    <w:rsid w:val="00B77D93"/>
    <w:rsid w:val="00B80316"/>
    <w:rsid w:val="00B80794"/>
    <w:rsid w:val="00B80D4A"/>
    <w:rsid w:val="00B80D60"/>
    <w:rsid w:val="00B8193B"/>
    <w:rsid w:val="00B81A41"/>
    <w:rsid w:val="00B81ACB"/>
    <w:rsid w:val="00B81F14"/>
    <w:rsid w:val="00B8385C"/>
    <w:rsid w:val="00B83F84"/>
    <w:rsid w:val="00B84B3E"/>
    <w:rsid w:val="00B85623"/>
    <w:rsid w:val="00B87B9E"/>
    <w:rsid w:val="00B90205"/>
    <w:rsid w:val="00B90B22"/>
    <w:rsid w:val="00B90B34"/>
    <w:rsid w:val="00B91CF1"/>
    <w:rsid w:val="00B91EAD"/>
    <w:rsid w:val="00B92CB6"/>
    <w:rsid w:val="00B93287"/>
    <w:rsid w:val="00B94B1F"/>
    <w:rsid w:val="00B9556D"/>
    <w:rsid w:val="00B95717"/>
    <w:rsid w:val="00B979C2"/>
    <w:rsid w:val="00BA0FA8"/>
    <w:rsid w:val="00BA101A"/>
    <w:rsid w:val="00BA1433"/>
    <w:rsid w:val="00BA2BEC"/>
    <w:rsid w:val="00BA32EF"/>
    <w:rsid w:val="00BA4904"/>
    <w:rsid w:val="00BA4B5B"/>
    <w:rsid w:val="00BA549C"/>
    <w:rsid w:val="00BA54F0"/>
    <w:rsid w:val="00BA5612"/>
    <w:rsid w:val="00BA5B4B"/>
    <w:rsid w:val="00BA6306"/>
    <w:rsid w:val="00BB16AA"/>
    <w:rsid w:val="00BB325C"/>
    <w:rsid w:val="00BB32EA"/>
    <w:rsid w:val="00BB37BD"/>
    <w:rsid w:val="00BB5B30"/>
    <w:rsid w:val="00BB5C7A"/>
    <w:rsid w:val="00BB7738"/>
    <w:rsid w:val="00BB7CF2"/>
    <w:rsid w:val="00BC0980"/>
    <w:rsid w:val="00BC11CA"/>
    <w:rsid w:val="00BC1901"/>
    <w:rsid w:val="00BC20AF"/>
    <w:rsid w:val="00BC2F8F"/>
    <w:rsid w:val="00BC3610"/>
    <w:rsid w:val="00BC3A7B"/>
    <w:rsid w:val="00BC3E50"/>
    <w:rsid w:val="00BC46FA"/>
    <w:rsid w:val="00BC4CFC"/>
    <w:rsid w:val="00BC5E6E"/>
    <w:rsid w:val="00BC638A"/>
    <w:rsid w:val="00BC754C"/>
    <w:rsid w:val="00BC7A70"/>
    <w:rsid w:val="00BD075C"/>
    <w:rsid w:val="00BD0942"/>
    <w:rsid w:val="00BD09C9"/>
    <w:rsid w:val="00BD1370"/>
    <w:rsid w:val="00BD16E4"/>
    <w:rsid w:val="00BD3ADF"/>
    <w:rsid w:val="00BD404B"/>
    <w:rsid w:val="00BD4104"/>
    <w:rsid w:val="00BD418A"/>
    <w:rsid w:val="00BD484B"/>
    <w:rsid w:val="00BD5979"/>
    <w:rsid w:val="00BD5CBA"/>
    <w:rsid w:val="00BD5F18"/>
    <w:rsid w:val="00BD5F91"/>
    <w:rsid w:val="00BD78FE"/>
    <w:rsid w:val="00BE1B2E"/>
    <w:rsid w:val="00BE1EB7"/>
    <w:rsid w:val="00BE3C30"/>
    <w:rsid w:val="00BE43C0"/>
    <w:rsid w:val="00BE4C31"/>
    <w:rsid w:val="00BE5743"/>
    <w:rsid w:val="00BE60C5"/>
    <w:rsid w:val="00BE62F9"/>
    <w:rsid w:val="00BE646C"/>
    <w:rsid w:val="00BE68A7"/>
    <w:rsid w:val="00BE7972"/>
    <w:rsid w:val="00BF0438"/>
    <w:rsid w:val="00BF0945"/>
    <w:rsid w:val="00BF0F80"/>
    <w:rsid w:val="00BF2195"/>
    <w:rsid w:val="00BF239F"/>
    <w:rsid w:val="00BF26EF"/>
    <w:rsid w:val="00BF2870"/>
    <w:rsid w:val="00BF2E6F"/>
    <w:rsid w:val="00BF38C7"/>
    <w:rsid w:val="00BF3E3E"/>
    <w:rsid w:val="00BF3E9C"/>
    <w:rsid w:val="00BF46EB"/>
    <w:rsid w:val="00BF52BB"/>
    <w:rsid w:val="00BF5655"/>
    <w:rsid w:val="00BF59DD"/>
    <w:rsid w:val="00BF6F68"/>
    <w:rsid w:val="00BF765B"/>
    <w:rsid w:val="00BF7DC7"/>
    <w:rsid w:val="00BF7FBC"/>
    <w:rsid w:val="00C01713"/>
    <w:rsid w:val="00C01888"/>
    <w:rsid w:val="00C0300E"/>
    <w:rsid w:val="00C03968"/>
    <w:rsid w:val="00C03D7A"/>
    <w:rsid w:val="00C04038"/>
    <w:rsid w:val="00C05889"/>
    <w:rsid w:val="00C05EFC"/>
    <w:rsid w:val="00C06AA8"/>
    <w:rsid w:val="00C06C24"/>
    <w:rsid w:val="00C06D8D"/>
    <w:rsid w:val="00C06F4E"/>
    <w:rsid w:val="00C074ED"/>
    <w:rsid w:val="00C07969"/>
    <w:rsid w:val="00C07BA3"/>
    <w:rsid w:val="00C07EFC"/>
    <w:rsid w:val="00C1063D"/>
    <w:rsid w:val="00C108FF"/>
    <w:rsid w:val="00C11C22"/>
    <w:rsid w:val="00C128D8"/>
    <w:rsid w:val="00C13117"/>
    <w:rsid w:val="00C13B27"/>
    <w:rsid w:val="00C140C5"/>
    <w:rsid w:val="00C14392"/>
    <w:rsid w:val="00C14CDE"/>
    <w:rsid w:val="00C14D9E"/>
    <w:rsid w:val="00C15F8E"/>
    <w:rsid w:val="00C16340"/>
    <w:rsid w:val="00C16E80"/>
    <w:rsid w:val="00C1755A"/>
    <w:rsid w:val="00C20311"/>
    <w:rsid w:val="00C20858"/>
    <w:rsid w:val="00C210EA"/>
    <w:rsid w:val="00C215F9"/>
    <w:rsid w:val="00C21979"/>
    <w:rsid w:val="00C2235E"/>
    <w:rsid w:val="00C22C1C"/>
    <w:rsid w:val="00C2341D"/>
    <w:rsid w:val="00C23442"/>
    <w:rsid w:val="00C236F1"/>
    <w:rsid w:val="00C23EB2"/>
    <w:rsid w:val="00C248DB"/>
    <w:rsid w:val="00C248E6"/>
    <w:rsid w:val="00C24CB7"/>
    <w:rsid w:val="00C25356"/>
    <w:rsid w:val="00C260AE"/>
    <w:rsid w:val="00C26FF5"/>
    <w:rsid w:val="00C2785E"/>
    <w:rsid w:val="00C301D9"/>
    <w:rsid w:val="00C3050E"/>
    <w:rsid w:val="00C30E92"/>
    <w:rsid w:val="00C31E79"/>
    <w:rsid w:val="00C32E42"/>
    <w:rsid w:val="00C33584"/>
    <w:rsid w:val="00C355B4"/>
    <w:rsid w:val="00C358C6"/>
    <w:rsid w:val="00C35C94"/>
    <w:rsid w:val="00C35CCA"/>
    <w:rsid w:val="00C36B79"/>
    <w:rsid w:val="00C3789F"/>
    <w:rsid w:val="00C37E77"/>
    <w:rsid w:val="00C40376"/>
    <w:rsid w:val="00C403FB"/>
    <w:rsid w:val="00C40C20"/>
    <w:rsid w:val="00C41A44"/>
    <w:rsid w:val="00C41D28"/>
    <w:rsid w:val="00C420C0"/>
    <w:rsid w:val="00C421D2"/>
    <w:rsid w:val="00C4266A"/>
    <w:rsid w:val="00C4281E"/>
    <w:rsid w:val="00C42841"/>
    <w:rsid w:val="00C429CB"/>
    <w:rsid w:val="00C43FAA"/>
    <w:rsid w:val="00C44120"/>
    <w:rsid w:val="00C445C0"/>
    <w:rsid w:val="00C44882"/>
    <w:rsid w:val="00C449F2"/>
    <w:rsid w:val="00C451B2"/>
    <w:rsid w:val="00C4553B"/>
    <w:rsid w:val="00C46C7E"/>
    <w:rsid w:val="00C46DAD"/>
    <w:rsid w:val="00C474F7"/>
    <w:rsid w:val="00C5029B"/>
    <w:rsid w:val="00C50FFB"/>
    <w:rsid w:val="00C51383"/>
    <w:rsid w:val="00C5178F"/>
    <w:rsid w:val="00C529C9"/>
    <w:rsid w:val="00C52AA0"/>
    <w:rsid w:val="00C52E69"/>
    <w:rsid w:val="00C53904"/>
    <w:rsid w:val="00C539FA"/>
    <w:rsid w:val="00C53C40"/>
    <w:rsid w:val="00C54A27"/>
    <w:rsid w:val="00C54A9A"/>
    <w:rsid w:val="00C54E31"/>
    <w:rsid w:val="00C54E4E"/>
    <w:rsid w:val="00C54ED0"/>
    <w:rsid w:val="00C5659C"/>
    <w:rsid w:val="00C579C6"/>
    <w:rsid w:val="00C606C0"/>
    <w:rsid w:val="00C60A58"/>
    <w:rsid w:val="00C611EF"/>
    <w:rsid w:val="00C61389"/>
    <w:rsid w:val="00C63537"/>
    <w:rsid w:val="00C63B97"/>
    <w:rsid w:val="00C63E4C"/>
    <w:rsid w:val="00C64C51"/>
    <w:rsid w:val="00C6585A"/>
    <w:rsid w:val="00C67675"/>
    <w:rsid w:val="00C67716"/>
    <w:rsid w:val="00C70C9A"/>
    <w:rsid w:val="00C7127A"/>
    <w:rsid w:val="00C713D7"/>
    <w:rsid w:val="00C71798"/>
    <w:rsid w:val="00C74D7F"/>
    <w:rsid w:val="00C75515"/>
    <w:rsid w:val="00C76A33"/>
    <w:rsid w:val="00C8023B"/>
    <w:rsid w:val="00C80B95"/>
    <w:rsid w:val="00C80DCC"/>
    <w:rsid w:val="00C80ECB"/>
    <w:rsid w:val="00C8107E"/>
    <w:rsid w:val="00C81676"/>
    <w:rsid w:val="00C818C5"/>
    <w:rsid w:val="00C81AC2"/>
    <w:rsid w:val="00C82037"/>
    <w:rsid w:val="00C8219B"/>
    <w:rsid w:val="00C821FE"/>
    <w:rsid w:val="00C82754"/>
    <w:rsid w:val="00C8292A"/>
    <w:rsid w:val="00C83D45"/>
    <w:rsid w:val="00C845E6"/>
    <w:rsid w:val="00C847FA"/>
    <w:rsid w:val="00C84D6B"/>
    <w:rsid w:val="00C8577F"/>
    <w:rsid w:val="00C859B3"/>
    <w:rsid w:val="00C85EAF"/>
    <w:rsid w:val="00C878E8"/>
    <w:rsid w:val="00C87A79"/>
    <w:rsid w:val="00C87FB1"/>
    <w:rsid w:val="00C90A72"/>
    <w:rsid w:val="00C91D94"/>
    <w:rsid w:val="00C91E02"/>
    <w:rsid w:val="00C92306"/>
    <w:rsid w:val="00C92639"/>
    <w:rsid w:val="00C92842"/>
    <w:rsid w:val="00C94383"/>
    <w:rsid w:val="00C949D9"/>
    <w:rsid w:val="00C95026"/>
    <w:rsid w:val="00C9670A"/>
    <w:rsid w:val="00C969DD"/>
    <w:rsid w:val="00C9707B"/>
    <w:rsid w:val="00C974E8"/>
    <w:rsid w:val="00C97546"/>
    <w:rsid w:val="00CA0AB5"/>
    <w:rsid w:val="00CA0C3E"/>
    <w:rsid w:val="00CA1177"/>
    <w:rsid w:val="00CA131B"/>
    <w:rsid w:val="00CA1540"/>
    <w:rsid w:val="00CA287E"/>
    <w:rsid w:val="00CA2B13"/>
    <w:rsid w:val="00CA3F40"/>
    <w:rsid w:val="00CA44C0"/>
    <w:rsid w:val="00CA44E6"/>
    <w:rsid w:val="00CA4B84"/>
    <w:rsid w:val="00CA5926"/>
    <w:rsid w:val="00CA5AD8"/>
    <w:rsid w:val="00CA5FFD"/>
    <w:rsid w:val="00CA6B80"/>
    <w:rsid w:val="00CA70E5"/>
    <w:rsid w:val="00CA7139"/>
    <w:rsid w:val="00CA73A8"/>
    <w:rsid w:val="00CB084F"/>
    <w:rsid w:val="00CB127A"/>
    <w:rsid w:val="00CB1B38"/>
    <w:rsid w:val="00CB1D4D"/>
    <w:rsid w:val="00CB21C6"/>
    <w:rsid w:val="00CB22AF"/>
    <w:rsid w:val="00CB2894"/>
    <w:rsid w:val="00CB3DAB"/>
    <w:rsid w:val="00CB4B63"/>
    <w:rsid w:val="00CB4C30"/>
    <w:rsid w:val="00CB532E"/>
    <w:rsid w:val="00CB5663"/>
    <w:rsid w:val="00CB58CF"/>
    <w:rsid w:val="00CB61ED"/>
    <w:rsid w:val="00CB6518"/>
    <w:rsid w:val="00CB7FCB"/>
    <w:rsid w:val="00CC00CD"/>
    <w:rsid w:val="00CC0E2F"/>
    <w:rsid w:val="00CC14C5"/>
    <w:rsid w:val="00CC1A35"/>
    <w:rsid w:val="00CC2C34"/>
    <w:rsid w:val="00CC2D5F"/>
    <w:rsid w:val="00CC4A96"/>
    <w:rsid w:val="00CC5BE0"/>
    <w:rsid w:val="00CC5E3E"/>
    <w:rsid w:val="00CC670C"/>
    <w:rsid w:val="00CC786F"/>
    <w:rsid w:val="00CD080F"/>
    <w:rsid w:val="00CD1434"/>
    <w:rsid w:val="00CD1A2C"/>
    <w:rsid w:val="00CD2200"/>
    <w:rsid w:val="00CD22B2"/>
    <w:rsid w:val="00CD2709"/>
    <w:rsid w:val="00CD2B02"/>
    <w:rsid w:val="00CD39D4"/>
    <w:rsid w:val="00CD47FC"/>
    <w:rsid w:val="00CD4833"/>
    <w:rsid w:val="00CD4CEE"/>
    <w:rsid w:val="00CD542B"/>
    <w:rsid w:val="00CD5688"/>
    <w:rsid w:val="00CD5978"/>
    <w:rsid w:val="00CD5988"/>
    <w:rsid w:val="00CD59EC"/>
    <w:rsid w:val="00CD5AB4"/>
    <w:rsid w:val="00CD5C2C"/>
    <w:rsid w:val="00CD5CFD"/>
    <w:rsid w:val="00CD5F34"/>
    <w:rsid w:val="00CD66AC"/>
    <w:rsid w:val="00CD6EED"/>
    <w:rsid w:val="00CD7A66"/>
    <w:rsid w:val="00CE026A"/>
    <w:rsid w:val="00CE041B"/>
    <w:rsid w:val="00CE170E"/>
    <w:rsid w:val="00CE2F86"/>
    <w:rsid w:val="00CE33FA"/>
    <w:rsid w:val="00CE3652"/>
    <w:rsid w:val="00CE50B8"/>
    <w:rsid w:val="00CE72E3"/>
    <w:rsid w:val="00CE79BA"/>
    <w:rsid w:val="00CE7D43"/>
    <w:rsid w:val="00CF2AA3"/>
    <w:rsid w:val="00CF2CA1"/>
    <w:rsid w:val="00CF2EF6"/>
    <w:rsid w:val="00CF38A3"/>
    <w:rsid w:val="00CF397F"/>
    <w:rsid w:val="00CF404E"/>
    <w:rsid w:val="00CF4690"/>
    <w:rsid w:val="00CF4A4E"/>
    <w:rsid w:val="00CF4DAF"/>
    <w:rsid w:val="00CF532E"/>
    <w:rsid w:val="00CF5675"/>
    <w:rsid w:val="00CF6B14"/>
    <w:rsid w:val="00CF7778"/>
    <w:rsid w:val="00CF7DE3"/>
    <w:rsid w:val="00D00084"/>
    <w:rsid w:val="00D004A0"/>
    <w:rsid w:val="00D03273"/>
    <w:rsid w:val="00D04268"/>
    <w:rsid w:val="00D047D3"/>
    <w:rsid w:val="00D0488F"/>
    <w:rsid w:val="00D04F45"/>
    <w:rsid w:val="00D054BD"/>
    <w:rsid w:val="00D05E28"/>
    <w:rsid w:val="00D063D2"/>
    <w:rsid w:val="00D06D43"/>
    <w:rsid w:val="00D07E72"/>
    <w:rsid w:val="00D07F68"/>
    <w:rsid w:val="00D1038E"/>
    <w:rsid w:val="00D10D52"/>
    <w:rsid w:val="00D111AF"/>
    <w:rsid w:val="00D1185B"/>
    <w:rsid w:val="00D11E53"/>
    <w:rsid w:val="00D121E4"/>
    <w:rsid w:val="00D12348"/>
    <w:rsid w:val="00D1347F"/>
    <w:rsid w:val="00D1440B"/>
    <w:rsid w:val="00D147AB"/>
    <w:rsid w:val="00D14A78"/>
    <w:rsid w:val="00D150E7"/>
    <w:rsid w:val="00D1587C"/>
    <w:rsid w:val="00D15D40"/>
    <w:rsid w:val="00D16345"/>
    <w:rsid w:val="00D164E5"/>
    <w:rsid w:val="00D16E21"/>
    <w:rsid w:val="00D16E36"/>
    <w:rsid w:val="00D16E39"/>
    <w:rsid w:val="00D20355"/>
    <w:rsid w:val="00D20C61"/>
    <w:rsid w:val="00D2159B"/>
    <w:rsid w:val="00D228A3"/>
    <w:rsid w:val="00D235C6"/>
    <w:rsid w:val="00D23B7C"/>
    <w:rsid w:val="00D24CC2"/>
    <w:rsid w:val="00D24E22"/>
    <w:rsid w:val="00D250D0"/>
    <w:rsid w:val="00D25B15"/>
    <w:rsid w:val="00D2740A"/>
    <w:rsid w:val="00D30416"/>
    <w:rsid w:val="00D31F4A"/>
    <w:rsid w:val="00D32C9D"/>
    <w:rsid w:val="00D32F77"/>
    <w:rsid w:val="00D3549C"/>
    <w:rsid w:val="00D356F9"/>
    <w:rsid w:val="00D35D5C"/>
    <w:rsid w:val="00D361D0"/>
    <w:rsid w:val="00D3638A"/>
    <w:rsid w:val="00D37454"/>
    <w:rsid w:val="00D376C1"/>
    <w:rsid w:val="00D40159"/>
    <w:rsid w:val="00D40DDB"/>
    <w:rsid w:val="00D429EC"/>
    <w:rsid w:val="00D43978"/>
    <w:rsid w:val="00D44121"/>
    <w:rsid w:val="00D44846"/>
    <w:rsid w:val="00D454B6"/>
    <w:rsid w:val="00D478EC"/>
    <w:rsid w:val="00D502F1"/>
    <w:rsid w:val="00D50796"/>
    <w:rsid w:val="00D5088B"/>
    <w:rsid w:val="00D521EA"/>
    <w:rsid w:val="00D52852"/>
    <w:rsid w:val="00D52B1B"/>
    <w:rsid w:val="00D52CF7"/>
    <w:rsid w:val="00D53EA2"/>
    <w:rsid w:val="00D542C3"/>
    <w:rsid w:val="00D544C5"/>
    <w:rsid w:val="00D55CA0"/>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5806"/>
    <w:rsid w:val="00D66450"/>
    <w:rsid w:val="00D70679"/>
    <w:rsid w:val="00D70901"/>
    <w:rsid w:val="00D710DF"/>
    <w:rsid w:val="00D729F6"/>
    <w:rsid w:val="00D72E9D"/>
    <w:rsid w:val="00D73D07"/>
    <w:rsid w:val="00D73D62"/>
    <w:rsid w:val="00D74389"/>
    <w:rsid w:val="00D74E75"/>
    <w:rsid w:val="00D7538F"/>
    <w:rsid w:val="00D7663C"/>
    <w:rsid w:val="00D76689"/>
    <w:rsid w:val="00D7722E"/>
    <w:rsid w:val="00D777A2"/>
    <w:rsid w:val="00D80E2D"/>
    <w:rsid w:val="00D80EB6"/>
    <w:rsid w:val="00D81B3A"/>
    <w:rsid w:val="00D82056"/>
    <w:rsid w:val="00D82CE5"/>
    <w:rsid w:val="00D83D88"/>
    <w:rsid w:val="00D8437F"/>
    <w:rsid w:val="00D84C74"/>
    <w:rsid w:val="00D84D9D"/>
    <w:rsid w:val="00D84F1E"/>
    <w:rsid w:val="00D854F8"/>
    <w:rsid w:val="00D856F4"/>
    <w:rsid w:val="00D90A4E"/>
    <w:rsid w:val="00D90C79"/>
    <w:rsid w:val="00D9244A"/>
    <w:rsid w:val="00D927D2"/>
    <w:rsid w:val="00D9294F"/>
    <w:rsid w:val="00D92C46"/>
    <w:rsid w:val="00D9457C"/>
    <w:rsid w:val="00D96A62"/>
    <w:rsid w:val="00D96B0B"/>
    <w:rsid w:val="00D9727E"/>
    <w:rsid w:val="00D97A59"/>
    <w:rsid w:val="00DA01E8"/>
    <w:rsid w:val="00DA0AC7"/>
    <w:rsid w:val="00DA0FD1"/>
    <w:rsid w:val="00DA17CF"/>
    <w:rsid w:val="00DA1A20"/>
    <w:rsid w:val="00DA1E8F"/>
    <w:rsid w:val="00DA28E9"/>
    <w:rsid w:val="00DA2FF5"/>
    <w:rsid w:val="00DA3222"/>
    <w:rsid w:val="00DA3452"/>
    <w:rsid w:val="00DA3ACF"/>
    <w:rsid w:val="00DA3BF1"/>
    <w:rsid w:val="00DA499F"/>
    <w:rsid w:val="00DA4FD9"/>
    <w:rsid w:val="00DA5253"/>
    <w:rsid w:val="00DA5AB1"/>
    <w:rsid w:val="00DA6996"/>
    <w:rsid w:val="00DA6EE1"/>
    <w:rsid w:val="00DA7078"/>
    <w:rsid w:val="00DA72B4"/>
    <w:rsid w:val="00DB12BD"/>
    <w:rsid w:val="00DB236B"/>
    <w:rsid w:val="00DB2BFA"/>
    <w:rsid w:val="00DB2EB1"/>
    <w:rsid w:val="00DB3448"/>
    <w:rsid w:val="00DB3C24"/>
    <w:rsid w:val="00DB44D8"/>
    <w:rsid w:val="00DB49AA"/>
    <w:rsid w:val="00DB5ED4"/>
    <w:rsid w:val="00DB6093"/>
    <w:rsid w:val="00DB61B2"/>
    <w:rsid w:val="00DB6533"/>
    <w:rsid w:val="00DB73EC"/>
    <w:rsid w:val="00DB768D"/>
    <w:rsid w:val="00DB796B"/>
    <w:rsid w:val="00DC2BC5"/>
    <w:rsid w:val="00DC32BD"/>
    <w:rsid w:val="00DC33DC"/>
    <w:rsid w:val="00DC3D67"/>
    <w:rsid w:val="00DC40BD"/>
    <w:rsid w:val="00DC443C"/>
    <w:rsid w:val="00DC4962"/>
    <w:rsid w:val="00DC5454"/>
    <w:rsid w:val="00DC578F"/>
    <w:rsid w:val="00DC5D0C"/>
    <w:rsid w:val="00DC62E5"/>
    <w:rsid w:val="00DC6ACC"/>
    <w:rsid w:val="00DC6C76"/>
    <w:rsid w:val="00DC7561"/>
    <w:rsid w:val="00DC7ABE"/>
    <w:rsid w:val="00DD160B"/>
    <w:rsid w:val="00DD1C18"/>
    <w:rsid w:val="00DD2116"/>
    <w:rsid w:val="00DD21A2"/>
    <w:rsid w:val="00DD2D30"/>
    <w:rsid w:val="00DD31A9"/>
    <w:rsid w:val="00DD3432"/>
    <w:rsid w:val="00DD593D"/>
    <w:rsid w:val="00DD5E33"/>
    <w:rsid w:val="00DD6339"/>
    <w:rsid w:val="00DD735D"/>
    <w:rsid w:val="00DD7602"/>
    <w:rsid w:val="00DD7D8D"/>
    <w:rsid w:val="00DE0618"/>
    <w:rsid w:val="00DE0A17"/>
    <w:rsid w:val="00DE0BE3"/>
    <w:rsid w:val="00DE1FEF"/>
    <w:rsid w:val="00DE279B"/>
    <w:rsid w:val="00DE2C7B"/>
    <w:rsid w:val="00DE2F27"/>
    <w:rsid w:val="00DE3119"/>
    <w:rsid w:val="00DE3ABA"/>
    <w:rsid w:val="00DE4CF0"/>
    <w:rsid w:val="00DE4D23"/>
    <w:rsid w:val="00DE5084"/>
    <w:rsid w:val="00DE5723"/>
    <w:rsid w:val="00DE6489"/>
    <w:rsid w:val="00DE683C"/>
    <w:rsid w:val="00DE6B11"/>
    <w:rsid w:val="00DE6E79"/>
    <w:rsid w:val="00DE6FE1"/>
    <w:rsid w:val="00DE70DC"/>
    <w:rsid w:val="00DF0AB4"/>
    <w:rsid w:val="00DF0AE3"/>
    <w:rsid w:val="00DF1287"/>
    <w:rsid w:val="00DF1308"/>
    <w:rsid w:val="00DF16DA"/>
    <w:rsid w:val="00DF1DAA"/>
    <w:rsid w:val="00DF236B"/>
    <w:rsid w:val="00DF29D3"/>
    <w:rsid w:val="00DF3E38"/>
    <w:rsid w:val="00DF5090"/>
    <w:rsid w:val="00DF6ACD"/>
    <w:rsid w:val="00DF78DE"/>
    <w:rsid w:val="00DF79C3"/>
    <w:rsid w:val="00E000C8"/>
    <w:rsid w:val="00E008F1"/>
    <w:rsid w:val="00E01453"/>
    <w:rsid w:val="00E017C4"/>
    <w:rsid w:val="00E048EE"/>
    <w:rsid w:val="00E04A00"/>
    <w:rsid w:val="00E04C9B"/>
    <w:rsid w:val="00E056B2"/>
    <w:rsid w:val="00E06F42"/>
    <w:rsid w:val="00E0740A"/>
    <w:rsid w:val="00E07843"/>
    <w:rsid w:val="00E10A6D"/>
    <w:rsid w:val="00E113F7"/>
    <w:rsid w:val="00E116A9"/>
    <w:rsid w:val="00E11FC1"/>
    <w:rsid w:val="00E12E3E"/>
    <w:rsid w:val="00E13AB8"/>
    <w:rsid w:val="00E13FD3"/>
    <w:rsid w:val="00E14299"/>
    <w:rsid w:val="00E144AB"/>
    <w:rsid w:val="00E169BF"/>
    <w:rsid w:val="00E17C49"/>
    <w:rsid w:val="00E17EE1"/>
    <w:rsid w:val="00E206ED"/>
    <w:rsid w:val="00E21256"/>
    <w:rsid w:val="00E21494"/>
    <w:rsid w:val="00E217A5"/>
    <w:rsid w:val="00E21B32"/>
    <w:rsid w:val="00E22BCE"/>
    <w:rsid w:val="00E238B4"/>
    <w:rsid w:val="00E2399D"/>
    <w:rsid w:val="00E23B36"/>
    <w:rsid w:val="00E240CB"/>
    <w:rsid w:val="00E240E7"/>
    <w:rsid w:val="00E24EBF"/>
    <w:rsid w:val="00E25161"/>
    <w:rsid w:val="00E251D4"/>
    <w:rsid w:val="00E2553E"/>
    <w:rsid w:val="00E2799E"/>
    <w:rsid w:val="00E3090F"/>
    <w:rsid w:val="00E329F7"/>
    <w:rsid w:val="00E335CF"/>
    <w:rsid w:val="00E33B62"/>
    <w:rsid w:val="00E33CB5"/>
    <w:rsid w:val="00E3568A"/>
    <w:rsid w:val="00E36BAD"/>
    <w:rsid w:val="00E36E37"/>
    <w:rsid w:val="00E36FBA"/>
    <w:rsid w:val="00E37D12"/>
    <w:rsid w:val="00E37E82"/>
    <w:rsid w:val="00E40158"/>
    <w:rsid w:val="00E412EA"/>
    <w:rsid w:val="00E41A26"/>
    <w:rsid w:val="00E425E7"/>
    <w:rsid w:val="00E42CEA"/>
    <w:rsid w:val="00E42F9D"/>
    <w:rsid w:val="00E432B4"/>
    <w:rsid w:val="00E43A2C"/>
    <w:rsid w:val="00E43A34"/>
    <w:rsid w:val="00E449E0"/>
    <w:rsid w:val="00E44D4E"/>
    <w:rsid w:val="00E45104"/>
    <w:rsid w:val="00E453B7"/>
    <w:rsid w:val="00E45D1C"/>
    <w:rsid w:val="00E46467"/>
    <w:rsid w:val="00E467FE"/>
    <w:rsid w:val="00E4777A"/>
    <w:rsid w:val="00E50019"/>
    <w:rsid w:val="00E50065"/>
    <w:rsid w:val="00E52D01"/>
    <w:rsid w:val="00E54AE8"/>
    <w:rsid w:val="00E5557F"/>
    <w:rsid w:val="00E5588F"/>
    <w:rsid w:val="00E60196"/>
    <w:rsid w:val="00E60756"/>
    <w:rsid w:val="00E618EA"/>
    <w:rsid w:val="00E61E09"/>
    <w:rsid w:val="00E62ACD"/>
    <w:rsid w:val="00E62C5F"/>
    <w:rsid w:val="00E63108"/>
    <w:rsid w:val="00E6402F"/>
    <w:rsid w:val="00E6457F"/>
    <w:rsid w:val="00E64B60"/>
    <w:rsid w:val="00E66E98"/>
    <w:rsid w:val="00E6724C"/>
    <w:rsid w:val="00E67E83"/>
    <w:rsid w:val="00E7057D"/>
    <w:rsid w:val="00E71AEB"/>
    <w:rsid w:val="00E72E97"/>
    <w:rsid w:val="00E737A7"/>
    <w:rsid w:val="00E74239"/>
    <w:rsid w:val="00E7503A"/>
    <w:rsid w:val="00E7556E"/>
    <w:rsid w:val="00E768B7"/>
    <w:rsid w:val="00E76D76"/>
    <w:rsid w:val="00E76F51"/>
    <w:rsid w:val="00E76F61"/>
    <w:rsid w:val="00E7700C"/>
    <w:rsid w:val="00E776ED"/>
    <w:rsid w:val="00E80C3F"/>
    <w:rsid w:val="00E8112D"/>
    <w:rsid w:val="00E81AFD"/>
    <w:rsid w:val="00E832F8"/>
    <w:rsid w:val="00E8330E"/>
    <w:rsid w:val="00E83789"/>
    <w:rsid w:val="00E854A0"/>
    <w:rsid w:val="00E86E90"/>
    <w:rsid w:val="00E87315"/>
    <w:rsid w:val="00E90810"/>
    <w:rsid w:val="00E91203"/>
    <w:rsid w:val="00E91308"/>
    <w:rsid w:val="00E91477"/>
    <w:rsid w:val="00E91585"/>
    <w:rsid w:val="00E915AC"/>
    <w:rsid w:val="00E9178F"/>
    <w:rsid w:val="00E917AE"/>
    <w:rsid w:val="00E91DA5"/>
    <w:rsid w:val="00E92488"/>
    <w:rsid w:val="00E9442D"/>
    <w:rsid w:val="00E94DA3"/>
    <w:rsid w:val="00E970AD"/>
    <w:rsid w:val="00E97548"/>
    <w:rsid w:val="00E9754A"/>
    <w:rsid w:val="00E9760B"/>
    <w:rsid w:val="00E97CC7"/>
    <w:rsid w:val="00E97E46"/>
    <w:rsid w:val="00EA04EF"/>
    <w:rsid w:val="00EA1131"/>
    <w:rsid w:val="00EA3483"/>
    <w:rsid w:val="00EA38C4"/>
    <w:rsid w:val="00EA6BEE"/>
    <w:rsid w:val="00EA704D"/>
    <w:rsid w:val="00EA79EB"/>
    <w:rsid w:val="00EB0DF1"/>
    <w:rsid w:val="00EB372E"/>
    <w:rsid w:val="00EB3AB3"/>
    <w:rsid w:val="00EB5145"/>
    <w:rsid w:val="00EB7836"/>
    <w:rsid w:val="00EB7E20"/>
    <w:rsid w:val="00EC08B0"/>
    <w:rsid w:val="00EC2A8B"/>
    <w:rsid w:val="00EC3B81"/>
    <w:rsid w:val="00EC443D"/>
    <w:rsid w:val="00EC4988"/>
    <w:rsid w:val="00EC4A47"/>
    <w:rsid w:val="00EC4BBB"/>
    <w:rsid w:val="00EC58BE"/>
    <w:rsid w:val="00EC5A9E"/>
    <w:rsid w:val="00EC5E1B"/>
    <w:rsid w:val="00EC5F41"/>
    <w:rsid w:val="00EC60CB"/>
    <w:rsid w:val="00EC7091"/>
    <w:rsid w:val="00EC7470"/>
    <w:rsid w:val="00EC7B4C"/>
    <w:rsid w:val="00ED009B"/>
    <w:rsid w:val="00ED0667"/>
    <w:rsid w:val="00ED0F19"/>
    <w:rsid w:val="00ED2EB1"/>
    <w:rsid w:val="00ED2EFF"/>
    <w:rsid w:val="00ED3700"/>
    <w:rsid w:val="00ED3AC7"/>
    <w:rsid w:val="00ED3BF4"/>
    <w:rsid w:val="00ED4234"/>
    <w:rsid w:val="00ED42A5"/>
    <w:rsid w:val="00ED612C"/>
    <w:rsid w:val="00ED7F90"/>
    <w:rsid w:val="00EE094E"/>
    <w:rsid w:val="00EE1CCD"/>
    <w:rsid w:val="00EE4DB7"/>
    <w:rsid w:val="00EE5189"/>
    <w:rsid w:val="00EE6E21"/>
    <w:rsid w:val="00EE7272"/>
    <w:rsid w:val="00EE776B"/>
    <w:rsid w:val="00EE7C4F"/>
    <w:rsid w:val="00EF15DA"/>
    <w:rsid w:val="00EF16DD"/>
    <w:rsid w:val="00EF2FB0"/>
    <w:rsid w:val="00EF3555"/>
    <w:rsid w:val="00EF3915"/>
    <w:rsid w:val="00EF4A52"/>
    <w:rsid w:val="00EF51E8"/>
    <w:rsid w:val="00EF5D1E"/>
    <w:rsid w:val="00EF66A8"/>
    <w:rsid w:val="00EF66D5"/>
    <w:rsid w:val="00EF66D6"/>
    <w:rsid w:val="00EF6B86"/>
    <w:rsid w:val="00EF7EB1"/>
    <w:rsid w:val="00F01322"/>
    <w:rsid w:val="00F02183"/>
    <w:rsid w:val="00F038E5"/>
    <w:rsid w:val="00F03B2B"/>
    <w:rsid w:val="00F04511"/>
    <w:rsid w:val="00F04839"/>
    <w:rsid w:val="00F04CC2"/>
    <w:rsid w:val="00F058FE"/>
    <w:rsid w:val="00F05D63"/>
    <w:rsid w:val="00F05F75"/>
    <w:rsid w:val="00F06B15"/>
    <w:rsid w:val="00F06C51"/>
    <w:rsid w:val="00F0755F"/>
    <w:rsid w:val="00F07DD0"/>
    <w:rsid w:val="00F109B1"/>
    <w:rsid w:val="00F10F67"/>
    <w:rsid w:val="00F1157D"/>
    <w:rsid w:val="00F11CF5"/>
    <w:rsid w:val="00F11EDA"/>
    <w:rsid w:val="00F121A8"/>
    <w:rsid w:val="00F1301C"/>
    <w:rsid w:val="00F134D2"/>
    <w:rsid w:val="00F13DF7"/>
    <w:rsid w:val="00F13E07"/>
    <w:rsid w:val="00F145B8"/>
    <w:rsid w:val="00F155B7"/>
    <w:rsid w:val="00F15A44"/>
    <w:rsid w:val="00F160B9"/>
    <w:rsid w:val="00F16C53"/>
    <w:rsid w:val="00F17613"/>
    <w:rsid w:val="00F176B9"/>
    <w:rsid w:val="00F20348"/>
    <w:rsid w:val="00F20F65"/>
    <w:rsid w:val="00F23A10"/>
    <w:rsid w:val="00F24361"/>
    <w:rsid w:val="00F246FE"/>
    <w:rsid w:val="00F26EF6"/>
    <w:rsid w:val="00F277D0"/>
    <w:rsid w:val="00F27A52"/>
    <w:rsid w:val="00F30A5C"/>
    <w:rsid w:val="00F3240B"/>
    <w:rsid w:val="00F34720"/>
    <w:rsid w:val="00F354B5"/>
    <w:rsid w:val="00F355D3"/>
    <w:rsid w:val="00F368C1"/>
    <w:rsid w:val="00F36B58"/>
    <w:rsid w:val="00F36E11"/>
    <w:rsid w:val="00F36F4A"/>
    <w:rsid w:val="00F37460"/>
    <w:rsid w:val="00F379A3"/>
    <w:rsid w:val="00F37C6E"/>
    <w:rsid w:val="00F37D26"/>
    <w:rsid w:val="00F404F8"/>
    <w:rsid w:val="00F41D25"/>
    <w:rsid w:val="00F421CA"/>
    <w:rsid w:val="00F42730"/>
    <w:rsid w:val="00F43565"/>
    <w:rsid w:val="00F43FC8"/>
    <w:rsid w:val="00F449FE"/>
    <w:rsid w:val="00F44CA3"/>
    <w:rsid w:val="00F452B6"/>
    <w:rsid w:val="00F45AD2"/>
    <w:rsid w:val="00F46903"/>
    <w:rsid w:val="00F46AAC"/>
    <w:rsid w:val="00F47B8F"/>
    <w:rsid w:val="00F50393"/>
    <w:rsid w:val="00F5072C"/>
    <w:rsid w:val="00F50F9E"/>
    <w:rsid w:val="00F517D0"/>
    <w:rsid w:val="00F52D4A"/>
    <w:rsid w:val="00F53D1B"/>
    <w:rsid w:val="00F555DB"/>
    <w:rsid w:val="00F55AA3"/>
    <w:rsid w:val="00F562BD"/>
    <w:rsid w:val="00F57B5D"/>
    <w:rsid w:val="00F60049"/>
    <w:rsid w:val="00F608B9"/>
    <w:rsid w:val="00F60DB7"/>
    <w:rsid w:val="00F60E91"/>
    <w:rsid w:val="00F61159"/>
    <w:rsid w:val="00F6156F"/>
    <w:rsid w:val="00F62302"/>
    <w:rsid w:val="00F62DA6"/>
    <w:rsid w:val="00F62E77"/>
    <w:rsid w:val="00F63738"/>
    <w:rsid w:val="00F63D87"/>
    <w:rsid w:val="00F672BE"/>
    <w:rsid w:val="00F701A7"/>
    <w:rsid w:val="00F71570"/>
    <w:rsid w:val="00F7173E"/>
    <w:rsid w:val="00F71883"/>
    <w:rsid w:val="00F726FC"/>
    <w:rsid w:val="00F72899"/>
    <w:rsid w:val="00F728C3"/>
    <w:rsid w:val="00F72BAE"/>
    <w:rsid w:val="00F7558E"/>
    <w:rsid w:val="00F76205"/>
    <w:rsid w:val="00F801B3"/>
    <w:rsid w:val="00F803F1"/>
    <w:rsid w:val="00F809EF"/>
    <w:rsid w:val="00F81111"/>
    <w:rsid w:val="00F8177B"/>
    <w:rsid w:val="00F81B47"/>
    <w:rsid w:val="00F83810"/>
    <w:rsid w:val="00F83B75"/>
    <w:rsid w:val="00F845A1"/>
    <w:rsid w:val="00F84899"/>
    <w:rsid w:val="00F8492C"/>
    <w:rsid w:val="00F85499"/>
    <w:rsid w:val="00F859F0"/>
    <w:rsid w:val="00F86883"/>
    <w:rsid w:val="00F8789E"/>
    <w:rsid w:val="00F87B39"/>
    <w:rsid w:val="00F90219"/>
    <w:rsid w:val="00F91CA6"/>
    <w:rsid w:val="00F92D56"/>
    <w:rsid w:val="00F92E29"/>
    <w:rsid w:val="00F93448"/>
    <w:rsid w:val="00F94AEF"/>
    <w:rsid w:val="00FA06A3"/>
    <w:rsid w:val="00FA0AD1"/>
    <w:rsid w:val="00FA0E3E"/>
    <w:rsid w:val="00FA273C"/>
    <w:rsid w:val="00FA2ACB"/>
    <w:rsid w:val="00FA310C"/>
    <w:rsid w:val="00FA3B5A"/>
    <w:rsid w:val="00FA40C0"/>
    <w:rsid w:val="00FA4A30"/>
    <w:rsid w:val="00FA4B7C"/>
    <w:rsid w:val="00FA4CDC"/>
    <w:rsid w:val="00FA540E"/>
    <w:rsid w:val="00FA6587"/>
    <w:rsid w:val="00FA6DE2"/>
    <w:rsid w:val="00FA723D"/>
    <w:rsid w:val="00FB0D40"/>
    <w:rsid w:val="00FB301D"/>
    <w:rsid w:val="00FB42FF"/>
    <w:rsid w:val="00FB47F3"/>
    <w:rsid w:val="00FB516F"/>
    <w:rsid w:val="00FB5564"/>
    <w:rsid w:val="00FB58AF"/>
    <w:rsid w:val="00FB5BF9"/>
    <w:rsid w:val="00FC0862"/>
    <w:rsid w:val="00FC0B6A"/>
    <w:rsid w:val="00FC0F82"/>
    <w:rsid w:val="00FC3D45"/>
    <w:rsid w:val="00FC4435"/>
    <w:rsid w:val="00FC4647"/>
    <w:rsid w:val="00FC55C2"/>
    <w:rsid w:val="00FC62E4"/>
    <w:rsid w:val="00FC6A13"/>
    <w:rsid w:val="00FC6EB3"/>
    <w:rsid w:val="00FC711A"/>
    <w:rsid w:val="00FC7299"/>
    <w:rsid w:val="00FC7C2E"/>
    <w:rsid w:val="00FC7F10"/>
    <w:rsid w:val="00FD019A"/>
    <w:rsid w:val="00FD140C"/>
    <w:rsid w:val="00FD2533"/>
    <w:rsid w:val="00FD3213"/>
    <w:rsid w:val="00FD3A2E"/>
    <w:rsid w:val="00FD4AFF"/>
    <w:rsid w:val="00FD50F2"/>
    <w:rsid w:val="00FD674C"/>
    <w:rsid w:val="00FD7A75"/>
    <w:rsid w:val="00FD7C2D"/>
    <w:rsid w:val="00FD7C89"/>
    <w:rsid w:val="00FE0395"/>
    <w:rsid w:val="00FE0DC4"/>
    <w:rsid w:val="00FE0E9C"/>
    <w:rsid w:val="00FE0EBA"/>
    <w:rsid w:val="00FE125A"/>
    <w:rsid w:val="00FE141E"/>
    <w:rsid w:val="00FE1AF1"/>
    <w:rsid w:val="00FE24F4"/>
    <w:rsid w:val="00FE2A33"/>
    <w:rsid w:val="00FE46AA"/>
    <w:rsid w:val="00FE5ECC"/>
    <w:rsid w:val="00FE65B4"/>
    <w:rsid w:val="00FE674D"/>
    <w:rsid w:val="00FF10B9"/>
    <w:rsid w:val="00FF1325"/>
    <w:rsid w:val="00FF2832"/>
    <w:rsid w:val="00FF3657"/>
    <w:rsid w:val="00FF417D"/>
    <w:rsid w:val="00FF49BD"/>
    <w:rsid w:val="00FF4A64"/>
    <w:rsid w:val="00FF521D"/>
    <w:rsid w:val="00FF5C43"/>
    <w:rsid w:val="00FF5EBA"/>
    <w:rsid w:val="00FF60FB"/>
    <w:rsid w:val="00FF66DD"/>
    <w:rsid w:val="00FF6C03"/>
    <w:rsid w:val="00FF6F65"/>
    <w:rsid w:val="00FF7737"/>
    <w:rsid w:val="00FF773A"/>
    <w:rsid w:val="00FF7BEE"/>
    <w:rsid w:val="00FF7E87"/>
    <w:rsid w:val="03C30222"/>
    <w:rsid w:val="127BF070"/>
    <w:rsid w:val="1756A024"/>
    <w:rsid w:val="374C1BEF"/>
    <w:rsid w:val="4AD19253"/>
    <w:rsid w:val="73FCB41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003"/>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877FC5"/>
  </w:style>
  <w:style w:type="character" w:styleId="Mencinsinresolver">
    <w:name w:val="Unresolved Mention"/>
    <w:basedOn w:val="Fuentedeprrafopredeter"/>
    <w:uiPriority w:val="99"/>
    <w:semiHidden/>
    <w:unhideWhenUsed/>
    <w:rsid w:val="00946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96840">
      <w:bodyDiv w:val="1"/>
      <w:marLeft w:val="0"/>
      <w:marRight w:val="0"/>
      <w:marTop w:val="0"/>
      <w:marBottom w:val="0"/>
      <w:divBdr>
        <w:top w:val="none" w:sz="0" w:space="0" w:color="auto"/>
        <w:left w:val="none" w:sz="0" w:space="0" w:color="auto"/>
        <w:bottom w:val="none" w:sz="0" w:space="0" w:color="auto"/>
        <w:right w:val="none" w:sz="0" w:space="0" w:color="auto"/>
      </w:divBdr>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rencie.com/precio.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rencie.com/quienes-son-comerciante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procuraduria.gov.co/portal/relatoria_normatividad.page" TargetMode="External"/><Relationship Id="rId1" Type="http://schemas.openxmlformats.org/officeDocument/2006/relationships/hyperlink" Target="https://colombiacompra.gov.co/sites/cce_public/files/cce_circulares/20130816circular3leygaranti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FBF3E8-E1A9-4308-9E81-25E2B051E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3.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25</Pages>
  <Words>9449</Words>
  <Characters>51972</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anv</dc:creator>
  <cp:lastModifiedBy>MARIA CLAUDIA DE LA OSSA BOBADILLA</cp:lastModifiedBy>
  <cp:revision>2</cp:revision>
  <dcterms:created xsi:type="dcterms:W3CDTF">2022-10-11T15:49:00Z</dcterms:created>
  <dcterms:modified xsi:type="dcterms:W3CDTF">2022-10-11T15:49:00Z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