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AFCAB" w14:textId="77777777" w:rsidR="00700BE9" w:rsidRPr="00416C3A" w:rsidRDefault="00700BE9" w:rsidP="00700BE9">
      <w:pPr>
        <w:jc w:val="both"/>
        <w:rPr>
          <w:rFonts w:ascii="Arial" w:eastAsia="Arial" w:hAnsi="Arial" w:cs="Arial"/>
          <w:b/>
          <w:bCs/>
          <w:sz w:val="20"/>
          <w:szCs w:val="20"/>
          <w:lang w:val="es-ES"/>
        </w:rPr>
      </w:pPr>
      <w:r w:rsidRPr="00416C3A">
        <w:rPr>
          <w:rFonts w:ascii="Arial" w:eastAsia="Arial" w:hAnsi="Arial" w:cs="Arial"/>
          <w:b/>
          <w:bCs/>
          <w:sz w:val="20"/>
          <w:szCs w:val="20"/>
          <w:lang w:val="es-ES"/>
        </w:rPr>
        <w:t xml:space="preserve">PRINCIPIO DE PLANEACIÓN – Estudios previos </w:t>
      </w:r>
    </w:p>
    <w:p w14:paraId="4EDC0895" w14:textId="77777777" w:rsidR="00700BE9" w:rsidRPr="00416C3A" w:rsidRDefault="00700BE9" w:rsidP="00700BE9">
      <w:pPr>
        <w:jc w:val="both"/>
        <w:rPr>
          <w:rFonts w:ascii="Arial" w:eastAsia="Calibri" w:hAnsi="Arial" w:cs="Arial"/>
          <w:sz w:val="20"/>
          <w:szCs w:val="20"/>
        </w:rPr>
      </w:pPr>
    </w:p>
    <w:p w14:paraId="6A421B83" w14:textId="77777777" w:rsidR="00700BE9" w:rsidRPr="00416C3A" w:rsidRDefault="00700BE9" w:rsidP="00700BE9">
      <w:pPr>
        <w:spacing w:after="120"/>
        <w:jc w:val="both"/>
        <w:rPr>
          <w:rFonts w:ascii="Arial" w:eastAsia="Calibri" w:hAnsi="Arial" w:cs="Arial"/>
          <w:sz w:val="20"/>
          <w:szCs w:val="20"/>
        </w:rPr>
      </w:pPr>
      <w:r w:rsidRPr="00416C3A">
        <w:rPr>
          <w:rFonts w:ascii="Arial" w:eastAsia="Calibri" w:hAnsi="Arial" w:cs="Arial"/>
          <w:sz w:val="20"/>
          <w:szCs w:val="20"/>
        </w:rPr>
        <w:t xml:space="preserve">[…] 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w:t>
      </w:r>
    </w:p>
    <w:p w14:paraId="05265333" w14:textId="77777777" w:rsidR="00700BE9" w:rsidRPr="00416C3A" w:rsidRDefault="00700BE9" w:rsidP="00700BE9">
      <w:pPr>
        <w:spacing w:after="120"/>
        <w:jc w:val="both"/>
        <w:rPr>
          <w:rFonts w:ascii="Arial" w:eastAsia="Calibri" w:hAnsi="Arial" w:cs="Arial"/>
          <w:sz w:val="20"/>
          <w:szCs w:val="20"/>
        </w:rPr>
      </w:pPr>
      <w:r w:rsidRPr="00416C3A">
        <w:rPr>
          <w:rFonts w:ascii="Arial" w:eastAsia="Calibri" w:hAnsi="Arial" w:cs="Arial"/>
          <w:sz w:val="20"/>
          <w:szCs w:val="20"/>
        </w:rPr>
        <w:t xml:space="preserve">[…] antes de iniciar un procedimiento de selección, la entidad estatal podrá determinar con los estudios previos: i) la verdadera necesidad de la celebración del contrato; </w:t>
      </w:r>
      <w:proofErr w:type="spellStart"/>
      <w:r w:rsidRPr="00416C3A">
        <w:rPr>
          <w:rFonts w:ascii="Arial" w:eastAsia="Calibri" w:hAnsi="Arial" w:cs="Arial"/>
          <w:sz w:val="20"/>
          <w:szCs w:val="20"/>
        </w:rPr>
        <w:t>ii</w:t>
      </w:r>
      <w:proofErr w:type="spellEnd"/>
      <w:r w:rsidRPr="00416C3A">
        <w:rPr>
          <w:rFonts w:ascii="Arial" w:eastAsia="Calibri" w:hAnsi="Arial" w:cs="Arial"/>
          <w:sz w:val="20"/>
          <w:szCs w:val="20"/>
        </w:rPr>
        <w:t xml:space="preserve">) las modalidades existentes para satisfacer esa necesidad y las razones que justifiquen la modalidad o tipo contractual que se escoja; </w:t>
      </w:r>
      <w:proofErr w:type="spellStart"/>
      <w:r w:rsidRPr="00416C3A">
        <w:rPr>
          <w:rFonts w:ascii="Arial" w:eastAsia="Calibri" w:hAnsi="Arial" w:cs="Arial"/>
          <w:sz w:val="20"/>
          <w:szCs w:val="20"/>
        </w:rPr>
        <w:t>iii</w:t>
      </w:r>
      <w:proofErr w:type="spellEnd"/>
      <w:r w:rsidRPr="00416C3A">
        <w:rPr>
          <w:rFonts w:ascii="Arial" w:eastAsia="Calibri" w:hAnsi="Arial" w:cs="Arial"/>
          <w:sz w:val="20"/>
          <w:szCs w:val="20"/>
        </w:rPr>
        <w:t xml:space="preserve">) las calidades, especificaciones, cantidades y demás características que puedan o deban reunir los bienes, las obras o los servicios cuya contratación se haya determinado necesaria, </w:t>
      </w:r>
      <w:proofErr w:type="spellStart"/>
      <w:r w:rsidRPr="00416C3A">
        <w:rPr>
          <w:rFonts w:ascii="Arial" w:eastAsia="Calibri" w:hAnsi="Arial" w:cs="Arial"/>
          <w:sz w:val="20"/>
          <w:szCs w:val="20"/>
        </w:rPr>
        <w:t>iv</w:t>
      </w:r>
      <w:proofErr w:type="spellEnd"/>
      <w:r w:rsidRPr="00416C3A">
        <w:rPr>
          <w:rFonts w:ascii="Arial" w:eastAsia="Calibri" w:hAnsi="Arial" w:cs="Arial"/>
          <w:sz w:val="20"/>
          <w:szCs w:val="20"/>
        </w:rPr>
        <w:t xml:space="preserve">)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416C3A">
        <w:rPr>
          <w:rFonts w:ascii="Arial" w:eastAsia="Calibri" w:hAnsi="Arial" w:cs="Arial"/>
          <w:sz w:val="20"/>
          <w:szCs w:val="20"/>
        </w:rPr>
        <w:t>vii</w:t>
      </w:r>
      <w:proofErr w:type="spellEnd"/>
      <w:r w:rsidRPr="00416C3A">
        <w:rPr>
          <w:rFonts w:ascii="Arial" w:eastAsia="Calibri" w:hAnsi="Arial" w:cs="Arial"/>
          <w:sz w:val="20"/>
          <w:szCs w:val="20"/>
        </w:rPr>
        <w:t>) los procedimientos, trámites y requisitos que deban satisfacerse, reunirse u obtenerse para llevar a cabo la selección del respectivo contratista y la celebración del contrato que se pretenda celebrar.</w:t>
      </w:r>
    </w:p>
    <w:p w14:paraId="2A528081" w14:textId="77777777" w:rsidR="00700BE9" w:rsidRPr="00416C3A" w:rsidRDefault="00700BE9" w:rsidP="00700BE9">
      <w:pPr>
        <w:jc w:val="both"/>
        <w:rPr>
          <w:rFonts w:ascii="Arial" w:eastAsia="Calibri" w:hAnsi="Arial" w:cs="Arial"/>
          <w:sz w:val="20"/>
          <w:szCs w:val="20"/>
        </w:rPr>
      </w:pPr>
      <w:r w:rsidRPr="00416C3A">
        <w:rPr>
          <w:rFonts w:ascii="Arial" w:eastAsia="Calibri" w:hAnsi="Arial" w:cs="Arial"/>
          <w:sz w:val="20"/>
          <w:szCs w:val="20"/>
        </w:rPr>
        <w:t>Por ello, el hecho que las entidades cumplan con los elementos mínimos establecidos en la norma y aquellos adicionales que identifiquen en la etapa de planeación de los procedimientos de contratación, permite que los contratos resultantes cuenten con el sustento técnico, económico y jurídico que incidirá en una adecuada ejecución.</w:t>
      </w:r>
    </w:p>
    <w:p w14:paraId="3A189873" w14:textId="77777777" w:rsidR="00700BE9" w:rsidRPr="00416C3A" w:rsidRDefault="00700BE9" w:rsidP="00700BE9">
      <w:pPr>
        <w:jc w:val="both"/>
        <w:rPr>
          <w:rFonts w:ascii="Arial" w:eastAsia="Calibri" w:hAnsi="Arial" w:cs="Arial"/>
          <w:sz w:val="20"/>
          <w:szCs w:val="20"/>
        </w:rPr>
      </w:pPr>
    </w:p>
    <w:p w14:paraId="5C9D4779" w14:textId="77777777" w:rsidR="00700BE9" w:rsidRPr="00416C3A" w:rsidRDefault="00700BE9" w:rsidP="00700BE9">
      <w:pPr>
        <w:jc w:val="both"/>
        <w:rPr>
          <w:rFonts w:ascii="Arial" w:eastAsia="Arial" w:hAnsi="Arial" w:cs="Arial"/>
          <w:b/>
          <w:bCs/>
          <w:sz w:val="20"/>
          <w:szCs w:val="20"/>
          <w:lang w:val="es-ES"/>
        </w:rPr>
      </w:pPr>
      <w:r w:rsidRPr="00416C3A">
        <w:rPr>
          <w:rFonts w:ascii="Arial" w:eastAsia="Arial" w:hAnsi="Arial" w:cs="Arial"/>
          <w:b/>
          <w:bCs/>
          <w:sz w:val="20"/>
          <w:szCs w:val="20"/>
          <w:lang w:val="es-ES"/>
        </w:rPr>
        <w:t xml:space="preserve">PRINCIPIO DE PLANEACIÓN </w:t>
      </w:r>
      <w:r w:rsidRPr="00416C3A">
        <w:rPr>
          <w:rFonts w:ascii="Arial" w:eastAsia="Arial" w:hAnsi="Arial" w:cs="Arial"/>
          <w:b/>
          <w:bCs/>
          <w:color w:val="000000" w:themeColor="text1"/>
          <w:sz w:val="20"/>
          <w:szCs w:val="20"/>
        </w:rPr>
        <w:t>–</w:t>
      </w:r>
      <w:r w:rsidRPr="00416C3A">
        <w:rPr>
          <w:rFonts w:ascii="Arial" w:eastAsia="Arial" w:hAnsi="Arial" w:cs="Arial"/>
          <w:b/>
          <w:bCs/>
          <w:sz w:val="20"/>
          <w:szCs w:val="20"/>
          <w:lang w:val="es-ES"/>
        </w:rPr>
        <w:t xml:space="preserve"> Análisis del sector económico y de los oferentes </w:t>
      </w:r>
    </w:p>
    <w:p w14:paraId="18CBC2AD" w14:textId="77777777" w:rsidR="00700BE9" w:rsidRPr="00416C3A" w:rsidRDefault="00700BE9" w:rsidP="00700BE9">
      <w:pPr>
        <w:jc w:val="both"/>
        <w:rPr>
          <w:rFonts w:ascii="Arial" w:eastAsia="Calibri" w:hAnsi="Arial" w:cs="Arial"/>
          <w:b/>
          <w:bCs/>
          <w:sz w:val="20"/>
          <w:szCs w:val="20"/>
        </w:rPr>
      </w:pPr>
    </w:p>
    <w:p w14:paraId="5BF838E5" w14:textId="77777777" w:rsidR="00700BE9" w:rsidRPr="00416C3A" w:rsidRDefault="00700BE9" w:rsidP="00700BE9">
      <w:pPr>
        <w:jc w:val="both"/>
        <w:rPr>
          <w:rFonts w:ascii="Arial" w:eastAsia="Calibri" w:hAnsi="Arial" w:cs="Arial"/>
          <w:sz w:val="20"/>
          <w:szCs w:val="20"/>
        </w:rPr>
      </w:pPr>
      <w:r w:rsidRPr="00416C3A">
        <w:rPr>
          <w:rFonts w:ascii="Arial" w:eastAsia="Calibri" w:hAnsi="Arial" w:cs="Arial"/>
          <w:sz w:val="20"/>
          <w:szCs w:val="20"/>
        </w:rPr>
        <w:t>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5CAB7F0F" w14:textId="77777777" w:rsidR="00700BE9" w:rsidRPr="00416C3A" w:rsidRDefault="00700BE9" w:rsidP="00700BE9">
      <w:pPr>
        <w:jc w:val="both"/>
        <w:rPr>
          <w:rFonts w:ascii="Arial" w:eastAsia="Calibri" w:hAnsi="Arial" w:cs="Arial"/>
          <w:sz w:val="20"/>
          <w:szCs w:val="20"/>
        </w:rPr>
      </w:pPr>
    </w:p>
    <w:p w14:paraId="3A36426F" w14:textId="77777777" w:rsidR="00700BE9" w:rsidRPr="00416C3A" w:rsidRDefault="00700BE9" w:rsidP="00700BE9">
      <w:pPr>
        <w:jc w:val="both"/>
        <w:rPr>
          <w:rFonts w:ascii="Arial" w:eastAsia="Calibri" w:hAnsi="Arial" w:cs="Arial"/>
          <w:sz w:val="20"/>
          <w:szCs w:val="20"/>
        </w:rPr>
      </w:pPr>
      <w:r w:rsidRPr="00416C3A">
        <w:rPr>
          <w:rFonts w:ascii="Arial" w:eastAsia="Calibri" w:hAnsi="Arial" w:cs="Arial"/>
          <w:sz w:val="20"/>
          <w:szCs w:val="20"/>
        </w:rPr>
        <w:t xml:space="preserve">Para negociar de manera adecuada, es necesario conocer la estructura de los posibles contratistas, pues permite identificar la forma en la que suplirán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 Dicho análisis facilita tanto el conocimiento del sector, desde una perspectiva multidisciplinaria, como de los proveedores disponibles en el mercado para satisfacer la necesidad de la entidad contratante. Así mismo, el </w:t>
      </w:r>
      <w:r w:rsidRPr="00416C3A">
        <w:rPr>
          <w:rFonts w:ascii="Arial" w:eastAsia="Calibri" w:hAnsi="Arial" w:cs="Arial"/>
          <w:sz w:val="20"/>
          <w:szCs w:val="20"/>
        </w:rPr>
        <w:lastRenderedPageBreak/>
        <w:t>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entidades estatales y los particulares adquieren esos bienes, obras o servicios para extraer las mejores prácticas e información para el proceso de contratación y así estructurar de mejor manera el tipo contractual a utilizar y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w:t>
      </w:r>
    </w:p>
    <w:p w14:paraId="4E9F69F3" w14:textId="77777777" w:rsidR="00700BE9" w:rsidRPr="00416C3A" w:rsidRDefault="00700BE9" w:rsidP="00700BE9">
      <w:pPr>
        <w:jc w:val="both"/>
        <w:rPr>
          <w:rFonts w:ascii="Arial" w:eastAsia="Arial" w:hAnsi="Arial" w:cs="Arial"/>
          <w:sz w:val="20"/>
          <w:szCs w:val="20"/>
          <w:lang w:val="es-ES"/>
        </w:rPr>
      </w:pPr>
    </w:p>
    <w:p w14:paraId="54B07002" w14:textId="77777777" w:rsidR="00700BE9" w:rsidRPr="00416C3A" w:rsidRDefault="00700BE9" w:rsidP="00700BE9">
      <w:pPr>
        <w:jc w:val="both"/>
        <w:rPr>
          <w:rFonts w:ascii="Arial" w:eastAsia="Arial" w:hAnsi="Arial" w:cs="Arial"/>
          <w:b/>
          <w:bCs/>
          <w:sz w:val="20"/>
          <w:szCs w:val="20"/>
          <w:lang w:val="es-ES"/>
        </w:rPr>
      </w:pPr>
      <w:r w:rsidRPr="00416C3A">
        <w:rPr>
          <w:rFonts w:ascii="Arial" w:eastAsia="Arial" w:hAnsi="Arial" w:cs="Arial"/>
          <w:b/>
          <w:bCs/>
          <w:sz w:val="20"/>
          <w:szCs w:val="20"/>
          <w:lang w:val="es-ES"/>
        </w:rPr>
        <w:t xml:space="preserve">PRECIO – Autonomía de la entidad para calcular el precio y forma de pago  </w:t>
      </w:r>
    </w:p>
    <w:p w14:paraId="0FC5E9AD" w14:textId="77777777" w:rsidR="00700BE9" w:rsidRPr="00416C3A" w:rsidRDefault="00700BE9" w:rsidP="00700BE9">
      <w:pPr>
        <w:jc w:val="both"/>
        <w:rPr>
          <w:rFonts w:ascii="Arial" w:eastAsia="Calibri" w:hAnsi="Arial" w:cs="Arial"/>
          <w:sz w:val="20"/>
          <w:szCs w:val="20"/>
        </w:rPr>
      </w:pPr>
    </w:p>
    <w:p w14:paraId="36A2495F" w14:textId="77777777" w:rsidR="00700BE9" w:rsidRPr="00416C3A" w:rsidRDefault="00700BE9" w:rsidP="00700BE9">
      <w:pPr>
        <w:spacing w:before="120" w:after="120"/>
        <w:ind w:firstLine="709"/>
        <w:jc w:val="both"/>
        <w:rPr>
          <w:rFonts w:ascii="Arial" w:hAnsi="Arial" w:cs="Arial"/>
          <w:bCs/>
          <w:sz w:val="20"/>
          <w:szCs w:val="20"/>
        </w:rPr>
      </w:pPr>
      <w:r w:rsidRPr="00416C3A">
        <w:rPr>
          <w:rFonts w:ascii="Arial" w:hAnsi="Arial" w:cs="Arial"/>
          <w:bCs/>
          <w:sz w:val="20"/>
          <w:szCs w:val="20"/>
        </w:rPr>
        <w:t xml:space="preserve">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 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sidRPr="00416C3A">
        <w:rPr>
          <w:rFonts w:ascii="Arial" w:hAnsi="Arial" w:cs="Arial"/>
          <w:bCs/>
          <w:sz w:val="20"/>
          <w:szCs w:val="20"/>
        </w:rPr>
        <w:t>ii</w:t>
      </w:r>
      <w:proofErr w:type="spellEnd"/>
      <w:r w:rsidRPr="00416C3A">
        <w:rPr>
          <w:rFonts w:ascii="Arial" w:hAnsi="Arial" w:cs="Arial"/>
          <w:bCs/>
          <w:sz w:val="20"/>
          <w:szCs w:val="20"/>
        </w:rPr>
        <w:t xml:space="preserve">) el precio global –que equivale al monto total, sin discriminar unidades–, y </w:t>
      </w:r>
      <w:proofErr w:type="spellStart"/>
      <w:r w:rsidRPr="00416C3A">
        <w:rPr>
          <w:rFonts w:ascii="Arial" w:hAnsi="Arial" w:cs="Arial"/>
          <w:bCs/>
          <w:sz w:val="20"/>
          <w:szCs w:val="20"/>
        </w:rPr>
        <w:t>iii</w:t>
      </w:r>
      <w:proofErr w:type="spellEnd"/>
      <w:r w:rsidRPr="00416C3A">
        <w:rPr>
          <w:rFonts w:ascii="Arial" w:hAnsi="Arial" w:cs="Arial"/>
          <w:bCs/>
          <w:sz w:val="20"/>
          <w:szCs w:val="20"/>
        </w:rPr>
        <w:t xml:space="preserve">) la administración delegada de recursos –en la que se distinguen los costos de inversión de los honorarios del administrador–.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estatal, respetando los límites previstos en el ordenamiento jurídico. En tal perspectiva, cuentan con discrecionalidad para establecer en el pliego de condiciones o en su documento equivalente, así como en el contrato, el sistema de precios que la entidad considere pertinente para el proceso contractual. </w:t>
      </w:r>
    </w:p>
    <w:p w14:paraId="0AE58BD8" w14:textId="77777777" w:rsidR="00700BE9" w:rsidRPr="00416C3A" w:rsidRDefault="00700BE9" w:rsidP="00700BE9">
      <w:pPr>
        <w:spacing w:before="120" w:after="120"/>
        <w:jc w:val="both"/>
        <w:rPr>
          <w:rFonts w:ascii="Arial" w:hAnsi="Arial" w:cs="Arial"/>
          <w:bCs/>
          <w:sz w:val="20"/>
          <w:szCs w:val="20"/>
        </w:rPr>
      </w:pPr>
    </w:p>
    <w:p w14:paraId="23329824" w14:textId="77777777" w:rsidR="00700BE9" w:rsidRPr="00416C3A" w:rsidRDefault="00700BE9" w:rsidP="00700BE9">
      <w:pPr>
        <w:spacing w:before="120" w:after="120"/>
        <w:jc w:val="both"/>
        <w:rPr>
          <w:rFonts w:ascii="Arial" w:hAnsi="Arial" w:cs="Arial"/>
          <w:b/>
          <w:sz w:val="20"/>
          <w:szCs w:val="20"/>
        </w:rPr>
      </w:pPr>
      <w:r w:rsidRPr="00416C3A">
        <w:rPr>
          <w:rFonts w:ascii="Arial" w:hAnsi="Arial" w:cs="Arial"/>
          <w:b/>
          <w:sz w:val="20"/>
          <w:szCs w:val="20"/>
        </w:rPr>
        <w:t xml:space="preserve">AJUSTE DE PRECIOS </w:t>
      </w:r>
    </w:p>
    <w:p w14:paraId="6703592B" w14:textId="77777777" w:rsidR="00700BE9" w:rsidRPr="00416C3A" w:rsidRDefault="00700BE9" w:rsidP="00700BE9">
      <w:pPr>
        <w:spacing w:before="120" w:after="120"/>
        <w:jc w:val="both"/>
        <w:rPr>
          <w:rFonts w:ascii="Arial" w:hAnsi="Arial" w:cs="Arial"/>
          <w:bCs/>
          <w:sz w:val="20"/>
          <w:szCs w:val="20"/>
        </w:rPr>
      </w:pPr>
      <w:r w:rsidRPr="00416C3A">
        <w:rPr>
          <w:rFonts w:ascii="Arial" w:hAnsi="Arial" w:cs="Arial"/>
          <w:bCs/>
          <w:sz w:val="20"/>
          <w:szCs w:val="20"/>
        </w:rPr>
        <w:t xml:space="preserve">[…] la Ley 80 de 1993, ha establecido en el artículo 27, que las partes pueden suscribir «acuerdos y pactos necesarios sobre cuantía, condiciones y forma de pago de gastos adicionales, reconocimientos de costos financieros e intereses, si a ello hubiere lugar […]», esto en virtud de la autonomía de la voluntad de los </w:t>
      </w:r>
      <w:proofErr w:type="spellStart"/>
      <w:r w:rsidRPr="00416C3A">
        <w:rPr>
          <w:rFonts w:ascii="Arial" w:hAnsi="Arial" w:cs="Arial"/>
          <w:bCs/>
          <w:sz w:val="20"/>
          <w:szCs w:val="20"/>
        </w:rPr>
        <w:t>co</w:t>
      </w:r>
      <w:proofErr w:type="spellEnd"/>
      <w:r w:rsidRPr="00416C3A">
        <w:rPr>
          <w:rFonts w:ascii="Arial" w:hAnsi="Arial" w:cs="Arial"/>
          <w:bCs/>
          <w:sz w:val="20"/>
          <w:szCs w:val="20"/>
        </w:rPr>
        <w:t>-contratantes y ante posibles circunstancias anormales o extraordinarias sobrevinientes, se pueden suscribir medidas que permitirán equilibrar la ecuación contractual.  Lo anterior, en concordancia con los derechos y deberes de las entidades estatales, específicamente los numerales 8 y 9 del artículo 4 de la Ley 80 de 1993</w:t>
      </w:r>
    </w:p>
    <w:p w14:paraId="0680BA64" w14:textId="77777777" w:rsidR="00700BE9" w:rsidRPr="00416C3A" w:rsidRDefault="00700BE9" w:rsidP="00700BE9">
      <w:pPr>
        <w:spacing w:before="120" w:after="120"/>
        <w:jc w:val="both"/>
        <w:rPr>
          <w:rFonts w:ascii="Arial" w:hAnsi="Arial" w:cs="Arial"/>
          <w:bCs/>
          <w:sz w:val="20"/>
          <w:szCs w:val="20"/>
        </w:rPr>
      </w:pPr>
    </w:p>
    <w:p w14:paraId="137B33CC" w14:textId="77777777" w:rsidR="00700BE9" w:rsidRPr="00416C3A" w:rsidRDefault="00700BE9" w:rsidP="00700BE9">
      <w:pPr>
        <w:spacing w:before="120" w:after="120"/>
        <w:jc w:val="both"/>
        <w:rPr>
          <w:rFonts w:ascii="Arial" w:hAnsi="Arial" w:cs="Arial"/>
          <w:b/>
          <w:sz w:val="20"/>
          <w:szCs w:val="20"/>
        </w:rPr>
      </w:pPr>
      <w:r w:rsidRPr="00416C3A">
        <w:rPr>
          <w:rFonts w:ascii="Arial" w:hAnsi="Arial" w:cs="Arial"/>
          <w:b/>
          <w:sz w:val="20"/>
          <w:szCs w:val="20"/>
        </w:rPr>
        <w:t xml:space="preserve">RIESGOS EN LA CONTRATACIÓN ESTATAL – Obligación de las entidades estatales de tipificarlos </w:t>
      </w:r>
    </w:p>
    <w:p w14:paraId="787EC5B0" w14:textId="4D2B49C0" w:rsidR="00700BE9" w:rsidRPr="00416C3A" w:rsidRDefault="00700BE9" w:rsidP="00700BE9">
      <w:pPr>
        <w:jc w:val="both"/>
        <w:textAlignment w:val="baseline"/>
        <w:rPr>
          <w:rFonts w:ascii="Arial" w:hAnsi="Arial" w:cs="Arial"/>
          <w:sz w:val="20"/>
          <w:szCs w:val="20"/>
          <w:lang w:val="es-ES" w:eastAsia="es-CO"/>
        </w:rPr>
      </w:pPr>
      <w:r w:rsidRPr="00416C3A">
        <w:rPr>
          <w:rFonts w:ascii="Arial" w:hAnsi="Arial" w:cs="Arial"/>
          <w:sz w:val="20"/>
          <w:szCs w:val="20"/>
          <w:lang w:val="es-ES" w:eastAsia="es-CO"/>
        </w:rPr>
        <w:lastRenderedPageBreak/>
        <w:t>[…] el Decreto 1082 de 2015 reiteró, en los siguientes términos, la obligación que tienen las entidades estatales de tipificar, estimar y asignar los riesgos previsibles que surjan durante la ejecución contractual dentro del pliego de condiciones. desde la Ley 1150 de 2007 y conforme los decretos reglamentarios de la contratación estatal, se establecieron obligaciones de estimación de riesgos durante la etapa de planeación. Por un lado, por parte de las entidades estatales quienes deben tipificarlos, estimarlos y asignarlos en los pliegos de condiciones, y por otro, los participantes del proceso de selección quienes deberán valorarlos y complementarlos en virtud del deber de colaboración con la administración pública en la construcción de los documentos definitivos, dada su experticia, especialidad y conocimientos. En tal sentido, ellos podrán pronunciarse frente a este contenido de los pliegos de condiciones mediante la presentación de observaciones a los proyectos de pliegos de condiciones y a los pliegos de condiciones definitivos, sin perjuicio de que en los procesos de licitación pública sea obligatoria realizar una audiencia de asignación de riesgos –art. 4 de la Ley 1150 de 2007, artículo 30, numeral 4, de la Ley 80 de 1993 y artículo 2.2.1.2.1.1.2. del Decreto 1082 de 2015–.</w:t>
      </w:r>
    </w:p>
    <w:p w14:paraId="10B927E4" w14:textId="2A3C00D7" w:rsidR="00700BE9" w:rsidRPr="00416C3A" w:rsidRDefault="00700BE9" w:rsidP="00700BE9">
      <w:pPr>
        <w:jc w:val="both"/>
        <w:textAlignment w:val="baseline"/>
        <w:rPr>
          <w:rFonts w:ascii="Arial" w:hAnsi="Arial" w:cs="Arial"/>
          <w:sz w:val="20"/>
          <w:szCs w:val="20"/>
          <w:lang w:val="es-ES" w:eastAsia="es-CO"/>
        </w:rPr>
      </w:pPr>
    </w:p>
    <w:p w14:paraId="1BF3B379" w14:textId="48E9D118" w:rsidR="00700BE9" w:rsidRPr="00416C3A" w:rsidRDefault="00700BE9" w:rsidP="00700BE9">
      <w:pPr>
        <w:spacing w:before="120" w:after="120"/>
        <w:jc w:val="both"/>
        <w:rPr>
          <w:rFonts w:ascii="Arial" w:hAnsi="Arial" w:cs="Arial"/>
          <w:b/>
          <w:sz w:val="20"/>
          <w:szCs w:val="20"/>
          <w:lang w:val="es-ES"/>
        </w:rPr>
      </w:pPr>
      <w:r w:rsidRPr="00416C3A">
        <w:rPr>
          <w:rFonts w:ascii="Arial" w:hAnsi="Arial" w:cs="Arial"/>
          <w:b/>
          <w:sz w:val="20"/>
          <w:szCs w:val="20"/>
          <w:lang w:val="es-ES"/>
        </w:rPr>
        <w:t xml:space="preserve">MATRIZ DE RIESGOS – identificación y administración </w:t>
      </w:r>
      <w:r w:rsidR="00401F6C" w:rsidRPr="00416C3A">
        <w:rPr>
          <w:rFonts w:ascii="Arial" w:hAnsi="Arial" w:cs="Arial"/>
          <w:b/>
          <w:sz w:val="20"/>
          <w:szCs w:val="20"/>
          <w:lang w:val="es-ES"/>
        </w:rPr>
        <w:t xml:space="preserve">de riesgos </w:t>
      </w:r>
    </w:p>
    <w:p w14:paraId="631F6DCC" w14:textId="397E1E96" w:rsidR="00401F6C" w:rsidRPr="00416C3A" w:rsidRDefault="00401F6C" w:rsidP="00401F6C">
      <w:pPr>
        <w:spacing w:after="120"/>
        <w:jc w:val="both"/>
        <w:textAlignment w:val="baseline"/>
        <w:rPr>
          <w:rFonts w:ascii="Arial" w:hAnsi="Arial" w:cs="Arial"/>
          <w:sz w:val="21"/>
          <w:szCs w:val="21"/>
          <w:lang w:val="es-ES" w:eastAsia="es-CO"/>
        </w:rPr>
      </w:pPr>
      <w:r w:rsidRPr="00416C3A">
        <w:rPr>
          <w:rFonts w:ascii="Arial" w:hAnsi="Arial" w:cs="Arial"/>
          <w:sz w:val="21"/>
          <w:szCs w:val="21"/>
          <w:lang w:val="es-ES" w:eastAsia="es-CO"/>
        </w:rPr>
        <w:t xml:space="preserve">[…] la Agencia de Contratación </w:t>
      </w:r>
      <w:r w:rsidRPr="00416C3A">
        <w:rPr>
          <w:rFonts w:ascii="Arial" w:hAnsi="Arial" w:cs="Arial"/>
          <w:sz w:val="21"/>
          <w:szCs w:val="21"/>
          <w:lang w:val="es-ES"/>
        </w:rPr>
        <w:t xml:space="preserve">Pública – Colombia Compra Eficiente, recomendó a las entidades incluir una matriz de riesgos en los que se incluya todos los riesgos identificados en el proceso contractual y con ello reducir la </w:t>
      </w:r>
      <w:r w:rsidRPr="00416C3A">
        <w:rPr>
          <w:rFonts w:ascii="Arial" w:hAnsi="Arial" w:cs="Arial"/>
          <w:sz w:val="21"/>
          <w:szCs w:val="21"/>
          <w:lang w:val="es-ES" w:eastAsia="es-CO"/>
        </w:rPr>
        <w:t>exposición del proceso de contratación frente a los diferentes riesgos que se puedan presentar, por ejemplo, la identificación de aquellos eventos que:</w:t>
      </w:r>
      <w:r w:rsidRPr="00416C3A">
        <w:rPr>
          <w:rFonts w:ascii="Arial" w:eastAsiaTheme="minorHAnsi" w:hAnsi="Arial" w:cs="Arial"/>
          <w:color w:val="000000" w:themeColor="text1"/>
          <w:sz w:val="21"/>
          <w:szCs w:val="21"/>
          <w:lang w:val="es-MX" w:eastAsia="en-US"/>
        </w:rPr>
        <w:t>(a) los eventos que impidan la adjudicación y firma del contrato como resultado del Proceso de Contratación; (b) los eventos que alteren la ejecución del contrato; (c) el equilibrio económico del contrato; (d) la eficacia del Proceso de Contratación, es decir, que la Entidad Estatal pueda satisfacer la necesidad que motivó el Proceso de Contratación; y (e) la reputación y legitimidad de la Entidad Estatal encargada de prestar el bien o servicio.</w:t>
      </w:r>
      <w:r w:rsidRPr="00416C3A">
        <w:rPr>
          <w:rFonts w:ascii="Arial" w:hAnsi="Arial" w:cs="Arial"/>
          <w:sz w:val="21"/>
          <w:szCs w:val="21"/>
          <w:lang w:val="es-ES" w:eastAsia="es-CO"/>
        </w:rPr>
        <w:t xml:space="preserve">Finalmente, una adecuada administración de riesgos, permite: </w:t>
      </w:r>
      <w:r w:rsidRPr="00416C3A">
        <w:rPr>
          <w:rFonts w:ascii="Arial" w:hAnsi="Arial" w:cs="Arial"/>
          <w:sz w:val="21"/>
          <w:szCs w:val="21"/>
        </w:rPr>
        <w:t>«</w:t>
      </w:r>
      <w:r w:rsidRPr="00416C3A">
        <w:rPr>
          <w:rFonts w:ascii="Arial" w:hAnsi="Arial" w:cs="Arial"/>
          <w:sz w:val="21"/>
          <w:szCs w:val="21"/>
          <w:lang w:val="es-MX" w:eastAsia="es-CO"/>
        </w:rPr>
        <w:t>(i) proporcionar un mayor nivel de certeza y conocimiento para la toma de decisiones relacionadas con el Proceso de Contratación; (ii) mejorar la planeación de contingencias del Proceso de Contratación; (iii) incrementar el grado de confianza entre la partes del Proceso de Contratación; y (iv) reducir la posibilidad de litigios; entre otro</w:t>
      </w:r>
      <w:r w:rsidRPr="00416C3A">
        <w:rPr>
          <w:rFonts w:ascii="Arial" w:hAnsi="Arial" w:cs="Arial"/>
          <w:sz w:val="21"/>
          <w:szCs w:val="21"/>
        </w:rPr>
        <w:t>».</w:t>
      </w:r>
    </w:p>
    <w:p w14:paraId="5AF8F59F" w14:textId="77777777" w:rsidR="00700BE9" w:rsidRPr="00416C3A" w:rsidRDefault="00700BE9" w:rsidP="00700BE9">
      <w:pPr>
        <w:jc w:val="both"/>
        <w:textAlignment w:val="baseline"/>
        <w:rPr>
          <w:rFonts w:ascii="Arial" w:hAnsi="Arial" w:cs="Arial"/>
          <w:sz w:val="20"/>
          <w:szCs w:val="20"/>
          <w:lang w:val="es-ES" w:eastAsia="es-CO"/>
        </w:rPr>
      </w:pPr>
    </w:p>
    <w:p w14:paraId="37FB831B" w14:textId="46E16532" w:rsidR="00FB4A99" w:rsidRPr="00416C3A" w:rsidRDefault="00FB4A99" w:rsidP="00507034">
      <w:pPr>
        <w:jc w:val="both"/>
        <w:rPr>
          <w:rFonts w:ascii="Arial" w:eastAsia="Calibri" w:hAnsi="Arial" w:cs="Arial"/>
          <w:sz w:val="20"/>
          <w:szCs w:val="20"/>
        </w:rPr>
      </w:pPr>
    </w:p>
    <w:p w14:paraId="4FF40674" w14:textId="77777777" w:rsidR="00FB4A99" w:rsidRPr="00416C3A" w:rsidRDefault="00FB4A99" w:rsidP="00507034">
      <w:pPr>
        <w:jc w:val="both"/>
        <w:rPr>
          <w:rFonts w:ascii="Arial" w:eastAsia="Calibri" w:hAnsi="Arial" w:cs="Arial"/>
          <w:sz w:val="20"/>
          <w:szCs w:val="20"/>
          <w:lang w:val="es-ES"/>
        </w:rPr>
      </w:pPr>
    </w:p>
    <w:p w14:paraId="31E28D87" w14:textId="3C65D33A" w:rsidR="00EC0083" w:rsidRPr="00416C3A" w:rsidRDefault="00EC0083" w:rsidP="00550397">
      <w:pPr>
        <w:spacing w:line="276" w:lineRule="auto"/>
        <w:rPr>
          <w:rFonts w:ascii="Arial" w:eastAsia="Calibri" w:hAnsi="Arial" w:cs="Arial"/>
          <w:sz w:val="22"/>
          <w:szCs w:val="22"/>
        </w:rPr>
      </w:pPr>
    </w:p>
    <w:p w14:paraId="29652BD8" w14:textId="294FB3CB" w:rsidR="00EC0083" w:rsidRPr="00416C3A" w:rsidRDefault="00EC0083" w:rsidP="00550397">
      <w:pPr>
        <w:spacing w:line="276" w:lineRule="auto"/>
        <w:rPr>
          <w:rFonts w:ascii="Arial" w:eastAsia="Calibri" w:hAnsi="Arial" w:cs="Arial"/>
          <w:sz w:val="22"/>
          <w:szCs w:val="22"/>
        </w:rPr>
      </w:pPr>
    </w:p>
    <w:p w14:paraId="71B140AB" w14:textId="380ADCBA" w:rsidR="00EC0083" w:rsidRPr="00416C3A" w:rsidRDefault="00EC0083" w:rsidP="00550397">
      <w:pPr>
        <w:spacing w:line="276" w:lineRule="auto"/>
        <w:rPr>
          <w:rFonts w:ascii="Arial" w:eastAsia="Calibri" w:hAnsi="Arial" w:cs="Arial"/>
          <w:sz w:val="22"/>
          <w:szCs w:val="22"/>
        </w:rPr>
      </w:pPr>
    </w:p>
    <w:p w14:paraId="13C2A81C" w14:textId="2DB7FA29" w:rsidR="00EC0083" w:rsidRPr="00416C3A" w:rsidRDefault="00EC0083" w:rsidP="00550397">
      <w:pPr>
        <w:spacing w:line="276" w:lineRule="auto"/>
        <w:rPr>
          <w:rFonts w:ascii="Arial" w:eastAsia="Calibri" w:hAnsi="Arial" w:cs="Arial"/>
          <w:sz w:val="22"/>
          <w:szCs w:val="22"/>
        </w:rPr>
      </w:pPr>
    </w:p>
    <w:p w14:paraId="0604D562" w14:textId="027AC5F4" w:rsidR="00EC0083" w:rsidRPr="00416C3A" w:rsidRDefault="00EC0083" w:rsidP="00550397">
      <w:pPr>
        <w:spacing w:line="276" w:lineRule="auto"/>
        <w:rPr>
          <w:rFonts w:ascii="Arial" w:eastAsia="Calibri" w:hAnsi="Arial" w:cs="Arial"/>
          <w:sz w:val="22"/>
          <w:szCs w:val="22"/>
        </w:rPr>
      </w:pPr>
    </w:p>
    <w:p w14:paraId="3B08E1B4" w14:textId="5EC79BD8" w:rsidR="00EC0083" w:rsidRPr="00416C3A" w:rsidRDefault="00EC0083" w:rsidP="00550397">
      <w:pPr>
        <w:spacing w:line="276" w:lineRule="auto"/>
        <w:rPr>
          <w:rFonts w:ascii="Arial" w:eastAsia="Calibri" w:hAnsi="Arial" w:cs="Arial"/>
          <w:sz w:val="22"/>
          <w:szCs w:val="22"/>
        </w:rPr>
      </w:pPr>
    </w:p>
    <w:p w14:paraId="2AB29C11" w14:textId="77777777" w:rsidR="00EC0083" w:rsidRPr="00416C3A" w:rsidRDefault="00EC0083" w:rsidP="00550397">
      <w:pPr>
        <w:spacing w:line="276" w:lineRule="auto"/>
        <w:rPr>
          <w:rFonts w:ascii="Arial" w:eastAsia="Calibri" w:hAnsi="Arial" w:cs="Arial"/>
          <w:sz w:val="22"/>
          <w:szCs w:val="22"/>
        </w:rPr>
      </w:pPr>
    </w:p>
    <w:p w14:paraId="7B5354BE" w14:textId="77777777" w:rsidR="00EC0083" w:rsidRPr="00416C3A" w:rsidRDefault="00EC0083" w:rsidP="00550397">
      <w:pPr>
        <w:spacing w:line="276" w:lineRule="auto"/>
        <w:rPr>
          <w:rFonts w:ascii="Arial" w:eastAsia="Calibri" w:hAnsi="Arial" w:cs="Arial"/>
          <w:sz w:val="22"/>
          <w:szCs w:val="22"/>
        </w:rPr>
      </w:pPr>
    </w:p>
    <w:p w14:paraId="23BECC27" w14:textId="7F1E1021" w:rsidR="00EC0083" w:rsidRPr="00416C3A" w:rsidRDefault="00EC0083" w:rsidP="00550397">
      <w:pPr>
        <w:spacing w:line="276" w:lineRule="auto"/>
        <w:rPr>
          <w:rFonts w:ascii="Arial" w:eastAsia="Calibri" w:hAnsi="Arial" w:cs="Arial"/>
          <w:sz w:val="22"/>
          <w:szCs w:val="22"/>
        </w:rPr>
      </w:pPr>
    </w:p>
    <w:p w14:paraId="1CC9E338" w14:textId="081EA7D9" w:rsidR="00FB4A99" w:rsidRPr="00416C3A" w:rsidRDefault="00FB4A99" w:rsidP="00550397">
      <w:pPr>
        <w:spacing w:line="276" w:lineRule="auto"/>
        <w:rPr>
          <w:rFonts w:ascii="Arial" w:eastAsia="Calibri" w:hAnsi="Arial" w:cs="Arial"/>
          <w:sz w:val="22"/>
          <w:szCs w:val="22"/>
        </w:rPr>
      </w:pPr>
    </w:p>
    <w:p w14:paraId="531394EE" w14:textId="7E8EB0C3" w:rsidR="00EC0083" w:rsidRDefault="00EC0083" w:rsidP="00550397">
      <w:pPr>
        <w:spacing w:line="276" w:lineRule="auto"/>
        <w:rPr>
          <w:rFonts w:ascii="Arial" w:eastAsia="Calibri" w:hAnsi="Arial" w:cs="Arial"/>
          <w:sz w:val="22"/>
          <w:szCs w:val="22"/>
        </w:rPr>
      </w:pPr>
    </w:p>
    <w:p w14:paraId="43202E10" w14:textId="4C9AEC2E" w:rsidR="00BF7F85" w:rsidRDefault="00BF7F85" w:rsidP="00BF7F85">
      <w:pPr>
        <w:spacing w:line="276" w:lineRule="auto"/>
        <w:jc w:val="right"/>
        <w:rPr>
          <w:rFonts w:ascii="Arial" w:eastAsia="Calibri" w:hAnsi="Arial" w:cs="Arial"/>
          <w:sz w:val="22"/>
          <w:szCs w:val="22"/>
        </w:rPr>
      </w:pPr>
      <w:r w:rsidRPr="00BF7F85">
        <w:rPr>
          <w:rFonts w:ascii="Arial" w:eastAsia="Calibri" w:hAnsi="Arial" w:cs="Arial"/>
          <w:sz w:val="22"/>
          <w:szCs w:val="22"/>
        </w:rPr>
        <w:lastRenderedPageBreak/>
        <w:drawing>
          <wp:inline distT="0" distB="0" distL="0" distR="0" wp14:anchorId="6E637740" wp14:editId="5F777AF4">
            <wp:extent cx="2814955" cy="91440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7691" cy="921785"/>
                    </a:xfrm>
                    <a:prstGeom prst="rect">
                      <a:avLst/>
                    </a:prstGeom>
                  </pic:spPr>
                </pic:pic>
              </a:graphicData>
            </a:graphic>
          </wp:inline>
        </w:drawing>
      </w:r>
    </w:p>
    <w:p w14:paraId="4FAA3BE1" w14:textId="50C81987" w:rsidR="00BF7F85" w:rsidRDefault="00BF7F85" w:rsidP="00550397">
      <w:pPr>
        <w:spacing w:line="276" w:lineRule="auto"/>
        <w:rPr>
          <w:rFonts w:ascii="Arial" w:eastAsia="Calibri" w:hAnsi="Arial" w:cs="Arial"/>
          <w:sz w:val="22"/>
          <w:szCs w:val="22"/>
        </w:rPr>
      </w:pPr>
    </w:p>
    <w:p w14:paraId="27883460" w14:textId="77777777" w:rsidR="00BF7F85" w:rsidRPr="00416C3A" w:rsidRDefault="00BF7F85" w:rsidP="00550397">
      <w:pPr>
        <w:spacing w:line="276" w:lineRule="auto"/>
        <w:rPr>
          <w:rFonts w:ascii="Arial" w:eastAsia="Calibri" w:hAnsi="Arial" w:cs="Arial"/>
          <w:sz w:val="22"/>
          <w:szCs w:val="22"/>
        </w:rPr>
      </w:pPr>
    </w:p>
    <w:p w14:paraId="588DDD80" w14:textId="69AAA89E" w:rsidR="009B20DB" w:rsidRPr="00416C3A" w:rsidRDefault="00FF547A" w:rsidP="00550397">
      <w:pPr>
        <w:spacing w:line="276" w:lineRule="auto"/>
        <w:rPr>
          <w:rFonts w:ascii="Arial" w:eastAsia="Calibri" w:hAnsi="Arial" w:cs="Arial"/>
          <w:sz w:val="22"/>
          <w:szCs w:val="22"/>
        </w:rPr>
      </w:pPr>
      <w:r w:rsidRPr="00416C3A">
        <w:rPr>
          <w:rFonts w:ascii="Arial" w:eastAsia="Calibri" w:hAnsi="Arial" w:cs="Arial"/>
          <w:sz w:val="22"/>
          <w:szCs w:val="22"/>
        </w:rPr>
        <w:t xml:space="preserve">Bogotá D.C., </w:t>
      </w:r>
    </w:p>
    <w:p w14:paraId="7FA17DAC" w14:textId="668ED04E" w:rsidR="00E94838" w:rsidRPr="00416C3A" w:rsidRDefault="00E94838" w:rsidP="00550397">
      <w:pPr>
        <w:spacing w:line="276" w:lineRule="auto"/>
        <w:rPr>
          <w:rFonts w:ascii="Arial" w:eastAsia="Calibri" w:hAnsi="Arial" w:cs="Arial"/>
          <w:sz w:val="22"/>
          <w:szCs w:val="22"/>
        </w:rPr>
      </w:pPr>
    </w:p>
    <w:p w14:paraId="172250D6" w14:textId="50259206" w:rsidR="00C63119" w:rsidRPr="00416C3A" w:rsidRDefault="00C63119" w:rsidP="00550397">
      <w:pPr>
        <w:spacing w:line="276" w:lineRule="auto"/>
        <w:jc w:val="right"/>
      </w:pPr>
    </w:p>
    <w:p w14:paraId="3B28140D" w14:textId="77777777" w:rsidR="00E94838" w:rsidRPr="00416C3A" w:rsidRDefault="00E94838" w:rsidP="00550397">
      <w:pPr>
        <w:spacing w:line="276" w:lineRule="auto"/>
        <w:rPr>
          <w:rFonts w:ascii="Arial" w:eastAsia="Calibri" w:hAnsi="Arial" w:cs="Arial"/>
          <w:sz w:val="22"/>
          <w:szCs w:val="22"/>
        </w:rPr>
      </w:pPr>
    </w:p>
    <w:p w14:paraId="197C6852" w14:textId="16F929D0" w:rsidR="00B036EA" w:rsidRPr="00416C3A" w:rsidRDefault="00731374" w:rsidP="00550397">
      <w:pPr>
        <w:spacing w:line="276" w:lineRule="auto"/>
        <w:rPr>
          <w:rFonts w:ascii="Arial" w:eastAsia="Calibri" w:hAnsi="Arial" w:cs="Arial"/>
          <w:sz w:val="22"/>
          <w:szCs w:val="22"/>
        </w:rPr>
      </w:pPr>
      <w:r w:rsidRPr="00416C3A">
        <w:rPr>
          <w:rFonts w:ascii="Arial" w:eastAsia="Calibri" w:hAnsi="Arial" w:cs="Arial"/>
          <w:sz w:val="22"/>
          <w:szCs w:val="22"/>
        </w:rPr>
        <w:t>Señor</w:t>
      </w:r>
      <w:r w:rsidR="00FB4A99" w:rsidRPr="00416C3A">
        <w:rPr>
          <w:rFonts w:ascii="Arial" w:eastAsia="Calibri" w:hAnsi="Arial" w:cs="Arial"/>
          <w:sz w:val="22"/>
          <w:szCs w:val="22"/>
        </w:rPr>
        <w:t>a</w:t>
      </w:r>
    </w:p>
    <w:p w14:paraId="5705F723" w14:textId="752D43EE" w:rsidR="00731374" w:rsidRPr="00416C3A" w:rsidRDefault="002F1D1C" w:rsidP="00550397">
      <w:pPr>
        <w:spacing w:line="276" w:lineRule="auto"/>
        <w:rPr>
          <w:rFonts w:ascii="Arial" w:eastAsia="Calibri" w:hAnsi="Arial" w:cs="Arial"/>
          <w:b/>
          <w:bCs/>
          <w:sz w:val="22"/>
          <w:szCs w:val="22"/>
        </w:rPr>
      </w:pPr>
      <w:r w:rsidRPr="00416C3A">
        <w:rPr>
          <w:rFonts w:ascii="Arial" w:eastAsia="Calibri" w:hAnsi="Arial" w:cs="Arial"/>
          <w:b/>
          <w:bCs/>
          <w:sz w:val="22"/>
          <w:szCs w:val="22"/>
        </w:rPr>
        <w:t xml:space="preserve">María Carolina Barrera V </w:t>
      </w:r>
    </w:p>
    <w:p w14:paraId="5D437DF2" w14:textId="0143A10F" w:rsidR="00FF547A" w:rsidRPr="00416C3A" w:rsidRDefault="00FF547A" w:rsidP="00550397">
      <w:pPr>
        <w:spacing w:line="276" w:lineRule="auto"/>
        <w:rPr>
          <w:rFonts w:ascii="Arial" w:eastAsia="Calibri" w:hAnsi="Arial" w:cs="Arial"/>
          <w:sz w:val="22"/>
          <w:szCs w:val="22"/>
        </w:rPr>
      </w:pPr>
    </w:p>
    <w:p w14:paraId="1A865E65" w14:textId="2FE00709" w:rsidR="00FF547A" w:rsidRPr="00416C3A" w:rsidRDefault="00FF547A" w:rsidP="00550397">
      <w:pPr>
        <w:spacing w:line="276" w:lineRule="auto"/>
        <w:rPr>
          <w:rFonts w:ascii="Arial" w:eastAsia="Calibri" w:hAnsi="Arial" w:cs="Arial"/>
          <w:sz w:val="22"/>
          <w:szCs w:val="22"/>
        </w:rPr>
      </w:pPr>
    </w:p>
    <w:p w14:paraId="407AA80B" w14:textId="77777777" w:rsidR="00FF547A" w:rsidRPr="00416C3A" w:rsidRDefault="00FF547A" w:rsidP="00550397">
      <w:pPr>
        <w:spacing w:line="276" w:lineRule="auto"/>
        <w:rPr>
          <w:rFonts w:ascii="Arial" w:eastAsia="Calibri" w:hAnsi="Arial" w:cs="Arial"/>
          <w:b/>
          <w:sz w:val="22"/>
          <w:szCs w:val="22"/>
        </w:rPr>
      </w:pPr>
    </w:p>
    <w:p w14:paraId="1F4E36CB" w14:textId="7DFC47DE" w:rsidR="003C7067" w:rsidRPr="00416C3A" w:rsidRDefault="003C7067" w:rsidP="00550397">
      <w:pPr>
        <w:spacing w:line="276" w:lineRule="auto"/>
        <w:rPr>
          <w:rFonts w:ascii="Arial" w:eastAsia="Calibri" w:hAnsi="Arial" w:cs="Arial"/>
          <w:b/>
          <w:sz w:val="22"/>
          <w:szCs w:val="22"/>
        </w:rPr>
      </w:pPr>
      <w:r w:rsidRPr="00416C3A">
        <w:rPr>
          <w:rFonts w:ascii="Arial" w:eastAsia="Calibri" w:hAnsi="Arial" w:cs="Arial"/>
          <w:b/>
          <w:sz w:val="22"/>
          <w:szCs w:val="22"/>
        </w:rPr>
        <w:t xml:space="preserve">                                       Concepto C – </w:t>
      </w:r>
      <w:r w:rsidR="00206E4E" w:rsidRPr="00416C3A">
        <w:rPr>
          <w:rFonts w:ascii="Arial" w:eastAsia="Calibri" w:hAnsi="Arial" w:cs="Arial"/>
          <w:b/>
          <w:sz w:val="22"/>
          <w:szCs w:val="22"/>
        </w:rPr>
        <w:t>6</w:t>
      </w:r>
      <w:r w:rsidR="002F1D1C" w:rsidRPr="00416C3A">
        <w:rPr>
          <w:rFonts w:ascii="Arial" w:eastAsia="Calibri" w:hAnsi="Arial" w:cs="Arial"/>
          <w:b/>
          <w:sz w:val="22"/>
          <w:szCs w:val="22"/>
        </w:rPr>
        <w:t>13</w:t>
      </w:r>
      <w:r w:rsidR="00FF547A" w:rsidRPr="00416C3A">
        <w:rPr>
          <w:rFonts w:ascii="Arial" w:eastAsia="Calibri" w:hAnsi="Arial" w:cs="Arial"/>
          <w:b/>
          <w:sz w:val="22"/>
          <w:szCs w:val="22"/>
        </w:rPr>
        <w:t xml:space="preserve"> </w:t>
      </w:r>
      <w:r w:rsidRPr="00416C3A">
        <w:rPr>
          <w:rFonts w:ascii="Arial" w:eastAsia="Calibri" w:hAnsi="Arial" w:cs="Arial"/>
          <w:b/>
          <w:sz w:val="22"/>
          <w:szCs w:val="22"/>
        </w:rPr>
        <w:t>de 202</w:t>
      </w:r>
      <w:r w:rsidR="003104CB" w:rsidRPr="00416C3A">
        <w:rPr>
          <w:rFonts w:ascii="Arial" w:eastAsia="Calibri" w:hAnsi="Arial" w:cs="Arial"/>
          <w:b/>
          <w:sz w:val="22"/>
          <w:szCs w:val="22"/>
        </w:rPr>
        <w:t>2</w:t>
      </w:r>
      <w:r w:rsidRPr="00416C3A">
        <w:rPr>
          <w:rFonts w:ascii="Arial" w:eastAsia="Calibri" w:hAnsi="Arial" w:cs="Arial"/>
          <w:b/>
          <w:sz w:val="22"/>
          <w:szCs w:val="22"/>
        </w:rPr>
        <w:t xml:space="preserve"> </w:t>
      </w:r>
    </w:p>
    <w:p w14:paraId="1698D01B" w14:textId="77777777" w:rsidR="003C7067" w:rsidRPr="00416C3A" w:rsidRDefault="003C7067" w:rsidP="00550397">
      <w:pPr>
        <w:spacing w:line="276" w:lineRule="auto"/>
        <w:rPr>
          <w:rFonts w:ascii="Arial" w:eastAsia="Calibri" w:hAnsi="Arial" w:cs="Arial"/>
          <w:b/>
          <w:sz w:val="22"/>
          <w:szCs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3C7067" w:rsidRPr="00416C3A" w14:paraId="7C1768E2" w14:textId="77777777" w:rsidTr="00E74412">
        <w:trPr>
          <w:trHeight w:val="823"/>
        </w:trPr>
        <w:tc>
          <w:tcPr>
            <w:tcW w:w="2410" w:type="dxa"/>
          </w:tcPr>
          <w:p w14:paraId="7F7464C9" w14:textId="77777777" w:rsidR="003C7067" w:rsidRPr="00416C3A" w:rsidRDefault="003C7067" w:rsidP="00550397">
            <w:pPr>
              <w:spacing w:line="276" w:lineRule="auto"/>
              <w:rPr>
                <w:rFonts w:ascii="Arial" w:eastAsia="Calibri" w:hAnsi="Arial" w:cs="Arial"/>
              </w:rPr>
            </w:pPr>
            <w:r w:rsidRPr="00416C3A">
              <w:rPr>
                <w:rFonts w:ascii="Arial" w:eastAsia="Calibri" w:hAnsi="Arial" w:cs="Arial"/>
                <w:b/>
              </w:rPr>
              <w:t>Temas:</w:t>
            </w:r>
            <w:r w:rsidRPr="00416C3A">
              <w:rPr>
                <w:rFonts w:ascii="Arial" w:eastAsia="Calibri" w:hAnsi="Arial" w:cs="Arial"/>
              </w:rPr>
              <w:t xml:space="preserve">                                      </w:t>
            </w:r>
          </w:p>
        </w:tc>
        <w:tc>
          <w:tcPr>
            <w:tcW w:w="6516" w:type="dxa"/>
          </w:tcPr>
          <w:p w14:paraId="3CE287FF" w14:textId="1F72CD82" w:rsidR="00700BE9" w:rsidRPr="00416C3A" w:rsidRDefault="00700BE9" w:rsidP="00700BE9">
            <w:pPr>
              <w:jc w:val="both"/>
              <w:rPr>
                <w:rFonts w:ascii="Arial" w:eastAsia="Arial" w:hAnsi="Arial" w:cs="Arial"/>
                <w:lang w:val="es-ES"/>
              </w:rPr>
            </w:pPr>
            <w:r w:rsidRPr="00416C3A">
              <w:rPr>
                <w:rFonts w:ascii="Arial" w:eastAsia="Arial" w:hAnsi="Arial" w:cs="Arial"/>
                <w:lang w:val="es-ES"/>
              </w:rPr>
              <w:t xml:space="preserve">PRINCIPIO DE PLANEACIÓN – Estudios previos / PRINCIPIO DE PLANEACIÓN </w:t>
            </w:r>
            <w:r w:rsidRPr="00416C3A">
              <w:rPr>
                <w:rFonts w:ascii="Arial" w:eastAsia="Arial" w:hAnsi="Arial" w:cs="Arial"/>
                <w:color w:val="000000" w:themeColor="text1"/>
              </w:rPr>
              <w:t>–</w:t>
            </w:r>
            <w:r w:rsidRPr="00416C3A">
              <w:rPr>
                <w:rFonts w:ascii="Arial" w:eastAsia="Arial" w:hAnsi="Arial" w:cs="Arial"/>
                <w:lang w:val="es-ES"/>
              </w:rPr>
              <w:t xml:space="preserve"> Análisis del sector económico y de los oferentes / PRECIO – Autonomía de la entidad para calcular el precio y forma de </w:t>
            </w:r>
            <w:r w:rsidR="00034F93" w:rsidRPr="00416C3A">
              <w:rPr>
                <w:rFonts w:ascii="Arial" w:eastAsia="Arial" w:hAnsi="Arial" w:cs="Arial"/>
                <w:lang w:val="es-ES"/>
              </w:rPr>
              <w:t>pago /</w:t>
            </w:r>
            <w:r w:rsidRPr="00416C3A">
              <w:rPr>
                <w:rFonts w:ascii="Arial" w:eastAsia="Arial" w:hAnsi="Arial" w:cs="Arial"/>
                <w:lang w:val="es-ES"/>
              </w:rPr>
              <w:t xml:space="preserve"> </w:t>
            </w:r>
            <w:r w:rsidRPr="00416C3A">
              <w:rPr>
                <w:rFonts w:ascii="Arial" w:hAnsi="Arial" w:cs="Arial"/>
              </w:rPr>
              <w:t xml:space="preserve">AJUSTE DE PRECIOS / RIESGOS EN LA CONTRATACIÓN ESTATAL – Obligación de las entidades estatales de tipificarlos / </w:t>
            </w:r>
            <w:r w:rsidRPr="00416C3A">
              <w:rPr>
                <w:rFonts w:ascii="Arial" w:hAnsi="Arial" w:cs="Arial"/>
                <w:lang w:val="es-ES"/>
              </w:rPr>
              <w:t xml:space="preserve">MATRIZ DE RIESGOS – identificación y administración frente al desequilibrio económico </w:t>
            </w:r>
          </w:p>
          <w:p w14:paraId="2F4B7014" w14:textId="5D4195FD" w:rsidR="00EC0083" w:rsidRPr="00416C3A" w:rsidRDefault="00EC0083" w:rsidP="002F1D1C">
            <w:pPr>
              <w:pStyle w:val="Textoindependiente"/>
              <w:spacing w:line="276" w:lineRule="auto"/>
              <w:ind w:right="109"/>
              <w:jc w:val="both"/>
              <w:rPr>
                <w:rFonts w:ascii="Segoe UI" w:hAnsi="Segoe UI" w:cs="Segoe UI"/>
                <w:bCs/>
              </w:rPr>
            </w:pPr>
          </w:p>
        </w:tc>
      </w:tr>
      <w:tr w:rsidR="003C7067" w:rsidRPr="00416C3A" w14:paraId="60D249F0" w14:textId="77777777" w:rsidTr="00E74412">
        <w:tc>
          <w:tcPr>
            <w:tcW w:w="2410" w:type="dxa"/>
          </w:tcPr>
          <w:p w14:paraId="291F9A18" w14:textId="77777777" w:rsidR="003C7067" w:rsidRPr="00416C3A" w:rsidRDefault="003C7067" w:rsidP="00550397">
            <w:pPr>
              <w:spacing w:line="276" w:lineRule="auto"/>
              <w:rPr>
                <w:rFonts w:ascii="Arial" w:eastAsia="Calibri" w:hAnsi="Arial" w:cs="Arial"/>
              </w:rPr>
            </w:pPr>
            <w:r w:rsidRPr="00416C3A">
              <w:rPr>
                <w:rFonts w:ascii="Arial" w:eastAsia="Calibri" w:hAnsi="Arial" w:cs="Arial"/>
                <w:b/>
              </w:rPr>
              <w:t>Radicación:</w:t>
            </w:r>
            <w:r w:rsidRPr="00416C3A">
              <w:rPr>
                <w:rFonts w:ascii="Arial" w:eastAsia="Calibri" w:hAnsi="Arial" w:cs="Arial"/>
              </w:rPr>
              <w:t xml:space="preserve">                              </w:t>
            </w:r>
          </w:p>
        </w:tc>
        <w:tc>
          <w:tcPr>
            <w:tcW w:w="6516" w:type="dxa"/>
          </w:tcPr>
          <w:p w14:paraId="3C674517" w14:textId="71DDFCAF" w:rsidR="003C7067" w:rsidRPr="00416C3A" w:rsidRDefault="003C7067" w:rsidP="00550397">
            <w:pPr>
              <w:spacing w:line="276" w:lineRule="auto"/>
              <w:jc w:val="both"/>
              <w:rPr>
                <w:rFonts w:ascii="Arial" w:hAnsi="Arial" w:cs="Arial"/>
              </w:rPr>
            </w:pPr>
            <w:r w:rsidRPr="00416C3A">
              <w:rPr>
                <w:rFonts w:ascii="Arial" w:eastAsia="Calibri" w:hAnsi="Arial" w:cs="Arial"/>
              </w:rPr>
              <w:t xml:space="preserve">Respuesta a </w:t>
            </w:r>
            <w:r w:rsidR="00206E4E" w:rsidRPr="00416C3A">
              <w:rPr>
                <w:rFonts w:ascii="Arial" w:eastAsia="Calibri" w:hAnsi="Arial" w:cs="Arial"/>
              </w:rPr>
              <w:t xml:space="preserve">la consulta </w:t>
            </w:r>
            <w:r w:rsidR="002F1D1C" w:rsidRPr="00416C3A">
              <w:rPr>
                <w:rFonts w:ascii="Arial" w:eastAsia="Calibri" w:hAnsi="Arial" w:cs="Arial"/>
              </w:rPr>
              <w:t>P20220812008033</w:t>
            </w:r>
            <w:r w:rsidR="00206E4E" w:rsidRPr="00416C3A">
              <w:rPr>
                <w:rFonts w:ascii="Arial" w:eastAsia="Calibri" w:hAnsi="Arial" w:cs="Arial"/>
              </w:rPr>
              <w:t xml:space="preserve"> </w:t>
            </w:r>
          </w:p>
        </w:tc>
      </w:tr>
    </w:tbl>
    <w:p w14:paraId="776B553A" w14:textId="1E5ECA65" w:rsidR="003C7067" w:rsidRPr="00416C3A" w:rsidRDefault="003C7067" w:rsidP="00550397">
      <w:pPr>
        <w:spacing w:line="276" w:lineRule="auto"/>
        <w:rPr>
          <w:rFonts w:ascii="Arial" w:eastAsia="Calibri" w:hAnsi="Arial" w:cs="Arial"/>
          <w:sz w:val="22"/>
          <w:szCs w:val="22"/>
        </w:rPr>
      </w:pPr>
    </w:p>
    <w:p w14:paraId="35873A1E" w14:textId="77777777" w:rsidR="007374F5" w:rsidRPr="00416C3A" w:rsidRDefault="007374F5" w:rsidP="00550397">
      <w:pPr>
        <w:spacing w:line="276" w:lineRule="auto"/>
        <w:rPr>
          <w:rFonts w:ascii="Arial" w:eastAsia="Calibri" w:hAnsi="Arial" w:cs="Arial"/>
          <w:sz w:val="22"/>
          <w:szCs w:val="22"/>
        </w:rPr>
      </w:pPr>
    </w:p>
    <w:p w14:paraId="6BB19977" w14:textId="60FF7410" w:rsidR="003C7067" w:rsidRPr="00416C3A" w:rsidRDefault="003C7067" w:rsidP="00550397">
      <w:pPr>
        <w:tabs>
          <w:tab w:val="left" w:pos="3736"/>
        </w:tabs>
        <w:spacing w:line="276" w:lineRule="auto"/>
        <w:rPr>
          <w:rFonts w:ascii="Arial" w:eastAsia="Calibri" w:hAnsi="Arial" w:cs="Arial"/>
          <w:sz w:val="22"/>
          <w:szCs w:val="22"/>
        </w:rPr>
      </w:pPr>
      <w:r w:rsidRPr="00416C3A">
        <w:rPr>
          <w:rFonts w:ascii="Arial" w:eastAsia="Calibri" w:hAnsi="Arial" w:cs="Arial"/>
          <w:sz w:val="22"/>
          <w:szCs w:val="22"/>
        </w:rPr>
        <w:t>Estimad</w:t>
      </w:r>
      <w:r w:rsidR="002F1D1C" w:rsidRPr="00416C3A">
        <w:rPr>
          <w:rFonts w:ascii="Arial" w:eastAsia="Calibri" w:hAnsi="Arial" w:cs="Arial"/>
          <w:sz w:val="22"/>
          <w:szCs w:val="22"/>
        </w:rPr>
        <w:t>a</w:t>
      </w:r>
      <w:r w:rsidR="007A5F2D" w:rsidRPr="00416C3A">
        <w:rPr>
          <w:rFonts w:ascii="Arial" w:eastAsia="Calibri" w:hAnsi="Arial" w:cs="Arial"/>
          <w:sz w:val="22"/>
          <w:szCs w:val="22"/>
        </w:rPr>
        <w:t xml:space="preserve"> </w:t>
      </w:r>
      <w:r w:rsidRPr="00416C3A">
        <w:rPr>
          <w:rFonts w:ascii="Arial" w:eastAsia="Calibri" w:hAnsi="Arial" w:cs="Arial"/>
          <w:sz w:val="22"/>
          <w:szCs w:val="22"/>
        </w:rPr>
        <w:t>señor</w:t>
      </w:r>
      <w:r w:rsidR="002F1D1C" w:rsidRPr="00416C3A">
        <w:rPr>
          <w:rFonts w:ascii="Arial" w:eastAsia="Calibri" w:hAnsi="Arial" w:cs="Arial"/>
          <w:sz w:val="22"/>
          <w:szCs w:val="22"/>
        </w:rPr>
        <w:t>a</w:t>
      </w:r>
      <w:r w:rsidR="00DA07F3" w:rsidRPr="00416C3A">
        <w:rPr>
          <w:rFonts w:ascii="Arial" w:eastAsia="Calibri" w:hAnsi="Arial" w:cs="Arial"/>
          <w:sz w:val="22"/>
          <w:szCs w:val="22"/>
        </w:rPr>
        <w:t xml:space="preserve"> </w:t>
      </w:r>
      <w:r w:rsidR="002F1D1C" w:rsidRPr="00416C3A">
        <w:rPr>
          <w:rFonts w:ascii="Arial" w:eastAsia="Calibri" w:hAnsi="Arial" w:cs="Arial"/>
          <w:sz w:val="22"/>
          <w:szCs w:val="22"/>
        </w:rPr>
        <w:t>Barrera</w:t>
      </w:r>
      <w:r w:rsidR="0083524B" w:rsidRPr="00416C3A">
        <w:rPr>
          <w:rFonts w:ascii="Arial" w:eastAsia="Calibri" w:hAnsi="Arial" w:cs="Arial"/>
          <w:sz w:val="22"/>
          <w:szCs w:val="22"/>
        </w:rPr>
        <w:t>:</w:t>
      </w:r>
    </w:p>
    <w:p w14:paraId="17594CC4" w14:textId="77777777" w:rsidR="003C7067" w:rsidRPr="00416C3A" w:rsidRDefault="003C7067" w:rsidP="00550397">
      <w:pPr>
        <w:spacing w:line="276" w:lineRule="auto"/>
        <w:rPr>
          <w:rFonts w:ascii="Arial" w:eastAsia="Calibri" w:hAnsi="Arial" w:cs="Arial"/>
          <w:sz w:val="22"/>
          <w:szCs w:val="22"/>
        </w:rPr>
      </w:pPr>
    </w:p>
    <w:p w14:paraId="60A69B38" w14:textId="0510F7DD" w:rsidR="00B0166A" w:rsidRPr="00416C3A" w:rsidRDefault="003C7067" w:rsidP="00550397">
      <w:pPr>
        <w:spacing w:line="276" w:lineRule="auto"/>
        <w:jc w:val="both"/>
        <w:rPr>
          <w:rFonts w:ascii="Arial" w:eastAsia="Calibri" w:hAnsi="Arial" w:cs="Arial"/>
          <w:sz w:val="22"/>
          <w:szCs w:val="22"/>
        </w:rPr>
      </w:pPr>
      <w:r w:rsidRPr="00416C3A">
        <w:rPr>
          <w:rFonts w:ascii="Arial" w:eastAsia="Calibri" w:hAnsi="Arial" w:cs="Arial"/>
          <w:sz w:val="22"/>
          <w:szCs w:val="22"/>
        </w:rPr>
        <w:t>La Agencia Nacional de Contratación Pública – Colombia Compra Eficiente</w:t>
      </w:r>
      <w:r w:rsidR="00C15870" w:rsidRPr="00416C3A">
        <w:rPr>
          <w:rFonts w:ascii="Arial" w:eastAsia="Calibri" w:hAnsi="Arial" w:cs="Arial"/>
          <w:sz w:val="22"/>
          <w:szCs w:val="22"/>
        </w:rPr>
        <w:t>, en ejercicio de la competencia otorgada por el numeral 8 del artículo 11 y el numeral 5 del artículo 3 del Decreto Ley 4170 de 2011,</w:t>
      </w:r>
      <w:r w:rsidRPr="00416C3A">
        <w:rPr>
          <w:rFonts w:ascii="Arial" w:eastAsia="Calibri" w:hAnsi="Arial" w:cs="Arial"/>
          <w:sz w:val="22"/>
          <w:szCs w:val="22"/>
        </w:rPr>
        <w:t xml:space="preserve"> responde s</w:t>
      </w:r>
      <w:r w:rsidR="00731374" w:rsidRPr="00416C3A">
        <w:rPr>
          <w:rFonts w:ascii="Arial" w:eastAsia="Calibri" w:hAnsi="Arial" w:cs="Arial"/>
          <w:sz w:val="22"/>
          <w:szCs w:val="22"/>
        </w:rPr>
        <w:t>u</w:t>
      </w:r>
      <w:r w:rsidR="00206E4E" w:rsidRPr="00416C3A">
        <w:rPr>
          <w:rFonts w:ascii="Arial" w:eastAsia="Calibri" w:hAnsi="Arial" w:cs="Arial"/>
          <w:sz w:val="22"/>
          <w:szCs w:val="22"/>
        </w:rPr>
        <w:t xml:space="preserve"> </w:t>
      </w:r>
      <w:r w:rsidR="00B0166A" w:rsidRPr="00416C3A">
        <w:rPr>
          <w:rFonts w:ascii="Arial" w:eastAsia="Calibri" w:hAnsi="Arial" w:cs="Arial"/>
          <w:sz w:val="22"/>
          <w:szCs w:val="22"/>
        </w:rPr>
        <w:t>consulta remitida</w:t>
      </w:r>
      <w:r w:rsidR="00731374" w:rsidRPr="00416C3A">
        <w:rPr>
          <w:rFonts w:ascii="Arial" w:eastAsia="Calibri" w:hAnsi="Arial" w:cs="Arial"/>
          <w:sz w:val="22"/>
          <w:szCs w:val="22"/>
        </w:rPr>
        <w:t xml:space="preserve"> el</w:t>
      </w:r>
      <w:r w:rsidR="00206E4E" w:rsidRPr="00416C3A">
        <w:rPr>
          <w:rFonts w:ascii="Arial" w:eastAsia="Calibri" w:hAnsi="Arial" w:cs="Arial"/>
          <w:sz w:val="22"/>
          <w:szCs w:val="22"/>
        </w:rPr>
        <w:t xml:space="preserve"> 1</w:t>
      </w:r>
      <w:r w:rsidR="002F1D1C" w:rsidRPr="00416C3A">
        <w:rPr>
          <w:rFonts w:ascii="Arial" w:eastAsia="Calibri" w:hAnsi="Arial" w:cs="Arial"/>
          <w:sz w:val="22"/>
          <w:szCs w:val="22"/>
        </w:rPr>
        <w:t>2</w:t>
      </w:r>
      <w:r w:rsidR="005B14B2" w:rsidRPr="00416C3A">
        <w:rPr>
          <w:rFonts w:ascii="Arial" w:eastAsia="Calibri" w:hAnsi="Arial" w:cs="Arial"/>
          <w:sz w:val="22"/>
          <w:szCs w:val="22"/>
        </w:rPr>
        <w:t xml:space="preserve"> de agosto de 2022. </w:t>
      </w:r>
    </w:p>
    <w:p w14:paraId="6ACE405C" w14:textId="77777777" w:rsidR="00B0166A" w:rsidRPr="00416C3A" w:rsidRDefault="00B0166A" w:rsidP="00550397">
      <w:pPr>
        <w:pStyle w:val="Prrafodelista"/>
        <w:spacing w:line="276" w:lineRule="auto"/>
        <w:ind w:left="0"/>
        <w:rPr>
          <w:rFonts w:ascii="Arial" w:eastAsia="Calibri" w:hAnsi="Arial" w:cs="Arial"/>
          <w:sz w:val="22"/>
          <w:lang w:val="es-ES_tradnl"/>
        </w:rPr>
      </w:pPr>
    </w:p>
    <w:p w14:paraId="67CA615C" w14:textId="77777777" w:rsidR="003C7067" w:rsidRPr="00416C3A" w:rsidRDefault="003C7067" w:rsidP="00550397">
      <w:pPr>
        <w:tabs>
          <w:tab w:val="left" w:pos="0"/>
        </w:tabs>
        <w:spacing w:line="276" w:lineRule="auto"/>
        <w:jc w:val="both"/>
        <w:rPr>
          <w:rFonts w:ascii="Arial" w:eastAsia="Calibri" w:hAnsi="Arial" w:cs="Arial"/>
          <w:b/>
          <w:sz w:val="22"/>
          <w:szCs w:val="22"/>
        </w:rPr>
      </w:pPr>
      <w:r w:rsidRPr="00416C3A">
        <w:rPr>
          <w:rFonts w:ascii="Arial" w:eastAsia="Calibri" w:hAnsi="Arial" w:cs="Arial"/>
          <w:b/>
          <w:sz w:val="22"/>
          <w:szCs w:val="22"/>
        </w:rPr>
        <w:t>1. Problema planteado</w:t>
      </w:r>
    </w:p>
    <w:p w14:paraId="5A060666" w14:textId="77777777" w:rsidR="003C7067" w:rsidRPr="00416C3A" w:rsidRDefault="003C7067" w:rsidP="00550397">
      <w:pPr>
        <w:spacing w:line="276" w:lineRule="auto"/>
        <w:rPr>
          <w:rFonts w:ascii="Arial" w:eastAsia="Calibri" w:hAnsi="Arial" w:cs="Arial"/>
          <w:sz w:val="22"/>
          <w:szCs w:val="22"/>
        </w:rPr>
      </w:pPr>
    </w:p>
    <w:p w14:paraId="0878041B" w14:textId="72A65EF8" w:rsidR="00206E4E" w:rsidRPr="00416C3A" w:rsidRDefault="003C7067" w:rsidP="00550397">
      <w:pPr>
        <w:pStyle w:val="gmail-msonospacing"/>
        <w:spacing w:before="0" w:beforeAutospacing="0" w:after="0" w:afterAutospacing="0" w:line="276" w:lineRule="auto"/>
        <w:ind w:right="900"/>
        <w:jc w:val="both"/>
        <w:rPr>
          <w:rFonts w:ascii="Arial" w:eastAsia="Calibri" w:hAnsi="Arial" w:cs="Arial"/>
          <w:lang w:val="es-ES_tradnl"/>
        </w:rPr>
      </w:pPr>
      <w:r w:rsidRPr="00416C3A">
        <w:rPr>
          <w:rFonts w:ascii="Arial" w:eastAsia="Calibri" w:hAnsi="Arial" w:cs="Arial"/>
          <w:lang w:val="es-ES_tradnl"/>
        </w:rPr>
        <w:t xml:space="preserve">Usted realiza la siguiente pregunta: </w:t>
      </w:r>
    </w:p>
    <w:p w14:paraId="2B9093DB" w14:textId="6484F639" w:rsidR="00206E4E" w:rsidRPr="00416C3A" w:rsidRDefault="00206E4E" w:rsidP="00550397">
      <w:pPr>
        <w:pStyle w:val="gmail-msonospacing"/>
        <w:spacing w:before="0" w:beforeAutospacing="0" w:after="0" w:afterAutospacing="0" w:line="276" w:lineRule="auto"/>
        <w:ind w:right="900"/>
        <w:jc w:val="both"/>
        <w:rPr>
          <w:rFonts w:ascii="Arial" w:eastAsia="Calibri" w:hAnsi="Arial" w:cs="Arial"/>
          <w:lang w:val="es-ES_tradnl"/>
        </w:rPr>
      </w:pPr>
    </w:p>
    <w:p w14:paraId="67F12DEF" w14:textId="600414A7" w:rsidR="002F1D1C" w:rsidRPr="00416C3A" w:rsidRDefault="008559E5" w:rsidP="003015F0">
      <w:pPr>
        <w:autoSpaceDE w:val="0"/>
        <w:autoSpaceDN w:val="0"/>
        <w:adjustRightInd w:val="0"/>
        <w:ind w:left="709" w:right="709"/>
        <w:jc w:val="both"/>
        <w:rPr>
          <w:rFonts w:ascii="Arial" w:hAnsi="Arial" w:cs="Arial"/>
          <w:sz w:val="21"/>
          <w:szCs w:val="21"/>
        </w:rPr>
      </w:pPr>
      <w:r w:rsidRPr="00416C3A">
        <w:rPr>
          <w:rFonts w:ascii="Arial" w:hAnsi="Arial" w:cs="Arial"/>
          <w:sz w:val="21"/>
          <w:szCs w:val="21"/>
        </w:rPr>
        <w:lastRenderedPageBreak/>
        <w:t>«</w:t>
      </w:r>
      <w:r w:rsidR="002F1D1C" w:rsidRPr="00416C3A">
        <w:rPr>
          <w:rFonts w:ascii="Arial" w:hAnsi="Arial" w:cs="Arial"/>
          <w:sz w:val="21"/>
          <w:szCs w:val="21"/>
          <w:lang w:val="es-MX"/>
        </w:rPr>
        <w:t>1. Las Entidades, a pesar de conocer la situación de volatilidad de los precios de</w:t>
      </w:r>
      <w:r w:rsidR="00EE6D46" w:rsidRPr="00416C3A">
        <w:rPr>
          <w:rFonts w:ascii="Arial" w:hAnsi="Arial" w:cs="Arial"/>
          <w:sz w:val="21"/>
          <w:szCs w:val="21"/>
        </w:rPr>
        <w:t xml:space="preserve"> </w:t>
      </w:r>
      <w:r w:rsidR="002F1D1C" w:rsidRPr="00416C3A">
        <w:rPr>
          <w:rFonts w:ascii="Arial" w:hAnsi="Arial" w:cs="Arial"/>
          <w:sz w:val="21"/>
          <w:szCs w:val="21"/>
          <w:lang w:val="es-MX"/>
        </w:rPr>
        <w:t>mercado, se pueden negar a: 1). Realizar los ajustes al presupuesto oficial, a pesar</w:t>
      </w:r>
      <w:r w:rsidR="00EE6D46" w:rsidRPr="00416C3A">
        <w:rPr>
          <w:rFonts w:ascii="Arial" w:hAnsi="Arial" w:cs="Arial"/>
          <w:sz w:val="21"/>
          <w:szCs w:val="21"/>
        </w:rPr>
        <w:t xml:space="preserve"> </w:t>
      </w:r>
      <w:r w:rsidR="002F1D1C" w:rsidRPr="00416C3A">
        <w:rPr>
          <w:rFonts w:ascii="Arial" w:hAnsi="Arial" w:cs="Arial"/>
          <w:sz w:val="21"/>
          <w:szCs w:val="21"/>
          <w:lang w:val="es-MX"/>
        </w:rPr>
        <w:t>de</w:t>
      </w:r>
      <w:r w:rsidR="00EE6D46" w:rsidRPr="00416C3A">
        <w:rPr>
          <w:rFonts w:ascii="Arial" w:hAnsi="Arial" w:cs="Arial"/>
          <w:sz w:val="21"/>
          <w:szCs w:val="21"/>
          <w:lang w:val="es-MX"/>
        </w:rPr>
        <w:t xml:space="preserve"> </w:t>
      </w:r>
      <w:r w:rsidR="002F1D1C" w:rsidRPr="00416C3A">
        <w:rPr>
          <w:rFonts w:ascii="Arial" w:hAnsi="Arial" w:cs="Arial"/>
          <w:sz w:val="21"/>
          <w:szCs w:val="21"/>
          <w:lang w:val="es-MX"/>
        </w:rPr>
        <w:t>la falta de planeación. 2). Realizar el ajuste a la matriz de riesgo, poniendo</w:t>
      </w:r>
      <w:r w:rsidR="00EE6D46" w:rsidRPr="00416C3A">
        <w:rPr>
          <w:rFonts w:ascii="Arial" w:hAnsi="Arial" w:cs="Arial"/>
          <w:sz w:val="21"/>
          <w:szCs w:val="21"/>
          <w:lang w:val="es-MX"/>
        </w:rPr>
        <w:t xml:space="preserve"> </w:t>
      </w:r>
      <w:r w:rsidR="002F1D1C" w:rsidRPr="00416C3A">
        <w:rPr>
          <w:rFonts w:ascii="Arial" w:hAnsi="Arial" w:cs="Arial"/>
          <w:sz w:val="21"/>
          <w:szCs w:val="21"/>
          <w:lang w:val="es-MX"/>
        </w:rPr>
        <w:t>como tratamiento la actualización y/o reajuste conforme a los precios del</w:t>
      </w:r>
      <w:r w:rsidR="00EE6D46" w:rsidRPr="00416C3A">
        <w:rPr>
          <w:rFonts w:ascii="Arial" w:hAnsi="Arial" w:cs="Arial"/>
          <w:sz w:val="21"/>
          <w:szCs w:val="21"/>
        </w:rPr>
        <w:t xml:space="preserve"> </w:t>
      </w:r>
      <w:r w:rsidR="002F1D1C" w:rsidRPr="00416C3A">
        <w:rPr>
          <w:rFonts w:ascii="Arial" w:hAnsi="Arial" w:cs="Arial"/>
          <w:sz w:val="21"/>
          <w:szCs w:val="21"/>
          <w:lang w:val="es-MX"/>
        </w:rPr>
        <w:t>mercado, y siendo responsable la Entidad?</w:t>
      </w:r>
    </w:p>
    <w:p w14:paraId="18C2AC5D" w14:textId="77777777" w:rsidR="00EE6D46" w:rsidRPr="00416C3A" w:rsidRDefault="002F1D1C" w:rsidP="003015F0">
      <w:pPr>
        <w:autoSpaceDE w:val="0"/>
        <w:autoSpaceDN w:val="0"/>
        <w:adjustRightInd w:val="0"/>
        <w:ind w:left="709" w:right="709"/>
        <w:jc w:val="both"/>
        <w:rPr>
          <w:rFonts w:ascii="Arial" w:hAnsi="Arial" w:cs="Arial"/>
          <w:sz w:val="21"/>
          <w:szCs w:val="21"/>
          <w:lang w:val="es-MX"/>
        </w:rPr>
      </w:pPr>
      <w:r w:rsidRPr="00416C3A">
        <w:rPr>
          <w:rFonts w:ascii="Arial" w:hAnsi="Arial" w:cs="Arial"/>
          <w:sz w:val="21"/>
          <w:szCs w:val="21"/>
          <w:lang w:val="es-MX"/>
        </w:rPr>
        <w:t>2. Las Entidades Estatales, hasta dónde son autónomas de plasmar en sus objetos</w:t>
      </w:r>
      <w:r w:rsidR="00EE6D46" w:rsidRPr="00416C3A">
        <w:rPr>
          <w:rFonts w:ascii="Arial" w:hAnsi="Arial" w:cs="Arial"/>
          <w:sz w:val="21"/>
          <w:szCs w:val="21"/>
          <w:lang w:val="es-MX"/>
        </w:rPr>
        <w:t xml:space="preserve"> </w:t>
      </w:r>
      <w:r w:rsidRPr="00416C3A">
        <w:rPr>
          <w:rFonts w:ascii="Arial" w:hAnsi="Arial" w:cs="Arial"/>
          <w:sz w:val="21"/>
          <w:szCs w:val="21"/>
          <w:lang w:val="es-MX"/>
        </w:rPr>
        <w:t>contractuales "precios unitarios fijos, sin formula de reajuste", siendo esta</w:t>
      </w:r>
      <w:r w:rsidR="00EE6D46" w:rsidRPr="00416C3A">
        <w:rPr>
          <w:rFonts w:ascii="Arial" w:hAnsi="Arial" w:cs="Arial"/>
          <w:sz w:val="21"/>
          <w:szCs w:val="21"/>
          <w:lang w:val="es-MX"/>
        </w:rPr>
        <w:t xml:space="preserve"> </w:t>
      </w:r>
      <w:r w:rsidRPr="00416C3A">
        <w:rPr>
          <w:rFonts w:ascii="Arial" w:hAnsi="Arial" w:cs="Arial"/>
          <w:sz w:val="21"/>
          <w:szCs w:val="21"/>
          <w:lang w:val="es-MX"/>
        </w:rPr>
        <w:t>actualización y/o formula de reajuste de carácter legal?</w:t>
      </w:r>
    </w:p>
    <w:p w14:paraId="4CEF1B2F" w14:textId="5B9EB584" w:rsidR="008559E5" w:rsidRPr="00416C3A" w:rsidRDefault="002F1D1C" w:rsidP="003015F0">
      <w:pPr>
        <w:autoSpaceDE w:val="0"/>
        <w:autoSpaceDN w:val="0"/>
        <w:adjustRightInd w:val="0"/>
        <w:ind w:left="709" w:right="709"/>
        <w:jc w:val="both"/>
        <w:rPr>
          <w:rFonts w:ascii="Arial" w:hAnsi="Arial" w:cs="Arial"/>
          <w:sz w:val="21"/>
          <w:szCs w:val="21"/>
          <w:lang w:val="es-MX"/>
        </w:rPr>
      </w:pPr>
      <w:r w:rsidRPr="00416C3A">
        <w:rPr>
          <w:rFonts w:ascii="Arial" w:hAnsi="Arial" w:cs="Arial"/>
          <w:sz w:val="21"/>
          <w:szCs w:val="21"/>
          <w:lang w:val="es-MX"/>
        </w:rPr>
        <w:t>3. Qué, ¿Entidad es la encargada de hacer control a los presupuestos oficiales,</w:t>
      </w:r>
      <w:r w:rsidR="00EE6D46" w:rsidRPr="00416C3A">
        <w:rPr>
          <w:rFonts w:ascii="Arial" w:hAnsi="Arial" w:cs="Arial"/>
          <w:sz w:val="21"/>
          <w:szCs w:val="21"/>
          <w:lang w:val="es-MX"/>
        </w:rPr>
        <w:t xml:space="preserve"> </w:t>
      </w:r>
      <w:r w:rsidRPr="00416C3A">
        <w:rPr>
          <w:rFonts w:ascii="Arial" w:hAnsi="Arial" w:cs="Arial"/>
          <w:sz w:val="21"/>
          <w:szCs w:val="21"/>
          <w:lang w:val="es-MX"/>
        </w:rPr>
        <w:t>siendo que, a pesar de hacer la debida observación, la Entidad sigue adelante con</w:t>
      </w:r>
      <w:r w:rsidR="00EE6D46" w:rsidRPr="00416C3A">
        <w:rPr>
          <w:rFonts w:ascii="Arial" w:hAnsi="Arial" w:cs="Arial"/>
          <w:sz w:val="21"/>
          <w:szCs w:val="21"/>
          <w:lang w:val="es-MX"/>
        </w:rPr>
        <w:t xml:space="preserve"> </w:t>
      </w:r>
      <w:r w:rsidRPr="00416C3A">
        <w:rPr>
          <w:rFonts w:ascii="Arial" w:hAnsi="Arial" w:cs="Arial"/>
          <w:sz w:val="21"/>
          <w:szCs w:val="21"/>
          <w:lang w:val="es-MX"/>
        </w:rPr>
        <w:t>el proceso</w:t>
      </w:r>
      <w:r w:rsidR="00EE6D46" w:rsidRPr="00416C3A">
        <w:rPr>
          <w:rFonts w:ascii="Arial" w:hAnsi="Arial" w:cs="Arial"/>
          <w:sz w:val="21"/>
          <w:szCs w:val="21"/>
          <w:lang w:val="es-MX"/>
        </w:rPr>
        <w:t xml:space="preserve"> </w:t>
      </w:r>
      <w:r w:rsidRPr="00416C3A">
        <w:rPr>
          <w:rFonts w:ascii="Arial" w:hAnsi="Arial" w:cs="Arial"/>
          <w:sz w:val="21"/>
          <w:szCs w:val="21"/>
          <w:lang w:val="es-MX"/>
        </w:rPr>
        <w:t>contractual, sin importar su falta de planeación presupuestal, afectando</w:t>
      </w:r>
      <w:r w:rsidR="00EE6D46" w:rsidRPr="00416C3A">
        <w:rPr>
          <w:rFonts w:ascii="Arial" w:hAnsi="Arial" w:cs="Arial"/>
          <w:sz w:val="21"/>
          <w:szCs w:val="21"/>
          <w:lang w:val="es-MX"/>
        </w:rPr>
        <w:t xml:space="preserve"> </w:t>
      </w:r>
      <w:r w:rsidRPr="00416C3A">
        <w:rPr>
          <w:rFonts w:ascii="Arial" w:hAnsi="Arial" w:cs="Arial"/>
          <w:sz w:val="21"/>
          <w:szCs w:val="21"/>
          <w:lang w:val="es-MX"/>
        </w:rPr>
        <w:t>la ejecución del contrato y al contratista?</w:t>
      </w:r>
      <w:r w:rsidR="008559E5" w:rsidRPr="00416C3A">
        <w:rPr>
          <w:rFonts w:ascii="Arial" w:hAnsi="Arial" w:cs="Arial"/>
          <w:sz w:val="21"/>
          <w:szCs w:val="21"/>
        </w:rPr>
        <w:t>».</w:t>
      </w:r>
    </w:p>
    <w:p w14:paraId="3878A913" w14:textId="77777777" w:rsidR="00041D4B" w:rsidRPr="00416C3A" w:rsidRDefault="00041D4B" w:rsidP="00550397">
      <w:pPr>
        <w:spacing w:line="276" w:lineRule="auto"/>
        <w:jc w:val="both"/>
        <w:rPr>
          <w:rFonts w:ascii="Arial" w:eastAsiaTheme="minorHAnsi" w:hAnsi="Arial" w:cs="Arial"/>
          <w:color w:val="000000" w:themeColor="text1"/>
          <w:sz w:val="21"/>
          <w:szCs w:val="21"/>
          <w:lang w:eastAsia="en-US"/>
        </w:rPr>
      </w:pPr>
    </w:p>
    <w:p w14:paraId="25DC51CC" w14:textId="7CCB0AE1" w:rsidR="0016321F" w:rsidRPr="00416C3A" w:rsidRDefault="003C7067" w:rsidP="00550397">
      <w:pPr>
        <w:pStyle w:val="NormalWeb"/>
        <w:spacing w:before="0" w:beforeAutospacing="0" w:after="0" w:afterAutospacing="0" w:line="276" w:lineRule="auto"/>
        <w:ind w:right="51"/>
        <w:contextualSpacing/>
        <w:jc w:val="both"/>
        <w:rPr>
          <w:rFonts w:ascii="Arial" w:eastAsia="Calibri" w:hAnsi="Arial" w:cs="Arial"/>
          <w:b/>
          <w:sz w:val="22"/>
          <w:szCs w:val="22"/>
        </w:rPr>
      </w:pPr>
      <w:r w:rsidRPr="00416C3A">
        <w:rPr>
          <w:rFonts w:ascii="Arial" w:eastAsia="Calibri" w:hAnsi="Arial" w:cs="Arial"/>
          <w:b/>
          <w:sz w:val="22"/>
          <w:szCs w:val="22"/>
        </w:rPr>
        <w:t>2. Consideraciones</w:t>
      </w:r>
    </w:p>
    <w:p w14:paraId="146D64A9" w14:textId="77777777" w:rsidR="00EF2C3C" w:rsidRPr="00416C3A" w:rsidRDefault="00EF2C3C" w:rsidP="00550397">
      <w:pPr>
        <w:pStyle w:val="NormalWeb"/>
        <w:spacing w:before="0" w:beforeAutospacing="0" w:after="0" w:afterAutospacing="0" w:line="276" w:lineRule="auto"/>
        <w:ind w:right="51"/>
        <w:contextualSpacing/>
        <w:jc w:val="both"/>
        <w:rPr>
          <w:rFonts w:ascii="Arial" w:eastAsia="Calibri" w:hAnsi="Arial" w:cs="Arial"/>
          <w:b/>
          <w:sz w:val="22"/>
          <w:szCs w:val="22"/>
        </w:rPr>
      </w:pPr>
    </w:p>
    <w:p w14:paraId="78267672" w14:textId="1A9F21B1" w:rsidR="00EF2C3C" w:rsidRPr="00416C3A" w:rsidRDefault="00EF2C3C" w:rsidP="00550397">
      <w:pPr>
        <w:spacing w:after="120" w:line="276" w:lineRule="auto"/>
        <w:jc w:val="both"/>
        <w:rPr>
          <w:rFonts w:ascii="Arial" w:hAnsi="Arial" w:cs="Arial"/>
          <w:sz w:val="22"/>
        </w:rPr>
      </w:pPr>
      <w:r w:rsidRPr="00416C3A">
        <w:rPr>
          <w:rFonts w:ascii="Arial" w:hAnsi="Arial" w:cs="Arial"/>
          <w:bCs/>
          <w:sz w:val="22"/>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id="0" w:name="_Hlk61701014"/>
      <w:bookmarkStart w:id="1" w:name="_Hlk62136649"/>
      <w:r w:rsidRPr="00416C3A">
        <w:rPr>
          <w:rFonts w:ascii="Arial" w:hAnsi="Arial" w:cs="Arial"/>
          <w:sz w:val="22"/>
        </w:rPr>
        <w:t xml:space="preserve">Es necesario tener en cuenta que </w:t>
      </w:r>
      <w:bookmarkStart w:id="2" w:name="_Hlk61026958"/>
      <w:r w:rsidRPr="00416C3A">
        <w:rPr>
          <w:rFonts w:ascii="Arial" w:hAnsi="Arial" w:cs="Arial"/>
          <w:sz w:val="22"/>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16C3A">
        <w:rPr>
          <w:rFonts w:ascii="Arial" w:hAnsi="Arial" w:cs="Arial"/>
          <w:bCs/>
          <w:sz w:val="22"/>
        </w:rPr>
        <w:t xml:space="preserve"> de todos los partícipes de la contratación estatal.</w:t>
      </w:r>
    </w:p>
    <w:p w14:paraId="0348277A" w14:textId="51EE6A7F" w:rsidR="00DF3130" w:rsidRPr="00416C3A" w:rsidRDefault="00EF2C3C" w:rsidP="00550397">
      <w:pPr>
        <w:spacing w:after="120" w:line="276" w:lineRule="auto"/>
        <w:ind w:firstLine="708"/>
        <w:jc w:val="both"/>
        <w:rPr>
          <w:rFonts w:ascii="Arial" w:hAnsi="Arial" w:cs="Arial"/>
          <w:sz w:val="22"/>
        </w:rPr>
      </w:pPr>
      <w:r w:rsidRPr="00416C3A">
        <w:rPr>
          <w:rFonts w:ascii="Arial" w:hAnsi="Arial" w:cs="Arial"/>
          <w:sz w:val="22"/>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16C3A">
        <w:rPr>
          <w:rFonts w:ascii="Arial" w:hAnsi="Arial" w:cs="Arial"/>
          <w:sz w:val="22"/>
          <w:vertAlign w:val="superscript"/>
        </w:rPr>
        <w:footnoteReference w:id="1"/>
      </w:r>
      <w:r w:rsidRPr="00416C3A">
        <w:rPr>
          <w:rFonts w:ascii="Arial" w:hAnsi="Arial" w:cs="Arial"/>
          <w:sz w:val="22"/>
        </w:rPr>
        <w:t xml:space="preserve">. Esta competencia de interpretación de normas generales, por definición, no puede extenderse a la resolución de controversias, ni a brindar asesorías sobre casos puntuales. Esto en la medida en </w:t>
      </w:r>
      <w:r w:rsidR="00E5202C" w:rsidRPr="00416C3A">
        <w:rPr>
          <w:rFonts w:ascii="Arial" w:hAnsi="Arial" w:cs="Arial"/>
          <w:sz w:val="22"/>
        </w:rPr>
        <w:t>que,</w:t>
      </w:r>
      <w:r w:rsidRPr="00416C3A">
        <w:rPr>
          <w:rFonts w:ascii="Arial" w:hAnsi="Arial" w:cs="Arial"/>
          <w:sz w:val="22"/>
        </w:rPr>
        <w:t xml:space="preserve"> para resolver una consulta de carácter particular, además de conocer un </w:t>
      </w:r>
      <w:r w:rsidRPr="00416C3A">
        <w:rPr>
          <w:rFonts w:ascii="Arial" w:hAnsi="Arial" w:cs="Arial"/>
          <w:sz w:val="22"/>
        </w:rPr>
        <w:lastRenderedPageBreak/>
        <w:t>sinnúmero de detalles de la actuación administrativa, es necesario acceder al expediente y a los documentos del procedimiento contractual donde surge la inquietud</w:t>
      </w:r>
      <w:bookmarkEnd w:id="2"/>
      <w:r w:rsidRPr="00416C3A">
        <w:rPr>
          <w:rFonts w:ascii="Arial" w:hAnsi="Arial" w:cs="Arial"/>
          <w:sz w:val="22"/>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p w14:paraId="70113537" w14:textId="01CD18F3" w:rsidR="00DF3130" w:rsidRPr="00416C3A" w:rsidRDefault="00DF3130" w:rsidP="00550397">
      <w:pPr>
        <w:spacing w:after="120" w:line="276" w:lineRule="auto"/>
        <w:ind w:firstLine="708"/>
        <w:jc w:val="both"/>
        <w:rPr>
          <w:rFonts w:ascii="Arial" w:hAnsi="Arial" w:cs="Arial"/>
          <w:bCs/>
          <w:sz w:val="22"/>
        </w:rPr>
      </w:pPr>
      <w:r w:rsidRPr="00416C3A">
        <w:rPr>
          <w:rFonts w:ascii="Arial" w:hAnsi="Arial" w:cs="Arial"/>
          <w:sz w:val="22"/>
        </w:rPr>
        <w:t xml:space="preserve">Adicionalmente, es preciso advertir que los conceptos emitidos en ejercicio de la referida competencia consultiva reflejan las posiciones hermenéuticas de la Agencia sobre la aplicación de las normas generales sometidas a su consideración, desarrollando posturas sustentadas a partir del estudio de las diferentes fuentes del derecho existentes en la materia. En cualquier caso, estos conceptos tienen el alcance señalado por el artículo 28 de la Ley 1437 de 2011, sustituido por la Ley 1755 de 2015, el cual señala «[…]  los conceptos emitidos por las autoridades como respuestas a peticiones realizadas en ejercicio del derecho a formular consultas no serán de obligatorio cumplimiento o ejecución».  </w:t>
      </w:r>
      <w:r w:rsidR="004317CE" w:rsidRPr="00416C3A">
        <w:rPr>
          <w:rFonts w:ascii="Arial" w:hAnsi="Arial" w:cs="Arial"/>
          <w:sz w:val="22"/>
        </w:rPr>
        <w:t>E</w:t>
      </w:r>
      <w:r w:rsidRPr="00416C3A">
        <w:rPr>
          <w:rFonts w:ascii="Arial" w:hAnsi="Arial" w:cs="Arial"/>
          <w:bCs/>
          <w:sz w:val="22"/>
        </w:rPr>
        <w:t>n términos generales, lo que se busca es que la opinión jurídica de la entidad sirva a los ciudadanos y a la administración pública para el ejercicio de sus derechos y la defensa de sus intereses, y como criterio de orientación para el cumplimiento de sus competencias legales, sin que tome partida por uno u otro, pues a la autoridad que emite el concepto no le compete resolver una controversia o prevenir una problemática, esto es, no le corresponde determinar quién tienen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 y, mucho menos, valida la del peticionario, ya que las competencias consultivas no lo permiten</w:t>
      </w:r>
      <w:r w:rsidRPr="00416C3A">
        <w:rPr>
          <w:rFonts w:ascii="Arial" w:hAnsi="Arial" w:cs="Arial"/>
          <w:bCs/>
          <w:sz w:val="22"/>
          <w:vertAlign w:val="superscript"/>
        </w:rPr>
        <w:footnoteReference w:id="2"/>
      </w:r>
      <w:r w:rsidRPr="00416C3A">
        <w:rPr>
          <w:rFonts w:ascii="Arial" w:hAnsi="Arial" w:cs="Arial"/>
          <w:bCs/>
          <w:sz w:val="22"/>
        </w:rPr>
        <w:t>.</w:t>
      </w:r>
    </w:p>
    <w:p w14:paraId="06A64245" w14:textId="37D00726" w:rsidR="001A3646" w:rsidRPr="00416C3A" w:rsidRDefault="00DF3130" w:rsidP="00307E0A">
      <w:pPr>
        <w:spacing w:after="120" w:line="276" w:lineRule="auto"/>
        <w:ind w:firstLine="708"/>
        <w:jc w:val="both"/>
        <w:rPr>
          <w:rFonts w:ascii="Arial" w:eastAsia="Calibri" w:hAnsi="Arial" w:cs="Arial"/>
          <w:color w:val="000000"/>
          <w:sz w:val="22"/>
          <w:lang w:val="es-MX" w:eastAsia="en-GB"/>
        </w:rPr>
      </w:pPr>
      <w:r w:rsidRPr="00416C3A">
        <w:rPr>
          <w:rFonts w:ascii="Arial" w:hAnsi="Arial" w:cs="Arial"/>
          <w:sz w:val="22"/>
        </w:rPr>
        <w:lastRenderedPageBreak/>
        <w:t xml:space="preserve">Sin perjuicio de lo anterior, dentro de los límites de las atribuciones de la función consultiva atribuida a esta entidad, esto es, interpretando de manera general las normas relevantes, </w:t>
      </w:r>
      <w:r w:rsidR="004317CE" w:rsidRPr="00416C3A">
        <w:rPr>
          <w:rFonts w:ascii="Arial" w:hAnsi="Arial" w:cs="Arial"/>
          <w:sz w:val="22"/>
        </w:rPr>
        <w:t>la Agencia absolverá los interrogantes formulados, previo análisis de los siguientes temas</w:t>
      </w:r>
      <w:r w:rsidR="00C01A8D" w:rsidRPr="00416C3A">
        <w:rPr>
          <w:rFonts w:ascii="Arial" w:hAnsi="Arial" w:cs="Arial"/>
          <w:sz w:val="22"/>
        </w:rPr>
        <w:t>:</w:t>
      </w:r>
      <w:r w:rsidR="0037367E" w:rsidRPr="00416C3A">
        <w:rPr>
          <w:rFonts w:ascii="Arial" w:hAnsi="Arial" w:cs="Arial"/>
          <w:sz w:val="22"/>
        </w:rPr>
        <w:t xml:space="preserve"> </w:t>
      </w:r>
      <w:r w:rsidR="00EE6D46" w:rsidRPr="00416C3A">
        <w:rPr>
          <w:rFonts w:ascii="Arial" w:eastAsia="Calibri" w:hAnsi="Arial" w:cs="Arial"/>
          <w:color w:val="000000"/>
          <w:sz w:val="22"/>
          <w:lang w:eastAsia="en-GB"/>
        </w:rPr>
        <w:t>i) el principio de planeación y los estudios y documentos previos del contrato,</w:t>
      </w:r>
      <w:r w:rsidR="00EE6D46" w:rsidRPr="00416C3A" w:rsidDel="007F2398">
        <w:rPr>
          <w:rFonts w:ascii="Arial" w:eastAsia="Calibri" w:hAnsi="Arial" w:cs="Arial"/>
          <w:color w:val="000000"/>
          <w:sz w:val="22"/>
          <w:lang w:eastAsia="en-GB"/>
        </w:rPr>
        <w:t xml:space="preserve"> </w:t>
      </w:r>
      <w:proofErr w:type="spellStart"/>
      <w:r w:rsidR="00EE6D46" w:rsidRPr="00416C3A">
        <w:rPr>
          <w:rFonts w:ascii="Arial" w:eastAsia="Calibri" w:hAnsi="Arial" w:cs="Arial"/>
          <w:color w:val="000000"/>
          <w:sz w:val="22"/>
          <w:lang w:eastAsia="en-GB"/>
        </w:rPr>
        <w:t>ii</w:t>
      </w:r>
      <w:proofErr w:type="spellEnd"/>
      <w:r w:rsidR="00EE6D46" w:rsidRPr="00416C3A">
        <w:rPr>
          <w:rFonts w:ascii="Arial" w:eastAsia="Calibri" w:hAnsi="Arial" w:cs="Arial"/>
          <w:color w:val="000000"/>
          <w:sz w:val="22"/>
          <w:lang w:eastAsia="en-GB"/>
        </w:rPr>
        <w:t>) la autonomía de las entidades estatales para calcular el precio y la forma de pago en los contratos estatales</w:t>
      </w:r>
      <w:r w:rsidR="00A03998" w:rsidRPr="00416C3A">
        <w:rPr>
          <w:rFonts w:ascii="Arial" w:eastAsia="Calibri" w:hAnsi="Arial" w:cs="Arial"/>
          <w:color w:val="000000"/>
          <w:sz w:val="22"/>
          <w:lang w:eastAsia="en-GB"/>
        </w:rPr>
        <w:t xml:space="preserve">, y </w:t>
      </w:r>
      <w:proofErr w:type="spellStart"/>
      <w:r w:rsidR="00A03998" w:rsidRPr="00416C3A">
        <w:rPr>
          <w:rFonts w:ascii="Arial" w:eastAsia="Calibri" w:hAnsi="Arial" w:cs="Arial"/>
          <w:color w:val="000000"/>
          <w:sz w:val="22"/>
          <w:lang w:eastAsia="en-GB"/>
        </w:rPr>
        <w:t>iii</w:t>
      </w:r>
      <w:proofErr w:type="spellEnd"/>
      <w:r w:rsidR="00A03998" w:rsidRPr="00416C3A">
        <w:rPr>
          <w:rFonts w:ascii="Arial" w:eastAsia="Calibri" w:hAnsi="Arial" w:cs="Arial"/>
          <w:color w:val="000000"/>
          <w:sz w:val="22"/>
          <w:lang w:eastAsia="en-GB"/>
        </w:rPr>
        <w:t xml:space="preserve">) </w:t>
      </w:r>
      <w:r w:rsidR="00307E0A" w:rsidRPr="00416C3A">
        <w:rPr>
          <w:rFonts w:ascii="Arial" w:eastAsia="Calibri" w:hAnsi="Arial" w:cs="Arial"/>
          <w:color w:val="000000"/>
          <w:sz w:val="22"/>
          <w:lang w:val="es-MX" w:eastAsia="en-GB"/>
        </w:rPr>
        <w:t xml:space="preserve">Riesgos en la Contratación Estatal. </w:t>
      </w:r>
    </w:p>
    <w:p w14:paraId="59BBA72B" w14:textId="0D21DB14" w:rsidR="00EE6D46" w:rsidRPr="00416C3A" w:rsidRDefault="00244D23" w:rsidP="00244D23">
      <w:pPr>
        <w:spacing w:after="120" w:line="276" w:lineRule="auto"/>
        <w:ind w:firstLine="708"/>
        <w:jc w:val="both"/>
        <w:rPr>
          <w:rFonts w:ascii="Arial" w:eastAsia="Calibri" w:hAnsi="Arial" w:cs="Arial"/>
          <w:color w:val="000000"/>
          <w:sz w:val="22"/>
          <w:szCs w:val="22"/>
        </w:rPr>
      </w:pPr>
      <w:r w:rsidRPr="00416C3A">
        <w:rPr>
          <w:rFonts w:ascii="Arial" w:eastAsia="Calibri" w:hAnsi="Arial" w:cs="Arial"/>
          <w:color w:val="000000"/>
          <w:sz w:val="22"/>
          <w:szCs w:val="22"/>
        </w:rPr>
        <w:t xml:space="preserve">La Agencia Nacional de Contratación Pública – Colombia Compra Eficiente se pronunció, en términos generales, sobre el deber de elaborar análisis del sector frente a los procesos de contratación en los </w:t>
      </w:r>
      <w:r w:rsidRPr="00416C3A">
        <w:rPr>
          <w:rFonts w:ascii="Arial" w:eastAsia="Calibri" w:hAnsi="Arial" w:cs="Arial"/>
          <w:sz w:val="22"/>
        </w:rPr>
        <w:t xml:space="preserve">Conceptos 2202013000000037 del 7 de enero de 2020 y C-223 del 29 de abril de 2020 –radicado No. 2202013000003261– y C–148 de 2021. Igualmente, en los Conceptos C-387 del 23 de junio de 2020 –radicado No. 2202013000005289–, </w:t>
      </w:r>
      <w:r w:rsidRPr="00416C3A">
        <w:rPr>
          <w:rFonts w:ascii="Arial" w:eastAsia="Calibri" w:hAnsi="Arial" w:cs="Arial"/>
          <w:color w:val="0B1107"/>
          <w:sz w:val="22"/>
        </w:rPr>
        <w:t xml:space="preserve">C-415 del 7 de julio </w:t>
      </w:r>
      <w:r w:rsidRPr="00416C3A">
        <w:rPr>
          <w:rFonts w:ascii="Arial" w:eastAsia="Calibri" w:hAnsi="Arial" w:cs="Arial"/>
          <w:sz w:val="22"/>
        </w:rPr>
        <w:t xml:space="preserve">–radicado No. </w:t>
      </w:r>
      <w:r w:rsidRPr="00416C3A">
        <w:rPr>
          <w:rFonts w:ascii="Arial" w:hAnsi="Arial" w:cs="Arial"/>
          <w:color w:val="000000"/>
          <w:sz w:val="22"/>
        </w:rPr>
        <w:t>2202013000005931–</w:t>
      </w:r>
      <w:r w:rsidRPr="00416C3A">
        <w:rPr>
          <w:rFonts w:ascii="Arial" w:eastAsia="Calibri" w:hAnsi="Arial" w:cs="Arial"/>
          <w:color w:val="0B1107"/>
          <w:sz w:val="22"/>
        </w:rPr>
        <w:t xml:space="preserve">, </w:t>
      </w:r>
      <w:r w:rsidRPr="00416C3A">
        <w:rPr>
          <w:rFonts w:ascii="Arial" w:eastAsia="Calibri" w:hAnsi="Arial" w:cs="Arial"/>
          <w:sz w:val="22"/>
        </w:rPr>
        <w:t>C-443 del 7 de julio de 2020 –radicado No.</w:t>
      </w:r>
      <w:r w:rsidRPr="00416C3A">
        <w:rPr>
          <w:rFonts w:ascii="Arial" w:hAnsi="Arial" w:cs="Arial"/>
          <w:color w:val="000000"/>
          <w:sz w:val="22"/>
        </w:rPr>
        <w:t xml:space="preserve"> 2202013000005933–, C-387 del 23 de junio de 2020 –radicado No. </w:t>
      </w:r>
      <w:r w:rsidRPr="00416C3A">
        <w:rPr>
          <w:rFonts w:ascii="Arial" w:hAnsi="Arial" w:cs="Arial"/>
          <w:color w:val="000000"/>
          <w:sz w:val="22"/>
          <w:shd w:val="clear" w:color="auto" w:fill="FFFFFF"/>
        </w:rPr>
        <w:t xml:space="preserve">4202013000004275–, </w:t>
      </w:r>
      <w:r w:rsidRPr="00416C3A">
        <w:rPr>
          <w:rFonts w:ascii="Arial" w:eastAsia="Calibri" w:hAnsi="Arial" w:cs="Arial"/>
          <w:sz w:val="22"/>
        </w:rPr>
        <w:t xml:space="preserve">2202013000000037 del 7 de enero de 2020, C-223 del 29 de abril de 2020, </w:t>
      </w:r>
      <w:r w:rsidRPr="00416C3A">
        <w:rPr>
          <w:rFonts w:ascii="Arial" w:eastAsia="Calibri" w:hAnsi="Arial" w:cs="Arial"/>
          <w:color w:val="000000"/>
          <w:sz w:val="22"/>
          <w:szCs w:val="22"/>
        </w:rPr>
        <w:t xml:space="preserve">C-671 de 2020 de 23 de noviembre de 2020, C-215 del 12 de mayo de 2021 y C-742 de 27 de diciembre de 2021, se pronunció  </w:t>
      </w:r>
      <w:r w:rsidRPr="00416C3A">
        <w:rPr>
          <w:rFonts w:ascii="Arial" w:eastAsia="Calibri" w:hAnsi="Arial" w:cs="Arial"/>
          <w:sz w:val="22"/>
        </w:rPr>
        <w:t>sobre planeación y estudios previos en el Estatuto General de Contratación de la Administración Pública</w:t>
      </w:r>
      <w:r w:rsidRPr="00416C3A">
        <w:rPr>
          <w:rFonts w:ascii="Arial" w:eastAsia="Calibri" w:hAnsi="Arial" w:cs="Arial"/>
          <w:color w:val="000000"/>
          <w:sz w:val="22"/>
          <w:szCs w:val="22"/>
        </w:rPr>
        <w:t xml:space="preserve">. </w:t>
      </w:r>
    </w:p>
    <w:p w14:paraId="32318A98" w14:textId="5869A153" w:rsidR="00B12676" w:rsidRPr="00416C3A" w:rsidRDefault="005A73B6" w:rsidP="005A73B6">
      <w:pPr>
        <w:tabs>
          <w:tab w:val="left" w:pos="0"/>
        </w:tabs>
        <w:spacing w:before="120" w:line="276" w:lineRule="auto"/>
        <w:jc w:val="both"/>
        <w:rPr>
          <w:rFonts w:ascii="Arial" w:eastAsia="Calibri" w:hAnsi="Arial" w:cs="Arial"/>
          <w:sz w:val="22"/>
          <w:szCs w:val="22"/>
          <w:lang w:val="es-MX" w:eastAsia="en-US"/>
        </w:rPr>
      </w:pPr>
      <w:r w:rsidRPr="00416C3A">
        <w:rPr>
          <w:rFonts w:ascii="Arial" w:eastAsia="Calibri" w:hAnsi="Arial" w:cs="Arial"/>
          <w:color w:val="000000"/>
          <w:sz w:val="22"/>
          <w:szCs w:val="22"/>
        </w:rPr>
        <w:tab/>
      </w:r>
      <w:r w:rsidR="00B12676" w:rsidRPr="00416C3A">
        <w:rPr>
          <w:rFonts w:ascii="Arial" w:eastAsia="Calibri" w:hAnsi="Arial" w:cs="Arial"/>
          <w:color w:val="000000"/>
          <w:sz w:val="22"/>
          <w:szCs w:val="22"/>
        </w:rPr>
        <w:t xml:space="preserve">Adicionalmente, </w:t>
      </w:r>
      <w:r w:rsidR="00B12676" w:rsidRPr="00416C3A">
        <w:rPr>
          <w:rFonts w:ascii="Arial" w:eastAsia="Calibri" w:hAnsi="Arial" w:cs="Arial"/>
          <w:sz w:val="22"/>
          <w:szCs w:val="22"/>
          <w:lang w:val="es-MX" w:eastAsia="en-US"/>
        </w:rPr>
        <w:t xml:space="preserve">la Agencia Nacional de Contratación Pública – Colombia Compra Eficiente también se ha pronunciado en varias ocasiones sobre el precio de los contratos estatales y formas para su cálculo, concretamente, en los conceptos 4201912000007092 del 29 de noviembre de 2019, </w:t>
      </w:r>
      <w:hyperlink r:id="rId12" w:tgtFrame="_blank" w:history="1">
        <w:r w:rsidR="00B12676" w:rsidRPr="00416C3A">
          <w:rPr>
            <w:rFonts w:ascii="Arial" w:eastAsia="Calibri" w:hAnsi="Arial" w:cs="Arial"/>
            <w:sz w:val="22"/>
            <w:szCs w:val="22"/>
            <w:lang w:val="es-MX" w:eastAsia="en-US"/>
          </w:rPr>
          <w:t>2201913000008566</w:t>
        </w:r>
      </w:hyperlink>
      <w:r w:rsidR="00B12676" w:rsidRPr="00416C3A">
        <w:rPr>
          <w:rFonts w:ascii="Arial" w:eastAsia="Calibri" w:hAnsi="Arial" w:cs="Arial"/>
          <w:sz w:val="22"/>
          <w:szCs w:val="22"/>
          <w:lang w:val="es-MX" w:eastAsia="en-US"/>
        </w:rPr>
        <w:t xml:space="preserve"> del 18 de noviembre de 2019,  4201913000007822 de 27 de diciembre de 2019, C–037 del 28 de enero de 2020, C-191 del 16 de marzo de 2020</w:t>
      </w:r>
      <w:r w:rsidRPr="00416C3A">
        <w:rPr>
          <w:rFonts w:ascii="Arial" w:eastAsia="Calibri" w:hAnsi="Arial" w:cs="Arial"/>
          <w:sz w:val="22"/>
          <w:szCs w:val="22"/>
          <w:lang w:val="es-MX" w:eastAsia="en-US"/>
        </w:rPr>
        <w:t>,</w:t>
      </w:r>
      <w:r w:rsidR="00B12676" w:rsidRPr="00416C3A">
        <w:rPr>
          <w:rFonts w:ascii="Arial" w:eastAsia="Calibri" w:hAnsi="Arial" w:cs="Arial"/>
          <w:sz w:val="22"/>
          <w:szCs w:val="22"/>
          <w:lang w:val="es-MX" w:eastAsia="en-US"/>
        </w:rPr>
        <w:t xml:space="preserve"> C-211 del 8 de abril de 2020, C−469 del 27 de septiembre de 2020, C−480 del 16 de septiembre de 2020 y C-059 del 10 de marzo de 2021. </w:t>
      </w:r>
      <w:r w:rsidR="006D3A71" w:rsidRPr="00416C3A">
        <w:rPr>
          <w:rFonts w:ascii="Arial" w:eastAsia="Calibri" w:hAnsi="Arial" w:cs="Arial"/>
          <w:sz w:val="22"/>
          <w:szCs w:val="22"/>
          <w:lang w:val="es-MX" w:eastAsia="en-US"/>
        </w:rPr>
        <w:t xml:space="preserve">También, en los coceptos C-451 del 31 de agosto de 2021 y C-427 del 6 de julio de 2022, se pronunció sobre los riesgos en materia de contratación estatal. </w:t>
      </w:r>
      <w:r w:rsidR="00B12676" w:rsidRPr="00416C3A">
        <w:rPr>
          <w:rFonts w:ascii="Arial" w:eastAsia="Calibri" w:hAnsi="Arial" w:cs="Arial"/>
          <w:sz w:val="22"/>
          <w:szCs w:val="22"/>
          <w:lang w:val="es-MX" w:eastAsia="en-US"/>
        </w:rPr>
        <w:t>Las tesis expuestas se reiteran y se complementan en lo que corresponda.</w:t>
      </w:r>
    </w:p>
    <w:p w14:paraId="43F5A209" w14:textId="77777777" w:rsidR="005A73B6" w:rsidRPr="00416C3A" w:rsidRDefault="005A73B6" w:rsidP="003015F0">
      <w:pPr>
        <w:tabs>
          <w:tab w:val="left" w:pos="0"/>
        </w:tabs>
        <w:spacing w:line="276" w:lineRule="auto"/>
        <w:jc w:val="both"/>
        <w:rPr>
          <w:rFonts w:ascii="Arial" w:eastAsia="Calibri" w:hAnsi="Arial" w:cs="Arial"/>
          <w:sz w:val="22"/>
          <w:szCs w:val="22"/>
          <w:lang w:val="es-MX" w:eastAsia="en-US"/>
        </w:rPr>
      </w:pPr>
    </w:p>
    <w:p w14:paraId="534EA840" w14:textId="77777777" w:rsidR="00244D23" w:rsidRPr="00416C3A" w:rsidRDefault="00244D23" w:rsidP="003015F0">
      <w:pPr>
        <w:pStyle w:val="Prrafodelista"/>
        <w:numPr>
          <w:ilvl w:val="1"/>
          <w:numId w:val="9"/>
        </w:numPr>
        <w:spacing w:line="276" w:lineRule="auto"/>
        <w:ind w:left="0" w:firstLine="0"/>
        <w:jc w:val="both"/>
        <w:rPr>
          <w:rFonts w:ascii="Arial" w:hAnsi="Arial" w:cs="Arial"/>
          <w:b/>
          <w:bCs/>
          <w:sz w:val="22"/>
          <w:lang w:val="es-ES"/>
        </w:rPr>
      </w:pPr>
      <w:r w:rsidRPr="00416C3A">
        <w:rPr>
          <w:rFonts w:ascii="Arial" w:hAnsi="Arial" w:cs="Arial"/>
          <w:b/>
          <w:bCs/>
          <w:sz w:val="22"/>
          <w:lang w:val="es-ES"/>
        </w:rPr>
        <w:t xml:space="preserve">Principio de planeación y los estudios y documentos previos del contrato </w:t>
      </w:r>
    </w:p>
    <w:p w14:paraId="0B9974BF" w14:textId="77777777" w:rsidR="00244D23" w:rsidRPr="00416C3A" w:rsidRDefault="00244D23" w:rsidP="00244D23">
      <w:pPr>
        <w:spacing w:line="276" w:lineRule="auto"/>
        <w:jc w:val="both"/>
        <w:rPr>
          <w:rFonts w:ascii="Arial" w:hAnsi="Arial" w:cs="Arial"/>
          <w:sz w:val="22"/>
          <w:lang w:val="es-ES"/>
        </w:rPr>
      </w:pPr>
    </w:p>
    <w:p w14:paraId="0EEF9D47" w14:textId="77777777" w:rsidR="00244D23" w:rsidRPr="00416C3A" w:rsidRDefault="00244D23" w:rsidP="003015F0">
      <w:pPr>
        <w:spacing w:after="120" w:line="276" w:lineRule="auto"/>
        <w:jc w:val="both"/>
      </w:pPr>
      <w:bookmarkStart w:id="3" w:name="_Hlk54011258"/>
      <w:r w:rsidRPr="00416C3A">
        <w:rPr>
          <w:rFonts w:ascii="Arial" w:eastAsia="Calibri" w:hAnsi="Arial" w:cs="Arial"/>
          <w:bCs/>
          <w:sz w:val="22"/>
        </w:rPr>
        <w:t xml:space="preserve">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w:t>
      </w:r>
      <w:r w:rsidRPr="00416C3A">
        <w:rPr>
          <w:rFonts w:ascii="Arial" w:eastAsia="Calibri" w:hAnsi="Arial" w:cs="Arial"/>
          <w:bCs/>
          <w:sz w:val="22"/>
        </w:rPr>
        <w:lastRenderedPageBreak/>
        <w:t>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bookmarkEnd w:id="3"/>
      <w:r w:rsidRPr="00416C3A">
        <w:rPr>
          <w:rFonts w:ascii="Arial" w:eastAsia="Calibri" w:hAnsi="Arial" w:cs="Arial"/>
          <w:bCs/>
          <w:sz w:val="21"/>
          <w:szCs w:val="21"/>
        </w:rPr>
        <w:t>.</w:t>
      </w:r>
    </w:p>
    <w:p w14:paraId="1971654B" w14:textId="77777777" w:rsidR="00244D23" w:rsidRPr="00416C3A" w:rsidRDefault="00244D23" w:rsidP="00244D23">
      <w:pPr>
        <w:spacing w:before="120" w:line="276" w:lineRule="auto"/>
        <w:ind w:firstLine="708"/>
        <w:jc w:val="both"/>
        <w:rPr>
          <w:rFonts w:ascii="Arial" w:eastAsia="Calibri" w:hAnsi="Arial" w:cs="Arial"/>
          <w:bCs/>
          <w:sz w:val="22"/>
          <w:szCs w:val="22"/>
          <w:lang w:val="es-ES" w:eastAsia="en-US"/>
        </w:rPr>
      </w:pPr>
      <w:r w:rsidRPr="00416C3A">
        <w:rPr>
          <w:rFonts w:ascii="Arial" w:eastAsia="Calibri" w:hAnsi="Arial" w:cs="Arial"/>
          <w:bCs/>
          <w:sz w:val="22"/>
          <w:szCs w:val="22"/>
          <w:lang w:val="es-MX" w:eastAsia="en-US"/>
        </w:rPr>
        <w:t xml:space="preserve">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 </w:t>
      </w:r>
    </w:p>
    <w:p w14:paraId="2E47A013" w14:textId="77777777" w:rsidR="00244D23" w:rsidRPr="00416C3A" w:rsidRDefault="00244D23" w:rsidP="00244D23">
      <w:pPr>
        <w:spacing w:line="276" w:lineRule="auto"/>
        <w:ind w:firstLine="708"/>
        <w:jc w:val="both"/>
        <w:rPr>
          <w:rFonts w:ascii="Arial" w:eastAsia="Calibri" w:hAnsi="Arial" w:cs="Arial"/>
          <w:bCs/>
          <w:sz w:val="22"/>
          <w:szCs w:val="22"/>
          <w:lang w:val="es-ES" w:eastAsia="en-US"/>
        </w:rPr>
      </w:pPr>
    </w:p>
    <w:p w14:paraId="0CD4CABA" w14:textId="77777777" w:rsidR="00244D23" w:rsidRPr="00416C3A" w:rsidRDefault="00244D23" w:rsidP="00244D23">
      <w:pPr>
        <w:ind w:left="709" w:right="709"/>
        <w:jc w:val="both"/>
        <w:rPr>
          <w:rFonts w:ascii="Arial" w:eastAsia="Calibri" w:hAnsi="Arial" w:cs="Arial"/>
          <w:sz w:val="21"/>
          <w:szCs w:val="21"/>
          <w:lang w:val="es-MX" w:eastAsia="en-US"/>
        </w:rPr>
      </w:pPr>
      <w:r w:rsidRPr="00416C3A">
        <w:rPr>
          <w:rFonts w:ascii="Arial" w:eastAsia="Calibri" w:hAnsi="Arial" w:cs="Arial"/>
          <w:sz w:val="21"/>
          <w:szCs w:val="21"/>
          <w:lang w:val="es-MX" w:eastAsia="en-US"/>
        </w:rPr>
        <w:t>7o. La conveniencia o inconveniencia del objeto a contratar y las autorizaciones y aprobaciones para ello, se analizarán o impartirán con antelación al inicio del proceso de selección del contratista o al de la firma del contrato, según el caso.</w:t>
      </w:r>
    </w:p>
    <w:p w14:paraId="5A720288" w14:textId="77777777" w:rsidR="00244D23" w:rsidRPr="00416C3A" w:rsidRDefault="00244D23" w:rsidP="00244D23">
      <w:pPr>
        <w:spacing w:after="120"/>
        <w:ind w:left="709" w:right="709"/>
        <w:jc w:val="both"/>
        <w:rPr>
          <w:rFonts w:ascii="Arial" w:eastAsia="Calibri" w:hAnsi="Arial" w:cs="Arial"/>
          <w:sz w:val="21"/>
          <w:szCs w:val="21"/>
          <w:lang w:val="es-MX" w:eastAsia="en-US"/>
        </w:rPr>
      </w:pPr>
      <w:r w:rsidRPr="00416C3A">
        <w:rPr>
          <w:rFonts w:ascii="Arial" w:eastAsia="Calibri" w:hAnsi="Arial" w:cs="Arial"/>
          <w:sz w:val="21"/>
          <w:szCs w:val="21"/>
          <w:lang w:val="es-MX" w:eastAsia="en-US"/>
        </w:rPr>
        <w:t>[…]</w:t>
      </w:r>
    </w:p>
    <w:p w14:paraId="62D807C0" w14:textId="77777777" w:rsidR="00244D23" w:rsidRPr="00416C3A" w:rsidRDefault="00244D23" w:rsidP="00244D23">
      <w:pPr>
        <w:spacing w:after="120"/>
        <w:ind w:left="709" w:right="709"/>
        <w:jc w:val="both"/>
        <w:rPr>
          <w:rFonts w:ascii="Arial" w:eastAsia="Calibri" w:hAnsi="Arial" w:cs="Arial"/>
          <w:sz w:val="21"/>
          <w:szCs w:val="21"/>
          <w:lang w:val="es-MX" w:eastAsia="en-US"/>
        </w:rPr>
      </w:pPr>
      <w:r w:rsidRPr="00416C3A">
        <w:rPr>
          <w:rFonts w:ascii="Arial" w:eastAsia="Calibri" w:hAnsi="Arial" w:cs="Arial"/>
          <w:sz w:val="21"/>
          <w:szCs w:val="21"/>
          <w:lang w:val="es-MX" w:eastAsia="en-US"/>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14AE439E" w14:textId="77777777" w:rsidR="00244D23" w:rsidRPr="00416C3A" w:rsidRDefault="00244D23" w:rsidP="00244D23">
      <w:pPr>
        <w:spacing w:after="120"/>
        <w:ind w:left="709" w:right="709"/>
        <w:jc w:val="both"/>
        <w:rPr>
          <w:rFonts w:ascii="Arial" w:eastAsia="Calibri" w:hAnsi="Arial" w:cs="Arial"/>
          <w:sz w:val="21"/>
          <w:szCs w:val="21"/>
          <w:lang w:val="es-MX" w:eastAsia="en-US"/>
        </w:rPr>
      </w:pPr>
      <w:r w:rsidRPr="00416C3A">
        <w:rPr>
          <w:rFonts w:ascii="Arial" w:eastAsia="Calibri" w:hAnsi="Arial" w:cs="Arial"/>
          <w:sz w:val="21"/>
          <w:szCs w:val="21"/>
          <w:lang w:val="es-MX" w:eastAsia="en-US"/>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7C64C954" w14:textId="77777777" w:rsidR="00244D23" w:rsidRPr="00416C3A" w:rsidRDefault="00244D23" w:rsidP="00244D23">
      <w:pPr>
        <w:spacing w:after="120"/>
        <w:ind w:left="709" w:right="709"/>
        <w:jc w:val="both"/>
        <w:rPr>
          <w:rFonts w:ascii="Arial" w:hAnsi="Arial" w:cs="Arial"/>
          <w:sz w:val="21"/>
          <w:szCs w:val="21"/>
        </w:rPr>
      </w:pPr>
      <w:r w:rsidRPr="00416C3A">
        <w:rPr>
          <w:rFonts w:ascii="Arial" w:hAnsi="Arial" w:cs="Arial"/>
          <w:sz w:val="21"/>
          <w:szCs w:val="21"/>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418C9FEA" w14:textId="77777777" w:rsidR="00244D23" w:rsidRPr="00416C3A" w:rsidRDefault="00244D23" w:rsidP="00244D23">
      <w:pPr>
        <w:ind w:left="709" w:right="709"/>
        <w:jc w:val="both"/>
        <w:rPr>
          <w:rFonts w:ascii="Arial" w:hAnsi="Arial" w:cs="Arial"/>
          <w:sz w:val="21"/>
          <w:szCs w:val="21"/>
        </w:rPr>
      </w:pPr>
      <w:r w:rsidRPr="00416C3A">
        <w:rPr>
          <w:rFonts w:ascii="Arial" w:hAnsi="Arial" w:cs="Arial"/>
          <w:sz w:val="21"/>
          <w:szCs w:val="21"/>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p>
    <w:p w14:paraId="4ADFAC59" w14:textId="77777777" w:rsidR="00244D23" w:rsidRPr="00416C3A" w:rsidRDefault="00244D23" w:rsidP="00244D23">
      <w:pPr>
        <w:spacing w:line="276" w:lineRule="auto"/>
        <w:ind w:left="709" w:right="709"/>
        <w:jc w:val="both"/>
        <w:rPr>
          <w:rFonts w:ascii="Arial" w:hAnsi="Arial" w:cs="Arial"/>
          <w:sz w:val="22"/>
        </w:rPr>
      </w:pPr>
    </w:p>
    <w:p w14:paraId="01E3B218" w14:textId="77777777" w:rsidR="00244D23" w:rsidRPr="00416C3A" w:rsidRDefault="00244D23" w:rsidP="00244D23">
      <w:pPr>
        <w:spacing w:line="276" w:lineRule="auto"/>
        <w:ind w:firstLine="709"/>
        <w:jc w:val="both"/>
        <w:rPr>
          <w:rFonts w:ascii="Arial" w:hAnsi="Arial" w:cs="Arial"/>
          <w:sz w:val="22"/>
        </w:rPr>
      </w:pPr>
      <w:r w:rsidRPr="00416C3A">
        <w:rPr>
          <w:rFonts w:ascii="Arial" w:hAnsi="Arial" w:cs="Arial"/>
          <w:sz w:val="22"/>
        </w:rPr>
        <w:t xml:space="preserve">Lo anterior le permitirá a la entidad estatal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w:t>
      </w:r>
      <w:r w:rsidRPr="00416C3A">
        <w:rPr>
          <w:rFonts w:ascii="Arial" w:hAnsi="Arial" w:cs="Arial"/>
          <w:sz w:val="22"/>
        </w:rPr>
        <w:lastRenderedPageBreak/>
        <w:t>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416C3A">
        <w:rPr>
          <w:rFonts w:ascii="Arial" w:hAnsi="Arial" w:cs="Arial"/>
          <w:sz w:val="22"/>
          <w:vertAlign w:val="superscript"/>
        </w:rPr>
        <w:footnoteReference w:id="3"/>
      </w:r>
      <w:r w:rsidRPr="00416C3A">
        <w:rPr>
          <w:rFonts w:ascii="Arial" w:hAnsi="Arial" w:cs="Arial"/>
          <w:sz w:val="22"/>
        </w:rPr>
        <w:t>. En congruencia con el artículo 25 de la Ley 80 de 1993, el Decreto Único Reglamentario del Sector Administrativo de Planeación Nacional –Decreto 1082 de 2015–, dispone en el artículo 2.2.1.1.2.1.1 el contenido mínimo de los estudios y documentos previos:</w:t>
      </w:r>
    </w:p>
    <w:p w14:paraId="1733FB71" w14:textId="77777777" w:rsidR="00244D23" w:rsidRPr="00416C3A" w:rsidRDefault="00244D23" w:rsidP="00244D23">
      <w:pPr>
        <w:spacing w:line="276" w:lineRule="auto"/>
        <w:ind w:left="709" w:right="709"/>
        <w:rPr>
          <w:rFonts w:ascii="Calibri" w:hAnsi="Calibri"/>
          <w:sz w:val="22"/>
          <w:szCs w:val="22"/>
          <w:lang w:eastAsia="es-CO"/>
        </w:rPr>
      </w:pPr>
    </w:p>
    <w:p w14:paraId="4041E4C9" w14:textId="77777777" w:rsidR="00244D23" w:rsidRPr="00416C3A" w:rsidRDefault="00244D23" w:rsidP="00244D23">
      <w:pPr>
        <w:spacing w:after="120"/>
        <w:ind w:left="709" w:right="709"/>
        <w:jc w:val="both"/>
        <w:rPr>
          <w:rFonts w:ascii="Arial" w:hAnsi="Arial" w:cs="Arial"/>
          <w:sz w:val="21"/>
          <w:szCs w:val="21"/>
        </w:rPr>
      </w:pPr>
      <w:r w:rsidRPr="00416C3A">
        <w:rPr>
          <w:rFonts w:ascii="Arial" w:hAnsi="Arial" w:cs="Arial"/>
          <w:sz w:val="21"/>
          <w:szCs w:val="21"/>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3AF2CF7B" w14:textId="77777777" w:rsidR="00244D23" w:rsidRPr="00416C3A" w:rsidRDefault="00244D23" w:rsidP="00244D23">
      <w:pPr>
        <w:spacing w:after="120"/>
        <w:ind w:left="709" w:right="709"/>
        <w:jc w:val="both"/>
        <w:rPr>
          <w:rFonts w:ascii="Arial" w:hAnsi="Arial" w:cs="Arial"/>
          <w:sz w:val="21"/>
          <w:szCs w:val="21"/>
        </w:rPr>
      </w:pPr>
      <w:r w:rsidRPr="00416C3A">
        <w:rPr>
          <w:rFonts w:ascii="Arial" w:hAnsi="Arial" w:cs="Arial"/>
          <w:sz w:val="21"/>
          <w:szCs w:val="21"/>
        </w:rPr>
        <w:t>1. La descripción de la necesidad que la Entidad Estatal pretende satisfacer con el Proceso de Contratación. ​</w:t>
      </w:r>
    </w:p>
    <w:p w14:paraId="100E8112" w14:textId="77777777" w:rsidR="00244D23" w:rsidRPr="00416C3A" w:rsidRDefault="00244D23" w:rsidP="00244D23">
      <w:pPr>
        <w:spacing w:after="120"/>
        <w:ind w:left="709" w:right="709"/>
        <w:jc w:val="both"/>
        <w:rPr>
          <w:rFonts w:ascii="Arial" w:hAnsi="Arial" w:cs="Arial"/>
          <w:sz w:val="21"/>
          <w:szCs w:val="21"/>
        </w:rPr>
      </w:pPr>
      <w:r w:rsidRPr="00416C3A">
        <w:rPr>
          <w:rFonts w:ascii="Arial" w:hAnsi="Arial" w:cs="Arial"/>
          <w:sz w:val="21"/>
          <w:szCs w:val="21"/>
        </w:rPr>
        <w:t xml:space="preserve">2. El objeto a contratar, con sus especificaciones, las autorizaciones, permisos y licencias requeridos para su ejecución, y cuando el contrato incluye diseño y construcción, los documentos técnicos para el desarrollo del proyecto. </w:t>
      </w:r>
    </w:p>
    <w:p w14:paraId="177A4BC9" w14:textId="77777777" w:rsidR="00244D23" w:rsidRPr="00416C3A" w:rsidRDefault="00244D23" w:rsidP="00244D23">
      <w:pPr>
        <w:spacing w:after="120"/>
        <w:ind w:left="709" w:right="709"/>
        <w:jc w:val="both"/>
        <w:rPr>
          <w:rFonts w:ascii="Arial" w:hAnsi="Arial" w:cs="Arial"/>
          <w:sz w:val="21"/>
          <w:szCs w:val="21"/>
        </w:rPr>
      </w:pPr>
      <w:r w:rsidRPr="00416C3A">
        <w:rPr>
          <w:rFonts w:ascii="Arial" w:hAnsi="Arial" w:cs="Arial"/>
          <w:sz w:val="21"/>
          <w:szCs w:val="21"/>
        </w:rPr>
        <w:t xml:space="preserve">3. La modalidad de selección del contratista y su justificación, incluyendo los fundamentos jurídicos. </w:t>
      </w:r>
    </w:p>
    <w:p w14:paraId="49BA12FE" w14:textId="77777777" w:rsidR="00244D23" w:rsidRPr="00416C3A" w:rsidRDefault="00244D23" w:rsidP="00244D23">
      <w:pPr>
        <w:spacing w:after="120"/>
        <w:ind w:left="709" w:right="709"/>
        <w:jc w:val="both"/>
        <w:rPr>
          <w:rFonts w:ascii="Arial" w:hAnsi="Arial" w:cs="Arial"/>
          <w:sz w:val="21"/>
          <w:szCs w:val="21"/>
        </w:rPr>
      </w:pPr>
      <w:r w:rsidRPr="00416C3A">
        <w:rPr>
          <w:rFonts w:ascii="Arial" w:hAnsi="Arial" w:cs="Arial"/>
          <w:sz w:val="21"/>
          <w:szCs w:val="21"/>
        </w:rPr>
        <w:t xml:space="preserve">4. 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0277843A" w14:textId="77777777" w:rsidR="00244D23" w:rsidRPr="00416C3A" w:rsidRDefault="00244D23" w:rsidP="00244D23">
      <w:pPr>
        <w:spacing w:after="120"/>
        <w:ind w:left="709" w:right="709"/>
        <w:jc w:val="both"/>
        <w:rPr>
          <w:rFonts w:ascii="Arial" w:hAnsi="Arial" w:cs="Arial"/>
          <w:sz w:val="21"/>
          <w:szCs w:val="21"/>
        </w:rPr>
      </w:pPr>
      <w:r w:rsidRPr="00416C3A">
        <w:rPr>
          <w:rFonts w:ascii="Arial" w:hAnsi="Arial" w:cs="Arial"/>
          <w:sz w:val="21"/>
          <w:szCs w:val="21"/>
        </w:rPr>
        <w:t xml:space="preserve">5. Los criterios para seleccionar la oferta más favorable. </w:t>
      </w:r>
    </w:p>
    <w:p w14:paraId="3E185267" w14:textId="77777777" w:rsidR="00244D23" w:rsidRPr="00416C3A" w:rsidRDefault="00244D23" w:rsidP="00244D23">
      <w:pPr>
        <w:spacing w:after="120"/>
        <w:ind w:left="709" w:right="709"/>
        <w:jc w:val="both"/>
        <w:rPr>
          <w:rFonts w:ascii="Arial" w:hAnsi="Arial" w:cs="Arial"/>
          <w:sz w:val="21"/>
          <w:szCs w:val="21"/>
        </w:rPr>
      </w:pPr>
      <w:r w:rsidRPr="00416C3A">
        <w:rPr>
          <w:rFonts w:ascii="Arial" w:hAnsi="Arial" w:cs="Arial"/>
          <w:sz w:val="21"/>
          <w:szCs w:val="21"/>
        </w:rPr>
        <w:t xml:space="preserve">6. El análisis de Riesgo y la forma de mitigarlo. </w:t>
      </w:r>
    </w:p>
    <w:p w14:paraId="461E0F23" w14:textId="77777777" w:rsidR="00244D23" w:rsidRPr="00416C3A" w:rsidRDefault="00244D23" w:rsidP="00244D23">
      <w:pPr>
        <w:spacing w:after="120"/>
        <w:ind w:left="709" w:right="709"/>
        <w:jc w:val="both"/>
        <w:rPr>
          <w:rFonts w:ascii="Arial" w:hAnsi="Arial" w:cs="Arial"/>
          <w:sz w:val="21"/>
          <w:szCs w:val="21"/>
        </w:rPr>
      </w:pPr>
      <w:r w:rsidRPr="00416C3A">
        <w:rPr>
          <w:rFonts w:ascii="Arial" w:hAnsi="Arial" w:cs="Arial"/>
          <w:sz w:val="21"/>
          <w:szCs w:val="21"/>
        </w:rPr>
        <w:t xml:space="preserve">7. Las garantías que la Entidad Estatal contempla exigir en el proceso de contratación. </w:t>
      </w:r>
    </w:p>
    <w:p w14:paraId="0A379AC5" w14:textId="77777777" w:rsidR="00244D23" w:rsidRPr="00416C3A" w:rsidRDefault="00244D23" w:rsidP="00244D23">
      <w:pPr>
        <w:spacing w:after="120"/>
        <w:ind w:left="709" w:right="709"/>
        <w:jc w:val="both"/>
        <w:rPr>
          <w:rFonts w:ascii="Arial" w:hAnsi="Arial" w:cs="Arial"/>
          <w:sz w:val="21"/>
          <w:szCs w:val="21"/>
        </w:rPr>
      </w:pPr>
      <w:r w:rsidRPr="00416C3A">
        <w:rPr>
          <w:rFonts w:ascii="Arial" w:hAnsi="Arial" w:cs="Arial"/>
          <w:sz w:val="21"/>
          <w:szCs w:val="21"/>
        </w:rPr>
        <w:t xml:space="preserve">8. La indicación de si el proceso de contratación está cobijado por un acuerdo comercial. </w:t>
      </w:r>
    </w:p>
    <w:p w14:paraId="12391E02" w14:textId="77777777" w:rsidR="00244D23" w:rsidRPr="00416C3A" w:rsidRDefault="00244D23" w:rsidP="00244D23">
      <w:pPr>
        <w:ind w:left="709" w:right="709"/>
        <w:jc w:val="both"/>
        <w:rPr>
          <w:rFonts w:ascii="Arial" w:hAnsi="Arial" w:cs="Arial"/>
          <w:sz w:val="21"/>
          <w:szCs w:val="21"/>
        </w:rPr>
      </w:pPr>
      <w:r w:rsidRPr="00416C3A">
        <w:rPr>
          <w:rFonts w:ascii="Arial" w:hAnsi="Arial" w:cs="Arial"/>
          <w:sz w:val="21"/>
          <w:szCs w:val="21"/>
        </w:rPr>
        <w:t>El presente artículo no es aplicable a la contratación por mínima cuantía.</w:t>
      </w:r>
    </w:p>
    <w:p w14:paraId="3440ED2C" w14:textId="77777777" w:rsidR="00244D23" w:rsidRPr="00416C3A" w:rsidRDefault="00244D23" w:rsidP="00244D23">
      <w:pPr>
        <w:widowControl w:val="0"/>
        <w:tabs>
          <w:tab w:val="left" w:pos="1305"/>
        </w:tabs>
        <w:autoSpaceDE w:val="0"/>
        <w:autoSpaceDN w:val="0"/>
        <w:spacing w:line="276" w:lineRule="auto"/>
        <w:ind w:left="828" w:right="822"/>
        <w:rPr>
          <w:rFonts w:ascii="Arial" w:eastAsia="Calibri" w:hAnsi="Arial" w:cs="Arial"/>
          <w:sz w:val="22"/>
          <w:szCs w:val="22"/>
          <w:lang w:val="es-MX" w:eastAsia="en-US"/>
        </w:rPr>
      </w:pPr>
    </w:p>
    <w:p w14:paraId="39D77E89" w14:textId="77777777" w:rsidR="00244D23" w:rsidRPr="00416C3A" w:rsidRDefault="00244D23" w:rsidP="00244D23">
      <w:pPr>
        <w:spacing w:after="120" w:line="276" w:lineRule="auto"/>
        <w:ind w:firstLine="709"/>
        <w:jc w:val="both"/>
        <w:rPr>
          <w:rFonts w:ascii="Arial" w:hAnsi="Arial" w:cs="Arial"/>
          <w:sz w:val="22"/>
        </w:rPr>
      </w:pPr>
      <w:bookmarkStart w:id="4" w:name="_Hlk54011351"/>
      <w:r w:rsidRPr="00416C3A">
        <w:rPr>
          <w:rFonts w:ascii="Arial" w:hAnsi="Arial" w:cs="Arial"/>
          <w:sz w:val="22"/>
        </w:rPr>
        <w:lastRenderedPageBreak/>
        <w:t xml:space="preserve">De esta manera, antes de iniciar un procedimiento de selección, la entidad estatal podrá determinar con los estudios previos: i) la verdadera necesidad de la celebración del contrato; </w:t>
      </w:r>
      <w:proofErr w:type="spellStart"/>
      <w:r w:rsidRPr="00416C3A">
        <w:rPr>
          <w:rFonts w:ascii="Arial" w:hAnsi="Arial" w:cs="Arial"/>
          <w:sz w:val="22"/>
        </w:rPr>
        <w:t>ii</w:t>
      </w:r>
      <w:proofErr w:type="spellEnd"/>
      <w:r w:rsidRPr="00416C3A">
        <w:rPr>
          <w:rFonts w:ascii="Arial" w:hAnsi="Arial" w:cs="Arial"/>
          <w:sz w:val="22"/>
        </w:rPr>
        <w:t xml:space="preserve">) las modalidades existentes para satisfacer esa necesidad y las razones que justifiquen la modalidad o tipo contractual que se escoja; </w:t>
      </w:r>
      <w:proofErr w:type="spellStart"/>
      <w:r w:rsidRPr="00416C3A">
        <w:rPr>
          <w:rFonts w:ascii="Arial" w:hAnsi="Arial" w:cs="Arial"/>
          <w:sz w:val="22"/>
        </w:rPr>
        <w:t>iii</w:t>
      </w:r>
      <w:proofErr w:type="spellEnd"/>
      <w:r w:rsidRPr="00416C3A">
        <w:rPr>
          <w:rFonts w:ascii="Arial" w:hAnsi="Arial" w:cs="Arial"/>
          <w:sz w:val="22"/>
        </w:rPr>
        <w:t xml:space="preserve">) las calidades, especificaciones, cantidades y demás características que puedan o deban reunir los bienes, las obras o los servicios cuya contratación se haya determinado necesaria, </w:t>
      </w:r>
      <w:proofErr w:type="spellStart"/>
      <w:r w:rsidRPr="00416C3A">
        <w:rPr>
          <w:rFonts w:ascii="Arial" w:hAnsi="Arial" w:cs="Arial"/>
          <w:sz w:val="22"/>
        </w:rPr>
        <w:t>iv</w:t>
      </w:r>
      <w:proofErr w:type="spellEnd"/>
      <w:r w:rsidRPr="00416C3A">
        <w:rPr>
          <w:rFonts w:ascii="Arial" w:hAnsi="Arial" w:cs="Arial"/>
          <w:sz w:val="22"/>
        </w:rPr>
        <w:t xml:space="preserve">)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416C3A">
        <w:rPr>
          <w:rFonts w:ascii="Arial" w:hAnsi="Arial" w:cs="Arial"/>
          <w:sz w:val="22"/>
        </w:rPr>
        <w:t>vii</w:t>
      </w:r>
      <w:proofErr w:type="spellEnd"/>
      <w:r w:rsidRPr="00416C3A">
        <w:rPr>
          <w:rFonts w:ascii="Arial" w:hAnsi="Arial" w:cs="Arial"/>
          <w:sz w:val="22"/>
        </w:rPr>
        <w:t>) los procedimientos, trámites y requisitos que deban satisfacerse, reunirse u obtenerse para llevar a cabo la selección del respectivo contratista y la celebración del contrato que se pretenda celebrar.</w:t>
      </w:r>
    </w:p>
    <w:bookmarkEnd w:id="4"/>
    <w:p w14:paraId="1B1E2789" w14:textId="77777777" w:rsidR="00244D23" w:rsidRPr="00416C3A" w:rsidRDefault="00244D23" w:rsidP="00244D23">
      <w:pPr>
        <w:spacing w:after="120" w:line="276" w:lineRule="auto"/>
        <w:ind w:firstLine="709"/>
        <w:jc w:val="both"/>
        <w:rPr>
          <w:rFonts w:ascii="Arial" w:hAnsi="Arial" w:cs="Arial"/>
          <w:sz w:val="22"/>
        </w:rPr>
      </w:pPr>
      <w:r w:rsidRPr="00416C3A">
        <w:rPr>
          <w:rFonts w:ascii="Arial" w:hAnsi="Arial" w:cs="Arial"/>
          <w:sz w:val="22"/>
        </w:rPr>
        <w:t xml:space="preserve">Por ello, el hecho que las entidades cumplan con los elementos mínimos establecidos en la norma y aquellos adicionales que identifiquen en la etapa de planeación de los </w:t>
      </w:r>
      <w:r w:rsidRPr="00416C3A">
        <w:rPr>
          <w:rFonts w:ascii="Arial" w:eastAsia="Calibri" w:hAnsi="Arial" w:cs="Arial"/>
          <w:bCs/>
          <w:sz w:val="22"/>
        </w:rPr>
        <w:t xml:space="preserve">procedimientos de contratación, permite que los contratos resultantes cuenten con el sustento técnico, económico y jurídico que incidirá </w:t>
      </w:r>
      <w:r w:rsidRPr="00416C3A">
        <w:rPr>
          <w:rFonts w:ascii="Arial" w:hAnsi="Arial" w:cs="Arial"/>
          <w:sz w:val="22"/>
        </w:rPr>
        <w:t>en una adecuada ejecución.</w:t>
      </w:r>
    </w:p>
    <w:p w14:paraId="6EDF7D78" w14:textId="77777777" w:rsidR="00244D23" w:rsidRPr="00416C3A" w:rsidRDefault="00244D23" w:rsidP="00244D23">
      <w:pPr>
        <w:spacing w:line="276" w:lineRule="auto"/>
        <w:ind w:right="103" w:firstLine="708"/>
        <w:jc w:val="both"/>
        <w:rPr>
          <w:rFonts w:ascii="Arial" w:hAnsi="Arial" w:cs="Arial"/>
          <w:sz w:val="22"/>
        </w:rPr>
      </w:pPr>
      <w:r w:rsidRPr="00416C3A">
        <w:rPr>
          <w:rFonts w:ascii="Arial" w:hAnsi="Arial" w:cs="Arial"/>
          <w:sz w:val="22"/>
        </w:rPr>
        <w:t>Mas allá del cumplimiento de la normativa, «los estudios y documentos previos son el soporte para elaborar el proyecto de pliegos, los pliegos de condiciones, y el contrato»</w:t>
      </w:r>
      <w:r w:rsidRPr="00416C3A">
        <w:rPr>
          <w:rFonts w:ascii="Arial" w:hAnsi="Arial" w:cs="Arial"/>
          <w:sz w:val="22"/>
          <w:vertAlign w:val="superscript"/>
        </w:rPr>
        <w:footnoteReference w:id="4"/>
      </w:r>
      <w:r w:rsidRPr="00416C3A">
        <w:rPr>
          <w:rFonts w:ascii="Arial" w:hAnsi="Arial" w:cs="Arial"/>
          <w:sz w:val="22"/>
        </w:rPr>
        <w:t>, por lo que deben publicarse en la etapa precontractual y sirven de motivación para los documentos expedidos unilateralmente por la entidad estatal tales como el acto administrativo de apertura, los pliegos de condiciones y el acto de adjudicación, entre otros.</w:t>
      </w:r>
    </w:p>
    <w:p w14:paraId="0EDD6879" w14:textId="77777777" w:rsidR="00244D23" w:rsidRPr="00416C3A" w:rsidRDefault="00244D23" w:rsidP="00244D23">
      <w:pPr>
        <w:spacing w:after="120" w:line="276" w:lineRule="auto"/>
        <w:ind w:right="105" w:firstLine="709"/>
        <w:jc w:val="both"/>
        <w:rPr>
          <w:rFonts w:ascii="Arial" w:hAnsi="Arial" w:cs="Arial"/>
          <w:sz w:val="22"/>
        </w:rPr>
      </w:pPr>
      <w:bookmarkStart w:id="6" w:name="_Hlk54011438"/>
      <w:r w:rsidRPr="00416C3A">
        <w:rPr>
          <w:rFonts w:ascii="Arial" w:hAnsi="Arial" w:cs="Arial"/>
          <w:sz w:val="22"/>
        </w:rPr>
        <w:t>De lo explicado se desprende que los estudios y documentos previos son necesarios antes de la celebración del contrato, pues fundamentan las condiciones que la entidad estatal exige en su proceso de contratación. Sin embargo, luego de la suscripción del contrato la entidad no debe actuar unilateralmente, sino que debe respetar la buena fe contractual y proceder de acuerdo con lo pactado</w:t>
      </w:r>
      <w:bookmarkEnd w:id="6"/>
      <w:r w:rsidRPr="00416C3A">
        <w:rPr>
          <w:rFonts w:ascii="Arial" w:hAnsi="Arial" w:cs="Arial"/>
          <w:sz w:val="22"/>
          <w:vertAlign w:val="superscript"/>
        </w:rPr>
        <w:footnoteReference w:id="5"/>
      </w:r>
      <w:r w:rsidRPr="00416C3A">
        <w:rPr>
          <w:rFonts w:ascii="Arial" w:hAnsi="Arial" w:cs="Arial"/>
          <w:sz w:val="22"/>
        </w:rPr>
        <w:t>.</w:t>
      </w:r>
    </w:p>
    <w:p w14:paraId="5EFD9171" w14:textId="77777777" w:rsidR="00244D23" w:rsidRPr="00416C3A" w:rsidRDefault="00244D23" w:rsidP="00244D23">
      <w:pPr>
        <w:spacing w:after="120" w:line="276" w:lineRule="auto"/>
        <w:ind w:right="104" w:firstLine="709"/>
        <w:jc w:val="both"/>
        <w:rPr>
          <w:rFonts w:ascii="Arial" w:hAnsi="Arial" w:cs="Arial"/>
          <w:sz w:val="22"/>
        </w:rPr>
      </w:pPr>
      <w:r w:rsidRPr="00416C3A">
        <w:rPr>
          <w:rFonts w:ascii="Arial" w:hAnsi="Arial" w:cs="Arial"/>
          <w:sz w:val="22"/>
        </w:rPr>
        <w:lastRenderedPageBreak/>
        <w:t xml:space="preserve">El numeral 12 del artículo 25 de la Ley 80 de 1993, antes citado, establece el deber de las entidades de realizar estudios previos en dos momentos específicos: i) previo a la apertura de un proceso de selección y </w:t>
      </w:r>
      <w:proofErr w:type="spellStart"/>
      <w:r w:rsidRPr="00416C3A">
        <w:rPr>
          <w:rFonts w:ascii="Arial" w:hAnsi="Arial" w:cs="Arial"/>
          <w:sz w:val="22"/>
        </w:rPr>
        <w:t>ii</w:t>
      </w:r>
      <w:proofErr w:type="spellEnd"/>
      <w:r w:rsidRPr="00416C3A">
        <w:rPr>
          <w:rFonts w:ascii="Arial" w:hAnsi="Arial" w:cs="Arial"/>
          <w:sz w:val="22"/>
        </w:rPr>
        <w:t xml:space="preserve">) previo a la firma del contrato en el caso en que la modalidad de selección sea contratación directa. </w:t>
      </w:r>
    </w:p>
    <w:p w14:paraId="40C191B0" w14:textId="77777777" w:rsidR="00244D23" w:rsidRPr="00416C3A" w:rsidRDefault="00244D23" w:rsidP="00244D23">
      <w:pPr>
        <w:spacing w:after="120" w:line="276" w:lineRule="auto"/>
        <w:ind w:firstLine="709"/>
        <w:jc w:val="both"/>
        <w:rPr>
          <w:rFonts w:ascii="Arial" w:hAnsi="Arial" w:cs="Arial"/>
          <w:sz w:val="22"/>
        </w:rPr>
      </w:pPr>
      <w:r w:rsidRPr="00416C3A">
        <w:rPr>
          <w:rFonts w:ascii="Arial" w:hAnsi="Arial" w:cs="Arial"/>
          <w:sz w:val="22"/>
        </w:rPr>
        <w:t>En cuanto a la responsabilidad de la elaboración de los estudios y documentos previos, corresponde a «la oficina, dependencia o departamento que tenga la necesidad de que se celebre el contrato», de acuerdo con «las instrucciones y procedimientos establecidos en el Manual de Contratación de la Entidad, en el marco de la Ley y los reglamentos vigentes»</w:t>
      </w:r>
      <w:r w:rsidRPr="00416C3A">
        <w:rPr>
          <w:rFonts w:ascii="Arial" w:hAnsi="Arial" w:cs="Arial"/>
          <w:sz w:val="22"/>
          <w:vertAlign w:val="superscript"/>
        </w:rPr>
        <w:footnoteReference w:id="6"/>
      </w:r>
      <w:r w:rsidRPr="00416C3A">
        <w:rPr>
          <w:rFonts w:ascii="Arial" w:hAnsi="Arial" w:cs="Arial"/>
          <w:sz w:val="22"/>
        </w:rPr>
        <w:t xml:space="preserve">. De esta manera, de conformidad con la estructura interna de cada entidad, la elaboración de los estudios previos corresponderá al funcionario responsable de la dependencia </w:t>
      </w:r>
      <w:r w:rsidRPr="00416C3A">
        <w:rPr>
          <w:rFonts w:ascii="Arial" w:hAnsi="Arial" w:cs="Arial"/>
          <w:spacing w:val="2"/>
          <w:sz w:val="22"/>
        </w:rPr>
        <w:t xml:space="preserve">con </w:t>
      </w:r>
      <w:r w:rsidRPr="00416C3A">
        <w:rPr>
          <w:rFonts w:ascii="Arial" w:hAnsi="Arial" w:cs="Arial"/>
          <w:sz w:val="22"/>
        </w:rPr>
        <w:t>la necesidad a</w:t>
      </w:r>
      <w:r w:rsidRPr="00416C3A">
        <w:rPr>
          <w:rFonts w:ascii="Arial" w:hAnsi="Arial" w:cs="Arial"/>
          <w:spacing w:val="-4"/>
          <w:sz w:val="22"/>
        </w:rPr>
        <w:t xml:space="preserve"> </w:t>
      </w:r>
      <w:r w:rsidRPr="00416C3A">
        <w:rPr>
          <w:rFonts w:ascii="Arial" w:hAnsi="Arial" w:cs="Arial"/>
          <w:sz w:val="22"/>
        </w:rPr>
        <w:t>satisfacer.</w:t>
      </w:r>
    </w:p>
    <w:p w14:paraId="5CFEED85" w14:textId="087D4DA4" w:rsidR="00244D23" w:rsidRPr="00416C3A" w:rsidRDefault="00244D23" w:rsidP="00244D23">
      <w:pPr>
        <w:spacing w:line="276" w:lineRule="auto"/>
        <w:ind w:firstLine="708"/>
        <w:jc w:val="both"/>
        <w:rPr>
          <w:rFonts w:ascii="Arial" w:eastAsia="Calibri" w:hAnsi="Arial" w:cs="Arial"/>
          <w:bCs/>
          <w:sz w:val="22"/>
        </w:rPr>
      </w:pPr>
      <w:r w:rsidRPr="00416C3A">
        <w:rPr>
          <w:rFonts w:ascii="Arial" w:hAnsi="Arial" w:cs="Arial"/>
          <w:sz w:val="22"/>
        </w:rPr>
        <w:t xml:space="preserve">Por otra parte, los numerales 2 y 4 del artículo 2.2.1.1.2.1.1 del Decreto 1082 de 2015 exigen </w:t>
      </w:r>
      <w:r w:rsidR="004E0591" w:rsidRPr="00416C3A">
        <w:rPr>
          <w:rFonts w:ascii="Arial" w:hAnsi="Arial" w:cs="Arial"/>
          <w:sz w:val="22"/>
        </w:rPr>
        <w:t>que en los estudios previos se determine el objeto a contratar con sus especificaciones, y se señale el valor estimado del contrato y la justificación del mismo</w:t>
      </w:r>
      <w:r w:rsidRPr="00416C3A">
        <w:rPr>
          <w:rFonts w:ascii="Arial" w:hAnsi="Arial" w:cs="Arial"/>
          <w:sz w:val="22"/>
        </w:rPr>
        <w:t xml:space="preserve">. </w:t>
      </w:r>
      <w:r w:rsidRPr="00416C3A">
        <w:rPr>
          <w:rFonts w:ascii="Arial" w:eastAsia="Calibri" w:hAnsi="Arial" w:cs="Arial"/>
          <w:bCs/>
          <w:sz w:val="22"/>
        </w:rPr>
        <w:t xml:space="preserve">Para cumplir este objetivo es necesario el estudio del mercado y el análisis del sector económico y de los oferentes, actividad de planeación previa que sirve para identificar aspectos concretos del mercado que pueden afectar el proceso de selección o las condiciones del negocio a realizar mediante el proceso de contratación de bienes, obras o servicios. En este sentido, el artículo </w:t>
      </w:r>
      <w:bookmarkStart w:id="7" w:name="_Hlk36117416"/>
      <w:r w:rsidRPr="00416C3A">
        <w:rPr>
          <w:rFonts w:ascii="Arial" w:eastAsia="Calibri" w:hAnsi="Arial" w:cs="Arial"/>
          <w:bCs/>
          <w:sz w:val="22"/>
        </w:rPr>
        <w:t>2.2.1.1.1.6.1 del Decreto 1082 de 2015</w:t>
      </w:r>
      <w:bookmarkEnd w:id="7"/>
      <w:r w:rsidRPr="00416C3A">
        <w:rPr>
          <w:rFonts w:ascii="Arial" w:eastAsia="Calibri" w:hAnsi="Arial" w:cs="Arial"/>
          <w:bCs/>
          <w:sz w:val="22"/>
        </w:rPr>
        <w:t xml:space="preserve"> dispone que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3AEAE653" w14:textId="77777777" w:rsidR="00244D23" w:rsidRPr="00416C3A" w:rsidRDefault="00244D23" w:rsidP="00244D23">
      <w:pPr>
        <w:spacing w:before="120" w:line="276" w:lineRule="auto"/>
        <w:ind w:firstLine="709"/>
        <w:jc w:val="both"/>
        <w:rPr>
          <w:rFonts w:ascii="Arial" w:eastAsia="Calibri" w:hAnsi="Arial" w:cs="Arial"/>
          <w:bCs/>
          <w:sz w:val="22"/>
        </w:rPr>
      </w:pPr>
      <w:r w:rsidRPr="00416C3A">
        <w:rPr>
          <w:rFonts w:ascii="Arial" w:eastAsia="Calibri" w:hAnsi="Arial" w:cs="Arial"/>
          <w:bCs/>
          <w:sz w:val="22"/>
        </w:rPr>
        <w:t xml:space="preserve">De acuerdo con la norma citada, </w:t>
      </w:r>
      <w:bookmarkStart w:id="8" w:name="_Hlk36140682"/>
      <w:r w:rsidRPr="00416C3A">
        <w:rPr>
          <w:rFonts w:ascii="Arial" w:eastAsia="Calibri" w:hAnsi="Arial" w:cs="Arial"/>
          <w:bCs/>
          <w:sz w:val="22"/>
        </w:rPr>
        <w:t xml:space="preserve">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w:t>
      </w:r>
      <w:r w:rsidRPr="00416C3A">
        <w:rPr>
          <w:rFonts w:ascii="Arial" w:eastAsia="Calibri" w:hAnsi="Arial" w:cs="Arial"/>
          <w:bCs/>
          <w:sz w:val="22"/>
        </w:rPr>
        <w:lastRenderedPageBreak/>
        <w:t>servicio. Con la perspectiva organizacional se pretende que la entidad estatal entienda cómo están organizados internamente los posibles oferentes y de qué manera realizan sus negocios y operaciones.</w:t>
      </w:r>
    </w:p>
    <w:p w14:paraId="6092E447" w14:textId="77777777" w:rsidR="00244D23" w:rsidRPr="00416C3A" w:rsidRDefault="00244D23" w:rsidP="00244D23">
      <w:pPr>
        <w:spacing w:before="120" w:line="276" w:lineRule="auto"/>
        <w:ind w:firstLine="709"/>
        <w:jc w:val="both"/>
        <w:rPr>
          <w:rFonts w:ascii="Arial" w:eastAsia="Calibri" w:hAnsi="Arial" w:cs="Arial"/>
          <w:bCs/>
          <w:sz w:val="22"/>
        </w:rPr>
      </w:pPr>
      <w:r w:rsidRPr="00416C3A">
        <w:rPr>
          <w:rFonts w:ascii="Arial" w:eastAsia="Calibri" w:hAnsi="Arial" w:cs="Arial"/>
          <w:bCs/>
          <w:sz w:val="22"/>
        </w:rPr>
        <w:t>Para negociar de manera adecuada, es necesario conocer la estructura de los posibles contratistas, pues permite identificar la forma en la que suplirán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7E4C67BB" w14:textId="183E3964" w:rsidR="00244D23" w:rsidRPr="00416C3A" w:rsidRDefault="00244D23" w:rsidP="00244D23">
      <w:pPr>
        <w:spacing w:before="120" w:line="276" w:lineRule="auto"/>
        <w:ind w:firstLine="709"/>
        <w:jc w:val="both"/>
        <w:rPr>
          <w:rFonts w:ascii="Arial" w:eastAsia="Calibri" w:hAnsi="Arial" w:cs="Arial"/>
          <w:bCs/>
          <w:sz w:val="22"/>
        </w:rPr>
      </w:pPr>
      <w:r w:rsidRPr="00416C3A">
        <w:rPr>
          <w:rFonts w:ascii="Arial" w:eastAsia="Calibri" w:hAnsi="Arial" w:cs="Arial"/>
          <w:bCs/>
          <w:sz w:val="22"/>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entidades estatales y los particulares adquieren esos bienes, obras o servicios para extraer las mejores prácticas e información para el proceso de contratación y así estructurar de mejor manera el tipo contractual a utilizar y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 </w:t>
      </w:r>
    </w:p>
    <w:p w14:paraId="262C7CEF" w14:textId="26A9D724" w:rsidR="004E0591" w:rsidRPr="00416C3A" w:rsidRDefault="004E0591" w:rsidP="00244D23">
      <w:pPr>
        <w:spacing w:before="120" w:line="276" w:lineRule="auto"/>
        <w:ind w:firstLine="709"/>
        <w:jc w:val="both"/>
        <w:rPr>
          <w:rFonts w:ascii="Arial" w:eastAsia="Calibri" w:hAnsi="Arial" w:cs="Arial"/>
          <w:bCs/>
          <w:sz w:val="22"/>
        </w:rPr>
      </w:pPr>
      <w:r w:rsidRPr="00416C3A">
        <w:rPr>
          <w:rFonts w:ascii="Arial" w:eastAsia="Calibri" w:hAnsi="Arial" w:cs="Arial"/>
          <w:bCs/>
          <w:sz w:val="22"/>
        </w:rPr>
        <w:t xml:space="preserve">Si bien la normativa en materia de contratación estatal establece la obligatoriedad de realizar el análisis necesario para conocer el sector relativo al objeto del proceso de contratación, no determinan un procedimiento específico para efectuar dicho análisis por lo que las entidades </w:t>
      </w:r>
      <w:r w:rsidRPr="00416C3A">
        <w:rPr>
          <w:rFonts w:ascii="Arial" w:hAnsi="Arial" w:cs="Arial"/>
          <w:sz w:val="22"/>
          <w:szCs w:val="22"/>
          <w:lang w:eastAsia="es-CO"/>
        </w:rPr>
        <w:t xml:space="preserve">son autónomas para estructurarlo, para lo cual deberán cumplir lo dispuesto en el artículo </w:t>
      </w:r>
      <w:r w:rsidRPr="00416C3A">
        <w:rPr>
          <w:rFonts w:ascii="Arial" w:eastAsia="Calibri" w:hAnsi="Arial" w:cs="Arial"/>
          <w:bCs/>
          <w:sz w:val="22"/>
        </w:rPr>
        <w:t xml:space="preserve">2.2.1.1.1.6.1 del Decreto 1082 de 2015 y realizar un análisis integral de planeación que </w:t>
      </w:r>
      <w:r w:rsidRPr="00416C3A">
        <w:rPr>
          <w:rFonts w:ascii="Arial" w:hAnsi="Arial" w:cs="Arial"/>
          <w:sz w:val="22"/>
        </w:rPr>
        <w:t xml:space="preserve">sirva de sustento a la decisión de </w:t>
      </w:r>
      <w:r w:rsidRPr="00416C3A">
        <w:rPr>
          <w:rFonts w:ascii="Arial" w:hAnsi="Arial" w:cs="Arial"/>
          <w:bCs/>
          <w:sz w:val="22"/>
        </w:rPr>
        <w:t>realizar un proceso de contratación.</w:t>
      </w:r>
    </w:p>
    <w:bookmarkEnd w:id="8"/>
    <w:p w14:paraId="54347F5F" w14:textId="18A89C4C" w:rsidR="00244D23" w:rsidRPr="00416C3A" w:rsidRDefault="00244D23" w:rsidP="00244D23">
      <w:pPr>
        <w:spacing w:before="120" w:after="120" w:line="276" w:lineRule="auto"/>
        <w:ind w:firstLine="709"/>
        <w:jc w:val="both"/>
        <w:rPr>
          <w:rFonts w:ascii="Arial" w:eastAsia="Calibri" w:hAnsi="Arial" w:cs="Arial"/>
          <w:bCs/>
          <w:sz w:val="22"/>
        </w:rPr>
      </w:pPr>
      <w:r w:rsidRPr="00416C3A">
        <w:rPr>
          <w:rFonts w:ascii="Arial" w:eastAsia="Calibri" w:hAnsi="Arial" w:cs="Arial"/>
          <w:bCs/>
          <w:sz w:val="22"/>
        </w:rPr>
        <w:t xml:space="preserve">Colombia Compra Eficiente dispone de una «Guía para la Elaboración de Estudios del Sector»,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En este instrumento se recomienda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w:t>
      </w:r>
      <w:r w:rsidRPr="00416C3A">
        <w:rPr>
          <w:rFonts w:ascii="Arial" w:eastAsia="Calibri" w:hAnsi="Arial" w:cs="Arial"/>
          <w:bCs/>
          <w:sz w:val="22"/>
        </w:rPr>
        <w:lastRenderedPageBreak/>
        <w:t xml:space="preserve">los factores que inciden en el valor del contrato, tales como el análisis de precios, las cargas tributarias, la tasa de cambio, las garantías, los gastos de transporte, </w:t>
      </w:r>
      <w:proofErr w:type="spellStart"/>
      <w:r w:rsidRPr="00416C3A">
        <w:rPr>
          <w:rFonts w:ascii="Arial" w:eastAsia="Calibri" w:hAnsi="Arial" w:cs="Arial"/>
          <w:bCs/>
          <w:sz w:val="22"/>
        </w:rPr>
        <w:t>etc</w:t>
      </w:r>
      <w:proofErr w:type="spellEnd"/>
      <w:r w:rsidR="004E0591" w:rsidRPr="00416C3A">
        <w:rPr>
          <w:rStyle w:val="Refdenotaalpie"/>
          <w:rFonts w:ascii="Arial" w:eastAsia="Calibri" w:hAnsi="Arial" w:cs="Arial"/>
          <w:bCs/>
          <w:lang w:eastAsia="es-ES_tradnl"/>
        </w:rPr>
        <w:footnoteReference w:id="7"/>
      </w:r>
      <w:r w:rsidRPr="00416C3A">
        <w:rPr>
          <w:rFonts w:ascii="Arial" w:eastAsia="Calibri" w:hAnsi="Arial" w:cs="Arial"/>
          <w:bCs/>
          <w:sz w:val="22"/>
        </w:rPr>
        <w:t>.</w:t>
      </w:r>
    </w:p>
    <w:p w14:paraId="7D0744E3" w14:textId="75062B43" w:rsidR="00244D23" w:rsidRPr="00416C3A" w:rsidRDefault="00244D23" w:rsidP="007A7DC6">
      <w:pPr>
        <w:spacing w:before="120" w:after="120" w:line="276" w:lineRule="auto"/>
        <w:ind w:right="113" w:firstLine="709"/>
        <w:jc w:val="both"/>
        <w:rPr>
          <w:rFonts w:ascii="Arial" w:hAnsi="Arial" w:cs="Arial"/>
          <w:sz w:val="22"/>
          <w:szCs w:val="22"/>
          <w:lang w:eastAsia="es-CO"/>
        </w:rPr>
      </w:pPr>
      <w:r w:rsidRPr="00416C3A">
        <w:rPr>
          <w:rFonts w:ascii="Arial" w:eastAsia="Calibri" w:hAnsi="Arial" w:cs="Arial"/>
          <w:bCs/>
          <w:sz w:val="22"/>
        </w:rPr>
        <w:t xml:space="preserve">Adicionalmente, si bien los estudios del sector son de gran relevancia en los procesos de contratación donde existe pluralidad de oferentes, nada obsta para que se elaboren allí donde no existiría competencia. Para estos efectos, la guía mencionada explica que </w:t>
      </w:r>
      <w:r w:rsidR="007156F4" w:rsidRPr="00416C3A">
        <w:rPr>
          <w:rFonts w:ascii="Arial" w:eastAsia="Calibri" w:hAnsi="Arial" w:cs="Arial"/>
          <w:bCs/>
          <w:sz w:val="22"/>
        </w:rPr>
        <w:t xml:space="preserve">«En la contratación directa, el estudio del sector debe tener en cuenta el objeto del Proceso de Contratación, particularmente las condiciones del contrato, como los plazos y formas de entrega y de pago. El estudio del sector debe permitir a la Entidad Estatal sustentar su decisión de hacer una contratación directa, la elección del proveedor y la forma en que se pacta el contrato desde el punto de vista de la eficiencia, eficacia y economía». Además, allí se señala que en los </w:t>
      </w:r>
      <w:r w:rsidR="007156F4" w:rsidRPr="00416C3A">
        <w:rPr>
          <w:rFonts w:ascii="Arial" w:hAnsi="Arial" w:cs="Arial"/>
          <w:sz w:val="22"/>
          <w:szCs w:val="22"/>
          <w:lang w:eastAsia="es-CO"/>
        </w:rPr>
        <w:t>procesos de contratación directa: «La Entidad debe consignar en los Documentos del Proceso, bien sea en los estudios previos o en la información de soporte de estos, los aspectos de que trata el artículo 2.2.1.1.1.6.1 del Decreto 1082 de 2015, esto es, el análisis desde la perspectiva legal, comercial, financiera, organizacional, técnica, y de análisis de riesgo»</w:t>
      </w:r>
      <w:r w:rsidR="007156F4" w:rsidRPr="00416C3A">
        <w:rPr>
          <w:sz w:val="22"/>
          <w:szCs w:val="22"/>
          <w:vertAlign w:val="superscript"/>
          <w:lang w:eastAsia="es-CO"/>
        </w:rPr>
        <w:footnoteReference w:id="8"/>
      </w:r>
      <w:r w:rsidR="007156F4" w:rsidRPr="00416C3A">
        <w:rPr>
          <w:rFonts w:ascii="Arial" w:hAnsi="Arial" w:cs="Arial"/>
          <w:sz w:val="22"/>
          <w:szCs w:val="22"/>
          <w:vertAlign w:val="superscript"/>
          <w:lang w:eastAsia="es-CO"/>
        </w:rPr>
        <w:t>.</w:t>
      </w:r>
      <w:bookmarkStart w:id="9" w:name="_Hlk91231640"/>
    </w:p>
    <w:p w14:paraId="1AEAAF74" w14:textId="77777777" w:rsidR="00244D23" w:rsidRPr="00416C3A" w:rsidRDefault="00244D23" w:rsidP="00244D23">
      <w:pPr>
        <w:spacing w:before="120" w:line="276" w:lineRule="auto"/>
        <w:ind w:right="113" w:firstLine="709"/>
        <w:jc w:val="both"/>
        <w:rPr>
          <w:rFonts w:ascii="Arial" w:hAnsi="Arial" w:cs="Arial"/>
          <w:sz w:val="22"/>
          <w:szCs w:val="22"/>
          <w:lang w:eastAsia="es-CO"/>
        </w:rPr>
      </w:pPr>
      <w:r w:rsidRPr="00416C3A">
        <w:rPr>
          <w:rFonts w:ascii="Arial" w:hAnsi="Arial" w:cs="Arial"/>
          <w:sz w:val="22"/>
          <w:szCs w:val="22"/>
          <w:lang w:eastAsia="es-CO"/>
        </w:rPr>
        <w:t xml:space="preserve">Sin perjuicio de lo anterior, las entidades estatales son autónomas para estructurar los estudios previos, siempre y cuando se observen los aspectos que deben contener esos estudios, de conformidad con los artículos 2.2.1.1.1.6.1, 2.2.1.1.2.1.1 y 2.2.1.2.1.4.9 del Decreto 1082 de 2015. </w:t>
      </w:r>
      <w:bookmarkEnd w:id="9"/>
    </w:p>
    <w:p w14:paraId="6476691F" w14:textId="39F18858" w:rsidR="00EE6D46" w:rsidRPr="00416C3A" w:rsidRDefault="00EE6D46" w:rsidP="00EE6D46">
      <w:pPr>
        <w:spacing w:after="120" w:line="276" w:lineRule="auto"/>
        <w:jc w:val="both"/>
        <w:rPr>
          <w:rFonts w:ascii="Arial" w:hAnsi="Arial" w:cs="Arial"/>
          <w:sz w:val="22"/>
        </w:rPr>
      </w:pPr>
    </w:p>
    <w:p w14:paraId="17005B06" w14:textId="08C89825" w:rsidR="00B12676" w:rsidRPr="00416C3A" w:rsidRDefault="00B12676" w:rsidP="001C0BA2">
      <w:pPr>
        <w:pStyle w:val="Prrafodelista"/>
        <w:numPr>
          <w:ilvl w:val="1"/>
          <w:numId w:val="9"/>
        </w:numPr>
        <w:spacing w:line="276" w:lineRule="auto"/>
        <w:ind w:left="0" w:firstLine="0"/>
        <w:jc w:val="both"/>
        <w:rPr>
          <w:rFonts w:ascii="Arial" w:hAnsi="Arial" w:cs="Arial"/>
          <w:b/>
          <w:sz w:val="22"/>
        </w:rPr>
      </w:pPr>
      <w:r w:rsidRPr="00416C3A">
        <w:rPr>
          <w:rFonts w:ascii="Arial" w:hAnsi="Arial" w:cs="Arial"/>
          <w:b/>
          <w:sz w:val="22"/>
        </w:rPr>
        <w:t xml:space="preserve"> Autonomía para calcular el precio y la forma de pago en los contratos estatales</w:t>
      </w:r>
    </w:p>
    <w:p w14:paraId="03B0B0FB" w14:textId="77777777" w:rsidR="00B12676" w:rsidRPr="00416C3A" w:rsidRDefault="00B12676" w:rsidP="00B12676">
      <w:pPr>
        <w:spacing w:line="276" w:lineRule="auto"/>
        <w:jc w:val="both"/>
        <w:rPr>
          <w:rFonts w:ascii="Arial" w:hAnsi="Arial" w:cs="Arial"/>
          <w:b/>
          <w:sz w:val="22"/>
        </w:rPr>
      </w:pPr>
    </w:p>
    <w:p w14:paraId="195F62F1" w14:textId="77777777" w:rsidR="00B12676" w:rsidRPr="00416C3A" w:rsidRDefault="00B12676" w:rsidP="00E31031">
      <w:pPr>
        <w:spacing w:line="276" w:lineRule="auto"/>
        <w:jc w:val="both"/>
        <w:rPr>
          <w:rFonts w:ascii="Arial" w:eastAsia="Calibri" w:hAnsi="Arial" w:cs="Arial"/>
          <w:sz w:val="22"/>
          <w:szCs w:val="22"/>
          <w:lang w:val="es-MX" w:eastAsia="en-US"/>
        </w:rPr>
      </w:pPr>
      <w:r w:rsidRPr="00416C3A">
        <w:rPr>
          <w:rFonts w:ascii="Arial" w:eastAsia="Calibri" w:hAnsi="Arial" w:cs="Arial"/>
          <w:sz w:val="22"/>
          <w:szCs w:val="22"/>
          <w:lang w:val="es-MX" w:eastAsia="en-US"/>
        </w:rPr>
        <w:t>El precio es el «valor pecuniario en que se estima algo»</w:t>
      </w:r>
      <w:r w:rsidRPr="00416C3A">
        <w:rPr>
          <w:rStyle w:val="Refdenotaalpie"/>
          <w:rFonts w:ascii="Arial" w:eastAsia="Calibri" w:hAnsi="Arial" w:cs="Arial"/>
          <w:sz w:val="22"/>
          <w:szCs w:val="22"/>
          <w:lang w:val="es-MX" w:eastAsia="en-US"/>
        </w:rPr>
        <w:footnoteReference w:id="9"/>
      </w:r>
      <w:r w:rsidRPr="00416C3A">
        <w:rPr>
          <w:rFonts w:ascii="Arial" w:eastAsia="Calibri" w:hAnsi="Arial" w:cs="Arial"/>
          <w:sz w:val="22"/>
          <w:szCs w:val="22"/>
          <w:lang w:val="es-MX" w:eastAsia="en-US"/>
        </w:rPr>
        <w:t>. En nuestro ordenamiento jurídico, tenemos una definición de precio en el Código Civil y en el Código de Comercio. Ambas codificaciones, al regular el contrato de compraventa, definen el precio como el dinero que el comprador entrega a cambio de la la cosa vendida:</w:t>
      </w:r>
    </w:p>
    <w:p w14:paraId="7B6389D2" w14:textId="77777777" w:rsidR="00B12676" w:rsidRPr="00416C3A" w:rsidRDefault="00B12676" w:rsidP="00B12676">
      <w:pPr>
        <w:jc w:val="both"/>
        <w:rPr>
          <w:rFonts w:ascii="Arial" w:eastAsia="Calibri" w:hAnsi="Arial" w:cs="Arial"/>
          <w:sz w:val="22"/>
          <w:szCs w:val="22"/>
          <w:lang w:val="es-MX" w:eastAsia="en-US"/>
        </w:rPr>
      </w:pPr>
      <w:r w:rsidRPr="00416C3A">
        <w:rPr>
          <w:rFonts w:ascii="Arial" w:eastAsia="Calibri" w:hAnsi="Arial" w:cs="Arial"/>
          <w:sz w:val="22"/>
          <w:szCs w:val="22"/>
          <w:lang w:val="es-MX" w:eastAsia="en-US"/>
        </w:rPr>
        <w:t xml:space="preserve"> </w:t>
      </w:r>
    </w:p>
    <w:p w14:paraId="34AB2810" w14:textId="77777777" w:rsidR="00B12676" w:rsidRPr="00416C3A" w:rsidRDefault="00B12676" w:rsidP="00B12676">
      <w:pPr>
        <w:ind w:left="709" w:right="709"/>
        <w:jc w:val="both"/>
        <w:rPr>
          <w:rFonts w:ascii="Arial" w:eastAsia="Calibri" w:hAnsi="Arial" w:cs="Arial"/>
          <w:sz w:val="21"/>
          <w:szCs w:val="21"/>
          <w:lang w:val="es-MX" w:eastAsia="en-US"/>
        </w:rPr>
      </w:pPr>
      <w:r w:rsidRPr="00416C3A">
        <w:rPr>
          <w:rFonts w:ascii="Arial" w:eastAsia="Calibri" w:hAnsi="Arial" w:cs="Arial"/>
          <w:sz w:val="21"/>
          <w:szCs w:val="21"/>
          <w:lang w:val="es-MX" w:eastAsia="en-US"/>
        </w:rPr>
        <w:t xml:space="preserve">[Artículo 1849 del Código Civil]: La compraventa es un contrato en que una de las partes se obliga a dar una cosa y la otra a pagarla en dinero. Aquella se dice </w:t>
      </w:r>
      <w:r w:rsidRPr="00416C3A">
        <w:rPr>
          <w:rFonts w:ascii="Arial" w:eastAsia="Calibri" w:hAnsi="Arial" w:cs="Arial"/>
          <w:sz w:val="21"/>
          <w:szCs w:val="21"/>
          <w:lang w:val="es-MX" w:eastAsia="en-US"/>
        </w:rPr>
        <w:lastRenderedPageBreak/>
        <w:t>vender y esta comprar. El dinero que el comprador da por la cosa vendida se llama precio.</w:t>
      </w:r>
    </w:p>
    <w:p w14:paraId="252CC182" w14:textId="77777777" w:rsidR="00B12676" w:rsidRPr="00416C3A" w:rsidRDefault="00B12676" w:rsidP="00B12676">
      <w:pPr>
        <w:ind w:left="709" w:right="709"/>
        <w:jc w:val="both"/>
        <w:rPr>
          <w:rFonts w:ascii="Arial" w:eastAsia="Calibri" w:hAnsi="Arial" w:cs="Arial"/>
          <w:sz w:val="21"/>
          <w:szCs w:val="21"/>
          <w:lang w:val="es-MX" w:eastAsia="en-US"/>
        </w:rPr>
      </w:pPr>
    </w:p>
    <w:p w14:paraId="41086DF2" w14:textId="77777777" w:rsidR="00B12676" w:rsidRPr="00416C3A" w:rsidRDefault="00B12676" w:rsidP="00B12676">
      <w:pPr>
        <w:ind w:left="709" w:right="709"/>
        <w:jc w:val="both"/>
        <w:rPr>
          <w:rFonts w:ascii="Arial" w:eastAsia="Calibri" w:hAnsi="Arial" w:cs="Arial"/>
          <w:sz w:val="21"/>
          <w:szCs w:val="21"/>
          <w:lang w:val="es-MX" w:eastAsia="en-US"/>
        </w:rPr>
      </w:pPr>
      <w:r w:rsidRPr="00416C3A">
        <w:rPr>
          <w:rFonts w:ascii="Arial" w:eastAsia="Calibri" w:hAnsi="Arial" w:cs="Arial"/>
          <w:sz w:val="21"/>
          <w:szCs w:val="21"/>
          <w:lang w:val="es-MX" w:eastAsia="en-US"/>
        </w:rPr>
        <w:t>[Artículo 905 del Código de Comercio]: La compraventa es un contrato en que una de las partes se obliga a trasmitir la propiedad de una cosa y la otra a pagarla en dinero. El dinero que el comprador da por la cosa vendida se llama precio.</w:t>
      </w:r>
    </w:p>
    <w:p w14:paraId="7B6EAEF5" w14:textId="77777777" w:rsidR="00B12676" w:rsidRPr="00416C3A" w:rsidRDefault="00B12676" w:rsidP="00B12676">
      <w:pPr>
        <w:spacing w:line="276" w:lineRule="auto"/>
        <w:jc w:val="both"/>
        <w:rPr>
          <w:rFonts w:ascii="Arial" w:hAnsi="Arial" w:cs="Arial"/>
          <w:bCs/>
          <w:sz w:val="22"/>
        </w:rPr>
      </w:pPr>
    </w:p>
    <w:p w14:paraId="603AE93C" w14:textId="31440EE9" w:rsidR="00B12676" w:rsidRPr="00416C3A" w:rsidRDefault="00B12676" w:rsidP="00B12676">
      <w:pPr>
        <w:spacing w:after="120" w:line="276" w:lineRule="auto"/>
        <w:ind w:firstLine="708"/>
        <w:jc w:val="both"/>
        <w:rPr>
          <w:rFonts w:ascii="Arial" w:hAnsi="Arial" w:cs="Arial"/>
          <w:bCs/>
          <w:sz w:val="22"/>
          <w:lang w:val="es-ES"/>
        </w:rPr>
      </w:pPr>
      <w:r w:rsidRPr="00416C3A">
        <w:rPr>
          <w:rFonts w:ascii="Arial" w:hAnsi="Arial" w:cs="Arial"/>
          <w:bCs/>
          <w:sz w:val="22"/>
        </w:rPr>
        <w:t xml:space="preserve">Como es sabido, uno de los elementos de los contratos estatales es el precio, que por lo general se identifica con el valor del contrato. Aunque no todo contrato lo incluye –pues también existen negocios gratuitos– lo usual es que los contratos estatales se perfeccionen como onerosos y, la mayoría de las veces, como conmutativos, cuando hay un acuerdo entre el objeto y la contraprestación pactado por escrito entre la entidad estatal y el contratista. El precio es un importante elemento para el contratista, porque equivale a la remuneración que la entidad contratante le pagará como </w:t>
      </w:r>
      <w:r w:rsidR="007156F4" w:rsidRPr="00416C3A">
        <w:rPr>
          <w:rFonts w:ascii="Arial" w:hAnsi="Arial" w:cs="Arial"/>
          <w:bCs/>
          <w:sz w:val="22"/>
        </w:rPr>
        <w:t xml:space="preserve">contraprestación </w:t>
      </w:r>
      <w:r w:rsidRPr="00416C3A">
        <w:rPr>
          <w:rFonts w:ascii="Arial" w:hAnsi="Arial" w:cs="Arial"/>
          <w:bCs/>
          <w:sz w:val="22"/>
        </w:rPr>
        <w:t>por la ejecución de las obligaciones de dar, hacer o no hacer previstas a su cargo en el contrato. El precio, entonces, es el valor que se da por el objeto, generalmente en dinero, que debe ser determinado o determinable</w:t>
      </w:r>
      <w:r w:rsidRPr="00416C3A">
        <w:rPr>
          <w:rStyle w:val="Refdenotaalpie"/>
          <w:rFonts w:ascii="Arial" w:hAnsi="Arial" w:cs="Arial"/>
          <w:bCs/>
          <w:sz w:val="22"/>
        </w:rPr>
        <w:footnoteReference w:id="10"/>
      </w:r>
      <w:r w:rsidRPr="00416C3A">
        <w:rPr>
          <w:rFonts w:ascii="Arial" w:hAnsi="Arial" w:cs="Arial"/>
          <w:bCs/>
          <w:sz w:val="22"/>
        </w:rPr>
        <w:t>, en los términos de los artículos 1864 y 1865 del Código Civil y, de manera general</w:t>
      </w:r>
      <w:r w:rsidR="007156F4" w:rsidRPr="00416C3A">
        <w:rPr>
          <w:rFonts w:ascii="Arial" w:hAnsi="Arial" w:cs="Arial"/>
          <w:bCs/>
          <w:sz w:val="22"/>
        </w:rPr>
        <w:t>,</w:t>
      </w:r>
      <w:r w:rsidRPr="00416C3A">
        <w:rPr>
          <w:rFonts w:ascii="Arial" w:hAnsi="Arial" w:cs="Arial"/>
          <w:bCs/>
          <w:sz w:val="22"/>
        </w:rPr>
        <w:t xml:space="preserve"> está compuesto por dos elementos: los costos y la utilidad, cuya estructuración interna depende de las condiciones técnicas, financieras, regulatorias, etc. de cada contrato</w:t>
      </w:r>
      <w:r w:rsidRPr="00416C3A">
        <w:rPr>
          <w:rStyle w:val="Refdenotaalpie"/>
          <w:rFonts w:ascii="Arial" w:hAnsi="Arial" w:cs="Arial"/>
          <w:bCs/>
          <w:sz w:val="22"/>
        </w:rPr>
        <w:footnoteReference w:id="11"/>
      </w:r>
      <w:r w:rsidRPr="00416C3A">
        <w:rPr>
          <w:rFonts w:ascii="Arial" w:hAnsi="Arial" w:cs="Arial"/>
          <w:bCs/>
          <w:sz w:val="22"/>
        </w:rPr>
        <w:t>.</w:t>
      </w:r>
    </w:p>
    <w:p w14:paraId="4F1282EE" w14:textId="77777777" w:rsidR="00B12676" w:rsidRPr="00416C3A" w:rsidRDefault="00B12676" w:rsidP="00B12676">
      <w:pPr>
        <w:spacing w:before="120" w:after="120" w:line="276" w:lineRule="auto"/>
        <w:ind w:firstLine="709"/>
        <w:jc w:val="both"/>
        <w:rPr>
          <w:rFonts w:ascii="Arial" w:hAnsi="Arial" w:cs="Arial"/>
          <w:bCs/>
          <w:sz w:val="22"/>
        </w:rPr>
      </w:pPr>
      <w:r w:rsidRPr="00416C3A">
        <w:rPr>
          <w:rFonts w:ascii="Arial" w:hAnsi="Arial" w:cs="Arial"/>
          <w:bCs/>
          <w:sz w:val="22"/>
        </w:rPr>
        <w:t>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00416C3A">
        <w:rPr>
          <w:rStyle w:val="Refdenotaalpie"/>
          <w:rFonts w:ascii="Arial" w:hAnsi="Arial" w:cs="Arial"/>
          <w:bCs/>
          <w:sz w:val="22"/>
        </w:rPr>
        <w:footnoteReference w:id="12"/>
      </w:r>
      <w:r w:rsidRPr="00416C3A">
        <w:rPr>
          <w:rFonts w:ascii="Arial" w:hAnsi="Arial" w:cs="Arial"/>
          <w:bCs/>
          <w:sz w:val="22"/>
        </w:rPr>
        <w:t xml:space="preserve">. No hay, </w:t>
      </w:r>
      <w:r w:rsidRPr="00416C3A">
        <w:rPr>
          <w:rFonts w:ascii="Arial" w:hAnsi="Arial" w:cs="Arial"/>
          <w:bCs/>
          <w:sz w:val="22"/>
        </w:rPr>
        <w:lastRenderedPageBreak/>
        <w:t xml:space="preserve">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sidRPr="00416C3A">
        <w:rPr>
          <w:rFonts w:ascii="Arial" w:hAnsi="Arial" w:cs="Arial"/>
          <w:bCs/>
          <w:sz w:val="22"/>
        </w:rPr>
        <w:t>ii</w:t>
      </w:r>
      <w:proofErr w:type="spellEnd"/>
      <w:r w:rsidRPr="00416C3A">
        <w:rPr>
          <w:rFonts w:ascii="Arial" w:hAnsi="Arial" w:cs="Arial"/>
          <w:bCs/>
          <w:sz w:val="22"/>
        </w:rPr>
        <w:t xml:space="preserve">) el precio global –que equivale al monto total, sin discriminar unidades–, y </w:t>
      </w:r>
      <w:proofErr w:type="spellStart"/>
      <w:r w:rsidRPr="00416C3A">
        <w:rPr>
          <w:rFonts w:ascii="Arial" w:hAnsi="Arial" w:cs="Arial"/>
          <w:bCs/>
          <w:sz w:val="22"/>
        </w:rPr>
        <w:t>iii</w:t>
      </w:r>
      <w:proofErr w:type="spellEnd"/>
      <w:r w:rsidRPr="00416C3A">
        <w:rPr>
          <w:rFonts w:ascii="Arial" w:hAnsi="Arial" w:cs="Arial"/>
          <w:bCs/>
          <w:sz w:val="22"/>
        </w:rPr>
        <w:t>) la administración delegada de recursos –en la que se distinguen los costos de inversión de los honorarios del administrador–.</w:t>
      </w:r>
    </w:p>
    <w:p w14:paraId="1435C007" w14:textId="617B640B" w:rsidR="00B12676" w:rsidRPr="00416C3A" w:rsidRDefault="0012523E" w:rsidP="00B12676">
      <w:pPr>
        <w:spacing w:line="276" w:lineRule="auto"/>
        <w:ind w:firstLine="709"/>
        <w:jc w:val="both"/>
        <w:rPr>
          <w:rFonts w:ascii="Arial" w:hAnsi="Arial" w:cs="Arial"/>
          <w:bCs/>
          <w:sz w:val="22"/>
        </w:rPr>
      </w:pPr>
      <w:r w:rsidRPr="00416C3A">
        <w:rPr>
          <w:rFonts w:ascii="Arial" w:hAnsi="Arial" w:cs="Arial"/>
          <w:bCs/>
          <w:sz w:val="22"/>
        </w:rPr>
        <w:t>E</w:t>
      </w:r>
      <w:r w:rsidR="00B12676" w:rsidRPr="00416C3A">
        <w:rPr>
          <w:rFonts w:ascii="Arial" w:hAnsi="Arial" w:cs="Arial"/>
          <w:bCs/>
          <w:sz w:val="22"/>
        </w:rPr>
        <w:t xml:space="preserve">n </w:t>
      </w:r>
      <w:r w:rsidRPr="00416C3A">
        <w:rPr>
          <w:rFonts w:ascii="Arial" w:hAnsi="Arial" w:cs="Arial"/>
          <w:bCs/>
          <w:sz w:val="22"/>
        </w:rPr>
        <w:t xml:space="preserve">ciertos </w:t>
      </w:r>
      <w:r w:rsidR="00B12676" w:rsidRPr="00416C3A">
        <w:rPr>
          <w:rFonts w:ascii="Arial" w:hAnsi="Arial" w:cs="Arial"/>
          <w:bCs/>
          <w:sz w:val="22"/>
        </w:rPr>
        <w:t xml:space="preserve">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00B12676" w:rsidRPr="00416C3A">
        <w:rPr>
          <w:rFonts w:ascii="Arial" w:hAnsi="Arial" w:cs="Arial"/>
          <w:bCs/>
          <w:i/>
          <w:iCs/>
          <w:sz w:val="22"/>
        </w:rPr>
        <w:t>ítems</w:t>
      </w:r>
      <w:r w:rsidR="00B12676" w:rsidRPr="00416C3A">
        <w:rPr>
          <w:rFonts w:ascii="Arial" w:hAnsi="Arial" w:cs="Arial"/>
          <w:bCs/>
          <w:sz w:val="22"/>
        </w:rPr>
        <w:t xml:space="preserve"> según su unidad de medida y cantidades, los costos indirectos se suelen abreviar en las variables que integran el acrónimo AIU –Administración, Imprevistos y Utilidad–, que se calcula como un porcentaje aplicado a los costos directos. </w:t>
      </w:r>
    </w:p>
    <w:p w14:paraId="69524B94" w14:textId="77777777" w:rsidR="00B12676" w:rsidRPr="00416C3A" w:rsidRDefault="00B12676" w:rsidP="00B12676">
      <w:pPr>
        <w:spacing w:before="120" w:after="120" w:line="276" w:lineRule="auto"/>
        <w:ind w:firstLine="709"/>
        <w:jc w:val="both"/>
        <w:rPr>
          <w:rFonts w:ascii="Arial" w:hAnsi="Arial" w:cs="Arial"/>
          <w:bCs/>
          <w:sz w:val="22"/>
        </w:rPr>
      </w:pPr>
      <w:r w:rsidRPr="00416C3A">
        <w:rPr>
          <w:rFonts w:ascii="Arial" w:hAnsi="Arial" w:cs="Arial"/>
          <w:bCs/>
          <w:sz w:val="22"/>
        </w:rPr>
        <w:t xml:space="preserve">Así pues, ni el sistema de precios unitarios –como metodología de estipulación del valor contractual–, ni el concepto de AIU, ni mucho menos la forma de calcularlo –es decir, su porcentaje–, son aspectos regulados en el conjunto de las disposiciones legales y reglamentarias que integran la normativa contractual del Estado. «La justificación de esta manera de cotizar el precio procede, incluso, de la formación universitaria que reciben los ingenieros, a quienes les enseñan esta metodología para elaborar las ofertas. En fin, lo que se quiere indicar con estos comentarios es que la necesidad de presentar una propuesta </w:t>
      </w:r>
      <w:r w:rsidRPr="00416C3A">
        <w:rPr>
          <w:rFonts w:ascii="Arial" w:hAnsi="Arial" w:cs="Arial"/>
          <w:bCs/>
          <w:sz w:val="22"/>
        </w:rPr>
        <w:lastRenderedPageBreak/>
        <w:t>desglosando en forma intensa su precio no procede de la ley, ni del reglamento, sino de la costumbre, […]»</w:t>
      </w:r>
      <w:r w:rsidRPr="00416C3A">
        <w:rPr>
          <w:rStyle w:val="Refdenotaalpie"/>
          <w:rFonts w:ascii="Arial" w:hAnsi="Arial" w:cs="Arial"/>
          <w:bCs/>
          <w:sz w:val="22"/>
        </w:rPr>
        <w:footnoteReference w:id="13"/>
      </w:r>
      <w:r w:rsidRPr="00416C3A">
        <w:rPr>
          <w:rFonts w:ascii="Arial" w:hAnsi="Arial" w:cs="Arial"/>
          <w:bCs/>
          <w:sz w:val="22"/>
        </w:rPr>
        <w:t xml:space="preserve">. De otro lado, en principio quien define el valor de cada </w:t>
      </w:r>
      <w:r w:rsidRPr="00416C3A">
        <w:rPr>
          <w:rFonts w:ascii="Arial" w:hAnsi="Arial" w:cs="Arial"/>
          <w:bCs/>
          <w:i/>
          <w:iCs/>
          <w:sz w:val="22"/>
        </w:rPr>
        <w:t>letra</w:t>
      </w:r>
      <w:r w:rsidRPr="00416C3A">
        <w:rPr>
          <w:rFonts w:ascii="Arial" w:hAnsi="Arial" w:cs="Arial"/>
          <w:bCs/>
          <w:sz w:val="22"/>
        </w:rPr>
        <w:t xml:space="preserve"> –AIU– es el proponente, pues goza de libertad empresarial para hacerlo en la elaboración de su oferta</w:t>
      </w:r>
      <w:r w:rsidRPr="00416C3A">
        <w:rPr>
          <w:rStyle w:val="Refdenotaalpie"/>
          <w:rFonts w:ascii="Arial" w:hAnsi="Arial" w:cs="Arial"/>
          <w:bCs/>
          <w:sz w:val="22"/>
        </w:rPr>
        <w:footnoteReference w:id="14"/>
      </w:r>
      <w:r w:rsidRPr="00416C3A">
        <w:rPr>
          <w:rFonts w:ascii="Arial" w:hAnsi="Arial" w:cs="Arial"/>
          <w:bCs/>
          <w:sz w:val="22"/>
        </w:rPr>
        <w:t>.</w:t>
      </w:r>
    </w:p>
    <w:p w14:paraId="002C2EFF" w14:textId="4BD2A1B9" w:rsidR="004C0A17" w:rsidRPr="00416C3A" w:rsidRDefault="00B12676" w:rsidP="004C0A17">
      <w:pPr>
        <w:spacing w:before="120" w:after="120" w:line="276" w:lineRule="auto"/>
        <w:ind w:firstLine="709"/>
        <w:jc w:val="both"/>
        <w:rPr>
          <w:rFonts w:ascii="Arial" w:hAnsi="Arial" w:cs="Arial"/>
          <w:bCs/>
          <w:sz w:val="22"/>
        </w:rPr>
      </w:pPr>
      <w:r w:rsidRPr="00416C3A">
        <w:rPr>
          <w:rFonts w:ascii="Arial" w:hAnsi="Arial" w:cs="Arial"/>
          <w:bCs/>
          <w:sz w:val="22"/>
        </w:rPr>
        <w:t>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w:t>
      </w:r>
      <w:r w:rsidR="0012523E" w:rsidRPr="00416C3A">
        <w:rPr>
          <w:rFonts w:ascii="Arial" w:hAnsi="Arial" w:cs="Arial"/>
          <w:bCs/>
          <w:sz w:val="22"/>
        </w:rPr>
        <w:t xml:space="preserve"> estatal</w:t>
      </w:r>
      <w:r w:rsidRPr="00416C3A">
        <w:rPr>
          <w:rFonts w:ascii="Arial" w:hAnsi="Arial" w:cs="Arial"/>
          <w:bCs/>
          <w:sz w:val="22"/>
        </w:rPr>
        <w:t>, respetando los límites previstos en el ordenamiento</w:t>
      </w:r>
      <w:r w:rsidR="0012523E" w:rsidRPr="00416C3A">
        <w:rPr>
          <w:rFonts w:ascii="Arial" w:hAnsi="Arial" w:cs="Arial"/>
          <w:bCs/>
          <w:sz w:val="22"/>
        </w:rPr>
        <w:t xml:space="preserve"> jurídico</w:t>
      </w:r>
      <w:r w:rsidRPr="00416C3A">
        <w:rPr>
          <w:rFonts w:ascii="Arial" w:hAnsi="Arial" w:cs="Arial"/>
          <w:bCs/>
          <w:sz w:val="22"/>
        </w:rPr>
        <w:t xml:space="preserve">. En tal perspectiva, cuentan con discrecionalidad para establecer en el pliego de condiciones o en su documento equivalente, así como en el contrato, el sistema de precios </w:t>
      </w:r>
      <w:r w:rsidR="009B21E8" w:rsidRPr="00416C3A">
        <w:rPr>
          <w:rFonts w:ascii="Arial" w:hAnsi="Arial" w:cs="Arial"/>
          <w:bCs/>
          <w:sz w:val="22"/>
        </w:rPr>
        <w:t xml:space="preserve">que la entidad considere pertinente para el proceso contractual. </w:t>
      </w:r>
    </w:p>
    <w:p w14:paraId="6A9302C8" w14:textId="50B51B08" w:rsidR="00760754" w:rsidRPr="00416C3A" w:rsidRDefault="00760754" w:rsidP="004C0A17">
      <w:pPr>
        <w:spacing w:before="120" w:after="120" w:line="276" w:lineRule="auto"/>
        <w:ind w:firstLine="709"/>
        <w:jc w:val="both"/>
        <w:rPr>
          <w:rFonts w:ascii="Arial" w:hAnsi="Arial" w:cs="Arial"/>
          <w:bCs/>
          <w:sz w:val="22"/>
        </w:rPr>
      </w:pPr>
      <w:r w:rsidRPr="00416C3A">
        <w:rPr>
          <w:rFonts w:ascii="Arial" w:hAnsi="Arial" w:cs="Arial"/>
          <w:bCs/>
          <w:sz w:val="22"/>
        </w:rPr>
        <w:t>Ahora bien, la Ley 80 de 1993</w:t>
      </w:r>
      <w:r w:rsidR="00FB3351" w:rsidRPr="00416C3A">
        <w:rPr>
          <w:rFonts w:ascii="Arial" w:hAnsi="Arial" w:cs="Arial"/>
          <w:bCs/>
          <w:sz w:val="22"/>
        </w:rPr>
        <w:t xml:space="preserve">, ha establecido en el artículo 27, que las partes pueden suscribir «acuerdos y pactos necesarios sobre cuantía, condiciones y forma de pago de gastos adicionales, reconocimientos de costos financieros e intereses, si a ello hubiere lugar […]», esto en virtud de la autonomía de la voluntad de los </w:t>
      </w:r>
      <w:proofErr w:type="spellStart"/>
      <w:r w:rsidR="00FB3351" w:rsidRPr="00416C3A">
        <w:rPr>
          <w:rFonts w:ascii="Arial" w:hAnsi="Arial" w:cs="Arial"/>
          <w:bCs/>
          <w:sz w:val="22"/>
        </w:rPr>
        <w:t>co</w:t>
      </w:r>
      <w:proofErr w:type="spellEnd"/>
      <w:r w:rsidR="00FB3351" w:rsidRPr="00416C3A">
        <w:rPr>
          <w:rFonts w:ascii="Arial" w:hAnsi="Arial" w:cs="Arial"/>
          <w:bCs/>
          <w:sz w:val="22"/>
        </w:rPr>
        <w:t>-contratantes y ante posibl</w:t>
      </w:r>
      <w:r w:rsidR="00D56212" w:rsidRPr="00416C3A">
        <w:rPr>
          <w:rFonts w:ascii="Arial" w:hAnsi="Arial" w:cs="Arial"/>
          <w:bCs/>
          <w:sz w:val="22"/>
        </w:rPr>
        <w:t xml:space="preserve">es circunstancias anormales o extraordinarias sobrevinientes, </w:t>
      </w:r>
      <w:r w:rsidR="00EF5AF0" w:rsidRPr="00416C3A">
        <w:rPr>
          <w:rFonts w:ascii="Arial" w:hAnsi="Arial" w:cs="Arial"/>
          <w:bCs/>
          <w:sz w:val="22"/>
        </w:rPr>
        <w:t>se pueden suscribir</w:t>
      </w:r>
      <w:r w:rsidR="00D56212" w:rsidRPr="00416C3A">
        <w:rPr>
          <w:rFonts w:ascii="Arial" w:hAnsi="Arial" w:cs="Arial"/>
          <w:bCs/>
          <w:sz w:val="22"/>
        </w:rPr>
        <w:t xml:space="preserve"> medidas </w:t>
      </w:r>
      <w:r w:rsidR="00ED3348" w:rsidRPr="00416C3A">
        <w:rPr>
          <w:rFonts w:ascii="Arial" w:hAnsi="Arial" w:cs="Arial"/>
          <w:bCs/>
          <w:sz w:val="22"/>
        </w:rPr>
        <w:t xml:space="preserve">que </w:t>
      </w:r>
      <w:r w:rsidR="00D56212" w:rsidRPr="00416C3A">
        <w:rPr>
          <w:rFonts w:ascii="Arial" w:hAnsi="Arial" w:cs="Arial"/>
          <w:bCs/>
          <w:sz w:val="22"/>
        </w:rPr>
        <w:t xml:space="preserve">permitirán equilibrar la ecuación contractual. </w:t>
      </w:r>
    </w:p>
    <w:p w14:paraId="23E9FD16" w14:textId="25F268C9" w:rsidR="00D56212" w:rsidRPr="00416C3A" w:rsidRDefault="00D56212" w:rsidP="000F322D">
      <w:pPr>
        <w:spacing w:before="120" w:after="120" w:line="276" w:lineRule="auto"/>
        <w:ind w:firstLine="709"/>
        <w:jc w:val="both"/>
        <w:rPr>
          <w:rFonts w:ascii="Arial" w:hAnsi="Arial" w:cs="Arial"/>
          <w:bCs/>
          <w:sz w:val="22"/>
        </w:rPr>
      </w:pPr>
      <w:r w:rsidRPr="00416C3A">
        <w:rPr>
          <w:rFonts w:ascii="Arial" w:hAnsi="Arial" w:cs="Arial"/>
          <w:bCs/>
          <w:sz w:val="22"/>
        </w:rPr>
        <w:t xml:space="preserve">Lo anterior, en concordancia con los derechos y deberes de las entidades estatales, específicamente los numerales 8 y 9 del artículo 4 de la Ley 80 de 1993, que establecen lo siguiente: </w:t>
      </w:r>
    </w:p>
    <w:p w14:paraId="03E0329F" w14:textId="0ED871E6" w:rsidR="00D56212" w:rsidRPr="00416C3A" w:rsidRDefault="00D56212" w:rsidP="00416C3A">
      <w:pPr>
        <w:spacing w:before="120" w:after="120"/>
        <w:ind w:left="708"/>
        <w:jc w:val="both"/>
        <w:rPr>
          <w:rFonts w:ascii="Arial" w:hAnsi="Arial" w:cs="Arial"/>
          <w:bCs/>
          <w:sz w:val="21"/>
          <w:szCs w:val="22"/>
          <w:lang w:val="es-CO"/>
        </w:rPr>
      </w:pPr>
      <w:r w:rsidRPr="00416C3A">
        <w:rPr>
          <w:rFonts w:ascii="Arial" w:hAnsi="Arial" w:cs="Arial"/>
          <w:bCs/>
          <w:sz w:val="21"/>
          <w:szCs w:val="22"/>
          <w:lang w:val="es-CO"/>
        </w:rPr>
        <w:t>8o. Adoptarán las medidas necesarias para mantener durante el desarrollo y ejecución del contrato las condiciones técnicas, económicas y financieras existentes al momento de proponer en los casos en que se hubiere realizado licitación , o de contratar en los casos de contratación directa. Para ello utilizarán los mecanismos de ajuste y revisión de precios, acudirán a los procedimientos de revisión y corrección de tales mecanismos si fracasan los supuestos o hipótesis para la ejecución y pactarán intereses moratorios.</w:t>
      </w:r>
    </w:p>
    <w:p w14:paraId="717EAA17" w14:textId="1D596157" w:rsidR="00D56212" w:rsidRPr="00416C3A" w:rsidRDefault="00D56212" w:rsidP="00416C3A">
      <w:pPr>
        <w:spacing w:before="120" w:after="120"/>
        <w:ind w:left="708"/>
        <w:jc w:val="both"/>
        <w:rPr>
          <w:rFonts w:ascii="Arial" w:hAnsi="Arial" w:cs="Arial"/>
          <w:bCs/>
          <w:sz w:val="21"/>
          <w:szCs w:val="22"/>
          <w:lang w:val="es-CO"/>
        </w:rPr>
      </w:pPr>
      <w:r w:rsidRPr="00416C3A">
        <w:rPr>
          <w:rFonts w:ascii="Arial" w:hAnsi="Arial" w:cs="Arial"/>
          <w:bCs/>
          <w:sz w:val="21"/>
          <w:szCs w:val="22"/>
          <w:lang w:val="es-CO"/>
        </w:rPr>
        <w:t>Sin perjuicio de la actualización o revisión de precios, en caso de no haberse pactado intereses moratorios, se aplicará la tasa equivalente al doble del interés legal civil sobre el valor histórico actualizado.</w:t>
      </w:r>
    </w:p>
    <w:p w14:paraId="11472598" w14:textId="65846156" w:rsidR="00D56212" w:rsidRPr="00416C3A" w:rsidRDefault="004E1C43" w:rsidP="00416C3A">
      <w:pPr>
        <w:ind w:left="709"/>
        <w:jc w:val="both"/>
        <w:rPr>
          <w:rFonts w:ascii="Arial" w:hAnsi="Arial" w:cs="Arial"/>
          <w:bCs/>
          <w:sz w:val="21"/>
          <w:szCs w:val="22"/>
          <w:lang w:val="es-CO"/>
        </w:rPr>
      </w:pPr>
      <w:r w:rsidRPr="00416C3A">
        <w:rPr>
          <w:rFonts w:ascii="Arial" w:hAnsi="Arial" w:cs="Arial"/>
          <w:bCs/>
          <w:sz w:val="21"/>
          <w:szCs w:val="22"/>
        </w:rPr>
        <w:t xml:space="preserve">9o. Actuarán de tal modo </w:t>
      </w:r>
      <w:proofErr w:type="gramStart"/>
      <w:r w:rsidRPr="00416C3A">
        <w:rPr>
          <w:rFonts w:ascii="Arial" w:hAnsi="Arial" w:cs="Arial"/>
          <w:bCs/>
          <w:sz w:val="21"/>
          <w:szCs w:val="22"/>
        </w:rPr>
        <w:t>que</w:t>
      </w:r>
      <w:proofErr w:type="gramEnd"/>
      <w:r w:rsidRPr="00416C3A">
        <w:rPr>
          <w:rFonts w:ascii="Arial" w:hAnsi="Arial" w:cs="Arial"/>
          <w:bCs/>
          <w:sz w:val="21"/>
          <w:szCs w:val="22"/>
        </w:rPr>
        <w:t xml:space="preserve"> por causas a ellas imputables, no sobrevenga una mayor onerosidad en el cumplimiento de las obligaciones a cargo del contratista. Con este fin, en el menor tiempo posible, corregirán los desajustes que pudieren presentarse y acordarán los mecanismos y procedimientos pertinentes para precaver o solucionar rápida y eficazmente las diferencias o situaciones litigiosas que llegaren a presentarse.</w:t>
      </w:r>
    </w:p>
    <w:p w14:paraId="2297125C" w14:textId="77777777" w:rsidR="006E2AE9" w:rsidRPr="00416C3A" w:rsidRDefault="006E2AE9" w:rsidP="00416C3A">
      <w:pPr>
        <w:spacing w:line="276" w:lineRule="auto"/>
        <w:ind w:left="708"/>
        <w:jc w:val="both"/>
        <w:rPr>
          <w:rFonts w:ascii="Arial" w:hAnsi="Arial" w:cs="Arial"/>
          <w:bCs/>
          <w:sz w:val="21"/>
          <w:szCs w:val="22"/>
          <w:lang w:val="es-CO"/>
        </w:rPr>
      </w:pPr>
    </w:p>
    <w:p w14:paraId="1F20CC3F" w14:textId="1247365E" w:rsidR="00EE0B42" w:rsidRPr="00416C3A" w:rsidRDefault="000F322D" w:rsidP="00EA5F10">
      <w:pPr>
        <w:spacing w:before="120" w:after="120" w:line="276" w:lineRule="auto"/>
        <w:ind w:firstLine="708"/>
        <w:jc w:val="both"/>
        <w:rPr>
          <w:rFonts w:ascii="Arial" w:hAnsi="Arial" w:cs="Arial"/>
          <w:sz w:val="22"/>
          <w:lang w:val="es-MX"/>
        </w:rPr>
      </w:pPr>
      <w:r w:rsidRPr="00416C3A">
        <w:rPr>
          <w:rFonts w:ascii="Arial" w:hAnsi="Arial" w:cs="Arial"/>
          <w:bCs/>
          <w:sz w:val="22"/>
        </w:rPr>
        <w:t>Por lo tanto, las entidades gozan de autonomía para establecer el precio, sin perjuicio de las</w:t>
      </w:r>
      <w:r w:rsidR="00EA5F10" w:rsidRPr="00416C3A">
        <w:rPr>
          <w:rFonts w:ascii="Arial" w:hAnsi="Arial" w:cs="Arial"/>
          <w:bCs/>
          <w:sz w:val="22"/>
        </w:rPr>
        <w:t xml:space="preserve"> eventuales</w:t>
      </w:r>
      <w:r w:rsidRPr="00416C3A">
        <w:rPr>
          <w:rFonts w:ascii="Arial" w:hAnsi="Arial" w:cs="Arial"/>
          <w:bCs/>
          <w:sz w:val="22"/>
        </w:rPr>
        <w:t xml:space="preserve"> </w:t>
      </w:r>
      <w:r w:rsidR="002A4910" w:rsidRPr="00416C3A">
        <w:rPr>
          <w:rFonts w:ascii="Arial" w:hAnsi="Arial" w:cs="Arial"/>
          <w:bCs/>
          <w:sz w:val="22"/>
        </w:rPr>
        <w:t>fórmulas</w:t>
      </w:r>
      <w:r w:rsidRPr="00416C3A">
        <w:rPr>
          <w:rFonts w:ascii="Arial" w:hAnsi="Arial" w:cs="Arial"/>
          <w:bCs/>
          <w:sz w:val="22"/>
        </w:rPr>
        <w:t xml:space="preserve"> de reajuste que se </w:t>
      </w:r>
      <w:r w:rsidR="00EA5F10" w:rsidRPr="00416C3A">
        <w:rPr>
          <w:rFonts w:ascii="Arial" w:hAnsi="Arial" w:cs="Arial"/>
          <w:bCs/>
          <w:sz w:val="22"/>
        </w:rPr>
        <w:t>pacten</w:t>
      </w:r>
      <w:r w:rsidRPr="00416C3A">
        <w:rPr>
          <w:rFonts w:ascii="Arial" w:hAnsi="Arial" w:cs="Arial"/>
          <w:bCs/>
          <w:sz w:val="22"/>
        </w:rPr>
        <w:t xml:space="preserve"> en virtud de lo prescrito </w:t>
      </w:r>
      <w:r w:rsidR="00EA5F10" w:rsidRPr="00416C3A">
        <w:rPr>
          <w:rFonts w:ascii="Arial" w:hAnsi="Arial" w:cs="Arial"/>
          <w:bCs/>
          <w:sz w:val="22"/>
        </w:rPr>
        <w:t xml:space="preserve">en </w:t>
      </w:r>
      <w:r w:rsidRPr="00416C3A">
        <w:rPr>
          <w:rFonts w:ascii="Arial" w:hAnsi="Arial" w:cs="Arial"/>
          <w:bCs/>
          <w:sz w:val="22"/>
        </w:rPr>
        <w:t xml:space="preserve">el artículo 27 de la Ley 80 de 1993. </w:t>
      </w:r>
      <w:r w:rsidR="008E4FC5" w:rsidRPr="00416C3A">
        <w:rPr>
          <w:rFonts w:ascii="Arial" w:hAnsi="Arial" w:cs="Arial"/>
          <w:sz w:val="22"/>
          <w:lang w:val="es-MX"/>
        </w:rPr>
        <w:t xml:space="preserve">En tal sentido, en los casos de desequilibrio económico, porque los costos </w:t>
      </w:r>
      <w:r w:rsidR="006359DD" w:rsidRPr="00416C3A">
        <w:rPr>
          <w:rFonts w:ascii="Arial" w:hAnsi="Arial" w:cs="Arial"/>
          <w:sz w:val="22"/>
          <w:lang w:val="es-MX"/>
        </w:rPr>
        <w:t xml:space="preserve">directos o </w:t>
      </w:r>
      <w:r w:rsidR="008E4FC5" w:rsidRPr="00416C3A">
        <w:rPr>
          <w:rFonts w:ascii="Arial" w:hAnsi="Arial" w:cs="Arial"/>
          <w:sz w:val="22"/>
          <w:lang w:val="es-MX"/>
        </w:rPr>
        <w:t xml:space="preserve">indirectos en los que incurre el contratista exceden el alea normal, es decir, le causan una afectación grave de su economía, podría exigirle a la entidad que le pague más de lo </w:t>
      </w:r>
      <w:r w:rsidR="006359DD" w:rsidRPr="00416C3A">
        <w:rPr>
          <w:rFonts w:ascii="Arial" w:hAnsi="Arial" w:cs="Arial"/>
          <w:sz w:val="22"/>
          <w:lang w:val="es-MX"/>
        </w:rPr>
        <w:t>estipulado</w:t>
      </w:r>
      <w:r w:rsidR="008E4FC5" w:rsidRPr="00416C3A">
        <w:rPr>
          <w:rFonts w:ascii="Arial" w:hAnsi="Arial" w:cs="Arial"/>
          <w:sz w:val="22"/>
          <w:lang w:val="es-MX"/>
        </w:rPr>
        <w:t>, siendo esta una circunstancia extraordinaria.</w:t>
      </w:r>
      <w:r w:rsidR="0012523E" w:rsidRPr="00416C3A">
        <w:rPr>
          <w:rFonts w:ascii="Arial" w:hAnsi="Arial" w:cs="Arial"/>
          <w:sz w:val="22"/>
          <w:lang w:val="es-MX"/>
        </w:rPr>
        <w:t xml:space="preserve"> No obstante, la concreción de estas posibilidades </w:t>
      </w:r>
      <w:r w:rsidR="00D56212" w:rsidRPr="00416C3A">
        <w:rPr>
          <w:rFonts w:ascii="Arial" w:hAnsi="Arial" w:cs="Arial"/>
          <w:sz w:val="22"/>
          <w:lang w:val="es-MX"/>
        </w:rPr>
        <w:t>s</w:t>
      </w:r>
      <w:r w:rsidR="0012523E" w:rsidRPr="00416C3A">
        <w:rPr>
          <w:rFonts w:ascii="Arial" w:hAnsi="Arial" w:cs="Arial"/>
          <w:sz w:val="22"/>
          <w:lang w:val="es-MX"/>
        </w:rPr>
        <w:t>e definirá en cada contrato en particular</w:t>
      </w:r>
      <w:r w:rsidR="000D0228" w:rsidRPr="00416C3A">
        <w:rPr>
          <w:rFonts w:ascii="Arial" w:hAnsi="Arial" w:cs="Arial"/>
          <w:sz w:val="22"/>
          <w:lang w:val="es-MX"/>
        </w:rPr>
        <w:t>, atend</w:t>
      </w:r>
      <w:r w:rsidR="006359DD" w:rsidRPr="00416C3A">
        <w:rPr>
          <w:rFonts w:ascii="Arial" w:hAnsi="Arial" w:cs="Arial"/>
          <w:sz w:val="22"/>
          <w:lang w:val="es-MX"/>
        </w:rPr>
        <w:t>iendo a las eventuales controversias que se susciten entre las partes del contrato.</w:t>
      </w:r>
    </w:p>
    <w:p w14:paraId="01446755" w14:textId="71518CA8" w:rsidR="006E2AE9" w:rsidRPr="00416C3A" w:rsidRDefault="00416C3A" w:rsidP="006E2AE9">
      <w:pPr>
        <w:spacing w:before="120" w:after="120" w:line="276" w:lineRule="auto"/>
        <w:ind w:firstLine="708"/>
        <w:jc w:val="both"/>
        <w:rPr>
          <w:rFonts w:ascii="Arial" w:hAnsi="Arial" w:cs="Arial"/>
          <w:sz w:val="22"/>
        </w:rPr>
      </w:pPr>
      <w:r w:rsidRPr="00416C3A">
        <w:rPr>
          <w:rFonts w:ascii="Arial" w:hAnsi="Arial" w:cs="Arial"/>
          <w:sz w:val="22"/>
        </w:rPr>
        <w:t>A</w:t>
      </w:r>
      <w:r w:rsidR="000F322D" w:rsidRPr="00416C3A">
        <w:rPr>
          <w:rFonts w:ascii="Arial" w:hAnsi="Arial" w:cs="Arial"/>
          <w:sz w:val="22"/>
        </w:rPr>
        <w:t xml:space="preserve">hora bien, </w:t>
      </w:r>
      <w:r w:rsidR="003C108D" w:rsidRPr="00416C3A">
        <w:rPr>
          <w:rFonts w:ascii="Arial" w:hAnsi="Arial" w:cs="Arial"/>
          <w:sz w:val="22"/>
        </w:rPr>
        <w:t xml:space="preserve">las entidades estatales </w:t>
      </w:r>
      <w:r w:rsidR="00D37E92" w:rsidRPr="00416C3A">
        <w:rPr>
          <w:rFonts w:ascii="Arial" w:hAnsi="Arial" w:cs="Arial"/>
          <w:sz w:val="22"/>
        </w:rPr>
        <w:t xml:space="preserve">al establecer las condiciones del proceso </w:t>
      </w:r>
      <w:r w:rsidR="00A918E1" w:rsidRPr="00416C3A">
        <w:rPr>
          <w:rFonts w:ascii="Arial" w:hAnsi="Arial" w:cs="Arial"/>
          <w:sz w:val="22"/>
        </w:rPr>
        <w:t>contractual</w:t>
      </w:r>
      <w:r w:rsidR="00D37E92" w:rsidRPr="00416C3A">
        <w:rPr>
          <w:rFonts w:ascii="Arial" w:hAnsi="Arial" w:cs="Arial"/>
          <w:sz w:val="22"/>
        </w:rPr>
        <w:t xml:space="preserve"> deben </w:t>
      </w:r>
      <w:r w:rsidR="003C108D" w:rsidRPr="00416C3A">
        <w:rPr>
          <w:rFonts w:ascii="Arial" w:hAnsi="Arial" w:cs="Arial"/>
          <w:sz w:val="22"/>
        </w:rPr>
        <w:t xml:space="preserve">respetar los </w:t>
      </w:r>
      <w:r w:rsidR="009E4074" w:rsidRPr="00416C3A">
        <w:rPr>
          <w:rFonts w:ascii="Arial" w:hAnsi="Arial" w:cs="Arial"/>
          <w:sz w:val="22"/>
        </w:rPr>
        <w:t xml:space="preserve">preceptos constitucionales, legales o reglamentarios, </w:t>
      </w:r>
      <w:r w:rsidR="003C108D" w:rsidRPr="00416C3A">
        <w:rPr>
          <w:rFonts w:ascii="Arial" w:hAnsi="Arial" w:cs="Arial"/>
          <w:sz w:val="22"/>
        </w:rPr>
        <w:t xml:space="preserve">y </w:t>
      </w:r>
      <w:r w:rsidR="00D37E92" w:rsidRPr="00416C3A">
        <w:rPr>
          <w:rFonts w:ascii="Arial" w:hAnsi="Arial" w:cs="Arial"/>
          <w:sz w:val="22"/>
        </w:rPr>
        <w:t xml:space="preserve">adicionalmente, no deben </w:t>
      </w:r>
      <w:r w:rsidR="00A918E1" w:rsidRPr="00416C3A">
        <w:rPr>
          <w:rFonts w:ascii="Arial" w:hAnsi="Arial" w:cs="Arial"/>
          <w:sz w:val="22"/>
        </w:rPr>
        <w:t>establecer</w:t>
      </w:r>
      <w:r w:rsidR="00D37E92" w:rsidRPr="00416C3A">
        <w:rPr>
          <w:rFonts w:ascii="Arial" w:hAnsi="Arial" w:cs="Arial"/>
          <w:sz w:val="22"/>
        </w:rPr>
        <w:t xml:space="preserve"> cláusulas que contravengan los dispuesto en el </w:t>
      </w:r>
      <w:r w:rsidR="00A918E1" w:rsidRPr="00416C3A">
        <w:rPr>
          <w:rFonts w:ascii="Arial" w:hAnsi="Arial" w:cs="Arial"/>
          <w:sz w:val="22"/>
        </w:rPr>
        <w:t>numeral</w:t>
      </w:r>
      <w:r w:rsidR="00D37E92" w:rsidRPr="00416C3A">
        <w:rPr>
          <w:rFonts w:ascii="Arial" w:hAnsi="Arial" w:cs="Arial"/>
          <w:sz w:val="22"/>
        </w:rPr>
        <w:t xml:space="preserve"> 5 del artículo 24 de la Ley 80 de 1993, al respecto, se resalta que será ineficaz de pleno derecho, aquellas estipulaciones que </w:t>
      </w:r>
      <w:r w:rsidR="00FB2F20" w:rsidRPr="00416C3A">
        <w:rPr>
          <w:rFonts w:ascii="Arial" w:hAnsi="Arial" w:cs="Arial"/>
          <w:sz w:val="22"/>
        </w:rPr>
        <w:t>dispongan renuncias a reclamaciones por los hechos enunciados en dicho numeral</w:t>
      </w:r>
      <w:r w:rsidR="006E2AE9" w:rsidRPr="00416C3A">
        <w:rPr>
          <w:rFonts w:ascii="Arial" w:hAnsi="Arial" w:cs="Arial"/>
          <w:sz w:val="22"/>
        </w:rPr>
        <w:t xml:space="preserve">. </w:t>
      </w:r>
    </w:p>
    <w:p w14:paraId="5B243FBB" w14:textId="08CB3092" w:rsidR="006E2AE9" w:rsidRPr="00416C3A" w:rsidRDefault="004613CE" w:rsidP="00EF5AF0">
      <w:pPr>
        <w:spacing w:before="120" w:after="120" w:line="276" w:lineRule="auto"/>
        <w:ind w:firstLine="708"/>
        <w:jc w:val="both"/>
        <w:rPr>
          <w:rFonts w:ascii="Arial" w:hAnsi="Arial" w:cs="Arial"/>
          <w:sz w:val="22"/>
        </w:rPr>
      </w:pPr>
      <w:r w:rsidRPr="00416C3A">
        <w:rPr>
          <w:rFonts w:ascii="Arial" w:hAnsi="Arial" w:cs="Arial"/>
          <w:sz w:val="22"/>
        </w:rPr>
        <w:t>Por su parte</w:t>
      </w:r>
      <w:r w:rsidR="00EA5F10" w:rsidRPr="00416C3A">
        <w:rPr>
          <w:rFonts w:ascii="Arial" w:hAnsi="Arial" w:cs="Arial"/>
          <w:sz w:val="22"/>
        </w:rPr>
        <w:t>, e</w:t>
      </w:r>
      <w:r w:rsidR="006E2AE9" w:rsidRPr="00416C3A">
        <w:rPr>
          <w:rFonts w:ascii="Arial" w:hAnsi="Arial" w:cs="Arial"/>
          <w:sz w:val="22"/>
        </w:rPr>
        <w:t>n el caso que la fórmula de reajuste de precios</w:t>
      </w:r>
      <w:r w:rsidR="00FB2F20" w:rsidRPr="00416C3A">
        <w:rPr>
          <w:rFonts w:ascii="Arial" w:hAnsi="Arial" w:cs="Arial"/>
          <w:sz w:val="22"/>
        </w:rPr>
        <w:t xml:space="preserve"> no se encuentre pactada, es deber de la entidad mantener las condiciones económicas y financieras del contrato estatal, en virtud del numeral 8 del artículo </w:t>
      </w:r>
      <w:r w:rsidR="00AD3594" w:rsidRPr="00416C3A">
        <w:rPr>
          <w:rFonts w:ascii="Arial" w:hAnsi="Arial" w:cs="Arial"/>
          <w:sz w:val="22"/>
        </w:rPr>
        <w:t xml:space="preserve">4 </w:t>
      </w:r>
      <w:r w:rsidR="00FB2F20" w:rsidRPr="00416C3A">
        <w:rPr>
          <w:rFonts w:ascii="Arial" w:hAnsi="Arial" w:cs="Arial"/>
          <w:sz w:val="22"/>
        </w:rPr>
        <w:t>de la Ley 80 de 1993</w:t>
      </w:r>
      <w:r w:rsidR="006E2AE9" w:rsidRPr="00416C3A">
        <w:rPr>
          <w:rFonts w:ascii="Arial" w:hAnsi="Arial" w:cs="Arial"/>
          <w:sz w:val="22"/>
        </w:rPr>
        <w:t>, sin perjuicio</w:t>
      </w:r>
      <w:r w:rsidR="00EA5F10" w:rsidRPr="00416C3A">
        <w:rPr>
          <w:rFonts w:ascii="Arial" w:hAnsi="Arial" w:cs="Arial"/>
          <w:sz w:val="22"/>
        </w:rPr>
        <w:t xml:space="preserve"> de</w:t>
      </w:r>
      <w:r w:rsidR="006E2AE9" w:rsidRPr="00416C3A">
        <w:rPr>
          <w:rFonts w:ascii="Arial" w:hAnsi="Arial" w:cs="Arial"/>
          <w:sz w:val="22"/>
        </w:rPr>
        <w:t xml:space="preserve"> que el contratista pueda acudir a la Jurisdicción de lo Contencioso Administrativo a través del medio de control de controversias contractuales establecido en el artículo 141 del CPACA, para pedir entre otras cosas, que se ordene la revisión del </w:t>
      </w:r>
      <w:r w:rsidR="00EF5AF0" w:rsidRPr="00416C3A">
        <w:rPr>
          <w:rFonts w:ascii="Arial" w:hAnsi="Arial" w:cs="Arial"/>
          <w:sz w:val="22"/>
        </w:rPr>
        <w:t>mismo</w:t>
      </w:r>
      <w:r w:rsidR="006E2AE9" w:rsidRPr="00416C3A">
        <w:rPr>
          <w:rStyle w:val="Refdenotaalpie"/>
          <w:rFonts w:ascii="Arial" w:hAnsi="Arial" w:cs="Arial"/>
          <w:color w:val="000000" w:themeColor="text1"/>
          <w:sz w:val="22"/>
          <w:szCs w:val="22"/>
        </w:rPr>
        <w:footnoteReference w:id="15"/>
      </w:r>
      <w:r w:rsidR="006E2AE9" w:rsidRPr="00416C3A">
        <w:rPr>
          <w:rFonts w:ascii="Arial" w:hAnsi="Arial" w:cs="Arial"/>
          <w:color w:val="000000" w:themeColor="text1"/>
          <w:sz w:val="22"/>
          <w:szCs w:val="22"/>
        </w:rPr>
        <w:t>.</w:t>
      </w:r>
    </w:p>
    <w:p w14:paraId="51F870AC" w14:textId="3944BCC1" w:rsidR="00F32CCB" w:rsidRPr="00416C3A" w:rsidRDefault="00F32CCB" w:rsidP="00AD3594">
      <w:pPr>
        <w:spacing w:line="276" w:lineRule="auto"/>
        <w:ind w:firstLine="708"/>
        <w:jc w:val="both"/>
        <w:rPr>
          <w:rFonts w:ascii="Arial" w:hAnsi="Arial" w:cs="Arial"/>
          <w:bCs/>
          <w:sz w:val="22"/>
        </w:rPr>
      </w:pPr>
      <w:r w:rsidRPr="00416C3A">
        <w:rPr>
          <w:rFonts w:ascii="Arial" w:hAnsi="Arial" w:cs="Arial"/>
          <w:bCs/>
          <w:sz w:val="22"/>
        </w:rPr>
        <w:t>Teniendo en cuenta los elementos anteriores, sin perjuicio de los análisis de planeación</w:t>
      </w:r>
      <w:r w:rsidR="00AD3594" w:rsidRPr="00416C3A">
        <w:rPr>
          <w:rFonts w:ascii="Arial" w:hAnsi="Arial" w:cs="Arial"/>
          <w:bCs/>
          <w:sz w:val="22"/>
        </w:rPr>
        <w:t xml:space="preserve"> que le corresponde realizar a la entidad estatal para definir el valor del contrato, y los deberes que establece los numerales 8 y 9 del artículo 4 de la Ley 80 de 1993 respecto al reajuste de precios</w:t>
      </w:r>
      <w:r w:rsidRPr="00416C3A">
        <w:rPr>
          <w:rFonts w:ascii="Arial" w:hAnsi="Arial" w:cs="Arial"/>
          <w:bCs/>
          <w:sz w:val="22"/>
        </w:rPr>
        <w:t xml:space="preserve">, conviene destacar que estas cuentan con discrecionalidad en la </w:t>
      </w:r>
      <w:r w:rsidRPr="00416C3A">
        <w:rPr>
          <w:rFonts w:ascii="Arial" w:hAnsi="Arial" w:cs="Arial"/>
          <w:bCs/>
          <w:sz w:val="22"/>
        </w:rPr>
        <w:lastRenderedPageBreak/>
        <w:t xml:space="preserve">estructuración y definición del valor del contrato. Lo anterior, sin perjuicio de las observaciones que pueden realizar los interesados en el proceso frente al proyecto de pliego de condiciones o el pliego de condiciones, en </w:t>
      </w:r>
      <w:r w:rsidR="008279C9" w:rsidRPr="00416C3A">
        <w:rPr>
          <w:rFonts w:ascii="Arial" w:hAnsi="Arial" w:cs="Arial"/>
          <w:bCs/>
          <w:sz w:val="22"/>
        </w:rPr>
        <w:t xml:space="preserve">los </w:t>
      </w:r>
      <w:r w:rsidRPr="00416C3A">
        <w:rPr>
          <w:rFonts w:ascii="Arial" w:hAnsi="Arial" w:cs="Arial"/>
          <w:bCs/>
          <w:sz w:val="22"/>
        </w:rPr>
        <w:t>términos establecidos en los documentos del proceso, las cuales corresponderá resolver de forma motivada a cada entidad estatal.</w:t>
      </w:r>
    </w:p>
    <w:p w14:paraId="1D09FBB3" w14:textId="2309D5B9" w:rsidR="00EF5AF0" w:rsidRPr="00416C3A" w:rsidRDefault="00EF5AF0" w:rsidP="00AD3594">
      <w:pPr>
        <w:spacing w:line="276" w:lineRule="auto"/>
        <w:ind w:firstLine="708"/>
        <w:jc w:val="both"/>
        <w:rPr>
          <w:rFonts w:ascii="Arial" w:hAnsi="Arial" w:cs="Arial"/>
          <w:bCs/>
          <w:sz w:val="22"/>
        </w:rPr>
      </w:pPr>
    </w:p>
    <w:p w14:paraId="4B58EFED" w14:textId="3D1E78B3" w:rsidR="00EF5AF0" w:rsidRPr="00416C3A" w:rsidRDefault="00EA5F10" w:rsidP="00AD3594">
      <w:pPr>
        <w:spacing w:line="276" w:lineRule="auto"/>
        <w:ind w:firstLine="708"/>
        <w:jc w:val="both"/>
        <w:rPr>
          <w:rFonts w:ascii="Arial" w:hAnsi="Arial" w:cs="Arial"/>
          <w:bCs/>
          <w:sz w:val="22"/>
        </w:rPr>
      </w:pPr>
      <w:r w:rsidRPr="00416C3A">
        <w:rPr>
          <w:rFonts w:ascii="Arial" w:hAnsi="Arial" w:cs="Arial"/>
          <w:bCs/>
          <w:sz w:val="22"/>
        </w:rPr>
        <w:t>Finalmente</w:t>
      </w:r>
      <w:r w:rsidR="00EF5AF0" w:rsidRPr="00416C3A">
        <w:rPr>
          <w:rFonts w:ascii="Arial" w:hAnsi="Arial" w:cs="Arial"/>
          <w:bCs/>
          <w:sz w:val="22"/>
        </w:rPr>
        <w:t>,</w:t>
      </w:r>
      <w:r w:rsidRPr="00416C3A">
        <w:rPr>
          <w:rFonts w:ascii="Arial" w:hAnsi="Arial" w:cs="Arial"/>
          <w:bCs/>
          <w:sz w:val="22"/>
        </w:rPr>
        <w:t xml:space="preserve"> conviene precisar que</w:t>
      </w:r>
      <w:r w:rsidR="00EF5AF0" w:rsidRPr="00416C3A">
        <w:rPr>
          <w:rFonts w:ascii="Arial" w:hAnsi="Arial" w:cs="Arial"/>
          <w:bCs/>
          <w:sz w:val="22"/>
        </w:rPr>
        <w:t xml:space="preserve"> </w:t>
      </w:r>
      <w:r w:rsidR="00E01094" w:rsidRPr="00416C3A">
        <w:rPr>
          <w:rFonts w:ascii="Arial" w:hAnsi="Arial" w:cs="Arial"/>
          <w:bCs/>
          <w:sz w:val="22"/>
        </w:rPr>
        <w:t>los oferentes serán libres de presentar propuesta en el proceso de selección y ellos son los que definirán si la participación en el proceso resuelta de beneficio para sus intereses</w:t>
      </w:r>
      <w:r w:rsidRPr="00416C3A">
        <w:rPr>
          <w:rFonts w:ascii="Arial" w:hAnsi="Arial" w:cs="Arial"/>
          <w:bCs/>
          <w:sz w:val="22"/>
        </w:rPr>
        <w:t xml:space="preserve">, en las condiciones en que la entidad haya definido el contenido de los documentos del proceso </w:t>
      </w:r>
    </w:p>
    <w:p w14:paraId="0FAA6900" w14:textId="266A22B3" w:rsidR="0012523E" w:rsidRPr="00416C3A" w:rsidRDefault="0012523E" w:rsidP="00FC4E85">
      <w:pPr>
        <w:spacing w:line="276" w:lineRule="auto"/>
        <w:jc w:val="both"/>
        <w:rPr>
          <w:rFonts w:ascii="Arial" w:hAnsi="Arial" w:cs="Arial"/>
          <w:sz w:val="22"/>
          <w:lang w:val="es-MX"/>
        </w:rPr>
      </w:pPr>
    </w:p>
    <w:p w14:paraId="50C1E466" w14:textId="03A89D63" w:rsidR="00FC4E85" w:rsidRPr="00416C3A" w:rsidRDefault="00FC4E85" w:rsidP="00FC4E85">
      <w:pPr>
        <w:pStyle w:val="Prrafodelista"/>
        <w:numPr>
          <w:ilvl w:val="1"/>
          <w:numId w:val="9"/>
        </w:numPr>
        <w:spacing w:line="276" w:lineRule="auto"/>
        <w:jc w:val="both"/>
        <w:rPr>
          <w:rFonts w:ascii="Arial" w:hAnsi="Arial" w:cs="Arial"/>
          <w:b/>
          <w:bCs/>
          <w:sz w:val="22"/>
        </w:rPr>
      </w:pPr>
      <w:r w:rsidRPr="00416C3A">
        <w:rPr>
          <w:rFonts w:ascii="Arial" w:hAnsi="Arial" w:cs="Arial"/>
          <w:b/>
          <w:bCs/>
          <w:sz w:val="22"/>
        </w:rPr>
        <w:t xml:space="preserve">Riesgos en la Contratación Estatal </w:t>
      </w:r>
    </w:p>
    <w:p w14:paraId="76AA8DA4" w14:textId="73D9584D" w:rsidR="00FC4E85" w:rsidRPr="00416C3A" w:rsidRDefault="00FC4E85" w:rsidP="00FC4E85">
      <w:pPr>
        <w:spacing w:line="276" w:lineRule="auto"/>
        <w:jc w:val="both"/>
        <w:rPr>
          <w:rFonts w:ascii="Arial" w:hAnsi="Arial" w:cs="Arial"/>
          <w:b/>
          <w:bCs/>
          <w:sz w:val="22"/>
        </w:rPr>
      </w:pPr>
    </w:p>
    <w:p w14:paraId="0EFDB02D" w14:textId="77777777" w:rsidR="00146B95" w:rsidRPr="00416C3A" w:rsidRDefault="00146B95" w:rsidP="00146B95">
      <w:pPr>
        <w:spacing w:after="120" w:line="276" w:lineRule="auto"/>
        <w:jc w:val="both"/>
        <w:textAlignment w:val="baseline"/>
        <w:rPr>
          <w:rFonts w:ascii="Arial" w:hAnsi="Arial" w:cs="Arial"/>
          <w:sz w:val="22"/>
          <w:szCs w:val="22"/>
          <w:lang w:val="es-ES" w:eastAsia="es-CO"/>
        </w:rPr>
      </w:pPr>
      <w:r w:rsidRPr="00416C3A">
        <w:rPr>
          <w:rFonts w:ascii="Arial" w:hAnsi="Arial" w:cs="Arial"/>
          <w:sz w:val="22"/>
          <w:szCs w:val="22"/>
          <w:lang w:val="es-ES" w:eastAsia="es-CO"/>
        </w:rPr>
        <w:t>La Real Academia de la Lengua Española – RAE define el riesgo como «1. m. Contingencia o proximidad de un daño. 2. m. Cada una de las contingencias que pueden ser objeto de un contrato de seguro». La literatura internacional define el riesgo en las adquisiciones como los eventos que pueden afectar la realización de la ejecución contractual y cuya ocurrencia no puede ser predicha de manera exacta por las partes involucradas en el Proceso de Contratación</w:t>
      </w:r>
      <w:r w:rsidRPr="00416C3A">
        <w:rPr>
          <w:rStyle w:val="Refdenotaalpie"/>
          <w:rFonts w:ascii="Arial" w:hAnsi="Arial" w:cs="Arial"/>
          <w:sz w:val="22"/>
          <w:szCs w:val="22"/>
          <w:lang w:val="es-ES" w:eastAsia="es-CO"/>
        </w:rPr>
        <w:footnoteReference w:id="16"/>
      </w:r>
      <w:r w:rsidRPr="00416C3A">
        <w:rPr>
          <w:rFonts w:ascii="Arial" w:hAnsi="Arial" w:cs="Arial"/>
          <w:sz w:val="22"/>
          <w:szCs w:val="22"/>
          <w:lang w:val="es-ES" w:eastAsia="es-CO"/>
        </w:rPr>
        <w:t>.</w:t>
      </w:r>
    </w:p>
    <w:p w14:paraId="355C5FCD" w14:textId="77777777" w:rsidR="00146B95" w:rsidRPr="00416C3A" w:rsidRDefault="00146B95" w:rsidP="00146B95">
      <w:pPr>
        <w:spacing w:line="276" w:lineRule="auto"/>
        <w:ind w:firstLine="708"/>
        <w:jc w:val="both"/>
        <w:textAlignment w:val="baseline"/>
        <w:rPr>
          <w:rFonts w:ascii="Arial" w:hAnsi="Arial" w:cs="Arial"/>
          <w:sz w:val="22"/>
          <w:szCs w:val="22"/>
          <w:lang w:val="es-ES" w:eastAsia="es-CO"/>
        </w:rPr>
      </w:pPr>
      <w:r w:rsidRPr="00416C3A">
        <w:rPr>
          <w:rFonts w:ascii="Arial" w:hAnsi="Arial" w:cs="Arial"/>
          <w:sz w:val="22"/>
          <w:szCs w:val="22"/>
          <w:lang w:val="es-ES" w:eastAsia="es-CO"/>
        </w:rPr>
        <w:t>Tratándose de la normativa que regula lo relativo a los riesgos, el Decreto 423 de 2001 por medio del cual se reglamentó parcialmente la Ley 488 de 1998 –compilado actualmente en el Decreto 1068 de 2015– estableció que el Consejo de Política Económica y Social orientaría la política de riesgo contractual del Estado a partir del principio en relación con el cual corresponde a las entidades estatales asumir los riesgos propios de su carácter público y del objeto social para el que fueron creadas o autorizadas, y a los contratistas aquellos relacionados con su objeto. Los artículos 14 y 15 del mencionado Decreto establecen:</w:t>
      </w:r>
    </w:p>
    <w:p w14:paraId="33D410D1" w14:textId="77777777" w:rsidR="00146B95" w:rsidRPr="00416C3A" w:rsidRDefault="00146B95" w:rsidP="00146B95">
      <w:pPr>
        <w:ind w:left="709" w:right="709"/>
        <w:jc w:val="both"/>
        <w:textAlignment w:val="baseline"/>
        <w:rPr>
          <w:rFonts w:ascii="Arial" w:hAnsi="Arial" w:cs="Arial"/>
          <w:sz w:val="21"/>
          <w:szCs w:val="21"/>
          <w:lang w:val="es-ES" w:eastAsia="es-CO"/>
        </w:rPr>
      </w:pPr>
    </w:p>
    <w:p w14:paraId="6995F77E" w14:textId="77777777" w:rsidR="00146B95" w:rsidRPr="00416C3A" w:rsidRDefault="00146B95" w:rsidP="00146B95">
      <w:pPr>
        <w:pStyle w:val="NormalWeb"/>
        <w:shd w:val="clear" w:color="auto" w:fill="FFFFFF"/>
        <w:spacing w:before="0" w:beforeAutospacing="0" w:after="120" w:afterAutospacing="0"/>
        <w:ind w:left="709" w:right="709"/>
        <w:jc w:val="both"/>
        <w:rPr>
          <w:rFonts w:ascii="Arial" w:hAnsi="Arial" w:cs="Arial"/>
          <w:sz w:val="21"/>
          <w:szCs w:val="21"/>
        </w:rPr>
      </w:pPr>
      <w:r w:rsidRPr="00416C3A">
        <w:rPr>
          <w:rFonts w:ascii="Arial" w:hAnsi="Arial" w:cs="Arial"/>
          <w:sz w:val="21"/>
          <w:szCs w:val="21"/>
        </w:rPr>
        <w:t>Artículo 15. De la política de riesgo contractual del Estado. Las entidades estatales sometidas al régimen aquí previsto, deberán ajustarse a la política de riesgo contractual del Estado, conformada por los principios, pautas e instrucciones que determine el Gobierno Nacional, para la estipulación de obligaciones contingentes a su cargo.</w:t>
      </w:r>
    </w:p>
    <w:p w14:paraId="3944873F" w14:textId="77777777" w:rsidR="00146B95" w:rsidRPr="00416C3A" w:rsidRDefault="00146B95" w:rsidP="00146B95">
      <w:pPr>
        <w:pStyle w:val="NormalWeb"/>
        <w:shd w:val="clear" w:color="auto" w:fill="FFFFFF"/>
        <w:spacing w:before="0" w:beforeAutospacing="0" w:after="0" w:afterAutospacing="0"/>
        <w:ind w:left="709" w:right="709"/>
        <w:jc w:val="both"/>
        <w:rPr>
          <w:rFonts w:ascii="Arial" w:hAnsi="Arial" w:cs="Arial"/>
          <w:sz w:val="21"/>
          <w:szCs w:val="21"/>
        </w:rPr>
      </w:pPr>
      <w:r w:rsidRPr="00416C3A">
        <w:rPr>
          <w:rFonts w:ascii="Arial" w:hAnsi="Arial" w:cs="Arial"/>
          <w:sz w:val="21"/>
          <w:szCs w:val="21"/>
        </w:rPr>
        <w:t xml:space="preserve">Artículo 16. Del diseño de la política de riesgo contractual del Estado. El Consejo de Política Económica y Social, </w:t>
      </w:r>
      <w:proofErr w:type="spellStart"/>
      <w:r w:rsidRPr="00416C3A">
        <w:rPr>
          <w:rFonts w:ascii="Arial" w:hAnsi="Arial" w:cs="Arial"/>
          <w:sz w:val="21"/>
          <w:szCs w:val="21"/>
        </w:rPr>
        <w:t>Conpes</w:t>
      </w:r>
      <w:proofErr w:type="spellEnd"/>
      <w:r w:rsidRPr="00416C3A">
        <w:rPr>
          <w:rFonts w:ascii="Arial" w:hAnsi="Arial" w:cs="Arial"/>
          <w:sz w:val="21"/>
          <w:szCs w:val="21"/>
        </w:rPr>
        <w:t xml:space="preserve">, orientará la política de riesgo contractual del Estado a partir del principio de que corresponde a las entidades </w:t>
      </w:r>
      <w:r w:rsidRPr="00416C3A">
        <w:rPr>
          <w:rFonts w:ascii="Arial" w:hAnsi="Arial" w:cs="Arial"/>
          <w:sz w:val="21"/>
          <w:szCs w:val="21"/>
        </w:rPr>
        <w:lastRenderedPageBreak/>
        <w:t>estatales asumir los riesgos propios de su carácter público y del objeto social para el que fueron creadas o autorizadas, y a los contratistas aquéllos determinados por el lucro que constituye el objeto principal de su actividad.</w:t>
      </w:r>
    </w:p>
    <w:p w14:paraId="15055A00" w14:textId="77777777" w:rsidR="00146B95" w:rsidRPr="00416C3A" w:rsidRDefault="00146B95" w:rsidP="00146B95">
      <w:pPr>
        <w:ind w:firstLine="705"/>
        <w:jc w:val="both"/>
        <w:textAlignment w:val="baseline"/>
        <w:rPr>
          <w:rFonts w:ascii="Arial" w:hAnsi="Arial" w:cs="Arial"/>
          <w:sz w:val="22"/>
          <w:szCs w:val="22"/>
          <w:lang w:val="es-ES" w:eastAsia="es-CO"/>
        </w:rPr>
      </w:pPr>
    </w:p>
    <w:p w14:paraId="095A6AE0" w14:textId="77777777" w:rsidR="00146B95" w:rsidRPr="00416C3A" w:rsidRDefault="00146B95" w:rsidP="00146B95">
      <w:pPr>
        <w:spacing w:line="276" w:lineRule="auto"/>
        <w:ind w:firstLine="705"/>
        <w:jc w:val="both"/>
        <w:textAlignment w:val="baseline"/>
        <w:rPr>
          <w:rFonts w:ascii="Arial" w:hAnsi="Arial" w:cs="Arial"/>
          <w:sz w:val="22"/>
          <w:szCs w:val="22"/>
          <w:lang w:val="es-ES" w:eastAsia="es-CO"/>
        </w:rPr>
      </w:pPr>
      <w:r w:rsidRPr="00416C3A">
        <w:rPr>
          <w:rFonts w:ascii="Arial" w:hAnsi="Arial" w:cs="Arial"/>
          <w:sz w:val="22"/>
          <w:szCs w:val="22"/>
          <w:lang w:val="es-ES" w:eastAsia="es-CO"/>
        </w:rPr>
        <w:t xml:space="preserve">Por su parte, la Ley 1150 de 2007 pretendía que durante la planeación de los procesos de contratación las entidades estatales estimaran de forma anticipada las posibles eventualidades que puedan generarse durante la ejecución del contrato. En tal sentido, la exposición de motivos del proyecto de ley, «Por medio de la cual se modifica la Ley 80 de 1993, Estatuto General de Contratación de la Administración Pública», hoy Ley 1150 de 2007 explicó que:  </w:t>
      </w:r>
    </w:p>
    <w:p w14:paraId="6CC2C1AE" w14:textId="77777777" w:rsidR="00146B95" w:rsidRPr="00416C3A" w:rsidRDefault="00146B95" w:rsidP="00146B95">
      <w:pPr>
        <w:jc w:val="both"/>
        <w:textAlignment w:val="baseline"/>
      </w:pPr>
    </w:p>
    <w:p w14:paraId="068D13CB" w14:textId="77777777" w:rsidR="00146B95" w:rsidRPr="00416C3A" w:rsidRDefault="00146B95" w:rsidP="00146B95">
      <w:pPr>
        <w:ind w:left="709" w:right="709"/>
        <w:jc w:val="both"/>
        <w:textAlignment w:val="baseline"/>
        <w:rPr>
          <w:rFonts w:ascii="Arial" w:hAnsi="Arial" w:cs="Arial"/>
          <w:sz w:val="21"/>
          <w:szCs w:val="21"/>
          <w:lang w:eastAsia="es-CO"/>
        </w:rPr>
      </w:pPr>
      <w:r w:rsidRPr="00416C3A">
        <w:rPr>
          <w:rFonts w:ascii="Arial" w:hAnsi="Arial" w:cs="Arial"/>
          <w:sz w:val="21"/>
          <w:szCs w:val="21"/>
          <w:lang w:eastAsia="es-CO"/>
        </w:rPr>
        <w:t>En ese panorama y no obstante el tamaño e impacto del gasto que se ejecuta por medio de contratos, se aprecia la ausencia de instrumentos legales que permitan la optimización y el uso eficiente de los recursos públicos involucrados en la contratación. De esta forma, el proyecto que se presenta busca orientar a las entidades hacia el fortalecimiento de los procesos de planeación permitiendo la estimación anticipada de las contingencias que puedan producirse en su ejecución, el diseño de procesos adecuados a la naturaleza de los diferentes objetos contractuales, la utilización de mecanismos de contratación que permitan el aprovechamiento de economías de escala, la incorporación de probados mecanismos para “extraer valor” el proceso contractual (subastas, compra por catálogo, uso de bolsas de productos) y el establecimiento de indicadores para evaluar la utilización eficiente de los recursos (administrativos y presupuestales) involucrados en la ejecución contractual</w:t>
      </w:r>
      <w:r w:rsidRPr="00416C3A">
        <w:rPr>
          <w:rStyle w:val="Refdenotaalpie"/>
          <w:rFonts w:ascii="Arial" w:hAnsi="Arial" w:cs="Arial"/>
          <w:sz w:val="21"/>
          <w:szCs w:val="21"/>
          <w:lang w:eastAsia="es-CO"/>
        </w:rPr>
        <w:footnoteReference w:id="17"/>
      </w:r>
      <w:r w:rsidRPr="00416C3A">
        <w:rPr>
          <w:rFonts w:ascii="Arial" w:hAnsi="Arial" w:cs="Arial"/>
          <w:sz w:val="21"/>
          <w:szCs w:val="21"/>
          <w:lang w:eastAsia="es-CO"/>
        </w:rPr>
        <w:t>.</w:t>
      </w:r>
    </w:p>
    <w:p w14:paraId="6D3D15A8" w14:textId="77777777" w:rsidR="00146B95" w:rsidRPr="00416C3A" w:rsidRDefault="00146B95" w:rsidP="00146B95">
      <w:pPr>
        <w:ind w:firstLine="705"/>
        <w:jc w:val="both"/>
        <w:textAlignment w:val="baseline"/>
        <w:rPr>
          <w:lang w:val="es-ES" w:eastAsia="es-CO"/>
        </w:rPr>
      </w:pPr>
    </w:p>
    <w:p w14:paraId="5B74AFBD" w14:textId="77777777" w:rsidR="00146B95" w:rsidRPr="00416C3A" w:rsidRDefault="00146B95" w:rsidP="00146B95">
      <w:pPr>
        <w:spacing w:line="276" w:lineRule="auto"/>
        <w:ind w:firstLine="705"/>
        <w:jc w:val="both"/>
        <w:textAlignment w:val="baseline"/>
        <w:rPr>
          <w:rFonts w:ascii="Arial" w:hAnsi="Arial" w:cs="Arial"/>
          <w:sz w:val="22"/>
          <w:szCs w:val="22"/>
          <w:lang w:val="es-ES" w:eastAsia="es-CO"/>
        </w:rPr>
      </w:pPr>
      <w:r w:rsidRPr="00416C3A">
        <w:rPr>
          <w:rFonts w:ascii="Arial" w:hAnsi="Arial" w:cs="Arial"/>
          <w:sz w:val="22"/>
          <w:szCs w:val="22"/>
          <w:lang w:val="es-ES" w:eastAsia="es-CO"/>
        </w:rPr>
        <w:t>Como resultado de la promulgación de la Ley 1150 de 2007, en relación con los riesgos, el artículo 4 obliga a las entidades estatales a estimar, tipificar y asignar los riesgos previsibles involucrados en la contratación dentro de los pliegos de condiciones o en sus equivalentes. El mencionado artículo establece:</w:t>
      </w:r>
    </w:p>
    <w:p w14:paraId="2686BA1B" w14:textId="77777777" w:rsidR="00146B95" w:rsidRPr="00416C3A" w:rsidRDefault="00146B95" w:rsidP="00146B95">
      <w:pPr>
        <w:spacing w:line="276" w:lineRule="auto"/>
        <w:ind w:firstLine="705"/>
        <w:jc w:val="both"/>
        <w:textAlignment w:val="baseline"/>
        <w:rPr>
          <w:rFonts w:ascii="Arial" w:hAnsi="Arial" w:cs="Arial"/>
          <w:sz w:val="22"/>
          <w:szCs w:val="22"/>
          <w:lang w:val="es-ES" w:eastAsia="es-CO"/>
        </w:rPr>
      </w:pPr>
    </w:p>
    <w:p w14:paraId="199E6C7C" w14:textId="77777777" w:rsidR="00146B95" w:rsidRPr="00416C3A" w:rsidRDefault="00146B95" w:rsidP="00146B95">
      <w:pPr>
        <w:pStyle w:val="NormalWeb"/>
        <w:spacing w:before="0" w:beforeAutospacing="0" w:after="0" w:afterAutospacing="0"/>
        <w:ind w:left="709" w:right="709"/>
        <w:jc w:val="both"/>
        <w:rPr>
          <w:rFonts w:ascii="Arial" w:hAnsi="Arial" w:cs="Arial"/>
          <w:sz w:val="21"/>
          <w:szCs w:val="21"/>
        </w:rPr>
      </w:pPr>
      <w:bookmarkStart w:id="10" w:name="4"/>
      <w:r w:rsidRPr="00416C3A">
        <w:rPr>
          <w:rFonts w:ascii="Arial" w:hAnsi="Arial" w:cs="Arial"/>
          <w:sz w:val="21"/>
          <w:szCs w:val="21"/>
        </w:rPr>
        <w:t>Artículo 4. De la distribución de riesgos en los contratos estatales.</w:t>
      </w:r>
      <w:bookmarkEnd w:id="10"/>
      <w:r w:rsidRPr="00416C3A">
        <w:rPr>
          <w:rFonts w:ascii="Arial" w:hAnsi="Arial" w:cs="Arial"/>
          <w:sz w:val="21"/>
          <w:szCs w:val="21"/>
        </w:rPr>
        <w:t> Los pliegos de condiciones o sus equivalentes deberán incluir la estimación, tipificación y asignación de los riesgos previsibles involucrados en la contratación.</w:t>
      </w:r>
    </w:p>
    <w:p w14:paraId="6DB4A03E" w14:textId="77777777" w:rsidR="00146B95" w:rsidRPr="00416C3A" w:rsidRDefault="00146B95" w:rsidP="00146B95">
      <w:pPr>
        <w:pStyle w:val="NormalWeb"/>
        <w:spacing w:after="0" w:afterAutospacing="0"/>
        <w:ind w:left="709" w:right="709"/>
        <w:jc w:val="both"/>
        <w:rPr>
          <w:rFonts w:ascii="Arial" w:hAnsi="Arial" w:cs="Arial"/>
          <w:sz w:val="21"/>
          <w:szCs w:val="21"/>
        </w:rPr>
      </w:pPr>
      <w:r w:rsidRPr="00416C3A">
        <w:rPr>
          <w:rFonts w:ascii="Arial" w:hAnsi="Arial" w:cs="Arial"/>
          <w:sz w:val="21"/>
          <w:szCs w:val="21"/>
        </w:rPr>
        <w:t>En las licitaciones públicas, los pliegos de condiciones de las entidades estatales deberán señalar el momento en el que, con anterioridad a la presentación de las ofertas, los oferentes y la entidad revisarán la asignación de riesgos con el fin de establecer su distribución definitiva.</w:t>
      </w:r>
    </w:p>
    <w:p w14:paraId="45746A80" w14:textId="77777777" w:rsidR="00146B95" w:rsidRPr="00416C3A" w:rsidRDefault="00146B95" w:rsidP="00146B95">
      <w:pPr>
        <w:spacing w:line="276" w:lineRule="auto"/>
        <w:ind w:firstLine="705"/>
        <w:jc w:val="both"/>
        <w:textAlignment w:val="baseline"/>
        <w:rPr>
          <w:rFonts w:ascii="Arial" w:hAnsi="Arial" w:cs="Arial"/>
          <w:sz w:val="22"/>
          <w:szCs w:val="22"/>
          <w:lang w:val="es-ES" w:eastAsia="es-CO"/>
        </w:rPr>
      </w:pPr>
    </w:p>
    <w:p w14:paraId="1E2693A2" w14:textId="77777777" w:rsidR="00146B95" w:rsidRPr="00416C3A" w:rsidRDefault="00146B95" w:rsidP="00146B95">
      <w:pPr>
        <w:spacing w:line="276" w:lineRule="auto"/>
        <w:ind w:firstLine="705"/>
        <w:jc w:val="both"/>
        <w:textAlignment w:val="baseline"/>
        <w:rPr>
          <w:rFonts w:ascii="Arial" w:hAnsi="Arial" w:cs="Arial"/>
          <w:sz w:val="22"/>
          <w:szCs w:val="22"/>
          <w:lang w:val="es-ES" w:eastAsia="es-CO"/>
        </w:rPr>
      </w:pPr>
      <w:r w:rsidRPr="00416C3A">
        <w:rPr>
          <w:rFonts w:ascii="Arial" w:hAnsi="Arial" w:cs="Arial"/>
          <w:sz w:val="22"/>
          <w:szCs w:val="22"/>
          <w:lang w:val="es-ES" w:eastAsia="es-CO"/>
        </w:rPr>
        <w:lastRenderedPageBreak/>
        <w:t>Posteriormente, con la expedición del CONPES 3107 de 2011 se establecieron lineamientos en materia de «Política de Manejo de Riesgo Contractual del Estado para Procesos de Participación Privada en Infraestructura» para la adecuada estructuración de proyectos y la asignación de riesgos en los procesos de contratación que se desarrollen en los sectores de transporte, energía, comunicaciones y agua potable y saneamiento básico. De tal forma, estableció que en la medida que «una asignación adecuada de los riesgos minimiza el costo de su mitigación» es necesario que los riesgos sean asumidos por quién mejor los controla en la relación contractual, lo que implica que sean asignados e identificados correctamente. Así, al definir el concepto de riesgo determinó:</w:t>
      </w:r>
    </w:p>
    <w:p w14:paraId="48FA6D3E" w14:textId="77777777" w:rsidR="00146B95" w:rsidRPr="00416C3A" w:rsidRDefault="00146B95" w:rsidP="00146B95">
      <w:pPr>
        <w:spacing w:line="276" w:lineRule="auto"/>
        <w:ind w:firstLine="705"/>
        <w:jc w:val="both"/>
        <w:textAlignment w:val="baseline"/>
        <w:rPr>
          <w:rFonts w:ascii="Arial" w:hAnsi="Arial" w:cs="Arial"/>
          <w:sz w:val="22"/>
          <w:szCs w:val="22"/>
          <w:lang w:val="es-ES" w:eastAsia="es-CO"/>
        </w:rPr>
      </w:pPr>
    </w:p>
    <w:p w14:paraId="4A3DB0A0" w14:textId="77777777" w:rsidR="00146B95" w:rsidRPr="00416C3A" w:rsidRDefault="00146B95" w:rsidP="00146B95">
      <w:pPr>
        <w:ind w:left="705" w:right="786"/>
        <w:jc w:val="both"/>
        <w:textAlignment w:val="baseline"/>
        <w:rPr>
          <w:rFonts w:ascii="Arial" w:hAnsi="Arial" w:cs="Arial"/>
          <w:sz w:val="21"/>
          <w:szCs w:val="21"/>
          <w:lang w:eastAsia="es-CO"/>
        </w:rPr>
      </w:pPr>
      <w:r w:rsidRPr="00416C3A">
        <w:rPr>
          <w:rFonts w:ascii="Arial" w:hAnsi="Arial" w:cs="Arial"/>
          <w:sz w:val="21"/>
          <w:szCs w:val="21"/>
          <w:lang w:eastAsia="es-CO"/>
        </w:rPr>
        <w:t>Los riesgos de un proyecto se refieren a los diferentes factores que pueden hacer que no se cumplan los resultados previstos y los respectivos flujos esperados. Para determinar cuáles son los riesgos asociados a un proyecto se debe identificar las principales variables que determinan estos flujos. El concepto de riesgo en proyectos de infraestructura se puede definir como la probabilidad de ocurrencia de eventos aleatorios que afecten el desarrollo del mismo, generando una variación sobre el resultado esperado, tanto en relación con los costos como con los ingresos.</w:t>
      </w:r>
    </w:p>
    <w:p w14:paraId="3BADC071" w14:textId="77777777" w:rsidR="00146B95" w:rsidRPr="00416C3A" w:rsidRDefault="00146B95" w:rsidP="00146B95">
      <w:pPr>
        <w:spacing w:line="276" w:lineRule="auto"/>
        <w:jc w:val="both"/>
        <w:textAlignment w:val="baseline"/>
        <w:rPr>
          <w:rFonts w:ascii="Arial" w:hAnsi="Arial" w:cs="Arial"/>
          <w:sz w:val="22"/>
          <w:szCs w:val="22"/>
          <w:lang w:val="es-ES" w:eastAsia="es-CO"/>
        </w:rPr>
      </w:pPr>
    </w:p>
    <w:p w14:paraId="13BC927C" w14:textId="77777777" w:rsidR="00146B95" w:rsidRPr="00416C3A" w:rsidRDefault="00146B95" w:rsidP="00146B95">
      <w:pPr>
        <w:spacing w:after="120" w:line="276" w:lineRule="auto"/>
        <w:ind w:firstLine="703"/>
        <w:jc w:val="both"/>
        <w:textAlignment w:val="baseline"/>
        <w:rPr>
          <w:rFonts w:ascii="Arial" w:hAnsi="Arial" w:cs="Arial"/>
          <w:sz w:val="22"/>
          <w:szCs w:val="22"/>
          <w:lang w:val="es-ES" w:eastAsia="es-CO"/>
        </w:rPr>
      </w:pPr>
      <w:bookmarkStart w:id="11" w:name="_Hlk108627685"/>
      <w:r w:rsidRPr="00416C3A">
        <w:rPr>
          <w:rFonts w:ascii="Arial" w:hAnsi="Arial" w:cs="Arial"/>
          <w:sz w:val="22"/>
          <w:szCs w:val="22"/>
          <w:lang w:val="es-ES" w:eastAsia="es-CO"/>
        </w:rPr>
        <w:t>Sumado a lo anterior, el CONPES 3107 de 2011 consagra la importancia de realizar un análisis de información que permita determinar la asignación del riesgo basado en información confiable y de calidad, pues «con información de mejor calidad, la percepción de riesgo es menor y se pueden adoptar las medidas para controlar la incidencia de las fuentes de riesgo», establecer mecanismos de mitigación del impacto y cobertura, instrumentos de protección, así como determinar su asignación a los distintos participes del negocio jurídico</w:t>
      </w:r>
      <w:bookmarkEnd w:id="11"/>
      <w:r w:rsidRPr="00416C3A">
        <w:rPr>
          <w:rFonts w:ascii="Arial" w:hAnsi="Arial" w:cs="Arial"/>
          <w:sz w:val="22"/>
          <w:szCs w:val="22"/>
          <w:lang w:val="es-ES" w:eastAsia="es-CO"/>
        </w:rPr>
        <w:t xml:space="preserve">. </w:t>
      </w:r>
    </w:p>
    <w:p w14:paraId="444C53F2" w14:textId="67A1E09B" w:rsidR="00146B95" w:rsidRPr="00416C3A" w:rsidRDefault="00146B95" w:rsidP="00146B95">
      <w:pPr>
        <w:spacing w:line="276" w:lineRule="auto"/>
        <w:ind w:firstLine="705"/>
        <w:jc w:val="both"/>
        <w:textAlignment w:val="baseline"/>
        <w:rPr>
          <w:rFonts w:ascii="Arial" w:hAnsi="Arial" w:cs="Arial"/>
          <w:sz w:val="22"/>
          <w:szCs w:val="22"/>
          <w:lang w:val="es-ES" w:eastAsia="es-CO"/>
        </w:rPr>
      </w:pPr>
      <w:bookmarkStart w:id="12" w:name="_Hlk108627718"/>
      <w:r w:rsidRPr="00416C3A">
        <w:rPr>
          <w:rFonts w:ascii="Arial" w:hAnsi="Arial" w:cs="Arial"/>
          <w:sz w:val="22"/>
          <w:szCs w:val="22"/>
          <w:lang w:val="es-ES" w:eastAsia="es-CO"/>
        </w:rPr>
        <w:t xml:space="preserve">En la misma línea, el CONPES 3714 de 2011, definió lineamientos para el entendimiento del concepto de </w:t>
      </w:r>
      <w:r w:rsidR="00562511" w:rsidRPr="00416C3A">
        <w:rPr>
          <w:rFonts w:ascii="Arial" w:hAnsi="Arial" w:cs="Arial"/>
          <w:sz w:val="22"/>
          <w:szCs w:val="22"/>
          <w:lang w:val="es-ES" w:eastAsia="es-CO"/>
        </w:rPr>
        <w:t>«</w:t>
      </w:r>
      <w:r w:rsidRPr="00416C3A">
        <w:rPr>
          <w:rFonts w:ascii="Arial" w:hAnsi="Arial" w:cs="Arial"/>
          <w:sz w:val="22"/>
          <w:szCs w:val="22"/>
          <w:lang w:val="es-ES" w:eastAsia="es-CO"/>
        </w:rPr>
        <w:t>riesgo previsible</w:t>
      </w:r>
      <w:r w:rsidR="00562511" w:rsidRPr="00416C3A">
        <w:rPr>
          <w:rFonts w:ascii="Arial" w:hAnsi="Arial" w:cs="Arial"/>
          <w:sz w:val="22"/>
          <w:szCs w:val="22"/>
          <w:lang w:val="es-ES" w:eastAsia="es-CO"/>
        </w:rPr>
        <w:t>»</w:t>
      </w:r>
      <w:r w:rsidRPr="00416C3A">
        <w:rPr>
          <w:rFonts w:ascii="Arial" w:hAnsi="Arial" w:cs="Arial"/>
          <w:sz w:val="22"/>
          <w:szCs w:val="22"/>
          <w:lang w:val="es-ES" w:eastAsia="es-CO"/>
        </w:rPr>
        <w:t xml:space="preserve"> en el marco de los procesos de selección sometidos al Estatuto General de Contratación de la Administración Pública, con el fin de «convertirse en una herramienta para el mejoramiento continuo en la aplicación de la normativa existente; buscar el establecimiento de reglas claras frente a posibles alteraciones del equilibrio financiero de los contratos; generar seguridad jurídica; y, en general, sentar las bases para el fortalecimiento y la homogenización de los pasos que se surten en la etapa precontractual para el establecimiento de los riesgos previsibles de la contratación». </w:t>
      </w:r>
      <w:bookmarkEnd w:id="12"/>
      <w:r w:rsidRPr="00416C3A">
        <w:rPr>
          <w:rFonts w:ascii="Arial" w:hAnsi="Arial" w:cs="Arial"/>
          <w:sz w:val="22"/>
          <w:szCs w:val="22"/>
          <w:lang w:val="es-ES" w:eastAsia="es-CO"/>
        </w:rPr>
        <w:t xml:space="preserve">En tal sentido, dicho documento de política pública definió el riesgo y el riesgo previsible en el marco de la gestión contractual como: </w:t>
      </w:r>
    </w:p>
    <w:p w14:paraId="3F3D4DE5" w14:textId="77777777" w:rsidR="00146B95" w:rsidRPr="00416C3A" w:rsidRDefault="00146B95" w:rsidP="00146B95">
      <w:pPr>
        <w:jc w:val="both"/>
        <w:textAlignment w:val="baseline"/>
        <w:rPr>
          <w:rFonts w:ascii="Arial" w:hAnsi="Arial" w:cs="Arial"/>
          <w:sz w:val="22"/>
          <w:szCs w:val="22"/>
        </w:rPr>
      </w:pPr>
    </w:p>
    <w:p w14:paraId="2DE22202" w14:textId="77777777" w:rsidR="00146B95" w:rsidRPr="00416C3A" w:rsidRDefault="00146B95" w:rsidP="00146B95">
      <w:pPr>
        <w:spacing w:after="120"/>
        <w:ind w:left="703" w:right="646"/>
        <w:jc w:val="both"/>
        <w:textAlignment w:val="baseline"/>
        <w:rPr>
          <w:rFonts w:ascii="Arial" w:hAnsi="Arial" w:cs="Arial"/>
          <w:sz w:val="21"/>
          <w:szCs w:val="21"/>
          <w:lang w:eastAsia="es-CO"/>
        </w:rPr>
      </w:pPr>
      <w:r w:rsidRPr="00416C3A">
        <w:rPr>
          <w:rFonts w:ascii="Arial" w:hAnsi="Arial" w:cs="Arial"/>
          <w:sz w:val="21"/>
          <w:szCs w:val="21"/>
          <w:lang w:eastAsia="es-CO"/>
        </w:rPr>
        <w:t xml:space="preserve">El riesgo contractual en general es entendido como todas aquellas circunstancias que pueden presentarse durante el desarrollo o ejecución de un contrato y que pueden alterar el equilibrio financiero del mismo y ha tenido una regulación desde </w:t>
      </w:r>
      <w:r w:rsidRPr="00416C3A">
        <w:rPr>
          <w:rFonts w:ascii="Arial" w:hAnsi="Arial" w:cs="Arial"/>
          <w:sz w:val="21"/>
          <w:szCs w:val="21"/>
          <w:lang w:eastAsia="es-CO"/>
        </w:rPr>
        <w:lastRenderedPageBreak/>
        <w:t>cinco ópticas, asociadas con el proceso de gestión que se requiere en cada caso. […]</w:t>
      </w:r>
    </w:p>
    <w:p w14:paraId="573F7C12" w14:textId="77777777" w:rsidR="00146B95" w:rsidRPr="00416C3A" w:rsidRDefault="00146B95" w:rsidP="00146B95">
      <w:pPr>
        <w:ind w:left="705" w:right="644"/>
        <w:jc w:val="both"/>
        <w:textAlignment w:val="baseline"/>
        <w:rPr>
          <w:rFonts w:ascii="Arial" w:hAnsi="Arial" w:cs="Arial"/>
          <w:sz w:val="21"/>
          <w:szCs w:val="21"/>
          <w:lang w:eastAsia="es-CO"/>
        </w:rPr>
      </w:pPr>
      <w:r w:rsidRPr="00416C3A">
        <w:rPr>
          <w:rFonts w:ascii="Arial" w:hAnsi="Arial" w:cs="Arial"/>
          <w:sz w:val="21"/>
          <w:szCs w:val="21"/>
          <w:lang w:eastAsia="es-CO"/>
        </w:rPr>
        <w:t xml:space="preserve">Así, los “riesgos previsibles”, son todas aquellas circunstancias </w:t>
      </w:r>
      <w:proofErr w:type="gramStart"/>
      <w:r w:rsidRPr="00416C3A">
        <w:rPr>
          <w:rFonts w:ascii="Arial" w:hAnsi="Arial" w:cs="Arial"/>
          <w:sz w:val="21"/>
          <w:szCs w:val="21"/>
          <w:lang w:eastAsia="es-CO"/>
        </w:rPr>
        <w:t>que</w:t>
      </w:r>
      <w:proofErr w:type="gramEnd"/>
      <w:r w:rsidRPr="00416C3A">
        <w:rPr>
          <w:rFonts w:ascii="Arial" w:hAnsi="Arial" w:cs="Arial"/>
          <w:sz w:val="21"/>
          <w:szCs w:val="21"/>
          <w:lang w:eastAsia="es-CO"/>
        </w:rPr>
        <w:t xml:space="preserve"> de presentarse durante el desarrollo y ejecución del contrato, tienen la potencialidad de alterar el equilibrio financiero del mismo, siempre que sean identificables y cuantificables en condiciones normales.</w:t>
      </w:r>
    </w:p>
    <w:p w14:paraId="3987941C" w14:textId="77777777" w:rsidR="00146B95" w:rsidRPr="00416C3A" w:rsidRDefault="00146B95" w:rsidP="00146B95">
      <w:pPr>
        <w:spacing w:line="276" w:lineRule="auto"/>
        <w:ind w:left="705" w:right="644" w:firstLine="705"/>
        <w:jc w:val="both"/>
        <w:textAlignment w:val="baseline"/>
        <w:rPr>
          <w:rFonts w:ascii="Arial" w:hAnsi="Arial" w:cs="Arial"/>
          <w:sz w:val="22"/>
          <w:szCs w:val="22"/>
          <w:lang w:eastAsia="es-CO"/>
        </w:rPr>
      </w:pPr>
    </w:p>
    <w:p w14:paraId="2149BA49" w14:textId="77777777" w:rsidR="00146B95" w:rsidRPr="00416C3A" w:rsidRDefault="00146B95" w:rsidP="00146B95">
      <w:pPr>
        <w:ind w:firstLine="705"/>
        <w:jc w:val="both"/>
        <w:textAlignment w:val="baseline"/>
        <w:rPr>
          <w:rFonts w:ascii="Arial" w:hAnsi="Arial" w:cs="Arial"/>
          <w:sz w:val="22"/>
          <w:szCs w:val="22"/>
          <w:lang w:val="es-ES" w:eastAsia="es-CO"/>
        </w:rPr>
      </w:pPr>
      <w:r w:rsidRPr="00416C3A">
        <w:rPr>
          <w:rFonts w:ascii="Arial" w:hAnsi="Arial" w:cs="Arial"/>
          <w:sz w:val="22"/>
          <w:szCs w:val="22"/>
          <w:lang w:val="es-ES" w:eastAsia="es-CO"/>
        </w:rPr>
        <w:t>Por su parte, el Decreto 1082 de 2015 reiteró, en los siguientes términos, la obligación que tienen las entidades estatales de tipificar, estimar y asignar los riesgos previsibles que surjan durante la ejecución contractual dentro del pliego de condiciones</w:t>
      </w:r>
      <w:r w:rsidRPr="00416C3A">
        <w:rPr>
          <w:rStyle w:val="Refdenotaalpie"/>
          <w:rFonts w:ascii="Arial" w:hAnsi="Arial" w:cs="Arial"/>
          <w:sz w:val="22"/>
          <w:szCs w:val="22"/>
          <w:lang w:val="es-ES" w:eastAsia="es-CO"/>
        </w:rPr>
        <w:footnoteReference w:id="18"/>
      </w:r>
      <w:r w:rsidRPr="00416C3A">
        <w:rPr>
          <w:rFonts w:ascii="Arial" w:hAnsi="Arial" w:cs="Arial"/>
          <w:sz w:val="22"/>
          <w:szCs w:val="22"/>
          <w:lang w:val="es-ES" w:eastAsia="es-CO"/>
        </w:rPr>
        <w:t>:</w:t>
      </w:r>
    </w:p>
    <w:p w14:paraId="247C3A45" w14:textId="77777777" w:rsidR="00146B95" w:rsidRPr="00416C3A" w:rsidRDefault="00146B95" w:rsidP="00146B95">
      <w:pPr>
        <w:ind w:firstLine="705"/>
        <w:jc w:val="both"/>
        <w:textAlignment w:val="baseline"/>
        <w:rPr>
          <w:rFonts w:ascii="Arial" w:hAnsi="Arial" w:cs="Arial"/>
          <w:sz w:val="22"/>
          <w:szCs w:val="22"/>
          <w:lang w:eastAsia="es-CO"/>
        </w:rPr>
      </w:pPr>
    </w:p>
    <w:p w14:paraId="4CD421F0" w14:textId="77777777" w:rsidR="00146B95" w:rsidRPr="00416C3A" w:rsidRDefault="00146B95" w:rsidP="00146B95">
      <w:pPr>
        <w:ind w:left="705"/>
        <w:jc w:val="both"/>
        <w:textAlignment w:val="baseline"/>
        <w:rPr>
          <w:rFonts w:ascii="Arial" w:hAnsi="Arial" w:cs="Arial"/>
          <w:sz w:val="21"/>
          <w:szCs w:val="21"/>
          <w:lang w:eastAsia="es-CO"/>
        </w:rPr>
      </w:pPr>
      <w:r w:rsidRPr="00416C3A">
        <w:rPr>
          <w:rFonts w:ascii="Arial" w:hAnsi="Arial" w:cs="Arial"/>
          <w:sz w:val="21"/>
          <w:szCs w:val="21"/>
          <w:lang w:eastAsia="es-CO"/>
        </w:rPr>
        <w:t>Artículo 2.2.1.1.2.1.3. Pliegos de condiciones. Los pliegos de condiciones deben contener por lo menos la siguiente información: </w:t>
      </w:r>
    </w:p>
    <w:p w14:paraId="0126C8DC" w14:textId="77777777" w:rsidR="00146B95" w:rsidRPr="00416C3A" w:rsidRDefault="00146B95" w:rsidP="00146B95">
      <w:pPr>
        <w:spacing w:after="120"/>
        <w:ind w:left="703"/>
        <w:jc w:val="both"/>
        <w:textAlignment w:val="baseline"/>
        <w:rPr>
          <w:rFonts w:ascii="Arial" w:hAnsi="Arial" w:cs="Arial"/>
          <w:sz w:val="21"/>
          <w:szCs w:val="21"/>
          <w:lang w:eastAsia="es-CO"/>
        </w:rPr>
      </w:pPr>
      <w:r w:rsidRPr="00416C3A">
        <w:rPr>
          <w:rFonts w:ascii="Arial" w:hAnsi="Arial" w:cs="Arial"/>
          <w:sz w:val="21"/>
          <w:szCs w:val="21"/>
          <w:lang w:eastAsia="es-CO"/>
        </w:rPr>
        <w:t>(…) </w:t>
      </w:r>
    </w:p>
    <w:p w14:paraId="47F45D23" w14:textId="77777777" w:rsidR="00146B95" w:rsidRPr="00416C3A" w:rsidRDefault="00146B95" w:rsidP="00146B95">
      <w:pPr>
        <w:ind w:left="705"/>
        <w:jc w:val="both"/>
        <w:textAlignment w:val="baseline"/>
        <w:rPr>
          <w:rFonts w:ascii="Arial" w:hAnsi="Arial" w:cs="Arial"/>
          <w:sz w:val="21"/>
          <w:szCs w:val="21"/>
          <w:lang w:eastAsia="es-CO"/>
        </w:rPr>
      </w:pPr>
      <w:r w:rsidRPr="00416C3A">
        <w:rPr>
          <w:rFonts w:ascii="Arial" w:hAnsi="Arial" w:cs="Arial"/>
          <w:sz w:val="21"/>
          <w:szCs w:val="21"/>
          <w:lang w:eastAsia="es-CO"/>
        </w:rPr>
        <w:t>8. Los Riesgos asociados al contrato, la forma de mitigarlos y la asignación del Riesgo entre las partes contratantes.</w:t>
      </w:r>
    </w:p>
    <w:p w14:paraId="04A5F0EB" w14:textId="77777777" w:rsidR="00146B95" w:rsidRPr="00416C3A" w:rsidRDefault="00146B95" w:rsidP="00146B95">
      <w:pPr>
        <w:ind w:left="705"/>
        <w:jc w:val="both"/>
        <w:textAlignment w:val="baseline"/>
        <w:rPr>
          <w:rFonts w:ascii="Arial" w:hAnsi="Arial" w:cs="Arial"/>
          <w:sz w:val="22"/>
          <w:szCs w:val="22"/>
          <w:lang w:eastAsia="es-CO"/>
        </w:rPr>
      </w:pPr>
      <w:r w:rsidRPr="00416C3A">
        <w:rPr>
          <w:lang w:eastAsia="es-CO"/>
        </w:rPr>
        <w:t> </w:t>
      </w:r>
    </w:p>
    <w:p w14:paraId="6D182735" w14:textId="77777777" w:rsidR="00146B95" w:rsidRPr="00416C3A" w:rsidRDefault="00146B95" w:rsidP="00146B95">
      <w:pPr>
        <w:spacing w:line="276" w:lineRule="auto"/>
        <w:ind w:firstLine="705"/>
        <w:jc w:val="both"/>
        <w:textAlignment w:val="baseline"/>
        <w:rPr>
          <w:rFonts w:ascii="Arial" w:hAnsi="Arial" w:cs="Arial"/>
          <w:sz w:val="22"/>
          <w:szCs w:val="22"/>
          <w:lang w:val="es-ES" w:eastAsia="es-CO"/>
        </w:rPr>
      </w:pPr>
      <w:r w:rsidRPr="00416C3A">
        <w:rPr>
          <w:rFonts w:ascii="Arial" w:hAnsi="Arial" w:cs="Arial"/>
          <w:sz w:val="22"/>
          <w:szCs w:val="22"/>
          <w:lang w:val="es-ES" w:eastAsia="es-CO"/>
        </w:rPr>
        <w:t>En suma, desde la Ley 1150 de 2007 y conforme los decretos reglamentarios de la contratación estatal, se establecieron obligaciones de estimación de riesgos durante la etapa de planeación. Por un lado, por parte de las entidades estatales quienes deben tipificarlos, estimarlos y asignarlos en los pliegos de condiciones, y por otro, los participantes del proceso de selección quienes deberán valorarlos y complementarlos en virtud del deber de colaboración con la administración pública en la construcción de los documentos definitivos, dada su experticia, especialidad y conocimientos. En tal sentido, ellos podrán pronunciarse frente a este contenido de los pliegos de condiciones mediante la presentación de observaciones a los proyectos de pliegos de condiciones y a los pliegos de condiciones definitivos, sin perjuicio de que en los procesos de licitación pública sea obligatoria realizar una audiencia de asignación de riesgos –art. 4 de la Ley 1150 de 2007, artículo 30, numeral 4, de la Ley 80 de 1993 y artículo 2.2.1.2.1.1.2. del Decreto 1082 de 2015–.</w:t>
      </w:r>
    </w:p>
    <w:p w14:paraId="741D8817" w14:textId="0F654634" w:rsidR="00FC4E85" w:rsidRPr="00416C3A" w:rsidRDefault="00FC4E85" w:rsidP="00FC4E85">
      <w:pPr>
        <w:spacing w:line="276" w:lineRule="auto"/>
        <w:jc w:val="both"/>
        <w:rPr>
          <w:rFonts w:ascii="Arial" w:hAnsi="Arial" w:cs="Arial"/>
          <w:b/>
          <w:bCs/>
          <w:sz w:val="22"/>
          <w:lang w:val="es-ES"/>
        </w:rPr>
      </w:pPr>
    </w:p>
    <w:p w14:paraId="7510DE72" w14:textId="75FF20D2" w:rsidR="00813F70" w:rsidRPr="00416C3A" w:rsidRDefault="00813F70" w:rsidP="00813F70">
      <w:pPr>
        <w:spacing w:line="276" w:lineRule="auto"/>
        <w:ind w:firstLine="705"/>
        <w:jc w:val="both"/>
        <w:textAlignment w:val="baseline"/>
        <w:rPr>
          <w:rFonts w:ascii="Arial" w:hAnsi="Arial" w:cs="Arial"/>
          <w:sz w:val="22"/>
          <w:szCs w:val="22"/>
          <w:lang w:val="es-ES" w:eastAsia="es-CO"/>
        </w:rPr>
      </w:pPr>
      <w:r w:rsidRPr="00416C3A">
        <w:rPr>
          <w:rFonts w:ascii="Arial" w:hAnsi="Arial" w:cs="Arial"/>
          <w:sz w:val="22"/>
          <w:lang w:val="es-ES"/>
        </w:rPr>
        <w:t>La Agencia Nacional de Contratación Pública – Colombia Compra Eficiente expidió el «Manual para la identificación y cobertura del Riesgo en los Procesos de Contratación»</w:t>
      </w:r>
      <w:r w:rsidRPr="00416C3A">
        <w:rPr>
          <w:rStyle w:val="Refdenotaalpie"/>
          <w:rFonts w:ascii="Arial" w:hAnsi="Arial" w:cs="Arial"/>
          <w:sz w:val="22"/>
          <w:lang w:val="es-ES"/>
        </w:rPr>
        <w:footnoteReference w:id="19"/>
      </w:r>
      <w:r w:rsidRPr="00416C3A">
        <w:rPr>
          <w:rFonts w:ascii="Arial" w:hAnsi="Arial" w:cs="Arial"/>
          <w:sz w:val="22"/>
          <w:lang w:val="es-ES"/>
        </w:rPr>
        <w:t xml:space="preserve">, </w:t>
      </w:r>
      <w:r w:rsidRPr="00416C3A">
        <w:rPr>
          <w:rFonts w:ascii="Arial" w:hAnsi="Arial" w:cs="Arial"/>
          <w:sz w:val="22"/>
          <w:lang w:val="es-ES"/>
        </w:rPr>
        <w:lastRenderedPageBreak/>
        <w:t xml:space="preserve">y </w:t>
      </w:r>
      <w:r w:rsidRPr="00416C3A">
        <w:rPr>
          <w:rFonts w:ascii="Arial" w:hAnsi="Arial" w:cs="Arial"/>
          <w:sz w:val="22"/>
          <w:szCs w:val="22"/>
          <w:lang w:val="es-ES" w:eastAsia="es-CO"/>
        </w:rPr>
        <w:t xml:space="preserve">establece que, para administrar los riesgos en los procesos de contratación del Estado, deben seguirse los siguientes pasos, los cuales coinciden con la organización y/o estructuración del manual en comento: </w:t>
      </w:r>
    </w:p>
    <w:p w14:paraId="2332A2BE" w14:textId="77777777" w:rsidR="00813F70" w:rsidRPr="00416C3A" w:rsidRDefault="00813F70" w:rsidP="00813F70">
      <w:pPr>
        <w:spacing w:line="276" w:lineRule="auto"/>
        <w:ind w:firstLine="705"/>
        <w:jc w:val="both"/>
        <w:textAlignment w:val="baseline"/>
        <w:rPr>
          <w:rFonts w:ascii="Arial" w:hAnsi="Arial" w:cs="Arial"/>
          <w:sz w:val="22"/>
          <w:szCs w:val="22"/>
          <w:lang w:val="es-ES" w:eastAsia="es-CO"/>
        </w:rPr>
      </w:pPr>
    </w:p>
    <w:p w14:paraId="689A1914" w14:textId="77777777" w:rsidR="00813F70" w:rsidRPr="00416C3A" w:rsidRDefault="00813F70" w:rsidP="00813F70">
      <w:pPr>
        <w:pStyle w:val="Prrafodelista"/>
        <w:numPr>
          <w:ilvl w:val="0"/>
          <w:numId w:val="10"/>
        </w:numPr>
        <w:spacing w:line="276" w:lineRule="auto"/>
        <w:jc w:val="both"/>
        <w:textAlignment w:val="baseline"/>
        <w:rPr>
          <w:rFonts w:ascii="Arial" w:hAnsi="Arial" w:cs="Arial"/>
          <w:sz w:val="22"/>
          <w:lang w:val="es-ES" w:eastAsia="es-CO"/>
        </w:rPr>
      </w:pPr>
      <w:r w:rsidRPr="00416C3A">
        <w:rPr>
          <w:rFonts w:ascii="Arial" w:hAnsi="Arial" w:cs="Arial"/>
          <w:sz w:val="22"/>
          <w:lang w:val="es-ES" w:eastAsia="es-CO"/>
        </w:rPr>
        <w:t>Establecer el contexto en el cual se adelanta el Proceso de Contratación.  </w:t>
      </w:r>
    </w:p>
    <w:p w14:paraId="7AC10E19" w14:textId="77777777" w:rsidR="00813F70" w:rsidRPr="00416C3A" w:rsidRDefault="00813F70" w:rsidP="00813F70">
      <w:pPr>
        <w:pStyle w:val="Prrafodelista"/>
        <w:numPr>
          <w:ilvl w:val="0"/>
          <w:numId w:val="10"/>
        </w:numPr>
        <w:spacing w:line="276" w:lineRule="auto"/>
        <w:jc w:val="both"/>
        <w:textAlignment w:val="baseline"/>
        <w:rPr>
          <w:rFonts w:ascii="Arial" w:hAnsi="Arial" w:cs="Arial"/>
          <w:sz w:val="22"/>
          <w:lang w:val="es-ES" w:eastAsia="es-CO"/>
        </w:rPr>
      </w:pPr>
      <w:r w:rsidRPr="00416C3A">
        <w:rPr>
          <w:rFonts w:ascii="Arial" w:hAnsi="Arial" w:cs="Arial"/>
          <w:sz w:val="22"/>
          <w:lang w:val="es-ES" w:eastAsia="es-CO"/>
        </w:rPr>
        <w:t>Identificar y clasificar los Riesgos del Proceso de Contratación.  </w:t>
      </w:r>
    </w:p>
    <w:p w14:paraId="5B46BC42" w14:textId="77777777" w:rsidR="00813F70" w:rsidRPr="00416C3A" w:rsidRDefault="00813F70" w:rsidP="00813F70">
      <w:pPr>
        <w:pStyle w:val="Prrafodelista"/>
        <w:numPr>
          <w:ilvl w:val="0"/>
          <w:numId w:val="10"/>
        </w:numPr>
        <w:spacing w:line="276" w:lineRule="auto"/>
        <w:jc w:val="both"/>
        <w:textAlignment w:val="baseline"/>
        <w:rPr>
          <w:rFonts w:ascii="Arial" w:hAnsi="Arial" w:cs="Arial"/>
          <w:sz w:val="22"/>
          <w:lang w:val="es-ES" w:eastAsia="es-CO"/>
        </w:rPr>
      </w:pPr>
      <w:r w:rsidRPr="00416C3A">
        <w:rPr>
          <w:rFonts w:ascii="Arial" w:hAnsi="Arial" w:cs="Arial"/>
          <w:sz w:val="22"/>
          <w:lang w:val="es-ES" w:eastAsia="es-CO"/>
        </w:rPr>
        <w:t>Evaluar, calificar y estimar los riesgos  </w:t>
      </w:r>
    </w:p>
    <w:p w14:paraId="43B10E76" w14:textId="77777777" w:rsidR="00813F70" w:rsidRPr="00416C3A" w:rsidRDefault="00813F70" w:rsidP="00813F70">
      <w:pPr>
        <w:pStyle w:val="Prrafodelista"/>
        <w:numPr>
          <w:ilvl w:val="0"/>
          <w:numId w:val="10"/>
        </w:numPr>
        <w:spacing w:line="276" w:lineRule="auto"/>
        <w:jc w:val="both"/>
        <w:textAlignment w:val="baseline"/>
        <w:rPr>
          <w:rFonts w:ascii="Arial" w:hAnsi="Arial" w:cs="Arial"/>
          <w:sz w:val="22"/>
          <w:lang w:val="es-ES" w:eastAsia="es-CO"/>
        </w:rPr>
      </w:pPr>
      <w:r w:rsidRPr="00416C3A">
        <w:rPr>
          <w:rFonts w:ascii="Arial" w:hAnsi="Arial" w:cs="Arial"/>
          <w:sz w:val="22"/>
          <w:lang w:val="es-ES" w:eastAsia="es-CO"/>
        </w:rPr>
        <w:t>Asignar y tratar los Riesgos.  </w:t>
      </w:r>
    </w:p>
    <w:p w14:paraId="7A84A093" w14:textId="77777777" w:rsidR="00813F70" w:rsidRPr="00416C3A" w:rsidRDefault="00813F70" w:rsidP="00813F70">
      <w:pPr>
        <w:pStyle w:val="Prrafodelista"/>
        <w:numPr>
          <w:ilvl w:val="0"/>
          <w:numId w:val="10"/>
        </w:numPr>
        <w:spacing w:line="276" w:lineRule="auto"/>
        <w:jc w:val="both"/>
        <w:textAlignment w:val="baseline"/>
        <w:rPr>
          <w:rFonts w:ascii="Arial" w:hAnsi="Arial" w:cs="Arial"/>
          <w:sz w:val="22"/>
          <w:lang w:val="es-ES" w:eastAsia="es-CO"/>
        </w:rPr>
      </w:pPr>
      <w:r w:rsidRPr="00416C3A">
        <w:rPr>
          <w:rFonts w:ascii="Arial" w:hAnsi="Arial" w:cs="Arial"/>
          <w:sz w:val="22"/>
          <w:lang w:val="es-ES" w:eastAsia="es-CO"/>
        </w:rPr>
        <w:t>Monitorear y revisar la gestión de los Riesgos. </w:t>
      </w:r>
    </w:p>
    <w:p w14:paraId="4D113431" w14:textId="77777777" w:rsidR="00813F70" w:rsidRPr="00416C3A" w:rsidRDefault="00813F70" w:rsidP="00813F70">
      <w:pPr>
        <w:spacing w:line="276" w:lineRule="auto"/>
        <w:jc w:val="both"/>
        <w:textAlignment w:val="baseline"/>
        <w:rPr>
          <w:rFonts w:ascii="Arial" w:hAnsi="Arial" w:cs="Arial"/>
          <w:sz w:val="22"/>
          <w:szCs w:val="22"/>
          <w:lang w:val="es-ES" w:eastAsia="es-CO"/>
        </w:rPr>
      </w:pPr>
      <w:r w:rsidRPr="00416C3A">
        <w:rPr>
          <w:rFonts w:ascii="Arial" w:hAnsi="Arial" w:cs="Arial"/>
          <w:sz w:val="22"/>
          <w:szCs w:val="22"/>
          <w:lang w:val="es-ES" w:eastAsia="es-CO"/>
        </w:rPr>
        <w:t> </w:t>
      </w:r>
    </w:p>
    <w:p w14:paraId="0F62525C" w14:textId="5F42DABD" w:rsidR="001717F3" w:rsidRPr="00416C3A" w:rsidRDefault="00813F70" w:rsidP="00852541">
      <w:pPr>
        <w:spacing w:after="120" w:line="276" w:lineRule="auto"/>
        <w:ind w:firstLine="705"/>
        <w:jc w:val="both"/>
        <w:textAlignment w:val="baseline"/>
        <w:rPr>
          <w:rFonts w:ascii="Arial" w:hAnsi="Arial" w:cs="Arial"/>
          <w:sz w:val="22"/>
          <w:szCs w:val="22"/>
          <w:lang w:val="es-ES" w:eastAsia="es-CO"/>
        </w:rPr>
      </w:pPr>
      <w:r w:rsidRPr="00416C3A">
        <w:rPr>
          <w:rFonts w:ascii="Arial" w:hAnsi="Arial" w:cs="Arial"/>
          <w:sz w:val="22"/>
          <w:szCs w:val="22"/>
          <w:lang w:val="es-ES" w:eastAsia="es-CO"/>
        </w:rPr>
        <w:t>Así las cosas, para establecer el contexto del Proceso de Contratación, se debe tener en cuenta el objeto, las experiencias pasadas, las condiciones sociales y económicas, el sector, entre otras. Posteriormente se deben identificar y clasificar los riesgos comúnmente asociados y los propios del proceso de contratación. Una vez identificados los riesgos, se recomienda establecer acciones o actividades específicas para responder a cada uno ellos, para lo cual, se sugiere en el Manual, «preparar un plan de tratamiento para documentar cómo se enfrenta cada uno de los Riesgos (ver matriz), incluyendo acciones, cronogramas, recursos (personal, información) y presupuesto, responsabilidades, necesidades de informes y reportes y de monitoreo». Por último, cuando el manual establece que las entidades estatales deben realizar un monitoreo constante en la medida que los riesgos no son estáticos, hace referencia a que deben monitorear y hacer seguimiento el plan de tratamiento con el fin de identificar los posibles impactos generados por cambios en las circunstancias internas y externas</w:t>
      </w:r>
      <w:r w:rsidRPr="00416C3A">
        <w:rPr>
          <w:rStyle w:val="Refdenotaalpie"/>
          <w:rFonts w:ascii="Arial" w:hAnsi="Arial" w:cs="Arial"/>
          <w:sz w:val="22"/>
          <w:szCs w:val="22"/>
          <w:lang w:val="es-ES" w:eastAsia="es-CO"/>
        </w:rPr>
        <w:footnoteReference w:id="20"/>
      </w:r>
      <w:r w:rsidRPr="00416C3A">
        <w:rPr>
          <w:rFonts w:ascii="Arial" w:hAnsi="Arial" w:cs="Arial"/>
          <w:sz w:val="22"/>
          <w:szCs w:val="22"/>
          <w:lang w:val="es-ES" w:eastAsia="es-CO"/>
        </w:rPr>
        <w:t>.</w:t>
      </w:r>
    </w:p>
    <w:p w14:paraId="71FC9891" w14:textId="5B55FC9C" w:rsidR="00CC5414" w:rsidRPr="00416C3A" w:rsidRDefault="00401F6C" w:rsidP="00CC5414">
      <w:pPr>
        <w:spacing w:after="120" w:line="276" w:lineRule="auto"/>
        <w:ind w:firstLine="705"/>
        <w:jc w:val="both"/>
        <w:textAlignment w:val="baseline"/>
        <w:rPr>
          <w:rFonts w:ascii="Arial" w:hAnsi="Arial" w:cs="Arial"/>
          <w:sz w:val="22"/>
          <w:szCs w:val="22"/>
          <w:lang w:val="es-ES" w:eastAsia="es-CO"/>
        </w:rPr>
      </w:pPr>
      <w:r w:rsidRPr="00416C3A">
        <w:rPr>
          <w:rFonts w:ascii="Arial" w:hAnsi="Arial" w:cs="Arial"/>
          <w:sz w:val="22"/>
          <w:szCs w:val="22"/>
          <w:lang w:val="es-ES" w:eastAsia="es-CO"/>
        </w:rPr>
        <w:t>E</w:t>
      </w:r>
      <w:r w:rsidR="001717F3" w:rsidRPr="00416C3A">
        <w:rPr>
          <w:rFonts w:ascii="Arial" w:hAnsi="Arial" w:cs="Arial"/>
          <w:sz w:val="22"/>
          <w:szCs w:val="22"/>
          <w:lang w:val="es-ES" w:eastAsia="es-CO"/>
        </w:rPr>
        <w:t>n dicho manual</w:t>
      </w:r>
      <w:r w:rsidR="00852541" w:rsidRPr="00416C3A">
        <w:rPr>
          <w:rFonts w:ascii="Arial" w:hAnsi="Arial" w:cs="Arial"/>
          <w:sz w:val="22"/>
          <w:szCs w:val="22"/>
          <w:lang w:val="es-ES" w:eastAsia="es-CO"/>
        </w:rPr>
        <w:t>,</w:t>
      </w:r>
      <w:r w:rsidR="001717F3" w:rsidRPr="00416C3A">
        <w:rPr>
          <w:rFonts w:ascii="Arial" w:hAnsi="Arial" w:cs="Arial"/>
          <w:sz w:val="22"/>
          <w:szCs w:val="22"/>
          <w:lang w:val="es-ES" w:eastAsia="es-CO"/>
        </w:rPr>
        <w:t xml:space="preserve"> </w:t>
      </w:r>
      <w:r w:rsidR="00CC5414" w:rsidRPr="00416C3A">
        <w:rPr>
          <w:rFonts w:ascii="Arial" w:hAnsi="Arial" w:cs="Arial"/>
          <w:sz w:val="22"/>
          <w:szCs w:val="22"/>
          <w:lang w:val="es-ES" w:eastAsia="es-CO"/>
        </w:rPr>
        <w:t xml:space="preserve">la Agencia de Contratación </w:t>
      </w:r>
      <w:r w:rsidR="00CC5414" w:rsidRPr="00416C3A">
        <w:rPr>
          <w:rFonts w:ascii="Arial" w:hAnsi="Arial" w:cs="Arial"/>
          <w:sz w:val="22"/>
          <w:lang w:val="es-ES"/>
        </w:rPr>
        <w:t xml:space="preserve">Pública – Colombia Compra Eficiente, recomendó a las entidades incluir una matriz de riesgos en los que se incluya todos los riesgos identificados en el proceso contractual y con ello reducir la </w:t>
      </w:r>
      <w:r w:rsidR="001717F3" w:rsidRPr="00416C3A">
        <w:rPr>
          <w:rFonts w:ascii="Arial" w:hAnsi="Arial" w:cs="Arial"/>
          <w:sz w:val="22"/>
          <w:szCs w:val="22"/>
          <w:lang w:val="es-ES" w:eastAsia="es-CO"/>
        </w:rPr>
        <w:t xml:space="preserve">exposición del </w:t>
      </w:r>
      <w:r w:rsidR="00CC5414" w:rsidRPr="00416C3A">
        <w:rPr>
          <w:rFonts w:ascii="Arial" w:hAnsi="Arial" w:cs="Arial"/>
          <w:sz w:val="22"/>
          <w:szCs w:val="22"/>
          <w:lang w:val="es-ES" w:eastAsia="es-CO"/>
        </w:rPr>
        <w:t>p</w:t>
      </w:r>
      <w:r w:rsidR="001717F3" w:rsidRPr="00416C3A">
        <w:rPr>
          <w:rFonts w:ascii="Arial" w:hAnsi="Arial" w:cs="Arial"/>
          <w:sz w:val="22"/>
          <w:szCs w:val="22"/>
          <w:lang w:val="es-ES" w:eastAsia="es-CO"/>
        </w:rPr>
        <w:t xml:space="preserve">roceso de </w:t>
      </w:r>
      <w:r w:rsidR="00CC5414" w:rsidRPr="00416C3A">
        <w:rPr>
          <w:rFonts w:ascii="Arial" w:hAnsi="Arial" w:cs="Arial"/>
          <w:sz w:val="22"/>
          <w:szCs w:val="22"/>
          <w:lang w:val="es-ES" w:eastAsia="es-CO"/>
        </w:rPr>
        <w:t>c</w:t>
      </w:r>
      <w:r w:rsidR="00852541" w:rsidRPr="00416C3A">
        <w:rPr>
          <w:rFonts w:ascii="Arial" w:hAnsi="Arial" w:cs="Arial"/>
          <w:sz w:val="22"/>
          <w:szCs w:val="22"/>
          <w:lang w:val="es-ES" w:eastAsia="es-CO"/>
        </w:rPr>
        <w:t>ontratación</w:t>
      </w:r>
      <w:r w:rsidR="001717F3" w:rsidRPr="00416C3A">
        <w:rPr>
          <w:rFonts w:ascii="Arial" w:hAnsi="Arial" w:cs="Arial"/>
          <w:sz w:val="22"/>
          <w:szCs w:val="22"/>
          <w:lang w:val="es-ES" w:eastAsia="es-CO"/>
        </w:rPr>
        <w:t xml:space="preserve"> frente a los diferentes riesgos que se puedan presentar, </w:t>
      </w:r>
      <w:r w:rsidR="00CC5414" w:rsidRPr="00416C3A">
        <w:rPr>
          <w:rFonts w:ascii="Arial" w:hAnsi="Arial" w:cs="Arial"/>
          <w:sz w:val="22"/>
          <w:szCs w:val="22"/>
          <w:lang w:val="es-ES" w:eastAsia="es-CO"/>
        </w:rPr>
        <w:t xml:space="preserve">por </w:t>
      </w:r>
      <w:r w:rsidRPr="00416C3A">
        <w:rPr>
          <w:rFonts w:ascii="Arial" w:hAnsi="Arial" w:cs="Arial"/>
          <w:sz w:val="22"/>
          <w:szCs w:val="22"/>
          <w:lang w:val="es-ES" w:eastAsia="es-CO"/>
        </w:rPr>
        <w:t>ejemplo,</w:t>
      </w:r>
      <w:r w:rsidR="00CC5414" w:rsidRPr="00416C3A">
        <w:rPr>
          <w:rFonts w:ascii="Arial" w:hAnsi="Arial" w:cs="Arial"/>
          <w:sz w:val="22"/>
          <w:szCs w:val="22"/>
          <w:lang w:val="es-ES" w:eastAsia="es-CO"/>
        </w:rPr>
        <w:t xml:space="preserve"> la identificación de:</w:t>
      </w:r>
    </w:p>
    <w:p w14:paraId="7E757BA1" w14:textId="112DDDFE" w:rsidR="00CC5414" w:rsidRPr="00416C3A" w:rsidRDefault="00CC5414" w:rsidP="00CC5414">
      <w:pPr>
        <w:autoSpaceDE w:val="0"/>
        <w:autoSpaceDN w:val="0"/>
        <w:adjustRightInd w:val="0"/>
        <w:ind w:left="705"/>
        <w:jc w:val="both"/>
        <w:rPr>
          <w:rFonts w:ascii="Arial" w:eastAsiaTheme="minorHAnsi" w:hAnsi="Arial" w:cs="Arial"/>
          <w:color w:val="000000" w:themeColor="text1"/>
          <w:sz w:val="21"/>
          <w:szCs w:val="21"/>
          <w:lang w:val="es-MX" w:eastAsia="en-US"/>
        </w:rPr>
      </w:pPr>
      <w:r w:rsidRPr="00416C3A">
        <w:rPr>
          <w:rFonts w:ascii="Arial" w:eastAsiaTheme="minorHAnsi" w:hAnsi="Arial" w:cs="Arial"/>
          <w:color w:val="000000" w:themeColor="text1"/>
          <w:sz w:val="21"/>
          <w:szCs w:val="21"/>
          <w:lang w:val="es-MX" w:eastAsia="en-US"/>
        </w:rPr>
        <w:t xml:space="preserve">(a) los eventos que impidan la adjudicación y firma del contrato como resultado del Proceso de Contratación; (b) los eventos que alteren la ejecución del contrato; (c) el </w:t>
      </w:r>
      <w:r w:rsidRPr="00416C3A">
        <w:rPr>
          <w:rFonts w:ascii="Arial" w:eastAsiaTheme="minorHAnsi" w:hAnsi="Arial" w:cs="Arial"/>
          <w:color w:val="000000" w:themeColor="text1"/>
          <w:sz w:val="21"/>
          <w:szCs w:val="21"/>
          <w:lang w:val="es-MX" w:eastAsia="en-US"/>
        </w:rPr>
        <w:lastRenderedPageBreak/>
        <w:t>equilibrio económico del contrato; (d) la eficacia del Proceso de Contratación, es decir, que la Entidad Estatal pueda satisfacer la necesidad que motivó el Proceso de Contratación; y (e) la reputación y legitimidad de la Entidad Estatal encargada de prestar el bien o servicio</w:t>
      </w:r>
      <w:r w:rsidRPr="00416C3A">
        <w:rPr>
          <w:rStyle w:val="Refdenotaalpie"/>
          <w:rFonts w:ascii="Arial" w:eastAsiaTheme="minorHAnsi" w:hAnsi="Arial" w:cs="Arial"/>
          <w:color w:val="000000" w:themeColor="text1"/>
          <w:sz w:val="21"/>
          <w:szCs w:val="21"/>
          <w:lang w:val="es-MX" w:eastAsia="en-US"/>
        </w:rPr>
        <w:footnoteReference w:id="21"/>
      </w:r>
      <w:r w:rsidRPr="00416C3A">
        <w:rPr>
          <w:rFonts w:ascii="Arial" w:eastAsiaTheme="minorHAnsi" w:hAnsi="Arial" w:cs="Arial"/>
          <w:color w:val="000000" w:themeColor="text1"/>
          <w:sz w:val="21"/>
          <w:szCs w:val="21"/>
          <w:lang w:val="es-MX" w:eastAsia="en-US"/>
        </w:rPr>
        <w:t>.</w:t>
      </w:r>
    </w:p>
    <w:p w14:paraId="129F0013" w14:textId="6DC95652" w:rsidR="00CC5414" w:rsidRPr="00416C3A" w:rsidRDefault="00CC5414" w:rsidP="00401F6C">
      <w:pPr>
        <w:spacing w:after="120" w:line="276" w:lineRule="auto"/>
        <w:jc w:val="both"/>
        <w:textAlignment w:val="baseline"/>
        <w:rPr>
          <w:rFonts w:ascii="Arial" w:hAnsi="Arial" w:cs="Arial"/>
          <w:sz w:val="22"/>
          <w:szCs w:val="22"/>
          <w:lang w:val="es-ES" w:eastAsia="es-CO"/>
        </w:rPr>
      </w:pPr>
    </w:p>
    <w:p w14:paraId="3A857C24" w14:textId="173C7897" w:rsidR="001717F3" w:rsidRPr="00416C3A" w:rsidRDefault="00401F6C" w:rsidP="00401F6C">
      <w:pPr>
        <w:spacing w:after="120" w:line="276" w:lineRule="auto"/>
        <w:jc w:val="both"/>
        <w:textAlignment w:val="baseline"/>
        <w:rPr>
          <w:rFonts w:ascii="Arial" w:hAnsi="Arial" w:cs="Arial"/>
          <w:sz w:val="21"/>
          <w:szCs w:val="21"/>
        </w:rPr>
      </w:pPr>
      <w:r w:rsidRPr="00416C3A">
        <w:rPr>
          <w:rFonts w:ascii="Arial" w:hAnsi="Arial" w:cs="Arial"/>
          <w:sz w:val="22"/>
          <w:szCs w:val="22"/>
          <w:lang w:val="es-ES" w:eastAsia="es-CO"/>
        </w:rPr>
        <w:tab/>
        <w:t xml:space="preserve">Finalmente, una adecuada administración de </w:t>
      </w:r>
      <w:proofErr w:type="gramStart"/>
      <w:r w:rsidRPr="00416C3A">
        <w:rPr>
          <w:rFonts w:ascii="Arial" w:hAnsi="Arial" w:cs="Arial"/>
          <w:sz w:val="22"/>
          <w:szCs w:val="22"/>
          <w:lang w:val="es-ES" w:eastAsia="es-CO"/>
        </w:rPr>
        <w:t>riesgos,</w:t>
      </w:r>
      <w:proofErr w:type="gramEnd"/>
      <w:r w:rsidRPr="00416C3A">
        <w:rPr>
          <w:rFonts w:ascii="Arial" w:hAnsi="Arial" w:cs="Arial"/>
          <w:sz w:val="22"/>
          <w:szCs w:val="22"/>
          <w:lang w:val="es-ES" w:eastAsia="es-CO"/>
        </w:rPr>
        <w:t xml:space="preserve"> permite: </w:t>
      </w:r>
      <w:r w:rsidR="00852541" w:rsidRPr="00416C3A">
        <w:rPr>
          <w:rFonts w:ascii="Arial" w:hAnsi="Arial" w:cs="Arial"/>
          <w:sz w:val="21"/>
          <w:szCs w:val="21"/>
        </w:rPr>
        <w:t>«</w:t>
      </w:r>
      <w:r w:rsidR="00852541" w:rsidRPr="00416C3A">
        <w:rPr>
          <w:rFonts w:ascii="Arial" w:hAnsi="Arial" w:cs="Arial"/>
          <w:sz w:val="22"/>
          <w:szCs w:val="22"/>
          <w:lang w:val="es-MX" w:eastAsia="es-CO"/>
        </w:rPr>
        <w:t>(i) proporcionar un mayor nivel de certeza y conocimiento para la toma de decisiones relacionadas con el Proceso de Contratación; (ii) mejorar la planeación de contingencias del Proceso de Contratación; (iii) incrementar el grado de confianza entre la partes del Proceso de Contratación; y (iv) reducir la posibilidad de litigios; entre otro</w:t>
      </w:r>
      <w:r w:rsidR="00852541" w:rsidRPr="00416C3A">
        <w:rPr>
          <w:rFonts w:ascii="Arial" w:hAnsi="Arial" w:cs="Arial"/>
          <w:sz w:val="21"/>
          <w:szCs w:val="21"/>
        </w:rPr>
        <w:t>»</w:t>
      </w:r>
      <w:r w:rsidR="00D92A4A" w:rsidRPr="00416C3A">
        <w:rPr>
          <w:rStyle w:val="Refdenotaalpie"/>
          <w:rFonts w:ascii="Arial" w:hAnsi="Arial" w:cs="Arial"/>
          <w:sz w:val="21"/>
          <w:szCs w:val="21"/>
        </w:rPr>
        <w:footnoteReference w:id="22"/>
      </w:r>
      <w:r w:rsidR="00852541" w:rsidRPr="00416C3A">
        <w:rPr>
          <w:rFonts w:ascii="Arial" w:hAnsi="Arial" w:cs="Arial"/>
          <w:sz w:val="21"/>
          <w:szCs w:val="21"/>
        </w:rPr>
        <w:t>.</w:t>
      </w:r>
    </w:p>
    <w:p w14:paraId="05EB07AF" w14:textId="6C4AB360" w:rsidR="001D0424" w:rsidRPr="00416C3A" w:rsidRDefault="001D0424" w:rsidP="00401F6C">
      <w:pPr>
        <w:spacing w:after="120" w:line="276" w:lineRule="auto"/>
        <w:jc w:val="both"/>
        <w:textAlignment w:val="baseline"/>
        <w:rPr>
          <w:rFonts w:ascii="Arial" w:hAnsi="Arial" w:cs="Arial"/>
          <w:sz w:val="22"/>
          <w:szCs w:val="22"/>
          <w:lang w:val="es-MX" w:eastAsia="es-CO"/>
        </w:rPr>
      </w:pPr>
      <w:r w:rsidRPr="00416C3A">
        <w:rPr>
          <w:rFonts w:ascii="Arial" w:hAnsi="Arial" w:cs="Arial"/>
          <w:sz w:val="21"/>
          <w:szCs w:val="21"/>
        </w:rPr>
        <w:tab/>
      </w:r>
      <w:r w:rsidRPr="00416C3A">
        <w:rPr>
          <w:rFonts w:ascii="Arial" w:hAnsi="Arial" w:cs="Arial"/>
          <w:sz w:val="22"/>
          <w:szCs w:val="22"/>
          <w:lang w:val="es-MX" w:eastAsia="es-CO"/>
        </w:rPr>
        <w:t>Ahora bien, a las entidades estatales le</w:t>
      </w:r>
      <w:r w:rsidR="00864EB6" w:rsidRPr="00416C3A">
        <w:rPr>
          <w:rFonts w:ascii="Arial" w:hAnsi="Arial" w:cs="Arial"/>
          <w:sz w:val="22"/>
          <w:szCs w:val="22"/>
          <w:lang w:val="es-MX" w:eastAsia="es-CO"/>
        </w:rPr>
        <w:t>s</w:t>
      </w:r>
      <w:r w:rsidRPr="00416C3A">
        <w:rPr>
          <w:rFonts w:ascii="Arial" w:hAnsi="Arial" w:cs="Arial"/>
          <w:sz w:val="22"/>
          <w:szCs w:val="22"/>
          <w:lang w:val="es-MX" w:eastAsia="es-CO"/>
        </w:rPr>
        <w:t xml:space="preserve"> corresponde</w:t>
      </w:r>
      <w:r w:rsidR="00864EB6" w:rsidRPr="00416C3A">
        <w:rPr>
          <w:rFonts w:ascii="Arial" w:hAnsi="Arial" w:cs="Arial"/>
          <w:sz w:val="22"/>
          <w:szCs w:val="22"/>
          <w:lang w:val="es-MX" w:eastAsia="es-CO"/>
        </w:rPr>
        <w:t>,</w:t>
      </w:r>
      <w:r w:rsidRPr="00416C3A">
        <w:rPr>
          <w:rFonts w:ascii="Arial" w:hAnsi="Arial" w:cs="Arial"/>
          <w:sz w:val="22"/>
          <w:szCs w:val="22"/>
          <w:lang w:val="es-MX" w:eastAsia="es-CO"/>
        </w:rPr>
        <w:t xml:space="preserve"> en cada procedimiento de selección</w:t>
      </w:r>
      <w:r w:rsidR="00864EB6" w:rsidRPr="00416C3A">
        <w:rPr>
          <w:rFonts w:ascii="Arial" w:hAnsi="Arial" w:cs="Arial"/>
          <w:sz w:val="22"/>
          <w:szCs w:val="22"/>
          <w:lang w:val="es-MX" w:eastAsia="es-CO"/>
        </w:rPr>
        <w:t xml:space="preserve">, </w:t>
      </w:r>
      <w:r w:rsidRPr="00416C3A">
        <w:rPr>
          <w:rFonts w:ascii="Arial" w:hAnsi="Arial" w:cs="Arial"/>
          <w:sz w:val="22"/>
          <w:szCs w:val="22"/>
          <w:lang w:val="es-MX" w:eastAsia="es-CO"/>
        </w:rPr>
        <w:t xml:space="preserve">establecer en el pliego de condiciones o documento equivalente la tipificación, estimación y asignación </w:t>
      </w:r>
      <w:r w:rsidR="00864EB6" w:rsidRPr="00416C3A">
        <w:rPr>
          <w:rFonts w:ascii="Arial" w:hAnsi="Arial" w:cs="Arial"/>
          <w:sz w:val="22"/>
          <w:szCs w:val="22"/>
          <w:lang w:val="es-MX" w:eastAsia="es-CO"/>
        </w:rPr>
        <w:t xml:space="preserve">definitiva </w:t>
      </w:r>
      <w:r w:rsidRPr="00416C3A">
        <w:rPr>
          <w:rFonts w:ascii="Arial" w:hAnsi="Arial" w:cs="Arial"/>
          <w:sz w:val="22"/>
          <w:szCs w:val="22"/>
          <w:lang w:val="es-MX" w:eastAsia="es-CO"/>
        </w:rPr>
        <w:t xml:space="preserve">de los riesgos previsibles involucrados en el proceso de contratación. En este sentido, si bien deben tener en consideración las observaciones formuladas por los interesados al proyecto de pliego de condiciones, al pliego de condiciones definitivo y lo debatido en la audiencia de asignación de riesgos –en los procesos de licitación pública–, </w:t>
      </w:r>
      <w:r w:rsidR="00864EB6" w:rsidRPr="00416C3A">
        <w:rPr>
          <w:rFonts w:ascii="Arial" w:hAnsi="Arial" w:cs="Arial"/>
          <w:sz w:val="22"/>
          <w:szCs w:val="22"/>
          <w:lang w:val="es-MX" w:eastAsia="es-CO"/>
        </w:rPr>
        <w:t>corresponde a cada entidad analizar y</w:t>
      </w:r>
      <w:r w:rsidRPr="00416C3A">
        <w:rPr>
          <w:rFonts w:ascii="Arial" w:hAnsi="Arial" w:cs="Arial"/>
          <w:sz w:val="22"/>
          <w:szCs w:val="22"/>
          <w:lang w:val="es-MX" w:eastAsia="es-CO"/>
        </w:rPr>
        <w:t xml:space="preserve"> </w:t>
      </w:r>
      <w:r w:rsidR="00864EB6" w:rsidRPr="00416C3A">
        <w:rPr>
          <w:rFonts w:ascii="Arial" w:hAnsi="Arial" w:cs="Arial"/>
          <w:sz w:val="22"/>
          <w:szCs w:val="22"/>
          <w:lang w:val="es-MX" w:eastAsia="es-CO"/>
        </w:rPr>
        <w:t>pronunciarse motivadamente frente a</w:t>
      </w:r>
      <w:r w:rsidRPr="00416C3A">
        <w:rPr>
          <w:rFonts w:ascii="Arial" w:hAnsi="Arial" w:cs="Arial"/>
          <w:sz w:val="22"/>
          <w:szCs w:val="22"/>
          <w:lang w:val="es-MX" w:eastAsia="es-CO"/>
        </w:rPr>
        <w:t xml:space="preserve"> </w:t>
      </w:r>
      <w:r w:rsidR="00DB4A1F" w:rsidRPr="00416C3A">
        <w:rPr>
          <w:rFonts w:ascii="Arial" w:hAnsi="Arial" w:cs="Arial"/>
          <w:sz w:val="22"/>
          <w:szCs w:val="22"/>
          <w:lang w:val="es-MX" w:eastAsia="es-CO"/>
        </w:rPr>
        <w:t>dichas observaciones</w:t>
      </w:r>
      <w:r w:rsidRPr="00416C3A">
        <w:rPr>
          <w:rFonts w:ascii="Arial" w:hAnsi="Arial" w:cs="Arial"/>
          <w:sz w:val="22"/>
          <w:szCs w:val="22"/>
          <w:lang w:val="es-MX" w:eastAsia="es-CO"/>
        </w:rPr>
        <w:t xml:space="preserve">, correspondiendo a la entidad tomar la decisión final sobre </w:t>
      </w:r>
      <w:r w:rsidR="00DB4A1F" w:rsidRPr="00416C3A">
        <w:rPr>
          <w:rFonts w:ascii="Arial" w:hAnsi="Arial" w:cs="Arial"/>
          <w:sz w:val="22"/>
          <w:szCs w:val="22"/>
          <w:lang w:val="es-MX" w:eastAsia="es-CO"/>
        </w:rPr>
        <w:t>el contenido de los riesgos</w:t>
      </w:r>
      <w:r w:rsidR="00864EB6" w:rsidRPr="00416C3A">
        <w:rPr>
          <w:rStyle w:val="Refdenotaalpie"/>
          <w:rFonts w:ascii="Arial" w:hAnsi="Arial" w:cs="Arial"/>
          <w:sz w:val="22"/>
          <w:szCs w:val="22"/>
          <w:lang w:val="es-MX" w:eastAsia="es-CO"/>
        </w:rPr>
        <w:footnoteReference w:id="23"/>
      </w:r>
      <w:r w:rsidRPr="00416C3A">
        <w:rPr>
          <w:rFonts w:ascii="Arial" w:hAnsi="Arial" w:cs="Arial"/>
          <w:sz w:val="22"/>
          <w:szCs w:val="22"/>
          <w:lang w:val="es-MX" w:eastAsia="es-CO"/>
        </w:rPr>
        <w:t xml:space="preserve">. </w:t>
      </w:r>
    </w:p>
    <w:p w14:paraId="25D0A62B" w14:textId="200D7D96" w:rsidR="001D0424" w:rsidRPr="00416C3A" w:rsidRDefault="001D0424" w:rsidP="00401F6C">
      <w:pPr>
        <w:spacing w:after="120" w:line="276" w:lineRule="auto"/>
        <w:jc w:val="both"/>
        <w:textAlignment w:val="baseline"/>
        <w:rPr>
          <w:rFonts w:ascii="Arial" w:hAnsi="Arial" w:cs="Arial"/>
          <w:sz w:val="22"/>
          <w:szCs w:val="22"/>
          <w:lang w:val="es-MX" w:eastAsia="es-CO"/>
        </w:rPr>
      </w:pPr>
      <w:r w:rsidRPr="00416C3A">
        <w:rPr>
          <w:rFonts w:ascii="Arial" w:hAnsi="Arial" w:cs="Arial"/>
          <w:sz w:val="22"/>
          <w:szCs w:val="22"/>
          <w:lang w:val="es-MX" w:eastAsia="es-CO"/>
        </w:rPr>
        <w:tab/>
        <w:t>Ahora bien</w:t>
      </w:r>
      <w:r w:rsidR="00864EB6" w:rsidRPr="00416C3A">
        <w:rPr>
          <w:rFonts w:ascii="Arial" w:hAnsi="Arial" w:cs="Arial"/>
          <w:sz w:val="22"/>
          <w:szCs w:val="22"/>
          <w:lang w:val="es-MX" w:eastAsia="es-CO"/>
        </w:rPr>
        <w:t>, cabe precisar que</w:t>
      </w:r>
      <w:r w:rsidRPr="00416C3A">
        <w:rPr>
          <w:rFonts w:ascii="Arial" w:hAnsi="Arial" w:cs="Arial"/>
          <w:sz w:val="22"/>
          <w:szCs w:val="22"/>
          <w:lang w:val="es-MX" w:eastAsia="es-CO"/>
        </w:rPr>
        <w:t xml:space="preserve"> la </w:t>
      </w:r>
      <w:r w:rsidR="00864EB6" w:rsidRPr="00416C3A">
        <w:rPr>
          <w:rFonts w:ascii="Arial" w:hAnsi="Arial" w:cs="Arial"/>
          <w:sz w:val="22"/>
          <w:szCs w:val="22"/>
          <w:lang w:val="es-MX" w:eastAsia="es-CO"/>
        </w:rPr>
        <w:t xml:space="preserve">falta de </w:t>
      </w:r>
      <w:r w:rsidRPr="00416C3A">
        <w:rPr>
          <w:rFonts w:ascii="Arial" w:hAnsi="Arial" w:cs="Arial"/>
          <w:sz w:val="22"/>
          <w:szCs w:val="22"/>
          <w:lang w:val="es-MX" w:eastAsia="es-CO"/>
        </w:rPr>
        <w:t xml:space="preserve">inclusión en la matriz de riesgos </w:t>
      </w:r>
      <w:r w:rsidR="00864EB6" w:rsidRPr="00416C3A">
        <w:rPr>
          <w:rFonts w:ascii="Arial" w:hAnsi="Arial" w:cs="Arial"/>
          <w:sz w:val="22"/>
          <w:szCs w:val="22"/>
          <w:lang w:val="es-MX" w:eastAsia="es-CO"/>
        </w:rPr>
        <w:t xml:space="preserve">de determinado riesgo en específico, no impide que eventualmente las </w:t>
      </w:r>
      <w:r w:rsidRPr="00416C3A">
        <w:rPr>
          <w:rFonts w:ascii="Arial" w:hAnsi="Arial" w:cs="Arial"/>
          <w:sz w:val="22"/>
          <w:szCs w:val="22"/>
          <w:lang w:val="es-MX" w:eastAsia="es-CO"/>
        </w:rPr>
        <w:t>partes del contrato demand</w:t>
      </w:r>
      <w:r w:rsidR="00864EB6" w:rsidRPr="00416C3A">
        <w:rPr>
          <w:rFonts w:ascii="Arial" w:hAnsi="Arial" w:cs="Arial"/>
          <w:sz w:val="22"/>
          <w:szCs w:val="22"/>
          <w:lang w:val="es-MX" w:eastAsia="es-CO"/>
        </w:rPr>
        <w:t>en</w:t>
      </w:r>
      <w:r w:rsidRPr="00416C3A">
        <w:rPr>
          <w:rFonts w:ascii="Arial" w:hAnsi="Arial" w:cs="Arial"/>
          <w:sz w:val="22"/>
          <w:szCs w:val="22"/>
          <w:lang w:val="es-MX" w:eastAsia="es-CO"/>
        </w:rPr>
        <w:t xml:space="preserve"> </w:t>
      </w:r>
      <w:r w:rsidR="00864EB6" w:rsidRPr="00416C3A">
        <w:rPr>
          <w:rFonts w:ascii="Arial" w:hAnsi="Arial" w:cs="Arial"/>
          <w:sz w:val="22"/>
          <w:szCs w:val="22"/>
          <w:lang w:val="es-MX" w:eastAsia="es-CO"/>
        </w:rPr>
        <w:t xml:space="preserve">la revisión del contrato, en los términos </w:t>
      </w:r>
      <w:r w:rsidR="00F9610B" w:rsidRPr="00416C3A">
        <w:rPr>
          <w:rFonts w:ascii="Arial" w:hAnsi="Arial" w:cs="Arial"/>
          <w:sz w:val="22"/>
          <w:szCs w:val="22"/>
          <w:lang w:val="es-MX" w:eastAsia="es-CO"/>
        </w:rPr>
        <w:t>del artículo 141 del CPACA</w:t>
      </w:r>
      <w:r w:rsidR="00DB4A1F" w:rsidRPr="00416C3A">
        <w:rPr>
          <w:rFonts w:ascii="Arial" w:hAnsi="Arial" w:cs="Arial"/>
          <w:sz w:val="22"/>
          <w:szCs w:val="22"/>
          <w:lang w:val="es-MX" w:eastAsia="es-CO"/>
        </w:rPr>
        <w:t>, conforme las explicaciones realizadas en el numeral anterior.</w:t>
      </w:r>
    </w:p>
    <w:p w14:paraId="67FDFC24" w14:textId="77777777" w:rsidR="00192273" w:rsidRPr="00416C3A" w:rsidRDefault="00192273" w:rsidP="00401F6C">
      <w:pPr>
        <w:pStyle w:val="Textoindependiente"/>
        <w:spacing w:before="93" w:line="276" w:lineRule="auto"/>
        <w:ind w:right="114"/>
        <w:jc w:val="both"/>
        <w:rPr>
          <w:color w:val="000000" w:themeColor="text1"/>
          <w:sz w:val="22"/>
          <w:szCs w:val="22"/>
        </w:rPr>
      </w:pPr>
    </w:p>
    <w:p w14:paraId="796F1CAF" w14:textId="77777777" w:rsidR="007B6D7A" w:rsidRPr="00416C3A" w:rsidRDefault="007B6D7A" w:rsidP="007B6D7A">
      <w:pPr>
        <w:tabs>
          <w:tab w:val="left" w:pos="0"/>
        </w:tabs>
        <w:jc w:val="both"/>
        <w:rPr>
          <w:rFonts w:ascii="Arial" w:eastAsia="Calibri" w:hAnsi="Arial" w:cs="Arial"/>
          <w:b/>
          <w:color w:val="000000" w:themeColor="text1"/>
          <w:sz w:val="22"/>
        </w:rPr>
      </w:pPr>
      <w:r w:rsidRPr="00416C3A">
        <w:rPr>
          <w:rFonts w:ascii="Arial" w:eastAsia="Calibri" w:hAnsi="Arial" w:cs="Arial"/>
          <w:b/>
          <w:color w:val="000000" w:themeColor="text1"/>
          <w:sz w:val="22"/>
        </w:rPr>
        <w:t>3. Respuestas</w:t>
      </w:r>
    </w:p>
    <w:p w14:paraId="2A5B5402" w14:textId="77777777" w:rsidR="008E4FC5" w:rsidRPr="00416C3A" w:rsidRDefault="008E4FC5" w:rsidP="00550397">
      <w:pPr>
        <w:spacing w:after="120" w:line="276" w:lineRule="auto"/>
        <w:ind w:firstLine="708"/>
        <w:jc w:val="both"/>
        <w:rPr>
          <w:rFonts w:ascii="Arial" w:hAnsi="Arial" w:cs="Arial"/>
          <w:sz w:val="22"/>
          <w:lang w:val="es-CO"/>
        </w:rPr>
      </w:pPr>
    </w:p>
    <w:p w14:paraId="0E024F65" w14:textId="77777777" w:rsidR="00E55B1F" w:rsidRPr="00416C3A" w:rsidRDefault="00E55B1F" w:rsidP="00E55B1F">
      <w:pPr>
        <w:autoSpaceDE w:val="0"/>
        <w:autoSpaceDN w:val="0"/>
        <w:adjustRightInd w:val="0"/>
        <w:ind w:left="709" w:right="709"/>
        <w:jc w:val="both"/>
        <w:rPr>
          <w:rFonts w:ascii="Arial" w:hAnsi="Arial" w:cs="Arial"/>
          <w:sz w:val="21"/>
          <w:szCs w:val="21"/>
        </w:rPr>
      </w:pPr>
      <w:r w:rsidRPr="00416C3A">
        <w:rPr>
          <w:rFonts w:ascii="Arial" w:hAnsi="Arial" w:cs="Arial"/>
          <w:sz w:val="21"/>
          <w:szCs w:val="21"/>
        </w:rPr>
        <w:t>«1. Las Entidades, a pesar de conocer la situación de volatilidad de los precios de mercado, se pueden negar a: 1). Realizar los ajustes al presupuesto oficial, a pesar de la falta de planeación. 2). Realizar el ajuste a la matriz de riesgo, poniendo como tratamiento la actualización y/o reajuste conforme a los precios del mercado, y siendo responsable la Entidad?»</w:t>
      </w:r>
    </w:p>
    <w:p w14:paraId="09AC8A5F" w14:textId="77777777" w:rsidR="00E55B1F" w:rsidRPr="00416C3A" w:rsidRDefault="00E55B1F" w:rsidP="00E55B1F">
      <w:pPr>
        <w:autoSpaceDE w:val="0"/>
        <w:autoSpaceDN w:val="0"/>
        <w:adjustRightInd w:val="0"/>
        <w:ind w:left="709" w:right="709"/>
        <w:jc w:val="both"/>
        <w:rPr>
          <w:rFonts w:ascii="Arial" w:hAnsi="Arial" w:cs="Arial"/>
          <w:sz w:val="21"/>
          <w:szCs w:val="21"/>
        </w:rPr>
      </w:pPr>
    </w:p>
    <w:p w14:paraId="3B450639" w14:textId="77777777" w:rsidR="00E55B1F" w:rsidRPr="00416C3A" w:rsidRDefault="00E55B1F" w:rsidP="00E55B1F">
      <w:pPr>
        <w:autoSpaceDE w:val="0"/>
        <w:autoSpaceDN w:val="0"/>
        <w:adjustRightInd w:val="0"/>
        <w:ind w:left="709" w:right="709"/>
        <w:jc w:val="both"/>
        <w:rPr>
          <w:rFonts w:ascii="Arial" w:hAnsi="Arial" w:cs="Arial"/>
          <w:sz w:val="21"/>
          <w:szCs w:val="21"/>
        </w:rPr>
      </w:pPr>
      <w:r w:rsidRPr="00416C3A">
        <w:rPr>
          <w:rFonts w:ascii="Arial" w:hAnsi="Arial" w:cs="Arial"/>
          <w:sz w:val="21"/>
          <w:szCs w:val="21"/>
        </w:rPr>
        <w:t>«2. Las Entidades Estatales, hasta dónde son autónomas de plasmar en sus objetos contractuales "precios unitarios fijos, sin formula de reajuste", siendo esta actualización y/o formula de reajuste de carácter legal?</w:t>
      </w:r>
    </w:p>
    <w:p w14:paraId="620C9CE2" w14:textId="77777777" w:rsidR="00E55B1F" w:rsidRPr="00416C3A" w:rsidRDefault="00E55B1F" w:rsidP="00E55B1F">
      <w:pPr>
        <w:autoSpaceDE w:val="0"/>
        <w:autoSpaceDN w:val="0"/>
        <w:adjustRightInd w:val="0"/>
        <w:ind w:right="709"/>
        <w:jc w:val="both"/>
        <w:rPr>
          <w:rFonts w:ascii="Arial" w:hAnsi="Arial" w:cs="Arial"/>
          <w:sz w:val="21"/>
          <w:szCs w:val="21"/>
        </w:rPr>
      </w:pPr>
    </w:p>
    <w:p w14:paraId="18EB84B0" w14:textId="77777777" w:rsidR="00E55B1F" w:rsidRPr="00416C3A" w:rsidRDefault="00E55B1F" w:rsidP="00E55B1F">
      <w:pPr>
        <w:autoSpaceDE w:val="0"/>
        <w:autoSpaceDN w:val="0"/>
        <w:adjustRightInd w:val="0"/>
        <w:ind w:right="709"/>
        <w:jc w:val="both"/>
        <w:rPr>
          <w:rFonts w:ascii="Arial" w:hAnsi="Arial" w:cs="Arial"/>
          <w:sz w:val="21"/>
          <w:szCs w:val="21"/>
        </w:rPr>
      </w:pPr>
    </w:p>
    <w:p w14:paraId="1E4E0DB6" w14:textId="77777777" w:rsidR="00E55B1F" w:rsidRPr="00416C3A" w:rsidRDefault="00E55B1F" w:rsidP="00E55B1F">
      <w:pPr>
        <w:spacing w:after="120" w:line="276" w:lineRule="auto"/>
        <w:jc w:val="both"/>
        <w:rPr>
          <w:rFonts w:ascii="Arial" w:hAnsi="Arial" w:cs="Arial"/>
          <w:sz w:val="22"/>
          <w:szCs w:val="22"/>
        </w:rPr>
      </w:pPr>
      <w:r w:rsidRPr="00416C3A">
        <w:rPr>
          <w:rFonts w:ascii="Arial" w:hAnsi="Arial" w:cs="Arial"/>
          <w:sz w:val="22"/>
        </w:rPr>
        <w:t xml:space="preserve">Según las consideraciones expuestas, </w:t>
      </w:r>
      <w:r w:rsidRPr="00416C3A">
        <w:rPr>
          <w:rFonts w:ascii="Arial" w:eastAsia="Calibri" w:hAnsi="Arial" w:cs="Arial"/>
          <w:bCs/>
          <w:sz w:val="22"/>
          <w:szCs w:val="22"/>
          <w:lang w:eastAsia="en-US"/>
        </w:rPr>
        <w:t>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w:t>
      </w:r>
    </w:p>
    <w:p w14:paraId="3370B451" w14:textId="77777777" w:rsidR="00E55B1F" w:rsidRPr="00416C3A" w:rsidRDefault="00E55B1F" w:rsidP="00E55B1F">
      <w:pPr>
        <w:spacing w:before="120" w:after="120" w:line="276" w:lineRule="auto"/>
        <w:ind w:firstLine="708"/>
        <w:jc w:val="both"/>
        <w:rPr>
          <w:rFonts w:ascii="Arial" w:hAnsi="Arial" w:cs="Arial"/>
          <w:bCs/>
          <w:sz w:val="22"/>
        </w:rPr>
      </w:pPr>
      <w:r w:rsidRPr="00416C3A">
        <w:rPr>
          <w:rFonts w:ascii="Arial" w:hAnsi="Arial" w:cs="Arial"/>
          <w:bCs/>
          <w:sz w:val="22"/>
          <w:szCs w:val="22"/>
        </w:rPr>
        <w:t>Como se señaló, 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w:t>
      </w:r>
      <w:r w:rsidRPr="00416C3A">
        <w:rPr>
          <w:rFonts w:ascii="Arial" w:hAnsi="Arial" w:cs="Arial"/>
          <w:bCs/>
          <w:sz w:val="22"/>
        </w:rPr>
        <w:t xml:space="preserve"> precio del contrato. Tal metodología generalmente depende del tipo de contrato, pues hay algunas modalidades más comunes en los de obra pública; otras más utilizadas en los de prestación de servicios y otras más indicadas para los de concesión. 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sidRPr="00416C3A">
        <w:rPr>
          <w:rFonts w:ascii="Arial" w:hAnsi="Arial" w:cs="Arial"/>
          <w:bCs/>
          <w:sz w:val="22"/>
        </w:rPr>
        <w:t>ii</w:t>
      </w:r>
      <w:proofErr w:type="spellEnd"/>
      <w:r w:rsidRPr="00416C3A">
        <w:rPr>
          <w:rFonts w:ascii="Arial" w:hAnsi="Arial" w:cs="Arial"/>
          <w:bCs/>
          <w:sz w:val="22"/>
        </w:rPr>
        <w:t xml:space="preserve">) el precio global –que equivale al monto total, sin discriminar unidades–, y </w:t>
      </w:r>
      <w:proofErr w:type="spellStart"/>
      <w:r w:rsidRPr="00416C3A">
        <w:rPr>
          <w:rFonts w:ascii="Arial" w:hAnsi="Arial" w:cs="Arial"/>
          <w:bCs/>
          <w:sz w:val="22"/>
        </w:rPr>
        <w:t>iii</w:t>
      </w:r>
      <w:proofErr w:type="spellEnd"/>
      <w:r w:rsidRPr="00416C3A">
        <w:rPr>
          <w:rFonts w:ascii="Arial" w:hAnsi="Arial" w:cs="Arial"/>
          <w:bCs/>
          <w:sz w:val="22"/>
        </w:rPr>
        <w:t>) la administración delegada de recursos –en la que se distinguen los costos de inversión de los honorarios del administrador–.</w:t>
      </w:r>
    </w:p>
    <w:p w14:paraId="05C25FEC" w14:textId="62279E1B" w:rsidR="00E55B1F" w:rsidRPr="00416C3A" w:rsidRDefault="00E55B1F" w:rsidP="00E55B1F">
      <w:pPr>
        <w:spacing w:before="120" w:after="120" w:line="276" w:lineRule="auto"/>
        <w:ind w:firstLine="708"/>
        <w:jc w:val="both"/>
        <w:rPr>
          <w:rFonts w:ascii="Arial" w:hAnsi="Arial" w:cs="Arial"/>
          <w:bCs/>
          <w:sz w:val="22"/>
        </w:rPr>
      </w:pPr>
      <w:r w:rsidRPr="00416C3A">
        <w:rPr>
          <w:rFonts w:ascii="Arial" w:hAnsi="Arial" w:cs="Arial"/>
          <w:bCs/>
          <w:sz w:val="22"/>
        </w:rPr>
        <w:t xml:space="preserve">Por lo tanto, las entidades </w:t>
      </w:r>
      <w:r w:rsidR="00554722" w:rsidRPr="00416C3A">
        <w:rPr>
          <w:rFonts w:ascii="Arial" w:hAnsi="Arial" w:cs="Arial"/>
          <w:bCs/>
          <w:sz w:val="22"/>
        </w:rPr>
        <w:t>estatales</w:t>
      </w:r>
      <w:r w:rsidRPr="00416C3A">
        <w:rPr>
          <w:rFonts w:ascii="Arial" w:hAnsi="Arial" w:cs="Arial"/>
          <w:bCs/>
          <w:sz w:val="22"/>
        </w:rPr>
        <w:t xml:space="preserve"> gozan de autonomía para configurar el precio y para establecer el sistema de pago más apropiado para satisfacer los fines de la contratación estatal, respetando los límites previstos en el ordenamiento jurídico</w:t>
      </w:r>
      <w:r w:rsidR="00901B9F" w:rsidRPr="00416C3A">
        <w:rPr>
          <w:rFonts w:ascii="Arial" w:hAnsi="Arial" w:cs="Arial"/>
          <w:bCs/>
          <w:sz w:val="22"/>
        </w:rPr>
        <w:t>, sin perjuicio de las observaciones que pueden presentar los interesados, las cuales corresponde resolver de forma motivada a cada entidad estatal.</w:t>
      </w:r>
    </w:p>
    <w:p w14:paraId="0CE681B5" w14:textId="77777777" w:rsidR="00E55B1F" w:rsidRPr="00416C3A" w:rsidRDefault="00E55B1F" w:rsidP="00E55B1F">
      <w:pPr>
        <w:spacing w:before="120" w:after="120" w:line="276" w:lineRule="auto"/>
        <w:ind w:firstLine="708"/>
        <w:jc w:val="both"/>
        <w:rPr>
          <w:rFonts w:ascii="Arial" w:hAnsi="Arial" w:cs="Arial"/>
          <w:bCs/>
          <w:sz w:val="22"/>
        </w:rPr>
      </w:pPr>
      <w:r w:rsidRPr="00416C3A">
        <w:rPr>
          <w:rFonts w:ascii="Arial" w:hAnsi="Arial" w:cs="Arial"/>
          <w:bCs/>
          <w:sz w:val="22"/>
        </w:rPr>
        <w:t xml:space="preserve">Ahora bien, la Ley 80 de 1993, ha establecido en el artículo 27, que las partes pueden suscribir «acuerdos y pactos necesarios sobre cuantía, condiciones y forma de pago de gastos adicionales, reconocimientos de costos financieros e intereses, si a ello hubiere lugar […]», esto en virtud de la autonomía de la voluntad de los </w:t>
      </w:r>
      <w:proofErr w:type="spellStart"/>
      <w:r w:rsidRPr="00416C3A">
        <w:rPr>
          <w:rFonts w:ascii="Arial" w:hAnsi="Arial" w:cs="Arial"/>
          <w:bCs/>
          <w:sz w:val="22"/>
        </w:rPr>
        <w:t>co</w:t>
      </w:r>
      <w:proofErr w:type="spellEnd"/>
      <w:r w:rsidRPr="00416C3A">
        <w:rPr>
          <w:rFonts w:ascii="Arial" w:hAnsi="Arial" w:cs="Arial"/>
          <w:bCs/>
          <w:sz w:val="22"/>
        </w:rPr>
        <w:t xml:space="preserve">-contratantes y ante posibles circunstancias anormales o extraordinarias sobrevinientes, se pueden suscribir medidas que permitirán equilibrar la ecuación contractual, esto en concordancia </w:t>
      </w:r>
      <w:r w:rsidRPr="00416C3A">
        <w:rPr>
          <w:rFonts w:ascii="Arial" w:hAnsi="Arial" w:cs="Arial"/>
          <w:bCs/>
          <w:sz w:val="22"/>
        </w:rPr>
        <w:lastRenderedPageBreak/>
        <w:t xml:space="preserve">con los derechos y deberes de las entidades estatales, específicamente los numerales 8 y 9 del artículo 4 de la Ley 80 de 1993, sobre ajuste y revisión de precios. </w:t>
      </w:r>
    </w:p>
    <w:p w14:paraId="020AAD3D" w14:textId="3A1C8F9A" w:rsidR="00E55B1F" w:rsidRPr="00416C3A" w:rsidRDefault="00E55B1F" w:rsidP="00E55B1F">
      <w:pPr>
        <w:spacing w:before="120" w:after="120" w:line="276" w:lineRule="auto"/>
        <w:ind w:firstLine="708"/>
        <w:jc w:val="both"/>
        <w:rPr>
          <w:rFonts w:ascii="Arial" w:hAnsi="Arial" w:cs="Arial"/>
          <w:sz w:val="22"/>
          <w:szCs w:val="22"/>
          <w:lang w:val="es-ES" w:eastAsia="es-CO"/>
        </w:rPr>
      </w:pPr>
      <w:r w:rsidRPr="00416C3A">
        <w:rPr>
          <w:rFonts w:ascii="Arial" w:hAnsi="Arial" w:cs="Arial"/>
          <w:bCs/>
          <w:sz w:val="22"/>
        </w:rPr>
        <w:t xml:space="preserve">Adicionalmente, </w:t>
      </w:r>
      <w:r w:rsidRPr="00416C3A">
        <w:rPr>
          <w:rFonts w:ascii="Arial" w:hAnsi="Arial" w:cs="Arial"/>
          <w:sz w:val="22"/>
          <w:szCs w:val="22"/>
          <w:lang w:val="es-ES" w:eastAsia="es-CO"/>
        </w:rPr>
        <w:t xml:space="preserve">desde la Ley 1150 de 2007 y conforme los decretos reglamentarios de la contratación estatal, se establecieron obligaciones de estimación de riesgos durante la etapa de planeación. Por un lado, por parte de las entidades estatales quienes deben tipificarlos, estimarlos y asignarlos en los pliegos de condiciones, y por otro, los participantes del proceso de selección quienes deberán valorarlos y complementarlos en virtud del deber de colaboración con la administración pública en la construcción de los documentos definitivos, dada su experticia, especialidad y conocimientos. </w:t>
      </w:r>
    </w:p>
    <w:p w14:paraId="1675A4DB" w14:textId="7C4F710B" w:rsidR="00554722" w:rsidRPr="00416C3A" w:rsidRDefault="00554722" w:rsidP="00E55B1F">
      <w:pPr>
        <w:spacing w:before="120" w:after="120" w:line="276" w:lineRule="auto"/>
        <w:ind w:firstLine="708"/>
        <w:jc w:val="both"/>
        <w:rPr>
          <w:rFonts w:ascii="Arial" w:hAnsi="Arial" w:cs="Arial"/>
          <w:sz w:val="22"/>
          <w:szCs w:val="22"/>
          <w:lang w:val="es-ES" w:eastAsia="es-CO"/>
        </w:rPr>
      </w:pPr>
      <w:r w:rsidRPr="00416C3A">
        <w:rPr>
          <w:rFonts w:ascii="Arial" w:hAnsi="Arial" w:cs="Arial"/>
          <w:sz w:val="22"/>
          <w:szCs w:val="22"/>
          <w:lang w:val="es-MX" w:eastAsia="es-CO"/>
        </w:rPr>
        <w:t>Ahora bien, a las entidades estatales les corresponde, en cada procedimiento de selección, establecer en el pliego de condiciones o documento equivalente la tipificación, estimación y asignación definitiva de los riesgos previsibles involucrados en el proceso de contratación. En este sentido, si bien deben tener en consideración las observaciones formuladas por los interesados al proyecto de pliego de condiciones, al pliego de condiciones definitivo y lo debatido en la audiencia de asignación de riesgos –en los procesos de licitación pública–, corresponde a cada entidad analizar y pronunciarse motivadamente frente a dichas observaciones, correspondiendo a la entidad tomar la decisión final sobre el contenido de los riesgos</w:t>
      </w:r>
      <w:r w:rsidRPr="00416C3A">
        <w:rPr>
          <w:rStyle w:val="Refdenotaalpie"/>
          <w:rFonts w:ascii="Arial" w:hAnsi="Arial" w:cs="Arial"/>
          <w:sz w:val="22"/>
          <w:szCs w:val="22"/>
          <w:lang w:val="es-MX" w:eastAsia="es-CO"/>
        </w:rPr>
        <w:footnoteReference w:id="24"/>
      </w:r>
      <w:r w:rsidRPr="00416C3A">
        <w:rPr>
          <w:rFonts w:ascii="Arial" w:hAnsi="Arial" w:cs="Arial"/>
          <w:sz w:val="22"/>
          <w:szCs w:val="22"/>
          <w:lang w:val="es-MX" w:eastAsia="es-CO"/>
        </w:rPr>
        <w:t>.</w:t>
      </w:r>
    </w:p>
    <w:p w14:paraId="6EA49E47" w14:textId="1276334E" w:rsidR="00E55B1F" w:rsidRPr="00416C3A" w:rsidRDefault="00E55B1F" w:rsidP="00416C3A">
      <w:pPr>
        <w:spacing w:line="276" w:lineRule="auto"/>
        <w:ind w:firstLine="708"/>
        <w:jc w:val="both"/>
        <w:rPr>
          <w:rFonts w:ascii="Arial" w:hAnsi="Arial" w:cs="Arial"/>
          <w:sz w:val="22"/>
        </w:rPr>
      </w:pPr>
      <w:r w:rsidRPr="00416C3A">
        <w:rPr>
          <w:rFonts w:ascii="Arial" w:hAnsi="Arial" w:cs="Arial"/>
          <w:sz w:val="22"/>
          <w:szCs w:val="22"/>
          <w:lang w:val="es-ES" w:eastAsia="es-CO"/>
        </w:rPr>
        <w:t xml:space="preserve">En todo caso, si no se prevé ningún mecanismo de reajuste de precios y no se incluye en la matriz de riesgos </w:t>
      </w:r>
      <w:r w:rsidR="00554722" w:rsidRPr="00416C3A">
        <w:rPr>
          <w:rFonts w:ascii="Arial" w:hAnsi="Arial" w:cs="Arial"/>
          <w:sz w:val="22"/>
          <w:szCs w:val="22"/>
          <w:lang w:val="es-ES" w:eastAsia="es-CO"/>
        </w:rPr>
        <w:t>algunos riesgos específicos</w:t>
      </w:r>
      <w:r w:rsidRPr="00416C3A">
        <w:rPr>
          <w:rFonts w:ascii="Arial" w:hAnsi="Arial" w:cs="Arial"/>
          <w:sz w:val="22"/>
          <w:szCs w:val="22"/>
          <w:lang w:val="es-ES" w:eastAsia="es-CO"/>
        </w:rPr>
        <w:t xml:space="preserve">, </w:t>
      </w:r>
      <w:r w:rsidR="00554722" w:rsidRPr="00416C3A">
        <w:rPr>
          <w:rFonts w:ascii="Arial" w:hAnsi="Arial" w:cs="Arial"/>
          <w:sz w:val="22"/>
          <w:szCs w:val="22"/>
          <w:lang w:val="es-ES" w:eastAsia="es-CO"/>
        </w:rPr>
        <w:t>ello no</w:t>
      </w:r>
      <w:r w:rsidR="001D55F0" w:rsidRPr="00416C3A">
        <w:rPr>
          <w:rFonts w:ascii="Arial" w:hAnsi="Arial" w:cs="Arial"/>
          <w:sz w:val="22"/>
          <w:szCs w:val="22"/>
          <w:lang w:val="es-ES" w:eastAsia="es-CO"/>
        </w:rPr>
        <w:t xml:space="preserve"> es</w:t>
      </w:r>
      <w:r w:rsidR="00554722" w:rsidRPr="00416C3A">
        <w:rPr>
          <w:rFonts w:ascii="Arial" w:hAnsi="Arial" w:cs="Arial"/>
          <w:sz w:val="22"/>
          <w:szCs w:val="22"/>
          <w:lang w:val="es-ES" w:eastAsia="es-CO"/>
        </w:rPr>
        <w:t xml:space="preserve"> óbice para que las entidades estatales cumplan </w:t>
      </w:r>
      <w:r w:rsidR="00554722" w:rsidRPr="00416C3A">
        <w:rPr>
          <w:rFonts w:ascii="Arial" w:hAnsi="Arial" w:cs="Arial"/>
          <w:sz w:val="22"/>
        </w:rPr>
        <w:t>el</w:t>
      </w:r>
      <w:r w:rsidRPr="00416C3A">
        <w:rPr>
          <w:rFonts w:ascii="Arial" w:hAnsi="Arial" w:cs="Arial"/>
          <w:sz w:val="22"/>
        </w:rPr>
        <w:t xml:space="preserve"> </w:t>
      </w:r>
      <w:r w:rsidR="00554722" w:rsidRPr="00416C3A">
        <w:rPr>
          <w:rFonts w:ascii="Arial" w:hAnsi="Arial" w:cs="Arial"/>
          <w:sz w:val="22"/>
        </w:rPr>
        <w:t>d</w:t>
      </w:r>
      <w:r w:rsidRPr="00416C3A">
        <w:rPr>
          <w:rFonts w:ascii="Arial" w:hAnsi="Arial" w:cs="Arial"/>
          <w:sz w:val="22"/>
        </w:rPr>
        <w:t>eber de mantener las condiciones económicas y financieras del contrato estatal, en virtud del numeral 8 del artículo 4</w:t>
      </w:r>
      <w:r w:rsidR="00887604" w:rsidRPr="00416C3A">
        <w:rPr>
          <w:rFonts w:ascii="Arial" w:hAnsi="Arial" w:cs="Arial"/>
          <w:sz w:val="22"/>
        </w:rPr>
        <w:t>; 5, numeral 1; y 27 de la Ley 80 de 1993,</w:t>
      </w:r>
      <w:r w:rsidRPr="00416C3A">
        <w:rPr>
          <w:rFonts w:ascii="Arial" w:hAnsi="Arial" w:cs="Arial"/>
          <w:sz w:val="22"/>
        </w:rPr>
        <w:t xml:space="preserve"> sin perjuicio que el contratista pueda acudir a la Jurisdicción de lo Contencioso Administrativo a través del medio de control de controversias contractuales establecido en el artículo 141 del CPACA, para pedir</w:t>
      </w:r>
      <w:r w:rsidR="00887604" w:rsidRPr="00416C3A">
        <w:rPr>
          <w:rFonts w:ascii="Arial" w:hAnsi="Arial" w:cs="Arial"/>
          <w:sz w:val="22"/>
        </w:rPr>
        <w:t>,</w:t>
      </w:r>
      <w:r w:rsidRPr="00416C3A">
        <w:rPr>
          <w:rFonts w:ascii="Arial" w:hAnsi="Arial" w:cs="Arial"/>
          <w:sz w:val="22"/>
        </w:rPr>
        <w:t xml:space="preserve"> entre otras cosas, que se ordene la revisión del mismo. </w:t>
      </w:r>
    </w:p>
    <w:p w14:paraId="3C58EE93" w14:textId="77777777" w:rsidR="00E55B1F" w:rsidRPr="00416C3A" w:rsidRDefault="00E55B1F" w:rsidP="00416C3A">
      <w:pPr>
        <w:spacing w:line="276" w:lineRule="auto"/>
        <w:ind w:firstLine="708"/>
        <w:jc w:val="both"/>
        <w:rPr>
          <w:rFonts w:ascii="Arial" w:hAnsi="Arial" w:cs="Arial"/>
          <w:sz w:val="22"/>
          <w:szCs w:val="22"/>
          <w:lang w:val="es-ES" w:eastAsia="es-CO"/>
        </w:rPr>
      </w:pPr>
    </w:p>
    <w:p w14:paraId="3AC553A5" w14:textId="77777777" w:rsidR="00E55B1F" w:rsidRPr="00416C3A" w:rsidRDefault="00E55B1F" w:rsidP="007E05C8">
      <w:pPr>
        <w:autoSpaceDE w:val="0"/>
        <w:autoSpaceDN w:val="0"/>
        <w:adjustRightInd w:val="0"/>
        <w:ind w:left="709" w:right="709"/>
        <w:jc w:val="both"/>
        <w:rPr>
          <w:rFonts w:ascii="Arial" w:hAnsi="Arial" w:cs="Arial"/>
          <w:sz w:val="21"/>
          <w:szCs w:val="21"/>
        </w:rPr>
      </w:pPr>
      <w:r w:rsidRPr="00416C3A">
        <w:rPr>
          <w:rFonts w:ascii="Arial" w:hAnsi="Arial" w:cs="Arial"/>
          <w:sz w:val="21"/>
          <w:szCs w:val="21"/>
        </w:rPr>
        <w:t>«</w:t>
      </w:r>
      <w:proofErr w:type="gramStart"/>
      <w:r w:rsidRPr="00416C3A">
        <w:rPr>
          <w:rFonts w:ascii="Arial" w:hAnsi="Arial" w:cs="Arial"/>
          <w:sz w:val="21"/>
          <w:szCs w:val="21"/>
        </w:rPr>
        <w:t>3.Qué</w:t>
      </w:r>
      <w:proofErr w:type="gramEnd"/>
      <w:r w:rsidRPr="00416C3A">
        <w:rPr>
          <w:rFonts w:ascii="Arial" w:hAnsi="Arial" w:cs="Arial"/>
          <w:sz w:val="21"/>
          <w:szCs w:val="21"/>
        </w:rPr>
        <w:t>, ¿Entidad es la encargada de hacer control a los presupuestos oficiales, siendo que, a pesar de hacer la debida observación, la Entidad sigue adelante con el proceso contractual, sin importar su falta de planeación presupuestal, afectando la ejecución del contrato y al contratista?».</w:t>
      </w:r>
    </w:p>
    <w:p w14:paraId="4C3CF7CD" w14:textId="77777777" w:rsidR="00E55B1F" w:rsidRPr="00416C3A" w:rsidRDefault="00E55B1F" w:rsidP="00E55B1F">
      <w:pPr>
        <w:autoSpaceDE w:val="0"/>
        <w:autoSpaceDN w:val="0"/>
        <w:adjustRightInd w:val="0"/>
        <w:ind w:right="709"/>
        <w:jc w:val="both"/>
        <w:rPr>
          <w:rFonts w:ascii="Arial" w:hAnsi="Arial" w:cs="Arial"/>
          <w:sz w:val="21"/>
          <w:szCs w:val="21"/>
        </w:rPr>
      </w:pPr>
    </w:p>
    <w:p w14:paraId="59FB5614" w14:textId="77777777" w:rsidR="00E55B1F" w:rsidRPr="00416C3A" w:rsidRDefault="00E55B1F" w:rsidP="00416C3A">
      <w:pPr>
        <w:spacing w:after="120" w:line="276" w:lineRule="auto"/>
        <w:jc w:val="both"/>
        <w:rPr>
          <w:rFonts w:ascii="Arial" w:hAnsi="Arial" w:cs="Arial"/>
          <w:bCs/>
          <w:sz w:val="22"/>
        </w:rPr>
      </w:pPr>
      <w:r w:rsidRPr="00416C3A">
        <w:rPr>
          <w:rFonts w:ascii="Arial" w:hAnsi="Arial" w:cs="Arial"/>
          <w:bCs/>
          <w:sz w:val="22"/>
        </w:rPr>
        <w:lastRenderedPageBreak/>
        <w:t xml:space="preserve">Teniendo en cuenta las consideraciones, sin perjuicio de los análisis de planeación que le corresponde realizar a la entidad estatal para definir el presupuesto oficial y el valor del contrato, conviene destacar que estas cuentan con discrecionalidad en la estructuración y definición del valor del contrato. Lo anterior, sin perjuicio de las observaciones que pueden realizar los interesados en el proceso frente al proyecto de pliego de condiciones o el pliego de condiciones, en los términos establecidos en los documentos del proceso, las cuales corresponderá resolver de forma motivada a cada entidad estatal. </w:t>
      </w:r>
    </w:p>
    <w:p w14:paraId="2916B5E5" w14:textId="77777777" w:rsidR="00E55B1F" w:rsidRPr="00416C3A" w:rsidRDefault="00E55B1F" w:rsidP="00416C3A">
      <w:pPr>
        <w:spacing w:after="120" w:line="276" w:lineRule="auto"/>
        <w:ind w:firstLine="708"/>
        <w:jc w:val="both"/>
        <w:rPr>
          <w:rFonts w:ascii="Arial" w:hAnsi="Arial" w:cs="Arial"/>
          <w:bCs/>
          <w:sz w:val="22"/>
        </w:rPr>
      </w:pPr>
      <w:r w:rsidRPr="00416C3A">
        <w:rPr>
          <w:rFonts w:ascii="Arial" w:hAnsi="Arial" w:cs="Arial"/>
          <w:bCs/>
          <w:sz w:val="22"/>
        </w:rPr>
        <w:t xml:space="preserve">Adicionalmente, es importante tener presente que son los oferentes quienes de manera libre optan por participar en el proceso de selección de acuerdo con las condiciones establecidas por la entidad estatal. </w:t>
      </w:r>
    </w:p>
    <w:p w14:paraId="0C1C0B30" w14:textId="77777777" w:rsidR="00E55B1F" w:rsidRPr="00416C3A" w:rsidRDefault="00E55B1F" w:rsidP="00416C3A">
      <w:pPr>
        <w:spacing w:after="120" w:line="276" w:lineRule="auto"/>
        <w:ind w:firstLine="708"/>
        <w:jc w:val="both"/>
        <w:rPr>
          <w:rFonts w:ascii="Arial" w:hAnsi="Arial" w:cs="Arial"/>
          <w:sz w:val="22"/>
          <w:lang w:val="es-MX"/>
        </w:rPr>
      </w:pPr>
      <w:r w:rsidRPr="00416C3A">
        <w:rPr>
          <w:rFonts w:ascii="Arial" w:hAnsi="Arial" w:cs="Arial"/>
          <w:bCs/>
          <w:sz w:val="22"/>
        </w:rPr>
        <w:t xml:space="preserve">Finalmente, en el caso que se presenten controversias en la ejecución del contrato, corresponderá al juez resolverlas, a través del medio de control de controversias contractuales establecido en el artículo 141 del CPACA, </w:t>
      </w:r>
      <w:r w:rsidRPr="00416C3A">
        <w:rPr>
          <w:rFonts w:ascii="Arial" w:hAnsi="Arial" w:cs="Arial"/>
          <w:color w:val="000000" w:themeColor="text1"/>
          <w:sz w:val="22"/>
          <w:szCs w:val="22"/>
        </w:rPr>
        <w:t>mediante el cual, cualquiera de las partes de un contrato del Estado podrá pedir, entre otras cosas, que se ordene su revisión, que se declare su incumplimiento o que se condene al responsable a indemnizar los perjuicios, y que se hagan otras declaraciones y condenas.</w:t>
      </w:r>
      <w:r w:rsidRPr="00416C3A">
        <w:rPr>
          <w:rFonts w:ascii="Arial" w:hAnsi="Arial" w:cs="Arial"/>
          <w:bCs/>
          <w:sz w:val="22"/>
        </w:rPr>
        <w:t xml:space="preserve"> </w:t>
      </w:r>
    </w:p>
    <w:p w14:paraId="23433C06" w14:textId="77777777" w:rsidR="003A2234" w:rsidRPr="00416C3A" w:rsidRDefault="003A2234" w:rsidP="00E5158E">
      <w:pPr>
        <w:spacing w:after="120" w:line="276" w:lineRule="auto"/>
        <w:ind w:firstLine="708"/>
        <w:jc w:val="both"/>
        <w:rPr>
          <w:rFonts w:ascii="Arial" w:hAnsi="Arial" w:cs="Arial"/>
          <w:color w:val="000000" w:themeColor="text1"/>
          <w:sz w:val="22"/>
          <w:szCs w:val="22"/>
          <w:lang w:val="es-MX"/>
        </w:rPr>
      </w:pPr>
    </w:p>
    <w:bookmarkEnd w:id="1"/>
    <w:p w14:paraId="4481B58B" w14:textId="77777777" w:rsidR="00DF3130" w:rsidRPr="00416C3A" w:rsidRDefault="00DF3130" w:rsidP="00E55B1F">
      <w:pPr>
        <w:spacing w:line="276" w:lineRule="auto"/>
        <w:contextualSpacing/>
        <w:jc w:val="both"/>
        <w:rPr>
          <w:rFonts w:ascii="Arial" w:eastAsia="Calibri" w:hAnsi="Arial" w:cs="Arial"/>
          <w:sz w:val="22"/>
          <w:szCs w:val="22"/>
        </w:rPr>
      </w:pPr>
      <w:r w:rsidRPr="00416C3A">
        <w:rPr>
          <w:rFonts w:ascii="Arial" w:eastAsia="Calibri" w:hAnsi="Arial" w:cs="Arial"/>
          <w:sz w:val="22"/>
          <w:szCs w:val="22"/>
        </w:rPr>
        <w:t>Este concepto tiene el alcance previsto en el artículo 28 del Código de Procedimiento Administrativo y de lo Contencioso Administrativo.</w:t>
      </w:r>
    </w:p>
    <w:p w14:paraId="3F1E7DB9" w14:textId="77777777" w:rsidR="00DF3130" w:rsidRPr="00416C3A" w:rsidRDefault="00DF3130" w:rsidP="00550397">
      <w:pPr>
        <w:spacing w:line="276" w:lineRule="auto"/>
        <w:contextualSpacing/>
        <w:jc w:val="both"/>
        <w:rPr>
          <w:rFonts w:ascii="Arial" w:eastAsia="Calibri" w:hAnsi="Arial" w:cs="Arial"/>
          <w:sz w:val="22"/>
          <w:szCs w:val="22"/>
        </w:rPr>
      </w:pPr>
    </w:p>
    <w:p w14:paraId="6A2A645B" w14:textId="5F08C5B1" w:rsidR="0015100A" w:rsidRPr="00416C3A" w:rsidRDefault="00DF3130" w:rsidP="006C16B7">
      <w:pPr>
        <w:spacing w:line="276" w:lineRule="auto"/>
        <w:contextualSpacing/>
        <w:jc w:val="both"/>
        <w:rPr>
          <w:rFonts w:ascii="Arial" w:hAnsi="Arial" w:cs="Arial"/>
          <w:sz w:val="22"/>
          <w:szCs w:val="22"/>
          <w:lang w:eastAsia="es-CO"/>
        </w:rPr>
      </w:pPr>
      <w:r w:rsidRPr="00416C3A">
        <w:rPr>
          <w:rFonts w:ascii="Arial" w:hAnsi="Arial" w:cs="Arial"/>
          <w:sz w:val="22"/>
          <w:szCs w:val="22"/>
          <w:lang w:eastAsia="es-CO"/>
        </w:rPr>
        <w:t>Atentamente,</w:t>
      </w:r>
    </w:p>
    <w:p w14:paraId="3614917F" w14:textId="1556305F" w:rsidR="0015100A" w:rsidRPr="00416C3A" w:rsidRDefault="0015100A" w:rsidP="00550397">
      <w:pPr>
        <w:spacing w:line="276" w:lineRule="auto"/>
        <w:jc w:val="center"/>
        <w:rPr>
          <w:rFonts w:ascii="Arial" w:hAnsi="Arial" w:cs="Arial"/>
          <w:sz w:val="22"/>
          <w:szCs w:val="22"/>
          <w:lang w:eastAsia="es-ES_tradnl"/>
        </w:rPr>
      </w:pPr>
    </w:p>
    <w:p w14:paraId="2AB97B06" w14:textId="3B9BBC26" w:rsidR="0015100A" w:rsidRPr="00416C3A" w:rsidRDefault="00BF7F85" w:rsidP="006C16B7">
      <w:pPr>
        <w:spacing w:line="276" w:lineRule="auto"/>
        <w:jc w:val="center"/>
        <w:rPr>
          <w:rFonts w:ascii="Arial" w:hAnsi="Arial" w:cs="Arial"/>
          <w:sz w:val="22"/>
          <w:szCs w:val="22"/>
          <w:lang w:eastAsia="es-ES_tradnl"/>
        </w:rPr>
      </w:pPr>
      <w:r w:rsidRPr="00CC022D">
        <w:rPr>
          <w:noProof/>
        </w:rPr>
        <w:drawing>
          <wp:inline distT="0" distB="0" distL="0" distR="0" wp14:anchorId="5FA207B9" wp14:editId="660F3F3D">
            <wp:extent cx="3115945" cy="1116535"/>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6939" cy="1116891"/>
                    </a:xfrm>
                    <a:prstGeom prst="rect">
                      <a:avLst/>
                    </a:prstGeom>
                    <a:noFill/>
                    <a:ln>
                      <a:noFill/>
                    </a:ln>
                  </pic:spPr>
                </pic:pic>
              </a:graphicData>
            </a:graphic>
          </wp:inline>
        </w:drawing>
      </w:r>
    </w:p>
    <w:p w14:paraId="3E76BAB0" w14:textId="77777777" w:rsidR="00457483" w:rsidRPr="00416C3A" w:rsidRDefault="00457483" w:rsidP="00550397">
      <w:pPr>
        <w:spacing w:line="276" w:lineRule="auto"/>
        <w:jc w:val="center"/>
        <w:rPr>
          <w:rFonts w:ascii="Arial" w:hAnsi="Arial" w:cs="Arial"/>
          <w:sz w:val="22"/>
          <w:szCs w:val="22"/>
          <w:lang w:eastAsia="es-ES_tradn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06297" w:rsidRPr="00416C3A" w14:paraId="116D3F91" w14:textId="77777777" w:rsidTr="00423E96">
        <w:trPr>
          <w:trHeight w:val="315"/>
        </w:trPr>
        <w:tc>
          <w:tcPr>
            <w:tcW w:w="812" w:type="dxa"/>
            <w:vAlign w:val="center"/>
            <w:hideMark/>
          </w:tcPr>
          <w:p w14:paraId="76BB6601" w14:textId="77777777" w:rsidR="00C06297" w:rsidRPr="00416C3A" w:rsidRDefault="00C06297" w:rsidP="00423E96">
            <w:pPr>
              <w:jc w:val="both"/>
              <w:rPr>
                <w:rFonts w:ascii="Arial" w:hAnsi="Arial" w:cs="Arial"/>
                <w:sz w:val="15"/>
                <w:szCs w:val="15"/>
                <w:lang w:eastAsia="es-ES"/>
              </w:rPr>
            </w:pPr>
            <w:r w:rsidRPr="00416C3A">
              <w:rPr>
                <w:rFonts w:ascii="Arial" w:hAnsi="Arial" w:cs="Arial"/>
                <w:sz w:val="15"/>
                <w:szCs w:val="15"/>
                <w:lang w:eastAsia="es-ES"/>
              </w:rPr>
              <w:t>Elaboró:</w:t>
            </w:r>
          </w:p>
        </w:tc>
        <w:tc>
          <w:tcPr>
            <w:tcW w:w="4413" w:type="dxa"/>
            <w:tcBorders>
              <w:top w:val="nil"/>
              <w:left w:val="nil"/>
              <w:bottom w:val="dotted" w:sz="4" w:space="0" w:color="7F7F7F" w:themeColor="text1" w:themeTint="80"/>
              <w:right w:val="nil"/>
            </w:tcBorders>
            <w:vAlign w:val="center"/>
            <w:hideMark/>
          </w:tcPr>
          <w:p w14:paraId="0E453CD0" w14:textId="77777777" w:rsidR="00C06297" w:rsidRPr="00416C3A" w:rsidRDefault="00C06297" w:rsidP="00423E96">
            <w:pPr>
              <w:rPr>
                <w:rFonts w:ascii="Arial" w:hAnsi="Arial" w:cs="Arial"/>
                <w:sz w:val="15"/>
                <w:szCs w:val="15"/>
                <w:lang w:eastAsia="es-ES"/>
              </w:rPr>
            </w:pPr>
            <w:r w:rsidRPr="00416C3A">
              <w:rPr>
                <w:rFonts w:ascii="Arial" w:hAnsi="Arial" w:cs="Arial"/>
                <w:sz w:val="15"/>
                <w:szCs w:val="15"/>
                <w:lang w:eastAsia="es-ES"/>
              </w:rPr>
              <w:t xml:space="preserve">Álvaro </w:t>
            </w:r>
            <w:proofErr w:type="spellStart"/>
            <w:r w:rsidRPr="00416C3A">
              <w:rPr>
                <w:rFonts w:ascii="Arial" w:hAnsi="Arial" w:cs="Arial"/>
                <w:sz w:val="15"/>
                <w:szCs w:val="15"/>
                <w:lang w:eastAsia="es-ES"/>
              </w:rPr>
              <w:t>Namén</w:t>
            </w:r>
            <w:proofErr w:type="spellEnd"/>
            <w:r w:rsidRPr="00416C3A">
              <w:rPr>
                <w:rFonts w:ascii="Arial" w:hAnsi="Arial" w:cs="Arial"/>
                <w:sz w:val="15"/>
                <w:szCs w:val="15"/>
                <w:lang w:eastAsia="es-ES"/>
              </w:rPr>
              <w:t xml:space="preserve"> Vargas</w:t>
            </w:r>
          </w:p>
          <w:p w14:paraId="113AA233" w14:textId="77777777" w:rsidR="00C06297" w:rsidRPr="00416C3A" w:rsidRDefault="00C06297" w:rsidP="00423E96">
            <w:pPr>
              <w:jc w:val="both"/>
              <w:rPr>
                <w:rFonts w:ascii="Arial" w:hAnsi="Arial" w:cs="Arial"/>
                <w:sz w:val="15"/>
                <w:szCs w:val="15"/>
                <w:lang w:eastAsia="es-ES"/>
              </w:rPr>
            </w:pPr>
            <w:r w:rsidRPr="00416C3A">
              <w:rPr>
                <w:rFonts w:ascii="Arial" w:hAnsi="Arial" w:cs="Arial"/>
                <w:sz w:val="15"/>
                <w:szCs w:val="15"/>
                <w:lang w:eastAsia="es-ES"/>
              </w:rPr>
              <w:t xml:space="preserve">Contratista de la Subdirección de Gestión Contractual  </w:t>
            </w:r>
          </w:p>
        </w:tc>
      </w:tr>
      <w:tr w:rsidR="00C06297" w:rsidRPr="00416C3A" w14:paraId="51F0CE60" w14:textId="77777777" w:rsidTr="00423E96">
        <w:trPr>
          <w:trHeight w:val="330"/>
        </w:trPr>
        <w:tc>
          <w:tcPr>
            <w:tcW w:w="812" w:type="dxa"/>
            <w:vAlign w:val="center"/>
            <w:hideMark/>
          </w:tcPr>
          <w:p w14:paraId="272C6AA1" w14:textId="77777777" w:rsidR="00C06297" w:rsidRPr="00416C3A" w:rsidRDefault="00C06297" w:rsidP="00423E96">
            <w:pPr>
              <w:jc w:val="both"/>
              <w:rPr>
                <w:rFonts w:ascii="Arial" w:hAnsi="Arial" w:cs="Arial"/>
                <w:sz w:val="15"/>
                <w:szCs w:val="15"/>
                <w:lang w:eastAsia="es-ES"/>
              </w:rPr>
            </w:pPr>
            <w:r w:rsidRPr="00416C3A">
              <w:rPr>
                <w:rFonts w:ascii="Arial" w:hAnsi="Arial" w:cs="Arial"/>
                <w:sz w:val="15"/>
                <w:szCs w:val="15"/>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E036ADE" w14:textId="77777777" w:rsidR="00C06297" w:rsidRPr="00416C3A" w:rsidRDefault="00C06297" w:rsidP="00423E96">
            <w:pPr>
              <w:jc w:val="both"/>
              <w:rPr>
                <w:rFonts w:ascii="Arial" w:hAnsi="Arial" w:cs="Arial"/>
                <w:sz w:val="15"/>
                <w:szCs w:val="15"/>
                <w:lang w:eastAsia="es-ES"/>
              </w:rPr>
            </w:pPr>
            <w:r w:rsidRPr="00416C3A">
              <w:rPr>
                <w:rFonts w:ascii="Arial" w:hAnsi="Arial" w:cs="Arial"/>
                <w:sz w:val="15"/>
                <w:szCs w:val="15"/>
                <w:lang w:eastAsia="es-ES"/>
              </w:rPr>
              <w:t xml:space="preserve">Sebastián Ramírez Grisales </w:t>
            </w:r>
          </w:p>
          <w:p w14:paraId="1427B253" w14:textId="77777777" w:rsidR="00C06297" w:rsidRPr="00416C3A" w:rsidRDefault="00C06297" w:rsidP="00423E96">
            <w:pPr>
              <w:jc w:val="both"/>
              <w:rPr>
                <w:rFonts w:ascii="Arial" w:hAnsi="Arial" w:cs="Arial"/>
                <w:sz w:val="15"/>
                <w:szCs w:val="15"/>
                <w:lang w:eastAsia="es-ES"/>
              </w:rPr>
            </w:pPr>
            <w:r w:rsidRPr="00416C3A">
              <w:rPr>
                <w:rFonts w:ascii="Arial" w:hAnsi="Arial" w:cs="Arial"/>
                <w:sz w:val="15"/>
                <w:szCs w:val="15"/>
                <w:lang w:eastAsia="es-ES"/>
              </w:rPr>
              <w:t>Contratista de la Subdirección de Gestión Contractual</w:t>
            </w:r>
          </w:p>
        </w:tc>
      </w:tr>
      <w:tr w:rsidR="00C06297" w:rsidRPr="00457483" w14:paraId="47905FD4" w14:textId="77777777" w:rsidTr="00423E96">
        <w:trPr>
          <w:trHeight w:val="300"/>
        </w:trPr>
        <w:tc>
          <w:tcPr>
            <w:tcW w:w="812" w:type="dxa"/>
            <w:vAlign w:val="center"/>
            <w:hideMark/>
          </w:tcPr>
          <w:p w14:paraId="1E2A29DF" w14:textId="77777777" w:rsidR="00C06297" w:rsidRPr="00416C3A" w:rsidRDefault="00C06297" w:rsidP="00423E96">
            <w:pPr>
              <w:jc w:val="both"/>
              <w:rPr>
                <w:rFonts w:ascii="Arial" w:hAnsi="Arial" w:cs="Arial"/>
                <w:sz w:val="15"/>
                <w:szCs w:val="15"/>
                <w:lang w:eastAsia="es-ES"/>
              </w:rPr>
            </w:pPr>
            <w:r w:rsidRPr="00416C3A">
              <w:rPr>
                <w:rFonts w:ascii="Arial" w:hAnsi="Arial" w:cs="Arial"/>
                <w:sz w:val="15"/>
                <w:szCs w:val="15"/>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2950031" w14:textId="77777777" w:rsidR="00C06297" w:rsidRPr="00416C3A" w:rsidRDefault="00C06297" w:rsidP="00423E96">
            <w:pPr>
              <w:jc w:val="both"/>
              <w:rPr>
                <w:rFonts w:ascii="Arial" w:hAnsi="Arial" w:cs="Arial"/>
                <w:sz w:val="15"/>
                <w:szCs w:val="15"/>
                <w:lang w:eastAsia="es-ES"/>
              </w:rPr>
            </w:pPr>
            <w:r w:rsidRPr="00416C3A">
              <w:rPr>
                <w:rFonts w:ascii="Arial" w:hAnsi="Arial" w:cs="Arial"/>
                <w:sz w:val="15"/>
                <w:szCs w:val="15"/>
                <w:lang w:eastAsia="es-ES"/>
              </w:rPr>
              <w:t>Juan David Marín López</w:t>
            </w:r>
          </w:p>
          <w:p w14:paraId="393529C6" w14:textId="77777777" w:rsidR="00C06297" w:rsidRPr="00457483" w:rsidRDefault="00C06297" w:rsidP="00423E96">
            <w:pPr>
              <w:jc w:val="both"/>
              <w:rPr>
                <w:rFonts w:ascii="Arial" w:hAnsi="Arial" w:cs="Arial"/>
                <w:sz w:val="15"/>
                <w:szCs w:val="15"/>
                <w:lang w:eastAsia="es-ES"/>
              </w:rPr>
            </w:pPr>
            <w:r w:rsidRPr="00416C3A">
              <w:rPr>
                <w:rFonts w:ascii="Arial" w:hAnsi="Arial" w:cs="Arial"/>
                <w:sz w:val="15"/>
                <w:szCs w:val="15"/>
                <w:lang w:eastAsia="es-ES"/>
              </w:rPr>
              <w:t>Subdirector de Gestión Contractual (E)</w:t>
            </w:r>
          </w:p>
        </w:tc>
      </w:tr>
    </w:tbl>
    <w:p w14:paraId="019B7BEC" w14:textId="2669F477" w:rsidR="003C7067" w:rsidRDefault="003C7067" w:rsidP="00550397">
      <w:pPr>
        <w:spacing w:after="120" w:line="276" w:lineRule="auto"/>
        <w:jc w:val="both"/>
      </w:pPr>
    </w:p>
    <w:p w14:paraId="49D4532E" w14:textId="7187FB04" w:rsidR="00560087" w:rsidRDefault="00560087" w:rsidP="00550397">
      <w:pPr>
        <w:spacing w:after="120" w:line="276" w:lineRule="auto"/>
        <w:jc w:val="both"/>
      </w:pPr>
    </w:p>
    <w:sectPr w:rsidR="00560087" w:rsidSect="00D81E5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B82E" w14:textId="77777777" w:rsidR="0085157B" w:rsidRDefault="0085157B" w:rsidP="003C7067">
      <w:r>
        <w:separator/>
      </w:r>
    </w:p>
  </w:endnote>
  <w:endnote w:type="continuationSeparator" w:id="0">
    <w:p w14:paraId="1DBF6ED4" w14:textId="77777777" w:rsidR="0085157B" w:rsidRDefault="0085157B" w:rsidP="003C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Arial Nova">
    <w:panose1 w:val="020B0504020202020204"/>
    <w:charset w:val="00"/>
    <w:family w:val="swiss"/>
    <w:pitch w:val="variable"/>
    <w:sig w:usb0="0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Light">
    <w:altName w:val="Calibri"/>
    <w:panose1 w:val="020B06040202020202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19D" w14:textId="77777777" w:rsidR="00D81E5B" w:rsidRDefault="00D81E5B" w:rsidP="00D81E5B">
    <w:pPr>
      <w:pStyle w:val="Sinespaciado"/>
      <w:jc w:val="right"/>
      <w:rPr>
        <w:rFonts w:ascii="Arial" w:hAnsi="Arial" w:cs="Arial"/>
        <w:sz w:val="18"/>
        <w:szCs w:val="18"/>
      </w:rPr>
    </w:pPr>
  </w:p>
  <w:p w14:paraId="14B5D1D1" w14:textId="77777777" w:rsidR="00FF547A" w:rsidRDefault="00FF547A" w:rsidP="00FF547A">
    <w:pPr>
      <w:pStyle w:val="Piedepgina"/>
    </w:pPr>
    <w:r>
      <w:rPr>
        <w:noProof/>
      </w:rPr>
      <w:drawing>
        <wp:inline distT="0" distB="0" distL="0" distR="0" wp14:anchorId="6A306E23" wp14:editId="5EFE2315">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FF547A" w:rsidRPr="00080DA3" w14:paraId="27B94BCF" w14:textId="77777777" w:rsidTr="005C12A3">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E3EFA1F"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10E3DC4"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A64857C"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0D61B480" w14:textId="77777777" w:rsidR="00FF547A" w:rsidRPr="004B6B0E" w:rsidRDefault="00FF547A" w:rsidP="00FF547A">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8564CCB"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1CCEDBA" w14:textId="77777777" w:rsidR="00FF547A" w:rsidRPr="00080DA3" w:rsidRDefault="00FF547A" w:rsidP="00FF547A">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DC8B44A"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4</w:t>
          </w:r>
          <w:r w:rsidRPr="00080DA3">
            <w:rPr>
              <w:rFonts w:ascii="Geomanist Light" w:hAnsi="Geomanist Light"/>
              <w:b/>
              <w:bCs/>
              <w:sz w:val="18"/>
              <w:szCs w:val="18"/>
            </w:rPr>
            <w:fldChar w:fldCharType="end"/>
          </w:r>
        </w:p>
      </w:tc>
    </w:tr>
  </w:tbl>
  <w:p w14:paraId="0A9DFE46" w14:textId="77777777" w:rsidR="00FF547A" w:rsidRDefault="00FF547A" w:rsidP="00FF547A">
    <w:pPr>
      <w:pStyle w:val="Piedepgina"/>
      <w:jc w:val="center"/>
    </w:pPr>
  </w:p>
  <w:p w14:paraId="1CBE747A" w14:textId="77777777" w:rsidR="00D81E5B" w:rsidRPr="00E756AC" w:rsidRDefault="00D81E5B" w:rsidP="00FF547A">
    <w:pPr>
      <w:pStyle w:val="Sinespaciado"/>
      <w:jc w:val="right"/>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56742" w14:textId="77777777" w:rsidR="0085157B" w:rsidRDefault="0085157B" w:rsidP="003C7067">
      <w:r>
        <w:separator/>
      </w:r>
    </w:p>
  </w:footnote>
  <w:footnote w:type="continuationSeparator" w:id="0">
    <w:p w14:paraId="34CB5062" w14:textId="77777777" w:rsidR="0085157B" w:rsidRDefault="0085157B" w:rsidP="003C7067">
      <w:r>
        <w:continuationSeparator/>
      </w:r>
    </w:p>
  </w:footnote>
  <w:footnote w:id="1">
    <w:p w14:paraId="2F0B4265" w14:textId="77777777" w:rsidR="00EF2C3C" w:rsidRPr="00350925" w:rsidRDefault="00EF2C3C" w:rsidP="00864EB6">
      <w:pPr>
        <w:pStyle w:val="Textonotapie"/>
        <w:ind w:firstLine="708"/>
        <w:jc w:val="both"/>
        <w:rPr>
          <w:rFonts w:ascii="Arial" w:hAnsi="Arial" w:cs="Arial"/>
          <w:sz w:val="19"/>
          <w:szCs w:val="19"/>
          <w:lang w:val="es-ES"/>
        </w:rPr>
      </w:pPr>
      <w:r w:rsidRPr="00350925">
        <w:rPr>
          <w:rStyle w:val="Refdenotaalpie"/>
          <w:rFonts w:ascii="Arial" w:hAnsi="Arial" w:cs="Arial"/>
          <w:sz w:val="19"/>
          <w:szCs w:val="19"/>
        </w:rPr>
        <w:footnoteRef/>
      </w:r>
      <w:r w:rsidRPr="00350925">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350925">
        <w:rPr>
          <w:rFonts w:ascii="Arial" w:hAnsi="Arial" w:cs="Arial"/>
          <w:i/>
          <w:iCs/>
          <w:sz w:val="19"/>
          <w:szCs w:val="19"/>
        </w:rPr>
        <w:t xml:space="preserve">ibidem </w:t>
      </w:r>
      <w:r w:rsidRPr="00350925">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5C978012" w14:textId="77777777" w:rsidR="00DF3130" w:rsidRPr="00350925" w:rsidRDefault="00DF3130" w:rsidP="00864EB6">
      <w:pPr>
        <w:tabs>
          <w:tab w:val="left" w:pos="709"/>
        </w:tabs>
        <w:jc w:val="both"/>
        <w:rPr>
          <w:rFonts w:ascii="Arial" w:eastAsia="Calibri" w:hAnsi="Arial" w:cs="Arial"/>
          <w:bCs/>
          <w:sz w:val="19"/>
          <w:szCs w:val="19"/>
        </w:rPr>
      </w:pPr>
      <w:r w:rsidRPr="00350925">
        <w:rPr>
          <w:rFonts w:ascii="Arial" w:hAnsi="Arial" w:cs="Arial"/>
          <w:sz w:val="19"/>
          <w:szCs w:val="19"/>
        </w:rPr>
        <w:tab/>
      </w: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eastAsia="Calibri" w:hAnsi="Arial" w:cs="Arial"/>
          <w:bCs/>
          <w:sz w:val="19"/>
          <w:szCs w:val="19"/>
        </w:rPr>
        <w:t xml:space="preserve">Al respecto, el profesor Enrique José Arboleda Perdomo, al interpretar el artículo transcrito, expuso lo siguiente: «El artículo 28 regula los efectos jurídicos de los conceptos que emita la entidad como respuesta a las consultas que le formulen los particulares, ordenando que </w:t>
      </w:r>
      <w:r w:rsidRPr="00350925">
        <w:rPr>
          <w:rFonts w:ascii="Arial" w:eastAsia="Calibri" w:hAnsi="Arial" w:cs="Arial"/>
          <w:bCs/>
          <w:i/>
          <w:iCs/>
          <w:sz w:val="19"/>
          <w:szCs w:val="19"/>
        </w:rPr>
        <w:t>no serán de obligatorio cumplimiento o ejecución</w:t>
      </w:r>
      <w:r w:rsidRPr="00350925">
        <w:rPr>
          <w:rFonts w:ascii="Arial" w:eastAsia="Calibri" w:hAnsi="Arial" w:cs="Arial"/>
          <w:bCs/>
          <w:sz w:val="19"/>
          <w:szCs w:val="19"/>
        </w:rPr>
        <w:t xml:space="preserve">. De este mandato surgen las siguientes consideraciones: </w:t>
      </w:r>
    </w:p>
    <w:p w14:paraId="3B192C00" w14:textId="77777777" w:rsidR="00DF3130" w:rsidRPr="00350925" w:rsidRDefault="00DF3130" w:rsidP="00864EB6">
      <w:pPr>
        <w:tabs>
          <w:tab w:val="left" w:pos="709"/>
        </w:tabs>
        <w:jc w:val="both"/>
        <w:rPr>
          <w:rFonts w:ascii="Arial" w:eastAsia="Calibri" w:hAnsi="Arial" w:cs="Arial"/>
          <w:bCs/>
          <w:sz w:val="19"/>
          <w:szCs w:val="19"/>
        </w:rPr>
      </w:pPr>
      <w:r w:rsidRPr="00350925">
        <w:rPr>
          <w:rFonts w:ascii="Arial" w:eastAsia="Calibri" w:hAnsi="Arial" w:cs="Arial"/>
          <w:bCs/>
          <w:sz w:val="19"/>
          <w:szCs w:val="19"/>
        </w:rPr>
        <w:tab/>
        <w:t>»La primera, que un concepto no es un acto administrativo de contenido particular pues en sí mismo no contiene una manifestación de la voluntad de la administración que tenga la virtualidad de producir efectos jurídicos vinculantes, en relación con el peticionario, con la autoridad que conceptúa y aún frente a terceros que pudieran estar interesados en la respuesta.</w:t>
      </w:r>
    </w:p>
    <w:p w14:paraId="4FB9C055" w14:textId="77777777" w:rsidR="00DF3130" w:rsidRPr="00350925" w:rsidRDefault="00DF3130" w:rsidP="00864EB6">
      <w:pPr>
        <w:tabs>
          <w:tab w:val="left" w:pos="709"/>
        </w:tabs>
        <w:jc w:val="both"/>
        <w:rPr>
          <w:rFonts w:ascii="Arial" w:eastAsia="Calibri" w:hAnsi="Arial" w:cs="Arial"/>
          <w:bCs/>
          <w:sz w:val="19"/>
          <w:szCs w:val="19"/>
        </w:rPr>
      </w:pPr>
      <w:r w:rsidRPr="00350925">
        <w:rPr>
          <w:rFonts w:ascii="Arial" w:eastAsia="Calibri" w:hAnsi="Arial" w:cs="Arial"/>
          <w:bCs/>
          <w:sz w:val="19"/>
          <w:szCs w:val="19"/>
        </w:rPr>
        <w:tab/>
        <w:t xml:space="preserve">»La segunda, que la forma como la administración actúa de manera vinculante para sí misma y para la Generalidad de las personas es el reglamento, no sólo a través de la potestad reglamentaria propia del presidente de la República coma sino a través de los demás reglamentos de la administración en el preciso marco de las competencias de cada organismo o entidad, por lo cual los conceptos emitidos no pueden suplir ni menos aún competir con los reglamentos. </w:t>
      </w:r>
    </w:p>
    <w:p w14:paraId="24146FE5" w14:textId="77777777" w:rsidR="00DF3130" w:rsidRPr="00350925" w:rsidRDefault="00DF3130" w:rsidP="00864EB6">
      <w:pPr>
        <w:pStyle w:val="Textonotapie"/>
        <w:ind w:firstLine="708"/>
        <w:jc w:val="both"/>
        <w:rPr>
          <w:rFonts w:ascii="Arial" w:hAnsi="Arial" w:cs="Arial"/>
          <w:sz w:val="19"/>
          <w:szCs w:val="19"/>
        </w:rPr>
      </w:pPr>
      <w:r w:rsidRPr="00350925">
        <w:rPr>
          <w:rFonts w:ascii="Arial" w:eastAsia="Calibri" w:hAnsi="Arial" w:cs="Arial"/>
          <w:bCs/>
          <w:sz w:val="19"/>
          <w:szCs w:val="19"/>
        </w:rPr>
        <w:t xml:space="preserve">»La tercera, que los conceptos no pueden interpretar la ley en el sentido de darle un alcance o proferir un sentido frente a otro posible, se limitan a explicar las competencias a cargo de la entidad y la forma de ejercerlas, con el fin de orientar a los particulares en el cumplimiento de sus deberes o el ejercicio de sus derechos». </w:t>
      </w:r>
      <w:r w:rsidRPr="00350925">
        <w:rPr>
          <w:rFonts w:ascii="Arial" w:hAnsi="Arial" w:cs="Arial"/>
          <w:sz w:val="19"/>
          <w:szCs w:val="19"/>
        </w:rPr>
        <w:t>ARBOLEDA PERDOMO, Enrique José. Comentarios al Nuevo Código de Procedimiento Administrativo y de lo Contencioso Administrativo (2ª ed.). Editorial Legis. Bogotá. 2012. p.59.</w:t>
      </w:r>
    </w:p>
    <w:p w14:paraId="3F157710" w14:textId="77777777" w:rsidR="00DF3130" w:rsidRPr="00350925" w:rsidRDefault="00DF3130" w:rsidP="00864EB6">
      <w:pPr>
        <w:pStyle w:val="Textonotapie"/>
        <w:ind w:firstLine="708"/>
        <w:jc w:val="both"/>
        <w:rPr>
          <w:rFonts w:ascii="Arial" w:eastAsia="Calibri" w:hAnsi="Arial" w:cs="Arial"/>
          <w:bCs/>
          <w:sz w:val="19"/>
          <w:szCs w:val="19"/>
          <w:lang w:val="es-CO"/>
        </w:rPr>
      </w:pPr>
    </w:p>
  </w:footnote>
  <w:footnote w:id="3">
    <w:p w14:paraId="3859B9B3" w14:textId="77777777" w:rsidR="00244D23" w:rsidRPr="00350925" w:rsidRDefault="00244D23" w:rsidP="00864EB6">
      <w:pPr>
        <w:ind w:firstLine="707"/>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position w:val="6"/>
          <w:sz w:val="19"/>
          <w:szCs w:val="19"/>
        </w:rPr>
        <w:t xml:space="preserve"> </w:t>
      </w:r>
      <w:r w:rsidRPr="00350925">
        <w:rPr>
          <w:rFonts w:ascii="Arial" w:hAnsi="Arial" w:cs="Arial"/>
          <w:sz w:val="19"/>
          <w:szCs w:val="19"/>
        </w:rPr>
        <w:t>DEIK ACOSTAMADIEDO, Carolina, Guía de Contratación Estatal: Deber de planeación y modalidades de selección, Buenos Aires, 2015, p. 59.</w:t>
      </w:r>
    </w:p>
    <w:p w14:paraId="6535E995" w14:textId="77777777" w:rsidR="00244D23" w:rsidRPr="00350925" w:rsidRDefault="00244D23" w:rsidP="00864EB6">
      <w:pPr>
        <w:pStyle w:val="Textonotapie"/>
        <w:jc w:val="both"/>
        <w:rPr>
          <w:rFonts w:ascii="Arial" w:hAnsi="Arial" w:cs="Arial"/>
          <w:sz w:val="19"/>
          <w:szCs w:val="19"/>
        </w:rPr>
      </w:pPr>
    </w:p>
  </w:footnote>
  <w:footnote w:id="4">
    <w:p w14:paraId="604EE600" w14:textId="77777777" w:rsidR="00244D23" w:rsidRPr="00350925" w:rsidRDefault="00244D23" w:rsidP="00864EB6">
      <w:pPr>
        <w:pStyle w:val="Textoindependiente"/>
        <w:ind w:firstLine="709"/>
        <w:jc w:val="both"/>
        <w:rPr>
          <w:sz w:val="19"/>
          <w:szCs w:val="19"/>
        </w:rPr>
      </w:pPr>
      <w:r w:rsidRPr="00350925">
        <w:rPr>
          <w:rStyle w:val="Refdenotaalpie"/>
          <w:sz w:val="19"/>
          <w:szCs w:val="19"/>
        </w:rPr>
        <w:footnoteRef/>
      </w:r>
      <w:r w:rsidRPr="00350925">
        <w:rPr>
          <w:sz w:val="19"/>
          <w:szCs w:val="19"/>
        </w:rPr>
        <w:t xml:space="preserve"> </w:t>
      </w:r>
      <w:r w:rsidRPr="00350925">
        <w:rPr>
          <w:position w:val="6"/>
          <w:sz w:val="19"/>
          <w:szCs w:val="19"/>
        </w:rPr>
        <w:t xml:space="preserve"> </w:t>
      </w:r>
      <w:r w:rsidRPr="00350925">
        <w:rPr>
          <w:sz w:val="19"/>
          <w:szCs w:val="19"/>
        </w:rPr>
        <w:t xml:space="preserve">«Artículo </w:t>
      </w:r>
      <w:bookmarkStart w:id="5" w:name="_Hlk54173885"/>
      <w:r w:rsidRPr="00350925">
        <w:rPr>
          <w:sz w:val="19"/>
          <w:szCs w:val="19"/>
        </w:rPr>
        <w:t>2.2.1.1.2.1.1</w:t>
      </w:r>
      <w:bookmarkEnd w:id="5"/>
      <w:r w:rsidRPr="00350925">
        <w:rPr>
          <w:sz w:val="19"/>
          <w:szCs w:val="19"/>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14:paraId="4DDA64EB" w14:textId="77777777" w:rsidR="00244D23" w:rsidRPr="00350925" w:rsidRDefault="00244D23" w:rsidP="00864EB6">
      <w:pPr>
        <w:pStyle w:val="Textonotapie"/>
        <w:ind w:firstLine="709"/>
        <w:jc w:val="both"/>
        <w:rPr>
          <w:rFonts w:ascii="Arial" w:hAnsi="Arial" w:cs="Arial"/>
          <w:sz w:val="19"/>
          <w:szCs w:val="19"/>
        </w:rPr>
      </w:pPr>
    </w:p>
  </w:footnote>
  <w:footnote w:id="5">
    <w:p w14:paraId="4E5E59D2" w14:textId="77777777" w:rsidR="00244D23" w:rsidRPr="00350925" w:rsidRDefault="00244D23" w:rsidP="00864EB6">
      <w:pPr>
        <w:pStyle w:val="Textoindependiente"/>
        <w:ind w:firstLine="709"/>
        <w:jc w:val="both"/>
        <w:rPr>
          <w:sz w:val="19"/>
          <w:szCs w:val="19"/>
        </w:rPr>
      </w:pPr>
      <w:r w:rsidRPr="00350925">
        <w:rPr>
          <w:rStyle w:val="Refdenotaalpie"/>
          <w:sz w:val="19"/>
          <w:szCs w:val="19"/>
        </w:rPr>
        <w:footnoteRef/>
      </w:r>
      <w:r w:rsidRPr="00350925">
        <w:rPr>
          <w:sz w:val="19"/>
          <w:szCs w:val="19"/>
        </w:rPr>
        <w:t xml:space="preserve"> Consejo de Estado. Sección Tercera. Subsección B. Sentencia del 31 de agosto de 2011. Exp.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p w14:paraId="14A8ADF3" w14:textId="77777777" w:rsidR="00244D23" w:rsidRPr="00350925" w:rsidRDefault="00244D23" w:rsidP="00864EB6">
      <w:pPr>
        <w:pStyle w:val="Textonotapie"/>
        <w:jc w:val="both"/>
        <w:rPr>
          <w:rFonts w:ascii="Arial" w:hAnsi="Arial" w:cs="Arial"/>
          <w:sz w:val="19"/>
          <w:szCs w:val="19"/>
        </w:rPr>
      </w:pPr>
    </w:p>
  </w:footnote>
  <w:footnote w:id="6">
    <w:p w14:paraId="262602E5" w14:textId="77777777" w:rsidR="00244D23" w:rsidRPr="00350925" w:rsidRDefault="00244D23" w:rsidP="00864EB6">
      <w:pPr>
        <w:ind w:firstLine="708"/>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hAnsi="Arial" w:cs="Arial"/>
          <w:i/>
          <w:sz w:val="19"/>
          <w:szCs w:val="19"/>
        </w:rPr>
        <w:t>Ibidem</w:t>
      </w:r>
      <w:r w:rsidRPr="00350925">
        <w:rPr>
          <w:rFonts w:ascii="Arial" w:hAnsi="Arial" w:cs="Arial"/>
          <w:sz w:val="19"/>
          <w:szCs w:val="19"/>
        </w:rPr>
        <w:t>.</w:t>
      </w:r>
    </w:p>
    <w:p w14:paraId="1B49C6D6" w14:textId="77777777" w:rsidR="00244D23" w:rsidRPr="00350925" w:rsidRDefault="00244D23" w:rsidP="00864EB6">
      <w:pPr>
        <w:jc w:val="both"/>
        <w:rPr>
          <w:rFonts w:ascii="Arial" w:hAnsi="Arial" w:cs="Arial"/>
          <w:sz w:val="19"/>
          <w:szCs w:val="19"/>
        </w:rPr>
      </w:pPr>
    </w:p>
  </w:footnote>
  <w:footnote w:id="7">
    <w:p w14:paraId="1780D046" w14:textId="77777777" w:rsidR="004E0591" w:rsidRPr="00350925" w:rsidRDefault="004E0591" w:rsidP="00864EB6">
      <w:pPr>
        <w:pStyle w:val="Textonotapie"/>
        <w:ind w:firstLine="708"/>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sz w:val="19"/>
          <w:szCs w:val="19"/>
        </w:rPr>
        <w:t xml:space="preserve"> AGENCIA NACIONAL DE CONTRATACIÓN PÚBLICA – COLOMBIA COMPRA EFICIENTE. </w:t>
      </w:r>
      <w:r w:rsidRPr="00350925">
        <w:rPr>
          <w:rFonts w:ascii="Arial" w:eastAsia="Calibri" w:hAnsi="Arial" w:cs="Arial"/>
          <w:bCs/>
          <w:sz w:val="19"/>
          <w:szCs w:val="19"/>
          <w:lang w:val="es-ES_tradnl" w:eastAsia="es-ES_tradnl"/>
        </w:rPr>
        <w:t>Guía de elaboración de estudios del sector</w:t>
      </w:r>
      <w:r w:rsidRPr="00350925">
        <w:rPr>
          <w:rFonts w:ascii="Arial" w:hAnsi="Arial" w:cs="Arial"/>
          <w:sz w:val="19"/>
          <w:szCs w:val="19"/>
        </w:rPr>
        <w:t xml:space="preserve">. Disponible en: </w:t>
      </w:r>
      <w:hyperlink r:id="rId1" w:history="1">
        <w:r w:rsidRPr="00350925">
          <w:rPr>
            <w:rStyle w:val="Hipervnculo"/>
            <w:rFonts w:ascii="Arial" w:hAnsi="Arial" w:cs="Arial"/>
            <w:sz w:val="19"/>
            <w:szCs w:val="19"/>
          </w:rPr>
          <w:t>https://www.colombiacompra.gov.co/manuales-guias-y-pliegos-tipo/manuales-y-guias</w:t>
        </w:r>
      </w:hyperlink>
      <w:r w:rsidRPr="00350925">
        <w:rPr>
          <w:rFonts w:ascii="Arial" w:hAnsi="Arial" w:cs="Arial"/>
          <w:sz w:val="19"/>
          <w:szCs w:val="19"/>
        </w:rPr>
        <w:t xml:space="preserve">. </w:t>
      </w:r>
    </w:p>
    <w:p w14:paraId="43C2DDE7" w14:textId="77777777" w:rsidR="004E0591" w:rsidRPr="00350925" w:rsidRDefault="004E0591" w:rsidP="00864EB6">
      <w:pPr>
        <w:pStyle w:val="Textonotapie"/>
        <w:ind w:firstLine="708"/>
        <w:jc w:val="both"/>
        <w:rPr>
          <w:rFonts w:ascii="Arial" w:hAnsi="Arial" w:cs="Arial"/>
          <w:sz w:val="19"/>
          <w:szCs w:val="19"/>
          <w:lang w:val="es-CO"/>
        </w:rPr>
      </w:pPr>
    </w:p>
  </w:footnote>
  <w:footnote w:id="8">
    <w:p w14:paraId="0F5F60C6" w14:textId="77777777" w:rsidR="007156F4" w:rsidRPr="00350925" w:rsidRDefault="007156F4" w:rsidP="00864EB6">
      <w:pPr>
        <w:pStyle w:val="Textonotapie"/>
        <w:ind w:firstLine="708"/>
        <w:jc w:val="both"/>
        <w:rPr>
          <w:rFonts w:ascii="Arial" w:hAnsi="Arial" w:cs="Arial"/>
          <w:sz w:val="19"/>
          <w:szCs w:val="19"/>
          <w:lang w:val="es-CO"/>
        </w:rPr>
      </w:pPr>
      <w:r w:rsidRPr="00350925">
        <w:rPr>
          <w:rStyle w:val="Refdenotaalpie"/>
          <w:rFonts w:ascii="Arial" w:hAnsi="Arial" w:cs="Arial"/>
          <w:sz w:val="19"/>
          <w:szCs w:val="19"/>
        </w:rPr>
        <w:footnoteRef/>
      </w:r>
      <w:r w:rsidRPr="00350925">
        <w:rPr>
          <w:rFonts w:ascii="Arial" w:hAnsi="Arial" w:cs="Arial"/>
          <w:sz w:val="19"/>
          <w:szCs w:val="19"/>
        </w:rPr>
        <w:t xml:space="preserve"> Ibid.</w:t>
      </w:r>
    </w:p>
  </w:footnote>
  <w:footnote w:id="9">
    <w:p w14:paraId="150855C6" w14:textId="77777777" w:rsidR="00B12676" w:rsidRPr="00350925" w:rsidRDefault="00B12676" w:rsidP="00864EB6">
      <w:pPr>
        <w:pStyle w:val="Textonotapie"/>
        <w:ind w:firstLine="708"/>
        <w:jc w:val="both"/>
        <w:rPr>
          <w:rFonts w:ascii="Arial" w:hAnsi="Arial" w:cs="Arial"/>
          <w:sz w:val="19"/>
          <w:szCs w:val="19"/>
          <w:lang w:val="es-ES"/>
        </w:rPr>
      </w:pP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hAnsi="Arial" w:cs="Arial"/>
          <w:sz w:val="19"/>
          <w:szCs w:val="19"/>
          <w:lang w:val="es-ES"/>
        </w:rPr>
        <w:t>Diccionario de la Lengua Española.</w:t>
      </w:r>
    </w:p>
    <w:p w14:paraId="7BCF3CF5" w14:textId="77777777" w:rsidR="00B12676" w:rsidRPr="00350925" w:rsidRDefault="00B12676" w:rsidP="00864EB6">
      <w:pPr>
        <w:pStyle w:val="Textonotapie"/>
        <w:jc w:val="both"/>
        <w:rPr>
          <w:rFonts w:ascii="Arial" w:hAnsi="Arial" w:cs="Arial"/>
          <w:sz w:val="19"/>
          <w:szCs w:val="19"/>
        </w:rPr>
      </w:pPr>
      <w:r w:rsidRPr="00350925">
        <w:rPr>
          <w:rFonts w:ascii="Arial" w:hAnsi="Arial" w:cs="Arial"/>
          <w:sz w:val="19"/>
          <w:szCs w:val="19"/>
        </w:rPr>
        <w:t xml:space="preserve"> </w:t>
      </w:r>
    </w:p>
  </w:footnote>
  <w:footnote w:id="10">
    <w:p w14:paraId="58626D67" w14:textId="52D363A8" w:rsidR="00B12676" w:rsidRPr="00350925" w:rsidRDefault="00B12676" w:rsidP="00864EB6">
      <w:pPr>
        <w:pStyle w:val="Textonotapie"/>
        <w:ind w:firstLine="708"/>
        <w:jc w:val="both"/>
        <w:rPr>
          <w:rFonts w:ascii="Arial" w:hAnsi="Arial" w:cs="Arial"/>
          <w:sz w:val="19"/>
          <w:szCs w:val="19"/>
          <w:lang w:val="es-ES"/>
        </w:rPr>
      </w:pPr>
      <w:r w:rsidRPr="00350925">
        <w:rPr>
          <w:rStyle w:val="Refdenotaalpie"/>
          <w:rFonts w:ascii="Arial" w:hAnsi="Arial" w:cs="Arial"/>
          <w:sz w:val="19"/>
          <w:szCs w:val="19"/>
        </w:rPr>
        <w:footnoteRef/>
      </w:r>
      <w:r w:rsidRPr="00350925">
        <w:rPr>
          <w:rFonts w:ascii="Arial" w:hAnsi="Arial" w:cs="Arial"/>
          <w:sz w:val="19"/>
          <w:szCs w:val="19"/>
        </w:rPr>
        <w:t xml:space="preserve"> </w:t>
      </w:r>
      <w:r w:rsidR="007156F4" w:rsidRPr="00350925">
        <w:rPr>
          <w:rFonts w:ascii="Arial" w:hAnsi="Arial" w:cs="Arial"/>
          <w:sz w:val="19"/>
          <w:szCs w:val="19"/>
          <w:lang w:val="es-ES"/>
        </w:rPr>
        <w:t>MARÍN CORTÉS, Fabián. El precio. Serie: Las cláusulas del contrato estatal. Medellín: Librería Jurídica Sánchez y Centro de Estudios de Derecho Administrativo –CEDA–, 2012.</w:t>
      </w:r>
      <w:r w:rsidRPr="00350925">
        <w:rPr>
          <w:rFonts w:ascii="Arial" w:hAnsi="Arial" w:cs="Arial"/>
          <w:sz w:val="19"/>
          <w:szCs w:val="19"/>
          <w:lang w:val="es-ES"/>
        </w:rPr>
        <w:t xml:space="preserve"> p. 60. </w:t>
      </w:r>
    </w:p>
  </w:footnote>
  <w:footnote w:id="11">
    <w:p w14:paraId="530BDF8F" w14:textId="77777777" w:rsidR="00B12676" w:rsidRPr="00350925" w:rsidRDefault="00B12676" w:rsidP="00864EB6">
      <w:pPr>
        <w:pStyle w:val="Textonotapie"/>
        <w:jc w:val="both"/>
        <w:rPr>
          <w:rFonts w:ascii="Arial" w:hAnsi="Arial" w:cs="Arial"/>
          <w:sz w:val="19"/>
          <w:szCs w:val="19"/>
          <w:lang w:val="es-ES"/>
        </w:rPr>
      </w:pPr>
    </w:p>
    <w:p w14:paraId="098C544F" w14:textId="267B8081" w:rsidR="00B12676" w:rsidRPr="00350925" w:rsidRDefault="00B12676" w:rsidP="00864EB6">
      <w:pPr>
        <w:pStyle w:val="Textonotapie"/>
        <w:ind w:firstLine="708"/>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hAnsi="Arial" w:cs="Arial"/>
          <w:sz w:val="19"/>
          <w:szCs w:val="19"/>
          <w:lang w:val="es-ES"/>
        </w:rPr>
        <w:t>Consejo de Estado, Sección Tercera, Subsección A</w:t>
      </w:r>
      <w:r w:rsidR="007156F4" w:rsidRPr="00350925">
        <w:rPr>
          <w:rFonts w:ascii="Arial" w:hAnsi="Arial" w:cs="Arial"/>
          <w:sz w:val="19"/>
          <w:szCs w:val="19"/>
          <w:lang w:val="es-ES"/>
        </w:rPr>
        <w:t>.</w:t>
      </w:r>
      <w:r w:rsidRPr="00350925">
        <w:rPr>
          <w:rFonts w:ascii="Arial" w:hAnsi="Arial" w:cs="Arial"/>
          <w:sz w:val="19"/>
          <w:szCs w:val="19"/>
          <w:lang w:val="es-ES"/>
        </w:rPr>
        <w:t xml:space="preserve"> </w:t>
      </w:r>
      <w:r w:rsidR="007156F4" w:rsidRPr="00350925">
        <w:rPr>
          <w:rFonts w:ascii="Arial" w:hAnsi="Arial" w:cs="Arial"/>
          <w:sz w:val="19"/>
          <w:szCs w:val="19"/>
          <w:lang w:val="es-ES"/>
        </w:rPr>
        <w:t>S</w:t>
      </w:r>
      <w:r w:rsidRPr="00350925">
        <w:rPr>
          <w:rFonts w:ascii="Arial" w:hAnsi="Arial" w:cs="Arial"/>
          <w:sz w:val="19"/>
          <w:szCs w:val="19"/>
          <w:lang w:val="es-ES"/>
        </w:rPr>
        <w:t>entencia de 19 de julio de 2018, M.P. Marta Nubia Velázquez Rico, Rad. 2013-01826</w:t>
      </w:r>
      <w:r w:rsidR="007156F4" w:rsidRPr="00350925">
        <w:rPr>
          <w:rFonts w:ascii="Arial" w:hAnsi="Arial" w:cs="Arial"/>
          <w:sz w:val="19"/>
          <w:szCs w:val="19"/>
          <w:lang w:val="es-ES"/>
        </w:rPr>
        <w:t xml:space="preserve"> </w:t>
      </w:r>
      <w:r w:rsidRPr="00350925">
        <w:rPr>
          <w:rFonts w:ascii="Arial" w:hAnsi="Arial" w:cs="Arial"/>
          <w:sz w:val="19"/>
          <w:szCs w:val="19"/>
          <w:lang w:val="es-ES"/>
        </w:rPr>
        <w:t>(57.576)</w:t>
      </w:r>
      <w:r w:rsidRPr="00350925">
        <w:rPr>
          <w:rFonts w:ascii="Arial" w:hAnsi="Arial" w:cs="Arial"/>
          <w:sz w:val="19"/>
          <w:szCs w:val="19"/>
        </w:rPr>
        <w:t xml:space="preserve"> </w:t>
      </w:r>
    </w:p>
    <w:p w14:paraId="678B08A1" w14:textId="77777777" w:rsidR="00B12676" w:rsidRPr="00350925" w:rsidRDefault="00B12676" w:rsidP="00864EB6">
      <w:pPr>
        <w:pStyle w:val="Textonotapie"/>
        <w:ind w:firstLine="708"/>
        <w:jc w:val="both"/>
        <w:rPr>
          <w:rFonts w:ascii="Arial" w:hAnsi="Arial" w:cs="Arial"/>
          <w:sz w:val="19"/>
          <w:szCs w:val="19"/>
        </w:rPr>
      </w:pPr>
    </w:p>
  </w:footnote>
  <w:footnote w:id="12">
    <w:p w14:paraId="5BD6EF97" w14:textId="77777777" w:rsidR="00B12676" w:rsidRPr="00350925" w:rsidRDefault="00B12676" w:rsidP="00864EB6">
      <w:pPr>
        <w:pStyle w:val="Textonotapie"/>
        <w:ind w:firstLine="709"/>
        <w:jc w:val="both"/>
        <w:rPr>
          <w:rFonts w:ascii="Arial" w:hAnsi="Arial" w:cs="Arial"/>
          <w:sz w:val="19"/>
          <w:szCs w:val="19"/>
          <w:lang w:val="es-ES"/>
        </w:rPr>
      </w:pP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hAnsi="Arial" w:cs="Arial"/>
          <w:sz w:val="19"/>
          <w:szCs w:val="19"/>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5FB24B4C" w14:textId="30196FC7" w:rsidR="00B12676" w:rsidRPr="00350925" w:rsidRDefault="00B12676" w:rsidP="00864EB6">
      <w:pPr>
        <w:pStyle w:val="Textonotapie"/>
        <w:ind w:firstLine="709"/>
        <w:jc w:val="both"/>
        <w:rPr>
          <w:rFonts w:ascii="Arial" w:hAnsi="Arial" w:cs="Arial"/>
          <w:sz w:val="19"/>
          <w:szCs w:val="19"/>
          <w:lang w:val="es-ES"/>
        </w:rPr>
      </w:pPr>
      <w:r w:rsidRPr="00350925">
        <w:rPr>
          <w:rFonts w:ascii="Arial" w:hAnsi="Arial" w:cs="Arial"/>
          <w:sz w:val="19"/>
          <w:szCs w:val="19"/>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350925">
        <w:rPr>
          <w:rFonts w:ascii="Arial" w:hAnsi="Arial" w:cs="Arial"/>
          <w:i/>
          <w:iCs/>
          <w:sz w:val="19"/>
          <w:szCs w:val="19"/>
          <w:lang w:val="es-ES"/>
        </w:rPr>
        <w:t>costos directos</w:t>
      </w:r>
      <w:r w:rsidRPr="00350925">
        <w:rPr>
          <w:rFonts w:ascii="Arial" w:hAnsi="Arial" w:cs="Arial"/>
          <w:sz w:val="19"/>
          <w:szCs w:val="19"/>
          <w:lang w:val="es-ES"/>
        </w:rPr>
        <w:t xml:space="preserve"> y los</w:t>
      </w:r>
      <w:r w:rsidRPr="00350925">
        <w:rPr>
          <w:rFonts w:ascii="Arial" w:hAnsi="Arial" w:cs="Arial"/>
          <w:i/>
          <w:iCs/>
          <w:sz w:val="19"/>
          <w:szCs w:val="19"/>
          <w:lang w:val="es-ES"/>
        </w:rPr>
        <w:t xml:space="preserve"> costos indirectos</w:t>
      </w:r>
      <w:r w:rsidRPr="00350925">
        <w:rPr>
          <w:rFonts w:ascii="Arial" w:hAnsi="Arial" w:cs="Arial"/>
          <w:sz w:val="19"/>
          <w:szCs w:val="19"/>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350925">
        <w:rPr>
          <w:rFonts w:ascii="Arial" w:hAnsi="Arial" w:cs="Arial"/>
          <w:i/>
          <w:iCs/>
          <w:sz w:val="19"/>
          <w:szCs w:val="19"/>
          <w:lang w:val="es-ES"/>
        </w:rPr>
        <w:t>ítems</w:t>
      </w:r>
      <w:r w:rsidRPr="00350925">
        <w:rPr>
          <w:rFonts w:ascii="Arial" w:hAnsi="Arial" w:cs="Arial"/>
          <w:sz w:val="19"/>
          <w:szCs w:val="19"/>
          <w:lang w:val="es-ES"/>
        </w:rPr>
        <w:t xml:space="preserve"> que componen el contrato–. Los costos </w:t>
      </w:r>
      <w:r w:rsidRPr="00350925">
        <w:rPr>
          <w:rFonts w:ascii="Arial" w:hAnsi="Arial" w:cs="Arial"/>
          <w:i/>
          <w:iCs/>
          <w:sz w:val="19"/>
          <w:szCs w:val="19"/>
          <w:lang w:val="es-ES"/>
        </w:rPr>
        <w:t>indirectos</w:t>
      </w:r>
      <w:r w:rsidRPr="00350925">
        <w:rPr>
          <w:rFonts w:ascii="Arial" w:hAnsi="Arial" w:cs="Arial"/>
          <w:sz w:val="19"/>
          <w:szCs w:val="19"/>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w:t>
      </w:r>
      <w:r w:rsidR="007156F4" w:rsidRPr="00350925">
        <w:rPr>
          <w:rFonts w:ascii="Arial" w:hAnsi="Arial" w:cs="Arial"/>
          <w:sz w:val="19"/>
          <w:szCs w:val="19"/>
          <w:lang w:val="es-ES"/>
        </w:rPr>
        <w:t>Op. Cit.,</w:t>
      </w:r>
      <w:r w:rsidRPr="00350925">
        <w:rPr>
          <w:rFonts w:ascii="Arial" w:hAnsi="Arial" w:cs="Arial"/>
          <w:sz w:val="19"/>
          <w:szCs w:val="19"/>
          <w:lang w:val="es-ES"/>
        </w:rPr>
        <w:t xml:space="preserve"> pp. 63-64).</w:t>
      </w:r>
    </w:p>
  </w:footnote>
  <w:footnote w:id="13">
    <w:p w14:paraId="0F9D3CC0" w14:textId="77777777" w:rsidR="00B12676" w:rsidRPr="00350925" w:rsidRDefault="00B12676" w:rsidP="00864EB6">
      <w:pPr>
        <w:pStyle w:val="Textonotapie"/>
        <w:ind w:firstLine="708"/>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sz w:val="19"/>
          <w:szCs w:val="19"/>
        </w:rPr>
        <w:t xml:space="preserve"> MARÍN, Op. Cit., pp. 64-65.</w:t>
      </w:r>
    </w:p>
    <w:p w14:paraId="1E30418F" w14:textId="77777777" w:rsidR="00B12676" w:rsidRPr="00350925" w:rsidRDefault="00B12676" w:rsidP="00864EB6">
      <w:pPr>
        <w:pStyle w:val="Textonotapie"/>
        <w:ind w:firstLine="708"/>
        <w:jc w:val="both"/>
        <w:rPr>
          <w:rFonts w:ascii="Arial" w:hAnsi="Arial" w:cs="Arial"/>
          <w:sz w:val="19"/>
          <w:szCs w:val="19"/>
        </w:rPr>
      </w:pPr>
    </w:p>
  </w:footnote>
  <w:footnote w:id="14">
    <w:p w14:paraId="3C4FBA14" w14:textId="0A6138F6" w:rsidR="00B12676" w:rsidRPr="00350925" w:rsidRDefault="00B12676" w:rsidP="00864EB6">
      <w:pPr>
        <w:pStyle w:val="Textonotapie"/>
        <w:ind w:firstLine="709"/>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sz w:val="19"/>
          <w:szCs w:val="19"/>
        </w:rPr>
        <w:t xml:space="preserve"> Ibíd., p. 66.</w:t>
      </w:r>
    </w:p>
    <w:p w14:paraId="4ED2DECD" w14:textId="77777777" w:rsidR="0012523E" w:rsidRPr="00350925" w:rsidRDefault="0012523E" w:rsidP="00864EB6">
      <w:pPr>
        <w:pStyle w:val="Textonotapie"/>
        <w:ind w:firstLine="709"/>
        <w:jc w:val="both"/>
        <w:rPr>
          <w:rFonts w:ascii="Arial" w:hAnsi="Arial" w:cs="Arial"/>
          <w:sz w:val="19"/>
          <w:szCs w:val="19"/>
        </w:rPr>
      </w:pPr>
    </w:p>
  </w:footnote>
  <w:footnote w:id="15">
    <w:p w14:paraId="3FF755DE" w14:textId="77777777" w:rsidR="006E2AE9" w:rsidRPr="00350925" w:rsidRDefault="006E2AE9" w:rsidP="00864EB6">
      <w:pPr>
        <w:pStyle w:val="Textonotapie"/>
        <w:ind w:firstLine="708"/>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sz w:val="19"/>
          <w:szCs w:val="19"/>
        </w:rPr>
        <w:t xml:space="preserve"> Ley 1437 de 2011: «ARTÍCULO 141. CONTROVERSIAS CONTRACTUALES. </w:t>
      </w:r>
      <w:r w:rsidRPr="00350925">
        <w:rPr>
          <w:rFonts w:ascii="Arial" w:hAnsi="Arial" w:cs="Arial"/>
          <w:i/>
          <w:iCs/>
          <w:sz w:val="19"/>
          <w:szCs w:val="19"/>
        </w:rPr>
        <w:t>Cualquiera de las partes de un contrato del Estado podrá pedir</w:t>
      </w:r>
      <w:r w:rsidRPr="00350925">
        <w:rPr>
          <w:rFonts w:ascii="Arial" w:hAnsi="Arial" w:cs="Arial"/>
          <w:sz w:val="19"/>
          <w:szCs w:val="19"/>
        </w:rPr>
        <w:t xml:space="preserve"> que se declare su existencia o su nulidad, </w:t>
      </w:r>
      <w:r w:rsidRPr="00350925">
        <w:rPr>
          <w:rFonts w:ascii="Arial" w:hAnsi="Arial" w:cs="Arial"/>
          <w:i/>
          <w:iCs/>
          <w:sz w:val="19"/>
          <w:szCs w:val="19"/>
        </w:rPr>
        <w:t>que se ordene su revisión, que se declare su incumplimiento</w:t>
      </w:r>
      <w:r w:rsidRPr="00350925">
        <w:rPr>
          <w:rFonts w:ascii="Arial" w:hAnsi="Arial" w:cs="Arial"/>
          <w:sz w:val="19"/>
          <w:szCs w:val="19"/>
        </w:rPr>
        <w:t xml:space="preserve">, que se declare la nulidad de los actos administrativos contractuales, </w:t>
      </w:r>
      <w:r w:rsidRPr="00350925">
        <w:rPr>
          <w:rFonts w:ascii="Arial" w:hAnsi="Arial" w:cs="Arial"/>
          <w:i/>
          <w:iCs/>
          <w:sz w:val="19"/>
          <w:szCs w:val="19"/>
        </w:rPr>
        <w:t>que se condene al responsable a indemnizar los perjuicios, y que se hagan otras declaraciones y condenas</w:t>
      </w:r>
      <w:r w:rsidRPr="00350925">
        <w:rPr>
          <w:rFonts w:ascii="Arial" w:hAnsi="Arial" w:cs="Arial"/>
          <w:sz w:val="19"/>
          <w:szCs w:val="19"/>
        </w:rPr>
        <w:t>.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p>
    <w:p w14:paraId="0EA5EFFB" w14:textId="77777777" w:rsidR="006E2AE9" w:rsidRPr="00350925" w:rsidRDefault="006E2AE9" w:rsidP="00864EB6">
      <w:pPr>
        <w:pStyle w:val="Textonotapie"/>
        <w:ind w:firstLine="708"/>
        <w:jc w:val="both"/>
        <w:rPr>
          <w:rFonts w:ascii="Arial" w:hAnsi="Arial" w:cs="Arial"/>
          <w:sz w:val="19"/>
          <w:szCs w:val="19"/>
        </w:rPr>
      </w:pPr>
      <w:r w:rsidRPr="00350925">
        <w:rPr>
          <w:rFonts w:ascii="Arial" w:hAnsi="Arial" w:cs="Arial"/>
          <w:sz w:val="19"/>
          <w:szCs w:val="19"/>
        </w:rPr>
        <w:t>»Los actos proferidos antes de la celebración del contrato, con ocasión de la actividad contractual, podrán demandarse en los términos de los artículos 137 y 138 de este Código, según el caso.</w:t>
      </w:r>
    </w:p>
    <w:p w14:paraId="0EF42ADB" w14:textId="77777777" w:rsidR="006E2AE9" w:rsidRPr="00350925" w:rsidRDefault="006E2AE9" w:rsidP="00864EB6">
      <w:pPr>
        <w:pStyle w:val="Textonotapie"/>
        <w:ind w:firstLine="708"/>
        <w:jc w:val="both"/>
        <w:rPr>
          <w:rFonts w:ascii="Arial" w:hAnsi="Arial" w:cs="Arial"/>
          <w:sz w:val="19"/>
          <w:szCs w:val="19"/>
          <w:lang w:val="es-ES_tradnl"/>
        </w:rPr>
      </w:pPr>
      <w:r w:rsidRPr="00350925">
        <w:rPr>
          <w:rFonts w:ascii="Arial" w:hAnsi="Arial" w:cs="Arial"/>
          <w:sz w:val="19"/>
          <w:szCs w:val="19"/>
        </w:rPr>
        <w:t>»El Ministerio Público o un tercero que acredite un interés directo podrán pedir que se declare la nulidad absoluta del contrato. El juez administrativo podrá declararla de oficio cuando esté plenamente demostrada en el proceso, siempre y cuando en él hayan intervenido las partes contratantes o sus causahabientes» (Cursiva fuera del original).</w:t>
      </w:r>
    </w:p>
  </w:footnote>
  <w:footnote w:id="16">
    <w:p w14:paraId="52A5132A" w14:textId="77777777" w:rsidR="00146B95" w:rsidRPr="00350925" w:rsidRDefault="00146B95" w:rsidP="00864EB6">
      <w:pPr>
        <w:pStyle w:val="Textonotapie"/>
        <w:ind w:firstLine="708"/>
        <w:jc w:val="both"/>
        <w:rPr>
          <w:rFonts w:ascii="Arial" w:hAnsi="Arial" w:cs="Arial"/>
          <w:sz w:val="19"/>
          <w:szCs w:val="19"/>
          <w:lang w:val="en-US"/>
        </w:rPr>
      </w:pPr>
      <w:r w:rsidRPr="00350925">
        <w:rPr>
          <w:rStyle w:val="Refdenotaalpie"/>
          <w:rFonts w:ascii="Arial" w:hAnsi="Arial" w:cs="Arial"/>
          <w:sz w:val="19"/>
          <w:szCs w:val="19"/>
        </w:rPr>
        <w:footnoteRef/>
      </w:r>
      <w:r w:rsidRPr="00350925">
        <w:rPr>
          <w:rFonts w:ascii="Arial" w:hAnsi="Arial" w:cs="Arial"/>
          <w:sz w:val="19"/>
          <w:szCs w:val="19"/>
          <w:lang w:val="en-US"/>
        </w:rPr>
        <w:t xml:space="preserve"> DIMITRI N., PIGA, G., SPAGNOLO G., Handbook of Procurement. New York: Cambridge University Press, 2006</w:t>
      </w:r>
    </w:p>
  </w:footnote>
  <w:footnote w:id="17">
    <w:p w14:paraId="21DD164A" w14:textId="77777777" w:rsidR="00146B95" w:rsidRPr="00350925" w:rsidRDefault="00146B95" w:rsidP="00864EB6">
      <w:pPr>
        <w:pStyle w:val="Textonotapie"/>
        <w:ind w:firstLine="708"/>
        <w:jc w:val="both"/>
        <w:rPr>
          <w:rFonts w:ascii="Arial" w:hAnsi="Arial" w:cs="Arial"/>
          <w:sz w:val="19"/>
          <w:szCs w:val="19"/>
          <w:lang w:val="es-ES"/>
        </w:rPr>
      </w:pP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hAnsi="Arial" w:cs="Arial"/>
          <w:sz w:val="19"/>
          <w:szCs w:val="19"/>
          <w:lang w:val="es-ES"/>
        </w:rPr>
        <w:t>Gaceta del Congreso No. 458 del 1 de agosto de 2005.</w:t>
      </w:r>
    </w:p>
    <w:p w14:paraId="39ACDB2B" w14:textId="77777777" w:rsidR="00146B95" w:rsidRPr="00350925" w:rsidRDefault="00146B95" w:rsidP="00864EB6">
      <w:pPr>
        <w:pStyle w:val="Textonotapie"/>
        <w:ind w:firstLine="708"/>
        <w:jc w:val="both"/>
        <w:rPr>
          <w:rFonts w:ascii="Arial" w:hAnsi="Arial" w:cs="Arial"/>
          <w:sz w:val="19"/>
          <w:szCs w:val="19"/>
          <w:lang w:val="es-ES"/>
        </w:rPr>
      </w:pPr>
    </w:p>
  </w:footnote>
  <w:footnote w:id="18">
    <w:p w14:paraId="3760C2A2" w14:textId="77777777" w:rsidR="00146B95" w:rsidRPr="00350925" w:rsidRDefault="00146B95" w:rsidP="00864EB6">
      <w:pPr>
        <w:pStyle w:val="Textonotapie"/>
        <w:ind w:firstLine="708"/>
        <w:jc w:val="both"/>
        <w:rPr>
          <w:rFonts w:ascii="Arial" w:hAnsi="Arial" w:cs="Arial"/>
          <w:sz w:val="19"/>
          <w:szCs w:val="19"/>
          <w:lang w:val="es-ES"/>
        </w:rPr>
      </w:pP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hAnsi="Arial" w:cs="Arial"/>
          <w:sz w:val="19"/>
          <w:szCs w:val="19"/>
          <w:lang w:val="es-ES"/>
        </w:rPr>
        <w:t>Además de lo anterior, el artículo 2.2.1.1.1.3.1. del Decreto 1082 de 2015, estableció la siguiente definición del concepto riesgo: «Riesgo: Evento que puede generar efectos adversos y de distinta magnitud en el logro de los objetivos del Proceso de Contratación o en la ejecución de un Contrato».</w:t>
      </w:r>
    </w:p>
  </w:footnote>
  <w:footnote w:id="19">
    <w:p w14:paraId="50FA8D26" w14:textId="089A97DA" w:rsidR="00E37570" w:rsidRPr="00350925" w:rsidRDefault="00813F70" w:rsidP="00864EB6">
      <w:pPr>
        <w:pStyle w:val="Textoindependiente"/>
        <w:ind w:right="49" w:firstLine="708"/>
        <w:jc w:val="both"/>
        <w:rPr>
          <w:sz w:val="19"/>
          <w:szCs w:val="19"/>
        </w:rPr>
      </w:pPr>
      <w:r w:rsidRPr="00350925">
        <w:rPr>
          <w:rStyle w:val="Refdenotaalpie"/>
          <w:sz w:val="19"/>
          <w:szCs w:val="19"/>
        </w:rPr>
        <w:footnoteRef/>
      </w:r>
      <w:r w:rsidRPr="00350925">
        <w:rPr>
          <w:sz w:val="19"/>
          <w:szCs w:val="19"/>
        </w:rPr>
        <w:t xml:space="preserve"> </w:t>
      </w:r>
      <w:r w:rsidR="00864EB6" w:rsidRPr="00350925">
        <w:rPr>
          <w:sz w:val="19"/>
          <w:szCs w:val="19"/>
        </w:rPr>
        <w:t xml:space="preserve">Cabe precisar que el Consejo de Estado en la </w:t>
      </w:r>
      <w:r w:rsidR="00E37570" w:rsidRPr="00350925">
        <w:rPr>
          <w:sz w:val="19"/>
          <w:szCs w:val="19"/>
        </w:rPr>
        <w:t>Sentencia del 11 de abril de 2019. Rad. 2014-00135-00 (52055). Sección Tercera. C.P. María Adriana Marín, determinó que las guías o manuales que expida Colombia Compra Eficiente, en relación con la identificación y cobertura de riesgos, no son vinculantes para las entidades, quienes podrán, de manera facultativa, acudir a ellas como una guía para llevar a cabo la estimación, tipificación, asignación y cobertura de riesgos en cada proceso de contratación particular.</w:t>
      </w:r>
    </w:p>
    <w:p w14:paraId="579B0216" w14:textId="3705DBB9" w:rsidR="00813F70" w:rsidRPr="00350925" w:rsidRDefault="00813F70" w:rsidP="00416C3A">
      <w:pPr>
        <w:pStyle w:val="Textonotapie"/>
        <w:jc w:val="both"/>
        <w:rPr>
          <w:rFonts w:ascii="Arial" w:hAnsi="Arial" w:cs="Arial"/>
          <w:sz w:val="19"/>
          <w:szCs w:val="19"/>
          <w:lang w:val="es-ES"/>
        </w:rPr>
      </w:pPr>
    </w:p>
  </w:footnote>
  <w:footnote w:id="20">
    <w:p w14:paraId="3F902595" w14:textId="77777777" w:rsidR="00813F70" w:rsidRPr="00350925" w:rsidRDefault="00813F70" w:rsidP="00864EB6">
      <w:pPr>
        <w:pStyle w:val="Textonotapie"/>
        <w:ind w:firstLine="708"/>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sz w:val="19"/>
          <w:szCs w:val="19"/>
        </w:rPr>
        <w:t xml:space="preserve"> Así se establece en el «</w:t>
      </w:r>
      <w:r w:rsidRPr="00350925">
        <w:rPr>
          <w:rFonts w:ascii="Arial" w:eastAsia="Calibri" w:hAnsi="Arial" w:cs="Arial"/>
          <w:color w:val="000000" w:themeColor="text1"/>
          <w:sz w:val="19"/>
          <w:szCs w:val="19"/>
        </w:rPr>
        <w:t>Manual para la Identificación y Cobertura del Riesgo en los Procesos de Contratación</w:t>
      </w:r>
      <w:r w:rsidRPr="00350925">
        <w:rPr>
          <w:rFonts w:ascii="Arial" w:hAnsi="Arial" w:cs="Arial"/>
          <w:sz w:val="19"/>
          <w:szCs w:val="19"/>
        </w:rPr>
        <w:t>»: «5. Monitorear los Riesgos.</w:t>
      </w:r>
    </w:p>
    <w:p w14:paraId="17FEA783" w14:textId="77777777" w:rsidR="00813F70" w:rsidRPr="00350925" w:rsidRDefault="00813F70" w:rsidP="00864EB6">
      <w:pPr>
        <w:pStyle w:val="Textonotapie"/>
        <w:ind w:firstLine="708"/>
        <w:jc w:val="both"/>
        <w:rPr>
          <w:rFonts w:ascii="Arial" w:hAnsi="Arial" w:cs="Arial"/>
          <w:sz w:val="19"/>
          <w:szCs w:val="19"/>
        </w:rPr>
      </w:pPr>
      <w:r w:rsidRPr="00350925">
        <w:rPr>
          <w:rFonts w:ascii="Arial" w:hAnsi="Arial" w:cs="Arial"/>
          <w:sz w:val="19"/>
          <w:szCs w:val="19"/>
        </w:rPr>
        <w:t xml:space="preserve">»La Entidad Estatal debe realizar un monitoreo constante a los Riesgos del Proceso de Contratación pues las circunstancias cambian rápidamente y los Riesgos no son estáticos. La matriz y el plan de tratamiento deben ser revisadas constantemente y </w:t>
      </w:r>
      <w:r w:rsidRPr="00350925">
        <w:rPr>
          <w:rFonts w:ascii="Arial" w:hAnsi="Arial" w:cs="Arial"/>
          <w:i/>
          <w:iCs/>
          <w:sz w:val="19"/>
          <w:szCs w:val="19"/>
        </w:rPr>
        <w:t>revisar si es necesario hacer ajustes al plan de tratamiento de acuerdo con las circunstancias</w:t>
      </w:r>
      <w:r w:rsidRPr="00350925">
        <w:rPr>
          <w:rFonts w:ascii="Arial" w:hAnsi="Arial" w:cs="Arial"/>
          <w:sz w:val="19"/>
          <w:szCs w:val="19"/>
        </w:rPr>
        <w:t>» (Cursiva fuera del original).</w:t>
      </w:r>
    </w:p>
  </w:footnote>
  <w:footnote w:id="21">
    <w:p w14:paraId="27AA0F00" w14:textId="6461B71B" w:rsidR="00CC5414" w:rsidRPr="00350925" w:rsidRDefault="00CC5414" w:rsidP="00416C3A">
      <w:pPr>
        <w:pStyle w:val="Textonotapie"/>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hAnsi="Arial" w:cs="Arial"/>
          <w:sz w:val="19"/>
          <w:szCs w:val="19"/>
          <w:lang w:val="es-ES"/>
        </w:rPr>
        <w:t xml:space="preserve">Manual para la identificación y cobertura del Riesgo en los Procesos de Contratación. </w:t>
      </w:r>
    </w:p>
  </w:footnote>
  <w:footnote w:id="22">
    <w:p w14:paraId="6A1D8B96" w14:textId="461FA088" w:rsidR="00D92A4A" w:rsidRPr="00350925" w:rsidRDefault="00D92A4A" w:rsidP="00416C3A">
      <w:pPr>
        <w:pStyle w:val="Textonotapie"/>
        <w:ind w:firstLine="708"/>
        <w:jc w:val="both"/>
        <w:rPr>
          <w:rFonts w:ascii="Arial" w:hAnsi="Arial" w:cs="Arial"/>
          <w:sz w:val="19"/>
          <w:szCs w:val="19"/>
          <w:lang w:val="es-CO"/>
        </w:rPr>
      </w:pPr>
      <w:r w:rsidRPr="00350925">
        <w:rPr>
          <w:rStyle w:val="Refdenotaalpie"/>
          <w:rFonts w:ascii="Arial" w:hAnsi="Arial" w:cs="Arial"/>
          <w:sz w:val="19"/>
          <w:szCs w:val="19"/>
        </w:rPr>
        <w:footnoteRef/>
      </w:r>
      <w:r w:rsidRPr="00350925">
        <w:rPr>
          <w:rFonts w:ascii="Arial" w:hAnsi="Arial" w:cs="Arial"/>
          <w:sz w:val="19"/>
          <w:szCs w:val="19"/>
        </w:rPr>
        <w:t xml:space="preserve"> </w:t>
      </w:r>
      <w:r w:rsidR="00CC5414" w:rsidRPr="00350925">
        <w:rPr>
          <w:rFonts w:ascii="Arial" w:hAnsi="Arial" w:cs="Arial"/>
          <w:sz w:val="19"/>
          <w:szCs w:val="19"/>
          <w:lang w:val="es-ES"/>
        </w:rPr>
        <w:t xml:space="preserve">Ibíd. </w:t>
      </w:r>
    </w:p>
  </w:footnote>
  <w:footnote w:id="23">
    <w:p w14:paraId="345083CE" w14:textId="0E05E229" w:rsidR="00864EB6" w:rsidRPr="00350925" w:rsidRDefault="00864EB6" w:rsidP="00416C3A">
      <w:pPr>
        <w:pStyle w:val="Textonotapie"/>
        <w:ind w:firstLine="708"/>
        <w:jc w:val="both"/>
        <w:rPr>
          <w:lang w:val="es-CO"/>
        </w:rPr>
      </w:pPr>
      <w:r w:rsidRPr="00350925">
        <w:rPr>
          <w:rStyle w:val="Refdenotaalpie"/>
        </w:rPr>
        <w:footnoteRef/>
      </w:r>
      <w:r w:rsidRPr="00350925">
        <w:t xml:space="preserve"> </w:t>
      </w:r>
      <w:r w:rsidRPr="00350925">
        <w:rPr>
          <w:rFonts w:ascii="Arial" w:hAnsi="Arial" w:cs="Arial"/>
          <w:sz w:val="19"/>
          <w:szCs w:val="19"/>
          <w:lang w:val="es-ES"/>
        </w:rPr>
        <w:t>«[…] resulta que son las entidades públicas sujetas al Estatuto General de Contratación Pública, en cada caso concreto, las encargadas de definir en sus pliegos de condiciones los riesgos relacionados con su actividad contractual, y sólo estarán obligadas a ajustarse a lo que se defina en la ley sobre el particular y a las políticas generales que defina el Presidente de la República, en ejercicio de su función reglamentaria» (Consejo de Estado. Sección Tercera Subsección A. Sentencia del 11 de abril de 2019. Exp. 52.055. C.P. María Adriana Marín).</w:t>
      </w:r>
    </w:p>
  </w:footnote>
  <w:footnote w:id="24">
    <w:p w14:paraId="53FC63F0" w14:textId="77777777" w:rsidR="00554722" w:rsidRPr="00E92975" w:rsidRDefault="00554722" w:rsidP="00554722">
      <w:pPr>
        <w:pStyle w:val="Textonotapie"/>
        <w:ind w:firstLine="708"/>
        <w:jc w:val="both"/>
        <w:rPr>
          <w:lang w:val="es-CO"/>
        </w:rPr>
      </w:pPr>
      <w:r w:rsidRPr="00350925">
        <w:rPr>
          <w:rStyle w:val="Refdenotaalpie"/>
        </w:rPr>
        <w:footnoteRef/>
      </w:r>
      <w:r w:rsidRPr="00350925">
        <w:t xml:space="preserve"> </w:t>
      </w:r>
      <w:r w:rsidRPr="00350925">
        <w:rPr>
          <w:rFonts w:ascii="Arial" w:hAnsi="Arial" w:cs="Arial"/>
          <w:sz w:val="19"/>
          <w:szCs w:val="19"/>
          <w:lang w:val="es-ES"/>
        </w:rPr>
        <w:t>«[…] resulta que son las entidades públicas sujetas al Estatuto General de Contratación Pública, en cada caso concreto, las encargadas de definir en sus pliegos de condiciones los riesgos relacionados con su actividad contractual, y sólo estarán obligadas a ajustarse a lo que se defina en la ley sobre el particular y a las políticas generales que defina el Presidente de la República, en ejercicio de su función reglamentaria» (Consejo de Estado. Sección Tercera Subsección A. Sentencia del 11 de abril de 2019. Exp. 52.055. C.P. María Adriana Marín).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70B2" w14:textId="77777777" w:rsidR="00FF547A" w:rsidRPr="003F58A1" w:rsidRDefault="00FF547A" w:rsidP="00FF547A">
    <w:pPr>
      <w:rPr>
        <w:rFonts w:ascii="Geomanist Bold" w:hAnsi="Geomanist Bold"/>
        <w:color w:val="002060"/>
      </w:rPr>
    </w:pPr>
    <w:r w:rsidRPr="008614E5">
      <w:rPr>
        <w:rFonts w:eastAsia="Arial Nova" w:cs="Arial Nova"/>
        <w:noProof/>
        <w:lang w:eastAsia="es-CO"/>
      </w:rPr>
      <w:drawing>
        <wp:anchor distT="0" distB="0" distL="0" distR="0" simplePos="0" relativeHeight="251659264" behindDoc="1" locked="0" layoutInCell="1" hidden="0" allowOverlap="1" wp14:anchorId="5874DB57" wp14:editId="160F8ED8">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FF547A" w:rsidRPr="00FA1011" w14:paraId="5ED9DEE1" w14:textId="77777777" w:rsidTr="005C12A3">
      <w:tc>
        <w:tcPr>
          <w:tcW w:w="6756" w:type="dxa"/>
        </w:tcPr>
        <w:p w14:paraId="0A134E09" w14:textId="77777777" w:rsidR="00FF547A" w:rsidRPr="006478E3" w:rsidRDefault="00FF547A" w:rsidP="00FF547A">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21A55BEE" w14:textId="77777777" w:rsidR="00FF547A" w:rsidRPr="0057618A" w:rsidRDefault="00FF547A" w:rsidP="00FF547A">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5FC476D3" w14:textId="77777777" w:rsidR="00FF547A" w:rsidRPr="00367110" w:rsidRDefault="00FF547A" w:rsidP="00FF547A">
          <w:pPr>
            <w:jc w:val="right"/>
            <w:rPr>
              <w:rFonts w:eastAsia="Arial Nova" w:cs="Arial Nova"/>
              <w:lang w:eastAsia="es-CO"/>
            </w:rPr>
          </w:pPr>
        </w:p>
      </w:tc>
      <w:tc>
        <w:tcPr>
          <w:tcW w:w="1324" w:type="dxa"/>
        </w:tcPr>
        <w:p w14:paraId="0F0F73CB" w14:textId="77777777" w:rsidR="00FF547A" w:rsidRPr="00367110" w:rsidRDefault="00FF547A" w:rsidP="00FF547A">
          <w:pPr>
            <w:jc w:val="right"/>
            <w:rPr>
              <w:rFonts w:eastAsia="Arial Nova" w:cs="Arial Nova"/>
              <w:lang w:eastAsia="es-CO"/>
            </w:rPr>
          </w:pPr>
        </w:p>
      </w:tc>
    </w:tr>
  </w:tbl>
  <w:p w14:paraId="6748370D" w14:textId="77777777" w:rsidR="00FF547A" w:rsidRPr="00906B3C" w:rsidRDefault="00FF547A" w:rsidP="00FF547A">
    <w:pPr>
      <w:pStyle w:val="Encabezado"/>
      <w:ind w:left="3545" w:firstLine="709"/>
      <w:rPr>
        <w:b/>
        <w:bCs/>
        <w:color w:val="A5A5A5" w:themeColor="accent3"/>
        <w:sz w:val="18"/>
        <w:szCs w:val="18"/>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6DE7C012" wp14:editId="6EC056F1">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596DAC93" w14:textId="5AAD8977" w:rsidR="00D81E5B" w:rsidRDefault="00D81E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3D57"/>
    <w:multiLevelType w:val="hybridMultilevel"/>
    <w:tmpl w:val="F4BEBEDE"/>
    <w:lvl w:ilvl="0" w:tplc="FFFFFFFF">
      <w:start w:val="1"/>
      <w:numFmt w:val="decimal"/>
      <w:lvlText w:val="%1."/>
      <w:lvlJc w:val="left"/>
      <w:pPr>
        <w:ind w:left="720" w:hanging="360"/>
      </w:pPr>
      <w:rPr>
        <w:rFonts w:eastAsia="Calibri"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B360E5"/>
    <w:multiLevelType w:val="hybridMultilevel"/>
    <w:tmpl w:val="D39C906C"/>
    <w:lvl w:ilvl="0" w:tplc="D5F84DD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592630"/>
    <w:multiLevelType w:val="hybridMultilevel"/>
    <w:tmpl w:val="7A7411D8"/>
    <w:lvl w:ilvl="0" w:tplc="0A1C59BA">
      <w:start w:val="1"/>
      <w:numFmt w:val="lowerLetter"/>
      <w:lvlText w:val="%1)"/>
      <w:lvlJc w:val="left"/>
      <w:pPr>
        <w:ind w:left="1008" w:hanging="330"/>
      </w:pPr>
      <w:rPr>
        <w:rFonts w:ascii="Arial" w:eastAsia="Arial" w:hAnsi="Arial" w:cs="Arial" w:hint="default"/>
        <w:color w:val="4E4D4D"/>
        <w:spacing w:val="-3"/>
        <w:w w:val="100"/>
        <w:sz w:val="21"/>
        <w:szCs w:val="21"/>
        <w:lang w:val="es-ES" w:eastAsia="en-US" w:bidi="ar-SA"/>
      </w:rPr>
    </w:lvl>
    <w:lvl w:ilvl="1" w:tplc="C76AB28E">
      <w:numFmt w:val="bullet"/>
      <w:lvlText w:val="•"/>
      <w:lvlJc w:val="left"/>
      <w:pPr>
        <w:ind w:left="1854" w:hanging="330"/>
      </w:pPr>
      <w:rPr>
        <w:rFonts w:hint="default"/>
        <w:lang w:val="es-ES" w:eastAsia="en-US" w:bidi="ar-SA"/>
      </w:rPr>
    </w:lvl>
    <w:lvl w:ilvl="2" w:tplc="9E525040">
      <w:numFmt w:val="bullet"/>
      <w:lvlText w:val="•"/>
      <w:lvlJc w:val="left"/>
      <w:pPr>
        <w:ind w:left="2708" w:hanging="330"/>
      </w:pPr>
      <w:rPr>
        <w:rFonts w:hint="default"/>
        <w:lang w:val="es-ES" w:eastAsia="en-US" w:bidi="ar-SA"/>
      </w:rPr>
    </w:lvl>
    <w:lvl w:ilvl="3" w:tplc="157487EA">
      <w:numFmt w:val="bullet"/>
      <w:lvlText w:val="•"/>
      <w:lvlJc w:val="left"/>
      <w:pPr>
        <w:ind w:left="3562" w:hanging="330"/>
      </w:pPr>
      <w:rPr>
        <w:rFonts w:hint="default"/>
        <w:lang w:val="es-ES" w:eastAsia="en-US" w:bidi="ar-SA"/>
      </w:rPr>
    </w:lvl>
    <w:lvl w:ilvl="4" w:tplc="9C92261A">
      <w:numFmt w:val="bullet"/>
      <w:lvlText w:val="•"/>
      <w:lvlJc w:val="left"/>
      <w:pPr>
        <w:ind w:left="4416" w:hanging="330"/>
      </w:pPr>
      <w:rPr>
        <w:rFonts w:hint="default"/>
        <w:lang w:val="es-ES" w:eastAsia="en-US" w:bidi="ar-SA"/>
      </w:rPr>
    </w:lvl>
    <w:lvl w:ilvl="5" w:tplc="F6FEF14A">
      <w:numFmt w:val="bullet"/>
      <w:lvlText w:val="•"/>
      <w:lvlJc w:val="left"/>
      <w:pPr>
        <w:ind w:left="5270" w:hanging="330"/>
      </w:pPr>
      <w:rPr>
        <w:rFonts w:hint="default"/>
        <w:lang w:val="es-ES" w:eastAsia="en-US" w:bidi="ar-SA"/>
      </w:rPr>
    </w:lvl>
    <w:lvl w:ilvl="6" w:tplc="48D0A250">
      <w:numFmt w:val="bullet"/>
      <w:lvlText w:val="•"/>
      <w:lvlJc w:val="left"/>
      <w:pPr>
        <w:ind w:left="6124" w:hanging="330"/>
      </w:pPr>
      <w:rPr>
        <w:rFonts w:hint="default"/>
        <w:lang w:val="es-ES" w:eastAsia="en-US" w:bidi="ar-SA"/>
      </w:rPr>
    </w:lvl>
    <w:lvl w:ilvl="7" w:tplc="87100EE6">
      <w:numFmt w:val="bullet"/>
      <w:lvlText w:val="•"/>
      <w:lvlJc w:val="left"/>
      <w:pPr>
        <w:ind w:left="6978" w:hanging="330"/>
      </w:pPr>
      <w:rPr>
        <w:rFonts w:hint="default"/>
        <w:lang w:val="es-ES" w:eastAsia="en-US" w:bidi="ar-SA"/>
      </w:rPr>
    </w:lvl>
    <w:lvl w:ilvl="8" w:tplc="D2849722">
      <w:numFmt w:val="bullet"/>
      <w:lvlText w:val="•"/>
      <w:lvlJc w:val="left"/>
      <w:pPr>
        <w:ind w:left="7832" w:hanging="330"/>
      </w:pPr>
      <w:rPr>
        <w:rFonts w:hint="default"/>
        <w:lang w:val="es-ES" w:eastAsia="en-US" w:bidi="ar-SA"/>
      </w:rPr>
    </w:lvl>
  </w:abstractNum>
  <w:abstractNum w:abstractNumId="3" w15:restartNumberingAfterBreak="0">
    <w:nsid w:val="2D1546DC"/>
    <w:multiLevelType w:val="multilevel"/>
    <w:tmpl w:val="AB72A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491D27D0"/>
    <w:multiLevelType w:val="multilevel"/>
    <w:tmpl w:val="D47AE904"/>
    <w:lvl w:ilvl="0">
      <w:start w:val="1"/>
      <w:numFmt w:val="decimal"/>
      <w:lvlText w:val="%1"/>
      <w:lvlJc w:val="left"/>
      <w:pPr>
        <w:ind w:left="725" w:hanging="425"/>
      </w:pPr>
      <w:rPr>
        <w:rFonts w:hint="default"/>
        <w:lang w:val="es-ES" w:eastAsia="en-US" w:bidi="ar-SA"/>
      </w:rPr>
    </w:lvl>
    <w:lvl w:ilvl="1">
      <w:start w:val="1"/>
      <w:numFmt w:val="decimal"/>
      <w:lvlText w:val="%1.%2."/>
      <w:lvlJc w:val="left"/>
      <w:pPr>
        <w:ind w:left="725" w:hanging="425"/>
      </w:pPr>
      <w:rPr>
        <w:rFonts w:ascii="Arial" w:eastAsia="Arial" w:hAnsi="Arial" w:cs="Arial" w:hint="default"/>
        <w:b/>
        <w:bCs/>
        <w:color w:val="000000" w:themeColor="text1"/>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abstractNum w:abstractNumId="5" w15:restartNumberingAfterBreak="0">
    <w:nsid w:val="4C5A58BD"/>
    <w:multiLevelType w:val="multilevel"/>
    <w:tmpl w:val="314A5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5F44E0"/>
    <w:multiLevelType w:val="hybridMultilevel"/>
    <w:tmpl w:val="F4BEBEDE"/>
    <w:lvl w:ilvl="0" w:tplc="EC40D58E">
      <w:start w:val="1"/>
      <w:numFmt w:val="decimal"/>
      <w:lvlText w:val="%1."/>
      <w:lvlJc w:val="left"/>
      <w:pPr>
        <w:ind w:left="720" w:hanging="360"/>
      </w:pPr>
      <w:rPr>
        <w:rFonts w:eastAsia="Calibri" w:hint="default"/>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857FE1"/>
    <w:multiLevelType w:val="hybridMultilevel"/>
    <w:tmpl w:val="22081502"/>
    <w:lvl w:ilvl="0" w:tplc="01C08F3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6E353CA8"/>
    <w:multiLevelType w:val="hybridMultilevel"/>
    <w:tmpl w:val="8556CC82"/>
    <w:lvl w:ilvl="0" w:tplc="147AD612">
      <w:start w:val="1"/>
      <w:numFmt w:val="decimal"/>
      <w:lvlText w:val="%1."/>
      <w:lvlJc w:val="left"/>
      <w:pPr>
        <w:ind w:left="1065" w:hanging="360"/>
      </w:pPr>
      <w:rPr>
        <w:rFonts w:ascii="Arial" w:hAnsi="Arial" w:cs="Arial" w:hint="default"/>
        <w:b w:val="0"/>
        <w:bCs/>
        <w:sz w:val="22"/>
        <w:szCs w:val="22"/>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16cid:durableId="1048798576">
    <w:abstractNumId w:val="3"/>
  </w:num>
  <w:num w:numId="2" w16cid:durableId="2056267502">
    <w:abstractNumId w:val="8"/>
  </w:num>
  <w:num w:numId="3" w16cid:durableId="1450319055">
    <w:abstractNumId w:val="2"/>
  </w:num>
  <w:num w:numId="4" w16cid:durableId="1644043281">
    <w:abstractNumId w:val="4"/>
  </w:num>
  <w:num w:numId="5" w16cid:durableId="284046649">
    <w:abstractNumId w:val="6"/>
  </w:num>
  <w:num w:numId="6" w16cid:durableId="604575448">
    <w:abstractNumId w:val="0"/>
  </w:num>
  <w:num w:numId="7" w16cid:durableId="1344478298">
    <w:abstractNumId w:val="1"/>
  </w:num>
  <w:num w:numId="8" w16cid:durableId="956567642">
    <w:abstractNumId w:val="7"/>
  </w:num>
  <w:num w:numId="9" w16cid:durableId="1833255957">
    <w:abstractNumId w:val="5"/>
  </w:num>
  <w:num w:numId="10" w16cid:durableId="12638066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7"/>
    <w:rsid w:val="0000246D"/>
    <w:rsid w:val="000027AC"/>
    <w:rsid w:val="0000290E"/>
    <w:rsid w:val="00013A32"/>
    <w:rsid w:val="000160CE"/>
    <w:rsid w:val="00027E00"/>
    <w:rsid w:val="00034765"/>
    <w:rsid w:val="00034F93"/>
    <w:rsid w:val="000409C9"/>
    <w:rsid w:val="00041D4B"/>
    <w:rsid w:val="0004470C"/>
    <w:rsid w:val="00047939"/>
    <w:rsid w:val="00051DF9"/>
    <w:rsid w:val="00061670"/>
    <w:rsid w:val="00063E22"/>
    <w:rsid w:val="00064617"/>
    <w:rsid w:val="00066403"/>
    <w:rsid w:val="000714BA"/>
    <w:rsid w:val="000757C6"/>
    <w:rsid w:val="000770A6"/>
    <w:rsid w:val="00081366"/>
    <w:rsid w:val="000815BD"/>
    <w:rsid w:val="000815F9"/>
    <w:rsid w:val="00093ECC"/>
    <w:rsid w:val="000965D3"/>
    <w:rsid w:val="000A1A65"/>
    <w:rsid w:val="000A22E0"/>
    <w:rsid w:val="000A2429"/>
    <w:rsid w:val="000A2922"/>
    <w:rsid w:val="000A6950"/>
    <w:rsid w:val="000A71F8"/>
    <w:rsid w:val="000B322A"/>
    <w:rsid w:val="000B38F9"/>
    <w:rsid w:val="000B6B23"/>
    <w:rsid w:val="000B7A2F"/>
    <w:rsid w:val="000C0C5A"/>
    <w:rsid w:val="000C176A"/>
    <w:rsid w:val="000C41FF"/>
    <w:rsid w:val="000D0228"/>
    <w:rsid w:val="000D17CE"/>
    <w:rsid w:val="000D31AF"/>
    <w:rsid w:val="000E22E1"/>
    <w:rsid w:val="000E4BCC"/>
    <w:rsid w:val="000E633A"/>
    <w:rsid w:val="000E6606"/>
    <w:rsid w:val="000F1274"/>
    <w:rsid w:val="000F16C3"/>
    <w:rsid w:val="000F20D6"/>
    <w:rsid w:val="000F322D"/>
    <w:rsid w:val="000F416D"/>
    <w:rsid w:val="001005DA"/>
    <w:rsid w:val="0010115C"/>
    <w:rsid w:val="0010340C"/>
    <w:rsid w:val="00103ECD"/>
    <w:rsid w:val="001048AE"/>
    <w:rsid w:val="00110547"/>
    <w:rsid w:val="001221E5"/>
    <w:rsid w:val="00122D5C"/>
    <w:rsid w:val="0012523E"/>
    <w:rsid w:val="0014048E"/>
    <w:rsid w:val="00140BF5"/>
    <w:rsid w:val="0014294A"/>
    <w:rsid w:val="0014312B"/>
    <w:rsid w:val="00145CEA"/>
    <w:rsid w:val="00146B95"/>
    <w:rsid w:val="0015100A"/>
    <w:rsid w:val="001542F1"/>
    <w:rsid w:val="00155176"/>
    <w:rsid w:val="00155A6A"/>
    <w:rsid w:val="00156332"/>
    <w:rsid w:val="00156426"/>
    <w:rsid w:val="00160EA4"/>
    <w:rsid w:val="0016321F"/>
    <w:rsid w:val="00166895"/>
    <w:rsid w:val="001717F3"/>
    <w:rsid w:val="00172E23"/>
    <w:rsid w:val="0017361B"/>
    <w:rsid w:val="00181D50"/>
    <w:rsid w:val="00192273"/>
    <w:rsid w:val="0019286E"/>
    <w:rsid w:val="0019347C"/>
    <w:rsid w:val="0019577D"/>
    <w:rsid w:val="00196387"/>
    <w:rsid w:val="00197239"/>
    <w:rsid w:val="001973D3"/>
    <w:rsid w:val="001A1FE0"/>
    <w:rsid w:val="001A3646"/>
    <w:rsid w:val="001A7515"/>
    <w:rsid w:val="001B1ED3"/>
    <w:rsid w:val="001B5043"/>
    <w:rsid w:val="001C0BA2"/>
    <w:rsid w:val="001C7F1C"/>
    <w:rsid w:val="001D014E"/>
    <w:rsid w:val="001D0424"/>
    <w:rsid w:val="001D169F"/>
    <w:rsid w:val="001D55F0"/>
    <w:rsid w:val="001D579D"/>
    <w:rsid w:val="001E00A3"/>
    <w:rsid w:val="001E0D8E"/>
    <w:rsid w:val="001E3285"/>
    <w:rsid w:val="001E51C7"/>
    <w:rsid w:val="001E55F8"/>
    <w:rsid w:val="001F0BA1"/>
    <w:rsid w:val="001F1036"/>
    <w:rsid w:val="001F21CD"/>
    <w:rsid w:val="001F2FE7"/>
    <w:rsid w:val="001F4A87"/>
    <w:rsid w:val="0020666F"/>
    <w:rsid w:val="00206E4E"/>
    <w:rsid w:val="0022027A"/>
    <w:rsid w:val="002203D9"/>
    <w:rsid w:val="00222FE7"/>
    <w:rsid w:val="0023114E"/>
    <w:rsid w:val="00234C96"/>
    <w:rsid w:val="00236169"/>
    <w:rsid w:val="002370E0"/>
    <w:rsid w:val="002410B7"/>
    <w:rsid w:val="00244285"/>
    <w:rsid w:val="00244D23"/>
    <w:rsid w:val="00247860"/>
    <w:rsid w:val="00252E64"/>
    <w:rsid w:val="002546FB"/>
    <w:rsid w:val="0025667C"/>
    <w:rsid w:val="002621C0"/>
    <w:rsid w:val="0026380C"/>
    <w:rsid w:val="002650A2"/>
    <w:rsid w:val="00266469"/>
    <w:rsid w:val="00266CCA"/>
    <w:rsid w:val="00267994"/>
    <w:rsid w:val="002703E1"/>
    <w:rsid w:val="00273DB1"/>
    <w:rsid w:val="00274FF8"/>
    <w:rsid w:val="00276E87"/>
    <w:rsid w:val="00276F1D"/>
    <w:rsid w:val="0027789E"/>
    <w:rsid w:val="002835D0"/>
    <w:rsid w:val="0028433E"/>
    <w:rsid w:val="00290872"/>
    <w:rsid w:val="00292A75"/>
    <w:rsid w:val="00294A56"/>
    <w:rsid w:val="00296FD7"/>
    <w:rsid w:val="002A092A"/>
    <w:rsid w:val="002A4910"/>
    <w:rsid w:val="002A75C7"/>
    <w:rsid w:val="002B2085"/>
    <w:rsid w:val="002B5D94"/>
    <w:rsid w:val="002B6EDD"/>
    <w:rsid w:val="002C18C8"/>
    <w:rsid w:val="002C3DC8"/>
    <w:rsid w:val="002D55E0"/>
    <w:rsid w:val="002D6662"/>
    <w:rsid w:val="002D6DB8"/>
    <w:rsid w:val="002D7CBD"/>
    <w:rsid w:val="002E0539"/>
    <w:rsid w:val="002E4878"/>
    <w:rsid w:val="002F1D1C"/>
    <w:rsid w:val="002F339A"/>
    <w:rsid w:val="002F3B48"/>
    <w:rsid w:val="002F5437"/>
    <w:rsid w:val="003015F0"/>
    <w:rsid w:val="00303F37"/>
    <w:rsid w:val="00305DDD"/>
    <w:rsid w:val="00307D38"/>
    <w:rsid w:val="00307E0A"/>
    <w:rsid w:val="003104CB"/>
    <w:rsid w:val="00311E48"/>
    <w:rsid w:val="00313EFB"/>
    <w:rsid w:val="003142AF"/>
    <w:rsid w:val="00316157"/>
    <w:rsid w:val="0031755A"/>
    <w:rsid w:val="00320859"/>
    <w:rsid w:val="003210B5"/>
    <w:rsid w:val="003258E3"/>
    <w:rsid w:val="00325CA9"/>
    <w:rsid w:val="00326110"/>
    <w:rsid w:val="00332D6E"/>
    <w:rsid w:val="00333088"/>
    <w:rsid w:val="00333656"/>
    <w:rsid w:val="00334B19"/>
    <w:rsid w:val="00337918"/>
    <w:rsid w:val="00341302"/>
    <w:rsid w:val="003415D7"/>
    <w:rsid w:val="0034176C"/>
    <w:rsid w:val="00350925"/>
    <w:rsid w:val="0035241D"/>
    <w:rsid w:val="0035529C"/>
    <w:rsid w:val="00355937"/>
    <w:rsid w:val="00356696"/>
    <w:rsid w:val="003610F4"/>
    <w:rsid w:val="00364D51"/>
    <w:rsid w:val="003702AD"/>
    <w:rsid w:val="0037154B"/>
    <w:rsid w:val="00372146"/>
    <w:rsid w:val="0037367E"/>
    <w:rsid w:val="00375947"/>
    <w:rsid w:val="003768B0"/>
    <w:rsid w:val="00377837"/>
    <w:rsid w:val="003778E1"/>
    <w:rsid w:val="00380CCA"/>
    <w:rsid w:val="00382463"/>
    <w:rsid w:val="0038422A"/>
    <w:rsid w:val="00385A96"/>
    <w:rsid w:val="00385B3E"/>
    <w:rsid w:val="003870E4"/>
    <w:rsid w:val="00391B62"/>
    <w:rsid w:val="00393B89"/>
    <w:rsid w:val="00395260"/>
    <w:rsid w:val="003953A4"/>
    <w:rsid w:val="00396BF2"/>
    <w:rsid w:val="003A2234"/>
    <w:rsid w:val="003A235D"/>
    <w:rsid w:val="003A279E"/>
    <w:rsid w:val="003A6173"/>
    <w:rsid w:val="003A7C69"/>
    <w:rsid w:val="003B42A6"/>
    <w:rsid w:val="003B76F3"/>
    <w:rsid w:val="003C0050"/>
    <w:rsid w:val="003C108D"/>
    <w:rsid w:val="003C1B39"/>
    <w:rsid w:val="003C350F"/>
    <w:rsid w:val="003C6B38"/>
    <w:rsid w:val="003C7067"/>
    <w:rsid w:val="003D01B8"/>
    <w:rsid w:val="003D24F8"/>
    <w:rsid w:val="003E023D"/>
    <w:rsid w:val="003E060B"/>
    <w:rsid w:val="003E0862"/>
    <w:rsid w:val="003E4620"/>
    <w:rsid w:val="003F0A31"/>
    <w:rsid w:val="003F1CF4"/>
    <w:rsid w:val="003F2CA6"/>
    <w:rsid w:val="003F5D7D"/>
    <w:rsid w:val="004007FB"/>
    <w:rsid w:val="00400B3F"/>
    <w:rsid w:val="00400C77"/>
    <w:rsid w:val="00401F6C"/>
    <w:rsid w:val="0040411F"/>
    <w:rsid w:val="004116D9"/>
    <w:rsid w:val="004137EC"/>
    <w:rsid w:val="00413C3B"/>
    <w:rsid w:val="00416C3A"/>
    <w:rsid w:val="00425CA0"/>
    <w:rsid w:val="00427639"/>
    <w:rsid w:val="004317CE"/>
    <w:rsid w:val="0043199D"/>
    <w:rsid w:val="0043465F"/>
    <w:rsid w:val="004449CC"/>
    <w:rsid w:val="00450297"/>
    <w:rsid w:val="00450F52"/>
    <w:rsid w:val="004514C3"/>
    <w:rsid w:val="00452B6D"/>
    <w:rsid w:val="00452C65"/>
    <w:rsid w:val="004530B5"/>
    <w:rsid w:val="004530DC"/>
    <w:rsid w:val="004541BB"/>
    <w:rsid w:val="00454C1E"/>
    <w:rsid w:val="00457483"/>
    <w:rsid w:val="004613CE"/>
    <w:rsid w:val="00461578"/>
    <w:rsid w:val="004636E0"/>
    <w:rsid w:val="004662C1"/>
    <w:rsid w:val="004665D9"/>
    <w:rsid w:val="004708A3"/>
    <w:rsid w:val="004722C1"/>
    <w:rsid w:val="00472517"/>
    <w:rsid w:val="004963B0"/>
    <w:rsid w:val="004A0C2B"/>
    <w:rsid w:val="004A2FA1"/>
    <w:rsid w:val="004A6DF7"/>
    <w:rsid w:val="004B2DEB"/>
    <w:rsid w:val="004B3167"/>
    <w:rsid w:val="004B3476"/>
    <w:rsid w:val="004B569C"/>
    <w:rsid w:val="004B7BD5"/>
    <w:rsid w:val="004C0A17"/>
    <w:rsid w:val="004C1C33"/>
    <w:rsid w:val="004C27EC"/>
    <w:rsid w:val="004C4C02"/>
    <w:rsid w:val="004D4519"/>
    <w:rsid w:val="004D76E8"/>
    <w:rsid w:val="004E0591"/>
    <w:rsid w:val="004E1C43"/>
    <w:rsid w:val="004E3799"/>
    <w:rsid w:val="004E5663"/>
    <w:rsid w:val="004E587A"/>
    <w:rsid w:val="004E76CB"/>
    <w:rsid w:val="004F1086"/>
    <w:rsid w:val="004F654F"/>
    <w:rsid w:val="005058EF"/>
    <w:rsid w:val="005069B7"/>
    <w:rsid w:val="00507034"/>
    <w:rsid w:val="0051003B"/>
    <w:rsid w:val="005121D0"/>
    <w:rsid w:val="005134AE"/>
    <w:rsid w:val="00513F21"/>
    <w:rsid w:val="00517622"/>
    <w:rsid w:val="00521AC0"/>
    <w:rsid w:val="00525649"/>
    <w:rsid w:val="005278E3"/>
    <w:rsid w:val="0053012B"/>
    <w:rsid w:val="005313ED"/>
    <w:rsid w:val="005334E6"/>
    <w:rsid w:val="00543797"/>
    <w:rsid w:val="00545362"/>
    <w:rsid w:val="005463B4"/>
    <w:rsid w:val="00546A01"/>
    <w:rsid w:val="00546BD3"/>
    <w:rsid w:val="00550397"/>
    <w:rsid w:val="005537BE"/>
    <w:rsid w:val="005539A4"/>
    <w:rsid w:val="00554722"/>
    <w:rsid w:val="00554FCF"/>
    <w:rsid w:val="00560087"/>
    <w:rsid w:val="00562511"/>
    <w:rsid w:val="00562968"/>
    <w:rsid w:val="00564FB9"/>
    <w:rsid w:val="0057206A"/>
    <w:rsid w:val="00573E27"/>
    <w:rsid w:val="005745BF"/>
    <w:rsid w:val="005752B3"/>
    <w:rsid w:val="00584231"/>
    <w:rsid w:val="005867C9"/>
    <w:rsid w:val="00594698"/>
    <w:rsid w:val="00596212"/>
    <w:rsid w:val="005A1C22"/>
    <w:rsid w:val="005A43E5"/>
    <w:rsid w:val="005A73B6"/>
    <w:rsid w:val="005B14B2"/>
    <w:rsid w:val="005B384E"/>
    <w:rsid w:val="005B39BF"/>
    <w:rsid w:val="005B3CB1"/>
    <w:rsid w:val="005B441F"/>
    <w:rsid w:val="005C00F9"/>
    <w:rsid w:val="005C10C6"/>
    <w:rsid w:val="005D20C7"/>
    <w:rsid w:val="005D539E"/>
    <w:rsid w:val="005E57D6"/>
    <w:rsid w:val="00604DB8"/>
    <w:rsid w:val="00607049"/>
    <w:rsid w:val="00611C84"/>
    <w:rsid w:val="0061555F"/>
    <w:rsid w:val="006169DA"/>
    <w:rsid w:val="00626DC2"/>
    <w:rsid w:val="006359DD"/>
    <w:rsid w:val="00645FB0"/>
    <w:rsid w:val="006465AC"/>
    <w:rsid w:val="00646C99"/>
    <w:rsid w:val="00650702"/>
    <w:rsid w:val="00652125"/>
    <w:rsid w:val="006534EE"/>
    <w:rsid w:val="00657CB5"/>
    <w:rsid w:val="00660C19"/>
    <w:rsid w:val="006610BD"/>
    <w:rsid w:val="00664E56"/>
    <w:rsid w:val="00676C2D"/>
    <w:rsid w:val="00677721"/>
    <w:rsid w:val="006908AF"/>
    <w:rsid w:val="00696C59"/>
    <w:rsid w:val="0069743E"/>
    <w:rsid w:val="00697780"/>
    <w:rsid w:val="006A2383"/>
    <w:rsid w:val="006B040D"/>
    <w:rsid w:val="006B0534"/>
    <w:rsid w:val="006B06C7"/>
    <w:rsid w:val="006B17DA"/>
    <w:rsid w:val="006B1A95"/>
    <w:rsid w:val="006B205F"/>
    <w:rsid w:val="006B2DE3"/>
    <w:rsid w:val="006B5BAD"/>
    <w:rsid w:val="006C0631"/>
    <w:rsid w:val="006C16B7"/>
    <w:rsid w:val="006C25DE"/>
    <w:rsid w:val="006C67CE"/>
    <w:rsid w:val="006C730C"/>
    <w:rsid w:val="006D1233"/>
    <w:rsid w:val="006D16C0"/>
    <w:rsid w:val="006D1DF5"/>
    <w:rsid w:val="006D3A71"/>
    <w:rsid w:val="006D42CA"/>
    <w:rsid w:val="006D43D6"/>
    <w:rsid w:val="006D4B52"/>
    <w:rsid w:val="006D4E4D"/>
    <w:rsid w:val="006D66D3"/>
    <w:rsid w:val="006D7111"/>
    <w:rsid w:val="006E01E2"/>
    <w:rsid w:val="006E280E"/>
    <w:rsid w:val="006E2AE9"/>
    <w:rsid w:val="006E2E59"/>
    <w:rsid w:val="006E3684"/>
    <w:rsid w:val="006E599A"/>
    <w:rsid w:val="006E6B7C"/>
    <w:rsid w:val="006E716B"/>
    <w:rsid w:val="006F12B4"/>
    <w:rsid w:val="006F628A"/>
    <w:rsid w:val="006F6C29"/>
    <w:rsid w:val="007007D0"/>
    <w:rsid w:val="00700BE9"/>
    <w:rsid w:val="0070319B"/>
    <w:rsid w:val="00703305"/>
    <w:rsid w:val="00703E2A"/>
    <w:rsid w:val="007101DE"/>
    <w:rsid w:val="0071057D"/>
    <w:rsid w:val="007135B5"/>
    <w:rsid w:val="00714D49"/>
    <w:rsid w:val="007156F4"/>
    <w:rsid w:val="0071587F"/>
    <w:rsid w:val="00716EA5"/>
    <w:rsid w:val="00717176"/>
    <w:rsid w:val="00726BB2"/>
    <w:rsid w:val="007301A5"/>
    <w:rsid w:val="00731374"/>
    <w:rsid w:val="00736654"/>
    <w:rsid w:val="007374F5"/>
    <w:rsid w:val="007402D6"/>
    <w:rsid w:val="0074401A"/>
    <w:rsid w:val="007444BB"/>
    <w:rsid w:val="007477FE"/>
    <w:rsid w:val="00752253"/>
    <w:rsid w:val="007533F2"/>
    <w:rsid w:val="007566AD"/>
    <w:rsid w:val="00760754"/>
    <w:rsid w:val="007620D3"/>
    <w:rsid w:val="00763584"/>
    <w:rsid w:val="00766606"/>
    <w:rsid w:val="007704C1"/>
    <w:rsid w:val="00771994"/>
    <w:rsid w:val="00774750"/>
    <w:rsid w:val="007748BD"/>
    <w:rsid w:val="00774EA0"/>
    <w:rsid w:val="00780EF8"/>
    <w:rsid w:val="00781A67"/>
    <w:rsid w:val="00787AC7"/>
    <w:rsid w:val="0079555C"/>
    <w:rsid w:val="007A09E8"/>
    <w:rsid w:val="007A13A0"/>
    <w:rsid w:val="007A48A1"/>
    <w:rsid w:val="007A52B4"/>
    <w:rsid w:val="007A5F2D"/>
    <w:rsid w:val="007A6F08"/>
    <w:rsid w:val="007A7DC6"/>
    <w:rsid w:val="007B017F"/>
    <w:rsid w:val="007B0517"/>
    <w:rsid w:val="007B4AAC"/>
    <w:rsid w:val="007B4CC3"/>
    <w:rsid w:val="007B6D7A"/>
    <w:rsid w:val="007C14A7"/>
    <w:rsid w:val="007C18F9"/>
    <w:rsid w:val="007C285C"/>
    <w:rsid w:val="007D5580"/>
    <w:rsid w:val="007D648E"/>
    <w:rsid w:val="007E05C8"/>
    <w:rsid w:val="007E3FC4"/>
    <w:rsid w:val="007E48AE"/>
    <w:rsid w:val="007E5291"/>
    <w:rsid w:val="007E52AC"/>
    <w:rsid w:val="007E7488"/>
    <w:rsid w:val="007F1DEE"/>
    <w:rsid w:val="007F22B5"/>
    <w:rsid w:val="007F3872"/>
    <w:rsid w:val="007F4036"/>
    <w:rsid w:val="007F55F8"/>
    <w:rsid w:val="007F6F80"/>
    <w:rsid w:val="007F737A"/>
    <w:rsid w:val="00802CD1"/>
    <w:rsid w:val="00806F7D"/>
    <w:rsid w:val="008117DB"/>
    <w:rsid w:val="00812BB2"/>
    <w:rsid w:val="00813F70"/>
    <w:rsid w:val="00814E8F"/>
    <w:rsid w:val="00817CCE"/>
    <w:rsid w:val="00821B1D"/>
    <w:rsid w:val="00826A17"/>
    <w:rsid w:val="0082778E"/>
    <w:rsid w:val="008279C9"/>
    <w:rsid w:val="0083524B"/>
    <w:rsid w:val="008402CD"/>
    <w:rsid w:val="00841BDF"/>
    <w:rsid w:val="00843CDF"/>
    <w:rsid w:val="00844316"/>
    <w:rsid w:val="008443B3"/>
    <w:rsid w:val="00845B62"/>
    <w:rsid w:val="00847A78"/>
    <w:rsid w:val="0085157B"/>
    <w:rsid w:val="00852541"/>
    <w:rsid w:val="008541B6"/>
    <w:rsid w:val="008542DD"/>
    <w:rsid w:val="00854A55"/>
    <w:rsid w:val="008559E5"/>
    <w:rsid w:val="00860639"/>
    <w:rsid w:val="00863607"/>
    <w:rsid w:val="00864EB6"/>
    <w:rsid w:val="0087011C"/>
    <w:rsid w:val="008702BA"/>
    <w:rsid w:val="008708B7"/>
    <w:rsid w:val="00872D96"/>
    <w:rsid w:val="008735D0"/>
    <w:rsid w:val="0087674C"/>
    <w:rsid w:val="00876B78"/>
    <w:rsid w:val="00887604"/>
    <w:rsid w:val="00890AB8"/>
    <w:rsid w:val="00890D5F"/>
    <w:rsid w:val="0089254A"/>
    <w:rsid w:val="00893807"/>
    <w:rsid w:val="00893FDF"/>
    <w:rsid w:val="008951CE"/>
    <w:rsid w:val="008958AC"/>
    <w:rsid w:val="00896007"/>
    <w:rsid w:val="00897B51"/>
    <w:rsid w:val="008A0C05"/>
    <w:rsid w:val="008A2551"/>
    <w:rsid w:val="008A2F7B"/>
    <w:rsid w:val="008A3050"/>
    <w:rsid w:val="008A5F02"/>
    <w:rsid w:val="008A6295"/>
    <w:rsid w:val="008B0F92"/>
    <w:rsid w:val="008C1D44"/>
    <w:rsid w:val="008C34D4"/>
    <w:rsid w:val="008C368A"/>
    <w:rsid w:val="008D2933"/>
    <w:rsid w:val="008D35A4"/>
    <w:rsid w:val="008D6FD8"/>
    <w:rsid w:val="008E33F5"/>
    <w:rsid w:val="008E4FC5"/>
    <w:rsid w:val="008E518E"/>
    <w:rsid w:val="008F10C7"/>
    <w:rsid w:val="008F6E0C"/>
    <w:rsid w:val="00901B9F"/>
    <w:rsid w:val="009040A2"/>
    <w:rsid w:val="0090501B"/>
    <w:rsid w:val="0090557C"/>
    <w:rsid w:val="00913406"/>
    <w:rsid w:val="0091442D"/>
    <w:rsid w:val="0091503C"/>
    <w:rsid w:val="00915041"/>
    <w:rsid w:val="00920086"/>
    <w:rsid w:val="0092073B"/>
    <w:rsid w:val="0092111A"/>
    <w:rsid w:val="009212E1"/>
    <w:rsid w:val="00924576"/>
    <w:rsid w:val="00931650"/>
    <w:rsid w:val="009346BA"/>
    <w:rsid w:val="009418A5"/>
    <w:rsid w:val="0094506A"/>
    <w:rsid w:val="009470FC"/>
    <w:rsid w:val="009527E4"/>
    <w:rsid w:val="009540D3"/>
    <w:rsid w:val="00957674"/>
    <w:rsid w:val="00961511"/>
    <w:rsid w:val="00962D13"/>
    <w:rsid w:val="00965B3A"/>
    <w:rsid w:val="009705BB"/>
    <w:rsid w:val="00973B51"/>
    <w:rsid w:val="00975452"/>
    <w:rsid w:val="00977BC1"/>
    <w:rsid w:val="00984D8B"/>
    <w:rsid w:val="00987493"/>
    <w:rsid w:val="00987861"/>
    <w:rsid w:val="009916A6"/>
    <w:rsid w:val="0099278D"/>
    <w:rsid w:val="009930E3"/>
    <w:rsid w:val="0099407E"/>
    <w:rsid w:val="00994D39"/>
    <w:rsid w:val="00996366"/>
    <w:rsid w:val="0099787B"/>
    <w:rsid w:val="009A246D"/>
    <w:rsid w:val="009A4188"/>
    <w:rsid w:val="009B20DB"/>
    <w:rsid w:val="009B21E8"/>
    <w:rsid w:val="009B2C35"/>
    <w:rsid w:val="009B5641"/>
    <w:rsid w:val="009B5F97"/>
    <w:rsid w:val="009B6276"/>
    <w:rsid w:val="009C1414"/>
    <w:rsid w:val="009C16B3"/>
    <w:rsid w:val="009C38C7"/>
    <w:rsid w:val="009C3E55"/>
    <w:rsid w:val="009C5E1C"/>
    <w:rsid w:val="009C5E76"/>
    <w:rsid w:val="009C7BBC"/>
    <w:rsid w:val="009D408A"/>
    <w:rsid w:val="009D66B9"/>
    <w:rsid w:val="009D6BD7"/>
    <w:rsid w:val="009E4074"/>
    <w:rsid w:val="009F0A44"/>
    <w:rsid w:val="009F4002"/>
    <w:rsid w:val="009F4296"/>
    <w:rsid w:val="009F532D"/>
    <w:rsid w:val="009F5860"/>
    <w:rsid w:val="009F5A81"/>
    <w:rsid w:val="009F5CFA"/>
    <w:rsid w:val="009F6AF3"/>
    <w:rsid w:val="009F7627"/>
    <w:rsid w:val="00A0046D"/>
    <w:rsid w:val="00A009D4"/>
    <w:rsid w:val="00A00FCB"/>
    <w:rsid w:val="00A02727"/>
    <w:rsid w:val="00A03998"/>
    <w:rsid w:val="00A04819"/>
    <w:rsid w:val="00A053C7"/>
    <w:rsid w:val="00A061EC"/>
    <w:rsid w:val="00A1657C"/>
    <w:rsid w:val="00A16F59"/>
    <w:rsid w:val="00A201B3"/>
    <w:rsid w:val="00A21241"/>
    <w:rsid w:val="00A2369A"/>
    <w:rsid w:val="00A23905"/>
    <w:rsid w:val="00A24536"/>
    <w:rsid w:val="00A304AD"/>
    <w:rsid w:val="00A412E5"/>
    <w:rsid w:val="00A55358"/>
    <w:rsid w:val="00A55366"/>
    <w:rsid w:val="00A57C30"/>
    <w:rsid w:val="00A57E21"/>
    <w:rsid w:val="00A62877"/>
    <w:rsid w:val="00A63DA3"/>
    <w:rsid w:val="00A83C01"/>
    <w:rsid w:val="00A844C4"/>
    <w:rsid w:val="00A86314"/>
    <w:rsid w:val="00A918E1"/>
    <w:rsid w:val="00A94591"/>
    <w:rsid w:val="00A977C8"/>
    <w:rsid w:val="00AA18E9"/>
    <w:rsid w:val="00AA289E"/>
    <w:rsid w:val="00AB36B6"/>
    <w:rsid w:val="00AB60D9"/>
    <w:rsid w:val="00AC4174"/>
    <w:rsid w:val="00AC4FE9"/>
    <w:rsid w:val="00AC5A39"/>
    <w:rsid w:val="00AD027E"/>
    <w:rsid w:val="00AD17DB"/>
    <w:rsid w:val="00AD1AB6"/>
    <w:rsid w:val="00AD3594"/>
    <w:rsid w:val="00AD41E4"/>
    <w:rsid w:val="00AE28AE"/>
    <w:rsid w:val="00AE3552"/>
    <w:rsid w:val="00AE485F"/>
    <w:rsid w:val="00AF2BAE"/>
    <w:rsid w:val="00AF4235"/>
    <w:rsid w:val="00B0166A"/>
    <w:rsid w:val="00B0338C"/>
    <w:rsid w:val="00B036EA"/>
    <w:rsid w:val="00B05ACC"/>
    <w:rsid w:val="00B12676"/>
    <w:rsid w:val="00B12D16"/>
    <w:rsid w:val="00B139B2"/>
    <w:rsid w:val="00B204B3"/>
    <w:rsid w:val="00B213A1"/>
    <w:rsid w:val="00B24B11"/>
    <w:rsid w:val="00B325AF"/>
    <w:rsid w:val="00B347CE"/>
    <w:rsid w:val="00B40B39"/>
    <w:rsid w:val="00B41C7A"/>
    <w:rsid w:val="00B44A82"/>
    <w:rsid w:val="00B46CB5"/>
    <w:rsid w:val="00B67F77"/>
    <w:rsid w:val="00B70D47"/>
    <w:rsid w:val="00B71F0A"/>
    <w:rsid w:val="00B742C2"/>
    <w:rsid w:val="00B74E3B"/>
    <w:rsid w:val="00B76F53"/>
    <w:rsid w:val="00B82D1D"/>
    <w:rsid w:val="00B93A8D"/>
    <w:rsid w:val="00B97CE2"/>
    <w:rsid w:val="00BA0AE4"/>
    <w:rsid w:val="00BA187E"/>
    <w:rsid w:val="00BA4004"/>
    <w:rsid w:val="00BA6AA2"/>
    <w:rsid w:val="00BB5FFC"/>
    <w:rsid w:val="00BC51F1"/>
    <w:rsid w:val="00BD5A6F"/>
    <w:rsid w:val="00BD5ED5"/>
    <w:rsid w:val="00BD6A2B"/>
    <w:rsid w:val="00BD777F"/>
    <w:rsid w:val="00BD7B31"/>
    <w:rsid w:val="00BE065B"/>
    <w:rsid w:val="00BF25F4"/>
    <w:rsid w:val="00BF4336"/>
    <w:rsid w:val="00BF7F85"/>
    <w:rsid w:val="00C007D7"/>
    <w:rsid w:val="00C01A8D"/>
    <w:rsid w:val="00C032FA"/>
    <w:rsid w:val="00C04F58"/>
    <w:rsid w:val="00C06297"/>
    <w:rsid w:val="00C06CEC"/>
    <w:rsid w:val="00C1122A"/>
    <w:rsid w:val="00C12608"/>
    <w:rsid w:val="00C14808"/>
    <w:rsid w:val="00C15870"/>
    <w:rsid w:val="00C20A90"/>
    <w:rsid w:val="00C21998"/>
    <w:rsid w:val="00C24E6D"/>
    <w:rsid w:val="00C30F2F"/>
    <w:rsid w:val="00C37069"/>
    <w:rsid w:val="00C43F7C"/>
    <w:rsid w:val="00C45EFF"/>
    <w:rsid w:val="00C46B18"/>
    <w:rsid w:val="00C52F53"/>
    <w:rsid w:val="00C559FC"/>
    <w:rsid w:val="00C55E13"/>
    <w:rsid w:val="00C60930"/>
    <w:rsid w:val="00C63119"/>
    <w:rsid w:val="00C63632"/>
    <w:rsid w:val="00C667F5"/>
    <w:rsid w:val="00C71F83"/>
    <w:rsid w:val="00C756E0"/>
    <w:rsid w:val="00C76716"/>
    <w:rsid w:val="00C807B0"/>
    <w:rsid w:val="00C81076"/>
    <w:rsid w:val="00C81CF0"/>
    <w:rsid w:val="00C85E83"/>
    <w:rsid w:val="00C9043C"/>
    <w:rsid w:val="00C917CF"/>
    <w:rsid w:val="00C93063"/>
    <w:rsid w:val="00C9506B"/>
    <w:rsid w:val="00C95355"/>
    <w:rsid w:val="00C967B4"/>
    <w:rsid w:val="00C97555"/>
    <w:rsid w:val="00CA069E"/>
    <w:rsid w:val="00CB0B41"/>
    <w:rsid w:val="00CB0C0E"/>
    <w:rsid w:val="00CB1595"/>
    <w:rsid w:val="00CC3129"/>
    <w:rsid w:val="00CC5414"/>
    <w:rsid w:val="00CC714B"/>
    <w:rsid w:val="00CC747F"/>
    <w:rsid w:val="00CC76FB"/>
    <w:rsid w:val="00CD1FFB"/>
    <w:rsid w:val="00CD23C7"/>
    <w:rsid w:val="00CF21BD"/>
    <w:rsid w:val="00CF4D94"/>
    <w:rsid w:val="00D025EC"/>
    <w:rsid w:val="00D05326"/>
    <w:rsid w:val="00D05D53"/>
    <w:rsid w:val="00D06B51"/>
    <w:rsid w:val="00D13E49"/>
    <w:rsid w:val="00D14CB4"/>
    <w:rsid w:val="00D20437"/>
    <w:rsid w:val="00D2190E"/>
    <w:rsid w:val="00D21B76"/>
    <w:rsid w:val="00D34A5D"/>
    <w:rsid w:val="00D354FA"/>
    <w:rsid w:val="00D371F4"/>
    <w:rsid w:val="00D37E92"/>
    <w:rsid w:val="00D419AF"/>
    <w:rsid w:val="00D43237"/>
    <w:rsid w:val="00D4411E"/>
    <w:rsid w:val="00D50AFB"/>
    <w:rsid w:val="00D5474B"/>
    <w:rsid w:val="00D5574A"/>
    <w:rsid w:val="00D56212"/>
    <w:rsid w:val="00D56CA2"/>
    <w:rsid w:val="00D6088A"/>
    <w:rsid w:val="00D62647"/>
    <w:rsid w:val="00D62C94"/>
    <w:rsid w:val="00D7400F"/>
    <w:rsid w:val="00D74DB3"/>
    <w:rsid w:val="00D81E5B"/>
    <w:rsid w:val="00D8604C"/>
    <w:rsid w:val="00D92A4A"/>
    <w:rsid w:val="00D95F6B"/>
    <w:rsid w:val="00D97105"/>
    <w:rsid w:val="00D97FF7"/>
    <w:rsid w:val="00DA07F3"/>
    <w:rsid w:val="00DA13D9"/>
    <w:rsid w:val="00DA318B"/>
    <w:rsid w:val="00DB16A5"/>
    <w:rsid w:val="00DB4A1F"/>
    <w:rsid w:val="00DB51CA"/>
    <w:rsid w:val="00DB5576"/>
    <w:rsid w:val="00DB587E"/>
    <w:rsid w:val="00DC1453"/>
    <w:rsid w:val="00DC7CC6"/>
    <w:rsid w:val="00DD50DE"/>
    <w:rsid w:val="00DE1D4C"/>
    <w:rsid w:val="00DE29EB"/>
    <w:rsid w:val="00DE6D2B"/>
    <w:rsid w:val="00DE7249"/>
    <w:rsid w:val="00DF02C5"/>
    <w:rsid w:val="00DF3130"/>
    <w:rsid w:val="00DF4665"/>
    <w:rsid w:val="00DF5BB0"/>
    <w:rsid w:val="00DF6DE0"/>
    <w:rsid w:val="00E006F1"/>
    <w:rsid w:val="00E01094"/>
    <w:rsid w:val="00E02864"/>
    <w:rsid w:val="00E03149"/>
    <w:rsid w:val="00E06A3D"/>
    <w:rsid w:val="00E073F4"/>
    <w:rsid w:val="00E07540"/>
    <w:rsid w:val="00E14B0C"/>
    <w:rsid w:val="00E1744A"/>
    <w:rsid w:val="00E17DD1"/>
    <w:rsid w:val="00E213E1"/>
    <w:rsid w:val="00E23067"/>
    <w:rsid w:val="00E23264"/>
    <w:rsid w:val="00E2364B"/>
    <w:rsid w:val="00E2370B"/>
    <w:rsid w:val="00E30F24"/>
    <w:rsid w:val="00E31031"/>
    <w:rsid w:val="00E36420"/>
    <w:rsid w:val="00E37570"/>
    <w:rsid w:val="00E432E8"/>
    <w:rsid w:val="00E457BB"/>
    <w:rsid w:val="00E5054B"/>
    <w:rsid w:val="00E5158E"/>
    <w:rsid w:val="00E5202C"/>
    <w:rsid w:val="00E522CD"/>
    <w:rsid w:val="00E534BB"/>
    <w:rsid w:val="00E55AA2"/>
    <w:rsid w:val="00E55B1F"/>
    <w:rsid w:val="00E56A40"/>
    <w:rsid w:val="00E60868"/>
    <w:rsid w:val="00E62B07"/>
    <w:rsid w:val="00E63B8B"/>
    <w:rsid w:val="00E6439F"/>
    <w:rsid w:val="00E667D8"/>
    <w:rsid w:val="00E6723D"/>
    <w:rsid w:val="00E74412"/>
    <w:rsid w:val="00E76F02"/>
    <w:rsid w:val="00E84094"/>
    <w:rsid w:val="00E93DD3"/>
    <w:rsid w:val="00E94838"/>
    <w:rsid w:val="00E94A99"/>
    <w:rsid w:val="00E9754D"/>
    <w:rsid w:val="00EA003C"/>
    <w:rsid w:val="00EA575F"/>
    <w:rsid w:val="00EA5F10"/>
    <w:rsid w:val="00EB161C"/>
    <w:rsid w:val="00EB1DBF"/>
    <w:rsid w:val="00EB2411"/>
    <w:rsid w:val="00EB32BF"/>
    <w:rsid w:val="00EB66C4"/>
    <w:rsid w:val="00EC0083"/>
    <w:rsid w:val="00EC11DC"/>
    <w:rsid w:val="00EC5476"/>
    <w:rsid w:val="00ED2577"/>
    <w:rsid w:val="00ED3348"/>
    <w:rsid w:val="00ED55F2"/>
    <w:rsid w:val="00EE0B42"/>
    <w:rsid w:val="00EE1EA1"/>
    <w:rsid w:val="00EE6D46"/>
    <w:rsid w:val="00EF19AD"/>
    <w:rsid w:val="00EF2C3C"/>
    <w:rsid w:val="00EF57A8"/>
    <w:rsid w:val="00EF5AF0"/>
    <w:rsid w:val="00F00588"/>
    <w:rsid w:val="00F05314"/>
    <w:rsid w:val="00F06CDD"/>
    <w:rsid w:val="00F128A6"/>
    <w:rsid w:val="00F13E1E"/>
    <w:rsid w:val="00F14E3E"/>
    <w:rsid w:val="00F16C48"/>
    <w:rsid w:val="00F17E55"/>
    <w:rsid w:val="00F21F79"/>
    <w:rsid w:val="00F2234C"/>
    <w:rsid w:val="00F22795"/>
    <w:rsid w:val="00F2691F"/>
    <w:rsid w:val="00F2752E"/>
    <w:rsid w:val="00F27882"/>
    <w:rsid w:val="00F30C0A"/>
    <w:rsid w:val="00F32CCB"/>
    <w:rsid w:val="00F33EBD"/>
    <w:rsid w:val="00F37E69"/>
    <w:rsid w:val="00F37FFA"/>
    <w:rsid w:val="00F40435"/>
    <w:rsid w:val="00F4282D"/>
    <w:rsid w:val="00F44EDE"/>
    <w:rsid w:val="00F4666D"/>
    <w:rsid w:val="00F46AE1"/>
    <w:rsid w:val="00F537D7"/>
    <w:rsid w:val="00F54FC4"/>
    <w:rsid w:val="00F646A8"/>
    <w:rsid w:val="00F66F1C"/>
    <w:rsid w:val="00F71872"/>
    <w:rsid w:val="00F7482E"/>
    <w:rsid w:val="00F90F70"/>
    <w:rsid w:val="00F9610B"/>
    <w:rsid w:val="00F967CA"/>
    <w:rsid w:val="00FA06C3"/>
    <w:rsid w:val="00FA1011"/>
    <w:rsid w:val="00FA1A45"/>
    <w:rsid w:val="00FA1DEA"/>
    <w:rsid w:val="00FA3596"/>
    <w:rsid w:val="00FA4397"/>
    <w:rsid w:val="00FA6BCA"/>
    <w:rsid w:val="00FB1ED8"/>
    <w:rsid w:val="00FB2D69"/>
    <w:rsid w:val="00FB2F20"/>
    <w:rsid w:val="00FB3351"/>
    <w:rsid w:val="00FB3415"/>
    <w:rsid w:val="00FB4302"/>
    <w:rsid w:val="00FB4A99"/>
    <w:rsid w:val="00FB59B1"/>
    <w:rsid w:val="00FB5F56"/>
    <w:rsid w:val="00FC0382"/>
    <w:rsid w:val="00FC0CA5"/>
    <w:rsid w:val="00FC460F"/>
    <w:rsid w:val="00FC4E85"/>
    <w:rsid w:val="00FC53A0"/>
    <w:rsid w:val="00FC76EE"/>
    <w:rsid w:val="00FD2E94"/>
    <w:rsid w:val="00FD300E"/>
    <w:rsid w:val="00FE1E54"/>
    <w:rsid w:val="00FE3D9D"/>
    <w:rsid w:val="00FF2096"/>
    <w:rsid w:val="00FF236A"/>
    <w:rsid w:val="00FF547A"/>
    <w:rsid w:val="00FF5495"/>
    <w:rsid w:val="449DBD2C"/>
    <w:rsid w:val="52A326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docId w15:val="{354CF7AC-156D-484E-9A1E-F0FA0D7F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414"/>
    <w:rPr>
      <w:rFonts w:ascii="Times New Roman" w:eastAsia="Times New Roman" w:hAnsi="Times New Roman" w:cs="Times New Roman"/>
      <w:lang w:val="es-ES_tradnl" w:eastAsia="es-MX"/>
    </w:rPr>
  </w:style>
  <w:style w:type="paragraph" w:styleId="Ttulo1">
    <w:name w:val="heading 1"/>
    <w:basedOn w:val="Normal"/>
    <w:link w:val="Ttulo1Car"/>
    <w:uiPriority w:val="9"/>
    <w:qFormat/>
    <w:rsid w:val="00F128A6"/>
    <w:pPr>
      <w:widowControl w:val="0"/>
      <w:autoSpaceDE w:val="0"/>
      <w:autoSpaceDN w:val="0"/>
      <w:ind w:left="543"/>
      <w:outlineLvl w:val="0"/>
    </w:pPr>
    <w:rPr>
      <w:rFonts w:ascii="Arial" w:eastAsia="Arial" w:hAnsi="Arial" w:cs="Arial"/>
      <w:b/>
      <w:bCs/>
      <w:sz w:val="22"/>
      <w:szCs w:val="22"/>
      <w:lang w:val="es-ES" w:eastAsia="en-US"/>
    </w:rPr>
  </w:style>
  <w:style w:type="paragraph" w:styleId="Ttulo4">
    <w:name w:val="heading 4"/>
    <w:basedOn w:val="Normal"/>
    <w:next w:val="Normal"/>
    <w:link w:val="Ttulo4Car"/>
    <w:uiPriority w:val="9"/>
    <w:semiHidden/>
    <w:unhideWhenUsed/>
    <w:qFormat/>
    <w:rsid w:val="00A0272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C706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3C706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3C7067"/>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har Char Char Car,Footnote Text Cha Car,Footnote Text Char Char Char Car,FA Fußnotentext Car,FA Fuﬂnotentext Car"/>
    <w:basedOn w:val="Fuentedeprrafopredeter"/>
    <w:qFormat/>
    <w:rsid w:val="003C706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C7067"/>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C7067"/>
    <w:pPr>
      <w:spacing w:after="160" w:line="240" w:lineRule="exact"/>
    </w:pPr>
    <w:rPr>
      <w:rFonts w:asciiTheme="minorHAnsi" w:eastAsiaTheme="minorHAnsi" w:hAnsi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customStyle="1" w:styleId="TextocomentarioCar">
    <w:name w:val="Texto comentario Car"/>
    <w:basedOn w:val="Fuentedeprrafopredeter"/>
    <w:link w:val="Textocomentario"/>
    <w:uiPriority w:val="99"/>
    <w:rsid w:val="003C7067"/>
    <w:rPr>
      <w:rFonts w:ascii="Times New Roman" w:eastAsia="Times New Roman" w:hAnsi="Times New Roman" w:cs="Times New Roman"/>
      <w:sz w:val="20"/>
      <w:szCs w:val="20"/>
      <w:lang w:eastAsia="es-MX"/>
    </w:rPr>
  </w:style>
  <w:style w:type="character" w:customStyle="1" w:styleId="normaltextrun">
    <w:name w:val="normaltextrun"/>
    <w:basedOn w:val="Fuentedeprrafopredeter"/>
    <w:rsid w:val="003C7067"/>
  </w:style>
  <w:style w:type="character" w:customStyle="1" w:styleId="eop">
    <w:name w:val="eop"/>
    <w:basedOn w:val="Fuentedeprrafopredeter"/>
    <w:rsid w:val="003C7067"/>
  </w:style>
  <w:style w:type="paragraph" w:customStyle="1" w:styleId="ql-align-justify">
    <w:name w:val="ql-align-justify"/>
    <w:basedOn w:val="Normal"/>
    <w:rsid w:val="003E060B"/>
    <w:pPr>
      <w:spacing w:before="100" w:beforeAutospacing="1" w:after="100" w:afterAutospacing="1"/>
    </w:pPr>
  </w:style>
  <w:style w:type="character" w:customStyle="1" w:styleId="apple-converted-space">
    <w:name w:val="apple-converted-space"/>
    <w:basedOn w:val="Fuentedeprrafopredeter"/>
    <w:rsid w:val="003E060B"/>
  </w:style>
  <w:style w:type="character" w:styleId="Refdecomentario">
    <w:name w:val="annotation reference"/>
    <w:basedOn w:val="Fuentedeprrafopredeter"/>
    <w:uiPriority w:val="99"/>
    <w:semiHidden/>
    <w:unhideWhenUsed/>
    <w:rsid w:val="0016321F"/>
    <w:rPr>
      <w:sz w:val="16"/>
      <w:szCs w:val="16"/>
    </w:rPr>
  </w:style>
  <w:style w:type="paragraph" w:styleId="Asuntodelcomentario">
    <w:name w:val="annotation subject"/>
    <w:basedOn w:val="Textocomentario"/>
    <w:next w:val="Textocomentario"/>
    <w:link w:val="AsuntodelcomentarioCar"/>
    <w:uiPriority w:val="99"/>
    <w:semiHidden/>
    <w:unhideWhenUsed/>
    <w:rsid w:val="0016321F"/>
    <w:rPr>
      <w:b/>
      <w:bCs/>
    </w:rPr>
  </w:style>
  <w:style w:type="character" w:customStyle="1" w:styleId="AsuntodelcomentarioCar">
    <w:name w:val="Asunto del comentario Car"/>
    <w:basedOn w:val="TextocomentarioCar"/>
    <w:link w:val="Asuntodelcomentario"/>
    <w:uiPriority w:val="99"/>
    <w:semiHidden/>
    <w:rsid w:val="0016321F"/>
    <w:rPr>
      <w:rFonts w:ascii="Times New Roman" w:eastAsia="Times New Roman" w:hAnsi="Times New Roman" w:cs="Times New Roman"/>
      <w:b/>
      <w:bCs/>
      <w:sz w:val="20"/>
      <w:szCs w:val="20"/>
      <w:lang w:eastAsia="es-MX"/>
    </w:rPr>
  </w:style>
  <w:style w:type="paragraph" w:styleId="Revisin">
    <w:name w:val="Revision"/>
    <w:hidden/>
    <w:uiPriority w:val="99"/>
    <w:semiHidden/>
    <w:rsid w:val="001B1ED3"/>
    <w:rPr>
      <w:rFonts w:ascii="Times New Roman" w:eastAsia="Times New Roman" w:hAnsi="Times New Roman" w:cs="Times New Roman"/>
      <w:lang w:eastAsia="es-MX"/>
    </w:rPr>
  </w:style>
  <w:style w:type="paragraph" w:customStyle="1" w:styleId="Normal11pt">
    <w:name w:val="Normal + 11 pt"/>
    <w:aliases w:val="Negro,Justificado,Izquierda:  -0,95 cm,Derecha:  0,04 cm"/>
    <w:basedOn w:val="Normal"/>
    <w:uiPriority w:val="99"/>
    <w:rsid w:val="00236169"/>
    <w:pPr>
      <w:ind w:left="-540"/>
      <w:jc w:val="both"/>
    </w:pPr>
    <w:rPr>
      <w:rFonts w:ascii="Arial" w:hAnsi="Arial" w:cs="Arial"/>
      <w:color w:val="000000"/>
      <w:sz w:val="22"/>
      <w:szCs w:val="22"/>
      <w:lang w:eastAsia="es-ES"/>
    </w:rPr>
  </w:style>
  <w:style w:type="character" w:styleId="Hipervnculo">
    <w:name w:val="Hyperlink"/>
    <w:basedOn w:val="Fuentedeprrafopredeter"/>
    <w:uiPriority w:val="99"/>
    <w:unhideWhenUsed/>
    <w:rsid w:val="009D6BD7"/>
    <w:rPr>
      <w:color w:val="0000FF"/>
      <w:u w:val="single"/>
    </w:rPr>
  </w:style>
  <w:style w:type="paragraph" w:styleId="NormalWeb">
    <w:name w:val="Normal (Web)"/>
    <w:basedOn w:val="Normal"/>
    <w:link w:val="NormalWebCar"/>
    <w:uiPriority w:val="99"/>
    <w:unhideWhenUsed/>
    <w:rsid w:val="004963B0"/>
    <w:pPr>
      <w:spacing w:before="100" w:beforeAutospacing="1" w:after="100" w:afterAutospacing="1"/>
    </w:pPr>
  </w:style>
  <w:style w:type="character" w:styleId="Textoennegrita">
    <w:name w:val="Strong"/>
    <w:basedOn w:val="Fuentedeprrafopredeter"/>
    <w:uiPriority w:val="22"/>
    <w:qFormat/>
    <w:rsid w:val="004963B0"/>
    <w:rPr>
      <w:b/>
      <w:bCs/>
    </w:rPr>
  </w:style>
  <w:style w:type="character" w:styleId="nfasis">
    <w:name w:val="Emphasis"/>
    <w:basedOn w:val="Fuentedeprrafopredeter"/>
    <w:uiPriority w:val="20"/>
    <w:qFormat/>
    <w:rsid w:val="004963B0"/>
    <w:rPr>
      <w:i/>
      <w:iCs/>
    </w:rPr>
  </w:style>
  <w:style w:type="character" w:styleId="Mencinsinresolver">
    <w:name w:val="Unresolved Mention"/>
    <w:basedOn w:val="Fuentedeprrafopredeter"/>
    <w:uiPriority w:val="99"/>
    <w:semiHidden/>
    <w:unhideWhenUsed/>
    <w:rsid w:val="001F0BA1"/>
    <w:rPr>
      <w:color w:val="605E5C"/>
      <w:shd w:val="clear" w:color="auto" w:fill="E1DFDD"/>
    </w:rPr>
  </w:style>
  <w:style w:type="table" w:customStyle="1" w:styleId="Tablaconcuadrcula2">
    <w:name w:val="Tabla con cuadrícula2"/>
    <w:basedOn w:val="Tablanormal"/>
    <w:next w:val="Tablaconcuadrcula"/>
    <w:uiPriority w:val="39"/>
    <w:rsid w:val="00826A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826A17"/>
    <w:rPr>
      <w:rFonts w:ascii="Times New Roman" w:eastAsia="Times New Roman" w:hAnsi="Times New Roman" w:cs="Times New Roman"/>
      <w:lang w:eastAsia="es-MX"/>
    </w:rPr>
  </w:style>
  <w:style w:type="character" w:customStyle="1" w:styleId="Ttulo1Car">
    <w:name w:val="Título 1 Car"/>
    <w:basedOn w:val="Fuentedeprrafopredeter"/>
    <w:link w:val="Ttulo1"/>
    <w:uiPriority w:val="9"/>
    <w:rsid w:val="00F128A6"/>
    <w:rPr>
      <w:rFonts w:ascii="Arial" w:eastAsia="Arial" w:hAnsi="Arial" w:cs="Arial"/>
      <w:b/>
      <w:bCs/>
      <w:sz w:val="22"/>
      <w:szCs w:val="22"/>
      <w:lang w:val="es-ES"/>
    </w:rPr>
  </w:style>
  <w:style w:type="paragraph" w:customStyle="1" w:styleId="gmail-msonospacing">
    <w:name w:val="gmail-msonospacing"/>
    <w:basedOn w:val="Normal"/>
    <w:rsid w:val="00731374"/>
    <w:pPr>
      <w:spacing w:before="100" w:beforeAutospacing="1" w:after="100" w:afterAutospacing="1"/>
    </w:pPr>
    <w:rPr>
      <w:rFonts w:ascii="Calibri" w:eastAsiaTheme="minorHAnsi" w:hAnsi="Calibri" w:cs="Calibri"/>
      <w:sz w:val="22"/>
      <w:szCs w:val="22"/>
      <w:lang w:val="es-ES" w:eastAsia="es-ES"/>
    </w:rPr>
  </w:style>
  <w:style w:type="paragraph" w:customStyle="1" w:styleId="Textocomentario1">
    <w:name w:val="Texto comentario1"/>
    <w:basedOn w:val="Normal"/>
    <w:next w:val="Textocomentario"/>
    <w:uiPriority w:val="99"/>
    <w:unhideWhenUsed/>
    <w:rsid w:val="009F4296"/>
    <w:rPr>
      <w:rFonts w:asciiTheme="minorHAnsi" w:eastAsiaTheme="minorHAnsi" w:hAnsiTheme="minorHAnsi" w:cstheme="minorBidi"/>
      <w:sz w:val="20"/>
      <w:szCs w:val="20"/>
      <w:lang w:val="es-MX" w:eastAsia="en-US"/>
    </w:rPr>
  </w:style>
  <w:style w:type="paragraph" w:customStyle="1" w:styleId="Car1">
    <w:name w:val="Car1"/>
    <w:basedOn w:val="Normal"/>
    <w:next w:val="Textonotapie"/>
    <w:uiPriority w:val="99"/>
    <w:unhideWhenUsed/>
    <w:qFormat/>
    <w:rsid w:val="009F4296"/>
    <w:rPr>
      <w:rFonts w:asciiTheme="minorHAnsi" w:eastAsiaTheme="minorHAnsi" w:hAnsiTheme="minorHAnsi" w:cstheme="minorBidi"/>
      <w:sz w:val="20"/>
      <w:szCs w:val="20"/>
      <w:lang w:val="es-MX" w:eastAsia="en-US"/>
    </w:rPr>
  </w:style>
  <w:style w:type="paragraph" w:customStyle="1" w:styleId="paragraph">
    <w:name w:val="paragraph"/>
    <w:basedOn w:val="Normal"/>
    <w:rsid w:val="002835D0"/>
    <w:pPr>
      <w:spacing w:before="100" w:beforeAutospacing="1" w:after="100" w:afterAutospacing="1"/>
    </w:pPr>
    <w:rPr>
      <w:lang w:eastAsia="es-CO"/>
    </w:rPr>
  </w:style>
  <w:style w:type="table" w:customStyle="1" w:styleId="Tablaconcuadrcula1">
    <w:name w:val="Tabla con cuadrícula1"/>
    <w:basedOn w:val="Tablanormal"/>
    <w:next w:val="Tablaconcuadrcula"/>
    <w:uiPriority w:val="59"/>
    <w:rsid w:val="00DF31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03F37"/>
  </w:style>
  <w:style w:type="character" w:customStyle="1" w:styleId="Ttulo4Car">
    <w:name w:val="Título 4 Car"/>
    <w:basedOn w:val="Fuentedeprrafopredeter"/>
    <w:link w:val="Ttulo4"/>
    <w:uiPriority w:val="9"/>
    <w:semiHidden/>
    <w:rsid w:val="00A02727"/>
    <w:rPr>
      <w:rFonts w:asciiTheme="majorHAnsi" w:eastAsiaTheme="majorEastAsia" w:hAnsiTheme="majorHAnsi" w:cstheme="majorBidi"/>
      <w:i/>
      <w:iCs/>
      <w:color w:val="2F5496" w:themeColor="accent1" w:themeShade="BF"/>
      <w:lang w:val="es-ES_tradnl" w:eastAsia="es-MX"/>
    </w:rPr>
  </w:style>
  <w:style w:type="character" w:styleId="Hipervnculovisitado">
    <w:name w:val="FollowedHyperlink"/>
    <w:basedOn w:val="Fuentedeprrafopredeter"/>
    <w:uiPriority w:val="99"/>
    <w:semiHidden/>
    <w:unhideWhenUsed/>
    <w:rsid w:val="00C636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98">
      <w:bodyDiv w:val="1"/>
      <w:marLeft w:val="0"/>
      <w:marRight w:val="0"/>
      <w:marTop w:val="0"/>
      <w:marBottom w:val="0"/>
      <w:divBdr>
        <w:top w:val="none" w:sz="0" w:space="0" w:color="auto"/>
        <w:left w:val="none" w:sz="0" w:space="0" w:color="auto"/>
        <w:bottom w:val="none" w:sz="0" w:space="0" w:color="auto"/>
        <w:right w:val="none" w:sz="0" w:space="0" w:color="auto"/>
      </w:divBdr>
    </w:div>
    <w:div w:id="95178968">
      <w:bodyDiv w:val="1"/>
      <w:marLeft w:val="0"/>
      <w:marRight w:val="0"/>
      <w:marTop w:val="0"/>
      <w:marBottom w:val="0"/>
      <w:divBdr>
        <w:top w:val="none" w:sz="0" w:space="0" w:color="auto"/>
        <w:left w:val="none" w:sz="0" w:space="0" w:color="auto"/>
        <w:bottom w:val="none" w:sz="0" w:space="0" w:color="auto"/>
        <w:right w:val="none" w:sz="0" w:space="0" w:color="auto"/>
      </w:divBdr>
      <w:divsChild>
        <w:div w:id="1018432453">
          <w:marLeft w:val="0"/>
          <w:marRight w:val="0"/>
          <w:marTop w:val="0"/>
          <w:marBottom w:val="0"/>
          <w:divBdr>
            <w:top w:val="none" w:sz="0" w:space="0" w:color="auto"/>
            <w:left w:val="none" w:sz="0" w:space="0" w:color="auto"/>
            <w:bottom w:val="none" w:sz="0" w:space="0" w:color="auto"/>
            <w:right w:val="none" w:sz="0" w:space="0" w:color="auto"/>
          </w:divBdr>
        </w:div>
      </w:divsChild>
    </w:div>
    <w:div w:id="146285508">
      <w:bodyDiv w:val="1"/>
      <w:marLeft w:val="0"/>
      <w:marRight w:val="0"/>
      <w:marTop w:val="0"/>
      <w:marBottom w:val="0"/>
      <w:divBdr>
        <w:top w:val="none" w:sz="0" w:space="0" w:color="auto"/>
        <w:left w:val="none" w:sz="0" w:space="0" w:color="auto"/>
        <w:bottom w:val="none" w:sz="0" w:space="0" w:color="auto"/>
        <w:right w:val="none" w:sz="0" w:space="0" w:color="auto"/>
      </w:divBdr>
    </w:div>
    <w:div w:id="232280027">
      <w:bodyDiv w:val="1"/>
      <w:marLeft w:val="0"/>
      <w:marRight w:val="0"/>
      <w:marTop w:val="0"/>
      <w:marBottom w:val="0"/>
      <w:divBdr>
        <w:top w:val="none" w:sz="0" w:space="0" w:color="auto"/>
        <w:left w:val="none" w:sz="0" w:space="0" w:color="auto"/>
        <w:bottom w:val="none" w:sz="0" w:space="0" w:color="auto"/>
        <w:right w:val="none" w:sz="0" w:space="0" w:color="auto"/>
      </w:divBdr>
      <w:divsChild>
        <w:div w:id="399133508">
          <w:marLeft w:val="0"/>
          <w:marRight w:val="0"/>
          <w:marTop w:val="0"/>
          <w:marBottom w:val="0"/>
          <w:divBdr>
            <w:top w:val="none" w:sz="0" w:space="0" w:color="auto"/>
            <w:left w:val="none" w:sz="0" w:space="0" w:color="auto"/>
            <w:bottom w:val="none" w:sz="0" w:space="0" w:color="auto"/>
            <w:right w:val="none" w:sz="0" w:space="0" w:color="auto"/>
          </w:divBdr>
          <w:divsChild>
            <w:div w:id="110511755">
              <w:marLeft w:val="0"/>
              <w:marRight w:val="0"/>
              <w:marTop w:val="0"/>
              <w:marBottom w:val="0"/>
              <w:divBdr>
                <w:top w:val="none" w:sz="0" w:space="0" w:color="auto"/>
                <w:left w:val="none" w:sz="0" w:space="0" w:color="auto"/>
                <w:bottom w:val="none" w:sz="0" w:space="0" w:color="auto"/>
                <w:right w:val="none" w:sz="0" w:space="0" w:color="auto"/>
              </w:divBdr>
            </w:div>
            <w:div w:id="173619910">
              <w:marLeft w:val="0"/>
              <w:marRight w:val="0"/>
              <w:marTop w:val="0"/>
              <w:marBottom w:val="0"/>
              <w:divBdr>
                <w:top w:val="none" w:sz="0" w:space="0" w:color="auto"/>
                <w:left w:val="none" w:sz="0" w:space="0" w:color="auto"/>
                <w:bottom w:val="none" w:sz="0" w:space="0" w:color="auto"/>
                <w:right w:val="none" w:sz="0" w:space="0" w:color="auto"/>
              </w:divBdr>
            </w:div>
            <w:div w:id="579483539">
              <w:marLeft w:val="0"/>
              <w:marRight w:val="0"/>
              <w:marTop w:val="0"/>
              <w:marBottom w:val="0"/>
              <w:divBdr>
                <w:top w:val="none" w:sz="0" w:space="0" w:color="auto"/>
                <w:left w:val="none" w:sz="0" w:space="0" w:color="auto"/>
                <w:bottom w:val="none" w:sz="0" w:space="0" w:color="auto"/>
                <w:right w:val="none" w:sz="0" w:space="0" w:color="auto"/>
              </w:divBdr>
            </w:div>
            <w:div w:id="792556381">
              <w:marLeft w:val="0"/>
              <w:marRight w:val="0"/>
              <w:marTop w:val="0"/>
              <w:marBottom w:val="0"/>
              <w:divBdr>
                <w:top w:val="none" w:sz="0" w:space="0" w:color="auto"/>
                <w:left w:val="none" w:sz="0" w:space="0" w:color="auto"/>
                <w:bottom w:val="none" w:sz="0" w:space="0" w:color="auto"/>
                <w:right w:val="none" w:sz="0" w:space="0" w:color="auto"/>
              </w:divBdr>
            </w:div>
            <w:div w:id="806319965">
              <w:marLeft w:val="0"/>
              <w:marRight w:val="0"/>
              <w:marTop w:val="0"/>
              <w:marBottom w:val="0"/>
              <w:divBdr>
                <w:top w:val="none" w:sz="0" w:space="0" w:color="auto"/>
                <w:left w:val="none" w:sz="0" w:space="0" w:color="auto"/>
                <w:bottom w:val="none" w:sz="0" w:space="0" w:color="auto"/>
                <w:right w:val="none" w:sz="0" w:space="0" w:color="auto"/>
              </w:divBdr>
            </w:div>
            <w:div w:id="1027372752">
              <w:marLeft w:val="0"/>
              <w:marRight w:val="0"/>
              <w:marTop w:val="0"/>
              <w:marBottom w:val="0"/>
              <w:divBdr>
                <w:top w:val="none" w:sz="0" w:space="0" w:color="auto"/>
                <w:left w:val="none" w:sz="0" w:space="0" w:color="auto"/>
                <w:bottom w:val="none" w:sz="0" w:space="0" w:color="auto"/>
                <w:right w:val="none" w:sz="0" w:space="0" w:color="auto"/>
              </w:divBdr>
            </w:div>
            <w:div w:id="1208839404">
              <w:marLeft w:val="0"/>
              <w:marRight w:val="0"/>
              <w:marTop w:val="0"/>
              <w:marBottom w:val="0"/>
              <w:divBdr>
                <w:top w:val="none" w:sz="0" w:space="0" w:color="auto"/>
                <w:left w:val="none" w:sz="0" w:space="0" w:color="auto"/>
                <w:bottom w:val="none" w:sz="0" w:space="0" w:color="auto"/>
                <w:right w:val="none" w:sz="0" w:space="0" w:color="auto"/>
              </w:divBdr>
            </w:div>
            <w:div w:id="1229070665">
              <w:marLeft w:val="0"/>
              <w:marRight w:val="0"/>
              <w:marTop w:val="0"/>
              <w:marBottom w:val="0"/>
              <w:divBdr>
                <w:top w:val="none" w:sz="0" w:space="0" w:color="auto"/>
                <w:left w:val="none" w:sz="0" w:space="0" w:color="auto"/>
                <w:bottom w:val="none" w:sz="0" w:space="0" w:color="auto"/>
                <w:right w:val="none" w:sz="0" w:space="0" w:color="auto"/>
              </w:divBdr>
            </w:div>
            <w:div w:id="1411733568">
              <w:marLeft w:val="0"/>
              <w:marRight w:val="0"/>
              <w:marTop w:val="0"/>
              <w:marBottom w:val="0"/>
              <w:divBdr>
                <w:top w:val="none" w:sz="0" w:space="0" w:color="auto"/>
                <w:left w:val="none" w:sz="0" w:space="0" w:color="auto"/>
                <w:bottom w:val="none" w:sz="0" w:space="0" w:color="auto"/>
                <w:right w:val="none" w:sz="0" w:space="0" w:color="auto"/>
              </w:divBdr>
            </w:div>
            <w:div w:id="1499230849">
              <w:marLeft w:val="0"/>
              <w:marRight w:val="0"/>
              <w:marTop w:val="0"/>
              <w:marBottom w:val="0"/>
              <w:divBdr>
                <w:top w:val="none" w:sz="0" w:space="0" w:color="auto"/>
                <w:left w:val="none" w:sz="0" w:space="0" w:color="auto"/>
                <w:bottom w:val="none" w:sz="0" w:space="0" w:color="auto"/>
                <w:right w:val="none" w:sz="0" w:space="0" w:color="auto"/>
              </w:divBdr>
            </w:div>
            <w:div w:id="1549955371">
              <w:marLeft w:val="0"/>
              <w:marRight w:val="0"/>
              <w:marTop w:val="0"/>
              <w:marBottom w:val="0"/>
              <w:divBdr>
                <w:top w:val="none" w:sz="0" w:space="0" w:color="auto"/>
                <w:left w:val="none" w:sz="0" w:space="0" w:color="auto"/>
                <w:bottom w:val="none" w:sz="0" w:space="0" w:color="auto"/>
                <w:right w:val="none" w:sz="0" w:space="0" w:color="auto"/>
              </w:divBdr>
            </w:div>
            <w:div w:id="1630018027">
              <w:marLeft w:val="0"/>
              <w:marRight w:val="0"/>
              <w:marTop w:val="0"/>
              <w:marBottom w:val="0"/>
              <w:divBdr>
                <w:top w:val="none" w:sz="0" w:space="0" w:color="auto"/>
                <w:left w:val="none" w:sz="0" w:space="0" w:color="auto"/>
                <w:bottom w:val="none" w:sz="0" w:space="0" w:color="auto"/>
                <w:right w:val="none" w:sz="0" w:space="0" w:color="auto"/>
              </w:divBdr>
            </w:div>
            <w:div w:id="1639648031">
              <w:marLeft w:val="0"/>
              <w:marRight w:val="0"/>
              <w:marTop w:val="0"/>
              <w:marBottom w:val="0"/>
              <w:divBdr>
                <w:top w:val="none" w:sz="0" w:space="0" w:color="auto"/>
                <w:left w:val="none" w:sz="0" w:space="0" w:color="auto"/>
                <w:bottom w:val="none" w:sz="0" w:space="0" w:color="auto"/>
                <w:right w:val="none" w:sz="0" w:space="0" w:color="auto"/>
              </w:divBdr>
            </w:div>
            <w:div w:id="1720202991">
              <w:marLeft w:val="0"/>
              <w:marRight w:val="0"/>
              <w:marTop w:val="0"/>
              <w:marBottom w:val="0"/>
              <w:divBdr>
                <w:top w:val="none" w:sz="0" w:space="0" w:color="auto"/>
                <w:left w:val="none" w:sz="0" w:space="0" w:color="auto"/>
                <w:bottom w:val="none" w:sz="0" w:space="0" w:color="auto"/>
                <w:right w:val="none" w:sz="0" w:space="0" w:color="auto"/>
              </w:divBdr>
            </w:div>
            <w:div w:id="2006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1424">
      <w:bodyDiv w:val="1"/>
      <w:marLeft w:val="0"/>
      <w:marRight w:val="0"/>
      <w:marTop w:val="0"/>
      <w:marBottom w:val="0"/>
      <w:divBdr>
        <w:top w:val="none" w:sz="0" w:space="0" w:color="auto"/>
        <w:left w:val="none" w:sz="0" w:space="0" w:color="auto"/>
        <w:bottom w:val="none" w:sz="0" w:space="0" w:color="auto"/>
        <w:right w:val="none" w:sz="0" w:space="0" w:color="auto"/>
      </w:divBdr>
    </w:div>
    <w:div w:id="337074326">
      <w:bodyDiv w:val="1"/>
      <w:marLeft w:val="0"/>
      <w:marRight w:val="0"/>
      <w:marTop w:val="0"/>
      <w:marBottom w:val="0"/>
      <w:divBdr>
        <w:top w:val="none" w:sz="0" w:space="0" w:color="auto"/>
        <w:left w:val="none" w:sz="0" w:space="0" w:color="auto"/>
        <w:bottom w:val="none" w:sz="0" w:space="0" w:color="auto"/>
        <w:right w:val="none" w:sz="0" w:space="0" w:color="auto"/>
      </w:divBdr>
    </w:div>
    <w:div w:id="371344272">
      <w:bodyDiv w:val="1"/>
      <w:marLeft w:val="0"/>
      <w:marRight w:val="0"/>
      <w:marTop w:val="0"/>
      <w:marBottom w:val="0"/>
      <w:divBdr>
        <w:top w:val="none" w:sz="0" w:space="0" w:color="auto"/>
        <w:left w:val="none" w:sz="0" w:space="0" w:color="auto"/>
        <w:bottom w:val="none" w:sz="0" w:space="0" w:color="auto"/>
        <w:right w:val="none" w:sz="0" w:space="0" w:color="auto"/>
      </w:divBdr>
    </w:div>
    <w:div w:id="377316997">
      <w:bodyDiv w:val="1"/>
      <w:marLeft w:val="0"/>
      <w:marRight w:val="0"/>
      <w:marTop w:val="0"/>
      <w:marBottom w:val="0"/>
      <w:divBdr>
        <w:top w:val="none" w:sz="0" w:space="0" w:color="auto"/>
        <w:left w:val="none" w:sz="0" w:space="0" w:color="auto"/>
        <w:bottom w:val="none" w:sz="0" w:space="0" w:color="auto"/>
        <w:right w:val="none" w:sz="0" w:space="0" w:color="auto"/>
      </w:divBdr>
    </w:div>
    <w:div w:id="433718327">
      <w:bodyDiv w:val="1"/>
      <w:marLeft w:val="0"/>
      <w:marRight w:val="0"/>
      <w:marTop w:val="0"/>
      <w:marBottom w:val="0"/>
      <w:divBdr>
        <w:top w:val="none" w:sz="0" w:space="0" w:color="auto"/>
        <w:left w:val="none" w:sz="0" w:space="0" w:color="auto"/>
        <w:bottom w:val="none" w:sz="0" w:space="0" w:color="auto"/>
        <w:right w:val="none" w:sz="0" w:space="0" w:color="auto"/>
      </w:divBdr>
      <w:divsChild>
        <w:div w:id="1906069724">
          <w:marLeft w:val="0"/>
          <w:marRight w:val="0"/>
          <w:marTop w:val="0"/>
          <w:marBottom w:val="0"/>
          <w:divBdr>
            <w:top w:val="none" w:sz="0" w:space="0" w:color="auto"/>
            <w:left w:val="none" w:sz="0" w:space="0" w:color="auto"/>
            <w:bottom w:val="none" w:sz="0" w:space="0" w:color="auto"/>
            <w:right w:val="none" w:sz="0" w:space="0" w:color="auto"/>
          </w:divBdr>
          <w:divsChild>
            <w:div w:id="976883789">
              <w:marLeft w:val="0"/>
              <w:marRight w:val="0"/>
              <w:marTop w:val="0"/>
              <w:marBottom w:val="0"/>
              <w:divBdr>
                <w:top w:val="none" w:sz="0" w:space="0" w:color="auto"/>
                <w:left w:val="none" w:sz="0" w:space="0" w:color="auto"/>
                <w:bottom w:val="none" w:sz="0" w:space="0" w:color="auto"/>
                <w:right w:val="none" w:sz="0" w:space="0" w:color="auto"/>
              </w:divBdr>
              <w:divsChild>
                <w:div w:id="3849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21877">
      <w:bodyDiv w:val="1"/>
      <w:marLeft w:val="0"/>
      <w:marRight w:val="0"/>
      <w:marTop w:val="0"/>
      <w:marBottom w:val="0"/>
      <w:divBdr>
        <w:top w:val="none" w:sz="0" w:space="0" w:color="auto"/>
        <w:left w:val="none" w:sz="0" w:space="0" w:color="auto"/>
        <w:bottom w:val="none" w:sz="0" w:space="0" w:color="auto"/>
        <w:right w:val="none" w:sz="0" w:space="0" w:color="auto"/>
      </w:divBdr>
    </w:div>
    <w:div w:id="609052755">
      <w:bodyDiv w:val="1"/>
      <w:marLeft w:val="0"/>
      <w:marRight w:val="0"/>
      <w:marTop w:val="0"/>
      <w:marBottom w:val="0"/>
      <w:divBdr>
        <w:top w:val="none" w:sz="0" w:space="0" w:color="auto"/>
        <w:left w:val="none" w:sz="0" w:space="0" w:color="auto"/>
        <w:bottom w:val="none" w:sz="0" w:space="0" w:color="auto"/>
        <w:right w:val="none" w:sz="0" w:space="0" w:color="auto"/>
      </w:divBdr>
      <w:divsChild>
        <w:div w:id="632098825">
          <w:marLeft w:val="0"/>
          <w:marRight w:val="0"/>
          <w:marTop w:val="0"/>
          <w:marBottom w:val="0"/>
          <w:divBdr>
            <w:top w:val="none" w:sz="0" w:space="0" w:color="auto"/>
            <w:left w:val="none" w:sz="0" w:space="0" w:color="auto"/>
            <w:bottom w:val="none" w:sz="0" w:space="0" w:color="auto"/>
            <w:right w:val="none" w:sz="0" w:space="0" w:color="auto"/>
          </w:divBdr>
          <w:divsChild>
            <w:div w:id="1516073896">
              <w:marLeft w:val="0"/>
              <w:marRight w:val="0"/>
              <w:marTop w:val="0"/>
              <w:marBottom w:val="0"/>
              <w:divBdr>
                <w:top w:val="none" w:sz="0" w:space="0" w:color="auto"/>
                <w:left w:val="none" w:sz="0" w:space="0" w:color="auto"/>
                <w:bottom w:val="none" w:sz="0" w:space="0" w:color="auto"/>
                <w:right w:val="none" w:sz="0" w:space="0" w:color="auto"/>
              </w:divBdr>
              <w:divsChild>
                <w:div w:id="187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83442">
      <w:bodyDiv w:val="1"/>
      <w:marLeft w:val="0"/>
      <w:marRight w:val="0"/>
      <w:marTop w:val="0"/>
      <w:marBottom w:val="0"/>
      <w:divBdr>
        <w:top w:val="none" w:sz="0" w:space="0" w:color="auto"/>
        <w:left w:val="none" w:sz="0" w:space="0" w:color="auto"/>
        <w:bottom w:val="none" w:sz="0" w:space="0" w:color="auto"/>
        <w:right w:val="none" w:sz="0" w:space="0" w:color="auto"/>
      </w:divBdr>
      <w:divsChild>
        <w:div w:id="347830034">
          <w:marLeft w:val="0"/>
          <w:marRight w:val="0"/>
          <w:marTop w:val="0"/>
          <w:marBottom w:val="0"/>
          <w:divBdr>
            <w:top w:val="none" w:sz="0" w:space="0" w:color="auto"/>
            <w:left w:val="none" w:sz="0" w:space="0" w:color="auto"/>
            <w:bottom w:val="none" w:sz="0" w:space="0" w:color="auto"/>
            <w:right w:val="none" w:sz="0" w:space="0" w:color="auto"/>
          </w:divBdr>
          <w:divsChild>
            <w:div w:id="1119496435">
              <w:marLeft w:val="0"/>
              <w:marRight w:val="0"/>
              <w:marTop w:val="0"/>
              <w:marBottom w:val="0"/>
              <w:divBdr>
                <w:top w:val="none" w:sz="0" w:space="0" w:color="auto"/>
                <w:left w:val="none" w:sz="0" w:space="0" w:color="auto"/>
                <w:bottom w:val="none" w:sz="0" w:space="0" w:color="auto"/>
                <w:right w:val="none" w:sz="0" w:space="0" w:color="auto"/>
              </w:divBdr>
              <w:divsChild>
                <w:div w:id="12231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5812">
      <w:bodyDiv w:val="1"/>
      <w:marLeft w:val="0"/>
      <w:marRight w:val="0"/>
      <w:marTop w:val="0"/>
      <w:marBottom w:val="0"/>
      <w:divBdr>
        <w:top w:val="none" w:sz="0" w:space="0" w:color="auto"/>
        <w:left w:val="none" w:sz="0" w:space="0" w:color="auto"/>
        <w:bottom w:val="none" w:sz="0" w:space="0" w:color="auto"/>
        <w:right w:val="none" w:sz="0" w:space="0" w:color="auto"/>
      </w:divBdr>
      <w:divsChild>
        <w:div w:id="540170377">
          <w:marLeft w:val="0"/>
          <w:marRight w:val="0"/>
          <w:marTop w:val="0"/>
          <w:marBottom w:val="0"/>
          <w:divBdr>
            <w:top w:val="none" w:sz="0" w:space="0" w:color="auto"/>
            <w:left w:val="none" w:sz="0" w:space="0" w:color="auto"/>
            <w:bottom w:val="none" w:sz="0" w:space="0" w:color="auto"/>
            <w:right w:val="none" w:sz="0" w:space="0" w:color="auto"/>
          </w:divBdr>
        </w:div>
      </w:divsChild>
    </w:div>
    <w:div w:id="729768611">
      <w:bodyDiv w:val="1"/>
      <w:marLeft w:val="0"/>
      <w:marRight w:val="0"/>
      <w:marTop w:val="0"/>
      <w:marBottom w:val="0"/>
      <w:divBdr>
        <w:top w:val="none" w:sz="0" w:space="0" w:color="auto"/>
        <w:left w:val="none" w:sz="0" w:space="0" w:color="auto"/>
        <w:bottom w:val="none" w:sz="0" w:space="0" w:color="auto"/>
        <w:right w:val="none" w:sz="0" w:space="0" w:color="auto"/>
      </w:divBdr>
    </w:div>
    <w:div w:id="886841932">
      <w:bodyDiv w:val="1"/>
      <w:marLeft w:val="0"/>
      <w:marRight w:val="0"/>
      <w:marTop w:val="0"/>
      <w:marBottom w:val="0"/>
      <w:divBdr>
        <w:top w:val="none" w:sz="0" w:space="0" w:color="auto"/>
        <w:left w:val="none" w:sz="0" w:space="0" w:color="auto"/>
        <w:bottom w:val="none" w:sz="0" w:space="0" w:color="auto"/>
        <w:right w:val="none" w:sz="0" w:space="0" w:color="auto"/>
      </w:divBdr>
      <w:divsChild>
        <w:div w:id="659425936">
          <w:marLeft w:val="0"/>
          <w:marRight w:val="0"/>
          <w:marTop w:val="0"/>
          <w:marBottom w:val="0"/>
          <w:divBdr>
            <w:top w:val="none" w:sz="0" w:space="0" w:color="auto"/>
            <w:left w:val="none" w:sz="0" w:space="0" w:color="auto"/>
            <w:bottom w:val="none" w:sz="0" w:space="0" w:color="auto"/>
            <w:right w:val="none" w:sz="0" w:space="0" w:color="auto"/>
          </w:divBdr>
          <w:divsChild>
            <w:div w:id="1237932363">
              <w:marLeft w:val="0"/>
              <w:marRight w:val="0"/>
              <w:marTop w:val="0"/>
              <w:marBottom w:val="0"/>
              <w:divBdr>
                <w:top w:val="none" w:sz="0" w:space="0" w:color="auto"/>
                <w:left w:val="none" w:sz="0" w:space="0" w:color="auto"/>
                <w:bottom w:val="none" w:sz="0" w:space="0" w:color="auto"/>
                <w:right w:val="none" w:sz="0" w:space="0" w:color="auto"/>
              </w:divBdr>
              <w:divsChild>
                <w:div w:id="19794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1990">
      <w:bodyDiv w:val="1"/>
      <w:marLeft w:val="0"/>
      <w:marRight w:val="0"/>
      <w:marTop w:val="0"/>
      <w:marBottom w:val="0"/>
      <w:divBdr>
        <w:top w:val="none" w:sz="0" w:space="0" w:color="auto"/>
        <w:left w:val="none" w:sz="0" w:space="0" w:color="auto"/>
        <w:bottom w:val="none" w:sz="0" w:space="0" w:color="auto"/>
        <w:right w:val="none" w:sz="0" w:space="0" w:color="auto"/>
      </w:divBdr>
      <w:divsChild>
        <w:div w:id="724837066">
          <w:marLeft w:val="0"/>
          <w:marRight w:val="0"/>
          <w:marTop w:val="0"/>
          <w:marBottom w:val="0"/>
          <w:divBdr>
            <w:top w:val="none" w:sz="0" w:space="0" w:color="auto"/>
            <w:left w:val="none" w:sz="0" w:space="0" w:color="auto"/>
            <w:bottom w:val="none" w:sz="0" w:space="0" w:color="auto"/>
            <w:right w:val="none" w:sz="0" w:space="0" w:color="auto"/>
          </w:divBdr>
          <w:divsChild>
            <w:div w:id="519853884">
              <w:marLeft w:val="0"/>
              <w:marRight w:val="0"/>
              <w:marTop w:val="0"/>
              <w:marBottom w:val="0"/>
              <w:divBdr>
                <w:top w:val="none" w:sz="0" w:space="0" w:color="auto"/>
                <w:left w:val="none" w:sz="0" w:space="0" w:color="auto"/>
                <w:bottom w:val="none" w:sz="0" w:space="0" w:color="auto"/>
                <w:right w:val="none" w:sz="0" w:space="0" w:color="auto"/>
              </w:divBdr>
              <w:divsChild>
                <w:div w:id="9276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957361">
      <w:bodyDiv w:val="1"/>
      <w:marLeft w:val="0"/>
      <w:marRight w:val="0"/>
      <w:marTop w:val="0"/>
      <w:marBottom w:val="0"/>
      <w:divBdr>
        <w:top w:val="none" w:sz="0" w:space="0" w:color="auto"/>
        <w:left w:val="none" w:sz="0" w:space="0" w:color="auto"/>
        <w:bottom w:val="none" w:sz="0" w:space="0" w:color="auto"/>
        <w:right w:val="none" w:sz="0" w:space="0" w:color="auto"/>
      </w:divBdr>
      <w:divsChild>
        <w:div w:id="370500300">
          <w:marLeft w:val="0"/>
          <w:marRight w:val="0"/>
          <w:marTop w:val="0"/>
          <w:marBottom w:val="0"/>
          <w:divBdr>
            <w:top w:val="none" w:sz="0" w:space="0" w:color="auto"/>
            <w:left w:val="none" w:sz="0" w:space="0" w:color="auto"/>
            <w:bottom w:val="none" w:sz="0" w:space="0" w:color="auto"/>
            <w:right w:val="none" w:sz="0" w:space="0" w:color="auto"/>
          </w:divBdr>
          <w:divsChild>
            <w:div w:id="381832082">
              <w:marLeft w:val="0"/>
              <w:marRight w:val="0"/>
              <w:marTop w:val="0"/>
              <w:marBottom w:val="0"/>
              <w:divBdr>
                <w:top w:val="none" w:sz="0" w:space="0" w:color="auto"/>
                <w:left w:val="none" w:sz="0" w:space="0" w:color="auto"/>
                <w:bottom w:val="none" w:sz="0" w:space="0" w:color="auto"/>
                <w:right w:val="none" w:sz="0" w:space="0" w:color="auto"/>
              </w:divBdr>
            </w:div>
            <w:div w:id="1333412044">
              <w:marLeft w:val="0"/>
              <w:marRight w:val="0"/>
              <w:marTop w:val="0"/>
              <w:marBottom w:val="0"/>
              <w:divBdr>
                <w:top w:val="none" w:sz="0" w:space="0" w:color="auto"/>
                <w:left w:val="none" w:sz="0" w:space="0" w:color="auto"/>
                <w:bottom w:val="none" w:sz="0" w:space="0" w:color="auto"/>
                <w:right w:val="none" w:sz="0" w:space="0" w:color="auto"/>
              </w:divBdr>
            </w:div>
            <w:div w:id="1901859729">
              <w:marLeft w:val="0"/>
              <w:marRight w:val="0"/>
              <w:marTop w:val="0"/>
              <w:marBottom w:val="0"/>
              <w:divBdr>
                <w:top w:val="none" w:sz="0" w:space="0" w:color="auto"/>
                <w:left w:val="none" w:sz="0" w:space="0" w:color="auto"/>
                <w:bottom w:val="none" w:sz="0" w:space="0" w:color="auto"/>
                <w:right w:val="none" w:sz="0" w:space="0" w:color="auto"/>
              </w:divBdr>
            </w:div>
            <w:div w:id="863711006">
              <w:marLeft w:val="0"/>
              <w:marRight w:val="0"/>
              <w:marTop w:val="0"/>
              <w:marBottom w:val="0"/>
              <w:divBdr>
                <w:top w:val="none" w:sz="0" w:space="0" w:color="auto"/>
                <w:left w:val="none" w:sz="0" w:space="0" w:color="auto"/>
                <w:bottom w:val="none" w:sz="0" w:space="0" w:color="auto"/>
                <w:right w:val="none" w:sz="0" w:space="0" w:color="auto"/>
              </w:divBdr>
            </w:div>
            <w:div w:id="385295333">
              <w:marLeft w:val="0"/>
              <w:marRight w:val="0"/>
              <w:marTop w:val="0"/>
              <w:marBottom w:val="0"/>
              <w:divBdr>
                <w:top w:val="none" w:sz="0" w:space="0" w:color="auto"/>
                <w:left w:val="none" w:sz="0" w:space="0" w:color="auto"/>
                <w:bottom w:val="none" w:sz="0" w:space="0" w:color="auto"/>
                <w:right w:val="none" w:sz="0" w:space="0" w:color="auto"/>
              </w:divBdr>
            </w:div>
            <w:div w:id="394662775">
              <w:marLeft w:val="0"/>
              <w:marRight w:val="0"/>
              <w:marTop w:val="0"/>
              <w:marBottom w:val="0"/>
              <w:divBdr>
                <w:top w:val="none" w:sz="0" w:space="0" w:color="auto"/>
                <w:left w:val="none" w:sz="0" w:space="0" w:color="auto"/>
                <w:bottom w:val="none" w:sz="0" w:space="0" w:color="auto"/>
                <w:right w:val="none" w:sz="0" w:space="0" w:color="auto"/>
              </w:divBdr>
            </w:div>
            <w:div w:id="1114133781">
              <w:marLeft w:val="0"/>
              <w:marRight w:val="0"/>
              <w:marTop w:val="0"/>
              <w:marBottom w:val="0"/>
              <w:divBdr>
                <w:top w:val="none" w:sz="0" w:space="0" w:color="auto"/>
                <w:left w:val="none" w:sz="0" w:space="0" w:color="auto"/>
                <w:bottom w:val="none" w:sz="0" w:space="0" w:color="auto"/>
                <w:right w:val="none" w:sz="0" w:space="0" w:color="auto"/>
              </w:divBdr>
            </w:div>
            <w:div w:id="842359195">
              <w:marLeft w:val="0"/>
              <w:marRight w:val="0"/>
              <w:marTop w:val="0"/>
              <w:marBottom w:val="0"/>
              <w:divBdr>
                <w:top w:val="none" w:sz="0" w:space="0" w:color="auto"/>
                <w:left w:val="none" w:sz="0" w:space="0" w:color="auto"/>
                <w:bottom w:val="none" w:sz="0" w:space="0" w:color="auto"/>
                <w:right w:val="none" w:sz="0" w:space="0" w:color="auto"/>
              </w:divBdr>
            </w:div>
            <w:div w:id="776799276">
              <w:marLeft w:val="0"/>
              <w:marRight w:val="0"/>
              <w:marTop w:val="0"/>
              <w:marBottom w:val="0"/>
              <w:divBdr>
                <w:top w:val="none" w:sz="0" w:space="0" w:color="auto"/>
                <w:left w:val="none" w:sz="0" w:space="0" w:color="auto"/>
                <w:bottom w:val="none" w:sz="0" w:space="0" w:color="auto"/>
                <w:right w:val="none" w:sz="0" w:space="0" w:color="auto"/>
              </w:divBdr>
            </w:div>
            <w:div w:id="151066584">
              <w:marLeft w:val="0"/>
              <w:marRight w:val="0"/>
              <w:marTop w:val="0"/>
              <w:marBottom w:val="0"/>
              <w:divBdr>
                <w:top w:val="none" w:sz="0" w:space="0" w:color="auto"/>
                <w:left w:val="none" w:sz="0" w:space="0" w:color="auto"/>
                <w:bottom w:val="none" w:sz="0" w:space="0" w:color="auto"/>
                <w:right w:val="none" w:sz="0" w:space="0" w:color="auto"/>
              </w:divBdr>
            </w:div>
            <w:div w:id="1115979721">
              <w:marLeft w:val="0"/>
              <w:marRight w:val="0"/>
              <w:marTop w:val="0"/>
              <w:marBottom w:val="0"/>
              <w:divBdr>
                <w:top w:val="none" w:sz="0" w:space="0" w:color="auto"/>
                <w:left w:val="none" w:sz="0" w:space="0" w:color="auto"/>
                <w:bottom w:val="none" w:sz="0" w:space="0" w:color="auto"/>
                <w:right w:val="none" w:sz="0" w:space="0" w:color="auto"/>
              </w:divBdr>
            </w:div>
            <w:div w:id="1664628624">
              <w:marLeft w:val="0"/>
              <w:marRight w:val="0"/>
              <w:marTop w:val="0"/>
              <w:marBottom w:val="0"/>
              <w:divBdr>
                <w:top w:val="none" w:sz="0" w:space="0" w:color="auto"/>
                <w:left w:val="none" w:sz="0" w:space="0" w:color="auto"/>
                <w:bottom w:val="none" w:sz="0" w:space="0" w:color="auto"/>
                <w:right w:val="none" w:sz="0" w:space="0" w:color="auto"/>
              </w:divBdr>
            </w:div>
            <w:div w:id="527062691">
              <w:marLeft w:val="0"/>
              <w:marRight w:val="0"/>
              <w:marTop w:val="0"/>
              <w:marBottom w:val="0"/>
              <w:divBdr>
                <w:top w:val="none" w:sz="0" w:space="0" w:color="auto"/>
                <w:left w:val="none" w:sz="0" w:space="0" w:color="auto"/>
                <w:bottom w:val="none" w:sz="0" w:space="0" w:color="auto"/>
                <w:right w:val="none" w:sz="0" w:space="0" w:color="auto"/>
              </w:divBdr>
            </w:div>
            <w:div w:id="1474448764">
              <w:marLeft w:val="0"/>
              <w:marRight w:val="0"/>
              <w:marTop w:val="0"/>
              <w:marBottom w:val="0"/>
              <w:divBdr>
                <w:top w:val="none" w:sz="0" w:space="0" w:color="auto"/>
                <w:left w:val="none" w:sz="0" w:space="0" w:color="auto"/>
                <w:bottom w:val="none" w:sz="0" w:space="0" w:color="auto"/>
                <w:right w:val="none" w:sz="0" w:space="0" w:color="auto"/>
              </w:divBdr>
            </w:div>
            <w:div w:id="959459261">
              <w:marLeft w:val="0"/>
              <w:marRight w:val="0"/>
              <w:marTop w:val="0"/>
              <w:marBottom w:val="0"/>
              <w:divBdr>
                <w:top w:val="none" w:sz="0" w:space="0" w:color="auto"/>
                <w:left w:val="none" w:sz="0" w:space="0" w:color="auto"/>
                <w:bottom w:val="none" w:sz="0" w:space="0" w:color="auto"/>
                <w:right w:val="none" w:sz="0" w:space="0" w:color="auto"/>
              </w:divBdr>
            </w:div>
            <w:div w:id="1858421292">
              <w:marLeft w:val="0"/>
              <w:marRight w:val="0"/>
              <w:marTop w:val="0"/>
              <w:marBottom w:val="0"/>
              <w:divBdr>
                <w:top w:val="none" w:sz="0" w:space="0" w:color="auto"/>
                <w:left w:val="none" w:sz="0" w:space="0" w:color="auto"/>
                <w:bottom w:val="none" w:sz="0" w:space="0" w:color="auto"/>
                <w:right w:val="none" w:sz="0" w:space="0" w:color="auto"/>
              </w:divBdr>
            </w:div>
            <w:div w:id="932393527">
              <w:marLeft w:val="0"/>
              <w:marRight w:val="0"/>
              <w:marTop w:val="0"/>
              <w:marBottom w:val="0"/>
              <w:divBdr>
                <w:top w:val="none" w:sz="0" w:space="0" w:color="auto"/>
                <w:left w:val="none" w:sz="0" w:space="0" w:color="auto"/>
                <w:bottom w:val="none" w:sz="0" w:space="0" w:color="auto"/>
                <w:right w:val="none" w:sz="0" w:space="0" w:color="auto"/>
              </w:divBdr>
            </w:div>
            <w:div w:id="2000965068">
              <w:marLeft w:val="0"/>
              <w:marRight w:val="0"/>
              <w:marTop w:val="0"/>
              <w:marBottom w:val="0"/>
              <w:divBdr>
                <w:top w:val="none" w:sz="0" w:space="0" w:color="auto"/>
                <w:left w:val="none" w:sz="0" w:space="0" w:color="auto"/>
                <w:bottom w:val="none" w:sz="0" w:space="0" w:color="auto"/>
                <w:right w:val="none" w:sz="0" w:space="0" w:color="auto"/>
              </w:divBdr>
            </w:div>
            <w:div w:id="392121971">
              <w:marLeft w:val="0"/>
              <w:marRight w:val="0"/>
              <w:marTop w:val="0"/>
              <w:marBottom w:val="0"/>
              <w:divBdr>
                <w:top w:val="none" w:sz="0" w:space="0" w:color="auto"/>
                <w:left w:val="none" w:sz="0" w:space="0" w:color="auto"/>
                <w:bottom w:val="none" w:sz="0" w:space="0" w:color="auto"/>
                <w:right w:val="none" w:sz="0" w:space="0" w:color="auto"/>
              </w:divBdr>
            </w:div>
            <w:div w:id="736972137">
              <w:marLeft w:val="0"/>
              <w:marRight w:val="0"/>
              <w:marTop w:val="0"/>
              <w:marBottom w:val="0"/>
              <w:divBdr>
                <w:top w:val="none" w:sz="0" w:space="0" w:color="auto"/>
                <w:left w:val="none" w:sz="0" w:space="0" w:color="auto"/>
                <w:bottom w:val="none" w:sz="0" w:space="0" w:color="auto"/>
                <w:right w:val="none" w:sz="0" w:space="0" w:color="auto"/>
              </w:divBdr>
            </w:div>
            <w:div w:id="1590693338">
              <w:marLeft w:val="0"/>
              <w:marRight w:val="0"/>
              <w:marTop w:val="0"/>
              <w:marBottom w:val="0"/>
              <w:divBdr>
                <w:top w:val="none" w:sz="0" w:space="0" w:color="auto"/>
                <w:left w:val="none" w:sz="0" w:space="0" w:color="auto"/>
                <w:bottom w:val="none" w:sz="0" w:space="0" w:color="auto"/>
                <w:right w:val="none" w:sz="0" w:space="0" w:color="auto"/>
              </w:divBdr>
            </w:div>
            <w:div w:id="2098090144">
              <w:marLeft w:val="0"/>
              <w:marRight w:val="0"/>
              <w:marTop w:val="0"/>
              <w:marBottom w:val="0"/>
              <w:divBdr>
                <w:top w:val="none" w:sz="0" w:space="0" w:color="auto"/>
                <w:left w:val="none" w:sz="0" w:space="0" w:color="auto"/>
                <w:bottom w:val="none" w:sz="0" w:space="0" w:color="auto"/>
                <w:right w:val="none" w:sz="0" w:space="0" w:color="auto"/>
              </w:divBdr>
            </w:div>
            <w:div w:id="514149318">
              <w:marLeft w:val="0"/>
              <w:marRight w:val="0"/>
              <w:marTop w:val="0"/>
              <w:marBottom w:val="0"/>
              <w:divBdr>
                <w:top w:val="none" w:sz="0" w:space="0" w:color="auto"/>
                <w:left w:val="none" w:sz="0" w:space="0" w:color="auto"/>
                <w:bottom w:val="none" w:sz="0" w:space="0" w:color="auto"/>
                <w:right w:val="none" w:sz="0" w:space="0" w:color="auto"/>
              </w:divBdr>
            </w:div>
            <w:div w:id="2068843972">
              <w:marLeft w:val="0"/>
              <w:marRight w:val="0"/>
              <w:marTop w:val="0"/>
              <w:marBottom w:val="0"/>
              <w:divBdr>
                <w:top w:val="none" w:sz="0" w:space="0" w:color="auto"/>
                <w:left w:val="none" w:sz="0" w:space="0" w:color="auto"/>
                <w:bottom w:val="none" w:sz="0" w:space="0" w:color="auto"/>
                <w:right w:val="none" w:sz="0" w:space="0" w:color="auto"/>
              </w:divBdr>
            </w:div>
            <w:div w:id="780957430">
              <w:marLeft w:val="0"/>
              <w:marRight w:val="0"/>
              <w:marTop w:val="0"/>
              <w:marBottom w:val="0"/>
              <w:divBdr>
                <w:top w:val="none" w:sz="0" w:space="0" w:color="auto"/>
                <w:left w:val="none" w:sz="0" w:space="0" w:color="auto"/>
                <w:bottom w:val="none" w:sz="0" w:space="0" w:color="auto"/>
                <w:right w:val="none" w:sz="0" w:space="0" w:color="auto"/>
              </w:divBdr>
            </w:div>
            <w:div w:id="1450011094">
              <w:marLeft w:val="0"/>
              <w:marRight w:val="0"/>
              <w:marTop w:val="0"/>
              <w:marBottom w:val="0"/>
              <w:divBdr>
                <w:top w:val="none" w:sz="0" w:space="0" w:color="auto"/>
                <w:left w:val="none" w:sz="0" w:space="0" w:color="auto"/>
                <w:bottom w:val="none" w:sz="0" w:space="0" w:color="auto"/>
                <w:right w:val="none" w:sz="0" w:space="0" w:color="auto"/>
              </w:divBdr>
            </w:div>
            <w:div w:id="18536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248">
      <w:bodyDiv w:val="1"/>
      <w:marLeft w:val="0"/>
      <w:marRight w:val="0"/>
      <w:marTop w:val="0"/>
      <w:marBottom w:val="0"/>
      <w:divBdr>
        <w:top w:val="none" w:sz="0" w:space="0" w:color="auto"/>
        <w:left w:val="none" w:sz="0" w:space="0" w:color="auto"/>
        <w:bottom w:val="none" w:sz="0" w:space="0" w:color="auto"/>
        <w:right w:val="none" w:sz="0" w:space="0" w:color="auto"/>
      </w:divBdr>
      <w:divsChild>
        <w:div w:id="1541093712">
          <w:marLeft w:val="0"/>
          <w:marRight w:val="0"/>
          <w:marTop w:val="0"/>
          <w:marBottom w:val="0"/>
          <w:divBdr>
            <w:top w:val="none" w:sz="0" w:space="0" w:color="auto"/>
            <w:left w:val="none" w:sz="0" w:space="0" w:color="auto"/>
            <w:bottom w:val="none" w:sz="0" w:space="0" w:color="auto"/>
            <w:right w:val="none" w:sz="0" w:space="0" w:color="auto"/>
          </w:divBdr>
          <w:divsChild>
            <w:div w:id="928268909">
              <w:marLeft w:val="0"/>
              <w:marRight w:val="0"/>
              <w:marTop w:val="0"/>
              <w:marBottom w:val="0"/>
              <w:divBdr>
                <w:top w:val="none" w:sz="0" w:space="0" w:color="auto"/>
                <w:left w:val="none" w:sz="0" w:space="0" w:color="auto"/>
                <w:bottom w:val="none" w:sz="0" w:space="0" w:color="auto"/>
                <w:right w:val="none" w:sz="0" w:space="0" w:color="auto"/>
              </w:divBdr>
              <w:divsChild>
                <w:div w:id="581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28368">
      <w:bodyDiv w:val="1"/>
      <w:marLeft w:val="0"/>
      <w:marRight w:val="0"/>
      <w:marTop w:val="0"/>
      <w:marBottom w:val="0"/>
      <w:divBdr>
        <w:top w:val="none" w:sz="0" w:space="0" w:color="auto"/>
        <w:left w:val="none" w:sz="0" w:space="0" w:color="auto"/>
        <w:bottom w:val="none" w:sz="0" w:space="0" w:color="auto"/>
        <w:right w:val="none" w:sz="0" w:space="0" w:color="auto"/>
      </w:divBdr>
    </w:div>
    <w:div w:id="1400903566">
      <w:bodyDiv w:val="1"/>
      <w:marLeft w:val="0"/>
      <w:marRight w:val="0"/>
      <w:marTop w:val="0"/>
      <w:marBottom w:val="0"/>
      <w:divBdr>
        <w:top w:val="none" w:sz="0" w:space="0" w:color="auto"/>
        <w:left w:val="none" w:sz="0" w:space="0" w:color="auto"/>
        <w:bottom w:val="none" w:sz="0" w:space="0" w:color="auto"/>
        <w:right w:val="none" w:sz="0" w:space="0" w:color="auto"/>
      </w:divBdr>
    </w:div>
    <w:div w:id="1403792217">
      <w:bodyDiv w:val="1"/>
      <w:marLeft w:val="0"/>
      <w:marRight w:val="0"/>
      <w:marTop w:val="0"/>
      <w:marBottom w:val="0"/>
      <w:divBdr>
        <w:top w:val="none" w:sz="0" w:space="0" w:color="auto"/>
        <w:left w:val="none" w:sz="0" w:space="0" w:color="auto"/>
        <w:bottom w:val="none" w:sz="0" w:space="0" w:color="auto"/>
        <w:right w:val="none" w:sz="0" w:space="0" w:color="auto"/>
      </w:divBdr>
      <w:divsChild>
        <w:div w:id="1821799566">
          <w:marLeft w:val="0"/>
          <w:marRight w:val="0"/>
          <w:marTop w:val="15"/>
          <w:marBottom w:val="0"/>
          <w:divBdr>
            <w:top w:val="single" w:sz="48" w:space="0" w:color="auto"/>
            <w:left w:val="single" w:sz="48" w:space="0" w:color="auto"/>
            <w:bottom w:val="single" w:sz="48" w:space="0" w:color="auto"/>
            <w:right w:val="single" w:sz="48" w:space="0" w:color="auto"/>
          </w:divBdr>
          <w:divsChild>
            <w:div w:id="16153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5866">
      <w:bodyDiv w:val="1"/>
      <w:marLeft w:val="0"/>
      <w:marRight w:val="0"/>
      <w:marTop w:val="0"/>
      <w:marBottom w:val="0"/>
      <w:divBdr>
        <w:top w:val="none" w:sz="0" w:space="0" w:color="auto"/>
        <w:left w:val="none" w:sz="0" w:space="0" w:color="auto"/>
        <w:bottom w:val="none" w:sz="0" w:space="0" w:color="auto"/>
        <w:right w:val="none" w:sz="0" w:space="0" w:color="auto"/>
      </w:divBdr>
      <w:divsChild>
        <w:div w:id="117649283">
          <w:marLeft w:val="0"/>
          <w:marRight w:val="0"/>
          <w:marTop w:val="0"/>
          <w:marBottom w:val="0"/>
          <w:divBdr>
            <w:top w:val="none" w:sz="0" w:space="0" w:color="auto"/>
            <w:left w:val="none" w:sz="0" w:space="0" w:color="auto"/>
            <w:bottom w:val="none" w:sz="0" w:space="0" w:color="auto"/>
            <w:right w:val="none" w:sz="0" w:space="0" w:color="auto"/>
          </w:divBdr>
        </w:div>
      </w:divsChild>
    </w:div>
    <w:div w:id="1560088786">
      <w:bodyDiv w:val="1"/>
      <w:marLeft w:val="0"/>
      <w:marRight w:val="0"/>
      <w:marTop w:val="0"/>
      <w:marBottom w:val="0"/>
      <w:divBdr>
        <w:top w:val="none" w:sz="0" w:space="0" w:color="auto"/>
        <w:left w:val="none" w:sz="0" w:space="0" w:color="auto"/>
        <w:bottom w:val="none" w:sz="0" w:space="0" w:color="auto"/>
        <w:right w:val="none" w:sz="0" w:space="0" w:color="auto"/>
      </w:divBdr>
      <w:divsChild>
        <w:div w:id="526336664">
          <w:marLeft w:val="0"/>
          <w:marRight w:val="0"/>
          <w:marTop w:val="0"/>
          <w:marBottom w:val="0"/>
          <w:divBdr>
            <w:top w:val="none" w:sz="0" w:space="0" w:color="auto"/>
            <w:left w:val="none" w:sz="0" w:space="0" w:color="auto"/>
            <w:bottom w:val="none" w:sz="0" w:space="0" w:color="auto"/>
            <w:right w:val="none" w:sz="0" w:space="0" w:color="auto"/>
          </w:divBdr>
          <w:divsChild>
            <w:div w:id="2057464757">
              <w:marLeft w:val="0"/>
              <w:marRight w:val="0"/>
              <w:marTop w:val="0"/>
              <w:marBottom w:val="0"/>
              <w:divBdr>
                <w:top w:val="none" w:sz="0" w:space="0" w:color="auto"/>
                <w:left w:val="none" w:sz="0" w:space="0" w:color="auto"/>
                <w:bottom w:val="none" w:sz="0" w:space="0" w:color="auto"/>
                <w:right w:val="none" w:sz="0" w:space="0" w:color="auto"/>
              </w:divBdr>
              <w:divsChild>
                <w:div w:id="9079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5548">
      <w:bodyDiv w:val="1"/>
      <w:marLeft w:val="0"/>
      <w:marRight w:val="0"/>
      <w:marTop w:val="0"/>
      <w:marBottom w:val="0"/>
      <w:divBdr>
        <w:top w:val="none" w:sz="0" w:space="0" w:color="auto"/>
        <w:left w:val="none" w:sz="0" w:space="0" w:color="auto"/>
        <w:bottom w:val="none" w:sz="0" w:space="0" w:color="auto"/>
        <w:right w:val="none" w:sz="0" w:space="0" w:color="auto"/>
      </w:divBdr>
    </w:div>
    <w:div w:id="1650090261">
      <w:bodyDiv w:val="1"/>
      <w:marLeft w:val="0"/>
      <w:marRight w:val="0"/>
      <w:marTop w:val="0"/>
      <w:marBottom w:val="0"/>
      <w:divBdr>
        <w:top w:val="none" w:sz="0" w:space="0" w:color="auto"/>
        <w:left w:val="none" w:sz="0" w:space="0" w:color="auto"/>
        <w:bottom w:val="none" w:sz="0" w:space="0" w:color="auto"/>
        <w:right w:val="none" w:sz="0" w:space="0" w:color="auto"/>
      </w:divBdr>
      <w:divsChild>
        <w:div w:id="228663037">
          <w:marLeft w:val="0"/>
          <w:marRight w:val="0"/>
          <w:marTop w:val="0"/>
          <w:marBottom w:val="0"/>
          <w:divBdr>
            <w:top w:val="none" w:sz="0" w:space="0" w:color="auto"/>
            <w:left w:val="none" w:sz="0" w:space="0" w:color="auto"/>
            <w:bottom w:val="none" w:sz="0" w:space="0" w:color="auto"/>
            <w:right w:val="none" w:sz="0" w:space="0" w:color="auto"/>
          </w:divBdr>
          <w:divsChild>
            <w:div w:id="997659273">
              <w:marLeft w:val="0"/>
              <w:marRight w:val="0"/>
              <w:marTop w:val="0"/>
              <w:marBottom w:val="0"/>
              <w:divBdr>
                <w:top w:val="none" w:sz="0" w:space="0" w:color="auto"/>
                <w:left w:val="none" w:sz="0" w:space="0" w:color="auto"/>
                <w:bottom w:val="none" w:sz="0" w:space="0" w:color="auto"/>
                <w:right w:val="none" w:sz="0" w:space="0" w:color="auto"/>
              </w:divBdr>
              <w:divsChild>
                <w:div w:id="7747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524156">
      <w:bodyDiv w:val="1"/>
      <w:marLeft w:val="0"/>
      <w:marRight w:val="0"/>
      <w:marTop w:val="0"/>
      <w:marBottom w:val="0"/>
      <w:divBdr>
        <w:top w:val="none" w:sz="0" w:space="0" w:color="auto"/>
        <w:left w:val="none" w:sz="0" w:space="0" w:color="auto"/>
        <w:bottom w:val="none" w:sz="0" w:space="0" w:color="auto"/>
        <w:right w:val="none" w:sz="0" w:space="0" w:color="auto"/>
      </w:divBdr>
    </w:div>
    <w:div w:id="1730685673">
      <w:bodyDiv w:val="1"/>
      <w:marLeft w:val="0"/>
      <w:marRight w:val="0"/>
      <w:marTop w:val="0"/>
      <w:marBottom w:val="0"/>
      <w:divBdr>
        <w:top w:val="none" w:sz="0" w:space="0" w:color="auto"/>
        <w:left w:val="none" w:sz="0" w:space="0" w:color="auto"/>
        <w:bottom w:val="none" w:sz="0" w:space="0" w:color="auto"/>
        <w:right w:val="none" w:sz="0" w:space="0" w:color="auto"/>
      </w:divBdr>
    </w:div>
    <w:div w:id="1768768690">
      <w:bodyDiv w:val="1"/>
      <w:marLeft w:val="0"/>
      <w:marRight w:val="0"/>
      <w:marTop w:val="0"/>
      <w:marBottom w:val="0"/>
      <w:divBdr>
        <w:top w:val="none" w:sz="0" w:space="0" w:color="auto"/>
        <w:left w:val="none" w:sz="0" w:space="0" w:color="auto"/>
        <w:bottom w:val="none" w:sz="0" w:space="0" w:color="auto"/>
        <w:right w:val="none" w:sz="0" w:space="0" w:color="auto"/>
      </w:divBdr>
    </w:div>
    <w:div w:id="1780875609">
      <w:bodyDiv w:val="1"/>
      <w:marLeft w:val="0"/>
      <w:marRight w:val="0"/>
      <w:marTop w:val="0"/>
      <w:marBottom w:val="0"/>
      <w:divBdr>
        <w:top w:val="none" w:sz="0" w:space="0" w:color="auto"/>
        <w:left w:val="none" w:sz="0" w:space="0" w:color="auto"/>
        <w:bottom w:val="none" w:sz="0" w:space="0" w:color="auto"/>
        <w:right w:val="none" w:sz="0" w:space="0" w:color="auto"/>
      </w:divBdr>
    </w:div>
    <w:div w:id="1787656124">
      <w:bodyDiv w:val="1"/>
      <w:marLeft w:val="0"/>
      <w:marRight w:val="0"/>
      <w:marTop w:val="0"/>
      <w:marBottom w:val="0"/>
      <w:divBdr>
        <w:top w:val="none" w:sz="0" w:space="0" w:color="auto"/>
        <w:left w:val="none" w:sz="0" w:space="0" w:color="auto"/>
        <w:bottom w:val="none" w:sz="0" w:space="0" w:color="auto"/>
        <w:right w:val="none" w:sz="0" w:space="0" w:color="auto"/>
      </w:divBdr>
    </w:div>
    <w:div w:id="2050033785">
      <w:bodyDiv w:val="1"/>
      <w:marLeft w:val="0"/>
      <w:marRight w:val="0"/>
      <w:marTop w:val="0"/>
      <w:marBottom w:val="0"/>
      <w:divBdr>
        <w:top w:val="none" w:sz="0" w:space="0" w:color="auto"/>
        <w:left w:val="none" w:sz="0" w:space="0" w:color="auto"/>
        <w:bottom w:val="none" w:sz="0" w:space="0" w:color="auto"/>
        <w:right w:val="none" w:sz="0" w:space="0" w:color="auto"/>
      </w:divBdr>
    </w:div>
    <w:div w:id="2089690658">
      <w:bodyDiv w:val="1"/>
      <w:marLeft w:val="0"/>
      <w:marRight w:val="0"/>
      <w:marTop w:val="0"/>
      <w:marBottom w:val="0"/>
      <w:divBdr>
        <w:top w:val="none" w:sz="0" w:space="0" w:color="auto"/>
        <w:left w:val="none" w:sz="0" w:space="0" w:color="auto"/>
        <w:bottom w:val="none" w:sz="0" w:space="0" w:color="auto"/>
        <w:right w:val="none" w:sz="0" w:space="0" w:color="auto"/>
      </w:divBdr>
      <w:divsChild>
        <w:div w:id="135414708">
          <w:marLeft w:val="0"/>
          <w:marRight w:val="0"/>
          <w:marTop w:val="0"/>
          <w:marBottom w:val="0"/>
          <w:divBdr>
            <w:top w:val="none" w:sz="0" w:space="0" w:color="auto"/>
            <w:left w:val="none" w:sz="0" w:space="0" w:color="auto"/>
            <w:bottom w:val="none" w:sz="0" w:space="0" w:color="auto"/>
            <w:right w:val="none" w:sz="0" w:space="0" w:color="auto"/>
          </w:divBdr>
          <w:divsChild>
            <w:div w:id="196892328">
              <w:marLeft w:val="0"/>
              <w:marRight w:val="0"/>
              <w:marTop w:val="0"/>
              <w:marBottom w:val="0"/>
              <w:divBdr>
                <w:top w:val="none" w:sz="0" w:space="0" w:color="auto"/>
                <w:left w:val="none" w:sz="0" w:space="0" w:color="auto"/>
                <w:bottom w:val="none" w:sz="0" w:space="0" w:color="auto"/>
                <w:right w:val="none" w:sz="0" w:space="0" w:color="auto"/>
              </w:divBdr>
              <w:divsChild>
                <w:div w:id="13381731">
                  <w:marLeft w:val="0"/>
                  <w:marRight w:val="0"/>
                  <w:marTop w:val="0"/>
                  <w:marBottom w:val="0"/>
                  <w:divBdr>
                    <w:top w:val="none" w:sz="0" w:space="0" w:color="auto"/>
                    <w:left w:val="none" w:sz="0" w:space="0" w:color="auto"/>
                    <w:bottom w:val="none" w:sz="0" w:space="0" w:color="auto"/>
                    <w:right w:val="none" w:sz="0" w:space="0" w:color="auto"/>
                  </w:divBdr>
                </w:div>
                <w:div w:id="133526210">
                  <w:marLeft w:val="0"/>
                  <w:marRight w:val="0"/>
                  <w:marTop w:val="0"/>
                  <w:marBottom w:val="0"/>
                  <w:divBdr>
                    <w:top w:val="none" w:sz="0" w:space="0" w:color="auto"/>
                    <w:left w:val="none" w:sz="0" w:space="0" w:color="auto"/>
                    <w:bottom w:val="none" w:sz="0" w:space="0" w:color="auto"/>
                    <w:right w:val="none" w:sz="0" w:space="0" w:color="auto"/>
                  </w:divBdr>
                </w:div>
                <w:div w:id="164825959">
                  <w:marLeft w:val="0"/>
                  <w:marRight w:val="0"/>
                  <w:marTop w:val="0"/>
                  <w:marBottom w:val="0"/>
                  <w:divBdr>
                    <w:top w:val="none" w:sz="0" w:space="0" w:color="auto"/>
                    <w:left w:val="none" w:sz="0" w:space="0" w:color="auto"/>
                    <w:bottom w:val="none" w:sz="0" w:space="0" w:color="auto"/>
                    <w:right w:val="none" w:sz="0" w:space="0" w:color="auto"/>
                  </w:divBdr>
                </w:div>
                <w:div w:id="681275181">
                  <w:marLeft w:val="0"/>
                  <w:marRight w:val="0"/>
                  <w:marTop w:val="0"/>
                  <w:marBottom w:val="0"/>
                  <w:divBdr>
                    <w:top w:val="none" w:sz="0" w:space="0" w:color="auto"/>
                    <w:left w:val="none" w:sz="0" w:space="0" w:color="auto"/>
                    <w:bottom w:val="none" w:sz="0" w:space="0" w:color="auto"/>
                    <w:right w:val="none" w:sz="0" w:space="0" w:color="auto"/>
                  </w:divBdr>
                </w:div>
                <w:div w:id="723455002">
                  <w:marLeft w:val="0"/>
                  <w:marRight w:val="0"/>
                  <w:marTop w:val="0"/>
                  <w:marBottom w:val="0"/>
                  <w:divBdr>
                    <w:top w:val="none" w:sz="0" w:space="0" w:color="auto"/>
                    <w:left w:val="none" w:sz="0" w:space="0" w:color="auto"/>
                    <w:bottom w:val="none" w:sz="0" w:space="0" w:color="auto"/>
                    <w:right w:val="none" w:sz="0" w:space="0" w:color="auto"/>
                  </w:divBdr>
                </w:div>
                <w:div w:id="815923830">
                  <w:marLeft w:val="0"/>
                  <w:marRight w:val="0"/>
                  <w:marTop w:val="0"/>
                  <w:marBottom w:val="0"/>
                  <w:divBdr>
                    <w:top w:val="none" w:sz="0" w:space="0" w:color="auto"/>
                    <w:left w:val="none" w:sz="0" w:space="0" w:color="auto"/>
                    <w:bottom w:val="none" w:sz="0" w:space="0" w:color="auto"/>
                    <w:right w:val="none" w:sz="0" w:space="0" w:color="auto"/>
                  </w:divBdr>
                </w:div>
                <w:div w:id="819418525">
                  <w:marLeft w:val="0"/>
                  <w:marRight w:val="0"/>
                  <w:marTop w:val="0"/>
                  <w:marBottom w:val="0"/>
                  <w:divBdr>
                    <w:top w:val="none" w:sz="0" w:space="0" w:color="auto"/>
                    <w:left w:val="none" w:sz="0" w:space="0" w:color="auto"/>
                    <w:bottom w:val="none" w:sz="0" w:space="0" w:color="auto"/>
                    <w:right w:val="none" w:sz="0" w:space="0" w:color="auto"/>
                  </w:divBdr>
                </w:div>
                <w:div w:id="1060593502">
                  <w:marLeft w:val="0"/>
                  <w:marRight w:val="0"/>
                  <w:marTop w:val="0"/>
                  <w:marBottom w:val="0"/>
                  <w:divBdr>
                    <w:top w:val="none" w:sz="0" w:space="0" w:color="auto"/>
                    <w:left w:val="none" w:sz="0" w:space="0" w:color="auto"/>
                    <w:bottom w:val="none" w:sz="0" w:space="0" w:color="auto"/>
                    <w:right w:val="none" w:sz="0" w:space="0" w:color="auto"/>
                  </w:divBdr>
                </w:div>
                <w:div w:id="1087651719">
                  <w:marLeft w:val="0"/>
                  <w:marRight w:val="0"/>
                  <w:marTop w:val="0"/>
                  <w:marBottom w:val="0"/>
                  <w:divBdr>
                    <w:top w:val="none" w:sz="0" w:space="0" w:color="auto"/>
                    <w:left w:val="none" w:sz="0" w:space="0" w:color="auto"/>
                    <w:bottom w:val="none" w:sz="0" w:space="0" w:color="auto"/>
                    <w:right w:val="none" w:sz="0" w:space="0" w:color="auto"/>
                  </w:divBdr>
                </w:div>
                <w:div w:id="1153333282">
                  <w:marLeft w:val="0"/>
                  <w:marRight w:val="0"/>
                  <w:marTop w:val="0"/>
                  <w:marBottom w:val="0"/>
                  <w:divBdr>
                    <w:top w:val="none" w:sz="0" w:space="0" w:color="auto"/>
                    <w:left w:val="none" w:sz="0" w:space="0" w:color="auto"/>
                    <w:bottom w:val="none" w:sz="0" w:space="0" w:color="auto"/>
                    <w:right w:val="none" w:sz="0" w:space="0" w:color="auto"/>
                  </w:divBdr>
                </w:div>
                <w:div w:id="1357582108">
                  <w:marLeft w:val="0"/>
                  <w:marRight w:val="0"/>
                  <w:marTop w:val="0"/>
                  <w:marBottom w:val="0"/>
                  <w:divBdr>
                    <w:top w:val="none" w:sz="0" w:space="0" w:color="auto"/>
                    <w:left w:val="none" w:sz="0" w:space="0" w:color="auto"/>
                    <w:bottom w:val="none" w:sz="0" w:space="0" w:color="auto"/>
                    <w:right w:val="none" w:sz="0" w:space="0" w:color="auto"/>
                  </w:divBdr>
                </w:div>
                <w:div w:id="1510556059">
                  <w:marLeft w:val="0"/>
                  <w:marRight w:val="0"/>
                  <w:marTop w:val="0"/>
                  <w:marBottom w:val="0"/>
                  <w:divBdr>
                    <w:top w:val="none" w:sz="0" w:space="0" w:color="auto"/>
                    <w:left w:val="none" w:sz="0" w:space="0" w:color="auto"/>
                    <w:bottom w:val="none" w:sz="0" w:space="0" w:color="auto"/>
                    <w:right w:val="none" w:sz="0" w:space="0" w:color="auto"/>
                  </w:divBdr>
                </w:div>
                <w:div w:id="1685205253">
                  <w:marLeft w:val="0"/>
                  <w:marRight w:val="0"/>
                  <w:marTop w:val="0"/>
                  <w:marBottom w:val="0"/>
                  <w:divBdr>
                    <w:top w:val="none" w:sz="0" w:space="0" w:color="auto"/>
                    <w:left w:val="none" w:sz="0" w:space="0" w:color="auto"/>
                    <w:bottom w:val="none" w:sz="0" w:space="0" w:color="auto"/>
                    <w:right w:val="none" w:sz="0" w:space="0" w:color="auto"/>
                  </w:divBdr>
                </w:div>
                <w:div w:id="1698384643">
                  <w:marLeft w:val="0"/>
                  <w:marRight w:val="0"/>
                  <w:marTop w:val="0"/>
                  <w:marBottom w:val="0"/>
                  <w:divBdr>
                    <w:top w:val="none" w:sz="0" w:space="0" w:color="auto"/>
                    <w:left w:val="none" w:sz="0" w:space="0" w:color="auto"/>
                    <w:bottom w:val="none" w:sz="0" w:space="0" w:color="auto"/>
                    <w:right w:val="none" w:sz="0" w:space="0" w:color="auto"/>
                  </w:divBdr>
                </w:div>
                <w:div w:id="2000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8920">
          <w:marLeft w:val="0"/>
          <w:marRight w:val="0"/>
          <w:marTop w:val="0"/>
          <w:marBottom w:val="0"/>
          <w:divBdr>
            <w:top w:val="none" w:sz="0" w:space="0" w:color="auto"/>
            <w:left w:val="none" w:sz="0" w:space="0" w:color="auto"/>
            <w:bottom w:val="none" w:sz="0" w:space="0" w:color="auto"/>
            <w:right w:val="none" w:sz="0" w:space="0" w:color="auto"/>
          </w:divBdr>
        </w:div>
      </w:divsChild>
    </w:div>
    <w:div w:id="2092847234">
      <w:bodyDiv w:val="1"/>
      <w:marLeft w:val="0"/>
      <w:marRight w:val="0"/>
      <w:marTop w:val="0"/>
      <w:marBottom w:val="0"/>
      <w:divBdr>
        <w:top w:val="none" w:sz="0" w:space="0" w:color="auto"/>
        <w:left w:val="none" w:sz="0" w:space="0" w:color="auto"/>
        <w:bottom w:val="none" w:sz="0" w:space="0" w:color="auto"/>
        <w:right w:val="none" w:sz="0" w:space="0" w:color="auto"/>
      </w:divBdr>
      <w:divsChild>
        <w:div w:id="1374696518">
          <w:marLeft w:val="0"/>
          <w:marRight w:val="0"/>
          <w:marTop w:val="0"/>
          <w:marBottom w:val="0"/>
          <w:divBdr>
            <w:top w:val="none" w:sz="0" w:space="0" w:color="auto"/>
            <w:left w:val="none" w:sz="0" w:space="0" w:color="auto"/>
            <w:bottom w:val="none" w:sz="0" w:space="0" w:color="auto"/>
            <w:right w:val="none" w:sz="0" w:space="0" w:color="auto"/>
          </w:divBdr>
          <w:divsChild>
            <w:div w:id="96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9104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D261E8-4D55-8F4E-97C5-84C381B4DA87}">
  <ds:schemaRefs>
    <ds:schemaRef ds:uri="http://schemas.openxmlformats.org/officeDocument/2006/bibliography"/>
  </ds:schemaRefs>
</ds:datastoreItem>
</file>

<file path=customXml/itemProps2.xml><?xml version="1.0" encoding="utf-8"?>
<ds:datastoreItem xmlns:ds="http://schemas.openxmlformats.org/officeDocument/2006/customXml" ds:itemID="{A8B7F1C0-1756-4140-9A45-94FD109DB406}">
  <ds:schemaRefs>
    <ds:schemaRef ds:uri="http://schemas.microsoft.com/sharepoint/v3/contenttype/forms"/>
  </ds:schemaRefs>
</ds:datastoreItem>
</file>

<file path=customXml/itemProps3.xml><?xml version="1.0" encoding="utf-8"?>
<ds:datastoreItem xmlns:ds="http://schemas.openxmlformats.org/officeDocument/2006/customXml" ds:itemID="{2C9C184F-03D0-4DA7-9E5D-996292418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C509D-0285-439D-BD13-859167D23B6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26</Pages>
  <Words>9914</Words>
  <Characters>54532</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Luisa Fernanda Pascuaza Cabrera</cp:lastModifiedBy>
  <cp:revision>138</cp:revision>
  <cp:lastPrinted>2022-09-23T06:38:00Z</cp:lastPrinted>
  <dcterms:created xsi:type="dcterms:W3CDTF">2022-09-22T22:51:00Z</dcterms:created>
  <dcterms:modified xsi:type="dcterms:W3CDTF">2022-10-10T16:23:00Z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