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CAF6" w14:textId="77777777" w:rsidR="004B29A8" w:rsidRPr="00B36C11" w:rsidRDefault="004B29A8" w:rsidP="004B29A8">
      <w:pPr>
        <w:jc w:val="right"/>
        <w:rPr>
          <w:rFonts w:ascii="Arial" w:eastAsia="Times New Roman" w:hAnsi="Arial" w:cs="Arial"/>
          <w:sz w:val="16"/>
          <w:szCs w:val="16"/>
          <w:lang w:eastAsia="es-ES"/>
        </w:rPr>
      </w:pPr>
      <w:r w:rsidRPr="00B36C11">
        <w:rPr>
          <w:rFonts w:ascii="Arial" w:eastAsia="Times New Roman" w:hAnsi="Arial" w:cs="Arial"/>
          <w:sz w:val="16"/>
          <w:szCs w:val="16"/>
          <w:lang w:eastAsia="es-ES"/>
        </w:rPr>
        <w:t>CCE-DES-FM-17</w:t>
      </w:r>
    </w:p>
    <w:p w14:paraId="6EFE8324" w14:textId="77777777" w:rsidR="00174DDB" w:rsidRPr="00B36C11" w:rsidRDefault="00174DDB" w:rsidP="00174DDB">
      <w:pPr>
        <w:jc w:val="both"/>
        <w:rPr>
          <w:rFonts w:ascii="Arial" w:eastAsia="Calibri" w:hAnsi="Arial" w:cs="Arial"/>
          <w:b/>
          <w:bCs/>
          <w:color w:val="000000" w:themeColor="text1"/>
          <w:sz w:val="22"/>
          <w:lang w:val="es-ES" w:eastAsia="es-ES"/>
        </w:rPr>
      </w:pPr>
    </w:p>
    <w:p w14:paraId="3BEF24AB" w14:textId="64676E47" w:rsidR="00174DDB" w:rsidRPr="00B36C11" w:rsidRDefault="00174DDB" w:rsidP="00174DDB">
      <w:pPr>
        <w:jc w:val="both"/>
        <w:rPr>
          <w:rFonts w:ascii="Arial" w:eastAsia="Calibri" w:hAnsi="Arial" w:cs="Arial"/>
          <w:b/>
          <w:bCs/>
          <w:color w:val="000000" w:themeColor="text1"/>
          <w:sz w:val="22"/>
          <w:lang w:val="es-ES"/>
        </w:rPr>
      </w:pPr>
      <w:r w:rsidRPr="00B36C11">
        <w:rPr>
          <w:rFonts w:ascii="Arial" w:eastAsia="Calibri" w:hAnsi="Arial" w:cs="Arial"/>
          <w:b/>
          <w:bCs/>
          <w:color w:val="000000" w:themeColor="text1"/>
          <w:sz w:val="22"/>
          <w:lang w:val="es-ES" w:eastAsia="es-ES"/>
        </w:rPr>
        <w:t xml:space="preserve">COLOMBIA COMPRA EFICIENTE </w:t>
      </w:r>
      <w:r w:rsidRPr="00B36C11">
        <w:rPr>
          <w:rFonts w:ascii="Arial" w:eastAsia="Calibri" w:hAnsi="Arial" w:cs="Arial"/>
          <w:b/>
          <w:color w:val="000000" w:themeColor="text1"/>
          <w:sz w:val="22"/>
          <w:lang w:val="es-ES" w:eastAsia="es-ES"/>
        </w:rPr>
        <w:t>–</w:t>
      </w:r>
      <w:r w:rsidRPr="00B36C11">
        <w:rPr>
          <w:rFonts w:ascii="Arial" w:eastAsia="Calibri" w:hAnsi="Arial" w:cs="Arial"/>
          <w:b/>
          <w:bCs/>
          <w:color w:val="000000" w:themeColor="text1"/>
          <w:sz w:val="22"/>
          <w:lang w:val="es-ES" w:eastAsia="es-ES"/>
        </w:rPr>
        <w:t xml:space="preserve"> Competencia Consultiva – Contratación Estatal – Normas Generales</w:t>
      </w:r>
    </w:p>
    <w:p w14:paraId="605E845E" w14:textId="77777777" w:rsidR="00174DDB" w:rsidRPr="00B36C11" w:rsidRDefault="00174DDB" w:rsidP="00174DDB">
      <w:pPr>
        <w:jc w:val="both"/>
        <w:rPr>
          <w:rFonts w:ascii="Arial" w:hAnsi="Arial" w:cs="Arial"/>
          <w:bCs/>
          <w:color w:val="000000" w:themeColor="text1"/>
          <w:sz w:val="20"/>
          <w:szCs w:val="20"/>
          <w:lang w:val="es-ES" w:eastAsia="es-ES"/>
        </w:rPr>
      </w:pPr>
    </w:p>
    <w:p w14:paraId="2508F898" w14:textId="77777777" w:rsidR="00174DDB" w:rsidRPr="00B36C11" w:rsidRDefault="00174DDB" w:rsidP="00174DDB">
      <w:pPr>
        <w:spacing w:after="120"/>
        <w:jc w:val="both"/>
        <w:rPr>
          <w:rFonts w:ascii="Arial" w:eastAsia="Times New Roman" w:hAnsi="Arial" w:cs="Arial"/>
          <w:bCs/>
          <w:color w:val="000000" w:themeColor="text1"/>
          <w:sz w:val="20"/>
          <w:szCs w:val="20"/>
          <w:lang w:val="es-ES" w:eastAsia="es-ES"/>
        </w:rPr>
      </w:pPr>
      <w:r w:rsidRPr="00B36C11">
        <w:rPr>
          <w:rFonts w:ascii="Arial" w:eastAsia="Times New Roman" w:hAnsi="Arial" w:cs="Arial"/>
          <w:bCs/>
          <w:color w:val="000000" w:themeColor="text1"/>
          <w:sz w:val="20"/>
          <w:szCs w:val="20"/>
          <w:lang w:val="es-ES" w:eastAsia="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85F34C8" w14:textId="6435AF04" w:rsidR="004B29A8" w:rsidRPr="00B36C11" w:rsidRDefault="00174DDB" w:rsidP="00174DDB">
      <w:pPr>
        <w:jc w:val="both"/>
        <w:rPr>
          <w:rFonts w:ascii="Arial" w:eastAsia="Calibri" w:hAnsi="Arial" w:cs="Arial"/>
          <w:b/>
          <w:sz w:val="20"/>
          <w:szCs w:val="20"/>
        </w:rPr>
      </w:pPr>
      <w:r w:rsidRPr="00B36C11">
        <w:rPr>
          <w:rFonts w:ascii="Arial" w:eastAsia="Times New Roman" w:hAnsi="Arial" w:cs="Arial"/>
          <w:bCs/>
          <w:color w:val="000000" w:themeColor="text1"/>
          <w:sz w:val="20"/>
          <w:szCs w:val="20"/>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347B3E0E" w14:textId="77777777" w:rsidR="00174DDB" w:rsidRPr="00B36C11" w:rsidRDefault="00174DDB" w:rsidP="001501C1">
      <w:pPr>
        <w:jc w:val="both"/>
        <w:rPr>
          <w:rFonts w:ascii="Arial" w:eastAsia="Arial" w:hAnsi="Arial" w:cs="Arial"/>
          <w:b/>
          <w:bCs/>
          <w:sz w:val="20"/>
          <w:szCs w:val="20"/>
          <w:lang w:eastAsia="es-CO"/>
        </w:rPr>
      </w:pPr>
      <w:bookmarkStart w:id="0" w:name="_Hlk72942111"/>
    </w:p>
    <w:p w14:paraId="06EF1EB9" w14:textId="13A4CDE3" w:rsidR="001501C1" w:rsidRPr="00B36C11" w:rsidRDefault="001501C1" w:rsidP="001501C1">
      <w:pPr>
        <w:jc w:val="both"/>
        <w:rPr>
          <w:rFonts w:ascii="Arial" w:eastAsia="Arial" w:hAnsi="Arial" w:cs="Arial"/>
          <w:b/>
          <w:bCs/>
          <w:sz w:val="22"/>
          <w:lang w:eastAsia="es-CO"/>
        </w:rPr>
      </w:pPr>
      <w:r w:rsidRPr="00B36C11">
        <w:rPr>
          <w:rFonts w:ascii="Arial" w:eastAsia="Arial" w:hAnsi="Arial" w:cs="Arial"/>
          <w:b/>
          <w:bCs/>
          <w:sz w:val="22"/>
          <w:lang w:eastAsia="es-CO"/>
        </w:rPr>
        <w:t xml:space="preserve">EMPRESAS DE SERVICIOS PÚBLICOS – Naturaleza especial </w:t>
      </w:r>
    </w:p>
    <w:p w14:paraId="1E7A46D9" w14:textId="77777777" w:rsidR="001501C1" w:rsidRPr="00B36C11" w:rsidRDefault="001501C1" w:rsidP="001501C1">
      <w:pPr>
        <w:jc w:val="both"/>
        <w:rPr>
          <w:rFonts w:ascii="Arial" w:eastAsia="Arial" w:hAnsi="Arial" w:cs="Arial"/>
          <w:sz w:val="20"/>
          <w:szCs w:val="20"/>
          <w:lang w:eastAsia="es-CO"/>
        </w:rPr>
      </w:pPr>
    </w:p>
    <w:p w14:paraId="53FCA9AE" w14:textId="4A4AD5AC" w:rsidR="001501C1" w:rsidRPr="00B36C11" w:rsidRDefault="001501C1" w:rsidP="001501C1">
      <w:pPr>
        <w:widowControl w:val="0"/>
        <w:ind w:right="107"/>
        <w:jc w:val="both"/>
        <w:rPr>
          <w:rFonts w:ascii="Calibri" w:eastAsia="Calibri" w:hAnsi="Calibri" w:cs="Calibri"/>
          <w:sz w:val="20"/>
          <w:szCs w:val="20"/>
          <w:lang w:eastAsia="es-CO"/>
        </w:rPr>
      </w:pPr>
      <w:r w:rsidRPr="00B36C11">
        <w:rPr>
          <w:rFonts w:ascii="Arial" w:eastAsia="Arial" w:hAnsi="Arial" w:cs="Arial"/>
          <w:sz w:val="20"/>
          <w:szCs w:val="20"/>
          <w:lang w:eastAsia="es-CO"/>
        </w:rPr>
        <w:t xml:space="preserve">[…] las empresas de servicios públicos tienen una naturaleza jurídica especial que viene dada directamente por el artículo 356 de la Constitución Política. </w:t>
      </w:r>
      <w:r w:rsidR="0088683D" w:rsidRPr="00B36C11">
        <w:rPr>
          <w:rFonts w:ascii="Arial" w:eastAsia="Arial" w:hAnsi="Arial" w:cs="Arial"/>
          <w:sz w:val="20"/>
          <w:szCs w:val="20"/>
          <w:lang w:eastAsia="es-CO"/>
        </w:rPr>
        <w:t>E</w:t>
      </w:r>
      <w:r w:rsidRPr="00B36C11">
        <w:rPr>
          <w:rFonts w:ascii="Arial" w:eastAsia="Arial" w:hAnsi="Arial" w:cs="Arial"/>
          <w:sz w:val="20"/>
          <w:szCs w:val="20"/>
          <w:lang w:eastAsia="es-CO"/>
        </w:rPr>
        <w:t>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B36C11">
        <w:rPr>
          <w:rFonts w:ascii="Calibri" w:eastAsia="Calibri" w:hAnsi="Calibri" w:cs="Calibri"/>
          <w:sz w:val="20"/>
          <w:szCs w:val="20"/>
          <w:lang w:eastAsia="es-CO"/>
        </w:rPr>
        <w:t xml:space="preserve"> </w:t>
      </w:r>
    </w:p>
    <w:p w14:paraId="4756EDBD" w14:textId="77777777" w:rsidR="006B3014" w:rsidRPr="00B36C11" w:rsidRDefault="006B3014" w:rsidP="006B3014">
      <w:pPr>
        <w:spacing w:before="1"/>
        <w:jc w:val="both"/>
        <w:rPr>
          <w:rFonts w:ascii="Arial" w:hAnsi="Arial" w:cs="Arial"/>
          <w:sz w:val="20"/>
          <w:szCs w:val="20"/>
          <w:lang w:val="es-ES"/>
        </w:rPr>
      </w:pPr>
    </w:p>
    <w:p w14:paraId="789D2BF4" w14:textId="77777777" w:rsidR="00EA2877" w:rsidRPr="00B36C11" w:rsidRDefault="00EA2877" w:rsidP="00EA2877">
      <w:pPr>
        <w:jc w:val="both"/>
        <w:rPr>
          <w:rFonts w:ascii="Arial" w:eastAsia="Calibri" w:hAnsi="Arial" w:cs="Arial"/>
          <w:b/>
          <w:sz w:val="22"/>
          <w:szCs w:val="24"/>
          <w:lang w:val="es-ES_tradnl" w:eastAsia="es-ES_tradnl"/>
        </w:rPr>
      </w:pPr>
      <w:r w:rsidRPr="00B36C11">
        <w:rPr>
          <w:rFonts w:ascii="Arial" w:eastAsia="Calibri" w:hAnsi="Arial" w:cs="Arial"/>
          <w:b/>
          <w:sz w:val="22"/>
          <w:szCs w:val="24"/>
          <w:lang w:val="es-ES_tradnl" w:eastAsia="es-ES_tradnl"/>
        </w:rPr>
        <w:t xml:space="preserve">SERVICIOS PÚBLICOS DOMICILIARIOS </w:t>
      </w:r>
      <w:r w:rsidRPr="00B36C11">
        <w:rPr>
          <w:rFonts w:ascii="Arial" w:eastAsia="Calibri" w:hAnsi="Arial" w:cs="Arial"/>
          <w:b/>
          <w:color w:val="000000" w:themeColor="text1"/>
          <w:sz w:val="22"/>
          <w:szCs w:val="24"/>
          <w:lang w:val="es-ES_tradnl" w:eastAsia="es-ES_tradnl"/>
        </w:rPr>
        <w:t>–</w:t>
      </w:r>
      <w:r w:rsidRPr="00B36C11">
        <w:rPr>
          <w:rFonts w:ascii="Arial" w:eastAsia="Calibri" w:hAnsi="Arial" w:cs="Arial"/>
          <w:b/>
          <w:sz w:val="22"/>
          <w:szCs w:val="24"/>
          <w:lang w:val="es-ES_tradnl" w:eastAsia="es-ES_tradnl"/>
        </w:rPr>
        <w:t xml:space="preserve"> Operadores autorizados </w:t>
      </w:r>
    </w:p>
    <w:p w14:paraId="40AC15D8" w14:textId="77777777" w:rsidR="00EA2877" w:rsidRPr="00B36C11" w:rsidRDefault="00EA2877" w:rsidP="00EA2877">
      <w:pPr>
        <w:jc w:val="both"/>
        <w:rPr>
          <w:rFonts w:ascii="Arial" w:eastAsia="Calibri" w:hAnsi="Arial" w:cs="Arial"/>
          <w:sz w:val="20"/>
          <w:szCs w:val="20"/>
          <w:lang w:val="es-ES_tradnl" w:eastAsia="es-ES_tradnl"/>
        </w:rPr>
      </w:pPr>
    </w:p>
    <w:p w14:paraId="24CED005" w14:textId="77777777" w:rsidR="00EA2877" w:rsidRPr="00B36C11" w:rsidRDefault="00EA2877" w:rsidP="00EA2877">
      <w:pPr>
        <w:jc w:val="both"/>
        <w:rPr>
          <w:rFonts w:ascii="Arial" w:eastAsia="Calibri" w:hAnsi="Arial" w:cs="Arial"/>
          <w:sz w:val="20"/>
          <w:szCs w:val="20"/>
          <w:lang w:val="es-ES_tradnl" w:eastAsia="es-ES_tradnl"/>
        </w:rPr>
      </w:pPr>
      <w:r w:rsidRPr="00B36C11">
        <w:rPr>
          <w:rFonts w:ascii="Arial" w:eastAsia="Calibri" w:hAnsi="Arial" w:cs="Arial"/>
          <w:sz w:val="20"/>
          <w:szCs w:val="20"/>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2D0F0D69" w14:textId="77777777" w:rsidR="00EA2877" w:rsidRPr="00B36C11" w:rsidRDefault="00EA2877" w:rsidP="00EA2877">
      <w:pPr>
        <w:jc w:val="both"/>
        <w:rPr>
          <w:rFonts w:ascii="Arial" w:eastAsia="Times New Roman" w:hAnsi="Arial" w:cs="Arial"/>
          <w:noProof/>
          <w:color w:val="000000" w:themeColor="text1"/>
          <w:sz w:val="20"/>
          <w:szCs w:val="20"/>
          <w:lang w:val="es-ES_tradnl" w:eastAsia="es-ES_tradnl"/>
        </w:rPr>
      </w:pPr>
    </w:p>
    <w:p w14:paraId="35823476" w14:textId="77777777" w:rsidR="00EA2877" w:rsidRPr="00B36C11" w:rsidRDefault="00EA2877" w:rsidP="00EA2877">
      <w:pPr>
        <w:jc w:val="both"/>
        <w:rPr>
          <w:rFonts w:ascii="Arial" w:eastAsia="Times New Roman" w:hAnsi="Arial" w:cs="Arial"/>
          <w:noProof/>
          <w:color w:val="000000" w:themeColor="text1"/>
          <w:sz w:val="20"/>
          <w:szCs w:val="20"/>
          <w:lang w:val="es-ES_tradnl" w:eastAsia="es-ES_tradnl"/>
        </w:rPr>
      </w:pPr>
      <w:r w:rsidRPr="00B36C11">
        <w:rPr>
          <w:rFonts w:ascii="Arial" w:eastAsia="Times New Roman" w:hAnsi="Arial" w:cs="Arial"/>
          <w:noProof/>
          <w:color w:val="000000" w:themeColor="text1"/>
          <w:sz w:val="20"/>
          <w:szCs w:val="20"/>
          <w:lang w:eastAsia="es-ES_tradnl"/>
        </w:rPr>
        <w:t>Con base en este presupuesto constitucional de liberalización de los servicios públicos domiciliarios el legislador expidió la Ley 142 de 1994, mediante la cual se establece el régimen de los servicios públicos domiciliarios. E</w:t>
      </w:r>
      <w:r w:rsidRPr="00B36C11">
        <w:rPr>
          <w:rFonts w:ascii="Arial" w:eastAsia="Times New Roman" w:hAnsi="Arial" w:cs="Arial"/>
          <w:noProof/>
          <w:color w:val="000000" w:themeColor="text1"/>
          <w:sz w:val="20"/>
          <w:szCs w:val="20"/>
          <w:lang w:val="es-ES_tradnl" w:eastAsia="es-ES_tradnl"/>
        </w:rPr>
        <w:t xml:space="preserve">l artículo 15 </w:t>
      </w:r>
      <w:r w:rsidRPr="00B36C11">
        <w:rPr>
          <w:rFonts w:ascii="Arial" w:eastAsia="Times New Roman" w:hAnsi="Arial" w:cs="Arial"/>
          <w:i/>
          <w:iCs/>
          <w:noProof/>
          <w:color w:val="000000" w:themeColor="text1"/>
          <w:sz w:val="20"/>
          <w:szCs w:val="20"/>
          <w:lang w:val="es-ES_tradnl" w:eastAsia="es-ES_tradnl"/>
        </w:rPr>
        <w:t>ibídem</w:t>
      </w:r>
      <w:r w:rsidRPr="00B36C11">
        <w:rPr>
          <w:rFonts w:ascii="Arial" w:eastAsia="Times New Roman" w:hAnsi="Arial" w:cs="Arial"/>
          <w:noProof/>
          <w:color w:val="000000" w:themeColor="text1"/>
          <w:sz w:val="20"/>
          <w:szCs w:val="20"/>
          <w:lang w:val="es-ES_tradnl" w:eastAsia="es-ES_tradnl"/>
        </w:rPr>
        <w:t xml:space="preserve">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5F235900" w14:textId="77777777" w:rsidR="00EA2877" w:rsidRPr="00B36C11" w:rsidRDefault="00EA2877" w:rsidP="00EA2877">
      <w:pPr>
        <w:jc w:val="both"/>
        <w:rPr>
          <w:rFonts w:ascii="Arial" w:eastAsia="Times New Roman" w:hAnsi="Arial" w:cs="Arial"/>
          <w:noProof/>
          <w:color w:val="000000" w:themeColor="text1"/>
          <w:sz w:val="22"/>
          <w:szCs w:val="24"/>
          <w:lang w:val="es-ES_tradnl" w:eastAsia="es-ES_tradnl"/>
        </w:rPr>
      </w:pPr>
    </w:p>
    <w:p w14:paraId="6A1A2F70" w14:textId="77777777" w:rsidR="00EA2877" w:rsidRPr="00B36C11" w:rsidRDefault="00EA2877" w:rsidP="00EA2877">
      <w:pPr>
        <w:jc w:val="both"/>
        <w:rPr>
          <w:rFonts w:ascii="Arial" w:eastAsia="Calibri" w:hAnsi="Arial" w:cs="Arial"/>
          <w:b/>
          <w:sz w:val="22"/>
          <w:szCs w:val="24"/>
          <w:lang w:val="es-ES_tradnl" w:eastAsia="es-ES_tradnl"/>
        </w:rPr>
      </w:pPr>
      <w:r w:rsidRPr="00B36C11">
        <w:rPr>
          <w:rFonts w:ascii="Arial" w:eastAsia="Calibri" w:hAnsi="Arial" w:cs="Arial"/>
          <w:b/>
          <w:sz w:val="22"/>
          <w:szCs w:val="24"/>
          <w:lang w:val="es-ES_tradnl" w:eastAsia="es-ES_tradnl"/>
        </w:rPr>
        <w:t xml:space="preserve">SERVICIOS PÚBLICOS DOMICILIARIOS </w:t>
      </w:r>
      <w:r w:rsidRPr="00B36C11">
        <w:rPr>
          <w:rFonts w:ascii="Arial" w:eastAsia="Calibri" w:hAnsi="Arial" w:cs="Arial"/>
          <w:b/>
          <w:color w:val="000000" w:themeColor="text1"/>
          <w:sz w:val="22"/>
          <w:szCs w:val="24"/>
          <w:lang w:val="es-ES_tradnl" w:eastAsia="es-ES_tradnl"/>
        </w:rPr>
        <w:t>–</w:t>
      </w:r>
      <w:r w:rsidRPr="00B36C11">
        <w:rPr>
          <w:rFonts w:ascii="Arial" w:eastAsia="Calibri" w:hAnsi="Arial" w:cs="Arial"/>
          <w:b/>
          <w:sz w:val="22"/>
          <w:szCs w:val="24"/>
          <w:lang w:val="es-ES_tradnl" w:eastAsia="es-ES_tradnl"/>
        </w:rPr>
        <w:t xml:space="preserve"> Régimen contractual </w:t>
      </w:r>
      <w:r w:rsidRPr="00B36C11">
        <w:rPr>
          <w:rFonts w:ascii="Arial" w:eastAsia="Calibri" w:hAnsi="Arial" w:cs="Arial"/>
          <w:b/>
          <w:color w:val="000000" w:themeColor="text1"/>
          <w:sz w:val="22"/>
          <w:szCs w:val="24"/>
          <w:lang w:val="es-ES_tradnl" w:eastAsia="es-ES_tradnl"/>
        </w:rPr>
        <w:t xml:space="preserve">– Derecho privado </w:t>
      </w:r>
    </w:p>
    <w:p w14:paraId="099ABEBF" w14:textId="77777777" w:rsidR="00EA2877" w:rsidRPr="00B36C11" w:rsidRDefault="00EA2877" w:rsidP="00EA2877">
      <w:pPr>
        <w:jc w:val="both"/>
        <w:rPr>
          <w:rFonts w:ascii="Arial" w:eastAsia="Calibri" w:hAnsi="Arial" w:cs="Arial"/>
          <w:sz w:val="20"/>
          <w:szCs w:val="20"/>
          <w:lang w:val="es-ES_tradnl" w:eastAsia="es-ES_tradnl"/>
        </w:rPr>
      </w:pPr>
    </w:p>
    <w:p w14:paraId="10945DD0" w14:textId="351775D6" w:rsidR="00EA2877" w:rsidRPr="00B36C11" w:rsidRDefault="00EA2877" w:rsidP="00EA2877">
      <w:pPr>
        <w:jc w:val="both"/>
        <w:rPr>
          <w:rFonts w:ascii="Arial" w:eastAsia="Calibri" w:hAnsi="Arial" w:cs="Arial"/>
          <w:sz w:val="20"/>
          <w:szCs w:val="20"/>
          <w:lang w:val="es-ES_tradnl" w:eastAsia="es-ES_tradnl"/>
        </w:rPr>
      </w:pPr>
      <w:r w:rsidRPr="00B36C11">
        <w:rPr>
          <w:rFonts w:ascii="Arial" w:eastAsia="Calibri" w:hAnsi="Arial" w:cs="Arial"/>
          <w:sz w:val="20"/>
          <w:szCs w:val="20"/>
          <w:lang w:val="es-ES_tradnl" w:eastAsia="es-ES_tradnl"/>
        </w:rPr>
        <w:t>El artículo 31 de la Ley 142 de 1994, modificado por el artículo 3 de la Ley 689 de 2001, dispone que</w:t>
      </w:r>
      <w:r w:rsidRPr="00B36C11">
        <w:rPr>
          <w:rFonts w:ascii="Arial" w:eastAsia="Calibri" w:hAnsi="Arial" w:cs="Arial"/>
          <w:sz w:val="20"/>
          <w:szCs w:val="20"/>
          <w:lang w:eastAsia="es-ES_tradnl"/>
        </w:rPr>
        <w:t xml:space="preserve"> los contratos que celebren las entidades estatales que prestan los servicios públicos domiciliarios «no estarán sujetos a las disposiciones del Estatuto General de Contratación de la Administración </w:t>
      </w:r>
      <w:r w:rsidRPr="00B36C11">
        <w:rPr>
          <w:rFonts w:ascii="Arial" w:eastAsia="Calibri" w:hAnsi="Arial" w:cs="Arial"/>
          <w:sz w:val="20"/>
          <w:szCs w:val="20"/>
          <w:lang w:eastAsia="es-ES_tradnl"/>
        </w:rPr>
        <w:lastRenderedPageBreak/>
        <w:t>Pública, salvo en lo que la presente ley disponga otra cosa»</w:t>
      </w:r>
      <w:r w:rsidRPr="00B36C11">
        <w:rPr>
          <w:rFonts w:ascii="Arial" w:eastAsia="Calibri" w:hAnsi="Arial" w:cs="Arial"/>
          <w:sz w:val="20"/>
          <w:szCs w:val="20"/>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p>
    <w:p w14:paraId="26DF9F6C" w14:textId="77777777" w:rsidR="00EA2877" w:rsidRPr="00B36C11" w:rsidRDefault="00EA2877" w:rsidP="00EA2877">
      <w:pPr>
        <w:jc w:val="both"/>
        <w:rPr>
          <w:rFonts w:ascii="Arial" w:eastAsia="Calibri" w:hAnsi="Arial" w:cs="Arial"/>
          <w:sz w:val="20"/>
          <w:szCs w:val="20"/>
          <w:lang w:val="es-ES_tradnl" w:eastAsia="es-ES_tradnl"/>
        </w:rPr>
      </w:pPr>
    </w:p>
    <w:p w14:paraId="425CF777" w14:textId="77777777" w:rsidR="00663864" w:rsidRPr="00B36C11" w:rsidRDefault="00663864" w:rsidP="00663864">
      <w:pPr>
        <w:jc w:val="both"/>
        <w:rPr>
          <w:rFonts w:ascii="Arial" w:eastAsia="Calibri" w:hAnsi="Arial" w:cs="Arial"/>
          <w:sz w:val="20"/>
          <w:szCs w:val="20"/>
          <w:lang w:val="es-ES_tradnl"/>
        </w:rPr>
      </w:pPr>
      <w:r w:rsidRPr="00B36C11">
        <w:rPr>
          <w:rFonts w:ascii="Arial" w:eastAsia="Calibri" w:hAnsi="Arial" w:cs="Arial"/>
          <w:b/>
          <w:sz w:val="22"/>
          <w:lang w:val="es-ES_tradnl"/>
        </w:rPr>
        <w:t>DOCUMENTOS TIPO – Ámbito de aplicación</w:t>
      </w:r>
    </w:p>
    <w:p w14:paraId="038E5EE9" w14:textId="77777777" w:rsidR="00663864" w:rsidRPr="00B36C11" w:rsidRDefault="00663864" w:rsidP="00663864">
      <w:pPr>
        <w:jc w:val="both"/>
        <w:rPr>
          <w:rFonts w:ascii="Arial" w:eastAsia="Calibri" w:hAnsi="Arial" w:cs="Arial"/>
          <w:sz w:val="20"/>
          <w:szCs w:val="20"/>
          <w:lang w:val="es-ES_tradnl"/>
        </w:rPr>
      </w:pPr>
    </w:p>
    <w:p w14:paraId="07DBB97C" w14:textId="77777777" w:rsidR="00663864" w:rsidRPr="00B36C11" w:rsidRDefault="00663864" w:rsidP="00663864">
      <w:pPr>
        <w:jc w:val="both"/>
        <w:rPr>
          <w:rFonts w:ascii="Arial" w:eastAsia="Calibri" w:hAnsi="Arial" w:cs="Arial"/>
          <w:sz w:val="20"/>
          <w:szCs w:val="20"/>
          <w:lang w:val="es-ES_tradnl"/>
        </w:rPr>
      </w:pPr>
      <w:r w:rsidRPr="00B36C11">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52836EE8" w14:textId="174293F9" w:rsidR="00663864" w:rsidRPr="00B36C11" w:rsidRDefault="00663864" w:rsidP="00EA2877">
      <w:pPr>
        <w:jc w:val="both"/>
        <w:rPr>
          <w:rFonts w:ascii="Arial" w:eastAsia="Calibri" w:hAnsi="Arial" w:cs="Arial"/>
          <w:b/>
          <w:sz w:val="20"/>
          <w:szCs w:val="20"/>
          <w:lang w:val="es-CO"/>
        </w:rPr>
      </w:pPr>
    </w:p>
    <w:p w14:paraId="0F95F506" w14:textId="77777777" w:rsidR="004B29A8" w:rsidRPr="00B36C11" w:rsidRDefault="004B29A8" w:rsidP="004B29A8">
      <w:pPr>
        <w:tabs>
          <w:tab w:val="left" w:pos="3374"/>
        </w:tabs>
        <w:rPr>
          <w:rFonts w:ascii="Arial" w:eastAsia="Calibri" w:hAnsi="Arial" w:cs="Arial"/>
        </w:rPr>
      </w:pPr>
    </w:p>
    <w:p w14:paraId="06E5926B" w14:textId="77777777" w:rsidR="004B29A8" w:rsidRPr="00B36C11" w:rsidRDefault="004B29A8" w:rsidP="004B29A8">
      <w:pPr>
        <w:tabs>
          <w:tab w:val="left" w:pos="3374"/>
        </w:tabs>
        <w:rPr>
          <w:rFonts w:ascii="Arial" w:eastAsia="Calibri" w:hAnsi="Arial" w:cs="Arial"/>
        </w:rPr>
      </w:pPr>
    </w:p>
    <w:p w14:paraId="73E952C4" w14:textId="77777777" w:rsidR="00460485" w:rsidRPr="00B36C11" w:rsidRDefault="00460485">
      <w:pPr>
        <w:spacing w:after="200" w:line="276" w:lineRule="auto"/>
        <w:rPr>
          <w:rFonts w:ascii="Arial" w:eastAsia="Calibri" w:hAnsi="Arial" w:cs="Arial"/>
        </w:rPr>
      </w:pPr>
      <w:r w:rsidRPr="00B36C11">
        <w:rPr>
          <w:rFonts w:ascii="Arial" w:eastAsia="Calibri" w:hAnsi="Arial" w:cs="Arial"/>
        </w:rPr>
        <w:br w:type="page"/>
      </w:r>
    </w:p>
    <w:p w14:paraId="1B8938E7" w14:textId="1BB2484A" w:rsidR="00DE1E1A" w:rsidRPr="00B36C11" w:rsidRDefault="004E2290" w:rsidP="004B29A8">
      <w:pPr>
        <w:tabs>
          <w:tab w:val="left" w:pos="3374"/>
        </w:tabs>
        <w:rPr>
          <w:rFonts w:ascii="Arial" w:eastAsia="Calibri" w:hAnsi="Arial" w:cs="Arial"/>
          <w:sz w:val="22"/>
        </w:rPr>
      </w:pPr>
      <w:bookmarkStart w:id="1" w:name="_Hlk116061647"/>
      <w:r w:rsidRPr="00B36C11">
        <w:rPr>
          <w:rFonts w:ascii="Arial" w:eastAsia="Calibri" w:hAnsi="Arial" w:cs="Arial"/>
          <w:sz w:val="22"/>
        </w:rPr>
        <w:lastRenderedPageBreak/>
        <w:t xml:space="preserve">Bogotá D.C., </w:t>
      </w:r>
      <w:r w:rsidR="00DD5056" w:rsidRPr="00B36C11">
        <w:rPr>
          <w:rFonts w:ascii="Arial" w:eastAsia="Calibri" w:hAnsi="Arial" w:cs="Arial"/>
          <w:sz w:val="22"/>
        </w:rPr>
        <w:t xml:space="preserve">7 de </w:t>
      </w:r>
      <w:proofErr w:type="gramStart"/>
      <w:r w:rsidR="00DD5056" w:rsidRPr="00B36C11">
        <w:rPr>
          <w:rFonts w:ascii="Arial" w:eastAsia="Calibri" w:hAnsi="Arial" w:cs="Arial"/>
          <w:sz w:val="22"/>
        </w:rPr>
        <w:t>Octubre</w:t>
      </w:r>
      <w:proofErr w:type="gramEnd"/>
      <w:r w:rsidR="00181B60" w:rsidRPr="00B36C11">
        <w:rPr>
          <w:rFonts w:ascii="Arial" w:eastAsia="Calibri" w:hAnsi="Arial" w:cs="Arial"/>
          <w:sz w:val="22"/>
        </w:rPr>
        <w:t xml:space="preserve"> de 2022</w:t>
      </w:r>
    </w:p>
    <w:p w14:paraId="04484D65" w14:textId="19CA0131" w:rsidR="004E2290" w:rsidRDefault="004E2290" w:rsidP="004B29A8">
      <w:pPr>
        <w:tabs>
          <w:tab w:val="left" w:pos="3374"/>
        </w:tabs>
        <w:rPr>
          <w:rFonts w:ascii="Arial" w:eastAsia="Calibri" w:hAnsi="Arial" w:cs="Arial"/>
        </w:rPr>
      </w:pPr>
    </w:p>
    <w:p w14:paraId="759C808D" w14:textId="0FFCA1EF" w:rsidR="009577FD" w:rsidRDefault="009577FD" w:rsidP="004B29A8">
      <w:pPr>
        <w:tabs>
          <w:tab w:val="left" w:pos="3374"/>
        </w:tabs>
        <w:rPr>
          <w:rFonts w:ascii="Arial" w:eastAsia="Calibri" w:hAnsi="Arial" w:cs="Arial"/>
        </w:rPr>
      </w:pPr>
    </w:p>
    <w:p w14:paraId="69DD0B7D" w14:textId="734A9015" w:rsidR="009577FD" w:rsidRPr="00B36C11" w:rsidRDefault="009577FD" w:rsidP="009577FD">
      <w:pPr>
        <w:tabs>
          <w:tab w:val="left" w:pos="3374"/>
        </w:tabs>
        <w:jc w:val="right"/>
        <w:rPr>
          <w:rFonts w:ascii="Arial" w:eastAsia="Calibri" w:hAnsi="Arial" w:cs="Arial"/>
        </w:rPr>
      </w:pPr>
      <w:r>
        <w:rPr>
          <w:noProof/>
        </w:rPr>
        <w:drawing>
          <wp:inline distT="0" distB="0" distL="0" distR="0" wp14:anchorId="0E8670AA" wp14:editId="05C6A3E5">
            <wp:extent cx="3171825" cy="819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193" t="49809" r="14291" b="24230"/>
                    <a:stretch/>
                  </pic:blipFill>
                  <pic:spPr bwMode="auto">
                    <a:xfrm>
                      <a:off x="0" y="0"/>
                      <a:ext cx="3171825" cy="819150"/>
                    </a:xfrm>
                    <a:prstGeom prst="rect">
                      <a:avLst/>
                    </a:prstGeom>
                    <a:ln>
                      <a:noFill/>
                    </a:ln>
                    <a:extLst>
                      <a:ext uri="{53640926-AAD7-44D8-BBD7-CCE9431645EC}">
                        <a14:shadowObscured xmlns:a14="http://schemas.microsoft.com/office/drawing/2010/main"/>
                      </a:ext>
                    </a:extLst>
                  </pic:spPr>
                </pic:pic>
              </a:graphicData>
            </a:graphic>
          </wp:inline>
        </w:drawing>
      </w:r>
    </w:p>
    <w:p w14:paraId="016B938B" w14:textId="77777777" w:rsidR="00B36C11" w:rsidRPr="00B36C11" w:rsidRDefault="00B36C11" w:rsidP="004B29A8">
      <w:pPr>
        <w:tabs>
          <w:tab w:val="left" w:pos="3374"/>
        </w:tabs>
        <w:rPr>
          <w:rFonts w:ascii="Arial" w:eastAsia="Calibri" w:hAnsi="Arial" w:cs="Arial"/>
          <w:sz w:val="22"/>
        </w:rPr>
      </w:pPr>
    </w:p>
    <w:p w14:paraId="712C8E98" w14:textId="27263FD5" w:rsidR="004B29A8" w:rsidRPr="00B36C11" w:rsidRDefault="004B29A8" w:rsidP="004B29A8">
      <w:pPr>
        <w:tabs>
          <w:tab w:val="left" w:pos="3374"/>
        </w:tabs>
        <w:rPr>
          <w:rFonts w:ascii="Arial" w:eastAsia="Calibri" w:hAnsi="Arial" w:cs="Arial"/>
          <w:sz w:val="22"/>
        </w:rPr>
      </w:pPr>
      <w:r w:rsidRPr="00B36C11">
        <w:rPr>
          <w:rFonts w:ascii="Arial" w:eastAsia="Calibri" w:hAnsi="Arial" w:cs="Arial"/>
          <w:sz w:val="22"/>
        </w:rPr>
        <w:t>Señor</w:t>
      </w:r>
    </w:p>
    <w:p w14:paraId="164E2710" w14:textId="34C9671E" w:rsidR="006B3014" w:rsidRPr="00B36C11" w:rsidRDefault="00F63CCC" w:rsidP="004B29A8">
      <w:pPr>
        <w:rPr>
          <w:rFonts w:ascii="Arial" w:hAnsi="Arial" w:cs="Arial"/>
          <w:b/>
          <w:bCs/>
          <w:sz w:val="22"/>
          <w:lang w:val="es-ES"/>
        </w:rPr>
      </w:pPr>
      <w:proofErr w:type="spellStart"/>
      <w:r w:rsidRPr="00B36C11">
        <w:rPr>
          <w:rFonts w:ascii="Arial" w:hAnsi="Arial" w:cs="Arial"/>
          <w:b/>
          <w:bCs/>
          <w:sz w:val="22"/>
          <w:lang w:val="es-ES"/>
        </w:rPr>
        <w:t>Dyewiskey</w:t>
      </w:r>
      <w:proofErr w:type="spellEnd"/>
      <w:r w:rsidRPr="00B36C11">
        <w:rPr>
          <w:rFonts w:ascii="Arial" w:hAnsi="Arial" w:cs="Arial"/>
          <w:b/>
          <w:bCs/>
          <w:sz w:val="22"/>
          <w:lang w:val="es-ES"/>
        </w:rPr>
        <w:t xml:space="preserve"> Mosquera Palacios</w:t>
      </w:r>
    </w:p>
    <w:p w14:paraId="787235AC" w14:textId="7A7F9D9A" w:rsidR="004B29A8" w:rsidRPr="00B36C11" w:rsidRDefault="00252ED8" w:rsidP="004B29A8">
      <w:pPr>
        <w:rPr>
          <w:rFonts w:ascii="Arial" w:eastAsia="Calibri" w:hAnsi="Arial" w:cs="Arial"/>
          <w:sz w:val="22"/>
        </w:rPr>
      </w:pPr>
      <w:r w:rsidRPr="00B36C11">
        <w:rPr>
          <w:rFonts w:ascii="Arial" w:eastAsia="Calibri" w:hAnsi="Arial" w:cs="Arial"/>
          <w:sz w:val="22"/>
        </w:rPr>
        <w:t>San José del Guaviare</w:t>
      </w:r>
    </w:p>
    <w:p w14:paraId="5081FE9F" w14:textId="77777777" w:rsidR="004B29A8" w:rsidRPr="00B36C11" w:rsidRDefault="004B29A8" w:rsidP="004B29A8">
      <w:pPr>
        <w:ind w:left="2116" w:firstLine="708"/>
        <w:rPr>
          <w:rFonts w:ascii="Arial" w:eastAsia="Calibri" w:hAnsi="Arial" w:cs="Arial"/>
          <w:b/>
          <w:sz w:val="22"/>
          <w:lang w:val="es-ES"/>
        </w:rPr>
      </w:pPr>
    </w:p>
    <w:p w14:paraId="2611EC69" w14:textId="77777777" w:rsidR="004B29A8" w:rsidRPr="00B36C11" w:rsidRDefault="004B29A8" w:rsidP="004B29A8">
      <w:pPr>
        <w:ind w:left="2116" w:firstLine="708"/>
        <w:rPr>
          <w:rFonts w:ascii="Arial" w:eastAsia="Calibri" w:hAnsi="Arial" w:cs="Arial"/>
          <w:b/>
          <w:sz w:val="22"/>
        </w:rPr>
      </w:pPr>
    </w:p>
    <w:p w14:paraId="18A73909" w14:textId="76FF58D8" w:rsidR="004B29A8" w:rsidRPr="00B36C11" w:rsidRDefault="004B29A8" w:rsidP="004B29A8">
      <w:pPr>
        <w:ind w:left="2116" w:firstLine="708"/>
        <w:rPr>
          <w:rFonts w:ascii="Arial" w:eastAsia="Calibri" w:hAnsi="Arial" w:cs="Arial"/>
          <w:b/>
          <w:sz w:val="22"/>
        </w:rPr>
      </w:pPr>
      <w:r w:rsidRPr="00B36C11">
        <w:rPr>
          <w:rFonts w:ascii="Arial" w:eastAsia="Calibri" w:hAnsi="Arial" w:cs="Arial"/>
          <w:b/>
          <w:sz w:val="22"/>
        </w:rPr>
        <w:t>Concepto C – 6</w:t>
      </w:r>
      <w:r w:rsidR="006B3014" w:rsidRPr="00B36C11">
        <w:rPr>
          <w:rFonts w:ascii="Arial" w:eastAsia="Calibri" w:hAnsi="Arial" w:cs="Arial"/>
          <w:b/>
          <w:sz w:val="22"/>
        </w:rPr>
        <w:t>5</w:t>
      </w:r>
      <w:r w:rsidR="007F182A" w:rsidRPr="00B36C11">
        <w:rPr>
          <w:rFonts w:ascii="Arial" w:eastAsia="Calibri" w:hAnsi="Arial" w:cs="Arial"/>
          <w:b/>
          <w:sz w:val="22"/>
        </w:rPr>
        <w:t>1</w:t>
      </w:r>
      <w:r w:rsidRPr="00B36C11">
        <w:rPr>
          <w:rFonts w:ascii="Arial" w:eastAsia="Calibri" w:hAnsi="Arial" w:cs="Arial"/>
          <w:b/>
          <w:sz w:val="22"/>
        </w:rPr>
        <w:t xml:space="preserve"> de 2022</w:t>
      </w:r>
    </w:p>
    <w:p w14:paraId="29BFC81F" w14:textId="77777777" w:rsidR="004B29A8" w:rsidRPr="00B36C11" w:rsidRDefault="004B29A8" w:rsidP="004B29A8">
      <w:pPr>
        <w:ind w:left="2116" w:firstLine="708"/>
        <w:rPr>
          <w:rFonts w:ascii="Arial" w:eastAsia="Calibri" w:hAnsi="Arial" w:cs="Arial"/>
          <w:b/>
          <w:sz w:val="22"/>
        </w:rPr>
      </w:pPr>
    </w:p>
    <w:p w14:paraId="15C21DA5" w14:textId="22F24788" w:rsidR="003A2CD8" w:rsidRPr="00B36C11" w:rsidRDefault="004B29A8" w:rsidP="003A2CD8">
      <w:pPr>
        <w:ind w:left="2824" w:hanging="2824"/>
        <w:jc w:val="both"/>
        <w:rPr>
          <w:rFonts w:ascii="Arial" w:eastAsia="Calibri" w:hAnsi="Arial" w:cs="Arial"/>
          <w:bCs/>
          <w:color w:val="161616" w:themeColor="background1" w:themeShade="1A"/>
          <w:sz w:val="22"/>
          <w:lang w:val="es-ES"/>
        </w:rPr>
      </w:pPr>
      <w:r w:rsidRPr="00B36C11">
        <w:rPr>
          <w:rFonts w:ascii="Arial" w:eastAsia="Calibri" w:hAnsi="Arial" w:cs="Arial"/>
          <w:b/>
          <w:noProof/>
          <w:color w:val="161616" w:themeColor="background1" w:themeShade="1A"/>
          <w:sz w:val="22"/>
          <w:lang w:val="es-ES_tradnl"/>
        </w:rPr>
        <w:t>Temas</w:t>
      </w:r>
      <w:r w:rsidRPr="00B36C11">
        <w:rPr>
          <w:rFonts w:ascii="Arial" w:eastAsia="Calibri" w:hAnsi="Arial" w:cs="Arial"/>
          <w:bCs/>
          <w:noProof/>
          <w:color w:val="161616" w:themeColor="background1" w:themeShade="1A"/>
          <w:sz w:val="22"/>
          <w:lang w:val="es-ES_tradnl"/>
        </w:rPr>
        <w:t xml:space="preserve">: </w:t>
      </w:r>
      <w:r w:rsidRPr="00B36C11">
        <w:rPr>
          <w:rFonts w:ascii="Arial" w:eastAsia="Calibri" w:hAnsi="Arial" w:cs="Arial"/>
          <w:bCs/>
          <w:noProof/>
          <w:color w:val="161616" w:themeColor="background1" w:themeShade="1A"/>
          <w:sz w:val="22"/>
          <w:lang w:val="es-ES_tradnl"/>
        </w:rPr>
        <w:tab/>
      </w:r>
      <w:r w:rsidR="003A2CD8" w:rsidRPr="00B36C11">
        <w:rPr>
          <w:rFonts w:ascii="Arial" w:eastAsia="Calibri" w:hAnsi="Arial" w:cs="Arial"/>
          <w:bCs/>
          <w:color w:val="161616" w:themeColor="background1" w:themeShade="1A"/>
          <w:sz w:val="22"/>
          <w:lang w:val="es-ES_tradnl"/>
        </w:rPr>
        <w:t>COLOMBIA COMPRA EFICIENTE – Competencia Consultiva – Contratación Estatal – Normas Generales / EMPRESAS DE SERVICIOS PÚBLICOS – Naturaleza especial / SERVICIOS PÚBLICOS DOMICILIARIOS – Operadores autorizados / SERVICIOS PÚBLICOS DOMICILIARIOS – Régimen contractual – Derecho privado / DOCUMENTOS TIPO – Ámbito de aplicación</w:t>
      </w:r>
    </w:p>
    <w:p w14:paraId="6243CD48" w14:textId="1D7077A6" w:rsidR="004B29A8" w:rsidRPr="00B36C11" w:rsidRDefault="004B29A8" w:rsidP="004B29A8">
      <w:pPr>
        <w:ind w:left="2824" w:hanging="2818"/>
        <w:jc w:val="both"/>
        <w:rPr>
          <w:rFonts w:ascii="Arial" w:eastAsia="Calibri" w:hAnsi="Arial" w:cs="Arial"/>
          <w:bCs/>
          <w:color w:val="161616" w:themeColor="background1" w:themeShade="1A"/>
          <w:sz w:val="22"/>
          <w:lang w:val="es-ES_tradnl"/>
        </w:rPr>
      </w:pPr>
    </w:p>
    <w:p w14:paraId="5E273A24" w14:textId="0D907CD2" w:rsidR="004B29A8" w:rsidRPr="00B36C11" w:rsidRDefault="004B29A8" w:rsidP="004B29A8">
      <w:pPr>
        <w:ind w:left="2824" w:hanging="2818"/>
        <w:jc w:val="both"/>
        <w:rPr>
          <w:rFonts w:ascii="Arial" w:eastAsia="Calibri" w:hAnsi="Arial" w:cs="Arial"/>
          <w:bCs/>
          <w:noProof/>
          <w:color w:val="161616" w:themeColor="background1" w:themeShade="1A"/>
          <w:sz w:val="22"/>
          <w:lang w:val="es-ES_tradnl"/>
        </w:rPr>
      </w:pPr>
      <w:r w:rsidRPr="00B36C11">
        <w:rPr>
          <w:rFonts w:ascii="Arial" w:eastAsia="Calibri" w:hAnsi="Arial" w:cs="Arial"/>
          <w:b/>
          <w:noProof/>
          <w:color w:val="161616" w:themeColor="background1" w:themeShade="1A"/>
          <w:sz w:val="22"/>
          <w:lang w:val="es-ES_tradnl"/>
        </w:rPr>
        <w:t>Radicación</w:t>
      </w:r>
      <w:r w:rsidRPr="00B36C11">
        <w:rPr>
          <w:rFonts w:ascii="Arial" w:eastAsia="Calibri" w:hAnsi="Arial" w:cs="Arial"/>
          <w:bCs/>
          <w:noProof/>
          <w:color w:val="161616" w:themeColor="background1" w:themeShade="1A"/>
          <w:sz w:val="22"/>
          <w:lang w:val="es-ES_tradnl"/>
        </w:rPr>
        <w:t>:</w:t>
      </w:r>
      <w:r w:rsidRPr="00B36C11">
        <w:rPr>
          <w:rFonts w:ascii="Arial" w:eastAsia="Calibri" w:hAnsi="Arial" w:cs="Arial"/>
          <w:bCs/>
          <w:noProof/>
          <w:color w:val="161616" w:themeColor="background1" w:themeShade="1A"/>
          <w:sz w:val="22"/>
          <w:lang w:val="es-ES_tradnl"/>
        </w:rPr>
        <w:tab/>
        <w:t xml:space="preserve">Respuesta a consulta </w:t>
      </w:r>
      <w:r w:rsidR="007F182A" w:rsidRPr="00B36C11">
        <w:rPr>
          <w:rFonts w:ascii="Arial" w:eastAsia="Calibri" w:hAnsi="Arial" w:cs="Arial"/>
          <w:bCs/>
          <w:noProof/>
          <w:color w:val="161616" w:themeColor="background1" w:themeShade="1A"/>
          <w:sz w:val="22"/>
          <w:lang w:val="es-ES_tradnl"/>
        </w:rPr>
        <w:t>P20220826008543</w:t>
      </w:r>
      <w:r w:rsidR="006B3014" w:rsidRPr="00B36C11">
        <w:rPr>
          <w:rFonts w:ascii="Arial" w:eastAsia="Calibri" w:hAnsi="Arial" w:cs="Arial"/>
          <w:bCs/>
          <w:noProof/>
          <w:color w:val="161616" w:themeColor="background1" w:themeShade="1A"/>
          <w:sz w:val="22"/>
          <w:lang w:val="es-ES_tradnl"/>
        </w:rPr>
        <w:t xml:space="preserve">. </w:t>
      </w:r>
    </w:p>
    <w:p w14:paraId="21EE6201" w14:textId="0FE256F7" w:rsidR="004B29A8" w:rsidRPr="00B36C11" w:rsidRDefault="004B29A8" w:rsidP="004B29A8">
      <w:pPr>
        <w:ind w:left="2824" w:hanging="2818"/>
        <w:jc w:val="both"/>
        <w:rPr>
          <w:rFonts w:ascii="Arial" w:eastAsia="Calibri" w:hAnsi="Arial" w:cs="Arial"/>
          <w:sz w:val="22"/>
          <w:lang w:val="es-ES_tradnl"/>
        </w:rPr>
      </w:pPr>
    </w:p>
    <w:p w14:paraId="1BEF3540" w14:textId="5BFCE543" w:rsidR="009B398C" w:rsidRPr="00B36C11" w:rsidRDefault="009B398C" w:rsidP="004B29A8">
      <w:pPr>
        <w:tabs>
          <w:tab w:val="left" w:pos="3374"/>
        </w:tabs>
        <w:rPr>
          <w:rFonts w:ascii="Arial" w:eastAsia="Calibri" w:hAnsi="Arial" w:cs="Arial"/>
          <w:sz w:val="22"/>
        </w:rPr>
      </w:pPr>
    </w:p>
    <w:p w14:paraId="1D596512" w14:textId="77777777" w:rsidR="00973017" w:rsidRPr="00B36C11" w:rsidRDefault="00973017" w:rsidP="004B29A8">
      <w:pPr>
        <w:tabs>
          <w:tab w:val="left" w:pos="3374"/>
        </w:tabs>
        <w:rPr>
          <w:rFonts w:ascii="Arial" w:eastAsia="Calibri" w:hAnsi="Arial" w:cs="Arial"/>
          <w:sz w:val="22"/>
        </w:rPr>
      </w:pPr>
    </w:p>
    <w:p w14:paraId="51327B8E" w14:textId="4CB1CC71" w:rsidR="004B29A8" w:rsidRPr="00B36C11" w:rsidRDefault="004B29A8" w:rsidP="004B29A8">
      <w:pPr>
        <w:tabs>
          <w:tab w:val="left" w:pos="3374"/>
        </w:tabs>
        <w:rPr>
          <w:rFonts w:ascii="Arial" w:eastAsia="Calibri" w:hAnsi="Arial" w:cs="Arial"/>
          <w:sz w:val="22"/>
        </w:rPr>
      </w:pPr>
      <w:r w:rsidRPr="00B36C11">
        <w:rPr>
          <w:rFonts w:ascii="Arial" w:eastAsia="Calibri" w:hAnsi="Arial" w:cs="Arial"/>
          <w:sz w:val="22"/>
        </w:rPr>
        <w:t>Estimad</w:t>
      </w:r>
      <w:r w:rsidR="006B3014" w:rsidRPr="00B36C11">
        <w:rPr>
          <w:rFonts w:ascii="Arial" w:eastAsia="Calibri" w:hAnsi="Arial" w:cs="Arial"/>
          <w:sz w:val="22"/>
        </w:rPr>
        <w:t xml:space="preserve">o </w:t>
      </w:r>
      <w:r w:rsidRPr="00B36C11">
        <w:rPr>
          <w:rFonts w:ascii="Arial" w:eastAsia="Calibri" w:hAnsi="Arial" w:cs="Arial"/>
          <w:sz w:val="22"/>
        </w:rPr>
        <w:t>señor</w:t>
      </w:r>
      <w:r w:rsidRPr="00B36C11">
        <w:rPr>
          <w:rFonts w:ascii="Arial" w:hAnsi="Arial" w:cs="Arial"/>
          <w:sz w:val="22"/>
        </w:rPr>
        <w:t xml:space="preserve"> </w:t>
      </w:r>
      <w:r w:rsidR="00973017" w:rsidRPr="00B36C11">
        <w:rPr>
          <w:rFonts w:ascii="Arial" w:hAnsi="Arial" w:cs="Arial"/>
          <w:sz w:val="22"/>
        </w:rPr>
        <w:t>Mosquera</w:t>
      </w:r>
      <w:r w:rsidR="006B3014" w:rsidRPr="00B36C11">
        <w:rPr>
          <w:rFonts w:ascii="Arial" w:hAnsi="Arial" w:cs="Arial"/>
          <w:sz w:val="22"/>
        </w:rPr>
        <w:t xml:space="preserve">, </w:t>
      </w:r>
      <w:r w:rsidR="009B398C" w:rsidRPr="00B36C11">
        <w:rPr>
          <w:rFonts w:ascii="Arial" w:hAnsi="Arial" w:cs="Arial"/>
          <w:sz w:val="22"/>
        </w:rPr>
        <w:t xml:space="preserve"> </w:t>
      </w:r>
      <w:r w:rsidRPr="00B36C11">
        <w:rPr>
          <w:rFonts w:ascii="Arial" w:hAnsi="Arial" w:cs="Arial"/>
          <w:sz w:val="22"/>
        </w:rPr>
        <w:t xml:space="preserve">  </w:t>
      </w:r>
    </w:p>
    <w:p w14:paraId="18BAE376" w14:textId="77777777" w:rsidR="004B29A8" w:rsidRPr="00B36C11" w:rsidRDefault="004B29A8" w:rsidP="004B29A8">
      <w:pPr>
        <w:spacing w:line="276" w:lineRule="auto"/>
        <w:jc w:val="both"/>
        <w:rPr>
          <w:rFonts w:ascii="Arial" w:eastAsia="Calibri" w:hAnsi="Arial" w:cs="Arial"/>
          <w:sz w:val="22"/>
        </w:rPr>
      </w:pPr>
    </w:p>
    <w:p w14:paraId="54B4D66B" w14:textId="50873C68" w:rsidR="004B29A8" w:rsidRPr="00B36C11" w:rsidRDefault="004B29A8" w:rsidP="004B29A8">
      <w:pPr>
        <w:spacing w:line="276" w:lineRule="auto"/>
        <w:jc w:val="both"/>
        <w:rPr>
          <w:rFonts w:ascii="Arial" w:eastAsia="Calibri" w:hAnsi="Arial" w:cs="Arial"/>
          <w:sz w:val="22"/>
        </w:rPr>
      </w:pPr>
      <w:r w:rsidRPr="00B36C11">
        <w:rPr>
          <w:rFonts w:ascii="Arial" w:eastAsia="Calibri" w:hAnsi="Arial" w:cs="Arial"/>
          <w:sz w:val="22"/>
        </w:rPr>
        <w:t>En ejercicio de la competencia otorgada por el numeral 8 del artículo 11 y el numeral 5 del artículo 3 del Decreto Ley 4170 de 2011, la Agencia Nacional de Contratación Pública− Colombia Compra Eficiente responde su consulta de fecha</w:t>
      </w:r>
      <w:r w:rsidR="006B3014" w:rsidRPr="00B36C11">
        <w:rPr>
          <w:rFonts w:ascii="Arial" w:eastAsia="Calibri" w:hAnsi="Arial" w:cs="Arial"/>
          <w:sz w:val="22"/>
        </w:rPr>
        <w:t xml:space="preserve"> 2</w:t>
      </w:r>
      <w:r w:rsidR="004C4714" w:rsidRPr="00B36C11">
        <w:rPr>
          <w:rFonts w:ascii="Arial" w:eastAsia="Calibri" w:hAnsi="Arial" w:cs="Arial"/>
          <w:sz w:val="22"/>
        </w:rPr>
        <w:t>6</w:t>
      </w:r>
      <w:r w:rsidR="006B3014" w:rsidRPr="00B36C11">
        <w:rPr>
          <w:rFonts w:ascii="Arial" w:eastAsia="Calibri" w:hAnsi="Arial" w:cs="Arial"/>
          <w:sz w:val="22"/>
        </w:rPr>
        <w:t xml:space="preserve"> </w:t>
      </w:r>
      <w:r w:rsidRPr="00B36C11">
        <w:rPr>
          <w:rFonts w:ascii="Arial" w:eastAsia="Calibri" w:hAnsi="Arial" w:cs="Arial"/>
          <w:sz w:val="22"/>
        </w:rPr>
        <w:t xml:space="preserve">de </w:t>
      </w:r>
      <w:r w:rsidR="006B3014" w:rsidRPr="00B36C11">
        <w:rPr>
          <w:rFonts w:ascii="Arial" w:eastAsia="Calibri" w:hAnsi="Arial" w:cs="Arial"/>
          <w:sz w:val="22"/>
        </w:rPr>
        <w:t xml:space="preserve">agosto </w:t>
      </w:r>
      <w:r w:rsidRPr="00B36C11">
        <w:rPr>
          <w:rFonts w:ascii="Arial" w:eastAsia="Calibri" w:hAnsi="Arial" w:cs="Arial"/>
          <w:sz w:val="22"/>
        </w:rPr>
        <w:t>de 2022.</w:t>
      </w:r>
    </w:p>
    <w:p w14:paraId="3892BBAF" w14:textId="77777777" w:rsidR="004B29A8" w:rsidRPr="00B36C11" w:rsidRDefault="004B29A8" w:rsidP="004B29A8">
      <w:pPr>
        <w:spacing w:line="276" w:lineRule="auto"/>
        <w:jc w:val="both"/>
        <w:rPr>
          <w:rFonts w:ascii="Arial" w:hAnsi="Arial" w:cs="Arial"/>
          <w:sz w:val="22"/>
          <w:lang w:val="es-ES_tradnl"/>
        </w:rPr>
      </w:pPr>
    </w:p>
    <w:p w14:paraId="7037093B" w14:textId="77777777" w:rsidR="004B29A8" w:rsidRPr="00B36C11" w:rsidRDefault="004B29A8" w:rsidP="004B29A8">
      <w:pPr>
        <w:tabs>
          <w:tab w:val="left" w:pos="284"/>
        </w:tabs>
        <w:spacing w:line="276" w:lineRule="auto"/>
        <w:contextualSpacing/>
        <w:jc w:val="both"/>
        <w:rPr>
          <w:rFonts w:ascii="Arial" w:eastAsia="Calibri" w:hAnsi="Arial" w:cs="Arial"/>
          <w:b/>
          <w:sz w:val="22"/>
        </w:rPr>
      </w:pPr>
      <w:r w:rsidRPr="00B36C11">
        <w:rPr>
          <w:rFonts w:ascii="Arial" w:eastAsia="Calibri" w:hAnsi="Arial" w:cs="Arial"/>
          <w:b/>
          <w:sz w:val="22"/>
        </w:rPr>
        <w:t xml:space="preserve">1. Problema planteado </w:t>
      </w:r>
    </w:p>
    <w:p w14:paraId="0A6A026A" w14:textId="77777777" w:rsidR="004B29A8" w:rsidRPr="00B36C11" w:rsidRDefault="004B29A8" w:rsidP="004B29A8">
      <w:pPr>
        <w:tabs>
          <w:tab w:val="left" w:pos="426"/>
        </w:tabs>
        <w:spacing w:line="276" w:lineRule="auto"/>
        <w:jc w:val="both"/>
        <w:rPr>
          <w:rFonts w:ascii="Arial" w:eastAsia="Calibri" w:hAnsi="Arial" w:cs="Arial"/>
          <w:sz w:val="22"/>
        </w:rPr>
      </w:pPr>
    </w:p>
    <w:p w14:paraId="1FEB583A" w14:textId="08D22744" w:rsidR="004B29A8" w:rsidRPr="00B36C11" w:rsidRDefault="004B29A8" w:rsidP="004B29A8">
      <w:pPr>
        <w:jc w:val="both"/>
        <w:rPr>
          <w:rFonts w:ascii="Arial" w:hAnsi="Arial" w:cs="Arial"/>
          <w:color w:val="161616" w:themeColor="background1" w:themeShade="1A"/>
          <w:sz w:val="22"/>
          <w:lang w:val="es-ES_tradnl"/>
        </w:rPr>
      </w:pPr>
      <w:r w:rsidRPr="00B36C11">
        <w:rPr>
          <w:rFonts w:ascii="Arial" w:hAnsi="Arial" w:cs="Arial"/>
          <w:color w:val="161616" w:themeColor="background1" w:themeShade="1A"/>
          <w:sz w:val="22"/>
          <w:lang w:val="es-ES_tradnl"/>
        </w:rPr>
        <w:t xml:space="preserve">Usted formula la siguiente consulta: </w:t>
      </w:r>
    </w:p>
    <w:p w14:paraId="01391F5E" w14:textId="77777777" w:rsidR="009B398C" w:rsidRPr="00B36C11" w:rsidRDefault="009B398C" w:rsidP="004B29A8">
      <w:pPr>
        <w:jc w:val="both"/>
        <w:rPr>
          <w:rFonts w:ascii="Arial" w:hAnsi="Arial" w:cs="Arial"/>
          <w:color w:val="161616" w:themeColor="background1" w:themeShade="1A"/>
          <w:sz w:val="22"/>
          <w:lang w:val="es-ES_tradnl"/>
        </w:rPr>
      </w:pPr>
    </w:p>
    <w:p w14:paraId="75FF1B2E" w14:textId="0434185C" w:rsidR="009B398C" w:rsidRPr="00B36C11" w:rsidRDefault="004B29A8" w:rsidP="00181B60">
      <w:pPr>
        <w:spacing w:after="240"/>
        <w:ind w:left="567" w:right="900"/>
        <w:jc w:val="both"/>
        <w:rPr>
          <w:rFonts w:ascii="Arial" w:hAnsi="Arial" w:cs="Arial"/>
          <w:color w:val="000000"/>
          <w:sz w:val="21"/>
          <w:szCs w:val="21"/>
        </w:rPr>
      </w:pPr>
      <w:bookmarkStart w:id="2" w:name="_Hlk106025682"/>
      <w:r w:rsidRPr="00B36C11">
        <w:rPr>
          <w:rFonts w:ascii="Arial" w:hAnsi="Arial" w:cs="Arial"/>
          <w:color w:val="161616" w:themeColor="background1" w:themeShade="1A"/>
          <w:sz w:val="21"/>
          <w:szCs w:val="21"/>
        </w:rPr>
        <w:t>«</w:t>
      </w:r>
      <w:r w:rsidR="004C4714" w:rsidRPr="00B36C11">
        <w:rPr>
          <w:rFonts w:ascii="Arial" w:eastAsia="Calibri" w:hAnsi="Arial" w:cs="Arial"/>
          <w:bCs/>
          <w:sz w:val="20"/>
          <w:lang w:val="es-ES_tradnl"/>
        </w:rPr>
        <w:t>[….]</w:t>
      </w:r>
      <w:r w:rsidR="004C4714" w:rsidRPr="00B36C11">
        <w:rPr>
          <w:rFonts w:ascii="Arial" w:hAnsi="Arial" w:cs="Arial"/>
          <w:color w:val="000000"/>
          <w:sz w:val="21"/>
          <w:szCs w:val="21"/>
        </w:rPr>
        <w:t xml:space="preserve"> nos permitimos solicitar concepto sobre la norma aplicable por parte de ENERGUAVIARE S.A. ESP en la actividad de selección de contratistas requeridos para la ejecución del Contrato Interadministrativo No. 128 suscrito con IPSE, o podemos hacer uso de lo expresado en el Concepto CCE-DES-FM-</w:t>
      </w:r>
      <w:r w:rsidR="004C4714" w:rsidRPr="00B36C11">
        <w:rPr>
          <w:rFonts w:ascii="Arial" w:hAnsi="Arial" w:cs="Arial"/>
          <w:color w:val="000000"/>
          <w:sz w:val="21"/>
          <w:szCs w:val="21"/>
        </w:rPr>
        <w:lastRenderedPageBreak/>
        <w:t>17 emitido por el doctor JORGE AUGUSTO TIRADO NAVARRO Subdirector de Gestión Contractual de esa entidad, en el entendido que al no existir Pliego Tipo para Obra de Infraestructura Eléctrica la selección de los contratistas derivados del Interadministrativo se someterán a las reglas que establezca el Manual Interno de Contratación de ENERGUAVIARE S.A. – E.S.P.</w:t>
      </w:r>
      <w:r w:rsidR="00571663" w:rsidRPr="00B36C11">
        <w:rPr>
          <w:rFonts w:ascii="Arial" w:hAnsi="Arial" w:cs="Arial"/>
          <w:color w:val="000000"/>
          <w:sz w:val="21"/>
          <w:szCs w:val="21"/>
        </w:rPr>
        <w:t xml:space="preserve">» </w:t>
      </w:r>
    </w:p>
    <w:bookmarkEnd w:id="2"/>
    <w:p w14:paraId="1AE8E5B5" w14:textId="77777777" w:rsidR="004B29A8" w:rsidRPr="00B36C11" w:rsidRDefault="004B29A8" w:rsidP="004B29A8">
      <w:pPr>
        <w:tabs>
          <w:tab w:val="left" w:pos="426"/>
        </w:tabs>
        <w:spacing w:line="276" w:lineRule="auto"/>
        <w:jc w:val="both"/>
        <w:rPr>
          <w:rFonts w:ascii="Arial" w:eastAsia="Calibri" w:hAnsi="Arial" w:cs="Arial"/>
          <w:b/>
          <w:sz w:val="22"/>
        </w:rPr>
      </w:pPr>
      <w:r w:rsidRPr="00B36C11">
        <w:rPr>
          <w:rFonts w:ascii="Arial" w:eastAsia="Calibri" w:hAnsi="Arial" w:cs="Arial"/>
          <w:b/>
          <w:sz w:val="22"/>
        </w:rPr>
        <w:t>2. Consideraciones</w:t>
      </w:r>
    </w:p>
    <w:p w14:paraId="7AC07C49" w14:textId="77777777" w:rsidR="00E71A56" w:rsidRPr="00B36C11" w:rsidRDefault="00E71A56" w:rsidP="0088683D">
      <w:pPr>
        <w:tabs>
          <w:tab w:val="left" w:pos="426"/>
        </w:tabs>
        <w:spacing w:before="240" w:after="120" w:line="276" w:lineRule="auto"/>
        <w:jc w:val="both"/>
        <w:rPr>
          <w:rFonts w:ascii="Arial" w:hAnsi="Arial" w:cs="Arial"/>
          <w:sz w:val="22"/>
        </w:rPr>
      </w:pPr>
      <w:r w:rsidRPr="00B36C11">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56CF035" w14:textId="77777777" w:rsidR="00E71A56" w:rsidRPr="00B36C11" w:rsidRDefault="00E71A56" w:rsidP="0088683D">
      <w:pPr>
        <w:tabs>
          <w:tab w:val="left" w:pos="426"/>
        </w:tabs>
        <w:spacing w:after="120" w:line="276" w:lineRule="auto"/>
        <w:jc w:val="both"/>
        <w:rPr>
          <w:rFonts w:ascii="Arial" w:hAnsi="Arial" w:cs="Arial"/>
          <w:sz w:val="22"/>
        </w:rPr>
      </w:pPr>
      <w:r w:rsidRPr="00B36C11">
        <w:rPr>
          <w:rFonts w:ascii="Arial" w:hAnsi="Arial" w:cs="Arial"/>
          <w:sz w:val="22"/>
        </w:rPr>
        <w:tab/>
      </w:r>
      <w:r w:rsidRPr="00B36C11">
        <w:rPr>
          <w:rFonts w:ascii="Arial" w:hAnsi="Arial"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0B15868E" w14:textId="5F889ABD" w:rsidR="00E71A56" w:rsidRPr="00B36C11" w:rsidRDefault="00E71A56" w:rsidP="0088683D">
      <w:pPr>
        <w:tabs>
          <w:tab w:val="left" w:pos="426"/>
        </w:tabs>
        <w:spacing w:after="120" w:line="276" w:lineRule="auto"/>
        <w:ind w:firstLine="709"/>
        <w:jc w:val="both"/>
        <w:rPr>
          <w:rFonts w:ascii="Arial" w:eastAsia="Arial" w:hAnsi="Arial" w:cs="Arial"/>
          <w:color w:val="000000" w:themeColor="text1"/>
          <w:sz w:val="22"/>
          <w:lang w:val="es-ES_tradnl"/>
        </w:rPr>
      </w:pPr>
      <w:r w:rsidRPr="00B36C11">
        <w:rPr>
          <w:rFonts w:ascii="Arial" w:hAnsi="Arial" w:cs="Arial"/>
          <w:sz w:val="22"/>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w:t>
      </w:r>
    </w:p>
    <w:p w14:paraId="4851D72E" w14:textId="271183CA" w:rsidR="002B7BD0" w:rsidRPr="00B36C11" w:rsidRDefault="00571663" w:rsidP="0088683D">
      <w:pPr>
        <w:spacing w:after="120" w:line="276" w:lineRule="auto"/>
        <w:ind w:firstLine="708"/>
        <w:jc w:val="both"/>
        <w:rPr>
          <w:rFonts w:ascii="Arial" w:eastAsia="Arial" w:hAnsi="Arial" w:cs="Arial"/>
          <w:sz w:val="22"/>
        </w:rPr>
      </w:pPr>
      <w:r w:rsidRPr="00B36C11">
        <w:rPr>
          <w:rFonts w:ascii="Arial" w:hAnsi="Arial" w:cs="Arial"/>
          <w:sz w:val="22"/>
          <w:lang w:val="es-ES"/>
        </w:rPr>
        <w:t xml:space="preserve">La Agencia Nacional de Contratación Pública – Colombia Compra Eficiente se ha pronunciado sobre </w:t>
      </w:r>
      <w:r w:rsidR="002B7BD0" w:rsidRPr="00B36C11">
        <w:rPr>
          <w:rFonts w:ascii="Arial" w:eastAsia="Arial" w:hAnsi="Arial" w:cs="Arial"/>
          <w:sz w:val="22"/>
        </w:rPr>
        <w:t>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w:t>
      </w:r>
      <w:r w:rsidR="00EA405F" w:rsidRPr="00B36C11">
        <w:rPr>
          <w:rFonts w:ascii="Arial" w:eastAsia="Arial" w:hAnsi="Arial" w:cs="Arial"/>
          <w:sz w:val="22"/>
        </w:rPr>
        <w:t xml:space="preserve"> y</w:t>
      </w:r>
      <w:r w:rsidR="002B7BD0" w:rsidRPr="00B36C11">
        <w:rPr>
          <w:rFonts w:ascii="Arial" w:eastAsia="Arial" w:hAnsi="Arial" w:cs="Arial"/>
          <w:sz w:val="22"/>
        </w:rPr>
        <w:t xml:space="preserve"> C-307 de 18 de junio de 2021</w:t>
      </w:r>
      <w:r w:rsidRPr="00B36C11">
        <w:rPr>
          <w:rFonts w:ascii="Arial" w:hAnsi="Arial" w:cs="Arial"/>
          <w:sz w:val="22"/>
          <w:lang w:val="es-ES"/>
        </w:rPr>
        <w:t xml:space="preserve">. </w:t>
      </w:r>
      <w:r w:rsidR="002B7BD0" w:rsidRPr="00B36C11">
        <w:rPr>
          <w:rFonts w:ascii="Arial" w:hAnsi="Arial" w:cs="Arial"/>
          <w:sz w:val="22"/>
          <w:lang w:val="es-ES"/>
        </w:rPr>
        <w:t xml:space="preserve">Así mismo, </w:t>
      </w:r>
      <w:r w:rsidR="00EA405F" w:rsidRPr="00B36C11">
        <w:rPr>
          <w:rFonts w:ascii="Arial" w:eastAsia="Calibri" w:hAnsi="Arial" w:cs="Arial"/>
          <w:bCs/>
          <w:sz w:val="22"/>
          <w:lang w:val="es-ES_tradnl"/>
        </w:rPr>
        <w:t xml:space="preserve">se pronunció sobre el régimen contractual de los prestadores de servicios públicos </w:t>
      </w:r>
      <w:r w:rsidR="00EA405F" w:rsidRPr="00B36C11">
        <w:rPr>
          <w:rFonts w:ascii="Arial" w:eastAsia="Calibri" w:hAnsi="Arial" w:cs="Arial"/>
          <w:bCs/>
          <w:color w:val="000000" w:themeColor="text1"/>
          <w:sz w:val="22"/>
          <w:lang w:val="es-ES_tradnl"/>
        </w:rPr>
        <w:t xml:space="preserve">domiciliarios en los Conceptos C-027 del 23 de enero de 2020, </w:t>
      </w:r>
      <w:r w:rsidR="00EA405F" w:rsidRPr="00B36C11">
        <w:rPr>
          <w:rFonts w:ascii="Arial" w:hAnsi="Arial" w:cs="Arial"/>
          <w:sz w:val="22"/>
          <w:lang w:val="es-ES_tradnl"/>
        </w:rPr>
        <w:t xml:space="preserve">C-032 del 19 de febrero de 2020, C-157 del 16 de marzo de 2020, el C-147 del 17 de marzo de 2020, C-168 del 31 de marzo de 2020, C-158 del 3 de abril de 2020, C-227 del 7 de abril de 2020, C-362 </w:t>
      </w:r>
      <w:r w:rsidR="00EA405F" w:rsidRPr="00B36C11">
        <w:rPr>
          <w:rFonts w:ascii="Arial" w:hAnsi="Arial" w:cs="Arial"/>
          <w:sz w:val="22"/>
          <w:lang w:val="es-ES_tradnl"/>
        </w:rPr>
        <w:lastRenderedPageBreak/>
        <w:t>del 3 de julio de 2020, C-462 del 24 de julio de 2020</w:t>
      </w:r>
      <w:r w:rsidR="00EA405F" w:rsidRPr="00B36C11">
        <w:rPr>
          <w:rFonts w:ascii="Arial" w:eastAsia="Calibri" w:hAnsi="Arial" w:cs="Arial"/>
          <w:bCs/>
          <w:color w:val="000000" w:themeColor="text1"/>
          <w:sz w:val="22"/>
          <w:lang w:val="es-ES_tradnl"/>
        </w:rPr>
        <w:t xml:space="preserve">, C-718 del 17 de diciembre de 2020, C-053 del 9 de marzo de 2021, C-072 del 16 de marzo de 2021, C-077 del 16 de marzo de 2021, C-218 del 14 de mayo de 2021 y </w:t>
      </w:r>
      <w:r w:rsidR="00EA405F" w:rsidRPr="00B36C11">
        <w:rPr>
          <w:rFonts w:ascii="Arial" w:eastAsia="Arial" w:hAnsi="Arial" w:cs="Arial"/>
          <w:sz w:val="22"/>
        </w:rPr>
        <w:t>C-699 del 6 de enero de 2022.</w:t>
      </w:r>
    </w:p>
    <w:p w14:paraId="281FAE39" w14:textId="03A16DC0" w:rsidR="00EA405F" w:rsidRPr="00B36C11" w:rsidRDefault="00EA405F" w:rsidP="008F10AF">
      <w:pPr>
        <w:spacing w:before="120" w:line="276" w:lineRule="auto"/>
        <w:ind w:firstLine="709"/>
        <w:jc w:val="both"/>
        <w:rPr>
          <w:rFonts w:ascii="Arial" w:eastAsia="Calibri" w:hAnsi="Arial" w:cs="Arial"/>
          <w:color w:val="000000"/>
          <w:sz w:val="22"/>
          <w:lang w:val="es-ES_tradnl"/>
        </w:rPr>
      </w:pPr>
      <w:r w:rsidRPr="00B36C11">
        <w:rPr>
          <w:rFonts w:ascii="Arial" w:eastAsia="Arial" w:hAnsi="Arial" w:cs="Arial"/>
          <w:sz w:val="22"/>
        </w:rPr>
        <w:t xml:space="preserve">Por otra parte, </w:t>
      </w:r>
      <w:r w:rsidRPr="00B36C11">
        <w:rPr>
          <w:rFonts w:ascii="Arial" w:hAnsi="Arial" w:cs="Arial"/>
          <w:noProof/>
          <w:sz w:val="22"/>
          <w:lang w:val="es-ES_tradnl"/>
        </w:rPr>
        <w:t xml:space="preserve">se ha pronunciado sobre el ámbito de aplicación de </w:t>
      </w:r>
      <w:r w:rsidRPr="00B36C11">
        <w:rPr>
          <w:rFonts w:ascii="Arial" w:eastAsia="Arial" w:hAnsi="Arial" w:cs="Arial"/>
          <w:sz w:val="22"/>
          <w:lang w:val="es-ES_tradnl"/>
        </w:rPr>
        <w:t xml:space="preserve">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w:t>
      </w:r>
      <w:r w:rsidRPr="00B36C11">
        <w:rPr>
          <w:rFonts w:ascii="Arial" w:eastAsia="Calibri" w:hAnsi="Arial" w:cs="Arial"/>
          <w:color w:val="000000"/>
          <w:sz w:val="22"/>
          <w:lang w:val="es-ES_tradnl"/>
        </w:rPr>
        <w:t xml:space="preserve">C-645 del 6 de noviembre de 2020, C-673 del 11 de noviembre de 2020, C-692 del 27 de noviembre de 2020, </w:t>
      </w:r>
      <w:r w:rsidRPr="00B36C11">
        <w:rPr>
          <w:rFonts w:ascii="Arial" w:eastAsia="Arial" w:hAnsi="Arial" w:cs="Arial"/>
          <w:sz w:val="22"/>
          <w:lang w:val="es-ES_tradnl"/>
        </w:rPr>
        <w:t xml:space="preserve">C-713 del 2 de diciembre de 2020, C-744 del 22 de diciembre de 2020, </w:t>
      </w:r>
      <w:r w:rsidRPr="00B36C11">
        <w:rPr>
          <w:rFonts w:ascii="Arial" w:eastAsia="Calibri" w:hAnsi="Arial" w:cs="Arial"/>
          <w:color w:val="000000"/>
          <w:sz w:val="22"/>
          <w:lang w:val="es-ES_tradnl"/>
        </w:rPr>
        <w:t xml:space="preserve">C-778 del 18 de enero de 2021, C-021 del 22 de febrero de 2021, C-091 del 23 de marzo de 2021, C-200 del 14 de mayo de 2021, C-231 del 24 de mayo de 2021, C-267 de 2 de junio de 2021, C-370 del 28 de julio de 2021, C-380 del 29 de julio de 2021 y C-643 del 17 de noviembre de 2021. </w:t>
      </w:r>
      <w:r w:rsidRPr="00B36C11">
        <w:rPr>
          <w:rFonts w:ascii="Arial" w:eastAsia="Arial" w:hAnsi="Arial" w:cs="Arial"/>
          <w:sz w:val="22"/>
          <w:lang w:val="es-ES_tradnl"/>
        </w:rPr>
        <w:t xml:space="preserve">Algunas de las ideas expuestas en dichas oportunidades se retoman y complementan a continuación para desarrollar la tesis del presente concepto.    </w:t>
      </w:r>
    </w:p>
    <w:p w14:paraId="33413839" w14:textId="626B92D4" w:rsidR="00EA405F" w:rsidRPr="00B36C11" w:rsidRDefault="00EA405F" w:rsidP="002B7BD0">
      <w:pPr>
        <w:spacing w:line="276" w:lineRule="auto"/>
        <w:ind w:firstLine="708"/>
        <w:jc w:val="both"/>
        <w:rPr>
          <w:rFonts w:ascii="Arial" w:hAnsi="Arial" w:cs="Arial"/>
          <w:sz w:val="22"/>
          <w:lang w:val="es-ES"/>
        </w:rPr>
      </w:pPr>
    </w:p>
    <w:p w14:paraId="048F2A38" w14:textId="25416240" w:rsidR="003664C6" w:rsidRPr="00B36C11" w:rsidRDefault="004B29A8" w:rsidP="003664C6">
      <w:pPr>
        <w:spacing w:line="276" w:lineRule="auto"/>
        <w:jc w:val="both"/>
        <w:rPr>
          <w:rFonts w:ascii="Arial" w:eastAsia="Arial" w:hAnsi="Arial" w:cs="Arial"/>
          <w:b/>
          <w:color w:val="000000"/>
          <w:sz w:val="22"/>
          <w:lang w:eastAsia="es-CO"/>
        </w:rPr>
      </w:pPr>
      <w:r w:rsidRPr="00B36C11">
        <w:rPr>
          <w:rFonts w:ascii="Arial" w:hAnsi="Arial" w:cs="Arial"/>
          <w:b/>
          <w:bCs/>
          <w:sz w:val="22"/>
        </w:rPr>
        <w:t xml:space="preserve">2.1. </w:t>
      </w:r>
      <w:r w:rsidR="003664C6" w:rsidRPr="00B36C11">
        <w:rPr>
          <w:rFonts w:ascii="Arial" w:hAnsi="Arial" w:cs="Arial"/>
          <w:b/>
          <w:bCs/>
          <w:sz w:val="22"/>
        </w:rPr>
        <w:t xml:space="preserve">Naturaleza de las </w:t>
      </w:r>
      <w:r w:rsidR="003664C6" w:rsidRPr="00B36C11">
        <w:rPr>
          <w:rFonts w:ascii="Arial" w:eastAsia="Arial" w:hAnsi="Arial" w:cs="Arial"/>
          <w:b/>
          <w:color w:val="000000"/>
          <w:sz w:val="22"/>
          <w:lang w:eastAsia="es-CO"/>
        </w:rPr>
        <w:t>Empresas de Servicios Públicos Domiciliarios</w:t>
      </w:r>
    </w:p>
    <w:p w14:paraId="03535E78" w14:textId="77777777" w:rsidR="003664C6" w:rsidRPr="00B36C11" w:rsidRDefault="003664C6" w:rsidP="003664C6">
      <w:pPr>
        <w:widowControl w:val="0"/>
        <w:spacing w:line="276" w:lineRule="auto"/>
        <w:ind w:right="112"/>
        <w:jc w:val="both"/>
        <w:rPr>
          <w:rFonts w:ascii="Arial" w:eastAsia="Arial" w:hAnsi="Arial" w:cs="Arial"/>
          <w:sz w:val="22"/>
          <w:lang w:eastAsia="es-CO"/>
        </w:rPr>
      </w:pPr>
    </w:p>
    <w:p w14:paraId="305BD6F2" w14:textId="78E574B0" w:rsidR="003664C6" w:rsidRPr="00B36C11" w:rsidRDefault="003664C6" w:rsidP="003664C6">
      <w:pPr>
        <w:widowControl w:val="0"/>
        <w:spacing w:line="276" w:lineRule="auto"/>
        <w:ind w:right="112"/>
        <w:jc w:val="both"/>
        <w:rPr>
          <w:rFonts w:ascii="Arial" w:eastAsia="Arial" w:hAnsi="Arial" w:cs="Arial"/>
          <w:sz w:val="20"/>
          <w:szCs w:val="20"/>
          <w:lang w:eastAsia="es-CO"/>
        </w:rPr>
      </w:pPr>
      <w:r w:rsidRPr="00B36C11">
        <w:rPr>
          <w:rFonts w:ascii="Arial" w:eastAsia="Arial" w:hAnsi="Arial" w:cs="Arial"/>
          <w:sz w:val="22"/>
          <w:lang w:eastAsia="es-CO"/>
        </w:rPr>
        <w:t>Esta Agencia reiterará la postura sostenida en los conceptos 4201912000004354 –radicado de salida 2201913000006639– del 9 de septiembre de 2019, 4201913000007243 –</w:t>
      </w:r>
      <w:r w:rsidR="00124877" w:rsidRPr="00B36C11">
        <w:rPr>
          <w:rFonts w:ascii="Arial" w:eastAsia="Arial" w:hAnsi="Arial" w:cs="Arial"/>
          <w:sz w:val="22"/>
          <w:lang w:eastAsia="es-CO"/>
        </w:rPr>
        <w:t xml:space="preserve"> </w:t>
      </w:r>
      <w:r w:rsidRPr="00B36C11">
        <w:rPr>
          <w:rFonts w:ascii="Arial" w:eastAsia="Arial" w:hAnsi="Arial" w:cs="Arial"/>
          <w:sz w:val="22"/>
          <w:lang w:eastAsia="es-CO"/>
        </w:rPr>
        <w:t>radicado de salida 2201913000008999– del 5 de diciembre de 2019</w:t>
      </w:r>
      <w:r w:rsidR="000B7E82" w:rsidRPr="00B36C11">
        <w:rPr>
          <w:rFonts w:ascii="Arial" w:eastAsia="Arial" w:hAnsi="Arial" w:cs="Arial"/>
          <w:sz w:val="22"/>
          <w:lang w:eastAsia="es-CO"/>
        </w:rPr>
        <w:t xml:space="preserve"> y C-699 de 6 de enero de 2022</w:t>
      </w:r>
      <w:r w:rsidRPr="00B36C11">
        <w:rPr>
          <w:rFonts w:ascii="Arial" w:eastAsia="Arial" w:hAnsi="Arial" w:cs="Arial"/>
          <w:sz w:val="22"/>
          <w:lang w:eastAsia="es-CO"/>
        </w:rPr>
        <w:t xml:space="preserve">. De esta manera, 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4E51C1FB" w14:textId="77777777" w:rsidR="003664C6" w:rsidRPr="00B36C11" w:rsidRDefault="003664C6" w:rsidP="003664C6">
      <w:pPr>
        <w:widowControl w:val="0"/>
        <w:spacing w:before="5"/>
        <w:rPr>
          <w:rFonts w:ascii="Arial" w:eastAsia="Arial" w:hAnsi="Arial" w:cs="Arial"/>
          <w:sz w:val="16"/>
          <w:szCs w:val="16"/>
          <w:lang w:eastAsia="es-CO"/>
        </w:rPr>
      </w:pPr>
    </w:p>
    <w:p w14:paraId="318B9047" w14:textId="77777777" w:rsidR="003664C6" w:rsidRPr="00B36C11" w:rsidRDefault="003664C6" w:rsidP="0088683D">
      <w:pPr>
        <w:widowControl w:val="0"/>
        <w:numPr>
          <w:ilvl w:val="1"/>
          <w:numId w:val="37"/>
        </w:numPr>
        <w:tabs>
          <w:tab w:val="left" w:pos="1361"/>
        </w:tabs>
        <w:spacing w:before="93" w:after="120"/>
        <w:ind w:left="709" w:right="709"/>
        <w:jc w:val="both"/>
        <w:rPr>
          <w:rFonts w:ascii="Calibri" w:eastAsia="Calibri" w:hAnsi="Calibri" w:cs="Calibri"/>
          <w:szCs w:val="24"/>
          <w:lang w:eastAsia="es-CO"/>
        </w:rPr>
      </w:pPr>
      <w:r w:rsidRPr="00B36C11">
        <w:rPr>
          <w:rFonts w:ascii="Arial" w:eastAsia="Arial" w:hAnsi="Arial" w:cs="Arial"/>
          <w:sz w:val="22"/>
          <w:lang w:eastAsia="es-CO"/>
        </w:rPr>
        <w:t>Empresa de servicios públicos oficial. Es aquella en cuyo capital la Nación, las entidades territoriales, o las entidades descentralizadas de aquella o estas tienen el 100% de los aportes.</w:t>
      </w:r>
    </w:p>
    <w:p w14:paraId="522AC251" w14:textId="77777777" w:rsidR="003664C6" w:rsidRPr="00B36C11" w:rsidRDefault="003664C6" w:rsidP="0088683D">
      <w:pPr>
        <w:widowControl w:val="0"/>
        <w:numPr>
          <w:ilvl w:val="1"/>
          <w:numId w:val="37"/>
        </w:numPr>
        <w:tabs>
          <w:tab w:val="left" w:pos="1363"/>
        </w:tabs>
        <w:spacing w:after="120"/>
        <w:ind w:left="709" w:right="709"/>
        <w:jc w:val="both"/>
        <w:rPr>
          <w:rFonts w:ascii="Calibri" w:eastAsia="Calibri" w:hAnsi="Calibri" w:cs="Calibri"/>
          <w:szCs w:val="24"/>
          <w:lang w:eastAsia="es-CO"/>
        </w:rPr>
      </w:pPr>
      <w:r w:rsidRPr="00B36C11">
        <w:rPr>
          <w:rFonts w:ascii="Arial" w:eastAsia="Arial" w:hAnsi="Arial" w:cs="Arial"/>
          <w:sz w:val="22"/>
          <w:lang w:eastAsia="es-CO"/>
        </w:rPr>
        <w:t>Empresa de servicios públicos mixta. Es aquella en cuyo capital la Nación, las entidades territoriales, o las entidades descentralizadas de aquella o éstas tienen aportes iguales o superiores al 50%.</w:t>
      </w:r>
    </w:p>
    <w:p w14:paraId="4D6D850D" w14:textId="024FE3A1" w:rsidR="003664C6" w:rsidRPr="00B36C11" w:rsidRDefault="003664C6" w:rsidP="0088683D">
      <w:pPr>
        <w:widowControl w:val="0"/>
        <w:numPr>
          <w:ilvl w:val="1"/>
          <w:numId w:val="37"/>
        </w:numPr>
        <w:tabs>
          <w:tab w:val="left" w:pos="1531"/>
        </w:tabs>
        <w:spacing w:before="1" w:after="120"/>
        <w:ind w:left="709" w:right="709"/>
        <w:jc w:val="both"/>
        <w:rPr>
          <w:rFonts w:ascii="Calibri" w:eastAsia="Calibri" w:hAnsi="Calibri" w:cs="Calibri"/>
          <w:szCs w:val="24"/>
          <w:lang w:eastAsia="es-CO"/>
        </w:rPr>
      </w:pPr>
      <w:r w:rsidRPr="00B36C11">
        <w:rPr>
          <w:rFonts w:ascii="Arial" w:eastAsia="Arial" w:hAnsi="Arial" w:cs="Arial"/>
          <w:sz w:val="22"/>
          <w:lang w:eastAsia="es-CO"/>
        </w:rPr>
        <w:t>Empresa de servicios públicos privada. Es aquella cuyo capital pertenece mayoritariamente a particulares, o a entidades surgidas de convenios internacionales que deseen someterse íntegramente para estos efectos a las reglas a las que se someten los particulares.</w:t>
      </w:r>
    </w:p>
    <w:p w14:paraId="7D962593" w14:textId="77777777" w:rsidR="003664C6" w:rsidRPr="00B36C11" w:rsidRDefault="003664C6" w:rsidP="003664C6">
      <w:pPr>
        <w:widowControl w:val="0"/>
        <w:rPr>
          <w:rFonts w:ascii="Arial" w:eastAsia="Arial" w:hAnsi="Arial" w:cs="Arial"/>
          <w:szCs w:val="24"/>
          <w:lang w:eastAsia="es-CO"/>
        </w:rPr>
      </w:pPr>
    </w:p>
    <w:p w14:paraId="042C8127" w14:textId="77777777" w:rsidR="003664C6" w:rsidRPr="00B36C11" w:rsidRDefault="003664C6" w:rsidP="0088683D">
      <w:pPr>
        <w:widowControl w:val="0"/>
        <w:spacing w:after="120" w:line="276" w:lineRule="auto"/>
        <w:ind w:right="112" w:firstLine="708"/>
        <w:jc w:val="both"/>
        <w:rPr>
          <w:rFonts w:ascii="Calibri" w:eastAsia="Calibri" w:hAnsi="Calibri" w:cs="Calibri"/>
          <w:szCs w:val="24"/>
          <w:lang w:eastAsia="es-CO"/>
        </w:rPr>
      </w:pPr>
      <w:r w:rsidRPr="00B36C11">
        <w:rPr>
          <w:rFonts w:ascii="Arial" w:eastAsia="Arial" w:hAnsi="Arial" w:cs="Arial"/>
          <w:sz w:val="22"/>
          <w:lang w:eastAsia="es-CO"/>
        </w:rPr>
        <w:t>A su turno, el artículo 17 de la ley citada señala que «las empresas de servicios públicos son sociedades por acciones cuyo objeto es la prestación de los servicios públicos de que trata esta ley». 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100%</w:t>
      </w:r>
      <w:r w:rsidRPr="00B36C11">
        <w:rPr>
          <w:rFonts w:ascii="Arial" w:eastAsia="Arial" w:hAnsi="Arial" w:cs="Arial"/>
          <w:sz w:val="22"/>
          <w:vertAlign w:val="superscript"/>
          <w:lang w:eastAsia="es-CO"/>
        </w:rPr>
        <w:footnoteReference w:id="1"/>
      </w:r>
      <w:r w:rsidRPr="00B36C11">
        <w:rPr>
          <w:rFonts w:ascii="Arial" w:eastAsia="Arial" w:hAnsi="Arial" w:cs="Arial"/>
          <w:sz w:val="22"/>
          <w:lang w:eastAsia="es-CO"/>
        </w:rPr>
        <w:t>.</w:t>
      </w:r>
    </w:p>
    <w:p w14:paraId="0FCCB4FC" w14:textId="4DDC4DC5" w:rsidR="003664C6" w:rsidRPr="00B36C11" w:rsidRDefault="003664C6" w:rsidP="00124877">
      <w:pPr>
        <w:widowControl w:val="0"/>
        <w:spacing w:after="120" w:line="276" w:lineRule="auto"/>
        <w:ind w:right="104" w:firstLine="720"/>
        <w:jc w:val="both"/>
        <w:rPr>
          <w:rFonts w:ascii="Calibri" w:eastAsia="Calibri" w:hAnsi="Calibri" w:cs="Calibri"/>
          <w:szCs w:val="24"/>
          <w:lang w:eastAsia="es-CO"/>
        </w:rPr>
      </w:pPr>
      <w:r w:rsidRPr="00B36C11">
        <w:rPr>
          <w:rFonts w:ascii="Arial" w:eastAsia="Arial" w:hAnsi="Arial" w:cs="Arial"/>
          <w:sz w:val="22"/>
          <w:lang w:eastAsia="es-CO"/>
        </w:rPr>
        <w:t xml:space="preserve">Lo anterior llevó a pensar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3B47CFA2" w14:textId="77777777" w:rsidR="003664C6" w:rsidRPr="00B36C11" w:rsidRDefault="003664C6" w:rsidP="003664C6">
      <w:pPr>
        <w:widowControl w:val="0"/>
        <w:spacing w:before="93" w:line="276" w:lineRule="auto"/>
        <w:ind w:right="106" w:firstLine="720"/>
        <w:jc w:val="both"/>
        <w:rPr>
          <w:rFonts w:ascii="Calibri" w:eastAsia="Calibri" w:hAnsi="Calibri" w:cs="Calibri"/>
          <w:szCs w:val="24"/>
          <w:lang w:eastAsia="es-CO"/>
        </w:rPr>
      </w:pPr>
      <w:r w:rsidRPr="00B36C11">
        <w:rPr>
          <w:rFonts w:ascii="Arial" w:eastAsia="Arial" w:hAnsi="Arial" w:cs="Arial"/>
          <w:sz w:val="22"/>
          <w:lang w:eastAsia="es-CO"/>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4CF55A82" w14:textId="77777777" w:rsidR="003664C6" w:rsidRPr="00B36C11" w:rsidRDefault="003664C6" w:rsidP="003664C6">
      <w:pPr>
        <w:widowControl w:val="0"/>
        <w:spacing w:before="1"/>
        <w:rPr>
          <w:rFonts w:ascii="Arial" w:eastAsia="Arial" w:hAnsi="Arial" w:cs="Arial"/>
          <w:sz w:val="22"/>
          <w:lang w:eastAsia="es-CO"/>
        </w:rPr>
      </w:pPr>
    </w:p>
    <w:p w14:paraId="7B9E1333" w14:textId="77777777" w:rsidR="003664C6" w:rsidRPr="00B36C11" w:rsidRDefault="003664C6" w:rsidP="0088683D">
      <w:pPr>
        <w:widowControl w:val="0"/>
        <w:spacing w:after="120"/>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 xml:space="preserve">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w:t>
      </w:r>
      <w:r w:rsidRPr="00B36C11">
        <w:rPr>
          <w:rFonts w:ascii="Arial" w:eastAsia="Arial" w:hAnsi="Arial" w:cs="Arial"/>
          <w:sz w:val="21"/>
          <w:szCs w:val="21"/>
          <w:lang w:eastAsia="es-CO"/>
        </w:rPr>
        <w:lastRenderedPageBreak/>
        <w:t>descentralizadas” resulta constitucionalmente cuestionable, toda vez que implica, a su vez, la exclusión de las consecuencias jurídicas derivadas de tal naturaleza jurídica, dispuestas expresamente por la Constitución.</w:t>
      </w:r>
    </w:p>
    <w:p w14:paraId="735DA882" w14:textId="77777777" w:rsidR="003664C6" w:rsidRPr="00B36C11" w:rsidRDefault="003664C6" w:rsidP="0088683D">
      <w:pPr>
        <w:widowControl w:val="0"/>
        <w:spacing w:after="120"/>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559B144C" w14:textId="77777777" w:rsidR="003664C6" w:rsidRPr="00B36C11" w:rsidRDefault="003664C6" w:rsidP="0088683D">
      <w:pPr>
        <w:widowControl w:val="0"/>
        <w:spacing w:after="120"/>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 xml:space="preserve">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w:t>
      </w:r>
      <w:proofErr w:type="gramStart"/>
      <w:r w:rsidRPr="00B36C11">
        <w:rPr>
          <w:rFonts w:ascii="Arial" w:eastAsia="Arial" w:hAnsi="Arial" w:cs="Arial"/>
          <w:sz w:val="21"/>
          <w:szCs w:val="21"/>
          <w:lang w:eastAsia="es-CO"/>
        </w:rPr>
        <w:t>que</w:t>
      </w:r>
      <w:proofErr w:type="gramEnd"/>
      <w:r w:rsidRPr="00B36C11">
        <w:rPr>
          <w:rFonts w:ascii="Arial" w:eastAsia="Arial" w:hAnsi="Arial" w:cs="Arial"/>
          <w:sz w:val="21"/>
          <w:szCs w:val="21"/>
          <w:lang w:eastAsia="es-CO"/>
        </w:rPr>
        <w:t xml:space="preserve"> de esta manera, se entienden como parte de la Rama Ejecutiva en su sector descentralizado nacional.</w:t>
      </w:r>
    </w:p>
    <w:p w14:paraId="308BBBE5" w14:textId="77777777" w:rsidR="003664C6" w:rsidRPr="00B36C11" w:rsidRDefault="003664C6" w:rsidP="0088683D">
      <w:pPr>
        <w:widowControl w:val="0"/>
        <w:spacing w:after="120"/>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 xml:space="preserve">Así las cosas, de cara a la constitucionalidad del artículo 38 de la Ley 498 de 1998, y concretamente de la expresión “las empresas oficiales de servicios públicos domiciliarios” contenida en su literal d), la Corte declarará su </w:t>
      </w:r>
      <w:proofErr w:type="spellStart"/>
      <w:r w:rsidRPr="00B36C11">
        <w:rPr>
          <w:rFonts w:ascii="Arial" w:eastAsia="Arial" w:hAnsi="Arial" w:cs="Arial"/>
          <w:sz w:val="21"/>
          <w:szCs w:val="21"/>
          <w:lang w:eastAsia="es-CO"/>
        </w:rPr>
        <w:t>exequibilidad</w:t>
      </w:r>
      <w:proofErr w:type="spellEnd"/>
      <w:r w:rsidRPr="00B36C11">
        <w:rPr>
          <w:rFonts w:ascii="Arial" w:eastAsia="Arial" w:hAnsi="Arial" w:cs="Arial"/>
          <w:sz w:val="21"/>
          <w:szCs w:val="21"/>
          <w:lang w:eastAsia="es-CO"/>
        </w:rPr>
        <w:t>, por considerar que dentro del supuesto normativo del literal g) se comprenden las empresas mixtas o privadas de servicios públicos, que de esta manera viene a conformar también la Rama Ejecutiva del poder público.</w:t>
      </w:r>
    </w:p>
    <w:p w14:paraId="7BB3FFCD" w14:textId="133CD29E" w:rsidR="003664C6" w:rsidRPr="00B36C11" w:rsidRDefault="00E322BA" w:rsidP="0088683D">
      <w:pPr>
        <w:widowControl w:val="0"/>
        <w:spacing w:after="120"/>
        <w:ind w:left="709" w:right="709"/>
        <w:rPr>
          <w:rFonts w:ascii="Arial" w:eastAsia="Arial" w:hAnsi="Arial" w:cs="Arial"/>
          <w:sz w:val="21"/>
          <w:szCs w:val="21"/>
          <w:lang w:eastAsia="es-CO"/>
        </w:rPr>
      </w:pPr>
      <w:r w:rsidRPr="00B36C11">
        <w:rPr>
          <w:rFonts w:ascii="Arial" w:eastAsia="Arial" w:hAnsi="Arial" w:cs="Arial"/>
          <w:sz w:val="21"/>
          <w:szCs w:val="21"/>
          <w:lang w:eastAsia="es-CO"/>
        </w:rPr>
        <w:t>[</w:t>
      </w:r>
      <w:r w:rsidR="003664C6" w:rsidRPr="00B36C11">
        <w:rPr>
          <w:rFonts w:ascii="Arial" w:eastAsia="Arial" w:hAnsi="Arial" w:cs="Arial"/>
          <w:sz w:val="21"/>
          <w:szCs w:val="21"/>
          <w:lang w:eastAsia="es-CO"/>
        </w:rPr>
        <w:t>…</w:t>
      </w:r>
      <w:r w:rsidRPr="00B36C11">
        <w:rPr>
          <w:rFonts w:ascii="Arial" w:eastAsia="Arial" w:hAnsi="Arial" w:cs="Arial"/>
          <w:sz w:val="21"/>
          <w:szCs w:val="21"/>
          <w:lang w:eastAsia="es-CO"/>
        </w:rPr>
        <w:t>]</w:t>
      </w:r>
    </w:p>
    <w:p w14:paraId="3D281F6C" w14:textId="77777777" w:rsidR="003664C6" w:rsidRPr="00B36C11" w:rsidRDefault="003664C6" w:rsidP="0088683D">
      <w:pPr>
        <w:widowControl w:val="0"/>
        <w:spacing w:after="120"/>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B36C11">
        <w:rPr>
          <w:rFonts w:ascii="Arial" w:eastAsia="Arial" w:hAnsi="Arial" w:cs="Arial"/>
          <w:sz w:val="21"/>
          <w:szCs w:val="21"/>
          <w:vertAlign w:val="superscript"/>
          <w:lang w:eastAsia="es-CO"/>
        </w:rPr>
        <w:footnoteReference w:id="2"/>
      </w:r>
      <w:r w:rsidRPr="00B36C11">
        <w:rPr>
          <w:rFonts w:ascii="Arial" w:eastAsia="Arial" w:hAnsi="Arial" w:cs="Arial"/>
          <w:sz w:val="21"/>
          <w:szCs w:val="21"/>
          <w:lang w:eastAsia="es-CO"/>
        </w:rPr>
        <w:t>.</w:t>
      </w:r>
    </w:p>
    <w:p w14:paraId="474A56CA" w14:textId="77777777" w:rsidR="003664C6" w:rsidRPr="00B36C11" w:rsidRDefault="003664C6" w:rsidP="003664C6">
      <w:pPr>
        <w:widowControl w:val="0"/>
        <w:spacing w:before="1" w:line="276" w:lineRule="auto"/>
        <w:ind w:left="100" w:right="110"/>
        <w:jc w:val="both"/>
        <w:rPr>
          <w:rFonts w:ascii="Arial" w:eastAsia="Arial" w:hAnsi="Arial" w:cs="Arial"/>
          <w:sz w:val="22"/>
          <w:lang w:eastAsia="es-CO"/>
        </w:rPr>
      </w:pPr>
    </w:p>
    <w:p w14:paraId="09F05416" w14:textId="0F1C71C8" w:rsidR="003664C6" w:rsidRPr="00B36C11" w:rsidRDefault="003664C6" w:rsidP="003664C6">
      <w:pPr>
        <w:widowControl w:val="0"/>
        <w:spacing w:before="1" w:line="276" w:lineRule="auto"/>
        <w:ind w:right="110" w:firstLine="720"/>
        <w:jc w:val="both"/>
        <w:rPr>
          <w:rFonts w:ascii="Calibri" w:eastAsia="Calibri" w:hAnsi="Calibri" w:cs="Calibri"/>
          <w:szCs w:val="24"/>
          <w:lang w:eastAsia="es-CO"/>
        </w:rPr>
      </w:pPr>
      <w:r w:rsidRPr="00B36C11">
        <w:rPr>
          <w:rFonts w:ascii="Arial" w:eastAsia="Arial" w:hAnsi="Arial" w:cs="Arial"/>
          <w:sz w:val="22"/>
          <w:lang w:eastAsia="es-CO"/>
        </w:rPr>
        <w:t xml:space="preserve">En esta providencia también se hace una aclaración que resulta importante: las empresas prestadoras de servicios públicos, de carácter mixto no deben ser consideradas como </w:t>
      </w:r>
      <w:r w:rsidR="00E322BA" w:rsidRPr="00B36C11">
        <w:rPr>
          <w:rFonts w:ascii="Arial" w:eastAsia="Arial" w:hAnsi="Arial" w:cs="Arial"/>
          <w:sz w:val="22"/>
          <w:lang w:eastAsia="es-CO"/>
        </w:rPr>
        <w:t xml:space="preserve">sociedades </w:t>
      </w:r>
      <w:r w:rsidRPr="00B36C11">
        <w:rPr>
          <w:rFonts w:ascii="Arial" w:eastAsia="Arial" w:hAnsi="Arial" w:cs="Arial"/>
          <w:sz w:val="22"/>
          <w:lang w:eastAsia="es-CO"/>
        </w:rPr>
        <w:t>de economía mixta. La anterior conclusión fue fundamentada sobre la idea del carácter o naturaleza especial que la Constitución le dio a las Empresas de Servicios Públicos:</w:t>
      </w:r>
    </w:p>
    <w:p w14:paraId="63D67528" w14:textId="77777777" w:rsidR="003664C6" w:rsidRPr="00B36C11" w:rsidRDefault="003664C6" w:rsidP="003664C6">
      <w:pPr>
        <w:widowControl w:val="0"/>
        <w:spacing w:before="3"/>
        <w:rPr>
          <w:rFonts w:ascii="Arial" w:eastAsia="Arial" w:hAnsi="Arial" w:cs="Arial"/>
          <w:sz w:val="25"/>
          <w:szCs w:val="25"/>
          <w:lang w:eastAsia="es-CO"/>
        </w:rPr>
      </w:pPr>
    </w:p>
    <w:p w14:paraId="35595CF8" w14:textId="77777777" w:rsidR="003664C6" w:rsidRPr="00B36C11" w:rsidRDefault="003664C6" w:rsidP="0088683D">
      <w:pPr>
        <w:widowControl w:val="0"/>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40505CFA" w14:textId="77777777" w:rsidR="003664C6" w:rsidRPr="00B36C11" w:rsidRDefault="003664C6" w:rsidP="0088683D">
      <w:pPr>
        <w:widowControl w:val="0"/>
        <w:spacing w:before="1" w:after="120"/>
        <w:ind w:left="709" w:right="709"/>
        <w:rPr>
          <w:rFonts w:ascii="Calibri" w:eastAsia="Calibri" w:hAnsi="Calibri" w:cs="Calibri"/>
          <w:sz w:val="21"/>
          <w:szCs w:val="21"/>
          <w:lang w:eastAsia="es-CO"/>
        </w:rPr>
      </w:pPr>
      <w:r w:rsidRPr="00B36C11">
        <w:rPr>
          <w:rFonts w:ascii="Arial" w:eastAsia="Arial" w:hAnsi="Arial" w:cs="Arial"/>
          <w:sz w:val="21"/>
          <w:szCs w:val="21"/>
          <w:lang w:eastAsia="es-CO"/>
        </w:rPr>
        <w:t>[…]</w:t>
      </w:r>
    </w:p>
    <w:p w14:paraId="660BB637" w14:textId="77777777" w:rsidR="003664C6" w:rsidRPr="00B36C11" w:rsidRDefault="003664C6" w:rsidP="0088683D">
      <w:pPr>
        <w:widowControl w:val="0"/>
        <w:spacing w:before="1"/>
        <w:ind w:left="709" w:right="709"/>
        <w:jc w:val="both"/>
        <w:rPr>
          <w:rFonts w:ascii="Arial" w:eastAsia="Arial" w:hAnsi="Arial" w:cs="Arial"/>
          <w:sz w:val="21"/>
          <w:szCs w:val="21"/>
          <w:lang w:eastAsia="es-CO"/>
        </w:rPr>
      </w:pPr>
      <w:r w:rsidRPr="00B36C11">
        <w:rPr>
          <w:rFonts w:ascii="Arial" w:eastAsia="Arial" w:hAnsi="Arial" w:cs="Arial"/>
          <w:sz w:val="21"/>
          <w:szCs w:val="21"/>
          <w:lang w:eastAsia="es-CO"/>
        </w:rPr>
        <w:t>Al parecer de la Corte, la interpretación según la cual las empresas de servicios públicos son sociedades de economía mixta resulta contraria a la Constitución. Ciertamente, según se dijo arriba, del artículo 365 superior se desprende que el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comerciales e industriales de Estado y las sociedades de economía mixta</w:t>
      </w:r>
      <w:r w:rsidRPr="00B36C11">
        <w:rPr>
          <w:rFonts w:ascii="Arial" w:eastAsia="Arial" w:hAnsi="Arial" w:cs="Arial"/>
          <w:sz w:val="21"/>
          <w:szCs w:val="21"/>
          <w:vertAlign w:val="superscript"/>
          <w:lang w:eastAsia="es-CO"/>
        </w:rPr>
        <w:footnoteReference w:id="3"/>
      </w:r>
      <w:r w:rsidRPr="00B36C11">
        <w:rPr>
          <w:rFonts w:ascii="Arial" w:eastAsia="Arial" w:hAnsi="Arial" w:cs="Arial"/>
          <w:sz w:val="21"/>
          <w:szCs w:val="21"/>
          <w:lang w:eastAsia="es-CO"/>
        </w:rPr>
        <w:t>.</w:t>
      </w:r>
    </w:p>
    <w:p w14:paraId="6A5A3C30" w14:textId="77777777" w:rsidR="003664C6" w:rsidRPr="00B36C11" w:rsidRDefault="003664C6" w:rsidP="003664C6">
      <w:pPr>
        <w:widowControl w:val="0"/>
        <w:spacing w:before="3"/>
        <w:rPr>
          <w:rFonts w:ascii="Arial" w:eastAsia="Arial" w:hAnsi="Arial" w:cs="Arial"/>
          <w:sz w:val="25"/>
          <w:szCs w:val="25"/>
          <w:lang w:eastAsia="es-CO"/>
        </w:rPr>
      </w:pPr>
    </w:p>
    <w:p w14:paraId="231381DC" w14:textId="5145B875" w:rsidR="003664C6" w:rsidRPr="00B36C11" w:rsidRDefault="00E322BA" w:rsidP="00124877">
      <w:pPr>
        <w:pStyle w:val="Prrafodelista"/>
        <w:tabs>
          <w:tab w:val="left" w:pos="284"/>
        </w:tabs>
        <w:spacing w:line="276" w:lineRule="auto"/>
        <w:ind w:left="0" w:firstLine="567"/>
        <w:jc w:val="both"/>
        <w:rPr>
          <w:rFonts w:ascii="Arial" w:eastAsia="Calibri" w:hAnsi="Arial" w:cs="Arial"/>
          <w:b/>
          <w:sz w:val="22"/>
          <w:lang w:val="es-CO"/>
        </w:rPr>
      </w:pPr>
      <w:r w:rsidRPr="00B36C11">
        <w:rPr>
          <w:rFonts w:ascii="Arial" w:eastAsia="Arial" w:hAnsi="Arial" w:cs="Arial"/>
          <w:sz w:val="22"/>
          <w:lang w:eastAsia="es-CO"/>
        </w:rPr>
        <w:tab/>
      </w:r>
      <w:r w:rsidR="003664C6" w:rsidRPr="00B36C11">
        <w:rPr>
          <w:rFonts w:ascii="Arial" w:eastAsia="Arial" w:hAnsi="Arial" w:cs="Arial"/>
          <w:sz w:val="22"/>
          <w:lang w:eastAsia="es-CO"/>
        </w:rPr>
        <w:t xml:space="preserve">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w:t>
      </w:r>
      <w:r w:rsidRPr="00B36C11">
        <w:rPr>
          <w:rFonts w:ascii="Arial" w:eastAsia="Arial" w:hAnsi="Arial" w:cs="Arial"/>
          <w:sz w:val="22"/>
          <w:lang w:eastAsia="es-CO"/>
        </w:rPr>
        <w:t>E</w:t>
      </w:r>
      <w:r w:rsidR="003664C6" w:rsidRPr="00B36C11">
        <w:rPr>
          <w:rFonts w:ascii="Arial" w:eastAsia="Arial" w:hAnsi="Arial" w:cs="Arial"/>
          <w:sz w:val="22"/>
          <w:lang w:eastAsia="es-CO"/>
        </w:rPr>
        <w:t>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p>
    <w:p w14:paraId="770644A6" w14:textId="0F7764F6" w:rsidR="003664C6" w:rsidRPr="00B36C11" w:rsidRDefault="003664C6" w:rsidP="004B29A8">
      <w:pPr>
        <w:pStyle w:val="Prrafodelista"/>
        <w:tabs>
          <w:tab w:val="left" w:pos="284"/>
        </w:tabs>
        <w:spacing w:line="276" w:lineRule="auto"/>
        <w:ind w:left="0"/>
        <w:jc w:val="both"/>
        <w:rPr>
          <w:rFonts w:ascii="Arial" w:eastAsia="Calibri" w:hAnsi="Arial" w:cs="Arial"/>
          <w:b/>
          <w:sz w:val="22"/>
          <w:lang w:val="es-CO"/>
        </w:rPr>
      </w:pPr>
    </w:p>
    <w:p w14:paraId="6498CA88" w14:textId="2BDE8D2C" w:rsidR="0099187A" w:rsidRPr="00B36C11" w:rsidRDefault="0099187A" w:rsidP="0099187A">
      <w:pPr>
        <w:spacing w:line="276" w:lineRule="auto"/>
        <w:jc w:val="both"/>
        <w:rPr>
          <w:rFonts w:ascii="Arial" w:eastAsia="Calibri" w:hAnsi="Arial" w:cs="Arial"/>
          <w:color w:val="000000" w:themeColor="text1"/>
          <w:sz w:val="22"/>
          <w:lang w:val="es-ES_tradnl"/>
        </w:rPr>
      </w:pPr>
      <w:r w:rsidRPr="00B36C11">
        <w:rPr>
          <w:rFonts w:ascii="Arial" w:eastAsia="Calibri" w:hAnsi="Arial" w:cs="Arial"/>
          <w:b/>
          <w:color w:val="000000" w:themeColor="text1"/>
          <w:sz w:val="22"/>
          <w:lang w:val="es-ES_tradnl"/>
        </w:rPr>
        <w:t xml:space="preserve">2.2. </w:t>
      </w:r>
      <w:r w:rsidRPr="00B36C11">
        <w:rPr>
          <w:rFonts w:ascii="Arial" w:eastAsia="Calibri" w:hAnsi="Arial" w:cs="Arial"/>
          <w:b/>
          <w:color w:val="000000" w:themeColor="text1"/>
          <w:sz w:val="22"/>
          <w:szCs w:val="24"/>
          <w:lang w:val="es-ES_tradnl" w:eastAsia="es-ES_tradnl"/>
        </w:rPr>
        <w:t>Régimen contractual aplicable a las empresas prestadoras de servicios públicos domiciliarios</w:t>
      </w:r>
    </w:p>
    <w:p w14:paraId="549EB12D" w14:textId="77777777" w:rsidR="0099187A" w:rsidRPr="00B36C11" w:rsidRDefault="0099187A" w:rsidP="0099187A">
      <w:pPr>
        <w:spacing w:line="276" w:lineRule="auto"/>
        <w:jc w:val="both"/>
        <w:rPr>
          <w:rFonts w:ascii="Arial" w:eastAsia="Calibri" w:hAnsi="Arial" w:cs="Arial"/>
          <w:color w:val="000000" w:themeColor="text1"/>
          <w:sz w:val="22"/>
          <w:lang w:val="es-ES_tradnl"/>
        </w:rPr>
      </w:pPr>
    </w:p>
    <w:p w14:paraId="66FFE928" w14:textId="77777777" w:rsidR="0099187A" w:rsidRPr="00B36C11" w:rsidRDefault="0099187A" w:rsidP="0099187A">
      <w:pPr>
        <w:spacing w:line="276" w:lineRule="auto"/>
        <w:jc w:val="both"/>
        <w:rPr>
          <w:rFonts w:ascii="Arial" w:eastAsia="Calibri" w:hAnsi="Arial" w:cs="Arial"/>
          <w:color w:val="000000" w:themeColor="text1"/>
          <w:sz w:val="22"/>
          <w:szCs w:val="24"/>
          <w:lang w:val="es-ES_tradnl" w:eastAsia="es-ES_tradnl"/>
        </w:rPr>
      </w:pPr>
      <w:r w:rsidRPr="00B36C11">
        <w:rPr>
          <w:rFonts w:ascii="Arial" w:eastAsia="Calibri" w:hAnsi="Arial" w:cs="Arial"/>
          <w:color w:val="000000" w:themeColor="text1"/>
          <w:sz w:val="22"/>
          <w:szCs w:val="24"/>
          <w:lang w:val="es-ES_tradnl" w:eastAsia="es-ES_tradnl"/>
        </w:rPr>
        <w:t xml:space="preserve">La Constitución Política de 1991 incorporó un modelo de liberalización para prestar servicios públicos domiciliarios, con arreglo al cual estos pueden ofrecerse en el mercado, en un esquema de libre competencia, directamente por el Estado, por particulares o por </w:t>
      </w:r>
      <w:r w:rsidRPr="00B36C11">
        <w:rPr>
          <w:rFonts w:ascii="Arial" w:eastAsia="Calibri" w:hAnsi="Arial" w:cs="Arial"/>
          <w:color w:val="000000" w:themeColor="text1"/>
          <w:sz w:val="22"/>
          <w:szCs w:val="24"/>
          <w:lang w:val="es-ES_tradnl" w:eastAsia="es-ES_tradnl"/>
        </w:rPr>
        <w:lastRenderedPageBreak/>
        <w:t>comunidades organizadas</w:t>
      </w:r>
      <w:r w:rsidRPr="00B36C11">
        <w:rPr>
          <w:rFonts w:ascii="Arial" w:eastAsia="Calibri" w:hAnsi="Arial" w:cs="Arial"/>
          <w:color w:val="000000" w:themeColor="text1"/>
          <w:sz w:val="22"/>
          <w:szCs w:val="24"/>
          <w:vertAlign w:val="superscript"/>
          <w:lang w:val="es-ES_tradnl" w:eastAsia="es-ES_tradnl"/>
        </w:rPr>
        <w:footnoteReference w:id="4"/>
      </w:r>
      <w:r w:rsidRPr="00B36C11">
        <w:rPr>
          <w:rFonts w:ascii="Arial" w:eastAsia="Calibri" w:hAnsi="Arial" w:cs="Arial"/>
          <w:color w:val="000000" w:themeColor="text1"/>
          <w:sz w:val="22"/>
          <w:szCs w:val="24"/>
          <w:lang w:val="es-ES_tradnl" w:eastAsia="es-ES_tradnl"/>
        </w:rPr>
        <w:t>. En tal sentido, el artículo 365 de la Constitución dispone lo siguiente:</w:t>
      </w:r>
    </w:p>
    <w:p w14:paraId="02A08D42" w14:textId="77777777" w:rsidR="0099187A" w:rsidRPr="00B36C11" w:rsidRDefault="0099187A" w:rsidP="0099187A">
      <w:pPr>
        <w:ind w:left="709" w:right="709"/>
        <w:jc w:val="both"/>
        <w:rPr>
          <w:rFonts w:ascii="Arial" w:eastAsia="Calibri" w:hAnsi="Arial" w:cs="Arial"/>
          <w:color w:val="000000" w:themeColor="text1"/>
          <w:sz w:val="21"/>
          <w:szCs w:val="21"/>
          <w:lang w:val="es-ES_tradnl" w:eastAsia="es-ES_tradnl"/>
        </w:rPr>
      </w:pPr>
    </w:p>
    <w:p w14:paraId="6457DBC4" w14:textId="77777777" w:rsidR="0099187A" w:rsidRPr="00B36C11" w:rsidRDefault="0099187A" w:rsidP="0099187A">
      <w:pPr>
        <w:spacing w:after="120"/>
        <w:ind w:left="709" w:right="709"/>
        <w:jc w:val="both"/>
        <w:rPr>
          <w:rFonts w:ascii="Arial" w:eastAsia="Calibri" w:hAnsi="Arial" w:cs="Arial"/>
          <w:color w:val="000000" w:themeColor="text1"/>
          <w:sz w:val="21"/>
          <w:szCs w:val="21"/>
          <w:lang w:val="es-ES_tradnl" w:eastAsia="es-ES_tradnl"/>
        </w:rPr>
      </w:pPr>
      <w:r w:rsidRPr="00B36C11">
        <w:rPr>
          <w:rFonts w:ascii="Arial" w:eastAsia="Calibri" w:hAnsi="Arial" w:cs="Arial"/>
          <w:color w:val="000000" w:themeColor="text1"/>
          <w:sz w:val="21"/>
          <w:szCs w:val="21"/>
          <w:lang w:val="es-ES_tradnl" w:eastAsia="es-ES_tradnl"/>
        </w:rPr>
        <w:t>Los servicios públicos son inherentes a la finalidad social del Estado. Es deber del Estado asegurar su prestación eficiente a todos los habitantes del territorio nacional.</w:t>
      </w:r>
    </w:p>
    <w:p w14:paraId="1996D04A" w14:textId="77777777" w:rsidR="0099187A" w:rsidRPr="00B36C11" w:rsidRDefault="0099187A" w:rsidP="0099187A">
      <w:pPr>
        <w:ind w:left="709" w:right="709"/>
        <w:jc w:val="both"/>
        <w:rPr>
          <w:rFonts w:ascii="Arial" w:eastAsia="Calibri" w:hAnsi="Arial" w:cs="Arial"/>
          <w:color w:val="000000" w:themeColor="text1"/>
          <w:sz w:val="21"/>
          <w:szCs w:val="21"/>
          <w:lang w:val="es-ES_tradnl" w:eastAsia="es-ES_tradnl"/>
        </w:rPr>
      </w:pPr>
      <w:r w:rsidRPr="00B36C11">
        <w:rPr>
          <w:rFonts w:ascii="Arial" w:eastAsia="Calibri" w:hAnsi="Arial" w:cs="Arial"/>
          <w:color w:val="000000" w:themeColor="text1"/>
          <w:sz w:val="21"/>
          <w:szCs w:val="21"/>
          <w:lang w:val="es-ES_tradnl" w:eastAsia="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B36C11">
        <w:rPr>
          <w:rFonts w:ascii="Arial" w:eastAsia="Calibri" w:hAnsi="Arial" w:cs="Arial"/>
          <w:color w:val="000000" w:themeColor="text1"/>
          <w:sz w:val="21"/>
          <w:szCs w:val="21"/>
          <w:lang w:val="es-ES_tradnl" w:eastAsia="es-ES_tradnl"/>
        </w:rPr>
        <w:t>que</w:t>
      </w:r>
      <w:proofErr w:type="gramEnd"/>
      <w:r w:rsidRPr="00B36C11">
        <w:rPr>
          <w:rFonts w:ascii="Arial" w:eastAsia="Calibri" w:hAnsi="Arial" w:cs="Arial"/>
          <w:color w:val="000000" w:themeColor="text1"/>
          <w:sz w:val="21"/>
          <w:szCs w:val="21"/>
          <w:lang w:val="es-ES_tradnl" w:eastAsia="es-ES_tradnl"/>
        </w:rPr>
        <w:t xml:space="preserve"> en virtud de dicha ley, queden privadas del ejercicio de una actividad lícita.</w:t>
      </w:r>
    </w:p>
    <w:p w14:paraId="49C16872" w14:textId="77777777" w:rsidR="0099187A" w:rsidRPr="00B36C11" w:rsidRDefault="0099187A" w:rsidP="0099187A">
      <w:pPr>
        <w:spacing w:line="276" w:lineRule="auto"/>
        <w:ind w:firstLine="709"/>
        <w:jc w:val="both"/>
        <w:rPr>
          <w:rFonts w:ascii="Arial" w:eastAsia="Calibri" w:hAnsi="Arial" w:cs="Arial"/>
          <w:color w:val="000000" w:themeColor="text1"/>
          <w:sz w:val="22"/>
          <w:szCs w:val="24"/>
          <w:lang w:val="es-ES_tradnl" w:eastAsia="es-ES_tradnl"/>
        </w:rPr>
      </w:pPr>
    </w:p>
    <w:p w14:paraId="1BD0B4C8" w14:textId="77777777" w:rsidR="0099187A" w:rsidRPr="00B36C11" w:rsidRDefault="0099187A" w:rsidP="0099187A">
      <w:pPr>
        <w:spacing w:line="276" w:lineRule="auto"/>
        <w:ind w:firstLine="709"/>
        <w:jc w:val="both"/>
        <w:rPr>
          <w:rFonts w:ascii="Arial" w:eastAsia="Calibri" w:hAnsi="Arial" w:cs="Arial"/>
          <w:color w:val="000000" w:themeColor="text1"/>
          <w:sz w:val="22"/>
          <w:szCs w:val="24"/>
          <w:lang w:val="es-ES_tradnl" w:eastAsia="es-ES_tradnl"/>
        </w:rPr>
      </w:pPr>
      <w:bookmarkStart w:id="3" w:name="_Hlk71791168"/>
      <w:r w:rsidRPr="00B36C11">
        <w:rPr>
          <w:rFonts w:ascii="Arial" w:hAnsi="Arial" w:cs="Arial"/>
          <w:color w:val="000000"/>
          <w:sz w:val="22"/>
          <w:bdr w:val="none" w:sz="0" w:space="0" w:color="auto" w:frame="1"/>
        </w:rPr>
        <w:t xml:space="preserve">Con base en este presupuesto constitucional de liberalización de los servicios públicos domiciliarios el legislador expidió la Ley 142 de 1994, mediante la cual se establece el régimen de los servicios públicos domiciliarios. </w:t>
      </w:r>
      <w:r w:rsidRPr="00B36C11">
        <w:rPr>
          <w:rFonts w:ascii="Arial" w:eastAsia="Calibri" w:hAnsi="Arial" w:cs="Arial"/>
          <w:color w:val="000000" w:themeColor="text1"/>
          <w:sz w:val="22"/>
          <w:szCs w:val="24"/>
          <w:lang w:eastAsia="es-ES_tradnl"/>
        </w:rPr>
        <w:t>E</w:t>
      </w:r>
      <w:r w:rsidRPr="00B36C11">
        <w:rPr>
          <w:rFonts w:ascii="Arial" w:eastAsia="Calibri" w:hAnsi="Arial" w:cs="Arial"/>
          <w:color w:val="000000" w:themeColor="text1"/>
          <w:sz w:val="22"/>
          <w:szCs w:val="24"/>
          <w:lang w:val="es-ES_tradnl" w:eastAsia="es-ES_tradnl"/>
        </w:rPr>
        <w:t xml:space="preserve">l </w:t>
      </w:r>
      <w:bookmarkStart w:id="4" w:name="_Hlk71294880"/>
      <w:r w:rsidRPr="00B36C11">
        <w:rPr>
          <w:rFonts w:ascii="Arial" w:eastAsia="Calibri" w:hAnsi="Arial" w:cs="Arial"/>
          <w:color w:val="000000" w:themeColor="text1"/>
          <w:sz w:val="22"/>
          <w:szCs w:val="24"/>
          <w:lang w:val="es-ES_tradnl" w:eastAsia="es-ES_tradnl"/>
        </w:rPr>
        <w:t xml:space="preserve">artículo 15 </w:t>
      </w:r>
      <w:bookmarkStart w:id="5" w:name="_Hlk71296753"/>
      <w:bookmarkEnd w:id="4"/>
      <w:proofErr w:type="spellStart"/>
      <w:r w:rsidRPr="00B36C11">
        <w:rPr>
          <w:rFonts w:ascii="Arial" w:eastAsia="Calibri" w:hAnsi="Arial" w:cs="Arial"/>
          <w:i/>
          <w:iCs/>
          <w:color w:val="000000" w:themeColor="text1"/>
          <w:sz w:val="22"/>
          <w:szCs w:val="24"/>
          <w:lang w:val="es-ES_tradnl" w:eastAsia="es-ES_tradnl"/>
        </w:rPr>
        <w:t>ibídem</w:t>
      </w:r>
      <w:proofErr w:type="spellEnd"/>
      <w:r w:rsidRPr="00B36C11">
        <w:rPr>
          <w:rFonts w:ascii="Arial" w:eastAsia="Calibri" w:hAnsi="Arial" w:cs="Arial"/>
          <w:color w:val="000000" w:themeColor="text1"/>
          <w:sz w:val="22"/>
          <w:szCs w:val="24"/>
          <w:lang w:val="es-ES_tradnl" w:eastAsia="es-ES_tradnl"/>
        </w:rPr>
        <w:t xml:space="preserve"> enuncia las </w:t>
      </w:r>
      <w:bookmarkStart w:id="6" w:name="_Hlk71294901"/>
      <w:r w:rsidRPr="00B36C11">
        <w:rPr>
          <w:rFonts w:ascii="Arial" w:eastAsia="Calibri" w:hAnsi="Arial" w:cs="Arial"/>
          <w:color w:val="000000" w:themeColor="text1"/>
          <w:sz w:val="22"/>
          <w:szCs w:val="24"/>
          <w:lang w:val="es-ES_tradnl" w:eastAsia="es-ES_tradnl"/>
        </w:rPr>
        <w:t xml:space="preserve">personas autorizadas para prestar los servicios públicos domiciliarios: </w:t>
      </w:r>
      <w:bookmarkEnd w:id="6"/>
      <w:r w:rsidRPr="00B36C11">
        <w:rPr>
          <w:rFonts w:ascii="Arial" w:eastAsia="Calibri" w:hAnsi="Arial" w:cs="Arial"/>
          <w:color w:val="000000" w:themeColor="text1"/>
          <w:sz w:val="22"/>
          <w:szCs w:val="24"/>
          <w:lang w:val="es-ES_tradnl" w:eastAsia="es-ES_tradnl"/>
        </w:rPr>
        <w:t xml:space="preserve">i) las empresas de servicios públicos, </w:t>
      </w:r>
      <w:proofErr w:type="spellStart"/>
      <w:r w:rsidRPr="00B36C11">
        <w:rPr>
          <w:rFonts w:ascii="Arial" w:eastAsia="Calibri" w:hAnsi="Arial" w:cs="Arial"/>
          <w:color w:val="000000" w:themeColor="text1"/>
          <w:sz w:val="22"/>
          <w:szCs w:val="24"/>
          <w:lang w:val="es-ES_tradnl" w:eastAsia="es-ES_tradnl"/>
        </w:rPr>
        <w:t>ii</w:t>
      </w:r>
      <w:proofErr w:type="spellEnd"/>
      <w:r w:rsidRPr="00B36C11">
        <w:rPr>
          <w:rFonts w:ascii="Arial" w:eastAsia="Calibri" w:hAnsi="Arial" w:cs="Arial"/>
          <w:color w:val="000000" w:themeColor="text1"/>
          <w:sz w:val="22"/>
          <w:szCs w:val="24"/>
          <w:lang w:val="es-ES_tradnl" w:eastAsia="es-ES_tradnl"/>
        </w:rPr>
        <w:t xml:space="preserve">) los productores marginales, </w:t>
      </w:r>
      <w:proofErr w:type="spellStart"/>
      <w:r w:rsidRPr="00B36C11">
        <w:rPr>
          <w:rFonts w:ascii="Arial" w:eastAsia="Calibri" w:hAnsi="Arial" w:cs="Arial"/>
          <w:color w:val="000000" w:themeColor="text1"/>
          <w:sz w:val="22"/>
          <w:szCs w:val="24"/>
          <w:lang w:val="es-ES_tradnl" w:eastAsia="es-ES_tradnl"/>
        </w:rPr>
        <w:t>iii</w:t>
      </w:r>
      <w:proofErr w:type="spellEnd"/>
      <w:r w:rsidRPr="00B36C11">
        <w:rPr>
          <w:rFonts w:ascii="Arial" w:eastAsia="Calibri" w:hAnsi="Arial" w:cs="Arial"/>
          <w:color w:val="000000" w:themeColor="text1"/>
          <w:sz w:val="22"/>
          <w:szCs w:val="24"/>
          <w:lang w:val="es-ES_tradnl" w:eastAsia="es-ES_tradnl"/>
        </w:rPr>
        <w:t xml:space="preserve">) los municipios, en ciertos casos, </w:t>
      </w:r>
      <w:proofErr w:type="spellStart"/>
      <w:r w:rsidRPr="00B36C11">
        <w:rPr>
          <w:rFonts w:ascii="Arial" w:eastAsia="Calibri" w:hAnsi="Arial" w:cs="Arial"/>
          <w:color w:val="000000" w:themeColor="text1"/>
          <w:sz w:val="22"/>
          <w:szCs w:val="24"/>
          <w:lang w:val="es-ES_tradnl" w:eastAsia="es-ES_tradnl"/>
        </w:rPr>
        <w:t>iv</w:t>
      </w:r>
      <w:proofErr w:type="spellEnd"/>
      <w:r w:rsidRPr="00B36C11">
        <w:rPr>
          <w:rFonts w:ascii="Arial" w:eastAsia="Calibri" w:hAnsi="Arial" w:cs="Arial"/>
          <w:color w:val="000000" w:themeColor="text1"/>
          <w:sz w:val="22"/>
          <w:szCs w:val="24"/>
          <w:lang w:val="es-ES_tradnl" w:eastAsia="es-ES_tradnl"/>
        </w:rPr>
        <w:t>) las organizaciones autorizadas y v) las entidades descentralizadas que se encontraran prestándolos y cumplan los requisitos establecidos en la le</w:t>
      </w:r>
      <w:bookmarkEnd w:id="5"/>
      <w:r w:rsidRPr="00B36C11">
        <w:rPr>
          <w:rFonts w:ascii="Arial" w:eastAsia="Calibri" w:hAnsi="Arial" w:cs="Arial"/>
          <w:color w:val="000000" w:themeColor="text1"/>
          <w:sz w:val="22"/>
          <w:szCs w:val="24"/>
          <w:lang w:val="es-ES_tradnl" w:eastAsia="es-ES_tradnl"/>
        </w:rPr>
        <w:t>y</w:t>
      </w:r>
      <w:bookmarkEnd w:id="3"/>
      <w:r w:rsidRPr="00B36C11">
        <w:rPr>
          <w:rFonts w:ascii="Arial" w:eastAsia="Calibri" w:hAnsi="Arial" w:cs="Arial"/>
          <w:color w:val="000000" w:themeColor="text1"/>
          <w:sz w:val="22"/>
          <w:szCs w:val="24"/>
          <w:vertAlign w:val="superscript"/>
          <w:lang w:val="es-ES_tradnl" w:eastAsia="es-ES_tradnl"/>
        </w:rPr>
        <w:footnoteReference w:id="5"/>
      </w:r>
      <w:r w:rsidRPr="00B36C11">
        <w:rPr>
          <w:rFonts w:ascii="Arial" w:eastAsia="Calibri" w:hAnsi="Arial" w:cs="Arial"/>
          <w:color w:val="000000" w:themeColor="text1"/>
          <w:sz w:val="22"/>
          <w:szCs w:val="24"/>
          <w:lang w:val="es-ES_tradnl" w:eastAsia="es-ES_tradnl"/>
        </w:rPr>
        <w:t>.</w:t>
      </w:r>
    </w:p>
    <w:p w14:paraId="0B6AC585" w14:textId="7AC2402F" w:rsidR="0099187A" w:rsidRPr="00B36C11" w:rsidRDefault="00711C6E" w:rsidP="0099187A">
      <w:pPr>
        <w:spacing w:before="120" w:line="276" w:lineRule="auto"/>
        <w:ind w:firstLine="709"/>
        <w:jc w:val="both"/>
        <w:rPr>
          <w:rFonts w:ascii="Arial" w:eastAsia="Calibri" w:hAnsi="Arial" w:cs="Arial"/>
          <w:color w:val="000000" w:themeColor="text1"/>
          <w:sz w:val="22"/>
          <w:szCs w:val="24"/>
          <w:lang w:val="es-ES_tradnl" w:eastAsia="es-ES_tradnl"/>
        </w:rPr>
      </w:pPr>
      <w:r w:rsidRPr="00B36C11">
        <w:rPr>
          <w:rFonts w:ascii="Arial" w:eastAsia="Calibri" w:hAnsi="Arial" w:cs="Arial"/>
          <w:color w:val="000000" w:themeColor="text1"/>
          <w:sz w:val="22"/>
          <w:szCs w:val="24"/>
          <w:lang w:val="es-ES_tradnl" w:eastAsia="es-ES_tradnl"/>
        </w:rPr>
        <w:lastRenderedPageBreak/>
        <w:t>Ahora bien, e</w:t>
      </w:r>
      <w:r w:rsidR="0099187A" w:rsidRPr="00B36C11">
        <w:rPr>
          <w:rFonts w:ascii="Arial" w:eastAsia="Calibri" w:hAnsi="Arial" w:cs="Arial"/>
          <w:color w:val="000000" w:themeColor="text1"/>
          <w:sz w:val="22"/>
          <w:szCs w:val="24"/>
          <w:lang w:val="es-ES_tradnl" w:eastAsia="es-ES_tradnl"/>
        </w:rPr>
        <w:t>n lo que atañe específicamente al régimen de contratación, el artículo 31 de la Ley 142 de 1994, modificado por el artículo 3 de la Ley 689 de 2001, dispone que</w:t>
      </w:r>
      <w:r w:rsidR="0099187A" w:rsidRPr="00B36C11">
        <w:rPr>
          <w:rFonts w:ascii="Arial" w:hAnsi="Arial" w:cs="Arial"/>
          <w:color w:val="000000"/>
          <w:sz w:val="22"/>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0099187A" w:rsidRPr="00B36C11">
        <w:rPr>
          <w:rFonts w:ascii="Arial" w:eastAsia="Calibri" w:hAnsi="Arial" w:cs="Arial"/>
          <w:color w:val="000000" w:themeColor="text1"/>
          <w:sz w:val="22"/>
          <w:szCs w:val="24"/>
          <w:lang w:val="es-ES_tradnl" w:eastAsia="es-ES_tradnl"/>
        </w:rPr>
        <w:t>. Por su parte, el artículo 32 de la Ley 142 consagra el régimen de derecho privado para las empresas de servicios públicos domiciliarios, indicando que</w:t>
      </w:r>
      <w:r w:rsidR="00E322BA" w:rsidRPr="00B36C11">
        <w:rPr>
          <w:rFonts w:ascii="Arial" w:eastAsia="Calibri" w:hAnsi="Arial" w:cs="Arial"/>
          <w:color w:val="000000" w:themeColor="text1"/>
          <w:sz w:val="22"/>
          <w:szCs w:val="24"/>
          <w:lang w:val="es-ES_tradnl" w:eastAsia="es-ES_tradnl"/>
        </w:rPr>
        <w:t xml:space="preserve"> </w:t>
      </w:r>
      <w:r w:rsidR="0099187A" w:rsidRPr="00B36C11">
        <w:rPr>
          <w:rFonts w:ascii="Arial" w:eastAsia="Calibri" w:hAnsi="Arial" w:cs="Arial"/>
          <w:color w:val="000000" w:themeColor="text1"/>
          <w:sz w:val="22"/>
          <w:szCs w:val="24"/>
          <w:lang w:val="es-ES_tradnl" w:eastAsia="es-ES_tradnl"/>
        </w:rPr>
        <w:t>sus actos se rigen por los principios y reglas aplicables a los particulares</w:t>
      </w:r>
      <w:r w:rsidR="0099187A" w:rsidRPr="00B36C11">
        <w:rPr>
          <w:rFonts w:ascii="Arial" w:eastAsia="Calibri" w:hAnsi="Arial" w:cs="Arial"/>
          <w:color w:val="000000" w:themeColor="text1"/>
          <w:sz w:val="22"/>
          <w:szCs w:val="24"/>
          <w:vertAlign w:val="superscript"/>
          <w:lang w:val="es-ES_tradnl" w:eastAsia="es-ES_tradnl"/>
        </w:rPr>
        <w:footnoteReference w:id="6"/>
      </w:r>
      <w:r w:rsidR="0099187A" w:rsidRPr="00B36C11">
        <w:rPr>
          <w:rFonts w:ascii="Arial" w:eastAsia="Calibri" w:hAnsi="Arial" w:cs="Arial"/>
          <w:color w:val="000000" w:themeColor="text1"/>
          <w:sz w:val="22"/>
          <w:szCs w:val="24"/>
          <w:lang w:val="es-ES_tradnl" w:eastAsia="es-ES_tradnl"/>
        </w:rPr>
        <w:t>.</w:t>
      </w:r>
    </w:p>
    <w:p w14:paraId="1A28412E" w14:textId="77777777" w:rsidR="0099187A" w:rsidRPr="00B36C11" w:rsidRDefault="0099187A" w:rsidP="0099187A">
      <w:pPr>
        <w:spacing w:before="120" w:line="276" w:lineRule="auto"/>
        <w:ind w:firstLine="709"/>
        <w:jc w:val="both"/>
        <w:rPr>
          <w:rFonts w:ascii="Arial" w:eastAsia="Calibri" w:hAnsi="Arial" w:cs="Arial"/>
          <w:color w:val="000000" w:themeColor="text1"/>
          <w:sz w:val="22"/>
          <w:szCs w:val="24"/>
          <w:lang w:val="es-ES_tradnl" w:eastAsia="es-ES_tradnl"/>
        </w:rPr>
      </w:pPr>
      <w:r w:rsidRPr="00B36C11">
        <w:rPr>
          <w:rFonts w:ascii="Arial" w:eastAsia="Calibri" w:hAnsi="Arial" w:cs="Arial"/>
          <w:color w:val="000000" w:themeColor="text1"/>
          <w:sz w:val="22"/>
          <w:szCs w:val="24"/>
          <w:lang w:val="es-ES_tradnl" w:eastAsia="es-ES_tradnl"/>
        </w:rPr>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B36C11">
        <w:rPr>
          <w:rFonts w:ascii="Arial" w:eastAsia="Calibri" w:hAnsi="Arial" w:cs="Arial"/>
          <w:color w:val="000000" w:themeColor="text1"/>
          <w:sz w:val="21"/>
          <w:szCs w:val="21"/>
          <w:vertAlign w:val="superscript"/>
          <w:lang w:val="es-ES_tradnl" w:eastAsia="es-ES_tradnl"/>
        </w:rPr>
        <w:footnoteReference w:id="7"/>
      </w:r>
      <w:r w:rsidRPr="00B36C11">
        <w:rPr>
          <w:rFonts w:ascii="Arial" w:eastAsia="Calibri" w:hAnsi="Arial" w:cs="Arial"/>
          <w:color w:val="000000" w:themeColor="text1"/>
          <w:sz w:val="21"/>
          <w:szCs w:val="21"/>
          <w:lang w:val="es-ES_tradnl" w:eastAsia="es-ES_tradnl"/>
        </w:rPr>
        <w:t>.</w:t>
      </w:r>
      <w:r w:rsidRPr="00B36C11">
        <w:rPr>
          <w:rFonts w:ascii="Arial" w:eastAsia="Calibri" w:hAnsi="Arial" w:cs="Arial"/>
          <w:color w:val="000000" w:themeColor="text1"/>
          <w:sz w:val="22"/>
          <w:szCs w:val="24"/>
          <w:lang w:val="es-ES_tradnl" w:eastAsia="es-ES_tradnl"/>
        </w:rPr>
        <w:t xml:space="preserve"> En otras palabras, </w:t>
      </w:r>
      <w:bookmarkStart w:id="7" w:name="_Hlk71653647"/>
      <w:r w:rsidRPr="00B36C11">
        <w:rPr>
          <w:rFonts w:ascii="Arial" w:eastAsia="Calibri" w:hAnsi="Arial" w:cs="Arial"/>
          <w:color w:val="000000" w:themeColor="text1"/>
          <w:sz w:val="22"/>
          <w:szCs w:val="24"/>
          <w:lang w:val="es-ES_tradnl" w:eastAsia="es-ES_tradnl"/>
        </w:rPr>
        <w:t xml:space="preserve">las empresas prestadoras de servicios públicos domiciliarios </w:t>
      </w:r>
      <w:bookmarkStart w:id="8" w:name="_Hlk71738505"/>
      <w:r w:rsidRPr="00B36C11">
        <w:rPr>
          <w:rFonts w:ascii="Arial" w:eastAsia="Calibri" w:hAnsi="Arial" w:cs="Arial"/>
          <w:color w:val="000000" w:themeColor="text1"/>
          <w:sz w:val="22"/>
          <w:szCs w:val="24"/>
          <w:lang w:val="es-ES_tradnl" w:eastAsia="es-ES_tradnl"/>
        </w:rPr>
        <w:lastRenderedPageBreak/>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7"/>
    <w:bookmarkEnd w:id="8"/>
    <w:p w14:paraId="15594E97" w14:textId="3A146417" w:rsidR="0099187A" w:rsidRPr="00B36C11" w:rsidRDefault="0099187A" w:rsidP="0099187A">
      <w:pPr>
        <w:spacing w:before="120" w:line="276" w:lineRule="auto"/>
        <w:ind w:firstLine="709"/>
        <w:jc w:val="both"/>
        <w:rPr>
          <w:rFonts w:ascii="Arial" w:eastAsia="Calibri" w:hAnsi="Arial" w:cs="Arial"/>
          <w:color w:val="000000" w:themeColor="text1"/>
          <w:sz w:val="22"/>
          <w:szCs w:val="24"/>
          <w:lang w:val="es-ES_tradnl" w:eastAsia="es-ES_tradnl"/>
        </w:rPr>
      </w:pPr>
      <w:r w:rsidRPr="00B36C11">
        <w:rPr>
          <w:rFonts w:ascii="Arial" w:eastAsia="Calibri" w:hAnsi="Arial" w:cs="Arial"/>
          <w:color w:val="000000" w:themeColor="text1"/>
          <w:sz w:val="22"/>
          <w:szCs w:val="24"/>
          <w:lang w:val="es-ES_tradnl" w:eastAsia="es-ES_tradnl"/>
        </w:rPr>
        <w:t>Lo anterior no significa que la actividad contractual de las empresas prestadoras de servicios públicos domiciliarios se rija por un «derecho privado puro», pues este se encuentra irrigado</w:t>
      </w:r>
      <w:r w:rsidR="00E322BA" w:rsidRPr="00B36C11">
        <w:rPr>
          <w:rFonts w:ascii="Arial" w:eastAsia="Calibri" w:hAnsi="Arial" w:cs="Arial"/>
          <w:color w:val="000000" w:themeColor="text1"/>
          <w:sz w:val="22"/>
          <w:szCs w:val="24"/>
          <w:lang w:val="es-ES_tradnl" w:eastAsia="es-ES_tradnl"/>
        </w:rPr>
        <w:t>, entre otras cosas,</w:t>
      </w:r>
      <w:r w:rsidRPr="00B36C11">
        <w:rPr>
          <w:rFonts w:ascii="Arial" w:eastAsia="Calibri" w:hAnsi="Arial" w:cs="Arial"/>
          <w:color w:val="000000" w:themeColor="text1"/>
          <w:sz w:val="22"/>
          <w:szCs w:val="24"/>
          <w:lang w:val="es-ES_tradnl" w:eastAsia="es-ES_tradnl"/>
        </w:rPr>
        <w:t xml:space="preserve"> por los principios de la función administrativa y de la gestión fiscal, previstos en los artículos 209 y 267 de la Constitución, toda vez que así lo dispone el artículo 13 de la Ley 1150 de 2007</w:t>
      </w:r>
      <w:r w:rsidRPr="00B36C11">
        <w:rPr>
          <w:rFonts w:ascii="Arial" w:eastAsia="Calibri" w:hAnsi="Arial" w:cs="Arial"/>
          <w:color w:val="000000" w:themeColor="text1"/>
          <w:sz w:val="22"/>
          <w:szCs w:val="24"/>
          <w:vertAlign w:val="superscript"/>
          <w:lang w:val="es-ES_tradnl" w:eastAsia="es-ES_tradnl"/>
        </w:rPr>
        <w:footnoteReference w:id="8"/>
      </w:r>
      <w:r w:rsidRPr="00B36C11">
        <w:rPr>
          <w:rFonts w:ascii="Arial" w:eastAsia="Calibri" w:hAnsi="Arial" w:cs="Arial"/>
          <w:color w:val="000000" w:themeColor="text1"/>
          <w:sz w:val="22"/>
          <w:szCs w:val="24"/>
          <w:lang w:val="es-ES_tradnl" w:eastAsia="es-ES_tradnl"/>
        </w:rPr>
        <w:t>.</w:t>
      </w:r>
    </w:p>
    <w:p w14:paraId="7268EE22" w14:textId="0DB27E7E" w:rsidR="00124877" w:rsidRPr="00B36C11" w:rsidRDefault="00124877" w:rsidP="004B29A8">
      <w:pPr>
        <w:pStyle w:val="Prrafodelista"/>
        <w:tabs>
          <w:tab w:val="left" w:pos="284"/>
        </w:tabs>
        <w:spacing w:line="276" w:lineRule="auto"/>
        <w:ind w:left="0"/>
        <w:jc w:val="both"/>
        <w:rPr>
          <w:rFonts w:ascii="Arial" w:eastAsia="Calibri" w:hAnsi="Arial" w:cs="Arial"/>
          <w:b/>
          <w:sz w:val="22"/>
          <w:lang w:val="es-CO"/>
        </w:rPr>
      </w:pPr>
    </w:p>
    <w:p w14:paraId="1A03BC31" w14:textId="1D82420A" w:rsidR="00524D16" w:rsidRPr="00B36C11" w:rsidRDefault="00F055FA" w:rsidP="00524D16">
      <w:pPr>
        <w:spacing w:line="276" w:lineRule="auto"/>
        <w:jc w:val="both"/>
        <w:rPr>
          <w:rFonts w:ascii="Arial" w:eastAsia="Arial" w:hAnsi="Arial" w:cs="Arial"/>
          <w:b/>
          <w:bCs/>
          <w:sz w:val="22"/>
          <w:szCs w:val="24"/>
          <w:lang w:val="es-ES_tradnl" w:eastAsia="es-ES_tradnl"/>
        </w:rPr>
      </w:pPr>
      <w:r w:rsidRPr="00B36C11">
        <w:rPr>
          <w:rFonts w:ascii="Arial" w:eastAsia="Calibri" w:hAnsi="Arial" w:cs="Arial"/>
          <w:b/>
          <w:color w:val="000000" w:themeColor="text1"/>
          <w:sz w:val="22"/>
          <w:lang w:val="es-ES_tradnl"/>
        </w:rPr>
        <w:t xml:space="preserve">2.3. </w:t>
      </w:r>
      <w:r w:rsidR="00524D16" w:rsidRPr="00B36C11">
        <w:rPr>
          <w:rFonts w:ascii="Arial" w:eastAsia="Arial" w:hAnsi="Arial" w:cs="Arial"/>
          <w:b/>
          <w:bCs/>
          <w:sz w:val="22"/>
          <w:szCs w:val="24"/>
          <w:lang w:val="es-ES_tradnl" w:eastAsia="es-ES_tradnl"/>
        </w:rPr>
        <w:t xml:space="preserve">Fundamento normativo y ámbito de aplicación de los documentos tipo </w:t>
      </w:r>
    </w:p>
    <w:p w14:paraId="1C57710E" w14:textId="77777777" w:rsidR="00524D16" w:rsidRPr="00B36C11" w:rsidRDefault="00524D16" w:rsidP="00524D16">
      <w:pPr>
        <w:spacing w:line="276" w:lineRule="auto"/>
        <w:jc w:val="both"/>
        <w:rPr>
          <w:rFonts w:ascii="Arial" w:eastAsia="Calibri" w:hAnsi="Arial" w:cs="Arial"/>
          <w:sz w:val="22"/>
          <w:szCs w:val="24"/>
          <w:lang w:val="es-ES_tradnl" w:eastAsia="es-ES_tradnl"/>
        </w:rPr>
      </w:pPr>
    </w:p>
    <w:p w14:paraId="6198E3FA" w14:textId="77777777" w:rsidR="00524D16" w:rsidRPr="00B36C11" w:rsidRDefault="00524D16" w:rsidP="00524D16">
      <w:pPr>
        <w:spacing w:line="276" w:lineRule="auto"/>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t>La adopción de los documentos tipo obligatorios en el ordenamiento jurídico colombiano se incluyó por primera vez en el parágrafo 3 del artículo 2 de la Ley 1150 de 2007</w:t>
      </w:r>
      <w:r w:rsidRPr="00B36C11">
        <w:rPr>
          <w:rFonts w:ascii="Arial" w:eastAsia="Calibri" w:hAnsi="Arial" w:cs="Arial"/>
          <w:szCs w:val="24"/>
          <w:vertAlign w:val="superscript"/>
          <w:lang w:val="es-CO" w:eastAsia="es-ES_tradnl"/>
        </w:rPr>
        <w:footnoteReference w:id="9"/>
      </w:r>
      <w:r w:rsidRPr="00B36C11">
        <w:rPr>
          <w:rFonts w:ascii="Arial" w:eastAsia="Calibri" w:hAnsi="Arial" w:cs="Arial"/>
          <w:sz w:val="22"/>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16EC902" w14:textId="77777777" w:rsidR="00524D16" w:rsidRPr="00B36C11" w:rsidRDefault="00524D16" w:rsidP="00524D16">
      <w:pPr>
        <w:spacing w:before="120" w:line="276" w:lineRule="auto"/>
        <w:ind w:firstLine="709"/>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52222DBD" w14:textId="77777777" w:rsidR="00524D16" w:rsidRPr="00B36C11" w:rsidRDefault="00524D16" w:rsidP="00524D16">
      <w:pPr>
        <w:spacing w:before="120" w:line="276" w:lineRule="auto"/>
        <w:ind w:firstLine="708"/>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t xml:space="preserve">El artículo 4 de la Ley 1882 de 2018 establecía que el Gobierno Nacional adoptaría los documentos tipo para los pliegos de condiciones de los procesos de selección de obras públicas, interventoría para las obras públicas, interventoría para consultoría de estudios y </w:t>
      </w:r>
      <w:r w:rsidRPr="00B36C11">
        <w:rPr>
          <w:rFonts w:ascii="Arial" w:eastAsia="Calibri" w:hAnsi="Arial" w:cs="Arial"/>
          <w:sz w:val="22"/>
          <w:szCs w:val="24"/>
          <w:lang w:val="es-ES_tradnl" w:eastAsia="es-ES_tradnl"/>
        </w:rPr>
        <w:lastRenderedPageBreak/>
        <w:t>diseños para obras públicas y consultoría en ingeniería para obras, los cuales debían ser utilizados por todas las entidades sometidas al Estatuto General de Contratación de la Administración Pública en los Procesos de Contratación que adelantaran</w:t>
      </w:r>
      <w:r w:rsidRPr="00B36C11">
        <w:rPr>
          <w:rFonts w:ascii="Arial" w:eastAsia="Calibri" w:hAnsi="Arial" w:cs="Arial"/>
          <w:szCs w:val="24"/>
          <w:vertAlign w:val="superscript"/>
          <w:lang w:val="es-CO" w:eastAsia="es-ES_tradnl"/>
        </w:rPr>
        <w:footnoteReference w:id="10"/>
      </w:r>
      <w:r w:rsidRPr="00B36C11">
        <w:rPr>
          <w:rFonts w:ascii="Arial" w:eastAsia="Calibri" w:hAnsi="Arial" w:cs="Arial"/>
          <w:sz w:val="22"/>
          <w:szCs w:val="24"/>
          <w:lang w:val="es-ES_tradnl" w:eastAsia="es-ES_tradnl"/>
        </w:rPr>
        <w:t>.</w:t>
      </w:r>
    </w:p>
    <w:p w14:paraId="0441879A" w14:textId="77777777" w:rsidR="00524D16" w:rsidRPr="00B36C11" w:rsidRDefault="00524D16" w:rsidP="00524D16">
      <w:pPr>
        <w:spacing w:before="120" w:line="276" w:lineRule="auto"/>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tab/>
        <w:t xml:space="preserve">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0FBCD8D" w14:textId="77777777" w:rsidR="00524D16" w:rsidRPr="00B36C11" w:rsidRDefault="00524D16" w:rsidP="00524D16">
      <w:pPr>
        <w:spacing w:before="120" w:line="276" w:lineRule="auto"/>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tab/>
        <w:t xml:space="preserve">De la norma descrita se concluía lo siguiente: i) la adopción de los documentos tipo estaba en cabeza del Gobierno Nacional. </w:t>
      </w:r>
      <w:proofErr w:type="spellStart"/>
      <w:r w:rsidRPr="00B36C11">
        <w:rPr>
          <w:rFonts w:ascii="Arial" w:eastAsia="Calibri" w:hAnsi="Arial" w:cs="Arial"/>
          <w:sz w:val="22"/>
          <w:szCs w:val="24"/>
          <w:lang w:val="es-ES_tradnl" w:eastAsia="es-ES_tradnl"/>
        </w:rPr>
        <w:t>ii</w:t>
      </w:r>
      <w:proofErr w:type="spellEnd"/>
      <w:r w:rsidRPr="00B36C11">
        <w:rPr>
          <w:rFonts w:ascii="Arial" w:eastAsia="Calibri" w:hAnsi="Arial" w:cs="Arial"/>
          <w:sz w:val="22"/>
          <w:szCs w:val="24"/>
          <w:lang w:val="es-ES_tradnl"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B36C11">
        <w:rPr>
          <w:rFonts w:ascii="Arial" w:eastAsia="Calibri" w:hAnsi="Arial" w:cs="Arial"/>
          <w:sz w:val="22"/>
          <w:szCs w:val="24"/>
          <w:lang w:val="es-ES_tradnl" w:eastAsia="es-ES_tradnl"/>
        </w:rPr>
        <w:t>iii</w:t>
      </w:r>
      <w:proofErr w:type="spellEnd"/>
      <w:r w:rsidRPr="00B36C11">
        <w:rPr>
          <w:rFonts w:ascii="Arial" w:eastAsia="Calibri" w:hAnsi="Arial" w:cs="Arial"/>
          <w:sz w:val="22"/>
          <w:szCs w:val="24"/>
          <w:lang w:val="es-ES_tradnl" w:eastAsia="es-ES_tradnl"/>
        </w:rPr>
        <w:t xml:space="preserve">) Eran de obligatorio cumplimiento por parte de todas las entidades sometidas al Estatuto General de Contratación de la Administración Pública. </w:t>
      </w:r>
      <w:proofErr w:type="spellStart"/>
      <w:r w:rsidRPr="00B36C11">
        <w:rPr>
          <w:rFonts w:ascii="Arial" w:eastAsia="Calibri" w:hAnsi="Arial" w:cs="Arial"/>
          <w:sz w:val="22"/>
          <w:szCs w:val="24"/>
          <w:lang w:val="es-ES_tradnl" w:eastAsia="es-ES_tradnl"/>
        </w:rPr>
        <w:t>iv</w:t>
      </w:r>
      <w:proofErr w:type="spellEnd"/>
      <w:r w:rsidRPr="00B36C11">
        <w:rPr>
          <w:rFonts w:ascii="Arial" w:eastAsia="Calibri" w:hAnsi="Arial" w:cs="Arial"/>
          <w:sz w:val="22"/>
          <w:szCs w:val="24"/>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7097350" w14:textId="77777777" w:rsidR="00524D16" w:rsidRPr="00B36C11" w:rsidRDefault="00524D16" w:rsidP="00524D16">
      <w:pPr>
        <w:spacing w:before="120" w:line="276" w:lineRule="auto"/>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9" w:name="_Hlk48665985"/>
      <w:r w:rsidRPr="00B36C11">
        <w:rPr>
          <w:rFonts w:ascii="Arial" w:eastAsia="Calibri" w:hAnsi="Arial" w:cs="Arial"/>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9"/>
      <w:r w:rsidRPr="00B36C11">
        <w:rPr>
          <w:rFonts w:ascii="Arial" w:eastAsia="Calibri" w:hAnsi="Arial" w:cs="Arial"/>
          <w:sz w:val="22"/>
          <w:szCs w:val="24"/>
          <w:lang w:val="es-ES_tradnl" w:eastAsia="es-ES_tradnl"/>
        </w:rPr>
        <w:t>. De igual manera, se establece que esta autonomía se garantiza con la identificación autónoma de sus necesidades y la configuración de los elementos del contrato</w:t>
      </w:r>
      <w:r w:rsidRPr="00B36C11">
        <w:rPr>
          <w:rFonts w:ascii="Arial" w:eastAsia="Calibri" w:hAnsi="Arial" w:cs="Arial"/>
          <w:szCs w:val="24"/>
          <w:vertAlign w:val="superscript"/>
          <w:lang w:val="es-CO" w:eastAsia="es-ES_tradnl"/>
        </w:rPr>
        <w:footnoteReference w:id="11"/>
      </w:r>
      <w:r w:rsidRPr="00B36C11">
        <w:rPr>
          <w:rFonts w:ascii="Arial" w:eastAsia="Calibri" w:hAnsi="Arial" w:cs="Arial"/>
          <w:sz w:val="22"/>
          <w:szCs w:val="24"/>
          <w:lang w:val="es-ES_tradnl" w:eastAsia="es-ES_tradnl"/>
        </w:rPr>
        <w:t>.</w:t>
      </w:r>
    </w:p>
    <w:p w14:paraId="00999CC8" w14:textId="77777777" w:rsidR="00524D16" w:rsidRPr="00B36C11" w:rsidRDefault="00524D16" w:rsidP="00524D16">
      <w:pPr>
        <w:spacing w:before="120" w:line="276" w:lineRule="auto"/>
        <w:jc w:val="both"/>
        <w:rPr>
          <w:rFonts w:ascii="Arial" w:eastAsia="Calibri" w:hAnsi="Arial" w:cs="Arial"/>
          <w:sz w:val="22"/>
          <w:szCs w:val="24"/>
          <w:lang w:val="es-ES_tradnl" w:eastAsia="es-ES_tradnl"/>
        </w:rPr>
      </w:pPr>
      <w:r w:rsidRPr="00B36C11">
        <w:rPr>
          <w:rFonts w:ascii="Arial" w:eastAsia="Calibri" w:hAnsi="Arial" w:cs="Arial"/>
          <w:sz w:val="22"/>
          <w:szCs w:val="24"/>
          <w:lang w:val="es-ES_tradnl" w:eastAsia="es-ES_tradnl"/>
        </w:rPr>
        <w:tab/>
        <w:t>De este modo, los documentos tipo no afectan la autonomía de las entidades territoriales. Lo anterior, debido a que la definición de los requisitos habilitantes y de aspectos técnicos de la escogencia del contratista en los Procesos de Contratación, son contenidos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20205A88" w14:textId="77777777" w:rsidR="00524D16" w:rsidRPr="00B36C11" w:rsidRDefault="00524D16" w:rsidP="00524D16">
      <w:pPr>
        <w:spacing w:before="120" w:line="276" w:lineRule="auto"/>
        <w:jc w:val="both"/>
        <w:rPr>
          <w:rFonts w:ascii="Arial" w:eastAsia="Calibri" w:hAnsi="Arial" w:cs="Arial"/>
          <w:sz w:val="22"/>
          <w:lang w:val="es-ES_tradnl"/>
        </w:rPr>
      </w:pPr>
      <w:r w:rsidRPr="00B36C11">
        <w:rPr>
          <w:rFonts w:ascii="Arial" w:eastAsia="Calibri" w:hAnsi="Arial" w:cs="Arial"/>
          <w:sz w:val="22"/>
          <w:lang w:val="es-ES_tradnl" w:eastAsia="es-ES_tradnl"/>
        </w:rPr>
        <w:tab/>
      </w:r>
      <w:r w:rsidRPr="00B36C11">
        <w:rPr>
          <w:rFonts w:ascii="Arial" w:eastAsia="Calibri" w:hAnsi="Arial" w:cs="Arial"/>
          <w:color w:val="000000"/>
          <w:sz w:val="22"/>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B36C11">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w:t>
      </w:r>
      <w:r w:rsidRPr="00B36C11">
        <w:rPr>
          <w:rFonts w:ascii="Arial" w:eastAsia="Calibri" w:hAnsi="Arial" w:cs="Arial"/>
          <w:sz w:val="22"/>
          <w:lang w:val="es-ES" w:eastAsia="es-ES_tradnl"/>
        </w:rPr>
        <w:t>del 21 de noviembre de 2019</w:t>
      </w:r>
      <w:r w:rsidRPr="00B36C11">
        <w:rPr>
          <w:rFonts w:ascii="Arial" w:eastAsia="Calibri" w:hAnsi="Arial" w:cs="Arial"/>
          <w:sz w:val="22"/>
          <w:lang w:val="es-ES_tradnl"/>
        </w:rPr>
        <w:t xml:space="preserve">, que permitió el desarrollo de los documentos tipo para los pliegos de condiciones de los procesos de obras públicas </w:t>
      </w:r>
      <w:r w:rsidRPr="00B36C11">
        <w:rPr>
          <w:rFonts w:ascii="Arial" w:eastAsia="Calibri" w:hAnsi="Arial" w:cs="Arial"/>
          <w:sz w:val="22"/>
          <w:lang w:val="es-ES_tradnl"/>
        </w:rPr>
        <w:lastRenderedPageBreak/>
        <w:t xml:space="preserve">de infraestructura de transporte que se adelantaran por la modalidad de selección abreviada de menor cuantía. </w:t>
      </w:r>
    </w:p>
    <w:p w14:paraId="143DDDE4" w14:textId="77777777" w:rsidR="00524D16" w:rsidRPr="00B36C11" w:rsidRDefault="00524D16" w:rsidP="00524D16">
      <w:pPr>
        <w:spacing w:before="120" w:line="276" w:lineRule="auto"/>
        <w:ind w:firstLine="708"/>
        <w:jc w:val="both"/>
        <w:rPr>
          <w:rFonts w:ascii="Arial" w:eastAsia="Calibri" w:hAnsi="Arial" w:cs="Arial"/>
          <w:sz w:val="22"/>
          <w:lang w:val="es-ES_tradnl" w:eastAsia="es-ES_tradnl"/>
        </w:rPr>
      </w:pPr>
      <w:r w:rsidRPr="00B36C11">
        <w:rPr>
          <w:rFonts w:ascii="Arial" w:eastAsia="Calibri" w:hAnsi="Arial" w:cs="Arial"/>
          <w:sz w:val="22"/>
          <w:lang w:val="es-ES_tradnl"/>
        </w:rPr>
        <w:t>Finalmente, se profirió el Decreto 594 de 2020, frente a los documentos tipo para los contratos de obra pública</w:t>
      </w:r>
      <w:r w:rsidRPr="00B36C11" w:rsidDel="00A434AB">
        <w:rPr>
          <w:rFonts w:ascii="Arial" w:eastAsia="Calibri" w:hAnsi="Arial" w:cs="Arial"/>
          <w:sz w:val="22"/>
          <w:lang w:val="es-ES_tradnl"/>
        </w:rPr>
        <w:t xml:space="preserve"> </w:t>
      </w:r>
      <w:r w:rsidRPr="00B36C11">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10" w:name="_Hlk37841850"/>
      <w:r w:rsidRPr="00B36C11">
        <w:rPr>
          <w:rFonts w:ascii="Arial" w:eastAsia="Calibri" w:hAnsi="Arial" w:cs="Arial"/>
          <w:sz w:val="22"/>
          <w:lang w:val="es-ES_tradnl"/>
        </w:rPr>
        <w:t xml:space="preserve">– Colombia Compra Eficiente, </w:t>
      </w:r>
      <w:bookmarkEnd w:id="10"/>
      <w:r w:rsidRPr="00B36C11">
        <w:rPr>
          <w:rFonts w:ascii="Arial" w:eastAsia="Calibri" w:hAnsi="Arial" w:cs="Arial"/>
          <w:sz w:val="22"/>
          <w:lang w:val="es-ES_tradnl"/>
        </w:rPr>
        <w:t>por medio de la Resolución 1798 de 2019 –derogada por la Resolución 045 de 2020–, la Resolución 044 de 2020 y la Resolución 094 de 2020.</w:t>
      </w:r>
    </w:p>
    <w:p w14:paraId="24762193" w14:textId="77777777" w:rsidR="00524D16" w:rsidRPr="00B36C11" w:rsidRDefault="00524D16" w:rsidP="00524D16">
      <w:pPr>
        <w:spacing w:before="120" w:line="276" w:lineRule="auto"/>
        <w:ind w:firstLine="709"/>
        <w:jc w:val="both"/>
        <w:rPr>
          <w:rFonts w:ascii="Arial" w:eastAsia="Calibri" w:hAnsi="Arial" w:cs="Arial"/>
          <w:sz w:val="22"/>
          <w:lang w:val="es-ES_tradnl" w:eastAsia="es-ES"/>
        </w:rPr>
      </w:pPr>
      <w:r w:rsidRPr="00B36C11">
        <w:rPr>
          <w:rFonts w:ascii="Arial" w:eastAsia="Calibri" w:hAnsi="Arial" w:cs="Arial"/>
          <w:sz w:val="22"/>
          <w:lang w:val="es-ES_tradnl" w:eastAsia="es-ES"/>
        </w:rPr>
        <w:t xml:space="preserve">Con posterioridad a la adopción de los anteriores documentos tipo, se expidió la Ley 2022 del </w:t>
      </w:r>
      <w:r w:rsidRPr="00B36C11">
        <w:rPr>
          <w:rFonts w:ascii="Arial" w:eastAsia="Calibri" w:hAnsi="Arial" w:cs="Arial"/>
          <w:color w:val="000000"/>
          <w:sz w:val="22"/>
          <w:lang w:val="es-ES" w:eastAsia="es-ES"/>
        </w:rPr>
        <w:t>22 de julio de 2020</w:t>
      </w:r>
      <w:r w:rsidRPr="00B36C11">
        <w:rPr>
          <w:rFonts w:ascii="Arial" w:eastAsia="Calibri" w:hAnsi="Arial" w:cs="Arial"/>
          <w:sz w:val="22"/>
          <w:lang w:val="es-ES_tradnl" w:eastAsia="es-ES"/>
        </w:rPr>
        <w:t>, norma que modificó el parágrafo 7 del artículo 2 de la Ley 1150 de 2007, que había sido adicionado por la Ley 1882 de 2018</w:t>
      </w:r>
      <w:r w:rsidRPr="00B36C11">
        <w:rPr>
          <w:rFonts w:ascii="Arial" w:eastAsia="Calibri" w:hAnsi="Arial" w:cs="Arial"/>
          <w:color w:val="000000"/>
          <w:sz w:val="22"/>
          <w:vertAlign w:val="superscript"/>
          <w:lang w:val="es-ES_tradnl" w:eastAsia="es-ES"/>
        </w:rPr>
        <w:footnoteReference w:id="12"/>
      </w:r>
      <w:r w:rsidRPr="00B36C11">
        <w:rPr>
          <w:rFonts w:ascii="Arial" w:eastAsia="Calibri" w:hAnsi="Arial" w:cs="Arial"/>
          <w:sz w:val="22"/>
          <w:lang w:val="es-ES_tradnl" w:eastAsia="es-ES"/>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B36C11">
        <w:rPr>
          <w:rFonts w:ascii="Arial" w:eastAsia="Calibri" w:hAnsi="Arial" w:cs="Arial"/>
          <w:sz w:val="22"/>
          <w:lang w:val="es-ES_tradnl"/>
        </w:rPr>
        <w:t xml:space="preserve">Agencia Nacional de Contratación Pública – Colombia Compra Eficiente la competencia para su adopción. </w:t>
      </w:r>
      <w:r w:rsidRPr="00B36C11">
        <w:rPr>
          <w:rFonts w:ascii="Arial" w:eastAsia="Calibri" w:hAnsi="Arial" w:cs="Arial"/>
          <w:sz w:val="22"/>
          <w:lang w:val="es-ES_tradnl" w:eastAsia="es-ES"/>
        </w:rPr>
        <w:t xml:space="preserve">En este marco, con la finalidad de realizar un desarrollo armónico y ajustado a la ley que otorgó esta competencia, esta Agencia emitió la Resolución 160 de 2020 «Por la cual se adopta el procedimiento </w:t>
      </w:r>
      <w:r w:rsidRPr="00B36C11">
        <w:rPr>
          <w:rFonts w:ascii="Arial" w:eastAsia="Calibri" w:hAnsi="Arial" w:cs="Arial"/>
          <w:sz w:val="22"/>
          <w:lang w:val="es-ES_tradnl" w:eastAsia="es-ES"/>
        </w:rPr>
        <w:lastRenderedPageBreak/>
        <w:t xml:space="preserve">para implementar los documentos tipo y se define el sistema para su revisión». Así mismo, con fundamento en dicha Ley, se profirió la Resolución 240 de 2020, «Por la cual se actualizan los Documentos Tipo para los procesos de selección de licitación de obra pública de infraestructura de transporte y se deroga la Resolución 0045 de 2020». </w:t>
      </w:r>
    </w:p>
    <w:p w14:paraId="62F2C6E6" w14:textId="77777777" w:rsidR="00524D16" w:rsidRPr="00B36C11" w:rsidRDefault="00524D16" w:rsidP="00524D16">
      <w:pPr>
        <w:spacing w:before="120" w:line="276" w:lineRule="auto"/>
        <w:ind w:firstLine="709"/>
        <w:jc w:val="both"/>
        <w:rPr>
          <w:rFonts w:ascii="Arial" w:eastAsia="Calibri" w:hAnsi="Arial" w:cs="Arial"/>
          <w:sz w:val="22"/>
          <w:lang w:val="es-ES_tradnl" w:eastAsia="es-ES"/>
        </w:rPr>
      </w:pPr>
      <w:r w:rsidRPr="00B36C11">
        <w:rPr>
          <w:rFonts w:ascii="Arial" w:eastAsia="Calibri" w:hAnsi="Arial" w:cs="Arial"/>
          <w:sz w:val="22"/>
          <w:lang w:val="es-ES_tradnl" w:eastAsia="es-ES"/>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B36C11">
        <w:rPr>
          <w:rFonts w:ascii="Arial" w:eastAsia="Calibri" w:hAnsi="Arial" w:cs="Arial"/>
          <w:sz w:val="22"/>
          <w:lang w:val="es-ES_tradnl" w:eastAsia="es-ES"/>
        </w:rPr>
        <w:t>entró en vigencia</w:t>
      </w:r>
      <w:proofErr w:type="gramEnd"/>
      <w:r w:rsidRPr="00B36C11">
        <w:rPr>
          <w:rFonts w:ascii="Arial" w:eastAsia="Calibri" w:hAnsi="Arial" w:cs="Arial"/>
          <w:sz w:val="22"/>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16C55A7C" w14:textId="77777777" w:rsidR="00524D16" w:rsidRPr="00B36C11" w:rsidRDefault="00524D16" w:rsidP="00524D16">
      <w:pPr>
        <w:spacing w:before="120" w:line="276" w:lineRule="auto"/>
        <w:ind w:firstLine="709"/>
        <w:jc w:val="both"/>
        <w:rPr>
          <w:rFonts w:ascii="Arial" w:eastAsia="Times New Roman" w:hAnsi="Arial" w:cs="Arial"/>
          <w:sz w:val="22"/>
          <w:lang w:val="es-ES_tradnl" w:eastAsia="es-ES"/>
        </w:rPr>
      </w:pPr>
      <w:r w:rsidRPr="00B36C11">
        <w:rPr>
          <w:rFonts w:ascii="Arial" w:eastAsia="Calibri" w:hAnsi="Arial" w:cs="Arial"/>
          <w:sz w:val="22"/>
          <w:lang w:val="es-ES_tradnl" w:eastAsia="es-ES"/>
        </w:rPr>
        <w:t xml:space="preserve">A los actos administrativos mencionados se suman: i) la Resolución 193 de 2021, </w:t>
      </w:r>
      <w:r w:rsidRPr="00B36C11">
        <w:rPr>
          <w:rFonts w:ascii="Arial" w:eastAsia="Times New Roman" w:hAnsi="Arial" w:cs="Arial"/>
          <w:sz w:val="22"/>
          <w:lang w:val="es-ES_tradnl" w:eastAsia="es-ES"/>
        </w:rPr>
        <w:t>«Por la cual se adoptan los documentos tipo para los procesos de selección de concurso de méritos, para contratar la consultoría de estudios de ingeniería de infraestructura de transporte»,</w:t>
      </w:r>
      <w:r w:rsidRPr="00B36C11">
        <w:rPr>
          <w:rFonts w:ascii="Arial" w:eastAsia="Calibri" w:hAnsi="Arial" w:cs="Arial"/>
          <w:sz w:val="22"/>
          <w:lang w:val="es-ES_tradnl" w:eastAsia="es-ES"/>
        </w:rPr>
        <w:t xml:space="preserve"> </w:t>
      </w:r>
      <w:proofErr w:type="spellStart"/>
      <w:r w:rsidRPr="00B36C11">
        <w:rPr>
          <w:rFonts w:ascii="Arial" w:eastAsia="Calibri" w:hAnsi="Arial" w:cs="Arial"/>
          <w:sz w:val="22"/>
          <w:lang w:val="es-ES_tradnl" w:eastAsia="es-ES"/>
        </w:rPr>
        <w:t>ii</w:t>
      </w:r>
      <w:proofErr w:type="spellEnd"/>
      <w:r w:rsidRPr="00B36C11">
        <w:rPr>
          <w:rFonts w:ascii="Arial" w:eastAsia="Calibri" w:hAnsi="Arial" w:cs="Arial"/>
          <w:sz w:val="22"/>
          <w:lang w:val="es-ES_tradnl" w:eastAsia="es-ES"/>
        </w:rPr>
        <w:t>) la Resolución 219 de 2020,</w:t>
      </w:r>
      <w:r w:rsidRPr="00B36C11">
        <w:rPr>
          <w:rFonts w:ascii="Arial" w:eastAsia="Times New Roman" w:hAnsi="Arial" w:cs="Arial"/>
          <w:sz w:val="22"/>
          <w:lang w:val="es-ES_tradnl" w:eastAsia="es-ES"/>
        </w:rPr>
        <w:t xml:space="preserve"> «Por la cual se adoptan los documentos tipo para los procesos de licitación de obra pública de infraestructura social», </w:t>
      </w:r>
      <w:proofErr w:type="spellStart"/>
      <w:r w:rsidRPr="00B36C11">
        <w:rPr>
          <w:rFonts w:ascii="Arial" w:eastAsia="Times New Roman" w:hAnsi="Arial" w:cs="Arial"/>
          <w:sz w:val="22"/>
          <w:lang w:val="es-ES_tradnl" w:eastAsia="es-ES"/>
        </w:rPr>
        <w:t>iii</w:t>
      </w:r>
      <w:proofErr w:type="spellEnd"/>
      <w:r w:rsidRPr="00B36C11">
        <w:rPr>
          <w:rFonts w:ascii="Arial" w:eastAsia="Times New Roman" w:hAnsi="Arial" w:cs="Arial"/>
          <w:sz w:val="22"/>
          <w:lang w:val="es-ES_tradnl" w:eastAsia="es-ES"/>
        </w:rPr>
        <w:t xml:space="preserve">) la Resolución 220 de 2021, «Por la cual se adoptan los documentos tipo complementarios para los procesos de licitación de obra pública de infraestructura social relacionados con el sector educativo», </w:t>
      </w:r>
      <w:proofErr w:type="spellStart"/>
      <w:r w:rsidRPr="00B36C11">
        <w:rPr>
          <w:rFonts w:ascii="Arial" w:eastAsia="Times New Roman" w:hAnsi="Arial" w:cs="Arial"/>
          <w:sz w:val="22"/>
          <w:lang w:val="es-ES_tradnl" w:eastAsia="es-ES"/>
        </w:rPr>
        <w:t>iv</w:t>
      </w:r>
      <w:proofErr w:type="spellEnd"/>
      <w:r w:rsidRPr="00B36C11">
        <w:rPr>
          <w:rFonts w:ascii="Arial" w:eastAsia="Times New Roman" w:hAnsi="Arial" w:cs="Arial"/>
          <w:sz w:val="22"/>
          <w:lang w:val="es-ES_tradnl" w:eastAsia="es-ES"/>
        </w:rPr>
        <w:t xml:space="preserve">) </w:t>
      </w:r>
      <w:r w:rsidRPr="00B36C11">
        <w:rPr>
          <w:rFonts w:ascii="Arial" w:eastAsia="Arial" w:hAnsi="Arial" w:cs="Arial"/>
          <w:bCs/>
          <w:color w:val="000000"/>
          <w:sz w:val="22"/>
          <w:lang w:val="es-ES_tradnl" w:eastAsia="es-ES" w:bidi="es-ES"/>
        </w:rPr>
        <w:t>la Resolución 304 del 2021</w:t>
      </w:r>
      <w:r w:rsidRPr="00B36C11">
        <w:rPr>
          <w:rFonts w:ascii="Arial" w:eastAsia="Arial" w:hAnsi="Arial" w:cs="Arial"/>
          <w:color w:val="000000"/>
          <w:sz w:val="22"/>
          <w:lang w:val="es-ES_tradnl" w:eastAsia="es-ES" w:bidi="es-ES"/>
        </w:rPr>
        <w:t xml:space="preserve"> </w:t>
      </w:r>
      <w:r w:rsidRPr="00B36C11">
        <w:rPr>
          <w:rFonts w:ascii="Arial" w:eastAsia="Arial" w:hAnsi="Arial" w:cs="Arial"/>
          <w:bCs/>
          <w:color w:val="000000"/>
          <w:sz w:val="22"/>
          <w:lang w:val="es-ES_tradnl" w:eastAsia="es-ES" w:bidi="es-ES"/>
        </w:rPr>
        <w:t>«Por la cual se modifican los Documentos Tipo adoptados por la Agencia Nacional de Contratación Pública – Colombia Compra Eficiente»</w:t>
      </w:r>
      <w:r w:rsidRPr="00B36C11">
        <w:rPr>
          <w:rFonts w:ascii="Arial" w:eastAsia="Times New Roman" w:hAnsi="Arial" w:cs="Arial"/>
          <w:sz w:val="22"/>
          <w:lang w:val="es-ES_tradnl" w:eastAsia="es-ES"/>
        </w:rPr>
        <w:t>, v) la Resolución 392 de 2021, «Por la cual se adoptan los documentos tipo complementarios para los procesos de licitación de obra pública de infraestructura social relacionados con el sector salud»</w:t>
      </w:r>
      <w:r w:rsidRPr="00B36C11">
        <w:rPr>
          <w:rFonts w:ascii="Arial" w:eastAsia="Arial" w:hAnsi="Arial" w:cs="Arial"/>
          <w:bCs/>
          <w:color w:val="000000"/>
          <w:sz w:val="22"/>
          <w:lang w:val="es-ES_tradnl" w:eastAsia="es-ES" w:bidi="es-ES"/>
        </w:rPr>
        <w:t xml:space="preserve">, y vi) </w:t>
      </w:r>
      <w:r w:rsidRPr="00B36C11">
        <w:rPr>
          <w:rFonts w:ascii="Arial" w:eastAsia="Times New Roman" w:hAnsi="Arial" w:cs="Arial"/>
          <w:sz w:val="22"/>
          <w:lang w:val="es-ES_tradnl" w:eastAsia="es-ES"/>
        </w:rPr>
        <w:t xml:space="preserve">la Resolución 454 de 2021, «Por la cual se adoptan los documentos tipo complementarios para los procesos de licitación de obra pública de infraestructura social relacionados con el sector cultura, recreación y deporte». </w:t>
      </w:r>
    </w:p>
    <w:p w14:paraId="2C2CF8A7" w14:textId="77777777" w:rsidR="00524D16" w:rsidRPr="00B36C11" w:rsidRDefault="00524D16" w:rsidP="00524D16">
      <w:pPr>
        <w:spacing w:before="120" w:line="276" w:lineRule="auto"/>
        <w:ind w:firstLine="709"/>
        <w:jc w:val="both"/>
        <w:rPr>
          <w:rFonts w:ascii="Arial" w:eastAsia="Times New Roman" w:hAnsi="Arial" w:cs="Arial"/>
          <w:sz w:val="22"/>
          <w:lang w:val="es-ES_tradnl" w:eastAsia="es-ES"/>
        </w:rPr>
      </w:pPr>
      <w:r w:rsidRPr="00B36C11">
        <w:rPr>
          <w:rFonts w:ascii="Arial" w:eastAsia="Calibri" w:hAnsi="Arial" w:cs="Arial"/>
          <w:color w:val="000000"/>
          <w:sz w:val="22"/>
          <w:lang w:val="es-ES_tradnl" w:eastAsia="es-ES"/>
        </w:rPr>
        <w:t xml:space="preserve">Las resoluciones señaladas </w:t>
      </w:r>
      <w:r w:rsidRPr="00B36C11">
        <w:rPr>
          <w:rFonts w:ascii="Arial" w:eastAsia="Times New Roman" w:hAnsi="Arial" w:cs="Arial"/>
          <w:color w:val="000000"/>
          <w:sz w:val="22"/>
          <w:bdr w:val="none" w:sz="0" w:space="0" w:color="auto" w:frame="1"/>
          <w:lang w:val="es-ES_tradnl" w:eastAsia="es-ES"/>
        </w:rPr>
        <w:t>reiteran el alcance de la obligatoriedad de los documentos tipo en la materia</w:t>
      </w:r>
      <w:r w:rsidRPr="00B36C11">
        <w:rPr>
          <w:rFonts w:ascii="Arial" w:eastAsia="Calibri" w:hAnsi="Arial" w:cs="Arial"/>
          <w:color w:val="000000"/>
          <w:sz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1 – Experiencia», de acuerdo con el documento tipo a aplicar. </w:t>
      </w:r>
      <w:r w:rsidRPr="00B36C11">
        <w:rPr>
          <w:rFonts w:ascii="Arial" w:eastAsia="Calibri" w:hAnsi="Arial" w:cs="Arial"/>
          <w:color w:val="000000" w:themeColor="text1"/>
          <w:sz w:val="22"/>
          <w:lang w:val="es-ES_tradnl" w:eastAsia="es-ES"/>
        </w:rPr>
        <w:t xml:space="preserve">Así, para determinar el ámbito de aplicación de los documentos tipo debe acudirse a la «Matriz 1 – Experiencia», </w:t>
      </w:r>
      <w:r w:rsidRPr="00B36C11">
        <w:rPr>
          <w:rFonts w:ascii="Arial" w:eastAsia="Calibri" w:hAnsi="Arial" w:cs="Arial"/>
          <w:color w:val="000000" w:themeColor="text1"/>
          <w:sz w:val="22"/>
          <w:lang w:val="es-ES_tradnl" w:eastAsia="es-ES"/>
        </w:rPr>
        <w:lastRenderedPageBreak/>
        <w:t>en la que se contemplan las clases de obra aplicables al sector, sean de infraestructura de transporte, agua potable y saneamiento básico o infraestructura social.</w:t>
      </w:r>
    </w:p>
    <w:p w14:paraId="544BDB95" w14:textId="77777777" w:rsidR="00524D16" w:rsidRPr="00B36C11" w:rsidRDefault="00524D16" w:rsidP="00524D16">
      <w:pPr>
        <w:spacing w:before="120" w:line="276" w:lineRule="auto"/>
        <w:ind w:firstLine="709"/>
        <w:jc w:val="both"/>
        <w:rPr>
          <w:rFonts w:ascii="Arial" w:eastAsia="Times New Roman" w:hAnsi="Arial" w:cs="Arial"/>
          <w:sz w:val="22"/>
          <w:lang w:val="es-ES_tradnl" w:eastAsia="es-ES"/>
        </w:rPr>
      </w:pPr>
      <w:r w:rsidRPr="00B36C11">
        <w:rPr>
          <w:rFonts w:ascii="Arial" w:eastAsia="Times New Roman" w:hAnsi="Arial" w:cs="Arial"/>
          <w:sz w:val="22"/>
          <w:lang w:val="es-ES_tradnl" w:eastAsia="es-ES"/>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7D33D6D1" w14:textId="77777777" w:rsidR="00524D16" w:rsidRPr="00B36C11" w:rsidRDefault="00524D16" w:rsidP="00524D16">
      <w:pPr>
        <w:spacing w:before="120" w:line="276" w:lineRule="auto"/>
        <w:ind w:firstLine="708"/>
        <w:jc w:val="both"/>
        <w:rPr>
          <w:rFonts w:ascii="Arial" w:eastAsia="Times New Roman" w:hAnsi="Arial" w:cs="Arial"/>
          <w:sz w:val="22"/>
          <w:szCs w:val="24"/>
          <w:shd w:val="clear" w:color="auto" w:fill="FFFFFF"/>
          <w:lang w:val="es-ES_tradnl" w:eastAsia="es-ES_tradnl"/>
        </w:rPr>
      </w:pPr>
      <w:r w:rsidRPr="00B36C11">
        <w:rPr>
          <w:rFonts w:ascii="Arial" w:eastAsia="Times New Roman" w:hAnsi="Arial" w:cs="Arial"/>
          <w:sz w:val="22"/>
          <w:szCs w:val="24"/>
          <w:shd w:val="clear" w:color="auto" w:fill="FFFFFF"/>
          <w:lang w:val="es-ES_tradnl" w:eastAsia="es-ES_tradnl"/>
        </w:rPr>
        <w:t xml:space="preserve">Es importante advertir que, como se mencionó en los apartes anteriores, todas las resoluciones mediante las que se han adoptado documentos tipo consagran la regla de la inalterabilidad. Esta prohibición consiste en que las entidades estatales no pueden incluir o modificar en los </w:t>
      </w:r>
      <w:r w:rsidRPr="00B36C11">
        <w:rPr>
          <w:rFonts w:ascii="Arial" w:eastAsia="Times New Roman" w:hAnsi="Arial" w:cs="Arial"/>
          <w:i/>
          <w:iCs/>
          <w:sz w:val="22"/>
          <w:szCs w:val="24"/>
          <w:shd w:val="clear" w:color="auto" w:fill="FFFFFF"/>
          <w:lang w:val="es-ES_tradnl" w:eastAsia="es-ES_tradnl"/>
        </w:rPr>
        <w:t>Documentos del Proceso</w:t>
      </w:r>
      <w:r w:rsidRPr="00B36C11">
        <w:rPr>
          <w:rFonts w:ascii="Arial" w:eastAsia="Times New Roman" w:hAnsi="Arial" w:cs="Arial"/>
          <w:sz w:val="22"/>
          <w:szCs w:val="24"/>
          <w:shd w:val="clear" w:color="auto" w:fill="FFFFFF"/>
          <w:lang w:val="es-ES_tradnl" w:eastAsia="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8C4FB26"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r w:rsidRPr="00B36C11">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47E3B7F2"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r w:rsidRPr="00B36C11">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0614A246"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proofErr w:type="spellStart"/>
      <w:r w:rsidRPr="00B36C11">
        <w:rPr>
          <w:rFonts w:ascii="Arial" w:eastAsia="Calibri" w:hAnsi="Arial" w:cs="Arial"/>
          <w:color w:val="000000"/>
          <w:sz w:val="22"/>
          <w:lang w:val="es-ES" w:eastAsia="es-ES"/>
        </w:rPr>
        <w:t>ii</w:t>
      </w:r>
      <w:proofErr w:type="spellEnd"/>
      <w:r w:rsidRPr="00B36C11">
        <w:rPr>
          <w:rFonts w:ascii="Arial" w:eastAsia="Calibri" w:hAnsi="Arial" w:cs="Arial"/>
          <w:color w:val="000000"/>
          <w:sz w:val="22"/>
          <w:lang w:val="es-ES" w:eastAsia="es-ES"/>
        </w:rPr>
        <w:t>) Documentos tipo para licitación de obra pública de infraestructura de transporte –versión 2–, obligatorios para los procesos cuyo aviso de convocatoria se haya publicado desde el 10 de marzo de 2020.</w:t>
      </w:r>
    </w:p>
    <w:p w14:paraId="60A2055C"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proofErr w:type="spellStart"/>
      <w:r w:rsidRPr="00B36C11">
        <w:rPr>
          <w:rFonts w:ascii="Arial" w:eastAsia="Calibri" w:hAnsi="Arial" w:cs="Arial"/>
          <w:color w:val="000000"/>
          <w:sz w:val="22"/>
          <w:lang w:val="es-ES" w:eastAsia="es-ES"/>
        </w:rPr>
        <w:t>iii</w:t>
      </w:r>
      <w:proofErr w:type="spellEnd"/>
      <w:r w:rsidRPr="00B36C11">
        <w:rPr>
          <w:rFonts w:ascii="Arial" w:eastAsia="Calibri" w:hAnsi="Arial" w:cs="Arial"/>
          <w:color w:val="000000"/>
          <w:sz w:val="22"/>
          <w:lang w:val="es-ES" w:eastAsia="es-ES"/>
        </w:rPr>
        <w:t>) Documentos tipo para licitación de obra pública de infraestructura de transporte –versión 3–, obligatorios para los procesos cuyo aviso de convocatoria se haya publicado desde el 1 de enero de 2021.</w:t>
      </w:r>
    </w:p>
    <w:p w14:paraId="42B48186"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proofErr w:type="spellStart"/>
      <w:r w:rsidRPr="00B36C11">
        <w:rPr>
          <w:rFonts w:ascii="Arial" w:eastAsia="Calibri" w:hAnsi="Arial" w:cs="Arial"/>
          <w:color w:val="000000"/>
          <w:sz w:val="22"/>
          <w:lang w:val="es-ES" w:eastAsia="es-ES"/>
        </w:rPr>
        <w:lastRenderedPageBreak/>
        <w:t>iv</w:t>
      </w:r>
      <w:proofErr w:type="spellEnd"/>
      <w:r w:rsidRPr="00B36C11">
        <w:rPr>
          <w:rFonts w:ascii="Arial" w:eastAsia="Calibri" w:hAnsi="Arial" w:cs="Arial"/>
          <w:color w:val="000000"/>
          <w:sz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21D9C920"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r w:rsidRPr="00B36C11">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3B058321"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r w:rsidRPr="00B36C11">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5D844CCC"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proofErr w:type="spellStart"/>
      <w:r w:rsidRPr="00B36C11">
        <w:rPr>
          <w:rFonts w:ascii="Arial" w:eastAsia="Calibri" w:hAnsi="Arial" w:cs="Arial"/>
          <w:color w:val="000000"/>
          <w:sz w:val="22"/>
          <w:lang w:val="es-ES" w:eastAsia="es-ES"/>
        </w:rPr>
        <w:t>vii</w:t>
      </w:r>
      <w:proofErr w:type="spellEnd"/>
      <w:r w:rsidRPr="00B36C11">
        <w:rPr>
          <w:rFonts w:ascii="Arial" w:eastAsia="Calibri" w:hAnsi="Arial" w:cs="Arial"/>
          <w:color w:val="000000"/>
          <w:sz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378316B6"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proofErr w:type="spellStart"/>
      <w:r w:rsidRPr="00B36C11">
        <w:rPr>
          <w:rFonts w:ascii="Arial" w:eastAsia="Calibri" w:hAnsi="Arial" w:cs="Arial"/>
          <w:color w:val="000000"/>
          <w:sz w:val="22"/>
          <w:lang w:val="es-ES" w:eastAsia="es-ES"/>
        </w:rPr>
        <w:t>viii</w:t>
      </w:r>
      <w:proofErr w:type="spellEnd"/>
      <w:r w:rsidRPr="00B36C11">
        <w:rPr>
          <w:rFonts w:ascii="Arial" w:eastAsia="Calibri" w:hAnsi="Arial" w:cs="Arial"/>
          <w:color w:val="000000"/>
          <w:sz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3B0B0D79"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proofErr w:type="spellStart"/>
      <w:r w:rsidRPr="00B36C11">
        <w:rPr>
          <w:rFonts w:ascii="Arial" w:eastAsia="Calibri" w:hAnsi="Arial" w:cs="Arial"/>
          <w:color w:val="000000"/>
          <w:sz w:val="22"/>
          <w:lang w:val="es-ES" w:eastAsia="es-ES"/>
        </w:rPr>
        <w:t>ix</w:t>
      </w:r>
      <w:proofErr w:type="spellEnd"/>
      <w:r w:rsidRPr="00B36C11">
        <w:rPr>
          <w:rFonts w:ascii="Arial" w:eastAsia="Calibri" w:hAnsi="Arial" w:cs="Arial"/>
          <w:color w:val="000000"/>
          <w:sz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3210AE21" w14:textId="77777777" w:rsidR="00524D16" w:rsidRPr="00B36C11" w:rsidRDefault="00524D16" w:rsidP="00524D16">
      <w:pPr>
        <w:spacing w:before="120" w:line="276" w:lineRule="auto"/>
        <w:ind w:firstLine="709"/>
        <w:jc w:val="both"/>
        <w:rPr>
          <w:rFonts w:ascii="Arial" w:eastAsia="Calibri" w:hAnsi="Arial" w:cs="Arial"/>
          <w:color w:val="000000"/>
          <w:sz w:val="22"/>
          <w:lang w:val="es-ES" w:eastAsia="es-ES"/>
        </w:rPr>
      </w:pPr>
      <w:r w:rsidRPr="00B36C11">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44F4F34B" w14:textId="77777777" w:rsidR="00524D16" w:rsidRPr="00B36C11" w:rsidRDefault="00524D16" w:rsidP="00524D16">
      <w:pPr>
        <w:spacing w:before="120" w:after="120" w:line="276" w:lineRule="auto"/>
        <w:ind w:firstLine="709"/>
        <w:jc w:val="both"/>
        <w:rPr>
          <w:rFonts w:ascii="Arial" w:eastAsia="Calibri" w:hAnsi="Arial" w:cs="Arial"/>
          <w:color w:val="000000"/>
          <w:sz w:val="22"/>
          <w:lang w:val="es-ES" w:eastAsia="es-ES"/>
        </w:rPr>
      </w:pPr>
      <w:r w:rsidRPr="00B36C11">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04264CC8" w14:textId="77777777" w:rsidR="00524D16" w:rsidRPr="00B36C11" w:rsidRDefault="00524D16" w:rsidP="00524D16">
      <w:pPr>
        <w:spacing w:after="120" w:line="276" w:lineRule="auto"/>
        <w:ind w:firstLine="708"/>
        <w:jc w:val="both"/>
        <w:rPr>
          <w:rFonts w:ascii="Arial" w:eastAsia="Calibri" w:hAnsi="Arial" w:cs="Arial"/>
          <w:sz w:val="22"/>
          <w:lang w:val="es-ES_tradnl" w:eastAsia="es-ES_tradnl"/>
        </w:rPr>
      </w:pPr>
      <w:proofErr w:type="spellStart"/>
      <w:r w:rsidRPr="00B36C11">
        <w:rPr>
          <w:rFonts w:ascii="Arial" w:eastAsia="Calibri" w:hAnsi="Arial" w:cs="Arial"/>
          <w:color w:val="000000"/>
          <w:sz w:val="22"/>
          <w:lang w:val="es-ES" w:eastAsia="es-ES"/>
        </w:rPr>
        <w:t>xii</w:t>
      </w:r>
      <w:proofErr w:type="spellEnd"/>
      <w:r w:rsidRPr="00B36C11">
        <w:rPr>
          <w:rFonts w:ascii="Arial" w:eastAsia="Calibri" w:hAnsi="Arial" w:cs="Arial"/>
          <w:color w:val="000000"/>
          <w:sz w:val="22"/>
          <w:lang w:val="es-ES" w:eastAsia="es-ES"/>
        </w:rPr>
        <w:t xml:space="preserve">) Documentos tipo para procesos de licitación de obra pública de infraestructura social, que </w:t>
      </w:r>
      <w:r w:rsidRPr="00B36C11">
        <w:rPr>
          <w:rFonts w:ascii="Arial" w:eastAsia="Times New Roman" w:hAnsi="Arial" w:cs="Arial"/>
          <w:sz w:val="22"/>
          <w:lang w:val="es-ES_tradnl" w:eastAsia="es-ES_tradnl"/>
        </w:rPr>
        <w:t>entrarán a regir de acuerdo con los términos establecidos en el artículo 6 de la Resolución 219 de 2021 −modificado por el artículo 1 de la Resolución 336 del 2 de noviembre de 2021−</w:t>
      </w:r>
      <w:r w:rsidRPr="00B36C11">
        <w:rPr>
          <w:rFonts w:ascii="Arial" w:eastAsia="Calibri" w:hAnsi="Arial" w:cs="Arial"/>
          <w:sz w:val="22"/>
          <w:lang w:val="es-ES_tradnl" w:eastAsia="es-ES_tradnl"/>
        </w:rPr>
        <w:t>.</w:t>
      </w:r>
    </w:p>
    <w:p w14:paraId="4C5C418A" w14:textId="77777777" w:rsidR="00524D16" w:rsidRPr="00B36C11" w:rsidRDefault="00524D16" w:rsidP="00524D16">
      <w:pPr>
        <w:spacing w:after="120" w:line="276" w:lineRule="auto"/>
        <w:ind w:firstLine="708"/>
        <w:jc w:val="both"/>
        <w:rPr>
          <w:rFonts w:ascii="Arial" w:eastAsia="Calibri" w:hAnsi="Arial" w:cs="Arial"/>
          <w:sz w:val="22"/>
          <w:lang w:val="es-ES_tradnl" w:eastAsia="es-ES_tradnl"/>
        </w:rPr>
      </w:pPr>
      <w:proofErr w:type="spellStart"/>
      <w:r w:rsidRPr="00B36C11">
        <w:rPr>
          <w:rFonts w:ascii="Arial" w:eastAsia="Calibri" w:hAnsi="Arial" w:cs="Arial"/>
          <w:color w:val="000000"/>
          <w:sz w:val="22"/>
          <w:lang w:val="es-ES" w:eastAsia="es-ES"/>
        </w:rPr>
        <w:t>xiii</w:t>
      </w:r>
      <w:proofErr w:type="spellEnd"/>
      <w:r w:rsidRPr="00B36C11">
        <w:rPr>
          <w:rFonts w:ascii="Arial" w:eastAsia="Calibri" w:hAnsi="Arial" w:cs="Arial"/>
          <w:color w:val="000000"/>
          <w:sz w:val="22"/>
          <w:lang w:val="es-ES" w:eastAsia="es-ES"/>
        </w:rPr>
        <w:t xml:space="preserve">) Documentos tipo complementarios para los procesos de licitación de obra pública de infraestructura social relacionados con el sector educativo, que </w:t>
      </w:r>
      <w:r w:rsidRPr="00B36C11">
        <w:rPr>
          <w:rFonts w:ascii="Arial" w:eastAsia="Times New Roman" w:hAnsi="Arial" w:cs="Arial"/>
          <w:sz w:val="22"/>
          <w:lang w:val="es-ES_tradnl" w:eastAsia="es-ES_tradnl"/>
        </w:rPr>
        <w:t>entrarán a regir de acuerdo con los términos establecidos en el artículo 6 de la Resolución 219 de 2021 −modificado por el artículo 1 de la Resolución 336 del 2 de noviembre de 2021−.</w:t>
      </w:r>
    </w:p>
    <w:p w14:paraId="0A4B1D68" w14:textId="77777777" w:rsidR="00524D16" w:rsidRPr="00B36C11" w:rsidRDefault="00524D16" w:rsidP="00524D16">
      <w:pPr>
        <w:spacing w:after="120" w:line="276" w:lineRule="auto"/>
        <w:ind w:firstLine="708"/>
        <w:jc w:val="both"/>
        <w:rPr>
          <w:rFonts w:ascii="Arial" w:eastAsia="Calibri" w:hAnsi="Arial" w:cs="Arial"/>
          <w:sz w:val="22"/>
          <w:lang w:val="es-ES_tradnl" w:eastAsia="es-ES_tradnl"/>
        </w:rPr>
      </w:pPr>
      <w:proofErr w:type="spellStart"/>
      <w:r w:rsidRPr="00B36C11">
        <w:rPr>
          <w:rFonts w:ascii="Arial" w:eastAsia="Calibri" w:hAnsi="Arial" w:cs="Arial"/>
          <w:color w:val="000000"/>
          <w:sz w:val="22"/>
          <w:lang w:val="es-ES" w:eastAsia="es-ES"/>
        </w:rPr>
        <w:t>xiv</w:t>
      </w:r>
      <w:proofErr w:type="spellEnd"/>
      <w:r w:rsidRPr="00B36C11">
        <w:rPr>
          <w:rFonts w:ascii="Arial" w:eastAsia="Calibri" w:hAnsi="Arial" w:cs="Arial"/>
          <w:color w:val="000000"/>
          <w:sz w:val="22"/>
          <w:lang w:val="es-ES" w:eastAsia="es-ES"/>
        </w:rPr>
        <w:t xml:space="preserve">) Documentos tipo complementarios para los procesos de licitación de obra pública de infraestructura social relacionados con el sector salud, que entrarán a regir </w:t>
      </w:r>
      <w:r w:rsidRPr="00B36C11">
        <w:rPr>
          <w:rFonts w:ascii="Arial" w:eastAsia="Times New Roman" w:hAnsi="Arial" w:cs="Arial"/>
          <w:sz w:val="22"/>
          <w:lang w:val="es-ES_tradnl" w:eastAsia="es-ES_tradnl"/>
        </w:rPr>
        <w:t xml:space="preserve">de acuerdo con los términos establecidos en el artículo 6 de la Resolución 219 de 2021 </w:t>
      </w:r>
      <w:r w:rsidRPr="00B36C11">
        <w:rPr>
          <w:rFonts w:ascii="Arial" w:eastAsia="Times New Roman" w:hAnsi="Arial" w:cs="Arial"/>
          <w:sz w:val="22"/>
          <w:lang w:val="es-ES_tradnl" w:eastAsia="es-ES_tradnl"/>
        </w:rPr>
        <w:lastRenderedPageBreak/>
        <w:t>−modificado por el artículo 1 de la Resolución 336 del 2 de noviembre de 2021− y en el artículo 4 de la Resolución 392 de 18 de noviembre de 2021</w:t>
      </w:r>
      <w:r w:rsidRPr="00B36C11">
        <w:rPr>
          <w:rFonts w:ascii="Arial" w:eastAsia="Calibri" w:hAnsi="Arial" w:cs="Arial"/>
          <w:sz w:val="22"/>
          <w:lang w:val="es-ES_tradnl" w:eastAsia="es-ES_tradnl"/>
        </w:rPr>
        <w:t>.</w:t>
      </w:r>
    </w:p>
    <w:p w14:paraId="352E35F2" w14:textId="77777777" w:rsidR="00460485" w:rsidRPr="00B36C11" w:rsidRDefault="00524D16" w:rsidP="00524D16">
      <w:pPr>
        <w:spacing w:after="120" w:line="276" w:lineRule="auto"/>
        <w:ind w:firstLine="708"/>
        <w:jc w:val="both"/>
        <w:rPr>
          <w:rFonts w:ascii="Arial" w:eastAsia="Times New Roman" w:hAnsi="Arial" w:cs="Arial"/>
          <w:sz w:val="22"/>
          <w:lang w:val="es-ES_tradnl" w:eastAsia="es-ES_tradnl"/>
        </w:rPr>
      </w:pPr>
      <w:proofErr w:type="spellStart"/>
      <w:r w:rsidRPr="00B36C11">
        <w:rPr>
          <w:rFonts w:ascii="Arial" w:eastAsia="Calibri" w:hAnsi="Arial" w:cs="Arial"/>
          <w:sz w:val="22"/>
          <w:lang w:val="es-ES_tradnl" w:eastAsia="es-ES_tradnl"/>
        </w:rPr>
        <w:t>xv</w:t>
      </w:r>
      <w:proofErr w:type="spellEnd"/>
      <w:r w:rsidRPr="00B36C11">
        <w:rPr>
          <w:rFonts w:ascii="Arial" w:eastAsia="Calibri" w:hAnsi="Arial" w:cs="Arial"/>
          <w:sz w:val="22"/>
          <w:lang w:val="es-ES_tradnl" w:eastAsia="es-ES_tradnl"/>
        </w:rPr>
        <w:t xml:space="preserve">) </w:t>
      </w:r>
      <w:r w:rsidRPr="00B36C11">
        <w:rPr>
          <w:rFonts w:ascii="Arial" w:eastAsia="Calibri" w:hAnsi="Arial" w:cs="Arial"/>
          <w:color w:val="000000"/>
          <w:sz w:val="22"/>
          <w:lang w:val="es-ES" w:eastAsia="es-ES"/>
        </w:rPr>
        <w:t>Documentos tipo complementarios para los procesos de licitación de obra pública de infraestructura social relacionados con el sector cultura, recreación y deporte</w:t>
      </w:r>
      <w:r w:rsidRPr="00B36C11">
        <w:rPr>
          <w:rFonts w:ascii="Arial" w:eastAsia="Calibri" w:hAnsi="Arial" w:cs="Arial"/>
          <w:sz w:val="22"/>
          <w:lang w:val="es-ES_tradnl" w:eastAsia="es-ES_tradnl"/>
        </w:rPr>
        <w:t xml:space="preserve">, </w:t>
      </w:r>
      <w:r w:rsidRPr="00B36C11">
        <w:rPr>
          <w:rFonts w:ascii="Arial" w:eastAsia="Calibri" w:hAnsi="Arial" w:cs="Arial"/>
          <w:color w:val="000000"/>
          <w:sz w:val="22"/>
          <w:lang w:val="es-ES" w:eastAsia="es-ES"/>
        </w:rPr>
        <w:t xml:space="preserve">que entrarán a regir </w:t>
      </w:r>
      <w:r w:rsidRPr="00B36C11">
        <w:rPr>
          <w:rFonts w:ascii="Arial" w:eastAsia="Times New Roman" w:hAnsi="Arial" w:cs="Arial"/>
          <w:sz w:val="22"/>
          <w:lang w:val="es-ES_tradnl" w:eastAsia="es-ES_tradnl"/>
        </w:rPr>
        <w:t>de acuerdo con los términos establecidos en el artículo 4 de la Resolución 454 de 2021</w:t>
      </w:r>
    </w:p>
    <w:p w14:paraId="56284856" w14:textId="77777777" w:rsidR="00460485" w:rsidRPr="00B36C11" w:rsidRDefault="00460485" w:rsidP="00460485">
      <w:pPr>
        <w:spacing w:after="120" w:line="276" w:lineRule="auto"/>
        <w:ind w:firstLine="708"/>
        <w:jc w:val="both"/>
        <w:rPr>
          <w:rFonts w:ascii="Arial" w:hAnsi="Arial" w:cs="Arial"/>
          <w:sz w:val="22"/>
          <w:lang w:val="es-ES_tradnl"/>
        </w:rPr>
      </w:pPr>
      <w:proofErr w:type="spellStart"/>
      <w:r w:rsidRPr="00B36C11">
        <w:rPr>
          <w:rFonts w:ascii="Arial" w:hAnsi="Arial" w:cs="Arial"/>
          <w:sz w:val="22"/>
          <w:lang w:val="es-ES_tradnl"/>
        </w:rPr>
        <w:t>xvi</w:t>
      </w:r>
      <w:proofErr w:type="spellEnd"/>
      <w:r w:rsidRPr="00B36C11">
        <w:rPr>
          <w:rFonts w:ascii="Arial" w:hAnsi="Arial" w:cs="Arial"/>
          <w:sz w:val="22"/>
          <w:lang w:val="es-ES_tradnl"/>
        </w:rPr>
        <w:t xml:space="preserve">) 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 </w:t>
      </w:r>
    </w:p>
    <w:p w14:paraId="7EB3E330" w14:textId="094347A5" w:rsidR="00524D16" w:rsidRPr="00B36C11" w:rsidRDefault="00460485" w:rsidP="00524D16">
      <w:pPr>
        <w:spacing w:after="120" w:line="276" w:lineRule="auto"/>
        <w:ind w:firstLine="708"/>
        <w:jc w:val="both"/>
        <w:rPr>
          <w:rFonts w:ascii="Arial" w:eastAsia="Calibri" w:hAnsi="Arial" w:cs="Arial"/>
          <w:sz w:val="22"/>
          <w:lang w:val="es-ES_tradnl" w:eastAsia="es-ES_tradnl"/>
        </w:rPr>
      </w:pPr>
      <w:proofErr w:type="spellStart"/>
      <w:r w:rsidRPr="00B36C11">
        <w:rPr>
          <w:rFonts w:ascii="Arial" w:hAnsi="Arial" w:cs="Arial"/>
          <w:sz w:val="22"/>
          <w:lang w:val="es-ES_tradnl"/>
        </w:rPr>
        <w:t>xvii</w:t>
      </w:r>
      <w:proofErr w:type="spellEnd"/>
      <w:r w:rsidRPr="00B36C11">
        <w:rPr>
          <w:rFonts w:ascii="Arial" w:hAnsi="Arial" w:cs="Arial"/>
          <w:sz w:val="22"/>
          <w:lang w:val="es-ES_tradnl"/>
        </w:rPr>
        <w:t xml:space="preserve">) Documentos tipo de interventoría </w:t>
      </w:r>
      <w:r w:rsidRPr="00B36C11">
        <w:rPr>
          <w:rFonts w:ascii="Arial" w:eastAsia="Calibri" w:hAnsi="Arial" w:cs="Arial"/>
          <w:sz w:val="22"/>
          <w:lang w:val="es-ES" w:eastAsia="es-ES"/>
        </w:rPr>
        <w:t>para los procesos de selección de concurso de méritos para contratar la interventoría de obras públicas de infraestructura de agua potable y saneamiento básico, para los procesos cuyo aviso de convocatoria se haya publicado desde el 3 de octubre de 2022, de acuerdo con la Resolución 333 del 27 de julio de 2022</w:t>
      </w:r>
      <w:r w:rsidR="00524D16" w:rsidRPr="00B36C11">
        <w:rPr>
          <w:rFonts w:ascii="Arial" w:eastAsia="Times New Roman" w:hAnsi="Arial" w:cs="Arial"/>
          <w:sz w:val="22"/>
          <w:vertAlign w:val="superscript"/>
          <w:lang w:val="es-ES_tradnl" w:eastAsia="es-ES_tradnl"/>
        </w:rPr>
        <w:footnoteReference w:id="13"/>
      </w:r>
      <w:r w:rsidR="00524D16" w:rsidRPr="00B36C11">
        <w:rPr>
          <w:rFonts w:ascii="Arial" w:eastAsia="Times New Roman" w:hAnsi="Arial" w:cs="Arial"/>
          <w:sz w:val="22"/>
          <w:lang w:val="es-ES_tradnl" w:eastAsia="es-ES_tradnl"/>
        </w:rPr>
        <w:t>.</w:t>
      </w:r>
    </w:p>
    <w:p w14:paraId="561FA26B" w14:textId="0798B75B" w:rsidR="00524D16" w:rsidRPr="00B36C11" w:rsidRDefault="00524D16" w:rsidP="00460485">
      <w:pPr>
        <w:shd w:val="clear" w:color="auto" w:fill="FFFFFF"/>
        <w:spacing w:after="120" w:line="276" w:lineRule="auto"/>
        <w:ind w:firstLine="709"/>
        <w:jc w:val="both"/>
        <w:textAlignment w:val="baseline"/>
        <w:rPr>
          <w:rFonts w:ascii="Arial" w:eastAsia="Calibri" w:hAnsi="Arial" w:cs="Arial"/>
          <w:color w:val="000000"/>
          <w:sz w:val="22"/>
          <w:bdr w:val="none" w:sz="0" w:space="0" w:color="auto" w:frame="1"/>
          <w:lang w:val="es-ES_tradnl" w:eastAsia="es-ES_tradnl"/>
        </w:rPr>
      </w:pPr>
      <w:r w:rsidRPr="00B36C11">
        <w:rPr>
          <w:rFonts w:ascii="Arial" w:eastAsia="Calibri" w:hAnsi="Arial" w:cs="Arial"/>
          <w:sz w:val="22"/>
          <w:lang w:val="es-CO" w:eastAsia="es-ES_tradnl"/>
        </w:rPr>
        <w:t xml:space="preserve">De acuerdo con lo expuesto, </w:t>
      </w:r>
      <w:r w:rsidRPr="00B36C11">
        <w:rPr>
          <w:rFonts w:ascii="Arial" w:eastAsia="Calibri" w:hAnsi="Arial" w:cs="Arial"/>
          <w:color w:val="000000"/>
          <w:sz w:val="22"/>
          <w:bdr w:val="none" w:sz="0" w:space="0" w:color="auto" w:frame="1"/>
          <w:lang w:val="es-CO" w:eastAsia="es-ES_tradnl"/>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B36C11">
        <w:rPr>
          <w:rFonts w:ascii="Arial" w:eastAsia="Calibri" w:hAnsi="Arial" w:cs="Arial"/>
          <w:color w:val="000000"/>
          <w:sz w:val="22"/>
          <w:bdr w:val="none" w:sz="0" w:space="0" w:color="auto" w:frame="1"/>
          <w:lang w:val="es-ES_tradnl" w:eastAsia="es-ES_tradnl"/>
        </w:rPr>
        <w:t xml:space="preserve">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 </w:t>
      </w:r>
    </w:p>
    <w:p w14:paraId="256C4B2E" w14:textId="44C99AAB" w:rsidR="00CE476B" w:rsidRPr="00B36C11" w:rsidRDefault="00CE476B" w:rsidP="00CE476B">
      <w:pPr>
        <w:spacing w:before="120" w:line="276" w:lineRule="auto"/>
        <w:ind w:firstLine="709"/>
        <w:jc w:val="both"/>
        <w:rPr>
          <w:rFonts w:ascii="Arial" w:eastAsia="Calibri" w:hAnsi="Arial" w:cs="Arial"/>
          <w:color w:val="0D0D0D"/>
          <w:sz w:val="22"/>
          <w:lang w:eastAsia="es-ES_tradnl"/>
        </w:rPr>
      </w:pPr>
      <w:r w:rsidRPr="00B36C11">
        <w:rPr>
          <w:rFonts w:ascii="Arial" w:eastAsia="Calibri" w:hAnsi="Arial" w:cs="Arial"/>
          <w:color w:val="0D0D0D"/>
          <w:sz w:val="22"/>
          <w:lang w:eastAsia="es-ES_tradnl"/>
        </w:rPr>
        <w:t xml:space="preserve">Ahora bien, uno de los elementos comunes a los diferentes documentos tipo es la «Matriz de Experiencia». Esta consta de unas celdas en las que se describe la experiencia requerida en relación con el objeto a contratar, definiendo además qué tipo de actividades relacionadas con cada sector deben acogerse a los pliegos tipo. Por otro lado, </w:t>
      </w:r>
      <w:r w:rsidR="004F3739" w:rsidRPr="00B36C11">
        <w:rPr>
          <w:rFonts w:ascii="Arial" w:eastAsia="Calibri" w:hAnsi="Arial" w:cs="Arial"/>
          <w:color w:val="0D0D0D"/>
          <w:sz w:val="22"/>
          <w:lang w:eastAsia="es-ES_tradnl"/>
        </w:rPr>
        <w:t xml:space="preserve">también es importante tener en cuenta </w:t>
      </w:r>
      <w:r w:rsidRPr="00B36C11">
        <w:rPr>
          <w:rFonts w:ascii="Arial" w:eastAsia="Calibri" w:hAnsi="Arial" w:cs="Arial"/>
          <w:color w:val="0D0D0D"/>
          <w:sz w:val="22"/>
          <w:lang w:eastAsia="es-ES_tradnl"/>
        </w:rPr>
        <w:t xml:space="preserve">el «Anexo – Glosario», </w:t>
      </w:r>
      <w:r w:rsidR="004F3739" w:rsidRPr="00B36C11">
        <w:rPr>
          <w:rFonts w:ascii="Arial" w:eastAsia="Calibri" w:hAnsi="Arial" w:cs="Arial"/>
          <w:color w:val="0D0D0D"/>
          <w:sz w:val="22"/>
          <w:lang w:eastAsia="es-ES_tradnl"/>
        </w:rPr>
        <w:t xml:space="preserve">que </w:t>
      </w:r>
      <w:r w:rsidRPr="00B36C11">
        <w:rPr>
          <w:rFonts w:ascii="Arial" w:eastAsia="Calibri" w:hAnsi="Arial" w:cs="Arial"/>
          <w:color w:val="0D0D0D"/>
          <w:sz w:val="22"/>
          <w:lang w:eastAsia="es-ES_tradnl"/>
        </w:rPr>
        <w:t xml:space="preserve">contiene las definiciones de los términos usados en los </w:t>
      </w:r>
      <w:r w:rsidR="004F3739" w:rsidRPr="00B36C11">
        <w:rPr>
          <w:rFonts w:ascii="Arial" w:eastAsia="Calibri" w:hAnsi="Arial" w:cs="Arial"/>
          <w:color w:val="0D0D0D"/>
          <w:sz w:val="22"/>
          <w:lang w:eastAsia="es-ES_tradnl"/>
        </w:rPr>
        <w:t>demás documentos</w:t>
      </w:r>
      <w:r w:rsidRPr="00B36C11">
        <w:rPr>
          <w:rFonts w:ascii="Arial" w:eastAsia="Calibri" w:hAnsi="Arial" w:cs="Arial"/>
          <w:color w:val="0D0D0D"/>
          <w:sz w:val="22"/>
          <w:lang w:eastAsia="es-ES_tradnl"/>
        </w:rPr>
        <w:t xml:space="preserve">. </w:t>
      </w:r>
      <w:r w:rsidR="00E2404E" w:rsidRPr="00B36C11">
        <w:rPr>
          <w:rFonts w:ascii="Arial" w:eastAsia="Calibri" w:hAnsi="Arial" w:cs="Arial"/>
          <w:color w:val="0D0D0D"/>
          <w:sz w:val="22"/>
          <w:lang w:eastAsia="es-ES_tradnl"/>
        </w:rPr>
        <w:t>De esta manera</w:t>
      </w:r>
      <w:r w:rsidRPr="00B36C11">
        <w:rPr>
          <w:rFonts w:ascii="Arial" w:eastAsia="Calibri" w:hAnsi="Arial" w:cs="Arial"/>
          <w:color w:val="0D0D0D"/>
          <w:sz w:val="22"/>
          <w:lang w:eastAsia="es-ES_tradnl"/>
        </w:rPr>
        <w:t xml:space="preserve">, quien adelanta el </w:t>
      </w:r>
      <w:r w:rsidRPr="00B36C11">
        <w:rPr>
          <w:rFonts w:ascii="Arial" w:eastAsia="Calibri" w:hAnsi="Arial" w:cs="Arial"/>
          <w:color w:val="0D0D0D"/>
          <w:sz w:val="22"/>
          <w:lang w:eastAsia="es-ES_tradnl"/>
        </w:rPr>
        <w:lastRenderedPageBreak/>
        <w:t>procedimiento de selección puede definir si el objeto a contratarse debe emplear los documentos tipo adoptados por esta Agencia</w:t>
      </w:r>
      <w:r w:rsidR="00E2404E" w:rsidRPr="00B36C11">
        <w:rPr>
          <w:rFonts w:ascii="Arial" w:eastAsia="Calibri" w:hAnsi="Arial" w:cs="Arial"/>
          <w:color w:val="0D0D0D"/>
          <w:sz w:val="22"/>
          <w:lang w:eastAsia="es-ES_tradnl"/>
        </w:rPr>
        <w:t>, teniendo en cuenta la Matriz de Experiencia, con las explicaciones que se deriven del glosario.</w:t>
      </w:r>
    </w:p>
    <w:p w14:paraId="468CE486" w14:textId="77777777" w:rsidR="00CE476B" w:rsidRPr="00B36C11" w:rsidRDefault="00CE476B" w:rsidP="00CE476B">
      <w:pPr>
        <w:spacing w:before="120" w:line="276" w:lineRule="auto"/>
        <w:ind w:firstLine="709"/>
        <w:jc w:val="both"/>
        <w:rPr>
          <w:rFonts w:ascii="Arial" w:eastAsia="Calibri" w:hAnsi="Arial" w:cs="Arial"/>
          <w:color w:val="0D0D0D"/>
          <w:sz w:val="22"/>
          <w:lang w:eastAsia="es-ES_tradnl"/>
        </w:rPr>
      </w:pPr>
      <w:r w:rsidRPr="00B36C11">
        <w:rPr>
          <w:rFonts w:ascii="Arial" w:eastAsia="Calibri" w:hAnsi="Arial" w:cs="Arial"/>
          <w:color w:val="0D0D0D"/>
          <w:sz w:val="22"/>
          <w:lang w:eastAsia="es-ES_tradnl"/>
        </w:rPr>
        <w:t>Conforme a lo anterior, la Matriz de experiencia cumple una doble función: por un lado, sirve para estandarizar las condiciones de experiencia. De otro lado, dicha matriz permite determinar el ámbito de aplicación de los documentos tipo respecto de objetos contractuales asociados, ya que son las actividades descritas en esta las que deben contratarse aplicando documentos tipo.</w:t>
      </w:r>
    </w:p>
    <w:p w14:paraId="2627C717" w14:textId="77777777" w:rsidR="00CE476B" w:rsidRPr="00B36C11" w:rsidRDefault="00CE476B" w:rsidP="00CE476B">
      <w:pPr>
        <w:tabs>
          <w:tab w:val="left" w:pos="0"/>
        </w:tabs>
        <w:spacing w:before="120" w:line="276" w:lineRule="auto"/>
        <w:ind w:firstLine="709"/>
        <w:jc w:val="both"/>
        <w:rPr>
          <w:rFonts w:ascii="Arial" w:eastAsia="Calibri" w:hAnsi="Arial" w:cs="Arial"/>
          <w:bCs/>
          <w:sz w:val="22"/>
          <w:szCs w:val="24"/>
          <w:lang w:val="es-ES_tradnl" w:eastAsia="es-ES_tradnl"/>
        </w:rPr>
      </w:pPr>
      <w:r w:rsidRPr="00B36C11">
        <w:rPr>
          <w:rFonts w:ascii="Arial" w:eastAsia="Calibri" w:hAnsi="Arial" w:cs="Arial"/>
          <w:color w:val="0D0D0D"/>
          <w:sz w:val="22"/>
          <w:lang w:eastAsia="es-ES_tradnl"/>
        </w:rPr>
        <w:t>De esta manera, para saber a qué actividades se deben aplicar los documentos tipo expedidos por esta Agencia, quien adelanta el procedimiento de selección debe verificar los documentos tipo que se hayan expedido para la modalidad de selección aplicable, subsumiendo el objeto a contratar en los tipos de proyectos o actividades a contratarse, de acuerdo con las actividades señaladas en la matriz de experiencia. De esta manera, si el objeto contractual a ejecutar se encuadra materialmente dentro de alguno de los tipos actividades concretas señaladas en cada una de las matrices de experiencia, se tendrán que aplicar los documentos tipo, mientras que en el caso contrario no será forzosa su aplicación. En este sentido, en los documentos base de los documentos tipo</w:t>
      </w:r>
      <w:r w:rsidRPr="00B36C11">
        <w:rPr>
          <w:rFonts w:ascii="Arial" w:eastAsia="Calibri" w:hAnsi="Arial" w:cs="Arial"/>
          <w:sz w:val="22"/>
          <w:lang w:eastAsia="es-ES_tradnl"/>
        </w:rPr>
        <w:t>, se indica que la entidad establecerá las condiciones de experiencia, tanto general como específica en las actividades que van a contratar. En este contexto, la entidad no podrá incluir condiciones distintas a las previstas en la matriz de experiencia y, por tanto, deberá transcribir textualmente lo indicado en ésta.</w:t>
      </w:r>
    </w:p>
    <w:p w14:paraId="26AAB3A2" w14:textId="0713AA68" w:rsidR="00CE476B" w:rsidRPr="00B36C11" w:rsidRDefault="00CE476B" w:rsidP="00E2404E">
      <w:pPr>
        <w:tabs>
          <w:tab w:val="left" w:pos="0"/>
        </w:tabs>
        <w:spacing w:before="120" w:line="276" w:lineRule="auto"/>
        <w:ind w:firstLine="426"/>
        <w:jc w:val="both"/>
        <w:rPr>
          <w:rFonts w:ascii="Arial" w:eastAsia="Times New Roman" w:hAnsi="Arial" w:cs="Arial"/>
          <w:sz w:val="22"/>
          <w:lang w:val="es-CO" w:eastAsia="es-ES_tradnl"/>
        </w:rPr>
      </w:pPr>
      <w:r w:rsidRPr="00B36C11">
        <w:rPr>
          <w:rFonts w:ascii="Arial" w:eastAsia="Calibri" w:hAnsi="Arial" w:cs="Arial"/>
          <w:bCs/>
          <w:sz w:val="22"/>
          <w:szCs w:val="24"/>
          <w:lang w:val="es-ES_tradnl" w:eastAsia="es-ES_tradnl"/>
        </w:rPr>
        <w:tab/>
        <w:t xml:space="preserve">En tal sentido, </w:t>
      </w:r>
      <w:r w:rsidRPr="00B36C11">
        <w:rPr>
          <w:rFonts w:ascii="Arial" w:eastAsia="Times New Roman" w:hAnsi="Arial" w:cs="Arial"/>
          <w:sz w:val="22"/>
          <w:lang w:val="es-CO" w:eastAsia="es-ES_tradnl"/>
        </w:rPr>
        <w:t>debe advertirse que es el encargado de adelantar el procedimiento de selección, al momento de adelantar sus actividades de planeación de cada proceso contractual, quien debe determinar si de acuerdo con las particularidades del contrato a ejecutar, este encaja o no dentro de alguna de las actividades de la matriz de experiencia de cada documento tipo, y si en consecuencia deben aplicarse o no determinados documentos tipo, conforme a los parámetros indicados en este concepto. Lo anterior sin que pueda apartarse de su aplicación cuando materialmente el objeto a contratar corresponde con alguna actividad de contemplada en dicha matriz.</w:t>
      </w:r>
    </w:p>
    <w:p w14:paraId="3BD5C7DA" w14:textId="26748581" w:rsidR="00E2404E" w:rsidRPr="00B36C11" w:rsidRDefault="00E2404E" w:rsidP="0088683D">
      <w:pPr>
        <w:tabs>
          <w:tab w:val="left" w:pos="0"/>
        </w:tabs>
        <w:spacing w:before="120" w:line="276" w:lineRule="auto"/>
        <w:ind w:firstLine="426"/>
        <w:jc w:val="both"/>
        <w:rPr>
          <w:rFonts w:ascii="Arial" w:eastAsia="Calibri" w:hAnsi="Arial" w:cs="Arial"/>
          <w:bCs/>
          <w:sz w:val="22"/>
          <w:szCs w:val="24"/>
          <w:lang w:val="es-ES_tradnl" w:eastAsia="es-ES_tradnl"/>
        </w:rPr>
      </w:pPr>
      <w:r w:rsidRPr="00B36C11">
        <w:rPr>
          <w:rFonts w:ascii="Arial" w:eastAsia="Times New Roman" w:hAnsi="Arial" w:cs="Arial"/>
          <w:sz w:val="22"/>
          <w:lang w:val="es-CO" w:eastAsia="es-ES_tradnl"/>
        </w:rPr>
        <w:t xml:space="preserve">Sin perjuicio de lo anterior, atendiendo a la pregunta del peticionario, conviene señalar que anteriormente se señalaron cada uno de los documentos tipo que se han expedido hasta la actualidad, los cuales se han relacionado con los sectores de i) infraestructura de transporte; </w:t>
      </w:r>
      <w:proofErr w:type="spellStart"/>
      <w:r w:rsidRPr="00B36C11">
        <w:rPr>
          <w:rFonts w:ascii="Arial" w:eastAsia="Times New Roman" w:hAnsi="Arial" w:cs="Arial"/>
          <w:sz w:val="22"/>
          <w:lang w:val="es-CO" w:eastAsia="es-ES_tradnl"/>
        </w:rPr>
        <w:t>ii</w:t>
      </w:r>
      <w:proofErr w:type="spellEnd"/>
      <w:r w:rsidRPr="00B36C11">
        <w:rPr>
          <w:rFonts w:ascii="Arial" w:eastAsia="Times New Roman" w:hAnsi="Arial" w:cs="Arial"/>
          <w:sz w:val="22"/>
          <w:lang w:val="es-CO" w:eastAsia="es-ES_tradnl"/>
        </w:rPr>
        <w:t xml:space="preserve">) infraestructura de agua potable y saneamiento básico; y </w:t>
      </w:r>
      <w:proofErr w:type="spellStart"/>
      <w:r w:rsidRPr="00B36C11">
        <w:rPr>
          <w:rFonts w:ascii="Arial" w:eastAsia="Times New Roman" w:hAnsi="Arial" w:cs="Arial"/>
          <w:sz w:val="22"/>
          <w:lang w:val="es-CO" w:eastAsia="es-ES_tradnl"/>
        </w:rPr>
        <w:t>iii</w:t>
      </w:r>
      <w:proofErr w:type="spellEnd"/>
      <w:r w:rsidRPr="00B36C11">
        <w:rPr>
          <w:rFonts w:ascii="Arial" w:eastAsia="Times New Roman" w:hAnsi="Arial" w:cs="Arial"/>
          <w:sz w:val="22"/>
          <w:lang w:val="es-CO" w:eastAsia="es-ES_tradnl"/>
        </w:rPr>
        <w:t xml:space="preserve">) infraestructura social, que contiene infraestructura relacionada con el sector educativo, salud, y cultura recreación y deporte. En tal sentido, hasta la actualidad no se han expedido documentos tipo dirigidos a proyectos específicos de infraestructura eléctrica. Sin perjuicio de lo anterior, </w:t>
      </w:r>
      <w:r w:rsidRPr="00B36C11">
        <w:rPr>
          <w:rFonts w:ascii="Arial" w:eastAsia="Times New Roman" w:hAnsi="Arial" w:cs="Arial"/>
          <w:sz w:val="22"/>
          <w:lang w:val="es-CO" w:eastAsia="es-ES_tradnl"/>
        </w:rPr>
        <w:lastRenderedPageBreak/>
        <w:t>se reitera que le corresponde a cada entidad estatal, de acuerdo con los parámetros expuestos en este concepto, definir la procedencia de aplicar los documentos tipo.</w:t>
      </w:r>
    </w:p>
    <w:p w14:paraId="4BE97158" w14:textId="08388DAA" w:rsidR="00F3098F" w:rsidRPr="00B36C11" w:rsidRDefault="00661535" w:rsidP="00F055FA">
      <w:pPr>
        <w:pStyle w:val="Prrafodelista"/>
        <w:tabs>
          <w:tab w:val="left" w:pos="284"/>
        </w:tabs>
        <w:spacing w:line="276" w:lineRule="auto"/>
        <w:ind w:left="0"/>
        <w:jc w:val="both"/>
        <w:rPr>
          <w:rFonts w:ascii="Arial" w:hAnsi="Arial" w:cs="Arial"/>
          <w:color w:val="000000"/>
          <w:sz w:val="22"/>
          <w:bdr w:val="none" w:sz="0" w:space="0" w:color="auto" w:frame="1"/>
        </w:rPr>
      </w:pPr>
      <w:r w:rsidRPr="00B36C11">
        <w:rPr>
          <w:rFonts w:ascii="Arial" w:eastAsia="Calibri" w:hAnsi="Arial" w:cs="Arial"/>
          <w:bCs/>
          <w:sz w:val="22"/>
          <w:lang w:val="es-ES_tradnl" w:eastAsia="es-ES_tradnl"/>
        </w:rPr>
        <w:tab/>
      </w:r>
      <w:r w:rsidRPr="00B36C11">
        <w:rPr>
          <w:rFonts w:ascii="Arial" w:eastAsia="Calibri" w:hAnsi="Arial" w:cs="Arial"/>
          <w:bCs/>
          <w:sz w:val="22"/>
          <w:lang w:val="es-ES_tradnl" w:eastAsia="es-ES_tradnl"/>
        </w:rPr>
        <w:tab/>
      </w:r>
    </w:p>
    <w:p w14:paraId="34F3517F" w14:textId="7C9F5B97" w:rsidR="004B29A8" w:rsidRPr="00B36C11" w:rsidRDefault="00F055FA" w:rsidP="004B29A8">
      <w:pPr>
        <w:pStyle w:val="Prrafodelista"/>
        <w:tabs>
          <w:tab w:val="left" w:pos="284"/>
        </w:tabs>
        <w:spacing w:line="276" w:lineRule="auto"/>
        <w:ind w:left="0"/>
        <w:jc w:val="both"/>
        <w:rPr>
          <w:rFonts w:ascii="Arial" w:eastAsia="Calibri" w:hAnsi="Arial" w:cs="Arial"/>
          <w:b/>
          <w:sz w:val="22"/>
          <w:lang w:val="es-CO"/>
        </w:rPr>
      </w:pPr>
      <w:r w:rsidRPr="00B36C11">
        <w:rPr>
          <w:rFonts w:ascii="Arial" w:hAnsi="Arial" w:cs="Arial"/>
          <w:color w:val="000000"/>
          <w:sz w:val="22"/>
          <w:bdr w:val="none" w:sz="0" w:space="0" w:color="auto" w:frame="1"/>
        </w:rPr>
        <w:t> </w:t>
      </w:r>
      <w:r w:rsidR="004B29A8" w:rsidRPr="00B36C11">
        <w:rPr>
          <w:rFonts w:ascii="Arial" w:eastAsia="Calibri" w:hAnsi="Arial" w:cs="Arial"/>
          <w:b/>
          <w:sz w:val="22"/>
          <w:lang w:val="es-CO"/>
        </w:rPr>
        <w:t>3. Respuesta</w:t>
      </w:r>
    </w:p>
    <w:p w14:paraId="758A3D97" w14:textId="396B1EF9" w:rsidR="004B29A8" w:rsidRPr="00B36C11" w:rsidRDefault="004B29A8" w:rsidP="004B29A8">
      <w:pPr>
        <w:pStyle w:val="Prrafodelista"/>
        <w:tabs>
          <w:tab w:val="left" w:pos="284"/>
        </w:tabs>
        <w:ind w:left="0"/>
        <w:jc w:val="both"/>
        <w:rPr>
          <w:rFonts w:ascii="Arial" w:eastAsia="Calibri" w:hAnsi="Arial" w:cs="Arial"/>
          <w:sz w:val="22"/>
          <w:lang w:val="es-CO"/>
        </w:rPr>
      </w:pPr>
    </w:p>
    <w:p w14:paraId="2DBAD345" w14:textId="6C0056E5" w:rsidR="00E50C37" w:rsidRPr="00B36C11" w:rsidRDefault="002465CC" w:rsidP="00E50C37">
      <w:pPr>
        <w:ind w:left="567" w:right="900"/>
        <w:jc w:val="both"/>
        <w:rPr>
          <w:rFonts w:ascii="Arial" w:hAnsi="Arial" w:cs="Arial"/>
          <w:color w:val="000000"/>
          <w:sz w:val="20"/>
          <w:szCs w:val="20"/>
        </w:rPr>
      </w:pPr>
      <w:r w:rsidRPr="00B36C11">
        <w:rPr>
          <w:rFonts w:ascii="Arial" w:hAnsi="Arial" w:cs="Arial"/>
          <w:color w:val="161616" w:themeColor="background1" w:themeShade="1A"/>
          <w:sz w:val="21"/>
          <w:szCs w:val="21"/>
        </w:rPr>
        <w:t>«</w:t>
      </w:r>
      <w:r w:rsidRPr="00B36C11">
        <w:rPr>
          <w:rFonts w:ascii="Arial" w:eastAsia="Calibri" w:hAnsi="Arial" w:cs="Arial"/>
          <w:bCs/>
          <w:sz w:val="20"/>
          <w:lang w:val="es-ES_tradnl"/>
        </w:rPr>
        <w:t>[….]</w:t>
      </w:r>
      <w:r w:rsidRPr="00B36C11">
        <w:rPr>
          <w:rFonts w:ascii="Arial" w:hAnsi="Arial" w:cs="Arial"/>
          <w:color w:val="000000"/>
          <w:sz w:val="21"/>
          <w:szCs w:val="21"/>
        </w:rPr>
        <w:t xml:space="preserve"> nos permitimos solicitar concepto sobre la norma aplicable por parte de ENERGUAVIARE S.A. ESP en la actividad de selección de contratistas requeridos para la ejecución del Contrato Interadministrativo No. 128 suscrito con IPSE, o podemos hacer uso de lo expresado en el Concepto CCE-DES-FM-17 emitido por el doctor JORGE AUGUSTO TIRADO NAVARRO Subdirector de Gestión Contractual de esa entidad, en el entendido que al no existir Pliego Tipo para Obra de Infraestructura Eléctrica la selección de los contratistas derivados del Interadministrativo se someterán a las reglas que establezca el Manual Interno de Contratación de ENERGUAVIARE S.A. – E.S.P.»</w:t>
      </w:r>
      <w:r w:rsidR="00E50C37" w:rsidRPr="00B36C11">
        <w:rPr>
          <w:rFonts w:ascii="Arial" w:hAnsi="Arial" w:cs="Arial"/>
          <w:color w:val="000000"/>
          <w:sz w:val="20"/>
          <w:szCs w:val="20"/>
        </w:rPr>
        <w:t xml:space="preserve"> </w:t>
      </w:r>
    </w:p>
    <w:p w14:paraId="5D90020F" w14:textId="746ADD51" w:rsidR="00382BB0" w:rsidRPr="00B36C11" w:rsidRDefault="00382BB0" w:rsidP="004B29A8">
      <w:pPr>
        <w:pStyle w:val="Prrafodelista"/>
        <w:tabs>
          <w:tab w:val="left" w:pos="284"/>
        </w:tabs>
        <w:ind w:left="0"/>
        <w:jc w:val="both"/>
        <w:rPr>
          <w:rFonts w:ascii="Arial" w:eastAsia="Calibri" w:hAnsi="Arial" w:cs="Arial"/>
          <w:sz w:val="22"/>
        </w:rPr>
      </w:pPr>
    </w:p>
    <w:p w14:paraId="119F38B1" w14:textId="252B6183" w:rsidR="007B5768" w:rsidRPr="00B36C11" w:rsidRDefault="00EA405F" w:rsidP="007B5768">
      <w:pPr>
        <w:spacing w:after="120" w:line="276" w:lineRule="auto"/>
        <w:jc w:val="both"/>
        <w:rPr>
          <w:rFonts w:ascii="Arial" w:hAnsi="Arial" w:cs="Arial"/>
          <w:color w:val="000000" w:themeColor="text1"/>
          <w:sz w:val="22"/>
          <w:lang w:val="es-ES_tradnl"/>
        </w:rPr>
      </w:pPr>
      <w:r w:rsidRPr="00B36C11">
        <w:rPr>
          <w:rFonts w:ascii="Arial" w:hAnsi="Arial" w:cs="Arial"/>
          <w:color w:val="000000" w:themeColor="text1"/>
          <w:sz w:val="22"/>
          <w:lang w:val="es-ES_tradnl"/>
        </w:rPr>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la Subdirección –dentro de los límites de sus atribuciones–</w:t>
      </w:r>
      <w:r w:rsidR="00B77878" w:rsidRPr="00B36C11">
        <w:rPr>
          <w:rFonts w:ascii="Arial" w:hAnsi="Arial" w:cs="Arial"/>
          <w:color w:val="000000" w:themeColor="text1"/>
          <w:sz w:val="22"/>
          <w:lang w:val="es-ES_tradnl"/>
        </w:rPr>
        <w:t xml:space="preserve"> </w:t>
      </w:r>
      <w:r w:rsidRPr="00B36C11">
        <w:rPr>
          <w:rFonts w:ascii="Arial" w:hAnsi="Arial" w:cs="Arial"/>
          <w:color w:val="000000" w:themeColor="text1"/>
          <w:sz w:val="22"/>
          <w:lang w:val="es-ES_tradnl"/>
        </w:rPr>
        <w:t>resolverá la consulta elevada, conforme a las normas generales.</w:t>
      </w:r>
    </w:p>
    <w:p w14:paraId="25461508" w14:textId="71D4BE01" w:rsidR="00D21955" w:rsidRPr="00B36C11" w:rsidRDefault="007B5768" w:rsidP="00D21955">
      <w:pPr>
        <w:spacing w:after="120" w:line="276" w:lineRule="auto"/>
        <w:jc w:val="both"/>
        <w:rPr>
          <w:rFonts w:ascii="Arial" w:hAnsi="Arial" w:cs="Arial"/>
          <w:color w:val="000000" w:themeColor="text1"/>
          <w:sz w:val="22"/>
          <w:lang w:val="es-ES_tradnl"/>
        </w:rPr>
      </w:pPr>
      <w:r w:rsidRPr="00B36C11">
        <w:rPr>
          <w:rFonts w:ascii="Arial" w:hAnsi="Arial" w:cs="Arial"/>
          <w:color w:val="000000" w:themeColor="text1"/>
          <w:sz w:val="22"/>
          <w:lang w:val="es-ES_tradnl"/>
        </w:rPr>
        <w:t xml:space="preserve">De acuerdo a los argumentos expuestos en el presente conceto, se concluye que </w:t>
      </w:r>
      <w:r w:rsidRPr="00B36C11">
        <w:rPr>
          <w:rFonts w:ascii="Arial" w:eastAsia="Calibri" w:hAnsi="Arial" w:cs="Arial"/>
          <w:color w:val="000000"/>
          <w:sz w:val="22"/>
          <w:bdr w:val="none" w:sz="0" w:space="0" w:color="auto" w:frame="1"/>
          <w:lang w:val="es-CO" w:eastAsia="es-ES_tradnl"/>
        </w:rPr>
        <w:t>los documentos tipo adoptados</w:t>
      </w:r>
      <w:r w:rsidR="00C02498" w:rsidRPr="00B36C11">
        <w:rPr>
          <w:rFonts w:ascii="Arial" w:eastAsia="Calibri" w:hAnsi="Arial" w:cs="Arial"/>
          <w:color w:val="000000"/>
          <w:sz w:val="22"/>
          <w:bdr w:val="none" w:sz="0" w:space="0" w:color="auto" w:frame="1"/>
          <w:lang w:val="es-CO" w:eastAsia="es-ES_tradnl"/>
        </w:rPr>
        <w:t xml:space="preserve"> por la Agencia Nacional de Contratación Pública -Colombia Compra Eficiente</w:t>
      </w:r>
      <w:r w:rsidRPr="00B36C11">
        <w:rPr>
          <w:rFonts w:ascii="Arial" w:eastAsia="Calibri" w:hAnsi="Arial" w:cs="Arial"/>
          <w:color w:val="000000"/>
          <w:sz w:val="22"/>
          <w:bdr w:val="none" w:sz="0" w:space="0" w:color="auto" w:frame="1"/>
          <w:lang w:val="es-CO" w:eastAsia="es-ES_tradnl"/>
        </w:rPr>
        <w:t xml:space="preserve">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B36C11">
        <w:rPr>
          <w:rFonts w:ascii="Arial" w:eastAsia="Calibri" w:hAnsi="Arial" w:cs="Arial"/>
          <w:color w:val="000000"/>
          <w:sz w:val="22"/>
          <w:bdr w:val="none" w:sz="0" w:space="0" w:color="auto" w:frame="1"/>
          <w:lang w:val="es-ES_tradnl" w:eastAsia="es-ES_tradnl"/>
        </w:rPr>
        <w:t>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256097CC" w14:textId="77777777" w:rsidR="00B77878" w:rsidRPr="00B36C11" w:rsidRDefault="00B77878" w:rsidP="00B77878">
      <w:pPr>
        <w:spacing w:before="120" w:line="276" w:lineRule="auto"/>
        <w:ind w:firstLine="709"/>
        <w:jc w:val="both"/>
        <w:rPr>
          <w:rFonts w:ascii="Arial" w:eastAsia="Calibri" w:hAnsi="Arial" w:cs="Arial"/>
          <w:color w:val="0D0D0D"/>
          <w:sz w:val="22"/>
          <w:lang w:eastAsia="es-ES_tradnl"/>
        </w:rPr>
      </w:pPr>
      <w:r w:rsidRPr="00B36C11">
        <w:rPr>
          <w:rFonts w:ascii="Arial" w:eastAsia="Calibri" w:hAnsi="Arial" w:cs="Arial"/>
          <w:color w:val="0D0D0D"/>
          <w:sz w:val="22"/>
          <w:lang w:eastAsia="es-ES_tradnl"/>
        </w:rPr>
        <w:t xml:space="preserve">Ahora bien, uno de los elementos comunes a los diferentes documentos tipo es la «Matriz de Experiencia». Esta consta de unas celdas en las que se describe la experiencia requerida en relación con el objeto a contratar, definiendo además qué tipo de actividades relacionadas con cada sector deben acogerse a los pliegos tipo. Por otro lado, también es </w:t>
      </w:r>
      <w:r w:rsidRPr="00B36C11">
        <w:rPr>
          <w:rFonts w:ascii="Arial" w:eastAsia="Calibri" w:hAnsi="Arial" w:cs="Arial"/>
          <w:color w:val="0D0D0D"/>
          <w:sz w:val="22"/>
          <w:lang w:eastAsia="es-ES_tradnl"/>
        </w:rPr>
        <w:lastRenderedPageBreak/>
        <w:t>importante tener en cuenta el «Anexo – Glosario», que contiene las definiciones de los términos usados en los demás documentos. De esta manera, quien adelanta el procedimiento de selección puede definir si el objeto a contratarse debe emplear los documentos tipo adoptados por esta Agencia, teniendo en cuenta la Matriz de Experiencia, con las explicaciones que se deriven del glosario.</w:t>
      </w:r>
    </w:p>
    <w:p w14:paraId="05AC37D1" w14:textId="77777777" w:rsidR="00B77878" w:rsidRPr="00B36C11" w:rsidRDefault="00B77878" w:rsidP="00B77878">
      <w:pPr>
        <w:spacing w:before="120" w:line="276" w:lineRule="auto"/>
        <w:ind w:firstLine="709"/>
        <w:jc w:val="both"/>
        <w:rPr>
          <w:rFonts w:ascii="Arial" w:eastAsia="Calibri" w:hAnsi="Arial" w:cs="Arial"/>
          <w:color w:val="0D0D0D"/>
          <w:sz w:val="22"/>
          <w:lang w:eastAsia="es-ES_tradnl"/>
        </w:rPr>
      </w:pPr>
      <w:r w:rsidRPr="00B36C11">
        <w:rPr>
          <w:rFonts w:ascii="Arial" w:eastAsia="Calibri" w:hAnsi="Arial" w:cs="Arial"/>
          <w:color w:val="0D0D0D"/>
          <w:sz w:val="22"/>
          <w:lang w:eastAsia="es-ES_tradnl"/>
        </w:rPr>
        <w:t>Conforme a lo anterior, la Matriz de experiencia cumple una doble función: por un lado, sirve para estandarizar las condiciones de experiencia. De otro lado, dicha matriz permite determinar el ámbito de aplicación de los documentos tipo respecto de objetos contractuales asociados, ya que son las actividades descritas en esta las que deben contratarse aplicando documentos tipo.</w:t>
      </w:r>
    </w:p>
    <w:p w14:paraId="3AE60413" w14:textId="358B619A" w:rsidR="00B77878" w:rsidRPr="00B36C11" w:rsidRDefault="00B77878" w:rsidP="00B77878">
      <w:pPr>
        <w:tabs>
          <w:tab w:val="left" w:pos="0"/>
        </w:tabs>
        <w:spacing w:before="120" w:line="276" w:lineRule="auto"/>
        <w:ind w:firstLine="709"/>
        <w:jc w:val="both"/>
        <w:rPr>
          <w:rFonts w:ascii="Arial" w:eastAsia="Calibri" w:hAnsi="Arial" w:cs="Arial"/>
          <w:bCs/>
          <w:sz w:val="22"/>
          <w:szCs w:val="24"/>
          <w:lang w:val="es-ES_tradnl" w:eastAsia="es-ES_tradnl"/>
        </w:rPr>
      </w:pPr>
      <w:r w:rsidRPr="00B36C11">
        <w:rPr>
          <w:rFonts w:ascii="Arial" w:eastAsia="Calibri" w:hAnsi="Arial" w:cs="Arial"/>
          <w:color w:val="0D0D0D"/>
          <w:sz w:val="22"/>
          <w:lang w:eastAsia="es-ES_tradnl"/>
        </w:rPr>
        <w:t>De esta manera, para saber a qué actividades se deben aplicar los documentos tipo expedidos por esta Agencia, quien adelanta el procedimiento de selección debe verificar los documentos tipo que se hayan expedido para la modalidad de selección aplicable, subsumiendo el objeto a contratar en los tipos de proyectos o actividades a contratarse, de acuerdo con las actividades señaladas en la matriz de experiencia. De esta manera, si el objeto contractual a ejecutar se encuadra materialmente dentro de alguno de los tipos actividades concretas señaladas en cada una de las matrices de experiencia, se tendrán que aplicar los documentos tipo, mientras que en el caso contrario no será forzosa su aplicación. En este sentido, en los documentos base de los documentos tipo</w:t>
      </w:r>
      <w:r w:rsidRPr="00B36C11">
        <w:rPr>
          <w:rFonts w:ascii="Arial" w:eastAsia="Calibri" w:hAnsi="Arial" w:cs="Arial"/>
          <w:sz w:val="22"/>
          <w:lang w:eastAsia="es-ES_tradnl"/>
        </w:rPr>
        <w:t>, se indica que la entidad establecerá las condiciones de experiencia, tanto general como específica en las actividades que van a contratar</w:t>
      </w:r>
      <w:r w:rsidR="002444C8" w:rsidRPr="00B36C11">
        <w:rPr>
          <w:rFonts w:ascii="Arial" w:eastAsia="Calibri" w:hAnsi="Arial" w:cs="Arial"/>
          <w:sz w:val="22"/>
          <w:lang w:eastAsia="es-ES_tradnl"/>
        </w:rPr>
        <w:t xml:space="preserve">, por lo que </w:t>
      </w:r>
      <w:r w:rsidRPr="00B36C11">
        <w:rPr>
          <w:rFonts w:ascii="Arial" w:eastAsia="Calibri" w:hAnsi="Arial" w:cs="Arial"/>
          <w:sz w:val="22"/>
          <w:lang w:eastAsia="es-ES_tradnl"/>
        </w:rPr>
        <w:t>no</w:t>
      </w:r>
      <w:r w:rsidR="002444C8" w:rsidRPr="00B36C11">
        <w:rPr>
          <w:rFonts w:ascii="Arial" w:eastAsia="Calibri" w:hAnsi="Arial" w:cs="Arial"/>
          <w:sz w:val="22"/>
          <w:lang w:eastAsia="es-ES_tradnl"/>
        </w:rPr>
        <w:t xml:space="preserve"> se</w:t>
      </w:r>
      <w:r w:rsidRPr="00B36C11">
        <w:rPr>
          <w:rFonts w:ascii="Arial" w:eastAsia="Calibri" w:hAnsi="Arial" w:cs="Arial"/>
          <w:sz w:val="22"/>
          <w:lang w:eastAsia="es-ES_tradnl"/>
        </w:rPr>
        <w:t xml:space="preserve"> podrá</w:t>
      </w:r>
      <w:r w:rsidR="002444C8" w:rsidRPr="00B36C11">
        <w:rPr>
          <w:rFonts w:ascii="Arial" w:eastAsia="Calibri" w:hAnsi="Arial" w:cs="Arial"/>
          <w:sz w:val="22"/>
          <w:lang w:eastAsia="es-ES_tradnl"/>
        </w:rPr>
        <w:t>n</w:t>
      </w:r>
      <w:r w:rsidRPr="00B36C11">
        <w:rPr>
          <w:rFonts w:ascii="Arial" w:eastAsia="Calibri" w:hAnsi="Arial" w:cs="Arial"/>
          <w:sz w:val="22"/>
          <w:lang w:eastAsia="es-ES_tradnl"/>
        </w:rPr>
        <w:t xml:space="preserve"> incluir condiciones distintas a las previstas en la matriz de experiencia y, por tanto, deberá transcribir textualmente lo indicado en ésta.</w:t>
      </w:r>
    </w:p>
    <w:p w14:paraId="25371AC1" w14:textId="5B918C0D" w:rsidR="00B77878" w:rsidRPr="00B36C11" w:rsidRDefault="00B77878" w:rsidP="002444C8">
      <w:pPr>
        <w:tabs>
          <w:tab w:val="left" w:pos="0"/>
        </w:tabs>
        <w:spacing w:before="120" w:line="276" w:lineRule="auto"/>
        <w:ind w:firstLine="426"/>
        <w:jc w:val="both"/>
        <w:rPr>
          <w:rFonts w:ascii="Arial" w:eastAsia="Times New Roman" w:hAnsi="Arial" w:cs="Arial"/>
          <w:sz w:val="22"/>
          <w:lang w:val="es-CO" w:eastAsia="es-ES_tradnl"/>
        </w:rPr>
      </w:pPr>
      <w:r w:rsidRPr="00B36C11">
        <w:rPr>
          <w:rFonts w:ascii="Arial" w:eastAsia="Calibri" w:hAnsi="Arial" w:cs="Arial"/>
          <w:bCs/>
          <w:sz w:val="22"/>
          <w:szCs w:val="24"/>
          <w:lang w:val="es-ES_tradnl" w:eastAsia="es-ES_tradnl"/>
        </w:rPr>
        <w:tab/>
        <w:t xml:space="preserve">En tal sentido, </w:t>
      </w:r>
      <w:r w:rsidRPr="00B36C11">
        <w:rPr>
          <w:rFonts w:ascii="Arial" w:eastAsia="Times New Roman" w:hAnsi="Arial" w:cs="Arial"/>
          <w:sz w:val="22"/>
          <w:lang w:val="es-CO" w:eastAsia="es-ES_tradnl"/>
        </w:rPr>
        <w:t>debe advertirse que es el encargado de adelantar el procedimiento de selección, al momento de adelantar sus actividades de planeación de cada proceso contractual, quien debe determinar si de acuerdo con las particularidades del contrato a ejecutar, este encaja o no dentro de alguna de las actividades de la matriz de experiencia de cada documento tipo, y si en consecuencia deben aplicarse o no determinados documentos tipo, conforme a los parámetros indicados en este concepto. Lo anterior sin que pueda apartarse de su aplicación cuando materialmente el objeto a contratar corresponde con alguna actividad</w:t>
      </w:r>
      <w:r w:rsidR="002444C8" w:rsidRPr="00B36C11">
        <w:rPr>
          <w:rFonts w:ascii="Arial" w:eastAsia="Times New Roman" w:hAnsi="Arial" w:cs="Arial"/>
          <w:sz w:val="22"/>
          <w:lang w:val="es-CO" w:eastAsia="es-ES_tradnl"/>
        </w:rPr>
        <w:t xml:space="preserve"> </w:t>
      </w:r>
      <w:r w:rsidRPr="00B36C11">
        <w:rPr>
          <w:rFonts w:ascii="Arial" w:eastAsia="Times New Roman" w:hAnsi="Arial" w:cs="Arial"/>
          <w:sz w:val="22"/>
          <w:lang w:val="es-CO" w:eastAsia="es-ES_tradnl"/>
        </w:rPr>
        <w:t>contemplada en dicha matriz.</w:t>
      </w:r>
    </w:p>
    <w:p w14:paraId="4E0A2D63" w14:textId="0300BEDF" w:rsidR="00B77878" w:rsidRPr="00B36C11" w:rsidRDefault="00B77878" w:rsidP="00B77878">
      <w:pPr>
        <w:tabs>
          <w:tab w:val="left" w:pos="0"/>
        </w:tabs>
        <w:spacing w:before="120" w:line="276" w:lineRule="auto"/>
        <w:ind w:firstLine="426"/>
        <w:jc w:val="both"/>
        <w:rPr>
          <w:rFonts w:ascii="Arial" w:eastAsia="Calibri" w:hAnsi="Arial" w:cs="Arial"/>
          <w:bCs/>
          <w:sz w:val="22"/>
          <w:szCs w:val="24"/>
          <w:lang w:val="es-ES_tradnl" w:eastAsia="es-ES_tradnl"/>
        </w:rPr>
      </w:pPr>
      <w:r w:rsidRPr="00B36C11">
        <w:rPr>
          <w:rFonts w:ascii="Arial" w:eastAsia="Times New Roman" w:hAnsi="Arial" w:cs="Arial"/>
          <w:sz w:val="22"/>
          <w:lang w:val="es-CO" w:eastAsia="es-ES_tradnl"/>
        </w:rPr>
        <w:t xml:space="preserve">Sin perjuicio de lo anterior, atendiendo a la pregunta del peticionario, conviene señalar que en las consideraciones se señalaron cada uno de los documentos tipo que se han expedido hasta la actualidad, los cuales se han relacionado con los sectores de i) infraestructura de transporte; </w:t>
      </w:r>
      <w:proofErr w:type="spellStart"/>
      <w:r w:rsidRPr="00B36C11">
        <w:rPr>
          <w:rFonts w:ascii="Arial" w:eastAsia="Times New Roman" w:hAnsi="Arial" w:cs="Arial"/>
          <w:sz w:val="22"/>
          <w:lang w:val="es-CO" w:eastAsia="es-ES_tradnl"/>
        </w:rPr>
        <w:t>ii</w:t>
      </w:r>
      <w:proofErr w:type="spellEnd"/>
      <w:r w:rsidRPr="00B36C11">
        <w:rPr>
          <w:rFonts w:ascii="Arial" w:eastAsia="Times New Roman" w:hAnsi="Arial" w:cs="Arial"/>
          <w:sz w:val="22"/>
          <w:lang w:val="es-CO" w:eastAsia="es-ES_tradnl"/>
        </w:rPr>
        <w:t xml:space="preserve">) infraestructura de agua potable y saneamiento básico; y </w:t>
      </w:r>
      <w:proofErr w:type="spellStart"/>
      <w:r w:rsidRPr="00B36C11">
        <w:rPr>
          <w:rFonts w:ascii="Arial" w:eastAsia="Times New Roman" w:hAnsi="Arial" w:cs="Arial"/>
          <w:sz w:val="22"/>
          <w:lang w:val="es-CO" w:eastAsia="es-ES_tradnl"/>
        </w:rPr>
        <w:t>iii</w:t>
      </w:r>
      <w:proofErr w:type="spellEnd"/>
      <w:r w:rsidRPr="00B36C11">
        <w:rPr>
          <w:rFonts w:ascii="Arial" w:eastAsia="Times New Roman" w:hAnsi="Arial" w:cs="Arial"/>
          <w:sz w:val="22"/>
          <w:lang w:val="es-CO" w:eastAsia="es-ES_tradnl"/>
        </w:rPr>
        <w:t xml:space="preserve">) infraestructura social, que contiene infraestructura relacionada con el sector educativo, </w:t>
      </w:r>
      <w:r w:rsidRPr="00B36C11">
        <w:rPr>
          <w:rFonts w:ascii="Arial" w:eastAsia="Times New Roman" w:hAnsi="Arial" w:cs="Arial"/>
          <w:sz w:val="22"/>
          <w:lang w:val="es-CO" w:eastAsia="es-ES_tradnl"/>
        </w:rPr>
        <w:lastRenderedPageBreak/>
        <w:t>salud, y cultura recreación y deporte. En tal sentido, hasta la actualidad no se han expedido documentos tipo dirigidos a proyectos específicos de infraestructura eléctrica. Sin perjuicio de lo anterior, se reitera que le corresponde a cada entidad estatal, de acuerdo con los parámetros expuestos en este concepto, definir la procedencia de aplicar los documentos tipo.</w:t>
      </w:r>
    </w:p>
    <w:p w14:paraId="1EF3AF76" w14:textId="777C0F8B" w:rsidR="00E2404E" w:rsidRPr="00B36C11" w:rsidRDefault="00E2404E" w:rsidP="008E25A3">
      <w:pPr>
        <w:spacing w:line="276" w:lineRule="auto"/>
        <w:jc w:val="both"/>
        <w:rPr>
          <w:rFonts w:ascii="Arial" w:hAnsi="Arial" w:cs="Arial"/>
          <w:color w:val="000000" w:themeColor="text1"/>
          <w:sz w:val="22"/>
          <w:lang w:val="es-ES_tradnl"/>
        </w:rPr>
      </w:pPr>
    </w:p>
    <w:p w14:paraId="073B8E8D" w14:textId="77777777" w:rsidR="004B29A8" w:rsidRPr="00B36C11" w:rsidRDefault="004B29A8" w:rsidP="00254CEF">
      <w:pPr>
        <w:spacing w:before="120" w:after="120" w:line="276" w:lineRule="auto"/>
        <w:jc w:val="both"/>
        <w:rPr>
          <w:rFonts w:ascii="Arial" w:eastAsia="Times New Roman" w:hAnsi="Arial" w:cs="Arial"/>
          <w:color w:val="000000"/>
          <w:sz w:val="22"/>
          <w:lang w:eastAsia="es-CO"/>
        </w:rPr>
      </w:pPr>
      <w:r w:rsidRPr="00B36C11">
        <w:rPr>
          <w:rFonts w:ascii="Arial" w:eastAsia="Times New Roman" w:hAnsi="Arial" w:cs="Arial"/>
          <w:color w:val="000000"/>
          <w:sz w:val="22"/>
          <w:lang w:eastAsia="es-CO"/>
        </w:rPr>
        <w:t>Este concepto tiene el alcance previsto en el artículo 28 del Código de Procedimiento Administrativo y de lo Contencioso Administrativo.</w:t>
      </w:r>
    </w:p>
    <w:p w14:paraId="12D865D5" w14:textId="4A1E5E2E" w:rsidR="004B29A8" w:rsidRPr="00B36C11" w:rsidRDefault="004B29A8" w:rsidP="004B29A8">
      <w:pPr>
        <w:spacing w:after="120" w:line="276" w:lineRule="auto"/>
        <w:jc w:val="both"/>
        <w:rPr>
          <w:rFonts w:ascii="Arial" w:eastAsia="Times New Roman" w:hAnsi="Arial" w:cs="Arial"/>
          <w:color w:val="000000"/>
          <w:sz w:val="22"/>
          <w:lang w:val="es-ES" w:eastAsia="es-CO"/>
        </w:rPr>
      </w:pPr>
      <w:r w:rsidRPr="00B36C11">
        <w:rPr>
          <w:rFonts w:ascii="Arial" w:eastAsia="Times New Roman" w:hAnsi="Arial" w:cs="Arial"/>
          <w:color w:val="000000"/>
          <w:sz w:val="22"/>
          <w:lang w:val="es-ES" w:eastAsia="es-CO"/>
        </w:rPr>
        <w:t>Atentamente,</w:t>
      </w:r>
    </w:p>
    <w:bookmarkEnd w:id="0"/>
    <w:p w14:paraId="29F88100" w14:textId="0E5861A8" w:rsidR="00A15359" w:rsidRPr="00B36C11" w:rsidRDefault="00BF1A38" w:rsidP="00A15359">
      <w:pPr>
        <w:spacing w:after="120" w:line="276" w:lineRule="auto"/>
        <w:jc w:val="center"/>
        <w:rPr>
          <w:rFonts w:ascii="Calibri" w:eastAsia="Calibri" w:hAnsi="Calibri" w:cs="Times New Roman"/>
        </w:rPr>
      </w:pPr>
      <w:r>
        <w:rPr>
          <w:rFonts w:ascii="Arial" w:hAnsi="Arial" w:cs="Arial"/>
          <w:noProof/>
          <w:color w:val="161616" w:themeColor="background1" w:themeShade="1A"/>
          <w:lang w:eastAsia="es-CO"/>
        </w:rPr>
        <w:drawing>
          <wp:inline distT="0" distB="0" distL="0" distR="0" wp14:anchorId="6FA7291E" wp14:editId="7AE161DA">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664C5" w:rsidRPr="00B36C11" w14:paraId="2DA47E8B" w14:textId="77777777" w:rsidTr="00CF662B">
        <w:trPr>
          <w:trHeight w:val="286"/>
        </w:trPr>
        <w:tc>
          <w:tcPr>
            <w:tcW w:w="817" w:type="dxa"/>
            <w:vAlign w:val="center"/>
          </w:tcPr>
          <w:p w14:paraId="06EAE4B2"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Elaboró:</w:t>
            </w:r>
          </w:p>
        </w:tc>
        <w:tc>
          <w:tcPr>
            <w:tcW w:w="4445" w:type="dxa"/>
            <w:tcBorders>
              <w:bottom w:val="dotted" w:sz="4" w:space="0" w:color="7F7F7F"/>
            </w:tcBorders>
            <w:vAlign w:val="center"/>
          </w:tcPr>
          <w:p w14:paraId="7C542DB1"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 xml:space="preserve">Diana Fabiola Herrera Hernández </w:t>
            </w:r>
          </w:p>
          <w:p w14:paraId="4469E5DF"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Contratista de la Subdirección de Gestión Contractual</w:t>
            </w:r>
          </w:p>
        </w:tc>
      </w:tr>
      <w:tr w:rsidR="000664C5" w:rsidRPr="00B36C11" w14:paraId="2824D27B" w14:textId="77777777" w:rsidTr="00CF662B">
        <w:trPr>
          <w:trHeight w:val="299"/>
        </w:trPr>
        <w:tc>
          <w:tcPr>
            <w:tcW w:w="817" w:type="dxa"/>
            <w:vAlign w:val="center"/>
          </w:tcPr>
          <w:p w14:paraId="1A976EDE"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3E85025B"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Sebastián Ramírez Grisales</w:t>
            </w:r>
          </w:p>
          <w:p w14:paraId="0FB83062"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Contratista de la Subdirección de Gestión Contractual</w:t>
            </w:r>
          </w:p>
        </w:tc>
      </w:tr>
      <w:tr w:rsidR="000664C5" w:rsidRPr="00776161" w14:paraId="4ECAF313" w14:textId="77777777" w:rsidTr="00CF662B">
        <w:trPr>
          <w:trHeight w:val="272"/>
        </w:trPr>
        <w:tc>
          <w:tcPr>
            <w:tcW w:w="817" w:type="dxa"/>
            <w:vAlign w:val="center"/>
          </w:tcPr>
          <w:p w14:paraId="27AB78F9" w14:textId="77777777" w:rsidR="000664C5" w:rsidRPr="00B36C11" w:rsidRDefault="000664C5" w:rsidP="000664C5">
            <w:pPr>
              <w:spacing w:before="0"/>
              <w:rPr>
                <w:rFonts w:ascii="Arial" w:hAnsi="Arial" w:cs="Arial"/>
                <w:sz w:val="16"/>
                <w:szCs w:val="16"/>
                <w:lang w:eastAsia="es-ES"/>
              </w:rPr>
            </w:pPr>
            <w:r w:rsidRPr="00B36C11">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784CBC73" w14:textId="63FD6E74" w:rsidR="000664C5" w:rsidRPr="00B36C11" w:rsidRDefault="00381B22" w:rsidP="000664C5">
            <w:pPr>
              <w:spacing w:before="0"/>
              <w:rPr>
                <w:rFonts w:ascii="Arial" w:hAnsi="Arial" w:cs="Arial"/>
                <w:sz w:val="16"/>
                <w:szCs w:val="16"/>
                <w:lang w:eastAsia="es-ES"/>
              </w:rPr>
            </w:pPr>
            <w:r w:rsidRPr="00B36C11">
              <w:rPr>
                <w:rFonts w:ascii="Arial" w:hAnsi="Arial" w:cs="Arial"/>
                <w:sz w:val="16"/>
                <w:szCs w:val="16"/>
                <w:lang w:eastAsia="es-ES"/>
              </w:rPr>
              <w:t>Juan David Marín López</w:t>
            </w:r>
          </w:p>
          <w:p w14:paraId="32E6795F" w14:textId="0C83538D" w:rsidR="000664C5" w:rsidRPr="00AC19AC" w:rsidRDefault="000664C5" w:rsidP="000664C5">
            <w:pPr>
              <w:spacing w:before="0"/>
              <w:rPr>
                <w:rFonts w:ascii="Arial" w:hAnsi="Arial" w:cs="Arial"/>
                <w:sz w:val="16"/>
                <w:szCs w:val="16"/>
                <w:lang w:eastAsia="es-ES"/>
              </w:rPr>
            </w:pPr>
            <w:r w:rsidRPr="00B36C11">
              <w:rPr>
                <w:rFonts w:ascii="Arial" w:hAnsi="Arial" w:cs="Arial"/>
                <w:sz w:val="16"/>
                <w:szCs w:val="16"/>
                <w:lang w:eastAsia="es-ES"/>
              </w:rPr>
              <w:t xml:space="preserve">Subdirector de Gestión Contractual </w:t>
            </w:r>
            <w:r w:rsidR="00381B22" w:rsidRPr="00B36C11">
              <w:rPr>
                <w:rFonts w:ascii="Arial" w:hAnsi="Arial" w:cs="Arial"/>
                <w:sz w:val="16"/>
                <w:szCs w:val="16"/>
                <w:lang w:eastAsia="es-ES"/>
              </w:rPr>
              <w:t>(E)</w:t>
            </w:r>
          </w:p>
        </w:tc>
      </w:tr>
    </w:tbl>
    <w:p w14:paraId="2B0777B6" w14:textId="7305C9A9" w:rsidR="000664C5" w:rsidRDefault="000664C5" w:rsidP="00A15359">
      <w:pPr>
        <w:spacing w:after="120" w:line="276" w:lineRule="auto"/>
        <w:jc w:val="center"/>
        <w:rPr>
          <w:rFonts w:ascii="Calibri" w:eastAsia="Calibri" w:hAnsi="Calibri" w:cs="Times New Roman"/>
        </w:rPr>
      </w:pPr>
    </w:p>
    <w:p w14:paraId="40165AB2" w14:textId="34A233B5" w:rsidR="000664C5" w:rsidRDefault="000664C5" w:rsidP="00A15359">
      <w:pPr>
        <w:spacing w:after="120" w:line="276" w:lineRule="auto"/>
        <w:jc w:val="center"/>
        <w:rPr>
          <w:rFonts w:ascii="Calibri" w:eastAsia="Calibri" w:hAnsi="Calibri" w:cs="Times New Roman"/>
        </w:rPr>
      </w:pPr>
    </w:p>
    <w:p w14:paraId="4DA686D0" w14:textId="088EAE29" w:rsidR="000664C5" w:rsidRDefault="000664C5" w:rsidP="00A15359">
      <w:pPr>
        <w:spacing w:after="120" w:line="276" w:lineRule="auto"/>
        <w:jc w:val="center"/>
        <w:rPr>
          <w:rFonts w:ascii="Calibri" w:eastAsia="Calibri" w:hAnsi="Calibri" w:cs="Times New Roman"/>
        </w:rPr>
      </w:pPr>
    </w:p>
    <w:p w14:paraId="64BC1124" w14:textId="1DEA7F67" w:rsidR="000664C5" w:rsidRDefault="000664C5" w:rsidP="00A15359">
      <w:pPr>
        <w:spacing w:after="120" w:line="276" w:lineRule="auto"/>
        <w:jc w:val="center"/>
        <w:rPr>
          <w:rFonts w:ascii="Calibri" w:eastAsia="Calibri" w:hAnsi="Calibri" w:cs="Times New Roman"/>
        </w:rPr>
      </w:pPr>
    </w:p>
    <w:p w14:paraId="09BE971B" w14:textId="77777777" w:rsidR="004B29A8" w:rsidRDefault="004B29A8" w:rsidP="004B29A8"/>
    <w:bookmarkEnd w:id="1"/>
    <w:p w14:paraId="5DE9D046" w14:textId="77777777" w:rsidR="004B29A8" w:rsidRPr="004B29A8" w:rsidRDefault="004B29A8" w:rsidP="004B29A8"/>
    <w:sectPr w:rsidR="004B29A8" w:rsidRPr="004B29A8" w:rsidSect="00B77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C324" w14:textId="77777777" w:rsidR="00D54ED6" w:rsidRDefault="00D54ED6">
      <w:r>
        <w:separator/>
      </w:r>
    </w:p>
  </w:endnote>
  <w:endnote w:type="continuationSeparator" w:id="0">
    <w:p w14:paraId="12AAD7A0" w14:textId="77777777" w:rsidR="00D54ED6" w:rsidRDefault="00D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78" w14:textId="7F9C1F3A" w:rsidR="005F6462" w:rsidRDefault="004B29A8" w:rsidP="00214878">
    <w:pPr>
      <w:pStyle w:val="Piedepgina"/>
      <w:jc w:val="center"/>
      <w:rPr>
        <w:lang w:val="es-ES"/>
      </w:rPr>
    </w:pPr>
    <w:r>
      <w:rPr>
        <w:noProof/>
        <w:lang w:val="es-CO" w:eastAsia="es-CO"/>
      </w:rPr>
      <w:drawing>
        <wp:inline distT="0" distB="0" distL="0" distR="0" wp14:anchorId="135D03D1" wp14:editId="271726CF">
          <wp:extent cx="5581015" cy="867021"/>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021"/>
                  </a:xfrm>
                  <a:prstGeom prst="rect">
                    <a:avLst/>
                  </a:prstGeom>
                </pic:spPr>
              </pic:pic>
            </a:graphicData>
          </a:graphic>
        </wp:inline>
      </w:drawing>
    </w: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507"/>
    </w:tblGrid>
    <w:tr w:rsidR="004B29A8" w:rsidRPr="00080DA3" w14:paraId="22F50FF6" w14:textId="77777777" w:rsidTr="00B77878">
      <w:trPr>
        <w:trHeight w:val="229"/>
        <w:jc w:val="center"/>
      </w:trPr>
      <w:tc>
        <w:tcPr>
          <w:tcW w:w="999"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E21B16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DA0C291"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552D4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DB81A7A" w14:textId="77777777" w:rsidR="004B29A8" w:rsidRPr="00080DA3" w:rsidRDefault="004B29A8" w:rsidP="004B29A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ADC67A6"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4814763" w14:textId="77777777" w:rsidR="004B29A8" w:rsidRPr="00080DA3" w:rsidRDefault="004B29A8" w:rsidP="004B29A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50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9C7304" w14:textId="77777777" w:rsidR="004B29A8" w:rsidRPr="00080DA3" w:rsidRDefault="004B29A8" w:rsidP="004B29A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263E9">
            <w:rPr>
              <w:rFonts w:ascii="Geomanist Light" w:hAnsi="Geomanist Light"/>
              <w:b/>
              <w:bCs/>
              <w:noProof/>
              <w:sz w:val="18"/>
              <w:szCs w:val="18"/>
            </w:rPr>
            <w:t>15</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263E9">
            <w:rPr>
              <w:rFonts w:ascii="Geomanist Light" w:hAnsi="Geomanist Light"/>
              <w:b/>
              <w:bCs/>
              <w:noProof/>
              <w:sz w:val="18"/>
              <w:szCs w:val="18"/>
            </w:rPr>
            <w:t>15</w:t>
          </w:r>
          <w:r w:rsidRPr="00080DA3">
            <w:rPr>
              <w:rFonts w:ascii="Geomanist Light" w:hAnsi="Geomanist Light"/>
              <w:b/>
              <w:bCs/>
              <w:sz w:val="18"/>
              <w:szCs w:val="18"/>
            </w:rPr>
            <w:fldChar w:fldCharType="end"/>
          </w:r>
        </w:p>
      </w:tc>
    </w:tr>
  </w:tbl>
  <w:p w14:paraId="19C43223" w14:textId="77777777" w:rsidR="004B29A8" w:rsidRDefault="004B29A8" w:rsidP="00214878">
    <w:pPr>
      <w:pStyle w:val="Piedepgina"/>
      <w:jc w:val="center"/>
      <w:rPr>
        <w:lang w:val="es-ES"/>
      </w:rPr>
    </w:pP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4D8C" w14:textId="77777777" w:rsidR="00D54ED6" w:rsidRDefault="00D54ED6">
      <w:r>
        <w:separator/>
      </w:r>
    </w:p>
  </w:footnote>
  <w:footnote w:type="continuationSeparator" w:id="0">
    <w:p w14:paraId="7DF6155D" w14:textId="77777777" w:rsidR="00D54ED6" w:rsidRDefault="00D54ED6">
      <w:r>
        <w:continuationSeparator/>
      </w:r>
    </w:p>
  </w:footnote>
  <w:footnote w:id="1">
    <w:p w14:paraId="4F740176" w14:textId="77777777" w:rsidR="003664C6" w:rsidRPr="00E322BA" w:rsidRDefault="003664C6" w:rsidP="0088683D">
      <w:pPr>
        <w:ind w:firstLine="707"/>
        <w:jc w:val="both"/>
        <w:rPr>
          <w:rFonts w:ascii="Arial" w:eastAsia="Arial" w:hAnsi="Arial" w:cs="Arial"/>
          <w:sz w:val="19"/>
          <w:szCs w:val="19"/>
        </w:rPr>
      </w:pPr>
      <w:r w:rsidRPr="0088683D">
        <w:rPr>
          <w:rFonts w:ascii="Arial" w:hAnsi="Arial" w:cs="Arial"/>
          <w:sz w:val="19"/>
          <w:szCs w:val="19"/>
          <w:vertAlign w:val="superscript"/>
        </w:rPr>
        <w:footnoteRef/>
      </w:r>
      <w:r w:rsidRPr="00E322BA">
        <w:rPr>
          <w:rFonts w:ascii="Arial" w:eastAsia="Arial" w:hAnsi="Arial" w:cs="Arial"/>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E322BA">
        <w:rPr>
          <w:rFonts w:ascii="Arial" w:eastAsia="Arial" w:hAnsi="Arial" w:cs="Arial"/>
          <w:b/>
          <w:sz w:val="19"/>
          <w:szCs w:val="19"/>
        </w:rPr>
        <w:t xml:space="preserve">las empresas oficiales de servicios públicos </w:t>
      </w:r>
      <w:r w:rsidRPr="00E322BA">
        <w:rPr>
          <w:rFonts w:ascii="Arial" w:eastAsia="Arial" w:hAnsi="Arial" w:cs="Arial"/>
          <w:sz w:val="19"/>
          <w:szCs w:val="19"/>
        </w:rPr>
        <w:t>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3068F9F0" w14:textId="77777777" w:rsidR="003664C6" w:rsidRPr="00E322BA" w:rsidRDefault="003664C6" w:rsidP="0088683D">
      <w:pPr>
        <w:pBdr>
          <w:top w:val="nil"/>
          <w:left w:val="nil"/>
          <w:bottom w:val="nil"/>
          <w:right w:val="nil"/>
          <w:between w:val="nil"/>
        </w:pBdr>
        <w:jc w:val="both"/>
        <w:rPr>
          <w:rFonts w:ascii="Arial" w:eastAsia="Arial" w:hAnsi="Arial" w:cs="Arial"/>
          <w:color w:val="000000"/>
          <w:sz w:val="19"/>
          <w:szCs w:val="19"/>
        </w:rPr>
      </w:pPr>
    </w:p>
  </w:footnote>
  <w:footnote w:id="2">
    <w:p w14:paraId="46493F82" w14:textId="77777777" w:rsidR="003664C6" w:rsidRPr="00E322BA" w:rsidRDefault="003664C6" w:rsidP="0088683D">
      <w:pPr>
        <w:pBdr>
          <w:top w:val="nil"/>
          <w:left w:val="nil"/>
          <w:bottom w:val="nil"/>
          <w:right w:val="nil"/>
          <w:between w:val="nil"/>
        </w:pBdr>
        <w:ind w:firstLine="708"/>
        <w:rPr>
          <w:rFonts w:ascii="Arial" w:eastAsia="Arial" w:hAnsi="Arial" w:cs="Arial"/>
          <w:color w:val="000000"/>
          <w:sz w:val="19"/>
          <w:szCs w:val="19"/>
        </w:rPr>
      </w:pPr>
      <w:r w:rsidRPr="0088683D">
        <w:rPr>
          <w:rFonts w:ascii="Arial" w:hAnsi="Arial" w:cs="Arial"/>
          <w:sz w:val="19"/>
          <w:szCs w:val="19"/>
          <w:vertAlign w:val="superscript"/>
        </w:rPr>
        <w:footnoteRef/>
      </w:r>
      <w:r w:rsidRPr="00E322BA">
        <w:rPr>
          <w:rFonts w:ascii="Arial" w:eastAsia="Arial" w:hAnsi="Arial" w:cs="Arial"/>
          <w:color w:val="000000"/>
          <w:sz w:val="19"/>
          <w:szCs w:val="19"/>
        </w:rPr>
        <w:t xml:space="preserve"> Corte Constitucional. Sentencia C-736 de 2007. C.P. Marco Gerardo Monroy Cabra.</w:t>
      </w:r>
    </w:p>
  </w:footnote>
  <w:footnote w:id="3">
    <w:p w14:paraId="03163778" w14:textId="00DE5742" w:rsidR="003664C6" w:rsidRPr="00E322BA" w:rsidRDefault="003664C6" w:rsidP="0088683D">
      <w:pPr>
        <w:pBdr>
          <w:top w:val="nil"/>
          <w:left w:val="nil"/>
          <w:bottom w:val="nil"/>
          <w:right w:val="nil"/>
          <w:between w:val="nil"/>
        </w:pBdr>
        <w:ind w:firstLine="606"/>
        <w:rPr>
          <w:rFonts w:ascii="Arial" w:eastAsia="Arial" w:hAnsi="Arial" w:cs="Arial"/>
          <w:color w:val="000000"/>
          <w:sz w:val="19"/>
          <w:szCs w:val="19"/>
        </w:rPr>
      </w:pPr>
      <w:r w:rsidRPr="0088683D">
        <w:rPr>
          <w:rFonts w:ascii="Arial" w:hAnsi="Arial" w:cs="Arial"/>
          <w:sz w:val="19"/>
          <w:szCs w:val="19"/>
          <w:vertAlign w:val="superscript"/>
        </w:rPr>
        <w:footnoteRef/>
      </w:r>
      <w:r w:rsidR="00E322BA" w:rsidRPr="00E322BA">
        <w:rPr>
          <w:rFonts w:ascii="Arial" w:eastAsia="Arial" w:hAnsi="Arial" w:cs="Arial"/>
          <w:color w:val="000000"/>
          <w:sz w:val="19"/>
          <w:szCs w:val="19"/>
        </w:rPr>
        <w:t xml:space="preserve"> </w:t>
      </w:r>
      <w:r w:rsidR="00E322BA" w:rsidRPr="00E322BA">
        <w:rPr>
          <w:rFonts w:ascii="Arial" w:eastAsia="Arial" w:hAnsi="Arial" w:cs="Arial"/>
          <w:color w:val="000000"/>
          <w:sz w:val="19"/>
          <w:szCs w:val="19"/>
        </w:rPr>
        <w:t>Ibíd.</w:t>
      </w:r>
    </w:p>
  </w:footnote>
  <w:footnote w:id="4">
    <w:p w14:paraId="1E28B845" w14:textId="77777777" w:rsidR="0099187A" w:rsidRPr="00E322BA" w:rsidRDefault="0099187A" w:rsidP="00E322BA">
      <w:pPr>
        <w:pStyle w:val="Textonotapie"/>
        <w:ind w:firstLine="709"/>
        <w:jc w:val="both"/>
        <w:rPr>
          <w:rFonts w:ascii="Arial" w:hAnsi="Arial" w:cs="Arial"/>
          <w:color w:val="000000" w:themeColor="text1"/>
          <w:sz w:val="19"/>
          <w:szCs w:val="19"/>
          <w:lang w:val="es-ES_tradnl"/>
        </w:rPr>
      </w:pPr>
      <w:r w:rsidRPr="00E322BA">
        <w:rPr>
          <w:rStyle w:val="Refdenotaalpie"/>
          <w:rFonts w:ascii="Arial" w:hAnsi="Arial" w:cs="Arial"/>
          <w:color w:val="000000" w:themeColor="text1"/>
          <w:sz w:val="19"/>
          <w:szCs w:val="19"/>
          <w:lang w:val="es-ES_tradnl"/>
        </w:rPr>
        <w:footnoteRef/>
      </w:r>
      <w:r w:rsidRPr="00E322BA">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1B31F880" w14:textId="77777777" w:rsidR="0099187A" w:rsidRPr="00E322BA" w:rsidRDefault="0099187A" w:rsidP="00E322BA">
      <w:pPr>
        <w:pStyle w:val="Textonotapie"/>
        <w:ind w:firstLine="709"/>
        <w:jc w:val="both"/>
        <w:rPr>
          <w:rFonts w:ascii="Arial" w:hAnsi="Arial" w:cs="Arial"/>
          <w:color w:val="000000" w:themeColor="text1"/>
          <w:sz w:val="19"/>
          <w:szCs w:val="19"/>
          <w:lang w:val="es-ES_tradnl"/>
        </w:rPr>
      </w:pPr>
      <w:r w:rsidRPr="00E322BA">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6716FA46" w14:textId="77777777" w:rsidR="0099187A" w:rsidRPr="00E322BA" w:rsidRDefault="0099187A" w:rsidP="00E322BA">
      <w:pPr>
        <w:pStyle w:val="Textonotapie"/>
        <w:ind w:firstLine="709"/>
        <w:jc w:val="both"/>
        <w:rPr>
          <w:rFonts w:ascii="Arial" w:hAnsi="Arial" w:cs="Arial"/>
          <w:color w:val="000000" w:themeColor="text1"/>
          <w:sz w:val="19"/>
          <w:szCs w:val="19"/>
          <w:lang w:val="es-ES_tradnl"/>
        </w:rPr>
      </w:pPr>
      <w:r w:rsidRPr="00E322BA">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778C3CF9" w14:textId="77777777" w:rsidR="0099187A" w:rsidRPr="00E322BA" w:rsidRDefault="0099187A" w:rsidP="00E322BA">
      <w:pPr>
        <w:pStyle w:val="Textonotapie"/>
        <w:ind w:firstLine="709"/>
        <w:jc w:val="both"/>
        <w:rPr>
          <w:rFonts w:ascii="Arial" w:hAnsi="Arial" w:cs="Arial"/>
          <w:color w:val="000000" w:themeColor="text1"/>
          <w:sz w:val="19"/>
          <w:szCs w:val="19"/>
          <w:lang w:val="es-ES_tradnl"/>
        </w:rPr>
      </w:pPr>
    </w:p>
  </w:footnote>
  <w:footnote w:id="5">
    <w:p w14:paraId="5A0C0BB9"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Style w:val="Refdenotaalpie"/>
          <w:rFonts w:ascii="Arial" w:hAnsi="Arial" w:cs="Arial"/>
          <w:color w:val="000000" w:themeColor="text1"/>
          <w:sz w:val="19"/>
          <w:szCs w:val="19"/>
        </w:rPr>
        <w:footnoteRef/>
      </w:r>
      <w:r w:rsidRPr="00E322BA">
        <w:rPr>
          <w:rFonts w:ascii="Arial" w:hAnsi="Arial" w:cs="Arial"/>
          <w:color w:val="000000" w:themeColor="text1"/>
          <w:sz w:val="19"/>
          <w:szCs w:val="19"/>
        </w:rPr>
        <w:t xml:space="preserve"> En efecto, dicho artículo establece: «Pueden prestar los servicios públicos:</w:t>
      </w:r>
    </w:p>
    <w:p w14:paraId="1B2AAE5F"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»15.1. Las empresas de servicios públicos.</w:t>
      </w:r>
    </w:p>
    <w:p w14:paraId="4F703725"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1F006EF8"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6EADE27A"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1FD65FFA"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»15.5. Las entidades autorizadas para prestar servicios públicos durante los períodos de transición previstos en esta Ley.</w:t>
      </w:r>
    </w:p>
    <w:p w14:paraId="7E2CC4D2"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1687A5AD" w14:textId="77777777" w:rsidR="0099187A" w:rsidRPr="00E322BA" w:rsidRDefault="0099187A" w:rsidP="00E322BA">
      <w:pPr>
        <w:pStyle w:val="Textonotapie"/>
        <w:ind w:firstLine="709"/>
        <w:jc w:val="both"/>
        <w:rPr>
          <w:rFonts w:ascii="Arial" w:hAnsi="Arial" w:cs="Arial"/>
          <w:color w:val="000000" w:themeColor="text1"/>
          <w:sz w:val="19"/>
          <w:szCs w:val="19"/>
          <w:lang w:val="es-ES"/>
        </w:rPr>
      </w:pPr>
    </w:p>
  </w:footnote>
  <w:footnote w:id="6">
    <w:p w14:paraId="6CEB9B36"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Style w:val="Refdenotaalpie"/>
          <w:rFonts w:ascii="Arial" w:hAnsi="Arial" w:cs="Arial"/>
          <w:color w:val="000000" w:themeColor="text1"/>
          <w:sz w:val="19"/>
          <w:szCs w:val="19"/>
        </w:rPr>
        <w:footnoteRef/>
      </w:r>
      <w:r w:rsidRPr="00E322BA">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25AE5DC1"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2D4F87C3" w14:textId="77777777" w:rsidR="0099187A" w:rsidRPr="00E322BA" w:rsidRDefault="0099187A" w:rsidP="00E322BA">
      <w:pPr>
        <w:pStyle w:val="Textonotapie"/>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5F1804BA" w14:textId="77777777" w:rsidR="0099187A" w:rsidRPr="00E322BA" w:rsidRDefault="0099187A" w:rsidP="00E322BA">
      <w:pPr>
        <w:pStyle w:val="Textonotapie"/>
        <w:ind w:firstLine="709"/>
        <w:jc w:val="both"/>
        <w:rPr>
          <w:rFonts w:ascii="Arial" w:hAnsi="Arial" w:cs="Arial"/>
          <w:color w:val="000000" w:themeColor="text1"/>
          <w:sz w:val="19"/>
          <w:szCs w:val="19"/>
        </w:rPr>
      </w:pPr>
    </w:p>
  </w:footnote>
  <w:footnote w:id="7">
    <w:p w14:paraId="377A38F3" w14:textId="77777777" w:rsidR="0099187A" w:rsidRPr="00E322BA" w:rsidRDefault="0099187A" w:rsidP="00E322BA">
      <w:pPr>
        <w:ind w:firstLine="709"/>
        <w:jc w:val="both"/>
        <w:rPr>
          <w:rFonts w:ascii="Arial" w:hAnsi="Arial" w:cs="Arial"/>
          <w:color w:val="000000" w:themeColor="text1"/>
          <w:sz w:val="19"/>
          <w:szCs w:val="19"/>
          <w:lang w:val="es-ES_tradnl"/>
        </w:rPr>
      </w:pPr>
      <w:r w:rsidRPr="00E322BA">
        <w:rPr>
          <w:rStyle w:val="Refdenotaalpie"/>
          <w:rFonts w:ascii="Arial" w:hAnsi="Arial" w:cs="Arial"/>
          <w:color w:val="000000" w:themeColor="text1"/>
          <w:sz w:val="19"/>
          <w:szCs w:val="19"/>
          <w:lang w:val="es-ES_tradnl"/>
        </w:rPr>
        <w:footnoteRef/>
      </w:r>
      <w:r w:rsidRPr="00E322BA">
        <w:rPr>
          <w:rFonts w:ascii="Arial" w:hAnsi="Arial" w:cs="Arial"/>
          <w:color w:val="000000" w:themeColor="text1"/>
          <w:sz w:val="19"/>
          <w:szCs w:val="19"/>
          <w:lang w:val="es-ES_tradnl"/>
        </w:rPr>
        <w:t xml:space="preserve"> Consejo de Estado. Sección Tercera, Subsección C. Sentencia del 13 de abril de 2011. </w:t>
      </w:r>
      <w:r w:rsidRPr="00E322BA">
        <w:rPr>
          <w:rFonts w:ascii="Arial" w:hAnsi="Arial" w:cs="Arial"/>
          <w:color w:val="000000" w:themeColor="text1"/>
          <w:sz w:val="19"/>
          <w:szCs w:val="19"/>
          <w:lang w:val="es-ES_tradnl"/>
        </w:rPr>
        <w:t>Exp. 37423. Consejero Ponente: Jaime Orlando Santofimio Gamboa. En similar sentido, puede verse la Sentencia del Consejo de Estado. Sección Tercera. Subsección B, del 15 de noviembre de 2011. Exp. 21178. Consejera ponente: Ruth Stella Correa Palacio.</w:t>
      </w:r>
    </w:p>
    <w:p w14:paraId="66E792E6" w14:textId="77777777" w:rsidR="0099187A" w:rsidRPr="00E322BA" w:rsidRDefault="0099187A" w:rsidP="00E322BA">
      <w:pPr>
        <w:ind w:firstLine="709"/>
        <w:jc w:val="both"/>
        <w:rPr>
          <w:rFonts w:ascii="Arial" w:hAnsi="Arial" w:cs="Arial"/>
          <w:color w:val="000000" w:themeColor="text1"/>
          <w:sz w:val="19"/>
          <w:szCs w:val="19"/>
          <w:lang w:val="es-ES_tradnl"/>
        </w:rPr>
      </w:pPr>
    </w:p>
  </w:footnote>
  <w:footnote w:id="8">
    <w:p w14:paraId="5CFB6C7A" w14:textId="77777777" w:rsidR="0099187A" w:rsidRPr="00E322BA" w:rsidRDefault="0099187A" w:rsidP="00E322BA">
      <w:pPr>
        <w:ind w:firstLine="709"/>
        <w:jc w:val="both"/>
        <w:rPr>
          <w:rFonts w:ascii="Arial" w:eastAsia="Calibri" w:hAnsi="Arial" w:cs="Arial"/>
          <w:color w:val="000000" w:themeColor="text1"/>
          <w:sz w:val="19"/>
          <w:szCs w:val="19"/>
          <w:lang w:val="es-ES_tradnl"/>
        </w:rPr>
      </w:pPr>
      <w:r w:rsidRPr="00E322BA">
        <w:rPr>
          <w:rStyle w:val="Refdenotaalpie"/>
          <w:rFonts w:ascii="Arial" w:hAnsi="Arial" w:cs="Arial"/>
          <w:color w:val="000000" w:themeColor="text1"/>
          <w:sz w:val="19"/>
          <w:szCs w:val="19"/>
        </w:rPr>
        <w:footnoteRef/>
      </w:r>
      <w:r w:rsidRPr="00E322BA">
        <w:rPr>
          <w:rFonts w:ascii="Arial" w:hAnsi="Arial" w:cs="Arial"/>
          <w:color w:val="000000" w:themeColor="text1"/>
          <w:sz w:val="19"/>
          <w:szCs w:val="19"/>
        </w:rPr>
        <w:t xml:space="preserve"> </w:t>
      </w:r>
      <w:r w:rsidRPr="00E322BA">
        <w:rPr>
          <w:rFonts w:ascii="Arial" w:hAnsi="Arial" w:cs="Arial"/>
          <w:color w:val="000000" w:themeColor="text1"/>
          <w:sz w:val="19"/>
          <w:szCs w:val="19"/>
          <w:lang w:val="es-ES"/>
        </w:rPr>
        <w:t>Esta norma dispone: «</w:t>
      </w:r>
      <w:r w:rsidRPr="00E322BA">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47D65E1" w14:textId="77777777" w:rsidR="0099187A" w:rsidRPr="00E322BA" w:rsidRDefault="0099187A" w:rsidP="00E322BA">
      <w:pPr>
        <w:ind w:firstLine="709"/>
        <w:jc w:val="both"/>
        <w:rPr>
          <w:rFonts w:ascii="Arial" w:eastAsia="Calibri" w:hAnsi="Arial" w:cs="Arial"/>
          <w:color w:val="000000" w:themeColor="text1"/>
          <w:sz w:val="19"/>
          <w:szCs w:val="19"/>
          <w:lang w:val="es-ES_tradnl"/>
        </w:rPr>
      </w:pPr>
    </w:p>
  </w:footnote>
  <w:footnote w:id="9">
    <w:p w14:paraId="2B027ED2" w14:textId="77777777" w:rsidR="00524D16" w:rsidRPr="00E322BA" w:rsidRDefault="00524D16" w:rsidP="00E322BA">
      <w:pPr>
        <w:pStyle w:val="Textonotapie"/>
        <w:ind w:firstLine="709"/>
        <w:jc w:val="both"/>
        <w:rPr>
          <w:rFonts w:ascii="Arial" w:hAnsi="Arial" w:cs="Arial"/>
          <w:color w:val="000000" w:themeColor="text1"/>
          <w:sz w:val="19"/>
          <w:szCs w:val="19"/>
          <w:lang w:val="es-CO"/>
        </w:rPr>
      </w:pPr>
      <w:r w:rsidRPr="00E322BA">
        <w:rPr>
          <w:rStyle w:val="Refdenotaalpie"/>
          <w:rFonts w:ascii="Arial" w:hAnsi="Arial" w:cs="Arial"/>
          <w:sz w:val="19"/>
          <w:szCs w:val="19"/>
        </w:rPr>
        <w:footnoteRef/>
      </w:r>
      <w:r w:rsidRPr="00E322BA">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0">
    <w:p w14:paraId="19C808D8" w14:textId="77777777" w:rsidR="00524D16" w:rsidRPr="00E322BA" w:rsidRDefault="00524D16" w:rsidP="00E322BA">
      <w:pPr>
        <w:pStyle w:val="Textonotapie"/>
        <w:ind w:firstLine="709"/>
        <w:jc w:val="both"/>
        <w:rPr>
          <w:rFonts w:ascii="Arial" w:hAnsi="Arial" w:cs="Arial"/>
          <w:color w:val="000000" w:themeColor="text1"/>
          <w:sz w:val="19"/>
          <w:szCs w:val="19"/>
        </w:rPr>
      </w:pPr>
      <w:r w:rsidRPr="00E322BA">
        <w:rPr>
          <w:rStyle w:val="Refdenotaalpie"/>
          <w:rFonts w:ascii="Arial" w:hAnsi="Arial" w:cs="Arial"/>
          <w:sz w:val="19"/>
          <w:szCs w:val="19"/>
        </w:rPr>
        <w:footnoteRef/>
      </w:r>
      <w:r w:rsidRPr="00E322BA">
        <w:rPr>
          <w:rFonts w:ascii="Arial" w:hAnsi="Arial" w:cs="Arial"/>
          <w:color w:val="000000" w:themeColor="text1"/>
          <w:sz w:val="19"/>
          <w:szCs w:val="19"/>
        </w:rPr>
        <w:t xml:space="preserve"> </w:t>
      </w:r>
      <w:r w:rsidRPr="00E322BA">
        <w:rPr>
          <w:rFonts w:ascii="Arial" w:hAnsi="Arial" w:cs="Arial"/>
          <w:color w:val="000000" w:themeColor="text1"/>
          <w:sz w:val="19"/>
          <w:szCs w:val="19"/>
          <w:lang w:val="es-CO"/>
        </w:rPr>
        <w:t xml:space="preserve">Ley 1882 de 2018: «Artículo 4. </w:t>
      </w:r>
      <w:r w:rsidRPr="00E322BA">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A08160B" w14:textId="77777777" w:rsidR="00524D16" w:rsidRPr="00E322BA" w:rsidRDefault="00524D16" w:rsidP="00E322BA">
      <w:pPr>
        <w:pStyle w:val="Textonotapie"/>
        <w:ind w:firstLine="709"/>
        <w:jc w:val="both"/>
        <w:rPr>
          <w:rFonts w:ascii="Arial" w:hAnsi="Arial" w:cs="Arial"/>
          <w:color w:val="000000" w:themeColor="text1"/>
          <w:sz w:val="19"/>
          <w:szCs w:val="19"/>
          <w:lang w:val="es-CO"/>
        </w:rPr>
      </w:pPr>
      <w:r w:rsidRPr="00E322BA">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13427A17" w14:textId="77777777" w:rsidR="00524D16" w:rsidRPr="00E322BA" w:rsidRDefault="00524D16" w:rsidP="00E322BA">
      <w:pPr>
        <w:pStyle w:val="Textonotapie"/>
        <w:ind w:firstLine="709"/>
        <w:jc w:val="both"/>
        <w:rPr>
          <w:rFonts w:ascii="Arial" w:hAnsi="Arial" w:cs="Arial"/>
          <w:color w:val="000000" w:themeColor="text1"/>
          <w:sz w:val="19"/>
          <w:szCs w:val="19"/>
          <w:lang w:val="es-CO"/>
        </w:rPr>
      </w:pPr>
      <w:r w:rsidRPr="00E322BA">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11">
    <w:p w14:paraId="785292E1" w14:textId="77777777" w:rsidR="00524D16" w:rsidRPr="00E322BA" w:rsidRDefault="00524D16" w:rsidP="00E322BA">
      <w:pPr>
        <w:pStyle w:val="Textonotapie"/>
        <w:ind w:firstLine="709"/>
        <w:jc w:val="both"/>
        <w:rPr>
          <w:rFonts w:ascii="Arial" w:hAnsi="Arial" w:cs="Arial"/>
          <w:color w:val="000000" w:themeColor="text1"/>
          <w:sz w:val="19"/>
          <w:szCs w:val="19"/>
        </w:rPr>
      </w:pPr>
      <w:r w:rsidRPr="00E322BA">
        <w:rPr>
          <w:rStyle w:val="Refdenotaalpie"/>
          <w:rFonts w:ascii="Arial" w:hAnsi="Arial" w:cs="Arial"/>
          <w:sz w:val="19"/>
          <w:szCs w:val="19"/>
        </w:rPr>
        <w:footnoteRef/>
      </w:r>
      <w:r w:rsidRPr="00E322BA">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12">
    <w:p w14:paraId="12D9A95E"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Style w:val="Refdenotaalpie"/>
          <w:rFonts w:ascii="Arial" w:hAnsi="Arial" w:cs="Arial"/>
          <w:sz w:val="19"/>
          <w:szCs w:val="19"/>
        </w:rPr>
        <w:footnoteRef/>
      </w:r>
      <w:r w:rsidRPr="00E322BA">
        <w:rPr>
          <w:rFonts w:ascii="Arial" w:hAnsi="Arial" w:cs="Arial"/>
          <w:color w:val="000000" w:themeColor="text1"/>
          <w:sz w:val="19"/>
          <w:szCs w:val="19"/>
        </w:rPr>
        <w:t xml:space="preserve"> Ley 2022 de 2020: «</w:t>
      </w:r>
      <w:r w:rsidRPr="00E322BA">
        <w:rPr>
          <w:rStyle w:val="Textoennegrita"/>
          <w:rFonts w:ascii="Arial" w:hAnsi="Arial" w:cs="Arial"/>
          <w:color w:val="000000" w:themeColor="text1"/>
          <w:sz w:val="19"/>
          <w:szCs w:val="19"/>
        </w:rPr>
        <w:t>Artículo 1º.</w:t>
      </w:r>
      <w:r w:rsidRPr="00E322BA">
        <w:rPr>
          <w:rFonts w:ascii="Arial" w:hAnsi="Arial" w:cs="Arial"/>
          <w:color w:val="000000" w:themeColor="text1"/>
          <w:sz w:val="19"/>
          <w:szCs w:val="19"/>
        </w:rPr>
        <w:t> Modifíquese el artículo 4º de la Ley 1882 de 2018, el cual quedará así: </w:t>
      </w:r>
    </w:p>
    <w:p w14:paraId="434336B7"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Style w:val="Textoennegrita"/>
          <w:rFonts w:ascii="Arial" w:hAnsi="Arial" w:cs="Arial"/>
          <w:color w:val="000000" w:themeColor="text1"/>
          <w:sz w:val="19"/>
          <w:szCs w:val="19"/>
        </w:rPr>
        <w:t>»Artículo 4º.</w:t>
      </w:r>
      <w:r w:rsidRPr="00E322BA">
        <w:rPr>
          <w:rFonts w:ascii="Arial" w:hAnsi="Arial" w:cs="Arial"/>
          <w:color w:val="000000" w:themeColor="text1"/>
          <w:sz w:val="19"/>
          <w:szCs w:val="19"/>
        </w:rPr>
        <w:t> Adiciónese el siguiente parágrafo al artículo 2º de la Ley 1150 de 2007. </w:t>
      </w:r>
    </w:p>
    <w:p w14:paraId="0496F3D5"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Style w:val="Textoennegrita"/>
          <w:rFonts w:ascii="Arial" w:hAnsi="Arial" w:cs="Arial"/>
          <w:color w:val="000000" w:themeColor="text1"/>
          <w:sz w:val="19"/>
          <w:szCs w:val="19"/>
        </w:rPr>
        <w:t>»Parágrafo 7º.</w:t>
      </w:r>
      <w:r w:rsidRPr="00E322BA">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E14F4B1"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4FBFA9F"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1CA9B2E"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4AFD919" w14:textId="77777777" w:rsidR="00524D16" w:rsidRPr="00E322BA" w:rsidRDefault="00524D16" w:rsidP="00E322BA">
      <w:pPr>
        <w:pStyle w:val="NormalWeb"/>
        <w:spacing w:before="0" w:beforeAutospacing="0" w:after="0" w:afterAutospacing="0"/>
        <w:ind w:firstLine="709"/>
        <w:jc w:val="both"/>
        <w:rPr>
          <w:rFonts w:ascii="Arial" w:hAnsi="Arial" w:cs="Arial"/>
          <w:color w:val="000000" w:themeColor="text1"/>
          <w:sz w:val="19"/>
          <w:szCs w:val="19"/>
        </w:rPr>
      </w:pPr>
      <w:r w:rsidRPr="00E322BA">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3">
    <w:p w14:paraId="7928866C" w14:textId="77777777" w:rsidR="00524D16" w:rsidRPr="00E322BA" w:rsidRDefault="00524D16" w:rsidP="00E322BA">
      <w:pPr>
        <w:pStyle w:val="Textonotapie"/>
        <w:ind w:firstLine="708"/>
        <w:jc w:val="both"/>
        <w:rPr>
          <w:rFonts w:ascii="Arial" w:hAnsi="Arial" w:cs="Arial"/>
          <w:sz w:val="19"/>
          <w:szCs w:val="19"/>
        </w:rPr>
      </w:pPr>
      <w:r w:rsidRPr="00E322BA">
        <w:rPr>
          <w:rStyle w:val="Refdenotaalpie"/>
          <w:rFonts w:ascii="Arial" w:hAnsi="Arial" w:cs="Arial"/>
          <w:sz w:val="19"/>
          <w:szCs w:val="19"/>
        </w:rPr>
        <w:footnoteRef/>
      </w:r>
      <w:r w:rsidRPr="00E322BA">
        <w:rPr>
          <w:rFonts w:ascii="Arial" w:hAnsi="Arial" w:cs="Arial"/>
          <w:sz w:val="19"/>
          <w:szCs w:val="19"/>
        </w:rPr>
        <w:t xml:space="preserve"> Dichos documentos tipo pueden consultarse en el siguiente enlace: https://www.colombiacompra.gov.co/documentos-tipo/documentos-tipo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3ED8C382" w:rsidR="005F6462" w:rsidRDefault="005F6462" w:rsidP="00214878">
    <w:pPr>
      <w:pStyle w:val="Encabezado"/>
    </w:pPr>
  </w:p>
  <w:p w14:paraId="6520770B" w14:textId="1CD137AF" w:rsidR="005F6462" w:rsidRPr="00214878" w:rsidRDefault="004B29A8" w:rsidP="00214878">
    <w:pPr>
      <w:pStyle w:val="Encabezado"/>
    </w:pPr>
    <w:r>
      <w:rPr>
        <w:noProof/>
        <w:lang w:val="es-CO" w:eastAsia="es-CO"/>
      </w:rPr>
      <w:drawing>
        <wp:anchor distT="0" distB="0" distL="114300" distR="114300" simplePos="0" relativeHeight="251659264" behindDoc="0" locked="0" layoutInCell="1" allowOverlap="1" wp14:anchorId="60A4E309" wp14:editId="612736DE">
          <wp:simplePos x="0" y="0"/>
          <wp:positionH relativeFrom="margin">
            <wp:posOffset>4568190</wp:posOffset>
          </wp:positionH>
          <wp:positionV relativeFrom="paragraph">
            <wp:posOffset>36195</wp:posOffset>
          </wp:positionV>
          <wp:extent cx="1543050" cy="640616"/>
          <wp:effectExtent l="0" t="0" r="0" b="7620"/>
          <wp:wrapNone/>
          <wp:docPr id="19" name="Imagen 1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041E8A"/>
    <w:multiLevelType w:val="multilevel"/>
    <w:tmpl w:val="A3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8"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20"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6"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1"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27500531">
    <w:abstractNumId w:val="13"/>
  </w:num>
  <w:num w:numId="2" w16cid:durableId="1473212880">
    <w:abstractNumId w:val="12"/>
  </w:num>
  <w:num w:numId="3" w16cid:durableId="1856647989">
    <w:abstractNumId w:val="21"/>
  </w:num>
  <w:num w:numId="4" w16cid:durableId="167716919">
    <w:abstractNumId w:val="28"/>
  </w:num>
  <w:num w:numId="5" w16cid:durableId="2042903022">
    <w:abstractNumId w:val="33"/>
  </w:num>
  <w:num w:numId="6" w16cid:durableId="1582910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841590">
    <w:abstractNumId w:val="29"/>
  </w:num>
  <w:num w:numId="8" w16cid:durableId="289819829">
    <w:abstractNumId w:val="4"/>
  </w:num>
  <w:num w:numId="9" w16cid:durableId="1606227239">
    <w:abstractNumId w:val="32"/>
  </w:num>
  <w:num w:numId="10" w16cid:durableId="1406996002">
    <w:abstractNumId w:val="25"/>
  </w:num>
  <w:num w:numId="11" w16cid:durableId="239872649">
    <w:abstractNumId w:val="22"/>
  </w:num>
  <w:num w:numId="12" w16cid:durableId="1484810986">
    <w:abstractNumId w:val="2"/>
  </w:num>
  <w:num w:numId="13" w16cid:durableId="852379329">
    <w:abstractNumId w:val="23"/>
  </w:num>
  <w:num w:numId="14" w16cid:durableId="1697848363">
    <w:abstractNumId w:val="27"/>
  </w:num>
  <w:num w:numId="15" w16cid:durableId="1581521235">
    <w:abstractNumId w:val="24"/>
  </w:num>
  <w:num w:numId="16" w16cid:durableId="1024018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0209735">
    <w:abstractNumId w:val="9"/>
  </w:num>
  <w:num w:numId="18" w16cid:durableId="19241038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34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6716966">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494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383469">
    <w:abstractNumId w:val="20"/>
  </w:num>
  <w:num w:numId="23" w16cid:durableId="364211693">
    <w:abstractNumId w:val="11"/>
  </w:num>
  <w:num w:numId="24" w16cid:durableId="1405948948">
    <w:abstractNumId w:val="35"/>
  </w:num>
  <w:num w:numId="25" w16cid:durableId="1337925349">
    <w:abstractNumId w:val="17"/>
  </w:num>
  <w:num w:numId="26" w16cid:durableId="961109866">
    <w:abstractNumId w:val="26"/>
  </w:num>
  <w:num w:numId="27" w16cid:durableId="1028868404">
    <w:abstractNumId w:val="8"/>
  </w:num>
  <w:num w:numId="28" w16cid:durableId="843515416">
    <w:abstractNumId w:val="7"/>
  </w:num>
  <w:num w:numId="29" w16cid:durableId="1110588540">
    <w:abstractNumId w:val="14"/>
  </w:num>
  <w:num w:numId="30" w16cid:durableId="137302509">
    <w:abstractNumId w:val="36"/>
  </w:num>
  <w:num w:numId="31" w16cid:durableId="945773534">
    <w:abstractNumId w:val="31"/>
  </w:num>
  <w:num w:numId="32" w16cid:durableId="468674101">
    <w:abstractNumId w:val="3"/>
  </w:num>
  <w:num w:numId="33" w16cid:durableId="2044405039">
    <w:abstractNumId w:val="15"/>
  </w:num>
  <w:num w:numId="34" w16cid:durableId="713165022">
    <w:abstractNumId w:val="19"/>
  </w:num>
  <w:num w:numId="35" w16cid:durableId="1624842691">
    <w:abstractNumId w:val="6"/>
  </w:num>
  <w:num w:numId="36" w16cid:durableId="263274156">
    <w:abstractNumId w:val="10"/>
  </w:num>
  <w:num w:numId="37" w16cid:durableId="38071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7845"/>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45377"/>
    <w:rsid w:val="00051B4F"/>
    <w:rsid w:val="0005490A"/>
    <w:rsid w:val="00054A7B"/>
    <w:rsid w:val="00056788"/>
    <w:rsid w:val="00060398"/>
    <w:rsid w:val="00060721"/>
    <w:rsid w:val="000626DD"/>
    <w:rsid w:val="00064B28"/>
    <w:rsid w:val="00064E2F"/>
    <w:rsid w:val="000664C5"/>
    <w:rsid w:val="000709B9"/>
    <w:rsid w:val="00071077"/>
    <w:rsid w:val="00071287"/>
    <w:rsid w:val="000738A4"/>
    <w:rsid w:val="00074108"/>
    <w:rsid w:val="000743F8"/>
    <w:rsid w:val="00075235"/>
    <w:rsid w:val="00077A71"/>
    <w:rsid w:val="000821B3"/>
    <w:rsid w:val="00084AF1"/>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B742E"/>
    <w:rsid w:val="000B7E82"/>
    <w:rsid w:val="000C0959"/>
    <w:rsid w:val="000C0D2B"/>
    <w:rsid w:val="000C19E1"/>
    <w:rsid w:val="000C2F6D"/>
    <w:rsid w:val="000C3861"/>
    <w:rsid w:val="000C3872"/>
    <w:rsid w:val="000C400F"/>
    <w:rsid w:val="000C6F8D"/>
    <w:rsid w:val="000C7696"/>
    <w:rsid w:val="000C77F0"/>
    <w:rsid w:val="000D02B3"/>
    <w:rsid w:val="000D3A92"/>
    <w:rsid w:val="000D4A92"/>
    <w:rsid w:val="000E0550"/>
    <w:rsid w:val="000E1BF2"/>
    <w:rsid w:val="000E1FCB"/>
    <w:rsid w:val="000E2D78"/>
    <w:rsid w:val="000E4B5C"/>
    <w:rsid w:val="000E5799"/>
    <w:rsid w:val="000E699E"/>
    <w:rsid w:val="000E730C"/>
    <w:rsid w:val="000E7352"/>
    <w:rsid w:val="000E7F0F"/>
    <w:rsid w:val="000F14E8"/>
    <w:rsid w:val="000F18A6"/>
    <w:rsid w:val="000F22D6"/>
    <w:rsid w:val="000F4EAF"/>
    <w:rsid w:val="00101C4D"/>
    <w:rsid w:val="00103915"/>
    <w:rsid w:val="001055F3"/>
    <w:rsid w:val="001069A9"/>
    <w:rsid w:val="00110320"/>
    <w:rsid w:val="001103A2"/>
    <w:rsid w:val="00112839"/>
    <w:rsid w:val="00113958"/>
    <w:rsid w:val="00113AFB"/>
    <w:rsid w:val="00121CD3"/>
    <w:rsid w:val="00122B23"/>
    <w:rsid w:val="00123889"/>
    <w:rsid w:val="00124877"/>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01C1"/>
    <w:rsid w:val="00151923"/>
    <w:rsid w:val="00152AD5"/>
    <w:rsid w:val="001550A3"/>
    <w:rsid w:val="00156A2A"/>
    <w:rsid w:val="00161B7E"/>
    <w:rsid w:val="00163902"/>
    <w:rsid w:val="00166598"/>
    <w:rsid w:val="00166B32"/>
    <w:rsid w:val="00172E61"/>
    <w:rsid w:val="001737C9"/>
    <w:rsid w:val="00174DDB"/>
    <w:rsid w:val="00175FDC"/>
    <w:rsid w:val="00176817"/>
    <w:rsid w:val="0018007B"/>
    <w:rsid w:val="00181B60"/>
    <w:rsid w:val="00181C27"/>
    <w:rsid w:val="001821C5"/>
    <w:rsid w:val="00185A27"/>
    <w:rsid w:val="001929F9"/>
    <w:rsid w:val="00193DFB"/>
    <w:rsid w:val="00193EFC"/>
    <w:rsid w:val="00195745"/>
    <w:rsid w:val="001973B7"/>
    <w:rsid w:val="001A1A18"/>
    <w:rsid w:val="001A2276"/>
    <w:rsid w:val="001A36B8"/>
    <w:rsid w:val="001A695E"/>
    <w:rsid w:val="001A6D50"/>
    <w:rsid w:val="001A7009"/>
    <w:rsid w:val="001B493A"/>
    <w:rsid w:val="001B5E28"/>
    <w:rsid w:val="001B6613"/>
    <w:rsid w:val="001B6E03"/>
    <w:rsid w:val="001C01AC"/>
    <w:rsid w:val="001C092E"/>
    <w:rsid w:val="001C611F"/>
    <w:rsid w:val="001C6B55"/>
    <w:rsid w:val="001D088A"/>
    <w:rsid w:val="001D1419"/>
    <w:rsid w:val="001D175D"/>
    <w:rsid w:val="001D5178"/>
    <w:rsid w:val="001D5C4D"/>
    <w:rsid w:val="001E0B25"/>
    <w:rsid w:val="001E0E4F"/>
    <w:rsid w:val="001E1DB9"/>
    <w:rsid w:val="001E62AF"/>
    <w:rsid w:val="001F07C0"/>
    <w:rsid w:val="001F2A9C"/>
    <w:rsid w:val="001F6CA5"/>
    <w:rsid w:val="001F7686"/>
    <w:rsid w:val="002002A3"/>
    <w:rsid w:val="00202A08"/>
    <w:rsid w:val="00202F2E"/>
    <w:rsid w:val="002109B6"/>
    <w:rsid w:val="0021312A"/>
    <w:rsid w:val="0021354E"/>
    <w:rsid w:val="00213765"/>
    <w:rsid w:val="00214878"/>
    <w:rsid w:val="00215E47"/>
    <w:rsid w:val="0022174A"/>
    <w:rsid w:val="00221DB1"/>
    <w:rsid w:val="00222E78"/>
    <w:rsid w:val="00223669"/>
    <w:rsid w:val="00224AFF"/>
    <w:rsid w:val="00233154"/>
    <w:rsid w:val="00233D41"/>
    <w:rsid w:val="002346FC"/>
    <w:rsid w:val="00234B84"/>
    <w:rsid w:val="00235A80"/>
    <w:rsid w:val="00237377"/>
    <w:rsid w:val="0024024C"/>
    <w:rsid w:val="00240C0E"/>
    <w:rsid w:val="002411E9"/>
    <w:rsid w:val="0024158B"/>
    <w:rsid w:val="0024213C"/>
    <w:rsid w:val="00242ED7"/>
    <w:rsid w:val="002444C8"/>
    <w:rsid w:val="0024480D"/>
    <w:rsid w:val="002451C1"/>
    <w:rsid w:val="002454B3"/>
    <w:rsid w:val="002465CC"/>
    <w:rsid w:val="0024669C"/>
    <w:rsid w:val="002501E7"/>
    <w:rsid w:val="00250EB5"/>
    <w:rsid w:val="00252B8B"/>
    <w:rsid w:val="00252ED8"/>
    <w:rsid w:val="00253E65"/>
    <w:rsid w:val="00254CEF"/>
    <w:rsid w:val="0025799B"/>
    <w:rsid w:val="00260125"/>
    <w:rsid w:val="0026156A"/>
    <w:rsid w:val="0026186C"/>
    <w:rsid w:val="00261A2E"/>
    <w:rsid w:val="002630D9"/>
    <w:rsid w:val="00263252"/>
    <w:rsid w:val="002706B4"/>
    <w:rsid w:val="00271593"/>
    <w:rsid w:val="00274B3E"/>
    <w:rsid w:val="00275DB5"/>
    <w:rsid w:val="00277E34"/>
    <w:rsid w:val="00280E65"/>
    <w:rsid w:val="0028451A"/>
    <w:rsid w:val="00286EF9"/>
    <w:rsid w:val="00287A42"/>
    <w:rsid w:val="00291854"/>
    <w:rsid w:val="002918F7"/>
    <w:rsid w:val="00294025"/>
    <w:rsid w:val="00294A08"/>
    <w:rsid w:val="00294B09"/>
    <w:rsid w:val="00294E58"/>
    <w:rsid w:val="002A2CEC"/>
    <w:rsid w:val="002A31F8"/>
    <w:rsid w:val="002A36A9"/>
    <w:rsid w:val="002A3EC3"/>
    <w:rsid w:val="002A4D54"/>
    <w:rsid w:val="002A62A8"/>
    <w:rsid w:val="002A65E7"/>
    <w:rsid w:val="002B0A90"/>
    <w:rsid w:val="002B207F"/>
    <w:rsid w:val="002B3D4E"/>
    <w:rsid w:val="002B4EBC"/>
    <w:rsid w:val="002B79DC"/>
    <w:rsid w:val="002B7BD0"/>
    <w:rsid w:val="002C45D9"/>
    <w:rsid w:val="002C71CA"/>
    <w:rsid w:val="002C7B84"/>
    <w:rsid w:val="002C7E55"/>
    <w:rsid w:val="002C7E5B"/>
    <w:rsid w:val="002D1AA6"/>
    <w:rsid w:val="002D7A0C"/>
    <w:rsid w:val="002E000E"/>
    <w:rsid w:val="002E1753"/>
    <w:rsid w:val="002E5D84"/>
    <w:rsid w:val="002E709C"/>
    <w:rsid w:val="002E7375"/>
    <w:rsid w:val="002E7617"/>
    <w:rsid w:val="002E79A9"/>
    <w:rsid w:val="002F2195"/>
    <w:rsid w:val="002F3127"/>
    <w:rsid w:val="002F33C3"/>
    <w:rsid w:val="002F3B3F"/>
    <w:rsid w:val="002F4A45"/>
    <w:rsid w:val="002F723E"/>
    <w:rsid w:val="002F77A1"/>
    <w:rsid w:val="00300384"/>
    <w:rsid w:val="003011A3"/>
    <w:rsid w:val="00302E0A"/>
    <w:rsid w:val="00303001"/>
    <w:rsid w:val="003033BA"/>
    <w:rsid w:val="00305947"/>
    <w:rsid w:val="00306259"/>
    <w:rsid w:val="003067C4"/>
    <w:rsid w:val="00306FCD"/>
    <w:rsid w:val="0031354B"/>
    <w:rsid w:val="00313908"/>
    <w:rsid w:val="003159B5"/>
    <w:rsid w:val="00315C98"/>
    <w:rsid w:val="00316518"/>
    <w:rsid w:val="003177B8"/>
    <w:rsid w:val="00321084"/>
    <w:rsid w:val="00321A6D"/>
    <w:rsid w:val="00323084"/>
    <w:rsid w:val="00330E9B"/>
    <w:rsid w:val="0033352A"/>
    <w:rsid w:val="00333538"/>
    <w:rsid w:val="00333DA4"/>
    <w:rsid w:val="00333DBC"/>
    <w:rsid w:val="00334344"/>
    <w:rsid w:val="00342C0D"/>
    <w:rsid w:val="00345AC9"/>
    <w:rsid w:val="003463D9"/>
    <w:rsid w:val="0034680A"/>
    <w:rsid w:val="00346DA2"/>
    <w:rsid w:val="003471F9"/>
    <w:rsid w:val="00350DDF"/>
    <w:rsid w:val="00352311"/>
    <w:rsid w:val="0035408A"/>
    <w:rsid w:val="00354F7E"/>
    <w:rsid w:val="003559ED"/>
    <w:rsid w:val="003569FD"/>
    <w:rsid w:val="00356E6F"/>
    <w:rsid w:val="00356FAB"/>
    <w:rsid w:val="00361BB8"/>
    <w:rsid w:val="003644CA"/>
    <w:rsid w:val="003657FD"/>
    <w:rsid w:val="003664C6"/>
    <w:rsid w:val="00366E1B"/>
    <w:rsid w:val="00367DDB"/>
    <w:rsid w:val="0037000E"/>
    <w:rsid w:val="0037129B"/>
    <w:rsid w:val="003751BE"/>
    <w:rsid w:val="00381B22"/>
    <w:rsid w:val="00382BB0"/>
    <w:rsid w:val="00386456"/>
    <w:rsid w:val="00387590"/>
    <w:rsid w:val="00391644"/>
    <w:rsid w:val="003925E0"/>
    <w:rsid w:val="00392F03"/>
    <w:rsid w:val="00393C53"/>
    <w:rsid w:val="003945B8"/>
    <w:rsid w:val="003948FC"/>
    <w:rsid w:val="003A05D1"/>
    <w:rsid w:val="003A1AAE"/>
    <w:rsid w:val="003A299C"/>
    <w:rsid w:val="003A2CD8"/>
    <w:rsid w:val="003A581E"/>
    <w:rsid w:val="003A6038"/>
    <w:rsid w:val="003B0B5A"/>
    <w:rsid w:val="003B0B8D"/>
    <w:rsid w:val="003B2D22"/>
    <w:rsid w:val="003B4F39"/>
    <w:rsid w:val="003B5BB8"/>
    <w:rsid w:val="003B743E"/>
    <w:rsid w:val="003B7F82"/>
    <w:rsid w:val="003C07D6"/>
    <w:rsid w:val="003C5438"/>
    <w:rsid w:val="003D14E8"/>
    <w:rsid w:val="003D456C"/>
    <w:rsid w:val="003D7759"/>
    <w:rsid w:val="003E2919"/>
    <w:rsid w:val="003E3083"/>
    <w:rsid w:val="003E54F9"/>
    <w:rsid w:val="003E6461"/>
    <w:rsid w:val="003F1231"/>
    <w:rsid w:val="003F2F99"/>
    <w:rsid w:val="003F5766"/>
    <w:rsid w:val="003F6F8C"/>
    <w:rsid w:val="00400DDE"/>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152C"/>
    <w:rsid w:val="00432163"/>
    <w:rsid w:val="00434829"/>
    <w:rsid w:val="004348F9"/>
    <w:rsid w:val="00434BC9"/>
    <w:rsid w:val="00440BFC"/>
    <w:rsid w:val="00441274"/>
    <w:rsid w:val="0044200A"/>
    <w:rsid w:val="004422D6"/>
    <w:rsid w:val="00443F10"/>
    <w:rsid w:val="00444865"/>
    <w:rsid w:val="00445186"/>
    <w:rsid w:val="00445F18"/>
    <w:rsid w:val="004513E8"/>
    <w:rsid w:val="004537E9"/>
    <w:rsid w:val="00454947"/>
    <w:rsid w:val="004552E9"/>
    <w:rsid w:val="00457177"/>
    <w:rsid w:val="00460485"/>
    <w:rsid w:val="00460793"/>
    <w:rsid w:val="004619B2"/>
    <w:rsid w:val="00462527"/>
    <w:rsid w:val="00463385"/>
    <w:rsid w:val="00466E78"/>
    <w:rsid w:val="00467950"/>
    <w:rsid w:val="00467F4F"/>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1AFD"/>
    <w:rsid w:val="004B29A8"/>
    <w:rsid w:val="004B6213"/>
    <w:rsid w:val="004B62BE"/>
    <w:rsid w:val="004C035A"/>
    <w:rsid w:val="004C35C3"/>
    <w:rsid w:val="004C39C9"/>
    <w:rsid w:val="004C3E24"/>
    <w:rsid w:val="004C4714"/>
    <w:rsid w:val="004C56C4"/>
    <w:rsid w:val="004C64DF"/>
    <w:rsid w:val="004C6B9C"/>
    <w:rsid w:val="004D021E"/>
    <w:rsid w:val="004D076C"/>
    <w:rsid w:val="004D2202"/>
    <w:rsid w:val="004D2FE0"/>
    <w:rsid w:val="004D4D4E"/>
    <w:rsid w:val="004E2290"/>
    <w:rsid w:val="004E2DEA"/>
    <w:rsid w:val="004E420A"/>
    <w:rsid w:val="004E51E3"/>
    <w:rsid w:val="004E5772"/>
    <w:rsid w:val="004E6117"/>
    <w:rsid w:val="004F128E"/>
    <w:rsid w:val="004F1A74"/>
    <w:rsid w:val="004F2FA6"/>
    <w:rsid w:val="004F3739"/>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3FA"/>
    <w:rsid w:val="00517425"/>
    <w:rsid w:val="005175F9"/>
    <w:rsid w:val="00517832"/>
    <w:rsid w:val="00524D16"/>
    <w:rsid w:val="00525C51"/>
    <w:rsid w:val="00526D46"/>
    <w:rsid w:val="00531345"/>
    <w:rsid w:val="005318F6"/>
    <w:rsid w:val="00531A19"/>
    <w:rsid w:val="0053303D"/>
    <w:rsid w:val="005356EA"/>
    <w:rsid w:val="00536637"/>
    <w:rsid w:val="0053681E"/>
    <w:rsid w:val="00537683"/>
    <w:rsid w:val="00541DD0"/>
    <w:rsid w:val="0054229C"/>
    <w:rsid w:val="00542514"/>
    <w:rsid w:val="005427CF"/>
    <w:rsid w:val="005428CA"/>
    <w:rsid w:val="0054315A"/>
    <w:rsid w:val="00543CC9"/>
    <w:rsid w:val="0054413A"/>
    <w:rsid w:val="0054602D"/>
    <w:rsid w:val="00546387"/>
    <w:rsid w:val="00546A8C"/>
    <w:rsid w:val="00546CA7"/>
    <w:rsid w:val="00550BD9"/>
    <w:rsid w:val="00550FD8"/>
    <w:rsid w:val="00551AEB"/>
    <w:rsid w:val="00553EAD"/>
    <w:rsid w:val="005546BF"/>
    <w:rsid w:val="005564CA"/>
    <w:rsid w:val="00557C64"/>
    <w:rsid w:val="005637B5"/>
    <w:rsid w:val="0057006A"/>
    <w:rsid w:val="00570241"/>
    <w:rsid w:val="00571663"/>
    <w:rsid w:val="00572EF9"/>
    <w:rsid w:val="005747F3"/>
    <w:rsid w:val="00574D76"/>
    <w:rsid w:val="00576A4A"/>
    <w:rsid w:val="00577104"/>
    <w:rsid w:val="00577185"/>
    <w:rsid w:val="00581EEC"/>
    <w:rsid w:val="00590087"/>
    <w:rsid w:val="005909E4"/>
    <w:rsid w:val="00590CFC"/>
    <w:rsid w:val="00592702"/>
    <w:rsid w:val="00592E79"/>
    <w:rsid w:val="00593652"/>
    <w:rsid w:val="005940FB"/>
    <w:rsid w:val="00595AF8"/>
    <w:rsid w:val="005A0AC1"/>
    <w:rsid w:val="005A1E1D"/>
    <w:rsid w:val="005A3893"/>
    <w:rsid w:val="005A4AEC"/>
    <w:rsid w:val="005A7711"/>
    <w:rsid w:val="005B0CD4"/>
    <w:rsid w:val="005B11C6"/>
    <w:rsid w:val="005B20E7"/>
    <w:rsid w:val="005B27C3"/>
    <w:rsid w:val="005B2CF7"/>
    <w:rsid w:val="005B2F7D"/>
    <w:rsid w:val="005B37EA"/>
    <w:rsid w:val="005B57CE"/>
    <w:rsid w:val="005B5B7D"/>
    <w:rsid w:val="005C1FC3"/>
    <w:rsid w:val="005C3EA1"/>
    <w:rsid w:val="005C4103"/>
    <w:rsid w:val="005C4795"/>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E7B0B"/>
    <w:rsid w:val="005F05AC"/>
    <w:rsid w:val="005F3841"/>
    <w:rsid w:val="005F6462"/>
    <w:rsid w:val="00600AC5"/>
    <w:rsid w:val="00601EE4"/>
    <w:rsid w:val="00603487"/>
    <w:rsid w:val="006043A3"/>
    <w:rsid w:val="00604F33"/>
    <w:rsid w:val="00615A40"/>
    <w:rsid w:val="00616FE7"/>
    <w:rsid w:val="0062065E"/>
    <w:rsid w:val="0062127A"/>
    <w:rsid w:val="00621E35"/>
    <w:rsid w:val="0062303B"/>
    <w:rsid w:val="0062539B"/>
    <w:rsid w:val="00627D61"/>
    <w:rsid w:val="00630230"/>
    <w:rsid w:val="00631FCB"/>
    <w:rsid w:val="00632B90"/>
    <w:rsid w:val="00636072"/>
    <w:rsid w:val="0063778D"/>
    <w:rsid w:val="006378B6"/>
    <w:rsid w:val="00637AC0"/>
    <w:rsid w:val="00640226"/>
    <w:rsid w:val="006402FD"/>
    <w:rsid w:val="00642C9D"/>
    <w:rsid w:val="00643774"/>
    <w:rsid w:val="00644299"/>
    <w:rsid w:val="006442AE"/>
    <w:rsid w:val="00645D51"/>
    <w:rsid w:val="00647C7A"/>
    <w:rsid w:val="006535D1"/>
    <w:rsid w:val="00653A0D"/>
    <w:rsid w:val="00654AA6"/>
    <w:rsid w:val="006551DC"/>
    <w:rsid w:val="00655371"/>
    <w:rsid w:val="00656629"/>
    <w:rsid w:val="00657AFA"/>
    <w:rsid w:val="0066034E"/>
    <w:rsid w:val="006608BE"/>
    <w:rsid w:val="00660E4B"/>
    <w:rsid w:val="00661535"/>
    <w:rsid w:val="00662A05"/>
    <w:rsid w:val="00663864"/>
    <w:rsid w:val="00672538"/>
    <w:rsid w:val="0067336C"/>
    <w:rsid w:val="006735A6"/>
    <w:rsid w:val="006754C6"/>
    <w:rsid w:val="00676504"/>
    <w:rsid w:val="00676EE8"/>
    <w:rsid w:val="0067722F"/>
    <w:rsid w:val="006778AF"/>
    <w:rsid w:val="006819F5"/>
    <w:rsid w:val="00685F97"/>
    <w:rsid w:val="0068601F"/>
    <w:rsid w:val="00687EC0"/>
    <w:rsid w:val="00690936"/>
    <w:rsid w:val="00691623"/>
    <w:rsid w:val="00692BF8"/>
    <w:rsid w:val="00695958"/>
    <w:rsid w:val="00697665"/>
    <w:rsid w:val="006A07D6"/>
    <w:rsid w:val="006A1F7F"/>
    <w:rsid w:val="006A5A2E"/>
    <w:rsid w:val="006A61EC"/>
    <w:rsid w:val="006A71B0"/>
    <w:rsid w:val="006A7FD0"/>
    <w:rsid w:val="006B06BF"/>
    <w:rsid w:val="006B200D"/>
    <w:rsid w:val="006B2ADC"/>
    <w:rsid w:val="006B3014"/>
    <w:rsid w:val="006B6ED7"/>
    <w:rsid w:val="006C0B8D"/>
    <w:rsid w:val="006C1038"/>
    <w:rsid w:val="006C1231"/>
    <w:rsid w:val="006C6528"/>
    <w:rsid w:val="006C68E6"/>
    <w:rsid w:val="006C731D"/>
    <w:rsid w:val="006D1702"/>
    <w:rsid w:val="006D1878"/>
    <w:rsid w:val="006D1D47"/>
    <w:rsid w:val="006D25EE"/>
    <w:rsid w:val="006D32A2"/>
    <w:rsid w:val="006D7687"/>
    <w:rsid w:val="006D79C0"/>
    <w:rsid w:val="006E0572"/>
    <w:rsid w:val="006E0DD1"/>
    <w:rsid w:val="006E39EA"/>
    <w:rsid w:val="006E65A3"/>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1C6E"/>
    <w:rsid w:val="00712A6A"/>
    <w:rsid w:val="007147F4"/>
    <w:rsid w:val="00715C9E"/>
    <w:rsid w:val="00716B0A"/>
    <w:rsid w:val="0071707F"/>
    <w:rsid w:val="0072181F"/>
    <w:rsid w:val="00722B21"/>
    <w:rsid w:val="00722C4F"/>
    <w:rsid w:val="00724C38"/>
    <w:rsid w:val="00727074"/>
    <w:rsid w:val="00727946"/>
    <w:rsid w:val="00727C3C"/>
    <w:rsid w:val="007343CE"/>
    <w:rsid w:val="00734B73"/>
    <w:rsid w:val="00734E1F"/>
    <w:rsid w:val="00735909"/>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A0C"/>
    <w:rsid w:val="00756B38"/>
    <w:rsid w:val="00756EC8"/>
    <w:rsid w:val="007575ED"/>
    <w:rsid w:val="007609E9"/>
    <w:rsid w:val="007618B2"/>
    <w:rsid w:val="00761CAA"/>
    <w:rsid w:val="007634AD"/>
    <w:rsid w:val="0076405F"/>
    <w:rsid w:val="00764F47"/>
    <w:rsid w:val="0076747D"/>
    <w:rsid w:val="00771882"/>
    <w:rsid w:val="00772A72"/>
    <w:rsid w:val="007774E3"/>
    <w:rsid w:val="0078122E"/>
    <w:rsid w:val="00781AA8"/>
    <w:rsid w:val="0078365A"/>
    <w:rsid w:val="00783D11"/>
    <w:rsid w:val="007846C5"/>
    <w:rsid w:val="00787D3E"/>
    <w:rsid w:val="0079134A"/>
    <w:rsid w:val="0079333B"/>
    <w:rsid w:val="0079377E"/>
    <w:rsid w:val="00795113"/>
    <w:rsid w:val="007A1954"/>
    <w:rsid w:val="007A6A34"/>
    <w:rsid w:val="007B0854"/>
    <w:rsid w:val="007B393C"/>
    <w:rsid w:val="007B45EA"/>
    <w:rsid w:val="007B5768"/>
    <w:rsid w:val="007B7D62"/>
    <w:rsid w:val="007C0CCA"/>
    <w:rsid w:val="007C7CE4"/>
    <w:rsid w:val="007D1B79"/>
    <w:rsid w:val="007D3323"/>
    <w:rsid w:val="007D4021"/>
    <w:rsid w:val="007D4803"/>
    <w:rsid w:val="007D59CF"/>
    <w:rsid w:val="007E0B27"/>
    <w:rsid w:val="007E193F"/>
    <w:rsid w:val="007E24A0"/>
    <w:rsid w:val="007E331A"/>
    <w:rsid w:val="007E4092"/>
    <w:rsid w:val="007E6D71"/>
    <w:rsid w:val="007F182A"/>
    <w:rsid w:val="007F44E6"/>
    <w:rsid w:val="007F7255"/>
    <w:rsid w:val="007F72CB"/>
    <w:rsid w:val="00800317"/>
    <w:rsid w:val="00800AD9"/>
    <w:rsid w:val="00800DEA"/>
    <w:rsid w:val="00801F73"/>
    <w:rsid w:val="00802FF0"/>
    <w:rsid w:val="0080456B"/>
    <w:rsid w:val="008065A8"/>
    <w:rsid w:val="0080762F"/>
    <w:rsid w:val="00811EDD"/>
    <w:rsid w:val="008121A2"/>
    <w:rsid w:val="00816B40"/>
    <w:rsid w:val="00817EA3"/>
    <w:rsid w:val="008201C7"/>
    <w:rsid w:val="008229F3"/>
    <w:rsid w:val="00823406"/>
    <w:rsid w:val="008238DA"/>
    <w:rsid w:val="00824A6D"/>
    <w:rsid w:val="008259A3"/>
    <w:rsid w:val="0082768D"/>
    <w:rsid w:val="00830103"/>
    <w:rsid w:val="00830306"/>
    <w:rsid w:val="00830BF0"/>
    <w:rsid w:val="0083119B"/>
    <w:rsid w:val="00833A0B"/>
    <w:rsid w:val="00835C7D"/>
    <w:rsid w:val="008361D3"/>
    <w:rsid w:val="0083646A"/>
    <w:rsid w:val="00836EAB"/>
    <w:rsid w:val="00837C23"/>
    <w:rsid w:val="00845A51"/>
    <w:rsid w:val="008464E9"/>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7598F"/>
    <w:rsid w:val="0088027A"/>
    <w:rsid w:val="00884F75"/>
    <w:rsid w:val="008865C0"/>
    <w:rsid w:val="0088683D"/>
    <w:rsid w:val="00886C7B"/>
    <w:rsid w:val="0088776A"/>
    <w:rsid w:val="008903AE"/>
    <w:rsid w:val="00892B83"/>
    <w:rsid w:val="00894063"/>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25A3"/>
    <w:rsid w:val="008E65F4"/>
    <w:rsid w:val="008E7DD0"/>
    <w:rsid w:val="008F10AF"/>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B45"/>
    <w:rsid w:val="00945A85"/>
    <w:rsid w:val="00947197"/>
    <w:rsid w:val="00947945"/>
    <w:rsid w:val="00950AE6"/>
    <w:rsid w:val="009513A9"/>
    <w:rsid w:val="00951524"/>
    <w:rsid w:val="0095340A"/>
    <w:rsid w:val="0095385A"/>
    <w:rsid w:val="00954AC6"/>
    <w:rsid w:val="009577FD"/>
    <w:rsid w:val="009603B4"/>
    <w:rsid w:val="00965006"/>
    <w:rsid w:val="00966595"/>
    <w:rsid w:val="00967D10"/>
    <w:rsid w:val="00967ED9"/>
    <w:rsid w:val="00971321"/>
    <w:rsid w:val="00973017"/>
    <w:rsid w:val="00973C2B"/>
    <w:rsid w:val="0097455B"/>
    <w:rsid w:val="00976CDB"/>
    <w:rsid w:val="00981254"/>
    <w:rsid w:val="00982F90"/>
    <w:rsid w:val="009839A9"/>
    <w:rsid w:val="009853D5"/>
    <w:rsid w:val="009859D4"/>
    <w:rsid w:val="00985F55"/>
    <w:rsid w:val="0098629E"/>
    <w:rsid w:val="00990443"/>
    <w:rsid w:val="0099187A"/>
    <w:rsid w:val="00995D22"/>
    <w:rsid w:val="00996AD7"/>
    <w:rsid w:val="009A035F"/>
    <w:rsid w:val="009A0487"/>
    <w:rsid w:val="009A5CA2"/>
    <w:rsid w:val="009A6978"/>
    <w:rsid w:val="009A7840"/>
    <w:rsid w:val="009A7EAF"/>
    <w:rsid w:val="009B398C"/>
    <w:rsid w:val="009B751B"/>
    <w:rsid w:val="009C2F8F"/>
    <w:rsid w:val="009C4045"/>
    <w:rsid w:val="009C501C"/>
    <w:rsid w:val="009C50D0"/>
    <w:rsid w:val="009C7373"/>
    <w:rsid w:val="009D02F9"/>
    <w:rsid w:val="009E1FEB"/>
    <w:rsid w:val="009E27E2"/>
    <w:rsid w:val="009E49CC"/>
    <w:rsid w:val="009E4AF0"/>
    <w:rsid w:val="009E56BA"/>
    <w:rsid w:val="009E5FD4"/>
    <w:rsid w:val="009E6E5C"/>
    <w:rsid w:val="009F12D8"/>
    <w:rsid w:val="009F15A3"/>
    <w:rsid w:val="009F2412"/>
    <w:rsid w:val="009F4103"/>
    <w:rsid w:val="009F7D55"/>
    <w:rsid w:val="00A002DA"/>
    <w:rsid w:val="00A06772"/>
    <w:rsid w:val="00A074BF"/>
    <w:rsid w:val="00A0798E"/>
    <w:rsid w:val="00A12E39"/>
    <w:rsid w:val="00A13D9F"/>
    <w:rsid w:val="00A1500F"/>
    <w:rsid w:val="00A15359"/>
    <w:rsid w:val="00A15F44"/>
    <w:rsid w:val="00A17103"/>
    <w:rsid w:val="00A22A44"/>
    <w:rsid w:val="00A23EDF"/>
    <w:rsid w:val="00A241AD"/>
    <w:rsid w:val="00A24322"/>
    <w:rsid w:val="00A24560"/>
    <w:rsid w:val="00A24780"/>
    <w:rsid w:val="00A24FCF"/>
    <w:rsid w:val="00A257F1"/>
    <w:rsid w:val="00A25B79"/>
    <w:rsid w:val="00A263E9"/>
    <w:rsid w:val="00A27EBA"/>
    <w:rsid w:val="00A34538"/>
    <w:rsid w:val="00A348FB"/>
    <w:rsid w:val="00A408C7"/>
    <w:rsid w:val="00A413DA"/>
    <w:rsid w:val="00A4436B"/>
    <w:rsid w:val="00A504F9"/>
    <w:rsid w:val="00A50EA1"/>
    <w:rsid w:val="00A54843"/>
    <w:rsid w:val="00A5495C"/>
    <w:rsid w:val="00A54BEB"/>
    <w:rsid w:val="00A54C72"/>
    <w:rsid w:val="00A54FA1"/>
    <w:rsid w:val="00A56DCE"/>
    <w:rsid w:val="00A60147"/>
    <w:rsid w:val="00A60595"/>
    <w:rsid w:val="00A60725"/>
    <w:rsid w:val="00A620C8"/>
    <w:rsid w:val="00A62356"/>
    <w:rsid w:val="00A64ADC"/>
    <w:rsid w:val="00A72528"/>
    <w:rsid w:val="00A737CD"/>
    <w:rsid w:val="00A75A39"/>
    <w:rsid w:val="00A76494"/>
    <w:rsid w:val="00A8084F"/>
    <w:rsid w:val="00A8663D"/>
    <w:rsid w:val="00A87CFC"/>
    <w:rsid w:val="00A9550C"/>
    <w:rsid w:val="00A95A3C"/>
    <w:rsid w:val="00A95E66"/>
    <w:rsid w:val="00AA442B"/>
    <w:rsid w:val="00AA6D04"/>
    <w:rsid w:val="00AA707B"/>
    <w:rsid w:val="00AB31E7"/>
    <w:rsid w:val="00AB41A9"/>
    <w:rsid w:val="00AB55A6"/>
    <w:rsid w:val="00AB7B09"/>
    <w:rsid w:val="00AC1C9A"/>
    <w:rsid w:val="00AC54C6"/>
    <w:rsid w:val="00AC654E"/>
    <w:rsid w:val="00AC7B70"/>
    <w:rsid w:val="00AD017C"/>
    <w:rsid w:val="00AD0BB9"/>
    <w:rsid w:val="00AD0C27"/>
    <w:rsid w:val="00AD0EDA"/>
    <w:rsid w:val="00AD64EA"/>
    <w:rsid w:val="00AE3229"/>
    <w:rsid w:val="00AE3C7C"/>
    <w:rsid w:val="00AF02E3"/>
    <w:rsid w:val="00AF1059"/>
    <w:rsid w:val="00AF1718"/>
    <w:rsid w:val="00AF2440"/>
    <w:rsid w:val="00AF4CF9"/>
    <w:rsid w:val="00AF693C"/>
    <w:rsid w:val="00AF798A"/>
    <w:rsid w:val="00B04223"/>
    <w:rsid w:val="00B05FD5"/>
    <w:rsid w:val="00B06DB4"/>
    <w:rsid w:val="00B114C0"/>
    <w:rsid w:val="00B11CB1"/>
    <w:rsid w:val="00B13059"/>
    <w:rsid w:val="00B13ABC"/>
    <w:rsid w:val="00B13F5E"/>
    <w:rsid w:val="00B15F4A"/>
    <w:rsid w:val="00B174B9"/>
    <w:rsid w:val="00B17644"/>
    <w:rsid w:val="00B17EC0"/>
    <w:rsid w:val="00B20EEE"/>
    <w:rsid w:val="00B2165B"/>
    <w:rsid w:val="00B221A3"/>
    <w:rsid w:val="00B22E22"/>
    <w:rsid w:val="00B23C3C"/>
    <w:rsid w:val="00B333CE"/>
    <w:rsid w:val="00B35AA5"/>
    <w:rsid w:val="00B36C11"/>
    <w:rsid w:val="00B36C98"/>
    <w:rsid w:val="00B37256"/>
    <w:rsid w:val="00B42559"/>
    <w:rsid w:val="00B444B2"/>
    <w:rsid w:val="00B46173"/>
    <w:rsid w:val="00B52462"/>
    <w:rsid w:val="00B525CB"/>
    <w:rsid w:val="00B53388"/>
    <w:rsid w:val="00B53816"/>
    <w:rsid w:val="00B54C59"/>
    <w:rsid w:val="00B55E9C"/>
    <w:rsid w:val="00B56418"/>
    <w:rsid w:val="00B5744B"/>
    <w:rsid w:val="00B61BDD"/>
    <w:rsid w:val="00B61FD8"/>
    <w:rsid w:val="00B624BF"/>
    <w:rsid w:val="00B6341B"/>
    <w:rsid w:val="00B63CB2"/>
    <w:rsid w:val="00B67F3A"/>
    <w:rsid w:val="00B722C9"/>
    <w:rsid w:val="00B72E99"/>
    <w:rsid w:val="00B74072"/>
    <w:rsid w:val="00B76167"/>
    <w:rsid w:val="00B761B6"/>
    <w:rsid w:val="00B775E8"/>
    <w:rsid w:val="00B77878"/>
    <w:rsid w:val="00B800BA"/>
    <w:rsid w:val="00B81BD8"/>
    <w:rsid w:val="00B851DC"/>
    <w:rsid w:val="00B86854"/>
    <w:rsid w:val="00B91AD0"/>
    <w:rsid w:val="00B962FF"/>
    <w:rsid w:val="00BA52D6"/>
    <w:rsid w:val="00BA75AD"/>
    <w:rsid w:val="00BA7C60"/>
    <w:rsid w:val="00BB2C01"/>
    <w:rsid w:val="00BB3E2C"/>
    <w:rsid w:val="00BB6F85"/>
    <w:rsid w:val="00BC1B41"/>
    <w:rsid w:val="00BC52A5"/>
    <w:rsid w:val="00BC6BDC"/>
    <w:rsid w:val="00BD0D6C"/>
    <w:rsid w:val="00BD1EF0"/>
    <w:rsid w:val="00BD367E"/>
    <w:rsid w:val="00BD422F"/>
    <w:rsid w:val="00BD5F69"/>
    <w:rsid w:val="00BD6ED0"/>
    <w:rsid w:val="00BD78FE"/>
    <w:rsid w:val="00BE03A7"/>
    <w:rsid w:val="00BE0EDB"/>
    <w:rsid w:val="00BE4A79"/>
    <w:rsid w:val="00BF00DE"/>
    <w:rsid w:val="00BF1906"/>
    <w:rsid w:val="00BF1A38"/>
    <w:rsid w:val="00BF46F6"/>
    <w:rsid w:val="00BF4C56"/>
    <w:rsid w:val="00BF624E"/>
    <w:rsid w:val="00C02498"/>
    <w:rsid w:val="00C03DC6"/>
    <w:rsid w:val="00C05841"/>
    <w:rsid w:val="00C0658B"/>
    <w:rsid w:val="00C0689F"/>
    <w:rsid w:val="00C07469"/>
    <w:rsid w:val="00C074B4"/>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09"/>
    <w:rsid w:val="00C56AE4"/>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EF8"/>
    <w:rsid w:val="00C8716A"/>
    <w:rsid w:val="00C914CD"/>
    <w:rsid w:val="00C93A8A"/>
    <w:rsid w:val="00C93E70"/>
    <w:rsid w:val="00C968EC"/>
    <w:rsid w:val="00C97A89"/>
    <w:rsid w:val="00CA14F9"/>
    <w:rsid w:val="00CA3F2F"/>
    <w:rsid w:val="00CA6816"/>
    <w:rsid w:val="00CA7D82"/>
    <w:rsid w:val="00CA7FEF"/>
    <w:rsid w:val="00CB1768"/>
    <w:rsid w:val="00CB1B6B"/>
    <w:rsid w:val="00CC00CD"/>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3BC9"/>
    <w:rsid w:val="00CE476B"/>
    <w:rsid w:val="00CE675D"/>
    <w:rsid w:val="00CF10C1"/>
    <w:rsid w:val="00CF2489"/>
    <w:rsid w:val="00CF2BDE"/>
    <w:rsid w:val="00CF2E86"/>
    <w:rsid w:val="00CF3EC4"/>
    <w:rsid w:val="00CF415E"/>
    <w:rsid w:val="00CF482F"/>
    <w:rsid w:val="00CF4890"/>
    <w:rsid w:val="00CF54E6"/>
    <w:rsid w:val="00CF62EA"/>
    <w:rsid w:val="00D00015"/>
    <w:rsid w:val="00D10740"/>
    <w:rsid w:val="00D10C4B"/>
    <w:rsid w:val="00D10C4C"/>
    <w:rsid w:val="00D10E69"/>
    <w:rsid w:val="00D117C5"/>
    <w:rsid w:val="00D1627F"/>
    <w:rsid w:val="00D16E39"/>
    <w:rsid w:val="00D21955"/>
    <w:rsid w:val="00D22239"/>
    <w:rsid w:val="00D2531F"/>
    <w:rsid w:val="00D259D7"/>
    <w:rsid w:val="00D25C34"/>
    <w:rsid w:val="00D309A0"/>
    <w:rsid w:val="00D31956"/>
    <w:rsid w:val="00D32AF5"/>
    <w:rsid w:val="00D34176"/>
    <w:rsid w:val="00D40843"/>
    <w:rsid w:val="00D41357"/>
    <w:rsid w:val="00D433FD"/>
    <w:rsid w:val="00D44C1E"/>
    <w:rsid w:val="00D45789"/>
    <w:rsid w:val="00D50CDE"/>
    <w:rsid w:val="00D51773"/>
    <w:rsid w:val="00D52F10"/>
    <w:rsid w:val="00D531FA"/>
    <w:rsid w:val="00D54ED6"/>
    <w:rsid w:val="00D55602"/>
    <w:rsid w:val="00D60615"/>
    <w:rsid w:val="00D61C8B"/>
    <w:rsid w:val="00D648B5"/>
    <w:rsid w:val="00D721FE"/>
    <w:rsid w:val="00D72E9D"/>
    <w:rsid w:val="00D73D97"/>
    <w:rsid w:val="00D73D9F"/>
    <w:rsid w:val="00D74CDA"/>
    <w:rsid w:val="00D75DF3"/>
    <w:rsid w:val="00D763D4"/>
    <w:rsid w:val="00D76F4F"/>
    <w:rsid w:val="00D77683"/>
    <w:rsid w:val="00D802C1"/>
    <w:rsid w:val="00D81907"/>
    <w:rsid w:val="00D82CE5"/>
    <w:rsid w:val="00D8775D"/>
    <w:rsid w:val="00D92575"/>
    <w:rsid w:val="00D97C64"/>
    <w:rsid w:val="00DA3E32"/>
    <w:rsid w:val="00DA4606"/>
    <w:rsid w:val="00DA5AB1"/>
    <w:rsid w:val="00DB36AB"/>
    <w:rsid w:val="00DB4C4A"/>
    <w:rsid w:val="00DB5657"/>
    <w:rsid w:val="00DC09FD"/>
    <w:rsid w:val="00DC2432"/>
    <w:rsid w:val="00DC5121"/>
    <w:rsid w:val="00DC5FAA"/>
    <w:rsid w:val="00DC62E5"/>
    <w:rsid w:val="00DD07F7"/>
    <w:rsid w:val="00DD20BA"/>
    <w:rsid w:val="00DD38D8"/>
    <w:rsid w:val="00DD4605"/>
    <w:rsid w:val="00DD5056"/>
    <w:rsid w:val="00DD735D"/>
    <w:rsid w:val="00DE1E1A"/>
    <w:rsid w:val="00DE208B"/>
    <w:rsid w:val="00DE3119"/>
    <w:rsid w:val="00DE60EA"/>
    <w:rsid w:val="00DE6CFD"/>
    <w:rsid w:val="00DF02DC"/>
    <w:rsid w:val="00DF05A6"/>
    <w:rsid w:val="00DF21D4"/>
    <w:rsid w:val="00DF236B"/>
    <w:rsid w:val="00DF248A"/>
    <w:rsid w:val="00DF2D13"/>
    <w:rsid w:val="00DF3046"/>
    <w:rsid w:val="00DF5076"/>
    <w:rsid w:val="00DF5488"/>
    <w:rsid w:val="00DF675E"/>
    <w:rsid w:val="00E03244"/>
    <w:rsid w:val="00E0587A"/>
    <w:rsid w:val="00E100EC"/>
    <w:rsid w:val="00E115B4"/>
    <w:rsid w:val="00E13AB8"/>
    <w:rsid w:val="00E17F6D"/>
    <w:rsid w:val="00E203DD"/>
    <w:rsid w:val="00E2404E"/>
    <w:rsid w:val="00E263C3"/>
    <w:rsid w:val="00E27716"/>
    <w:rsid w:val="00E27C85"/>
    <w:rsid w:val="00E315A2"/>
    <w:rsid w:val="00E318E0"/>
    <w:rsid w:val="00E322BA"/>
    <w:rsid w:val="00E33B62"/>
    <w:rsid w:val="00E357DC"/>
    <w:rsid w:val="00E412B7"/>
    <w:rsid w:val="00E429C9"/>
    <w:rsid w:val="00E44E00"/>
    <w:rsid w:val="00E461F1"/>
    <w:rsid w:val="00E46382"/>
    <w:rsid w:val="00E50C37"/>
    <w:rsid w:val="00E51329"/>
    <w:rsid w:val="00E51556"/>
    <w:rsid w:val="00E53964"/>
    <w:rsid w:val="00E554DC"/>
    <w:rsid w:val="00E57323"/>
    <w:rsid w:val="00E57B05"/>
    <w:rsid w:val="00E602F2"/>
    <w:rsid w:val="00E608C9"/>
    <w:rsid w:val="00E62A61"/>
    <w:rsid w:val="00E63AED"/>
    <w:rsid w:val="00E658C9"/>
    <w:rsid w:val="00E65F49"/>
    <w:rsid w:val="00E6610F"/>
    <w:rsid w:val="00E66F51"/>
    <w:rsid w:val="00E67BE3"/>
    <w:rsid w:val="00E7138C"/>
    <w:rsid w:val="00E71A56"/>
    <w:rsid w:val="00E73815"/>
    <w:rsid w:val="00E7595D"/>
    <w:rsid w:val="00E77706"/>
    <w:rsid w:val="00E80C82"/>
    <w:rsid w:val="00E82183"/>
    <w:rsid w:val="00E855D9"/>
    <w:rsid w:val="00E903AB"/>
    <w:rsid w:val="00E92199"/>
    <w:rsid w:val="00E93948"/>
    <w:rsid w:val="00E94241"/>
    <w:rsid w:val="00E9535F"/>
    <w:rsid w:val="00E95B00"/>
    <w:rsid w:val="00E96DEA"/>
    <w:rsid w:val="00E97CD5"/>
    <w:rsid w:val="00EA01D9"/>
    <w:rsid w:val="00EA0711"/>
    <w:rsid w:val="00EA1C4C"/>
    <w:rsid w:val="00EA2877"/>
    <w:rsid w:val="00EA405F"/>
    <w:rsid w:val="00EA4E7D"/>
    <w:rsid w:val="00EA6CBF"/>
    <w:rsid w:val="00EA728D"/>
    <w:rsid w:val="00EA76D7"/>
    <w:rsid w:val="00EB0BBE"/>
    <w:rsid w:val="00EB4B69"/>
    <w:rsid w:val="00EB5248"/>
    <w:rsid w:val="00EC5805"/>
    <w:rsid w:val="00EC7366"/>
    <w:rsid w:val="00EC7673"/>
    <w:rsid w:val="00ED1754"/>
    <w:rsid w:val="00ED305A"/>
    <w:rsid w:val="00ED438E"/>
    <w:rsid w:val="00ED676F"/>
    <w:rsid w:val="00ED718F"/>
    <w:rsid w:val="00ED7FE6"/>
    <w:rsid w:val="00EE2BD9"/>
    <w:rsid w:val="00EE7B12"/>
    <w:rsid w:val="00EF1C91"/>
    <w:rsid w:val="00EF5956"/>
    <w:rsid w:val="00EF7BAE"/>
    <w:rsid w:val="00F0190D"/>
    <w:rsid w:val="00F046A7"/>
    <w:rsid w:val="00F05293"/>
    <w:rsid w:val="00F055FA"/>
    <w:rsid w:val="00F06B82"/>
    <w:rsid w:val="00F070FE"/>
    <w:rsid w:val="00F10D45"/>
    <w:rsid w:val="00F13A3B"/>
    <w:rsid w:val="00F14031"/>
    <w:rsid w:val="00F157F7"/>
    <w:rsid w:val="00F163C8"/>
    <w:rsid w:val="00F22044"/>
    <w:rsid w:val="00F22827"/>
    <w:rsid w:val="00F30541"/>
    <w:rsid w:val="00F3057D"/>
    <w:rsid w:val="00F30772"/>
    <w:rsid w:val="00F3098F"/>
    <w:rsid w:val="00F30B95"/>
    <w:rsid w:val="00F33293"/>
    <w:rsid w:val="00F341A0"/>
    <w:rsid w:val="00F36A58"/>
    <w:rsid w:val="00F41499"/>
    <w:rsid w:val="00F4285A"/>
    <w:rsid w:val="00F444A4"/>
    <w:rsid w:val="00F45FE4"/>
    <w:rsid w:val="00F461AA"/>
    <w:rsid w:val="00F53A3E"/>
    <w:rsid w:val="00F55644"/>
    <w:rsid w:val="00F57426"/>
    <w:rsid w:val="00F6121F"/>
    <w:rsid w:val="00F61462"/>
    <w:rsid w:val="00F61483"/>
    <w:rsid w:val="00F617C8"/>
    <w:rsid w:val="00F61BBD"/>
    <w:rsid w:val="00F63CCC"/>
    <w:rsid w:val="00F64252"/>
    <w:rsid w:val="00F65E96"/>
    <w:rsid w:val="00F6642D"/>
    <w:rsid w:val="00F67D6E"/>
    <w:rsid w:val="00F70C89"/>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4013"/>
    <w:rsid w:val="00FC750B"/>
    <w:rsid w:val="00FD22AE"/>
    <w:rsid w:val="00FD4DE7"/>
    <w:rsid w:val="00FD6AF5"/>
    <w:rsid w:val="00FD71FF"/>
    <w:rsid w:val="00FE141E"/>
    <w:rsid w:val="00FE1991"/>
    <w:rsid w:val="00FE2E07"/>
    <w:rsid w:val="00FE5042"/>
    <w:rsid w:val="00FE6583"/>
    <w:rsid w:val="00FE6C03"/>
    <w:rsid w:val="00FF3E2C"/>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 w:type="table" w:customStyle="1" w:styleId="Tablaconcuadrcula1">
    <w:name w:val="Tabla con cuadrícula1"/>
    <w:basedOn w:val="Tablanormal"/>
    <w:next w:val="Tablaconcuadrcula"/>
    <w:uiPriority w:val="59"/>
    <w:rsid w:val="004B29A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B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77039983">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1923447">
      <w:bodyDiv w:val="1"/>
      <w:marLeft w:val="0"/>
      <w:marRight w:val="0"/>
      <w:marTop w:val="0"/>
      <w:marBottom w:val="0"/>
      <w:divBdr>
        <w:top w:val="none" w:sz="0" w:space="0" w:color="auto"/>
        <w:left w:val="none" w:sz="0" w:space="0" w:color="auto"/>
        <w:bottom w:val="none" w:sz="0" w:space="0" w:color="auto"/>
        <w:right w:val="none" w:sz="0" w:space="0" w:color="auto"/>
      </w:divBdr>
    </w:div>
    <w:div w:id="61433609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47450371">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13217510">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715109066">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24347581">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517">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9">
          <w:marLeft w:val="0"/>
          <w:marRight w:val="0"/>
          <w:marTop w:val="0"/>
          <w:marBottom w:val="0"/>
          <w:divBdr>
            <w:top w:val="none" w:sz="0" w:space="0" w:color="auto"/>
            <w:left w:val="none" w:sz="0" w:space="0" w:color="auto"/>
            <w:bottom w:val="none" w:sz="0" w:space="0" w:color="auto"/>
            <w:right w:val="none" w:sz="0" w:space="0" w:color="auto"/>
          </w:divBdr>
        </w:div>
        <w:div w:id="1168211000">
          <w:marLeft w:val="0"/>
          <w:marRight w:val="0"/>
          <w:marTop w:val="0"/>
          <w:marBottom w:val="0"/>
          <w:divBdr>
            <w:top w:val="none" w:sz="0" w:space="0" w:color="auto"/>
            <w:left w:val="none" w:sz="0" w:space="0" w:color="auto"/>
            <w:bottom w:val="none" w:sz="0" w:space="0" w:color="auto"/>
            <w:right w:val="none" w:sz="0" w:space="0" w:color="auto"/>
          </w:divBdr>
        </w:div>
        <w:div w:id="549194246">
          <w:marLeft w:val="0"/>
          <w:marRight w:val="0"/>
          <w:marTop w:val="0"/>
          <w:marBottom w:val="0"/>
          <w:divBdr>
            <w:top w:val="none" w:sz="0" w:space="0" w:color="auto"/>
            <w:left w:val="none" w:sz="0" w:space="0" w:color="auto"/>
            <w:bottom w:val="none" w:sz="0" w:space="0" w:color="auto"/>
            <w:right w:val="none" w:sz="0" w:space="0" w:color="auto"/>
          </w:divBdr>
        </w:div>
        <w:div w:id="150488438">
          <w:marLeft w:val="0"/>
          <w:marRight w:val="0"/>
          <w:marTop w:val="0"/>
          <w:marBottom w:val="0"/>
          <w:divBdr>
            <w:top w:val="none" w:sz="0" w:space="0" w:color="auto"/>
            <w:left w:val="none" w:sz="0" w:space="0" w:color="auto"/>
            <w:bottom w:val="none" w:sz="0" w:space="0" w:color="auto"/>
            <w:right w:val="none" w:sz="0" w:space="0" w:color="auto"/>
          </w:divBdr>
        </w:div>
        <w:div w:id="1853688882">
          <w:marLeft w:val="0"/>
          <w:marRight w:val="0"/>
          <w:marTop w:val="0"/>
          <w:marBottom w:val="0"/>
          <w:divBdr>
            <w:top w:val="none" w:sz="0" w:space="0" w:color="auto"/>
            <w:left w:val="none" w:sz="0" w:space="0" w:color="auto"/>
            <w:bottom w:val="none" w:sz="0" w:space="0" w:color="auto"/>
            <w:right w:val="none" w:sz="0" w:space="0" w:color="auto"/>
          </w:divBdr>
        </w:div>
        <w:div w:id="1569998106">
          <w:marLeft w:val="0"/>
          <w:marRight w:val="0"/>
          <w:marTop w:val="0"/>
          <w:marBottom w:val="0"/>
          <w:divBdr>
            <w:top w:val="none" w:sz="0" w:space="0" w:color="auto"/>
            <w:left w:val="none" w:sz="0" w:space="0" w:color="auto"/>
            <w:bottom w:val="none" w:sz="0" w:space="0" w:color="auto"/>
            <w:right w:val="none" w:sz="0" w:space="0" w:color="auto"/>
          </w:divBdr>
        </w:div>
        <w:div w:id="166868626">
          <w:marLeft w:val="0"/>
          <w:marRight w:val="0"/>
          <w:marTop w:val="0"/>
          <w:marBottom w:val="0"/>
          <w:divBdr>
            <w:top w:val="none" w:sz="0" w:space="0" w:color="auto"/>
            <w:left w:val="none" w:sz="0" w:space="0" w:color="auto"/>
            <w:bottom w:val="none" w:sz="0" w:space="0" w:color="auto"/>
            <w:right w:val="none" w:sz="0" w:space="0" w:color="auto"/>
          </w:divBdr>
        </w:div>
        <w:div w:id="678851948">
          <w:marLeft w:val="0"/>
          <w:marRight w:val="0"/>
          <w:marTop w:val="0"/>
          <w:marBottom w:val="0"/>
          <w:divBdr>
            <w:top w:val="none" w:sz="0" w:space="0" w:color="auto"/>
            <w:left w:val="none" w:sz="0" w:space="0" w:color="auto"/>
            <w:bottom w:val="none" w:sz="0" w:space="0" w:color="auto"/>
            <w:right w:val="none" w:sz="0" w:space="0" w:color="auto"/>
          </w:divBdr>
        </w:div>
        <w:div w:id="1313682877">
          <w:marLeft w:val="0"/>
          <w:marRight w:val="0"/>
          <w:marTop w:val="0"/>
          <w:marBottom w:val="0"/>
          <w:divBdr>
            <w:top w:val="none" w:sz="0" w:space="0" w:color="auto"/>
            <w:left w:val="none" w:sz="0" w:space="0" w:color="auto"/>
            <w:bottom w:val="none" w:sz="0" w:space="0" w:color="auto"/>
            <w:right w:val="none" w:sz="0" w:space="0" w:color="auto"/>
          </w:divBdr>
        </w:div>
        <w:div w:id="946545131">
          <w:marLeft w:val="0"/>
          <w:marRight w:val="0"/>
          <w:marTop w:val="0"/>
          <w:marBottom w:val="0"/>
          <w:divBdr>
            <w:top w:val="none" w:sz="0" w:space="0" w:color="auto"/>
            <w:left w:val="none" w:sz="0" w:space="0" w:color="auto"/>
            <w:bottom w:val="none" w:sz="0" w:space="0" w:color="auto"/>
            <w:right w:val="none" w:sz="0" w:space="0" w:color="auto"/>
          </w:divBdr>
        </w:div>
        <w:div w:id="1126511496">
          <w:marLeft w:val="0"/>
          <w:marRight w:val="0"/>
          <w:marTop w:val="0"/>
          <w:marBottom w:val="0"/>
          <w:divBdr>
            <w:top w:val="none" w:sz="0" w:space="0" w:color="auto"/>
            <w:left w:val="none" w:sz="0" w:space="0" w:color="auto"/>
            <w:bottom w:val="none" w:sz="0" w:space="0" w:color="auto"/>
            <w:right w:val="none" w:sz="0" w:space="0" w:color="auto"/>
          </w:divBdr>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875836E-BC2C-4FEE-88D0-9711B02DB4B4}">
  <ds:schemaRefs>
    <ds:schemaRef ds:uri="http://schemas.openxmlformats.org/officeDocument/2006/bibliography"/>
  </ds:schemaRefs>
</ds:datastoreItem>
</file>

<file path=customXml/itemProps4.xml><?xml version="1.0" encoding="utf-8"?>
<ds:datastoreItem xmlns:ds="http://schemas.openxmlformats.org/officeDocument/2006/customXml" ds:itemID="{AC8B71FE-5A52-4519-BC49-6DFD192A6F7F}"/>
</file>

<file path=docProps/app.xml><?xml version="1.0" encoding="utf-8"?>
<Properties xmlns="http://schemas.openxmlformats.org/officeDocument/2006/extended-properties" xmlns:vt="http://schemas.openxmlformats.org/officeDocument/2006/docPropsVTypes">
  <Template>Respuesta a consultas</Template>
  <TotalTime>7</TotalTime>
  <Pages>22</Pages>
  <Words>7641</Words>
  <Characters>42029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Diana Fabiola Herrera Hernandez</cp:lastModifiedBy>
  <cp:revision>4</cp:revision>
  <dcterms:created xsi:type="dcterms:W3CDTF">2022-10-12T03:02:00Z</dcterms:created>
  <dcterms:modified xsi:type="dcterms:W3CDTF">2022-10-12T03:08:00Z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