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D77D" w14:textId="77777777" w:rsidR="00CF280C" w:rsidRDefault="00B61A1E">
      <w:pPr>
        <w:spacing w:after="200" w:line="276" w:lineRule="auto"/>
        <w:rPr>
          <w:rFonts w:ascii="Arial" w:hAnsi="Arial" w:cs="Arial"/>
          <w:sz w:val="20"/>
          <w:szCs w:val="20"/>
        </w:rPr>
      </w:pPr>
      <w:r>
        <w:rPr>
          <w:rFonts w:ascii="Arial" w:eastAsia="Calibri" w:hAnsi="Arial" w:cs="Arial"/>
          <w:b/>
          <w:bCs/>
          <w:sz w:val="22"/>
          <w:lang w:val="es-ES"/>
        </w:rPr>
        <w:t>PRINCIPIO DE PUBLICIDAD - Naturaleza</w:t>
      </w:r>
      <w:r>
        <w:rPr>
          <w:rFonts w:ascii="Arial" w:hAnsi="Arial" w:cs="Arial"/>
          <w:sz w:val="20"/>
          <w:szCs w:val="20"/>
        </w:rPr>
        <w:t xml:space="preserve"> </w:t>
      </w:r>
    </w:p>
    <w:p w14:paraId="2B30D37E" w14:textId="79252005" w:rsidR="00CB48EA" w:rsidRDefault="00CB48EA" w:rsidP="00CB48EA">
      <w:pPr>
        <w:spacing w:after="120"/>
        <w:jc w:val="both"/>
        <w:rPr>
          <w:rFonts w:ascii="Arial" w:eastAsia="Calibri" w:hAnsi="Arial" w:cs="Arial"/>
          <w:color w:val="000000" w:themeColor="text1"/>
          <w:sz w:val="20"/>
          <w:szCs w:val="22"/>
          <w:lang w:val="es-ES_tradnl"/>
        </w:rPr>
      </w:pPr>
      <w:r w:rsidRPr="00CB48EA">
        <w:rPr>
          <w:rFonts w:ascii="Arial" w:eastAsia="Calibri" w:hAnsi="Arial" w:cs="Arial"/>
          <w:color w:val="000000" w:themeColor="text1"/>
          <w:sz w:val="20"/>
          <w:szCs w:val="22"/>
          <w:lang w:val="es-ES_tradnl"/>
        </w:rPr>
        <w:t xml:space="preserve">Uno de los postulados más importantes de un Estado social y democrático de derecho es el principio de </w:t>
      </w:r>
      <w:r w:rsidRPr="00CB48EA">
        <w:rPr>
          <w:rFonts w:ascii="Arial" w:eastAsia="Calibri" w:hAnsi="Arial" w:cs="Arial"/>
          <w:i/>
          <w:iCs/>
          <w:color w:val="000000" w:themeColor="text1"/>
          <w:sz w:val="20"/>
          <w:szCs w:val="22"/>
          <w:lang w:val="es-ES_tradnl"/>
        </w:rPr>
        <w:t>publicidad</w:t>
      </w:r>
      <w:r w:rsidRPr="00CB48EA">
        <w:rPr>
          <w:rFonts w:ascii="Arial" w:eastAsia="Calibri" w:hAnsi="Arial" w:cs="Arial"/>
          <w:color w:val="000000" w:themeColor="text1"/>
          <w:sz w:val="20"/>
          <w:szCs w:val="22"/>
          <w:lang w:val="es-ES_tradnl"/>
        </w:rPr>
        <w:t>,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r w:rsidRPr="00CB48EA">
        <w:rPr>
          <w:rStyle w:val="Refdenotaalpie"/>
          <w:rFonts w:ascii="Arial" w:eastAsia="Calibri" w:hAnsi="Arial" w:cs="Arial"/>
          <w:color w:val="000000" w:themeColor="text1"/>
          <w:sz w:val="20"/>
          <w:szCs w:val="22"/>
          <w:lang w:val="es-ES_tradnl"/>
        </w:rPr>
        <w:footnoteReference w:id="2"/>
      </w:r>
      <w:r w:rsidRPr="00CB48EA">
        <w:rPr>
          <w:rFonts w:ascii="Arial" w:eastAsia="Calibri" w:hAnsi="Arial" w:cs="Arial"/>
          <w:color w:val="000000" w:themeColor="text1"/>
          <w:sz w:val="20"/>
          <w:szCs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14:paraId="0C5380AD" w14:textId="77777777" w:rsidR="00CB48EA" w:rsidRDefault="00CB48EA" w:rsidP="00CB48EA">
      <w:pPr>
        <w:jc w:val="both"/>
        <w:rPr>
          <w:rFonts w:ascii="Arial" w:eastAsia="Calibri" w:hAnsi="Arial" w:cs="Arial"/>
          <w:color w:val="000000" w:themeColor="text1"/>
          <w:sz w:val="20"/>
          <w:szCs w:val="22"/>
          <w:lang w:val="es-ES_tradnl"/>
        </w:rPr>
      </w:pPr>
    </w:p>
    <w:p w14:paraId="00FD0957" w14:textId="0B2E5A86" w:rsidR="00486BE0" w:rsidRPr="003253B1" w:rsidRDefault="00486BE0" w:rsidP="00CB48EA">
      <w:pPr>
        <w:jc w:val="both"/>
        <w:rPr>
          <w:rFonts w:ascii="Arial" w:eastAsia="Calibri" w:hAnsi="Arial" w:cs="Arial"/>
          <w:b/>
          <w:color w:val="000000"/>
          <w:sz w:val="22"/>
        </w:rPr>
      </w:pPr>
      <w:r w:rsidRPr="003253B1">
        <w:rPr>
          <w:rFonts w:ascii="Arial" w:eastAsia="Calibri" w:hAnsi="Arial" w:cs="Arial"/>
          <w:b/>
          <w:color w:val="000000"/>
          <w:sz w:val="22"/>
        </w:rPr>
        <w:t xml:space="preserve">ACCESO A DOCUMENTACIÓN PÚBLICA – Derecho fundamental – Transparencia – Información contractual </w:t>
      </w:r>
    </w:p>
    <w:p w14:paraId="065BEDC8" w14:textId="77777777" w:rsidR="00486BE0" w:rsidRPr="003253B1" w:rsidRDefault="00486BE0" w:rsidP="00486BE0">
      <w:pPr>
        <w:tabs>
          <w:tab w:val="left" w:pos="1816"/>
        </w:tabs>
        <w:jc w:val="both"/>
        <w:rPr>
          <w:rFonts w:ascii="Arial" w:eastAsia="Calibri" w:hAnsi="Arial" w:cs="Arial"/>
          <w:b/>
          <w:color w:val="000000"/>
          <w:sz w:val="22"/>
        </w:rPr>
      </w:pPr>
      <w:r w:rsidRPr="003253B1">
        <w:rPr>
          <w:rFonts w:ascii="Arial" w:eastAsia="Calibri" w:hAnsi="Arial" w:cs="Arial"/>
          <w:b/>
          <w:color w:val="000000"/>
          <w:sz w:val="22"/>
        </w:rPr>
        <w:t xml:space="preserve"> </w:t>
      </w:r>
      <w:r w:rsidRPr="003253B1">
        <w:rPr>
          <w:rFonts w:ascii="Arial" w:eastAsia="Calibri" w:hAnsi="Arial" w:cs="Arial"/>
          <w:b/>
          <w:color w:val="000000"/>
          <w:sz w:val="22"/>
        </w:rPr>
        <w:tab/>
      </w:r>
      <w:r w:rsidRPr="003253B1">
        <w:rPr>
          <w:rFonts w:ascii="Arial" w:eastAsia="Calibri" w:hAnsi="Arial" w:cs="Arial"/>
          <w:color w:val="000000"/>
          <w:sz w:val="20"/>
          <w:szCs w:val="20"/>
        </w:rPr>
        <w:t xml:space="preserve"> </w:t>
      </w:r>
    </w:p>
    <w:p w14:paraId="0FBDB45A" w14:textId="4AD5429E" w:rsidR="00486BE0" w:rsidRDefault="00486BE0" w:rsidP="00486BE0">
      <w:pPr>
        <w:jc w:val="both"/>
        <w:rPr>
          <w:rFonts w:ascii="Arial" w:eastAsia="Calibri" w:hAnsi="Arial" w:cs="Arial"/>
          <w:color w:val="000000"/>
          <w:sz w:val="20"/>
          <w:szCs w:val="20"/>
        </w:rPr>
      </w:pPr>
      <w:r w:rsidRPr="003253B1">
        <w:rPr>
          <w:rFonts w:ascii="Arial" w:eastAsia="Calibri" w:hAnsi="Arial" w:cs="Arial"/>
          <w:color w:val="000000"/>
          <w:sz w:val="20"/>
          <w:szCs w:val="20"/>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0"/>
          <w:szCs w:val="20"/>
        </w:rPr>
        <w:t>deber de divulgación proactiva de la información</w:t>
      </w:r>
      <w:r w:rsidRPr="003253B1">
        <w:rPr>
          <w:rFonts w:ascii="Arial" w:eastAsia="Calibri" w:hAnsi="Arial" w:cs="Arial"/>
          <w:color w:val="000000"/>
          <w:sz w:val="20"/>
          <w:szCs w:val="20"/>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p>
    <w:p w14:paraId="2AC1BD9D" w14:textId="77777777" w:rsidR="00334FBC" w:rsidRPr="003253B1" w:rsidRDefault="00334FBC" w:rsidP="00334FBC">
      <w:pPr>
        <w:jc w:val="both"/>
        <w:rPr>
          <w:rStyle w:val="Textoennegrita"/>
          <w:rFonts w:ascii="Arial" w:hAnsi="Arial" w:cs="Arial"/>
          <w:b w:val="0"/>
          <w:bCs w:val="0"/>
          <w:sz w:val="20"/>
          <w:szCs w:val="20"/>
          <w:lang w:val="es-ES"/>
        </w:rPr>
      </w:pPr>
    </w:p>
    <w:p w14:paraId="6593F917" w14:textId="77777777" w:rsidR="00334FBC" w:rsidRPr="003253B1" w:rsidRDefault="00334FBC" w:rsidP="00334FBC">
      <w:pPr>
        <w:jc w:val="both"/>
        <w:rPr>
          <w:rStyle w:val="Textoennegrita"/>
          <w:rFonts w:ascii="Arial" w:hAnsi="Arial" w:cs="Arial"/>
          <w:sz w:val="22"/>
          <w:lang w:val="es-ES"/>
        </w:rPr>
      </w:pPr>
      <w:r w:rsidRPr="003253B1">
        <w:rPr>
          <w:rStyle w:val="Textoennegrita"/>
          <w:rFonts w:ascii="Arial" w:hAnsi="Arial" w:cs="Arial"/>
          <w:sz w:val="22"/>
          <w:lang w:val="es-ES"/>
        </w:rPr>
        <w:t>RESERVA DE INFORMACIÓN PÚBLICA – Fundamento – Constitución – Ley – Aplicación – Procesos contractuales</w:t>
      </w:r>
    </w:p>
    <w:p w14:paraId="726974F2" w14:textId="24A12D33" w:rsidR="00B4540B" w:rsidRDefault="00B4540B" w:rsidP="00486BE0">
      <w:pPr>
        <w:jc w:val="both"/>
        <w:rPr>
          <w:rFonts w:ascii="Arial" w:eastAsia="Calibri" w:hAnsi="Arial" w:cs="Arial"/>
          <w:color w:val="000000"/>
          <w:sz w:val="20"/>
          <w:szCs w:val="20"/>
        </w:rPr>
      </w:pPr>
    </w:p>
    <w:p w14:paraId="4ECCB595" w14:textId="65580E47" w:rsidR="00910B6F" w:rsidRDefault="00910B6F" w:rsidP="00910B6F">
      <w:pPr>
        <w:widowControl w:val="0"/>
        <w:autoSpaceDE w:val="0"/>
        <w:autoSpaceDN w:val="0"/>
        <w:spacing w:before="120" w:after="120"/>
        <w:jc w:val="both"/>
        <w:rPr>
          <w:rFonts w:ascii="Arial" w:eastAsia="Arial" w:hAnsi="Arial" w:cs="Arial"/>
          <w:sz w:val="20"/>
          <w:szCs w:val="20"/>
          <w:lang w:val="es-ES"/>
        </w:rPr>
      </w:pPr>
      <w:r w:rsidRPr="00910B6F">
        <w:rPr>
          <w:rFonts w:ascii="Arial" w:hAnsi="Arial" w:cs="Arial"/>
          <w:color w:val="000000"/>
          <w:sz w:val="20"/>
          <w:szCs w:val="20"/>
          <w:shd w:val="clear" w:color="auto" w:fill="FFFFFF"/>
        </w:rPr>
        <w:t xml:space="preserve">De acuerdo con las consideraciones de este concepto </w:t>
      </w:r>
      <w:r w:rsidRPr="00910B6F">
        <w:rPr>
          <w:rFonts w:ascii="Arial" w:hAnsi="Arial" w:cs="Arial"/>
          <w:sz w:val="20"/>
          <w:szCs w:val="20"/>
        </w:rPr>
        <w:t xml:space="preserve">por regla general o principio aplica la publicación proactiva de la información pública, incluyendo la relacionada en materia contractual, mediante su publicación en el SECOP, por tal razón se deberán publicar </w:t>
      </w:r>
      <w:r w:rsidRPr="00910B6F">
        <w:rPr>
          <w:rFonts w:ascii="Arial" w:eastAsia="Arial" w:hAnsi="Arial" w:cs="Arial"/>
          <w:sz w:val="20"/>
          <w:szCs w:val="20"/>
          <w:lang w:val="es-ES"/>
        </w:rPr>
        <w:t xml:space="preserve">«[…] los Documentos del Proceso y los actos administrativos del Proceso de Contratación, dentro de los tres (3) días siguientes a su expedición […]». La expresión </w:t>
      </w:r>
      <w:r w:rsidRPr="00910B6F">
        <w:rPr>
          <w:rFonts w:ascii="Arial" w:eastAsia="Arial" w:hAnsi="Arial" w:cs="Arial"/>
          <w:i/>
          <w:iCs/>
          <w:sz w:val="20"/>
          <w:szCs w:val="20"/>
          <w:lang w:val="es-ES"/>
        </w:rPr>
        <w:t>Documentos del Proceso</w:t>
      </w:r>
      <w:r w:rsidRPr="00910B6F">
        <w:rPr>
          <w:rFonts w:ascii="Arial" w:eastAsia="Arial" w:hAnsi="Arial" w:cs="Arial"/>
          <w:sz w:val="20"/>
          <w:szCs w:val="20"/>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proofErr w:type="spellStart"/>
      <w:r w:rsidRPr="00910B6F">
        <w:rPr>
          <w:rFonts w:ascii="Arial" w:eastAsia="Arial" w:hAnsi="Arial" w:cs="Arial"/>
          <w:i/>
          <w:iCs/>
          <w:sz w:val="20"/>
          <w:szCs w:val="20"/>
          <w:lang w:val="es-ES"/>
        </w:rPr>
        <w:t>Ibídem</w:t>
      </w:r>
      <w:proofErr w:type="spellEnd"/>
      <w:r w:rsidRPr="00910B6F">
        <w:rPr>
          <w:rFonts w:ascii="Arial" w:eastAsia="Arial" w:hAnsi="Arial" w:cs="Arial"/>
          <w:sz w:val="20"/>
          <w:szCs w:val="20"/>
          <w:lang w:val="es-ES"/>
        </w:rPr>
        <w:t xml:space="preserve"> recoge en la noción de </w:t>
      </w:r>
      <w:r w:rsidRPr="00910B6F">
        <w:rPr>
          <w:rFonts w:ascii="Arial" w:eastAsia="Arial" w:hAnsi="Arial" w:cs="Arial"/>
          <w:i/>
          <w:iCs/>
          <w:sz w:val="20"/>
          <w:szCs w:val="20"/>
          <w:lang w:val="es-ES"/>
        </w:rPr>
        <w:t>Documentos del Proceso</w:t>
      </w:r>
      <w:r w:rsidRPr="00910B6F">
        <w:rPr>
          <w:rFonts w:ascii="Arial" w:eastAsia="Arial" w:hAnsi="Arial" w:cs="Arial"/>
          <w:sz w:val="20"/>
          <w:szCs w:val="20"/>
          <w:lang w:val="es-ES"/>
        </w:rPr>
        <w:t xml:space="preserve"> «cualquier otro documento expedido por la Entidad Estatal durante el </w:t>
      </w:r>
      <w:r w:rsidRPr="00910B6F">
        <w:rPr>
          <w:rFonts w:ascii="Arial" w:eastAsia="Arial" w:hAnsi="Arial" w:cs="Arial"/>
          <w:i/>
          <w:iCs/>
          <w:sz w:val="20"/>
          <w:szCs w:val="20"/>
          <w:lang w:val="es-ES"/>
        </w:rPr>
        <w:t>Proceso de Contratación»</w:t>
      </w:r>
      <w:r w:rsidRPr="00910B6F">
        <w:rPr>
          <w:rFonts w:ascii="Arial" w:eastAsia="Arial" w:hAnsi="Arial" w:cs="Arial"/>
          <w:sz w:val="20"/>
          <w:szCs w:val="20"/>
          <w:lang w:val="es-ES"/>
        </w:rPr>
        <w:t xml:space="preserve">. Este mismo artículo define la expresión </w:t>
      </w:r>
      <w:r w:rsidRPr="00910B6F">
        <w:rPr>
          <w:rFonts w:ascii="Arial" w:eastAsia="Arial" w:hAnsi="Arial" w:cs="Arial"/>
          <w:i/>
          <w:iCs/>
          <w:sz w:val="20"/>
          <w:szCs w:val="20"/>
          <w:lang w:val="es-ES"/>
        </w:rPr>
        <w:t xml:space="preserve">Proceso de </w:t>
      </w:r>
      <w:r w:rsidRPr="00910B6F">
        <w:rPr>
          <w:rFonts w:ascii="Arial" w:eastAsia="Arial" w:hAnsi="Arial" w:cs="Arial"/>
          <w:i/>
          <w:iCs/>
          <w:sz w:val="20"/>
          <w:szCs w:val="20"/>
          <w:lang w:val="es-ES"/>
        </w:rPr>
        <w:lastRenderedPageBreak/>
        <w:t>Contratación</w:t>
      </w:r>
      <w:r w:rsidRPr="00910B6F">
        <w:rPr>
          <w:rFonts w:ascii="Arial" w:eastAsia="Arial" w:hAnsi="Arial" w:cs="Arial"/>
          <w:sz w:val="20"/>
          <w:szCs w:val="20"/>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0E7D3C24" w14:textId="77777777" w:rsidR="00A026B1" w:rsidRPr="00910B6F" w:rsidRDefault="00A026B1" w:rsidP="00910B6F">
      <w:pPr>
        <w:widowControl w:val="0"/>
        <w:autoSpaceDE w:val="0"/>
        <w:autoSpaceDN w:val="0"/>
        <w:spacing w:before="120" w:after="120"/>
        <w:jc w:val="both"/>
        <w:rPr>
          <w:rFonts w:ascii="Arial" w:eastAsia="Arial" w:hAnsi="Arial" w:cs="Arial"/>
          <w:sz w:val="20"/>
          <w:szCs w:val="20"/>
          <w:lang w:val="es-ES"/>
        </w:rPr>
      </w:pPr>
    </w:p>
    <w:p w14:paraId="564FD352" w14:textId="77777777" w:rsidR="00910B6F" w:rsidRDefault="00910B6F" w:rsidP="00486BE0">
      <w:pPr>
        <w:jc w:val="both"/>
        <w:rPr>
          <w:rFonts w:ascii="Arial" w:eastAsia="Calibri" w:hAnsi="Arial" w:cs="Arial"/>
          <w:color w:val="000000"/>
          <w:sz w:val="20"/>
          <w:szCs w:val="20"/>
        </w:rPr>
      </w:pPr>
    </w:p>
    <w:p w14:paraId="077C38DA" w14:textId="77777777" w:rsidR="00B4540B" w:rsidRPr="003253B1" w:rsidRDefault="00B4540B" w:rsidP="00486BE0">
      <w:pPr>
        <w:jc w:val="both"/>
        <w:rPr>
          <w:rFonts w:ascii="Arial" w:eastAsia="Calibri" w:hAnsi="Arial" w:cs="Arial"/>
          <w:b/>
          <w:sz w:val="22"/>
          <w:lang w:val="es-ES_tradnl"/>
        </w:rPr>
      </w:pPr>
    </w:p>
    <w:p w14:paraId="6CDB8EC9" w14:textId="09BF8233" w:rsidR="00B61A1E" w:rsidRDefault="00B61A1E">
      <w:pPr>
        <w:spacing w:after="200" w:line="276" w:lineRule="auto"/>
        <w:rPr>
          <w:rFonts w:ascii="Arial" w:hAnsi="Arial" w:cs="Arial"/>
          <w:sz w:val="20"/>
          <w:szCs w:val="20"/>
        </w:rPr>
      </w:pPr>
      <w:r>
        <w:rPr>
          <w:rFonts w:ascii="Arial" w:hAnsi="Arial" w:cs="Arial"/>
          <w:sz w:val="20"/>
          <w:szCs w:val="20"/>
        </w:rPr>
        <w:br w:type="page"/>
      </w:r>
    </w:p>
    <w:p w14:paraId="4C977318" w14:textId="13893407" w:rsidR="007B2ECA" w:rsidRDefault="001A7B56" w:rsidP="001A7B56">
      <w:pPr>
        <w:tabs>
          <w:tab w:val="left" w:pos="426"/>
        </w:tabs>
        <w:spacing w:after="120"/>
        <w:jc w:val="right"/>
        <w:rPr>
          <w:rFonts w:ascii="Arial" w:hAnsi="Arial" w:cs="Arial"/>
          <w:sz w:val="20"/>
          <w:szCs w:val="20"/>
        </w:rPr>
      </w:pPr>
      <w:r w:rsidRPr="001A7B56">
        <w:rPr>
          <w:rFonts w:ascii="Arial" w:hAnsi="Arial" w:cs="Arial"/>
          <w:noProof/>
          <w:sz w:val="20"/>
          <w:szCs w:val="20"/>
        </w:rPr>
        <w:lastRenderedPageBreak/>
        <w:drawing>
          <wp:inline distT="0" distB="0" distL="0" distR="0" wp14:anchorId="119DAD63" wp14:editId="06C4A9E5">
            <wp:extent cx="2808605" cy="736313"/>
            <wp:effectExtent l="0" t="0" r="0" b="698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30502" cy="742054"/>
                    </a:xfrm>
                    <a:prstGeom prst="rect">
                      <a:avLst/>
                    </a:prstGeom>
                  </pic:spPr>
                </pic:pic>
              </a:graphicData>
            </a:graphic>
          </wp:inline>
        </w:drawing>
      </w:r>
    </w:p>
    <w:p w14:paraId="61F385B0" w14:textId="77777777" w:rsidR="001A7B56" w:rsidRDefault="001A7B56" w:rsidP="007B2ECA">
      <w:pPr>
        <w:tabs>
          <w:tab w:val="left" w:pos="426"/>
        </w:tabs>
        <w:spacing w:after="120"/>
        <w:jc w:val="both"/>
        <w:rPr>
          <w:rFonts w:ascii="Arial" w:hAnsi="Arial" w:cs="Arial"/>
          <w:sz w:val="20"/>
          <w:szCs w:val="20"/>
        </w:rPr>
      </w:pPr>
    </w:p>
    <w:p w14:paraId="628EE5E8" w14:textId="6A63D642" w:rsidR="00AC5676" w:rsidRDefault="00AC5676" w:rsidP="007B2ECA">
      <w:pPr>
        <w:tabs>
          <w:tab w:val="left" w:pos="426"/>
        </w:tabs>
        <w:spacing w:after="120"/>
        <w:jc w:val="both"/>
        <w:rPr>
          <w:rFonts w:ascii="Arial" w:hAnsi="Arial" w:cs="Arial"/>
          <w:sz w:val="20"/>
          <w:szCs w:val="20"/>
        </w:rPr>
      </w:pPr>
      <w:r w:rsidRPr="001A7B56">
        <w:rPr>
          <w:rFonts w:ascii="Arial" w:hAnsi="Arial" w:cs="Arial"/>
          <w:sz w:val="22"/>
          <w:szCs w:val="22"/>
        </w:rPr>
        <w:t xml:space="preserve">Bogotá, </w:t>
      </w:r>
      <w:r w:rsidR="001A7B56" w:rsidRPr="001A7B56">
        <w:rPr>
          <w:rFonts w:ascii="Arial" w:hAnsi="Arial" w:cs="Arial"/>
          <w:sz w:val="22"/>
          <w:szCs w:val="22"/>
        </w:rPr>
        <w:t xml:space="preserve">09 </w:t>
      </w:r>
      <w:proofErr w:type="gramStart"/>
      <w:r w:rsidR="00B04101">
        <w:rPr>
          <w:rFonts w:ascii="Arial" w:hAnsi="Arial" w:cs="Arial"/>
          <w:sz w:val="22"/>
          <w:szCs w:val="22"/>
        </w:rPr>
        <w:t>S</w:t>
      </w:r>
      <w:r w:rsidR="001A7B56" w:rsidRPr="001A7B56">
        <w:rPr>
          <w:rFonts w:ascii="Arial" w:hAnsi="Arial" w:cs="Arial"/>
          <w:sz w:val="22"/>
          <w:szCs w:val="22"/>
        </w:rPr>
        <w:t>eptiembre</w:t>
      </w:r>
      <w:proofErr w:type="gramEnd"/>
      <w:r w:rsidR="001A7B56" w:rsidRPr="001A7B56">
        <w:rPr>
          <w:rFonts w:ascii="Arial" w:hAnsi="Arial" w:cs="Arial"/>
          <w:sz w:val="22"/>
          <w:szCs w:val="22"/>
        </w:rPr>
        <w:t xml:space="preserve"> de 2022</w:t>
      </w:r>
    </w:p>
    <w:p w14:paraId="39641B10" w14:textId="77777777" w:rsidR="00AC5676" w:rsidRPr="00193A67" w:rsidRDefault="00AC5676" w:rsidP="007B2ECA">
      <w:pPr>
        <w:tabs>
          <w:tab w:val="left" w:pos="426"/>
        </w:tabs>
        <w:spacing w:after="120"/>
        <w:jc w:val="both"/>
        <w:rPr>
          <w:rFonts w:ascii="Arial" w:hAnsi="Arial" w:cs="Arial"/>
          <w:sz w:val="20"/>
          <w:szCs w:val="20"/>
        </w:rPr>
      </w:pPr>
    </w:p>
    <w:p w14:paraId="13AABC8B" w14:textId="77777777" w:rsidR="001A7B56" w:rsidRDefault="00BE4FBF" w:rsidP="001A7B56">
      <w:pPr>
        <w:rPr>
          <w:rFonts w:ascii="Arial" w:eastAsia="Calibri" w:hAnsi="Arial" w:cs="Arial"/>
          <w:color w:val="000000" w:themeColor="text1"/>
          <w:sz w:val="22"/>
          <w:lang w:val="es-ES_tradnl"/>
        </w:rPr>
      </w:pPr>
      <w:bookmarkStart w:id="0" w:name="_Hlk113605403"/>
      <w:r w:rsidRPr="005419DA">
        <w:rPr>
          <w:rFonts w:ascii="Arial" w:eastAsia="Calibri" w:hAnsi="Arial" w:cs="Arial"/>
          <w:color w:val="000000" w:themeColor="text1"/>
          <w:sz w:val="22"/>
          <w:lang w:val="es-ES_tradnl"/>
        </w:rPr>
        <w:t>Señor</w:t>
      </w:r>
      <w:r w:rsidR="00552C59">
        <w:rPr>
          <w:rFonts w:ascii="Arial" w:eastAsia="Calibri" w:hAnsi="Arial" w:cs="Arial"/>
          <w:color w:val="000000" w:themeColor="text1"/>
          <w:sz w:val="22"/>
          <w:lang w:val="es-ES_tradnl"/>
        </w:rPr>
        <w:t>a</w:t>
      </w:r>
    </w:p>
    <w:p w14:paraId="530248E1" w14:textId="408399A9" w:rsidR="00915C0C" w:rsidRDefault="00915C0C" w:rsidP="001A7B56">
      <w:pPr>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Valeria </w:t>
      </w:r>
      <w:proofErr w:type="spellStart"/>
      <w:r>
        <w:rPr>
          <w:rFonts w:ascii="Arial" w:eastAsia="Calibri" w:hAnsi="Arial" w:cs="Arial"/>
          <w:b/>
          <w:color w:val="000000" w:themeColor="text1"/>
          <w:sz w:val="22"/>
          <w:lang w:val="es-ES_tradnl"/>
        </w:rPr>
        <w:t>Sangregorio</w:t>
      </w:r>
      <w:proofErr w:type="spellEnd"/>
      <w:r>
        <w:rPr>
          <w:rFonts w:ascii="Arial" w:eastAsia="Calibri" w:hAnsi="Arial" w:cs="Arial"/>
          <w:b/>
          <w:color w:val="000000" w:themeColor="text1"/>
          <w:sz w:val="22"/>
          <w:lang w:val="es-ES_tradnl"/>
        </w:rPr>
        <w:t xml:space="preserve"> Guarnizo</w:t>
      </w:r>
    </w:p>
    <w:p w14:paraId="3C0930E8" w14:textId="2D99F937" w:rsidR="00B47773" w:rsidRPr="00C5419B" w:rsidRDefault="00915C0C" w:rsidP="001A7B56">
      <w:pPr>
        <w:jc w:val="both"/>
        <w:rPr>
          <w:rFonts w:ascii="Arial" w:eastAsia="Calibri" w:hAnsi="Arial" w:cs="Arial"/>
          <w:bCs/>
          <w:color w:val="000000" w:themeColor="text1"/>
          <w:sz w:val="22"/>
          <w:lang w:val="es-ES_tradnl"/>
        </w:rPr>
      </w:pPr>
      <w:r w:rsidRPr="00C5419B">
        <w:rPr>
          <w:rFonts w:ascii="Arial" w:eastAsia="Calibri" w:hAnsi="Arial" w:cs="Arial"/>
          <w:bCs/>
          <w:color w:val="000000" w:themeColor="text1"/>
          <w:sz w:val="22"/>
          <w:lang w:val="es-ES_tradnl"/>
        </w:rPr>
        <w:t xml:space="preserve">Secretaria Distrital </w:t>
      </w:r>
      <w:r w:rsidR="00C5419B">
        <w:rPr>
          <w:rFonts w:ascii="Arial" w:eastAsia="Calibri" w:hAnsi="Arial" w:cs="Arial"/>
          <w:bCs/>
          <w:color w:val="000000" w:themeColor="text1"/>
          <w:sz w:val="22"/>
          <w:lang w:val="es-ES_tradnl"/>
        </w:rPr>
        <w:t>d</w:t>
      </w:r>
      <w:r w:rsidRPr="00C5419B">
        <w:rPr>
          <w:rFonts w:ascii="Arial" w:eastAsia="Calibri" w:hAnsi="Arial" w:cs="Arial"/>
          <w:bCs/>
          <w:color w:val="000000" w:themeColor="text1"/>
          <w:sz w:val="22"/>
          <w:lang w:val="es-ES_tradnl"/>
        </w:rPr>
        <w:t xml:space="preserve">e Desarrollo Económico </w:t>
      </w:r>
    </w:p>
    <w:p w14:paraId="09D4AEA8" w14:textId="44833631" w:rsidR="00B95C30" w:rsidRPr="005419DA" w:rsidRDefault="00915C0C" w:rsidP="001A7B56">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Ciudad</w:t>
      </w:r>
    </w:p>
    <w:p w14:paraId="3B584A57" w14:textId="4528CA3D" w:rsidR="00F53F4F" w:rsidRPr="005419DA" w:rsidRDefault="00F53F4F" w:rsidP="00B95C30">
      <w:pPr>
        <w:jc w:val="both"/>
        <w:rPr>
          <w:rFonts w:ascii="Arial" w:eastAsia="Calibri" w:hAnsi="Arial" w:cs="Arial"/>
          <w:color w:val="000000" w:themeColor="text1"/>
          <w:sz w:val="22"/>
          <w:lang w:val="es-ES_tradnl"/>
        </w:rPr>
      </w:pPr>
    </w:p>
    <w:p w14:paraId="48E36FCF" w14:textId="77777777" w:rsidR="00F53F4F" w:rsidRPr="005419DA" w:rsidRDefault="00F53F4F" w:rsidP="00B95C30">
      <w:pPr>
        <w:jc w:val="both"/>
        <w:rPr>
          <w:rFonts w:ascii="Arial" w:eastAsia="Calibri" w:hAnsi="Arial" w:cs="Arial"/>
          <w:color w:val="000000" w:themeColor="text1"/>
          <w:sz w:val="22"/>
          <w:lang w:val="es-ES_tradnl"/>
        </w:rPr>
      </w:pPr>
    </w:p>
    <w:p w14:paraId="12E66182" w14:textId="63280C3D" w:rsidR="00B95C30" w:rsidRPr="005419DA" w:rsidRDefault="00F53F4F" w:rsidP="001D6CD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w:t>
      </w:r>
      <w:r w:rsidR="00B95C30" w:rsidRPr="005419DA">
        <w:rPr>
          <w:rFonts w:ascii="Arial" w:eastAsia="Calibri" w:hAnsi="Arial" w:cs="Arial"/>
          <w:b/>
          <w:bCs/>
          <w:color w:val="000000" w:themeColor="text1"/>
          <w:sz w:val="22"/>
          <w:lang w:val="es-ES_tradnl"/>
        </w:rPr>
        <w:t xml:space="preserve">Concepto C ‒ </w:t>
      </w:r>
      <w:r w:rsidR="00915C0C">
        <w:rPr>
          <w:rFonts w:ascii="Arial" w:eastAsia="Calibri" w:hAnsi="Arial" w:cs="Arial"/>
          <w:b/>
          <w:bCs/>
          <w:color w:val="000000" w:themeColor="text1"/>
          <w:sz w:val="22"/>
          <w:lang w:val="es-ES_tradnl"/>
        </w:rPr>
        <w:t>649 de 2022</w:t>
      </w:r>
    </w:p>
    <w:p w14:paraId="1BD594F9" w14:textId="77777777" w:rsidR="00B95C30" w:rsidRPr="005419DA"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419DA" w14:paraId="19DFC051" w14:textId="77777777" w:rsidTr="008F4163">
        <w:tc>
          <w:tcPr>
            <w:tcW w:w="2689" w:type="dxa"/>
          </w:tcPr>
          <w:p w14:paraId="6BC0D1AC" w14:textId="77777777" w:rsidR="00B95C30" w:rsidRPr="005419DA" w:rsidRDefault="00B95C30" w:rsidP="008F416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F389CAF" w14:textId="6A7A7B00" w:rsidR="00B95C30" w:rsidRPr="00402B33" w:rsidRDefault="00BE60B0" w:rsidP="008F4163">
            <w:pPr>
              <w:jc w:val="both"/>
              <w:rPr>
                <w:rFonts w:ascii="Arial" w:eastAsia="Calibri" w:hAnsi="Arial" w:cs="Arial"/>
                <w:color w:val="000000" w:themeColor="text1"/>
                <w:sz w:val="22"/>
                <w:lang w:val="es-ES_tradnl"/>
              </w:rPr>
            </w:pPr>
            <w:r w:rsidRPr="00BE60B0">
              <w:rPr>
                <w:rFonts w:ascii="Arial" w:eastAsia="Calibri" w:hAnsi="Arial" w:cs="Arial"/>
                <w:color w:val="000000" w:themeColor="text1"/>
                <w:sz w:val="22"/>
                <w:lang w:val="es-ES_tradnl"/>
              </w:rPr>
              <w:t xml:space="preserve">PRINCIPIO DE PUBLICIDAD - Naturaleza </w:t>
            </w:r>
            <w:r w:rsidR="00C73605" w:rsidRPr="003253B1">
              <w:rPr>
                <w:rFonts w:ascii="Arial" w:eastAsia="Calibri" w:hAnsi="Arial" w:cs="Arial"/>
                <w:color w:val="000000" w:themeColor="text1"/>
                <w:sz w:val="22"/>
                <w:lang w:val="es-ES_tradnl"/>
              </w:rPr>
              <w:t xml:space="preserve">/ </w:t>
            </w:r>
            <w:r w:rsidRPr="00BE60B0">
              <w:rPr>
                <w:rFonts w:ascii="Arial" w:eastAsia="Calibri" w:hAnsi="Arial" w:cs="Arial"/>
                <w:color w:val="000000" w:themeColor="text1"/>
                <w:sz w:val="22"/>
                <w:lang w:val="es-ES_tradnl"/>
              </w:rPr>
              <w:t xml:space="preserve">ACCESO A DOCUMENTACIÓN PÚBLICA – Derecho fundamental – Transparencia – Información contractual </w:t>
            </w:r>
            <w:r w:rsidR="00C73605" w:rsidRPr="003253B1">
              <w:rPr>
                <w:rFonts w:ascii="Arial" w:eastAsia="Calibri" w:hAnsi="Arial" w:cs="Arial"/>
                <w:color w:val="000000" w:themeColor="text1"/>
                <w:sz w:val="22"/>
                <w:lang w:val="es-ES_tradnl"/>
              </w:rPr>
              <w:t xml:space="preserve">/ </w:t>
            </w:r>
            <w:r w:rsidRPr="00BE60B0">
              <w:rPr>
                <w:rFonts w:ascii="Arial" w:eastAsia="Calibri" w:hAnsi="Arial" w:cs="Arial"/>
                <w:color w:val="000000" w:themeColor="text1"/>
                <w:sz w:val="22"/>
                <w:lang w:val="es-ES_tradnl"/>
              </w:rPr>
              <w:t>RESERVA DE INFORMACIÓN PÚBLICA – Fundamento – Constitución – Ley – Aplicación – Procesos contractuales</w:t>
            </w:r>
            <w:r w:rsidR="00C73605" w:rsidRPr="00887828">
              <w:rPr>
                <w:rFonts w:ascii="Arial" w:eastAsia="Calibri" w:hAnsi="Arial" w:cs="Arial"/>
                <w:color w:val="000000" w:themeColor="text1"/>
                <w:lang w:val="es-ES_tradnl"/>
              </w:rPr>
              <w:t xml:space="preserve"> </w:t>
            </w:r>
          </w:p>
        </w:tc>
      </w:tr>
      <w:tr w:rsidR="00B95C30" w:rsidRPr="005419DA" w14:paraId="27CD52AB" w14:textId="77777777" w:rsidTr="008F4163">
        <w:tc>
          <w:tcPr>
            <w:tcW w:w="2689" w:type="dxa"/>
          </w:tcPr>
          <w:p w14:paraId="37E195A1" w14:textId="1BA218D5" w:rsidR="00B95C30" w:rsidRPr="005419DA" w:rsidRDefault="00B95C30" w:rsidP="008F416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09088B1B" w14:textId="06C24F99" w:rsidR="00B95C30" w:rsidRPr="005419DA" w:rsidRDefault="00B95C30" w:rsidP="008F416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Respuesta a consult</w:t>
            </w:r>
            <w:r w:rsidR="009977B1">
              <w:rPr>
                <w:rFonts w:ascii="Arial" w:eastAsia="Calibri" w:hAnsi="Arial" w:cs="Arial"/>
                <w:color w:val="000000" w:themeColor="text1"/>
                <w:sz w:val="22"/>
                <w:lang w:val="es-ES_tradnl"/>
              </w:rPr>
              <w:t xml:space="preserve">a </w:t>
            </w:r>
            <w:r w:rsidRPr="005419DA">
              <w:rPr>
                <w:rFonts w:ascii="Arial" w:eastAsia="Calibri" w:hAnsi="Arial" w:cs="Arial"/>
                <w:color w:val="000000" w:themeColor="text1"/>
                <w:sz w:val="22"/>
                <w:lang w:val="es-ES_tradnl"/>
              </w:rPr>
              <w:t xml:space="preserve"># </w:t>
            </w:r>
            <w:r w:rsidR="00915C0C" w:rsidRPr="00915C0C">
              <w:rPr>
                <w:rFonts w:ascii="Arial" w:eastAsia="Calibri" w:hAnsi="Arial" w:cs="Arial"/>
                <w:color w:val="000000" w:themeColor="text1"/>
                <w:sz w:val="22"/>
                <w:lang w:val="es-ES_tradnl"/>
              </w:rPr>
              <w:t>P20220826008532</w:t>
            </w:r>
          </w:p>
        </w:tc>
      </w:tr>
    </w:tbl>
    <w:p w14:paraId="61B55CA4" w14:textId="77777777" w:rsidR="00716BB0" w:rsidRPr="005419DA" w:rsidRDefault="00716BB0" w:rsidP="003C3339">
      <w:pPr>
        <w:jc w:val="both"/>
        <w:rPr>
          <w:rFonts w:ascii="Arial" w:eastAsia="Calibri" w:hAnsi="Arial" w:cs="Arial"/>
          <w:color w:val="000000" w:themeColor="text1"/>
          <w:sz w:val="22"/>
          <w:lang w:val="es-ES_tradnl"/>
        </w:rPr>
      </w:pPr>
    </w:p>
    <w:p w14:paraId="4B9B5156" w14:textId="77777777" w:rsidR="00716BB0" w:rsidRPr="005419DA" w:rsidRDefault="00716BB0" w:rsidP="003C3339">
      <w:pPr>
        <w:jc w:val="both"/>
        <w:rPr>
          <w:rFonts w:ascii="Arial" w:eastAsia="Calibri" w:hAnsi="Arial" w:cs="Arial"/>
          <w:color w:val="000000" w:themeColor="text1"/>
          <w:sz w:val="22"/>
          <w:lang w:val="es-ES_tradnl"/>
        </w:rPr>
      </w:pPr>
    </w:p>
    <w:p w14:paraId="1CF4AEA0" w14:textId="365A206B" w:rsidR="003C3339" w:rsidRPr="005419DA" w:rsidRDefault="003C3339" w:rsidP="003C3339">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w:t>
      </w:r>
      <w:r w:rsidR="00552C59">
        <w:rPr>
          <w:rFonts w:ascii="Arial" w:eastAsia="Calibri" w:hAnsi="Arial" w:cs="Arial"/>
          <w:color w:val="000000" w:themeColor="text1"/>
          <w:sz w:val="22"/>
          <w:lang w:val="es-ES_tradnl"/>
        </w:rPr>
        <w:t>a</w:t>
      </w:r>
      <w:r w:rsidRPr="005419DA">
        <w:rPr>
          <w:rFonts w:ascii="Arial" w:eastAsia="Calibri" w:hAnsi="Arial" w:cs="Arial"/>
          <w:color w:val="000000" w:themeColor="text1"/>
          <w:sz w:val="22"/>
          <w:lang w:val="es-ES_tradnl"/>
        </w:rPr>
        <w:t xml:space="preserve"> </w:t>
      </w:r>
      <w:r w:rsidR="0063732C" w:rsidRPr="005419DA">
        <w:rPr>
          <w:rFonts w:ascii="Arial" w:eastAsia="Calibri" w:hAnsi="Arial" w:cs="Arial"/>
          <w:color w:val="000000" w:themeColor="text1"/>
          <w:sz w:val="22"/>
          <w:lang w:val="es-ES_tradnl"/>
        </w:rPr>
        <w:t>señor</w:t>
      </w:r>
      <w:r w:rsidR="00552C59">
        <w:rPr>
          <w:rFonts w:ascii="Arial" w:eastAsia="Calibri" w:hAnsi="Arial" w:cs="Arial"/>
          <w:color w:val="000000" w:themeColor="text1"/>
          <w:sz w:val="22"/>
          <w:lang w:val="es-ES_tradnl"/>
        </w:rPr>
        <w:t>a</w:t>
      </w:r>
      <w:r w:rsidR="00BE4FBF" w:rsidRPr="005419DA">
        <w:rPr>
          <w:rFonts w:ascii="Arial" w:eastAsia="Calibri" w:hAnsi="Arial" w:cs="Arial"/>
          <w:color w:val="000000" w:themeColor="text1"/>
          <w:sz w:val="22"/>
          <w:lang w:val="es-ES_tradnl"/>
        </w:rPr>
        <w:t xml:space="preserve"> </w:t>
      </w:r>
      <w:proofErr w:type="spellStart"/>
      <w:r w:rsidR="00A02F05" w:rsidRPr="00A02F05">
        <w:rPr>
          <w:rFonts w:ascii="Arial" w:eastAsia="Calibri" w:hAnsi="Arial" w:cs="Arial"/>
          <w:color w:val="000000" w:themeColor="text1"/>
          <w:sz w:val="22"/>
          <w:lang w:val="es-ES_tradnl"/>
        </w:rPr>
        <w:t>Sangregorio</w:t>
      </w:r>
      <w:proofErr w:type="spellEnd"/>
      <w:r w:rsidR="00A02F05" w:rsidRPr="00A02F05">
        <w:rPr>
          <w:rFonts w:ascii="Arial" w:eastAsia="Calibri" w:hAnsi="Arial" w:cs="Arial"/>
          <w:color w:val="000000" w:themeColor="text1"/>
          <w:sz w:val="22"/>
          <w:lang w:val="es-ES_tradnl"/>
        </w:rPr>
        <w:t xml:space="preserve"> Guarnizo</w:t>
      </w:r>
      <w:r w:rsidRPr="005419DA">
        <w:rPr>
          <w:rFonts w:ascii="Arial" w:eastAsia="Calibri" w:hAnsi="Arial" w:cs="Arial"/>
          <w:color w:val="000000" w:themeColor="text1"/>
          <w:sz w:val="22"/>
          <w:lang w:val="es-ES_tradnl"/>
        </w:rPr>
        <w:t>:</w:t>
      </w:r>
    </w:p>
    <w:p w14:paraId="1EAE5543" w14:textId="77777777" w:rsidR="00DD5B04" w:rsidRPr="005419DA" w:rsidRDefault="00DD5B04" w:rsidP="00DF76A2">
      <w:pPr>
        <w:jc w:val="both"/>
        <w:rPr>
          <w:rFonts w:ascii="Arial" w:eastAsia="Calibri" w:hAnsi="Arial" w:cs="Arial"/>
          <w:color w:val="000000" w:themeColor="text1"/>
          <w:sz w:val="22"/>
          <w:lang w:val="es-ES_tradnl"/>
        </w:rPr>
      </w:pPr>
    </w:p>
    <w:p w14:paraId="2109B2D3" w14:textId="0AD10E9F" w:rsidR="00DD5B04" w:rsidRPr="005419DA" w:rsidRDefault="00DD5B04" w:rsidP="00DF76A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 xml:space="preserve">responde su consulta del </w:t>
      </w:r>
      <w:r w:rsidR="00915C0C">
        <w:rPr>
          <w:rFonts w:ascii="Arial" w:eastAsia="Calibri" w:hAnsi="Arial" w:cs="Arial"/>
          <w:color w:val="000000" w:themeColor="text1"/>
          <w:sz w:val="22"/>
          <w:lang w:val="es-ES_tradnl"/>
        </w:rPr>
        <w:t>26 de agosto d</w:t>
      </w:r>
      <w:r w:rsidRPr="005419DA">
        <w:rPr>
          <w:rFonts w:ascii="Arial" w:eastAsia="Calibri" w:hAnsi="Arial" w:cs="Arial"/>
          <w:color w:val="000000" w:themeColor="text1"/>
          <w:sz w:val="22"/>
          <w:lang w:val="es-ES_tradnl"/>
        </w:rPr>
        <w:t>el</w:t>
      </w:r>
      <w:r w:rsidR="007E74BF" w:rsidRPr="005419DA">
        <w:rPr>
          <w:rFonts w:ascii="Arial" w:eastAsia="Calibri" w:hAnsi="Arial" w:cs="Arial"/>
          <w:color w:val="000000" w:themeColor="text1"/>
          <w:sz w:val="22"/>
          <w:lang w:val="es-ES_tradnl"/>
        </w:rPr>
        <w:t xml:space="preserve"> </w:t>
      </w:r>
      <w:r w:rsidRPr="005419DA">
        <w:rPr>
          <w:rFonts w:ascii="Arial" w:eastAsia="Calibri" w:hAnsi="Arial" w:cs="Arial"/>
          <w:color w:val="000000" w:themeColor="text1"/>
          <w:sz w:val="22"/>
          <w:lang w:val="es-ES_tradnl"/>
        </w:rPr>
        <w:t>202</w:t>
      </w:r>
      <w:r w:rsidR="00915C0C">
        <w:rPr>
          <w:rFonts w:ascii="Arial" w:eastAsia="Calibri" w:hAnsi="Arial" w:cs="Arial"/>
          <w:color w:val="000000" w:themeColor="text1"/>
          <w:sz w:val="22"/>
          <w:lang w:val="es-ES_tradnl"/>
        </w:rPr>
        <w:t>2</w:t>
      </w:r>
      <w:r w:rsidR="008C3C57" w:rsidRPr="005419DA">
        <w:rPr>
          <w:rFonts w:ascii="Arial" w:eastAsia="Calibri" w:hAnsi="Arial" w:cs="Arial"/>
          <w:color w:val="000000" w:themeColor="text1"/>
          <w:sz w:val="22"/>
          <w:lang w:val="es-ES_tradnl"/>
        </w:rPr>
        <w:t>.</w:t>
      </w:r>
    </w:p>
    <w:p w14:paraId="0C1E0712" w14:textId="77777777" w:rsidR="00DD5B04" w:rsidRPr="005419DA"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419D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224B43D3" w14:textId="77777777" w:rsidR="00DD5B04" w:rsidRPr="005419D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559EE20C" w14:textId="6585002F" w:rsidR="00443B55" w:rsidRDefault="00DD5B04" w:rsidP="00915C0C">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Usted</w:t>
      </w:r>
      <w:r w:rsidR="009A1B98">
        <w:rPr>
          <w:rFonts w:ascii="Arial" w:hAnsi="Arial" w:cs="Arial"/>
          <w:color w:val="000000" w:themeColor="text1"/>
          <w:sz w:val="22"/>
          <w:lang w:val="es-ES_tradnl"/>
        </w:rPr>
        <w:t xml:space="preserve"> </w:t>
      </w:r>
      <w:r w:rsidR="00B422C0" w:rsidRPr="005419DA">
        <w:rPr>
          <w:rFonts w:ascii="Arial" w:hAnsi="Arial" w:cs="Arial"/>
          <w:color w:val="000000" w:themeColor="text1"/>
          <w:sz w:val="22"/>
          <w:lang w:val="es-ES_tradnl"/>
        </w:rPr>
        <w:t>formula</w:t>
      </w:r>
      <w:r w:rsidR="009A1B98">
        <w:rPr>
          <w:rFonts w:ascii="Arial" w:hAnsi="Arial" w:cs="Arial"/>
          <w:color w:val="000000" w:themeColor="text1"/>
          <w:sz w:val="22"/>
          <w:lang w:val="es-ES_tradnl"/>
        </w:rPr>
        <w:t xml:space="preserve"> </w:t>
      </w:r>
      <w:r w:rsidR="006D46A3" w:rsidRPr="005419DA">
        <w:rPr>
          <w:rFonts w:ascii="Arial" w:hAnsi="Arial" w:cs="Arial"/>
          <w:color w:val="000000" w:themeColor="text1"/>
          <w:sz w:val="22"/>
          <w:lang w:val="es-ES_tradnl"/>
        </w:rPr>
        <w:t>la siguiente</w:t>
      </w:r>
      <w:r w:rsidR="00C028F5" w:rsidRPr="005419DA">
        <w:rPr>
          <w:rFonts w:ascii="Arial" w:hAnsi="Arial" w:cs="Arial"/>
          <w:color w:val="000000" w:themeColor="text1"/>
          <w:sz w:val="22"/>
          <w:lang w:val="es-ES_tradnl"/>
        </w:rPr>
        <w:t xml:space="preserve"> </w:t>
      </w:r>
      <w:r w:rsidR="00637A68">
        <w:rPr>
          <w:rFonts w:ascii="Arial" w:hAnsi="Arial" w:cs="Arial"/>
          <w:color w:val="000000" w:themeColor="text1"/>
          <w:sz w:val="22"/>
          <w:lang w:val="es-ES_tradnl"/>
        </w:rPr>
        <w:t>consulta</w:t>
      </w:r>
      <w:r w:rsidR="00915C0C">
        <w:rPr>
          <w:rFonts w:ascii="Arial" w:hAnsi="Arial" w:cs="Arial"/>
          <w:color w:val="000000" w:themeColor="text1"/>
          <w:sz w:val="22"/>
          <w:lang w:val="es-ES_tradnl"/>
        </w:rPr>
        <w:t xml:space="preserve"> </w:t>
      </w:r>
      <w:r w:rsidR="00915C0C" w:rsidRPr="00915C0C">
        <w:rPr>
          <w:rFonts w:ascii="Arial" w:hAnsi="Arial" w:cs="Arial"/>
          <w:color w:val="000000" w:themeColor="text1"/>
          <w:sz w:val="22"/>
          <w:lang w:val="es-ES_tradnl"/>
        </w:rPr>
        <w:t>[…] «La Secretaría Distrital de Desarrollo Económico solicita un concepto sobre i) cuales son los actos precontractuales y contractuales y/o documentos de las distintas etapas del Contrato que finalmente deben las entidades del estado obligadas a Contratar por medio de la Plataforma SECOP II deben publicar; indistintamente de la naturaleza jurídica del Contrato o Convenio que se celebre, colocándose de presente que en ocasiones hay información que antes de ser publicada se encuentra sometida a reserva por ser información que incluye datos de tercera</w:t>
      </w:r>
      <w:r w:rsidR="00225F05">
        <w:rPr>
          <w:rFonts w:ascii="Arial" w:hAnsi="Arial" w:cs="Arial"/>
          <w:color w:val="000000" w:themeColor="text1"/>
          <w:sz w:val="22"/>
          <w:lang w:val="es-ES_tradnl"/>
        </w:rPr>
        <w:t>s (sic)</w:t>
      </w:r>
      <w:r w:rsidR="00915C0C">
        <w:rPr>
          <w:rFonts w:ascii="Arial" w:hAnsi="Arial" w:cs="Arial"/>
          <w:color w:val="000000" w:themeColor="text1"/>
          <w:sz w:val="22"/>
          <w:lang w:val="es-ES_tradnl"/>
        </w:rPr>
        <w:t xml:space="preserve"> </w:t>
      </w:r>
      <w:r w:rsidR="00915C0C" w:rsidRPr="00915C0C">
        <w:rPr>
          <w:rFonts w:ascii="Arial" w:hAnsi="Arial" w:cs="Arial"/>
          <w:color w:val="000000" w:themeColor="text1"/>
          <w:sz w:val="22"/>
          <w:lang w:val="es-ES_tradnl"/>
        </w:rPr>
        <w:t>personas.</w:t>
      </w:r>
      <w:r w:rsidR="00915C0C">
        <w:rPr>
          <w:rFonts w:ascii="Arial" w:hAnsi="Arial" w:cs="Arial"/>
          <w:color w:val="000000" w:themeColor="text1"/>
          <w:sz w:val="22"/>
          <w:lang w:val="es-ES_tradnl"/>
        </w:rPr>
        <w:t>»</w:t>
      </w:r>
    </w:p>
    <w:p w14:paraId="25CD39DE" w14:textId="77777777" w:rsidR="00B77F67" w:rsidRPr="00B77F67" w:rsidRDefault="00B77F67" w:rsidP="00B77F67">
      <w:pPr>
        <w:ind w:left="709" w:right="709"/>
        <w:jc w:val="both"/>
        <w:rPr>
          <w:rFonts w:ascii="Arial" w:hAnsi="Arial" w:cs="Arial"/>
          <w:color w:val="000000" w:themeColor="text1"/>
          <w:sz w:val="21"/>
          <w:szCs w:val="21"/>
          <w:lang w:val="es-ES_tradnl"/>
        </w:rPr>
      </w:pPr>
    </w:p>
    <w:p w14:paraId="124D2DCA" w14:textId="77777777" w:rsidR="00DD5B04" w:rsidRPr="005419DA"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7563E114" w14:textId="77777777" w:rsidR="00600AF5" w:rsidRDefault="00600AF5" w:rsidP="00600AF5">
      <w:pPr>
        <w:tabs>
          <w:tab w:val="left" w:pos="426"/>
        </w:tabs>
        <w:spacing w:line="276" w:lineRule="auto"/>
        <w:jc w:val="both"/>
        <w:rPr>
          <w:rFonts w:ascii="Arial" w:eastAsia="Calibri" w:hAnsi="Arial" w:cs="Arial"/>
          <w:color w:val="000000" w:themeColor="text1"/>
          <w:sz w:val="22"/>
          <w:szCs w:val="22"/>
          <w:lang w:val="es-ES_tradnl"/>
        </w:rPr>
      </w:pPr>
    </w:p>
    <w:p w14:paraId="1DB84F14" w14:textId="46EE11A2" w:rsidR="00BC1F25" w:rsidRPr="003253B1" w:rsidRDefault="00BC1F25" w:rsidP="00600AF5">
      <w:pPr>
        <w:tabs>
          <w:tab w:val="left" w:pos="426"/>
        </w:tabs>
        <w:spacing w:line="276" w:lineRule="auto"/>
        <w:jc w:val="both"/>
        <w:rPr>
          <w:rFonts w:ascii="Arial" w:eastAsia="Calibri" w:hAnsi="Arial" w:cs="Arial"/>
          <w:sz w:val="22"/>
          <w:lang w:val="es-ES"/>
        </w:rPr>
      </w:pPr>
      <w:r w:rsidRPr="003253B1">
        <w:rPr>
          <w:rFonts w:ascii="Arial" w:eastAsia="Calibri" w:hAnsi="Arial" w:cs="Arial"/>
          <w:sz w:val="22"/>
          <w:lang w:val="es-ES"/>
        </w:rPr>
        <w:t xml:space="preserve">Para abordar los interrogantes planteados se analizarán los siguientes temas: i) el deber de publicar la información contractual en el SECOP, como garantía del derecho fundamental a acceder a la documentación pública y </w:t>
      </w:r>
      <w:proofErr w:type="spellStart"/>
      <w:r w:rsidRPr="003253B1">
        <w:rPr>
          <w:rFonts w:ascii="Arial" w:eastAsia="Calibri" w:hAnsi="Arial" w:cs="Arial"/>
          <w:sz w:val="22"/>
          <w:lang w:val="es-ES"/>
        </w:rPr>
        <w:t>ii</w:t>
      </w:r>
      <w:proofErr w:type="spellEnd"/>
      <w:r w:rsidRPr="003253B1">
        <w:rPr>
          <w:rFonts w:ascii="Arial" w:eastAsia="Calibri" w:hAnsi="Arial" w:cs="Arial"/>
          <w:sz w:val="22"/>
          <w:lang w:val="es-ES"/>
        </w:rPr>
        <w:t>) la reserva de información pública como límite al deber de divulgación proactiva de la información en la contratación estatal.</w:t>
      </w:r>
      <w:r w:rsidR="00915C0C">
        <w:rPr>
          <w:rFonts w:ascii="Arial" w:eastAsia="Calibri" w:hAnsi="Arial" w:cs="Arial"/>
          <w:sz w:val="22"/>
          <w:lang w:val="es-ES"/>
        </w:rPr>
        <w:t xml:space="preserve"> </w:t>
      </w:r>
    </w:p>
    <w:p w14:paraId="42BE7028" w14:textId="3D40DB5D" w:rsidR="00BC1F25" w:rsidRDefault="00BC1F25" w:rsidP="00BC1F25">
      <w:pPr>
        <w:tabs>
          <w:tab w:val="left" w:pos="426"/>
        </w:tabs>
        <w:spacing w:before="120" w:line="276" w:lineRule="auto"/>
        <w:ind w:firstLine="709"/>
        <w:jc w:val="both"/>
        <w:rPr>
          <w:rFonts w:ascii="Arial" w:eastAsia="Calibri" w:hAnsi="Arial" w:cs="Arial"/>
          <w:sz w:val="22"/>
          <w:lang w:val="es-ES"/>
        </w:rPr>
      </w:pPr>
      <w:r w:rsidRPr="003253B1">
        <w:rPr>
          <w:rFonts w:ascii="Arial" w:eastAsia="Calibri" w:hAnsi="Arial" w:cs="Arial"/>
          <w:sz w:val="22"/>
          <w:lang w:val="es-ES"/>
        </w:rPr>
        <w:t>La Agencia Nacional de Contratación Pública – Colombia Compra Eficiente ha tenido la oportunidad de estudiar en diferentes ocasiones los temas que se abordarán en el presente concepto, relacionados con la publicación de documentación contractual en las plataformas SECOP I y SECOP II. Así lo hizo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analizó el SECOP I como medio de publicidad de las actuaciones contractuales, la naturaleza transaccional y obligatoriedad de SECOP II y los documentos que deben publicarse en estas plataformas. Dichas ideas se unificaron en el concepto CU-367 del 23 de julio de 2020, reiterado en el C-672 del 11 de noviembre de 2020</w:t>
      </w:r>
      <w:r w:rsidR="001D4048">
        <w:rPr>
          <w:rFonts w:ascii="Arial" w:eastAsia="Calibri" w:hAnsi="Arial" w:cs="Arial"/>
          <w:sz w:val="22"/>
          <w:lang w:val="es-ES"/>
        </w:rPr>
        <w:t>. As</w:t>
      </w:r>
      <w:r w:rsidR="00477B4D">
        <w:rPr>
          <w:rFonts w:ascii="Arial" w:eastAsia="Calibri" w:hAnsi="Arial" w:cs="Arial"/>
          <w:sz w:val="22"/>
          <w:lang w:val="es-ES"/>
        </w:rPr>
        <w:t>i</w:t>
      </w:r>
      <w:r w:rsidR="001D4048">
        <w:rPr>
          <w:rFonts w:ascii="Arial" w:eastAsia="Calibri" w:hAnsi="Arial" w:cs="Arial"/>
          <w:sz w:val="22"/>
          <w:lang w:val="es-ES"/>
        </w:rPr>
        <w:t>mismo</w:t>
      </w:r>
      <w:r w:rsidR="00477B4D">
        <w:rPr>
          <w:rFonts w:ascii="Arial" w:eastAsia="Calibri" w:hAnsi="Arial" w:cs="Arial"/>
          <w:sz w:val="22"/>
          <w:lang w:val="es-ES"/>
        </w:rPr>
        <w:t>,</w:t>
      </w:r>
      <w:r w:rsidR="001D4048">
        <w:rPr>
          <w:rFonts w:ascii="Arial" w:eastAsia="Calibri" w:hAnsi="Arial" w:cs="Arial"/>
          <w:sz w:val="22"/>
          <w:lang w:val="es-ES"/>
        </w:rPr>
        <w:t xml:space="preserve"> en concepto C-104 del </w:t>
      </w:r>
      <w:r w:rsidR="002706CE">
        <w:rPr>
          <w:rFonts w:ascii="Arial" w:eastAsia="Calibri" w:hAnsi="Arial" w:cs="Arial"/>
          <w:sz w:val="22"/>
          <w:lang w:val="es-ES"/>
        </w:rPr>
        <w:t>6 de abril de 2021 se estudió la existencia de reserva</w:t>
      </w:r>
      <w:r w:rsidR="00477B4D">
        <w:rPr>
          <w:rFonts w:ascii="Arial" w:eastAsia="Calibri" w:hAnsi="Arial" w:cs="Arial"/>
          <w:sz w:val="22"/>
          <w:lang w:val="es-ES"/>
        </w:rPr>
        <w:t>s</w:t>
      </w:r>
      <w:r w:rsidR="002706CE">
        <w:rPr>
          <w:rFonts w:ascii="Arial" w:eastAsia="Calibri" w:hAnsi="Arial" w:cs="Arial"/>
          <w:sz w:val="22"/>
          <w:lang w:val="es-ES"/>
        </w:rPr>
        <w:t xml:space="preserve"> como excepción al deber de publicar la información contractual en el SECOP.</w:t>
      </w:r>
      <w:r w:rsidR="00655652">
        <w:rPr>
          <w:rFonts w:ascii="Arial" w:eastAsia="Calibri" w:hAnsi="Arial" w:cs="Arial"/>
          <w:sz w:val="22"/>
          <w:lang w:val="es-ES"/>
        </w:rPr>
        <w:t xml:space="preserve"> </w:t>
      </w:r>
      <w:r w:rsidR="00477B4D">
        <w:rPr>
          <w:rFonts w:ascii="Arial" w:eastAsia="Calibri" w:hAnsi="Arial" w:cs="Arial"/>
          <w:sz w:val="22"/>
          <w:lang w:val="es-ES"/>
        </w:rPr>
        <w:t>Para</w:t>
      </w:r>
      <w:r w:rsidR="00655652">
        <w:rPr>
          <w:rFonts w:ascii="Arial" w:eastAsia="Calibri" w:hAnsi="Arial" w:cs="Arial"/>
          <w:sz w:val="22"/>
          <w:lang w:val="es-ES"/>
        </w:rPr>
        <w:t xml:space="preserve"> resolver la presente petición se reiterarán y complementarán, en lo pertinente, las consideraciones de dicho</w:t>
      </w:r>
      <w:r w:rsidR="00477B4D">
        <w:rPr>
          <w:rFonts w:ascii="Arial" w:eastAsia="Calibri" w:hAnsi="Arial" w:cs="Arial"/>
          <w:sz w:val="22"/>
          <w:lang w:val="es-ES"/>
        </w:rPr>
        <w:t>s</w:t>
      </w:r>
      <w:r w:rsidR="00655652">
        <w:rPr>
          <w:rFonts w:ascii="Arial" w:eastAsia="Calibri" w:hAnsi="Arial" w:cs="Arial"/>
          <w:sz w:val="22"/>
          <w:lang w:val="es-ES"/>
        </w:rPr>
        <w:t xml:space="preserve"> concepto</w:t>
      </w:r>
      <w:r w:rsidR="00477B4D">
        <w:rPr>
          <w:rFonts w:ascii="Arial" w:eastAsia="Calibri" w:hAnsi="Arial" w:cs="Arial"/>
          <w:sz w:val="22"/>
          <w:lang w:val="es-ES"/>
        </w:rPr>
        <w:t>s</w:t>
      </w:r>
      <w:r w:rsidR="00655652">
        <w:rPr>
          <w:rFonts w:ascii="Arial" w:eastAsia="Calibri" w:hAnsi="Arial" w:cs="Arial"/>
          <w:sz w:val="22"/>
          <w:lang w:val="es-ES"/>
        </w:rPr>
        <w:t>.</w:t>
      </w:r>
    </w:p>
    <w:p w14:paraId="53FA2F64" w14:textId="18AF231E" w:rsidR="00260464" w:rsidRDefault="00260464" w:rsidP="00A02F05">
      <w:pPr>
        <w:tabs>
          <w:tab w:val="left" w:pos="426"/>
        </w:tabs>
        <w:spacing w:line="276" w:lineRule="auto"/>
        <w:jc w:val="both"/>
        <w:rPr>
          <w:rFonts w:ascii="Arial" w:eastAsia="Calibri" w:hAnsi="Arial" w:cs="Arial"/>
          <w:sz w:val="22"/>
          <w:lang w:val="es-ES"/>
        </w:rPr>
      </w:pPr>
    </w:p>
    <w:p w14:paraId="4DB969E7" w14:textId="67458EDF" w:rsidR="00260464" w:rsidRDefault="00260464" w:rsidP="00260464">
      <w:pPr>
        <w:tabs>
          <w:tab w:val="left" w:pos="426"/>
        </w:tabs>
        <w:spacing w:before="120" w:line="276" w:lineRule="auto"/>
        <w:jc w:val="both"/>
        <w:rPr>
          <w:rFonts w:ascii="Arial" w:eastAsia="Calibri" w:hAnsi="Arial" w:cs="Arial"/>
          <w:sz w:val="22"/>
          <w:lang w:val="es-ES"/>
        </w:rPr>
      </w:pPr>
      <w:r>
        <w:rPr>
          <w:rFonts w:ascii="Arial" w:eastAsia="Calibri" w:hAnsi="Arial" w:cs="Arial"/>
          <w:b/>
          <w:bCs/>
          <w:sz w:val="22"/>
          <w:lang w:val="es-ES"/>
        </w:rPr>
        <w:t>2.1 Principio de Publicidad - Naturaleza</w:t>
      </w:r>
    </w:p>
    <w:p w14:paraId="1117DC91" w14:textId="77777777" w:rsidR="00477B4D" w:rsidRDefault="00477B4D" w:rsidP="00A02F05">
      <w:pPr>
        <w:tabs>
          <w:tab w:val="left" w:pos="426"/>
        </w:tabs>
        <w:spacing w:line="276" w:lineRule="auto"/>
        <w:jc w:val="both"/>
        <w:rPr>
          <w:rFonts w:ascii="Arial" w:eastAsia="Calibri" w:hAnsi="Arial" w:cs="Arial"/>
          <w:sz w:val="22"/>
          <w:lang w:val="es-ES"/>
        </w:rPr>
      </w:pPr>
    </w:p>
    <w:p w14:paraId="49DCC034" w14:textId="77777777" w:rsidR="00A02F05" w:rsidRDefault="00A02F05" w:rsidP="00A02F05">
      <w:pPr>
        <w:spacing w:after="120"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xml:space="preserve">, pues este permite que las actuaciones de las autoridades gocen de visibilidad. En tal sentido, la filosofía política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 xml:space="preserve">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3"/>
      </w:r>
      <w:r w:rsidRPr="00C22EDD">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34C6718B" w14:textId="77777777" w:rsidR="00A02F05" w:rsidRPr="00C22EDD" w:rsidRDefault="00A02F05" w:rsidP="00A02F05">
      <w:pPr>
        <w:spacing w:line="276" w:lineRule="auto"/>
        <w:ind w:firstLine="708"/>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Inspirada en esta concepción axiológica, la Constitución Política de 1991 consagra en varios artículos la publicidad como un principio rector del Estado colombiano. Entre los </w:t>
      </w:r>
      <w:r w:rsidRPr="00C22EDD">
        <w:rPr>
          <w:rFonts w:ascii="Arial" w:eastAsia="Calibri" w:hAnsi="Arial" w:cs="Arial"/>
          <w:color w:val="000000" w:themeColor="text1"/>
          <w:sz w:val="22"/>
          <w:lang w:val="es-ES_tradnl"/>
        </w:rPr>
        <w:lastRenderedPageBreak/>
        <w:t xml:space="preserve">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w:t>
      </w:r>
    </w:p>
    <w:p w14:paraId="3BFEB57E" w14:textId="77777777" w:rsidR="00A02F05" w:rsidRPr="00C22EDD" w:rsidRDefault="00A02F05" w:rsidP="00A02F05">
      <w:pPr>
        <w:ind w:firstLine="709"/>
        <w:jc w:val="both"/>
        <w:rPr>
          <w:rFonts w:ascii="Arial" w:eastAsia="Calibri" w:hAnsi="Arial" w:cs="Arial"/>
          <w:color w:val="000000" w:themeColor="text1"/>
          <w:sz w:val="22"/>
          <w:lang w:val="es-ES_tradnl"/>
        </w:rPr>
      </w:pPr>
    </w:p>
    <w:p w14:paraId="35856E01" w14:textId="77777777" w:rsidR="00A02F05" w:rsidRPr="00C22EDD" w:rsidRDefault="00A02F05" w:rsidP="00A02F05">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AD9DDED" w14:textId="77777777" w:rsidR="00A02F05" w:rsidRPr="00C22EDD" w:rsidRDefault="00A02F05" w:rsidP="00A02F05">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C22EDD">
        <w:rPr>
          <w:rFonts w:ascii="Arial" w:hAnsi="Arial" w:cs="Arial"/>
          <w:color w:val="000000" w:themeColor="text1"/>
          <w:sz w:val="21"/>
          <w:szCs w:val="21"/>
          <w:lang w:val="es-ES_tradnl"/>
        </w:rPr>
        <w:t>autoridades públicas</w:t>
      </w:r>
      <w:proofErr w:type="gramEnd"/>
      <w:r w:rsidRPr="00C22EDD">
        <w:rPr>
          <w:rFonts w:ascii="Arial" w:hAnsi="Arial" w:cs="Arial"/>
          <w:color w:val="000000" w:themeColor="text1"/>
          <w:sz w:val="21"/>
          <w:szCs w:val="21"/>
          <w:lang w:val="es-ES_tradnl"/>
        </w:rPr>
        <w:t xml:space="preserve">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4"/>
      </w:r>
      <w:r w:rsidRPr="00C22EDD">
        <w:rPr>
          <w:rFonts w:ascii="Arial" w:eastAsia="Calibri" w:hAnsi="Arial" w:cs="Arial"/>
          <w:color w:val="000000" w:themeColor="text1"/>
          <w:sz w:val="21"/>
          <w:szCs w:val="21"/>
          <w:lang w:val="es-ES_tradnl"/>
        </w:rPr>
        <w:t>.</w:t>
      </w:r>
    </w:p>
    <w:p w14:paraId="7323A476" w14:textId="77777777" w:rsidR="00A02F05" w:rsidRPr="00C22EDD" w:rsidRDefault="00A02F05" w:rsidP="00A02F05">
      <w:pPr>
        <w:spacing w:line="276" w:lineRule="auto"/>
        <w:ind w:right="709"/>
        <w:jc w:val="both"/>
        <w:rPr>
          <w:rFonts w:ascii="Arial" w:eastAsia="Calibri" w:hAnsi="Arial" w:cs="Arial"/>
          <w:color w:val="000000" w:themeColor="text1"/>
          <w:sz w:val="22"/>
          <w:lang w:val="es-ES_tradnl"/>
        </w:rPr>
      </w:pPr>
    </w:p>
    <w:p w14:paraId="39693B21" w14:textId="77777777" w:rsidR="00A02F05" w:rsidRPr="00C22EDD" w:rsidRDefault="00A02F05" w:rsidP="00A02F05">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 xml:space="preserve">o </w:t>
      </w:r>
      <w:proofErr w:type="gramStart"/>
      <w:r w:rsidRPr="00C22EDD">
        <w:rPr>
          <w:rFonts w:ascii="Arial" w:eastAsia="Calibri" w:hAnsi="Arial" w:cs="Arial"/>
          <w:color w:val="000000" w:themeColor="text1"/>
          <w:sz w:val="22"/>
          <w:lang w:val="es-ES_tradnl"/>
        </w:rPr>
        <w:t>que</w:t>
      </w:r>
      <w:proofErr w:type="gramEnd"/>
      <w:r w:rsidRPr="00C22EDD">
        <w:rPr>
          <w:rFonts w:ascii="Arial" w:eastAsia="Calibri" w:hAnsi="Arial" w:cs="Arial"/>
          <w:color w:val="000000" w:themeColor="text1"/>
          <w:sz w:val="22"/>
          <w:lang w:val="es-ES_tradnl"/>
        </w:rPr>
        <w:t>,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5"/>
      </w:r>
      <w:r w:rsidRPr="00C22EDD">
        <w:rPr>
          <w:rFonts w:ascii="Arial" w:eastAsia="Calibri" w:hAnsi="Arial" w:cs="Arial"/>
          <w:color w:val="000000" w:themeColor="text1"/>
          <w:sz w:val="22"/>
          <w:lang w:val="es-ES_tradnl"/>
        </w:rPr>
        <w:t xml:space="preserve">. </w:t>
      </w:r>
    </w:p>
    <w:p w14:paraId="150E28FF" w14:textId="77777777" w:rsidR="00A02F05" w:rsidRPr="00C22EDD" w:rsidRDefault="00A02F05" w:rsidP="00A02F05">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 xml:space="preserve">De otra parte, la Ley 1712 de 2014 –ley estatutaria que regula la transparencia y el derecho de acceso a la información y a los documentos públicos–, identifica como principios </w:t>
      </w:r>
      <w:r w:rsidRPr="00C22EDD">
        <w:rPr>
          <w:rFonts w:ascii="Arial" w:hAnsi="Arial" w:cs="Arial"/>
          <w:color w:val="000000" w:themeColor="text1"/>
          <w:sz w:val="22"/>
          <w:lang w:val="es-ES_tradnl"/>
        </w:rPr>
        <w:lastRenderedPageBreak/>
        <w:t>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6"/>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Pr>
          <w:rFonts w:ascii="Arial" w:eastAsiaTheme="minorHAnsi" w:hAnsi="Arial" w:cs="Arial"/>
          <w:color w:val="000000" w:themeColor="text1"/>
          <w:sz w:val="22"/>
          <w:szCs w:val="22"/>
          <w:lang w:val="es-ES_tradnl" w:eastAsia="en-US"/>
        </w:rPr>
        <w:t>E</w:t>
      </w:r>
      <w:r w:rsidRPr="00C22EDD">
        <w:rPr>
          <w:rFonts w:ascii="Arial" w:eastAsiaTheme="minorHAnsi" w:hAnsi="Arial" w:cs="Arial"/>
          <w:color w:val="000000" w:themeColor="text1"/>
          <w:sz w:val="22"/>
          <w:szCs w:val="22"/>
          <w:lang w:val="es-ES_tradnl" w:eastAsia="en-US"/>
        </w:rPr>
        <w:t>n el literal e) del artículo 9</w:t>
      </w:r>
      <w:r>
        <w:rPr>
          <w:rFonts w:ascii="Arial" w:eastAsiaTheme="minorHAnsi" w:hAnsi="Arial" w:cs="Arial"/>
          <w:color w:val="000000" w:themeColor="text1"/>
          <w:sz w:val="22"/>
          <w:szCs w:val="22"/>
          <w:lang w:val="es-ES_tradnl" w:eastAsia="en-US"/>
        </w:rPr>
        <w:t>, l</w:t>
      </w:r>
      <w:r w:rsidRPr="00C22EDD">
        <w:rPr>
          <w:rFonts w:ascii="Arial" w:eastAsiaTheme="minorHAnsi" w:hAnsi="Arial" w:cs="Arial"/>
          <w:color w:val="000000" w:themeColor="text1"/>
          <w:sz w:val="22"/>
          <w:szCs w:val="22"/>
          <w:lang w:val="es-ES_tradnl" w:eastAsia="en-US"/>
        </w:rPr>
        <w:t>a ley estatutaria citada establece</w:t>
      </w:r>
      <w:r>
        <w:rPr>
          <w:rFonts w:ascii="Arial" w:eastAsiaTheme="minorHAnsi" w:hAnsi="Arial" w:cs="Arial"/>
          <w:color w:val="000000" w:themeColor="text1"/>
          <w:sz w:val="22"/>
          <w:szCs w:val="22"/>
          <w:lang w:val="es-ES_tradnl" w:eastAsia="en-US"/>
        </w:rPr>
        <w:t xml:space="preserve"> dispone</w:t>
      </w:r>
      <w:r w:rsidRPr="00C22EDD">
        <w:rPr>
          <w:rFonts w:ascii="Arial" w:eastAsiaTheme="minorHAnsi" w:hAnsi="Arial" w:cs="Arial"/>
          <w:color w:val="000000" w:themeColor="text1"/>
          <w:sz w:val="22"/>
          <w:szCs w:val="22"/>
          <w:lang w:val="es-ES_tradnl" w:eastAsia="en-US"/>
        </w:rPr>
        <w:t xml:space="preserve">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7"/>
      </w:r>
      <w:r w:rsidRPr="00C22ED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8"/>
      </w:r>
      <w:r w:rsidRPr="00C22EDD">
        <w:rPr>
          <w:rFonts w:ascii="Arial" w:eastAsiaTheme="minorHAnsi" w:hAnsi="Arial" w:cs="Arial"/>
          <w:color w:val="000000" w:themeColor="text1"/>
          <w:sz w:val="22"/>
          <w:szCs w:val="22"/>
          <w:lang w:val="es-ES_tradnl" w:eastAsia="en-US"/>
        </w:rPr>
        <w:t xml:space="preserve">, el cual dispuso que la publicación de la información 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5B478777" w14:textId="77777777" w:rsidR="00A02F05" w:rsidRPr="00C22EDD" w:rsidRDefault="00A02F05" w:rsidP="00A02F05">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9"/>
      </w:r>
      <w:r w:rsidRPr="00C22EDD">
        <w:rPr>
          <w:rFonts w:ascii="Arial" w:eastAsia="Calibri" w:hAnsi="Arial" w:cs="Arial"/>
          <w:color w:val="000000" w:themeColor="text1"/>
          <w:sz w:val="22"/>
          <w:lang w:val="es-ES_tradnl"/>
        </w:rPr>
        <w:t>.</w:t>
      </w:r>
    </w:p>
    <w:p w14:paraId="6224CF59" w14:textId="514D9AB9" w:rsidR="00A02F05" w:rsidRDefault="00A02F05" w:rsidP="00A02F05">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Para el año 2013, la Agencia Nacional de Contratación Pública </w:t>
      </w:r>
      <w:r>
        <w:rPr>
          <w:rFonts w:ascii="Arial" w:hAnsi="Arial" w:cs="Arial"/>
          <w:color w:val="000000" w:themeColor="text1"/>
          <w:sz w:val="22"/>
          <w:lang w:val="es-ES_tradnl"/>
        </w:rPr>
        <w:t>–</w:t>
      </w:r>
      <w:r w:rsidRPr="00C22EDD">
        <w:rPr>
          <w:rFonts w:ascii="Arial" w:hAnsi="Arial" w:cs="Arial"/>
          <w:color w:val="000000" w:themeColor="text1"/>
          <w:sz w:val="22"/>
          <w:lang w:val="es-ES_tradnl"/>
        </w:rPr>
        <w:t xml:space="preserve"> Colombia Compra Eficiente, mediante la Circular Externa No 1 del 21 de junio de 2013, recopilada en la Circular Externa Única, recordó a todas las entidades del Estado el deber de publicar </w:t>
      </w:r>
      <w:r w:rsidRPr="00C22EDD">
        <w:rPr>
          <w:rFonts w:ascii="Arial" w:hAnsi="Arial" w:cs="Arial"/>
          <w:color w:val="000000" w:themeColor="text1"/>
          <w:sz w:val="22"/>
          <w:lang w:val="es-ES_tradnl"/>
        </w:rPr>
        <w:lastRenderedPageBreak/>
        <w:t>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10"/>
      </w:r>
      <w:r w:rsidRPr="00C22ED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29358E6A" w14:textId="77777777" w:rsidR="00A02F05" w:rsidRPr="00C22EDD" w:rsidRDefault="00A02F05" w:rsidP="00A02F05">
      <w:pPr>
        <w:spacing w:before="120" w:line="276" w:lineRule="auto"/>
        <w:ind w:firstLine="709"/>
        <w:jc w:val="both"/>
        <w:rPr>
          <w:rFonts w:ascii="Arial" w:hAnsi="Arial" w:cs="Arial"/>
          <w:color w:val="000000" w:themeColor="text1"/>
          <w:sz w:val="22"/>
          <w:lang w:val="es-ES_tradnl"/>
        </w:rPr>
      </w:pPr>
    </w:p>
    <w:p w14:paraId="4D6D33DB" w14:textId="616DA550"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2.</w:t>
      </w:r>
      <w:r w:rsidR="004F544B">
        <w:rPr>
          <w:rFonts w:ascii="Arial" w:eastAsia="Calibri" w:hAnsi="Arial" w:cs="Arial"/>
          <w:b/>
          <w:bCs/>
          <w:color w:val="000000"/>
          <w:sz w:val="22"/>
          <w:lang w:val="es-ES_tradnl" w:eastAsia="en-GB"/>
        </w:rPr>
        <w:t>2</w:t>
      </w:r>
      <w:r w:rsidRPr="003253B1">
        <w:rPr>
          <w:rFonts w:ascii="Arial" w:eastAsia="Calibri" w:hAnsi="Arial" w:cs="Arial"/>
          <w:b/>
          <w:bCs/>
          <w:color w:val="000000"/>
          <w:sz w:val="22"/>
          <w:lang w:val="es-ES_tradnl" w:eastAsia="en-GB"/>
        </w:rPr>
        <w:t>. Derecho de acceso a la información y a la documentación pública. Su garantía en la contratación estatal materializada en el deber de publicar la información contractual en el SECOP</w:t>
      </w:r>
    </w:p>
    <w:p w14:paraId="716B347E"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p>
    <w:p w14:paraId="38C9C11B" w14:textId="77777777"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color w:val="000000"/>
          <w:sz w:val="22"/>
          <w:lang w:val="es-ES_tradnl" w:eastAsia="en-GB"/>
        </w:rPr>
        <w:t xml:space="preserve">El artículo 74 de la Constitución Política establece que «Todas las personas tienen derecho a acceder a los documentos públicos salvo los casos que establezca la ley». Esta disposición constitucional consagra el derecho fundamental de acceso a la información y a la documentación pública, salvo causal de reserva expresamente prevista en la Ley. Tal derecho se regula integralmente en la Ley 1712 de 2014 «Ley de Transparencia y del Derecho de Acceso a la Información Pública Nacional». Esta Ley establece el </w:t>
      </w:r>
      <w:r w:rsidRPr="003253B1">
        <w:rPr>
          <w:rFonts w:ascii="Arial" w:eastAsia="Calibri" w:hAnsi="Arial" w:cs="Arial"/>
          <w:i/>
          <w:iCs/>
          <w:color w:val="000000"/>
          <w:sz w:val="22"/>
          <w:lang w:val="es-ES_tradnl" w:eastAsia="en-GB"/>
        </w:rPr>
        <w:t>deber de divulgación proactiva de la información</w:t>
      </w:r>
      <w:r w:rsidRPr="003253B1">
        <w:rPr>
          <w:rFonts w:ascii="Arial" w:eastAsia="Calibri" w:hAnsi="Arial" w:cs="Arial"/>
          <w:color w:val="000000"/>
          <w:sz w:val="22"/>
          <w:lang w:val="es-ES_tradnl" w:eastAsia="en-GB"/>
        </w:rPr>
        <w:t xml:space="preserve"> e indica que las entidades estatales deben publicar su información contractual (artículos 9, literales c, e y f; 10 y 11, literal g). El Decreto 1081 de 2015, en los arts. 2.1.1.2.1.5. al 2.1.1.2.1.10., reglamenta el deber de las entidades estatales de publicar su información contractual en el SECOP, en cumplimiento del artículo 3 de la Ley 1150 de 2007</w:t>
      </w:r>
      <w:r w:rsidRPr="003253B1">
        <w:rPr>
          <w:rFonts w:ascii="Arial" w:eastAsia="Arial" w:hAnsi="Arial" w:cs="Arial"/>
          <w:sz w:val="21"/>
          <w:szCs w:val="21"/>
          <w:vertAlign w:val="superscript"/>
          <w:lang w:val="es-ES"/>
        </w:rPr>
        <w:footnoteReference w:id="11"/>
      </w:r>
      <w:r w:rsidRPr="003253B1">
        <w:rPr>
          <w:rFonts w:ascii="Arial" w:eastAsia="Arial" w:hAnsi="Arial" w:cs="Arial"/>
          <w:sz w:val="21"/>
          <w:szCs w:val="21"/>
          <w:lang w:val="es-ES"/>
        </w:rPr>
        <w:t>.</w:t>
      </w:r>
    </w:p>
    <w:p w14:paraId="2F02020D" w14:textId="77777777" w:rsidR="00BC1F25" w:rsidRPr="003253B1" w:rsidRDefault="00BC1F25" w:rsidP="00BC1F25">
      <w:pPr>
        <w:widowControl w:val="0"/>
        <w:tabs>
          <w:tab w:val="left" w:pos="728"/>
        </w:tabs>
        <w:autoSpaceDE w:val="0"/>
        <w:autoSpaceDN w:val="0"/>
        <w:spacing w:before="120"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 </w:t>
      </w:r>
    </w:p>
    <w:p w14:paraId="7B156D02"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De otra parte, la Ley 1712 de 2014 identifica como principios que orientan el derecho de acceso a la información pública los de máxima publicidad y transparencia en la </w:t>
      </w:r>
      <w:r w:rsidRPr="003253B1">
        <w:rPr>
          <w:rFonts w:ascii="Arial" w:eastAsia="Arial" w:hAnsi="Arial" w:cs="Arial"/>
          <w:sz w:val="22"/>
          <w:lang w:val="es-ES"/>
        </w:rPr>
        <w:lastRenderedPageBreak/>
        <w:t>información. El principio de máxima publicidad establece que «toda información en posesión, bajo control o custodia de un sujeto obligado es pública y no podrá ser reservada o limitada sino por disposición constitucional o legal»</w:t>
      </w:r>
      <w:r w:rsidRPr="003253B1">
        <w:rPr>
          <w:rFonts w:ascii="Arial" w:eastAsia="Arial" w:hAnsi="Arial" w:cs="Arial"/>
          <w:sz w:val="22"/>
          <w:vertAlign w:val="superscript"/>
          <w:lang w:val="es-ES"/>
        </w:rPr>
        <w:footnoteReference w:id="12"/>
      </w:r>
      <w:r w:rsidRPr="003253B1">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003E017"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La ley citada establece en el literal e) del artículo 9, que los sujetos obligados, que son todas las entidades públicas</w:t>
      </w:r>
      <w:r w:rsidRPr="003253B1">
        <w:rPr>
          <w:rFonts w:ascii="Arial" w:eastAsia="Arial" w:hAnsi="Arial" w:cs="Arial"/>
          <w:sz w:val="22"/>
          <w:vertAlign w:val="superscript"/>
          <w:lang w:val="es-ES"/>
        </w:rPr>
        <w:footnoteReference w:id="13"/>
      </w:r>
      <w:r w:rsidRPr="003253B1">
        <w:rPr>
          <w:rFonts w:ascii="Arial" w:eastAsia="Arial" w:hAnsi="Arial" w:cs="Arial"/>
          <w:sz w:val="22"/>
          <w:lang w:val="es-ES"/>
        </w:rPr>
        <w:t>, deben publicar la información relativa a su contratación. Esta obligación fue en principio desarrollada por el Decreto 103 de 2015, hoy compilado en el Decreto Único Reglamentario 1081 de 2015</w:t>
      </w:r>
      <w:r w:rsidRPr="003253B1">
        <w:rPr>
          <w:rFonts w:ascii="Arial" w:eastAsia="Arial" w:hAnsi="Arial" w:cs="Arial"/>
          <w:sz w:val="22"/>
          <w:vertAlign w:val="superscript"/>
          <w:lang w:val="es-ES"/>
        </w:rPr>
        <w:footnoteReference w:id="14"/>
      </w:r>
      <w:r w:rsidRPr="003253B1">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FB8774C" w14:textId="77777777" w:rsidR="00BC1F25" w:rsidRPr="003253B1" w:rsidRDefault="00BC1F25" w:rsidP="00BC1F25">
      <w:pPr>
        <w:widowControl w:val="0"/>
        <w:tabs>
          <w:tab w:val="left" w:pos="728"/>
        </w:tabs>
        <w:autoSpaceDE w:val="0"/>
        <w:autoSpaceDN w:val="0"/>
        <w:spacing w:after="120" w:line="276" w:lineRule="auto"/>
        <w:jc w:val="both"/>
        <w:rPr>
          <w:rFonts w:ascii="Arial" w:eastAsia="Arial" w:hAnsi="Arial" w:cs="Arial"/>
          <w:sz w:val="22"/>
          <w:lang w:val="es-ES"/>
        </w:rPr>
      </w:pPr>
      <w:r w:rsidRPr="003253B1">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2C56724"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w:t>
      </w:r>
    </w:p>
    <w:p w14:paraId="7A12B125" w14:textId="05B624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lastRenderedPageBreak/>
        <w:t>En la disposición</w:t>
      </w:r>
      <w:r w:rsidR="00894A7C">
        <w:rPr>
          <w:rFonts w:ascii="Arial" w:hAnsi="Arial" w:cs="Arial"/>
          <w:sz w:val="22"/>
          <w:lang w:val="es-ES"/>
        </w:rPr>
        <w:t xml:space="preserve"> mencionada</w:t>
      </w:r>
      <w:r w:rsidRPr="003253B1">
        <w:rPr>
          <w:rFonts w:ascii="Arial" w:hAnsi="Arial" w:cs="Arial"/>
          <w:sz w:val="22"/>
          <w:lang w:val="es-ES"/>
        </w:rPr>
        <w:t xml:space="preserve"> se relacionan los documentos que se deben publicar en el SECOP, como un desarrollo de los principios de transparencia y publicidad, que busca permitir, mediante la publicación, que la ciudadanía pueda conocer la actividad contractual de las entidades. Lo anterior por cuanto tales documentos dan cuenta de las decisiones de la Administración pública en beneficio del interés general y que, por tanto, incumben a la ciudadanía.  </w:t>
      </w:r>
    </w:p>
    <w:p w14:paraId="3A22D187" w14:textId="77777777"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 xml:space="preserve"> Del artículo 3 de la Ley 1150 de 2007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e</w:t>
      </w:r>
      <w:r>
        <w:rPr>
          <w:rFonts w:ascii="Arial" w:hAnsi="Arial" w:cs="Arial"/>
          <w:sz w:val="22"/>
          <w:lang w:val="es-ES"/>
        </w:rPr>
        <w:t>n</w:t>
      </w:r>
      <w:r w:rsidRPr="003253B1">
        <w:rPr>
          <w:rFonts w:ascii="Arial" w:hAnsi="Arial" w:cs="Arial"/>
          <w:sz w:val="22"/>
          <w:lang w:val="es-ES"/>
        </w:rPr>
        <w:t xml:space="preserve"> las decisiones de la Administración Pública.</w:t>
      </w:r>
    </w:p>
    <w:p w14:paraId="64CCEFE6" w14:textId="77777777" w:rsidR="00BC1F25" w:rsidRPr="003253B1" w:rsidRDefault="00BC1F25" w:rsidP="00BC1F25">
      <w:pPr>
        <w:widowControl w:val="0"/>
        <w:autoSpaceDE w:val="0"/>
        <w:autoSpaceDN w:val="0"/>
        <w:spacing w:before="120"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251C2BD0" w14:textId="4C39768C"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r w:rsidR="00D143B8" w:rsidRPr="003253B1">
        <w:rPr>
          <w:rFonts w:ascii="Arial" w:eastAsia="Arial" w:hAnsi="Arial" w:cs="Arial"/>
          <w:i/>
          <w:iCs/>
          <w:sz w:val="22"/>
          <w:lang w:val="es-ES"/>
        </w:rPr>
        <w:t>Ibidem</w:t>
      </w:r>
      <w:r w:rsidRPr="003253B1">
        <w:rPr>
          <w:rFonts w:ascii="Arial" w:eastAsia="Arial" w:hAnsi="Arial" w:cs="Arial"/>
          <w:sz w:val="22"/>
          <w:lang w:val="es-ES"/>
        </w:rPr>
        <w:t xml:space="preserve"> recoge en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«cualquier otro documento expedido por la Entidad Estatal durante 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Este mismo artículo define la expresión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44C99B8F" w14:textId="77777777" w:rsidR="00BC1F25" w:rsidRPr="003253B1" w:rsidRDefault="00BC1F25" w:rsidP="00BC1F25">
      <w:pPr>
        <w:widowControl w:val="0"/>
        <w:autoSpaceDE w:val="0"/>
        <w:autoSpaceDN w:val="0"/>
        <w:spacing w:after="120" w:line="276" w:lineRule="auto"/>
        <w:ind w:firstLine="709"/>
        <w:jc w:val="both"/>
        <w:rPr>
          <w:rFonts w:ascii="Arial" w:eastAsia="Arial" w:hAnsi="Arial" w:cs="Arial"/>
          <w:sz w:val="22"/>
          <w:lang w:val="es-ES"/>
        </w:rPr>
      </w:pPr>
      <w:r w:rsidRPr="003253B1">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3253B1">
        <w:rPr>
          <w:rFonts w:ascii="Arial" w:eastAsia="Arial" w:hAnsi="Arial" w:cs="Arial"/>
          <w:i/>
          <w:iCs/>
          <w:sz w:val="22"/>
          <w:lang w:val="es-ES"/>
        </w:rPr>
        <w:t>Documentos del Proceso</w:t>
      </w:r>
      <w:r w:rsidRPr="003253B1">
        <w:rPr>
          <w:rFonts w:ascii="Arial" w:eastAsia="Arial" w:hAnsi="Arial" w:cs="Arial"/>
          <w:sz w:val="22"/>
          <w:lang w:val="es-ES"/>
        </w:rPr>
        <w:t xml:space="preserve"> los expedidos por un sujeto distinto a la entidad, salvo la oferta, la cual se incluye expresamente en el artículo 2.2.1.1.1.3.1. </w:t>
      </w:r>
    </w:p>
    <w:p w14:paraId="0561A45B" w14:textId="77777777" w:rsidR="00BC1F25" w:rsidRPr="003253B1" w:rsidRDefault="00BC1F25" w:rsidP="00BC1F25">
      <w:pPr>
        <w:widowControl w:val="0"/>
        <w:autoSpaceDE w:val="0"/>
        <w:autoSpaceDN w:val="0"/>
        <w:spacing w:after="120" w:line="276" w:lineRule="auto"/>
        <w:ind w:firstLine="708"/>
        <w:jc w:val="both"/>
        <w:rPr>
          <w:rFonts w:ascii="Arial" w:eastAsia="Arial" w:hAnsi="Arial" w:cs="Arial"/>
          <w:sz w:val="22"/>
          <w:lang w:val="es-ES"/>
        </w:rPr>
      </w:pPr>
      <w:r w:rsidRPr="003253B1">
        <w:rPr>
          <w:rFonts w:ascii="Arial" w:eastAsia="Arial" w:hAnsi="Arial" w:cs="Arial"/>
          <w:sz w:val="22"/>
          <w:lang w:val="es-ES"/>
        </w:rPr>
        <w:t xml:space="preserve">En ese sentido, la interpretación sistemática de los preceptos del Decreto 1082 de 2015, de acuerdo con el principio de publicidad, inicialmente, indica que las entidades estatales tienen la obligación de publicar todos los documentos que expidan con ocasión </w:t>
      </w:r>
      <w:r w:rsidRPr="003253B1">
        <w:rPr>
          <w:rFonts w:ascii="Arial" w:eastAsia="Arial" w:hAnsi="Arial" w:cs="Arial"/>
          <w:sz w:val="22"/>
          <w:lang w:val="es-ES"/>
        </w:rPr>
        <w:lastRenderedPageBreak/>
        <w:t xml:space="preserve">del </w:t>
      </w:r>
      <w:r w:rsidRPr="003253B1">
        <w:rPr>
          <w:rFonts w:ascii="Arial" w:eastAsia="Arial" w:hAnsi="Arial" w:cs="Arial"/>
          <w:i/>
          <w:iCs/>
          <w:sz w:val="22"/>
          <w:lang w:val="es-ES"/>
        </w:rPr>
        <w:t>Proceso de Contratación</w:t>
      </w:r>
      <w:r w:rsidRPr="003253B1">
        <w:rPr>
          <w:rFonts w:ascii="Arial" w:eastAsia="Arial" w:hAnsi="Arial" w:cs="Arial"/>
          <w:sz w:val="22"/>
          <w:lang w:val="es-ES"/>
        </w:rPr>
        <w:t xml:space="preserve">.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3253B1">
        <w:rPr>
          <w:rFonts w:ascii="Arial" w:eastAsia="Arial" w:hAnsi="Arial" w:cs="Arial"/>
          <w:sz w:val="22"/>
          <w:lang w:val="es-ES"/>
        </w:rPr>
        <w:t>postcontractual</w:t>
      </w:r>
      <w:proofErr w:type="spellEnd"/>
      <w:r w:rsidRPr="003253B1">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0DEADDA6" w14:textId="77777777" w:rsidR="00BC1F25" w:rsidRPr="00DC28EC" w:rsidRDefault="00BC1F25" w:rsidP="00BC1F25">
      <w:pPr>
        <w:spacing w:before="120" w:after="120" w:line="276" w:lineRule="auto"/>
        <w:ind w:firstLine="709"/>
        <w:jc w:val="both"/>
        <w:rPr>
          <w:rFonts w:ascii="Arial" w:eastAsia="Calibri" w:hAnsi="Arial" w:cs="Arial"/>
          <w:sz w:val="22"/>
          <w:lang w:val="es-ES"/>
        </w:rPr>
      </w:pPr>
      <w:r w:rsidRPr="00DC28EC">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Entre estos principios se encuentran el de </w:t>
      </w:r>
      <w:r w:rsidRPr="00DC28EC">
        <w:rPr>
          <w:rStyle w:val="nfasis"/>
          <w:rFonts w:ascii="Arial" w:hAnsi="Arial" w:cs="Arial"/>
          <w:i w:val="0"/>
          <w:iCs w:val="0"/>
          <w:sz w:val="22"/>
          <w:lang w:val="es-ES"/>
        </w:rPr>
        <w:t>máxima publicidad para un titular universal</w:t>
      </w:r>
      <w:r w:rsidRPr="00DC28EC">
        <w:rPr>
          <w:rStyle w:val="Refdenotaalpie"/>
          <w:rFonts w:ascii="Arial" w:hAnsi="Arial" w:cs="Arial"/>
          <w:sz w:val="22"/>
          <w:lang w:val="es-ES"/>
        </w:rPr>
        <w:footnoteReference w:id="15"/>
      </w:r>
      <w:r w:rsidRPr="00DC28EC">
        <w:rPr>
          <w:rStyle w:val="nfasis"/>
          <w:rFonts w:ascii="Arial" w:hAnsi="Arial" w:cs="Arial"/>
          <w:i w:val="0"/>
          <w:iCs w:val="0"/>
          <w:sz w:val="22"/>
          <w:lang w:val="es-ES"/>
        </w:rPr>
        <w:t>, transparencia, facilitación y divulgación proactiva de la información</w:t>
      </w:r>
      <w:r w:rsidRPr="00DC28EC">
        <w:rPr>
          <w:rStyle w:val="Refdenotaalpie"/>
          <w:rFonts w:ascii="Arial" w:hAnsi="Arial" w:cs="Arial"/>
          <w:sz w:val="22"/>
          <w:lang w:val="es-ES"/>
        </w:rPr>
        <w:footnoteReference w:id="16"/>
      </w:r>
      <w:r w:rsidRPr="00DC28EC">
        <w:rPr>
          <w:rStyle w:val="nfasis"/>
          <w:rFonts w:ascii="Arial" w:hAnsi="Arial" w:cs="Arial"/>
          <w:i w:val="0"/>
          <w:iCs w:val="0"/>
          <w:sz w:val="22"/>
          <w:lang w:val="es-ES"/>
        </w:rPr>
        <w:t xml:space="preserve">. Lo anterior en la medida en que, al ampliarse la actividad contractual sobre la que recae el deber de publicación, se divulga un mayor volumen de información, que de por sí es pública, mediante un mecanismo como el SECOP. Esta plataforma facilita el acceso a la misma desde cualquier dispositivo con acceso a internet. De este modo, garantiza mayor transparencia, al obligarse a las entidades estatales a publicar sus actuaciones de manera proactiva y rutinaria. Ello permite que la ciudadanía conozca con detalle y actualidad el desarrollo de la gestión contractual de la Administración, fomentándose en la contratación pública estándares altos de </w:t>
      </w:r>
      <w:r w:rsidRPr="00444A87">
        <w:rPr>
          <w:rStyle w:val="nfasis"/>
          <w:rFonts w:ascii="Arial" w:hAnsi="Arial" w:cs="Arial"/>
          <w:i w:val="0"/>
          <w:iCs w:val="0"/>
          <w:sz w:val="22"/>
          <w:lang w:val="es-ES"/>
        </w:rPr>
        <w:t>transparencia</w:t>
      </w:r>
      <w:r w:rsidRPr="00DC28EC">
        <w:rPr>
          <w:rStyle w:val="nfasis"/>
          <w:rFonts w:ascii="Arial" w:hAnsi="Arial" w:cs="Arial"/>
          <w:i w:val="0"/>
          <w:iCs w:val="0"/>
          <w:sz w:val="22"/>
          <w:lang w:val="es-ES"/>
        </w:rPr>
        <w:t>.</w:t>
      </w:r>
      <w:r w:rsidRPr="00DC28EC">
        <w:rPr>
          <w:rStyle w:val="nfasis"/>
          <w:rFonts w:ascii="Arial" w:hAnsi="Arial" w:cs="Arial"/>
          <w:sz w:val="22"/>
          <w:lang w:val="es-ES"/>
        </w:rPr>
        <w:t xml:space="preserve">   </w:t>
      </w:r>
    </w:p>
    <w:p w14:paraId="0645F1B0" w14:textId="41C46E40" w:rsidR="00BC1F25" w:rsidRPr="00DC28EC" w:rsidRDefault="00BC1F25" w:rsidP="00BC1F25">
      <w:pPr>
        <w:spacing w:after="120" w:line="276" w:lineRule="auto"/>
        <w:ind w:firstLine="709"/>
        <w:jc w:val="both"/>
        <w:rPr>
          <w:rFonts w:ascii="Arial" w:hAnsi="Arial" w:cs="Arial"/>
          <w:sz w:val="22"/>
          <w:lang w:val="es-ES"/>
        </w:rPr>
      </w:pPr>
      <w:r w:rsidRPr="00DC28EC">
        <w:rPr>
          <w:rStyle w:val="Textoennegrita"/>
          <w:rFonts w:ascii="Arial" w:hAnsi="Arial" w:cs="Arial"/>
          <w:b w:val="0"/>
          <w:bCs w:val="0"/>
          <w:sz w:val="22"/>
          <w:lang w:val="es-ES"/>
        </w:rPr>
        <w:lastRenderedPageBreak/>
        <w:t xml:space="preserve">En conclusión, con base en los fundamentos normativos y argumentos expuestos, además del Plan Anual de Adquisiciones, las entidades estatales regidas por el EGCAP deberán publicar en SECOP los documentos expedidos con ocasión del </w:t>
      </w:r>
      <w:r w:rsidRPr="00DC28EC">
        <w:rPr>
          <w:rStyle w:val="Textoennegrita"/>
          <w:rFonts w:ascii="Arial" w:hAnsi="Arial" w:cs="Arial"/>
          <w:b w:val="0"/>
          <w:bCs w:val="0"/>
          <w:i/>
          <w:iCs/>
          <w:sz w:val="22"/>
          <w:lang w:val="es-ES"/>
        </w:rPr>
        <w:t>proceso de contratación</w:t>
      </w:r>
      <w:r w:rsidRPr="00DC28EC">
        <w:rPr>
          <w:rStyle w:val="Textoennegrita"/>
          <w:rFonts w:ascii="Arial" w:hAnsi="Arial" w:cs="Arial"/>
          <w:b w:val="0"/>
          <w:bCs w:val="0"/>
          <w:sz w:val="22"/>
          <w:lang w:val="es-ES"/>
        </w:rPr>
        <w:t xml:space="preserve">. Entre estos documentos se encuentran: el estudio de oportunidad y conveniencia; </w:t>
      </w:r>
      <w:r w:rsidRPr="00DC28EC">
        <w:rPr>
          <w:rFonts w:ascii="Arial" w:hAnsi="Arial" w:cs="Arial"/>
          <w:sz w:val="22"/>
          <w:lang w:val="es-ES"/>
        </w:rPr>
        <w:t>los estudios y documentos previos –técnicos o no–</w:t>
      </w:r>
      <w:r w:rsidR="00465B54">
        <w:rPr>
          <w:rFonts w:ascii="Arial" w:hAnsi="Arial" w:cs="Arial"/>
          <w:sz w:val="22"/>
          <w:lang w:val="es-ES"/>
        </w:rPr>
        <w:t>; el acto administrativo de justificación de la contratación directa</w:t>
      </w:r>
      <w:r w:rsidRPr="00DC28EC">
        <w:rPr>
          <w:rFonts w:ascii="Arial" w:hAnsi="Arial" w:cs="Arial"/>
          <w:sz w:val="22"/>
          <w:lang w:val="es-ES"/>
        </w:rPr>
        <w:t>; el aviso de convocatoria; el proyecto de pliego de condiciones y las observaciones que le formulen; el pliego de condiciones o la invitación</w:t>
      </w:r>
      <w:r w:rsidR="00444A87">
        <w:rPr>
          <w:rFonts w:ascii="Arial" w:hAnsi="Arial" w:cs="Arial"/>
          <w:sz w:val="22"/>
          <w:lang w:val="es-ES"/>
        </w:rPr>
        <w:t>, etc</w:t>
      </w:r>
      <w:r w:rsidRPr="00DC28EC">
        <w:rPr>
          <w:rFonts w:ascii="Arial" w:hAnsi="Arial" w:cs="Arial"/>
          <w:sz w:val="22"/>
          <w:lang w:val="es-ES"/>
        </w:rPr>
        <w:t>.</w:t>
      </w:r>
    </w:p>
    <w:p w14:paraId="4455B23F"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 xml:space="preserve"> De igual manera, dentro de los documentos del proceso, se deben publicar en el SECOP las observaciones que se les realicen al pliego de condiciones; las actas de la audiencia de asignación de riesgos; el acta de cierre del plazo para presentar ofertas; y las adendas.</w:t>
      </w:r>
    </w:p>
    <w:p w14:paraId="26A3F567"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En procesos cuya publicación deba realizarse en SECOP I, se debe publicar la oferta del adjudicatario y las aclaraciones que se le realicen; el informe de evaluación y las observaciones que se formulen; las respuestas a las observaciones; el contrato y los otrosíes o modificaciones; el acta de inicio; las garantías y el acta de liquidación.</w:t>
      </w:r>
    </w:p>
    <w:p w14:paraId="7B0A3413" w14:textId="77777777" w:rsidR="00BC1F25" w:rsidRPr="003253B1" w:rsidRDefault="00BC1F25" w:rsidP="00BC1F25">
      <w:pPr>
        <w:spacing w:after="120" w:line="276" w:lineRule="auto"/>
        <w:ind w:firstLine="709"/>
        <w:jc w:val="both"/>
        <w:rPr>
          <w:rFonts w:ascii="Arial" w:hAnsi="Arial" w:cs="Arial"/>
          <w:sz w:val="22"/>
          <w:lang w:val="es-ES"/>
        </w:rPr>
      </w:pPr>
      <w:r w:rsidRPr="003253B1">
        <w:rPr>
          <w:rFonts w:ascii="Arial" w:hAnsi="Arial" w:cs="Arial"/>
          <w:sz w:val="22"/>
          <w:lang w:val="es-ES"/>
        </w:rPr>
        <w:t>También deben publicarse en el SECOP los actos administrativos expedidos con ocasión del procedimiento de selección o la ejecución del contrato, como las resoluciones de apertura, de adjudicación, las que se impongan multas, la cláusula penal o declaren la caducidad del contrato; así como los documentos de los procesos por incumplimiento contractual que se lleven a cabo conforme al artículo 86 de la Ley 1474 de 2011, como la citación, las pruebas que se practiquen, la resolución que resuelve la actuación y demás documentos que se produzcan.</w:t>
      </w:r>
    </w:p>
    <w:p w14:paraId="517CBDEE" w14:textId="5385BA1E" w:rsidR="00BC1F25" w:rsidRPr="003253B1" w:rsidRDefault="00BC1F25" w:rsidP="00BC1F25">
      <w:pPr>
        <w:spacing w:line="276" w:lineRule="auto"/>
        <w:ind w:firstLine="709"/>
        <w:jc w:val="both"/>
        <w:rPr>
          <w:rFonts w:ascii="Arial" w:hAnsi="Arial" w:cs="Arial"/>
          <w:sz w:val="22"/>
          <w:lang w:val="es-ES"/>
        </w:rPr>
      </w:pPr>
      <w:r w:rsidRPr="003253B1">
        <w:rPr>
          <w:rFonts w:ascii="Arial" w:hAnsi="Arial" w:cs="Arial"/>
          <w:sz w:val="22"/>
          <w:lang w:val="es-ES"/>
        </w:rPr>
        <w:t xml:space="preserve">Sin perjuicio de lo anterior, no debe perderse de vista </w:t>
      </w:r>
      <w:r w:rsidR="00344ED1" w:rsidRPr="003253B1">
        <w:rPr>
          <w:rFonts w:ascii="Arial" w:hAnsi="Arial" w:cs="Arial"/>
          <w:sz w:val="22"/>
          <w:lang w:val="es-ES"/>
        </w:rPr>
        <w:t>que,</w:t>
      </w:r>
      <w:r w:rsidRPr="003253B1">
        <w:rPr>
          <w:rFonts w:ascii="Arial" w:hAnsi="Arial" w:cs="Arial"/>
          <w:sz w:val="22"/>
          <w:lang w:val="es-ES"/>
        </w:rPr>
        <w:t xml:space="preserve"> en virtud del principio de transparencia, específicamente por cuenta de lo dispuesto en el numeral 4 del artículo 24 de la Ley 80 de 1993</w:t>
      </w:r>
      <w:r w:rsidRPr="003253B1">
        <w:rPr>
          <w:rStyle w:val="Refdenotaalpie"/>
          <w:rFonts w:ascii="Arial" w:hAnsi="Arial" w:cs="Arial"/>
          <w:sz w:val="22"/>
          <w:lang w:val="es-ES"/>
        </w:rPr>
        <w:footnoteReference w:id="17"/>
      </w:r>
      <w:r w:rsidRPr="003253B1">
        <w:rPr>
          <w:rFonts w:ascii="Arial" w:hAnsi="Arial" w:cs="Arial"/>
          <w:sz w:val="22"/>
          <w:lang w:val="es-ES"/>
        </w:rPr>
        <w:t>, así como por el principio de máxima publicidad establecido en el artículo 2 de la Ley 1712 de 2014</w:t>
      </w:r>
      <w:r w:rsidRPr="003253B1">
        <w:rPr>
          <w:rStyle w:val="Refdenotaalpie"/>
          <w:rFonts w:ascii="Arial" w:hAnsi="Arial" w:cs="Arial"/>
          <w:sz w:val="22"/>
          <w:lang w:val="es-ES"/>
        </w:rPr>
        <w:footnoteReference w:id="18"/>
      </w:r>
      <w:r w:rsidRPr="003253B1">
        <w:rPr>
          <w:rFonts w:ascii="Arial" w:hAnsi="Arial" w:cs="Arial"/>
          <w:sz w:val="22"/>
          <w:lang w:val="es-ES"/>
        </w:rPr>
        <w:t xml:space="preserve">, el contenido del expediente en el que reposa la actuación es información pública, independientemente de si se trata de documentos que deban ser publicados en SECOP. Por lo anterior, el contenido del expediente puede ser </w:t>
      </w:r>
      <w:r w:rsidRPr="003253B1">
        <w:rPr>
          <w:rFonts w:ascii="Arial" w:hAnsi="Arial" w:cs="Arial"/>
          <w:sz w:val="22"/>
          <w:lang w:val="es-ES"/>
        </w:rPr>
        <w:lastRenderedPageBreak/>
        <w:t xml:space="preserve">objeto de solicitud de copias, en ejercicio del derecho de petición, en cualquier momento del proceso de selección, en la medida en que las normas señaladas no imponen ningún condicionamiento, así que podrá solicitarlas cualquier persona, </w:t>
      </w:r>
      <w:r>
        <w:rPr>
          <w:rFonts w:ascii="Arial" w:hAnsi="Arial" w:cs="Arial"/>
          <w:sz w:val="22"/>
          <w:lang w:val="es-ES"/>
        </w:rPr>
        <w:t>en desarrollo de la</w:t>
      </w:r>
      <w:r w:rsidRPr="003253B1">
        <w:rPr>
          <w:rFonts w:ascii="Arial" w:hAnsi="Arial" w:cs="Arial"/>
          <w:sz w:val="22"/>
          <w:lang w:val="es-ES"/>
        </w:rPr>
        <w:t xml:space="preserve"> vigilancia de la contratación pública, cuestión que podría interesar a cualquier ciudadano</w:t>
      </w:r>
      <w:r w:rsidRPr="003253B1">
        <w:rPr>
          <w:rStyle w:val="Refdenotaalpie"/>
          <w:rFonts w:ascii="Arial" w:hAnsi="Arial" w:cs="Arial"/>
          <w:sz w:val="22"/>
          <w:lang w:val="es-ES"/>
        </w:rPr>
        <w:footnoteReference w:id="19"/>
      </w:r>
      <w:r w:rsidRPr="003253B1">
        <w:rPr>
          <w:rFonts w:ascii="Arial" w:hAnsi="Arial" w:cs="Arial"/>
          <w:sz w:val="22"/>
          <w:lang w:val="es-ES"/>
        </w:rPr>
        <w:t>. Esta posibilidad solo se encuentra limitada respecto de la documentación que tenga la calidad de reservada</w:t>
      </w:r>
      <w:r w:rsidRPr="003253B1">
        <w:rPr>
          <w:rFonts w:ascii="Arial" w:hAnsi="Arial" w:cs="Arial"/>
          <w:sz w:val="22"/>
          <w:vertAlign w:val="superscript"/>
          <w:lang w:val="es-ES"/>
        </w:rPr>
        <w:footnoteReference w:id="20"/>
      </w:r>
      <w:r w:rsidRPr="003253B1">
        <w:rPr>
          <w:rFonts w:ascii="Arial" w:hAnsi="Arial" w:cs="Arial"/>
          <w:sz w:val="22"/>
          <w:lang w:val="es-ES"/>
        </w:rPr>
        <w:t>, que deberá someterse al tratamiento establecido en el artículo 36 del CPACA, en lo relativo a la formación de cuadernos separados</w:t>
      </w:r>
      <w:r w:rsidRPr="003253B1">
        <w:rPr>
          <w:rFonts w:ascii="Arial" w:hAnsi="Arial" w:cs="Arial"/>
          <w:sz w:val="22"/>
          <w:vertAlign w:val="superscript"/>
          <w:lang w:val="es-ES"/>
        </w:rPr>
        <w:footnoteReference w:id="21"/>
      </w:r>
      <w:r w:rsidRPr="003253B1">
        <w:rPr>
          <w:rFonts w:ascii="Arial" w:hAnsi="Arial" w:cs="Arial"/>
          <w:sz w:val="22"/>
          <w:lang w:val="es-ES"/>
        </w:rPr>
        <w:t>.</w:t>
      </w:r>
    </w:p>
    <w:p w14:paraId="398F2535" w14:textId="77777777"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p>
    <w:p w14:paraId="4393429D" w14:textId="09A494F6" w:rsidR="00BC1F25" w:rsidRPr="003253B1" w:rsidRDefault="00BC1F25" w:rsidP="00BC1F25">
      <w:pPr>
        <w:tabs>
          <w:tab w:val="left" w:pos="426"/>
        </w:tabs>
        <w:spacing w:line="276" w:lineRule="auto"/>
        <w:jc w:val="both"/>
        <w:rPr>
          <w:rFonts w:ascii="Arial" w:eastAsia="Calibri" w:hAnsi="Arial" w:cs="Arial"/>
          <w:b/>
          <w:bCs/>
          <w:color w:val="000000"/>
          <w:sz w:val="22"/>
          <w:lang w:val="es-ES_tradnl" w:eastAsia="en-GB"/>
        </w:rPr>
      </w:pPr>
      <w:r w:rsidRPr="003253B1">
        <w:rPr>
          <w:rFonts w:ascii="Arial" w:eastAsia="Calibri" w:hAnsi="Arial" w:cs="Arial"/>
          <w:b/>
          <w:bCs/>
          <w:color w:val="000000"/>
          <w:sz w:val="22"/>
          <w:lang w:val="es-ES_tradnl" w:eastAsia="en-GB"/>
        </w:rPr>
        <w:t>2.</w:t>
      </w:r>
      <w:r w:rsidR="00344ED1">
        <w:rPr>
          <w:rFonts w:ascii="Arial" w:eastAsia="Calibri" w:hAnsi="Arial" w:cs="Arial"/>
          <w:b/>
          <w:bCs/>
          <w:color w:val="000000"/>
          <w:sz w:val="22"/>
          <w:lang w:val="es-ES_tradnl" w:eastAsia="en-GB"/>
        </w:rPr>
        <w:t>3</w:t>
      </w:r>
      <w:r w:rsidRPr="003253B1">
        <w:rPr>
          <w:rFonts w:ascii="Arial" w:eastAsia="Calibri" w:hAnsi="Arial" w:cs="Arial"/>
          <w:b/>
          <w:bCs/>
          <w:color w:val="000000"/>
          <w:sz w:val="22"/>
          <w:lang w:val="es-ES_tradnl" w:eastAsia="en-GB"/>
        </w:rPr>
        <w:t>. La reserva de información pública como límite al deber de divulgación proactiva de la información en la contratación estatal</w:t>
      </w:r>
    </w:p>
    <w:p w14:paraId="036F4B25" w14:textId="77777777" w:rsidR="00BC1F25" w:rsidRPr="003253B1" w:rsidRDefault="00BC1F25" w:rsidP="00BC1F25">
      <w:pPr>
        <w:tabs>
          <w:tab w:val="left" w:pos="426"/>
        </w:tabs>
        <w:spacing w:line="276" w:lineRule="auto"/>
        <w:jc w:val="both"/>
        <w:rPr>
          <w:rFonts w:ascii="Arial" w:eastAsia="Calibri" w:hAnsi="Arial" w:cs="Arial"/>
          <w:sz w:val="22"/>
          <w:lang w:val="es-ES"/>
        </w:rPr>
      </w:pPr>
    </w:p>
    <w:p w14:paraId="5FA27034" w14:textId="020C9CAC" w:rsidR="00BC1F25" w:rsidRPr="003253B1" w:rsidRDefault="00BC1F25" w:rsidP="00BC1F25">
      <w:pPr>
        <w:tabs>
          <w:tab w:val="left" w:pos="426"/>
        </w:tabs>
        <w:spacing w:line="276" w:lineRule="auto"/>
        <w:jc w:val="both"/>
        <w:rPr>
          <w:rFonts w:ascii="Arial" w:eastAsia="Calibri" w:hAnsi="Arial" w:cs="Arial"/>
          <w:color w:val="000000"/>
          <w:sz w:val="22"/>
          <w:lang w:val="es-ES_tradnl" w:eastAsia="en-GB"/>
        </w:rPr>
      </w:pPr>
      <w:r w:rsidRPr="003253B1">
        <w:rPr>
          <w:rFonts w:ascii="Arial" w:eastAsia="Calibri" w:hAnsi="Arial" w:cs="Arial"/>
          <w:sz w:val="22"/>
          <w:lang w:val="es-ES"/>
        </w:rPr>
        <w:lastRenderedPageBreak/>
        <w:t xml:space="preserve">No </w:t>
      </w:r>
      <w:r w:rsidR="00344ED1" w:rsidRPr="003253B1">
        <w:rPr>
          <w:rFonts w:ascii="Arial" w:eastAsia="Calibri" w:hAnsi="Arial" w:cs="Arial"/>
          <w:sz w:val="22"/>
          <w:lang w:val="es-ES"/>
        </w:rPr>
        <w:t>obstante,</w:t>
      </w:r>
      <w:r w:rsidRPr="003253B1">
        <w:rPr>
          <w:rFonts w:ascii="Arial" w:eastAsia="Calibri" w:hAnsi="Arial" w:cs="Arial"/>
          <w:sz w:val="22"/>
          <w:lang w:val="es-ES"/>
        </w:rPr>
        <w:t xml:space="preserve"> lo expresado en el numeral anterior,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proceder de conformidad con el tratamiento que impongan tales normas, absteniéndose, de ser el caso, de publicar </w:t>
      </w:r>
      <w:r w:rsidR="008B0B64">
        <w:rPr>
          <w:rFonts w:ascii="Arial" w:eastAsia="Calibri" w:hAnsi="Arial" w:cs="Arial"/>
          <w:sz w:val="22"/>
          <w:lang w:val="es-ES"/>
        </w:rPr>
        <w:t xml:space="preserve">los documentos del proceso, </w:t>
      </w:r>
      <w:r w:rsidRPr="003253B1">
        <w:rPr>
          <w:rFonts w:ascii="Arial" w:eastAsia="Calibri" w:hAnsi="Arial" w:cs="Arial"/>
          <w:sz w:val="22"/>
          <w:lang w:val="es-ES"/>
        </w:rPr>
        <w:t xml:space="preserve">algunos </w:t>
      </w:r>
      <w:r w:rsidR="008B0B64">
        <w:rPr>
          <w:rFonts w:ascii="Arial" w:eastAsia="Calibri" w:hAnsi="Arial" w:cs="Arial"/>
          <w:sz w:val="22"/>
          <w:lang w:val="es-ES"/>
        </w:rPr>
        <w:t>de ellos</w:t>
      </w:r>
      <w:r w:rsidRPr="003253B1">
        <w:rPr>
          <w:rFonts w:ascii="Arial" w:eastAsia="Calibri" w:hAnsi="Arial" w:cs="Arial"/>
          <w:sz w:val="22"/>
          <w:lang w:val="es-ES"/>
        </w:rPr>
        <w:t xml:space="preserve"> o algunos apartes de dichos documentos en los que se evidencie este tipo de información. </w:t>
      </w:r>
    </w:p>
    <w:p w14:paraId="75B769B5" w14:textId="5C72D517" w:rsidR="00BC1F25" w:rsidRPr="00F02009" w:rsidRDefault="00BC1F25" w:rsidP="00F02009">
      <w:pPr>
        <w:spacing w:before="120" w:line="276" w:lineRule="auto"/>
        <w:ind w:firstLine="709"/>
        <w:jc w:val="both"/>
        <w:rPr>
          <w:rFonts w:ascii="Arial" w:eastAsia="Calibri" w:hAnsi="Arial" w:cs="Arial"/>
          <w:color w:val="000000"/>
          <w:sz w:val="22"/>
          <w:lang w:val="es-ES_tradnl" w:eastAsia="en-GB"/>
        </w:rPr>
      </w:pPr>
      <w:r w:rsidRPr="00490BE8">
        <w:rPr>
          <w:rFonts w:ascii="Arial" w:eastAsia="Calibri" w:hAnsi="Arial" w:cs="Arial"/>
          <w:color w:val="000000"/>
          <w:sz w:val="22"/>
          <w:lang w:val="es-ES_tradnl"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0490BE8">
        <w:rPr>
          <w:rFonts w:ascii="Arial" w:eastAsia="Calibri" w:hAnsi="Arial" w:cs="Arial"/>
          <w:i/>
          <w:iCs/>
          <w:color w:val="000000"/>
          <w:sz w:val="22"/>
          <w:lang w:val="es-ES_tradnl" w:eastAsia="en-GB"/>
        </w:rPr>
        <w:t>prima facie,</w:t>
      </w:r>
      <w:r w:rsidRPr="00490BE8">
        <w:rPr>
          <w:rFonts w:ascii="Arial" w:eastAsia="Calibri" w:hAnsi="Arial" w:cs="Arial"/>
          <w:color w:val="000000"/>
          <w:sz w:val="22"/>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w:t>
      </w:r>
      <w:r w:rsidR="008B0B64">
        <w:rPr>
          <w:rFonts w:ascii="Arial" w:eastAsia="Calibri" w:hAnsi="Arial" w:cs="Arial"/>
          <w:color w:val="000000"/>
          <w:sz w:val="22"/>
          <w:lang w:val="es-ES_tradnl" w:eastAsia="en-GB"/>
        </w:rPr>
        <w:t>,</w:t>
      </w:r>
      <w:r w:rsidRPr="00490BE8">
        <w:rPr>
          <w:rFonts w:ascii="Arial" w:eastAsia="Calibri" w:hAnsi="Arial" w:cs="Arial"/>
          <w:color w:val="000000"/>
          <w:sz w:val="22"/>
          <w:lang w:val="es-ES_tradnl" w:eastAsia="en-GB"/>
        </w:rPr>
        <w:t xml:space="preserve"> dicha disposición establece que la reserva de acceso a la información opera respecto al contenido de un documento público, pero no respecto de su existencia</w:t>
      </w:r>
      <w:r w:rsidRPr="00490BE8">
        <w:rPr>
          <w:rStyle w:val="Refdenotaalpie"/>
          <w:rFonts w:ascii="Arial" w:eastAsia="Calibri" w:hAnsi="Arial" w:cs="Arial"/>
          <w:color w:val="000000"/>
          <w:sz w:val="22"/>
          <w:lang w:val="es-ES_tradnl" w:eastAsia="en-GB"/>
        </w:rPr>
        <w:footnoteReference w:id="22"/>
      </w:r>
      <w:r w:rsidRPr="00490BE8">
        <w:rPr>
          <w:rFonts w:ascii="Arial" w:eastAsia="Calibri" w:hAnsi="Arial" w:cs="Arial"/>
          <w:color w:val="000000"/>
          <w:sz w:val="22"/>
          <w:lang w:val="es-ES_tradnl" w:eastAsia="en-GB"/>
        </w:rPr>
        <w:t>.</w:t>
      </w:r>
      <w:r w:rsidR="00F02009" w:rsidRPr="00490BE8">
        <w:rPr>
          <w:rFonts w:ascii="Arial" w:eastAsia="Calibri" w:hAnsi="Arial" w:cs="Arial"/>
          <w:color w:val="000000"/>
          <w:sz w:val="22"/>
          <w:lang w:val="es-ES_tradnl" w:eastAsia="en-GB"/>
        </w:rPr>
        <w:t xml:space="preserve"> Sin perjuicio de lo anterior, es posible que el contenido de todo el documento </w:t>
      </w:r>
      <w:r w:rsidR="00B53CB0">
        <w:rPr>
          <w:rFonts w:ascii="Arial" w:eastAsia="Calibri" w:hAnsi="Arial" w:cs="Arial"/>
          <w:color w:val="000000"/>
          <w:sz w:val="22"/>
          <w:lang w:val="es-ES_tradnl" w:eastAsia="en-GB"/>
        </w:rPr>
        <w:t xml:space="preserve">o expediente </w:t>
      </w:r>
      <w:r w:rsidR="00F02009" w:rsidRPr="00490BE8">
        <w:rPr>
          <w:rFonts w:ascii="Arial" w:eastAsia="Calibri" w:hAnsi="Arial" w:cs="Arial"/>
          <w:color w:val="000000"/>
          <w:sz w:val="22"/>
          <w:lang w:val="es-ES_tradnl" w:eastAsia="en-GB"/>
        </w:rPr>
        <w:t>no deba ser objeto de publicidad por estar amparado de forma íntegra por la reserva, dada su conexión con las causales establecidas en la Constitución o la ley.</w:t>
      </w:r>
    </w:p>
    <w:p w14:paraId="185F3766" w14:textId="6086FD45" w:rsidR="00BC1F25" w:rsidRPr="003253B1" w:rsidRDefault="00BC1F25" w:rsidP="00BC1F25">
      <w:pPr>
        <w:tabs>
          <w:tab w:val="left" w:pos="426"/>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Por ello</w:t>
      </w:r>
      <w:r w:rsidRPr="003253B1">
        <w:rPr>
          <w:rFonts w:ascii="Arial" w:eastAsia="Calibri" w:hAnsi="Arial" w:cs="Arial"/>
          <w:color w:val="000000"/>
          <w:sz w:val="22"/>
          <w:lang w:val="es-ES_tradnl" w:eastAsia="en-GB"/>
        </w:rPr>
        <w:t xml:space="preserve">,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w:t>
      </w:r>
      <w:r w:rsidRPr="003253B1">
        <w:rPr>
          <w:rFonts w:ascii="Arial" w:eastAsia="Calibri" w:hAnsi="Arial" w:cs="Arial"/>
          <w:color w:val="000000"/>
          <w:sz w:val="22"/>
          <w:lang w:val="es-ES_tradnl" w:eastAsia="en-GB"/>
        </w:rPr>
        <w:lastRenderedPageBreak/>
        <w:t>especial y no puede divulgarse. La información pública que contiene datos semiprivados o privados, definidos en los literales g) y h) del artículo 3° de la Ley 1266 de 2008</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clasificados o reservados, según los artículos 18 y 19 de la Ley 1712 de 2014</w:t>
      </w:r>
      <w:r w:rsidR="008B0B64">
        <w:rPr>
          <w:rFonts w:ascii="Arial" w:eastAsia="Calibri" w:hAnsi="Arial" w:cs="Arial"/>
          <w:color w:val="000000"/>
          <w:sz w:val="22"/>
          <w:lang w:val="es-ES_tradnl" w:eastAsia="en-GB"/>
        </w:rPr>
        <w:t>;</w:t>
      </w:r>
      <w:r w:rsidRPr="003253B1">
        <w:rPr>
          <w:rFonts w:ascii="Arial" w:eastAsia="Calibri" w:hAnsi="Arial" w:cs="Arial"/>
          <w:color w:val="000000"/>
          <w:sz w:val="22"/>
          <w:lang w:val="es-ES_tradnl" w:eastAsia="en-GB"/>
        </w:rPr>
        <w:t xml:space="preserve"> o datos personales o sensibles, según lo previsto en los artículos 3° y 5° de la Ley 1581 de 2012 y en el artículo 2.2.2.25.1.3., numeral 3 –que compiló al Decreto 1377 de 2013 (art. 3)–, solo podrá divulgarse según las reglas establecidas en dichas normas. </w:t>
      </w:r>
    </w:p>
    <w:p w14:paraId="17DCF43D" w14:textId="09928415" w:rsidR="00BC1F25" w:rsidRPr="003253B1" w:rsidRDefault="00BC1F25" w:rsidP="00EB793C">
      <w:pPr>
        <w:tabs>
          <w:tab w:val="left" w:pos="426"/>
        </w:tabs>
        <w:spacing w:before="120" w:after="120" w:line="276" w:lineRule="auto"/>
        <w:ind w:firstLine="709"/>
        <w:jc w:val="both"/>
        <w:rPr>
          <w:rFonts w:ascii="Arial" w:eastAsia="Calibri" w:hAnsi="Arial" w:cs="Arial"/>
          <w:color w:val="000000"/>
          <w:sz w:val="22"/>
          <w:lang w:val="es-ES_tradnl" w:eastAsia="en-GB"/>
        </w:rPr>
      </w:pPr>
      <w:r w:rsidRPr="00EB793C">
        <w:rPr>
          <w:rFonts w:ascii="Arial" w:eastAsia="Calibri" w:hAnsi="Arial" w:cs="Arial"/>
          <w:color w:val="000000"/>
          <w:sz w:val="22"/>
          <w:lang w:val="es-ES_tradnl" w:eastAsia="en-GB"/>
        </w:rPr>
        <w:t xml:space="preserve">Cuando el documento contractual tenga información sensible, clasificada o reservada, para proteger la </w:t>
      </w:r>
      <w:r w:rsidR="008B0B64">
        <w:rPr>
          <w:rFonts w:ascii="Arial" w:eastAsia="Calibri" w:hAnsi="Arial" w:cs="Arial"/>
          <w:color w:val="000000"/>
          <w:sz w:val="22"/>
          <w:lang w:val="es-ES_tradnl" w:eastAsia="en-GB"/>
        </w:rPr>
        <w:t xml:space="preserve">reserva de </w:t>
      </w:r>
      <w:r w:rsidRPr="00EB793C">
        <w:rPr>
          <w:rFonts w:ascii="Arial" w:eastAsia="Calibri" w:hAnsi="Arial" w:cs="Arial"/>
          <w:color w:val="000000"/>
          <w:sz w:val="22"/>
          <w:lang w:val="es-ES_tradnl" w:eastAsia="en-GB"/>
        </w:rPr>
        <w:t xml:space="preserve">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w:t>
      </w:r>
      <w:r w:rsidR="00AC053C" w:rsidRPr="00EB793C">
        <w:rPr>
          <w:rFonts w:ascii="Arial" w:eastAsia="Calibri" w:hAnsi="Arial" w:cs="Arial"/>
          <w:color w:val="000000"/>
          <w:sz w:val="22"/>
          <w:lang w:val="es-ES_tradnl" w:eastAsia="en-GB"/>
        </w:rPr>
        <w:t>estos</w:t>
      </w:r>
      <w:r w:rsidR="008B0B64">
        <w:rPr>
          <w:rFonts w:ascii="Arial" w:eastAsia="Calibri" w:hAnsi="Arial" w:cs="Arial"/>
          <w:color w:val="000000"/>
          <w:sz w:val="22"/>
          <w:lang w:val="es-ES_tradnl" w:eastAsia="en-GB"/>
        </w:rPr>
        <w:t>, en caso de que estos</w:t>
      </w:r>
      <w:r w:rsidRPr="00EB793C">
        <w:rPr>
          <w:rFonts w:ascii="Arial" w:eastAsia="Calibri" w:hAnsi="Arial" w:cs="Arial"/>
          <w:color w:val="000000"/>
          <w:sz w:val="22"/>
          <w:lang w:val="es-ES_tradnl" w:eastAsia="en-GB"/>
        </w:rPr>
        <w:t xml:space="preserve"> no go</w:t>
      </w:r>
      <w:r w:rsidR="008B0B64">
        <w:rPr>
          <w:rFonts w:ascii="Arial" w:eastAsia="Calibri" w:hAnsi="Arial" w:cs="Arial"/>
          <w:color w:val="000000"/>
          <w:sz w:val="22"/>
          <w:lang w:val="es-ES_tradnl" w:eastAsia="en-GB"/>
        </w:rPr>
        <w:t>ce</w:t>
      </w:r>
      <w:r w:rsidRPr="00EB793C">
        <w:rPr>
          <w:rFonts w:ascii="Arial" w:eastAsia="Calibri" w:hAnsi="Arial" w:cs="Arial"/>
          <w:color w:val="000000"/>
          <w:sz w:val="22"/>
          <w:lang w:val="es-ES_tradnl" w:eastAsia="en-GB"/>
        </w:rPr>
        <w:t>n de reserva.</w:t>
      </w:r>
      <w:r w:rsidR="005B077F" w:rsidRPr="00EB793C">
        <w:rPr>
          <w:rFonts w:ascii="Arial" w:eastAsia="Calibri" w:hAnsi="Arial" w:cs="Arial"/>
          <w:color w:val="000000"/>
          <w:sz w:val="22"/>
          <w:lang w:val="es-ES_tradnl" w:eastAsia="en-GB"/>
        </w:rPr>
        <w:t xml:space="preserve"> Lo anterior, sin perjuicio de que dependiendo de la información en específico todo el documento </w:t>
      </w:r>
      <w:r w:rsidR="00B53CB0">
        <w:rPr>
          <w:rFonts w:ascii="Arial" w:eastAsia="Calibri" w:hAnsi="Arial" w:cs="Arial"/>
          <w:color w:val="000000"/>
          <w:sz w:val="22"/>
          <w:lang w:val="es-ES_tradnl" w:eastAsia="en-GB"/>
        </w:rPr>
        <w:t xml:space="preserve">o expediente </w:t>
      </w:r>
      <w:r w:rsidR="005B077F" w:rsidRPr="00EB793C">
        <w:rPr>
          <w:rFonts w:ascii="Arial" w:eastAsia="Calibri" w:hAnsi="Arial" w:cs="Arial"/>
          <w:color w:val="000000"/>
          <w:sz w:val="22"/>
          <w:lang w:val="es-ES_tradnl" w:eastAsia="en-GB"/>
        </w:rPr>
        <w:t>deb</w:t>
      </w:r>
      <w:r w:rsidR="008B0B64">
        <w:rPr>
          <w:rFonts w:ascii="Arial" w:eastAsia="Calibri" w:hAnsi="Arial" w:cs="Arial"/>
          <w:color w:val="000000"/>
          <w:sz w:val="22"/>
          <w:lang w:val="es-ES_tradnl" w:eastAsia="en-GB"/>
        </w:rPr>
        <w:t>a</w:t>
      </w:r>
      <w:r w:rsidR="005B077F" w:rsidRPr="00EB793C">
        <w:rPr>
          <w:rFonts w:ascii="Arial" w:eastAsia="Calibri" w:hAnsi="Arial" w:cs="Arial"/>
          <w:color w:val="000000"/>
          <w:sz w:val="22"/>
          <w:lang w:val="es-ES_tradnl" w:eastAsia="en-GB"/>
        </w:rPr>
        <w:t xml:space="preserve"> dejar de publicarse, por ampararse en su integridad en alguna causal de reserva, dada la conexión de su contenido con la información que el constituyente o el legislador decidió limitar en cuanto a su publicidad.</w:t>
      </w:r>
    </w:p>
    <w:p w14:paraId="42DA8856" w14:textId="7284A82F" w:rsidR="00BC1F25" w:rsidRPr="003253B1" w:rsidRDefault="00BC1F25" w:rsidP="00A02F05">
      <w:pPr>
        <w:tabs>
          <w:tab w:val="left" w:pos="426"/>
        </w:tabs>
        <w:spacing w:line="276" w:lineRule="auto"/>
        <w:ind w:firstLine="709"/>
        <w:jc w:val="both"/>
        <w:rPr>
          <w:rFonts w:ascii="Arial" w:eastAsia="Calibri" w:hAnsi="Arial" w:cs="Arial"/>
          <w:color w:val="000000"/>
          <w:sz w:val="21"/>
          <w:szCs w:val="21"/>
          <w:lang w:val="es-ES_tradnl" w:eastAsia="en-GB"/>
        </w:rPr>
      </w:pPr>
      <w:r w:rsidRPr="003253B1">
        <w:rPr>
          <w:rFonts w:ascii="Arial" w:eastAsia="Calibri" w:hAnsi="Arial" w:cs="Arial"/>
          <w:color w:val="000000"/>
          <w:sz w:val="22"/>
          <w:lang w:val="es-ES_tradnl" w:eastAsia="en-GB"/>
        </w:rPr>
        <w:t xml:space="preserve">En efecto, de conformidad con la Constitución y la jurisprudencia de las altas cortes, la reserva de información pública solo puede crearla el constituyente o el legislador. Además, como se </w:t>
      </w:r>
      <w:r>
        <w:rPr>
          <w:rFonts w:ascii="Arial" w:eastAsia="Calibri" w:hAnsi="Arial" w:cs="Arial"/>
          <w:color w:val="000000"/>
          <w:sz w:val="22"/>
          <w:lang w:val="es-ES_tradnl" w:eastAsia="en-GB"/>
        </w:rPr>
        <w:t>viene explicando</w:t>
      </w:r>
      <w:r w:rsidRPr="003253B1">
        <w:rPr>
          <w:rFonts w:ascii="Arial" w:eastAsia="Calibri" w:hAnsi="Arial" w:cs="Arial"/>
          <w:color w:val="000000"/>
          <w:sz w:val="22"/>
          <w:lang w:val="es-ES_tradnl" w:eastAsia="en-GB"/>
        </w:rPr>
        <w:t>, para efectos de la consulta realizada a la Agencia, las Leyes estatutarias 1712 de 2014 y la 1755 de 2015 –que sustituyó los artículos 13 a 33 de la Ley 1437 de 2011– establecen reservas particulares de información pública, coincidiendo ambas en establecer la reserva relacionada con la «defensa y seguridad nacional»</w:t>
      </w:r>
      <w:r w:rsidRPr="003253B1">
        <w:rPr>
          <w:rStyle w:val="Refdenotaalpie"/>
          <w:rFonts w:ascii="Arial" w:eastAsia="Calibri" w:hAnsi="Arial" w:cs="Arial"/>
          <w:color w:val="000000"/>
          <w:sz w:val="22"/>
          <w:lang w:val="es-ES_tradnl" w:eastAsia="en-GB"/>
        </w:rPr>
        <w:footnoteReference w:id="23"/>
      </w:r>
      <w:r w:rsidRPr="003253B1">
        <w:rPr>
          <w:rFonts w:ascii="Arial" w:eastAsia="Calibri" w:hAnsi="Arial" w:cs="Arial"/>
          <w:color w:val="000000"/>
          <w:sz w:val="22"/>
          <w:lang w:val="es-ES_tradnl" w:eastAsia="en-GB"/>
        </w:rPr>
        <w:t xml:space="preserve">. En armonía con lo anterior, cabe reiterar lo que se afirmó anteriormente en el sentido de que la creación de reservas de información pública es un asunto reservado al </w:t>
      </w:r>
      <w:r w:rsidR="001B3569" w:rsidRPr="003253B1">
        <w:rPr>
          <w:rFonts w:ascii="Arial" w:eastAsia="Calibri" w:hAnsi="Arial" w:cs="Arial"/>
          <w:color w:val="000000"/>
          <w:sz w:val="22"/>
          <w:lang w:val="es-ES_tradnl" w:eastAsia="en-GB"/>
        </w:rPr>
        <w:t xml:space="preserve">constituyente </w:t>
      </w:r>
      <w:r w:rsidR="001B3569">
        <w:rPr>
          <w:rFonts w:ascii="Arial" w:eastAsia="Calibri" w:hAnsi="Arial" w:cs="Arial"/>
          <w:color w:val="000000"/>
          <w:sz w:val="22"/>
          <w:lang w:val="es-ES_tradnl" w:eastAsia="en-GB"/>
        </w:rPr>
        <w:t xml:space="preserve">o al </w:t>
      </w:r>
      <w:r w:rsidRPr="003253B1">
        <w:rPr>
          <w:rFonts w:ascii="Arial" w:eastAsia="Calibri" w:hAnsi="Arial" w:cs="Arial"/>
          <w:color w:val="000000"/>
          <w:sz w:val="22"/>
          <w:lang w:val="es-ES_tradnl" w:eastAsia="en-GB"/>
        </w:rPr>
        <w:t xml:space="preserve">legislador. </w:t>
      </w:r>
    </w:p>
    <w:p w14:paraId="45B42A1B" w14:textId="77777777" w:rsidR="00E547E4" w:rsidRPr="004C496D" w:rsidRDefault="00E547E4" w:rsidP="00271230">
      <w:pPr>
        <w:spacing w:line="276" w:lineRule="auto"/>
        <w:jc w:val="both"/>
        <w:rPr>
          <w:rFonts w:ascii="Arial" w:eastAsia="Calibri" w:hAnsi="Arial" w:cs="Arial"/>
          <w:color w:val="000000" w:themeColor="text1"/>
          <w:sz w:val="22"/>
          <w:szCs w:val="22"/>
        </w:rPr>
      </w:pPr>
    </w:p>
    <w:p w14:paraId="37CA9805" w14:textId="4C51B578" w:rsidR="00DD5B04" w:rsidRPr="005419DA" w:rsidRDefault="004177A6" w:rsidP="00510DE9">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w:t>
      </w:r>
      <w:r w:rsidR="00B011A9" w:rsidRPr="005419DA">
        <w:rPr>
          <w:rFonts w:ascii="Arial" w:eastAsia="Calibri" w:hAnsi="Arial" w:cs="Arial"/>
          <w:b/>
          <w:color w:val="000000" w:themeColor="text1"/>
          <w:sz w:val="22"/>
          <w:lang w:val="es-ES_tradnl"/>
        </w:rPr>
        <w:t xml:space="preserve">. </w:t>
      </w:r>
      <w:r w:rsidR="00DD5B04" w:rsidRPr="005419DA">
        <w:rPr>
          <w:rFonts w:ascii="Arial" w:eastAsia="Calibri" w:hAnsi="Arial" w:cs="Arial"/>
          <w:b/>
          <w:color w:val="000000" w:themeColor="text1"/>
          <w:sz w:val="22"/>
          <w:lang w:val="es-ES_tradnl"/>
        </w:rPr>
        <w:t>Respuesta</w:t>
      </w:r>
    </w:p>
    <w:p w14:paraId="0B74D5B8" w14:textId="571E2881" w:rsidR="00C4581D" w:rsidRDefault="00C4581D" w:rsidP="00510DE9">
      <w:pPr>
        <w:tabs>
          <w:tab w:val="left" w:pos="0"/>
        </w:tabs>
        <w:jc w:val="both"/>
        <w:rPr>
          <w:rFonts w:ascii="Arial" w:eastAsia="Calibri" w:hAnsi="Arial" w:cs="Arial"/>
          <w:color w:val="000000" w:themeColor="text1"/>
          <w:sz w:val="22"/>
          <w:lang w:val="es-ES_tradnl"/>
        </w:rPr>
      </w:pPr>
    </w:p>
    <w:p w14:paraId="7812EED7" w14:textId="212F22D0" w:rsidR="00ED0D6F" w:rsidRPr="00ED0D6F" w:rsidRDefault="00ED0D6F" w:rsidP="00ED0D6F">
      <w:pPr>
        <w:spacing w:line="276" w:lineRule="auto"/>
        <w:ind w:left="708"/>
        <w:jc w:val="both"/>
        <w:rPr>
          <w:rFonts w:ascii="Arial" w:hAnsi="Arial" w:cs="Arial"/>
          <w:color w:val="000000" w:themeColor="text1"/>
          <w:sz w:val="22"/>
          <w:szCs w:val="22"/>
          <w:lang w:val="es-ES_tradnl"/>
        </w:rPr>
      </w:pPr>
      <w:r w:rsidRPr="00915C0C">
        <w:rPr>
          <w:rFonts w:ascii="Arial" w:hAnsi="Arial" w:cs="Arial"/>
          <w:color w:val="000000" w:themeColor="text1"/>
          <w:sz w:val="22"/>
          <w:lang w:val="es-ES_tradnl"/>
        </w:rPr>
        <w:lastRenderedPageBreak/>
        <w:t xml:space="preserve">[…] </w:t>
      </w:r>
      <w:r w:rsidR="00225F05" w:rsidRPr="00915C0C">
        <w:rPr>
          <w:rFonts w:ascii="Arial" w:hAnsi="Arial" w:cs="Arial"/>
          <w:color w:val="000000" w:themeColor="text1"/>
          <w:sz w:val="22"/>
          <w:lang w:val="es-ES_tradnl"/>
        </w:rPr>
        <w:t>«i</w:t>
      </w:r>
      <w:r w:rsidRPr="00915C0C">
        <w:rPr>
          <w:rFonts w:ascii="Arial" w:hAnsi="Arial" w:cs="Arial"/>
          <w:color w:val="000000" w:themeColor="text1"/>
          <w:sz w:val="22"/>
          <w:lang w:val="es-ES_tradnl"/>
        </w:rPr>
        <w:t xml:space="preserve">) cuales son los actos precontractuales y contractuales y/o documentos de las distintas etapas del Contrato que finalmente deben las entidades del estado obligadas a Contratar por medio de la Plataforma SECOP II deben publicar; indistintamente de la naturaleza jurídica del Contrato o Convenio que se celebre, colocándose de presente que en ocasiones hay información que antes de ser publicada se encuentra sometida a reserva por ser información que incluye datos de </w:t>
      </w:r>
      <w:r w:rsidR="00225F05" w:rsidRPr="00ED0D6F">
        <w:rPr>
          <w:rFonts w:ascii="Arial" w:hAnsi="Arial" w:cs="Arial"/>
          <w:color w:val="000000" w:themeColor="text1"/>
          <w:sz w:val="22"/>
          <w:szCs w:val="22"/>
          <w:lang w:val="es-ES_tradnl"/>
        </w:rPr>
        <w:t>terceras</w:t>
      </w:r>
      <w:r w:rsidR="00225F05">
        <w:rPr>
          <w:rFonts w:ascii="Arial" w:hAnsi="Arial" w:cs="Arial"/>
          <w:color w:val="000000" w:themeColor="text1"/>
          <w:sz w:val="22"/>
          <w:szCs w:val="22"/>
          <w:lang w:val="es-ES_tradnl"/>
        </w:rPr>
        <w:t xml:space="preserve"> (sic)</w:t>
      </w:r>
      <w:r w:rsidR="00225F05" w:rsidRPr="00ED0D6F">
        <w:rPr>
          <w:rFonts w:ascii="Arial" w:hAnsi="Arial" w:cs="Arial"/>
          <w:color w:val="000000" w:themeColor="text1"/>
          <w:sz w:val="22"/>
          <w:szCs w:val="22"/>
          <w:lang w:val="es-ES_tradnl"/>
        </w:rPr>
        <w:t xml:space="preserve"> personas</w:t>
      </w:r>
      <w:r w:rsidRPr="00ED0D6F">
        <w:rPr>
          <w:rFonts w:ascii="Arial" w:hAnsi="Arial" w:cs="Arial"/>
          <w:color w:val="000000" w:themeColor="text1"/>
          <w:sz w:val="22"/>
          <w:szCs w:val="22"/>
          <w:lang w:val="es-ES_tradnl"/>
        </w:rPr>
        <w:t>.»</w:t>
      </w:r>
    </w:p>
    <w:p w14:paraId="18B33146" w14:textId="1C26A8BF" w:rsidR="002306BF" w:rsidRPr="00ED0D6F" w:rsidRDefault="002306BF" w:rsidP="009E03C7">
      <w:pPr>
        <w:spacing w:line="276" w:lineRule="auto"/>
        <w:jc w:val="both"/>
        <w:rPr>
          <w:rFonts w:ascii="Arial" w:hAnsi="Arial" w:cs="Arial"/>
          <w:color w:val="000000" w:themeColor="text1"/>
          <w:sz w:val="22"/>
          <w:szCs w:val="22"/>
        </w:rPr>
      </w:pPr>
    </w:p>
    <w:p w14:paraId="68EBB552" w14:textId="6D5C8552" w:rsidR="00ED0D6F" w:rsidRPr="00ED0D6F" w:rsidRDefault="00ED0D6F" w:rsidP="00A02F05">
      <w:pPr>
        <w:widowControl w:val="0"/>
        <w:autoSpaceDE w:val="0"/>
        <w:autoSpaceDN w:val="0"/>
        <w:spacing w:after="120" w:line="276" w:lineRule="auto"/>
        <w:jc w:val="both"/>
        <w:rPr>
          <w:rFonts w:ascii="Arial" w:eastAsia="Arial" w:hAnsi="Arial" w:cs="Arial"/>
          <w:sz w:val="22"/>
          <w:szCs w:val="22"/>
          <w:lang w:val="es-ES"/>
        </w:rPr>
      </w:pPr>
      <w:r w:rsidRPr="00ED0D6F">
        <w:rPr>
          <w:rFonts w:ascii="Arial" w:hAnsi="Arial" w:cs="Arial"/>
          <w:color w:val="000000"/>
          <w:sz w:val="22"/>
          <w:szCs w:val="22"/>
          <w:shd w:val="clear" w:color="auto" w:fill="FFFFFF"/>
        </w:rPr>
        <w:t>De acuerdo con las consideraciones de este concepto</w:t>
      </w:r>
      <w:r w:rsidR="00FA2491">
        <w:rPr>
          <w:rFonts w:ascii="Arial" w:hAnsi="Arial" w:cs="Arial"/>
          <w:color w:val="000000"/>
          <w:sz w:val="22"/>
          <w:szCs w:val="22"/>
          <w:shd w:val="clear" w:color="auto" w:fill="FFFFFF"/>
        </w:rPr>
        <w:t>,</w:t>
      </w:r>
      <w:r w:rsidRPr="00ED0D6F">
        <w:rPr>
          <w:rFonts w:ascii="Arial" w:hAnsi="Arial" w:cs="Arial"/>
          <w:color w:val="000000"/>
          <w:sz w:val="22"/>
          <w:szCs w:val="22"/>
          <w:shd w:val="clear" w:color="auto" w:fill="FFFFFF"/>
        </w:rPr>
        <w:t xml:space="preserve"> </w:t>
      </w:r>
      <w:r w:rsidRPr="00ED0D6F">
        <w:rPr>
          <w:rFonts w:ascii="Arial" w:hAnsi="Arial" w:cs="Arial"/>
          <w:sz w:val="22"/>
          <w:szCs w:val="22"/>
        </w:rPr>
        <w:t>por regla general aplica la publicación proactiva de la información pública, incluyendo la relacionada en materia contractual, mediante su publicación en el SECOP</w:t>
      </w:r>
      <w:r w:rsidR="00FA2491">
        <w:rPr>
          <w:rFonts w:ascii="Arial" w:hAnsi="Arial" w:cs="Arial"/>
          <w:sz w:val="22"/>
          <w:szCs w:val="22"/>
        </w:rPr>
        <w:t>.</w:t>
      </w:r>
      <w:r w:rsidR="00225F05">
        <w:rPr>
          <w:rFonts w:ascii="Arial" w:hAnsi="Arial" w:cs="Arial"/>
          <w:sz w:val="22"/>
          <w:szCs w:val="22"/>
        </w:rPr>
        <w:t xml:space="preserve"> </w:t>
      </w:r>
      <w:r w:rsidR="00FA2491">
        <w:rPr>
          <w:rFonts w:ascii="Arial" w:hAnsi="Arial" w:cs="Arial"/>
          <w:sz w:val="22"/>
          <w:szCs w:val="22"/>
        </w:rPr>
        <w:t>P</w:t>
      </w:r>
      <w:r w:rsidR="00225F05">
        <w:rPr>
          <w:rFonts w:ascii="Arial" w:hAnsi="Arial" w:cs="Arial"/>
          <w:sz w:val="22"/>
          <w:szCs w:val="22"/>
        </w:rPr>
        <w:t>or tal razón</w:t>
      </w:r>
      <w:r w:rsidR="00FA2491">
        <w:rPr>
          <w:rFonts w:ascii="Arial" w:hAnsi="Arial" w:cs="Arial"/>
          <w:sz w:val="22"/>
          <w:szCs w:val="22"/>
        </w:rPr>
        <w:t>,</w:t>
      </w:r>
      <w:r w:rsidR="00225F05">
        <w:rPr>
          <w:rFonts w:ascii="Arial" w:hAnsi="Arial" w:cs="Arial"/>
          <w:sz w:val="22"/>
          <w:szCs w:val="22"/>
        </w:rPr>
        <w:t xml:space="preserve"> se deberán publicar</w:t>
      </w:r>
      <w:r w:rsidRPr="00ED0D6F">
        <w:rPr>
          <w:rFonts w:ascii="Arial" w:hAnsi="Arial" w:cs="Arial"/>
          <w:sz w:val="22"/>
          <w:szCs w:val="22"/>
        </w:rPr>
        <w:t xml:space="preserve"> </w:t>
      </w:r>
      <w:r w:rsidRPr="00ED0D6F">
        <w:rPr>
          <w:rFonts w:ascii="Arial" w:eastAsia="Arial" w:hAnsi="Arial" w:cs="Arial"/>
          <w:sz w:val="22"/>
          <w:szCs w:val="22"/>
          <w:lang w:val="es-ES"/>
        </w:rPr>
        <w:t xml:space="preserve">«[…] los Documentos del Proceso y los actos administrativos del Proceso de Contratación, dentro de los tres (3) días siguientes a su expedición […]». La expresión </w:t>
      </w:r>
      <w:r w:rsidRPr="00ED0D6F">
        <w:rPr>
          <w:rFonts w:ascii="Arial" w:eastAsia="Arial" w:hAnsi="Arial" w:cs="Arial"/>
          <w:i/>
          <w:iCs/>
          <w:sz w:val="22"/>
          <w:szCs w:val="22"/>
          <w:lang w:val="es-ES"/>
        </w:rPr>
        <w:t>Documentos del Proceso</w:t>
      </w:r>
      <w:r w:rsidRPr="00ED0D6F">
        <w:rPr>
          <w:rFonts w:ascii="Arial" w:eastAsia="Arial" w:hAnsi="Arial" w:cs="Arial"/>
          <w:sz w:val="22"/>
          <w:szCs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3598012E" w14:textId="77777777" w:rsidR="00ED0D6F" w:rsidRPr="00ED0D6F" w:rsidRDefault="00ED0D6F" w:rsidP="00ED0D6F">
      <w:pPr>
        <w:widowControl w:val="0"/>
        <w:autoSpaceDE w:val="0"/>
        <w:autoSpaceDN w:val="0"/>
        <w:spacing w:after="120" w:line="276" w:lineRule="auto"/>
        <w:ind w:firstLine="709"/>
        <w:jc w:val="both"/>
        <w:rPr>
          <w:rFonts w:ascii="Arial" w:eastAsia="Arial" w:hAnsi="Arial" w:cs="Arial"/>
          <w:sz w:val="22"/>
          <w:szCs w:val="22"/>
          <w:lang w:val="es-ES"/>
        </w:rPr>
      </w:pPr>
      <w:r w:rsidRPr="00ED0D6F">
        <w:rPr>
          <w:rFonts w:ascii="Arial" w:eastAsia="Arial" w:hAnsi="Arial" w:cs="Arial"/>
          <w:sz w:val="22"/>
          <w:szCs w:val="22"/>
          <w:lang w:val="es-ES"/>
        </w:rPr>
        <w:t xml:space="preserve">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proofErr w:type="spellStart"/>
      <w:r w:rsidRPr="00ED0D6F">
        <w:rPr>
          <w:rFonts w:ascii="Arial" w:eastAsia="Arial" w:hAnsi="Arial" w:cs="Arial"/>
          <w:i/>
          <w:iCs/>
          <w:sz w:val="22"/>
          <w:szCs w:val="22"/>
          <w:lang w:val="es-ES"/>
        </w:rPr>
        <w:t>Ibídem</w:t>
      </w:r>
      <w:proofErr w:type="spellEnd"/>
      <w:r w:rsidRPr="00ED0D6F">
        <w:rPr>
          <w:rFonts w:ascii="Arial" w:eastAsia="Arial" w:hAnsi="Arial" w:cs="Arial"/>
          <w:sz w:val="22"/>
          <w:szCs w:val="22"/>
          <w:lang w:val="es-ES"/>
        </w:rPr>
        <w:t xml:space="preserve"> recoge en la noción de </w:t>
      </w:r>
      <w:r w:rsidRPr="00ED0D6F">
        <w:rPr>
          <w:rFonts w:ascii="Arial" w:eastAsia="Arial" w:hAnsi="Arial" w:cs="Arial"/>
          <w:i/>
          <w:iCs/>
          <w:sz w:val="22"/>
          <w:szCs w:val="22"/>
          <w:lang w:val="es-ES"/>
        </w:rPr>
        <w:t>Documentos del Proceso</w:t>
      </w:r>
      <w:r w:rsidRPr="00ED0D6F">
        <w:rPr>
          <w:rFonts w:ascii="Arial" w:eastAsia="Arial" w:hAnsi="Arial" w:cs="Arial"/>
          <w:sz w:val="22"/>
          <w:szCs w:val="22"/>
          <w:lang w:val="es-ES"/>
        </w:rPr>
        <w:t xml:space="preserve"> «cualquier otro documento expedido por la Entidad Estatal durante el </w:t>
      </w:r>
      <w:r w:rsidRPr="00ED0D6F">
        <w:rPr>
          <w:rFonts w:ascii="Arial" w:eastAsia="Arial" w:hAnsi="Arial" w:cs="Arial"/>
          <w:i/>
          <w:iCs/>
          <w:sz w:val="22"/>
          <w:szCs w:val="22"/>
          <w:lang w:val="es-ES"/>
        </w:rPr>
        <w:t>Proceso de Contratación»</w:t>
      </w:r>
      <w:r w:rsidRPr="00ED0D6F">
        <w:rPr>
          <w:rFonts w:ascii="Arial" w:eastAsia="Arial" w:hAnsi="Arial" w:cs="Arial"/>
          <w:sz w:val="22"/>
          <w:szCs w:val="22"/>
          <w:lang w:val="es-ES"/>
        </w:rPr>
        <w:t xml:space="preserve">. Este mismo artículo define la expresión </w:t>
      </w:r>
      <w:r w:rsidRPr="00ED0D6F">
        <w:rPr>
          <w:rFonts w:ascii="Arial" w:eastAsia="Arial" w:hAnsi="Arial" w:cs="Arial"/>
          <w:i/>
          <w:iCs/>
          <w:sz w:val="22"/>
          <w:szCs w:val="22"/>
          <w:lang w:val="es-ES"/>
        </w:rPr>
        <w:t>Proceso de Contratación</w:t>
      </w:r>
      <w:r w:rsidRPr="00ED0D6F">
        <w:rPr>
          <w:rFonts w:ascii="Arial" w:eastAsia="Arial" w:hAnsi="Arial" w:cs="Arial"/>
          <w:sz w:val="22"/>
          <w:szCs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23720346" w14:textId="6B1112FC" w:rsidR="00ED0D6F" w:rsidRPr="00ED0D6F" w:rsidRDefault="00225F05" w:rsidP="00225F05">
      <w:pPr>
        <w:spacing w:line="276" w:lineRule="auto"/>
        <w:ind w:firstLine="708"/>
        <w:jc w:val="both"/>
        <w:rPr>
          <w:rFonts w:ascii="Arial" w:hAnsi="Arial" w:cs="Arial"/>
          <w:color w:val="000000"/>
          <w:sz w:val="22"/>
          <w:szCs w:val="22"/>
          <w:shd w:val="clear" w:color="auto" w:fill="FFFFFF"/>
        </w:rPr>
      </w:pPr>
      <w:r>
        <w:rPr>
          <w:rFonts w:ascii="Arial" w:hAnsi="Arial" w:cs="Arial"/>
          <w:sz w:val="22"/>
          <w:szCs w:val="22"/>
        </w:rPr>
        <w:t>De otro lado</w:t>
      </w:r>
      <w:r w:rsidR="00ED0D6F" w:rsidRPr="00ED0D6F">
        <w:rPr>
          <w:rFonts w:ascii="Arial" w:hAnsi="Arial" w:cs="Arial"/>
          <w:sz w:val="22"/>
          <w:szCs w:val="22"/>
        </w:rPr>
        <w:t xml:space="preserve">, reiterando una idea recurrente, es posible que el constituyente o el legislador establezcan </w:t>
      </w:r>
      <w:r w:rsidR="00ED0D6F" w:rsidRPr="00ED0D6F">
        <w:rPr>
          <w:rFonts w:ascii="Arial" w:hAnsi="Arial" w:cs="Arial"/>
          <w:i/>
          <w:iCs/>
          <w:sz w:val="22"/>
          <w:szCs w:val="22"/>
        </w:rPr>
        <w:t xml:space="preserve">reservas </w:t>
      </w:r>
      <w:r w:rsidR="00ED0D6F" w:rsidRPr="00ED0D6F">
        <w:rPr>
          <w:rFonts w:ascii="Arial" w:hAnsi="Arial" w:cs="Arial"/>
          <w:sz w:val="22"/>
          <w:szCs w:val="22"/>
        </w:rPr>
        <w:t>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 caso en el cual dicha información no debe publicarse en el SECOP, precisamente por tratarse de información reservada. En estos casos, debe procederse conforme lo establecido en la Ley 1712 de 2014, particularmente, cumpliendo las obligaciones y los deberes establecidos en el título III «Excepciones acceso a la información».</w:t>
      </w:r>
    </w:p>
    <w:p w14:paraId="122456F8" w14:textId="77777777" w:rsidR="00E5555F" w:rsidRPr="00874F0A" w:rsidRDefault="00E5555F" w:rsidP="009E03C7">
      <w:pPr>
        <w:spacing w:line="276" w:lineRule="auto"/>
        <w:jc w:val="both"/>
        <w:rPr>
          <w:rFonts w:ascii="Arial" w:hAnsi="Arial" w:cs="Arial"/>
          <w:color w:val="000000" w:themeColor="text1"/>
          <w:sz w:val="22"/>
          <w:szCs w:val="22"/>
        </w:rPr>
      </w:pPr>
    </w:p>
    <w:p w14:paraId="7B2C921D" w14:textId="0F929B38" w:rsidR="00DD5B04" w:rsidRPr="005419DA" w:rsidRDefault="00DD5B04" w:rsidP="00DF76A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lastRenderedPageBreak/>
        <w:t>Este concepto tiene el alcance previsto en el artículo 28 del Código de Procedimiento Administrativo y de lo Contencioso Administrativo.</w:t>
      </w:r>
    </w:p>
    <w:p w14:paraId="77EE5912" w14:textId="77777777" w:rsidR="00DD5B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92FC307" w14:textId="0B17DC14" w:rsidR="00921304" w:rsidRPr="005419DA"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30AA3DC7" w14:textId="7F313C35" w:rsidR="00921304" w:rsidRPr="005419DA" w:rsidRDefault="00D9118C"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161616" w:themeColor="background1" w:themeShade="1A"/>
        </w:rPr>
        <w:drawing>
          <wp:inline distT="0" distB="0" distL="0" distR="0" wp14:anchorId="1EDFB3CB" wp14:editId="07013403">
            <wp:extent cx="2533650" cy="981075"/>
            <wp:effectExtent l="0" t="0" r="0" b="9525"/>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3650" cy="981075"/>
                    </a:xfrm>
                    <a:prstGeom prst="rect">
                      <a:avLst/>
                    </a:prstGeom>
                    <a:noFill/>
                    <a:ln>
                      <a:noFill/>
                    </a:ln>
                  </pic:spPr>
                </pic:pic>
              </a:graphicData>
            </a:graphic>
          </wp:inline>
        </w:drawing>
      </w:r>
    </w:p>
    <w:p w14:paraId="5CBAE239" w14:textId="77777777" w:rsidR="00425C43" w:rsidRPr="005419DA" w:rsidRDefault="00425C43" w:rsidP="00B37657">
      <w:pPr>
        <w:jc w:val="center"/>
        <w:rPr>
          <w:rFonts w:ascii="Arial" w:hAnsi="Arial" w:cs="Arial"/>
          <w:color w:val="000000" w:themeColor="text1"/>
          <w:sz w:val="18"/>
          <w:szCs w:val="20"/>
          <w:lang w:val="es-ES_tradnl" w:eastAsia="es-CO"/>
        </w:rPr>
      </w:pPr>
    </w:p>
    <w:p w14:paraId="49730030" w14:textId="217D35F3" w:rsidR="00DD5B04" w:rsidRPr="005419DA"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419DA" w14:paraId="0C7DC5F7" w14:textId="77777777" w:rsidTr="008F4163">
        <w:trPr>
          <w:trHeight w:val="315"/>
        </w:trPr>
        <w:tc>
          <w:tcPr>
            <w:tcW w:w="812" w:type="dxa"/>
            <w:vAlign w:val="center"/>
            <w:hideMark/>
          </w:tcPr>
          <w:p w14:paraId="5BDB1AC9"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F9999AF" w14:textId="2F714828" w:rsidR="00AB2728" w:rsidRPr="008C4836" w:rsidRDefault="00075047" w:rsidP="00AB272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Edwin Johan Chocontá Quintero </w:t>
            </w:r>
          </w:p>
          <w:p w14:paraId="240C71FD" w14:textId="6E7B780D" w:rsidR="00DD5B04" w:rsidRPr="005419DA" w:rsidRDefault="00075047"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Analista T2-02</w:t>
            </w:r>
            <w:r w:rsidR="00AB2728" w:rsidRPr="008C4836">
              <w:rPr>
                <w:rFonts w:ascii="Arial" w:hAnsi="Arial" w:cs="Arial"/>
                <w:color w:val="000000" w:themeColor="text1"/>
                <w:sz w:val="16"/>
                <w:szCs w:val="16"/>
                <w:lang w:val="es-ES_tradnl" w:eastAsia="es-ES"/>
              </w:rPr>
              <w:t xml:space="preserve"> de la Subdirección de Gestión Contractual</w:t>
            </w:r>
          </w:p>
        </w:tc>
      </w:tr>
      <w:tr w:rsidR="00DD5B04" w:rsidRPr="005419DA" w14:paraId="2F8FD650" w14:textId="77777777" w:rsidTr="008F4163">
        <w:trPr>
          <w:trHeight w:val="330"/>
        </w:trPr>
        <w:tc>
          <w:tcPr>
            <w:tcW w:w="812" w:type="dxa"/>
            <w:vAlign w:val="center"/>
            <w:hideMark/>
          </w:tcPr>
          <w:p w14:paraId="50203A0B" w14:textId="77777777" w:rsidR="00DD5B04" w:rsidRPr="005419DA" w:rsidRDefault="00DD5B04" w:rsidP="00DF76A2">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DD4CB5" w14:textId="11738C3C" w:rsidR="00AB2728" w:rsidRPr="005419DA" w:rsidRDefault="00075047" w:rsidP="00AB272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Cristian </w:t>
            </w:r>
            <w:r w:rsidR="004F084B">
              <w:rPr>
                <w:rFonts w:ascii="Arial" w:hAnsi="Arial" w:cs="Arial"/>
                <w:color w:val="000000" w:themeColor="text1"/>
                <w:sz w:val="16"/>
                <w:szCs w:val="16"/>
                <w:lang w:val="es-ES_tradnl" w:eastAsia="es-ES"/>
              </w:rPr>
              <w:t xml:space="preserve">Andrés </w:t>
            </w:r>
            <w:r>
              <w:rPr>
                <w:rFonts w:ascii="Arial" w:hAnsi="Arial" w:cs="Arial"/>
                <w:color w:val="000000" w:themeColor="text1"/>
                <w:sz w:val="16"/>
                <w:szCs w:val="16"/>
                <w:lang w:val="es-ES_tradnl" w:eastAsia="es-ES"/>
              </w:rPr>
              <w:t>D</w:t>
            </w:r>
            <w:r w:rsidR="004F084B">
              <w:rPr>
                <w:rFonts w:ascii="Arial" w:hAnsi="Arial" w:cs="Arial"/>
                <w:color w:val="000000" w:themeColor="text1"/>
                <w:sz w:val="16"/>
                <w:szCs w:val="16"/>
                <w:lang w:val="es-ES_tradnl" w:eastAsia="es-ES"/>
              </w:rPr>
              <w:t>í</w:t>
            </w:r>
            <w:r>
              <w:rPr>
                <w:rFonts w:ascii="Arial" w:hAnsi="Arial" w:cs="Arial"/>
                <w:color w:val="000000" w:themeColor="text1"/>
                <w:sz w:val="16"/>
                <w:szCs w:val="16"/>
                <w:lang w:val="es-ES_tradnl" w:eastAsia="es-ES"/>
              </w:rPr>
              <w:t>az</w:t>
            </w:r>
            <w:r w:rsidR="004F084B">
              <w:rPr>
                <w:rFonts w:ascii="Arial" w:hAnsi="Arial" w:cs="Arial"/>
                <w:color w:val="000000" w:themeColor="text1"/>
                <w:sz w:val="16"/>
                <w:szCs w:val="16"/>
                <w:lang w:val="es-ES_tradnl" w:eastAsia="es-ES"/>
              </w:rPr>
              <w:t xml:space="preserve"> Díez</w:t>
            </w:r>
          </w:p>
          <w:p w14:paraId="130B3228" w14:textId="3919F281" w:rsidR="00DD5B04" w:rsidRPr="005419DA" w:rsidRDefault="00075047" w:rsidP="00F1085C">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w:t>
            </w:r>
            <w:r w:rsidRPr="008C4836">
              <w:rPr>
                <w:rFonts w:ascii="Arial" w:hAnsi="Arial" w:cs="Arial"/>
                <w:color w:val="000000" w:themeColor="text1"/>
                <w:sz w:val="16"/>
                <w:szCs w:val="16"/>
                <w:lang w:val="es-ES_tradnl" w:eastAsia="es-ES"/>
              </w:rPr>
              <w:t>la Subdirección de Gestión Contractual</w:t>
            </w:r>
          </w:p>
        </w:tc>
      </w:tr>
      <w:tr w:rsidR="00075047" w:rsidRPr="005419DA" w14:paraId="0FCBCA4A" w14:textId="77777777" w:rsidTr="008F4163">
        <w:trPr>
          <w:trHeight w:val="300"/>
        </w:trPr>
        <w:tc>
          <w:tcPr>
            <w:tcW w:w="812" w:type="dxa"/>
            <w:vAlign w:val="center"/>
            <w:hideMark/>
          </w:tcPr>
          <w:p w14:paraId="3C1D943A" w14:textId="77777777" w:rsidR="00075047" w:rsidRPr="005419DA" w:rsidRDefault="00075047" w:rsidP="00075047">
            <w:pPr>
              <w:jc w:val="both"/>
              <w:rPr>
                <w:rFonts w:ascii="Arial" w:hAnsi="Arial" w:cs="Arial"/>
                <w:color w:val="000000" w:themeColor="text1"/>
                <w:sz w:val="16"/>
                <w:szCs w:val="16"/>
                <w:lang w:val="es-ES_tradnl" w:eastAsia="es-ES"/>
              </w:rPr>
            </w:pPr>
            <w:r w:rsidRPr="005419D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F5EEF6" w14:textId="77777777" w:rsidR="00075047" w:rsidRDefault="00075047" w:rsidP="00075047">
            <w:pPr>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Marín López</w:t>
            </w:r>
          </w:p>
          <w:p w14:paraId="1ADC483B" w14:textId="7BDD1886" w:rsidR="00075047" w:rsidRPr="005419DA" w:rsidRDefault="00075047" w:rsidP="00075047">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 (E)</w:t>
            </w:r>
          </w:p>
        </w:tc>
      </w:tr>
      <w:bookmarkEnd w:id="0"/>
    </w:tbl>
    <w:p w14:paraId="35B56F46" w14:textId="77777777" w:rsidR="00746E08" w:rsidRPr="005419DA" w:rsidRDefault="00746E08" w:rsidP="00215B8E">
      <w:pPr>
        <w:jc w:val="both"/>
        <w:rPr>
          <w:rFonts w:ascii="Arial" w:hAnsi="Arial" w:cs="Arial"/>
          <w:lang w:val="es-ES_tradnl"/>
        </w:rPr>
      </w:pPr>
    </w:p>
    <w:sectPr w:rsidR="00746E08" w:rsidRPr="005419DA"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E6ED" w14:textId="77777777" w:rsidR="0099070B" w:rsidRDefault="0099070B">
      <w:r>
        <w:separator/>
      </w:r>
    </w:p>
  </w:endnote>
  <w:endnote w:type="continuationSeparator" w:id="0">
    <w:p w14:paraId="146AA979" w14:textId="77777777" w:rsidR="0099070B" w:rsidRDefault="0099070B">
      <w:r>
        <w:continuationSeparator/>
      </w:r>
    </w:p>
  </w:endnote>
  <w:endnote w:type="continuationNotice" w:id="1">
    <w:p w14:paraId="64F9F6F0" w14:textId="77777777" w:rsidR="0099070B" w:rsidRDefault="00990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E9A2" w14:textId="77777777" w:rsidR="0099070B" w:rsidRDefault="0099070B">
      <w:r>
        <w:separator/>
      </w:r>
    </w:p>
  </w:footnote>
  <w:footnote w:type="continuationSeparator" w:id="0">
    <w:p w14:paraId="198A35B5" w14:textId="77777777" w:rsidR="0099070B" w:rsidRDefault="0099070B">
      <w:r>
        <w:continuationSeparator/>
      </w:r>
    </w:p>
  </w:footnote>
  <w:footnote w:type="continuationNotice" w:id="1">
    <w:p w14:paraId="036A0E46" w14:textId="77777777" w:rsidR="0099070B" w:rsidRDefault="0099070B"/>
  </w:footnote>
  <w:footnote w:id="2">
    <w:p w14:paraId="759E922D" w14:textId="77777777" w:rsidR="00CB48EA" w:rsidRPr="002E060B" w:rsidRDefault="00CB48EA" w:rsidP="00CB48EA">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3">
    <w:p w14:paraId="3933717C" w14:textId="77777777" w:rsidR="00A02F05" w:rsidRPr="002E060B" w:rsidRDefault="00A02F05" w:rsidP="00A02F05">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4">
    <w:p w14:paraId="059567F5" w14:textId="77777777" w:rsidR="00A02F05" w:rsidRPr="002E060B" w:rsidRDefault="00A02F05" w:rsidP="00A02F05">
      <w:pPr>
        <w:pStyle w:val="Textonotapie"/>
        <w:ind w:firstLine="709"/>
        <w:jc w:val="both"/>
        <w:rPr>
          <w:rFonts w:ascii="Arial" w:hAnsi="Arial" w:cs="Arial"/>
          <w:color w:val="000000" w:themeColor="text1"/>
          <w:sz w:val="18"/>
          <w:szCs w:val="18"/>
        </w:rPr>
      </w:pPr>
    </w:p>
    <w:p w14:paraId="4FC1E789"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C- 341 del 4 de junio de 2014. M. P. Mauricio González Cuervo.</w:t>
      </w:r>
    </w:p>
    <w:p w14:paraId="5CDC6230" w14:textId="77777777" w:rsidR="00A02F05" w:rsidRPr="002E060B" w:rsidRDefault="00A02F05" w:rsidP="00A02F05">
      <w:pPr>
        <w:pStyle w:val="Textonotapie"/>
        <w:ind w:firstLine="709"/>
        <w:jc w:val="both"/>
        <w:rPr>
          <w:rFonts w:ascii="Arial" w:hAnsi="Arial" w:cs="Arial"/>
          <w:color w:val="000000" w:themeColor="text1"/>
          <w:sz w:val="18"/>
          <w:szCs w:val="18"/>
        </w:rPr>
      </w:pPr>
    </w:p>
  </w:footnote>
  <w:footnote w:id="5">
    <w:p w14:paraId="0DAFA91A"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6F6FFDF" w14:textId="77777777" w:rsidR="00A02F05" w:rsidRPr="002E060B" w:rsidRDefault="00A02F05" w:rsidP="00A02F05">
      <w:pPr>
        <w:pStyle w:val="Textonotapie"/>
        <w:ind w:firstLine="709"/>
        <w:jc w:val="both"/>
        <w:rPr>
          <w:rFonts w:ascii="Arial" w:hAnsi="Arial" w:cs="Arial"/>
          <w:color w:val="000000" w:themeColor="text1"/>
          <w:sz w:val="18"/>
          <w:szCs w:val="18"/>
        </w:rPr>
      </w:pPr>
      <w:proofErr w:type="gramStart"/>
      <w:r w:rsidRPr="002E060B">
        <w:rPr>
          <w:rFonts w:ascii="Arial" w:hAnsi="Arial" w:cs="Arial"/>
          <w:color w:val="000000" w:themeColor="text1"/>
          <w:sz w:val="18"/>
          <w:szCs w:val="18"/>
        </w:rPr>
        <w:t>»Lo</w:t>
      </w:r>
      <w:proofErr w:type="gramEnd"/>
      <w:r w:rsidRPr="002E060B">
        <w:rPr>
          <w:rFonts w:ascii="Arial" w:hAnsi="Arial" w:cs="Arial"/>
          <w:color w:val="000000" w:themeColor="text1"/>
          <w:sz w:val="18"/>
          <w:szCs w:val="18"/>
        </w:rPr>
        <w:t xml:space="preserve"> anterior, sin perjuicio de las publicaciones previstas en el numeral 3 del artículo 30 de la Ley 80 de 1993.</w:t>
      </w:r>
    </w:p>
    <w:p w14:paraId="6CC2D50B" w14:textId="77777777" w:rsidR="00A02F05" w:rsidRPr="002E060B" w:rsidRDefault="00A02F05" w:rsidP="00A02F05">
      <w:pPr>
        <w:pStyle w:val="Textonotapie"/>
        <w:ind w:firstLine="709"/>
        <w:jc w:val="both"/>
        <w:rPr>
          <w:rFonts w:ascii="Arial" w:hAnsi="Arial" w:cs="Arial"/>
          <w:color w:val="000000" w:themeColor="text1"/>
          <w:sz w:val="18"/>
          <w:szCs w:val="18"/>
        </w:rPr>
      </w:pPr>
      <w:proofErr w:type="gramStart"/>
      <w:r w:rsidRPr="002E060B">
        <w:rPr>
          <w:rFonts w:ascii="Arial" w:hAnsi="Arial" w:cs="Arial"/>
          <w:color w:val="000000" w:themeColor="text1"/>
          <w:sz w:val="18"/>
          <w:szCs w:val="18"/>
        </w:rPr>
        <w:t>»Con</w:t>
      </w:r>
      <w:proofErr w:type="gramEnd"/>
      <w:r w:rsidRPr="002E060B">
        <w:rPr>
          <w:rFonts w:ascii="Arial" w:hAnsi="Arial" w:cs="Arial"/>
          <w:color w:val="000000" w:themeColor="text1"/>
          <w:sz w:val="18"/>
          <w:szCs w:val="18"/>
        </w:rPr>
        <w:t xml:space="preserve"> el fin de materializar los objetivos a que se refiere el inciso anterior, el Gobierno Nacional desarrollará el Sistema Electrónico para la Contratación Pública, </w:t>
      </w:r>
      <w:proofErr w:type="spellStart"/>
      <w:r w:rsidRPr="002E060B">
        <w:rPr>
          <w:rFonts w:ascii="Arial" w:hAnsi="Arial" w:cs="Arial"/>
          <w:color w:val="000000" w:themeColor="text1"/>
          <w:sz w:val="18"/>
          <w:szCs w:val="18"/>
        </w:rPr>
        <w:t>Secop</w:t>
      </w:r>
      <w:proofErr w:type="spellEnd"/>
      <w:r w:rsidRPr="002E060B">
        <w:rPr>
          <w:rFonts w:ascii="Arial" w:hAnsi="Arial" w:cs="Arial"/>
          <w:color w:val="000000" w:themeColor="text1"/>
          <w:sz w:val="18"/>
          <w:szCs w:val="18"/>
        </w:rPr>
        <w:t xml:space="preserve">, el cual: </w:t>
      </w:r>
    </w:p>
    <w:p w14:paraId="0973E855"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3EA4B68F"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4FFC4FD5" w14:textId="77777777" w:rsidR="00A02F05" w:rsidRPr="002E060B" w:rsidRDefault="00A02F05" w:rsidP="00A02F05">
      <w:pPr>
        <w:pStyle w:val="Textonotapie"/>
        <w:ind w:firstLine="709"/>
        <w:jc w:val="both"/>
        <w:rPr>
          <w:rFonts w:ascii="Arial" w:hAnsi="Arial" w:cs="Arial"/>
          <w:color w:val="000000" w:themeColor="text1"/>
          <w:sz w:val="18"/>
          <w:szCs w:val="18"/>
          <w:lang w:val="es-CO"/>
        </w:rPr>
      </w:pPr>
    </w:p>
  </w:footnote>
  <w:footnote w:id="6">
    <w:p w14:paraId="1D8F8DF3"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27456883" w14:textId="77777777" w:rsidR="00A02F05" w:rsidRPr="002E060B" w:rsidRDefault="00A02F05" w:rsidP="00A02F05">
      <w:pPr>
        <w:pStyle w:val="Textonotapie"/>
        <w:ind w:firstLine="709"/>
        <w:jc w:val="both"/>
        <w:rPr>
          <w:rFonts w:ascii="Arial" w:hAnsi="Arial" w:cs="Arial"/>
          <w:color w:val="000000" w:themeColor="text1"/>
          <w:sz w:val="18"/>
          <w:szCs w:val="18"/>
          <w:lang w:val="es-CO"/>
        </w:rPr>
      </w:pPr>
    </w:p>
  </w:footnote>
  <w:footnote w:id="7">
    <w:p w14:paraId="2CC73D23"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72812F7E" w14:textId="77777777" w:rsidR="00A02F05" w:rsidRPr="002E060B" w:rsidRDefault="00A02F05" w:rsidP="00A02F05">
      <w:pPr>
        <w:pStyle w:val="Textonotapie"/>
        <w:ind w:firstLine="709"/>
        <w:jc w:val="both"/>
        <w:rPr>
          <w:rFonts w:ascii="Arial" w:hAnsi="Arial" w:cs="Arial"/>
          <w:color w:val="000000" w:themeColor="text1"/>
          <w:sz w:val="18"/>
          <w:szCs w:val="18"/>
        </w:rPr>
      </w:pPr>
      <w:proofErr w:type="gramStart"/>
      <w:r w:rsidRPr="002E060B">
        <w:rPr>
          <w:rFonts w:ascii="Arial" w:hAnsi="Arial" w:cs="Arial"/>
          <w:color w:val="000000" w:themeColor="text1"/>
          <w:sz w:val="18"/>
          <w:szCs w:val="18"/>
        </w:rPr>
        <w:t>»a</w:t>
      </w:r>
      <w:proofErr w:type="gramEnd"/>
      <w:r w:rsidRPr="002E060B">
        <w:rPr>
          <w:rFonts w:ascii="Arial" w:hAnsi="Arial" w:cs="Arial"/>
          <w:color w:val="000000" w:themeColor="text1"/>
          <w:sz w:val="18"/>
          <w:szCs w:val="18"/>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6107F56C" w14:textId="77777777" w:rsidR="00A02F05" w:rsidRPr="002E060B" w:rsidRDefault="00A02F05" w:rsidP="00A02F05">
      <w:pPr>
        <w:pStyle w:val="Textonotapie"/>
        <w:ind w:firstLine="709"/>
        <w:jc w:val="both"/>
        <w:rPr>
          <w:rFonts w:ascii="Arial" w:hAnsi="Arial" w:cs="Arial"/>
          <w:color w:val="000000" w:themeColor="text1"/>
          <w:sz w:val="18"/>
          <w:szCs w:val="18"/>
          <w:lang w:val="es-CO"/>
        </w:rPr>
      </w:pPr>
    </w:p>
  </w:footnote>
  <w:footnote w:id="8">
    <w:p w14:paraId="095F2BCB"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Fonts w:ascii="Arial" w:eastAsia="Times New Roman" w:hAnsi="Arial" w:cs="Arial"/>
          <w:color w:val="000000" w:themeColor="text1"/>
          <w:sz w:val="18"/>
          <w:szCs w:val="18"/>
          <w:vertAlign w:val="superscript"/>
          <w:lang w:val="es-ES" w:eastAsia="es-ES"/>
        </w:rPr>
        <w:footnoteRef/>
      </w:r>
      <w:r w:rsidRPr="002E060B">
        <w:rPr>
          <w:rFonts w:ascii="Arial" w:eastAsia="Times New Roman" w:hAnsi="Arial" w:cs="Arial"/>
          <w:color w:val="000000" w:themeColor="text1"/>
          <w:sz w:val="18"/>
          <w:szCs w:val="18"/>
          <w:vertAlign w:val="superscript"/>
          <w:lang w:val="es-ES" w:eastAsia="es-ES"/>
        </w:rPr>
        <w:t xml:space="preserve"> </w:t>
      </w:r>
      <w:r w:rsidRPr="002E060B">
        <w:rPr>
          <w:rFonts w:ascii="Arial" w:eastAsia="Times New Roman" w:hAnsi="Arial" w:cs="Arial"/>
          <w:color w:val="000000" w:themeColor="text1"/>
          <w:sz w:val="18"/>
          <w:szCs w:val="18"/>
          <w:lang w:val="es-ES" w:eastAsia="es-ES"/>
        </w:rPr>
        <w:t>«</w:t>
      </w:r>
      <w:r w:rsidRPr="002E060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31FD261" w14:textId="77777777" w:rsidR="00A02F05" w:rsidRPr="002E060B" w:rsidRDefault="00A02F05" w:rsidP="00A02F05">
      <w:pPr>
        <w:pStyle w:val="Textonotapie"/>
        <w:ind w:firstLine="709"/>
        <w:jc w:val="both"/>
        <w:rPr>
          <w:rFonts w:ascii="Arial" w:eastAsia="Times New Roman" w:hAnsi="Arial" w:cs="Arial"/>
          <w:color w:val="000000" w:themeColor="text1"/>
          <w:sz w:val="18"/>
          <w:szCs w:val="18"/>
          <w:lang w:val="es-ES" w:eastAsia="es-ES"/>
        </w:rPr>
      </w:pPr>
      <w:r w:rsidRPr="002E060B">
        <w:rPr>
          <w:rFonts w:ascii="Arial" w:hAnsi="Arial" w:cs="Arial"/>
          <w:color w:val="000000" w:themeColor="text1"/>
          <w:sz w:val="18"/>
          <w:szCs w:val="18"/>
        </w:rPr>
        <w:t>[…].</w:t>
      </w:r>
    </w:p>
    <w:p w14:paraId="16D69F98" w14:textId="77777777" w:rsidR="00A02F05" w:rsidRPr="002E060B" w:rsidRDefault="00A02F05" w:rsidP="00A02F05">
      <w:pPr>
        <w:pStyle w:val="Textonotapie"/>
        <w:ind w:firstLine="709"/>
        <w:jc w:val="both"/>
        <w:rPr>
          <w:rFonts w:ascii="Arial" w:eastAsia="Times New Roman" w:hAnsi="Arial" w:cs="Arial"/>
          <w:color w:val="000000" w:themeColor="text1"/>
          <w:sz w:val="18"/>
          <w:szCs w:val="18"/>
          <w:lang w:val="es-ES" w:eastAsia="es-ES"/>
        </w:rPr>
      </w:pPr>
      <w:r w:rsidRPr="002E060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42B54137" w14:textId="77777777" w:rsidR="00A02F05" w:rsidRPr="002E060B" w:rsidRDefault="00A02F05" w:rsidP="00A02F05">
      <w:pPr>
        <w:pStyle w:val="Textonotapie"/>
        <w:ind w:firstLine="709"/>
        <w:jc w:val="both"/>
        <w:rPr>
          <w:rFonts w:ascii="Arial" w:eastAsia="Times New Roman" w:hAnsi="Arial" w:cs="Arial"/>
          <w:color w:val="000000" w:themeColor="text1"/>
          <w:sz w:val="18"/>
          <w:szCs w:val="18"/>
          <w:lang w:val="es-ES" w:eastAsia="es-ES"/>
        </w:rPr>
      </w:pPr>
    </w:p>
  </w:footnote>
  <w:footnote w:id="9">
    <w:p w14:paraId="3E93C142"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w:t>
      </w:r>
      <w:proofErr w:type="spellStart"/>
      <w:r w:rsidRPr="002E060B">
        <w:rPr>
          <w:rFonts w:ascii="Arial" w:eastAsia="Times New Roman" w:hAnsi="Arial" w:cs="Arial"/>
          <w:color w:val="000000" w:themeColor="text1"/>
          <w:sz w:val="18"/>
          <w:szCs w:val="18"/>
          <w:lang w:val="es-ES" w:eastAsia="es-ES"/>
        </w:rPr>
        <w:t>orte</w:t>
      </w:r>
      <w:proofErr w:type="spellEnd"/>
      <w:r w:rsidRPr="002E060B">
        <w:rPr>
          <w:rFonts w:ascii="Arial" w:eastAsia="Times New Roman" w:hAnsi="Arial" w:cs="Arial"/>
          <w:color w:val="000000" w:themeColor="text1"/>
          <w:sz w:val="18"/>
          <w:szCs w:val="18"/>
          <w:lang w:val="es-ES" w:eastAsia="es-ES"/>
        </w:rPr>
        <w:t xml:space="preserve"> Constitucional. Sentencia C‒274 de 9 de mayo de 2013. M.P. María Victoria Calle Correa. </w:t>
      </w:r>
    </w:p>
    <w:p w14:paraId="4569D87E" w14:textId="77777777" w:rsidR="00A02F05" w:rsidRPr="002E060B" w:rsidRDefault="00A02F05" w:rsidP="00A02F05">
      <w:pPr>
        <w:pStyle w:val="Textonotapie"/>
        <w:ind w:firstLine="709"/>
        <w:jc w:val="both"/>
        <w:rPr>
          <w:rFonts w:ascii="Arial" w:hAnsi="Arial" w:cs="Arial"/>
          <w:color w:val="000000" w:themeColor="text1"/>
          <w:sz w:val="18"/>
          <w:szCs w:val="18"/>
          <w:lang w:val="es-CO"/>
        </w:rPr>
      </w:pPr>
    </w:p>
  </w:footnote>
  <w:footnote w:id="10">
    <w:p w14:paraId="08A3399C" w14:textId="77777777" w:rsidR="00A02F05" w:rsidRPr="002E060B" w:rsidRDefault="00A02F05" w:rsidP="00A02F05">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78E5D55C" w14:textId="77777777" w:rsidR="00A02F05" w:rsidRPr="002E060B" w:rsidRDefault="00A02F05" w:rsidP="00A02F05">
      <w:pPr>
        <w:pStyle w:val="Textonotapie"/>
        <w:ind w:firstLine="709"/>
        <w:jc w:val="both"/>
        <w:rPr>
          <w:rFonts w:ascii="Arial" w:hAnsi="Arial" w:cs="Arial"/>
          <w:color w:val="000000" w:themeColor="text1"/>
          <w:sz w:val="18"/>
          <w:szCs w:val="18"/>
          <w:lang w:val="es-CO"/>
        </w:rPr>
      </w:pPr>
    </w:p>
  </w:footnote>
  <w:footnote w:id="11">
    <w:p w14:paraId="7FC3E87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Corte Constitucional. Sentencia C- 341 del 4 de junio de 2014. M. P. Mauricio González Cuervo.</w:t>
      </w:r>
    </w:p>
    <w:p w14:paraId="19B98A0D"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12">
    <w:p w14:paraId="7DF1DB60"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4279FD18"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13">
    <w:p w14:paraId="5CEF4813"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Style w:val="Refdenotaalpie"/>
          <w:rFonts w:ascii="Arial" w:hAnsi="Arial" w:cs="Arial"/>
          <w:color w:val="000000" w:themeColor="text1"/>
          <w:sz w:val="19"/>
          <w:szCs w:val="19"/>
        </w:rPr>
        <w:footnoteRef/>
      </w:r>
      <w:r w:rsidRPr="0088099E">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2ACF03E"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F897795" w14:textId="77777777" w:rsidR="00BC1F25" w:rsidRPr="0088099E" w:rsidRDefault="00BC1F25" w:rsidP="0088099E">
      <w:pPr>
        <w:pStyle w:val="Textonotapie"/>
        <w:ind w:right="49" w:firstLine="709"/>
        <w:jc w:val="both"/>
        <w:rPr>
          <w:rFonts w:ascii="Arial" w:hAnsi="Arial" w:cs="Arial"/>
          <w:color w:val="000000" w:themeColor="text1"/>
          <w:sz w:val="19"/>
          <w:szCs w:val="19"/>
        </w:rPr>
      </w:pPr>
    </w:p>
  </w:footnote>
  <w:footnote w:id="14">
    <w:p w14:paraId="77BD48AC" w14:textId="77777777" w:rsidR="00BC1F25" w:rsidRPr="0088099E" w:rsidRDefault="00BC1F25" w:rsidP="0088099E">
      <w:pPr>
        <w:pStyle w:val="Textonotapie"/>
        <w:ind w:right="49" w:firstLine="709"/>
        <w:jc w:val="both"/>
        <w:rPr>
          <w:rFonts w:ascii="Arial" w:hAnsi="Arial" w:cs="Arial"/>
          <w:color w:val="000000" w:themeColor="text1"/>
          <w:sz w:val="19"/>
          <w:szCs w:val="19"/>
        </w:rPr>
      </w:pPr>
      <w:r w:rsidRPr="0088099E">
        <w:rPr>
          <w:rFonts w:ascii="Arial" w:hAnsi="Arial" w:cs="Arial"/>
          <w:color w:val="000000" w:themeColor="text1"/>
          <w:sz w:val="19"/>
          <w:szCs w:val="19"/>
          <w:vertAlign w:val="superscript"/>
          <w:lang w:val="es-ES" w:eastAsia="es-ES"/>
        </w:rPr>
        <w:footnoteRef/>
      </w:r>
      <w:r w:rsidRPr="0088099E">
        <w:rPr>
          <w:rFonts w:ascii="Arial" w:hAnsi="Arial" w:cs="Arial"/>
          <w:color w:val="000000" w:themeColor="text1"/>
          <w:sz w:val="19"/>
          <w:szCs w:val="19"/>
          <w:vertAlign w:val="superscript"/>
          <w:lang w:val="es-ES" w:eastAsia="es-ES"/>
        </w:rPr>
        <w:t xml:space="preserve"> </w:t>
      </w:r>
      <w:r w:rsidRPr="0088099E">
        <w:rPr>
          <w:rFonts w:ascii="Arial" w:hAnsi="Arial" w:cs="Arial"/>
          <w:color w:val="000000" w:themeColor="text1"/>
          <w:sz w:val="19"/>
          <w:szCs w:val="19"/>
          <w:lang w:val="es-ES" w:eastAsia="es-ES"/>
        </w:rPr>
        <w:t>«</w:t>
      </w:r>
      <w:r w:rsidRPr="0088099E">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99DB82"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r w:rsidRPr="0088099E">
        <w:rPr>
          <w:rFonts w:ascii="Arial" w:hAnsi="Arial" w:cs="Arial"/>
          <w:color w:val="000000" w:themeColor="text1"/>
          <w:sz w:val="19"/>
          <w:szCs w:val="19"/>
        </w:rPr>
        <w:t>[…].</w:t>
      </w:r>
    </w:p>
    <w:p w14:paraId="3086C8CB"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proofErr w:type="gramStart"/>
      <w:r w:rsidRPr="0088099E">
        <w:rPr>
          <w:rFonts w:ascii="Arial" w:hAnsi="Arial" w:cs="Arial"/>
          <w:color w:val="000000" w:themeColor="text1"/>
          <w:sz w:val="19"/>
          <w:szCs w:val="19"/>
          <w:lang w:val="es-ES" w:eastAsia="es-ES"/>
        </w:rPr>
        <w:t>»Los</w:t>
      </w:r>
      <w:proofErr w:type="gramEnd"/>
      <w:r w:rsidRPr="0088099E">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3DD1E0EC" w14:textId="77777777" w:rsidR="00BC1F25" w:rsidRPr="0088099E" w:rsidRDefault="00BC1F25" w:rsidP="0088099E">
      <w:pPr>
        <w:pStyle w:val="Textonotapie"/>
        <w:ind w:right="49" w:firstLine="709"/>
        <w:jc w:val="both"/>
        <w:rPr>
          <w:rFonts w:ascii="Arial" w:hAnsi="Arial" w:cs="Arial"/>
          <w:color w:val="000000" w:themeColor="text1"/>
          <w:sz w:val="19"/>
          <w:szCs w:val="19"/>
          <w:lang w:val="es-ES" w:eastAsia="es-ES"/>
        </w:rPr>
      </w:pPr>
    </w:p>
  </w:footnote>
  <w:footnote w:id="15">
    <w:p w14:paraId="37AE9B05" w14:textId="77777777" w:rsidR="00BC1F25" w:rsidRPr="0088099E" w:rsidRDefault="00BC1F25" w:rsidP="0088099E">
      <w:pPr>
        <w:pStyle w:val="Textonotapie"/>
        <w:ind w:firstLine="708"/>
        <w:jc w:val="both"/>
        <w:rPr>
          <w:rFonts w:ascii="Arial" w:hAnsi="Arial" w:cs="Arial"/>
          <w:sz w:val="19"/>
          <w:szCs w:val="19"/>
          <w:lang w:val="es-CO"/>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16">
    <w:p w14:paraId="407DEE20" w14:textId="77777777" w:rsidR="00BC1F25" w:rsidRPr="0088099E" w:rsidRDefault="00BC1F25" w:rsidP="0088099E">
      <w:pPr>
        <w:pStyle w:val="Textonotapie"/>
        <w:jc w:val="both"/>
        <w:rPr>
          <w:rFonts w:ascii="Arial" w:hAnsi="Arial" w:cs="Arial"/>
          <w:sz w:val="19"/>
          <w:szCs w:val="19"/>
        </w:rPr>
      </w:pPr>
    </w:p>
    <w:p w14:paraId="3A251D43" w14:textId="77777777" w:rsidR="00BC1F25" w:rsidRPr="0088099E" w:rsidRDefault="00BC1F25" w:rsidP="0088099E">
      <w:pPr>
        <w:pStyle w:val="NormalWeb"/>
        <w:spacing w:before="0" w:beforeAutospacing="0" w:after="0" w:afterAutospacing="0"/>
        <w:ind w:firstLine="708"/>
        <w:jc w:val="both"/>
        <w:rPr>
          <w:rFonts w:ascii="Arial" w:hAnsi="Arial" w:cs="Arial"/>
          <w:color w:val="000000"/>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w:t>
      </w:r>
      <w:r w:rsidRPr="0088099E">
        <w:rPr>
          <w:rStyle w:val="PiedepginaCar"/>
          <w:rFonts w:ascii="Arial" w:hAnsi="Arial" w:cs="Arial"/>
          <w:color w:val="000000"/>
          <w:sz w:val="19"/>
          <w:szCs w:val="19"/>
        </w:rPr>
        <w:t xml:space="preserve"> </w:t>
      </w:r>
      <w:r w:rsidRPr="0088099E">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3CE072CD"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09A0E5B0"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 </w:t>
      </w:r>
    </w:p>
    <w:p w14:paraId="7C9841CA"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»Principio de facilitación. En virtud de este principio los sujetos obligados deberán facilitar el ejercicio del derecho de acceso a la información pública, excluyendo exigencias o requisitos que puedan obstruirlo o impedirlo. </w:t>
      </w:r>
    </w:p>
    <w:p w14:paraId="7820CCB4" w14:textId="77777777" w:rsidR="00BC1F25" w:rsidRPr="0088099E" w:rsidRDefault="00BC1F25" w:rsidP="0088099E">
      <w:pPr>
        <w:jc w:val="both"/>
        <w:rPr>
          <w:rFonts w:ascii="Arial" w:hAnsi="Arial" w:cs="Arial"/>
          <w:color w:val="000000"/>
          <w:sz w:val="19"/>
          <w:szCs w:val="19"/>
          <w:lang w:eastAsia="es-CO"/>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w:t>
      </w:r>
    </w:p>
    <w:p w14:paraId="1D5A0C01" w14:textId="77777777" w:rsidR="00BC1F25" w:rsidRPr="0088099E" w:rsidRDefault="00BC1F25" w:rsidP="0088099E">
      <w:pPr>
        <w:jc w:val="both"/>
        <w:rPr>
          <w:rFonts w:ascii="Arial" w:hAnsi="Arial" w:cs="Arial"/>
          <w:sz w:val="19"/>
          <w:szCs w:val="19"/>
        </w:rPr>
      </w:pPr>
      <w:r w:rsidRPr="0088099E">
        <w:rPr>
          <w:rFonts w:ascii="Arial" w:hAnsi="Arial" w:cs="Arial"/>
          <w:color w:val="000000"/>
          <w:sz w:val="19"/>
          <w:szCs w:val="19"/>
          <w:lang w:eastAsia="es-CO"/>
        </w:rPr>
        <w:t>  </w:t>
      </w:r>
      <w:r w:rsidRPr="0088099E">
        <w:rPr>
          <w:rFonts w:ascii="Arial" w:hAnsi="Arial" w:cs="Arial"/>
          <w:color w:val="000000"/>
          <w:sz w:val="19"/>
          <w:szCs w:val="19"/>
          <w:lang w:eastAsia="es-CO"/>
        </w:rPr>
        <w:tab/>
        <w:t>» 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 […]».</w:t>
      </w:r>
    </w:p>
  </w:footnote>
  <w:footnote w:id="17">
    <w:p w14:paraId="228B4A85" w14:textId="77777777" w:rsidR="00BC1F25" w:rsidRPr="0088099E" w:rsidRDefault="00BC1F25" w:rsidP="0088099E">
      <w:pPr>
        <w:pStyle w:val="Textonotapie"/>
        <w:ind w:firstLine="708"/>
        <w:jc w:val="both"/>
        <w:rPr>
          <w:rFonts w:ascii="Arial" w:hAnsi="Arial" w:cs="Arial"/>
          <w:sz w:val="19"/>
          <w:szCs w:val="19"/>
        </w:rPr>
      </w:pPr>
    </w:p>
    <w:p w14:paraId="54B6A715"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80 de 1993 «Artículo 24. Del principio de transparencia. En virtud de este principio: </w:t>
      </w:r>
    </w:p>
    <w:p w14:paraId="7E34B78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w:t>
      </w:r>
    </w:p>
    <w:p w14:paraId="4770B8C3"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4A6CF611"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18">
    <w:p w14:paraId="5128D339"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263C24E0" w14:textId="77777777" w:rsidR="00BC1F25" w:rsidRPr="0088099E" w:rsidRDefault="00BC1F25" w:rsidP="0088099E">
      <w:pPr>
        <w:pStyle w:val="Textonotapie"/>
        <w:jc w:val="both"/>
        <w:rPr>
          <w:rFonts w:ascii="Arial" w:hAnsi="Arial" w:cs="Arial"/>
          <w:sz w:val="19"/>
          <w:szCs w:val="19"/>
          <w:lang w:val="es-CO"/>
        </w:rPr>
      </w:pPr>
    </w:p>
  </w:footnote>
  <w:footnote w:id="19">
    <w:p w14:paraId="6C5F5FD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21EBC8D8"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 xml:space="preserve">  </w:t>
      </w:r>
    </w:p>
  </w:footnote>
  <w:footnote w:id="20">
    <w:p w14:paraId="6D84B9F1"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1437 de 2011 «Artículo 24. Informaciones y documentos reservados. Solo tendrán carácter reservado las informaciones y documentos expresamente sometidos a reserva por la Constitución Política o la ley, y en especial:  </w:t>
      </w:r>
    </w:p>
    <w:p w14:paraId="17DE4A97"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»1. Los relacionados con la defensa o seguridad nacionales.  </w:t>
      </w:r>
    </w:p>
    <w:p w14:paraId="45E03608"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»2. Las instrucciones en materia diplomática o sobre negociaciones reservadas.  </w:t>
      </w:r>
    </w:p>
    <w:p w14:paraId="4585AD1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344D4F0D"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14DE727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»5. Los datos referentes a la información financiera y comercial, en los términos de la Ley Estatutaria 1266 de 2008.  </w:t>
      </w:r>
    </w:p>
    <w:p w14:paraId="34D97F9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»6. Los protegidos por el secreto comercial o industrial, así como los planes estratégicos de las empresas públicas de servicios públicos.  </w:t>
      </w:r>
    </w:p>
    <w:p w14:paraId="1701A213"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»7. Los amparados por el secreto profesional.  </w:t>
      </w:r>
    </w:p>
    <w:p w14:paraId="34B365EE"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»8. Los datos genéticos humanos.  </w:t>
      </w:r>
    </w:p>
    <w:p w14:paraId="615A29AF"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AFE10B0" w14:textId="77777777" w:rsidR="00BC1F25" w:rsidRPr="0088099E" w:rsidRDefault="00BC1F25" w:rsidP="0088099E">
      <w:pPr>
        <w:pStyle w:val="Textonotapie"/>
        <w:ind w:firstLine="708"/>
        <w:jc w:val="both"/>
        <w:rPr>
          <w:rFonts w:ascii="Arial" w:hAnsi="Arial" w:cs="Arial"/>
          <w:sz w:val="19"/>
          <w:szCs w:val="19"/>
        </w:rPr>
      </w:pPr>
    </w:p>
  </w:footnote>
  <w:footnote w:id="21">
    <w:p w14:paraId="5FD32247" w14:textId="77777777" w:rsidR="00BC1F25" w:rsidRPr="0088099E" w:rsidRDefault="00BC1F25" w:rsidP="0088099E">
      <w:pPr>
        <w:pStyle w:val="Textonotapie"/>
        <w:ind w:firstLine="708"/>
        <w:jc w:val="both"/>
        <w:rPr>
          <w:rFonts w:ascii="Arial" w:eastAsia="Calibri"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8099E">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41D6DEAD" w14:textId="77777777" w:rsidR="00BC1F25" w:rsidRPr="0088099E" w:rsidRDefault="00BC1F25" w:rsidP="0088099E">
      <w:pPr>
        <w:pStyle w:val="Textonotapie"/>
        <w:ind w:firstLine="708"/>
        <w:jc w:val="both"/>
        <w:rPr>
          <w:rFonts w:ascii="Arial" w:hAnsi="Arial" w:cs="Arial"/>
          <w:sz w:val="19"/>
          <w:szCs w:val="19"/>
        </w:rPr>
      </w:pPr>
    </w:p>
  </w:footnote>
  <w:footnote w:id="22">
    <w:p w14:paraId="6B29675D"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2E6F56CB"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»Ninguna autoridad pública puede negarse a indicar si un documento obra o no en su poder o negar la divulgación de un documento, salvo que el daño causado al interés protegido sea mayor al interés público de obtener acceso a la información.</w:t>
      </w:r>
    </w:p>
    <w:p w14:paraId="006174E7" w14:textId="77777777" w:rsidR="00BC1F25" w:rsidRPr="0088099E" w:rsidRDefault="00BC1F25" w:rsidP="0088099E">
      <w:pPr>
        <w:pStyle w:val="Textonotapie"/>
        <w:ind w:firstLine="708"/>
        <w:jc w:val="both"/>
        <w:rPr>
          <w:rFonts w:ascii="Arial" w:hAnsi="Arial" w:cs="Arial"/>
          <w:sz w:val="19"/>
          <w:szCs w:val="19"/>
          <w:lang w:val="es-CO"/>
        </w:rPr>
      </w:pPr>
      <w:r w:rsidRPr="0088099E">
        <w:rPr>
          <w:rFonts w:ascii="Arial" w:hAnsi="Arial" w:cs="Arial"/>
          <w:sz w:val="19"/>
          <w:szCs w:val="19"/>
        </w:rPr>
        <w:t>»Las excepciones de acceso a la información contenidas en la presente ley no aplican en casos de violación de derechos humanos o delitos de lesa humanidad, y en todo caso deberán protegerse los derechos de las víctimas de dichas violaciones».</w:t>
      </w:r>
    </w:p>
  </w:footnote>
  <w:footnote w:id="23">
    <w:p w14:paraId="35CE7C83" w14:textId="77777777" w:rsidR="00BC1F25" w:rsidRPr="0088099E" w:rsidRDefault="00BC1F25" w:rsidP="0088099E">
      <w:pPr>
        <w:pStyle w:val="Textonotapie"/>
        <w:ind w:firstLine="708"/>
        <w:jc w:val="both"/>
        <w:rPr>
          <w:rFonts w:ascii="Arial" w:hAnsi="Arial" w:cs="Arial"/>
          <w:sz w:val="19"/>
          <w:szCs w:val="19"/>
        </w:rPr>
      </w:pPr>
      <w:r w:rsidRPr="0088099E">
        <w:rPr>
          <w:rStyle w:val="Refdenotaalpie"/>
          <w:rFonts w:ascii="Arial" w:hAnsi="Arial" w:cs="Arial"/>
          <w:sz w:val="19"/>
          <w:szCs w:val="19"/>
        </w:rPr>
        <w:footnoteRef/>
      </w:r>
      <w:r w:rsidRPr="0088099E">
        <w:rPr>
          <w:rFonts w:ascii="Arial" w:hAnsi="Arial" w:cs="Arial"/>
          <w:sz w:val="19"/>
          <w:szCs w:val="19"/>
        </w:rPr>
        <w:t xml:space="preserve"> Ley 1712 de 2014. «Art. 19 Información exceptuada por daño a los intereses públicos. Es toda aquella información pública reservada, cuyo acceso podrá ser rechazado o denegado de manera motivada y por escrito en las siguientes circunstancias, siempre que dicho acceso estuviere expresamente prohibido por una norma legal o constitucional:</w:t>
      </w:r>
    </w:p>
    <w:p w14:paraId="4D8B8914"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«a) La defensa y seguridad nacional;».</w:t>
      </w:r>
    </w:p>
    <w:p w14:paraId="7D16A42C"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De otro lado, el artículo 24 de la Ley 1437 de 2011, sustituido por la Ley 1755 de 2015 establece: «Artículo 24. Informaciones y documentos reservados. Solo tendrán carácter reservado las informaciones y documentos expresamente sometidos a reserva por la Constitución Política o la ley, y en especial:</w:t>
      </w:r>
    </w:p>
    <w:p w14:paraId="68A51901" w14:textId="77777777" w:rsidR="00BC1F25" w:rsidRPr="0088099E" w:rsidRDefault="00BC1F25" w:rsidP="0088099E">
      <w:pPr>
        <w:pStyle w:val="Textonotapie"/>
        <w:ind w:firstLine="708"/>
        <w:jc w:val="both"/>
        <w:rPr>
          <w:rFonts w:ascii="Arial" w:hAnsi="Arial" w:cs="Arial"/>
          <w:sz w:val="19"/>
          <w:szCs w:val="19"/>
        </w:rPr>
      </w:pPr>
      <w:r w:rsidRPr="0088099E">
        <w:rPr>
          <w:rFonts w:ascii="Arial" w:hAnsi="Arial" w:cs="Arial"/>
          <w:sz w:val="19"/>
          <w:szCs w:val="19"/>
        </w:rPr>
        <w:t>»1. Los relacionados con la defensa o seguridad nacionales».</w:t>
      </w:r>
    </w:p>
    <w:p w14:paraId="20BD204B" w14:textId="77777777" w:rsidR="00BC1F25" w:rsidRPr="0088099E" w:rsidRDefault="00BC1F25" w:rsidP="0088099E">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A56EEF"/>
    <w:multiLevelType w:val="multilevel"/>
    <w:tmpl w:val="231403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68106202">
    <w:abstractNumId w:val="9"/>
  </w:num>
  <w:num w:numId="2" w16cid:durableId="824972786">
    <w:abstractNumId w:val="7"/>
  </w:num>
  <w:num w:numId="3" w16cid:durableId="977608666">
    <w:abstractNumId w:val="12"/>
  </w:num>
  <w:num w:numId="4" w16cid:durableId="948466466">
    <w:abstractNumId w:val="15"/>
  </w:num>
  <w:num w:numId="5" w16cid:durableId="1240403066">
    <w:abstractNumId w:val="20"/>
  </w:num>
  <w:num w:numId="6" w16cid:durableId="10600094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9865703">
    <w:abstractNumId w:val="17"/>
  </w:num>
  <w:num w:numId="8" w16cid:durableId="325549963">
    <w:abstractNumId w:val="0"/>
  </w:num>
  <w:num w:numId="9" w16cid:durableId="1698965315">
    <w:abstractNumId w:val="3"/>
  </w:num>
  <w:num w:numId="10" w16cid:durableId="1672293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2568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321209">
    <w:abstractNumId w:val="8"/>
  </w:num>
  <w:num w:numId="13" w16cid:durableId="666520404">
    <w:abstractNumId w:val="11"/>
  </w:num>
  <w:num w:numId="14" w16cid:durableId="1527519174">
    <w:abstractNumId w:val="6"/>
  </w:num>
  <w:num w:numId="15" w16cid:durableId="11025271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49824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96335">
    <w:abstractNumId w:val="22"/>
  </w:num>
  <w:num w:numId="18" w16cid:durableId="536553037">
    <w:abstractNumId w:val="13"/>
  </w:num>
  <w:num w:numId="19" w16cid:durableId="1426729910">
    <w:abstractNumId w:val="2"/>
  </w:num>
  <w:num w:numId="20" w16cid:durableId="536940585">
    <w:abstractNumId w:val="23"/>
  </w:num>
  <w:num w:numId="21" w16cid:durableId="140462023">
    <w:abstractNumId w:val="14"/>
  </w:num>
  <w:num w:numId="22" w16cid:durableId="1462531478">
    <w:abstractNumId w:val="5"/>
  </w:num>
  <w:num w:numId="23" w16cid:durableId="1863202647">
    <w:abstractNumId w:val="4"/>
  </w:num>
  <w:num w:numId="24" w16cid:durableId="1150950611">
    <w:abstractNumId w:val="21"/>
  </w:num>
  <w:num w:numId="25" w16cid:durableId="1038697494">
    <w:abstractNumId w:val="16"/>
  </w:num>
  <w:num w:numId="26" w16cid:durableId="1858960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55FA"/>
    <w:rsid w:val="00025D0A"/>
    <w:rsid w:val="000263F0"/>
    <w:rsid w:val="00026407"/>
    <w:rsid w:val="00026608"/>
    <w:rsid w:val="0002702E"/>
    <w:rsid w:val="00027787"/>
    <w:rsid w:val="000278D2"/>
    <w:rsid w:val="00030DFB"/>
    <w:rsid w:val="00031364"/>
    <w:rsid w:val="000315E1"/>
    <w:rsid w:val="0003236E"/>
    <w:rsid w:val="0003339A"/>
    <w:rsid w:val="000341F2"/>
    <w:rsid w:val="0003440E"/>
    <w:rsid w:val="00035046"/>
    <w:rsid w:val="000351F2"/>
    <w:rsid w:val="00035768"/>
    <w:rsid w:val="00035A1B"/>
    <w:rsid w:val="00036E03"/>
    <w:rsid w:val="000406DB"/>
    <w:rsid w:val="0004094D"/>
    <w:rsid w:val="00041029"/>
    <w:rsid w:val="00041357"/>
    <w:rsid w:val="0004149B"/>
    <w:rsid w:val="00041FC6"/>
    <w:rsid w:val="000422EA"/>
    <w:rsid w:val="00042961"/>
    <w:rsid w:val="00042C25"/>
    <w:rsid w:val="00042D03"/>
    <w:rsid w:val="00043086"/>
    <w:rsid w:val="000430A0"/>
    <w:rsid w:val="00043D3B"/>
    <w:rsid w:val="0004418C"/>
    <w:rsid w:val="00044204"/>
    <w:rsid w:val="0004477A"/>
    <w:rsid w:val="000449D4"/>
    <w:rsid w:val="000450D0"/>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D6D"/>
    <w:rsid w:val="00067064"/>
    <w:rsid w:val="00067AA8"/>
    <w:rsid w:val="00070AF1"/>
    <w:rsid w:val="000714DE"/>
    <w:rsid w:val="0007254F"/>
    <w:rsid w:val="0007357C"/>
    <w:rsid w:val="00073C30"/>
    <w:rsid w:val="00074305"/>
    <w:rsid w:val="000744D0"/>
    <w:rsid w:val="00074B2A"/>
    <w:rsid w:val="00074EEE"/>
    <w:rsid w:val="00075047"/>
    <w:rsid w:val="000753D5"/>
    <w:rsid w:val="00075B3E"/>
    <w:rsid w:val="00076456"/>
    <w:rsid w:val="00076817"/>
    <w:rsid w:val="00076BD9"/>
    <w:rsid w:val="0007779B"/>
    <w:rsid w:val="000777E7"/>
    <w:rsid w:val="0007790A"/>
    <w:rsid w:val="000779F2"/>
    <w:rsid w:val="0008017B"/>
    <w:rsid w:val="00080ACD"/>
    <w:rsid w:val="00080D30"/>
    <w:rsid w:val="000811ED"/>
    <w:rsid w:val="00081D62"/>
    <w:rsid w:val="00082B74"/>
    <w:rsid w:val="00083099"/>
    <w:rsid w:val="00083259"/>
    <w:rsid w:val="00083546"/>
    <w:rsid w:val="00083EDC"/>
    <w:rsid w:val="00084B97"/>
    <w:rsid w:val="0008510E"/>
    <w:rsid w:val="000852DC"/>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B6F"/>
    <w:rsid w:val="000A0EC4"/>
    <w:rsid w:val="000A0ED1"/>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244D"/>
    <w:rsid w:val="000B2A1A"/>
    <w:rsid w:val="000B2B86"/>
    <w:rsid w:val="000B2CFF"/>
    <w:rsid w:val="000B3051"/>
    <w:rsid w:val="000B419B"/>
    <w:rsid w:val="000B4861"/>
    <w:rsid w:val="000B5781"/>
    <w:rsid w:val="000B5CB1"/>
    <w:rsid w:val="000B5EE5"/>
    <w:rsid w:val="000B75F4"/>
    <w:rsid w:val="000C0185"/>
    <w:rsid w:val="000C0933"/>
    <w:rsid w:val="000C0F81"/>
    <w:rsid w:val="000C128D"/>
    <w:rsid w:val="000C17A3"/>
    <w:rsid w:val="000C1D4B"/>
    <w:rsid w:val="000C1FA3"/>
    <w:rsid w:val="000C2A5D"/>
    <w:rsid w:val="000C2DC4"/>
    <w:rsid w:val="000C3239"/>
    <w:rsid w:val="000C3260"/>
    <w:rsid w:val="000C3B77"/>
    <w:rsid w:val="000C3F6D"/>
    <w:rsid w:val="000C4E01"/>
    <w:rsid w:val="000C4F49"/>
    <w:rsid w:val="000C5861"/>
    <w:rsid w:val="000C5BDE"/>
    <w:rsid w:val="000C639D"/>
    <w:rsid w:val="000C6C31"/>
    <w:rsid w:val="000C6DBC"/>
    <w:rsid w:val="000C6F79"/>
    <w:rsid w:val="000C7476"/>
    <w:rsid w:val="000C7480"/>
    <w:rsid w:val="000C7711"/>
    <w:rsid w:val="000C7AA2"/>
    <w:rsid w:val="000D0092"/>
    <w:rsid w:val="000D00D1"/>
    <w:rsid w:val="000D0462"/>
    <w:rsid w:val="000D053D"/>
    <w:rsid w:val="000D0ED2"/>
    <w:rsid w:val="000D107D"/>
    <w:rsid w:val="000D1101"/>
    <w:rsid w:val="000D13FD"/>
    <w:rsid w:val="000D1546"/>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0D86"/>
    <w:rsid w:val="000E1CA9"/>
    <w:rsid w:val="000E22CF"/>
    <w:rsid w:val="000E2977"/>
    <w:rsid w:val="000E2CC0"/>
    <w:rsid w:val="000E30AC"/>
    <w:rsid w:val="000E3B46"/>
    <w:rsid w:val="000E3E11"/>
    <w:rsid w:val="000E40E4"/>
    <w:rsid w:val="000E4596"/>
    <w:rsid w:val="000E4927"/>
    <w:rsid w:val="000E4A4B"/>
    <w:rsid w:val="000E4B1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ED9"/>
    <w:rsid w:val="00113FEA"/>
    <w:rsid w:val="00114A22"/>
    <w:rsid w:val="00114E9D"/>
    <w:rsid w:val="0011507B"/>
    <w:rsid w:val="001156A7"/>
    <w:rsid w:val="00115C37"/>
    <w:rsid w:val="00116328"/>
    <w:rsid w:val="001163CF"/>
    <w:rsid w:val="00116EC5"/>
    <w:rsid w:val="001174C9"/>
    <w:rsid w:val="001177FE"/>
    <w:rsid w:val="00117E69"/>
    <w:rsid w:val="00120884"/>
    <w:rsid w:val="00121103"/>
    <w:rsid w:val="00121B78"/>
    <w:rsid w:val="00121BAB"/>
    <w:rsid w:val="00121E3C"/>
    <w:rsid w:val="00122B23"/>
    <w:rsid w:val="00122B7E"/>
    <w:rsid w:val="00123082"/>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1B5A"/>
    <w:rsid w:val="001329BC"/>
    <w:rsid w:val="00132C30"/>
    <w:rsid w:val="00132EFD"/>
    <w:rsid w:val="00133AED"/>
    <w:rsid w:val="0013490B"/>
    <w:rsid w:val="00134BCD"/>
    <w:rsid w:val="00134E09"/>
    <w:rsid w:val="001350AB"/>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BE5"/>
    <w:rsid w:val="00157232"/>
    <w:rsid w:val="00157B92"/>
    <w:rsid w:val="00160401"/>
    <w:rsid w:val="00160C01"/>
    <w:rsid w:val="00160D4E"/>
    <w:rsid w:val="00161DDA"/>
    <w:rsid w:val="00161E62"/>
    <w:rsid w:val="00161F1C"/>
    <w:rsid w:val="0016200B"/>
    <w:rsid w:val="0016204B"/>
    <w:rsid w:val="001620B3"/>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2198"/>
    <w:rsid w:val="00172612"/>
    <w:rsid w:val="00172817"/>
    <w:rsid w:val="001734E3"/>
    <w:rsid w:val="001742BF"/>
    <w:rsid w:val="001742E1"/>
    <w:rsid w:val="00175E49"/>
    <w:rsid w:val="00176188"/>
    <w:rsid w:val="0017649F"/>
    <w:rsid w:val="0017655B"/>
    <w:rsid w:val="00177EAA"/>
    <w:rsid w:val="001805C1"/>
    <w:rsid w:val="00180A2E"/>
    <w:rsid w:val="001813AF"/>
    <w:rsid w:val="001826C9"/>
    <w:rsid w:val="001829CD"/>
    <w:rsid w:val="00182F01"/>
    <w:rsid w:val="00184219"/>
    <w:rsid w:val="00184F27"/>
    <w:rsid w:val="0018519B"/>
    <w:rsid w:val="00185966"/>
    <w:rsid w:val="00185A2D"/>
    <w:rsid w:val="00185AFE"/>
    <w:rsid w:val="00185E78"/>
    <w:rsid w:val="0018706D"/>
    <w:rsid w:val="00187177"/>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7B"/>
    <w:rsid w:val="00194E8C"/>
    <w:rsid w:val="001962EC"/>
    <w:rsid w:val="001963DD"/>
    <w:rsid w:val="001965DB"/>
    <w:rsid w:val="00196D01"/>
    <w:rsid w:val="00196DC9"/>
    <w:rsid w:val="00196E95"/>
    <w:rsid w:val="00196FDB"/>
    <w:rsid w:val="00197758"/>
    <w:rsid w:val="001A0236"/>
    <w:rsid w:val="001A04E2"/>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A7B56"/>
    <w:rsid w:val="001B0366"/>
    <w:rsid w:val="001B0444"/>
    <w:rsid w:val="001B096B"/>
    <w:rsid w:val="001B0F9F"/>
    <w:rsid w:val="001B123C"/>
    <w:rsid w:val="001B1A0D"/>
    <w:rsid w:val="001B1BF1"/>
    <w:rsid w:val="001B20A6"/>
    <w:rsid w:val="001B21AC"/>
    <w:rsid w:val="001B2456"/>
    <w:rsid w:val="001B3569"/>
    <w:rsid w:val="001B449C"/>
    <w:rsid w:val="001B4AA2"/>
    <w:rsid w:val="001B4ADE"/>
    <w:rsid w:val="001B5530"/>
    <w:rsid w:val="001B5DAE"/>
    <w:rsid w:val="001B5EF8"/>
    <w:rsid w:val="001B6BD0"/>
    <w:rsid w:val="001B71E8"/>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4048"/>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302E"/>
    <w:rsid w:val="001E3FFE"/>
    <w:rsid w:val="001E4258"/>
    <w:rsid w:val="001E436C"/>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97F"/>
    <w:rsid w:val="0020726E"/>
    <w:rsid w:val="00207389"/>
    <w:rsid w:val="002074C2"/>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B99"/>
    <w:rsid w:val="00217DB8"/>
    <w:rsid w:val="0022016B"/>
    <w:rsid w:val="002202CE"/>
    <w:rsid w:val="0022032A"/>
    <w:rsid w:val="0022194E"/>
    <w:rsid w:val="002220B1"/>
    <w:rsid w:val="002221CE"/>
    <w:rsid w:val="00222B1D"/>
    <w:rsid w:val="00222BE8"/>
    <w:rsid w:val="00222DF6"/>
    <w:rsid w:val="00223102"/>
    <w:rsid w:val="002232CB"/>
    <w:rsid w:val="00224022"/>
    <w:rsid w:val="00225F05"/>
    <w:rsid w:val="00226055"/>
    <w:rsid w:val="0022609C"/>
    <w:rsid w:val="0022613F"/>
    <w:rsid w:val="0022614F"/>
    <w:rsid w:val="00226236"/>
    <w:rsid w:val="002266AF"/>
    <w:rsid w:val="002270C9"/>
    <w:rsid w:val="00227A8B"/>
    <w:rsid w:val="002306BF"/>
    <w:rsid w:val="002311F0"/>
    <w:rsid w:val="0023146B"/>
    <w:rsid w:val="002315A0"/>
    <w:rsid w:val="00231748"/>
    <w:rsid w:val="00231CBD"/>
    <w:rsid w:val="00231DCC"/>
    <w:rsid w:val="00231EC7"/>
    <w:rsid w:val="00232AF1"/>
    <w:rsid w:val="00232E15"/>
    <w:rsid w:val="00233079"/>
    <w:rsid w:val="0023382C"/>
    <w:rsid w:val="00233977"/>
    <w:rsid w:val="00233C58"/>
    <w:rsid w:val="00233C71"/>
    <w:rsid w:val="002345B6"/>
    <w:rsid w:val="002347A6"/>
    <w:rsid w:val="00234B84"/>
    <w:rsid w:val="0023548D"/>
    <w:rsid w:val="00236016"/>
    <w:rsid w:val="00237065"/>
    <w:rsid w:val="00237589"/>
    <w:rsid w:val="0023758D"/>
    <w:rsid w:val="002375A7"/>
    <w:rsid w:val="0023777A"/>
    <w:rsid w:val="00237D1D"/>
    <w:rsid w:val="0024019A"/>
    <w:rsid w:val="00240A1F"/>
    <w:rsid w:val="00240EC1"/>
    <w:rsid w:val="0024120F"/>
    <w:rsid w:val="0024131D"/>
    <w:rsid w:val="002415B8"/>
    <w:rsid w:val="00241B82"/>
    <w:rsid w:val="0024296E"/>
    <w:rsid w:val="00242D5F"/>
    <w:rsid w:val="00242D62"/>
    <w:rsid w:val="002430D0"/>
    <w:rsid w:val="002431D7"/>
    <w:rsid w:val="00244058"/>
    <w:rsid w:val="0024561A"/>
    <w:rsid w:val="00245718"/>
    <w:rsid w:val="002457E9"/>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64"/>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80D"/>
    <w:rsid w:val="00265162"/>
    <w:rsid w:val="002653A6"/>
    <w:rsid w:val="002655EF"/>
    <w:rsid w:val="002661F1"/>
    <w:rsid w:val="00266316"/>
    <w:rsid w:val="00266DB6"/>
    <w:rsid w:val="002706CE"/>
    <w:rsid w:val="002711A4"/>
    <w:rsid w:val="00271230"/>
    <w:rsid w:val="00271F13"/>
    <w:rsid w:val="00272945"/>
    <w:rsid w:val="00272AFB"/>
    <w:rsid w:val="00272E89"/>
    <w:rsid w:val="00273A94"/>
    <w:rsid w:val="002742D0"/>
    <w:rsid w:val="0027482E"/>
    <w:rsid w:val="002748F1"/>
    <w:rsid w:val="00274DB5"/>
    <w:rsid w:val="00275AD0"/>
    <w:rsid w:val="00275BB1"/>
    <w:rsid w:val="00275CBF"/>
    <w:rsid w:val="002766F9"/>
    <w:rsid w:val="00276EF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505"/>
    <w:rsid w:val="00287BDB"/>
    <w:rsid w:val="00290781"/>
    <w:rsid w:val="00291784"/>
    <w:rsid w:val="002920DF"/>
    <w:rsid w:val="00292139"/>
    <w:rsid w:val="002928A3"/>
    <w:rsid w:val="002928C8"/>
    <w:rsid w:val="002929BB"/>
    <w:rsid w:val="0029371B"/>
    <w:rsid w:val="00294368"/>
    <w:rsid w:val="00294B78"/>
    <w:rsid w:val="00295416"/>
    <w:rsid w:val="00295949"/>
    <w:rsid w:val="00295D7C"/>
    <w:rsid w:val="0029624A"/>
    <w:rsid w:val="00296922"/>
    <w:rsid w:val="0029702B"/>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8"/>
    <w:rsid w:val="002A733D"/>
    <w:rsid w:val="002A7559"/>
    <w:rsid w:val="002A774A"/>
    <w:rsid w:val="002A7840"/>
    <w:rsid w:val="002A78F3"/>
    <w:rsid w:val="002A7D84"/>
    <w:rsid w:val="002A7E5C"/>
    <w:rsid w:val="002A7F6D"/>
    <w:rsid w:val="002B0D83"/>
    <w:rsid w:val="002B1342"/>
    <w:rsid w:val="002B1F83"/>
    <w:rsid w:val="002B27C8"/>
    <w:rsid w:val="002B2A7F"/>
    <w:rsid w:val="002B330B"/>
    <w:rsid w:val="002B39BE"/>
    <w:rsid w:val="002B3A3B"/>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24B4"/>
    <w:rsid w:val="002C2B3A"/>
    <w:rsid w:val="002C2B87"/>
    <w:rsid w:val="002C3CF4"/>
    <w:rsid w:val="002C3DC9"/>
    <w:rsid w:val="002C441A"/>
    <w:rsid w:val="002C4A73"/>
    <w:rsid w:val="002C4B84"/>
    <w:rsid w:val="002C4C0C"/>
    <w:rsid w:val="002C5016"/>
    <w:rsid w:val="002C5C2F"/>
    <w:rsid w:val="002C5D0F"/>
    <w:rsid w:val="002C60B9"/>
    <w:rsid w:val="002C6BAA"/>
    <w:rsid w:val="002C6F77"/>
    <w:rsid w:val="002C704D"/>
    <w:rsid w:val="002C7DCC"/>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04"/>
    <w:rsid w:val="002D6558"/>
    <w:rsid w:val="002D65BC"/>
    <w:rsid w:val="002E055C"/>
    <w:rsid w:val="002E1050"/>
    <w:rsid w:val="002E107E"/>
    <w:rsid w:val="002E18E5"/>
    <w:rsid w:val="002E1953"/>
    <w:rsid w:val="002E2C3F"/>
    <w:rsid w:val="002E2CB5"/>
    <w:rsid w:val="002E2D7D"/>
    <w:rsid w:val="002E32D0"/>
    <w:rsid w:val="002E3D05"/>
    <w:rsid w:val="002E3D76"/>
    <w:rsid w:val="002E40A1"/>
    <w:rsid w:val="002E48EC"/>
    <w:rsid w:val="002E4B44"/>
    <w:rsid w:val="002E4ECB"/>
    <w:rsid w:val="002E4F23"/>
    <w:rsid w:val="002E61AE"/>
    <w:rsid w:val="002E635A"/>
    <w:rsid w:val="002E6D68"/>
    <w:rsid w:val="002E7847"/>
    <w:rsid w:val="002F0073"/>
    <w:rsid w:val="002F0AC0"/>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C44"/>
    <w:rsid w:val="0031040A"/>
    <w:rsid w:val="0031088E"/>
    <w:rsid w:val="00310D01"/>
    <w:rsid w:val="00311376"/>
    <w:rsid w:val="00311A1F"/>
    <w:rsid w:val="00311B47"/>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5E25"/>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4FBC"/>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4ED1"/>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35FD"/>
    <w:rsid w:val="00383EDF"/>
    <w:rsid w:val="00384C5E"/>
    <w:rsid w:val="00384DF1"/>
    <w:rsid w:val="00384FF3"/>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764"/>
    <w:rsid w:val="003A72F5"/>
    <w:rsid w:val="003A78E5"/>
    <w:rsid w:val="003B0341"/>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5F10"/>
    <w:rsid w:val="003D6B8F"/>
    <w:rsid w:val="003D7566"/>
    <w:rsid w:val="003E0224"/>
    <w:rsid w:val="003E09BB"/>
    <w:rsid w:val="003E13D2"/>
    <w:rsid w:val="003E159D"/>
    <w:rsid w:val="003E1E64"/>
    <w:rsid w:val="003E20EA"/>
    <w:rsid w:val="003E210C"/>
    <w:rsid w:val="003E2294"/>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88A"/>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63D"/>
    <w:rsid w:val="00414D9A"/>
    <w:rsid w:val="00415194"/>
    <w:rsid w:val="00415816"/>
    <w:rsid w:val="00415B88"/>
    <w:rsid w:val="00415D32"/>
    <w:rsid w:val="00415E6A"/>
    <w:rsid w:val="004160A2"/>
    <w:rsid w:val="004166E9"/>
    <w:rsid w:val="0041674B"/>
    <w:rsid w:val="004170D7"/>
    <w:rsid w:val="004177A6"/>
    <w:rsid w:val="00417C00"/>
    <w:rsid w:val="00417C23"/>
    <w:rsid w:val="00417EFD"/>
    <w:rsid w:val="004200EE"/>
    <w:rsid w:val="00420786"/>
    <w:rsid w:val="004209D2"/>
    <w:rsid w:val="00420BBA"/>
    <w:rsid w:val="00420D6E"/>
    <w:rsid w:val="00420F50"/>
    <w:rsid w:val="0042158C"/>
    <w:rsid w:val="00421617"/>
    <w:rsid w:val="004217A7"/>
    <w:rsid w:val="00421BD2"/>
    <w:rsid w:val="00421E00"/>
    <w:rsid w:val="00421FCB"/>
    <w:rsid w:val="004220E2"/>
    <w:rsid w:val="00422DCA"/>
    <w:rsid w:val="00423D04"/>
    <w:rsid w:val="00423F9F"/>
    <w:rsid w:val="00424C5B"/>
    <w:rsid w:val="00425C43"/>
    <w:rsid w:val="004273FA"/>
    <w:rsid w:val="004275A7"/>
    <w:rsid w:val="00427BDA"/>
    <w:rsid w:val="00430186"/>
    <w:rsid w:val="00430F17"/>
    <w:rsid w:val="00431497"/>
    <w:rsid w:val="00431CC7"/>
    <w:rsid w:val="0043260C"/>
    <w:rsid w:val="0043269A"/>
    <w:rsid w:val="00432E92"/>
    <w:rsid w:val="004333C2"/>
    <w:rsid w:val="00434787"/>
    <w:rsid w:val="00434C13"/>
    <w:rsid w:val="00434C56"/>
    <w:rsid w:val="00434D8B"/>
    <w:rsid w:val="00435294"/>
    <w:rsid w:val="00435530"/>
    <w:rsid w:val="004356CF"/>
    <w:rsid w:val="00435703"/>
    <w:rsid w:val="00435BD5"/>
    <w:rsid w:val="00435C7F"/>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A8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347"/>
    <w:rsid w:val="00465677"/>
    <w:rsid w:val="00465B54"/>
    <w:rsid w:val="00466616"/>
    <w:rsid w:val="00466A0C"/>
    <w:rsid w:val="00466A53"/>
    <w:rsid w:val="00467EE3"/>
    <w:rsid w:val="0047088F"/>
    <w:rsid w:val="00470A6A"/>
    <w:rsid w:val="00470C12"/>
    <w:rsid w:val="00470D73"/>
    <w:rsid w:val="00470D92"/>
    <w:rsid w:val="00471DF7"/>
    <w:rsid w:val="00471E7D"/>
    <w:rsid w:val="004734CF"/>
    <w:rsid w:val="00473A5B"/>
    <w:rsid w:val="00473F33"/>
    <w:rsid w:val="0047586C"/>
    <w:rsid w:val="00475A31"/>
    <w:rsid w:val="00475C5A"/>
    <w:rsid w:val="00475C9C"/>
    <w:rsid w:val="0047676B"/>
    <w:rsid w:val="0047773C"/>
    <w:rsid w:val="00477B4D"/>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BE0"/>
    <w:rsid w:val="00486D00"/>
    <w:rsid w:val="00486FF7"/>
    <w:rsid w:val="00487263"/>
    <w:rsid w:val="0048734F"/>
    <w:rsid w:val="0048757F"/>
    <w:rsid w:val="0049029D"/>
    <w:rsid w:val="0049030C"/>
    <w:rsid w:val="004903C0"/>
    <w:rsid w:val="00490654"/>
    <w:rsid w:val="00490BE8"/>
    <w:rsid w:val="0049114B"/>
    <w:rsid w:val="004912A8"/>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9B0"/>
    <w:rsid w:val="004B0A44"/>
    <w:rsid w:val="004B0F0B"/>
    <w:rsid w:val="004B205A"/>
    <w:rsid w:val="004B2197"/>
    <w:rsid w:val="004B298A"/>
    <w:rsid w:val="004B2BB8"/>
    <w:rsid w:val="004B448D"/>
    <w:rsid w:val="004B50CB"/>
    <w:rsid w:val="004B578D"/>
    <w:rsid w:val="004B5BE7"/>
    <w:rsid w:val="004B5E2D"/>
    <w:rsid w:val="004B6C07"/>
    <w:rsid w:val="004B74D3"/>
    <w:rsid w:val="004B755E"/>
    <w:rsid w:val="004B788E"/>
    <w:rsid w:val="004B7E5D"/>
    <w:rsid w:val="004C117D"/>
    <w:rsid w:val="004C1198"/>
    <w:rsid w:val="004C22F7"/>
    <w:rsid w:val="004C278C"/>
    <w:rsid w:val="004C2B27"/>
    <w:rsid w:val="004C3929"/>
    <w:rsid w:val="004C4160"/>
    <w:rsid w:val="004C4772"/>
    <w:rsid w:val="004C496D"/>
    <w:rsid w:val="004C5160"/>
    <w:rsid w:val="004C5212"/>
    <w:rsid w:val="004C5EF0"/>
    <w:rsid w:val="004C64C9"/>
    <w:rsid w:val="004C7226"/>
    <w:rsid w:val="004C74C9"/>
    <w:rsid w:val="004C7915"/>
    <w:rsid w:val="004C7D70"/>
    <w:rsid w:val="004D02F9"/>
    <w:rsid w:val="004D03FE"/>
    <w:rsid w:val="004D0446"/>
    <w:rsid w:val="004D06A3"/>
    <w:rsid w:val="004D0F95"/>
    <w:rsid w:val="004D106A"/>
    <w:rsid w:val="004D1162"/>
    <w:rsid w:val="004D1C7E"/>
    <w:rsid w:val="004D245A"/>
    <w:rsid w:val="004D31EE"/>
    <w:rsid w:val="004D36AF"/>
    <w:rsid w:val="004D3BD1"/>
    <w:rsid w:val="004D4BA1"/>
    <w:rsid w:val="004D584D"/>
    <w:rsid w:val="004D5A7E"/>
    <w:rsid w:val="004D6120"/>
    <w:rsid w:val="004D6826"/>
    <w:rsid w:val="004D7497"/>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DE"/>
    <w:rsid w:val="004E5736"/>
    <w:rsid w:val="004E5A3C"/>
    <w:rsid w:val="004E5B36"/>
    <w:rsid w:val="004E5D5D"/>
    <w:rsid w:val="004E6045"/>
    <w:rsid w:val="004E67D0"/>
    <w:rsid w:val="004E6F43"/>
    <w:rsid w:val="004E7200"/>
    <w:rsid w:val="004E787E"/>
    <w:rsid w:val="004E7AA1"/>
    <w:rsid w:val="004F0805"/>
    <w:rsid w:val="004F084B"/>
    <w:rsid w:val="004F0960"/>
    <w:rsid w:val="004F0A5C"/>
    <w:rsid w:val="004F1596"/>
    <w:rsid w:val="004F163F"/>
    <w:rsid w:val="004F18A0"/>
    <w:rsid w:val="004F1A08"/>
    <w:rsid w:val="004F2480"/>
    <w:rsid w:val="004F2B64"/>
    <w:rsid w:val="004F31B8"/>
    <w:rsid w:val="004F33FA"/>
    <w:rsid w:val="004F375E"/>
    <w:rsid w:val="004F3764"/>
    <w:rsid w:val="004F3EEF"/>
    <w:rsid w:val="004F5129"/>
    <w:rsid w:val="004F5180"/>
    <w:rsid w:val="004F544B"/>
    <w:rsid w:val="004F57C9"/>
    <w:rsid w:val="004F5930"/>
    <w:rsid w:val="004F5970"/>
    <w:rsid w:val="004F5F0C"/>
    <w:rsid w:val="004F6121"/>
    <w:rsid w:val="004F6161"/>
    <w:rsid w:val="004F66BC"/>
    <w:rsid w:val="004F6C26"/>
    <w:rsid w:val="004F6F6D"/>
    <w:rsid w:val="004F7AC9"/>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DE9"/>
    <w:rsid w:val="00510DF4"/>
    <w:rsid w:val="005111E2"/>
    <w:rsid w:val="00511231"/>
    <w:rsid w:val="005113B1"/>
    <w:rsid w:val="00511741"/>
    <w:rsid w:val="0051255B"/>
    <w:rsid w:val="00512C4F"/>
    <w:rsid w:val="00513042"/>
    <w:rsid w:val="0051334F"/>
    <w:rsid w:val="00513399"/>
    <w:rsid w:val="00513AF2"/>
    <w:rsid w:val="00514247"/>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E0D"/>
    <w:rsid w:val="0052311A"/>
    <w:rsid w:val="0052370B"/>
    <w:rsid w:val="00523903"/>
    <w:rsid w:val="005239B6"/>
    <w:rsid w:val="00523C45"/>
    <w:rsid w:val="00523F41"/>
    <w:rsid w:val="00524165"/>
    <w:rsid w:val="005244FC"/>
    <w:rsid w:val="005246E7"/>
    <w:rsid w:val="00524B08"/>
    <w:rsid w:val="00524C38"/>
    <w:rsid w:val="00524FD2"/>
    <w:rsid w:val="00525621"/>
    <w:rsid w:val="00526181"/>
    <w:rsid w:val="00526431"/>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672"/>
    <w:rsid w:val="005376B5"/>
    <w:rsid w:val="0053772F"/>
    <w:rsid w:val="00537A70"/>
    <w:rsid w:val="00537B64"/>
    <w:rsid w:val="00537B77"/>
    <w:rsid w:val="00540C4C"/>
    <w:rsid w:val="00540DC5"/>
    <w:rsid w:val="00541469"/>
    <w:rsid w:val="00541571"/>
    <w:rsid w:val="005419DA"/>
    <w:rsid w:val="00541B1F"/>
    <w:rsid w:val="005426C3"/>
    <w:rsid w:val="0054275A"/>
    <w:rsid w:val="005428B8"/>
    <w:rsid w:val="005428BE"/>
    <w:rsid w:val="00542BD7"/>
    <w:rsid w:val="00542D08"/>
    <w:rsid w:val="00543084"/>
    <w:rsid w:val="00543584"/>
    <w:rsid w:val="00543A9E"/>
    <w:rsid w:val="00543CAF"/>
    <w:rsid w:val="0054413A"/>
    <w:rsid w:val="00544288"/>
    <w:rsid w:val="00544420"/>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68"/>
    <w:rsid w:val="00551DFF"/>
    <w:rsid w:val="005525C9"/>
    <w:rsid w:val="00552B3E"/>
    <w:rsid w:val="00552C59"/>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7C4"/>
    <w:rsid w:val="00582805"/>
    <w:rsid w:val="0058290E"/>
    <w:rsid w:val="00582CAB"/>
    <w:rsid w:val="00582E51"/>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F1A"/>
    <w:rsid w:val="00591C03"/>
    <w:rsid w:val="00591E2A"/>
    <w:rsid w:val="005923C4"/>
    <w:rsid w:val="0059397D"/>
    <w:rsid w:val="00593EA2"/>
    <w:rsid w:val="00593F75"/>
    <w:rsid w:val="005940A0"/>
    <w:rsid w:val="0059429A"/>
    <w:rsid w:val="00594CBE"/>
    <w:rsid w:val="00596AF7"/>
    <w:rsid w:val="00596CCE"/>
    <w:rsid w:val="005A0AE0"/>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608"/>
    <w:rsid w:val="005A5A3D"/>
    <w:rsid w:val="005A6035"/>
    <w:rsid w:val="005A6B75"/>
    <w:rsid w:val="005A6E00"/>
    <w:rsid w:val="005A718A"/>
    <w:rsid w:val="005A72DD"/>
    <w:rsid w:val="005A7885"/>
    <w:rsid w:val="005B0293"/>
    <w:rsid w:val="005B077F"/>
    <w:rsid w:val="005B12B2"/>
    <w:rsid w:val="005B143B"/>
    <w:rsid w:val="005B19BD"/>
    <w:rsid w:val="005B1E45"/>
    <w:rsid w:val="005B21C4"/>
    <w:rsid w:val="005B2A28"/>
    <w:rsid w:val="005B35AB"/>
    <w:rsid w:val="005B3621"/>
    <w:rsid w:val="005B3C39"/>
    <w:rsid w:val="005B3EBE"/>
    <w:rsid w:val="005B4948"/>
    <w:rsid w:val="005B501D"/>
    <w:rsid w:val="005B54CC"/>
    <w:rsid w:val="005B6F69"/>
    <w:rsid w:val="005B71BB"/>
    <w:rsid w:val="005B74AD"/>
    <w:rsid w:val="005B7E96"/>
    <w:rsid w:val="005C0429"/>
    <w:rsid w:val="005C06A5"/>
    <w:rsid w:val="005C084F"/>
    <w:rsid w:val="005C0EE9"/>
    <w:rsid w:val="005C169F"/>
    <w:rsid w:val="005C16A8"/>
    <w:rsid w:val="005C1716"/>
    <w:rsid w:val="005C1954"/>
    <w:rsid w:val="005C1C0B"/>
    <w:rsid w:val="005C1D8B"/>
    <w:rsid w:val="005C2011"/>
    <w:rsid w:val="005C279F"/>
    <w:rsid w:val="005C3EA3"/>
    <w:rsid w:val="005C44DE"/>
    <w:rsid w:val="005C4D13"/>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3D4B"/>
    <w:rsid w:val="005E4B72"/>
    <w:rsid w:val="005E5022"/>
    <w:rsid w:val="005E52C9"/>
    <w:rsid w:val="005E781C"/>
    <w:rsid w:val="005F2856"/>
    <w:rsid w:val="005F2D8B"/>
    <w:rsid w:val="005F2E42"/>
    <w:rsid w:val="005F305B"/>
    <w:rsid w:val="005F3361"/>
    <w:rsid w:val="005F34DD"/>
    <w:rsid w:val="005F361A"/>
    <w:rsid w:val="005F3B47"/>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0AF5"/>
    <w:rsid w:val="0060139A"/>
    <w:rsid w:val="006013C9"/>
    <w:rsid w:val="00602931"/>
    <w:rsid w:val="00602B45"/>
    <w:rsid w:val="00603499"/>
    <w:rsid w:val="006035F5"/>
    <w:rsid w:val="00603CC2"/>
    <w:rsid w:val="006047D1"/>
    <w:rsid w:val="006048A4"/>
    <w:rsid w:val="00604A55"/>
    <w:rsid w:val="00604D4E"/>
    <w:rsid w:val="00604E3E"/>
    <w:rsid w:val="00605AC3"/>
    <w:rsid w:val="00606634"/>
    <w:rsid w:val="00606908"/>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C2B"/>
    <w:rsid w:val="00616D7F"/>
    <w:rsid w:val="006178D1"/>
    <w:rsid w:val="00617D72"/>
    <w:rsid w:val="0062008E"/>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75D"/>
    <w:rsid w:val="00625642"/>
    <w:rsid w:val="00625DF2"/>
    <w:rsid w:val="006266D7"/>
    <w:rsid w:val="00626A11"/>
    <w:rsid w:val="00626D42"/>
    <w:rsid w:val="00626EE3"/>
    <w:rsid w:val="006274AD"/>
    <w:rsid w:val="00627519"/>
    <w:rsid w:val="00627532"/>
    <w:rsid w:val="006302AA"/>
    <w:rsid w:val="00630C0F"/>
    <w:rsid w:val="006310C3"/>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2126"/>
    <w:rsid w:val="00642A32"/>
    <w:rsid w:val="00642B8E"/>
    <w:rsid w:val="00642F7C"/>
    <w:rsid w:val="006433D5"/>
    <w:rsid w:val="00643412"/>
    <w:rsid w:val="00645844"/>
    <w:rsid w:val="00645CEB"/>
    <w:rsid w:val="00645E63"/>
    <w:rsid w:val="006466F2"/>
    <w:rsid w:val="00646B20"/>
    <w:rsid w:val="00646D0F"/>
    <w:rsid w:val="00647A36"/>
    <w:rsid w:val="00647DCC"/>
    <w:rsid w:val="00647E8E"/>
    <w:rsid w:val="00647EFA"/>
    <w:rsid w:val="00647F14"/>
    <w:rsid w:val="00647FB1"/>
    <w:rsid w:val="00650027"/>
    <w:rsid w:val="0065040E"/>
    <w:rsid w:val="0065072D"/>
    <w:rsid w:val="00650E89"/>
    <w:rsid w:val="006516E6"/>
    <w:rsid w:val="00651B9C"/>
    <w:rsid w:val="00651C47"/>
    <w:rsid w:val="006525BD"/>
    <w:rsid w:val="00652E70"/>
    <w:rsid w:val="00652EFF"/>
    <w:rsid w:val="00652F4D"/>
    <w:rsid w:val="0065339A"/>
    <w:rsid w:val="00653469"/>
    <w:rsid w:val="0065443A"/>
    <w:rsid w:val="00654A38"/>
    <w:rsid w:val="00655301"/>
    <w:rsid w:val="00655371"/>
    <w:rsid w:val="00655507"/>
    <w:rsid w:val="00655652"/>
    <w:rsid w:val="006564A5"/>
    <w:rsid w:val="00656C4B"/>
    <w:rsid w:val="00656FA2"/>
    <w:rsid w:val="006572A7"/>
    <w:rsid w:val="006572DA"/>
    <w:rsid w:val="006573EA"/>
    <w:rsid w:val="006577C9"/>
    <w:rsid w:val="006606A4"/>
    <w:rsid w:val="00661029"/>
    <w:rsid w:val="006610C3"/>
    <w:rsid w:val="0066135A"/>
    <w:rsid w:val="00661A38"/>
    <w:rsid w:val="00661B46"/>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4D1"/>
    <w:rsid w:val="006665B0"/>
    <w:rsid w:val="00666B49"/>
    <w:rsid w:val="00666C72"/>
    <w:rsid w:val="00666E6C"/>
    <w:rsid w:val="0066707F"/>
    <w:rsid w:val="00667ED8"/>
    <w:rsid w:val="0067064C"/>
    <w:rsid w:val="00670B20"/>
    <w:rsid w:val="00670E12"/>
    <w:rsid w:val="00670F27"/>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A86"/>
    <w:rsid w:val="00680FEA"/>
    <w:rsid w:val="006811C9"/>
    <w:rsid w:val="006812CE"/>
    <w:rsid w:val="006817D5"/>
    <w:rsid w:val="0068180C"/>
    <w:rsid w:val="006823DA"/>
    <w:rsid w:val="006826C1"/>
    <w:rsid w:val="00682C89"/>
    <w:rsid w:val="006832B8"/>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641"/>
    <w:rsid w:val="00692745"/>
    <w:rsid w:val="00692FFA"/>
    <w:rsid w:val="00693772"/>
    <w:rsid w:val="00693984"/>
    <w:rsid w:val="00693B77"/>
    <w:rsid w:val="00694160"/>
    <w:rsid w:val="00694E8B"/>
    <w:rsid w:val="006959A5"/>
    <w:rsid w:val="00695C0C"/>
    <w:rsid w:val="00696736"/>
    <w:rsid w:val="00696A05"/>
    <w:rsid w:val="00696A5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F37"/>
    <w:rsid w:val="00705631"/>
    <w:rsid w:val="00705818"/>
    <w:rsid w:val="00705F62"/>
    <w:rsid w:val="00706321"/>
    <w:rsid w:val="00706813"/>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DC"/>
    <w:rsid w:val="00730CD6"/>
    <w:rsid w:val="00730F74"/>
    <w:rsid w:val="0073114B"/>
    <w:rsid w:val="00731CAA"/>
    <w:rsid w:val="00732151"/>
    <w:rsid w:val="00732EBC"/>
    <w:rsid w:val="00734952"/>
    <w:rsid w:val="00734987"/>
    <w:rsid w:val="00734990"/>
    <w:rsid w:val="00734FF5"/>
    <w:rsid w:val="00735883"/>
    <w:rsid w:val="00735B78"/>
    <w:rsid w:val="00735DA7"/>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6DB"/>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28"/>
    <w:rsid w:val="007616DB"/>
    <w:rsid w:val="00761AB7"/>
    <w:rsid w:val="00761CE6"/>
    <w:rsid w:val="0076228A"/>
    <w:rsid w:val="00762440"/>
    <w:rsid w:val="00762499"/>
    <w:rsid w:val="0076275B"/>
    <w:rsid w:val="007629B7"/>
    <w:rsid w:val="00762E60"/>
    <w:rsid w:val="00762F54"/>
    <w:rsid w:val="007634AD"/>
    <w:rsid w:val="0076445F"/>
    <w:rsid w:val="00764EC5"/>
    <w:rsid w:val="007651EF"/>
    <w:rsid w:val="007668B9"/>
    <w:rsid w:val="00766D49"/>
    <w:rsid w:val="00766ECC"/>
    <w:rsid w:val="007672F3"/>
    <w:rsid w:val="007677B5"/>
    <w:rsid w:val="007678B1"/>
    <w:rsid w:val="007708A8"/>
    <w:rsid w:val="007711A1"/>
    <w:rsid w:val="00772100"/>
    <w:rsid w:val="00772275"/>
    <w:rsid w:val="0077279E"/>
    <w:rsid w:val="00772C9A"/>
    <w:rsid w:val="007734E4"/>
    <w:rsid w:val="0077380D"/>
    <w:rsid w:val="00773BC8"/>
    <w:rsid w:val="007742CB"/>
    <w:rsid w:val="00774549"/>
    <w:rsid w:val="007745F6"/>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86B"/>
    <w:rsid w:val="00782D2C"/>
    <w:rsid w:val="00782FC2"/>
    <w:rsid w:val="0078347A"/>
    <w:rsid w:val="0078410A"/>
    <w:rsid w:val="007843B3"/>
    <w:rsid w:val="00784938"/>
    <w:rsid w:val="00784FC4"/>
    <w:rsid w:val="00785815"/>
    <w:rsid w:val="00785BBB"/>
    <w:rsid w:val="00786489"/>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AD"/>
    <w:rsid w:val="00797A9C"/>
    <w:rsid w:val="007A0502"/>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2C2E"/>
    <w:rsid w:val="007B2ECA"/>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C64"/>
    <w:rsid w:val="007B6D4A"/>
    <w:rsid w:val="007B6EC8"/>
    <w:rsid w:val="007B6F81"/>
    <w:rsid w:val="007B7EA2"/>
    <w:rsid w:val="007C097D"/>
    <w:rsid w:val="007C0AF2"/>
    <w:rsid w:val="007C1672"/>
    <w:rsid w:val="007C17AE"/>
    <w:rsid w:val="007C1C8E"/>
    <w:rsid w:val="007C1CFF"/>
    <w:rsid w:val="007C24EE"/>
    <w:rsid w:val="007C312A"/>
    <w:rsid w:val="007C3538"/>
    <w:rsid w:val="007C3570"/>
    <w:rsid w:val="007C3F3B"/>
    <w:rsid w:val="007C4097"/>
    <w:rsid w:val="007C4241"/>
    <w:rsid w:val="007C425E"/>
    <w:rsid w:val="007C55FF"/>
    <w:rsid w:val="007C6339"/>
    <w:rsid w:val="007C67F4"/>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214A"/>
    <w:rsid w:val="007E238D"/>
    <w:rsid w:val="007E2C36"/>
    <w:rsid w:val="007E350D"/>
    <w:rsid w:val="007E3ACA"/>
    <w:rsid w:val="007E3F27"/>
    <w:rsid w:val="007E3F4A"/>
    <w:rsid w:val="007E4F0D"/>
    <w:rsid w:val="007E564D"/>
    <w:rsid w:val="007E5C4A"/>
    <w:rsid w:val="007E6135"/>
    <w:rsid w:val="007E64D4"/>
    <w:rsid w:val="007E66E9"/>
    <w:rsid w:val="007E69F2"/>
    <w:rsid w:val="007E73FB"/>
    <w:rsid w:val="007E7432"/>
    <w:rsid w:val="007E74BF"/>
    <w:rsid w:val="007E7657"/>
    <w:rsid w:val="007E7D2E"/>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2041"/>
    <w:rsid w:val="008022C9"/>
    <w:rsid w:val="00802605"/>
    <w:rsid w:val="00802F9E"/>
    <w:rsid w:val="00803700"/>
    <w:rsid w:val="00803A7B"/>
    <w:rsid w:val="00803D9D"/>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4AC5"/>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40B"/>
    <w:rsid w:val="0082292E"/>
    <w:rsid w:val="00822D06"/>
    <w:rsid w:val="00822EC4"/>
    <w:rsid w:val="0082348D"/>
    <w:rsid w:val="008236BE"/>
    <w:rsid w:val="00824183"/>
    <w:rsid w:val="008241CE"/>
    <w:rsid w:val="00825240"/>
    <w:rsid w:val="00825B43"/>
    <w:rsid w:val="00826870"/>
    <w:rsid w:val="00826F71"/>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9A6"/>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92D"/>
    <w:rsid w:val="0085304C"/>
    <w:rsid w:val="008536BB"/>
    <w:rsid w:val="00853A3C"/>
    <w:rsid w:val="008548CA"/>
    <w:rsid w:val="008563B0"/>
    <w:rsid w:val="00856C06"/>
    <w:rsid w:val="0085747B"/>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94E"/>
    <w:rsid w:val="00863F8A"/>
    <w:rsid w:val="00863FE3"/>
    <w:rsid w:val="008640C4"/>
    <w:rsid w:val="00864241"/>
    <w:rsid w:val="008645AA"/>
    <w:rsid w:val="0086468A"/>
    <w:rsid w:val="00865059"/>
    <w:rsid w:val="008650BE"/>
    <w:rsid w:val="00865AF2"/>
    <w:rsid w:val="00865EAF"/>
    <w:rsid w:val="0086633B"/>
    <w:rsid w:val="00866495"/>
    <w:rsid w:val="00866881"/>
    <w:rsid w:val="00866931"/>
    <w:rsid w:val="00866DAE"/>
    <w:rsid w:val="00867512"/>
    <w:rsid w:val="008678A3"/>
    <w:rsid w:val="00867C13"/>
    <w:rsid w:val="00867C1D"/>
    <w:rsid w:val="0087033C"/>
    <w:rsid w:val="008715ED"/>
    <w:rsid w:val="008717D8"/>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77E66"/>
    <w:rsid w:val="008808C7"/>
    <w:rsid w:val="0088099E"/>
    <w:rsid w:val="0088106B"/>
    <w:rsid w:val="0088107D"/>
    <w:rsid w:val="0088187A"/>
    <w:rsid w:val="00881E64"/>
    <w:rsid w:val="00882E39"/>
    <w:rsid w:val="00883559"/>
    <w:rsid w:val="008850EB"/>
    <w:rsid w:val="00885228"/>
    <w:rsid w:val="008857E3"/>
    <w:rsid w:val="00885AEB"/>
    <w:rsid w:val="008861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A7C"/>
    <w:rsid w:val="00894AE1"/>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7D5"/>
    <w:rsid w:val="008A1C96"/>
    <w:rsid w:val="008A1FB7"/>
    <w:rsid w:val="008A21E8"/>
    <w:rsid w:val="008A229A"/>
    <w:rsid w:val="008A2A23"/>
    <w:rsid w:val="008A2AF5"/>
    <w:rsid w:val="008A2B5A"/>
    <w:rsid w:val="008A38DE"/>
    <w:rsid w:val="008A3A70"/>
    <w:rsid w:val="008A3F9D"/>
    <w:rsid w:val="008A41F8"/>
    <w:rsid w:val="008A5474"/>
    <w:rsid w:val="008A58BB"/>
    <w:rsid w:val="008A5C9A"/>
    <w:rsid w:val="008A6005"/>
    <w:rsid w:val="008A614F"/>
    <w:rsid w:val="008A65AE"/>
    <w:rsid w:val="008A6A55"/>
    <w:rsid w:val="008A6DF0"/>
    <w:rsid w:val="008A6F6E"/>
    <w:rsid w:val="008A7888"/>
    <w:rsid w:val="008A796E"/>
    <w:rsid w:val="008B0862"/>
    <w:rsid w:val="008B088C"/>
    <w:rsid w:val="008B0B64"/>
    <w:rsid w:val="008B1BF5"/>
    <w:rsid w:val="008B263F"/>
    <w:rsid w:val="008B3045"/>
    <w:rsid w:val="008B3E9E"/>
    <w:rsid w:val="008B47A6"/>
    <w:rsid w:val="008B5C7C"/>
    <w:rsid w:val="008B5E27"/>
    <w:rsid w:val="008B63FE"/>
    <w:rsid w:val="008B672C"/>
    <w:rsid w:val="008B7108"/>
    <w:rsid w:val="008B7AA6"/>
    <w:rsid w:val="008C065F"/>
    <w:rsid w:val="008C0743"/>
    <w:rsid w:val="008C0B4C"/>
    <w:rsid w:val="008C11D9"/>
    <w:rsid w:val="008C11F0"/>
    <w:rsid w:val="008C1918"/>
    <w:rsid w:val="008C1DBA"/>
    <w:rsid w:val="008C24E7"/>
    <w:rsid w:val="008C2500"/>
    <w:rsid w:val="008C2CAC"/>
    <w:rsid w:val="008C3C57"/>
    <w:rsid w:val="008C3E2A"/>
    <w:rsid w:val="008C45BD"/>
    <w:rsid w:val="008C4B19"/>
    <w:rsid w:val="008C5D1A"/>
    <w:rsid w:val="008C62D4"/>
    <w:rsid w:val="008C67A2"/>
    <w:rsid w:val="008C6B89"/>
    <w:rsid w:val="008C6B97"/>
    <w:rsid w:val="008C7EF7"/>
    <w:rsid w:val="008D094D"/>
    <w:rsid w:val="008D18AA"/>
    <w:rsid w:val="008D1A2A"/>
    <w:rsid w:val="008D1ADE"/>
    <w:rsid w:val="008D3199"/>
    <w:rsid w:val="008D3330"/>
    <w:rsid w:val="008D35D9"/>
    <w:rsid w:val="008D3B36"/>
    <w:rsid w:val="008D3B85"/>
    <w:rsid w:val="008D3BF8"/>
    <w:rsid w:val="008D462D"/>
    <w:rsid w:val="008D58B7"/>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1056"/>
    <w:rsid w:val="008F2E8D"/>
    <w:rsid w:val="008F361D"/>
    <w:rsid w:val="008F387B"/>
    <w:rsid w:val="008F3DD9"/>
    <w:rsid w:val="008F4163"/>
    <w:rsid w:val="008F462B"/>
    <w:rsid w:val="008F4814"/>
    <w:rsid w:val="008F4B18"/>
    <w:rsid w:val="008F4DA6"/>
    <w:rsid w:val="008F538E"/>
    <w:rsid w:val="008F5A20"/>
    <w:rsid w:val="008F5ABA"/>
    <w:rsid w:val="008F6157"/>
    <w:rsid w:val="008F682A"/>
    <w:rsid w:val="008F698E"/>
    <w:rsid w:val="008F71AB"/>
    <w:rsid w:val="008F7905"/>
    <w:rsid w:val="008F7989"/>
    <w:rsid w:val="00900912"/>
    <w:rsid w:val="00900FC5"/>
    <w:rsid w:val="00901F1D"/>
    <w:rsid w:val="009028E8"/>
    <w:rsid w:val="00902E5C"/>
    <w:rsid w:val="0090363E"/>
    <w:rsid w:val="00903788"/>
    <w:rsid w:val="009046E5"/>
    <w:rsid w:val="009047C5"/>
    <w:rsid w:val="00910683"/>
    <w:rsid w:val="00910B6F"/>
    <w:rsid w:val="00910E00"/>
    <w:rsid w:val="00910E04"/>
    <w:rsid w:val="009116CE"/>
    <w:rsid w:val="00911714"/>
    <w:rsid w:val="00911D04"/>
    <w:rsid w:val="00911EFF"/>
    <w:rsid w:val="0091251B"/>
    <w:rsid w:val="0091310F"/>
    <w:rsid w:val="009136D4"/>
    <w:rsid w:val="00914B9A"/>
    <w:rsid w:val="00914C3F"/>
    <w:rsid w:val="00914F33"/>
    <w:rsid w:val="00915C0C"/>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A6"/>
    <w:rsid w:val="00924770"/>
    <w:rsid w:val="00925346"/>
    <w:rsid w:val="00925743"/>
    <w:rsid w:val="0092579F"/>
    <w:rsid w:val="00927128"/>
    <w:rsid w:val="00927E8D"/>
    <w:rsid w:val="00927F23"/>
    <w:rsid w:val="009307CD"/>
    <w:rsid w:val="00930823"/>
    <w:rsid w:val="00931028"/>
    <w:rsid w:val="00931165"/>
    <w:rsid w:val="00931364"/>
    <w:rsid w:val="00931365"/>
    <w:rsid w:val="0093140E"/>
    <w:rsid w:val="00931451"/>
    <w:rsid w:val="00931491"/>
    <w:rsid w:val="009314FA"/>
    <w:rsid w:val="0093194F"/>
    <w:rsid w:val="00931BF3"/>
    <w:rsid w:val="00931C55"/>
    <w:rsid w:val="0093228F"/>
    <w:rsid w:val="00933333"/>
    <w:rsid w:val="0093349A"/>
    <w:rsid w:val="0093360C"/>
    <w:rsid w:val="009338BA"/>
    <w:rsid w:val="00933FCB"/>
    <w:rsid w:val="009346C8"/>
    <w:rsid w:val="00934CEC"/>
    <w:rsid w:val="00934E69"/>
    <w:rsid w:val="00935745"/>
    <w:rsid w:val="00935E70"/>
    <w:rsid w:val="0093609A"/>
    <w:rsid w:val="00936517"/>
    <w:rsid w:val="00937401"/>
    <w:rsid w:val="009376FB"/>
    <w:rsid w:val="00937D6B"/>
    <w:rsid w:val="00940477"/>
    <w:rsid w:val="00940876"/>
    <w:rsid w:val="00940A53"/>
    <w:rsid w:val="00940F3C"/>
    <w:rsid w:val="009410E0"/>
    <w:rsid w:val="00941FA9"/>
    <w:rsid w:val="00942641"/>
    <w:rsid w:val="009439B6"/>
    <w:rsid w:val="009444B4"/>
    <w:rsid w:val="00944644"/>
    <w:rsid w:val="00946A24"/>
    <w:rsid w:val="009470D4"/>
    <w:rsid w:val="00947337"/>
    <w:rsid w:val="00947A87"/>
    <w:rsid w:val="00947B97"/>
    <w:rsid w:val="00947E6E"/>
    <w:rsid w:val="009512FA"/>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1ED"/>
    <w:rsid w:val="00976256"/>
    <w:rsid w:val="0097737D"/>
    <w:rsid w:val="00980209"/>
    <w:rsid w:val="0098022F"/>
    <w:rsid w:val="009810DE"/>
    <w:rsid w:val="00981B91"/>
    <w:rsid w:val="009822D7"/>
    <w:rsid w:val="009827E6"/>
    <w:rsid w:val="00982F84"/>
    <w:rsid w:val="009831C3"/>
    <w:rsid w:val="009837E1"/>
    <w:rsid w:val="0098427D"/>
    <w:rsid w:val="00984567"/>
    <w:rsid w:val="00985102"/>
    <w:rsid w:val="009854BC"/>
    <w:rsid w:val="00985A66"/>
    <w:rsid w:val="0098606C"/>
    <w:rsid w:val="009865D5"/>
    <w:rsid w:val="009876F2"/>
    <w:rsid w:val="00987C77"/>
    <w:rsid w:val="00987FED"/>
    <w:rsid w:val="00990345"/>
    <w:rsid w:val="00990701"/>
    <w:rsid w:val="0099070B"/>
    <w:rsid w:val="0099119C"/>
    <w:rsid w:val="00991361"/>
    <w:rsid w:val="0099137A"/>
    <w:rsid w:val="0099211C"/>
    <w:rsid w:val="00992321"/>
    <w:rsid w:val="00993013"/>
    <w:rsid w:val="009930AB"/>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09BA"/>
    <w:rsid w:val="009D11F6"/>
    <w:rsid w:val="009D163B"/>
    <w:rsid w:val="009D1A14"/>
    <w:rsid w:val="009D1E2A"/>
    <w:rsid w:val="009D1FA0"/>
    <w:rsid w:val="009D2BDF"/>
    <w:rsid w:val="009D3736"/>
    <w:rsid w:val="009D4529"/>
    <w:rsid w:val="009D460F"/>
    <w:rsid w:val="009D4E02"/>
    <w:rsid w:val="009D604F"/>
    <w:rsid w:val="009D61BB"/>
    <w:rsid w:val="009D6410"/>
    <w:rsid w:val="009D68BB"/>
    <w:rsid w:val="009D6909"/>
    <w:rsid w:val="009D6B46"/>
    <w:rsid w:val="009D700F"/>
    <w:rsid w:val="009D70C2"/>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6B1"/>
    <w:rsid w:val="00A02B88"/>
    <w:rsid w:val="00A02F05"/>
    <w:rsid w:val="00A03160"/>
    <w:rsid w:val="00A036AC"/>
    <w:rsid w:val="00A03C54"/>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43A"/>
    <w:rsid w:val="00A30E02"/>
    <w:rsid w:val="00A30F6A"/>
    <w:rsid w:val="00A31060"/>
    <w:rsid w:val="00A31C3E"/>
    <w:rsid w:val="00A33CD0"/>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DE7"/>
    <w:rsid w:val="00A57EB2"/>
    <w:rsid w:val="00A6009E"/>
    <w:rsid w:val="00A60265"/>
    <w:rsid w:val="00A60500"/>
    <w:rsid w:val="00A60540"/>
    <w:rsid w:val="00A60B1F"/>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36B"/>
    <w:rsid w:val="00A753B9"/>
    <w:rsid w:val="00A7549A"/>
    <w:rsid w:val="00A75504"/>
    <w:rsid w:val="00A75FD7"/>
    <w:rsid w:val="00A77168"/>
    <w:rsid w:val="00A7723B"/>
    <w:rsid w:val="00A773C3"/>
    <w:rsid w:val="00A774E6"/>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2A3"/>
    <w:rsid w:val="00A8575D"/>
    <w:rsid w:val="00A861F4"/>
    <w:rsid w:val="00A86E0B"/>
    <w:rsid w:val="00A87199"/>
    <w:rsid w:val="00A90F12"/>
    <w:rsid w:val="00A91DAA"/>
    <w:rsid w:val="00A93101"/>
    <w:rsid w:val="00A93239"/>
    <w:rsid w:val="00A9413E"/>
    <w:rsid w:val="00A94293"/>
    <w:rsid w:val="00A9496E"/>
    <w:rsid w:val="00A949F0"/>
    <w:rsid w:val="00A94BDE"/>
    <w:rsid w:val="00A94FCA"/>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3F9F"/>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28"/>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53C"/>
    <w:rsid w:val="00AC0A84"/>
    <w:rsid w:val="00AC0F74"/>
    <w:rsid w:val="00AC1508"/>
    <w:rsid w:val="00AC2A0B"/>
    <w:rsid w:val="00AC2BEE"/>
    <w:rsid w:val="00AC2E53"/>
    <w:rsid w:val="00AC3208"/>
    <w:rsid w:val="00AC4259"/>
    <w:rsid w:val="00AC484F"/>
    <w:rsid w:val="00AC4AD2"/>
    <w:rsid w:val="00AC4B20"/>
    <w:rsid w:val="00AC5395"/>
    <w:rsid w:val="00AC55C7"/>
    <w:rsid w:val="00AC5676"/>
    <w:rsid w:val="00AC56F2"/>
    <w:rsid w:val="00AC5D9D"/>
    <w:rsid w:val="00AC71C3"/>
    <w:rsid w:val="00AC7F29"/>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4A7D"/>
    <w:rsid w:val="00AE4C81"/>
    <w:rsid w:val="00AE4E63"/>
    <w:rsid w:val="00AE586F"/>
    <w:rsid w:val="00AE5888"/>
    <w:rsid w:val="00AE5964"/>
    <w:rsid w:val="00AE62FE"/>
    <w:rsid w:val="00AE6582"/>
    <w:rsid w:val="00AE6DC5"/>
    <w:rsid w:val="00AE7686"/>
    <w:rsid w:val="00AE799A"/>
    <w:rsid w:val="00AF0340"/>
    <w:rsid w:val="00AF0E81"/>
    <w:rsid w:val="00AF117A"/>
    <w:rsid w:val="00AF134E"/>
    <w:rsid w:val="00AF16CA"/>
    <w:rsid w:val="00AF186E"/>
    <w:rsid w:val="00AF19DF"/>
    <w:rsid w:val="00AF1C77"/>
    <w:rsid w:val="00AF1D41"/>
    <w:rsid w:val="00AF26CF"/>
    <w:rsid w:val="00AF3124"/>
    <w:rsid w:val="00AF344D"/>
    <w:rsid w:val="00AF39B3"/>
    <w:rsid w:val="00AF3C1F"/>
    <w:rsid w:val="00AF3FED"/>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BAF"/>
    <w:rsid w:val="00B0224B"/>
    <w:rsid w:val="00B024ED"/>
    <w:rsid w:val="00B026B8"/>
    <w:rsid w:val="00B02EB3"/>
    <w:rsid w:val="00B02F7C"/>
    <w:rsid w:val="00B02FCB"/>
    <w:rsid w:val="00B033AF"/>
    <w:rsid w:val="00B033F8"/>
    <w:rsid w:val="00B03C1E"/>
    <w:rsid w:val="00B03FE4"/>
    <w:rsid w:val="00B04101"/>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64E"/>
    <w:rsid w:val="00B36D2B"/>
    <w:rsid w:val="00B37657"/>
    <w:rsid w:val="00B37AFD"/>
    <w:rsid w:val="00B37B07"/>
    <w:rsid w:val="00B4046F"/>
    <w:rsid w:val="00B406B3"/>
    <w:rsid w:val="00B40A36"/>
    <w:rsid w:val="00B41BCA"/>
    <w:rsid w:val="00B41D39"/>
    <w:rsid w:val="00B422C0"/>
    <w:rsid w:val="00B426CA"/>
    <w:rsid w:val="00B426E1"/>
    <w:rsid w:val="00B4387A"/>
    <w:rsid w:val="00B44155"/>
    <w:rsid w:val="00B44746"/>
    <w:rsid w:val="00B44854"/>
    <w:rsid w:val="00B44BA5"/>
    <w:rsid w:val="00B4540B"/>
    <w:rsid w:val="00B458D0"/>
    <w:rsid w:val="00B47773"/>
    <w:rsid w:val="00B4792C"/>
    <w:rsid w:val="00B50CAE"/>
    <w:rsid w:val="00B512AD"/>
    <w:rsid w:val="00B5196C"/>
    <w:rsid w:val="00B52553"/>
    <w:rsid w:val="00B525CB"/>
    <w:rsid w:val="00B52697"/>
    <w:rsid w:val="00B538F0"/>
    <w:rsid w:val="00B53CAA"/>
    <w:rsid w:val="00B53CB0"/>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A1E"/>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40D"/>
    <w:rsid w:val="00B771F4"/>
    <w:rsid w:val="00B7762A"/>
    <w:rsid w:val="00B777FA"/>
    <w:rsid w:val="00B77850"/>
    <w:rsid w:val="00B7796B"/>
    <w:rsid w:val="00B77F67"/>
    <w:rsid w:val="00B80C72"/>
    <w:rsid w:val="00B8101E"/>
    <w:rsid w:val="00B81736"/>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1B8E"/>
    <w:rsid w:val="00B92531"/>
    <w:rsid w:val="00B92618"/>
    <w:rsid w:val="00B92751"/>
    <w:rsid w:val="00B92871"/>
    <w:rsid w:val="00B92B69"/>
    <w:rsid w:val="00B92CC6"/>
    <w:rsid w:val="00B935C9"/>
    <w:rsid w:val="00B93E3D"/>
    <w:rsid w:val="00B94C95"/>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7B6"/>
    <w:rsid w:val="00BA2C2A"/>
    <w:rsid w:val="00BA2F30"/>
    <w:rsid w:val="00BA35D9"/>
    <w:rsid w:val="00BA3982"/>
    <w:rsid w:val="00BA3FD4"/>
    <w:rsid w:val="00BA405F"/>
    <w:rsid w:val="00BA4771"/>
    <w:rsid w:val="00BA47B9"/>
    <w:rsid w:val="00BA482B"/>
    <w:rsid w:val="00BA5027"/>
    <w:rsid w:val="00BA58FC"/>
    <w:rsid w:val="00BA5D92"/>
    <w:rsid w:val="00BA665B"/>
    <w:rsid w:val="00BA6FE8"/>
    <w:rsid w:val="00BA732D"/>
    <w:rsid w:val="00BA7370"/>
    <w:rsid w:val="00BA7771"/>
    <w:rsid w:val="00BA778B"/>
    <w:rsid w:val="00BB0888"/>
    <w:rsid w:val="00BB0DF1"/>
    <w:rsid w:val="00BB0E49"/>
    <w:rsid w:val="00BB0E9B"/>
    <w:rsid w:val="00BB15EE"/>
    <w:rsid w:val="00BB2061"/>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7CC"/>
    <w:rsid w:val="00BC1F25"/>
    <w:rsid w:val="00BC209F"/>
    <w:rsid w:val="00BC24AD"/>
    <w:rsid w:val="00BC2898"/>
    <w:rsid w:val="00BC2928"/>
    <w:rsid w:val="00BC29BD"/>
    <w:rsid w:val="00BC2BB1"/>
    <w:rsid w:val="00BC34A3"/>
    <w:rsid w:val="00BC3FF9"/>
    <w:rsid w:val="00BC4834"/>
    <w:rsid w:val="00BC4A97"/>
    <w:rsid w:val="00BC566B"/>
    <w:rsid w:val="00BC5A25"/>
    <w:rsid w:val="00BC5FDD"/>
    <w:rsid w:val="00BC68B4"/>
    <w:rsid w:val="00BC7277"/>
    <w:rsid w:val="00BD0140"/>
    <w:rsid w:val="00BD02CC"/>
    <w:rsid w:val="00BD088E"/>
    <w:rsid w:val="00BD0F18"/>
    <w:rsid w:val="00BD182E"/>
    <w:rsid w:val="00BD2063"/>
    <w:rsid w:val="00BD28C4"/>
    <w:rsid w:val="00BD2950"/>
    <w:rsid w:val="00BD337A"/>
    <w:rsid w:val="00BD33D9"/>
    <w:rsid w:val="00BD38C5"/>
    <w:rsid w:val="00BD3A6D"/>
    <w:rsid w:val="00BD3AF1"/>
    <w:rsid w:val="00BD3DEA"/>
    <w:rsid w:val="00BD3E97"/>
    <w:rsid w:val="00BD40E4"/>
    <w:rsid w:val="00BD52FE"/>
    <w:rsid w:val="00BD59B6"/>
    <w:rsid w:val="00BD6265"/>
    <w:rsid w:val="00BD62CF"/>
    <w:rsid w:val="00BD67B2"/>
    <w:rsid w:val="00BD68E2"/>
    <w:rsid w:val="00BD6D41"/>
    <w:rsid w:val="00BD7522"/>
    <w:rsid w:val="00BD76E5"/>
    <w:rsid w:val="00BD78FE"/>
    <w:rsid w:val="00BD7FA3"/>
    <w:rsid w:val="00BE0149"/>
    <w:rsid w:val="00BE0767"/>
    <w:rsid w:val="00BE07A6"/>
    <w:rsid w:val="00BE0CDF"/>
    <w:rsid w:val="00BE0F24"/>
    <w:rsid w:val="00BE12D7"/>
    <w:rsid w:val="00BE1372"/>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0B0"/>
    <w:rsid w:val="00BE6D73"/>
    <w:rsid w:val="00BE7257"/>
    <w:rsid w:val="00BE792A"/>
    <w:rsid w:val="00BF020D"/>
    <w:rsid w:val="00BF0532"/>
    <w:rsid w:val="00BF0609"/>
    <w:rsid w:val="00BF0EE8"/>
    <w:rsid w:val="00BF0F20"/>
    <w:rsid w:val="00BF10ED"/>
    <w:rsid w:val="00BF15F2"/>
    <w:rsid w:val="00BF1DD2"/>
    <w:rsid w:val="00BF23A3"/>
    <w:rsid w:val="00BF2A7E"/>
    <w:rsid w:val="00BF2CD0"/>
    <w:rsid w:val="00BF3331"/>
    <w:rsid w:val="00BF3A45"/>
    <w:rsid w:val="00BF436F"/>
    <w:rsid w:val="00BF5C05"/>
    <w:rsid w:val="00BF5E78"/>
    <w:rsid w:val="00BF6A12"/>
    <w:rsid w:val="00BF6FC6"/>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07BCA"/>
    <w:rsid w:val="00C1066C"/>
    <w:rsid w:val="00C10BB9"/>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16C7"/>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19B"/>
    <w:rsid w:val="00C54640"/>
    <w:rsid w:val="00C547A6"/>
    <w:rsid w:val="00C54A3A"/>
    <w:rsid w:val="00C54A5A"/>
    <w:rsid w:val="00C55C32"/>
    <w:rsid w:val="00C5602D"/>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3605"/>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33D6"/>
    <w:rsid w:val="00C9370F"/>
    <w:rsid w:val="00C93765"/>
    <w:rsid w:val="00C93877"/>
    <w:rsid w:val="00C939D1"/>
    <w:rsid w:val="00C93D8C"/>
    <w:rsid w:val="00C93E07"/>
    <w:rsid w:val="00C940D9"/>
    <w:rsid w:val="00C946CC"/>
    <w:rsid w:val="00C959BD"/>
    <w:rsid w:val="00C95DFE"/>
    <w:rsid w:val="00C95F44"/>
    <w:rsid w:val="00C96331"/>
    <w:rsid w:val="00C96D1B"/>
    <w:rsid w:val="00C97106"/>
    <w:rsid w:val="00C978D4"/>
    <w:rsid w:val="00CA0031"/>
    <w:rsid w:val="00CA0413"/>
    <w:rsid w:val="00CA043A"/>
    <w:rsid w:val="00CA0E51"/>
    <w:rsid w:val="00CA1691"/>
    <w:rsid w:val="00CA36F3"/>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48EA"/>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4F22"/>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405A"/>
    <w:rsid w:val="00CD4506"/>
    <w:rsid w:val="00CD520B"/>
    <w:rsid w:val="00CD576C"/>
    <w:rsid w:val="00CD592E"/>
    <w:rsid w:val="00CD5982"/>
    <w:rsid w:val="00CD5A1A"/>
    <w:rsid w:val="00CD5BF5"/>
    <w:rsid w:val="00CD5C26"/>
    <w:rsid w:val="00CD6126"/>
    <w:rsid w:val="00CD6CAB"/>
    <w:rsid w:val="00CD6FFF"/>
    <w:rsid w:val="00CD7EFA"/>
    <w:rsid w:val="00CE020E"/>
    <w:rsid w:val="00CE026B"/>
    <w:rsid w:val="00CE0566"/>
    <w:rsid w:val="00CE06EF"/>
    <w:rsid w:val="00CE1CD4"/>
    <w:rsid w:val="00CE24D3"/>
    <w:rsid w:val="00CE2761"/>
    <w:rsid w:val="00CE28FC"/>
    <w:rsid w:val="00CE314E"/>
    <w:rsid w:val="00CE3A85"/>
    <w:rsid w:val="00CE3D5C"/>
    <w:rsid w:val="00CE3E09"/>
    <w:rsid w:val="00CE3E14"/>
    <w:rsid w:val="00CE44C7"/>
    <w:rsid w:val="00CE53CC"/>
    <w:rsid w:val="00CE5F60"/>
    <w:rsid w:val="00CE65A7"/>
    <w:rsid w:val="00CE68EF"/>
    <w:rsid w:val="00CE68FE"/>
    <w:rsid w:val="00CE69CC"/>
    <w:rsid w:val="00CE6EC4"/>
    <w:rsid w:val="00CE7F26"/>
    <w:rsid w:val="00CF021C"/>
    <w:rsid w:val="00CF1226"/>
    <w:rsid w:val="00CF1ABB"/>
    <w:rsid w:val="00CF1E1D"/>
    <w:rsid w:val="00CF1EB8"/>
    <w:rsid w:val="00CF24FE"/>
    <w:rsid w:val="00CF280C"/>
    <w:rsid w:val="00CF287F"/>
    <w:rsid w:val="00CF305E"/>
    <w:rsid w:val="00CF35D0"/>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8B5"/>
    <w:rsid w:val="00D0368E"/>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3B8"/>
    <w:rsid w:val="00D14B5F"/>
    <w:rsid w:val="00D14E13"/>
    <w:rsid w:val="00D14F23"/>
    <w:rsid w:val="00D160F6"/>
    <w:rsid w:val="00D16740"/>
    <w:rsid w:val="00D16A8B"/>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66C9"/>
    <w:rsid w:val="00D46B43"/>
    <w:rsid w:val="00D47275"/>
    <w:rsid w:val="00D517F6"/>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C74"/>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18C"/>
    <w:rsid w:val="00D91483"/>
    <w:rsid w:val="00D915C8"/>
    <w:rsid w:val="00D917FF"/>
    <w:rsid w:val="00D92653"/>
    <w:rsid w:val="00D93049"/>
    <w:rsid w:val="00D9310B"/>
    <w:rsid w:val="00D931F3"/>
    <w:rsid w:val="00D93726"/>
    <w:rsid w:val="00D93F3E"/>
    <w:rsid w:val="00D9405B"/>
    <w:rsid w:val="00D94942"/>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14A9"/>
    <w:rsid w:val="00DA1863"/>
    <w:rsid w:val="00DA1CE7"/>
    <w:rsid w:val="00DA286D"/>
    <w:rsid w:val="00DA2969"/>
    <w:rsid w:val="00DA29B7"/>
    <w:rsid w:val="00DA2E5F"/>
    <w:rsid w:val="00DA337C"/>
    <w:rsid w:val="00DA422F"/>
    <w:rsid w:val="00DA4842"/>
    <w:rsid w:val="00DA4C97"/>
    <w:rsid w:val="00DA4F35"/>
    <w:rsid w:val="00DA5989"/>
    <w:rsid w:val="00DA5AB1"/>
    <w:rsid w:val="00DA5F9D"/>
    <w:rsid w:val="00DA6719"/>
    <w:rsid w:val="00DA69B2"/>
    <w:rsid w:val="00DA7462"/>
    <w:rsid w:val="00DA7AD0"/>
    <w:rsid w:val="00DB02D7"/>
    <w:rsid w:val="00DB03CC"/>
    <w:rsid w:val="00DB12D4"/>
    <w:rsid w:val="00DB14F0"/>
    <w:rsid w:val="00DB1745"/>
    <w:rsid w:val="00DB177C"/>
    <w:rsid w:val="00DB19BB"/>
    <w:rsid w:val="00DB1A00"/>
    <w:rsid w:val="00DB1AFF"/>
    <w:rsid w:val="00DB219A"/>
    <w:rsid w:val="00DB244B"/>
    <w:rsid w:val="00DB3165"/>
    <w:rsid w:val="00DB4292"/>
    <w:rsid w:val="00DB5023"/>
    <w:rsid w:val="00DB52D2"/>
    <w:rsid w:val="00DB6E46"/>
    <w:rsid w:val="00DB7117"/>
    <w:rsid w:val="00DB7760"/>
    <w:rsid w:val="00DB7DD4"/>
    <w:rsid w:val="00DC00B4"/>
    <w:rsid w:val="00DC0954"/>
    <w:rsid w:val="00DC0DF8"/>
    <w:rsid w:val="00DC15BA"/>
    <w:rsid w:val="00DC18CD"/>
    <w:rsid w:val="00DC1A68"/>
    <w:rsid w:val="00DC2072"/>
    <w:rsid w:val="00DC28EC"/>
    <w:rsid w:val="00DC30B8"/>
    <w:rsid w:val="00DC47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B18"/>
    <w:rsid w:val="00DE20C6"/>
    <w:rsid w:val="00DE2C0C"/>
    <w:rsid w:val="00DE2E9B"/>
    <w:rsid w:val="00DE3119"/>
    <w:rsid w:val="00DE3789"/>
    <w:rsid w:val="00DE3C24"/>
    <w:rsid w:val="00DE3FF0"/>
    <w:rsid w:val="00DE4105"/>
    <w:rsid w:val="00DE4BEA"/>
    <w:rsid w:val="00DE5189"/>
    <w:rsid w:val="00DE67D2"/>
    <w:rsid w:val="00DE7108"/>
    <w:rsid w:val="00DE78D1"/>
    <w:rsid w:val="00DE78FF"/>
    <w:rsid w:val="00DE7B11"/>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0F4"/>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7D1"/>
    <w:rsid w:val="00E13234"/>
    <w:rsid w:val="00E13867"/>
    <w:rsid w:val="00E1397F"/>
    <w:rsid w:val="00E13AB8"/>
    <w:rsid w:val="00E1482E"/>
    <w:rsid w:val="00E1592E"/>
    <w:rsid w:val="00E160A1"/>
    <w:rsid w:val="00E16382"/>
    <w:rsid w:val="00E1699C"/>
    <w:rsid w:val="00E16E75"/>
    <w:rsid w:val="00E1746D"/>
    <w:rsid w:val="00E17AD2"/>
    <w:rsid w:val="00E2012A"/>
    <w:rsid w:val="00E20209"/>
    <w:rsid w:val="00E205A2"/>
    <w:rsid w:val="00E20BA4"/>
    <w:rsid w:val="00E210D0"/>
    <w:rsid w:val="00E21887"/>
    <w:rsid w:val="00E21CC0"/>
    <w:rsid w:val="00E226EF"/>
    <w:rsid w:val="00E23137"/>
    <w:rsid w:val="00E23980"/>
    <w:rsid w:val="00E23AB0"/>
    <w:rsid w:val="00E241E9"/>
    <w:rsid w:val="00E243D8"/>
    <w:rsid w:val="00E24670"/>
    <w:rsid w:val="00E2490F"/>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403D"/>
    <w:rsid w:val="00E34376"/>
    <w:rsid w:val="00E344BD"/>
    <w:rsid w:val="00E34548"/>
    <w:rsid w:val="00E3476F"/>
    <w:rsid w:val="00E34E6C"/>
    <w:rsid w:val="00E352B9"/>
    <w:rsid w:val="00E353E2"/>
    <w:rsid w:val="00E36345"/>
    <w:rsid w:val="00E36C86"/>
    <w:rsid w:val="00E36CEB"/>
    <w:rsid w:val="00E37A28"/>
    <w:rsid w:val="00E400C7"/>
    <w:rsid w:val="00E40430"/>
    <w:rsid w:val="00E40690"/>
    <w:rsid w:val="00E40AEB"/>
    <w:rsid w:val="00E40E82"/>
    <w:rsid w:val="00E41141"/>
    <w:rsid w:val="00E4143A"/>
    <w:rsid w:val="00E41E97"/>
    <w:rsid w:val="00E41FFC"/>
    <w:rsid w:val="00E424C8"/>
    <w:rsid w:val="00E4251D"/>
    <w:rsid w:val="00E427EF"/>
    <w:rsid w:val="00E43D00"/>
    <w:rsid w:val="00E43FCB"/>
    <w:rsid w:val="00E443B4"/>
    <w:rsid w:val="00E445E4"/>
    <w:rsid w:val="00E457CB"/>
    <w:rsid w:val="00E45D47"/>
    <w:rsid w:val="00E45DE4"/>
    <w:rsid w:val="00E45E63"/>
    <w:rsid w:val="00E45F35"/>
    <w:rsid w:val="00E47027"/>
    <w:rsid w:val="00E4759C"/>
    <w:rsid w:val="00E47DA0"/>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9D4"/>
    <w:rsid w:val="00E54C6E"/>
    <w:rsid w:val="00E54F27"/>
    <w:rsid w:val="00E5555F"/>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314"/>
    <w:rsid w:val="00E849CA"/>
    <w:rsid w:val="00E84A71"/>
    <w:rsid w:val="00E8556F"/>
    <w:rsid w:val="00E85E79"/>
    <w:rsid w:val="00E86556"/>
    <w:rsid w:val="00E86D35"/>
    <w:rsid w:val="00E86DC2"/>
    <w:rsid w:val="00E86E32"/>
    <w:rsid w:val="00E86F2E"/>
    <w:rsid w:val="00E8732E"/>
    <w:rsid w:val="00E87EAA"/>
    <w:rsid w:val="00E9011F"/>
    <w:rsid w:val="00E906EB"/>
    <w:rsid w:val="00E9170E"/>
    <w:rsid w:val="00E919FB"/>
    <w:rsid w:val="00E91DE4"/>
    <w:rsid w:val="00E9241E"/>
    <w:rsid w:val="00E92460"/>
    <w:rsid w:val="00E92E62"/>
    <w:rsid w:val="00E93804"/>
    <w:rsid w:val="00E93D0B"/>
    <w:rsid w:val="00E9429D"/>
    <w:rsid w:val="00E95434"/>
    <w:rsid w:val="00E96467"/>
    <w:rsid w:val="00E966DA"/>
    <w:rsid w:val="00E96948"/>
    <w:rsid w:val="00E9737B"/>
    <w:rsid w:val="00E97A3F"/>
    <w:rsid w:val="00E97F0A"/>
    <w:rsid w:val="00EA0100"/>
    <w:rsid w:val="00EA0455"/>
    <w:rsid w:val="00EA0BCE"/>
    <w:rsid w:val="00EA10E4"/>
    <w:rsid w:val="00EA17BC"/>
    <w:rsid w:val="00EA2744"/>
    <w:rsid w:val="00EA37B9"/>
    <w:rsid w:val="00EA39F7"/>
    <w:rsid w:val="00EA3DC2"/>
    <w:rsid w:val="00EA434E"/>
    <w:rsid w:val="00EA4757"/>
    <w:rsid w:val="00EA560B"/>
    <w:rsid w:val="00EA5669"/>
    <w:rsid w:val="00EA5A56"/>
    <w:rsid w:val="00EA5CC6"/>
    <w:rsid w:val="00EA63EF"/>
    <w:rsid w:val="00EA7026"/>
    <w:rsid w:val="00EA7CBF"/>
    <w:rsid w:val="00EA7EA0"/>
    <w:rsid w:val="00EB0A89"/>
    <w:rsid w:val="00EB0BD8"/>
    <w:rsid w:val="00EB1573"/>
    <w:rsid w:val="00EB1910"/>
    <w:rsid w:val="00EB2564"/>
    <w:rsid w:val="00EB294A"/>
    <w:rsid w:val="00EB2D83"/>
    <w:rsid w:val="00EB2E97"/>
    <w:rsid w:val="00EB3416"/>
    <w:rsid w:val="00EB497D"/>
    <w:rsid w:val="00EB4AE1"/>
    <w:rsid w:val="00EB52F4"/>
    <w:rsid w:val="00EB5694"/>
    <w:rsid w:val="00EB5779"/>
    <w:rsid w:val="00EB5D2F"/>
    <w:rsid w:val="00EB67F1"/>
    <w:rsid w:val="00EB6ADA"/>
    <w:rsid w:val="00EB7132"/>
    <w:rsid w:val="00EB72CD"/>
    <w:rsid w:val="00EB749A"/>
    <w:rsid w:val="00EB76B6"/>
    <w:rsid w:val="00EB793C"/>
    <w:rsid w:val="00EB7D8A"/>
    <w:rsid w:val="00EC04F7"/>
    <w:rsid w:val="00EC05E2"/>
    <w:rsid w:val="00EC0B39"/>
    <w:rsid w:val="00EC0E84"/>
    <w:rsid w:val="00EC1490"/>
    <w:rsid w:val="00EC16E2"/>
    <w:rsid w:val="00EC1CE7"/>
    <w:rsid w:val="00EC1DAE"/>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0D6F"/>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1258"/>
    <w:rsid w:val="00EE13DA"/>
    <w:rsid w:val="00EE1668"/>
    <w:rsid w:val="00EE1EDB"/>
    <w:rsid w:val="00EE24E2"/>
    <w:rsid w:val="00EE2A20"/>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B6B"/>
    <w:rsid w:val="00EF0EA4"/>
    <w:rsid w:val="00EF13A6"/>
    <w:rsid w:val="00EF1E97"/>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009"/>
    <w:rsid w:val="00F02744"/>
    <w:rsid w:val="00F02BFD"/>
    <w:rsid w:val="00F02D25"/>
    <w:rsid w:val="00F02FF4"/>
    <w:rsid w:val="00F03A9C"/>
    <w:rsid w:val="00F03C3D"/>
    <w:rsid w:val="00F0435D"/>
    <w:rsid w:val="00F04580"/>
    <w:rsid w:val="00F04ECA"/>
    <w:rsid w:val="00F04F8B"/>
    <w:rsid w:val="00F06E19"/>
    <w:rsid w:val="00F06F84"/>
    <w:rsid w:val="00F076E7"/>
    <w:rsid w:val="00F07A86"/>
    <w:rsid w:val="00F07AA1"/>
    <w:rsid w:val="00F102E0"/>
    <w:rsid w:val="00F105AE"/>
    <w:rsid w:val="00F10618"/>
    <w:rsid w:val="00F1085C"/>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2697"/>
    <w:rsid w:val="00F23069"/>
    <w:rsid w:val="00F23113"/>
    <w:rsid w:val="00F23145"/>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960"/>
    <w:rsid w:val="00F329D6"/>
    <w:rsid w:val="00F3399B"/>
    <w:rsid w:val="00F33F4B"/>
    <w:rsid w:val="00F346ED"/>
    <w:rsid w:val="00F34945"/>
    <w:rsid w:val="00F34E1E"/>
    <w:rsid w:val="00F3570C"/>
    <w:rsid w:val="00F35F49"/>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2491"/>
    <w:rsid w:val="00FA313F"/>
    <w:rsid w:val="00FA3414"/>
    <w:rsid w:val="00FA347A"/>
    <w:rsid w:val="00FA3CDE"/>
    <w:rsid w:val="00FA4034"/>
    <w:rsid w:val="00FA49B7"/>
    <w:rsid w:val="00FA5043"/>
    <w:rsid w:val="00FA5A74"/>
    <w:rsid w:val="00FA60C1"/>
    <w:rsid w:val="00FA65A3"/>
    <w:rsid w:val="00FA6BCA"/>
    <w:rsid w:val="00FA6D46"/>
    <w:rsid w:val="00FA6F8B"/>
    <w:rsid w:val="00FA727C"/>
    <w:rsid w:val="00FA7A30"/>
    <w:rsid w:val="00FB033F"/>
    <w:rsid w:val="00FB0880"/>
    <w:rsid w:val="00FB12E3"/>
    <w:rsid w:val="00FB1570"/>
    <w:rsid w:val="00FB193B"/>
    <w:rsid w:val="00FB1FBC"/>
    <w:rsid w:val="00FB27B7"/>
    <w:rsid w:val="00FB35E3"/>
    <w:rsid w:val="00FB4050"/>
    <w:rsid w:val="00FB40BA"/>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5BA"/>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6A9"/>
    <w:rsid w:val="00FC79AB"/>
    <w:rsid w:val="00FC7BE7"/>
    <w:rsid w:val="00FC7DAC"/>
    <w:rsid w:val="00FD005D"/>
    <w:rsid w:val="00FD0216"/>
    <w:rsid w:val="00FD04AE"/>
    <w:rsid w:val="00FD0DFA"/>
    <w:rsid w:val="00FD16ED"/>
    <w:rsid w:val="00FD1890"/>
    <w:rsid w:val="00FD1994"/>
    <w:rsid w:val="00FD3508"/>
    <w:rsid w:val="00FD393C"/>
    <w:rsid w:val="00FD3AFF"/>
    <w:rsid w:val="00FD43BB"/>
    <w:rsid w:val="00FD4AF3"/>
    <w:rsid w:val="00FD5443"/>
    <w:rsid w:val="00FD5B73"/>
    <w:rsid w:val="00FD6675"/>
    <w:rsid w:val="00FD6DC5"/>
    <w:rsid w:val="00FD72B1"/>
    <w:rsid w:val="00FD798D"/>
    <w:rsid w:val="00FE141E"/>
    <w:rsid w:val="00FE144E"/>
    <w:rsid w:val="00FE1768"/>
    <w:rsid w:val="00FE1DD5"/>
    <w:rsid w:val="00FE1FCD"/>
    <w:rsid w:val="00FE24ED"/>
    <w:rsid w:val="00FE24F4"/>
    <w:rsid w:val="00FE2560"/>
    <w:rsid w:val="00FE35D0"/>
    <w:rsid w:val="00FE42ED"/>
    <w:rsid w:val="00FE4E06"/>
    <w:rsid w:val="00FE55A7"/>
    <w:rsid w:val="00FE5C5A"/>
    <w:rsid w:val="00FE601E"/>
    <w:rsid w:val="00FE6432"/>
    <w:rsid w:val="00FE72A0"/>
    <w:rsid w:val="00FE7A8F"/>
    <w:rsid w:val="00FF0050"/>
    <w:rsid w:val="00FF045F"/>
    <w:rsid w:val="00FF05D7"/>
    <w:rsid w:val="00FF0816"/>
    <w:rsid w:val="00FF0EC4"/>
    <w:rsid w:val="00FF13D4"/>
    <w:rsid w:val="00FF2053"/>
    <w:rsid w:val="00FF22E8"/>
    <w:rsid w:val="00FF25D7"/>
    <w:rsid w:val="00FF26FB"/>
    <w:rsid w:val="00FF28E9"/>
    <w:rsid w:val="00FF3B37"/>
    <w:rsid w:val="00FF3CC7"/>
    <w:rsid w:val="00FF3D6F"/>
    <w:rsid w:val="00FF3D98"/>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 w:type="paragraph" w:styleId="Revisin">
    <w:name w:val="Revision"/>
    <w:hidden/>
    <w:uiPriority w:val="99"/>
    <w:semiHidden/>
    <w:rsid w:val="00477B4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0868074">
      <w:bodyDiv w:val="1"/>
      <w:marLeft w:val="0"/>
      <w:marRight w:val="0"/>
      <w:marTop w:val="0"/>
      <w:marBottom w:val="0"/>
      <w:divBdr>
        <w:top w:val="none" w:sz="0" w:space="0" w:color="auto"/>
        <w:left w:val="none" w:sz="0" w:space="0" w:color="auto"/>
        <w:bottom w:val="none" w:sz="0" w:space="0" w:color="auto"/>
        <w:right w:val="none" w:sz="0" w:space="0" w:color="auto"/>
      </w:divBdr>
      <w:divsChild>
        <w:div w:id="640811742">
          <w:marLeft w:val="0"/>
          <w:marRight w:val="0"/>
          <w:marTop w:val="0"/>
          <w:marBottom w:val="0"/>
          <w:divBdr>
            <w:top w:val="none" w:sz="0" w:space="0" w:color="auto"/>
            <w:left w:val="none" w:sz="0" w:space="0" w:color="auto"/>
            <w:bottom w:val="none" w:sz="0" w:space="0" w:color="auto"/>
            <w:right w:val="none" w:sz="0" w:space="0" w:color="auto"/>
          </w:divBdr>
          <w:divsChild>
            <w:div w:id="1667393878">
              <w:marLeft w:val="0"/>
              <w:marRight w:val="0"/>
              <w:marTop w:val="0"/>
              <w:marBottom w:val="0"/>
              <w:divBdr>
                <w:top w:val="none" w:sz="0" w:space="0" w:color="auto"/>
                <w:left w:val="none" w:sz="0" w:space="0" w:color="auto"/>
                <w:bottom w:val="none" w:sz="0" w:space="0" w:color="auto"/>
                <w:right w:val="none" w:sz="0" w:space="0" w:color="auto"/>
              </w:divBdr>
              <w:divsChild>
                <w:div w:id="20536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6C0B97D-F5E9-4441-BADB-3C5FDAC35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16</Pages>
  <Words>5002</Words>
  <Characters>27512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3</cp:revision>
  <cp:lastPrinted>2020-01-30T15:05:00Z</cp:lastPrinted>
  <dcterms:created xsi:type="dcterms:W3CDTF">2022-09-14T20:23:00Z</dcterms:created>
  <dcterms:modified xsi:type="dcterms:W3CDTF">2022-10-12T15:42:00Z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