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94B" w14:textId="3FDBA8EB" w:rsidR="00C10962" w:rsidRPr="00292F1B" w:rsidRDefault="00C10962" w:rsidP="0010548D">
      <w:pPr>
        <w:pStyle w:val="InviasNormal"/>
        <w:spacing w:before="0" w:after="0"/>
        <w:jc w:val="right"/>
        <w:rPr>
          <w:b/>
          <w:color w:val="auto"/>
          <w:sz w:val="20"/>
          <w:szCs w:val="20"/>
        </w:rPr>
      </w:pPr>
      <w:bookmarkStart w:id="0" w:name="_Hlk34041509"/>
      <w:bookmarkEnd w:id="0"/>
      <w:r w:rsidRPr="00292F1B">
        <w:rPr>
          <w:b/>
          <w:color w:val="auto"/>
          <w:sz w:val="20"/>
          <w:szCs w:val="20"/>
        </w:rPr>
        <w:t>CCE-DES-FM-17</w:t>
      </w:r>
    </w:p>
    <w:p w14:paraId="47541965" w14:textId="77777777" w:rsidR="009C6145" w:rsidRDefault="009C6145" w:rsidP="0010548D">
      <w:pPr>
        <w:tabs>
          <w:tab w:val="left" w:pos="426"/>
        </w:tabs>
        <w:jc w:val="both"/>
        <w:rPr>
          <w:rFonts w:ascii="Arial" w:eastAsia="Calibri" w:hAnsi="Arial" w:cs="Arial"/>
          <w:b/>
          <w:sz w:val="22"/>
        </w:rPr>
      </w:pPr>
    </w:p>
    <w:p w14:paraId="753255FF" w14:textId="3DE9A462" w:rsidR="00A14A6F" w:rsidRPr="00292F1B" w:rsidRDefault="00A14A6F" w:rsidP="0010548D">
      <w:pPr>
        <w:tabs>
          <w:tab w:val="left" w:pos="426"/>
        </w:tabs>
        <w:jc w:val="both"/>
        <w:rPr>
          <w:rFonts w:ascii="Arial" w:eastAsia="Calibri" w:hAnsi="Arial" w:cs="Arial"/>
          <w:b/>
          <w:sz w:val="22"/>
        </w:rPr>
      </w:pPr>
      <w:r w:rsidRPr="00292F1B">
        <w:rPr>
          <w:rFonts w:ascii="Arial" w:eastAsia="Calibri" w:hAnsi="Arial" w:cs="Arial"/>
          <w:b/>
          <w:sz w:val="22"/>
        </w:rPr>
        <w:t>INSTITUCIONES EDUCATIVAS OFICIAL</w:t>
      </w:r>
      <w:bookmarkStart w:id="1" w:name="_Hlk39676694"/>
      <w:r w:rsidR="0010548D" w:rsidRPr="00292F1B">
        <w:rPr>
          <w:rFonts w:ascii="Arial" w:eastAsia="Calibri" w:hAnsi="Arial" w:cs="Arial"/>
          <w:b/>
          <w:sz w:val="22"/>
        </w:rPr>
        <w:t>ES</w:t>
      </w:r>
      <w:r w:rsidR="007B2B9C" w:rsidRPr="00292F1B">
        <w:rPr>
          <w:rFonts w:ascii="Arial" w:eastAsia="Calibri" w:hAnsi="Arial" w:cs="Arial"/>
          <w:b/>
          <w:sz w:val="22"/>
        </w:rPr>
        <w:t xml:space="preserve"> </w:t>
      </w:r>
      <w:r w:rsidR="00BE3D8E" w:rsidRPr="00292F1B">
        <w:rPr>
          <w:rFonts w:ascii="Arial" w:eastAsia="Calibri" w:hAnsi="Arial" w:cs="Arial"/>
          <w:b/>
          <w:sz w:val="22"/>
        </w:rPr>
        <w:t>–</w:t>
      </w:r>
      <w:bookmarkEnd w:id="1"/>
      <w:r w:rsidR="0010548D" w:rsidRPr="00292F1B">
        <w:rPr>
          <w:rFonts w:ascii="Arial" w:eastAsia="Calibri" w:hAnsi="Arial" w:cs="Arial"/>
          <w:b/>
          <w:sz w:val="22"/>
        </w:rPr>
        <w:t xml:space="preserve"> Naturaleza jurídica </w:t>
      </w:r>
      <w:r w:rsidR="00BE3D8E" w:rsidRPr="00292F1B">
        <w:rPr>
          <w:rFonts w:ascii="Arial" w:eastAsia="Calibri" w:hAnsi="Arial" w:cs="Arial"/>
          <w:b/>
          <w:sz w:val="22"/>
        </w:rPr>
        <w:t>–</w:t>
      </w:r>
      <w:r w:rsidR="002F71CA" w:rsidRPr="00292F1B">
        <w:rPr>
          <w:rFonts w:ascii="Arial" w:eastAsia="Calibri" w:hAnsi="Arial" w:cs="Arial"/>
          <w:b/>
          <w:sz w:val="22"/>
        </w:rPr>
        <w:t xml:space="preserve"> Capacidad para contratar</w:t>
      </w:r>
    </w:p>
    <w:p w14:paraId="271A1AC3" w14:textId="77777777" w:rsidR="00A14A6F" w:rsidRPr="00292F1B" w:rsidRDefault="00A14A6F" w:rsidP="0010548D">
      <w:pPr>
        <w:tabs>
          <w:tab w:val="left" w:pos="426"/>
        </w:tabs>
        <w:jc w:val="both"/>
        <w:rPr>
          <w:rFonts w:ascii="Arial" w:eastAsia="Calibri" w:hAnsi="Arial" w:cs="Arial"/>
          <w:b/>
          <w:sz w:val="20"/>
          <w:szCs w:val="20"/>
        </w:rPr>
      </w:pPr>
    </w:p>
    <w:p w14:paraId="6B3FB21D" w14:textId="77777777" w:rsidR="004D38B9" w:rsidRPr="00292F1B" w:rsidRDefault="004D38B9" w:rsidP="004D38B9">
      <w:pPr>
        <w:jc w:val="both"/>
        <w:rPr>
          <w:rFonts w:ascii="Arial" w:hAnsi="Arial" w:cs="Arial"/>
          <w:sz w:val="20"/>
          <w:szCs w:val="20"/>
        </w:rPr>
      </w:pPr>
      <w:r w:rsidRPr="00292F1B">
        <w:rPr>
          <w:rFonts w:ascii="Arial" w:hAnsi="Arial" w:cs="Arial"/>
          <w:sz w:val="20"/>
          <w:szCs w:val="20"/>
        </w:rPr>
        <w:t xml:space="preserve">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w:t>
      </w:r>
      <w:proofErr w:type="gramStart"/>
      <w:r w:rsidRPr="00292F1B">
        <w:rPr>
          <w:rFonts w:ascii="Arial" w:hAnsi="Arial" w:cs="Arial"/>
          <w:sz w:val="20"/>
          <w:szCs w:val="20"/>
        </w:rPr>
        <w:t>le</w:t>
      </w:r>
      <w:proofErr w:type="gramEnd"/>
      <w:r w:rsidRPr="00292F1B">
        <w:rPr>
          <w:rFonts w:ascii="Arial" w:hAnsi="Arial" w:cs="Arial"/>
          <w:sz w:val="20"/>
          <w:szCs w:val="20"/>
        </w:rPr>
        <w:t xml:space="preserve"> han otorgado a las entidades territoriales para administrar las instituciones educativas que pueden ser de los diferentes niveles pero estas no son entidades descentralizadas</w:t>
      </w:r>
    </w:p>
    <w:p w14:paraId="15F1E8DE" w14:textId="16E2E715" w:rsidR="004D38B9" w:rsidRPr="00292F1B" w:rsidRDefault="004D38B9" w:rsidP="004D38B9">
      <w:pPr>
        <w:jc w:val="both"/>
        <w:rPr>
          <w:rFonts w:ascii="Arial" w:hAnsi="Arial" w:cs="Arial"/>
          <w:sz w:val="20"/>
          <w:szCs w:val="20"/>
        </w:rPr>
      </w:pPr>
    </w:p>
    <w:p w14:paraId="04F96F83" w14:textId="05A0F687" w:rsidR="0010548D" w:rsidRPr="00292F1B" w:rsidRDefault="004D38B9" w:rsidP="004D38B9">
      <w:pPr>
        <w:jc w:val="both"/>
        <w:rPr>
          <w:rFonts w:ascii="Arial" w:hAnsi="Arial" w:cs="Arial"/>
          <w:sz w:val="20"/>
          <w:szCs w:val="20"/>
        </w:rPr>
      </w:pPr>
      <w:r w:rsidRPr="00292F1B">
        <w:rPr>
          <w:rFonts w:ascii="Arial" w:hAnsi="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0B1E536A" w14:textId="77777777" w:rsidR="004D38B9" w:rsidRPr="00292F1B" w:rsidRDefault="004D38B9" w:rsidP="004D38B9">
      <w:pPr>
        <w:jc w:val="both"/>
        <w:rPr>
          <w:rFonts w:ascii="Arial" w:hAnsi="Arial" w:cs="Arial"/>
          <w:sz w:val="20"/>
          <w:szCs w:val="20"/>
        </w:rPr>
      </w:pPr>
    </w:p>
    <w:p w14:paraId="210F3882" w14:textId="12669726" w:rsidR="0010548D" w:rsidRPr="00292F1B" w:rsidRDefault="0010548D" w:rsidP="0010548D">
      <w:pPr>
        <w:jc w:val="both"/>
        <w:rPr>
          <w:rFonts w:ascii="Arial" w:hAnsi="Arial" w:cs="Arial"/>
          <w:b/>
          <w:bCs/>
          <w:sz w:val="22"/>
        </w:rPr>
      </w:pPr>
      <w:r w:rsidRPr="00292F1B">
        <w:rPr>
          <w:rFonts w:ascii="Arial" w:hAnsi="Arial" w:cs="Arial"/>
          <w:b/>
          <w:bCs/>
          <w:sz w:val="22"/>
        </w:rPr>
        <w:t>INSTITUCIONES EDUCATIVAS OFICIALES – Contratación – Umbral – Veinte salarios mínim</w:t>
      </w:r>
      <w:r w:rsidR="00511BEB">
        <w:rPr>
          <w:rFonts w:ascii="Arial" w:hAnsi="Arial" w:cs="Arial"/>
          <w:b/>
          <w:bCs/>
          <w:sz w:val="22"/>
        </w:rPr>
        <w:t xml:space="preserve">os legales mensuales vigentes </w:t>
      </w:r>
    </w:p>
    <w:p w14:paraId="76F30311" w14:textId="63C99A9C" w:rsidR="0010548D" w:rsidRPr="00292F1B" w:rsidRDefault="0010548D" w:rsidP="0010548D">
      <w:pPr>
        <w:jc w:val="both"/>
        <w:rPr>
          <w:rFonts w:ascii="Arial" w:hAnsi="Arial" w:cs="Arial"/>
          <w:b/>
          <w:bCs/>
          <w:sz w:val="22"/>
        </w:rPr>
      </w:pPr>
    </w:p>
    <w:p w14:paraId="5C55DAAC" w14:textId="0EEA28D2" w:rsidR="004D38B9" w:rsidRPr="00292F1B" w:rsidRDefault="004D38B9" w:rsidP="00716408">
      <w:pPr>
        <w:spacing w:after="120"/>
        <w:jc w:val="both"/>
        <w:rPr>
          <w:rFonts w:ascii="Arial" w:hAnsi="Arial" w:cs="Arial"/>
          <w:sz w:val="20"/>
          <w:szCs w:val="20"/>
        </w:rPr>
      </w:pPr>
      <w:r w:rsidRPr="00292F1B">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C88FCD3" w14:textId="60F19F46" w:rsidR="004D38B9" w:rsidRPr="00292F1B" w:rsidRDefault="004D38B9" w:rsidP="005C40E9">
      <w:pPr>
        <w:jc w:val="both"/>
        <w:rPr>
          <w:rFonts w:ascii="Arial" w:hAnsi="Arial" w:cs="Arial"/>
          <w:sz w:val="20"/>
          <w:szCs w:val="20"/>
        </w:rPr>
      </w:pPr>
      <w:r w:rsidRPr="00292F1B">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292F1B" w:rsidRDefault="00A14A6F" w:rsidP="0010548D">
      <w:pPr>
        <w:jc w:val="both"/>
        <w:rPr>
          <w:rFonts w:ascii="Arial" w:eastAsia="Calibri" w:hAnsi="Arial" w:cs="Arial"/>
          <w:b/>
          <w:sz w:val="20"/>
          <w:szCs w:val="20"/>
        </w:rPr>
      </w:pPr>
    </w:p>
    <w:p w14:paraId="31B692CB" w14:textId="3D7F51B2" w:rsidR="00A14A6F" w:rsidRPr="00292F1B" w:rsidRDefault="009C7FF2" w:rsidP="0010548D">
      <w:pPr>
        <w:pStyle w:val="Prrafodelista"/>
        <w:ind w:left="0"/>
        <w:contextualSpacing w:val="0"/>
        <w:rPr>
          <w:rFonts w:ascii="Arial" w:eastAsia="Calibri" w:hAnsi="Arial" w:cs="Arial"/>
          <w:b/>
          <w:sz w:val="22"/>
        </w:rPr>
      </w:pPr>
      <w:r w:rsidRPr="00292F1B">
        <w:rPr>
          <w:rFonts w:ascii="Arial" w:eastAsia="Calibri" w:hAnsi="Arial" w:cs="Arial"/>
          <w:b/>
          <w:sz w:val="22"/>
        </w:rPr>
        <w:t>PUBLIC</w:t>
      </w:r>
      <w:r w:rsidR="0048065E">
        <w:rPr>
          <w:rFonts w:ascii="Arial" w:eastAsia="Calibri" w:hAnsi="Arial" w:cs="Arial"/>
          <w:b/>
          <w:sz w:val="22"/>
        </w:rPr>
        <w:t>IDAD</w:t>
      </w:r>
      <w:r w:rsidR="00A14A6F" w:rsidRPr="00292F1B">
        <w:rPr>
          <w:rFonts w:ascii="Arial" w:eastAsia="Calibri" w:hAnsi="Arial" w:cs="Arial"/>
          <w:b/>
          <w:sz w:val="22"/>
        </w:rPr>
        <w:t xml:space="preserve"> SECOP </w:t>
      </w:r>
      <w:r w:rsidR="00BE3D8E" w:rsidRPr="00292F1B">
        <w:rPr>
          <w:rFonts w:ascii="Arial" w:eastAsia="Calibri" w:hAnsi="Arial" w:cs="Arial"/>
          <w:b/>
          <w:sz w:val="22"/>
        </w:rPr>
        <w:t>–</w:t>
      </w:r>
      <w:r w:rsidR="00A14A6F" w:rsidRPr="00292F1B">
        <w:rPr>
          <w:rFonts w:ascii="Arial" w:eastAsia="Calibri" w:hAnsi="Arial" w:cs="Arial"/>
          <w:b/>
          <w:sz w:val="22"/>
        </w:rPr>
        <w:t xml:space="preserve"> Entidades de régimen especial</w:t>
      </w:r>
      <w:r w:rsidR="00B72186">
        <w:rPr>
          <w:rFonts w:ascii="Arial" w:eastAsia="Calibri" w:hAnsi="Arial" w:cs="Arial"/>
          <w:b/>
          <w:sz w:val="22"/>
        </w:rPr>
        <w:t xml:space="preserve"> </w:t>
      </w:r>
    </w:p>
    <w:p w14:paraId="442A4F36" w14:textId="77777777" w:rsidR="00A14A6F" w:rsidRPr="00292F1B" w:rsidRDefault="00A14A6F" w:rsidP="0010548D">
      <w:pPr>
        <w:pStyle w:val="Prrafodelista"/>
        <w:ind w:left="0"/>
        <w:contextualSpacing w:val="0"/>
        <w:rPr>
          <w:rFonts w:ascii="Arial" w:eastAsia="Calibri" w:hAnsi="Arial" w:cs="Arial"/>
          <w:sz w:val="20"/>
          <w:szCs w:val="20"/>
        </w:rPr>
      </w:pPr>
    </w:p>
    <w:p w14:paraId="2BD91F85" w14:textId="2A18DEFA" w:rsidR="009C6145" w:rsidRPr="00B72186" w:rsidRDefault="00B72186" w:rsidP="00B72186">
      <w:pPr>
        <w:jc w:val="both"/>
        <w:rPr>
          <w:rFonts w:ascii="Arial" w:hAnsi="Arial" w:cs="Arial"/>
          <w:sz w:val="20"/>
          <w:szCs w:val="20"/>
        </w:rPr>
      </w:pPr>
      <w:r>
        <w:rPr>
          <w:rFonts w:ascii="Arial" w:hAnsi="Arial" w:cs="Arial"/>
          <w:sz w:val="20"/>
          <w:szCs w:val="20"/>
        </w:rPr>
        <w:t xml:space="preserve">[…] </w:t>
      </w:r>
      <w:r w:rsidRPr="00B72186">
        <w:rPr>
          <w:rFonts w:ascii="Arial" w:hAnsi="Arial" w:cs="Arial"/>
          <w:sz w:val="20"/>
          <w:szCs w:val="20"/>
        </w:rPr>
        <w:t>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w:t>
      </w:r>
    </w:p>
    <w:p w14:paraId="5664615F" w14:textId="77777777" w:rsidR="00A93C3F" w:rsidRDefault="00A93C3F">
      <w:pPr>
        <w:spacing w:after="160" w:line="259" w:lineRule="auto"/>
        <w:rPr>
          <w:rFonts w:ascii="Arial" w:hAnsi="Arial" w:cs="Arial"/>
          <w:sz w:val="22"/>
        </w:rPr>
      </w:pPr>
      <w:r>
        <w:rPr>
          <w:rFonts w:ascii="Arial" w:hAnsi="Arial" w:cs="Arial"/>
          <w:sz w:val="22"/>
        </w:rPr>
        <w:br w:type="page"/>
      </w:r>
    </w:p>
    <w:p w14:paraId="2C9BD0E6" w14:textId="09807908" w:rsidR="006C62B3" w:rsidRDefault="006C62B3" w:rsidP="006C62B3">
      <w:pPr>
        <w:widowControl w:val="0"/>
        <w:spacing w:after="120"/>
        <w:rPr>
          <w:rFonts w:ascii="Arial" w:hAnsi="Arial" w:cs="Arial"/>
          <w:b/>
          <w:sz w:val="22"/>
        </w:rPr>
      </w:pPr>
      <w:r w:rsidRPr="00B86532">
        <w:rPr>
          <w:rFonts w:ascii="Arial" w:hAnsi="Arial" w:cs="Arial"/>
          <w:sz w:val="22"/>
        </w:rPr>
        <w:lastRenderedPageBreak/>
        <w:t xml:space="preserve">Bogotá D.C., </w:t>
      </w:r>
      <w:r w:rsidR="00AB58EB" w:rsidRPr="00AB58EB">
        <w:rPr>
          <w:rFonts w:ascii="Arial" w:hAnsi="Arial" w:cs="Arial"/>
          <w:bCs/>
          <w:sz w:val="22"/>
        </w:rPr>
        <w:t>26 de julio de 2022</w:t>
      </w:r>
    </w:p>
    <w:p w14:paraId="70A9E1C4" w14:textId="77777777" w:rsidR="006C62B3" w:rsidRDefault="006C62B3" w:rsidP="006C62B3">
      <w:pPr>
        <w:rPr>
          <w:rFonts w:ascii="Arial" w:hAnsi="Arial" w:cs="Arial"/>
          <w:b/>
          <w:sz w:val="22"/>
        </w:rPr>
      </w:pPr>
    </w:p>
    <w:p w14:paraId="015927B5" w14:textId="43138740" w:rsidR="006C62B3" w:rsidRPr="0045129A" w:rsidRDefault="006C62B3" w:rsidP="00AB58EB">
      <w:pPr>
        <w:jc w:val="right"/>
        <w:rPr>
          <w:rFonts w:ascii="Arial" w:eastAsia="Calibri" w:hAnsi="Arial" w:cs="Arial"/>
          <w:sz w:val="22"/>
        </w:rPr>
      </w:pPr>
      <w:r>
        <w:rPr>
          <w:rFonts w:ascii="Arial" w:hAnsi="Arial" w:cs="Arial"/>
          <w:b/>
          <w:sz w:val="22"/>
        </w:rPr>
        <w:t xml:space="preserve">                                                                                    </w:t>
      </w:r>
      <w:r w:rsidR="00AB58EB" w:rsidRPr="00AB58EB">
        <w:rPr>
          <w:rFonts w:ascii="Arial" w:hAnsi="Arial" w:cs="Arial"/>
          <w:b/>
          <w:sz w:val="22"/>
        </w:rPr>
        <w:drawing>
          <wp:inline distT="0" distB="0" distL="0" distR="0" wp14:anchorId="5F387139" wp14:editId="6251A0C5">
            <wp:extent cx="3006410" cy="786810"/>
            <wp:effectExtent l="0" t="0" r="381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3059040" cy="800584"/>
                    </a:xfrm>
                    <a:prstGeom prst="rect">
                      <a:avLst/>
                    </a:prstGeom>
                  </pic:spPr>
                </pic:pic>
              </a:graphicData>
            </a:graphic>
          </wp:inline>
        </w:drawing>
      </w:r>
    </w:p>
    <w:p w14:paraId="1260EFAC" w14:textId="77777777" w:rsidR="00AC14EA" w:rsidRPr="006C62B3" w:rsidRDefault="00AC14EA" w:rsidP="00AC14EA">
      <w:pPr>
        <w:jc w:val="right"/>
        <w:rPr>
          <w:rFonts w:ascii="Arial" w:hAnsi="Arial" w:cs="Arial"/>
          <w:b/>
          <w:bCs/>
          <w:color w:val="000000"/>
          <w:sz w:val="22"/>
        </w:rPr>
      </w:pPr>
    </w:p>
    <w:p w14:paraId="6AE58259" w14:textId="49037D98" w:rsidR="00630D34" w:rsidRPr="009929A4" w:rsidRDefault="00630D34" w:rsidP="00AC14EA">
      <w:pPr>
        <w:rPr>
          <w:rFonts w:ascii="Arial" w:eastAsia="Calibri" w:hAnsi="Arial" w:cs="Arial"/>
          <w:sz w:val="22"/>
        </w:rPr>
      </w:pPr>
      <w:bookmarkStart w:id="2" w:name="_Hlk109748667"/>
      <w:r w:rsidRPr="009929A4">
        <w:rPr>
          <w:rFonts w:ascii="Arial" w:eastAsia="Calibri" w:hAnsi="Arial" w:cs="Arial"/>
          <w:sz w:val="22"/>
        </w:rPr>
        <w:t>Señor</w:t>
      </w:r>
      <w:r w:rsidR="006C62B3" w:rsidRPr="009929A4">
        <w:rPr>
          <w:rFonts w:ascii="Arial" w:eastAsia="Calibri" w:hAnsi="Arial" w:cs="Arial"/>
          <w:sz w:val="22"/>
        </w:rPr>
        <w:t>a</w:t>
      </w:r>
    </w:p>
    <w:p w14:paraId="3CC1EB29" w14:textId="4A4C5DE3" w:rsidR="009929A4" w:rsidRPr="009929A4" w:rsidRDefault="004D3DC6" w:rsidP="009929A4">
      <w:pPr>
        <w:rPr>
          <w:rFonts w:ascii="Arial" w:eastAsia="Calibri" w:hAnsi="Arial" w:cs="Arial"/>
          <w:b/>
          <w:bCs/>
          <w:sz w:val="22"/>
        </w:rPr>
      </w:pPr>
      <w:r w:rsidRPr="009929A4">
        <w:rPr>
          <w:rFonts w:ascii="Arial" w:eastAsia="Calibri" w:hAnsi="Arial" w:cs="Arial"/>
          <w:b/>
          <w:bCs/>
          <w:sz w:val="22"/>
        </w:rPr>
        <w:t>Lina Yurani Montoya Arredondo</w:t>
      </w:r>
    </w:p>
    <w:p w14:paraId="1E9F84DE" w14:textId="6A5E2DF0" w:rsidR="00262143" w:rsidRPr="009929A4" w:rsidRDefault="004D3DC6" w:rsidP="009929A4">
      <w:pPr>
        <w:rPr>
          <w:rFonts w:ascii="Arial" w:eastAsia="Calibri" w:hAnsi="Arial" w:cs="Arial"/>
          <w:sz w:val="22"/>
        </w:rPr>
      </w:pPr>
      <w:r>
        <w:rPr>
          <w:rFonts w:ascii="Arial" w:eastAsia="Calibri" w:hAnsi="Arial" w:cs="Arial"/>
          <w:bCs/>
          <w:sz w:val="22"/>
        </w:rPr>
        <w:t>Ciudad</w:t>
      </w:r>
    </w:p>
    <w:p w14:paraId="057CB54C" w14:textId="77777777" w:rsidR="00B37724" w:rsidRDefault="00B37724" w:rsidP="00B37724">
      <w:pPr>
        <w:rPr>
          <w:rFonts w:ascii="Arial" w:eastAsia="Calibri" w:hAnsi="Arial" w:cs="Arial"/>
          <w:sz w:val="22"/>
        </w:rPr>
      </w:pPr>
    </w:p>
    <w:p w14:paraId="094141BC" w14:textId="6E351E38" w:rsidR="00234D71" w:rsidRDefault="00153CC0" w:rsidP="00153CC0">
      <w:pPr>
        <w:tabs>
          <w:tab w:val="center" w:pos="4419"/>
          <w:tab w:val="left" w:pos="6345"/>
        </w:tabs>
        <w:rPr>
          <w:rFonts w:ascii="Arial" w:eastAsia="Calibri" w:hAnsi="Arial" w:cs="Arial"/>
          <w:b/>
          <w:sz w:val="22"/>
        </w:rPr>
      </w:pPr>
      <w:r>
        <w:rPr>
          <w:rFonts w:ascii="Arial" w:eastAsia="Calibri" w:hAnsi="Arial" w:cs="Arial"/>
          <w:b/>
          <w:sz w:val="22"/>
        </w:rPr>
        <w:tab/>
      </w:r>
      <w:r w:rsidR="00630D34" w:rsidRPr="00837111">
        <w:rPr>
          <w:rFonts w:ascii="Arial" w:eastAsia="Calibri" w:hAnsi="Arial" w:cs="Arial"/>
          <w:b/>
          <w:sz w:val="22"/>
        </w:rPr>
        <w:t>Concepto C ─</w:t>
      </w:r>
      <w:r w:rsidR="00AC4CB8" w:rsidRPr="00837111">
        <w:rPr>
          <w:rFonts w:ascii="Arial" w:eastAsia="Calibri" w:hAnsi="Arial" w:cs="Arial"/>
          <w:b/>
          <w:sz w:val="22"/>
        </w:rPr>
        <w:t xml:space="preserve"> </w:t>
      </w:r>
      <w:r w:rsidR="00AF7894">
        <w:rPr>
          <w:rFonts w:ascii="Arial" w:eastAsia="Calibri" w:hAnsi="Arial" w:cs="Arial"/>
          <w:b/>
          <w:sz w:val="22"/>
        </w:rPr>
        <w:t>475</w:t>
      </w:r>
      <w:r w:rsidR="00CA5B28" w:rsidRPr="00837111">
        <w:rPr>
          <w:rFonts w:ascii="Arial" w:eastAsia="Calibri" w:hAnsi="Arial" w:cs="Arial"/>
          <w:b/>
          <w:sz w:val="22"/>
        </w:rPr>
        <w:t xml:space="preserve"> </w:t>
      </w:r>
      <w:r w:rsidR="00837111" w:rsidRPr="00837111">
        <w:rPr>
          <w:rFonts w:ascii="Arial" w:eastAsia="Calibri" w:hAnsi="Arial" w:cs="Arial"/>
          <w:b/>
          <w:sz w:val="22"/>
        </w:rPr>
        <w:t>de 2022</w:t>
      </w:r>
      <w:r>
        <w:rPr>
          <w:rFonts w:ascii="Arial" w:eastAsia="Calibri" w:hAnsi="Arial" w:cs="Arial"/>
          <w:b/>
          <w:sz w:val="22"/>
        </w:rPr>
        <w:tab/>
      </w:r>
    </w:p>
    <w:p w14:paraId="129130DA" w14:textId="77777777" w:rsidR="00153CC0" w:rsidRDefault="00153CC0" w:rsidP="00153CC0">
      <w:pPr>
        <w:tabs>
          <w:tab w:val="center" w:pos="4419"/>
          <w:tab w:val="left" w:pos="6345"/>
        </w:tabs>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3CC0" w:rsidRPr="003F6F8C" w14:paraId="69329E95" w14:textId="77777777" w:rsidTr="000742E4">
        <w:tc>
          <w:tcPr>
            <w:tcW w:w="2689" w:type="dxa"/>
            <w:hideMark/>
          </w:tcPr>
          <w:p w14:paraId="0DE29990" w14:textId="77777777" w:rsidR="00153CC0" w:rsidRPr="007F2E82" w:rsidRDefault="00153CC0" w:rsidP="00153CC0">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 xml:space="preserve">Temas: </w:t>
            </w:r>
          </w:p>
        </w:tc>
        <w:tc>
          <w:tcPr>
            <w:tcW w:w="6237" w:type="dxa"/>
            <w:hideMark/>
          </w:tcPr>
          <w:p w14:paraId="26E4FA40" w14:textId="3774590C" w:rsidR="00153CC0" w:rsidRDefault="00153CC0" w:rsidP="00A93C3F">
            <w:pPr>
              <w:widowControl w:val="0"/>
              <w:autoSpaceDE w:val="0"/>
              <w:autoSpaceDN w:val="0"/>
              <w:adjustRightInd w:val="0"/>
              <w:spacing w:line="300" w:lineRule="atLeast"/>
              <w:jc w:val="both"/>
              <w:rPr>
                <w:rFonts w:ascii="Arial" w:hAnsi="Arial" w:cs="Arial"/>
                <w:color w:val="000000" w:themeColor="text1"/>
                <w:sz w:val="22"/>
                <w:lang w:val="es-ES_tradnl"/>
              </w:rPr>
            </w:pPr>
            <w:r w:rsidRPr="009929A4">
              <w:rPr>
                <w:rFonts w:ascii="Arial" w:hAnsi="Arial" w:cs="Arial"/>
                <w:color w:val="000000" w:themeColor="text1"/>
                <w:sz w:val="22"/>
                <w:lang w:val="es-ES_tradnl"/>
              </w:rPr>
              <w:t xml:space="preserve">INSTITUCIONES EDUCATIVAS OFICIALES – Naturaleza jurídica – Régimen de contratación – Capacidad para contratar / INSTITUCIONES EDUCATIVAS OFICIALES – Contratación – Umbral – Veinte salarios mínimos legales mensuales vigentes / PUBLICIDAD SECOP – Entidades de régimen especial – Fundamento normativo / PUBLICIDAD SECOP – Entidades </w:t>
            </w:r>
            <w:r w:rsidR="00B72186">
              <w:rPr>
                <w:rFonts w:ascii="Arial" w:hAnsi="Arial" w:cs="Arial"/>
                <w:color w:val="000000" w:themeColor="text1"/>
                <w:sz w:val="22"/>
                <w:lang w:val="es-ES_tradnl"/>
              </w:rPr>
              <w:t>de régimen especial</w:t>
            </w:r>
            <w:r w:rsidRPr="009929A4">
              <w:rPr>
                <w:rFonts w:ascii="Arial" w:hAnsi="Arial" w:cs="Arial"/>
                <w:color w:val="000000" w:themeColor="text1"/>
                <w:sz w:val="22"/>
                <w:lang w:val="es-ES_tradnl"/>
              </w:rPr>
              <w:t xml:space="preserve"> </w:t>
            </w:r>
          </w:p>
          <w:p w14:paraId="4929F1EB" w14:textId="131850EB" w:rsidR="009929A4" w:rsidRPr="009929A4" w:rsidRDefault="009929A4" w:rsidP="00A93C3F">
            <w:pPr>
              <w:widowControl w:val="0"/>
              <w:autoSpaceDE w:val="0"/>
              <w:autoSpaceDN w:val="0"/>
              <w:adjustRightInd w:val="0"/>
              <w:spacing w:line="300" w:lineRule="atLeast"/>
              <w:jc w:val="both"/>
              <w:rPr>
                <w:rFonts w:ascii="Arial" w:hAnsi="Arial" w:cs="Arial"/>
                <w:color w:val="000000" w:themeColor="text1"/>
                <w:sz w:val="22"/>
                <w:lang w:val="es-ES_tradnl"/>
              </w:rPr>
            </w:pPr>
          </w:p>
        </w:tc>
      </w:tr>
      <w:tr w:rsidR="00153CC0" w:rsidRPr="009A4A28" w14:paraId="6EC413AB" w14:textId="77777777" w:rsidTr="000742E4">
        <w:tc>
          <w:tcPr>
            <w:tcW w:w="2689" w:type="dxa"/>
          </w:tcPr>
          <w:p w14:paraId="55FAAEA4" w14:textId="77777777" w:rsidR="00153CC0" w:rsidRPr="007F2E82" w:rsidRDefault="00153CC0" w:rsidP="00153CC0">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Radicación:</w:t>
            </w:r>
          </w:p>
        </w:tc>
        <w:tc>
          <w:tcPr>
            <w:tcW w:w="6237" w:type="dxa"/>
          </w:tcPr>
          <w:p w14:paraId="0D0AB4BB" w14:textId="31B11792" w:rsidR="00153CC0" w:rsidRPr="009929A4" w:rsidRDefault="00153CC0" w:rsidP="00153CC0">
            <w:pPr>
              <w:widowControl w:val="0"/>
              <w:autoSpaceDE w:val="0"/>
              <w:autoSpaceDN w:val="0"/>
              <w:adjustRightInd w:val="0"/>
              <w:spacing w:line="300" w:lineRule="atLeast"/>
              <w:jc w:val="both"/>
              <w:rPr>
                <w:rFonts w:ascii="Arial" w:hAnsi="Arial" w:cs="Arial"/>
                <w:color w:val="000000" w:themeColor="text1"/>
                <w:sz w:val="22"/>
                <w:lang w:val="es-ES_tradnl"/>
              </w:rPr>
            </w:pPr>
            <w:r w:rsidRPr="009929A4">
              <w:rPr>
                <w:rFonts w:ascii="Arial" w:hAnsi="Arial" w:cs="Arial"/>
                <w:color w:val="000000" w:themeColor="text1"/>
                <w:sz w:val="22"/>
                <w:lang w:val="es-ES_tradnl"/>
              </w:rPr>
              <w:t xml:space="preserve">Respuesta a consulta # </w:t>
            </w:r>
            <w:r w:rsidR="009929A4" w:rsidRPr="009929A4">
              <w:rPr>
                <w:rFonts w:ascii="Arial" w:hAnsi="Arial" w:cs="Arial"/>
                <w:color w:val="000000" w:themeColor="text1"/>
                <w:sz w:val="22"/>
                <w:lang w:val="es-ES_tradnl"/>
              </w:rPr>
              <w:t>P20220608005706</w:t>
            </w:r>
          </w:p>
        </w:tc>
      </w:tr>
    </w:tbl>
    <w:p w14:paraId="4AD95019" w14:textId="77777777" w:rsidR="00153CC0" w:rsidRDefault="00153CC0" w:rsidP="00153CC0">
      <w:pPr>
        <w:tabs>
          <w:tab w:val="center" w:pos="4419"/>
          <w:tab w:val="left" w:pos="6345"/>
        </w:tabs>
        <w:rPr>
          <w:rFonts w:ascii="Arial" w:eastAsia="Calibri" w:hAnsi="Arial" w:cs="Arial"/>
          <w:b/>
          <w:sz w:val="22"/>
        </w:rPr>
      </w:pPr>
    </w:p>
    <w:p w14:paraId="572ACFBC" w14:textId="0CB33529" w:rsidR="00630D34" w:rsidRPr="00292F1B" w:rsidRDefault="00630D34" w:rsidP="004026EC">
      <w:pPr>
        <w:rPr>
          <w:rFonts w:ascii="Arial" w:eastAsia="Calibri" w:hAnsi="Arial" w:cs="Arial"/>
          <w:sz w:val="22"/>
        </w:rPr>
      </w:pPr>
    </w:p>
    <w:p w14:paraId="520B16AC" w14:textId="77777777" w:rsidR="0073638E" w:rsidRPr="00292F1B" w:rsidRDefault="0073638E" w:rsidP="00947D2A">
      <w:pPr>
        <w:rPr>
          <w:rFonts w:ascii="Arial" w:eastAsia="Calibri" w:hAnsi="Arial" w:cs="Arial"/>
          <w:sz w:val="22"/>
        </w:rPr>
      </w:pPr>
    </w:p>
    <w:p w14:paraId="20703338" w14:textId="4E977944" w:rsidR="00630D34" w:rsidRPr="00292F1B" w:rsidRDefault="00630D34" w:rsidP="00947D2A">
      <w:pPr>
        <w:rPr>
          <w:rFonts w:ascii="Arial" w:eastAsia="Calibri" w:hAnsi="Arial" w:cs="Arial"/>
          <w:sz w:val="22"/>
        </w:rPr>
      </w:pPr>
      <w:r w:rsidRPr="009929A4">
        <w:rPr>
          <w:rFonts w:ascii="Arial" w:eastAsia="Calibri" w:hAnsi="Arial" w:cs="Arial"/>
          <w:sz w:val="22"/>
        </w:rPr>
        <w:t>Estimad</w:t>
      </w:r>
      <w:r w:rsidR="00511BEB" w:rsidRPr="009929A4">
        <w:rPr>
          <w:rFonts w:ascii="Arial" w:eastAsia="Calibri" w:hAnsi="Arial" w:cs="Arial"/>
          <w:sz w:val="22"/>
        </w:rPr>
        <w:t>a</w:t>
      </w:r>
      <w:r w:rsidRPr="009929A4">
        <w:rPr>
          <w:rFonts w:ascii="Arial" w:eastAsia="Calibri" w:hAnsi="Arial" w:cs="Arial"/>
          <w:sz w:val="22"/>
        </w:rPr>
        <w:t xml:space="preserve"> señor</w:t>
      </w:r>
      <w:r w:rsidR="00511BEB" w:rsidRPr="009929A4">
        <w:rPr>
          <w:rFonts w:ascii="Arial" w:eastAsia="Calibri" w:hAnsi="Arial" w:cs="Arial"/>
          <w:sz w:val="22"/>
        </w:rPr>
        <w:t>a</w:t>
      </w:r>
      <w:r w:rsidRPr="009929A4">
        <w:rPr>
          <w:rFonts w:ascii="Arial" w:eastAsia="Calibri" w:hAnsi="Arial" w:cs="Arial"/>
          <w:sz w:val="22"/>
        </w:rPr>
        <w:t xml:space="preserve"> </w:t>
      </w:r>
      <w:r w:rsidR="009929A4" w:rsidRPr="009929A4">
        <w:rPr>
          <w:rFonts w:ascii="Arial" w:eastAsia="Calibri" w:hAnsi="Arial" w:cs="Arial"/>
          <w:sz w:val="22"/>
        </w:rPr>
        <w:t>Montoya</w:t>
      </w:r>
      <w:r w:rsidR="00511BEB" w:rsidRPr="009929A4">
        <w:rPr>
          <w:rFonts w:ascii="Arial" w:eastAsia="Calibri" w:hAnsi="Arial" w:cs="Arial"/>
          <w:sz w:val="22"/>
        </w:rPr>
        <w:t>:</w:t>
      </w:r>
    </w:p>
    <w:p w14:paraId="67165113" w14:textId="77777777" w:rsidR="004026EC" w:rsidRPr="00292F1B" w:rsidRDefault="004026EC" w:rsidP="00947D2A">
      <w:pPr>
        <w:rPr>
          <w:rFonts w:ascii="Arial" w:eastAsia="Calibri" w:hAnsi="Arial" w:cs="Arial"/>
          <w:sz w:val="22"/>
        </w:rPr>
      </w:pPr>
    </w:p>
    <w:p w14:paraId="07070E4B" w14:textId="1C963A9E" w:rsidR="006C62B3" w:rsidRPr="00947D2A" w:rsidRDefault="006C62B3" w:rsidP="00947D2A">
      <w:pPr>
        <w:spacing w:line="276" w:lineRule="auto"/>
        <w:ind w:right="51"/>
        <w:jc w:val="both"/>
        <w:rPr>
          <w:rFonts w:ascii="Arial" w:eastAsia="Calibri" w:hAnsi="Arial" w:cs="Arial"/>
          <w:sz w:val="22"/>
          <w:lang w:val="es-ES_tradnl"/>
        </w:rPr>
      </w:pPr>
      <w:r w:rsidRPr="00B9642A">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w:t>
      </w:r>
      <w:r w:rsidRPr="009929A4">
        <w:rPr>
          <w:rFonts w:ascii="Arial" w:eastAsia="Calibri" w:hAnsi="Arial" w:cs="Arial"/>
          <w:sz w:val="22"/>
          <w:lang w:val="es-ES_tradnl"/>
        </w:rPr>
        <w:t xml:space="preserve">Eficiente responde </w:t>
      </w:r>
      <w:r w:rsidR="009929A4" w:rsidRPr="009929A4">
        <w:rPr>
          <w:rFonts w:ascii="Arial" w:eastAsia="Calibri" w:hAnsi="Arial" w:cs="Arial"/>
          <w:sz w:val="22"/>
          <w:lang w:val="es-ES_tradnl"/>
        </w:rPr>
        <w:t>su</w:t>
      </w:r>
      <w:r w:rsidR="009929A4">
        <w:rPr>
          <w:rFonts w:ascii="Arial" w:eastAsia="Calibri" w:hAnsi="Arial" w:cs="Arial"/>
          <w:sz w:val="22"/>
          <w:lang w:val="es-ES_tradnl"/>
        </w:rPr>
        <w:t xml:space="preserve"> consulta del 08 de junio de 2022.</w:t>
      </w:r>
    </w:p>
    <w:p w14:paraId="645B1E41" w14:textId="77777777" w:rsidR="00234D71" w:rsidRPr="00292F1B" w:rsidRDefault="00234D71" w:rsidP="00947D2A">
      <w:pPr>
        <w:pStyle w:val="Prrafodelista"/>
        <w:tabs>
          <w:tab w:val="left" w:pos="284"/>
        </w:tabs>
        <w:ind w:left="0"/>
        <w:rPr>
          <w:rFonts w:ascii="Arial" w:eastAsia="Calibri" w:hAnsi="Arial" w:cs="Arial"/>
          <w:b/>
          <w:sz w:val="22"/>
        </w:rPr>
      </w:pPr>
    </w:p>
    <w:p w14:paraId="5C4DF144" w14:textId="5E3137B8" w:rsidR="00630D34" w:rsidRPr="00292F1B" w:rsidRDefault="00630D34" w:rsidP="00947D2A">
      <w:pPr>
        <w:pStyle w:val="Prrafodelista"/>
        <w:tabs>
          <w:tab w:val="left" w:pos="284"/>
        </w:tabs>
        <w:ind w:left="0"/>
        <w:rPr>
          <w:rFonts w:ascii="Arial" w:eastAsia="Calibri" w:hAnsi="Arial" w:cs="Arial"/>
          <w:b/>
          <w:sz w:val="22"/>
        </w:rPr>
      </w:pPr>
      <w:r w:rsidRPr="00292F1B">
        <w:rPr>
          <w:rFonts w:ascii="Arial" w:eastAsia="Calibri" w:hAnsi="Arial" w:cs="Arial"/>
          <w:b/>
          <w:sz w:val="22"/>
        </w:rPr>
        <w:t xml:space="preserve">1. Problemas planteados </w:t>
      </w:r>
    </w:p>
    <w:p w14:paraId="352D9333" w14:textId="77777777" w:rsidR="00630D34" w:rsidRPr="00292F1B" w:rsidRDefault="00630D34" w:rsidP="00947D2A">
      <w:pPr>
        <w:pStyle w:val="Prrafodelista"/>
        <w:tabs>
          <w:tab w:val="left" w:pos="284"/>
        </w:tabs>
        <w:ind w:left="0"/>
        <w:rPr>
          <w:rFonts w:ascii="Arial" w:eastAsia="Calibri" w:hAnsi="Arial" w:cs="Arial"/>
          <w:b/>
          <w:sz w:val="22"/>
        </w:rPr>
      </w:pPr>
    </w:p>
    <w:p w14:paraId="51A1FC02" w14:textId="07448E4B" w:rsidR="003967EF" w:rsidRDefault="003967EF" w:rsidP="00AF7894">
      <w:pPr>
        <w:spacing w:line="276" w:lineRule="auto"/>
        <w:jc w:val="both"/>
        <w:rPr>
          <w:rFonts w:ascii="Arial" w:hAnsi="Arial" w:cs="Arial"/>
          <w:sz w:val="22"/>
          <w:lang w:val="es-ES_tradnl"/>
        </w:rPr>
      </w:pPr>
      <w:r>
        <w:rPr>
          <w:rFonts w:ascii="Arial" w:hAnsi="Arial" w:cs="Arial"/>
          <w:sz w:val="22"/>
          <w:lang w:val="es-ES_tradnl"/>
        </w:rPr>
        <w:t>En relación con la publicidad en el SECOP I y II por parte de las instituciones educativas oficiales,</w:t>
      </w:r>
      <w:r w:rsidRPr="008C0222">
        <w:rPr>
          <w:rFonts w:ascii="Arial" w:hAnsi="Arial" w:cs="Arial"/>
          <w:sz w:val="22"/>
          <w:lang w:val="es-ES_tradnl"/>
        </w:rPr>
        <w:t xml:space="preserve"> usted formula la siguiente consulta:</w:t>
      </w:r>
    </w:p>
    <w:p w14:paraId="6124C149" w14:textId="77777777" w:rsidR="0045580E" w:rsidRPr="003967EF" w:rsidRDefault="0045580E" w:rsidP="00AF7894">
      <w:pPr>
        <w:pStyle w:val="Default"/>
        <w:spacing w:line="276" w:lineRule="auto"/>
        <w:jc w:val="both"/>
        <w:rPr>
          <w:rFonts w:eastAsia="Calibri"/>
          <w:bCs/>
          <w:color w:val="auto"/>
          <w:sz w:val="22"/>
          <w:szCs w:val="22"/>
          <w:highlight w:val="yellow"/>
          <w:lang w:val="es-ES_tradnl"/>
        </w:rPr>
      </w:pPr>
    </w:p>
    <w:p w14:paraId="342FC511" w14:textId="116953DD" w:rsidR="0008266A" w:rsidRDefault="002359BE" w:rsidP="00AF7894">
      <w:pPr>
        <w:ind w:left="709" w:right="709"/>
        <w:jc w:val="both"/>
        <w:rPr>
          <w:rFonts w:ascii="Arial" w:hAnsi="Arial" w:cs="Arial"/>
          <w:sz w:val="21"/>
          <w:szCs w:val="21"/>
        </w:rPr>
      </w:pPr>
      <w:r>
        <w:rPr>
          <w:rFonts w:ascii="Arial" w:hAnsi="Arial" w:cs="Arial"/>
          <w:sz w:val="21"/>
          <w:szCs w:val="21"/>
        </w:rPr>
        <w:t>«</w:t>
      </w:r>
      <w:r w:rsidR="00CB2F57" w:rsidRPr="00CB2F57">
        <w:rPr>
          <w:rFonts w:ascii="Arial" w:hAnsi="Arial" w:cs="Arial"/>
          <w:sz w:val="21"/>
          <w:szCs w:val="21"/>
        </w:rPr>
        <w:t xml:space="preserve">Solicito concepto </w:t>
      </w:r>
      <w:proofErr w:type="spellStart"/>
      <w:r w:rsidR="00CB2F57" w:rsidRPr="00CB2F57">
        <w:rPr>
          <w:rFonts w:ascii="Arial" w:hAnsi="Arial" w:cs="Arial"/>
          <w:sz w:val="21"/>
          <w:szCs w:val="21"/>
        </w:rPr>
        <w:t>juridico</w:t>
      </w:r>
      <w:proofErr w:type="spellEnd"/>
      <w:r w:rsidR="00CB2F57" w:rsidRPr="00CB2F57">
        <w:rPr>
          <w:rFonts w:ascii="Arial" w:hAnsi="Arial" w:cs="Arial"/>
          <w:sz w:val="21"/>
          <w:szCs w:val="21"/>
        </w:rPr>
        <w:t xml:space="preserve"> referente a la </w:t>
      </w:r>
      <w:proofErr w:type="spellStart"/>
      <w:r w:rsidR="00CB2F57" w:rsidRPr="00CB2F57">
        <w:rPr>
          <w:rFonts w:ascii="Arial" w:hAnsi="Arial" w:cs="Arial"/>
          <w:sz w:val="21"/>
          <w:szCs w:val="21"/>
        </w:rPr>
        <w:t>publicacion</w:t>
      </w:r>
      <w:proofErr w:type="spellEnd"/>
      <w:r w:rsidR="00CB2F57" w:rsidRPr="00CB2F57">
        <w:rPr>
          <w:rFonts w:ascii="Arial" w:hAnsi="Arial" w:cs="Arial"/>
          <w:sz w:val="21"/>
          <w:szCs w:val="21"/>
        </w:rPr>
        <w:t xml:space="preserve"> de los procesos de </w:t>
      </w:r>
      <w:proofErr w:type="spellStart"/>
      <w:r w:rsidR="00CB2F57" w:rsidRPr="00CB2F57">
        <w:rPr>
          <w:rFonts w:ascii="Arial" w:hAnsi="Arial" w:cs="Arial"/>
          <w:sz w:val="21"/>
          <w:szCs w:val="21"/>
        </w:rPr>
        <w:t>contratacion</w:t>
      </w:r>
      <w:proofErr w:type="spellEnd"/>
      <w:r w:rsidR="00CB2F57" w:rsidRPr="00CB2F57">
        <w:rPr>
          <w:rFonts w:ascii="Arial" w:hAnsi="Arial" w:cs="Arial"/>
          <w:sz w:val="21"/>
          <w:szCs w:val="21"/>
        </w:rPr>
        <w:t xml:space="preserve"> de las Instituciones Educativas oficiales (Fondos de servicios Educativos) bajo la Ley 2195 del 18 de enero de 2022, establece la obligación para que las entidades estatales con régimen especial de contratación realicen la publicidad de su actividad contractual en la plataforma transaccional SECOP II, Teniendo en cuenta la capacitación impartida por la Agencia </w:t>
      </w:r>
      <w:proofErr w:type="spellStart"/>
      <w:r w:rsidR="00CB2F57" w:rsidRPr="00CB2F57">
        <w:rPr>
          <w:rFonts w:ascii="Arial" w:hAnsi="Arial" w:cs="Arial"/>
          <w:sz w:val="21"/>
          <w:szCs w:val="21"/>
        </w:rPr>
        <w:t>colombia</w:t>
      </w:r>
      <w:proofErr w:type="spellEnd"/>
      <w:r w:rsidR="00CB2F57" w:rsidRPr="00CB2F57">
        <w:rPr>
          <w:rFonts w:ascii="Arial" w:hAnsi="Arial" w:cs="Arial"/>
          <w:sz w:val="21"/>
          <w:szCs w:val="21"/>
        </w:rPr>
        <w:t xml:space="preserve"> compra eficiente, se indicó que los procesos superiores a 20 SMLMV que deben adelantarse por ley 80 se </w:t>
      </w:r>
      <w:proofErr w:type="spellStart"/>
      <w:r w:rsidR="00CB2F57" w:rsidRPr="00CB2F57">
        <w:rPr>
          <w:rFonts w:ascii="Arial" w:hAnsi="Arial" w:cs="Arial"/>
          <w:sz w:val="21"/>
          <w:szCs w:val="21"/>
        </w:rPr>
        <w:t>segiran</w:t>
      </w:r>
      <w:proofErr w:type="spellEnd"/>
      <w:r w:rsidR="00CB2F57" w:rsidRPr="00CB2F57">
        <w:rPr>
          <w:rFonts w:ascii="Arial" w:hAnsi="Arial" w:cs="Arial"/>
          <w:sz w:val="21"/>
          <w:szCs w:val="21"/>
        </w:rPr>
        <w:t xml:space="preserve"> publicando en el SECOP1, y los procesos inferiores a 20 SMLMV en el SECOP 2. ¿</w:t>
      </w:r>
      <w:proofErr w:type="spellStart"/>
      <w:r w:rsidR="00CB2F57" w:rsidRPr="00CB2F57">
        <w:rPr>
          <w:rFonts w:ascii="Arial" w:hAnsi="Arial" w:cs="Arial"/>
          <w:sz w:val="21"/>
          <w:szCs w:val="21"/>
        </w:rPr>
        <w:t>Cual</w:t>
      </w:r>
      <w:proofErr w:type="spellEnd"/>
      <w:r w:rsidR="00CB2F57" w:rsidRPr="00CB2F57">
        <w:rPr>
          <w:rFonts w:ascii="Arial" w:hAnsi="Arial" w:cs="Arial"/>
          <w:sz w:val="21"/>
          <w:szCs w:val="21"/>
        </w:rPr>
        <w:t xml:space="preserve"> es el fundamento </w:t>
      </w:r>
      <w:proofErr w:type="spellStart"/>
      <w:r w:rsidR="00CB2F57" w:rsidRPr="00CB2F57">
        <w:rPr>
          <w:rFonts w:ascii="Arial" w:hAnsi="Arial" w:cs="Arial"/>
          <w:sz w:val="21"/>
          <w:szCs w:val="21"/>
        </w:rPr>
        <w:t>juridico</w:t>
      </w:r>
      <w:proofErr w:type="spellEnd"/>
      <w:r w:rsidR="00CB2F57" w:rsidRPr="00CB2F57">
        <w:rPr>
          <w:rFonts w:ascii="Arial" w:hAnsi="Arial" w:cs="Arial"/>
          <w:sz w:val="21"/>
          <w:szCs w:val="21"/>
        </w:rPr>
        <w:t xml:space="preserve"> para </w:t>
      </w:r>
      <w:r w:rsidR="00CB2F57" w:rsidRPr="00CB2F57">
        <w:rPr>
          <w:rFonts w:ascii="Arial" w:hAnsi="Arial" w:cs="Arial"/>
          <w:sz w:val="21"/>
          <w:szCs w:val="21"/>
        </w:rPr>
        <w:lastRenderedPageBreak/>
        <w:t xml:space="preserve">esta diferenciación? ¿La ley 2195 de 2022 no establece esta condición, se </w:t>
      </w:r>
      <w:proofErr w:type="spellStart"/>
      <w:r w:rsidR="00CB2F57" w:rsidRPr="00CB2F57">
        <w:rPr>
          <w:rFonts w:ascii="Arial" w:hAnsi="Arial" w:cs="Arial"/>
          <w:sz w:val="21"/>
          <w:szCs w:val="21"/>
        </w:rPr>
        <w:t>podria</w:t>
      </w:r>
      <w:proofErr w:type="spellEnd"/>
      <w:r w:rsidR="00CB2F57" w:rsidRPr="00CB2F57">
        <w:rPr>
          <w:rFonts w:ascii="Arial" w:hAnsi="Arial" w:cs="Arial"/>
          <w:sz w:val="21"/>
          <w:szCs w:val="21"/>
        </w:rPr>
        <w:t xml:space="preserve"> indicar que esta </w:t>
      </w:r>
      <w:proofErr w:type="spellStart"/>
      <w:r w:rsidR="00CB2F57" w:rsidRPr="00CB2F57">
        <w:rPr>
          <w:rFonts w:ascii="Arial" w:hAnsi="Arial" w:cs="Arial"/>
          <w:sz w:val="21"/>
          <w:szCs w:val="21"/>
        </w:rPr>
        <w:t>instruccion</w:t>
      </w:r>
      <w:proofErr w:type="spellEnd"/>
      <w:r w:rsidR="00CB2F57" w:rsidRPr="00CB2F57">
        <w:rPr>
          <w:rFonts w:ascii="Arial" w:hAnsi="Arial" w:cs="Arial"/>
          <w:sz w:val="21"/>
          <w:szCs w:val="21"/>
        </w:rPr>
        <w:t xml:space="preserve"> es impartida por la Agencia CCE como administrador de la platafo</w:t>
      </w:r>
      <w:r w:rsidR="006252BF">
        <w:rPr>
          <w:rFonts w:ascii="Arial" w:hAnsi="Arial" w:cs="Arial"/>
          <w:sz w:val="21"/>
          <w:szCs w:val="21"/>
        </w:rPr>
        <w:t>rma?</w:t>
      </w:r>
      <w:r>
        <w:rPr>
          <w:rFonts w:ascii="Arial" w:hAnsi="Arial" w:cs="Arial"/>
          <w:sz w:val="21"/>
          <w:szCs w:val="21"/>
        </w:rPr>
        <w:t>»</w:t>
      </w:r>
    </w:p>
    <w:p w14:paraId="5D562E10" w14:textId="77777777" w:rsidR="002359BE" w:rsidRPr="00CB2F57" w:rsidRDefault="002359BE" w:rsidP="00AF7894">
      <w:pPr>
        <w:ind w:left="709" w:right="709"/>
        <w:jc w:val="both"/>
        <w:rPr>
          <w:rFonts w:ascii="Arial" w:hAnsi="Arial" w:cs="Arial"/>
          <w:sz w:val="21"/>
          <w:szCs w:val="21"/>
        </w:rPr>
      </w:pPr>
    </w:p>
    <w:p w14:paraId="2ABC9D8E" w14:textId="51881890" w:rsidR="00630D34" w:rsidRPr="00292F1B" w:rsidRDefault="00630D34" w:rsidP="00AF7894">
      <w:pPr>
        <w:pStyle w:val="Default"/>
        <w:spacing w:line="276" w:lineRule="auto"/>
        <w:jc w:val="both"/>
        <w:rPr>
          <w:rFonts w:eastAsia="Calibri"/>
          <w:b/>
          <w:sz w:val="22"/>
        </w:rPr>
      </w:pPr>
      <w:r w:rsidRPr="00292F1B">
        <w:rPr>
          <w:rFonts w:eastAsia="Calibri"/>
          <w:b/>
          <w:sz w:val="22"/>
        </w:rPr>
        <w:t>2. Consideraciones</w:t>
      </w:r>
    </w:p>
    <w:p w14:paraId="20F528C7" w14:textId="77777777" w:rsidR="00E80494" w:rsidRPr="00292F1B" w:rsidRDefault="00E80494" w:rsidP="00AF7894">
      <w:pPr>
        <w:tabs>
          <w:tab w:val="left" w:pos="426"/>
        </w:tabs>
        <w:jc w:val="both"/>
        <w:rPr>
          <w:rFonts w:ascii="Arial" w:eastAsia="Calibri" w:hAnsi="Arial" w:cs="Arial"/>
          <w:b/>
          <w:sz w:val="22"/>
        </w:rPr>
      </w:pPr>
    </w:p>
    <w:p w14:paraId="2C29644F" w14:textId="54A2C7D5" w:rsidR="0073638E" w:rsidRPr="00292F1B" w:rsidRDefault="00630D34" w:rsidP="00AF7894">
      <w:pPr>
        <w:spacing w:after="120" w:line="276" w:lineRule="auto"/>
        <w:jc w:val="both"/>
        <w:rPr>
          <w:rFonts w:ascii="Arial" w:eastAsia="Calibri" w:hAnsi="Arial" w:cs="Arial"/>
          <w:sz w:val="22"/>
        </w:rPr>
      </w:pPr>
      <w:r w:rsidRPr="00292F1B">
        <w:rPr>
          <w:rFonts w:ascii="Arial" w:eastAsia="Calibri" w:hAnsi="Arial" w:cs="Arial"/>
          <w:sz w:val="22"/>
        </w:rPr>
        <w:t xml:space="preserve">Para </w:t>
      </w:r>
      <w:r w:rsidR="0073638E" w:rsidRPr="00292F1B">
        <w:rPr>
          <w:rFonts w:ascii="Arial" w:eastAsia="Calibri" w:hAnsi="Arial" w:cs="Arial"/>
          <w:sz w:val="22"/>
        </w:rPr>
        <w:t>resolver la</w:t>
      </w:r>
      <w:r w:rsidR="0045580E">
        <w:rPr>
          <w:rFonts w:ascii="Arial" w:eastAsia="Calibri" w:hAnsi="Arial" w:cs="Arial"/>
          <w:sz w:val="22"/>
        </w:rPr>
        <w:t>s</w:t>
      </w:r>
      <w:r w:rsidR="0073638E" w:rsidRPr="00292F1B">
        <w:rPr>
          <w:rFonts w:ascii="Arial" w:eastAsia="Calibri" w:hAnsi="Arial" w:cs="Arial"/>
          <w:sz w:val="22"/>
        </w:rPr>
        <w:t xml:space="preserve"> inquietud</w:t>
      </w:r>
      <w:r w:rsidR="0045580E">
        <w:rPr>
          <w:rFonts w:ascii="Arial" w:eastAsia="Calibri" w:hAnsi="Arial" w:cs="Arial"/>
          <w:sz w:val="22"/>
        </w:rPr>
        <w:t>es</w:t>
      </w:r>
      <w:r w:rsidR="0073638E" w:rsidRPr="00292F1B">
        <w:rPr>
          <w:rFonts w:ascii="Arial" w:eastAsia="Calibri" w:hAnsi="Arial" w:cs="Arial"/>
          <w:sz w:val="22"/>
        </w:rPr>
        <w:t xml:space="preserve"> planteada</w:t>
      </w:r>
      <w:r w:rsidR="0045580E">
        <w:rPr>
          <w:rFonts w:ascii="Arial" w:eastAsia="Calibri" w:hAnsi="Arial" w:cs="Arial"/>
          <w:sz w:val="22"/>
        </w:rPr>
        <w:t>s</w:t>
      </w:r>
      <w:r w:rsidRPr="00292F1B">
        <w:rPr>
          <w:rFonts w:ascii="Arial" w:eastAsia="Calibri" w:hAnsi="Arial" w:cs="Arial"/>
          <w:sz w:val="22"/>
        </w:rPr>
        <w:t xml:space="preserve"> </w:t>
      </w:r>
      <w:r w:rsidR="0073638E" w:rsidRPr="00292F1B">
        <w:rPr>
          <w:rFonts w:ascii="Arial" w:eastAsia="Calibri" w:hAnsi="Arial" w:cs="Arial"/>
          <w:sz w:val="22"/>
        </w:rPr>
        <w:t xml:space="preserve">se </w:t>
      </w:r>
      <w:r w:rsidR="00C83CE0" w:rsidRPr="00292F1B">
        <w:rPr>
          <w:rFonts w:ascii="Arial" w:eastAsia="Calibri" w:hAnsi="Arial" w:cs="Arial"/>
          <w:sz w:val="22"/>
        </w:rPr>
        <w:t>abordarán</w:t>
      </w:r>
      <w:r w:rsidR="0045580E">
        <w:rPr>
          <w:rFonts w:ascii="Arial" w:eastAsia="Calibri" w:hAnsi="Arial" w:cs="Arial"/>
          <w:sz w:val="22"/>
        </w:rPr>
        <w:t xml:space="preserve"> los siguientes temas</w:t>
      </w:r>
      <w:r w:rsidR="0073638E" w:rsidRPr="00292F1B">
        <w:rPr>
          <w:rFonts w:ascii="Arial" w:eastAsia="Calibri" w:hAnsi="Arial" w:cs="Arial"/>
          <w:sz w:val="22"/>
        </w:rPr>
        <w:t xml:space="preserve">: </w:t>
      </w:r>
      <w:r w:rsidR="0073638E" w:rsidRPr="002359BE">
        <w:rPr>
          <w:rFonts w:ascii="Arial" w:eastAsia="Calibri" w:hAnsi="Arial" w:cs="Arial"/>
          <w:sz w:val="22"/>
        </w:rPr>
        <w:t xml:space="preserve">i) la naturaleza jurídica de las Instituciones Educativas de carácter oficial y su régimen de contratación; </w:t>
      </w:r>
      <w:proofErr w:type="spellStart"/>
      <w:r w:rsidR="0073638E" w:rsidRPr="002359BE">
        <w:rPr>
          <w:rFonts w:ascii="Arial" w:eastAsia="Calibri" w:hAnsi="Arial" w:cs="Arial"/>
          <w:sz w:val="22"/>
        </w:rPr>
        <w:t>ii</w:t>
      </w:r>
      <w:proofErr w:type="spellEnd"/>
      <w:r w:rsidR="0073638E" w:rsidRPr="002359BE">
        <w:rPr>
          <w:rFonts w:ascii="Arial" w:eastAsia="Calibri" w:hAnsi="Arial" w:cs="Arial"/>
          <w:sz w:val="22"/>
        </w:rPr>
        <w:t xml:space="preserve">) </w:t>
      </w:r>
      <w:r w:rsidR="0049524C">
        <w:rPr>
          <w:rFonts w:ascii="Arial" w:eastAsia="Calibri" w:hAnsi="Arial" w:cs="Arial"/>
          <w:sz w:val="22"/>
        </w:rPr>
        <w:t>d</w:t>
      </w:r>
      <w:r w:rsidR="0049524C" w:rsidRPr="0049524C">
        <w:rPr>
          <w:rFonts w:ascii="Arial" w:eastAsia="Calibri" w:hAnsi="Arial" w:cs="Arial"/>
          <w:sz w:val="22"/>
        </w:rPr>
        <w:t>eber de publicación en el SECOP II para entidades estatales con régimen especial de contratación</w:t>
      </w:r>
      <w:r w:rsidR="0049524C">
        <w:rPr>
          <w:rFonts w:ascii="Arial" w:eastAsia="Calibri" w:hAnsi="Arial" w:cs="Arial"/>
          <w:sz w:val="22"/>
        </w:rPr>
        <w:t>.</w:t>
      </w:r>
    </w:p>
    <w:p w14:paraId="7CA57661" w14:textId="31D03CF1" w:rsidR="00C83CE0" w:rsidRPr="00292F1B" w:rsidRDefault="00C83CE0" w:rsidP="00AF7894">
      <w:pPr>
        <w:spacing w:after="120" w:line="276" w:lineRule="auto"/>
        <w:ind w:firstLine="708"/>
        <w:jc w:val="both"/>
        <w:rPr>
          <w:rFonts w:ascii="Arial" w:hAnsi="Arial" w:cs="Arial"/>
          <w:sz w:val="22"/>
        </w:rPr>
      </w:pPr>
      <w:r w:rsidRPr="00292F1B">
        <w:rPr>
          <w:rFonts w:ascii="Arial" w:hAnsi="Arial" w:cs="Arial"/>
          <w:sz w:val="22"/>
        </w:rPr>
        <w:t xml:space="preserve">La Agencia Nacional de Contratación Pública – Colombia Compra eficiente estudió el tema de la naturaleza jurídica de las </w:t>
      </w:r>
      <w:r w:rsidR="00805D07">
        <w:rPr>
          <w:rFonts w:ascii="Arial" w:hAnsi="Arial" w:cs="Arial"/>
          <w:sz w:val="22"/>
        </w:rPr>
        <w:t>i</w:t>
      </w:r>
      <w:r w:rsidRPr="00292F1B">
        <w:rPr>
          <w:rFonts w:ascii="Arial" w:hAnsi="Arial" w:cs="Arial"/>
          <w:sz w:val="22"/>
        </w:rPr>
        <w:t xml:space="preserve">nstituciones educativas y su régimen de contratación en los conceptos con radicado 2201913000006285 del 27 de agosto de 2019, No. </w:t>
      </w:r>
      <w:hyperlink r:id="rId12" w:tgtFrame="_blank" w:history="1">
        <w:r w:rsidRPr="00292F1B">
          <w:rPr>
            <w:rFonts w:ascii="Arial" w:hAnsi="Arial" w:cs="Arial"/>
            <w:sz w:val="22"/>
          </w:rPr>
          <w:t>2201913000006068</w:t>
        </w:r>
      </w:hyperlink>
      <w:r w:rsidRPr="00292F1B">
        <w:rPr>
          <w:rFonts w:ascii="Arial" w:hAnsi="Arial" w:cs="Arial"/>
          <w:sz w:val="22"/>
        </w:rPr>
        <w:t xml:space="preserve"> del 28 de agosto de 2019, 2201913000008174 del 31 de octubre de 2019</w:t>
      </w:r>
      <w:r w:rsidR="009C6145">
        <w:rPr>
          <w:rFonts w:ascii="Arial" w:hAnsi="Arial" w:cs="Arial"/>
          <w:sz w:val="22"/>
        </w:rPr>
        <w:t>,</w:t>
      </w:r>
      <w:r w:rsidRPr="00292F1B">
        <w:rPr>
          <w:rFonts w:ascii="Arial" w:hAnsi="Arial" w:cs="Arial"/>
          <w:sz w:val="22"/>
        </w:rPr>
        <w:t xml:space="preserve">  </w:t>
      </w:r>
      <w:hyperlink r:id="rId13" w:tgtFrame="_blank" w:history="1">
        <w:r w:rsidRPr="00292F1B">
          <w:rPr>
            <w:rFonts w:ascii="Arial" w:hAnsi="Arial" w:cs="Arial"/>
            <w:sz w:val="22"/>
          </w:rPr>
          <w:t>2201913000008197</w:t>
        </w:r>
      </w:hyperlink>
      <w:r w:rsidRPr="00292F1B">
        <w:rPr>
          <w:rFonts w:ascii="Arial" w:hAnsi="Arial" w:cs="Arial"/>
          <w:sz w:val="22"/>
        </w:rPr>
        <w:t xml:space="preserve"> del 1 de noviembre de 2019, C-181 del 6 de abril de 2020, C-272 del 27 de abril de 202</w:t>
      </w:r>
      <w:r w:rsidR="00511BEB">
        <w:rPr>
          <w:rFonts w:ascii="Arial" w:hAnsi="Arial" w:cs="Arial"/>
          <w:sz w:val="22"/>
        </w:rPr>
        <w:t>0, C-284 del 27 de mayo de 2010</w:t>
      </w:r>
      <w:r w:rsidR="002359BE">
        <w:rPr>
          <w:rFonts w:ascii="Arial" w:hAnsi="Arial" w:cs="Arial"/>
          <w:sz w:val="22"/>
        </w:rPr>
        <w:t xml:space="preserve">, C-399 del 23 de junio de 2020, </w:t>
      </w:r>
      <w:r w:rsidR="002359BE" w:rsidRPr="002359BE">
        <w:rPr>
          <w:rFonts w:ascii="Arial" w:hAnsi="Arial" w:cs="Arial"/>
          <w:sz w:val="22"/>
        </w:rPr>
        <w:t>C-574 del 28 de agosto de 2020 y</w:t>
      </w:r>
      <w:r w:rsidR="002359BE">
        <w:rPr>
          <w:rFonts w:ascii="Arial" w:hAnsi="Arial" w:cs="Arial"/>
          <w:sz w:val="22"/>
        </w:rPr>
        <w:t xml:space="preserve"> C-355 de</w:t>
      </w:r>
      <w:r w:rsidR="00BB3F46">
        <w:rPr>
          <w:rFonts w:ascii="Arial" w:hAnsi="Arial" w:cs="Arial"/>
          <w:sz w:val="22"/>
        </w:rPr>
        <w:t>l 2 de junio de</w:t>
      </w:r>
      <w:r w:rsidR="002359BE">
        <w:rPr>
          <w:rFonts w:ascii="Arial" w:hAnsi="Arial" w:cs="Arial"/>
          <w:sz w:val="22"/>
        </w:rPr>
        <w:t xml:space="preserve"> 2022.</w:t>
      </w:r>
    </w:p>
    <w:p w14:paraId="04EB3BDD" w14:textId="7B011080" w:rsidR="00630D34" w:rsidRPr="00292F1B" w:rsidRDefault="00292F1B" w:rsidP="00AF7894">
      <w:pPr>
        <w:tabs>
          <w:tab w:val="left" w:pos="426"/>
        </w:tabs>
        <w:spacing w:line="276" w:lineRule="auto"/>
        <w:jc w:val="both"/>
        <w:rPr>
          <w:rFonts w:ascii="Arial" w:hAnsi="Arial" w:cs="Arial"/>
          <w:sz w:val="22"/>
        </w:rPr>
      </w:pPr>
      <w:r w:rsidRPr="00292F1B">
        <w:rPr>
          <w:rFonts w:ascii="Arial" w:eastAsia="Calibri" w:hAnsi="Arial" w:cs="Arial"/>
          <w:bCs/>
          <w:sz w:val="22"/>
        </w:rPr>
        <w:tab/>
      </w:r>
      <w:r w:rsidRPr="00292F1B">
        <w:rPr>
          <w:rFonts w:ascii="Arial" w:eastAsia="Calibri" w:hAnsi="Arial" w:cs="Arial"/>
          <w:bCs/>
          <w:sz w:val="22"/>
        </w:rPr>
        <w:tab/>
      </w:r>
      <w:r w:rsidR="00230EC0" w:rsidRPr="00292F1B">
        <w:rPr>
          <w:rFonts w:ascii="Arial" w:eastAsia="Calibri" w:hAnsi="Arial" w:cs="Arial"/>
          <w:bCs/>
          <w:sz w:val="22"/>
        </w:rPr>
        <w:t xml:space="preserve">De otra parte, esta Agencia estudió el tema de la publicidad de </w:t>
      </w:r>
      <w:r w:rsidRPr="00292F1B">
        <w:rPr>
          <w:rFonts w:ascii="Arial" w:eastAsia="Calibri" w:hAnsi="Arial" w:cs="Arial"/>
          <w:bCs/>
          <w:sz w:val="22"/>
        </w:rPr>
        <w:t>la gestión contractual de las entidades estatales con régimen especial</w:t>
      </w:r>
      <w:r w:rsidR="00230EC0" w:rsidRPr="00292F1B">
        <w:rPr>
          <w:rFonts w:ascii="Arial" w:eastAsia="Calibri" w:hAnsi="Arial" w:cs="Arial"/>
          <w:bCs/>
          <w:sz w:val="22"/>
        </w:rPr>
        <w:t xml:space="preserve"> </w:t>
      </w:r>
      <w:r w:rsidR="00553E13">
        <w:rPr>
          <w:rFonts w:ascii="Arial" w:eastAsia="Calibri" w:hAnsi="Arial" w:cs="Arial"/>
          <w:bCs/>
          <w:sz w:val="22"/>
        </w:rPr>
        <w:t>al responder</w:t>
      </w:r>
      <w:r w:rsidR="00553E13" w:rsidRPr="00292F1B">
        <w:rPr>
          <w:rFonts w:ascii="Arial" w:eastAsia="Calibri" w:hAnsi="Arial" w:cs="Arial"/>
          <w:bCs/>
          <w:sz w:val="22"/>
        </w:rPr>
        <w:t xml:space="preserve"> </w:t>
      </w:r>
      <w:r w:rsidR="00230EC0" w:rsidRPr="00292F1B">
        <w:rPr>
          <w:rFonts w:ascii="Arial" w:eastAsia="Calibri" w:hAnsi="Arial" w:cs="Arial"/>
          <w:bCs/>
          <w:sz w:val="22"/>
        </w:rPr>
        <w:t>la</w:t>
      </w:r>
      <w:r w:rsidR="00553E13">
        <w:rPr>
          <w:rFonts w:ascii="Arial" w:eastAsia="Calibri" w:hAnsi="Arial" w:cs="Arial"/>
          <w:bCs/>
          <w:sz w:val="22"/>
        </w:rPr>
        <w:t>s</w:t>
      </w:r>
      <w:r w:rsidR="00230EC0" w:rsidRPr="00292F1B">
        <w:rPr>
          <w:rFonts w:ascii="Arial" w:eastAsia="Calibri" w:hAnsi="Arial" w:cs="Arial"/>
          <w:bCs/>
          <w:sz w:val="22"/>
        </w:rPr>
        <w:t xml:space="preserve"> consulta No. 4201913000005397 del 9 de agosto de 2019</w:t>
      </w:r>
      <w:r w:rsidR="00553E13">
        <w:rPr>
          <w:rFonts w:ascii="Arial" w:eastAsia="Calibri" w:hAnsi="Arial" w:cs="Arial"/>
          <w:bCs/>
          <w:sz w:val="22"/>
        </w:rPr>
        <w:t xml:space="preserve">, </w:t>
      </w:r>
      <w:r w:rsidR="00230EC0" w:rsidRPr="00292F1B">
        <w:rPr>
          <w:rFonts w:ascii="Arial" w:eastAsia="Calibri" w:hAnsi="Arial" w:cs="Arial"/>
          <w:bCs/>
          <w:sz w:val="22"/>
        </w:rPr>
        <w:t xml:space="preserve">4201912000006611 del 25 de septiembre de 2019, </w:t>
      </w:r>
      <w:r w:rsidR="00230EC0" w:rsidRPr="00292F1B">
        <w:rPr>
          <w:rFonts w:ascii="Arial" w:hAnsi="Arial" w:cs="Arial"/>
          <w:sz w:val="22"/>
        </w:rPr>
        <w:t xml:space="preserve">4201913000006847 del 4 de octubre de 2019, </w:t>
      </w:r>
      <w:r w:rsidR="00230EC0" w:rsidRPr="00292F1B">
        <w:rPr>
          <w:rFonts w:ascii="Arial" w:eastAsia="Calibri" w:hAnsi="Arial" w:cs="Arial"/>
          <w:bCs/>
          <w:sz w:val="22"/>
        </w:rPr>
        <w:t>4201912000007762 del 18 de noviembre de 2019 y 4201912000007828 del 13 de noviembre de 2019</w:t>
      </w:r>
      <w:r w:rsidR="00554131">
        <w:rPr>
          <w:rFonts w:ascii="Arial" w:hAnsi="Arial" w:cs="Arial"/>
          <w:sz w:val="22"/>
        </w:rPr>
        <w:t>. Además,</w:t>
      </w:r>
      <w:r w:rsidR="00230EC0" w:rsidRPr="00292F1B">
        <w:rPr>
          <w:rFonts w:ascii="Arial" w:hAnsi="Arial" w:cs="Arial"/>
          <w:sz w:val="22"/>
        </w:rPr>
        <w:t xml:space="preserve"> en el Concepto CU </w:t>
      </w:r>
      <w:r w:rsidR="009C6145">
        <w:rPr>
          <w:rFonts w:ascii="Arial" w:hAnsi="Arial" w:cs="Arial"/>
          <w:sz w:val="22"/>
        </w:rPr>
        <w:t>–</w:t>
      </w:r>
      <w:r w:rsidR="00230EC0" w:rsidRPr="00292F1B">
        <w:rPr>
          <w:rFonts w:ascii="Arial" w:hAnsi="Arial" w:cs="Arial"/>
          <w:sz w:val="22"/>
        </w:rPr>
        <w:t xml:space="preserve"> 003 de</w:t>
      </w:r>
      <w:r w:rsidR="00554131">
        <w:rPr>
          <w:rFonts w:ascii="Arial" w:hAnsi="Arial" w:cs="Arial"/>
          <w:sz w:val="22"/>
        </w:rPr>
        <w:t>l</w:t>
      </w:r>
      <w:r w:rsidR="00230EC0" w:rsidRPr="00292F1B">
        <w:rPr>
          <w:rFonts w:ascii="Arial" w:hAnsi="Arial" w:cs="Arial"/>
          <w:sz w:val="22"/>
        </w:rPr>
        <w:t xml:space="preserve"> 15 de enero 2020 unificó la tesis sobre el particular</w:t>
      </w:r>
      <w:r w:rsidR="009C6145">
        <w:rPr>
          <w:rFonts w:ascii="Arial" w:hAnsi="Arial" w:cs="Arial"/>
          <w:sz w:val="22"/>
        </w:rPr>
        <w:t>,</w:t>
      </w:r>
      <w:r w:rsidR="00230EC0" w:rsidRPr="00292F1B">
        <w:rPr>
          <w:rFonts w:ascii="Arial" w:hAnsi="Arial" w:cs="Arial"/>
          <w:sz w:val="22"/>
        </w:rPr>
        <w:t xml:space="preserve"> la cual fue reiterada en </w:t>
      </w:r>
      <w:r w:rsidR="00554131">
        <w:rPr>
          <w:rFonts w:ascii="Arial" w:hAnsi="Arial" w:cs="Arial"/>
          <w:sz w:val="22"/>
        </w:rPr>
        <w:t>los conceptos</w:t>
      </w:r>
      <w:r w:rsidR="00230EC0" w:rsidRPr="00292F1B">
        <w:rPr>
          <w:rFonts w:ascii="Arial" w:hAnsi="Arial" w:cs="Arial"/>
          <w:sz w:val="22"/>
        </w:rPr>
        <w:t xml:space="preserve"> C – 061 de 21 de enero de 2020, C – 115 de 11 de febrero de 2020, C – 149 de 14 de febrero de 2020, </w:t>
      </w:r>
      <w:r w:rsidR="00230EC0" w:rsidRPr="00292F1B">
        <w:rPr>
          <w:rFonts w:ascii="Arial" w:eastAsia="Calibri" w:hAnsi="Arial" w:cs="Arial"/>
          <w:bCs/>
          <w:sz w:val="22"/>
        </w:rPr>
        <w:t xml:space="preserve">C – 095 del 16 de marzo </w:t>
      </w:r>
      <w:r w:rsidR="00230EC0" w:rsidRPr="00511BEB">
        <w:rPr>
          <w:rFonts w:ascii="Arial" w:eastAsia="Calibri" w:hAnsi="Arial" w:cs="Arial"/>
          <w:bCs/>
          <w:sz w:val="22"/>
        </w:rPr>
        <w:t>de 2020, C–181 del 6 de abril de 2020</w:t>
      </w:r>
      <w:r w:rsidR="003967EF">
        <w:rPr>
          <w:rFonts w:ascii="Arial" w:hAnsi="Arial" w:cs="Arial"/>
          <w:sz w:val="22"/>
        </w:rPr>
        <w:t xml:space="preserve"> </w:t>
      </w:r>
      <w:r w:rsidR="003967EF" w:rsidRPr="003967EF">
        <w:rPr>
          <w:rFonts w:ascii="Arial" w:hAnsi="Arial" w:cs="Arial"/>
          <w:sz w:val="22"/>
        </w:rPr>
        <w:t xml:space="preserve">y </w:t>
      </w:r>
      <w:r w:rsidR="00230EC0" w:rsidRPr="003967EF">
        <w:rPr>
          <w:rFonts w:ascii="Arial" w:hAnsi="Arial" w:cs="Arial"/>
          <w:sz w:val="22"/>
        </w:rPr>
        <w:t>C – 312 del 6 de mayo de 2020</w:t>
      </w:r>
      <w:r w:rsidR="003967EF" w:rsidRPr="003967EF">
        <w:rPr>
          <w:rFonts w:ascii="Arial" w:hAnsi="Arial" w:cs="Arial"/>
          <w:sz w:val="22"/>
        </w:rPr>
        <w:t>,</w:t>
      </w:r>
      <w:r w:rsidRPr="00511BEB">
        <w:rPr>
          <w:rFonts w:ascii="Arial" w:hAnsi="Arial" w:cs="Arial"/>
          <w:sz w:val="22"/>
        </w:rPr>
        <w:t xml:space="preserve"> entre otros</w:t>
      </w:r>
      <w:r w:rsidR="00230EC0" w:rsidRPr="00511BEB">
        <w:rPr>
          <w:rFonts w:ascii="Arial" w:hAnsi="Arial" w:cs="Arial"/>
          <w:sz w:val="22"/>
        </w:rPr>
        <w:t>.</w:t>
      </w:r>
      <w:r w:rsidRPr="00292F1B">
        <w:rPr>
          <w:rFonts w:ascii="Arial" w:hAnsi="Arial" w:cs="Arial"/>
          <w:sz w:val="22"/>
        </w:rPr>
        <w:t xml:space="preserve"> Las tesis expues</w:t>
      </w:r>
      <w:r w:rsidR="0045580E">
        <w:rPr>
          <w:rFonts w:ascii="Arial" w:hAnsi="Arial" w:cs="Arial"/>
          <w:sz w:val="22"/>
        </w:rPr>
        <w:t>tas se reiteran a continuación y se complementan en lo pertinente.</w:t>
      </w:r>
    </w:p>
    <w:p w14:paraId="42C52820" w14:textId="77777777" w:rsidR="00292F1B" w:rsidRPr="00292F1B" w:rsidRDefault="00292F1B" w:rsidP="00AF7894">
      <w:pPr>
        <w:tabs>
          <w:tab w:val="left" w:pos="426"/>
        </w:tabs>
        <w:spacing w:line="276" w:lineRule="auto"/>
        <w:jc w:val="both"/>
        <w:rPr>
          <w:rFonts w:ascii="Arial" w:eastAsia="Calibri" w:hAnsi="Arial" w:cs="Arial"/>
          <w:b/>
          <w:sz w:val="22"/>
        </w:rPr>
      </w:pPr>
    </w:p>
    <w:p w14:paraId="4F645358" w14:textId="46B9080F" w:rsidR="00630D34" w:rsidRPr="00292F1B" w:rsidRDefault="00630D34" w:rsidP="00524630">
      <w:pPr>
        <w:tabs>
          <w:tab w:val="left" w:pos="426"/>
        </w:tabs>
        <w:spacing w:line="276" w:lineRule="auto"/>
        <w:jc w:val="both"/>
        <w:rPr>
          <w:rFonts w:ascii="Arial" w:eastAsia="Calibri" w:hAnsi="Arial" w:cs="Arial"/>
          <w:b/>
          <w:sz w:val="22"/>
        </w:rPr>
      </w:pPr>
      <w:r w:rsidRPr="00292F1B">
        <w:rPr>
          <w:rFonts w:ascii="Arial" w:eastAsia="Calibri" w:hAnsi="Arial" w:cs="Arial"/>
          <w:b/>
          <w:sz w:val="22"/>
        </w:rPr>
        <w:t xml:space="preserve">2.1. </w:t>
      </w:r>
      <w:r w:rsidR="00E80494" w:rsidRPr="00292F1B">
        <w:rPr>
          <w:rFonts w:ascii="Arial" w:eastAsia="Calibri" w:hAnsi="Arial" w:cs="Arial"/>
          <w:b/>
          <w:sz w:val="22"/>
        </w:rPr>
        <w:t xml:space="preserve">Naturaleza Jurídica de las Instituciones Educativas de </w:t>
      </w:r>
      <w:r w:rsidR="00A026BB" w:rsidRPr="00292F1B">
        <w:rPr>
          <w:rFonts w:ascii="Arial" w:eastAsia="Calibri" w:hAnsi="Arial" w:cs="Arial"/>
          <w:b/>
          <w:sz w:val="22"/>
        </w:rPr>
        <w:t>c</w:t>
      </w:r>
      <w:r w:rsidR="00E80494" w:rsidRPr="00292F1B">
        <w:rPr>
          <w:rFonts w:ascii="Arial" w:eastAsia="Calibri" w:hAnsi="Arial" w:cs="Arial"/>
          <w:b/>
          <w:sz w:val="22"/>
        </w:rPr>
        <w:t>arácter oficial y su régimen de contratación</w:t>
      </w:r>
    </w:p>
    <w:p w14:paraId="56DE2A70" w14:textId="77777777" w:rsidR="00E80494" w:rsidRPr="00292F1B" w:rsidRDefault="00E80494" w:rsidP="00AF7894">
      <w:pPr>
        <w:tabs>
          <w:tab w:val="left" w:pos="426"/>
        </w:tabs>
        <w:jc w:val="both"/>
        <w:rPr>
          <w:rFonts w:ascii="Arial" w:eastAsia="Calibri" w:hAnsi="Arial" w:cs="Arial"/>
          <w:b/>
          <w:sz w:val="22"/>
        </w:rPr>
      </w:pPr>
    </w:p>
    <w:p w14:paraId="74EC4668" w14:textId="76E9A693" w:rsidR="00044E28" w:rsidRPr="00292F1B" w:rsidRDefault="00044E28" w:rsidP="00AF7894">
      <w:pPr>
        <w:spacing w:after="120" w:line="276" w:lineRule="auto"/>
        <w:jc w:val="both"/>
        <w:rPr>
          <w:rFonts w:ascii="Arial" w:hAnsi="Arial" w:cs="Arial"/>
          <w:sz w:val="22"/>
        </w:rPr>
      </w:pPr>
      <w:r w:rsidRPr="00292F1B">
        <w:rPr>
          <w:rFonts w:ascii="Arial" w:hAnsi="Arial" w:cs="Arial"/>
          <w:sz w:val="22"/>
        </w:rPr>
        <w:t>Las Leyes 60 de 1993 y 715 de 2001 descentralizaron el sistema educativo en Colombia, asignándole</w:t>
      </w:r>
      <w:r w:rsidR="005D3D12" w:rsidRPr="00292F1B">
        <w:rPr>
          <w:rFonts w:ascii="Arial" w:hAnsi="Arial" w:cs="Arial"/>
          <w:sz w:val="22"/>
        </w:rPr>
        <w:t>s</w:t>
      </w:r>
      <w:r w:rsidRPr="00292F1B">
        <w:rPr>
          <w:rFonts w:ascii="Arial" w:hAnsi="Arial" w:cs="Arial"/>
          <w:sz w:val="22"/>
        </w:rPr>
        <w:t xml:space="preserve"> a los departamentos, distritos y municipios las competencias y los recursos para dirigir las instituciones educativas. Es decir, el sistema educativo está descentralizado por las competencias propias que se le</w:t>
      </w:r>
      <w:r w:rsidR="00D54316">
        <w:rPr>
          <w:rFonts w:ascii="Arial" w:hAnsi="Arial" w:cs="Arial"/>
          <w:sz w:val="22"/>
        </w:rPr>
        <w:t>s</w:t>
      </w:r>
      <w:r w:rsidRPr="00292F1B">
        <w:rPr>
          <w:rFonts w:ascii="Arial" w:hAnsi="Arial" w:cs="Arial"/>
          <w:sz w:val="22"/>
        </w:rPr>
        <w:t xml:space="preserve"> ha otorgado a las entidades territoriales para administrar las instituciones educativas</w:t>
      </w:r>
      <w:r w:rsidR="008775A9">
        <w:rPr>
          <w:rFonts w:ascii="Arial" w:hAnsi="Arial" w:cs="Arial"/>
          <w:sz w:val="22"/>
        </w:rPr>
        <w:t>.</w:t>
      </w:r>
      <w:r w:rsidRPr="00292F1B">
        <w:rPr>
          <w:rFonts w:ascii="Arial" w:hAnsi="Arial" w:cs="Arial"/>
          <w:sz w:val="22"/>
        </w:rPr>
        <w:t xml:space="preserve"> </w:t>
      </w:r>
      <w:r w:rsidR="008775A9">
        <w:rPr>
          <w:rFonts w:ascii="Arial" w:hAnsi="Arial" w:cs="Arial"/>
          <w:sz w:val="22"/>
        </w:rPr>
        <w:t xml:space="preserve">Estas </w:t>
      </w:r>
      <w:r w:rsidRPr="00292F1B">
        <w:rPr>
          <w:rFonts w:ascii="Arial" w:hAnsi="Arial" w:cs="Arial"/>
          <w:sz w:val="22"/>
        </w:rPr>
        <w:t xml:space="preserve">pueden </w:t>
      </w:r>
      <w:r w:rsidR="008775A9">
        <w:rPr>
          <w:rFonts w:ascii="Arial" w:hAnsi="Arial" w:cs="Arial"/>
          <w:sz w:val="22"/>
        </w:rPr>
        <w:t>hacer parte</w:t>
      </w:r>
      <w:r w:rsidR="008775A9" w:rsidRPr="00292F1B">
        <w:rPr>
          <w:rFonts w:ascii="Arial" w:hAnsi="Arial" w:cs="Arial"/>
          <w:sz w:val="22"/>
        </w:rPr>
        <w:t xml:space="preserve"> </w:t>
      </w:r>
      <w:r w:rsidRPr="00292F1B">
        <w:rPr>
          <w:rFonts w:ascii="Arial" w:hAnsi="Arial" w:cs="Arial"/>
          <w:sz w:val="22"/>
        </w:rPr>
        <w:t xml:space="preserve">de </w:t>
      </w:r>
      <w:r w:rsidR="008775A9">
        <w:rPr>
          <w:rFonts w:ascii="Arial" w:hAnsi="Arial" w:cs="Arial"/>
          <w:sz w:val="22"/>
        </w:rPr>
        <w:t xml:space="preserve">los </w:t>
      </w:r>
      <w:r w:rsidRPr="00292F1B">
        <w:rPr>
          <w:rFonts w:ascii="Arial" w:hAnsi="Arial" w:cs="Arial"/>
          <w:sz w:val="22"/>
        </w:rPr>
        <w:t>diferentes niveles</w:t>
      </w:r>
      <w:r w:rsidR="009C6145">
        <w:rPr>
          <w:rFonts w:ascii="Arial" w:hAnsi="Arial" w:cs="Arial"/>
          <w:sz w:val="22"/>
        </w:rPr>
        <w:t>,</w:t>
      </w:r>
      <w:r w:rsidRPr="00292F1B">
        <w:rPr>
          <w:rFonts w:ascii="Arial" w:hAnsi="Arial" w:cs="Arial"/>
          <w:sz w:val="22"/>
        </w:rPr>
        <w:t xml:space="preserve"> pero </w:t>
      </w:r>
      <w:r w:rsidR="008775A9">
        <w:rPr>
          <w:rFonts w:ascii="Arial" w:hAnsi="Arial" w:cs="Arial"/>
          <w:sz w:val="22"/>
        </w:rPr>
        <w:t>no por ello</w:t>
      </w:r>
      <w:r w:rsidR="008775A9" w:rsidRPr="00292F1B">
        <w:rPr>
          <w:rFonts w:ascii="Arial" w:hAnsi="Arial" w:cs="Arial"/>
          <w:sz w:val="22"/>
        </w:rPr>
        <w:t xml:space="preserve"> </w:t>
      </w:r>
      <w:r w:rsidRPr="00292F1B">
        <w:rPr>
          <w:rFonts w:ascii="Arial" w:hAnsi="Arial" w:cs="Arial"/>
          <w:sz w:val="22"/>
        </w:rPr>
        <w:t xml:space="preserve">son entidades descentralizadas. </w:t>
      </w:r>
    </w:p>
    <w:p w14:paraId="2755EE68" w14:textId="6C8352DA" w:rsidR="00044E28" w:rsidRPr="00292F1B" w:rsidRDefault="00044E28" w:rsidP="00AF7894">
      <w:pPr>
        <w:spacing w:after="120" w:line="276" w:lineRule="auto"/>
        <w:ind w:firstLine="709"/>
        <w:jc w:val="both"/>
        <w:rPr>
          <w:rFonts w:ascii="Arial" w:hAnsi="Arial" w:cs="Arial"/>
          <w:sz w:val="22"/>
        </w:rPr>
      </w:pPr>
      <w:r w:rsidRPr="00292F1B">
        <w:rPr>
          <w:rFonts w:ascii="Arial" w:hAnsi="Arial" w:cs="Arial"/>
          <w:sz w:val="22"/>
        </w:rPr>
        <w:t>Conforme a lo anterior, las instituciones educativas pertenecen a la entidad territorial que haya efectuado su reconocimiento de carácter oficial. No obstante, carecen de personería jurídica</w:t>
      </w:r>
      <w:r w:rsidR="00490692">
        <w:rPr>
          <w:rFonts w:ascii="Arial" w:hAnsi="Arial" w:cs="Arial"/>
          <w:sz w:val="22"/>
        </w:rPr>
        <w:t>.</w:t>
      </w:r>
      <w:r w:rsidRPr="00292F1B">
        <w:rPr>
          <w:rFonts w:ascii="Arial" w:hAnsi="Arial" w:cs="Arial"/>
          <w:sz w:val="22"/>
        </w:rPr>
        <w:t xml:space="preserve"> </w:t>
      </w:r>
      <w:r w:rsidR="00490692">
        <w:rPr>
          <w:rFonts w:ascii="Arial" w:hAnsi="Arial" w:cs="Arial"/>
          <w:sz w:val="22"/>
        </w:rPr>
        <w:t>Sin embargo,</w:t>
      </w:r>
      <w:r w:rsidR="00490692" w:rsidRPr="00292F1B">
        <w:rPr>
          <w:rFonts w:ascii="Arial" w:hAnsi="Arial" w:cs="Arial"/>
          <w:sz w:val="22"/>
        </w:rPr>
        <w:t xml:space="preserve"> </w:t>
      </w:r>
      <w:r w:rsidRPr="00292F1B">
        <w:rPr>
          <w:rFonts w:ascii="Arial" w:hAnsi="Arial" w:cs="Arial"/>
          <w:sz w:val="22"/>
        </w:rPr>
        <w:t>tienen capacidad para contratar</w:t>
      </w:r>
      <w:r w:rsidR="00490692">
        <w:rPr>
          <w:rFonts w:ascii="Arial" w:hAnsi="Arial" w:cs="Arial"/>
          <w:sz w:val="22"/>
        </w:rPr>
        <w:t>.</w:t>
      </w:r>
      <w:r w:rsidRPr="00292F1B">
        <w:rPr>
          <w:rFonts w:ascii="Arial" w:hAnsi="Arial" w:cs="Arial"/>
          <w:sz w:val="22"/>
        </w:rPr>
        <w:t xml:space="preserve"> </w:t>
      </w:r>
      <w:r w:rsidR="00490692">
        <w:rPr>
          <w:rFonts w:ascii="Arial" w:hAnsi="Arial" w:cs="Arial"/>
          <w:sz w:val="22"/>
        </w:rPr>
        <w:t>Esta</w:t>
      </w:r>
      <w:r w:rsidR="00490692" w:rsidRPr="00292F1B">
        <w:rPr>
          <w:rFonts w:ascii="Arial" w:hAnsi="Arial" w:cs="Arial"/>
          <w:sz w:val="22"/>
        </w:rPr>
        <w:t xml:space="preserve"> </w:t>
      </w:r>
      <w:r w:rsidRPr="00292F1B">
        <w:rPr>
          <w:rFonts w:ascii="Arial" w:hAnsi="Arial" w:cs="Arial"/>
          <w:sz w:val="22"/>
        </w:rPr>
        <w:t>se concreta en la competencia que le</w:t>
      </w:r>
      <w:r w:rsidR="00490692">
        <w:rPr>
          <w:rFonts w:ascii="Arial" w:hAnsi="Arial" w:cs="Arial"/>
          <w:sz w:val="22"/>
        </w:rPr>
        <w:t>s</w:t>
      </w:r>
      <w:r w:rsidRPr="00292F1B">
        <w:rPr>
          <w:rFonts w:ascii="Arial" w:hAnsi="Arial" w:cs="Arial"/>
          <w:sz w:val="22"/>
        </w:rPr>
        <w:t xml:space="preserve"> otorgó el legislador en la Ley 715 de 2001 para administrar los fondos de servicios educativos, siendo cuentas contables que permiten a las instituciones </w:t>
      </w:r>
      <w:r w:rsidR="004026EC" w:rsidRPr="00292F1B">
        <w:rPr>
          <w:rFonts w:ascii="Arial" w:hAnsi="Arial" w:cs="Arial"/>
          <w:sz w:val="22"/>
        </w:rPr>
        <w:t>r</w:t>
      </w:r>
      <w:r w:rsidRPr="00292F1B">
        <w:rPr>
          <w:rFonts w:ascii="Arial" w:hAnsi="Arial" w:cs="Arial"/>
          <w:sz w:val="22"/>
        </w:rPr>
        <w:t>ealizar</w:t>
      </w:r>
      <w:r w:rsidR="004026EC" w:rsidRPr="00292F1B">
        <w:rPr>
          <w:rFonts w:ascii="Arial" w:hAnsi="Arial" w:cs="Arial"/>
          <w:sz w:val="22"/>
        </w:rPr>
        <w:t xml:space="preserve"> </w:t>
      </w:r>
      <w:r w:rsidR="004026EC" w:rsidRPr="00292F1B">
        <w:rPr>
          <w:rFonts w:ascii="Arial" w:hAnsi="Arial" w:cs="Arial"/>
          <w:sz w:val="22"/>
        </w:rPr>
        <w:lastRenderedPageBreak/>
        <w:t>la g</w:t>
      </w:r>
      <w:r w:rsidRPr="00292F1B">
        <w:rPr>
          <w:rFonts w:ascii="Arial" w:hAnsi="Arial" w:cs="Arial"/>
          <w:sz w:val="22"/>
        </w:rPr>
        <w:t>estión y ejecución presupuestal de los recursos que reciben los establecimientos educativos</w:t>
      </w:r>
      <w:r w:rsidRPr="00292F1B">
        <w:rPr>
          <w:rStyle w:val="Refdenotaalpie"/>
          <w:rFonts w:ascii="Arial" w:hAnsi="Arial" w:cs="Arial"/>
          <w:sz w:val="22"/>
        </w:rPr>
        <w:footnoteReference w:id="1"/>
      </w:r>
      <w:r w:rsidRPr="00292F1B">
        <w:rPr>
          <w:rFonts w:ascii="Arial" w:hAnsi="Arial" w:cs="Arial"/>
          <w:sz w:val="22"/>
        </w:rPr>
        <w:t xml:space="preserve"> </w:t>
      </w:r>
      <w:r w:rsidRPr="00292F1B">
        <w:rPr>
          <w:rStyle w:val="Refdenotaalpie"/>
          <w:rFonts w:ascii="Arial" w:hAnsi="Arial" w:cs="Arial"/>
          <w:sz w:val="22"/>
        </w:rPr>
        <w:footnoteReference w:id="2"/>
      </w:r>
      <w:r w:rsidRPr="00292F1B">
        <w:rPr>
          <w:rFonts w:ascii="Arial" w:hAnsi="Arial" w:cs="Arial"/>
          <w:sz w:val="22"/>
        </w:rPr>
        <w:t>.</w:t>
      </w:r>
    </w:p>
    <w:p w14:paraId="0F1E7919" w14:textId="3C43BE28" w:rsidR="00044E28" w:rsidRDefault="00044E28" w:rsidP="00AF7894">
      <w:pPr>
        <w:spacing w:line="276" w:lineRule="auto"/>
        <w:ind w:firstLine="709"/>
        <w:jc w:val="both"/>
        <w:rPr>
          <w:rFonts w:ascii="Arial" w:hAnsi="Arial" w:cs="Arial"/>
          <w:sz w:val="22"/>
        </w:rPr>
      </w:pPr>
      <w:r w:rsidRPr="00292F1B">
        <w:rPr>
          <w:rFonts w:ascii="Arial" w:hAnsi="Arial" w:cs="Arial"/>
          <w:sz w:val="22"/>
        </w:rPr>
        <w:t>Los fondos de servicios educativos tampoco cuentan con personería jurídica</w:t>
      </w:r>
      <w:r w:rsidR="00490692">
        <w:rPr>
          <w:rFonts w:ascii="Arial" w:hAnsi="Arial" w:cs="Arial"/>
          <w:sz w:val="22"/>
        </w:rPr>
        <w:t>,</w:t>
      </w:r>
      <w:r w:rsidRPr="00292F1B">
        <w:rPr>
          <w:rFonts w:ascii="Arial" w:hAnsi="Arial" w:cs="Arial"/>
          <w:sz w:val="22"/>
        </w:rPr>
        <w:t xml:space="preserve"> según lo previsto en el artículo 2.3.1.6.3.4 del Decreto 1075 de 2015, Decreto Único Reglamentario del Sector Educación:</w:t>
      </w:r>
    </w:p>
    <w:p w14:paraId="262AEC14" w14:textId="77777777" w:rsidR="00947D2A" w:rsidRPr="00292F1B" w:rsidRDefault="00947D2A" w:rsidP="00AF7894">
      <w:pPr>
        <w:spacing w:line="276" w:lineRule="auto"/>
        <w:ind w:firstLine="709"/>
        <w:jc w:val="both"/>
        <w:rPr>
          <w:rFonts w:ascii="Arial" w:hAnsi="Arial" w:cs="Arial"/>
          <w:sz w:val="22"/>
        </w:rPr>
      </w:pPr>
    </w:p>
    <w:p w14:paraId="1F185F05" w14:textId="77777777" w:rsidR="00044E28" w:rsidRPr="00292F1B" w:rsidRDefault="00044E28" w:rsidP="00AF7894">
      <w:pPr>
        <w:ind w:left="709" w:right="709"/>
        <w:jc w:val="both"/>
        <w:rPr>
          <w:rFonts w:ascii="Arial" w:hAnsi="Arial" w:cs="Arial"/>
          <w:sz w:val="21"/>
          <w:szCs w:val="21"/>
        </w:rPr>
      </w:pPr>
      <w:r w:rsidRPr="00292F1B">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292F1B">
        <w:rPr>
          <w:rStyle w:val="Refdenotaalpie"/>
          <w:rFonts w:ascii="Arial" w:hAnsi="Arial" w:cs="Arial"/>
          <w:sz w:val="21"/>
          <w:szCs w:val="21"/>
        </w:rPr>
        <w:footnoteReference w:id="3"/>
      </w:r>
      <w:r w:rsidRPr="00292F1B">
        <w:rPr>
          <w:rFonts w:ascii="Arial" w:hAnsi="Arial" w:cs="Arial"/>
          <w:sz w:val="21"/>
          <w:szCs w:val="21"/>
        </w:rPr>
        <w:t>.</w:t>
      </w:r>
    </w:p>
    <w:p w14:paraId="0501F95E" w14:textId="77777777" w:rsidR="00044E28" w:rsidRPr="00292F1B" w:rsidRDefault="00044E28" w:rsidP="00AF7894">
      <w:pPr>
        <w:spacing w:line="276" w:lineRule="auto"/>
        <w:jc w:val="both"/>
        <w:rPr>
          <w:rFonts w:ascii="Arial" w:hAnsi="Arial" w:cs="Arial"/>
          <w:sz w:val="22"/>
        </w:rPr>
      </w:pPr>
    </w:p>
    <w:p w14:paraId="5B3C1E96" w14:textId="77777777" w:rsidR="00011E77" w:rsidRPr="00292F1B" w:rsidRDefault="00044E28" w:rsidP="00AF7894">
      <w:pPr>
        <w:spacing w:after="120" w:line="276" w:lineRule="auto"/>
        <w:ind w:firstLine="709"/>
        <w:jc w:val="both"/>
        <w:rPr>
          <w:rFonts w:ascii="Arial" w:hAnsi="Arial" w:cs="Arial"/>
          <w:sz w:val="22"/>
        </w:rPr>
      </w:pPr>
      <w:r w:rsidRPr="00292F1B">
        <w:rPr>
          <w:rFonts w:ascii="Arial" w:hAnsi="Arial" w:cs="Arial"/>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292F1B">
        <w:rPr>
          <w:rFonts w:ascii="Arial" w:hAnsi="Arial" w:cs="Arial"/>
          <w:sz w:val="22"/>
        </w:rPr>
        <w:t>,</w:t>
      </w:r>
      <w:r w:rsidRPr="00292F1B">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292F1B">
        <w:rPr>
          <w:rStyle w:val="Refdenotaalpie"/>
          <w:rFonts w:ascii="Arial" w:hAnsi="Arial" w:cs="Arial"/>
          <w:sz w:val="22"/>
        </w:rPr>
        <w:footnoteReference w:id="4"/>
      </w:r>
      <w:r w:rsidRPr="00292F1B">
        <w:rPr>
          <w:rFonts w:ascii="Arial" w:hAnsi="Arial" w:cs="Arial"/>
          <w:sz w:val="22"/>
        </w:rPr>
        <w:t>.</w:t>
      </w:r>
      <w:r w:rsidR="00863C61" w:rsidRPr="00292F1B">
        <w:rPr>
          <w:rFonts w:ascii="Arial" w:hAnsi="Arial" w:cs="Arial"/>
          <w:sz w:val="22"/>
        </w:rPr>
        <w:t xml:space="preserve"> </w:t>
      </w:r>
    </w:p>
    <w:p w14:paraId="37C8479E" w14:textId="6C5EF3A5" w:rsidR="00044E28" w:rsidRPr="00292F1B" w:rsidRDefault="00CA5B28" w:rsidP="00AF7894">
      <w:pPr>
        <w:spacing w:after="120" w:line="276" w:lineRule="auto"/>
        <w:ind w:firstLine="709"/>
        <w:jc w:val="both"/>
        <w:rPr>
          <w:rFonts w:ascii="Arial" w:hAnsi="Arial" w:cs="Arial"/>
          <w:sz w:val="22"/>
        </w:rPr>
      </w:pPr>
      <w:r w:rsidRPr="00292F1B">
        <w:rPr>
          <w:rFonts w:ascii="Arial" w:hAnsi="Arial" w:cs="Arial"/>
          <w:sz w:val="22"/>
        </w:rPr>
        <w:lastRenderedPageBreak/>
        <w:t>Esto significa que</w:t>
      </w:r>
      <w:r w:rsidR="005E3121" w:rsidRPr="00292F1B">
        <w:rPr>
          <w:rFonts w:ascii="Arial" w:hAnsi="Arial" w:cs="Arial"/>
          <w:sz w:val="22"/>
        </w:rPr>
        <w:t xml:space="preserve"> la contratación que realicen l</w:t>
      </w:r>
      <w:r w:rsidR="00011E77" w:rsidRPr="00292F1B">
        <w:rPr>
          <w:rFonts w:ascii="Arial" w:hAnsi="Arial" w:cs="Arial"/>
          <w:sz w:val="22"/>
        </w:rPr>
        <w:t>as instituciones</w:t>
      </w:r>
      <w:r w:rsidR="005E3121" w:rsidRPr="00292F1B">
        <w:rPr>
          <w:rFonts w:ascii="Arial" w:hAnsi="Arial" w:cs="Arial"/>
          <w:sz w:val="22"/>
        </w:rPr>
        <w:t xml:space="preserve"> educativ</w:t>
      </w:r>
      <w:r w:rsidR="00011E77" w:rsidRPr="00292F1B">
        <w:rPr>
          <w:rFonts w:ascii="Arial" w:hAnsi="Arial" w:cs="Arial"/>
          <w:sz w:val="22"/>
        </w:rPr>
        <w:t>a</w:t>
      </w:r>
      <w:r w:rsidR="005E3121" w:rsidRPr="00292F1B">
        <w:rPr>
          <w:rFonts w:ascii="Arial" w:hAnsi="Arial" w:cs="Arial"/>
          <w:sz w:val="22"/>
        </w:rPr>
        <w:t>s, siempre que se ubique por debajo del referido umbral, no deberá ceñirse a las reglas del Estatuto General de Contratación de la Administración</w:t>
      </w:r>
      <w:r w:rsidR="00011E77" w:rsidRPr="00292F1B">
        <w:rPr>
          <w:rFonts w:ascii="Arial" w:hAnsi="Arial" w:cs="Arial"/>
          <w:sz w:val="22"/>
        </w:rPr>
        <w:t xml:space="preserve"> Pública</w:t>
      </w:r>
      <w:r w:rsidR="005E3121" w:rsidRPr="00292F1B">
        <w:rPr>
          <w:rFonts w:ascii="Arial" w:hAnsi="Arial" w:cs="Arial"/>
          <w:sz w:val="22"/>
        </w:rPr>
        <w:t>, sino a las determinadas por el reglamento expedido por el consejo directivo de la institución educativa conforme al artículo 13 de la Ley 715 de 2001</w:t>
      </w:r>
      <w:r w:rsidR="00011E77" w:rsidRPr="00292F1B">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w:t>
      </w:r>
      <w:r w:rsidR="008D6A30">
        <w:rPr>
          <w:rFonts w:ascii="Arial" w:hAnsi="Arial" w:cs="Arial"/>
          <w:sz w:val="22"/>
        </w:rPr>
        <w:t>n</w:t>
      </w:r>
      <w:r w:rsidR="00011E77" w:rsidRPr="00292F1B">
        <w:rPr>
          <w:rFonts w:ascii="Arial" w:hAnsi="Arial" w:cs="Arial"/>
          <w:sz w:val="22"/>
        </w:rPr>
        <w:t>do los trámites, garantías y constancias que deben cumplirse para que el rector o director celebre cualquier acto o contrato que cree, extinga o modifique obligaciones con cargo al respectivo fondo de servicios educativos.</w:t>
      </w:r>
      <w:r w:rsidR="00281435" w:rsidRPr="00292F1B">
        <w:rPr>
          <w:rFonts w:ascii="Arial" w:hAnsi="Arial" w:cs="Arial"/>
          <w:sz w:val="22"/>
        </w:rPr>
        <w:t xml:space="preserve"> </w:t>
      </w:r>
    </w:p>
    <w:p w14:paraId="726FD4AE" w14:textId="77777777" w:rsidR="00AB0A41" w:rsidRPr="003C791D" w:rsidRDefault="00AB0A41" w:rsidP="00AF7894">
      <w:pPr>
        <w:spacing w:after="120" w:line="276" w:lineRule="auto"/>
        <w:ind w:firstLine="709"/>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473EFE63" w14:textId="11CB5A70" w:rsidR="00AB0A41" w:rsidRPr="003C791D" w:rsidRDefault="00AB0A41" w:rsidP="00AF7894">
      <w:pPr>
        <w:spacing w:after="120" w:line="276" w:lineRule="auto"/>
        <w:ind w:firstLine="709"/>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w:t>
      </w:r>
      <w:r w:rsidR="00A74A49">
        <w:rPr>
          <w:rFonts w:ascii="Arial" w:eastAsia="Times New Roman" w:hAnsi="Arial" w:cs="Arial"/>
          <w:sz w:val="22"/>
          <w:szCs w:val="24"/>
          <w:lang w:val="es-CO" w:eastAsia="es-MX"/>
        </w:rPr>
        <w:t xml:space="preserve"> de la Administración Pública</w:t>
      </w:r>
      <w:r w:rsidRPr="003C791D">
        <w:rPr>
          <w:rFonts w:ascii="Arial" w:eastAsia="Times New Roman" w:hAnsi="Arial" w:cs="Arial"/>
          <w:sz w:val="22"/>
          <w:szCs w:val="24"/>
          <w:lang w:val="es-CO" w:eastAsia="es-MX"/>
        </w:rPr>
        <w:t>, procediendo la aplicación de las modalidades de selección definidas en la Ley 1150 de 2007, así como los requisitos y formalidades establecidos en el Decreto 1082 del 2015 y demás normas aplicables.</w:t>
      </w:r>
    </w:p>
    <w:p w14:paraId="65F7F2F0" w14:textId="1571E8A3" w:rsidR="00AB0A41" w:rsidRPr="003C791D" w:rsidRDefault="00AB0A41" w:rsidP="00AF7894">
      <w:pPr>
        <w:spacing w:after="120" w:line="276" w:lineRule="auto"/>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ab/>
        <w:t>En consecuencia, cuando no superen los veinte (20) salarios mínimos legales mensuales vigentes, el régimen sustantivo de los contratos celebrados con recursos del fondo de servicios educativos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w:t>
      </w:r>
      <w:r w:rsidR="009229E3">
        <w:rPr>
          <w:rFonts w:ascii="Arial" w:eastAsia="Times New Roman" w:hAnsi="Arial" w:cs="Arial"/>
          <w:sz w:val="22"/>
          <w:szCs w:val="24"/>
          <w:lang w:val="es-CO" w:eastAsia="es-MX"/>
        </w:rPr>
        <w:t>,</w:t>
      </w:r>
      <w:r w:rsidRPr="003C791D">
        <w:rPr>
          <w:rFonts w:ascii="Arial" w:eastAsia="Times New Roman" w:hAnsi="Arial" w:cs="Arial"/>
          <w:sz w:val="22"/>
          <w:szCs w:val="24"/>
          <w:lang w:val="es-CO" w:eastAsia="es-MX"/>
        </w:rPr>
        <w:t xml:space="preserve"> por tratarse de aspectos regulados en la ley. </w:t>
      </w:r>
    </w:p>
    <w:p w14:paraId="742FCA89" w14:textId="4DF67846" w:rsidR="00AB0A41" w:rsidRPr="003C791D" w:rsidRDefault="00AB0A41" w:rsidP="00AF7894">
      <w:pPr>
        <w:spacing w:line="276" w:lineRule="auto"/>
        <w:ind w:firstLine="708"/>
        <w:jc w:val="both"/>
        <w:rPr>
          <w:rFonts w:ascii="Arial" w:eastAsia="Times New Roman" w:hAnsi="Arial" w:cs="Arial"/>
          <w:sz w:val="22"/>
          <w:szCs w:val="24"/>
          <w:lang w:val="es-CO" w:eastAsia="es-MX"/>
        </w:rPr>
      </w:pPr>
      <w:r w:rsidRPr="003C791D">
        <w:rPr>
          <w:rFonts w:ascii="Arial" w:eastAsia="Times New Roman" w:hAnsi="Arial" w:cs="Arial"/>
          <w:sz w:val="22"/>
          <w:lang w:val="es-CO" w:eastAsia="es-MX"/>
        </w:rPr>
        <w:t xml:space="preserve">Naturalmente, los contratos mencionados en el párrafo precedente no se rigen exclusivamente por las normas civiles y comerciales, pues además del reglamento del </w:t>
      </w:r>
      <w:r w:rsidRPr="003C791D">
        <w:rPr>
          <w:rFonts w:ascii="Arial" w:eastAsia="Times New Roman" w:hAnsi="Arial" w:cs="Arial"/>
          <w:sz w:val="22"/>
          <w:lang w:val="es-CO" w:eastAsia="es-MX"/>
        </w:rPr>
        <w:lastRenderedPageBreak/>
        <w:t>consejo directivo, el artículo 13 de la Ley 1150 de 2007 dispone que la contratación exceptuada del Estatuto General también se rige por los principios de la función administrativa, los principios de la gestión fiscal</w:t>
      </w:r>
      <w:r w:rsidR="000C10B5">
        <w:rPr>
          <w:rFonts w:ascii="Arial" w:eastAsia="Times New Roman" w:hAnsi="Arial" w:cs="Arial"/>
          <w:sz w:val="22"/>
          <w:lang w:val="es-CO" w:eastAsia="es-MX"/>
        </w:rPr>
        <w:t xml:space="preserve">, </w:t>
      </w:r>
      <w:r w:rsidRPr="003C791D">
        <w:rPr>
          <w:rFonts w:ascii="Arial" w:eastAsia="Times New Roman" w:hAnsi="Arial" w:cs="Arial"/>
          <w:sz w:val="22"/>
          <w:lang w:val="es-CO" w:eastAsia="es-MX"/>
        </w:rPr>
        <w:t xml:space="preserve">el régimen de inhabilidades e incompatibilidades previsto para la </w:t>
      </w:r>
      <w:r w:rsidRPr="00A93C3F">
        <w:rPr>
          <w:rFonts w:ascii="Arial" w:eastAsia="Times New Roman" w:hAnsi="Arial" w:cs="Arial"/>
          <w:sz w:val="22"/>
          <w:lang w:val="es-CO" w:eastAsia="es-MX"/>
        </w:rPr>
        <w:t>contratación estatal</w:t>
      </w:r>
      <w:r w:rsidR="000C10B5">
        <w:rPr>
          <w:rFonts w:ascii="Arial" w:eastAsia="Times New Roman" w:hAnsi="Arial" w:cs="Arial"/>
          <w:sz w:val="22"/>
          <w:lang w:val="es-CO" w:eastAsia="es-MX"/>
        </w:rPr>
        <w:t xml:space="preserve"> y las reglas de uso del SECOP II</w:t>
      </w:r>
      <w:r w:rsidRPr="00A93C3F">
        <w:rPr>
          <w:rFonts w:ascii="Arial" w:eastAsia="Times New Roman" w:hAnsi="Arial" w:cs="Arial"/>
          <w:sz w:val="22"/>
          <w:vertAlign w:val="superscript"/>
          <w:lang w:val="es-CO" w:eastAsia="es-MX"/>
        </w:rPr>
        <w:footnoteReference w:id="5"/>
      </w:r>
      <w:r w:rsidRPr="00A93C3F">
        <w:rPr>
          <w:rFonts w:ascii="Arial" w:eastAsia="Times New Roman" w:hAnsi="Arial" w:cs="Arial"/>
          <w:sz w:val="22"/>
          <w:lang w:val="es-CO" w:eastAsia="es-MX"/>
        </w:rPr>
        <w:t>.</w:t>
      </w:r>
    </w:p>
    <w:p w14:paraId="02AB7B62" w14:textId="77777777" w:rsidR="00E80494" w:rsidRPr="00292F1B" w:rsidRDefault="00E80494" w:rsidP="00AF7894">
      <w:pPr>
        <w:ind w:firstLine="709"/>
        <w:jc w:val="both"/>
        <w:rPr>
          <w:rFonts w:ascii="Arial" w:hAnsi="Arial" w:cs="Arial"/>
          <w:sz w:val="22"/>
        </w:rPr>
      </w:pPr>
    </w:p>
    <w:p w14:paraId="07A90D10" w14:textId="03710514" w:rsidR="00A14A6F" w:rsidRPr="00292F1B" w:rsidRDefault="00A14A6F" w:rsidP="00AF7894">
      <w:pPr>
        <w:tabs>
          <w:tab w:val="left" w:pos="426"/>
        </w:tabs>
        <w:spacing w:line="276" w:lineRule="auto"/>
        <w:jc w:val="both"/>
        <w:rPr>
          <w:rFonts w:ascii="Arial" w:eastAsia="Calibri" w:hAnsi="Arial" w:cs="Arial"/>
          <w:b/>
          <w:sz w:val="22"/>
        </w:rPr>
      </w:pPr>
      <w:r w:rsidRPr="00292F1B">
        <w:rPr>
          <w:rFonts w:ascii="Arial" w:eastAsia="Calibri" w:hAnsi="Arial" w:cs="Arial"/>
          <w:b/>
          <w:sz w:val="22"/>
        </w:rPr>
        <w:t>2.</w:t>
      </w:r>
      <w:r w:rsidR="00ED7A8F" w:rsidRPr="00292F1B">
        <w:rPr>
          <w:rFonts w:ascii="Arial" w:eastAsia="Calibri" w:hAnsi="Arial" w:cs="Arial"/>
          <w:b/>
          <w:sz w:val="22"/>
        </w:rPr>
        <w:t>2</w:t>
      </w:r>
      <w:r w:rsidRPr="00292F1B">
        <w:rPr>
          <w:rFonts w:ascii="Arial" w:eastAsia="Calibri" w:hAnsi="Arial" w:cs="Arial"/>
          <w:b/>
          <w:sz w:val="22"/>
        </w:rPr>
        <w:t xml:space="preserve"> </w:t>
      </w:r>
      <w:r w:rsidR="0049524C">
        <w:rPr>
          <w:rFonts w:ascii="Arial" w:eastAsia="Calibri" w:hAnsi="Arial" w:cs="Arial"/>
          <w:b/>
          <w:sz w:val="22"/>
        </w:rPr>
        <w:t>Deber de publicación en el SECOP II para entidades estatales con régimen especial de contratación</w:t>
      </w:r>
    </w:p>
    <w:p w14:paraId="04BAEAEA" w14:textId="77777777" w:rsidR="00526B4A" w:rsidRPr="00292F1B" w:rsidRDefault="00526B4A" w:rsidP="00AF7894">
      <w:pPr>
        <w:tabs>
          <w:tab w:val="left" w:pos="426"/>
        </w:tabs>
        <w:spacing w:line="276" w:lineRule="auto"/>
        <w:jc w:val="both"/>
        <w:rPr>
          <w:rFonts w:ascii="Arial" w:eastAsia="Calibri" w:hAnsi="Arial" w:cs="Arial"/>
          <w:b/>
          <w:sz w:val="22"/>
        </w:rPr>
      </w:pPr>
    </w:p>
    <w:p w14:paraId="74D9B689" w14:textId="77777777" w:rsidR="00292F1B" w:rsidRPr="00292F1B" w:rsidRDefault="00292F1B" w:rsidP="00AF7894">
      <w:pPr>
        <w:spacing w:line="276" w:lineRule="auto"/>
        <w:jc w:val="both"/>
        <w:rPr>
          <w:rFonts w:ascii="Arial" w:hAnsi="Arial" w:cs="Arial"/>
          <w:sz w:val="22"/>
        </w:rPr>
      </w:pPr>
      <w:r w:rsidRPr="00292F1B">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292F1B">
        <w:rPr>
          <w:rFonts w:ascii="Arial" w:hAnsi="Arial" w:cs="Arial"/>
          <w:sz w:val="22"/>
        </w:rPr>
        <w:t xml:space="preserve">conocimiento tener la posibilidad de exigir que se surtan conforme a la ley: </w:t>
      </w:r>
    </w:p>
    <w:p w14:paraId="5F3C9F60" w14:textId="77777777" w:rsidR="00292F1B" w:rsidRPr="00292F1B" w:rsidRDefault="00292F1B" w:rsidP="00AF7894">
      <w:pPr>
        <w:ind w:firstLine="708"/>
        <w:jc w:val="both"/>
        <w:rPr>
          <w:rFonts w:ascii="Arial" w:hAnsi="Arial" w:cs="Arial"/>
          <w:sz w:val="22"/>
        </w:rPr>
      </w:pPr>
    </w:p>
    <w:p w14:paraId="33BB1E96" w14:textId="77777777" w:rsidR="00292F1B" w:rsidRPr="00292F1B" w:rsidRDefault="00292F1B" w:rsidP="00AF7894">
      <w:pPr>
        <w:ind w:left="709" w:right="709"/>
        <w:jc w:val="both"/>
        <w:rPr>
          <w:rFonts w:ascii="Arial" w:hAnsi="Arial" w:cs="Arial"/>
          <w:sz w:val="21"/>
          <w:szCs w:val="21"/>
        </w:rPr>
      </w:pPr>
      <w:r w:rsidRPr="00292F1B">
        <w:rPr>
          <w:rFonts w:ascii="Arial" w:hAnsi="Arial" w:cs="Arial"/>
          <w:sz w:val="21"/>
          <w:szCs w:val="21"/>
        </w:rPr>
        <w:t xml:space="preserve">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92F1B">
        <w:rPr>
          <w:rFonts w:ascii="Arial" w:hAnsi="Arial" w:cs="Arial"/>
          <w:sz w:val="21"/>
          <w:szCs w:val="21"/>
        </w:rPr>
        <w:t>autoridades públicas</w:t>
      </w:r>
      <w:proofErr w:type="gramEnd"/>
      <w:r w:rsidRPr="00292F1B">
        <w:rPr>
          <w:rFonts w:ascii="Arial" w:hAnsi="Arial" w:cs="Arial"/>
          <w:sz w:val="21"/>
          <w:szCs w:val="21"/>
        </w:rPr>
        <w:t xml:space="preserve"> y, a través de ese conocimiento, a exigir que ellas se surtan conforme a la ley</w:t>
      </w:r>
      <w:r w:rsidRPr="00292F1B">
        <w:rPr>
          <w:rStyle w:val="Refdenotaalpie"/>
          <w:rFonts w:ascii="Arial" w:hAnsi="Arial" w:cs="Arial"/>
          <w:sz w:val="21"/>
          <w:szCs w:val="21"/>
        </w:rPr>
        <w:footnoteReference w:id="6"/>
      </w:r>
      <w:r w:rsidRPr="00292F1B">
        <w:rPr>
          <w:rFonts w:ascii="Arial" w:hAnsi="Arial" w:cs="Arial"/>
          <w:sz w:val="21"/>
          <w:szCs w:val="21"/>
        </w:rPr>
        <w:t>.</w:t>
      </w:r>
    </w:p>
    <w:p w14:paraId="2C912BDF" w14:textId="77777777" w:rsidR="00292F1B" w:rsidRPr="00292F1B" w:rsidRDefault="00292F1B" w:rsidP="00AF7894">
      <w:pPr>
        <w:ind w:firstLine="708"/>
        <w:jc w:val="both"/>
        <w:rPr>
          <w:rFonts w:ascii="Arial" w:hAnsi="Arial" w:cs="Arial"/>
          <w:sz w:val="21"/>
          <w:szCs w:val="21"/>
        </w:rPr>
      </w:pPr>
    </w:p>
    <w:p w14:paraId="584CD982" w14:textId="77777777" w:rsidR="00292F1B" w:rsidRPr="00292F1B" w:rsidRDefault="00292F1B" w:rsidP="00AF7894">
      <w:pPr>
        <w:spacing w:after="120" w:line="276" w:lineRule="auto"/>
        <w:ind w:firstLine="708"/>
        <w:jc w:val="both"/>
        <w:rPr>
          <w:rFonts w:ascii="Arial" w:eastAsia="Calibri" w:hAnsi="Arial" w:cs="Arial"/>
          <w:sz w:val="22"/>
        </w:rPr>
      </w:pPr>
      <w:r w:rsidRPr="00292F1B">
        <w:rPr>
          <w:rFonts w:ascii="Arial" w:hAnsi="Arial" w:cs="Arial"/>
          <w:sz w:val="22"/>
        </w:rPr>
        <w:t>El principio de publicidad impone a las autoridades administrativas el deber de dar</w:t>
      </w:r>
      <w:r w:rsidRPr="00292F1B">
        <w:rPr>
          <w:rFonts w:ascii="Arial" w:eastAsia="Calibri" w:hAnsi="Arial" w:cs="Arial"/>
          <w:sz w:val="22"/>
        </w:rPr>
        <w:t xml:space="preserve"> a conocer sus actos, contratos y decisiones, para que se divulguen y eventualmente se controlen las actuaciones. </w:t>
      </w:r>
    </w:p>
    <w:p w14:paraId="174145B8" w14:textId="77777777" w:rsidR="00292F1B" w:rsidRPr="00292F1B" w:rsidRDefault="00292F1B" w:rsidP="00AF7894">
      <w:pPr>
        <w:spacing w:after="120" w:line="276" w:lineRule="auto"/>
        <w:ind w:firstLine="709"/>
        <w:jc w:val="both"/>
        <w:rPr>
          <w:rFonts w:ascii="Arial" w:eastAsia="Calibri" w:hAnsi="Arial" w:cs="Arial"/>
          <w:sz w:val="22"/>
        </w:rPr>
      </w:pPr>
      <w:r w:rsidRPr="00292F1B">
        <w:rPr>
          <w:rFonts w:ascii="Arial" w:eastAsia="Calibri" w:hAnsi="Arial" w:cs="Arial"/>
          <w:sz w:val="22"/>
        </w:rPr>
        <w:t xml:space="preserve">El literal c) del artículo 3 de la Ley 1150 de 2007 establece que el Sistema Electrónico para la Contratación Pública «contará con la información oficial de la  </w:t>
      </w:r>
      <w:r w:rsidRPr="00292F1B">
        <w:rPr>
          <w:rFonts w:ascii="Arial" w:eastAsia="Calibri" w:hAnsi="Arial" w:cs="Arial"/>
          <w:sz w:val="22"/>
        </w:rPr>
        <w:lastRenderedPageBreak/>
        <w:t>contratación realizada con dineros públicos, para lo cual establecerá los patrones a que haya lugar y se encargará de su difusión a través de canales electrónicos»</w:t>
      </w:r>
      <w:r w:rsidRPr="00292F1B">
        <w:rPr>
          <w:rFonts w:ascii="Arial" w:eastAsia="Calibri" w:hAnsi="Arial" w:cs="Arial"/>
          <w:sz w:val="22"/>
          <w:vertAlign w:val="superscript"/>
        </w:rPr>
        <w:footnoteReference w:id="7"/>
      </w:r>
      <w:r w:rsidRPr="00292F1B">
        <w:rPr>
          <w:rFonts w:ascii="Arial" w:eastAsia="Calibri" w:hAnsi="Arial" w:cs="Arial"/>
          <w:sz w:val="22"/>
        </w:rPr>
        <w:t xml:space="preserve">. </w:t>
      </w:r>
    </w:p>
    <w:p w14:paraId="3E1C5020" w14:textId="77777777" w:rsidR="00292F1B" w:rsidRPr="00292F1B" w:rsidRDefault="00292F1B" w:rsidP="00AF7894">
      <w:pPr>
        <w:spacing w:after="120" w:line="276" w:lineRule="auto"/>
        <w:ind w:firstLine="709"/>
        <w:jc w:val="both"/>
        <w:rPr>
          <w:rFonts w:ascii="Arial" w:eastAsia="Calibri" w:hAnsi="Arial" w:cs="Arial"/>
          <w:sz w:val="22"/>
        </w:rPr>
      </w:pPr>
      <w:r w:rsidRPr="00292F1B">
        <w:rPr>
          <w:rFonts w:ascii="Arial" w:hAnsi="Arial" w:cs="Arial"/>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92F1B">
        <w:rPr>
          <w:rFonts w:ascii="Arial" w:hAnsi="Arial" w:cs="Arial"/>
          <w:sz w:val="22"/>
          <w:vertAlign w:val="superscript"/>
        </w:rPr>
        <w:footnoteReference w:id="8"/>
      </w:r>
      <w:r w:rsidRPr="00292F1B">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F3AC2E0" w14:textId="77777777" w:rsidR="00292F1B" w:rsidRPr="00292F1B" w:rsidRDefault="00292F1B" w:rsidP="00AF7894">
      <w:pPr>
        <w:spacing w:after="120" w:line="276" w:lineRule="auto"/>
        <w:ind w:firstLine="709"/>
        <w:jc w:val="both"/>
        <w:rPr>
          <w:rFonts w:ascii="Arial" w:hAnsi="Arial" w:cs="Arial"/>
          <w:sz w:val="22"/>
        </w:rPr>
      </w:pPr>
      <w:r w:rsidRPr="00292F1B">
        <w:rPr>
          <w:rFonts w:ascii="Arial" w:hAnsi="Arial" w:cs="Arial"/>
          <w:sz w:val="22"/>
        </w:rPr>
        <w:t>La ley citada establece, en el literal e) del artículo 9, que los sujetos obligados, que son todas las entidades públicas</w:t>
      </w:r>
      <w:r w:rsidRPr="00292F1B">
        <w:rPr>
          <w:rFonts w:ascii="Arial" w:hAnsi="Arial" w:cs="Arial"/>
          <w:sz w:val="22"/>
          <w:vertAlign w:val="superscript"/>
        </w:rPr>
        <w:footnoteReference w:id="9"/>
      </w:r>
      <w:r w:rsidRPr="00292F1B">
        <w:rPr>
          <w:rFonts w:ascii="Arial" w:hAnsi="Arial" w:cs="Arial"/>
          <w:sz w:val="22"/>
        </w:rPr>
        <w:t>, deben publicar la información relativa a su contratación. Esta obligación fue desarrollada por el Decreto Único Reglamentario 1081 de 2015</w:t>
      </w:r>
      <w:r w:rsidRPr="00292F1B">
        <w:rPr>
          <w:rFonts w:ascii="Arial" w:hAnsi="Arial" w:cs="Arial"/>
          <w:sz w:val="22"/>
          <w:vertAlign w:val="superscript"/>
        </w:rPr>
        <w:footnoteReference w:id="10"/>
      </w:r>
      <w:r w:rsidRPr="00292F1B">
        <w:rPr>
          <w:rFonts w:ascii="Arial" w:hAnsi="Arial" w:cs="Arial"/>
          <w:sz w:val="22"/>
        </w:rPr>
        <w:t xml:space="preserve">, el </w:t>
      </w:r>
      <w:r w:rsidRPr="00292F1B">
        <w:rPr>
          <w:rFonts w:ascii="Arial" w:hAnsi="Arial" w:cs="Arial"/>
          <w:sz w:val="22"/>
        </w:rPr>
        <w:lastRenderedPageBreak/>
        <w:t>cual dispuso que la publicación de la información contractual de los sujetos obligados, que contratan con cargo a recursos públicos, debe hacerse en el Sistema Electrónico de Contratación Pública ─ SECOP.</w:t>
      </w:r>
    </w:p>
    <w:p w14:paraId="6C52F0C0" w14:textId="77777777" w:rsidR="00292F1B" w:rsidRPr="00292F1B" w:rsidRDefault="00292F1B" w:rsidP="00AF7894">
      <w:pPr>
        <w:spacing w:after="120" w:line="276" w:lineRule="auto"/>
        <w:ind w:firstLine="709"/>
        <w:jc w:val="both"/>
        <w:rPr>
          <w:rFonts w:ascii="Arial" w:hAnsi="Arial" w:cs="Arial"/>
          <w:sz w:val="22"/>
          <w:lang w:val="es-ES"/>
        </w:rPr>
      </w:pPr>
      <w:r w:rsidRPr="00292F1B">
        <w:rPr>
          <w:rFonts w:ascii="Arial" w:hAnsi="Arial" w:cs="Arial"/>
          <w:sz w:val="22"/>
        </w:rPr>
        <w:t xml:space="preserve">Asimismo, de </w:t>
      </w:r>
      <w:r w:rsidRPr="00292F1B">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4EAECBC" w14:textId="77777777" w:rsidR="00292F1B" w:rsidRPr="00292F1B" w:rsidRDefault="00292F1B" w:rsidP="00AF7894">
      <w:pPr>
        <w:spacing w:after="120" w:line="276" w:lineRule="auto"/>
        <w:ind w:firstLine="709"/>
        <w:jc w:val="both"/>
        <w:rPr>
          <w:rFonts w:ascii="Arial" w:eastAsia="Calibri" w:hAnsi="Arial" w:cs="Arial"/>
          <w:sz w:val="22"/>
        </w:rPr>
      </w:pPr>
      <w:r w:rsidRPr="00292F1B">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92F1B">
        <w:rPr>
          <w:rFonts w:ascii="Arial" w:eastAsia="Calibri" w:hAnsi="Arial" w:cs="Arial"/>
          <w:sz w:val="22"/>
          <w:vertAlign w:val="superscript"/>
        </w:rPr>
        <w:footnoteReference w:id="11"/>
      </w:r>
      <w:r w:rsidRPr="00292F1B">
        <w:rPr>
          <w:rFonts w:ascii="Arial" w:eastAsia="Calibri" w:hAnsi="Arial" w:cs="Arial"/>
          <w:sz w:val="22"/>
        </w:rPr>
        <w:t>.</w:t>
      </w:r>
    </w:p>
    <w:p w14:paraId="0388D339" w14:textId="77777777" w:rsidR="00292F1B" w:rsidRPr="00292F1B" w:rsidRDefault="00292F1B" w:rsidP="00AF7894">
      <w:pPr>
        <w:spacing w:after="120" w:line="276" w:lineRule="auto"/>
        <w:ind w:firstLine="709"/>
        <w:jc w:val="both"/>
        <w:rPr>
          <w:rFonts w:ascii="Arial" w:hAnsi="Arial" w:cs="Arial"/>
          <w:sz w:val="22"/>
          <w:lang w:val="es-ES"/>
        </w:rPr>
      </w:pPr>
      <w:r w:rsidRPr="00292F1B">
        <w:rPr>
          <w:rFonts w:ascii="Arial" w:hAnsi="Arial" w:cs="Arial"/>
          <w:sz w:val="22"/>
          <w:lang w:val="es-ES"/>
        </w:rPr>
        <w:t>Para el año 2013, la Agencia Nacional de Contratación Pública ─ Colombia Compra Eficiente, mediante la mediante la Circular Externa No 1 del</w:t>
      </w:r>
      <w:r w:rsidRPr="00292F1B">
        <w:rPr>
          <w:rFonts w:ascii="Arial" w:hAnsi="Arial" w:cs="Arial"/>
          <w:sz w:val="22"/>
        </w:rPr>
        <w:t xml:space="preserve"> </w:t>
      </w:r>
      <w:r w:rsidRPr="00292F1B">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292F1B">
        <w:rPr>
          <w:rFonts w:ascii="Arial" w:hAnsi="Arial" w:cs="Arial"/>
          <w:sz w:val="22"/>
          <w:vertAlign w:val="superscript"/>
          <w:lang w:val="es-ES"/>
        </w:rPr>
        <w:footnoteReference w:id="12"/>
      </w:r>
      <w:r w:rsidRPr="00292F1B">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31BECE7" w14:textId="77777777" w:rsidR="00292F1B" w:rsidRPr="00292F1B" w:rsidRDefault="00292F1B" w:rsidP="00AF7894">
      <w:pPr>
        <w:spacing w:line="276" w:lineRule="auto"/>
        <w:ind w:firstLine="709"/>
        <w:jc w:val="both"/>
        <w:rPr>
          <w:rFonts w:ascii="Arial" w:hAnsi="Arial" w:cs="Arial"/>
          <w:sz w:val="22"/>
          <w:lang w:val="es-ES"/>
        </w:rPr>
      </w:pPr>
      <w:r w:rsidRPr="00292F1B">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515C206D" w14:textId="77777777" w:rsidR="00292F1B" w:rsidRPr="00292F1B" w:rsidRDefault="00292F1B" w:rsidP="00AF7894">
      <w:pPr>
        <w:ind w:firstLine="709"/>
        <w:jc w:val="both"/>
        <w:rPr>
          <w:rFonts w:ascii="Arial" w:hAnsi="Arial" w:cs="Arial"/>
          <w:sz w:val="22"/>
          <w:lang w:val="es-ES"/>
        </w:rPr>
      </w:pPr>
    </w:p>
    <w:p w14:paraId="5654CC83" w14:textId="77777777" w:rsidR="00292F1B" w:rsidRPr="00292F1B" w:rsidRDefault="00292F1B" w:rsidP="00AF7894">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E36B268" w14:textId="77777777" w:rsidR="00292F1B" w:rsidRPr="00292F1B" w:rsidRDefault="00292F1B" w:rsidP="00AF7894">
      <w:pPr>
        <w:tabs>
          <w:tab w:val="left" w:pos="3885"/>
        </w:tabs>
        <w:ind w:left="709" w:right="709"/>
        <w:jc w:val="both"/>
        <w:rPr>
          <w:rFonts w:ascii="Arial" w:hAnsi="Arial" w:cs="Arial"/>
          <w:sz w:val="21"/>
          <w:szCs w:val="21"/>
          <w:lang w:val="es-ES"/>
        </w:rPr>
      </w:pPr>
    </w:p>
    <w:p w14:paraId="6366FA13" w14:textId="77777777" w:rsidR="00292F1B" w:rsidRPr="00292F1B" w:rsidRDefault="00292F1B" w:rsidP="00AF7894">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lastRenderedPageBreak/>
        <w:t>11.5. ─Y es que, si se quiere en términos más detallados el literal c) del artículo 3o de la Ley en comento responde claramente las siguientes inquietudes: ¿Quiénes están obligados? los que realizan contratación con dineros públicos; ¿</w:t>
      </w:r>
      <w:proofErr w:type="gramStart"/>
      <w:r w:rsidRPr="00292F1B">
        <w:rPr>
          <w:rFonts w:ascii="Arial" w:hAnsi="Arial" w:cs="Arial"/>
          <w:sz w:val="21"/>
          <w:szCs w:val="21"/>
          <w:lang w:val="es-ES"/>
        </w:rPr>
        <w:t>en razón de</w:t>
      </w:r>
      <w:proofErr w:type="gramEnd"/>
      <w:r w:rsidRPr="00292F1B">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196F0EC" w14:textId="77777777" w:rsidR="00947D2A" w:rsidRDefault="00947D2A" w:rsidP="00AF7894">
      <w:pPr>
        <w:tabs>
          <w:tab w:val="left" w:pos="3885"/>
        </w:tabs>
        <w:ind w:left="709" w:right="709"/>
        <w:jc w:val="both"/>
        <w:rPr>
          <w:rFonts w:ascii="Arial" w:hAnsi="Arial" w:cs="Arial"/>
          <w:sz w:val="21"/>
          <w:szCs w:val="21"/>
          <w:lang w:val="es-ES"/>
        </w:rPr>
      </w:pPr>
    </w:p>
    <w:p w14:paraId="009490E2" w14:textId="57AF77E2" w:rsidR="00292F1B" w:rsidRPr="00292F1B" w:rsidRDefault="00292F1B" w:rsidP="00AF7894">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w:t>
      </w:r>
    </w:p>
    <w:p w14:paraId="5E86E9BE" w14:textId="77777777" w:rsidR="00292F1B" w:rsidRPr="00292F1B" w:rsidRDefault="00292F1B" w:rsidP="00AF7894">
      <w:pPr>
        <w:tabs>
          <w:tab w:val="left" w:pos="3885"/>
        </w:tabs>
        <w:ind w:left="709" w:right="709"/>
        <w:jc w:val="both"/>
        <w:rPr>
          <w:rFonts w:ascii="Arial" w:hAnsi="Arial" w:cs="Arial"/>
          <w:sz w:val="21"/>
          <w:szCs w:val="21"/>
          <w:lang w:val="es-ES"/>
        </w:rPr>
      </w:pPr>
    </w:p>
    <w:p w14:paraId="78C20E57" w14:textId="77777777" w:rsidR="00292F1B" w:rsidRPr="00292F1B" w:rsidRDefault="00292F1B" w:rsidP="00AF7894">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292F1B">
        <w:rPr>
          <w:rFonts w:ascii="Arial" w:hAnsi="Arial" w:cs="Arial"/>
          <w:sz w:val="21"/>
          <w:szCs w:val="21"/>
          <w:vertAlign w:val="superscript"/>
        </w:rPr>
        <w:footnoteReference w:id="13"/>
      </w:r>
      <w:r w:rsidRPr="00292F1B">
        <w:rPr>
          <w:rFonts w:ascii="Arial" w:hAnsi="Arial" w:cs="Arial"/>
          <w:sz w:val="21"/>
          <w:szCs w:val="21"/>
          <w:lang w:val="es-ES"/>
        </w:rPr>
        <w:t>.</w:t>
      </w:r>
    </w:p>
    <w:p w14:paraId="47AD0FA0" w14:textId="77777777" w:rsidR="00292F1B" w:rsidRPr="00292F1B" w:rsidRDefault="00292F1B" w:rsidP="00AF7894">
      <w:pPr>
        <w:tabs>
          <w:tab w:val="left" w:pos="3885"/>
        </w:tabs>
        <w:spacing w:line="276" w:lineRule="auto"/>
        <w:ind w:left="709" w:right="709"/>
        <w:jc w:val="both"/>
        <w:rPr>
          <w:rFonts w:ascii="Arial" w:hAnsi="Arial" w:cs="Arial"/>
          <w:sz w:val="21"/>
          <w:szCs w:val="21"/>
          <w:lang w:val="es-ES"/>
        </w:rPr>
      </w:pPr>
    </w:p>
    <w:p w14:paraId="553D35E1" w14:textId="77777777" w:rsidR="00292F1B" w:rsidRPr="00292F1B" w:rsidRDefault="00292F1B" w:rsidP="00AF7894">
      <w:pPr>
        <w:spacing w:line="276" w:lineRule="auto"/>
        <w:ind w:firstLine="708"/>
        <w:jc w:val="both"/>
        <w:rPr>
          <w:rFonts w:ascii="Arial" w:hAnsi="Arial" w:cs="Arial"/>
          <w:sz w:val="22"/>
          <w:lang w:val="es-ES"/>
        </w:rPr>
      </w:pPr>
      <w:r w:rsidRPr="00292F1B">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2848E0E4" w14:textId="77777777" w:rsidR="00292F1B" w:rsidRPr="00292F1B" w:rsidRDefault="00292F1B" w:rsidP="00AF7894">
      <w:pPr>
        <w:ind w:firstLine="708"/>
        <w:jc w:val="both"/>
        <w:rPr>
          <w:rFonts w:ascii="Arial" w:hAnsi="Arial" w:cs="Arial"/>
          <w:sz w:val="21"/>
          <w:szCs w:val="21"/>
          <w:lang w:val="es-ES"/>
        </w:rPr>
      </w:pPr>
    </w:p>
    <w:p w14:paraId="0EE850BD" w14:textId="77777777" w:rsidR="00292F1B" w:rsidRPr="00292F1B" w:rsidRDefault="00292F1B" w:rsidP="00AF7894">
      <w:pPr>
        <w:ind w:leftChars="295" w:left="708" w:right="709"/>
        <w:jc w:val="both"/>
        <w:rPr>
          <w:rFonts w:ascii="Arial" w:hAnsi="Arial" w:cs="Arial"/>
          <w:sz w:val="21"/>
          <w:szCs w:val="21"/>
          <w:lang w:val="es-ES"/>
        </w:rPr>
      </w:pPr>
      <w:r w:rsidRPr="00292F1B">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16E2833" w14:textId="77777777" w:rsidR="00292F1B" w:rsidRPr="00292F1B" w:rsidRDefault="00292F1B" w:rsidP="00AF7894">
      <w:pPr>
        <w:ind w:leftChars="295" w:left="708" w:right="709"/>
        <w:jc w:val="both"/>
        <w:rPr>
          <w:rFonts w:ascii="Arial" w:hAnsi="Arial" w:cs="Arial"/>
          <w:sz w:val="21"/>
          <w:szCs w:val="21"/>
          <w:lang w:val="es-ES"/>
        </w:rPr>
      </w:pPr>
    </w:p>
    <w:p w14:paraId="7A08CF37" w14:textId="0BD5B6F5" w:rsidR="00292F1B" w:rsidRPr="00292F1B" w:rsidRDefault="00292F1B" w:rsidP="00AF7894">
      <w:pPr>
        <w:spacing w:after="120" w:line="276" w:lineRule="auto"/>
        <w:ind w:firstLine="709"/>
        <w:jc w:val="both"/>
        <w:rPr>
          <w:rFonts w:ascii="Arial" w:hAnsi="Arial" w:cs="Arial"/>
          <w:sz w:val="22"/>
          <w:lang w:val="es-ES"/>
        </w:rPr>
      </w:pPr>
      <w:r w:rsidRPr="00292F1B">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1A0BF166" w14:textId="7DC2B9CB" w:rsidR="00380EFC" w:rsidRDefault="00292F1B" w:rsidP="00AF7894">
      <w:pPr>
        <w:spacing w:after="120" w:line="276" w:lineRule="auto"/>
        <w:ind w:firstLine="709"/>
        <w:jc w:val="both"/>
        <w:rPr>
          <w:rFonts w:ascii="Arial" w:hAnsi="Arial" w:cs="Arial"/>
          <w:sz w:val="22"/>
          <w:lang w:val="es-ES"/>
        </w:rPr>
      </w:pPr>
      <w:r w:rsidRPr="00292F1B">
        <w:rPr>
          <w:rFonts w:ascii="Arial" w:hAnsi="Arial" w:cs="Arial"/>
          <w:sz w:val="22"/>
          <w:lang w:val="es-ES"/>
        </w:rPr>
        <w:lastRenderedPageBreak/>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7E065E80" w14:textId="6FC5AB3E" w:rsidR="00380EFC" w:rsidRPr="00620470" w:rsidRDefault="00380EFC" w:rsidP="00AF7894">
      <w:pPr>
        <w:spacing w:after="120" w:line="276" w:lineRule="auto"/>
        <w:ind w:firstLine="709"/>
        <w:jc w:val="both"/>
        <w:rPr>
          <w:rFonts w:ascii="Arial" w:eastAsia="Calibri" w:hAnsi="Arial" w:cs="Arial"/>
          <w:color w:val="000000"/>
          <w:sz w:val="22"/>
          <w:lang w:val="es-ES_tradnl"/>
        </w:rPr>
      </w:pPr>
      <w:r w:rsidRPr="00620470">
        <w:rPr>
          <w:rFonts w:ascii="Arial" w:hAnsi="Arial" w:cs="Arial"/>
          <w:color w:val="000000" w:themeColor="text1"/>
          <w:sz w:val="22"/>
          <w:lang w:val="es-ES_tradnl"/>
        </w:rPr>
        <w:t xml:space="preserve">De otro lado, </w:t>
      </w:r>
      <w:r w:rsidRPr="00620470">
        <w:rPr>
          <w:rFonts w:ascii="Arial" w:eastAsia="Calibri" w:hAnsi="Arial" w:cs="Arial"/>
          <w:color w:val="000000"/>
          <w:sz w:val="22"/>
          <w:lang w:val="es-ES_tradnl"/>
        </w:rPr>
        <w:t>el 18 de enero del año en curso se promulgó la Ley 2195 de 2022. Según lo establece su artículo 1, esta Ley «</w:t>
      </w:r>
      <w:r w:rsidRPr="00620470">
        <w:rPr>
          <w:rFonts w:ascii="Arial" w:hAnsi="Arial" w:cs="Arial"/>
          <w:sz w:val="22"/>
          <w:lang w:val="es-ES_tradnl"/>
        </w:rPr>
        <w:t xml:space="preserve">[…] </w:t>
      </w:r>
      <w:r w:rsidRPr="00620470">
        <w:rPr>
          <w:rFonts w:ascii="Arial" w:eastAsia="Calibri" w:hAnsi="Arial" w:cs="Arial"/>
          <w:color w:val="000000"/>
          <w:sz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620470">
        <w:rPr>
          <w:rFonts w:ascii="Arial" w:eastAsia="Calibri" w:hAnsi="Arial" w:cs="Arial"/>
          <w:color w:val="000000"/>
          <w:sz w:val="22"/>
          <w:lang w:val="es-ES_tradnl"/>
        </w:rPr>
        <w:t>ii</w:t>
      </w:r>
      <w:proofErr w:type="spellEnd"/>
      <w:r w:rsidRPr="00620470">
        <w:rPr>
          <w:rFonts w:ascii="Arial" w:eastAsia="Calibri" w:hAnsi="Arial" w:cs="Arial"/>
          <w:color w:val="000000"/>
          <w:sz w:val="22"/>
          <w:lang w:val="es-ES_tradnl"/>
        </w:rPr>
        <w:t xml:space="preserve">) la inhabilidad por incumplimiento reiterado en los contratos de alimentación escolar –artículo 51–, </w:t>
      </w:r>
      <w:proofErr w:type="spellStart"/>
      <w:r w:rsidRPr="00620470">
        <w:rPr>
          <w:rFonts w:ascii="Arial" w:eastAsia="Calibri" w:hAnsi="Arial" w:cs="Arial"/>
          <w:color w:val="000000"/>
          <w:sz w:val="22"/>
          <w:lang w:val="es-ES_tradnl"/>
        </w:rPr>
        <w:t>iii</w:t>
      </w:r>
      <w:proofErr w:type="spellEnd"/>
      <w:r w:rsidRPr="00620470">
        <w:rPr>
          <w:rFonts w:ascii="Arial" w:eastAsia="Calibri" w:hAnsi="Arial" w:cs="Arial"/>
          <w:color w:val="000000"/>
          <w:sz w:val="22"/>
          <w:lang w:val="es-ES_tradnl"/>
        </w:rPr>
        <w:t xml:space="preserve">) las cláusulas excepcionales en los contratos celebrados con el objeto señalado anteriormente –artículo 52–, </w:t>
      </w:r>
      <w:proofErr w:type="spellStart"/>
      <w:r w:rsidRPr="00620470">
        <w:rPr>
          <w:rFonts w:ascii="Arial" w:eastAsia="Calibri" w:hAnsi="Arial" w:cs="Arial"/>
          <w:color w:val="000000"/>
          <w:sz w:val="22"/>
          <w:lang w:val="es-ES_tradnl"/>
        </w:rPr>
        <w:t>iv</w:t>
      </w:r>
      <w:proofErr w:type="spellEnd"/>
      <w:r w:rsidRPr="00620470">
        <w:rPr>
          <w:rFonts w:ascii="Arial" w:eastAsia="Calibri" w:hAnsi="Arial" w:cs="Arial"/>
          <w:color w:val="000000"/>
          <w:sz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620470">
        <w:rPr>
          <w:rFonts w:ascii="Arial" w:eastAsia="Calibri" w:hAnsi="Arial" w:cs="Arial"/>
          <w:i/>
          <w:iCs/>
          <w:color w:val="000000"/>
          <w:sz w:val="22"/>
          <w:lang w:val="es-ES_tradnl"/>
        </w:rPr>
        <w:t>no</w:t>
      </w:r>
      <w:r w:rsidRPr="00620470">
        <w:rPr>
          <w:rFonts w:ascii="Arial" w:eastAsia="Calibri" w:hAnsi="Arial" w:cs="Arial"/>
          <w:color w:val="000000"/>
          <w:sz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620470">
        <w:rPr>
          <w:rFonts w:ascii="Arial" w:eastAsia="Calibri" w:hAnsi="Arial" w:cs="Arial"/>
          <w:color w:val="000000"/>
          <w:sz w:val="22"/>
          <w:lang w:val="es-ES_tradnl"/>
        </w:rPr>
        <w:t>vii</w:t>
      </w:r>
      <w:proofErr w:type="spellEnd"/>
      <w:r w:rsidRPr="00620470">
        <w:rPr>
          <w:rFonts w:ascii="Arial" w:eastAsia="Calibri" w:hAnsi="Arial" w:cs="Arial"/>
          <w:color w:val="000000"/>
          <w:sz w:val="22"/>
          <w:lang w:val="es-ES_tradnl"/>
        </w:rPr>
        <w:t>) la aplicación de los documentos tipo a entidades con régimen especial</w:t>
      </w:r>
      <w:r w:rsidR="00C652DD">
        <w:rPr>
          <w:rFonts w:ascii="Arial" w:eastAsia="Calibri" w:hAnsi="Arial" w:cs="Arial"/>
          <w:color w:val="000000"/>
          <w:sz w:val="22"/>
          <w:lang w:val="es-ES_tradnl"/>
        </w:rPr>
        <w:t>, bajo determinados supuestos</w:t>
      </w:r>
      <w:r w:rsidRPr="00620470">
        <w:rPr>
          <w:rFonts w:ascii="Arial" w:eastAsia="Calibri" w:hAnsi="Arial" w:cs="Arial"/>
          <w:color w:val="000000"/>
          <w:sz w:val="22"/>
          <w:lang w:val="es-ES_tradnl"/>
        </w:rPr>
        <w:t xml:space="preserve"> –artículo 56–, </w:t>
      </w:r>
      <w:proofErr w:type="spellStart"/>
      <w:r w:rsidRPr="00620470">
        <w:rPr>
          <w:rFonts w:ascii="Arial" w:eastAsia="Calibri" w:hAnsi="Arial" w:cs="Arial"/>
          <w:color w:val="000000"/>
          <w:sz w:val="22"/>
          <w:lang w:val="es-ES_tradnl"/>
        </w:rPr>
        <w:t>viii</w:t>
      </w:r>
      <w:proofErr w:type="spellEnd"/>
      <w:r w:rsidRPr="00620470">
        <w:rPr>
          <w:rFonts w:ascii="Arial" w:eastAsia="Calibri" w:hAnsi="Arial" w:cs="Arial"/>
          <w:color w:val="000000"/>
          <w:sz w:val="22"/>
          <w:lang w:val="es-ES_tradnl"/>
        </w:rPr>
        <w:t xml:space="preserve">) la obligación, radicada en los revisores fiscales, de denunciar los actos de corrupción –artículo 57–, y </w:t>
      </w:r>
      <w:proofErr w:type="spellStart"/>
      <w:r w:rsidRPr="00620470">
        <w:rPr>
          <w:rFonts w:ascii="Arial" w:eastAsia="Calibri" w:hAnsi="Arial" w:cs="Arial"/>
          <w:color w:val="000000"/>
          <w:sz w:val="22"/>
          <w:lang w:val="es-ES_tradnl"/>
        </w:rPr>
        <w:t>ix</w:t>
      </w:r>
      <w:proofErr w:type="spellEnd"/>
      <w:r w:rsidRPr="00620470">
        <w:rPr>
          <w:rFonts w:ascii="Arial" w:eastAsia="Calibri" w:hAnsi="Arial" w:cs="Arial"/>
          <w:color w:val="000000"/>
          <w:sz w:val="22"/>
          <w:lang w:val="es-ES_tradnl"/>
        </w:rPr>
        <w:t>) la reducción de puntaje por incumplimiento de contratos –artículo 58–.</w:t>
      </w:r>
    </w:p>
    <w:p w14:paraId="55643FDF" w14:textId="77777777" w:rsidR="00380EFC" w:rsidRPr="00620470" w:rsidRDefault="00380EFC" w:rsidP="00AF7894">
      <w:pPr>
        <w:spacing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Según se indicó, el artículo 53 de la Ley 2195 de 2022 hace obligatorio el uso del SECOP II para las entidades exceptuadas del Estatuto General de Contratación de la Administración Pública. En efecto, esta norma dispone:</w:t>
      </w:r>
    </w:p>
    <w:p w14:paraId="01F33318" w14:textId="77777777" w:rsidR="00380EFC" w:rsidRPr="00620470" w:rsidRDefault="00380EFC" w:rsidP="00AF7894">
      <w:pPr>
        <w:ind w:left="709" w:right="709"/>
        <w:jc w:val="both"/>
        <w:rPr>
          <w:rFonts w:ascii="Arial" w:eastAsia="Calibri" w:hAnsi="Arial" w:cs="Arial"/>
          <w:color w:val="000000"/>
          <w:sz w:val="21"/>
          <w:szCs w:val="21"/>
          <w:lang w:val="es-ES_tradnl"/>
        </w:rPr>
      </w:pPr>
    </w:p>
    <w:p w14:paraId="69FBD477" w14:textId="77777777" w:rsidR="00380EFC" w:rsidRPr="00620470" w:rsidRDefault="00380EFC" w:rsidP="00AF7894">
      <w:pPr>
        <w:ind w:left="709" w:right="709"/>
        <w:jc w:val="both"/>
        <w:rPr>
          <w:rFonts w:ascii="Arial" w:eastAsia="Calibri" w:hAnsi="Arial" w:cs="Arial"/>
          <w:sz w:val="21"/>
          <w:szCs w:val="21"/>
        </w:rPr>
      </w:pPr>
      <w:r w:rsidRPr="00620470">
        <w:rPr>
          <w:rFonts w:ascii="Arial" w:eastAsia="Calibri" w:hAnsi="Arial" w:cs="Arial"/>
          <w:sz w:val="21"/>
          <w:szCs w:val="21"/>
        </w:rPr>
        <w:t>Adiciónese los siguientes incisos al artículo 13 de la Ley 1150 de 2007, el cual quedará así:</w:t>
      </w:r>
    </w:p>
    <w:p w14:paraId="7D12D4A3" w14:textId="77777777" w:rsidR="00380EFC" w:rsidRPr="00620470" w:rsidRDefault="00380EFC" w:rsidP="00AF7894">
      <w:pPr>
        <w:ind w:left="709" w:right="709"/>
        <w:jc w:val="both"/>
        <w:rPr>
          <w:rFonts w:ascii="Arial" w:eastAsia="Calibri" w:hAnsi="Arial" w:cs="Arial"/>
          <w:sz w:val="21"/>
          <w:szCs w:val="21"/>
        </w:rPr>
      </w:pPr>
    </w:p>
    <w:p w14:paraId="56746846" w14:textId="77777777" w:rsidR="00380EFC" w:rsidRPr="00620470" w:rsidRDefault="00380EFC" w:rsidP="00AF7894">
      <w:pPr>
        <w:ind w:left="709" w:right="709"/>
        <w:jc w:val="both"/>
        <w:rPr>
          <w:rFonts w:ascii="Arial" w:eastAsia="Calibri" w:hAnsi="Arial" w:cs="Arial"/>
          <w:sz w:val="21"/>
          <w:szCs w:val="21"/>
        </w:rPr>
      </w:pPr>
      <w:r w:rsidRPr="00620470">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AD13765" w14:textId="77777777" w:rsidR="00380EFC" w:rsidRPr="00620470" w:rsidRDefault="00380EFC" w:rsidP="00AF7894">
      <w:pPr>
        <w:ind w:left="709" w:right="709"/>
        <w:jc w:val="both"/>
        <w:rPr>
          <w:rFonts w:ascii="Arial" w:eastAsia="Calibri" w:hAnsi="Arial" w:cs="Arial"/>
          <w:sz w:val="21"/>
          <w:szCs w:val="21"/>
        </w:rPr>
      </w:pPr>
    </w:p>
    <w:p w14:paraId="57470218" w14:textId="77777777" w:rsidR="00380EFC" w:rsidRPr="00620470" w:rsidRDefault="00380EFC" w:rsidP="00AF7894">
      <w:pPr>
        <w:ind w:left="709" w:right="709"/>
        <w:jc w:val="both"/>
        <w:rPr>
          <w:rFonts w:ascii="Arial" w:eastAsia="Calibri" w:hAnsi="Arial" w:cs="Arial"/>
          <w:sz w:val="21"/>
          <w:szCs w:val="21"/>
        </w:rPr>
      </w:pPr>
      <w:r w:rsidRPr="00620470">
        <w:rPr>
          <w:rFonts w:ascii="Arial" w:eastAsia="Calibri" w:hAnsi="Arial" w:cs="Arial"/>
          <w:sz w:val="21"/>
          <w:szCs w:val="21"/>
        </w:rPr>
        <w:lastRenderedPageBreak/>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620470">
        <w:rPr>
          <w:rFonts w:ascii="Arial" w:eastAsia="Calibri" w:hAnsi="Arial" w:cs="Arial"/>
          <w:sz w:val="21"/>
          <w:szCs w:val="21"/>
        </w:rPr>
        <w:t>postcontractual</w:t>
      </w:r>
      <w:proofErr w:type="spellEnd"/>
      <w:r w:rsidRPr="00620470">
        <w:rPr>
          <w:rFonts w:ascii="Arial" w:eastAsia="Calibri" w:hAnsi="Arial" w:cs="Arial"/>
          <w:sz w:val="21"/>
          <w:szCs w:val="21"/>
        </w:rPr>
        <w:t>.</w:t>
      </w:r>
    </w:p>
    <w:p w14:paraId="5A283BD8" w14:textId="77777777" w:rsidR="00380EFC" w:rsidRPr="00620470" w:rsidRDefault="00380EFC" w:rsidP="00AF7894">
      <w:pPr>
        <w:ind w:left="709" w:right="709"/>
        <w:jc w:val="both"/>
        <w:rPr>
          <w:rFonts w:ascii="Arial" w:eastAsia="Calibri" w:hAnsi="Arial" w:cs="Arial"/>
          <w:sz w:val="21"/>
          <w:szCs w:val="21"/>
        </w:rPr>
      </w:pPr>
    </w:p>
    <w:p w14:paraId="548CA13D" w14:textId="77777777" w:rsidR="00380EFC" w:rsidRPr="00620470" w:rsidRDefault="00380EFC" w:rsidP="00AF7894">
      <w:pPr>
        <w:ind w:left="709" w:right="709"/>
        <w:jc w:val="both"/>
        <w:rPr>
          <w:rFonts w:ascii="Arial" w:eastAsia="Calibri" w:hAnsi="Arial" w:cs="Arial"/>
          <w:sz w:val="21"/>
          <w:szCs w:val="21"/>
        </w:rPr>
      </w:pPr>
      <w:r w:rsidRPr="00620470">
        <w:rPr>
          <w:rFonts w:ascii="Arial" w:eastAsia="Calibri" w:hAnsi="Arial" w:cs="Arial"/>
          <w:sz w:val="21"/>
          <w:szCs w:val="21"/>
        </w:rPr>
        <w:t xml:space="preserve">A partir de la </w:t>
      </w:r>
      <w:proofErr w:type="gramStart"/>
      <w:r w:rsidRPr="00620470">
        <w:rPr>
          <w:rFonts w:ascii="Arial" w:eastAsia="Calibri" w:hAnsi="Arial" w:cs="Arial"/>
          <w:sz w:val="21"/>
          <w:szCs w:val="21"/>
        </w:rPr>
        <w:t>entrada en vigencia</w:t>
      </w:r>
      <w:proofErr w:type="gramEnd"/>
      <w:r w:rsidRPr="00620470">
        <w:rPr>
          <w:rFonts w:ascii="Arial" w:eastAsia="Calibri" w:hAnsi="Arial" w:cs="Arial"/>
          <w:sz w:val="21"/>
          <w:szCs w:val="21"/>
        </w:rPr>
        <w:t xml:space="preserve"> de la presente Ley, se establecerá un periodo de transición de seis (6) meses, para que las entidades den cumplimiento efectivo a lo aquí establecido.</w:t>
      </w:r>
    </w:p>
    <w:p w14:paraId="32127DD9" w14:textId="77777777" w:rsidR="00380EFC" w:rsidRPr="00620470" w:rsidRDefault="00380EFC" w:rsidP="00AF7894">
      <w:pPr>
        <w:spacing w:line="276" w:lineRule="auto"/>
        <w:ind w:firstLine="709"/>
        <w:jc w:val="both"/>
        <w:rPr>
          <w:rFonts w:ascii="Arial" w:eastAsia="Calibri" w:hAnsi="Arial" w:cs="Arial"/>
          <w:color w:val="000000"/>
          <w:sz w:val="22"/>
          <w:lang w:val="es-ES_tradnl"/>
        </w:rPr>
      </w:pPr>
    </w:p>
    <w:p w14:paraId="0A72BBC3" w14:textId="77777777" w:rsidR="00380EFC" w:rsidRPr="00620470" w:rsidRDefault="00380EFC" w:rsidP="00AF7894">
      <w:pPr>
        <w:spacing w:after="120"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E99D7B7" w14:textId="77777777" w:rsidR="00380EFC" w:rsidRPr="00620470" w:rsidRDefault="00380EFC" w:rsidP="00AF7894">
      <w:pPr>
        <w:spacing w:after="120"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6FD6CBE5" w14:textId="53EDFAF4" w:rsidR="008B65C5" w:rsidRDefault="00380EFC" w:rsidP="00AF7894">
      <w:pPr>
        <w:spacing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 xml:space="preserve">Finalmente, el referido artículo dispone, en el inciso final, que «A partir de la </w:t>
      </w:r>
      <w:proofErr w:type="gramStart"/>
      <w:r w:rsidRPr="00620470">
        <w:rPr>
          <w:rFonts w:ascii="Arial" w:eastAsia="Calibri" w:hAnsi="Arial" w:cs="Arial"/>
          <w:color w:val="000000"/>
          <w:sz w:val="22"/>
          <w:lang w:val="es-ES_tradnl"/>
        </w:rPr>
        <w:t>entrada en vigencia</w:t>
      </w:r>
      <w:proofErr w:type="gramEnd"/>
      <w:r w:rsidRPr="00620470">
        <w:rPr>
          <w:rFonts w:ascii="Arial" w:eastAsia="Calibri" w:hAnsi="Arial" w:cs="Arial"/>
          <w:color w:val="000000"/>
          <w:sz w:val="22"/>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w:t>
      </w:r>
      <w:r w:rsidR="00A805AD">
        <w:rPr>
          <w:rFonts w:ascii="Arial" w:eastAsia="Calibri" w:hAnsi="Arial" w:cs="Arial"/>
          <w:color w:val="000000"/>
          <w:sz w:val="22"/>
          <w:lang w:val="es-ES_tradnl"/>
        </w:rPr>
        <w:t>fue</w:t>
      </w:r>
      <w:r w:rsidR="00A805AD" w:rsidRPr="00620470">
        <w:rPr>
          <w:rFonts w:ascii="Arial" w:eastAsia="Calibri" w:hAnsi="Arial" w:cs="Arial"/>
          <w:color w:val="000000"/>
          <w:sz w:val="22"/>
          <w:lang w:val="es-ES_tradnl"/>
        </w:rPr>
        <w:t xml:space="preserve"> </w:t>
      </w:r>
      <w:r w:rsidRPr="00620470">
        <w:rPr>
          <w:rFonts w:ascii="Arial" w:eastAsia="Calibri" w:hAnsi="Arial" w:cs="Arial"/>
          <w:color w:val="000000"/>
          <w:sz w:val="22"/>
          <w:lang w:val="es-ES_tradnl"/>
        </w:rPr>
        <w:t xml:space="preserve">del 18 de enero al 18 de julio de 2022. La Agencia Nacional de Contratación Pública – Colombia Compra Eficiente </w:t>
      </w:r>
      <w:r w:rsidR="007048CD">
        <w:rPr>
          <w:rFonts w:ascii="Arial" w:eastAsia="Calibri" w:hAnsi="Arial" w:cs="Arial"/>
          <w:color w:val="000000"/>
          <w:sz w:val="22"/>
          <w:lang w:val="es-ES_tradnl"/>
        </w:rPr>
        <w:t>tiene competencia para</w:t>
      </w:r>
      <w:r w:rsidRPr="00620470">
        <w:rPr>
          <w:rFonts w:ascii="Arial" w:eastAsia="Calibri" w:hAnsi="Arial" w:cs="Arial"/>
          <w:color w:val="000000"/>
          <w:sz w:val="22"/>
          <w:lang w:val="es-ES_tradnl"/>
        </w:rPr>
        <w:t xml:space="preserve"> impartir directrices sobre este tema a través de sus instrumentos doctrinarios y reglamentarios</w:t>
      </w:r>
      <w:r w:rsidRPr="00620470">
        <w:rPr>
          <w:rStyle w:val="Refdenotaalpie"/>
          <w:rFonts w:ascii="Arial" w:eastAsia="Calibri" w:hAnsi="Arial" w:cs="Arial"/>
          <w:color w:val="000000"/>
          <w:sz w:val="22"/>
          <w:lang w:val="es-ES_tradnl"/>
        </w:rPr>
        <w:footnoteReference w:id="14"/>
      </w:r>
      <w:r w:rsidRPr="00620470">
        <w:rPr>
          <w:rFonts w:ascii="Arial" w:eastAsia="Calibri" w:hAnsi="Arial" w:cs="Arial"/>
          <w:color w:val="000000"/>
          <w:sz w:val="22"/>
          <w:lang w:val="es-ES_tradnl"/>
        </w:rPr>
        <w:t>.</w:t>
      </w:r>
    </w:p>
    <w:p w14:paraId="15FEB725" w14:textId="5D7FD0E9" w:rsidR="008B65C5" w:rsidRDefault="008B65C5" w:rsidP="00524630">
      <w:pPr>
        <w:pStyle w:val="Textoindependiente"/>
        <w:spacing w:before="120" w:after="120" w:line="276" w:lineRule="auto"/>
        <w:ind w:right="51" w:firstLine="703"/>
        <w:jc w:val="both"/>
      </w:pPr>
      <w:r>
        <w:rPr>
          <w:rFonts w:eastAsia="Calibri"/>
          <w:color w:val="000000"/>
          <w:lang w:val="es-ES_tradnl"/>
        </w:rPr>
        <w:t xml:space="preserve">Por tanto, </w:t>
      </w:r>
      <w:r>
        <w:t>l</w:t>
      </w:r>
      <w:r w:rsidRPr="00292F1B">
        <w:t xml:space="preserve">as instituciones educativas </w:t>
      </w:r>
      <w:r w:rsidR="004E621A">
        <w:t>oficiales</w:t>
      </w:r>
      <w:r w:rsidRPr="00292F1B">
        <w:t xml:space="preserve"> deben publicar en el Sistema </w:t>
      </w:r>
      <w:r w:rsidRPr="00292F1B">
        <w:lastRenderedPageBreak/>
        <w:t>Electrónico de Contratación Pública –SECOP</w:t>
      </w:r>
      <w:r>
        <w:t>–</w:t>
      </w:r>
      <w:r w:rsidRPr="00292F1B">
        <w:t xml:space="preserve"> </w:t>
      </w:r>
      <w:r w:rsidR="00221533">
        <w:t>los documentos</w:t>
      </w:r>
      <w:r w:rsidRPr="00292F1B">
        <w:t xml:space="preserve"> </w:t>
      </w:r>
      <w:r w:rsidR="00221533">
        <w:t>relacionados con</w:t>
      </w:r>
      <w:r w:rsidRPr="00292F1B">
        <w:t xml:space="preserve"> </w:t>
      </w:r>
      <w:r w:rsidR="00221533">
        <w:t xml:space="preserve">su </w:t>
      </w:r>
      <w:r w:rsidRPr="00292F1B">
        <w:t xml:space="preserve">actividad </w:t>
      </w:r>
      <w:r w:rsidR="008053F8">
        <w:t>contractual</w:t>
      </w:r>
      <w:r w:rsidRPr="00292F1B">
        <w:t>, independientemente del régimen de cont</w:t>
      </w:r>
      <w:r>
        <w:t xml:space="preserve">ratación </w:t>
      </w:r>
      <w:r w:rsidR="008053F8">
        <w:t>aplicable</w:t>
      </w:r>
      <w:r>
        <w:t xml:space="preserve">. En tal sentido, cuando sus actuaciones se enmarquen dentro </w:t>
      </w:r>
      <w:r w:rsidRPr="00C66040">
        <w:t>un régimen especial de contratación</w:t>
      </w:r>
      <w:r>
        <w:t xml:space="preserve"> </w:t>
      </w:r>
      <w:r w:rsidRPr="00292F1B">
        <w:t>con ocasión de su actividad contractual</w:t>
      </w:r>
      <w:r>
        <w:t xml:space="preserve"> </w:t>
      </w:r>
      <w:r w:rsidRPr="000D636B">
        <w:t xml:space="preserve">con recursos del fondo de servicios educativos </w:t>
      </w:r>
      <w:r w:rsidRPr="00292F1B">
        <w:t xml:space="preserve">cuya cuantía </w:t>
      </w:r>
      <w:r>
        <w:t>sea</w:t>
      </w:r>
      <w:r w:rsidRPr="00292F1B">
        <w:t xml:space="preserve"> inferior a los veint</w:t>
      </w:r>
      <w:r>
        <w:t xml:space="preserve">e 20 SMLMV, se encuentran obligadas a publicar </w:t>
      </w:r>
      <w:r w:rsidR="00D32620">
        <w:t xml:space="preserve">la documentación </w:t>
      </w:r>
      <w:r>
        <w:t xml:space="preserve">en el SECOP II </w:t>
      </w:r>
      <w:r>
        <w:rPr>
          <w:rFonts w:eastAsia="Calibri"/>
          <w:color w:val="000000"/>
          <w:lang w:val="es-ES_tradnl"/>
        </w:rPr>
        <w:t xml:space="preserve">a partir del 18 de julio 2022, </w:t>
      </w:r>
      <w:r>
        <w:t xml:space="preserve">de conformidad con </w:t>
      </w:r>
      <w:r w:rsidRPr="00620470">
        <w:rPr>
          <w:rFonts w:eastAsia="Calibri"/>
          <w:color w:val="000000"/>
          <w:lang w:val="es-ES_tradnl"/>
        </w:rPr>
        <w:t>el artículo 53 de la Ley 2195 de 2022</w:t>
      </w:r>
      <w:r>
        <w:rPr>
          <w:rFonts w:eastAsia="Calibri"/>
          <w:color w:val="000000"/>
          <w:lang w:val="es-ES_tradnl"/>
        </w:rPr>
        <w:t xml:space="preserve">, sujetándose para tales efectos, </w:t>
      </w:r>
      <w:r w:rsidRPr="00292F1B">
        <w:t xml:space="preserve">a las condiciones previstas </w:t>
      </w:r>
      <w:r>
        <w:t>para cada proceso contractual</w:t>
      </w:r>
      <w:r w:rsidRPr="00292F1B">
        <w:t xml:space="preserve"> en el reglamento de contratación</w:t>
      </w:r>
      <w:r>
        <w:t>.</w:t>
      </w:r>
    </w:p>
    <w:p w14:paraId="11DFCB9A" w14:textId="7A6CC23C" w:rsidR="004211CC" w:rsidRDefault="004211CC" w:rsidP="00524630">
      <w:pPr>
        <w:tabs>
          <w:tab w:val="left" w:pos="284"/>
          <w:tab w:val="left" w:pos="426"/>
        </w:tabs>
        <w:spacing w:line="276" w:lineRule="auto"/>
        <w:jc w:val="both"/>
        <w:rPr>
          <w:rFonts w:ascii="Arial" w:hAnsi="Arial" w:cs="Arial"/>
          <w:b/>
          <w:sz w:val="22"/>
          <w:lang w:val="es-ES_tradnl"/>
        </w:rPr>
      </w:pPr>
    </w:p>
    <w:p w14:paraId="6B53B8C0" w14:textId="77777777" w:rsidR="003B0A0C" w:rsidRPr="00292F1B" w:rsidRDefault="003B0A0C" w:rsidP="00AF7894">
      <w:pPr>
        <w:spacing w:line="276" w:lineRule="atLeast"/>
        <w:jc w:val="both"/>
        <w:rPr>
          <w:lang w:val="es-CO" w:eastAsia="es-ES_tradnl"/>
        </w:rPr>
      </w:pPr>
      <w:r w:rsidRPr="00292F1B">
        <w:rPr>
          <w:rFonts w:ascii="Arial" w:hAnsi="Arial" w:cs="Arial"/>
          <w:b/>
          <w:bCs/>
          <w:sz w:val="22"/>
          <w:lang w:val="es-ES" w:eastAsia="es-ES_tradnl"/>
        </w:rPr>
        <w:t>3. Respuesta</w:t>
      </w:r>
    </w:p>
    <w:p w14:paraId="05E398C9" w14:textId="77777777" w:rsidR="003B0A0C" w:rsidRPr="00292F1B" w:rsidRDefault="003B0A0C" w:rsidP="00AF7894">
      <w:pPr>
        <w:spacing w:line="276" w:lineRule="atLeast"/>
        <w:jc w:val="both"/>
        <w:rPr>
          <w:lang w:eastAsia="es-ES_tradnl"/>
        </w:rPr>
      </w:pPr>
      <w:r w:rsidRPr="00292F1B">
        <w:rPr>
          <w:rFonts w:ascii="Arial" w:hAnsi="Arial" w:cs="Arial"/>
          <w:sz w:val="22"/>
          <w:lang w:val="es-ES" w:eastAsia="es-ES_tradnl"/>
        </w:rPr>
        <w:t> </w:t>
      </w:r>
    </w:p>
    <w:p w14:paraId="3469F8ED" w14:textId="77777777" w:rsidR="006252BF" w:rsidRDefault="006252BF" w:rsidP="00AF7894">
      <w:pPr>
        <w:ind w:left="709" w:right="709"/>
        <w:jc w:val="both"/>
        <w:rPr>
          <w:rFonts w:ascii="Arial" w:hAnsi="Arial" w:cs="Arial"/>
          <w:sz w:val="21"/>
          <w:szCs w:val="21"/>
        </w:rPr>
      </w:pPr>
      <w:r>
        <w:rPr>
          <w:rFonts w:ascii="Arial" w:hAnsi="Arial" w:cs="Arial"/>
          <w:sz w:val="21"/>
          <w:szCs w:val="21"/>
        </w:rPr>
        <w:t>«</w:t>
      </w:r>
      <w:r w:rsidRPr="00CB2F57">
        <w:rPr>
          <w:rFonts w:ascii="Arial" w:hAnsi="Arial" w:cs="Arial"/>
          <w:sz w:val="21"/>
          <w:szCs w:val="21"/>
        </w:rPr>
        <w:t xml:space="preserve">Solicito concepto </w:t>
      </w:r>
      <w:proofErr w:type="spellStart"/>
      <w:r w:rsidRPr="00CB2F57">
        <w:rPr>
          <w:rFonts w:ascii="Arial" w:hAnsi="Arial" w:cs="Arial"/>
          <w:sz w:val="21"/>
          <w:szCs w:val="21"/>
        </w:rPr>
        <w:t>juridico</w:t>
      </w:r>
      <w:proofErr w:type="spellEnd"/>
      <w:r w:rsidRPr="00CB2F57">
        <w:rPr>
          <w:rFonts w:ascii="Arial" w:hAnsi="Arial" w:cs="Arial"/>
          <w:sz w:val="21"/>
          <w:szCs w:val="21"/>
        </w:rPr>
        <w:t xml:space="preserve"> referente a la </w:t>
      </w:r>
      <w:proofErr w:type="spellStart"/>
      <w:r w:rsidRPr="00CB2F57">
        <w:rPr>
          <w:rFonts w:ascii="Arial" w:hAnsi="Arial" w:cs="Arial"/>
          <w:sz w:val="21"/>
          <w:szCs w:val="21"/>
        </w:rPr>
        <w:t>publicacion</w:t>
      </w:r>
      <w:proofErr w:type="spellEnd"/>
      <w:r w:rsidRPr="00CB2F57">
        <w:rPr>
          <w:rFonts w:ascii="Arial" w:hAnsi="Arial" w:cs="Arial"/>
          <w:sz w:val="21"/>
          <w:szCs w:val="21"/>
        </w:rPr>
        <w:t xml:space="preserve"> de los procesos de </w:t>
      </w:r>
      <w:proofErr w:type="spellStart"/>
      <w:r w:rsidRPr="00CB2F57">
        <w:rPr>
          <w:rFonts w:ascii="Arial" w:hAnsi="Arial" w:cs="Arial"/>
          <w:sz w:val="21"/>
          <w:szCs w:val="21"/>
        </w:rPr>
        <w:t>contratacion</w:t>
      </w:r>
      <w:proofErr w:type="spellEnd"/>
      <w:r w:rsidRPr="00CB2F57">
        <w:rPr>
          <w:rFonts w:ascii="Arial" w:hAnsi="Arial" w:cs="Arial"/>
          <w:sz w:val="21"/>
          <w:szCs w:val="21"/>
        </w:rPr>
        <w:t xml:space="preserve"> de las Instituciones Educativas oficiales (Fondos de servicios Educativos) bajo la Ley 2195 del 18 de enero de 2022, establece la obligación para que las entidades estatales con régimen especial de contratación realicen la publicidad de su actividad contractual en la plataforma transaccional SECOP II, Teniendo en cuenta la capacitación impartida por la Agencia </w:t>
      </w:r>
      <w:proofErr w:type="spellStart"/>
      <w:r w:rsidRPr="00CB2F57">
        <w:rPr>
          <w:rFonts w:ascii="Arial" w:hAnsi="Arial" w:cs="Arial"/>
          <w:sz w:val="21"/>
          <w:szCs w:val="21"/>
        </w:rPr>
        <w:t>colombia</w:t>
      </w:r>
      <w:proofErr w:type="spellEnd"/>
      <w:r w:rsidRPr="00CB2F57">
        <w:rPr>
          <w:rFonts w:ascii="Arial" w:hAnsi="Arial" w:cs="Arial"/>
          <w:sz w:val="21"/>
          <w:szCs w:val="21"/>
        </w:rPr>
        <w:t xml:space="preserve"> compra eficiente, se indicó que los procesos superiores a 20 SMLMV que deben adelantarse por ley 80 se </w:t>
      </w:r>
      <w:proofErr w:type="spellStart"/>
      <w:r w:rsidRPr="00CB2F57">
        <w:rPr>
          <w:rFonts w:ascii="Arial" w:hAnsi="Arial" w:cs="Arial"/>
          <w:sz w:val="21"/>
          <w:szCs w:val="21"/>
        </w:rPr>
        <w:t>segiran</w:t>
      </w:r>
      <w:proofErr w:type="spellEnd"/>
      <w:r w:rsidRPr="00CB2F57">
        <w:rPr>
          <w:rFonts w:ascii="Arial" w:hAnsi="Arial" w:cs="Arial"/>
          <w:sz w:val="21"/>
          <w:szCs w:val="21"/>
        </w:rPr>
        <w:t xml:space="preserve"> publicando en el SECOP1, y los procesos inferiores a 20 SMLMV en el SECOP 2. ¿</w:t>
      </w:r>
      <w:proofErr w:type="spellStart"/>
      <w:r w:rsidRPr="00CB2F57">
        <w:rPr>
          <w:rFonts w:ascii="Arial" w:hAnsi="Arial" w:cs="Arial"/>
          <w:sz w:val="21"/>
          <w:szCs w:val="21"/>
        </w:rPr>
        <w:t>Cual</w:t>
      </w:r>
      <w:proofErr w:type="spellEnd"/>
      <w:r w:rsidRPr="00CB2F57">
        <w:rPr>
          <w:rFonts w:ascii="Arial" w:hAnsi="Arial" w:cs="Arial"/>
          <w:sz w:val="21"/>
          <w:szCs w:val="21"/>
        </w:rPr>
        <w:t xml:space="preserve"> es el fundamento </w:t>
      </w:r>
      <w:proofErr w:type="spellStart"/>
      <w:r w:rsidRPr="00CB2F57">
        <w:rPr>
          <w:rFonts w:ascii="Arial" w:hAnsi="Arial" w:cs="Arial"/>
          <w:sz w:val="21"/>
          <w:szCs w:val="21"/>
        </w:rPr>
        <w:t>juridico</w:t>
      </w:r>
      <w:proofErr w:type="spellEnd"/>
      <w:r w:rsidRPr="00CB2F57">
        <w:rPr>
          <w:rFonts w:ascii="Arial" w:hAnsi="Arial" w:cs="Arial"/>
          <w:sz w:val="21"/>
          <w:szCs w:val="21"/>
        </w:rPr>
        <w:t xml:space="preserve"> para esta diferenciación? ¿La ley 2195 de 2022 no establece esta condición, se </w:t>
      </w:r>
      <w:proofErr w:type="spellStart"/>
      <w:r w:rsidRPr="00CB2F57">
        <w:rPr>
          <w:rFonts w:ascii="Arial" w:hAnsi="Arial" w:cs="Arial"/>
          <w:sz w:val="21"/>
          <w:szCs w:val="21"/>
        </w:rPr>
        <w:t>podria</w:t>
      </w:r>
      <w:proofErr w:type="spellEnd"/>
      <w:r w:rsidRPr="00CB2F57">
        <w:rPr>
          <w:rFonts w:ascii="Arial" w:hAnsi="Arial" w:cs="Arial"/>
          <w:sz w:val="21"/>
          <w:szCs w:val="21"/>
        </w:rPr>
        <w:t xml:space="preserve"> indicar que esta </w:t>
      </w:r>
      <w:proofErr w:type="spellStart"/>
      <w:r w:rsidRPr="00CB2F57">
        <w:rPr>
          <w:rFonts w:ascii="Arial" w:hAnsi="Arial" w:cs="Arial"/>
          <w:sz w:val="21"/>
          <w:szCs w:val="21"/>
        </w:rPr>
        <w:t>instruccion</w:t>
      </w:r>
      <w:proofErr w:type="spellEnd"/>
      <w:r w:rsidRPr="00CB2F57">
        <w:rPr>
          <w:rFonts w:ascii="Arial" w:hAnsi="Arial" w:cs="Arial"/>
          <w:sz w:val="21"/>
          <w:szCs w:val="21"/>
        </w:rPr>
        <w:t xml:space="preserve"> es impartida por la Agencia CCE como administrador de la platafo</w:t>
      </w:r>
      <w:r>
        <w:rPr>
          <w:rFonts w:ascii="Arial" w:hAnsi="Arial" w:cs="Arial"/>
          <w:sz w:val="21"/>
          <w:szCs w:val="21"/>
        </w:rPr>
        <w:t>rma?»</w:t>
      </w:r>
    </w:p>
    <w:p w14:paraId="2F26F253" w14:textId="77777777" w:rsidR="006252BF" w:rsidRDefault="006252BF" w:rsidP="00BC07D1">
      <w:pPr>
        <w:ind w:left="709" w:right="709"/>
        <w:jc w:val="both"/>
        <w:rPr>
          <w:rFonts w:ascii="Arial" w:hAnsi="Arial" w:cs="Arial"/>
          <w:sz w:val="21"/>
          <w:szCs w:val="21"/>
        </w:rPr>
      </w:pPr>
    </w:p>
    <w:p w14:paraId="7AFF14A4" w14:textId="77777777" w:rsidR="00A36BCE" w:rsidRDefault="00A36BCE" w:rsidP="00BC07D1">
      <w:pPr>
        <w:pStyle w:val="Textoindependiente"/>
        <w:spacing w:after="120" w:line="276" w:lineRule="auto"/>
        <w:ind w:right="51" w:firstLine="705"/>
        <w:jc w:val="both"/>
      </w:pPr>
      <w:r>
        <w:rPr>
          <w:rFonts w:eastAsia="Calibri"/>
          <w:color w:val="000000"/>
          <w:lang w:val="es-ES_tradnl"/>
        </w:rPr>
        <w:t xml:space="preserve">Por tanto, </w:t>
      </w:r>
      <w:r>
        <w:t>l</w:t>
      </w:r>
      <w:r w:rsidRPr="00292F1B">
        <w:t xml:space="preserve">as instituciones educativas </w:t>
      </w:r>
      <w:r>
        <w:t>oficiales</w:t>
      </w:r>
      <w:r w:rsidRPr="00292F1B">
        <w:t xml:space="preserve"> deben publicar en el Sistema Electrónico de Contratación Pública –SECOP</w:t>
      </w:r>
      <w:r>
        <w:t>–</w:t>
      </w:r>
      <w:r w:rsidRPr="00292F1B">
        <w:t xml:space="preserve"> </w:t>
      </w:r>
      <w:r>
        <w:t>los documentos</w:t>
      </w:r>
      <w:r w:rsidRPr="00292F1B">
        <w:t xml:space="preserve"> </w:t>
      </w:r>
      <w:r>
        <w:t>relacionados con</w:t>
      </w:r>
      <w:r w:rsidRPr="00292F1B">
        <w:t xml:space="preserve"> </w:t>
      </w:r>
      <w:r>
        <w:t xml:space="preserve">su </w:t>
      </w:r>
      <w:r w:rsidRPr="00292F1B">
        <w:t xml:space="preserve">actividad </w:t>
      </w:r>
      <w:r>
        <w:t>contractual</w:t>
      </w:r>
      <w:r w:rsidRPr="00292F1B">
        <w:t>, independientemente del régimen de cont</w:t>
      </w:r>
      <w:r>
        <w:t xml:space="preserve">ratación aplicable. En tal sentido, cuando sus actuaciones se enmarquen dentro </w:t>
      </w:r>
      <w:r w:rsidRPr="00C66040">
        <w:t>un régimen especial de contratación</w:t>
      </w:r>
      <w:r>
        <w:t xml:space="preserve"> </w:t>
      </w:r>
      <w:r w:rsidRPr="00292F1B">
        <w:t>con ocasión de su actividad contractual</w:t>
      </w:r>
      <w:r>
        <w:t xml:space="preserve"> </w:t>
      </w:r>
      <w:r w:rsidRPr="000D636B">
        <w:t xml:space="preserve">con recursos del fondo de servicios educativos </w:t>
      </w:r>
      <w:r w:rsidRPr="00292F1B">
        <w:t xml:space="preserve">cuya cuantía </w:t>
      </w:r>
      <w:r>
        <w:t>sea</w:t>
      </w:r>
      <w:r w:rsidRPr="00292F1B">
        <w:t xml:space="preserve"> inferior a los veint</w:t>
      </w:r>
      <w:r>
        <w:t xml:space="preserve">e 20 SMLMV, se encuentran obligadas a publicar la documentación en el SECOP II </w:t>
      </w:r>
      <w:r>
        <w:rPr>
          <w:rFonts w:eastAsia="Calibri"/>
          <w:color w:val="000000"/>
          <w:lang w:val="es-ES_tradnl"/>
        </w:rPr>
        <w:t xml:space="preserve">a partir del 18 de julio 2022, </w:t>
      </w:r>
      <w:r>
        <w:t xml:space="preserve">de conformidad con </w:t>
      </w:r>
      <w:r w:rsidRPr="00620470">
        <w:rPr>
          <w:rFonts w:eastAsia="Calibri"/>
          <w:color w:val="000000"/>
          <w:lang w:val="es-ES_tradnl"/>
        </w:rPr>
        <w:t>el artículo 53 de la Ley 2195 de 2022</w:t>
      </w:r>
      <w:r>
        <w:rPr>
          <w:rFonts w:eastAsia="Calibri"/>
          <w:color w:val="000000"/>
          <w:lang w:val="es-ES_tradnl"/>
        </w:rPr>
        <w:t xml:space="preserve">, sujetándose para tales efectos, </w:t>
      </w:r>
      <w:r w:rsidRPr="00292F1B">
        <w:t xml:space="preserve">a las condiciones previstas </w:t>
      </w:r>
      <w:r>
        <w:t>para cada proceso contractual</w:t>
      </w:r>
      <w:r w:rsidRPr="00292F1B">
        <w:t xml:space="preserve"> en el reglamento de contratación</w:t>
      </w:r>
      <w:r>
        <w:t>.</w:t>
      </w:r>
    </w:p>
    <w:p w14:paraId="03F6ECFB" w14:textId="1B669373" w:rsidR="00892179" w:rsidRDefault="00A53CB4" w:rsidP="00AF7894">
      <w:pPr>
        <w:pStyle w:val="Textoindependiente"/>
        <w:spacing w:after="120" w:line="276" w:lineRule="auto"/>
        <w:ind w:right="49" w:firstLine="705"/>
        <w:jc w:val="both"/>
        <w:rPr>
          <w:rFonts w:eastAsia="Calibri"/>
          <w:color w:val="000000"/>
          <w:lang w:val="es-ES_tradnl"/>
        </w:rPr>
      </w:pPr>
      <w:r>
        <w:rPr>
          <w:rFonts w:eastAsia="Calibri"/>
          <w:color w:val="000000"/>
          <w:lang w:val="es-ES_tradnl"/>
        </w:rPr>
        <w:t>Cabe mencionar que</w:t>
      </w:r>
      <w:r>
        <w:t>, a</w:t>
      </w:r>
      <w:proofErr w:type="spellStart"/>
      <w:r w:rsidR="00892179" w:rsidRPr="00620470">
        <w:rPr>
          <w:rFonts w:eastAsia="Calibri"/>
          <w:color w:val="000000"/>
          <w:lang w:val="es-ES_tradnl"/>
        </w:rPr>
        <w:t>unque</w:t>
      </w:r>
      <w:proofErr w:type="spellEnd"/>
      <w:r w:rsidR="00892179" w:rsidRPr="00620470">
        <w:rPr>
          <w:rFonts w:eastAsia="Calibri"/>
          <w:color w:val="000000"/>
          <w:lang w:val="es-ES_tradnl"/>
        </w:rPr>
        <w:t xml:space="preserv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2C3283E" w14:textId="2FD52A6E" w:rsidR="000D636B" w:rsidRDefault="00B425C8" w:rsidP="00AF7894">
      <w:pPr>
        <w:spacing w:after="120" w:line="276" w:lineRule="auto"/>
        <w:ind w:firstLine="709"/>
        <w:jc w:val="both"/>
      </w:pPr>
      <w:r w:rsidRPr="000D636B">
        <w:rPr>
          <w:rFonts w:ascii="Arial" w:hAnsi="Arial" w:cs="Arial"/>
          <w:sz w:val="22"/>
        </w:rPr>
        <w:lastRenderedPageBreak/>
        <w:t xml:space="preserve">Frente a </w:t>
      </w:r>
      <w:r w:rsidR="00A53CB4" w:rsidRPr="000D636B">
        <w:rPr>
          <w:rFonts w:ascii="Arial" w:hAnsi="Arial" w:cs="Arial"/>
          <w:sz w:val="22"/>
        </w:rPr>
        <w:t xml:space="preserve">la obligatoriedad del uso de SECOP II por parte de las entidades estatales </w:t>
      </w:r>
      <w:r w:rsidR="00CA2EA1" w:rsidRPr="000D636B">
        <w:rPr>
          <w:rFonts w:ascii="Arial" w:hAnsi="Arial" w:cs="Arial"/>
          <w:sz w:val="22"/>
        </w:rPr>
        <w:t>sometidas al Estatuto General de Contratación de la Administración Pública, la migración del SECOP I al SECOP II ha sido</w:t>
      </w:r>
      <w:r w:rsidR="00A53CB4" w:rsidRPr="000D636B">
        <w:rPr>
          <w:rFonts w:ascii="Arial" w:hAnsi="Arial" w:cs="Arial"/>
          <w:sz w:val="22"/>
        </w:rPr>
        <w:t xml:space="preserve"> u</w:t>
      </w:r>
      <w:r w:rsidR="00CA2EA1" w:rsidRPr="000D636B">
        <w:rPr>
          <w:rFonts w:ascii="Arial" w:hAnsi="Arial" w:cs="Arial"/>
          <w:sz w:val="22"/>
        </w:rPr>
        <w:t>n proceso gradual y coordinado que implica la formación para el uso de la herramienta y el alistamiento de la infraestructura tecnológica correspondiente</w:t>
      </w:r>
      <w:r w:rsidR="00CA2EA1" w:rsidRPr="000D636B">
        <w:rPr>
          <w:rStyle w:val="Refdenotaalpie"/>
          <w:rFonts w:ascii="Arial" w:hAnsi="Arial" w:cs="Arial"/>
          <w:sz w:val="22"/>
        </w:rPr>
        <w:footnoteReference w:id="15"/>
      </w:r>
      <w:r w:rsidR="00CA2EA1" w:rsidRPr="000D636B">
        <w:rPr>
          <w:rFonts w:ascii="Arial" w:hAnsi="Arial" w:cs="Arial"/>
          <w:sz w:val="22"/>
        </w:rPr>
        <w:t xml:space="preserve">. En tal sentido, los </w:t>
      </w:r>
      <w:r w:rsidRPr="000D636B">
        <w:rPr>
          <w:rFonts w:ascii="Arial" w:hAnsi="Arial" w:cs="Arial"/>
          <w:sz w:val="22"/>
        </w:rPr>
        <w:t>procesos de contratación</w:t>
      </w:r>
      <w:r w:rsidR="002C6322" w:rsidRPr="000D636B">
        <w:rPr>
          <w:rFonts w:ascii="Arial" w:hAnsi="Arial" w:cs="Arial"/>
          <w:sz w:val="22"/>
        </w:rPr>
        <w:t xml:space="preserve"> que </w:t>
      </w:r>
      <w:r w:rsidRPr="000D636B">
        <w:rPr>
          <w:rFonts w:ascii="Arial" w:hAnsi="Arial" w:cs="Arial"/>
          <w:sz w:val="22"/>
        </w:rPr>
        <w:t xml:space="preserve">adelanten </w:t>
      </w:r>
      <w:r w:rsidR="002C6322" w:rsidRPr="000D636B">
        <w:rPr>
          <w:rFonts w:ascii="Arial" w:hAnsi="Arial" w:cs="Arial"/>
          <w:sz w:val="22"/>
        </w:rPr>
        <w:t>las in</w:t>
      </w:r>
      <w:r w:rsidR="007F00C5">
        <w:rPr>
          <w:rFonts w:ascii="Arial" w:hAnsi="Arial" w:cs="Arial"/>
          <w:sz w:val="22"/>
        </w:rPr>
        <w:t>stituciones educativas oficiales</w:t>
      </w:r>
      <w:r w:rsidR="002C6322" w:rsidRPr="000D636B">
        <w:rPr>
          <w:rFonts w:ascii="Arial" w:hAnsi="Arial" w:cs="Arial"/>
          <w:sz w:val="22"/>
        </w:rPr>
        <w:t xml:space="preserve"> </w:t>
      </w:r>
      <w:r w:rsidRPr="000D636B">
        <w:rPr>
          <w:rFonts w:ascii="Arial" w:hAnsi="Arial" w:cs="Arial"/>
          <w:sz w:val="22"/>
        </w:rPr>
        <w:t xml:space="preserve">en el marco del </w:t>
      </w:r>
      <w:r w:rsidRPr="000D636B">
        <w:rPr>
          <w:rFonts w:ascii="Arial" w:eastAsia="Calibri" w:hAnsi="Arial" w:cs="Arial"/>
          <w:color w:val="000000"/>
          <w:sz w:val="22"/>
          <w:lang w:val="es-ES_tradnl"/>
        </w:rPr>
        <w:t xml:space="preserve">régimen del </w:t>
      </w:r>
      <w:r w:rsidRPr="000D636B">
        <w:rPr>
          <w:rFonts w:ascii="Arial" w:hAnsi="Arial" w:cs="Arial"/>
          <w:sz w:val="22"/>
        </w:rPr>
        <w:t>Estatuto General de Contratación de la Administración Pública, es decir, aquellos con recursos del fondo de servicios educativos</w:t>
      </w:r>
      <w:r w:rsidR="007F00C5">
        <w:rPr>
          <w:rFonts w:ascii="Arial" w:hAnsi="Arial" w:cs="Arial"/>
          <w:sz w:val="22"/>
        </w:rPr>
        <w:t>,</w:t>
      </w:r>
      <w:r w:rsidRPr="000D636B">
        <w:rPr>
          <w:rFonts w:ascii="Arial" w:hAnsi="Arial" w:cs="Arial"/>
          <w:sz w:val="22"/>
        </w:rPr>
        <w:t xml:space="preserve"> cuya cuantía supere los veinte (20) salarios mín</w:t>
      </w:r>
      <w:r w:rsidR="00CA2EA1" w:rsidRPr="000D636B">
        <w:rPr>
          <w:rFonts w:ascii="Arial" w:hAnsi="Arial" w:cs="Arial"/>
          <w:sz w:val="22"/>
        </w:rPr>
        <w:t>imos legales mensuales vigentes</w:t>
      </w:r>
      <w:r w:rsidR="00F9431B" w:rsidRPr="000D636B">
        <w:rPr>
          <w:rFonts w:ascii="Arial" w:hAnsi="Arial" w:cs="Arial"/>
          <w:sz w:val="22"/>
        </w:rPr>
        <w:t>, deberán gestionarse a través del SECOP II</w:t>
      </w:r>
      <w:r w:rsidR="003967EF">
        <w:rPr>
          <w:rFonts w:ascii="Arial" w:hAnsi="Arial" w:cs="Arial"/>
          <w:sz w:val="22"/>
        </w:rPr>
        <w:t xml:space="preserve"> en la oportunidad  </w:t>
      </w:r>
      <w:r w:rsidR="00F9431B" w:rsidRPr="000D636B">
        <w:rPr>
          <w:rFonts w:ascii="Arial" w:hAnsi="Arial" w:cs="Arial"/>
          <w:sz w:val="22"/>
        </w:rPr>
        <w:t xml:space="preserve">establecida en las circulares expedidas por </w:t>
      </w:r>
      <w:r w:rsidR="00CA2EA1" w:rsidRPr="000D636B">
        <w:rPr>
          <w:rFonts w:ascii="Arial" w:hAnsi="Arial" w:cs="Arial"/>
          <w:sz w:val="22"/>
        </w:rPr>
        <w:t>la Agencia Nacional de Contratación Pública -Colombia Compra Eficiente</w:t>
      </w:r>
      <w:r w:rsidR="003967EF">
        <w:rPr>
          <w:rFonts w:ascii="Arial" w:hAnsi="Arial" w:cs="Arial"/>
          <w:sz w:val="22"/>
        </w:rPr>
        <w:t xml:space="preserve">, para las entidades territoriales,  teniendo en cuenta que </w:t>
      </w:r>
      <w:r w:rsidR="003967EF" w:rsidRPr="00292F1B">
        <w:rPr>
          <w:rFonts w:ascii="Arial" w:hAnsi="Arial" w:cs="Arial"/>
          <w:sz w:val="22"/>
        </w:rPr>
        <w:t>las instituciones educativas pertenecen a la entidad territorial que haya efectuado su reconocimiento de carácter oficial</w:t>
      </w:r>
      <w:r w:rsidR="003967EF">
        <w:rPr>
          <w:rFonts w:ascii="Arial" w:hAnsi="Arial" w:cs="Arial"/>
          <w:sz w:val="22"/>
        </w:rPr>
        <w:t>.</w:t>
      </w:r>
    </w:p>
    <w:p w14:paraId="22214027" w14:textId="7FFF36F3" w:rsidR="00B425C8" w:rsidRPr="003967EF" w:rsidRDefault="00B425C8" w:rsidP="00AF7894">
      <w:pPr>
        <w:pStyle w:val="Textoindependiente"/>
        <w:spacing w:after="120" w:line="276" w:lineRule="auto"/>
        <w:ind w:right="49" w:firstLine="705"/>
        <w:jc w:val="both"/>
        <w:rPr>
          <w:lang w:val="es-MX"/>
        </w:rPr>
      </w:pPr>
    </w:p>
    <w:p w14:paraId="681CEB27" w14:textId="408ED285" w:rsidR="003B0A0C" w:rsidRPr="00292F1B" w:rsidRDefault="003B0A0C" w:rsidP="00AF7894">
      <w:pPr>
        <w:spacing w:before="120" w:after="120" w:line="276" w:lineRule="auto"/>
        <w:jc w:val="both"/>
        <w:rPr>
          <w:rFonts w:ascii="Arial" w:hAnsi="Arial" w:cs="Arial"/>
          <w:sz w:val="22"/>
        </w:rPr>
      </w:pPr>
      <w:r w:rsidRPr="00292F1B">
        <w:rPr>
          <w:rFonts w:ascii="Arial" w:hAnsi="Arial" w:cs="Arial"/>
          <w:sz w:val="22"/>
        </w:rPr>
        <w:t>Este concepto tiene el alcance previsto en el artículo 28 del Código de Procedimiento Administrativo y de lo Contencioso Administrativo.</w:t>
      </w:r>
    </w:p>
    <w:p w14:paraId="33D41A54" w14:textId="4B4E23CF" w:rsidR="00BE3D8E" w:rsidRPr="00292F1B" w:rsidRDefault="00BE3D8E" w:rsidP="000C7584">
      <w:pPr>
        <w:spacing w:before="120" w:after="120" w:line="276" w:lineRule="auto"/>
        <w:jc w:val="both"/>
        <w:rPr>
          <w:rFonts w:ascii="Arial" w:hAnsi="Arial" w:cs="Arial"/>
          <w:sz w:val="22"/>
        </w:rPr>
      </w:pPr>
    </w:p>
    <w:p w14:paraId="5B733DF4" w14:textId="62FC0E96" w:rsidR="00330A5A" w:rsidRDefault="00330A5A" w:rsidP="00330A5A">
      <w:pPr>
        <w:spacing w:before="120" w:after="120" w:line="276" w:lineRule="auto"/>
        <w:rPr>
          <w:rFonts w:ascii="Arial" w:eastAsia="Times New Roman" w:hAnsi="Arial" w:cs="Arial"/>
          <w:sz w:val="22"/>
          <w:lang w:eastAsia="es-CO"/>
        </w:rPr>
      </w:pPr>
      <w:r w:rsidRPr="00292F1B">
        <w:rPr>
          <w:rFonts w:ascii="Arial" w:eastAsia="Times New Roman" w:hAnsi="Arial" w:cs="Arial"/>
          <w:sz w:val="22"/>
          <w:lang w:eastAsia="es-CO"/>
        </w:rPr>
        <w:t>Atentamente,</w:t>
      </w:r>
    </w:p>
    <w:p w14:paraId="4081D909" w14:textId="688A35E4" w:rsidR="00CA77E6" w:rsidRPr="00292F1B" w:rsidRDefault="008E3E18" w:rsidP="00947D2A">
      <w:pPr>
        <w:spacing w:before="120" w:after="120" w:line="276" w:lineRule="auto"/>
        <w:jc w:val="center"/>
        <w:rPr>
          <w:rFonts w:ascii="Arial" w:eastAsia="Times New Roman" w:hAnsi="Arial" w:cs="Arial"/>
          <w:sz w:val="22"/>
          <w:lang w:eastAsia="es-CO"/>
        </w:rPr>
      </w:pPr>
      <w:r>
        <w:rPr>
          <w:rFonts w:ascii="Arial" w:hAnsi="Arial" w:cs="Arial"/>
          <w:noProof/>
          <w:color w:val="1A1A1A" w:themeColor="background1" w:themeShade="1A"/>
        </w:rPr>
        <w:drawing>
          <wp:inline distT="0" distB="0" distL="0" distR="0" wp14:anchorId="7ACB0042" wp14:editId="194267B0">
            <wp:extent cx="2135580" cy="826935"/>
            <wp:effectExtent l="0" t="0" r="0"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205" cy="838019"/>
                    </a:xfrm>
                    <a:prstGeom prst="rect">
                      <a:avLst/>
                    </a:prstGeom>
                    <a:noFill/>
                    <a:ln>
                      <a:noFill/>
                    </a:ln>
                  </pic:spPr>
                </pic:pic>
              </a:graphicData>
            </a:graphic>
          </wp:inline>
        </w:drawing>
      </w:r>
    </w:p>
    <w:p w14:paraId="6F1C96D9" w14:textId="6CA469FE" w:rsidR="00330A5A" w:rsidRPr="00292F1B" w:rsidRDefault="00330A5A" w:rsidP="00947D2A">
      <w:pPr>
        <w:spacing w:before="120" w:after="120" w:line="276" w:lineRule="auto"/>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2F1B" w:rsidRPr="00292F1B" w14:paraId="236B78C3" w14:textId="77777777" w:rsidTr="00533FD8">
        <w:trPr>
          <w:trHeight w:val="315"/>
        </w:trPr>
        <w:tc>
          <w:tcPr>
            <w:tcW w:w="812" w:type="dxa"/>
            <w:vAlign w:val="center"/>
            <w:hideMark/>
          </w:tcPr>
          <w:p w14:paraId="36D40189" w14:textId="77777777" w:rsidR="00330A5A" w:rsidRPr="00292F1B" w:rsidRDefault="00330A5A" w:rsidP="00533FD8">
            <w:pPr>
              <w:spacing w:before="120" w:after="120"/>
              <w:rPr>
                <w:rFonts w:ascii="Arial" w:eastAsia="Times New Roman" w:hAnsi="Arial" w:cs="Arial"/>
                <w:sz w:val="16"/>
                <w:szCs w:val="16"/>
                <w:lang w:eastAsia="es-ES"/>
              </w:rPr>
            </w:pPr>
            <w:r w:rsidRPr="00292F1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2F985F6B" w:rsidR="00330A5A" w:rsidRPr="00292F1B" w:rsidRDefault="00CA77E6" w:rsidP="00533FD8">
            <w:pPr>
              <w:rPr>
                <w:rFonts w:ascii="Arial" w:eastAsia="Times New Roman" w:hAnsi="Arial" w:cs="Arial"/>
                <w:sz w:val="16"/>
                <w:szCs w:val="16"/>
                <w:lang w:eastAsia="es-ES"/>
              </w:rPr>
            </w:pPr>
            <w:r>
              <w:rPr>
                <w:rFonts w:ascii="Arial" w:eastAsia="Times New Roman" w:hAnsi="Arial" w:cs="Arial"/>
                <w:sz w:val="16"/>
                <w:szCs w:val="16"/>
                <w:lang w:eastAsia="es-ES"/>
              </w:rPr>
              <w:t>Guillermo Escolar Flórez</w:t>
            </w:r>
          </w:p>
          <w:p w14:paraId="3BC22E00" w14:textId="0EE7BE1A"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 xml:space="preserve">Contratista </w:t>
            </w:r>
            <w:r w:rsidR="00C85E03">
              <w:rPr>
                <w:rFonts w:ascii="Arial" w:eastAsia="Times New Roman" w:hAnsi="Arial" w:cs="Arial"/>
                <w:sz w:val="16"/>
                <w:szCs w:val="16"/>
                <w:lang w:eastAsia="es-ES"/>
              </w:rPr>
              <w:t>de la</w:t>
            </w:r>
            <w:r w:rsidR="0010548D" w:rsidRPr="00292F1B">
              <w:rPr>
                <w:rFonts w:ascii="Arial" w:eastAsia="Times New Roman" w:hAnsi="Arial" w:cs="Arial"/>
                <w:sz w:val="16"/>
                <w:szCs w:val="16"/>
                <w:lang w:eastAsia="es-ES"/>
              </w:rPr>
              <w:t xml:space="preserve"> Subdirección de Gestión Contractual</w:t>
            </w:r>
          </w:p>
        </w:tc>
      </w:tr>
      <w:tr w:rsidR="00292F1B" w:rsidRPr="00292F1B" w14:paraId="66E40071" w14:textId="77777777" w:rsidTr="00533FD8">
        <w:trPr>
          <w:trHeight w:val="330"/>
        </w:trPr>
        <w:tc>
          <w:tcPr>
            <w:tcW w:w="812" w:type="dxa"/>
            <w:vAlign w:val="center"/>
            <w:hideMark/>
          </w:tcPr>
          <w:p w14:paraId="6D04A49B" w14:textId="77777777"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33B74184" w:rsidR="00330A5A" w:rsidRPr="00292F1B" w:rsidRDefault="00831D4B" w:rsidP="00533FD8">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3A0B846C" w14:textId="18593DE5" w:rsidR="00330A5A" w:rsidRPr="00292F1B" w:rsidRDefault="00831D4B" w:rsidP="00533FD8">
            <w:pPr>
              <w:rPr>
                <w:rFonts w:ascii="Arial" w:eastAsia="Times New Roman" w:hAnsi="Arial" w:cs="Arial"/>
                <w:sz w:val="16"/>
                <w:szCs w:val="16"/>
                <w:lang w:eastAsia="es-ES"/>
              </w:rPr>
            </w:pPr>
            <w:r>
              <w:rPr>
                <w:rFonts w:ascii="Arial" w:eastAsia="Times New Roman" w:hAnsi="Arial" w:cs="Arial"/>
                <w:sz w:val="16"/>
                <w:szCs w:val="16"/>
                <w:lang w:eastAsia="es-ES"/>
              </w:rPr>
              <w:t>Contratista</w:t>
            </w:r>
            <w:r w:rsidR="0010548D" w:rsidRPr="00292F1B">
              <w:rPr>
                <w:rFonts w:ascii="Arial" w:eastAsia="Times New Roman" w:hAnsi="Arial" w:cs="Arial"/>
                <w:sz w:val="16"/>
                <w:szCs w:val="16"/>
                <w:lang w:eastAsia="es-ES"/>
              </w:rPr>
              <w:t xml:space="preserve"> </w:t>
            </w:r>
            <w:r w:rsidR="00C85E03">
              <w:rPr>
                <w:rFonts w:ascii="Arial" w:eastAsia="Times New Roman" w:hAnsi="Arial" w:cs="Arial"/>
                <w:sz w:val="16"/>
                <w:szCs w:val="16"/>
                <w:lang w:eastAsia="es-ES"/>
              </w:rPr>
              <w:t>de la</w:t>
            </w:r>
            <w:r w:rsidR="0010548D" w:rsidRPr="00292F1B">
              <w:rPr>
                <w:rFonts w:ascii="Arial" w:eastAsia="Times New Roman" w:hAnsi="Arial" w:cs="Arial"/>
                <w:sz w:val="16"/>
                <w:szCs w:val="16"/>
                <w:lang w:eastAsia="es-ES"/>
              </w:rPr>
              <w:t xml:space="preserve"> Subdirección de Gestión Contractual</w:t>
            </w:r>
          </w:p>
        </w:tc>
      </w:tr>
      <w:tr w:rsidR="00CA77E6" w:rsidRPr="00292F1B" w14:paraId="796E6BD0" w14:textId="77777777" w:rsidTr="00533FD8">
        <w:trPr>
          <w:trHeight w:val="300"/>
        </w:trPr>
        <w:tc>
          <w:tcPr>
            <w:tcW w:w="812" w:type="dxa"/>
            <w:vAlign w:val="center"/>
            <w:hideMark/>
          </w:tcPr>
          <w:p w14:paraId="53F1EDC1" w14:textId="77777777" w:rsidR="00CA77E6" w:rsidRPr="00292F1B" w:rsidRDefault="00CA77E6" w:rsidP="00CA77E6">
            <w:pPr>
              <w:spacing w:before="120" w:after="120"/>
              <w:rPr>
                <w:rFonts w:ascii="Arial" w:eastAsia="Times New Roman" w:hAnsi="Arial" w:cs="Arial"/>
                <w:sz w:val="16"/>
                <w:szCs w:val="16"/>
                <w:lang w:eastAsia="es-ES"/>
              </w:rPr>
            </w:pPr>
            <w:r w:rsidRPr="00292F1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14AD39" w14:textId="62E6B79E" w:rsidR="00CA77E6" w:rsidRPr="00F1638D" w:rsidRDefault="00AF7894" w:rsidP="00CA77E6">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056B1E1A" w14:textId="5E601585" w:rsidR="00CA77E6" w:rsidRPr="00292F1B" w:rsidRDefault="00AF7894" w:rsidP="00CA77E6">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Subdirector de Gestión Contractual (E)</w:t>
            </w:r>
          </w:p>
        </w:tc>
      </w:tr>
      <w:bookmarkEnd w:id="2"/>
    </w:tbl>
    <w:p w14:paraId="028CA27E" w14:textId="7654213E" w:rsidR="00044E28" w:rsidRPr="00292F1B" w:rsidRDefault="00044E28"/>
    <w:sectPr w:rsidR="00044E28" w:rsidRPr="00292F1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D2EE" w14:textId="77777777" w:rsidR="00BF50E5" w:rsidRDefault="00BF50E5" w:rsidP="00044E28">
      <w:r>
        <w:separator/>
      </w:r>
    </w:p>
  </w:endnote>
  <w:endnote w:type="continuationSeparator" w:id="0">
    <w:p w14:paraId="493BFA96" w14:textId="77777777" w:rsidR="00BF50E5" w:rsidRDefault="00BF50E5"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4ED" w14:textId="77777777" w:rsidR="004026EC" w:rsidRDefault="004026EC" w:rsidP="004026EC">
    <w:pPr>
      <w:pStyle w:val="Sinespaciado"/>
      <w:jc w:val="right"/>
      <w:rPr>
        <w:rFonts w:ascii="Arial" w:hAnsi="Arial" w:cs="Arial"/>
        <w:sz w:val="18"/>
        <w:szCs w:val="18"/>
      </w:rPr>
    </w:pPr>
  </w:p>
  <w:p w14:paraId="33BBBEEF" w14:textId="426A788E"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20A7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20A7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n-US"/>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783B" w14:textId="77777777" w:rsidR="00BF50E5" w:rsidRDefault="00BF50E5" w:rsidP="00044E28">
      <w:r>
        <w:separator/>
      </w:r>
    </w:p>
  </w:footnote>
  <w:footnote w:type="continuationSeparator" w:id="0">
    <w:p w14:paraId="0BD302B8" w14:textId="77777777" w:rsidR="00BF50E5" w:rsidRDefault="00BF50E5" w:rsidP="00044E28">
      <w:r>
        <w:continuationSeparator/>
      </w:r>
    </w:p>
  </w:footnote>
  <w:footnote w:id="1">
    <w:p w14:paraId="3D28E179" w14:textId="1EDC110D" w:rsidR="00044E28" w:rsidRPr="00FE417A" w:rsidRDefault="00044E28" w:rsidP="00044E28">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w:t>
      </w:r>
      <w:r w:rsidR="003B0A0C" w:rsidRPr="00FE417A">
        <w:rPr>
          <w:rFonts w:ascii="Arial" w:hAnsi="Arial" w:cs="Arial"/>
          <w:color w:val="000000" w:themeColor="text1"/>
          <w:sz w:val="19"/>
          <w:szCs w:val="19"/>
        </w:rPr>
        <w:t>«</w:t>
      </w:r>
      <w:r w:rsidRPr="00FE417A">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FE417A">
        <w:rPr>
          <w:rFonts w:ascii="Arial" w:hAnsi="Arial" w:cs="Arial"/>
          <w:color w:val="000000" w:themeColor="text1"/>
          <w:sz w:val="19"/>
          <w:szCs w:val="19"/>
        </w:rPr>
        <w:t>»</w:t>
      </w:r>
      <w:r w:rsidRPr="00FE417A">
        <w:rPr>
          <w:rFonts w:ascii="Arial" w:hAnsi="Arial" w:cs="Arial"/>
          <w:color w:val="000000" w:themeColor="text1"/>
          <w:sz w:val="19"/>
          <w:szCs w:val="19"/>
        </w:rPr>
        <w:t>.</w:t>
      </w:r>
    </w:p>
    <w:p w14:paraId="645EB3EC" w14:textId="77777777" w:rsidR="00044E28" w:rsidRPr="00FE417A" w:rsidRDefault="00044E28" w:rsidP="00044E28">
      <w:pPr>
        <w:pStyle w:val="Textonotapie"/>
        <w:jc w:val="both"/>
        <w:rPr>
          <w:rFonts w:ascii="Arial" w:hAnsi="Arial" w:cs="Arial"/>
          <w:color w:val="000000" w:themeColor="text1"/>
          <w:sz w:val="19"/>
          <w:szCs w:val="19"/>
        </w:rPr>
      </w:pPr>
    </w:p>
  </w:footnote>
  <w:footnote w:id="2">
    <w:p w14:paraId="20296431" w14:textId="19F9D56E" w:rsidR="00044E28" w:rsidRPr="00FE417A" w:rsidRDefault="00044E28" w:rsidP="00044E28">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Style w:val="Refdenotaalpie"/>
          <w:rFonts w:ascii="Arial" w:hAnsi="Arial" w:cs="Arial"/>
          <w:color w:val="000000" w:themeColor="text1"/>
          <w:sz w:val="19"/>
          <w:szCs w:val="19"/>
        </w:rPr>
        <w:t xml:space="preserve"> </w:t>
      </w:r>
      <w:r w:rsidRPr="00FE417A">
        <w:rPr>
          <w:rFonts w:ascii="Arial" w:hAnsi="Arial" w:cs="Arial"/>
          <w:color w:val="000000" w:themeColor="text1"/>
          <w:sz w:val="19"/>
          <w:szCs w:val="19"/>
        </w:rPr>
        <w:t>Consejo de Estado. Sección Tercera</w:t>
      </w:r>
      <w:r w:rsidR="003B0A0C" w:rsidRPr="00FE417A">
        <w:rPr>
          <w:rFonts w:ascii="Arial" w:hAnsi="Arial" w:cs="Arial"/>
          <w:color w:val="000000" w:themeColor="text1"/>
          <w:sz w:val="19"/>
          <w:szCs w:val="19"/>
        </w:rPr>
        <w:t xml:space="preserve"> Subsección A</w:t>
      </w:r>
      <w:r w:rsidRPr="00FE417A">
        <w:rPr>
          <w:rFonts w:ascii="Arial" w:hAnsi="Arial" w:cs="Arial"/>
          <w:color w:val="000000" w:themeColor="text1"/>
          <w:sz w:val="19"/>
          <w:szCs w:val="19"/>
        </w:rPr>
        <w:t>.</w:t>
      </w:r>
      <w:r w:rsidR="005C40E9" w:rsidRPr="00FE417A">
        <w:rPr>
          <w:rFonts w:ascii="Arial" w:hAnsi="Arial" w:cs="Arial"/>
          <w:color w:val="000000" w:themeColor="text1"/>
          <w:sz w:val="19"/>
          <w:szCs w:val="19"/>
        </w:rPr>
        <w:t xml:space="preserve"> Sentencia del 12 de octubre de 2017.</w:t>
      </w:r>
      <w:r w:rsidRPr="00FE417A">
        <w:rPr>
          <w:rFonts w:ascii="Arial" w:hAnsi="Arial" w:cs="Arial"/>
          <w:color w:val="000000" w:themeColor="text1"/>
          <w:sz w:val="19"/>
          <w:szCs w:val="19"/>
        </w:rPr>
        <w:t xml:space="preserve"> Consejera Ponente: Marta Nubia Velásquez Rico. Radicación número: 68001-23-31-000-2005-03845-01(51.634).</w:t>
      </w:r>
    </w:p>
    <w:p w14:paraId="6EF55E26" w14:textId="77777777" w:rsidR="00044E28" w:rsidRPr="00FE417A" w:rsidRDefault="00044E28" w:rsidP="00044E28">
      <w:pPr>
        <w:pStyle w:val="Textonotapie"/>
        <w:jc w:val="both"/>
        <w:rPr>
          <w:rFonts w:ascii="Arial" w:hAnsi="Arial" w:cs="Arial"/>
          <w:color w:val="000000" w:themeColor="text1"/>
          <w:sz w:val="19"/>
          <w:szCs w:val="19"/>
        </w:rPr>
      </w:pPr>
    </w:p>
  </w:footnote>
  <w:footnote w:id="3">
    <w:p w14:paraId="5629DA67" w14:textId="57D5C0E9" w:rsidR="00044E28" w:rsidRPr="00FE417A" w:rsidRDefault="00044E28" w:rsidP="00044E28">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004026EC" w:rsidRPr="00FE417A">
        <w:rPr>
          <w:rFonts w:ascii="Arial" w:hAnsi="Arial" w:cs="Arial"/>
          <w:color w:val="000000" w:themeColor="text1"/>
          <w:sz w:val="19"/>
          <w:szCs w:val="19"/>
        </w:rPr>
        <w:t xml:space="preserve"> «</w:t>
      </w:r>
      <w:r w:rsidRPr="00FE417A">
        <w:rPr>
          <w:rFonts w:ascii="Arial" w:hAnsi="Arial" w:cs="Arial"/>
          <w:color w:val="000000" w:themeColor="text1"/>
          <w:sz w:val="19"/>
          <w:szCs w:val="19"/>
        </w:rPr>
        <w:t>Artículo 2.3.1.6.3.4. Ordenación del gasto. Los fondos de servicios educativos carecen de personería jurídica</w:t>
      </w:r>
      <w:r w:rsidR="004026EC" w:rsidRPr="00FE417A">
        <w:rPr>
          <w:rFonts w:ascii="Arial" w:hAnsi="Arial" w:cs="Arial"/>
          <w:color w:val="000000" w:themeColor="text1"/>
          <w:sz w:val="19"/>
          <w:szCs w:val="19"/>
        </w:rPr>
        <w:t>»</w:t>
      </w:r>
      <w:r w:rsidRPr="00FE417A">
        <w:rPr>
          <w:rFonts w:ascii="Arial" w:hAnsi="Arial" w:cs="Arial"/>
          <w:color w:val="000000" w:themeColor="text1"/>
          <w:sz w:val="19"/>
          <w:szCs w:val="19"/>
        </w:rPr>
        <w:t>.</w:t>
      </w:r>
    </w:p>
    <w:p w14:paraId="1EAC9256" w14:textId="77777777" w:rsidR="00044E28" w:rsidRPr="00FE417A" w:rsidRDefault="00044E28" w:rsidP="00044E28">
      <w:pPr>
        <w:pStyle w:val="Textonotapie"/>
        <w:jc w:val="both"/>
        <w:rPr>
          <w:rFonts w:ascii="Arial" w:hAnsi="Arial" w:cs="Arial"/>
          <w:color w:val="000000" w:themeColor="text1"/>
          <w:sz w:val="19"/>
          <w:szCs w:val="19"/>
        </w:rPr>
      </w:pPr>
    </w:p>
  </w:footnote>
  <w:footnote w:id="4">
    <w:p w14:paraId="6AF42533" w14:textId="77777777" w:rsidR="005E3121" w:rsidRPr="00FE417A" w:rsidRDefault="00044E28" w:rsidP="00011E77">
      <w:pPr>
        <w:pStyle w:val="NormalWeb"/>
        <w:spacing w:before="0" w:beforeAutospacing="0" w:after="0" w:afterAutospacing="0"/>
        <w:ind w:firstLine="708"/>
        <w:jc w:val="both"/>
        <w:rPr>
          <w:rFonts w:ascii="Arial" w:hAnsi="Arial" w:cs="Arial"/>
          <w:sz w:val="19"/>
          <w:szCs w:val="19"/>
        </w:rPr>
      </w:pPr>
      <w:r w:rsidRPr="00FE417A">
        <w:rPr>
          <w:rStyle w:val="Refdenotaalpie"/>
          <w:rFonts w:ascii="Arial" w:hAnsi="Arial" w:cs="Arial"/>
          <w:sz w:val="19"/>
          <w:szCs w:val="19"/>
        </w:rPr>
        <w:footnoteRef/>
      </w:r>
      <w:r w:rsidRPr="00FE417A">
        <w:rPr>
          <w:rStyle w:val="Refdenotaalpie"/>
          <w:rFonts w:ascii="Arial" w:hAnsi="Arial" w:cs="Arial"/>
          <w:sz w:val="19"/>
          <w:szCs w:val="19"/>
        </w:rPr>
        <w:t xml:space="preserve"> </w:t>
      </w:r>
      <w:r w:rsidR="004026EC" w:rsidRPr="00FE417A">
        <w:rPr>
          <w:rFonts w:ascii="Arial" w:hAnsi="Arial" w:cs="Arial"/>
          <w:sz w:val="19"/>
          <w:szCs w:val="19"/>
        </w:rPr>
        <w:t>«</w:t>
      </w:r>
      <w:r w:rsidRPr="00FE417A">
        <w:rPr>
          <w:rFonts w:ascii="Arial" w:hAnsi="Arial" w:cs="Arial"/>
          <w:sz w:val="19"/>
          <w:szCs w:val="19"/>
        </w:rPr>
        <w:t xml:space="preserve">Artículo 13. Procedimientos de contratación de los fondos de servicios educativos. </w:t>
      </w:r>
      <w:r w:rsidR="005E3121" w:rsidRPr="00FE417A">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FE417A" w:rsidRDefault="00011E77" w:rsidP="00011E77">
      <w:pPr>
        <w:ind w:firstLine="708"/>
        <w:jc w:val="both"/>
        <w:rPr>
          <w:rFonts w:ascii="Arial" w:eastAsia="Times New Roman" w:hAnsi="Arial" w:cs="Arial"/>
          <w:sz w:val="19"/>
          <w:szCs w:val="19"/>
          <w:lang w:val="es-CO" w:eastAsia="es-CO"/>
        </w:rPr>
      </w:pPr>
      <w:r w:rsidRPr="00FE417A">
        <w:rPr>
          <w:rFonts w:ascii="Arial" w:eastAsia="Times New Roman" w:hAnsi="Arial" w:cs="Arial"/>
          <w:sz w:val="19"/>
          <w:szCs w:val="19"/>
          <w:lang w:val="es-CO" w:eastAsia="es-CO"/>
        </w:rPr>
        <w:t>»</w:t>
      </w:r>
      <w:r w:rsidR="005E3121" w:rsidRPr="00FE417A">
        <w:rPr>
          <w:rFonts w:ascii="Arial" w:eastAsia="Times New Roman" w:hAnsi="Arial" w:cs="Arial"/>
          <w:i/>
          <w:iCs/>
          <w:sz w:val="19"/>
          <w:szCs w:val="19"/>
          <w:lang w:val="es-CO" w:eastAsia="es-CO"/>
        </w:rPr>
        <w:t>Los actos y contratos de cuantía superior a veinte (20) salarios mínimos mensuales se regirán por las reglas de la contratación estatal</w:t>
      </w:r>
      <w:r w:rsidR="005E3121" w:rsidRPr="00FE417A">
        <w:rPr>
          <w:rFonts w:ascii="Arial" w:eastAsia="Times New Roman" w:hAnsi="Arial" w:cs="Arial"/>
          <w:sz w:val="19"/>
          <w:szCs w:val="19"/>
          <w:lang w:val="es-CO" w:eastAsia="es-CO"/>
        </w:rPr>
        <w:t xml:space="preserve">, teniendo en cuenta su valor y naturaleza, y las circunstancias en las que se celebren. El Gobierno Nacional podrá indicar los casos en los cuales la cuantía señalada en el presente inciso será menor. </w:t>
      </w:r>
    </w:p>
    <w:p w14:paraId="67AE1676" w14:textId="48F7E158" w:rsidR="005E3121" w:rsidRPr="00FE417A" w:rsidRDefault="00011E77" w:rsidP="00011E77">
      <w:pPr>
        <w:ind w:firstLine="708"/>
        <w:jc w:val="both"/>
        <w:rPr>
          <w:rFonts w:ascii="Arial" w:eastAsia="Times New Roman" w:hAnsi="Arial" w:cs="Arial"/>
          <w:sz w:val="19"/>
          <w:szCs w:val="19"/>
          <w:lang w:val="es-CO" w:eastAsia="es-CO"/>
        </w:rPr>
      </w:pPr>
      <w:r w:rsidRPr="00FE417A">
        <w:rPr>
          <w:rFonts w:ascii="Arial" w:eastAsia="Times New Roman" w:hAnsi="Arial" w:cs="Arial"/>
          <w:sz w:val="19"/>
          <w:szCs w:val="19"/>
          <w:lang w:val="es-CO" w:eastAsia="es-CO"/>
        </w:rPr>
        <w:t>»</w:t>
      </w:r>
      <w:r w:rsidR="005E3121" w:rsidRPr="00FE417A">
        <w:rPr>
          <w:rFonts w:ascii="Arial" w:eastAsia="Times New Roman" w:hAnsi="Arial" w:cs="Arial"/>
          <w:sz w:val="19"/>
          <w:szCs w:val="19"/>
          <w:lang w:val="es-CO" w:eastAsia="es-CO"/>
        </w:rPr>
        <w:t>El rector o director celebrará los contratos que hayan de pagarse con cargo a los recursos vinculados a los Fondos, en las condiciones y dentro de los límites que fijen los reglamentos.</w:t>
      </w:r>
    </w:p>
    <w:p w14:paraId="1CA0A222" w14:textId="4C54E2B0" w:rsidR="005E3121" w:rsidRPr="00FE417A" w:rsidRDefault="00011E77" w:rsidP="00011E77">
      <w:pPr>
        <w:ind w:firstLine="708"/>
        <w:jc w:val="both"/>
        <w:rPr>
          <w:rFonts w:ascii="Arial" w:eastAsia="Times New Roman" w:hAnsi="Arial" w:cs="Arial"/>
          <w:sz w:val="19"/>
          <w:szCs w:val="19"/>
          <w:lang w:val="es-CO" w:eastAsia="es-CO"/>
        </w:rPr>
      </w:pPr>
      <w:r w:rsidRPr="00FE417A">
        <w:rPr>
          <w:rFonts w:ascii="Arial" w:eastAsia="Times New Roman" w:hAnsi="Arial" w:cs="Arial"/>
          <w:sz w:val="19"/>
          <w:szCs w:val="19"/>
          <w:u w:val="single"/>
          <w:lang w:val="es-CO" w:eastAsia="es-CO"/>
        </w:rPr>
        <w:t>»</w:t>
      </w:r>
      <w:r w:rsidR="005E3121" w:rsidRPr="00FE417A">
        <w:rPr>
          <w:rFonts w:ascii="Arial" w:eastAsia="Times New Roman" w:hAnsi="Arial" w:cs="Arial"/>
          <w:i/>
          <w:iCs/>
          <w:sz w:val="19"/>
          <w:szCs w:val="19"/>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FE417A">
        <w:rPr>
          <w:rFonts w:ascii="Arial" w:eastAsia="Times New Roman" w:hAnsi="Arial" w:cs="Arial"/>
          <w:sz w:val="19"/>
          <w:szCs w:val="19"/>
          <w:lang w:val="es-CO" w:eastAsia="es-CO"/>
        </w:rPr>
        <w:t>»</w:t>
      </w:r>
    </w:p>
    <w:p w14:paraId="02994862" w14:textId="77777777" w:rsidR="00011E77" w:rsidRPr="00FE417A" w:rsidRDefault="00011E77" w:rsidP="00011E77">
      <w:pPr>
        <w:pStyle w:val="Textonotapie"/>
        <w:ind w:firstLine="708"/>
        <w:jc w:val="both"/>
        <w:rPr>
          <w:rFonts w:ascii="Arial" w:hAnsi="Arial" w:cs="Arial"/>
          <w:color w:val="000000" w:themeColor="text1"/>
          <w:sz w:val="19"/>
          <w:szCs w:val="19"/>
        </w:rPr>
      </w:pPr>
    </w:p>
    <w:p w14:paraId="0511E145" w14:textId="6F895546" w:rsidR="00044E28" w:rsidRPr="00FE417A" w:rsidRDefault="00044E28" w:rsidP="00011E77">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 xml:space="preserve">Decreto 1075 de 2015: </w:t>
      </w:r>
      <w:r w:rsidR="003B0A0C" w:rsidRPr="00FE417A">
        <w:rPr>
          <w:rFonts w:ascii="Arial" w:hAnsi="Arial" w:cs="Arial"/>
          <w:color w:val="000000" w:themeColor="text1"/>
          <w:sz w:val="19"/>
          <w:szCs w:val="19"/>
        </w:rPr>
        <w:t>«</w:t>
      </w:r>
      <w:r w:rsidRPr="00FE417A">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3B0A0C" w:rsidRPr="00FE417A">
        <w:rPr>
          <w:rFonts w:ascii="Arial" w:hAnsi="Arial" w:cs="Arial"/>
          <w:color w:val="000000" w:themeColor="text1"/>
          <w:sz w:val="19"/>
          <w:szCs w:val="19"/>
        </w:rPr>
        <w:t>»</w:t>
      </w:r>
      <w:r w:rsidRPr="00FE417A">
        <w:rPr>
          <w:rFonts w:ascii="Arial" w:hAnsi="Arial" w:cs="Arial"/>
          <w:color w:val="000000" w:themeColor="text1"/>
          <w:sz w:val="19"/>
          <w:szCs w:val="19"/>
        </w:rPr>
        <w:t>.</w:t>
      </w:r>
    </w:p>
    <w:p w14:paraId="19FBB423" w14:textId="77777777" w:rsidR="00044E28" w:rsidRPr="00FE417A" w:rsidRDefault="00044E28" w:rsidP="00044E28">
      <w:pPr>
        <w:pStyle w:val="Textonotapie"/>
        <w:jc w:val="both"/>
        <w:rPr>
          <w:rFonts w:ascii="Arial" w:hAnsi="Arial" w:cs="Arial"/>
          <w:color w:val="000000" w:themeColor="text1"/>
          <w:sz w:val="19"/>
          <w:szCs w:val="19"/>
          <w:lang w:val="es-CO"/>
        </w:rPr>
      </w:pPr>
    </w:p>
  </w:footnote>
  <w:footnote w:id="5">
    <w:p w14:paraId="2FADBD98" w14:textId="19CFE193" w:rsidR="00FE417A" w:rsidRPr="00FE417A" w:rsidRDefault="00AB0A41" w:rsidP="00FE417A">
      <w:pPr>
        <w:pStyle w:val="Textonotapie"/>
        <w:ind w:firstLine="708"/>
        <w:jc w:val="both"/>
        <w:rPr>
          <w:rFonts w:ascii="Arial" w:hAnsi="Arial" w:cs="Arial"/>
          <w:sz w:val="19"/>
          <w:szCs w:val="19"/>
        </w:rPr>
      </w:pPr>
      <w:r w:rsidRPr="00FE417A">
        <w:rPr>
          <w:rStyle w:val="Refdenotaalpie"/>
          <w:rFonts w:ascii="Arial" w:hAnsi="Arial" w:cs="Arial"/>
          <w:sz w:val="19"/>
          <w:szCs w:val="19"/>
        </w:rPr>
        <w:footnoteRef/>
      </w:r>
      <w:r w:rsidRPr="00FE417A">
        <w:rPr>
          <w:rFonts w:ascii="Arial" w:hAnsi="Arial" w:cs="Arial"/>
          <w:sz w:val="19"/>
          <w:szCs w:val="19"/>
        </w:rPr>
        <w:t xml:space="preserve"> La norma citada dispone que «</w:t>
      </w:r>
      <w:r w:rsidR="00FE417A" w:rsidRPr="00FE417A">
        <w:rPr>
          <w:rFonts w:ascii="Arial" w:hAnsi="Arial" w:cs="Arial"/>
          <w:sz w:val="19"/>
          <w:szCs w:val="19"/>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5A58C77" w14:textId="3B92310E" w:rsidR="00FE417A" w:rsidRPr="00FE417A" w:rsidRDefault="00FE417A" w:rsidP="00FE417A">
      <w:pPr>
        <w:pStyle w:val="Textonotapie"/>
        <w:ind w:firstLine="708"/>
        <w:jc w:val="both"/>
        <w:rPr>
          <w:rFonts w:ascii="Arial" w:hAnsi="Arial" w:cs="Arial"/>
          <w:sz w:val="19"/>
          <w:szCs w:val="19"/>
        </w:rPr>
      </w:pPr>
      <w:r w:rsidRPr="00FE417A">
        <w:rPr>
          <w:rFonts w:ascii="Arial" w:hAnsi="Arial" w:cs="Arial"/>
          <w:sz w:val="19"/>
          <w:szCs w:val="19"/>
        </w:rPr>
        <w:t xml:space="preserve">&lt;Inciso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FE417A">
        <w:rPr>
          <w:rFonts w:ascii="Arial" w:hAnsi="Arial" w:cs="Arial"/>
          <w:sz w:val="19"/>
          <w:szCs w:val="19"/>
        </w:rPr>
        <w:t>poscontractual</w:t>
      </w:r>
      <w:proofErr w:type="spellEnd"/>
      <w:r w:rsidRPr="00FE417A">
        <w:rPr>
          <w:rFonts w:ascii="Arial" w:hAnsi="Arial" w:cs="Arial"/>
          <w:sz w:val="19"/>
          <w:szCs w:val="19"/>
        </w:rPr>
        <w:t>.</w:t>
      </w:r>
    </w:p>
    <w:p w14:paraId="06405FB0" w14:textId="26B74B22" w:rsidR="00AB0A41" w:rsidRDefault="00FE417A" w:rsidP="00FE417A">
      <w:pPr>
        <w:pStyle w:val="Textonotapie"/>
        <w:ind w:firstLine="708"/>
        <w:jc w:val="both"/>
        <w:rPr>
          <w:rFonts w:ascii="Arial" w:hAnsi="Arial" w:cs="Arial"/>
          <w:sz w:val="19"/>
          <w:szCs w:val="19"/>
        </w:rPr>
      </w:pPr>
      <w:r w:rsidRPr="00FE417A">
        <w:rPr>
          <w:rFonts w:ascii="Arial" w:hAnsi="Arial" w:cs="Arial"/>
          <w:sz w:val="19"/>
          <w:szCs w:val="19"/>
        </w:rPr>
        <w:t xml:space="preserve">&lt;Inciso adicionado por el artículo 53 de la Ley 2195 de 2022. El nuevo texto es el siguiente:&gt; A partir de la </w:t>
      </w:r>
      <w:proofErr w:type="gramStart"/>
      <w:r w:rsidRPr="00FE417A">
        <w:rPr>
          <w:rFonts w:ascii="Arial" w:hAnsi="Arial" w:cs="Arial"/>
          <w:sz w:val="19"/>
          <w:szCs w:val="19"/>
        </w:rPr>
        <w:t>entrada en vigencia</w:t>
      </w:r>
      <w:proofErr w:type="gramEnd"/>
      <w:r w:rsidRPr="00FE417A">
        <w:rPr>
          <w:rFonts w:ascii="Arial" w:hAnsi="Arial" w:cs="Arial"/>
          <w:sz w:val="19"/>
          <w:szCs w:val="19"/>
        </w:rPr>
        <w:t xml:space="preserve"> de la presente ley, se establecerá un periodo de transición de seis (6) meses, para que las entidades den cumplimiento efectivo a lo aquí establecido</w:t>
      </w:r>
      <w:r w:rsidR="00AB0A41" w:rsidRPr="00FE417A">
        <w:rPr>
          <w:rFonts w:ascii="Arial" w:hAnsi="Arial" w:cs="Arial"/>
          <w:sz w:val="19"/>
          <w:szCs w:val="19"/>
        </w:rPr>
        <w:t>».</w:t>
      </w:r>
    </w:p>
    <w:p w14:paraId="164938BA" w14:textId="77777777" w:rsidR="00583B31" w:rsidRPr="00FE417A" w:rsidRDefault="00583B31" w:rsidP="00FE417A">
      <w:pPr>
        <w:pStyle w:val="Textonotapie"/>
        <w:ind w:firstLine="708"/>
        <w:jc w:val="both"/>
        <w:rPr>
          <w:rFonts w:ascii="Arial" w:hAnsi="Arial" w:cs="Arial"/>
          <w:sz w:val="19"/>
          <w:szCs w:val="19"/>
          <w:lang w:val="es-ES"/>
        </w:rPr>
      </w:pPr>
    </w:p>
  </w:footnote>
  <w:footnote w:id="6">
    <w:p w14:paraId="5C4F8EB0"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Corte Constitucional. Sentencia C- 341 del 4 de junio de 2014. M. P. Mauricio González Cuervo.</w:t>
      </w:r>
    </w:p>
    <w:p w14:paraId="7321E248" w14:textId="77777777" w:rsidR="00292F1B" w:rsidRPr="00FE417A" w:rsidRDefault="00292F1B" w:rsidP="00292F1B">
      <w:pPr>
        <w:pStyle w:val="Textonotapie"/>
        <w:ind w:firstLine="708"/>
        <w:jc w:val="both"/>
        <w:rPr>
          <w:rFonts w:ascii="Arial" w:hAnsi="Arial" w:cs="Arial"/>
          <w:color w:val="000000" w:themeColor="text1"/>
          <w:sz w:val="19"/>
          <w:szCs w:val="19"/>
          <w:lang w:val="es-CO"/>
        </w:rPr>
      </w:pPr>
    </w:p>
  </w:footnote>
  <w:footnote w:id="7">
    <w:p w14:paraId="75F2D705"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2FC631"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»Lo anterior, sin perjuicio de las publicaciones previstas en el numeral 3 del artículo 30 de la Ley 80 de 1993.</w:t>
      </w:r>
    </w:p>
    <w:p w14:paraId="43D30484"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proofErr w:type="spellStart"/>
      <w:r w:rsidRPr="00FE417A">
        <w:rPr>
          <w:rFonts w:ascii="Arial" w:hAnsi="Arial" w:cs="Arial"/>
          <w:color w:val="000000" w:themeColor="text1"/>
          <w:sz w:val="19"/>
          <w:szCs w:val="19"/>
        </w:rPr>
        <w:t>Secop</w:t>
      </w:r>
      <w:proofErr w:type="spellEnd"/>
      <w:r w:rsidRPr="00FE417A">
        <w:rPr>
          <w:rFonts w:ascii="Arial" w:hAnsi="Arial" w:cs="Arial"/>
          <w:color w:val="000000" w:themeColor="text1"/>
          <w:sz w:val="19"/>
          <w:szCs w:val="19"/>
        </w:rPr>
        <w:t xml:space="preserve">, el cual: </w:t>
      </w:r>
    </w:p>
    <w:p w14:paraId="11611712"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w:t>
      </w:r>
    </w:p>
    <w:p w14:paraId="54BECA9B"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66F7792" w14:textId="77777777" w:rsidR="00292F1B" w:rsidRPr="00FE417A" w:rsidRDefault="00292F1B" w:rsidP="00292F1B">
      <w:pPr>
        <w:pStyle w:val="Textonotapie"/>
        <w:ind w:firstLine="708"/>
        <w:jc w:val="both"/>
        <w:rPr>
          <w:rFonts w:ascii="Arial" w:hAnsi="Arial" w:cs="Arial"/>
          <w:color w:val="000000" w:themeColor="text1"/>
          <w:sz w:val="19"/>
          <w:szCs w:val="19"/>
        </w:rPr>
      </w:pPr>
    </w:p>
  </w:footnote>
  <w:footnote w:id="8">
    <w:p w14:paraId="6D4AFF04"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1263AA1" w14:textId="77777777" w:rsidR="00292F1B" w:rsidRPr="00FE417A" w:rsidRDefault="00292F1B" w:rsidP="00292F1B">
      <w:pPr>
        <w:pStyle w:val="Textonotapie"/>
        <w:ind w:firstLine="708"/>
        <w:jc w:val="both"/>
        <w:rPr>
          <w:rFonts w:ascii="Arial" w:hAnsi="Arial" w:cs="Arial"/>
          <w:color w:val="000000" w:themeColor="text1"/>
          <w:sz w:val="19"/>
          <w:szCs w:val="19"/>
        </w:rPr>
      </w:pPr>
    </w:p>
  </w:footnote>
  <w:footnote w:id="9">
    <w:p w14:paraId="62A42E31"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F8D09CE"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0BE1546" w14:textId="77777777" w:rsidR="00292F1B" w:rsidRPr="00FE417A" w:rsidRDefault="00292F1B" w:rsidP="00292F1B">
      <w:pPr>
        <w:pStyle w:val="Textonotapie"/>
        <w:jc w:val="both"/>
        <w:rPr>
          <w:rFonts w:ascii="Arial" w:hAnsi="Arial" w:cs="Arial"/>
          <w:color w:val="000000" w:themeColor="text1"/>
          <w:sz w:val="19"/>
          <w:szCs w:val="19"/>
          <w:lang w:val="es-CO"/>
        </w:rPr>
      </w:pPr>
    </w:p>
  </w:footnote>
  <w:footnote w:id="10">
    <w:p w14:paraId="47431EC8" w14:textId="77777777" w:rsidR="00292F1B" w:rsidRPr="00FE417A" w:rsidRDefault="00292F1B" w:rsidP="00292F1B">
      <w:pPr>
        <w:pStyle w:val="Textonotapie"/>
        <w:ind w:firstLine="709"/>
        <w:jc w:val="both"/>
        <w:rPr>
          <w:rFonts w:ascii="Arial" w:hAnsi="Arial" w:cs="Arial"/>
          <w:color w:val="000000" w:themeColor="text1"/>
          <w:sz w:val="19"/>
          <w:szCs w:val="19"/>
        </w:rPr>
      </w:pPr>
      <w:r w:rsidRPr="00FE417A">
        <w:rPr>
          <w:rFonts w:ascii="Arial" w:eastAsia="Times New Roman" w:hAnsi="Arial" w:cs="Arial"/>
          <w:color w:val="000000" w:themeColor="text1"/>
          <w:sz w:val="19"/>
          <w:szCs w:val="19"/>
          <w:vertAlign w:val="superscript"/>
          <w:lang w:val="es-ES" w:eastAsia="es-ES"/>
        </w:rPr>
        <w:footnoteRef/>
      </w:r>
      <w:r w:rsidRPr="00FE417A">
        <w:rPr>
          <w:rFonts w:ascii="Arial" w:eastAsia="Times New Roman" w:hAnsi="Arial" w:cs="Arial"/>
          <w:color w:val="000000" w:themeColor="text1"/>
          <w:sz w:val="19"/>
          <w:szCs w:val="19"/>
          <w:vertAlign w:val="superscript"/>
          <w:lang w:val="es-ES" w:eastAsia="es-ES"/>
        </w:rPr>
        <w:t xml:space="preserve"> </w:t>
      </w:r>
      <w:r w:rsidRPr="00FE417A">
        <w:rPr>
          <w:rFonts w:ascii="Arial" w:eastAsia="Times New Roman" w:hAnsi="Arial" w:cs="Arial"/>
          <w:color w:val="000000" w:themeColor="text1"/>
          <w:sz w:val="19"/>
          <w:szCs w:val="19"/>
          <w:lang w:val="es-ES" w:eastAsia="es-ES"/>
        </w:rPr>
        <w:t>«</w:t>
      </w:r>
      <w:r w:rsidRPr="00FE417A">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500BE56" w14:textId="77777777" w:rsidR="00292F1B" w:rsidRPr="00FE417A" w:rsidRDefault="00292F1B" w:rsidP="00292F1B">
      <w:pPr>
        <w:pStyle w:val="Textonotapie"/>
        <w:ind w:firstLine="709"/>
        <w:jc w:val="both"/>
        <w:rPr>
          <w:rFonts w:ascii="Arial" w:hAnsi="Arial" w:cs="Arial"/>
          <w:color w:val="000000" w:themeColor="text1"/>
          <w:sz w:val="19"/>
          <w:szCs w:val="19"/>
        </w:rPr>
      </w:pPr>
      <w:r w:rsidRPr="00FE417A">
        <w:rPr>
          <w:rFonts w:ascii="Arial" w:hAnsi="Arial" w:cs="Arial"/>
          <w:color w:val="000000" w:themeColor="text1"/>
          <w:sz w:val="19"/>
          <w:szCs w:val="19"/>
        </w:rPr>
        <w:t>[…]</w:t>
      </w:r>
    </w:p>
    <w:p w14:paraId="3892E7B9" w14:textId="77777777" w:rsidR="00292F1B" w:rsidRPr="00FE417A" w:rsidRDefault="00292F1B" w:rsidP="00292F1B">
      <w:pPr>
        <w:pStyle w:val="Textonotapie"/>
        <w:ind w:firstLine="709"/>
        <w:jc w:val="both"/>
        <w:rPr>
          <w:rFonts w:ascii="Arial" w:hAnsi="Arial" w:cs="Arial"/>
          <w:color w:val="000000" w:themeColor="text1"/>
          <w:sz w:val="19"/>
          <w:szCs w:val="19"/>
        </w:rPr>
      </w:pPr>
    </w:p>
    <w:p w14:paraId="76D06F0F" w14:textId="77777777" w:rsidR="00292F1B" w:rsidRPr="00FE417A" w:rsidRDefault="00292F1B" w:rsidP="00292F1B">
      <w:pPr>
        <w:pStyle w:val="Textonotapie"/>
        <w:ind w:firstLine="709"/>
        <w:jc w:val="both"/>
        <w:rPr>
          <w:rFonts w:ascii="Arial" w:eastAsia="Times New Roman" w:hAnsi="Arial" w:cs="Arial"/>
          <w:color w:val="000000" w:themeColor="text1"/>
          <w:sz w:val="19"/>
          <w:szCs w:val="19"/>
          <w:lang w:val="es-ES" w:eastAsia="es-ES"/>
        </w:rPr>
      </w:pPr>
      <w:r w:rsidRPr="00FE417A">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5417DE6" w14:textId="77777777" w:rsidR="00292F1B" w:rsidRPr="00FE417A" w:rsidRDefault="00292F1B" w:rsidP="00292F1B">
      <w:pPr>
        <w:pStyle w:val="Textonotapie"/>
        <w:ind w:firstLine="709"/>
        <w:jc w:val="both"/>
        <w:rPr>
          <w:rFonts w:ascii="Arial" w:eastAsia="Times New Roman" w:hAnsi="Arial" w:cs="Arial"/>
          <w:color w:val="000000" w:themeColor="text1"/>
          <w:sz w:val="19"/>
          <w:szCs w:val="19"/>
          <w:lang w:val="es-ES" w:eastAsia="es-ES"/>
        </w:rPr>
      </w:pPr>
    </w:p>
  </w:footnote>
  <w:footnote w:id="11">
    <w:p w14:paraId="2C87A650" w14:textId="77777777" w:rsidR="00292F1B" w:rsidRPr="00FE417A" w:rsidRDefault="00292F1B" w:rsidP="00292F1B">
      <w:pPr>
        <w:pStyle w:val="Textonotapie"/>
        <w:ind w:firstLine="708"/>
        <w:jc w:val="both"/>
        <w:rPr>
          <w:rFonts w:ascii="Arial" w:eastAsia="Times New Roman" w:hAnsi="Arial" w:cs="Arial"/>
          <w:color w:val="000000" w:themeColor="text1"/>
          <w:sz w:val="19"/>
          <w:szCs w:val="19"/>
          <w:lang w:val="es-ES" w:eastAsia="es-ES"/>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C</w:t>
      </w:r>
      <w:proofErr w:type="spellStart"/>
      <w:r w:rsidRPr="00FE417A">
        <w:rPr>
          <w:rFonts w:ascii="Arial" w:eastAsia="Times New Roman" w:hAnsi="Arial" w:cs="Arial"/>
          <w:color w:val="000000" w:themeColor="text1"/>
          <w:sz w:val="19"/>
          <w:szCs w:val="19"/>
          <w:lang w:val="es-ES" w:eastAsia="es-ES"/>
        </w:rPr>
        <w:t>orte</w:t>
      </w:r>
      <w:proofErr w:type="spellEnd"/>
      <w:r w:rsidRPr="00FE417A">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6B042905" w14:textId="77777777" w:rsidR="00292F1B" w:rsidRPr="00FE417A" w:rsidRDefault="00292F1B" w:rsidP="00292F1B">
      <w:pPr>
        <w:pStyle w:val="Textonotapie"/>
        <w:ind w:firstLine="708"/>
        <w:jc w:val="both"/>
        <w:rPr>
          <w:rFonts w:ascii="Arial" w:eastAsia="Times New Roman" w:hAnsi="Arial" w:cs="Arial"/>
          <w:color w:val="000000" w:themeColor="text1"/>
          <w:sz w:val="19"/>
          <w:szCs w:val="19"/>
          <w:lang w:val="es-ES" w:eastAsia="es-ES"/>
        </w:rPr>
      </w:pPr>
    </w:p>
  </w:footnote>
  <w:footnote w:id="12">
    <w:p w14:paraId="19A69C7B" w14:textId="77777777" w:rsidR="00292F1B" w:rsidRPr="00FE417A" w:rsidRDefault="00292F1B" w:rsidP="00292F1B">
      <w:pPr>
        <w:pStyle w:val="Textonotapie"/>
        <w:ind w:firstLine="708"/>
        <w:jc w:val="both"/>
        <w:rPr>
          <w:rFonts w:ascii="Arial" w:hAnsi="Arial" w:cs="Arial"/>
          <w:color w:val="000000" w:themeColor="text1"/>
          <w:sz w:val="19"/>
          <w:szCs w:val="19"/>
          <w:lang w:val="es-CO"/>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3">
    <w:p w14:paraId="27CDD14F" w14:textId="77777777" w:rsidR="00292F1B" w:rsidRPr="00FE417A" w:rsidRDefault="00292F1B" w:rsidP="00292F1B">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Consejo de Estado. Sección Tercera. Auto del 14 de agosto de 2017.  </w:t>
      </w:r>
      <w:proofErr w:type="spellStart"/>
      <w:r w:rsidRPr="00FE417A">
        <w:rPr>
          <w:rFonts w:ascii="Arial" w:hAnsi="Arial" w:cs="Arial"/>
          <w:color w:val="000000" w:themeColor="text1"/>
          <w:sz w:val="19"/>
          <w:szCs w:val="19"/>
        </w:rPr>
        <w:t>Exp</w:t>
      </w:r>
      <w:proofErr w:type="spellEnd"/>
      <w:r w:rsidRPr="00FE417A">
        <w:rPr>
          <w:rFonts w:ascii="Arial" w:hAnsi="Arial" w:cs="Arial"/>
          <w:color w:val="000000" w:themeColor="text1"/>
          <w:sz w:val="19"/>
          <w:szCs w:val="19"/>
        </w:rPr>
        <w:t xml:space="preserve">: 58.820. C.P. Jaime Orlando Santofimio Gamboa. </w:t>
      </w:r>
    </w:p>
    <w:p w14:paraId="1DE38723" w14:textId="77777777" w:rsidR="00292F1B" w:rsidRPr="00FE417A" w:rsidRDefault="00292F1B" w:rsidP="00292F1B">
      <w:pPr>
        <w:pStyle w:val="Textonotapie"/>
        <w:ind w:firstLine="708"/>
        <w:jc w:val="both"/>
        <w:rPr>
          <w:rFonts w:ascii="Arial" w:hAnsi="Arial" w:cs="Arial"/>
          <w:color w:val="000000" w:themeColor="text1"/>
          <w:sz w:val="19"/>
          <w:szCs w:val="19"/>
          <w:lang w:val="es-CO"/>
        </w:rPr>
      </w:pPr>
    </w:p>
  </w:footnote>
  <w:footnote w:id="14">
    <w:p w14:paraId="4CC7B1DE" w14:textId="60CA2700" w:rsidR="00380EFC" w:rsidRPr="00FE417A" w:rsidRDefault="00380EFC" w:rsidP="00380EFC">
      <w:pPr>
        <w:pStyle w:val="Textonotapie"/>
        <w:ind w:firstLine="708"/>
        <w:jc w:val="both"/>
        <w:rPr>
          <w:rFonts w:ascii="Arial" w:hAnsi="Arial" w:cs="Arial"/>
          <w:sz w:val="19"/>
          <w:szCs w:val="19"/>
          <w:lang w:val="es-CO"/>
        </w:rPr>
      </w:pPr>
      <w:r w:rsidRPr="00524630">
        <w:rPr>
          <w:rStyle w:val="Refdenotaalpie"/>
          <w:rFonts w:ascii="Arial" w:hAnsi="Arial" w:cs="Arial"/>
          <w:sz w:val="19"/>
          <w:szCs w:val="19"/>
        </w:rPr>
        <w:footnoteRef/>
      </w:r>
      <w:r w:rsidRPr="00524630">
        <w:rPr>
          <w:rFonts w:ascii="Arial" w:hAnsi="Arial" w:cs="Arial"/>
          <w:sz w:val="19"/>
          <w:szCs w:val="19"/>
        </w:rPr>
        <w:t xml:space="preserve"> </w:t>
      </w:r>
      <w:r w:rsidRPr="00FE417A">
        <w:rPr>
          <w:rFonts w:ascii="Arial" w:hAnsi="Arial" w:cs="Arial"/>
          <w:sz w:val="19"/>
          <w:szCs w:val="19"/>
        </w:rPr>
        <w:t xml:space="preserve">En relación con este aspecto, resulta relevante la Circular Externa 002 del 17 de marzo de 2022, de la Agencia Nacional de Contratación Pública – Colombia Compra Eficiente, disponible en: </w:t>
      </w:r>
      <w:hyperlink r:id="rId1" w:history="1">
        <w:r w:rsidRPr="00FE417A">
          <w:rPr>
            <w:rStyle w:val="Hipervnculo"/>
            <w:rFonts w:ascii="Arial" w:hAnsi="Arial" w:cs="Arial"/>
            <w:sz w:val="19"/>
            <w:szCs w:val="19"/>
          </w:rPr>
          <w:t>https://www.colombiacompra.gov.co/circulares</w:t>
        </w:r>
      </w:hyperlink>
      <w:r w:rsidRPr="00FE417A">
        <w:rPr>
          <w:rFonts w:ascii="Arial" w:hAnsi="Arial" w:cs="Arial"/>
          <w:sz w:val="19"/>
          <w:szCs w:val="19"/>
        </w:rPr>
        <w:t xml:space="preserve">. </w:t>
      </w:r>
    </w:p>
  </w:footnote>
  <w:footnote w:id="15">
    <w:p w14:paraId="30CC1A49" w14:textId="77777777" w:rsidR="00CA2EA1" w:rsidRPr="00FE417A" w:rsidRDefault="00CA2EA1" w:rsidP="000D636B">
      <w:pPr>
        <w:pStyle w:val="Textonotapie"/>
        <w:jc w:val="both"/>
        <w:rPr>
          <w:rFonts w:ascii="Arial" w:hAnsi="Arial" w:cs="Arial"/>
          <w:sz w:val="19"/>
          <w:szCs w:val="19"/>
          <w:lang w:val="es-ES"/>
        </w:rPr>
      </w:pPr>
      <w:r w:rsidRPr="00524630">
        <w:rPr>
          <w:rStyle w:val="Refdenotaalpie"/>
          <w:rFonts w:ascii="Arial" w:hAnsi="Arial" w:cs="Arial"/>
          <w:sz w:val="19"/>
          <w:szCs w:val="19"/>
        </w:rPr>
        <w:footnoteRef/>
      </w:r>
      <w:r w:rsidRPr="00524630">
        <w:rPr>
          <w:rFonts w:ascii="Arial" w:hAnsi="Arial" w:cs="Arial"/>
          <w:sz w:val="19"/>
          <w:szCs w:val="19"/>
        </w:rPr>
        <w:t xml:space="preserve"> </w:t>
      </w:r>
      <w:r w:rsidRPr="00FE417A">
        <w:rPr>
          <w:rFonts w:ascii="Arial" w:hAnsi="Arial" w:cs="Arial"/>
          <w:sz w:val="19"/>
          <w:szCs w:val="19"/>
        </w:rPr>
        <w:t>Disponibilidad y calidad de conectividad con un ancho de banda superior o igual a los 10 Mbps (</w:t>
      </w:r>
      <w:proofErr w:type="gramStart"/>
      <w:r w:rsidRPr="00FE417A">
        <w:rPr>
          <w:rFonts w:ascii="Arial" w:hAnsi="Arial" w:cs="Arial"/>
          <w:sz w:val="19"/>
          <w:szCs w:val="19"/>
        </w:rPr>
        <w:t>Mega Bits</w:t>
      </w:r>
      <w:proofErr w:type="gramEnd"/>
      <w:r w:rsidRPr="00FE417A">
        <w:rPr>
          <w:rFonts w:ascii="Arial" w:hAnsi="Arial" w:cs="Arial"/>
          <w:sz w:val="19"/>
          <w:szCs w:val="19"/>
        </w:rPr>
        <w:t xml:space="preserve"> por Segundo - Mbps-) de internet dedicado teniendo en cuenta un uso exclusivo (Características de conectividad mínimas exclusivas: solo Para SECOP II sin contar con otros servicios del municipio que consuman ancho de banda)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B7" w14:textId="6E6AC18F" w:rsidR="004026EC" w:rsidRDefault="004026EC" w:rsidP="004026EC">
    <w:pPr>
      <w:pStyle w:val="Encabezado"/>
      <w:jc w:val="right"/>
    </w:pPr>
    <w:r>
      <w:rPr>
        <w:noProof/>
        <w:lang w:val="en-US"/>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574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06304"/>
    <w:rsid w:val="00011E77"/>
    <w:rsid w:val="000126F7"/>
    <w:rsid w:val="00025C12"/>
    <w:rsid w:val="000320C7"/>
    <w:rsid w:val="000426EA"/>
    <w:rsid w:val="00044E28"/>
    <w:rsid w:val="00071982"/>
    <w:rsid w:val="0008266A"/>
    <w:rsid w:val="00087358"/>
    <w:rsid w:val="000A3619"/>
    <w:rsid w:val="000B3EB2"/>
    <w:rsid w:val="000C10B5"/>
    <w:rsid w:val="000C7584"/>
    <w:rsid w:val="000D086F"/>
    <w:rsid w:val="000D636B"/>
    <w:rsid w:val="0010326F"/>
    <w:rsid w:val="0010548D"/>
    <w:rsid w:val="00151925"/>
    <w:rsid w:val="00153CC0"/>
    <w:rsid w:val="00164DC1"/>
    <w:rsid w:val="0018589F"/>
    <w:rsid w:val="001A64F5"/>
    <w:rsid w:val="001B3853"/>
    <w:rsid w:val="001B5BCF"/>
    <w:rsid w:val="001F20E0"/>
    <w:rsid w:val="00215BC3"/>
    <w:rsid w:val="00221533"/>
    <w:rsid w:val="00230EC0"/>
    <w:rsid w:val="00234D71"/>
    <w:rsid w:val="002359BE"/>
    <w:rsid w:val="00245B5C"/>
    <w:rsid w:val="00253423"/>
    <w:rsid w:val="00262143"/>
    <w:rsid w:val="0027761D"/>
    <w:rsid w:val="00281435"/>
    <w:rsid w:val="00292F1B"/>
    <w:rsid w:val="002C1532"/>
    <w:rsid w:val="002C6322"/>
    <w:rsid w:val="002F71CA"/>
    <w:rsid w:val="00330A5A"/>
    <w:rsid w:val="00335910"/>
    <w:rsid w:val="0035606A"/>
    <w:rsid w:val="003578F1"/>
    <w:rsid w:val="00374D62"/>
    <w:rsid w:val="00380EFC"/>
    <w:rsid w:val="00387996"/>
    <w:rsid w:val="00392B68"/>
    <w:rsid w:val="003967EF"/>
    <w:rsid w:val="003B0A0C"/>
    <w:rsid w:val="003C1395"/>
    <w:rsid w:val="003D1973"/>
    <w:rsid w:val="00401A92"/>
    <w:rsid w:val="004026EC"/>
    <w:rsid w:val="00420C0F"/>
    <w:rsid w:val="004211CC"/>
    <w:rsid w:val="0045580E"/>
    <w:rsid w:val="00467D65"/>
    <w:rsid w:val="004728CC"/>
    <w:rsid w:val="00477867"/>
    <w:rsid w:val="0048065E"/>
    <w:rsid w:val="00482100"/>
    <w:rsid w:val="00490692"/>
    <w:rsid w:val="00494E8E"/>
    <w:rsid w:val="0049524C"/>
    <w:rsid w:val="004D38B9"/>
    <w:rsid w:val="004D3DC6"/>
    <w:rsid w:val="004D4E2B"/>
    <w:rsid w:val="004E621A"/>
    <w:rsid w:val="00511BEB"/>
    <w:rsid w:val="00524630"/>
    <w:rsid w:val="00525795"/>
    <w:rsid w:val="00526B4A"/>
    <w:rsid w:val="0054232D"/>
    <w:rsid w:val="00553E13"/>
    <w:rsid w:val="00554131"/>
    <w:rsid w:val="005559F8"/>
    <w:rsid w:val="00570A33"/>
    <w:rsid w:val="00577CC0"/>
    <w:rsid w:val="00583B31"/>
    <w:rsid w:val="005C40E9"/>
    <w:rsid w:val="005D3D12"/>
    <w:rsid w:val="005E0ED1"/>
    <w:rsid w:val="005E2D11"/>
    <w:rsid w:val="005E3121"/>
    <w:rsid w:val="00620470"/>
    <w:rsid w:val="006252BF"/>
    <w:rsid w:val="00630D34"/>
    <w:rsid w:val="00634DE3"/>
    <w:rsid w:val="00645F34"/>
    <w:rsid w:val="0064630A"/>
    <w:rsid w:val="00647047"/>
    <w:rsid w:val="00651186"/>
    <w:rsid w:val="00675DCA"/>
    <w:rsid w:val="006C62B3"/>
    <w:rsid w:val="007048CD"/>
    <w:rsid w:val="00716408"/>
    <w:rsid w:val="007169F7"/>
    <w:rsid w:val="0073638E"/>
    <w:rsid w:val="00751DE8"/>
    <w:rsid w:val="00790B6D"/>
    <w:rsid w:val="00797623"/>
    <w:rsid w:val="007B2B9C"/>
    <w:rsid w:val="007F00C5"/>
    <w:rsid w:val="00804CFA"/>
    <w:rsid w:val="008053F8"/>
    <w:rsid w:val="00805D07"/>
    <w:rsid w:val="008067E9"/>
    <w:rsid w:val="00810F8D"/>
    <w:rsid w:val="008134D8"/>
    <w:rsid w:val="00813BF0"/>
    <w:rsid w:val="00831D4B"/>
    <w:rsid w:val="0083369C"/>
    <w:rsid w:val="00837111"/>
    <w:rsid w:val="00863C61"/>
    <w:rsid w:val="0086595D"/>
    <w:rsid w:val="00875244"/>
    <w:rsid w:val="008775A9"/>
    <w:rsid w:val="00877679"/>
    <w:rsid w:val="00892179"/>
    <w:rsid w:val="008B052E"/>
    <w:rsid w:val="008B65C5"/>
    <w:rsid w:val="008D6A30"/>
    <w:rsid w:val="008E3E18"/>
    <w:rsid w:val="00902EFE"/>
    <w:rsid w:val="009229E3"/>
    <w:rsid w:val="00927890"/>
    <w:rsid w:val="00933A48"/>
    <w:rsid w:val="00935AB9"/>
    <w:rsid w:val="00947D2A"/>
    <w:rsid w:val="00966FC8"/>
    <w:rsid w:val="009929A4"/>
    <w:rsid w:val="009B13D1"/>
    <w:rsid w:val="009C529A"/>
    <w:rsid w:val="009C6145"/>
    <w:rsid w:val="009C7FF2"/>
    <w:rsid w:val="009E5C52"/>
    <w:rsid w:val="00A026BB"/>
    <w:rsid w:val="00A14A6F"/>
    <w:rsid w:val="00A36BCE"/>
    <w:rsid w:val="00A53CB4"/>
    <w:rsid w:val="00A74160"/>
    <w:rsid w:val="00A74A49"/>
    <w:rsid w:val="00A805AD"/>
    <w:rsid w:val="00A93C3F"/>
    <w:rsid w:val="00AB0A41"/>
    <w:rsid w:val="00AB58EB"/>
    <w:rsid w:val="00AC14EA"/>
    <w:rsid w:val="00AC4CB8"/>
    <w:rsid w:val="00AF7894"/>
    <w:rsid w:val="00B20A4A"/>
    <w:rsid w:val="00B20A73"/>
    <w:rsid w:val="00B24529"/>
    <w:rsid w:val="00B37724"/>
    <w:rsid w:val="00B425C8"/>
    <w:rsid w:val="00B45158"/>
    <w:rsid w:val="00B653DE"/>
    <w:rsid w:val="00B72186"/>
    <w:rsid w:val="00BA4000"/>
    <w:rsid w:val="00BA703C"/>
    <w:rsid w:val="00BB3F46"/>
    <w:rsid w:val="00BC07D1"/>
    <w:rsid w:val="00BC0CDB"/>
    <w:rsid w:val="00BC2FF3"/>
    <w:rsid w:val="00BE0533"/>
    <w:rsid w:val="00BE3D8E"/>
    <w:rsid w:val="00BF50E5"/>
    <w:rsid w:val="00C10962"/>
    <w:rsid w:val="00C1452D"/>
    <w:rsid w:val="00C15B78"/>
    <w:rsid w:val="00C47AC1"/>
    <w:rsid w:val="00C51118"/>
    <w:rsid w:val="00C652DD"/>
    <w:rsid w:val="00C66040"/>
    <w:rsid w:val="00C74B54"/>
    <w:rsid w:val="00C83CE0"/>
    <w:rsid w:val="00C85E03"/>
    <w:rsid w:val="00CA2EA1"/>
    <w:rsid w:val="00CA528D"/>
    <w:rsid w:val="00CA5B28"/>
    <w:rsid w:val="00CA77E6"/>
    <w:rsid w:val="00CB2F57"/>
    <w:rsid w:val="00CD6371"/>
    <w:rsid w:val="00D15F84"/>
    <w:rsid w:val="00D1724E"/>
    <w:rsid w:val="00D32620"/>
    <w:rsid w:val="00D40111"/>
    <w:rsid w:val="00D4313A"/>
    <w:rsid w:val="00D53724"/>
    <w:rsid w:val="00D54316"/>
    <w:rsid w:val="00D61785"/>
    <w:rsid w:val="00D6249E"/>
    <w:rsid w:val="00DD2EB9"/>
    <w:rsid w:val="00DD62EA"/>
    <w:rsid w:val="00E01EC0"/>
    <w:rsid w:val="00E80494"/>
    <w:rsid w:val="00E82B30"/>
    <w:rsid w:val="00E86BD9"/>
    <w:rsid w:val="00EA13D6"/>
    <w:rsid w:val="00EB2E61"/>
    <w:rsid w:val="00EB7195"/>
    <w:rsid w:val="00EC0DFC"/>
    <w:rsid w:val="00ED7A8F"/>
    <w:rsid w:val="00EF490F"/>
    <w:rsid w:val="00F14B5E"/>
    <w:rsid w:val="00F334FD"/>
    <w:rsid w:val="00F443AA"/>
    <w:rsid w:val="00F50527"/>
    <w:rsid w:val="00F70472"/>
    <w:rsid w:val="00F9431B"/>
    <w:rsid w:val="00F9676D"/>
    <w:rsid w:val="00FE2DC5"/>
    <w:rsid w:val="00FE417A"/>
    <w:rsid w:val="00FE6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 w:type="paragraph" w:customStyle="1" w:styleId="Appelnotedebasde">
    <w:name w:val="Appel note de bas de..."/>
    <w:basedOn w:val="Normal"/>
    <w:link w:val="Refdenotaalpie"/>
    <w:uiPriority w:val="99"/>
    <w:rsid w:val="00570A33"/>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262143"/>
    <w:rPr>
      <w:color w:val="605E5C"/>
      <w:shd w:val="clear" w:color="auto" w:fill="E1DFDD"/>
    </w:rPr>
  </w:style>
  <w:style w:type="paragraph" w:styleId="Revisin">
    <w:name w:val="Revision"/>
    <w:hidden/>
    <w:uiPriority w:val="99"/>
    <w:semiHidden/>
    <w:rsid w:val="00805D07"/>
    <w:pPr>
      <w:spacing w:after="0" w:line="240" w:lineRule="auto"/>
    </w:pPr>
    <w:rPr>
      <w:sz w:val="24"/>
      <w:lang w:val="es-MX"/>
    </w:rPr>
  </w:style>
  <w:style w:type="character" w:styleId="Hipervnculovisitado">
    <w:name w:val="FollowedHyperlink"/>
    <w:basedOn w:val="Fuentedeprrafopredeter"/>
    <w:uiPriority w:val="99"/>
    <w:semiHidden/>
    <w:unhideWhenUsed/>
    <w:rsid w:val="00797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 w:id="14619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3.xml><?xml version="1.0" encoding="utf-8"?>
<ds:datastoreItem xmlns:ds="http://schemas.openxmlformats.org/officeDocument/2006/customXml" ds:itemID="{80A54659-3E9E-4377-B9C8-79A731DA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83828-85C9-4DFB-94A0-6710BFF3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4769</Words>
  <Characters>26234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35</cp:revision>
  <dcterms:created xsi:type="dcterms:W3CDTF">2022-06-18T15:03:00Z</dcterms:created>
  <dcterms:modified xsi:type="dcterms:W3CDTF">2022-10-12T20:29:00Z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