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047D" w14:textId="77777777" w:rsidR="00A37F6E" w:rsidRPr="00222A5F" w:rsidRDefault="00A37F6E" w:rsidP="00A37F6E">
      <w:pPr>
        <w:spacing w:after="0" w:line="240" w:lineRule="auto"/>
        <w:jc w:val="right"/>
        <w:rPr>
          <w:rFonts w:ascii="Arial" w:eastAsia="Calibri" w:hAnsi="Arial" w:cs="Arial"/>
          <w:bCs/>
          <w:noProof/>
          <w:sz w:val="16"/>
          <w:szCs w:val="16"/>
          <w:lang w:val="es-ES_tradnl" w:eastAsia="es-ES"/>
        </w:rPr>
      </w:pPr>
      <w:r w:rsidRPr="00222A5F">
        <w:rPr>
          <w:rFonts w:ascii="Arial" w:eastAsia="Calibri" w:hAnsi="Arial" w:cs="Arial"/>
          <w:bCs/>
          <w:noProof/>
          <w:sz w:val="16"/>
          <w:szCs w:val="16"/>
          <w:lang w:val="es-ES_tradnl" w:eastAsia="es-ES"/>
        </w:rPr>
        <w:t>CCE-DES-FM-17</w:t>
      </w:r>
    </w:p>
    <w:p w14:paraId="69DB4536" w14:textId="77777777" w:rsidR="0051258A" w:rsidRPr="00E539A5" w:rsidRDefault="0051258A" w:rsidP="0051258A">
      <w:pPr>
        <w:spacing w:after="0" w:line="240" w:lineRule="auto"/>
        <w:jc w:val="both"/>
        <w:rPr>
          <w:rFonts w:ascii="Arial" w:eastAsia="Calibri" w:hAnsi="Arial" w:cs="Arial"/>
          <w:b/>
          <w:lang w:val="es-MX"/>
        </w:rPr>
      </w:pPr>
    </w:p>
    <w:p w14:paraId="283486A6" w14:textId="76AE2740" w:rsidR="00E446F6" w:rsidRDefault="00E446F6" w:rsidP="00E539A5">
      <w:pPr>
        <w:spacing w:after="0" w:line="240" w:lineRule="auto"/>
        <w:jc w:val="both"/>
        <w:rPr>
          <w:rFonts w:ascii="Arial" w:eastAsia="Calibri" w:hAnsi="Arial" w:cs="Arial"/>
          <w:b/>
          <w:lang w:val="es-MX"/>
        </w:rPr>
      </w:pPr>
      <w:r w:rsidRPr="00E539A5">
        <w:rPr>
          <w:rFonts w:ascii="Arial" w:eastAsia="Calibri" w:hAnsi="Arial" w:cs="Arial"/>
          <w:b/>
          <w:lang w:val="es-MX"/>
        </w:rPr>
        <w:t xml:space="preserve">DOCUMENTOS TIPO − Matriz 1 – Experiencia </w:t>
      </w:r>
      <w:r w:rsidR="00E539A5">
        <w:rPr>
          <w:rFonts w:ascii="Arial" w:eastAsia="Calibri" w:hAnsi="Arial" w:cs="Arial"/>
          <w:b/>
          <w:lang w:val="es-MX"/>
        </w:rPr>
        <w:t>–</w:t>
      </w:r>
      <w:r w:rsidRPr="00E539A5">
        <w:rPr>
          <w:rFonts w:ascii="Arial" w:eastAsia="Calibri" w:hAnsi="Arial" w:cs="Arial"/>
          <w:b/>
          <w:lang w:val="es-MX"/>
        </w:rPr>
        <w:t xml:space="preserve"> Aplicación</w:t>
      </w:r>
    </w:p>
    <w:p w14:paraId="3221023F" w14:textId="77777777" w:rsidR="00E539A5" w:rsidRPr="00E539A5" w:rsidRDefault="00E539A5" w:rsidP="00E539A5">
      <w:pPr>
        <w:spacing w:after="0" w:line="240" w:lineRule="auto"/>
        <w:jc w:val="both"/>
        <w:rPr>
          <w:rFonts w:ascii="Arial" w:eastAsia="Calibri" w:hAnsi="Arial" w:cs="Arial"/>
          <w:b/>
          <w:lang w:val="es-MX"/>
        </w:rPr>
      </w:pPr>
    </w:p>
    <w:p w14:paraId="62B96EAE" w14:textId="77777777" w:rsidR="00E446F6" w:rsidRPr="00176336" w:rsidRDefault="00E446F6" w:rsidP="00E539A5">
      <w:pPr>
        <w:spacing w:after="0" w:line="240" w:lineRule="auto"/>
        <w:jc w:val="both"/>
        <w:rPr>
          <w:rFonts w:ascii="Arial" w:eastAsia="Calibri" w:hAnsi="Arial" w:cs="Arial"/>
          <w:bCs/>
          <w:sz w:val="20"/>
          <w:szCs w:val="20"/>
          <w:lang w:val="es-MX"/>
        </w:rPr>
      </w:pPr>
      <w:r w:rsidRPr="00176336">
        <w:rPr>
          <w:rFonts w:ascii="Arial" w:eastAsia="Calibri" w:hAnsi="Arial" w:cs="Arial"/>
          <w:bCs/>
          <w:sz w:val="20"/>
          <w:szCs w:val="20"/>
          <w:lang w:val="es-MX"/>
        </w:rPr>
        <w:t>Ahora bien, uno de los elementos comunes a los diferentes documentos tipo es la «Matriz 1 – Experiencia» –en adelante Matriz 1–. Esta consta de unas celdas en las que se describe la experiencia requerida en relación con el objeto a contratar, definiendo además qué tipo de actividades relacionadas con cada sector deben acogerse a los pliegos tipo. Por otro lado, encontramos el «Anexo 3 – Glosario», el cual contiene las definiciones de los términos usados en los documentos del proceso. Utilizando estos dos documentos, la entidad estatal puede definir si el objeto a contratarse debe emplear los documentos tipo adoptados por esta Agencia.</w:t>
      </w:r>
    </w:p>
    <w:p w14:paraId="28A63E0F" w14:textId="77777777" w:rsidR="00E539A5" w:rsidRPr="00176336" w:rsidRDefault="00E539A5" w:rsidP="00E539A5">
      <w:pPr>
        <w:spacing w:after="0" w:line="240" w:lineRule="auto"/>
        <w:jc w:val="both"/>
        <w:rPr>
          <w:rFonts w:ascii="Arial" w:eastAsia="Calibri" w:hAnsi="Arial" w:cs="Arial"/>
          <w:bCs/>
          <w:sz w:val="20"/>
          <w:szCs w:val="20"/>
          <w:lang w:val="es-MX"/>
        </w:rPr>
      </w:pPr>
    </w:p>
    <w:p w14:paraId="7ED80704" w14:textId="77777777" w:rsidR="00E446F6" w:rsidRPr="00176336" w:rsidRDefault="00E446F6" w:rsidP="001E28C0">
      <w:pPr>
        <w:spacing w:after="0" w:line="240" w:lineRule="auto"/>
        <w:jc w:val="both"/>
        <w:rPr>
          <w:rFonts w:ascii="Arial" w:eastAsia="Calibri" w:hAnsi="Arial" w:cs="Arial"/>
          <w:bCs/>
          <w:sz w:val="20"/>
          <w:szCs w:val="20"/>
          <w:lang w:val="es-MX"/>
        </w:rPr>
      </w:pPr>
      <w:r w:rsidRPr="00176336">
        <w:rPr>
          <w:rFonts w:ascii="Arial" w:eastAsia="Calibri" w:hAnsi="Arial" w:cs="Arial"/>
          <w:bCs/>
          <w:sz w:val="20"/>
          <w:szCs w:val="20"/>
          <w:lang w:val="es-MX"/>
        </w:rPr>
        <w:t>Conforme a lo anterior, la Matriz 1, cumple una doble función: Por un lado, sirve para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w:t>
      </w:r>
    </w:p>
    <w:p w14:paraId="10A30497" w14:textId="77777777" w:rsidR="00E539A5" w:rsidRPr="00176336" w:rsidRDefault="00E539A5" w:rsidP="001E28C0">
      <w:pPr>
        <w:spacing w:after="0" w:line="240" w:lineRule="auto"/>
        <w:jc w:val="both"/>
        <w:rPr>
          <w:rFonts w:ascii="Arial" w:eastAsia="Calibri" w:hAnsi="Arial" w:cs="Arial"/>
          <w:bCs/>
          <w:sz w:val="20"/>
          <w:szCs w:val="20"/>
          <w:lang w:val="es-MX"/>
        </w:rPr>
      </w:pPr>
    </w:p>
    <w:p w14:paraId="40921452" w14:textId="77777777" w:rsidR="00E446F6" w:rsidRPr="00176336" w:rsidRDefault="00E446F6" w:rsidP="00E539A5">
      <w:pPr>
        <w:spacing w:after="0" w:line="240" w:lineRule="auto"/>
        <w:jc w:val="both"/>
        <w:rPr>
          <w:rFonts w:ascii="Arial" w:eastAsia="Calibri" w:hAnsi="Arial" w:cs="Arial"/>
          <w:bCs/>
          <w:sz w:val="20"/>
          <w:szCs w:val="20"/>
          <w:lang w:val="es-MX"/>
        </w:rPr>
      </w:pPr>
      <w:r w:rsidRPr="00176336">
        <w:rPr>
          <w:rFonts w:ascii="Arial" w:eastAsia="Calibri" w:hAnsi="Arial" w:cs="Arial"/>
          <w:bCs/>
          <w:sz w:val="20"/>
          <w:szCs w:val="20"/>
          <w:lang w:val="es-MX"/>
        </w:rPr>
        <w:t>De esta manera, para saber a qué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De esta manera, si el objeto contractual a ejecutar se encuadra materialmente dentro de alguno de los tipos actividades concretas señaladas en cada una de las matrices de experiencia, se tendrán que aplicar los documentos tipo, mientras que en el caso contrario no será forzosa su aplicación. En este sentido, en los documentos base de los documentos tipo, se indica que la entidad establecerá las condiciones de experiencia, tanto general como específica en las actividades que van a contratar. En este contexto, la entidad no podrá incluir condiciones distintas a las previstas en la matriz de experiencia y, por tanto, deberá transcribir textualmente lo indicado en ésta.</w:t>
      </w:r>
    </w:p>
    <w:p w14:paraId="653CE754" w14:textId="77777777" w:rsidR="00E446F6" w:rsidRPr="00E539A5" w:rsidRDefault="00E446F6" w:rsidP="00E539A5">
      <w:pPr>
        <w:spacing w:after="0" w:line="240" w:lineRule="auto"/>
        <w:jc w:val="both"/>
        <w:rPr>
          <w:rFonts w:ascii="Arial" w:eastAsia="Calibri" w:hAnsi="Arial" w:cs="Arial"/>
          <w:bCs/>
          <w:lang w:val="es-MX"/>
        </w:rPr>
      </w:pPr>
    </w:p>
    <w:p w14:paraId="50723AF3" w14:textId="7EE15CBD" w:rsidR="001D661B" w:rsidRPr="00E539A5" w:rsidRDefault="001D661B" w:rsidP="00E539A5">
      <w:pPr>
        <w:spacing w:after="0" w:line="240" w:lineRule="auto"/>
        <w:jc w:val="both"/>
        <w:rPr>
          <w:rFonts w:ascii="Arial" w:eastAsia="Calibri" w:hAnsi="Arial" w:cs="Arial"/>
          <w:b/>
          <w:lang w:val="es-MX"/>
        </w:rPr>
      </w:pPr>
      <w:r w:rsidRPr="00E539A5">
        <w:rPr>
          <w:rFonts w:ascii="Arial" w:eastAsia="Calibri" w:hAnsi="Arial" w:cs="Arial"/>
          <w:b/>
          <w:lang w:val="es-MX"/>
        </w:rPr>
        <w:t xml:space="preserve">ANEXO 3 – GLOSARIO - </w:t>
      </w:r>
      <w:r w:rsidR="00E446F6" w:rsidRPr="00E539A5">
        <w:rPr>
          <w:rFonts w:ascii="Arial" w:eastAsia="Calibri" w:hAnsi="Arial" w:cs="Arial"/>
          <w:b/>
          <w:lang w:val="es-MX"/>
        </w:rPr>
        <w:t>Vías primarias - Vías secundarias - Vías urbanas</w:t>
      </w:r>
    </w:p>
    <w:p w14:paraId="1F9D13C3" w14:textId="77777777" w:rsidR="001D661B" w:rsidRPr="00E539A5" w:rsidRDefault="001D661B" w:rsidP="00E539A5">
      <w:pPr>
        <w:spacing w:after="0" w:line="240" w:lineRule="auto"/>
        <w:jc w:val="both"/>
        <w:rPr>
          <w:rFonts w:ascii="Arial" w:eastAsia="Calibri" w:hAnsi="Arial" w:cs="Arial"/>
          <w:b/>
          <w:lang w:val="es-MX"/>
        </w:rPr>
      </w:pPr>
    </w:p>
    <w:p w14:paraId="608B8DD7" w14:textId="5B5FA344" w:rsidR="00710CDA" w:rsidRPr="00176336" w:rsidRDefault="00E446F6" w:rsidP="00710CDA">
      <w:pPr>
        <w:spacing w:after="0" w:line="240" w:lineRule="auto"/>
        <w:jc w:val="both"/>
        <w:rPr>
          <w:rFonts w:ascii="Arial" w:eastAsia="Calibri" w:hAnsi="Arial" w:cs="Arial"/>
          <w:bCs/>
          <w:sz w:val="20"/>
          <w:szCs w:val="20"/>
          <w:lang w:val="es-MX"/>
        </w:rPr>
      </w:pPr>
      <w:r w:rsidRPr="00176336">
        <w:rPr>
          <w:rFonts w:ascii="Arial" w:eastAsia="Calibri" w:hAnsi="Arial" w:cs="Arial"/>
          <w:bCs/>
          <w:sz w:val="20"/>
          <w:szCs w:val="20"/>
          <w:lang w:val="es-MX"/>
        </w:rPr>
        <w:t>El «Anexo 3 – Glosario» de los documentos tipo de infraestructura de transporte, consagra las definiciones de los términos usados en los Documentos del Proceso propios de la ingeniería civil, que deben tenerse en cuenta para una adecuada aplicación de los criterios establecidos en el documento base. La parte introductoria dispone que «[La Entidad deberá incluir en orden alfabético los conceptos adicionales que aplican al proceso de selección que no estén incluidos en el presente anexo con su respectiva fuente]». Así las cosas, aunque sea posible incluir términos adicionales en el anexo, las entidades no pueden modificar el contenido de las definiciones previstas en el glosario.</w:t>
      </w:r>
    </w:p>
    <w:p w14:paraId="7F075206" w14:textId="411FA7A2" w:rsidR="00E446F6" w:rsidRPr="00176336" w:rsidRDefault="00E446F6" w:rsidP="00710CDA">
      <w:pPr>
        <w:spacing w:after="0" w:line="240" w:lineRule="auto"/>
        <w:jc w:val="both"/>
        <w:rPr>
          <w:rFonts w:ascii="Arial" w:eastAsia="Calibri" w:hAnsi="Arial" w:cs="Arial"/>
          <w:bCs/>
          <w:sz w:val="20"/>
          <w:szCs w:val="20"/>
          <w:lang w:val="es-MX"/>
        </w:rPr>
      </w:pPr>
    </w:p>
    <w:p w14:paraId="766ECC5D" w14:textId="2657955F" w:rsidR="00E446F6" w:rsidRPr="00176336" w:rsidRDefault="00E446F6" w:rsidP="00710CDA">
      <w:pPr>
        <w:spacing w:after="0" w:line="240" w:lineRule="auto"/>
        <w:jc w:val="both"/>
        <w:rPr>
          <w:rFonts w:ascii="Arial" w:eastAsia="Calibri" w:hAnsi="Arial" w:cs="Arial"/>
          <w:bCs/>
          <w:sz w:val="20"/>
          <w:szCs w:val="20"/>
          <w:lang w:val="es-MX"/>
        </w:rPr>
      </w:pPr>
      <w:r w:rsidRPr="00176336">
        <w:rPr>
          <w:rFonts w:ascii="Arial" w:eastAsia="Calibri" w:hAnsi="Arial" w:cs="Arial"/>
          <w:bCs/>
          <w:sz w:val="20"/>
          <w:szCs w:val="20"/>
          <w:lang w:val="es-MX"/>
        </w:rPr>
        <w:t>[…]</w:t>
      </w:r>
    </w:p>
    <w:p w14:paraId="525C0DC5" w14:textId="0F699370" w:rsidR="00E446F6" w:rsidRPr="00176336" w:rsidRDefault="00E446F6" w:rsidP="00710CDA">
      <w:pPr>
        <w:spacing w:after="0" w:line="240" w:lineRule="auto"/>
        <w:jc w:val="both"/>
        <w:rPr>
          <w:rFonts w:ascii="Arial" w:eastAsia="Calibri" w:hAnsi="Arial" w:cs="Arial"/>
          <w:bCs/>
          <w:sz w:val="20"/>
          <w:szCs w:val="20"/>
          <w:lang w:val="es-MX"/>
        </w:rPr>
      </w:pPr>
    </w:p>
    <w:p w14:paraId="6049E3D6" w14:textId="53C8C986" w:rsidR="00E446F6" w:rsidRPr="00176336" w:rsidRDefault="00E446F6" w:rsidP="00710CDA">
      <w:pPr>
        <w:spacing w:after="0" w:line="240" w:lineRule="auto"/>
        <w:jc w:val="both"/>
        <w:rPr>
          <w:rFonts w:ascii="Arial" w:eastAsia="Calibri" w:hAnsi="Arial" w:cs="Arial"/>
          <w:bCs/>
          <w:sz w:val="20"/>
          <w:szCs w:val="20"/>
          <w:lang w:val="es-MX"/>
        </w:rPr>
      </w:pPr>
      <w:r w:rsidRPr="00176336">
        <w:rPr>
          <w:rFonts w:ascii="Arial" w:eastAsia="Calibri" w:hAnsi="Arial" w:cs="Arial"/>
          <w:bCs/>
          <w:sz w:val="20"/>
          <w:szCs w:val="20"/>
          <w:lang w:val="es-MX"/>
        </w:rPr>
        <w:t>Tal como se advierte, la definición de vías primarias, secundarías y urbanas indica que se trata de conceptos diferentes, pues</w:t>
      </w:r>
      <w:r w:rsidR="00256006" w:rsidRPr="00176336">
        <w:rPr>
          <w:rFonts w:ascii="Arial" w:eastAsia="Calibri" w:hAnsi="Arial" w:cs="Arial"/>
          <w:bCs/>
          <w:sz w:val="20"/>
          <w:szCs w:val="20"/>
          <w:lang w:val="es-MX"/>
        </w:rPr>
        <w:t>to que</w:t>
      </w:r>
      <w:r w:rsidRPr="00176336">
        <w:rPr>
          <w:rFonts w:ascii="Arial" w:eastAsia="Calibri" w:hAnsi="Arial" w:cs="Arial"/>
          <w:bCs/>
          <w:sz w:val="20"/>
          <w:szCs w:val="20"/>
          <w:lang w:val="es-MX"/>
        </w:rPr>
        <w:t>, las carreteras o vías primarias son troncales, transversales y accesos a capitales de departamento; las carreteras o vías secundarias son vías que unen las cabeceras municipales entre sí y/o que provienen de una cabecera municipal y conectan con una carretera primaria, mientras que, las vías urbanas son calles, carreras, transversales, avenidas, diagonales, glorietas, autopistas, troncales, variantes, etc., localizadas dentro de un perímetro urbano.</w:t>
      </w:r>
    </w:p>
    <w:p w14:paraId="496E1673" w14:textId="4F16EB9B" w:rsidR="009F0676" w:rsidRPr="00176336" w:rsidRDefault="009F0676" w:rsidP="00E539A5">
      <w:pPr>
        <w:spacing w:after="0" w:line="240" w:lineRule="auto"/>
        <w:jc w:val="both"/>
        <w:rPr>
          <w:rFonts w:ascii="Arial" w:eastAsia="Calibri" w:hAnsi="Arial" w:cs="Arial"/>
          <w:b/>
          <w:sz w:val="20"/>
          <w:szCs w:val="20"/>
          <w:lang w:val="es-MX"/>
        </w:rPr>
      </w:pPr>
    </w:p>
    <w:p w14:paraId="2509D09D" w14:textId="63A5377B" w:rsidR="0046438B" w:rsidRPr="00176336" w:rsidRDefault="0046438B" w:rsidP="00E539A5">
      <w:pPr>
        <w:spacing w:after="0" w:line="240" w:lineRule="auto"/>
        <w:jc w:val="both"/>
        <w:rPr>
          <w:rFonts w:ascii="Arial" w:eastAsia="Calibri" w:hAnsi="Arial" w:cs="Arial"/>
          <w:b/>
          <w:sz w:val="20"/>
          <w:szCs w:val="20"/>
          <w:lang w:val="es-MX"/>
        </w:rPr>
      </w:pPr>
    </w:p>
    <w:p w14:paraId="1E81EEF9" w14:textId="77777777" w:rsidR="008A0F4C" w:rsidRPr="00E539A5" w:rsidRDefault="008A0F4C" w:rsidP="00E539A5">
      <w:pPr>
        <w:spacing w:after="0" w:line="240" w:lineRule="auto"/>
        <w:jc w:val="both"/>
        <w:rPr>
          <w:rFonts w:ascii="Arial" w:eastAsia="Calibri" w:hAnsi="Arial" w:cs="Arial"/>
          <w:b/>
          <w:lang w:val="es-MX"/>
        </w:rPr>
      </w:pPr>
    </w:p>
    <w:p w14:paraId="0966C05F" w14:textId="77777777" w:rsidR="008E0688" w:rsidRDefault="008E0688" w:rsidP="0046438B">
      <w:pPr>
        <w:spacing w:after="0" w:line="240" w:lineRule="auto"/>
        <w:rPr>
          <w:rFonts w:ascii="Arial" w:eastAsia="Calibri" w:hAnsi="Arial" w:cs="Arial"/>
          <w:color w:val="000000" w:themeColor="text1"/>
          <w:szCs w:val="20"/>
          <w:lang w:val="es-MX"/>
        </w:rPr>
      </w:pPr>
    </w:p>
    <w:p w14:paraId="1D6CFEA1" w14:textId="77777777" w:rsidR="00E539A5" w:rsidRDefault="00E539A5">
      <w:pPr>
        <w:rPr>
          <w:rFonts w:ascii="Arial" w:hAnsi="Arial" w:cs="Arial"/>
        </w:rPr>
      </w:pPr>
      <w:r>
        <w:rPr>
          <w:rFonts w:ascii="Arial" w:hAnsi="Arial" w:cs="Arial"/>
        </w:rPr>
        <w:br w:type="page"/>
      </w:r>
    </w:p>
    <w:p w14:paraId="6DF89368" w14:textId="55B2046B" w:rsidR="0082778B" w:rsidRDefault="00EC5BF8" w:rsidP="0082778B">
      <w:pPr>
        <w:rPr>
          <w:rFonts w:ascii="Arial" w:hAnsi="Arial" w:cs="Arial"/>
        </w:rPr>
      </w:pPr>
      <w:r w:rsidRPr="00EC5BF8">
        <w:rPr>
          <w:rFonts w:ascii="Arial" w:eastAsia="Calibri" w:hAnsi="Arial" w:cs="Arial"/>
          <w:noProof/>
        </w:rPr>
        <w:lastRenderedPageBreak/>
        <w:drawing>
          <wp:anchor distT="0" distB="0" distL="114300" distR="114300" simplePos="0" relativeHeight="251658240" behindDoc="1" locked="0" layoutInCell="1" allowOverlap="1" wp14:anchorId="0734FFC6" wp14:editId="29605B35">
            <wp:simplePos x="0" y="0"/>
            <wp:positionH relativeFrom="margin">
              <wp:align>right</wp:align>
            </wp:positionH>
            <wp:positionV relativeFrom="paragraph">
              <wp:posOffset>-543972</wp:posOffset>
            </wp:positionV>
            <wp:extent cx="3194462" cy="790483"/>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462" cy="7904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2A87C" w14:textId="18169234" w:rsidR="00EC5BF8" w:rsidRDefault="00EC5BF8" w:rsidP="0082778B">
      <w:pPr>
        <w:rPr>
          <w:rFonts w:ascii="Arial" w:hAnsi="Arial" w:cs="Arial"/>
        </w:rPr>
      </w:pPr>
    </w:p>
    <w:p w14:paraId="32CC0F69" w14:textId="0AC7D137" w:rsidR="00EC5BF8" w:rsidRDefault="00EC5BF8" w:rsidP="0082778B">
      <w:pPr>
        <w:rPr>
          <w:rFonts w:ascii="Arial" w:hAnsi="Arial" w:cs="Arial"/>
        </w:rPr>
      </w:pPr>
      <w:r>
        <w:rPr>
          <w:rFonts w:ascii="ArialMT" w:hAnsi="ArialMT" w:cs="ArialMT"/>
          <w:color w:val="4E4D4D"/>
        </w:rPr>
        <w:t>Bogotá, 23 Mayo 2022</w:t>
      </w:r>
    </w:p>
    <w:p w14:paraId="6A00DF9E" w14:textId="2210BD98" w:rsidR="00EC5BF8" w:rsidRPr="0045129A" w:rsidRDefault="00EC5BF8" w:rsidP="0082778B">
      <w:pPr>
        <w:rPr>
          <w:rFonts w:ascii="Arial" w:eastAsia="Calibri" w:hAnsi="Arial" w:cs="Arial"/>
        </w:rPr>
      </w:pPr>
    </w:p>
    <w:p w14:paraId="3A180155" w14:textId="77777777" w:rsidR="00C74AF8" w:rsidRPr="00C74AF8" w:rsidRDefault="00C74AF8" w:rsidP="00C74AF8">
      <w:pPr>
        <w:spacing w:after="0" w:line="240" w:lineRule="auto"/>
        <w:rPr>
          <w:rFonts w:ascii="Arial" w:eastAsia="Calibri" w:hAnsi="Arial" w:cs="Arial"/>
          <w:color w:val="000000" w:themeColor="text1"/>
          <w:szCs w:val="20"/>
          <w:lang w:val="es-MX"/>
        </w:rPr>
      </w:pPr>
      <w:r w:rsidRPr="00C74AF8">
        <w:rPr>
          <w:rFonts w:ascii="Arial" w:eastAsia="Calibri" w:hAnsi="Arial" w:cs="Arial"/>
          <w:color w:val="000000" w:themeColor="text1"/>
          <w:szCs w:val="20"/>
          <w:lang w:val="es-MX"/>
        </w:rPr>
        <w:t>Señor(a)</w:t>
      </w:r>
    </w:p>
    <w:p w14:paraId="36E23672" w14:textId="45F7DD17" w:rsidR="0046438B" w:rsidRPr="00C74AF8" w:rsidRDefault="00C74AF8" w:rsidP="00C74AF8">
      <w:pPr>
        <w:spacing w:after="0" w:line="240" w:lineRule="auto"/>
        <w:rPr>
          <w:rFonts w:ascii="Arial" w:eastAsia="Calibri" w:hAnsi="Arial" w:cs="Arial"/>
          <w:b/>
          <w:bCs/>
          <w:color w:val="000000" w:themeColor="text1"/>
          <w:szCs w:val="20"/>
          <w:lang w:val="es-MX"/>
        </w:rPr>
      </w:pPr>
      <w:r w:rsidRPr="00C74AF8">
        <w:rPr>
          <w:rFonts w:ascii="Arial" w:eastAsia="Calibri" w:hAnsi="Arial" w:cs="Arial"/>
          <w:b/>
          <w:bCs/>
          <w:color w:val="000000" w:themeColor="text1"/>
          <w:szCs w:val="20"/>
          <w:lang w:val="es-MX"/>
        </w:rPr>
        <w:t>PETICIONARIO(A)</w:t>
      </w:r>
    </w:p>
    <w:p w14:paraId="5900098A" w14:textId="69DB3FC9" w:rsidR="00C74AF8" w:rsidRPr="0046438B" w:rsidRDefault="00C74AF8" w:rsidP="00C74AF8">
      <w:pPr>
        <w:spacing w:after="0" w:line="240" w:lineRule="auto"/>
        <w:rPr>
          <w:rFonts w:ascii="Arial" w:eastAsia="Calibri" w:hAnsi="Arial" w:cs="Arial"/>
          <w:color w:val="000000" w:themeColor="text1"/>
          <w:szCs w:val="20"/>
          <w:lang w:val="es-MX"/>
        </w:rPr>
      </w:pPr>
      <w:r>
        <w:rPr>
          <w:rFonts w:ascii="Arial" w:eastAsia="Calibri" w:hAnsi="Arial" w:cs="Arial"/>
          <w:color w:val="000000" w:themeColor="text1"/>
          <w:szCs w:val="20"/>
          <w:lang w:val="es-MX"/>
        </w:rPr>
        <w:t>Ciudad</w:t>
      </w:r>
    </w:p>
    <w:p w14:paraId="1F4F8B3B" w14:textId="77777777" w:rsidR="0046438B" w:rsidRPr="0046438B" w:rsidRDefault="0046438B" w:rsidP="0046438B">
      <w:pPr>
        <w:spacing w:after="0" w:line="240" w:lineRule="auto"/>
        <w:rPr>
          <w:rFonts w:ascii="Arial" w:eastAsia="Calibri" w:hAnsi="Arial" w:cs="Arial"/>
          <w:color w:val="000000" w:themeColor="text1"/>
          <w:szCs w:val="20"/>
          <w:lang w:val="es-MX"/>
        </w:rPr>
      </w:pPr>
    </w:p>
    <w:p w14:paraId="2478CA25" w14:textId="77777777" w:rsidR="00F1779C" w:rsidRDefault="00F1779C" w:rsidP="00291251">
      <w:pPr>
        <w:spacing w:after="0" w:line="240" w:lineRule="auto"/>
        <w:rPr>
          <w:rFonts w:ascii="Arial" w:eastAsia="Calibri" w:hAnsi="Arial" w:cs="Arial"/>
          <w:b/>
          <w:color w:val="000000" w:themeColor="text1"/>
          <w:lang w:val="es-MX"/>
        </w:rPr>
      </w:pPr>
    </w:p>
    <w:p w14:paraId="499D2BC7" w14:textId="762FD7DA" w:rsidR="0046438B" w:rsidRPr="008B6170" w:rsidRDefault="0046438B" w:rsidP="008B6170">
      <w:pPr>
        <w:spacing w:after="0" w:line="240" w:lineRule="auto"/>
        <w:jc w:val="center"/>
        <w:rPr>
          <w:rFonts w:ascii="Arial" w:eastAsia="Calibri" w:hAnsi="Arial" w:cs="Arial"/>
          <w:b/>
          <w:lang w:val="es-MX"/>
        </w:rPr>
      </w:pPr>
      <w:r w:rsidRPr="008B6170">
        <w:rPr>
          <w:rFonts w:ascii="Arial" w:eastAsia="Calibri" w:hAnsi="Arial" w:cs="Arial"/>
          <w:b/>
          <w:lang w:val="es-MX"/>
        </w:rPr>
        <w:t xml:space="preserve">Concepto C </w:t>
      </w:r>
      <w:r w:rsidR="008A0F4C" w:rsidRPr="008B6170">
        <w:rPr>
          <w:rFonts w:ascii="Arial" w:eastAsia="Calibri" w:hAnsi="Arial" w:cs="Arial"/>
          <w:b/>
          <w:lang w:val="es-MX"/>
        </w:rPr>
        <w:t>–</w:t>
      </w:r>
      <w:r w:rsidRPr="008B6170">
        <w:rPr>
          <w:rFonts w:ascii="Arial" w:eastAsia="Calibri" w:hAnsi="Arial" w:cs="Arial"/>
          <w:b/>
          <w:lang w:val="es-MX"/>
        </w:rPr>
        <w:t xml:space="preserve"> </w:t>
      </w:r>
      <w:r w:rsidR="0082778B" w:rsidRPr="008B6170">
        <w:rPr>
          <w:rFonts w:ascii="Arial" w:eastAsia="Calibri" w:hAnsi="Arial" w:cs="Arial"/>
          <w:b/>
          <w:lang w:val="es-MX"/>
        </w:rPr>
        <w:t>372</w:t>
      </w:r>
      <w:r w:rsidRPr="008B6170">
        <w:rPr>
          <w:rFonts w:ascii="Arial" w:eastAsia="Calibri" w:hAnsi="Arial" w:cs="Arial"/>
          <w:b/>
          <w:lang w:val="es-MX"/>
        </w:rPr>
        <w:t xml:space="preserve"> de 202</w:t>
      </w:r>
      <w:r w:rsidR="0082778B" w:rsidRPr="008B6170">
        <w:rPr>
          <w:rFonts w:ascii="Arial" w:eastAsia="Calibri" w:hAnsi="Arial" w:cs="Arial"/>
          <w:b/>
          <w:lang w:val="es-MX"/>
        </w:rPr>
        <w:t>2</w:t>
      </w:r>
    </w:p>
    <w:p w14:paraId="2DA546DD" w14:textId="77777777" w:rsidR="0046438B" w:rsidRPr="0046438B" w:rsidRDefault="0046438B" w:rsidP="0046438B">
      <w:pPr>
        <w:spacing w:after="0" w:line="240" w:lineRule="auto"/>
        <w:rPr>
          <w:rFonts w:ascii="Arial" w:eastAsia="Calibri" w:hAnsi="Arial" w:cs="Arial"/>
          <w:color w:val="000000" w:themeColor="text1"/>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6438B" w:rsidRPr="0046438B" w14:paraId="16E695D1" w14:textId="77777777" w:rsidTr="00116440">
        <w:tc>
          <w:tcPr>
            <w:tcW w:w="2689" w:type="dxa"/>
            <w:hideMark/>
          </w:tcPr>
          <w:p w14:paraId="389C5065" w14:textId="77777777" w:rsidR="0046438B" w:rsidRPr="0046438B" w:rsidRDefault="0046438B" w:rsidP="0046438B">
            <w:pPr>
              <w:rPr>
                <w:rFonts w:ascii="Arial" w:eastAsia="Calibri" w:hAnsi="Arial" w:cs="Arial"/>
                <w:color w:val="000000" w:themeColor="text1"/>
                <w:lang w:val="es-MX"/>
              </w:rPr>
            </w:pPr>
            <w:r w:rsidRPr="0046438B">
              <w:rPr>
                <w:rFonts w:ascii="Arial" w:eastAsia="Calibri" w:hAnsi="Arial" w:cs="Arial"/>
                <w:b/>
                <w:color w:val="000000" w:themeColor="text1"/>
                <w:lang w:val="es-MX"/>
              </w:rPr>
              <w:t>Temas:</w:t>
            </w:r>
            <w:r w:rsidRPr="0046438B">
              <w:rPr>
                <w:rFonts w:ascii="Arial" w:eastAsia="Calibri" w:hAnsi="Arial" w:cs="Arial"/>
                <w:color w:val="000000" w:themeColor="text1"/>
                <w:lang w:val="es-MX"/>
              </w:rPr>
              <w:t xml:space="preserve">           </w:t>
            </w:r>
          </w:p>
          <w:p w14:paraId="5FC510CD" w14:textId="77777777" w:rsidR="0046438B" w:rsidRPr="0046438B" w:rsidRDefault="0046438B" w:rsidP="0046438B">
            <w:pPr>
              <w:rPr>
                <w:rFonts w:ascii="Arial" w:eastAsia="Calibri" w:hAnsi="Arial" w:cs="Arial"/>
                <w:color w:val="000000" w:themeColor="text1"/>
                <w:lang w:val="es-MX"/>
              </w:rPr>
            </w:pPr>
            <w:r w:rsidRPr="0046438B">
              <w:rPr>
                <w:rFonts w:ascii="Arial" w:eastAsia="Calibri" w:hAnsi="Arial" w:cs="Arial"/>
                <w:color w:val="000000" w:themeColor="text1"/>
                <w:lang w:val="es-MX"/>
              </w:rPr>
              <w:t xml:space="preserve">                           </w:t>
            </w:r>
          </w:p>
        </w:tc>
        <w:tc>
          <w:tcPr>
            <w:tcW w:w="6237" w:type="dxa"/>
            <w:hideMark/>
          </w:tcPr>
          <w:p w14:paraId="5A230F93" w14:textId="77777777" w:rsidR="00E446F6" w:rsidRPr="00996B74" w:rsidRDefault="00E446F6" w:rsidP="00996B74">
            <w:pPr>
              <w:widowControl w:val="0"/>
              <w:autoSpaceDE w:val="0"/>
              <w:autoSpaceDN w:val="0"/>
              <w:adjustRightInd w:val="0"/>
              <w:spacing w:line="300" w:lineRule="atLeast"/>
              <w:jc w:val="both"/>
              <w:rPr>
                <w:rFonts w:ascii="Arial" w:hAnsi="Arial" w:cs="Arial"/>
                <w:color w:val="000000" w:themeColor="text1"/>
                <w:lang w:val="es-ES_tradnl"/>
              </w:rPr>
            </w:pPr>
            <w:r w:rsidRPr="00996B74">
              <w:rPr>
                <w:rFonts w:ascii="Arial" w:hAnsi="Arial" w:cs="Arial"/>
                <w:color w:val="000000" w:themeColor="text1"/>
                <w:lang w:val="es-ES_tradnl"/>
              </w:rPr>
              <w:t>DOCUMENTOS TIPO − Matriz 1 – Experiencia − Aplicación</w:t>
            </w:r>
          </w:p>
          <w:p w14:paraId="5C850AE5" w14:textId="0A1BF7E5" w:rsidR="00366B5B" w:rsidRPr="00996B74" w:rsidRDefault="00366B5B" w:rsidP="007F1F4E">
            <w:pPr>
              <w:widowControl w:val="0"/>
              <w:autoSpaceDE w:val="0"/>
              <w:autoSpaceDN w:val="0"/>
              <w:adjustRightInd w:val="0"/>
              <w:spacing w:line="300" w:lineRule="atLeast"/>
              <w:rPr>
                <w:rFonts w:ascii="Arial" w:hAnsi="Arial" w:cs="Arial"/>
                <w:color w:val="000000" w:themeColor="text1"/>
                <w:lang w:val="es-ES_tradnl"/>
              </w:rPr>
            </w:pPr>
            <w:r w:rsidRPr="00996B74">
              <w:rPr>
                <w:rFonts w:ascii="Arial" w:hAnsi="Arial" w:cs="Arial"/>
                <w:color w:val="000000" w:themeColor="text1"/>
                <w:lang w:val="es-ES_tradnl"/>
              </w:rPr>
              <w:t xml:space="preserve"> / </w:t>
            </w:r>
            <w:r w:rsidR="00E446F6" w:rsidRPr="00996B74">
              <w:rPr>
                <w:rFonts w:ascii="Arial" w:hAnsi="Arial" w:cs="Arial"/>
                <w:color w:val="000000" w:themeColor="text1"/>
                <w:lang w:val="es-ES_tradnl"/>
              </w:rPr>
              <w:t>ANEXO 3 – GLOSARIO - Vías primarias - Vías secundarias - Vías urbanas</w:t>
            </w:r>
          </w:p>
          <w:p w14:paraId="10F15F6D" w14:textId="77777777" w:rsidR="0046438B" w:rsidRPr="00996B74" w:rsidRDefault="0046438B" w:rsidP="00996B74">
            <w:pPr>
              <w:widowControl w:val="0"/>
              <w:autoSpaceDE w:val="0"/>
              <w:autoSpaceDN w:val="0"/>
              <w:adjustRightInd w:val="0"/>
              <w:spacing w:line="300" w:lineRule="atLeast"/>
              <w:jc w:val="both"/>
              <w:rPr>
                <w:rFonts w:ascii="Arial" w:hAnsi="Arial" w:cs="Arial"/>
                <w:color w:val="000000" w:themeColor="text1"/>
                <w:lang w:val="es-ES_tradnl"/>
              </w:rPr>
            </w:pPr>
          </w:p>
        </w:tc>
      </w:tr>
      <w:tr w:rsidR="0046438B" w:rsidRPr="0046438B" w14:paraId="6A868A54" w14:textId="77777777" w:rsidTr="00116440">
        <w:tc>
          <w:tcPr>
            <w:tcW w:w="2689" w:type="dxa"/>
          </w:tcPr>
          <w:p w14:paraId="270E35C3" w14:textId="77777777" w:rsidR="0046438B" w:rsidRPr="0046438B" w:rsidRDefault="0046438B" w:rsidP="0046438B">
            <w:pPr>
              <w:rPr>
                <w:rFonts w:ascii="Arial" w:eastAsia="Calibri" w:hAnsi="Arial" w:cs="Arial"/>
                <w:b/>
                <w:color w:val="000000" w:themeColor="text1"/>
                <w:lang w:val="es-MX"/>
              </w:rPr>
            </w:pPr>
            <w:r w:rsidRPr="0046438B">
              <w:rPr>
                <w:rFonts w:ascii="Arial" w:eastAsia="Calibri" w:hAnsi="Arial" w:cs="Arial"/>
                <w:b/>
                <w:color w:val="000000" w:themeColor="text1"/>
                <w:lang w:val="es-MX"/>
              </w:rPr>
              <w:t>Radicación:</w:t>
            </w:r>
            <w:r w:rsidRPr="0046438B">
              <w:rPr>
                <w:rFonts w:ascii="Arial" w:eastAsia="Calibri" w:hAnsi="Arial" w:cs="Arial"/>
                <w:color w:val="000000" w:themeColor="text1"/>
                <w:lang w:val="es-MX"/>
              </w:rPr>
              <w:t xml:space="preserve">                              </w:t>
            </w:r>
          </w:p>
        </w:tc>
        <w:tc>
          <w:tcPr>
            <w:tcW w:w="6237" w:type="dxa"/>
          </w:tcPr>
          <w:p w14:paraId="67315493" w14:textId="55761054" w:rsidR="0046438B" w:rsidRPr="00996B74" w:rsidRDefault="0046438B" w:rsidP="00996B74">
            <w:pPr>
              <w:widowControl w:val="0"/>
              <w:autoSpaceDE w:val="0"/>
              <w:autoSpaceDN w:val="0"/>
              <w:adjustRightInd w:val="0"/>
              <w:spacing w:line="300" w:lineRule="atLeast"/>
              <w:jc w:val="both"/>
              <w:rPr>
                <w:rFonts w:ascii="Arial" w:hAnsi="Arial" w:cs="Arial"/>
                <w:color w:val="000000" w:themeColor="text1"/>
                <w:lang w:val="es-ES_tradnl"/>
              </w:rPr>
            </w:pPr>
            <w:r w:rsidRPr="00996B74">
              <w:rPr>
                <w:rFonts w:ascii="Arial" w:hAnsi="Arial" w:cs="Arial"/>
                <w:color w:val="000000" w:themeColor="text1"/>
                <w:lang w:val="es-ES_tradnl"/>
              </w:rPr>
              <w:t xml:space="preserve">Respuesta a la consulta # </w:t>
            </w:r>
            <w:r w:rsidR="0082778B" w:rsidRPr="00996B74">
              <w:rPr>
                <w:rFonts w:ascii="Arial" w:hAnsi="Arial" w:cs="Arial"/>
                <w:color w:val="000000" w:themeColor="text1"/>
                <w:lang w:val="es-ES_tradnl"/>
              </w:rPr>
              <w:t>P20220426004085</w:t>
            </w:r>
          </w:p>
        </w:tc>
      </w:tr>
    </w:tbl>
    <w:p w14:paraId="4675AD2E" w14:textId="77777777" w:rsidR="0046438B" w:rsidRPr="0046438B" w:rsidRDefault="0046438B" w:rsidP="0046438B">
      <w:pPr>
        <w:spacing w:after="0" w:line="240" w:lineRule="auto"/>
        <w:jc w:val="both"/>
        <w:rPr>
          <w:rFonts w:ascii="Arial" w:eastAsia="Calibri" w:hAnsi="Arial" w:cs="Arial"/>
          <w:color w:val="000000" w:themeColor="text1"/>
          <w:lang w:val="es-MX"/>
        </w:rPr>
      </w:pPr>
    </w:p>
    <w:p w14:paraId="7F2F7AFA" w14:textId="77777777" w:rsidR="008A0F4C" w:rsidRDefault="008A0F4C" w:rsidP="0046438B">
      <w:pPr>
        <w:spacing w:after="0" w:line="240" w:lineRule="auto"/>
        <w:rPr>
          <w:rFonts w:ascii="Arial" w:eastAsia="Calibri" w:hAnsi="Arial" w:cs="Arial"/>
          <w:color w:val="000000" w:themeColor="text1"/>
          <w:lang w:val="es-MX"/>
        </w:rPr>
      </w:pPr>
    </w:p>
    <w:p w14:paraId="248EBA2F" w14:textId="2B8764EF" w:rsidR="0046438B" w:rsidRPr="005065B5" w:rsidRDefault="005065B5" w:rsidP="005065B5">
      <w:pPr>
        <w:rPr>
          <w:rFonts w:ascii="Arial" w:eastAsia="Calibri" w:hAnsi="Arial" w:cs="Arial"/>
          <w:color w:val="000000" w:themeColor="text1"/>
          <w:lang w:val="es-ES_tradnl"/>
        </w:rPr>
      </w:pPr>
      <w:r w:rsidRPr="00DC7381">
        <w:rPr>
          <w:rFonts w:ascii="Arial" w:eastAsia="Calibri" w:hAnsi="Arial" w:cs="Arial"/>
          <w:color w:val="000000" w:themeColor="text1"/>
          <w:lang w:val="es-ES_tradnl"/>
        </w:rPr>
        <w:t>Estimado(a) señor(a):</w:t>
      </w:r>
    </w:p>
    <w:p w14:paraId="128957F9" w14:textId="690B0E4A" w:rsidR="0046438B" w:rsidRPr="0046438B" w:rsidRDefault="0046438B" w:rsidP="00256006">
      <w:pPr>
        <w:spacing w:after="0" w:line="276" w:lineRule="auto"/>
        <w:ind w:right="51"/>
        <w:jc w:val="both"/>
        <w:rPr>
          <w:rFonts w:ascii="Arial" w:hAnsi="Arial" w:cs="Arial"/>
          <w:color w:val="000000" w:themeColor="text1"/>
          <w:lang w:val="es-MX"/>
        </w:rPr>
      </w:pPr>
      <w:r w:rsidRPr="0046438B">
        <w:rPr>
          <w:rFonts w:ascii="Arial" w:hAnsi="Arial" w:cs="Arial"/>
          <w:color w:val="000000" w:themeColor="text1"/>
          <w:lang w:val="es-MX"/>
        </w:rPr>
        <w:t xml:space="preserve">En ejercicio de la competencia otorgada por el numeral 8 del artículo 11 y el numeral 5 del artículo 3 del Decreto Ley 4170 de 2011, la Agencia Nacional de Contratación Pública </w:t>
      </w:r>
      <w:r w:rsidR="008A0F4C">
        <w:rPr>
          <w:rFonts w:ascii="Arial" w:hAnsi="Arial" w:cs="Arial"/>
          <w:color w:val="000000" w:themeColor="text1"/>
          <w:lang w:val="es-MX"/>
        </w:rPr>
        <w:t xml:space="preserve">– </w:t>
      </w:r>
      <w:r w:rsidRPr="0046438B">
        <w:rPr>
          <w:rFonts w:ascii="Arial" w:hAnsi="Arial" w:cs="Arial"/>
          <w:color w:val="000000" w:themeColor="text1"/>
          <w:lang w:val="es-MX"/>
        </w:rPr>
        <w:t xml:space="preserve">Colombia Compra Eficiente responde su consulta del </w:t>
      </w:r>
      <w:r w:rsidR="00402991">
        <w:rPr>
          <w:rFonts w:ascii="Arial" w:hAnsi="Arial" w:cs="Arial"/>
          <w:color w:val="000000" w:themeColor="text1"/>
          <w:lang w:val="es-MX"/>
        </w:rPr>
        <w:t>2</w:t>
      </w:r>
      <w:r w:rsidR="0082778B">
        <w:rPr>
          <w:rFonts w:ascii="Arial" w:hAnsi="Arial" w:cs="Arial"/>
          <w:color w:val="000000" w:themeColor="text1"/>
          <w:lang w:val="es-MX"/>
        </w:rPr>
        <w:t>6 de abril de 2022</w:t>
      </w:r>
      <w:r w:rsidRPr="0046438B">
        <w:rPr>
          <w:rFonts w:ascii="Arial" w:hAnsi="Arial" w:cs="Arial"/>
          <w:color w:val="000000" w:themeColor="text1"/>
          <w:lang w:val="es-MX"/>
        </w:rPr>
        <w:t xml:space="preserve">. </w:t>
      </w:r>
    </w:p>
    <w:p w14:paraId="3A009618" w14:textId="77777777" w:rsidR="0046438B" w:rsidRPr="0046438B" w:rsidRDefault="0046438B" w:rsidP="00256006">
      <w:pPr>
        <w:tabs>
          <w:tab w:val="left" w:pos="284"/>
        </w:tabs>
        <w:spacing w:after="0" w:line="276" w:lineRule="auto"/>
        <w:contextualSpacing/>
        <w:jc w:val="both"/>
        <w:rPr>
          <w:rFonts w:ascii="Arial" w:hAnsi="Arial" w:cs="Arial"/>
          <w:color w:val="000000" w:themeColor="text1"/>
          <w:lang w:val="es-MX"/>
        </w:rPr>
      </w:pPr>
    </w:p>
    <w:p w14:paraId="438AD7C2" w14:textId="77777777" w:rsidR="0046438B" w:rsidRPr="0046438B" w:rsidRDefault="0046438B" w:rsidP="00996B74">
      <w:pPr>
        <w:tabs>
          <w:tab w:val="left" w:pos="284"/>
        </w:tabs>
        <w:spacing w:after="0" w:line="240" w:lineRule="auto"/>
        <w:contextualSpacing/>
        <w:jc w:val="both"/>
        <w:rPr>
          <w:rFonts w:ascii="Arial" w:eastAsia="Calibri" w:hAnsi="Arial" w:cs="Arial"/>
          <w:b/>
          <w:color w:val="000000" w:themeColor="text1"/>
          <w:lang w:val="es-MX"/>
        </w:rPr>
      </w:pPr>
      <w:r w:rsidRPr="0046438B">
        <w:rPr>
          <w:rFonts w:ascii="Arial" w:eastAsia="Calibri" w:hAnsi="Arial" w:cs="Arial"/>
          <w:b/>
          <w:color w:val="000000" w:themeColor="text1"/>
          <w:lang w:val="es-MX"/>
        </w:rPr>
        <w:t>1.</w:t>
      </w:r>
      <w:r w:rsidRPr="0046438B">
        <w:rPr>
          <w:rFonts w:ascii="Arial" w:eastAsia="Calibri" w:hAnsi="Arial" w:cs="Arial"/>
          <w:color w:val="000000" w:themeColor="text1"/>
          <w:lang w:val="es-MX"/>
        </w:rPr>
        <w:t xml:space="preserve"> </w:t>
      </w:r>
      <w:r w:rsidRPr="0046438B">
        <w:rPr>
          <w:rFonts w:ascii="Arial" w:eastAsia="Calibri" w:hAnsi="Arial" w:cs="Arial"/>
          <w:b/>
          <w:color w:val="000000" w:themeColor="text1"/>
          <w:lang w:val="es-MX"/>
        </w:rPr>
        <w:t xml:space="preserve">Problemas planteados </w:t>
      </w:r>
    </w:p>
    <w:p w14:paraId="35BD9712" w14:textId="188820B6" w:rsidR="00832C62" w:rsidRDefault="00832C62" w:rsidP="00996B74">
      <w:pPr>
        <w:spacing w:after="0" w:line="276" w:lineRule="auto"/>
        <w:jc w:val="both"/>
        <w:rPr>
          <w:rFonts w:ascii="Arial" w:hAnsi="Arial" w:cs="Arial"/>
          <w:b/>
        </w:rPr>
      </w:pPr>
    </w:p>
    <w:p w14:paraId="1CF048C1" w14:textId="3512988C" w:rsidR="00123371" w:rsidRDefault="00E446F6" w:rsidP="0066765E">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En relación con los </w:t>
      </w:r>
      <w:r>
        <w:rPr>
          <w:rFonts w:ascii="Arial" w:hAnsi="Arial" w:cs="Arial"/>
          <w:lang w:val="es-MX"/>
        </w:rPr>
        <w:t xml:space="preserve">Documentos tipo para </w:t>
      </w:r>
      <w:r w:rsidRPr="00DB13A5">
        <w:rPr>
          <w:rFonts w:ascii="Arial" w:hAnsi="Arial" w:cs="Arial"/>
          <w:lang w:val="es-MX"/>
        </w:rPr>
        <w:t>los procesos de selección abreviada de menor cuantía de obra pública de infraestru</w:t>
      </w:r>
      <w:r>
        <w:rPr>
          <w:rFonts w:ascii="Arial" w:hAnsi="Arial" w:cs="Arial"/>
          <w:lang w:val="es-MX"/>
        </w:rPr>
        <w:t>ctura de transporte, usted pregunta lo siguiente</w:t>
      </w:r>
      <w:r w:rsidR="00F24B67">
        <w:rPr>
          <w:rFonts w:ascii="Arial" w:hAnsi="Arial" w:cs="Arial"/>
          <w:color w:val="000000" w:themeColor="text1"/>
          <w:lang w:val="es-ES_tradnl"/>
        </w:rPr>
        <w:t>:</w:t>
      </w:r>
    </w:p>
    <w:p w14:paraId="54E2C529" w14:textId="50F9DF17" w:rsidR="000B7523" w:rsidRPr="00D9015D" w:rsidRDefault="00F24B67" w:rsidP="007F1F4E">
      <w:pPr>
        <w:spacing w:after="0" w:line="240" w:lineRule="auto"/>
        <w:jc w:val="both"/>
        <w:rPr>
          <w:rFonts w:ascii="Arial" w:hAnsi="Arial" w:cs="Arial"/>
          <w:color w:val="000000" w:themeColor="text1"/>
          <w:lang w:val="es-ES_tradnl"/>
        </w:rPr>
      </w:pPr>
      <w:r>
        <w:rPr>
          <w:rFonts w:ascii="Arial" w:hAnsi="Arial" w:cs="Arial"/>
          <w:color w:val="000000" w:themeColor="text1"/>
          <w:lang w:val="es-ES_tradnl"/>
        </w:rPr>
        <w:t xml:space="preserve"> </w:t>
      </w:r>
    </w:p>
    <w:p w14:paraId="382440E5" w14:textId="77777777" w:rsidR="00E446F6" w:rsidRPr="00CD45AF" w:rsidRDefault="00E446F6" w:rsidP="007F1F4E">
      <w:pPr>
        <w:spacing w:after="0" w:line="240" w:lineRule="auto"/>
        <w:ind w:left="709" w:right="709"/>
        <w:jc w:val="both"/>
        <w:rPr>
          <w:rFonts w:ascii="Arial" w:hAnsi="Arial" w:cs="Arial"/>
          <w:b/>
          <w:bCs/>
          <w:sz w:val="21"/>
          <w:szCs w:val="21"/>
          <w:lang w:val="es-MX"/>
        </w:rPr>
      </w:pPr>
      <w:r>
        <w:rPr>
          <w:rFonts w:ascii="Arial" w:hAnsi="Arial" w:cs="Arial"/>
          <w:sz w:val="21"/>
          <w:szCs w:val="21"/>
        </w:rPr>
        <w:t>«</w:t>
      </w:r>
      <w:r w:rsidRPr="00CD45AF">
        <w:rPr>
          <w:rFonts w:ascii="Arial" w:hAnsi="Arial" w:cs="Arial"/>
          <w:sz w:val="21"/>
          <w:szCs w:val="21"/>
        </w:rPr>
        <w:t>pregunto revisando, la matriz de experiencia en pliegos tipo selección abreviada de infraestructura de transporte, tengo la siguiente duda, como puedo diferenciar, una vía primaria y secundaria de una vía urbana, teniendo en cuenta que los abogados dicen que son iguales, porque en la matriz que determina la experiencia las toma diferente, que parámetros debo tener en cuen</w:t>
      </w:r>
      <w:r>
        <w:rPr>
          <w:rFonts w:ascii="Arial" w:hAnsi="Arial" w:cs="Arial"/>
          <w:sz w:val="21"/>
          <w:szCs w:val="21"/>
        </w:rPr>
        <w:t>ta. para decir que son iguales».</w:t>
      </w:r>
    </w:p>
    <w:p w14:paraId="0476D778" w14:textId="77777777" w:rsidR="00530E41" w:rsidRPr="00E446F6" w:rsidRDefault="00530E41" w:rsidP="00996B74">
      <w:pPr>
        <w:spacing w:after="0" w:line="240" w:lineRule="auto"/>
        <w:ind w:left="709" w:right="709"/>
        <w:jc w:val="both"/>
        <w:rPr>
          <w:rFonts w:ascii="Arial" w:hAnsi="Arial" w:cs="Arial"/>
          <w:bCs/>
          <w:sz w:val="21"/>
          <w:szCs w:val="21"/>
          <w:lang w:val="es-MX"/>
        </w:rPr>
      </w:pPr>
    </w:p>
    <w:p w14:paraId="441109D3" w14:textId="09936376" w:rsidR="00530E41" w:rsidRPr="00AB168C" w:rsidRDefault="00530E41" w:rsidP="00996B74">
      <w:pPr>
        <w:spacing w:after="0"/>
        <w:jc w:val="both"/>
        <w:rPr>
          <w:rFonts w:ascii="Arial" w:eastAsia="Calibri" w:hAnsi="Arial" w:cs="Arial"/>
          <w:b/>
          <w:bCs/>
        </w:rPr>
      </w:pPr>
      <w:r w:rsidRPr="00AB168C">
        <w:rPr>
          <w:rFonts w:ascii="Arial" w:eastAsia="Calibri" w:hAnsi="Arial" w:cs="Arial"/>
          <w:b/>
          <w:bCs/>
        </w:rPr>
        <w:t xml:space="preserve">2. Consideraciones </w:t>
      </w:r>
    </w:p>
    <w:p w14:paraId="2AC707E6" w14:textId="77777777" w:rsidR="00530E41" w:rsidRDefault="00530E41" w:rsidP="00996B74">
      <w:pPr>
        <w:spacing w:after="0"/>
        <w:jc w:val="both"/>
        <w:rPr>
          <w:rFonts w:ascii="Arial" w:eastAsia="Calibri" w:hAnsi="Arial" w:cs="Arial"/>
        </w:rPr>
      </w:pPr>
    </w:p>
    <w:p w14:paraId="4E0D9A0D" w14:textId="4E972182" w:rsidR="00C16BED" w:rsidRDefault="00CD1FC7" w:rsidP="00996B74">
      <w:pPr>
        <w:spacing w:after="0" w:line="276" w:lineRule="auto"/>
        <w:jc w:val="both"/>
        <w:rPr>
          <w:rFonts w:ascii="Arial" w:eastAsia="Arial" w:hAnsi="Arial" w:cs="Arial"/>
          <w:lang w:val="es-ES_tradnl"/>
        </w:rPr>
      </w:pPr>
      <w:r w:rsidRPr="00C16BED">
        <w:rPr>
          <w:rFonts w:ascii="Arial" w:hAnsi="Arial" w:cs="Arial"/>
          <w:noProof/>
          <w:lang w:val="es-ES_tradnl"/>
        </w:rPr>
        <w:t>Para resolver la presente consulta se analizarán los siguientes temas: i)</w:t>
      </w:r>
      <w:r w:rsidRPr="00C16BED">
        <w:rPr>
          <w:rFonts w:ascii="Arial" w:hAnsi="Arial" w:cs="Arial"/>
          <w:b/>
        </w:rPr>
        <w:t xml:space="preserve"> </w:t>
      </w:r>
      <w:r w:rsidR="00C16BED">
        <w:rPr>
          <w:rFonts w:ascii="Arial" w:hAnsi="Arial" w:cs="Arial"/>
          <w:bCs/>
        </w:rPr>
        <w:t>l</w:t>
      </w:r>
      <w:r w:rsidR="00C16BED" w:rsidRPr="00C16BED">
        <w:rPr>
          <w:rFonts w:ascii="Arial" w:hAnsi="Arial" w:cs="Arial"/>
          <w:bCs/>
        </w:rPr>
        <w:t xml:space="preserve">a «Matriz 1 - Experiencia» y la estandarización de las condiciones de experiencia </w:t>
      </w:r>
      <w:r w:rsidR="0082778B">
        <w:rPr>
          <w:rFonts w:ascii="Arial" w:hAnsi="Arial" w:cs="Arial"/>
          <w:bCs/>
        </w:rPr>
        <w:t xml:space="preserve">en los documentos tipo </w:t>
      </w:r>
      <w:r w:rsidR="00C16BED" w:rsidRPr="00C16BED">
        <w:rPr>
          <w:rFonts w:ascii="Arial" w:hAnsi="Arial" w:cs="Arial"/>
          <w:bCs/>
        </w:rPr>
        <w:t xml:space="preserve">y </w:t>
      </w:r>
      <w:r w:rsidRPr="00C16BED">
        <w:rPr>
          <w:rFonts w:ascii="Arial" w:hAnsi="Arial" w:cs="Arial"/>
          <w:noProof/>
          <w:lang w:val="es-ES_tradnl"/>
        </w:rPr>
        <w:t>ii)</w:t>
      </w:r>
      <w:r w:rsidR="00A14154" w:rsidRPr="00C16BED">
        <w:rPr>
          <w:rFonts w:ascii="Arial" w:eastAsia="Arial" w:hAnsi="Arial" w:cs="Arial"/>
          <w:b/>
          <w:bCs/>
          <w:lang w:val="es-ES_tradnl"/>
        </w:rPr>
        <w:t xml:space="preserve"> </w:t>
      </w:r>
      <w:r w:rsidR="00C16BED" w:rsidRPr="00C16BED">
        <w:rPr>
          <w:rFonts w:ascii="Arial" w:eastAsia="Arial" w:hAnsi="Arial" w:cs="Arial"/>
          <w:lang w:val="es-ES_tradnl"/>
        </w:rPr>
        <w:t>el «Anexo 3 – Glosario» y la definición de la terminología del pliego de condiciones.</w:t>
      </w:r>
    </w:p>
    <w:p w14:paraId="210998DE" w14:textId="4F28A93F" w:rsidR="00677243" w:rsidRDefault="00C16BED" w:rsidP="00996B74">
      <w:pPr>
        <w:spacing w:after="0" w:line="276" w:lineRule="auto"/>
        <w:jc w:val="both"/>
        <w:rPr>
          <w:rFonts w:ascii="Arial" w:hAnsi="Arial" w:cs="Arial"/>
          <w:bCs/>
          <w:color w:val="000000" w:themeColor="text1"/>
          <w:lang w:val="es-MX"/>
        </w:rPr>
      </w:pPr>
      <w:r w:rsidRPr="00C16BED">
        <w:rPr>
          <w:rFonts w:ascii="Arial" w:eastAsia="Arial" w:hAnsi="Arial" w:cs="Arial"/>
          <w:lang w:val="es-ES_tradnl"/>
        </w:rPr>
        <w:t xml:space="preserve"> </w:t>
      </w:r>
      <w:r w:rsidR="0082778B" w:rsidRPr="0083037E">
        <w:rPr>
          <w:rFonts w:ascii="Arial" w:eastAsia="Calibri" w:hAnsi="Arial" w:cs="Arial"/>
          <w:color w:val="000000"/>
          <w:lang w:val="es-ES_tradnl"/>
        </w:rPr>
        <w:t xml:space="preserve">La Agencia Nacional de Contratación Pública – Colombia Compra Eficiente ha estudiado del ámbito de aplicación de los documentos tipo en los conceptos C-645 del 6 de noviembre de 2020, C-673 del 11 de noviembre de 2020, C-692 del 27 de noviembre de 2020, C-778 del 18 de enero de 2021, C-021 del 22 de febrero de 2021, C-091 del 23 de marzo de 2021, </w:t>
      </w:r>
      <w:r w:rsidR="00AC7033">
        <w:rPr>
          <w:rFonts w:ascii="Arial" w:eastAsia="Calibri" w:hAnsi="Arial" w:cs="Arial"/>
          <w:color w:val="000000"/>
          <w:lang w:val="es-ES_tradnl"/>
        </w:rPr>
        <w:lastRenderedPageBreak/>
        <w:t xml:space="preserve">C-152 del 12 de abril de 2021, </w:t>
      </w:r>
      <w:r w:rsidR="0082778B" w:rsidRPr="0083037E">
        <w:rPr>
          <w:rFonts w:ascii="Arial" w:eastAsia="Calibri" w:hAnsi="Arial" w:cs="Arial"/>
          <w:color w:val="000000"/>
          <w:lang w:val="es-ES_tradnl"/>
        </w:rPr>
        <w:t xml:space="preserve">C-200 del 14 de mayo de 2021, C-231 del 24 de mayo de 2021, C-267 de 2 de junio de 2021, C-370 del 28 de julio de 2021, C-380 del 29 de julio de 2021, </w:t>
      </w:r>
      <w:r w:rsidR="00AC7033">
        <w:rPr>
          <w:rFonts w:ascii="Arial" w:eastAsia="Calibri" w:hAnsi="Arial" w:cs="Arial"/>
          <w:color w:val="000000"/>
          <w:lang w:val="es-ES_tradnl"/>
        </w:rPr>
        <w:t xml:space="preserve">C-498 del 14 de septiembre de 2021, </w:t>
      </w:r>
      <w:r w:rsidR="0082778B" w:rsidRPr="0083037E">
        <w:rPr>
          <w:rFonts w:ascii="Arial" w:eastAsia="Calibri" w:hAnsi="Arial" w:cs="Arial"/>
          <w:color w:val="000000"/>
          <w:lang w:val="es-ES_tradnl"/>
        </w:rPr>
        <w:t xml:space="preserve">C-643 del 17 de noviembre de 2021 y C-705 del 5 de enero de 2022, entre otros. </w:t>
      </w:r>
      <w:r w:rsidR="00AC7033">
        <w:rPr>
          <w:rFonts w:ascii="Arial" w:eastAsia="Calibri" w:hAnsi="Arial" w:cs="Arial"/>
          <w:color w:val="000000"/>
          <w:lang w:val="es-ES_tradnl"/>
        </w:rPr>
        <w:t xml:space="preserve"> </w:t>
      </w:r>
      <w:r w:rsidR="0082778B" w:rsidRPr="00ED72CC">
        <w:rPr>
          <w:rFonts w:ascii="Arial" w:eastAsia="Calibri" w:hAnsi="Arial" w:cs="Arial"/>
        </w:rPr>
        <w:t xml:space="preserve">Las tesis desarrolladas en estos conceptos se reiteran a continuación </w:t>
      </w:r>
      <w:r w:rsidR="0082778B" w:rsidRPr="00ED72CC">
        <w:rPr>
          <w:rFonts w:ascii="Arial" w:hAnsi="Arial" w:cs="Arial"/>
          <w:bCs/>
          <w:color w:val="000000" w:themeColor="text1"/>
          <w:lang w:val="es-MX"/>
        </w:rPr>
        <w:t>y se complementa</w:t>
      </w:r>
      <w:r w:rsidR="00AC7033">
        <w:rPr>
          <w:rFonts w:ascii="Arial" w:hAnsi="Arial" w:cs="Arial"/>
          <w:bCs/>
          <w:color w:val="000000" w:themeColor="text1"/>
          <w:lang w:val="es-MX"/>
        </w:rPr>
        <w:t>n</w:t>
      </w:r>
      <w:r w:rsidR="0082778B" w:rsidRPr="00ED72CC">
        <w:rPr>
          <w:rFonts w:ascii="Arial" w:hAnsi="Arial" w:cs="Arial"/>
          <w:bCs/>
          <w:color w:val="000000" w:themeColor="text1"/>
          <w:lang w:val="es-MX"/>
        </w:rPr>
        <w:t xml:space="preserve"> en lo pertinente.</w:t>
      </w:r>
    </w:p>
    <w:p w14:paraId="64A6DDB4" w14:textId="77777777" w:rsidR="00996B74" w:rsidRDefault="00996B74" w:rsidP="00996B74">
      <w:pPr>
        <w:spacing w:after="0" w:line="276" w:lineRule="auto"/>
        <w:jc w:val="both"/>
        <w:rPr>
          <w:rFonts w:ascii="Arial" w:eastAsia="Calibri" w:hAnsi="Arial" w:cs="Arial"/>
        </w:rPr>
      </w:pPr>
    </w:p>
    <w:p w14:paraId="2ABA54B9" w14:textId="6432B463" w:rsidR="00677243" w:rsidRDefault="00484F19" w:rsidP="00996B74">
      <w:pPr>
        <w:spacing w:after="0"/>
        <w:jc w:val="both"/>
        <w:rPr>
          <w:rFonts w:ascii="Arial" w:eastAsia="Calibri" w:hAnsi="Arial" w:cs="Arial"/>
          <w:b/>
          <w:lang w:val="es-MX"/>
        </w:rPr>
      </w:pPr>
      <w:r w:rsidRPr="00484F19">
        <w:rPr>
          <w:rFonts w:ascii="Arial" w:eastAsia="Calibri" w:hAnsi="Arial" w:cs="Arial"/>
          <w:b/>
        </w:rPr>
        <w:t xml:space="preserve">2.1. </w:t>
      </w:r>
      <w:r w:rsidRPr="00484F19">
        <w:rPr>
          <w:rFonts w:ascii="Arial" w:eastAsia="Calibri" w:hAnsi="Arial" w:cs="Arial"/>
          <w:b/>
          <w:lang w:val="es-MX"/>
        </w:rPr>
        <w:t xml:space="preserve">La «Matriz 1 - Experiencia» </w:t>
      </w:r>
      <w:r>
        <w:rPr>
          <w:rFonts w:ascii="Arial" w:eastAsia="Calibri" w:hAnsi="Arial" w:cs="Arial"/>
          <w:b/>
          <w:lang w:val="es-MX"/>
        </w:rPr>
        <w:t xml:space="preserve">y la </w:t>
      </w:r>
      <w:r w:rsidRPr="00484F19">
        <w:rPr>
          <w:rFonts w:ascii="Arial" w:eastAsia="Calibri" w:hAnsi="Arial" w:cs="Arial"/>
          <w:b/>
          <w:lang w:val="es-MX"/>
        </w:rPr>
        <w:t>estandariza</w:t>
      </w:r>
      <w:r>
        <w:rPr>
          <w:rFonts w:ascii="Arial" w:eastAsia="Calibri" w:hAnsi="Arial" w:cs="Arial"/>
          <w:b/>
          <w:lang w:val="es-MX"/>
        </w:rPr>
        <w:t>ción de</w:t>
      </w:r>
      <w:r w:rsidRPr="00484F19">
        <w:rPr>
          <w:rFonts w:ascii="Arial" w:eastAsia="Calibri" w:hAnsi="Arial" w:cs="Arial"/>
          <w:b/>
          <w:lang w:val="es-MX"/>
        </w:rPr>
        <w:t xml:space="preserve"> las condiciones de experiencia </w:t>
      </w:r>
      <w:r w:rsidR="00C16BED">
        <w:rPr>
          <w:rFonts w:ascii="Arial" w:eastAsia="Calibri" w:hAnsi="Arial" w:cs="Arial"/>
          <w:b/>
          <w:lang w:val="es-MX"/>
        </w:rPr>
        <w:t>en los documentos tipo</w:t>
      </w:r>
    </w:p>
    <w:p w14:paraId="0835FE1F" w14:textId="12C078A2" w:rsidR="00C16BED" w:rsidRDefault="00C16BED" w:rsidP="00996B74">
      <w:pPr>
        <w:spacing w:after="0"/>
        <w:jc w:val="both"/>
        <w:rPr>
          <w:rFonts w:ascii="Arial" w:eastAsia="Calibri" w:hAnsi="Arial" w:cs="Arial"/>
          <w:b/>
          <w:lang w:val="es-MX"/>
        </w:rPr>
      </w:pPr>
    </w:p>
    <w:p w14:paraId="0B974E69" w14:textId="77777777" w:rsidR="00C16BED" w:rsidRPr="0083037E" w:rsidRDefault="00C16BED" w:rsidP="00DA7CAF">
      <w:pPr>
        <w:spacing w:after="120" w:line="276" w:lineRule="auto"/>
        <w:jc w:val="both"/>
        <w:rPr>
          <w:rFonts w:ascii="Arial" w:eastAsia="Calibri" w:hAnsi="Arial" w:cs="Arial"/>
          <w:color w:val="0D0D0D"/>
          <w:lang w:val="es-MX"/>
        </w:rPr>
      </w:pPr>
      <w:r w:rsidRPr="0083037E">
        <w:rPr>
          <w:rFonts w:ascii="Arial" w:eastAsia="Calibri" w:hAnsi="Arial" w:cs="Arial"/>
          <w:color w:val="0D0D0D"/>
          <w:lang w:val="es-MX"/>
        </w:rPr>
        <w:t>Los documentos tipo establecen las condiciones habilitantes, los factores técnicos y económicos de escogencia y los sistemas de ponderación de carácter obligatorio para las entidades estatales sometidas al Estatuto General de la Contratación de la Administración Pública que</w:t>
      </w:r>
      <w:r w:rsidRPr="0083037E">
        <w:rPr>
          <w:rFonts w:ascii="Arial" w:eastAsia="Calibri" w:hAnsi="Arial" w:cs="Arial"/>
          <w:color w:val="000000"/>
          <w:bdr w:val="none" w:sz="0" w:space="0" w:color="auto" w:frame="1"/>
        </w:rPr>
        <w:t xml:space="preserve"> adelanten procesos de contratación mediante la modalidad que establecen los documentos tipo para cada sector</w:t>
      </w:r>
      <w:r w:rsidRPr="0083037E">
        <w:rPr>
          <w:rFonts w:ascii="Arial" w:eastAsia="Calibri" w:hAnsi="Arial" w:cs="Arial"/>
          <w:color w:val="0D0D0D"/>
          <w:lang w:val="es-MX"/>
        </w:rPr>
        <w:t>. Estos consisten en un grupo de documentos, conformados por un documento base, anexos, matrices, formatos y formularios, que sirven tanto a las entidades para elaborar los documentos del proceso, como a los proponentes para conformar y presentar sus ofertas.</w:t>
      </w:r>
    </w:p>
    <w:p w14:paraId="46A7D428" w14:textId="77777777" w:rsidR="00C16BED" w:rsidRPr="0083037E" w:rsidRDefault="00C16BED" w:rsidP="00DA7CAF">
      <w:pPr>
        <w:spacing w:after="120" w:line="276" w:lineRule="auto"/>
        <w:ind w:firstLine="709"/>
        <w:jc w:val="both"/>
        <w:rPr>
          <w:rFonts w:ascii="Arial" w:eastAsia="Calibri" w:hAnsi="Arial" w:cs="Arial"/>
          <w:color w:val="0D0D0D"/>
          <w:lang w:val="es-MX"/>
        </w:rPr>
      </w:pPr>
      <w:r w:rsidRPr="0083037E">
        <w:rPr>
          <w:rFonts w:ascii="Arial" w:eastAsia="Calibri" w:hAnsi="Arial" w:cs="Arial"/>
          <w:color w:val="0D0D0D"/>
          <w:lang w:val="es-MX"/>
        </w:rPr>
        <w:t>Ahora bien, uno de los elementos comunes a los diferentes documentos tipo es la «Matriz 1 – Experiencia» –en adelante Matriz 1–. Esta consta de unas celdas en las que se describe la experiencia requerida en relación con el objeto a contratar, definiendo además qué tipo de actividades relacionadas con cada sector deben acogerse a los pliegos tipo. Por otro lado, encontramos el «Anexo 3 – Glosario», el cual contiene las definiciones de los términos usados en los documentos del proceso. Utilizando estos dos documentos, la entidad estatal puede definir si el objeto a contratar debe emplear los documentos tipo adoptados por esta Agencia.</w:t>
      </w:r>
    </w:p>
    <w:p w14:paraId="2F82DD58" w14:textId="77777777" w:rsidR="00C16BED" w:rsidRPr="0083037E" w:rsidRDefault="00C16BED" w:rsidP="00DA7CAF">
      <w:pPr>
        <w:spacing w:after="120" w:line="276" w:lineRule="auto"/>
        <w:ind w:firstLine="709"/>
        <w:jc w:val="both"/>
        <w:rPr>
          <w:rFonts w:ascii="Arial" w:eastAsia="Calibri" w:hAnsi="Arial" w:cs="Arial"/>
          <w:color w:val="0D0D0D"/>
          <w:lang w:val="es-MX"/>
        </w:rPr>
      </w:pPr>
      <w:r w:rsidRPr="0083037E">
        <w:rPr>
          <w:rFonts w:ascii="Arial" w:eastAsia="Calibri" w:hAnsi="Arial" w:cs="Arial"/>
          <w:color w:val="0D0D0D"/>
          <w:lang w:val="es-MX"/>
        </w:rPr>
        <w:t>Conforme a lo anterior, la Matriz 1 cumple una doble función: por un lado, sirve para estandarizar las condiciones de experiencia, conforme al parágrafo 7 del artículo 2 de la Ley 1150 de 2007. De otro lado, dicha matriz permite determinar el ámbito de aplicación de los documentos tipo respecto de objetos contractuales asociados, ya que son las actividades descritas en esta las que, obligatoriamente, deben contratarse aplicando documentos tipo.</w:t>
      </w:r>
    </w:p>
    <w:p w14:paraId="4A725881" w14:textId="028FC4F5" w:rsidR="00C16BED" w:rsidRPr="0083037E" w:rsidRDefault="00C16BED" w:rsidP="00DA7CAF">
      <w:pPr>
        <w:spacing w:after="120" w:line="276" w:lineRule="auto"/>
        <w:ind w:firstLine="709"/>
        <w:jc w:val="both"/>
        <w:rPr>
          <w:rFonts w:ascii="Arial" w:eastAsia="Calibri" w:hAnsi="Arial" w:cs="Arial"/>
          <w:lang w:val="es-MX"/>
        </w:rPr>
      </w:pPr>
      <w:r w:rsidRPr="0083037E">
        <w:rPr>
          <w:rFonts w:ascii="Arial" w:eastAsia="Calibri" w:hAnsi="Arial" w:cs="Arial"/>
          <w:color w:val="0D0D0D"/>
          <w:lang w:val="es-MX"/>
        </w:rPr>
        <w:t xml:space="preserve">De esta manera, para saber a qué actividades se deben aplicar los documentos tipo expedidos por esta Agencia, la entidad debe verificar los que se hayan expedido para la modalidad de selección en la que debe celebrarse el proceso, subsumiendo el objeto a contratar en los tipos de proyectos de infraestructura a contratarse. De </w:t>
      </w:r>
      <w:r>
        <w:rPr>
          <w:rFonts w:ascii="Arial" w:eastAsia="Calibri" w:hAnsi="Arial" w:cs="Arial"/>
          <w:color w:val="0D0D0D"/>
          <w:lang w:val="es-MX"/>
        </w:rPr>
        <w:t>tal modo que</w:t>
      </w:r>
      <w:r w:rsidRPr="0083037E">
        <w:rPr>
          <w:rFonts w:ascii="Arial" w:eastAsia="Calibri" w:hAnsi="Arial" w:cs="Arial"/>
          <w:color w:val="0D0D0D"/>
          <w:lang w:val="es-MX"/>
        </w:rPr>
        <w:t>, si el objeto contractual a ejecutar se encuadra materialmente dentro de alguno de los tipos de actividades concretas señaladas en cada una de las matrices de experiencia, se tendrán que aplicar los documentos tipo, mientras que en el caso contrario no será forzosa su aplicación. En este sentido, en los documentos base de los documentos tipo</w:t>
      </w:r>
      <w:r w:rsidRPr="0083037E">
        <w:rPr>
          <w:rFonts w:ascii="Arial" w:eastAsia="Calibri" w:hAnsi="Arial" w:cs="Arial"/>
          <w:lang w:val="es-MX"/>
        </w:rPr>
        <w:t xml:space="preserve">, se indica que la entidad establecerá las condiciones de experiencia, tanto general como específica en las actividades que van a contratar. En este contexto, la entidad no podrá incluir condiciones </w:t>
      </w:r>
      <w:r w:rsidRPr="0083037E">
        <w:rPr>
          <w:rFonts w:ascii="Arial" w:eastAsia="Calibri" w:hAnsi="Arial" w:cs="Arial"/>
          <w:lang w:val="es-MX"/>
        </w:rPr>
        <w:lastRenderedPageBreak/>
        <w:t>distintas a las previstas en la matriz de experiencia y, por tanto, deberá transcribir textualmente lo indicado en esta.</w:t>
      </w:r>
    </w:p>
    <w:p w14:paraId="59921E56" w14:textId="23667BE9" w:rsidR="00677243" w:rsidRPr="000769D0" w:rsidRDefault="00677243" w:rsidP="00DA7CAF">
      <w:pPr>
        <w:spacing w:after="120" w:line="276" w:lineRule="auto"/>
        <w:ind w:firstLine="708"/>
        <w:jc w:val="both"/>
        <w:rPr>
          <w:rFonts w:ascii="Arial" w:eastAsia="Calibri" w:hAnsi="Arial" w:cs="Arial"/>
          <w:lang w:val="es-MX"/>
        </w:rPr>
      </w:pPr>
      <w:r>
        <w:rPr>
          <w:rFonts w:ascii="Arial" w:eastAsia="Calibri" w:hAnsi="Arial" w:cs="Arial"/>
          <w:lang w:val="es-MX"/>
        </w:rPr>
        <w:t>La «Matriz 1 - Experiencia»</w:t>
      </w:r>
      <w:r w:rsidRPr="00FA7028">
        <w:rPr>
          <w:rFonts w:ascii="Arial" w:eastAsia="Calibri" w:hAnsi="Arial" w:cs="Arial"/>
          <w:lang w:val="es-MX"/>
        </w:rPr>
        <w:t xml:space="preserve"> estandariza las condiciones de experiencia general y/o experiencia específica que deben requerir las entidades estatales de acuerdo con: i) el tipo de obra de infraestructura de transporte, </w:t>
      </w:r>
      <w:proofErr w:type="spellStart"/>
      <w:r w:rsidRPr="00FA7028">
        <w:rPr>
          <w:rFonts w:ascii="Arial" w:eastAsia="Calibri" w:hAnsi="Arial" w:cs="Arial"/>
          <w:lang w:val="es-MX"/>
        </w:rPr>
        <w:t>ii</w:t>
      </w:r>
      <w:proofErr w:type="spellEnd"/>
      <w:r w:rsidRPr="00FA7028">
        <w:rPr>
          <w:rFonts w:ascii="Arial" w:eastAsia="Calibri" w:hAnsi="Arial" w:cs="Arial"/>
          <w:lang w:val="es-MX"/>
        </w:rPr>
        <w:t xml:space="preserve">) la actividad a contratar y </w:t>
      </w:r>
      <w:proofErr w:type="spellStart"/>
      <w:r w:rsidRPr="00FA7028">
        <w:rPr>
          <w:rFonts w:ascii="Arial" w:eastAsia="Calibri" w:hAnsi="Arial" w:cs="Arial"/>
          <w:lang w:val="es-MX"/>
        </w:rPr>
        <w:t>iii</w:t>
      </w:r>
      <w:proofErr w:type="spellEnd"/>
      <w:r w:rsidRPr="00FA7028">
        <w:rPr>
          <w:rFonts w:ascii="Arial" w:eastAsia="Calibri" w:hAnsi="Arial" w:cs="Arial"/>
          <w:lang w:val="es-MX"/>
        </w:rPr>
        <w:t>) la cuantía del proceso de contratación.</w:t>
      </w:r>
    </w:p>
    <w:p w14:paraId="55A2B36A" w14:textId="7AB7BAD3" w:rsidR="00677243" w:rsidRPr="00B67585" w:rsidRDefault="00677243" w:rsidP="00DA7CAF">
      <w:pPr>
        <w:spacing w:after="120" w:line="276" w:lineRule="auto"/>
        <w:ind w:firstLine="708"/>
        <w:jc w:val="both"/>
        <w:rPr>
          <w:rFonts w:ascii="Arial" w:eastAsia="Calibri" w:hAnsi="Arial" w:cs="Arial"/>
          <w:lang w:val="es-MX"/>
        </w:rPr>
      </w:pPr>
      <w:r w:rsidRPr="000769D0">
        <w:rPr>
          <w:rFonts w:ascii="Arial" w:eastAsia="Calibri" w:hAnsi="Arial" w:cs="Arial"/>
          <w:lang w:val="es-MX"/>
        </w:rPr>
        <w:t xml:space="preserve">En relación con el primer aspecto, </w:t>
      </w:r>
      <w:r w:rsidR="00D073B3">
        <w:rPr>
          <w:rFonts w:ascii="Arial" w:eastAsia="Calibri" w:hAnsi="Arial" w:cs="Arial"/>
          <w:lang w:val="es-MX"/>
        </w:rPr>
        <w:t>l</w:t>
      </w:r>
      <w:r w:rsidR="00D073B3" w:rsidRPr="00D073B3">
        <w:rPr>
          <w:rFonts w:ascii="Arial" w:eastAsia="Calibri" w:hAnsi="Arial" w:cs="Arial"/>
          <w:lang w:val="es-MX"/>
        </w:rPr>
        <w:t xml:space="preserve">a </w:t>
      </w:r>
      <w:r w:rsidR="00C16BED">
        <w:rPr>
          <w:rFonts w:ascii="Arial" w:eastAsia="Calibri" w:hAnsi="Arial" w:cs="Arial"/>
          <w:lang w:val="es-MX"/>
        </w:rPr>
        <w:t>«</w:t>
      </w:r>
      <w:r w:rsidR="00D073B3" w:rsidRPr="00D073B3">
        <w:rPr>
          <w:rFonts w:ascii="Arial" w:eastAsia="Calibri" w:hAnsi="Arial" w:cs="Arial"/>
          <w:lang w:val="es-MX"/>
        </w:rPr>
        <w:t>Matriz 1 – Experiencia</w:t>
      </w:r>
      <w:r w:rsidR="00C16BED">
        <w:rPr>
          <w:rFonts w:ascii="Arial" w:eastAsia="Calibri" w:hAnsi="Arial" w:cs="Arial"/>
          <w:lang w:val="es-MX"/>
        </w:rPr>
        <w:t xml:space="preserve">» de los Documentos tipo para los </w:t>
      </w:r>
      <w:r w:rsidR="00C16BED" w:rsidRPr="00DB13A5">
        <w:rPr>
          <w:rFonts w:ascii="Arial" w:hAnsi="Arial" w:cs="Arial"/>
          <w:lang w:val="es-MX"/>
        </w:rPr>
        <w:t>procesos de selección abreviada de menor cuantía de obra pública de infraestructura de transporte (Versión 2),</w:t>
      </w:r>
      <w:r w:rsidR="00C16BED">
        <w:rPr>
          <w:rFonts w:ascii="Arial" w:hAnsi="Arial" w:cs="Arial"/>
          <w:lang w:val="es-MX"/>
        </w:rPr>
        <w:t xml:space="preserve"> </w:t>
      </w:r>
      <w:r w:rsidR="00D073B3" w:rsidRPr="00D073B3">
        <w:rPr>
          <w:rFonts w:ascii="Arial" w:eastAsia="Calibri" w:hAnsi="Arial" w:cs="Arial"/>
          <w:lang w:val="es-MX"/>
        </w:rPr>
        <w:t>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w:t>
      </w:r>
      <w:r w:rsidR="00700EA5">
        <w:rPr>
          <w:rFonts w:ascii="Arial" w:eastAsia="Calibri" w:hAnsi="Arial" w:cs="Arial"/>
          <w:lang w:val="es-MX"/>
        </w:rPr>
        <w:t xml:space="preserve"> o urbanas</w:t>
      </w:r>
      <w:r w:rsidR="00D073B3" w:rsidRPr="00D073B3">
        <w:rPr>
          <w:rFonts w:ascii="Arial" w:eastAsia="Calibri" w:hAnsi="Arial" w:cs="Arial"/>
          <w:lang w:val="es-MX"/>
        </w:rPr>
        <w:t xml:space="preserve"> para atención de emergencias diferentes a contratación directa, 5. Obras férreas, 6. Obras de infraestructura vial urbana, 7. Obras en puentes y 8. Obras aeroportuarias.</w:t>
      </w:r>
      <w:r w:rsidR="00C16BED">
        <w:rPr>
          <w:rFonts w:ascii="Arial" w:eastAsia="Calibri" w:hAnsi="Arial" w:cs="Arial"/>
          <w:lang w:val="es-MX"/>
        </w:rPr>
        <w:t xml:space="preserve"> </w:t>
      </w:r>
      <w:r w:rsidR="00D073B3" w:rsidRPr="00D073B3">
        <w:rPr>
          <w:rFonts w:ascii="Arial" w:eastAsia="Calibri" w:hAnsi="Arial" w:cs="Arial"/>
          <w:lang w:val="es-MX"/>
        </w:rPr>
        <w:t xml:space="preserve"> </w:t>
      </w:r>
      <w:r w:rsidRPr="000769D0">
        <w:rPr>
          <w:rFonts w:ascii="Arial" w:eastAsia="Calibri" w:hAnsi="Arial" w:cs="Arial"/>
          <w:lang w:val="es-MX"/>
        </w:rPr>
        <w:t xml:space="preserve">Estas determinan el marco para la aplicación de los documentos tipo, dado que comprenden todas aquellas actividades que constituyen obra pública de infraestructura de transporte y que han sido objeto de estandarización mediante </w:t>
      </w:r>
      <w:r w:rsidRPr="00BB304F">
        <w:rPr>
          <w:rFonts w:ascii="Arial" w:eastAsia="Calibri" w:hAnsi="Arial" w:cs="Arial"/>
          <w:lang w:val="es-MX"/>
        </w:rPr>
        <w:t xml:space="preserve">la </w:t>
      </w:r>
      <w:r w:rsidR="00B67585" w:rsidRPr="00BB304F">
        <w:rPr>
          <w:rFonts w:ascii="Arial" w:eastAsia="Calibri" w:hAnsi="Arial" w:cs="Arial"/>
          <w:lang w:val="es-MX"/>
        </w:rPr>
        <w:t>Resolución No. 241 del 27 de noviembre</w:t>
      </w:r>
      <w:r w:rsidRPr="00BB304F">
        <w:rPr>
          <w:rFonts w:ascii="Arial" w:eastAsia="Calibri" w:hAnsi="Arial" w:cs="Arial"/>
          <w:lang w:val="es-MX"/>
        </w:rPr>
        <w:t xml:space="preserve"> de 2020</w:t>
      </w:r>
      <w:r w:rsidR="00B67585" w:rsidRPr="00BB304F">
        <w:rPr>
          <w:rStyle w:val="Refdenotaalpie"/>
          <w:rFonts w:ascii="Arial" w:eastAsia="Calibri" w:hAnsi="Arial" w:cs="Arial"/>
          <w:lang w:val="es-MX"/>
        </w:rPr>
        <w:footnoteReference w:id="2"/>
      </w:r>
      <w:r w:rsidRPr="00BB304F">
        <w:rPr>
          <w:rFonts w:ascii="Arial" w:eastAsia="Calibri" w:hAnsi="Arial" w:cs="Arial"/>
          <w:lang w:val="es-MX"/>
        </w:rPr>
        <w:t xml:space="preserve"> para los</w:t>
      </w:r>
      <w:r w:rsidR="00B67585" w:rsidRPr="00BB304F">
        <w:rPr>
          <w:rFonts w:ascii="Arial" w:eastAsia="Calibri" w:hAnsi="Arial" w:cs="Arial"/>
          <w:lang w:val="es-MX"/>
        </w:rPr>
        <w:t xml:space="preserve"> procesos de </w:t>
      </w:r>
      <w:r w:rsidR="00B67585" w:rsidRPr="00BB304F">
        <w:rPr>
          <w:rFonts w:ascii="Arial" w:hAnsi="Arial" w:cs="Arial"/>
        </w:rPr>
        <w:t>infraestructura de transporte que se adelanten por la modalidad de selección abrevada de menor cuantía</w:t>
      </w:r>
    </w:p>
    <w:p w14:paraId="228E4587" w14:textId="45E94189" w:rsidR="00677243" w:rsidRDefault="00677243" w:rsidP="00DA7CAF">
      <w:pPr>
        <w:spacing w:after="120" w:line="276" w:lineRule="auto"/>
        <w:ind w:firstLine="708"/>
        <w:jc w:val="both"/>
        <w:rPr>
          <w:rFonts w:ascii="Arial" w:eastAsia="Calibri" w:hAnsi="Arial" w:cs="Arial"/>
          <w:lang w:val="es-MX"/>
        </w:rPr>
      </w:pPr>
      <w:r w:rsidRPr="000769D0">
        <w:rPr>
          <w:rFonts w:ascii="Arial" w:eastAsia="Calibri" w:hAnsi="Arial" w:cs="Arial"/>
          <w:lang w:val="es-MX"/>
        </w:rPr>
        <w:t xml:space="preserve">Con respecto a la actividad a contratar, la Matriz 1 establece cuáles son las que corresponden a cada uno de los tipos de infraestructura mencionados, con el fin de que la entidad identifique aquellas en las cuales puede encuadrarse de mejor forma el objeto que pretende ejecutar y determinar los requisitos de experiencia exigibles. </w:t>
      </w:r>
      <w:r w:rsidR="00C16BED">
        <w:rPr>
          <w:rFonts w:ascii="Arial" w:eastAsia="Calibri" w:hAnsi="Arial" w:cs="Arial"/>
          <w:lang w:val="es-MX"/>
        </w:rPr>
        <w:t>De igual modo</w:t>
      </w:r>
      <w:r w:rsidRPr="000769D0">
        <w:rPr>
          <w:rFonts w:ascii="Arial" w:eastAsia="Calibri" w:hAnsi="Arial" w:cs="Arial"/>
          <w:lang w:val="es-MX"/>
        </w:rPr>
        <w:t xml:space="preserve">,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w:t>
      </w:r>
      <w:r w:rsidRPr="00BB304F">
        <w:rPr>
          <w:rFonts w:ascii="Arial" w:eastAsia="Calibri" w:hAnsi="Arial" w:cs="Arial"/>
          <w:lang w:val="es-MX"/>
        </w:rPr>
        <w:t>parágrafo 7 del artículo 2 de la Ley 1150 de 2007 –modificado por el artículo 1 de la Ley 2022 de 2020, conforme</w:t>
      </w:r>
      <w:r w:rsidRPr="000769D0">
        <w:rPr>
          <w:rFonts w:ascii="Arial" w:eastAsia="Calibri" w:hAnsi="Arial" w:cs="Arial"/>
          <w:lang w:val="es-MX"/>
        </w:rPr>
        <w:t xml:space="preserve"> al cual</w:t>
      </w:r>
      <w:r w:rsidR="00BB304F">
        <w:rPr>
          <w:rFonts w:ascii="Arial" w:eastAsia="Calibri" w:hAnsi="Arial" w:cs="Arial"/>
          <w:lang w:val="es-MX"/>
        </w:rPr>
        <w:t>,</w:t>
      </w:r>
      <w:r w:rsidRPr="000769D0">
        <w:rPr>
          <w:rFonts w:ascii="Arial" w:eastAsia="Calibri" w:hAnsi="Arial" w:cs="Arial"/>
          <w:lang w:val="es-MX"/>
        </w:rPr>
        <w:t xml:space="preserve"> las condiciones habilitantes fijadas en los documentos tipo deben tener en cuenta la cuantía, la naturaleza y especialidad de la contratación. </w:t>
      </w:r>
    </w:p>
    <w:p w14:paraId="3A9E937D" w14:textId="057E580D" w:rsidR="00D073B3" w:rsidRPr="000769D0" w:rsidRDefault="00D073B3" w:rsidP="00DA7CAF">
      <w:pPr>
        <w:spacing w:after="120" w:line="276" w:lineRule="auto"/>
        <w:ind w:firstLine="708"/>
        <w:jc w:val="both"/>
        <w:rPr>
          <w:rFonts w:ascii="Arial" w:eastAsia="Calibri" w:hAnsi="Arial" w:cs="Arial"/>
          <w:lang w:val="es-MX"/>
        </w:rPr>
      </w:pPr>
      <w:r w:rsidRPr="000769D0">
        <w:rPr>
          <w:rFonts w:ascii="Arial" w:eastAsia="Calibri" w:hAnsi="Arial" w:cs="Arial"/>
          <w:lang w:val="es-MX"/>
        </w:rPr>
        <w:t>De esta manera, la entidad estatal que adelanta un proceso de contratación de infraestructura de transporte debe definir la experiencia exigible teniendo en cuenta las condiciones fijadas en la Matriz 1, de acuerdo con los siguientes pasos:</w:t>
      </w:r>
    </w:p>
    <w:p w14:paraId="708CE4DE" w14:textId="77777777" w:rsidR="00D073B3" w:rsidRPr="000769D0" w:rsidRDefault="00D073B3" w:rsidP="00DA7CAF">
      <w:pPr>
        <w:spacing w:after="120" w:line="276" w:lineRule="auto"/>
        <w:ind w:firstLine="708"/>
        <w:jc w:val="both"/>
        <w:rPr>
          <w:rFonts w:ascii="Arial" w:eastAsia="Calibri" w:hAnsi="Arial" w:cs="Arial"/>
          <w:lang w:val="es-MX"/>
        </w:rPr>
      </w:pPr>
      <w:r w:rsidRPr="000769D0">
        <w:rPr>
          <w:rFonts w:ascii="Arial" w:eastAsia="Calibri" w:hAnsi="Arial" w:cs="Arial"/>
          <w:lang w:val="es-MX"/>
        </w:rPr>
        <w:t>a) Establecer si se trata de un proyecto de complejidad baja-media o alta, y en función de ello establecer la Matriz 1 aplicable.</w:t>
      </w:r>
    </w:p>
    <w:p w14:paraId="68351D45" w14:textId="77777777" w:rsidR="00D073B3" w:rsidRPr="000769D0" w:rsidRDefault="00D073B3" w:rsidP="00DA7CAF">
      <w:pPr>
        <w:spacing w:after="120" w:line="276" w:lineRule="auto"/>
        <w:ind w:firstLine="708"/>
        <w:jc w:val="both"/>
        <w:rPr>
          <w:rFonts w:ascii="Arial" w:eastAsia="Calibri" w:hAnsi="Arial" w:cs="Arial"/>
          <w:lang w:val="es-MX"/>
        </w:rPr>
      </w:pPr>
      <w:r w:rsidRPr="000769D0">
        <w:rPr>
          <w:rFonts w:ascii="Arial" w:eastAsia="Calibri" w:hAnsi="Arial" w:cs="Arial"/>
          <w:lang w:val="es-MX"/>
        </w:rPr>
        <w:lastRenderedPageBreak/>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58B0CD63" w14:textId="77777777" w:rsidR="00D073B3" w:rsidRPr="000769D0" w:rsidRDefault="00D073B3" w:rsidP="00DA7CAF">
      <w:pPr>
        <w:spacing w:after="120" w:line="276" w:lineRule="auto"/>
        <w:ind w:firstLine="708"/>
        <w:jc w:val="both"/>
        <w:rPr>
          <w:rFonts w:ascii="Arial" w:eastAsia="Calibri" w:hAnsi="Arial" w:cs="Arial"/>
          <w:lang w:val="es-MX"/>
        </w:rPr>
      </w:pPr>
      <w:r w:rsidRPr="000769D0">
        <w:rPr>
          <w:rFonts w:ascii="Arial" w:eastAsia="Calibri" w:hAnsi="Arial" w:cs="Arial"/>
          <w:lang w:val="es-MX"/>
        </w:rPr>
        <w:t xml:space="preserve">c) Definido el tipo de infraestructura, identificar la «ACTIVIDAD A CONTRATAR» acorde con la matriz 1. </w:t>
      </w:r>
    </w:p>
    <w:p w14:paraId="11C42955" w14:textId="77777777" w:rsidR="00D073B3" w:rsidRPr="000769D0" w:rsidRDefault="00D073B3" w:rsidP="00DA7CAF">
      <w:pPr>
        <w:spacing w:after="120" w:line="276" w:lineRule="auto"/>
        <w:ind w:firstLine="708"/>
        <w:jc w:val="both"/>
        <w:rPr>
          <w:rFonts w:ascii="Arial" w:eastAsia="Calibri" w:hAnsi="Arial" w:cs="Arial"/>
          <w:lang w:val="es-MX"/>
        </w:rPr>
      </w:pPr>
      <w:r w:rsidRPr="000769D0">
        <w:rPr>
          <w:rFonts w:ascii="Arial" w:eastAsia="Calibri" w:hAnsi="Arial" w:cs="Arial"/>
          <w:lang w:val="es-MX"/>
        </w:rPr>
        <w:t xml:space="preserve">d) Identificar el rango en el cual se encuentra el proceso de contratación de acuerdo con el presupuesto oficial. </w:t>
      </w:r>
    </w:p>
    <w:p w14:paraId="2D72579B" w14:textId="77777777" w:rsidR="00D073B3" w:rsidRPr="000769D0" w:rsidRDefault="00D073B3" w:rsidP="00DA7CAF">
      <w:pPr>
        <w:spacing w:after="120" w:line="276" w:lineRule="auto"/>
        <w:ind w:firstLine="709"/>
        <w:jc w:val="both"/>
        <w:rPr>
          <w:rFonts w:ascii="Arial" w:eastAsia="Calibri" w:hAnsi="Arial" w:cs="Arial"/>
          <w:lang w:val="es-MX"/>
        </w:rPr>
      </w:pPr>
      <w:r w:rsidRPr="000769D0">
        <w:rPr>
          <w:rFonts w:ascii="Arial" w:eastAsia="Calibri" w:hAnsi="Arial" w:cs="Arial"/>
          <w:lang w:val="es-MX"/>
        </w:rPr>
        <w:t xml:space="preserve">e) Identificar la «experiencia general» exigible acorde con la Matriz 1 teniendo en cuenta la actividad a contratar y el rango de la cuantía del Proceso de Contratación. </w:t>
      </w:r>
    </w:p>
    <w:p w14:paraId="169791DA" w14:textId="77777777" w:rsidR="00D073B3" w:rsidRPr="000769D0" w:rsidRDefault="00D073B3" w:rsidP="00DA7CAF">
      <w:pPr>
        <w:spacing w:after="120" w:line="276" w:lineRule="auto"/>
        <w:ind w:firstLine="709"/>
        <w:jc w:val="both"/>
        <w:rPr>
          <w:rFonts w:ascii="Arial" w:eastAsia="Calibri" w:hAnsi="Arial" w:cs="Arial"/>
          <w:lang w:val="es-MX"/>
        </w:rPr>
      </w:pPr>
      <w:r w:rsidRPr="000769D0">
        <w:rPr>
          <w:rFonts w:ascii="Arial" w:eastAsia="Calibri" w:hAnsi="Arial" w:cs="Arial"/>
          <w:lang w:val="es-MX"/>
        </w:rPr>
        <w:t xml:space="preserve">f) Identificar la «experiencia específica» exigible y el porcentaje de dimensionamiento que se puede solicitar acorde con la longitud a ejecutar, de acuerdo con la cuantía del proceso de contratación. Cuando en la «experiencia específica» se indiquen las siglas </w:t>
      </w:r>
      <w:proofErr w:type="spellStart"/>
      <w:r w:rsidRPr="000769D0">
        <w:rPr>
          <w:rFonts w:ascii="Arial" w:eastAsia="Calibri" w:hAnsi="Arial" w:cs="Arial"/>
          <w:i/>
          <w:iCs/>
          <w:lang w:val="es-MX"/>
        </w:rPr>
        <w:t>N.A</w:t>
      </w:r>
      <w:proofErr w:type="spellEnd"/>
      <w:r w:rsidRPr="000769D0">
        <w:rPr>
          <w:rFonts w:ascii="Arial" w:eastAsia="Calibri" w:hAnsi="Arial" w:cs="Arial"/>
          <w:lang w:val="es-MX"/>
        </w:rPr>
        <w:t xml:space="preserve"> significa que la entidad estatal no puede exigir a los proponentes experiencia específica en los procesos de contratación. </w:t>
      </w:r>
    </w:p>
    <w:p w14:paraId="4FC3290B" w14:textId="367BFCC6" w:rsidR="00D073B3" w:rsidRPr="000769D0" w:rsidRDefault="00D073B3" w:rsidP="00DA7CAF">
      <w:pPr>
        <w:spacing w:after="0" w:line="276" w:lineRule="auto"/>
        <w:ind w:firstLine="709"/>
        <w:jc w:val="both"/>
        <w:rPr>
          <w:rFonts w:ascii="Arial" w:eastAsia="Calibri" w:hAnsi="Arial" w:cs="Arial"/>
          <w:lang w:val="es-MX"/>
        </w:rPr>
      </w:pPr>
      <w:r w:rsidRPr="000769D0">
        <w:rPr>
          <w:rFonts w:ascii="Arial" w:eastAsia="Calibri" w:hAnsi="Arial" w:cs="Arial"/>
          <w:lang w:val="es-MX"/>
        </w:rPr>
        <w:t xml:space="preserve">g) Establecidos los requisitos de experiencia exigibles, la entidad deberá consignarlos en los apartados grises entre corchetes </w:t>
      </w:r>
      <w:r w:rsidR="00BB304F">
        <w:rPr>
          <w:rFonts w:ascii="Arial" w:eastAsia="Calibri" w:hAnsi="Arial" w:cs="Arial"/>
          <w:lang w:val="es-MX"/>
        </w:rPr>
        <w:t xml:space="preserve">del numeral 3.5.1 y </w:t>
      </w:r>
      <w:r w:rsidRPr="000769D0">
        <w:rPr>
          <w:rFonts w:ascii="Arial" w:eastAsia="Calibri" w:hAnsi="Arial" w:cs="Arial"/>
          <w:lang w:val="es-MX"/>
        </w:rPr>
        <w:t xml:space="preserve">del literal A del </w:t>
      </w:r>
      <w:r w:rsidRPr="00BB304F">
        <w:rPr>
          <w:rFonts w:ascii="Arial" w:eastAsia="Calibri" w:hAnsi="Arial" w:cs="Arial"/>
          <w:lang w:val="es-MX"/>
        </w:rPr>
        <w:t>numeral 3.5.2 del</w:t>
      </w:r>
      <w:r w:rsidRPr="000769D0">
        <w:rPr>
          <w:rFonts w:ascii="Arial" w:eastAsia="Calibri" w:hAnsi="Arial" w:cs="Arial"/>
          <w:lang w:val="es-MX"/>
        </w:rPr>
        <w:t xml:space="preserve"> documento base, para que los oferentes puedan conocer los requisitos de experiencia general y específica exigidos por la entidad.</w:t>
      </w:r>
    </w:p>
    <w:p w14:paraId="2B0FDA4A" w14:textId="77777777" w:rsidR="00DA7CAF" w:rsidRDefault="00DA7CAF" w:rsidP="00DA7CAF">
      <w:pPr>
        <w:spacing w:after="0" w:line="276" w:lineRule="auto"/>
        <w:jc w:val="both"/>
        <w:rPr>
          <w:rFonts w:ascii="Arial" w:hAnsi="Arial" w:cs="Arial"/>
          <w:b/>
          <w:bCs/>
          <w:lang w:val="es-MX"/>
        </w:rPr>
      </w:pPr>
    </w:p>
    <w:p w14:paraId="1622F755" w14:textId="27B37803" w:rsidR="008E4DEF" w:rsidRPr="009F34D5" w:rsidRDefault="008E4DEF" w:rsidP="00DA7CAF">
      <w:pPr>
        <w:spacing w:after="0" w:line="276" w:lineRule="auto"/>
        <w:jc w:val="both"/>
        <w:rPr>
          <w:rFonts w:ascii="Arial" w:hAnsi="Arial" w:cs="Arial"/>
          <w:b/>
          <w:bCs/>
          <w:lang w:val="es-MX"/>
        </w:rPr>
      </w:pPr>
      <w:r w:rsidRPr="009F34D5">
        <w:rPr>
          <w:rFonts w:ascii="Arial" w:hAnsi="Arial" w:cs="Arial"/>
          <w:b/>
          <w:bCs/>
          <w:lang w:val="es-MX"/>
        </w:rPr>
        <w:t>2.</w:t>
      </w:r>
      <w:r w:rsidR="00E34436">
        <w:rPr>
          <w:rFonts w:ascii="Arial" w:hAnsi="Arial" w:cs="Arial"/>
          <w:b/>
          <w:bCs/>
          <w:lang w:val="es-MX"/>
        </w:rPr>
        <w:t>2</w:t>
      </w:r>
      <w:r w:rsidRPr="009F34D5">
        <w:rPr>
          <w:rFonts w:ascii="Arial" w:hAnsi="Arial" w:cs="Arial"/>
          <w:b/>
          <w:bCs/>
          <w:lang w:val="es-MX"/>
        </w:rPr>
        <w:t>. El «</w:t>
      </w:r>
      <w:r w:rsidR="00DB13A5">
        <w:rPr>
          <w:rFonts w:ascii="Arial" w:hAnsi="Arial" w:cs="Arial"/>
          <w:b/>
          <w:bCs/>
          <w:lang w:val="es-MX"/>
        </w:rPr>
        <w:t xml:space="preserve">Anexo 3 – </w:t>
      </w:r>
      <w:r w:rsidR="00E34436">
        <w:rPr>
          <w:rFonts w:ascii="Arial" w:hAnsi="Arial" w:cs="Arial"/>
          <w:b/>
          <w:bCs/>
          <w:lang w:val="es-MX"/>
        </w:rPr>
        <w:t xml:space="preserve">Glosario» y la definición de la </w:t>
      </w:r>
      <w:r w:rsidR="00484F19">
        <w:rPr>
          <w:rFonts w:ascii="Arial" w:hAnsi="Arial" w:cs="Arial"/>
          <w:b/>
          <w:bCs/>
          <w:lang w:val="es-MX"/>
        </w:rPr>
        <w:t>terminología</w:t>
      </w:r>
      <w:r w:rsidR="00DB13A5">
        <w:rPr>
          <w:rFonts w:ascii="Arial" w:hAnsi="Arial" w:cs="Arial"/>
          <w:b/>
          <w:bCs/>
          <w:lang w:val="es-MX"/>
        </w:rPr>
        <w:t xml:space="preserve"> del pliego de condiciones </w:t>
      </w:r>
    </w:p>
    <w:p w14:paraId="4BEE779E" w14:textId="77777777" w:rsidR="0043170C" w:rsidRPr="00AB168C" w:rsidRDefault="0043170C" w:rsidP="00DA7CAF">
      <w:pPr>
        <w:spacing w:after="0"/>
        <w:rPr>
          <w:b/>
          <w:bCs/>
        </w:rPr>
      </w:pPr>
    </w:p>
    <w:p w14:paraId="2BB0E87A" w14:textId="4ECF9199" w:rsidR="00CE4DF5" w:rsidRPr="00291251" w:rsidRDefault="00DB13A5" w:rsidP="00DA7CAF">
      <w:pPr>
        <w:spacing w:after="120" w:line="276" w:lineRule="auto"/>
        <w:jc w:val="both"/>
        <w:rPr>
          <w:rFonts w:ascii="Arial" w:hAnsi="Arial" w:cs="Arial"/>
          <w:lang w:val="es-MX"/>
        </w:rPr>
      </w:pPr>
      <w:r>
        <w:rPr>
          <w:rFonts w:ascii="Arial" w:hAnsi="Arial" w:cs="Arial"/>
        </w:rPr>
        <w:t>E</w:t>
      </w:r>
      <w:r w:rsidR="00CE4DF5" w:rsidRPr="00291251">
        <w:rPr>
          <w:rFonts w:ascii="Arial" w:hAnsi="Arial" w:cs="Arial"/>
          <w:lang w:val="es-MX"/>
        </w:rPr>
        <w:t xml:space="preserve">l numeral 1.10 del Documento Base de </w:t>
      </w:r>
      <w:r w:rsidRPr="00DB13A5">
        <w:rPr>
          <w:rFonts w:ascii="Arial" w:hAnsi="Arial" w:cs="Arial"/>
          <w:lang w:val="es-MX"/>
        </w:rPr>
        <w:t>los procesos de selección abreviada de menor cuantía de obra pública de infraestructura de transporte (Versión 2),</w:t>
      </w:r>
      <w:r>
        <w:rPr>
          <w:rFonts w:ascii="Arial" w:hAnsi="Arial" w:cs="Arial"/>
          <w:lang w:val="es-MX"/>
        </w:rPr>
        <w:t xml:space="preserve"> establece</w:t>
      </w:r>
      <w:r w:rsidR="00CE4DF5" w:rsidRPr="00291251">
        <w:rPr>
          <w:rFonts w:ascii="Arial" w:hAnsi="Arial" w:cs="Arial"/>
          <w:lang w:val="es-MX"/>
        </w:rPr>
        <w:t xml:space="preserve"> respecto de la terminología empleada en estos documentos tipo, que «[…] a menos que expresamente se estipule de otra manera, los términos deben entenderse de acuerdo con la definición contenida en el artículo 2.2.1.1.1.3.1 del Decreto 1082 de 2015, la Ley 1682 de 2013 y el </w:t>
      </w:r>
      <w:r w:rsidR="007266D2" w:rsidRPr="00291251">
        <w:rPr>
          <w:rFonts w:ascii="Arial" w:hAnsi="Arial" w:cs="Arial"/>
          <w:lang w:val="es-MX"/>
        </w:rPr>
        <w:t>«</w:t>
      </w:r>
      <w:r w:rsidR="00CE4DF5" w:rsidRPr="00291251">
        <w:rPr>
          <w:rFonts w:ascii="Arial" w:hAnsi="Arial" w:cs="Arial"/>
          <w:lang w:val="es-MX"/>
        </w:rPr>
        <w:t xml:space="preserve">Anexo 3 – Glosario». </w:t>
      </w:r>
    </w:p>
    <w:p w14:paraId="30071D0F" w14:textId="6D39E5FA" w:rsidR="00E96660" w:rsidRPr="00291251" w:rsidRDefault="007B52D7" w:rsidP="00DA7CAF">
      <w:pPr>
        <w:spacing w:after="120" w:line="276" w:lineRule="auto"/>
        <w:ind w:firstLine="709"/>
        <w:jc w:val="both"/>
        <w:rPr>
          <w:lang w:eastAsia="es-CO"/>
        </w:rPr>
      </w:pPr>
      <w:r w:rsidRPr="00DB13A5">
        <w:rPr>
          <w:rFonts w:ascii="Arial" w:hAnsi="Arial" w:cs="Arial"/>
          <w:lang w:val="es-MX"/>
        </w:rPr>
        <w:t xml:space="preserve">El </w:t>
      </w:r>
      <w:r w:rsidR="002214FB" w:rsidRPr="00DB13A5">
        <w:rPr>
          <w:rFonts w:ascii="Arial" w:hAnsi="Arial" w:cs="Arial"/>
          <w:color w:val="000000" w:themeColor="text1"/>
        </w:rPr>
        <w:t>«Anexo 3 – Glosario»</w:t>
      </w:r>
      <w:r w:rsidR="00BF26F1" w:rsidRPr="00DB13A5">
        <w:rPr>
          <w:rFonts w:ascii="Arial" w:hAnsi="Arial" w:cs="Arial"/>
          <w:color w:val="000000" w:themeColor="text1"/>
        </w:rPr>
        <w:t xml:space="preserve"> de los documentos tipo de infraestructura de transporte,</w:t>
      </w:r>
      <w:r w:rsidR="003314DD" w:rsidRPr="00DB13A5">
        <w:rPr>
          <w:rFonts w:ascii="Arial" w:hAnsi="Arial" w:cs="Arial"/>
          <w:color w:val="000000" w:themeColor="text1"/>
        </w:rPr>
        <w:t xml:space="preserve"> </w:t>
      </w:r>
      <w:r w:rsidR="002214FB" w:rsidRPr="00DB13A5">
        <w:rPr>
          <w:rFonts w:ascii="Arial" w:hAnsi="Arial" w:cs="Arial"/>
        </w:rPr>
        <w:t xml:space="preserve">consagra las definiciones de los términos usados en los </w:t>
      </w:r>
      <w:r w:rsidR="002214FB" w:rsidRPr="00DB13A5">
        <w:rPr>
          <w:rFonts w:ascii="Arial" w:hAnsi="Arial" w:cs="Arial"/>
          <w:i/>
          <w:iCs/>
        </w:rPr>
        <w:t>Documentos del Proceso</w:t>
      </w:r>
      <w:r w:rsidR="002214FB" w:rsidRPr="00DB13A5">
        <w:rPr>
          <w:rFonts w:ascii="Arial" w:hAnsi="Arial" w:cs="Arial"/>
        </w:rPr>
        <w:t xml:space="preserve"> propios de la ingeniería civil, que deben tenerse en cuenta para una adecuada aplicación de los criterios establecidos en el documento base.</w:t>
      </w:r>
      <w:r w:rsidR="003314DD" w:rsidRPr="00DB13A5">
        <w:rPr>
          <w:rFonts w:ascii="Arial" w:hAnsi="Arial" w:cs="Arial"/>
        </w:rPr>
        <w:t xml:space="preserve"> </w:t>
      </w:r>
      <w:r w:rsidR="00EC3165" w:rsidRPr="00DB13A5">
        <w:rPr>
          <w:rFonts w:ascii="Arial" w:hAnsi="Arial" w:cs="Arial"/>
        </w:rPr>
        <w:t xml:space="preserve">La parte introductoria </w:t>
      </w:r>
      <w:bookmarkStart w:id="0" w:name="_Hlk60746105"/>
      <w:r w:rsidR="00E96660" w:rsidRPr="00DB13A5">
        <w:rPr>
          <w:rFonts w:ascii="Arial" w:hAnsi="Arial" w:cs="Arial"/>
        </w:rPr>
        <w:t xml:space="preserve">dispone que «[La Entidad deberá incluir en </w:t>
      </w:r>
      <w:bookmarkStart w:id="1" w:name="_Hlk60743319"/>
      <w:r w:rsidR="00E96660" w:rsidRPr="00DB13A5">
        <w:rPr>
          <w:rFonts w:ascii="Arial" w:hAnsi="Arial" w:cs="Arial"/>
        </w:rPr>
        <w:t>orden alfabético los conceptos adicionales que aplican al proceso de selección</w:t>
      </w:r>
      <w:bookmarkEnd w:id="1"/>
      <w:r w:rsidR="00E96660" w:rsidRPr="00DB13A5">
        <w:rPr>
          <w:rFonts w:ascii="Arial" w:hAnsi="Arial" w:cs="Arial"/>
        </w:rPr>
        <w:t xml:space="preserve"> que no estén incluidos en el presente anexo con su respectiva fuente]». </w:t>
      </w:r>
      <w:bookmarkStart w:id="2" w:name="_Hlk60743390"/>
      <w:r w:rsidR="001076DF" w:rsidRPr="00DB13A5">
        <w:rPr>
          <w:rFonts w:ascii="Arial" w:hAnsi="Arial" w:cs="Arial"/>
        </w:rPr>
        <w:t>Así las co</w:t>
      </w:r>
      <w:r w:rsidR="00077F40" w:rsidRPr="00DB13A5">
        <w:rPr>
          <w:rFonts w:ascii="Arial" w:hAnsi="Arial" w:cs="Arial"/>
        </w:rPr>
        <w:t>s</w:t>
      </w:r>
      <w:r w:rsidR="001076DF" w:rsidRPr="00DB13A5">
        <w:rPr>
          <w:rFonts w:ascii="Arial" w:hAnsi="Arial" w:cs="Arial"/>
        </w:rPr>
        <w:t>as</w:t>
      </w:r>
      <w:r w:rsidR="00E96660" w:rsidRPr="00DB13A5">
        <w:rPr>
          <w:rFonts w:ascii="Arial" w:hAnsi="Arial" w:cs="Arial"/>
        </w:rPr>
        <w:t>, aunque sea posible incluir términos adicionales en el anexo, las entidades no pueden modificar el contenido de las definiciones previstas en el glosario.</w:t>
      </w:r>
      <w:bookmarkEnd w:id="0"/>
      <w:bookmarkEnd w:id="2"/>
    </w:p>
    <w:p w14:paraId="659D64D2" w14:textId="7ECE9F34" w:rsidR="009F34D5" w:rsidRPr="00E34436" w:rsidRDefault="00DB13A5" w:rsidP="00DA7CAF">
      <w:pPr>
        <w:spacing w:after="0" w:line="276" w:lineRule="auto"/>
        <w:ind w:firstLine="708"/>
        <w:jc w:val="both"/>
        <w:rPr>
          <w:rFonts w:ascii="Arial" w:eastAsia="Times New Roman" w:hAnsi="Arial" w:cs="Arial"/>
          <w:bCs/>
          <w:lang w:eastAsia="es-ES"/>
        </w:rPr>
      </w:pPr>
      <w:r>
        <w:rPr>
          <w:rFonts w:ascii="Arial" w:hAnsi="Arial" w:cs="Arial"/>
          <w:lang w:val="es-MX"/>
        </w:rPr>
        <w:t>D</w:t>
      </w:r>
      <w:r w:rsidR="00152308" w:rsidRPr="00291251">
        <w:rPr>
          <w:rFonts w:ascii="Arial" w:hAnsi="Arial" w:cs="Arial"/>
          <w:lang w:val="es-MX"/>
        </w:rPr>
        <w:t>ado</w:t>
      </w:r>
      <w:r w:rsidR="00D073B3">
        <w:rPr>
          <w:rFonts w:ascii="Arial" w:hAnsi="Arial" w:cs="Arial"/>
          <w:lang w:val="es-MX"/>
        </w:rPr>
        <w:t xml:space="preserve"> que en su consulta indaga sobre</w:t>
      </w:r>
      <w:r w:rsidR="00BB5CC2">
        <w:rPr>
          <w:rFonts w:ascii="Arial" w:hAnsi="Arial" w:cs="Arial"/>
          <w:lang w:val="es-MX"/>
        </w:rPr>
        <w:t xml:space="preserve"> como diferenciar las vías primarias y secundarias de las</w:t>
      </w:r>
      <w:r w:rsidR="001242E4">
        <w:rPr>
          <w:rFonts w:ascii="Arial" w:hAnsi="Arial" w:cs="Arial"/>
          <w:lang w:val="es-MX"/>
        </w:rPr>
        <w:t xml:space="preserve"> </w:t>
      </w:r>
      <w:r w:rsidR="00BB5CC2">
        <w:rPr>
          <w:rFonts w:ascii="Arial" w:hAnsi="Arial" w:cs="Arial"/>
          <w:lang w:val="es-MX"/>
        </w:rPr>
        <w:t xml:space="preserve">vías urbanas, es importante tener en cuenta que </w:t>
      </w:r>
      <w:r w:rsidR="001503F8">
        <w:rPr>
          <w:rFonts w:ascii="Arial" w:hAnsi="Arial" w:cs="Arial"/>
          <w:lang w:val="es-MX"/>
        </w:rPr>
        <w:t>estos</w:t>
      </w:r>
      <w:r w:rsidR="001503F8" w:rsidRPr="001503F8">
        <w:rPr>
          <w:rFonts w:ascii="Arial" w:hAnsi="Arial" w:cs="Arial"/>
          <w:lang w:val="es-MX"/>
        </w:rPr>
        <w:t xml:space="preserve"> términos</w:t>
      </w:r>
      <w:r w:rsidR="001503F8">
        <w:rPr>
          <w:rFonts w:ascii="Arial" w:hAnsi="Arial" w:cs="Arial"/>
          <w:lang w:val="es-MX"/>
        </w:rPr>
        <w:t xml:space="preserve"> contenidos en la Matriz 1 para establecer la experiencia que deberán acreditar los oferentes,</w:t>
      </w:r>
      <w:r w:rsidR="001503F8" w:rsidRPr="001503F8">
        <w:rPr>
          <w:rFonts w:ascii="Arial" w:hAnsi="Arial" w:cs="Arial"/>
          <w:lang w:val="es-MX"/>
        </w:rPr>
        <w:t xml:space="preserve"> deben entenderse de acuerdo con la definición contenida </w:t>
      </w:r>
      <w:r w:rsidR="00BB5CC2">
        <w:rPr>
          <w:rFonts w:ascii="Arial" w:hAnsi="Arial" w:cs="Arial"/>
          <w:lang w:val="es-MX"/>
        </w:rPr>
        <w:t xml:space="preserve">el </w:t>
      </w:r>
      <w:r w:rsidR="009F34D5" w:rsidRPr="00291251">
        <w:rPr>
          <w:rFonts w:ascii="Arial" w:hAnsi="Arial" w:cs="Arial"/>
          <w:lang w:val="es-MX"/>
        </w:rPr>
        <w:t>«Ane</w:t>
      </w:r>
      <w:r w:rsidR="00FE011D">
        <w:rPr>
          <w:rFonts w:ascii="Arial" w:hAnsi="Arial" w:cs="Arial"/>
          <w:lang w:val="es-MX"/>
        </w:rPr>
        <w:t xml:space="preserve">xo 3 – </w:t>
      </w:r>
      <w:r w:rsidR="00FE011D">
        <w:rPr>
          <w:rFonts w:ascii="Arial" w:hAnsi="Arial" w:cs="Arial"/>
          <w:lang w:val="es-MX"/>
        </w:rPr>
        <w:lastRenderedPageBreak/>
        <w:t xml:space="preserve">Glosario», </w:t>
      </w:r>
      <w:r w:rsidR="00E34436">
        <w:rPr>
          <w:rFonts w:ascii="Arial" w:hAnsi="Arial" w:cs="Arial"/>
          <w:lang w:val="es-MX"/>
        </w:rPr>
        <w:t>de los Documentos tipo para</w:t>
      </w:r>
      <w:r w:rsidR="001503F8">
        <w:rPr>
          <w:rFonts w:ascii="Arial" w:hAnsi="Arial" w:cs="Arial"/>
          <w:lang w:val="es-MX"/>
        </w:rPr>
        <w:t xml:space="preserve"> </w:t>
      </w:r>
      <w:r w:rsidR="00E34436" w:rsidRPr="00DB13A5">
        <w:rPr>
          <w:rFonts w:ascii="Arial" w:hAnsi="Arial" w:cs="Arial"/>
          <w:lang w:val="es-MX"/>
        </w:rPr>
        <w:t>los procesos de selección abreviada de menor cuantía de obra pública de infraestru</w:t>
      </w:r>
      <w:r w:rsidR="00E34436">
        <w:rPr>
          <w:rFonts w:ascii="Arial" w:hAnsi="Arial" w:cs="Arial"/>
          <w:lang w:val="es-MX"/>
        </w:rPr>
        <w:t xml:space="preserve">ctura de transporte (Versión 2).  </w:t>
      </w:r>
      <w:r w:rsidR="001503F8">
        <w:rPr>
          <w:rFonts w:ascii="Arial" w:hAnsi="Arial" w:cs="Arial"/>
          <w:lang w:val="es-MX"/>
        </w:rPr>
        <w:t xml:space="preserve">En este orden de ideas, </w:t>
      </w:r>
      <w:r w:rsidR="00E34436">
        <w:rPr>
          <w:rFonts w:ascii="Arial" w:hAnsi="Arial" w:cs="Arial"/>
          <w:lang w:val="es-MX"/>
        </w:rPr>
        <w:t xml:space="preserve">conforme a los numerales 2.11 y 2.12 del Anexo 3, </w:t>
      </w:r>
      <w:r w:rsidR="001503F8">
        <w:rPr>
          <w:rFonts w:ascii="Arial" w:hAnsi="Arial" w:cs="Arial"/>
          <w:lang w:val="es-MX"/>
        </w:rPr>
        <w:t xml:space="preserve">por vías primarias y vías secundarias debe </w:t>
      </w:r>
      <w:r w:rsidR="001503F8" w:rsidRPr="00E34436">
        <w:rPr>
          <w:rFonts w:ascii="Arial" w:hAnsi="Arial" w:cs="Arial"/>
          <w:lang w:val="es-MX"/>
        </w:rPr>
        <w:t>entenderse</w:t>
      </w:r>
      <w:r w:rsidR="001503F8" w:rsidRPr="00E34436">
        <w:rPr>
          <w:rFonts w:ascii="Arial" w:eastAsia="Times New Roman" w:hAnsi="Arial" w:cs="Arial"/>
          <w:bCs/>
          <w:lang w:eastAsia="es-ES"/>
        </w:rPr>
        <w:t xml:space="preserve"> lo siguiente:</w:t>
      </w:r>
    </w:p>
    <w:p w14:paraId="07FF7EBC" w14:textId="77777777" w:rsidR="00FE011D" w:rsidRDefault="00FE011D" w:rsidP="00DA7CAF">
      <w:pPr>
        <w:autoSpaceDE w:val="0"/>
        <w:autoSpaceDN w:val="0"/>
        <w:adjustRightInd w:val="0"/>
        <w:spacing w:after="0" w:line="240" w:lineRule="auto"/>
        <w:ind w:left="709" w:right="709"/>
        <w:jc w:val="both"/>
        <w:rPr>
          <w:rFonts w:ascii="Arial" w:eastAsia="Times New Roman" w:hAnsi="Arial" w:cs="Arial"/>
          <w:b/>
          <w:sz w:val="21"/>
          <w:szCs w:val="21"/>
          <w:lang w:val="es-ES" w:eastAsia="es-ES"/>
        </w:rPr>
      </w:pPr>
    </w:p>
    <w:p w14:paraId="3302E307" w14:textId="370C7C6F" w:rsidR="00FE011D" w:rsidRPr="001242E4" w:rsidRDefault="00D277C6"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r w:rsidRPr="001242E4">
        <w:rPr>
          <w:rFonts w:ascii="Arial" w:eastAsia="Times New Roman" w:hAnsi="Arial" w:cs="Arial"/>
          <w:b/>
          <w:sz w:val="21"/>
          <w:szCs w:val="21"/>
          <w:lang w:val="es-ES" w:eastAsia="es-ES"/>
        </w:rPr>
        <w:t xml:space="preserve">2.11. </w:t>
      </w:r>
      <w:r w:rsidR="00FE011D" w:rsidRPr="001242E4">
        <w:rPr>
          <w:rFonts w:ascii="Arial" w:eastAsia="Times New Roman" w:hAnsi="Arial" w:cs="Arial"/>
          <w:b/>
          <w:sz w:val="21"/>
          <w:szCs w:val="21"/>
          <w:lang w:val="es-ES" w:eastAsia="es-ES"/>
        </w:rPr>
        <w:t>Carreteras o Vías Primarias:</w:t>
      </w:r>
      <w:r w:rsidR="00FE011D" w:rsidRPr="001242E4">
        <w:rPr>
          <w:rFonts w:ascii="Arial" w:eastAsia="Times New Roman" w:hAnsi="Arial" w:cs="Arial"/>
          <w:sz w:val="21"/>
          <w:szCs w:val="21"/>
          <w:lang w:val="es-ES" w:eastAsia="es-ES"/>
        </w:rPr>
        <w:t xml:space="preserve"> Troncales, transversales y accesos a capitales de departamento que cumplen la función básica de integración de las principales zonas de producción y consumo del país y de éste con los demás países. Este tipo de carreteras pueden ser de calzadas divididas según las exigencias particulares del proyecto. </w:t>
      </w:r>
    </w:p>
    <w:p w14:paraId="10CC5A50" w14:textId="77777777" w:rsidR="00FE011D" w:rsidRPr="001242E4" w:rsidRDefault="00FE011D"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p>
    <w:p w14:paraId="0AB16F94" w14:textId="6D6C845E" w:rsidR="00FE011D" w:rsidRDefault="00FE011D"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r w:rsidRPr="001242E4">
        <w:rPr>
          <w:rFonts w:ascii="Arial" w:eastAsia="Times New Roman" w:hAnsi="Arial" w:cs="Arial"/>
          <w:b/>
          <w:sz w:val="21"/>
          <w:szCs w:val="21"/>
          <w:lang w:val="es-ES" w:eastAsia="es-ES"/>
        </w:rPr>
        <w:t>Nota:</w:t>
      </w:r>
      <w:r w:rsidRPr="001242E4">
        <w:rPr>
          <w:rFonts w:ascii="Arial" w:eastAsia="Times New Roman" w:hAnsi="Arial" w:cs="Arial"/>
          <w:sz w:val="21"/>
          <w:szCs w:val="21"/>
          <w:lang w:val="es-ES" w:eastAsia="es-ES"/>
        </w:rPr>
        <w:t xml:space="preserve"> Para proyectos de infraestructura vial que se hayan construido fuera del territorio nacional, se consideran CARRETERAS PRIMARIAS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771EEC4D" w14:textId="77777777" w:rsidR="001242E4" w:rsidRPr="001242E4" w:rsidRDefault="001242E4"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p>
    <w:p w14:paraId="5412434D" w14:textId="73382206" w:rsidR="00FE011D" w:rsidRDefault="00D277C6"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r w:rsidRPr="00D277C6">
        <w:rPr>
          <w:rFonts w:ascii="Arial" w:eastAsia="Times New Roman" w:hAnsi="Arial" w:cs="Arial"/>
          <w:b/>
          <w:sz w:val="21"/>
          <w:szCs w:val="21"/>
          <w:lang w:val="es-ES" w:eastAsia="es-ES"/>
        </w:rPr>
        <w:t xml:space="preserve">2.12. </w:t>
      </w:r>
      <w:r w:rsidR="00FE011D" w:rsidRPr="00D277C6">
        <w:rPr>
          <w:rFonts w:ascii="Arial" w:eastAsia="Times New Roman" w:hAnsi="Arial" w:cs="Arial"/>
          <w:b/>
          <w:sz w:val="21"/>
          <w:szCs w:val="21"/>
          <w:lang w:val="es-ES" w:eastAsia="es-ES"/>
        </w:rPr>
        <w:t>Carreteras o Vías Secundarias:</w:t>
      </w:r>
      <w:r w:rsidR="00FE011D" w:rsidRPr="00D277C6">
        <w:rPr>
          <w:rFonts w:ascii="Arial" w:eastAsia="Times New Roman" w:hAnsi="Arial" w:cs="Arial"/>
          <w:sz w:val="21"/>
          <w:szCs w:val="21"/>
          <w:lang w:val="es-ES" w:eastAsia="es-ES"/>
        </w:rPr>
        <w:t xml:space="preserve"> Vías que unen las cabeceras municipales entre sí y/o que provienen de una cabecera municipal y conectan con una Carretera Primaria. Las carreteras consideradas como secundarias pueden funcionar pavimentadas o en afirmado.</w:t>
      </w:r>
    </w:p>
    <w:p w14:paraId="4B7E3824" w14:textId="77777777" w:rsidR="00D277C6" w:rsidRPr="00D277C6" w:rsidRDefault="00D277C6"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p>
    <w:p w14:paraId="6757567A" w14:textId="187AA19D" w:rsidR="00720383" w:rsidRDefault="00E34436" w:rsidP="007F1F4E">
      <w:pPr>
        <w:spacing w:after="0" w:line="276" w:lineRule="auto"/>
        <w:ind w:firstLine="708"/>
        <w:jc w:val="both"/>
        <w:rPr>
          <w:rFonts w:ascii="Arial" w:eastAsia="Times New Roman" w:hAnsi="Arial" w:cs="Arial"/>
          <w:lang w:val="es-ES" w:eastAsia="es-ES"/>
        </w:rPr>
      </w:pPr>
      <w:r>
        <w:rPr>
          <w:rFonts w:ascii="Arial" w:eastAsia="Times New Roman" w:hAnsi="Arial" w:cs="Arial"/>
          <w:lang w:val="es-ES" w:eastAsia="es-ES"/>
        </w:rPr>
        <w:t xml:space="preserve">De igual manera, </w:t>
      </w:r>
      <w:r w:rsidR="001503F8" w:rsidRPr="00E34436">
        <w:rPr>
          <w:rFonts w:ascii="Arial" w:eastAsia="Times New Roman" w:hAnsi="Arial" w:cs="Arial"/>
          <w:lang w:val="es-ES" w:eastAsia="es-ES"/>
        </w:rPr>
        <w:t xml:space="preserve">el numeral 2.97 del </w:t>
      </w:r>
      <w:r w:rsidR="00967132">
        <w:rPr>
          <w:rFonts w:ascii="Arial" w:eastAsia="Times New Roman" w:hAnsi="Arial" w:cs="Arial"/>
          <w:lang w:val="es-ES" w:eastAsia="es-ES"/>
        </w:rPr>
        <w:t>«</w:t>
      </w:r>
      <w:r>
        <w:rPr>
          <w:rFonts w:ascii="Arial" w:eastAsia="Times New Roman" w:hAnsi="Arial" w:cs="Arial"/>
          <w:lang w:val="es-ES" w:eastAsia="es-ES"/>
        </w:rPr>
        <w:t xml:space="preserve">Anexo 3 - </w:t>
      </w:r>
      <w:r w:rsidR="001503F8" w:rsidRPr="00E34436">
        <w:rPr>
          <w:rFonts w:ascii="Arial" w:eastAsia="Times New Roman" w:hAnsi="Arial" w:cs="Arial"/>
          <w:lang w:val="es-ES" w:eastAsia="es-ES"/>
        </w:rPr>
        <w:t>Glosario</w:t>
      </w:r>
      <w:r w:rsidR="00967132">
        <w:rPr>
          <w:rFonts w:ascii="Arial" w:eastAsia="Times New Roman" w:hAnsi="Arial" w:cs="Arial"/>
          <w:lang w:val="es-ES" w:eastAsia="es-ES"/>
        </w:rPr>
        <w:t>»</w:t>
      </w:r>
      <w:r>
        <w:rPr>
          <w:rFonts w:ascii="Arial" w:eastAsia="Times New Roman" w:hAnsi="Arial" w:cs="Arial"/>
          <w:lang w:val="es-ES" w:eastAsia="es-ES"/>
        </w:rPr>
        <w:t>,</w:t>
      </w:r>
      <w:r w:rsidR="001503F8" w:rsidRPr="00E34436">
        <w:rPr>
          <w:rFonts w:ascii="Arial" w:eastAsia="Times New Roman" w:hAnsi="Arial" w:cs="Arial"/>
          <w:lang w:val="es-ES" w:eastAsia="es-ES"/>
        </w:rPr>
        <w:t xml:space="preserve"> define </w:t>
      </w:r>
      <w:r>
        <w:rPr>
          <w:rFonts w:ascii="Arial" w:eastAsia="Times New Roman" w:hAnsi="Arial" w:cs="Arial"/>
          <w:lang w:val="es-ES" w:eastAsia="es-ES"/>
        </w:rPr>
        <w:t xml:space="preserve">las </w:t>
      </w:r>
      <w:r w:rsidR="001503F8" w:rsidRPr="00E34436">
        <w:rPr>
          <w:rFonts w:ascii="Arial" w:eastAsia="Times New Roman" w:hAnsi="Arial" w:cs="Arial"/>
          <w:lang w:val="es-ES" w:eastAsia="es-ES"/>
        </w:rPr>
        <w:t>vías urbanas</w:t>
      </w:r>
      <w:r w:rsidR="00720383" w:rsidRPr="00E34436">
        <w:rPr>
          <w:rFonts w:ascii="Arial" w:eastAsia="Times New Roman" w:hAnsi="Arial" w:cs="Arial"/>
          <w:lang w:val="es-ES" w:eastAsia="es-ES"/>
        </w:rPr>
        <w:t xml:space="preserve"> de la siguiente manera:</w:t>
      </w:r>
    </w:p>
    <w:p w14:paraId="29D64545" w14:textId="77777777" w:rsidR="00DA7CAF" w:rsidRPr="001503F8" w:rsidRDefault="00DA7CAF" w:rsidP="00DA7CAF">
      <w:pPr>
        <w:spacing w:after="0" w:line="276" w:lineRule="auto"/>
        <w:jc w:val="both"/>
        <w:rPr>
          <w:rFonts w:ascii="Arial" w:eastAsia="Times New Roman" w:hAnsi="Arial" w:cs="Arial"/>
          <w:sz w:val="21"/>
          <w:szCs w:val="21"/>
          <w:lang w:val="es-ES" w:eastAsia="es-ES"/>
        </w:rPr>
      </w:pPr>
    </w:p>
    <w:p w14:paraId="05542F8C" w14:textId="50640485" w:rsidR="00D277C6" w:rsidRDefault="00D277C6"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r w:rsidRPr="00D277C6">
        <w:rPr>
          <w:rFonts w:ascii="Arial" w:eastAsia="Times New Roman" w:hAnsi="Arial" w:cs="Arial"/>
          <w:b/>
          <w:sz w:val="21"/>
          <w:szCs w:val="21"/>
          <w:lang w:val="es-ES" w:eastAsia="es-ES"/>
        </w:rPr>
        <w:t>2.97.  Vías Urbanas</w:t>
      </w:r>
      <w:r w:rsidRPr="00D277C6">
        <w:rPr>
          <w:rFonts w:ascii="Arial" w:eastAsia="Times New Roman" w:hAnsi="Arial" w:cs="Arial"/>
          <w:sz w:val="21"/>
          <w:szCs w:val="21"/>
          <w:lang w:val="es-ES" w:eastAsia="es-ES"/>
        </w:rPr>
        <w:t>: Calles, carreras, transversales, avenidas, diagonales, glorietas, autopistas, troncales, variantes, o a la denominación establecida según la nomenclatura de la población correspondiente, las cuales se encuentran localizadas dentro de su perímetro urbano.</w:t>
      </w:r>
    </w:p>
    <w:p w14:paraId="280E4274" w14:textId="77777777" w:rsidR="00D277C6" w:rsidRPr="00D277C6" w:rsidRDefault="00D277C6"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p>
    <w:p w14:paraId="09B0C6A9" w14:textId="77777777" w:rsidR="00D277C6" w:rsidRPr="00D277C6" w:rsidRDefault="00D277C6" w:rsidP="00DA7CAF">
      <w:pPr>
        <w:autoSpaceDE w:val="0"/>
        <w:autoSpaceDN w:val="0"/>
        <w:adjustRightInd w:val="0"/>
        <w:spacing w:after="0" w:line="240" w:lineRule="auto"/>
        <w:ind w:left="709" w:right="709"/>
        <w:jc w:val="both"/>
        <w:rPr>
          <w:rFonts w:ascii="Arial" w:eastAsia="Times New Roman" w:hAnsi="Arial" w:cs="Arial"/>
          <w:sz w:val="21"/>
          <w:szCs w:val="21"/>
          <w:lang w:val="es-ES" w:eastAsia="es-ES"/>
        </w:rPr>
      </w:pPr>
      <w:r w:rsidRPr="00D277C6">
        <w:rPr>
          <w:rFonts w:ascii="Arial" w:eastAsia="Times New Roman" w:hAnsi="Arial" w:cs="Arial"/>
          <w:b/>
          <w:sz w:val="21"/>
          <w:szCs w:val="21"/>
          <w:lang w:val="es-ES" w:eastAsia="es-ES"/>
        </w:rPr>
        <w:t>Nota</w:t>
      </w:r>
      <w:r w:rsidRPr="00D277C6">
        <w:rPr>
          <w:rFonts w:ascii="Arial" w:eastAsia="Times New Roman" w:hAnsi="Arial" w:cs="Arial"/>
          <w:sz w:val="21"/>
          <w:szCs w:val="21"/>
          <w:lang w:val="es-ES" w:eastAsia="es-ES"/>
        </w:rPr>
        <w:t>: Para proyectos de infraestructura vial que se hayan construido fuera del territorio nacional, se consideran Vías Urbanas aquellas que sean certificadas por la entidad contratante mediante alguno de los documentos válidos establecidos en el presente pliego de condiciones para la acreditación de la experiencia, donde se indique que el ancho de calzada es mayor o igual a siete (7.0) metros, o que se acrediten tres o más carriles vehiculares por calzada.</w:t>
      </w:r>
    </w:p>
    <w:p w14:paraId="2EA1BFDC" w14:textId="77777777" w:rsidR="00D277C6" w:rsidRPr="00D277C6" w:rsidRDefault="00D277C6" w:rsidP="00DA7CAF">
      <w:pPr>
        <w:spacing w:after="0"/>
        <w:rPr>
          <w:rFonts w:ascii="Arial" w:hAnsi="Arial" w:cs="Arial"/>
          <w:sz w:val="21"/>
          <w:szCs w:val="21"/>
          <w:lang w:eastAsia="es-ES"/>
        </w:rPr>
      </w:pPr>
    </w:p>
    <w:p w14:paraId="5ACBA656" w14:textId="3DA6830C" w:rsidR="00373AB6" w:rsidRPr="00B91EBF" w:rsidRDefault="009F34D5" w:rsidP="007F1F4E">
      <w:pPr>
        <w:spacing w:after="120" w:line="276" w:lineRule="auto"/>
        <w:ind w:firstLine="709"/>
        <w:jc w:val="both"/>
        <w:rPr>
          <w:rFonts w:ascii="Arial" w:hAnsi="Arial" w:cs="Arial"/>
          <w:lang w:val="es-MX"/>
        </w:rPr>
      </w:pPr>
      <w:r w:rsidRPr="00B91EBF">
        <w:rPr>
          <w:rFonts w:ascii="Arial" w:hAnsi="Arial" w:cs="Arial"/>
          <w:lang w:val="es-MX"/>
        </w:rPr>
        <w:t xml:space="preserve">Tal como se advierte, la definición de </w:t>
      </w:r>
      <w:r w:rsidR="00720383" w:rsidRPr="00B91EBF">
        <w:rPr>
          <w:rFonts w:ascii="Arial" w:hAnsi="Arial" w:cs="Arial"/>
          <w:lang w:val="es-MX"/>
        </w:rPr>
        <w:t xml:space="preserve">vías primarias, secundarías y urbanas indica que se trata de conceptos </w:t>
      </w:r>
      <w:r w:rsidR="00780BEF" w:rsidRPr="00B91EBF">
        <w:rPr>
          <w:rFonts w:ascii="Arial" w:hAnsi="Arial" w:cs="Arial"/>
          <w:lang w:val="es-MX"/>
        </w:rPr>
        <w:t>diferentes,</w:t>
      </w:r>
      <w:r w:rsidR="00373AB6" w:rsidRPr="00B91EBF">
        <w:rPr>
          <w:rFonts w:ascii="Arial" w:hAnsi="Arial" w:cs="Arial"/>
          <w:lang w:val="es-MX"/>
        </w:rPr>
        <w:t xml:space="preserve"> pues</w:t>
      </w:r>
      <w:r w:rsidR="00C77E10" w:rsidRPr="00B91EBF">
        <w:rPr>
          <w:rFonts w:ascii="Arial" w:hAnsi="Arial" w:cs="Arial"/>
          <w:lang w:val="es-MX"/>
        </w:rPr>
        <w:t>,</w:t>
      </w:r>
      <w:r w:rsidR="00373AB6" w:rsidRPr="00B91EBF">
        <w:rPr>
          <w:rFonts w:ascii="Arial" w:hAnsi="Arial" w:cs="Arial"/>
          <w:lang w:val="es-MX"/>
        </w:rPr>
        <w:t xml:space="preserve"> las carreteras o vías primarias son t</w:t>
      </w:r>
      <w:r w:rsidR="00373AB6" w:rsidRPr="007F1F4E">
        <w:rPr>
          <w:rFonts w:ascii="Arial" w:eastAsia="Times New Roman" w:hAnsi="Arial" w:cs="Arial"/>
          <w:lang w:val="es-ES" w:eastAsia="es-ES"/>
        </w:rPr>
        <w:t>roncales, transversales y accesos a capitales de departamento</w:t>
      </w:r>
      <w:r w:rsidR="00C77E10" w:rsidRPr="007F1F4E">
        <w:rPr>
          <w:rFonts w:ascii="Arial" w:eastAsia="Times New Roman" w:hAnsi="Arial" w:cs="Arial"/>
          <w:lang w:val="es-ES" w:eastAsia="es-ES"/>
        </w:rPr>
        <w:t>; las carreteras o vías secundarias son vías que unen las cabeceras municipales entre sí y/o que provienen de una cabecera municipal y conectan con una carretera primaria, mientras que</w:t>
      </w:r>
      <w:r w:rsidR="00E34436" w:rsidRPr="007F1F4E">
        <w:rPr>
          <w:rFonts w:ascii="Arial" w:eastAsia="Times New Roman" w:hAnsi="Arial" w:cs="Arial"/>
          <w:lang w:val="es-ES" w:eastAsia="es-ES"/>
        </w:rPr>
        <w:t>,</w:t>
      </w:r>
      <w:r w:rsidR="00C77E10" w:rsidRPr="007F1F4E">
        <w:rPr>
          <w:rFonts w:ascii="Arial" w:eastAsia="Times New Roman" w:hAnsi="Arial" w:cs="Arial"/>
          <w:lang w:val="es-ES" w:eastAsia="es-ES"/>
        </w:rPr>
        <w:t xml:space="preserve"> las vías urbanas son calles, carreras, transversales, avenidas, diagonales, glorietas, autopistas, troncales, variantes, etc., localizadas </w:t>
      </w:r>
      <w:r w:rsidR="00C77E10" w:rsidRPr="007F1F4E">
        <w:rPr>
          <w:rFonts w:ascii="Arial" w:eastAsia="Times New Roman" w:hAnsi="Arial" w:cs="Arial"/>
          <w:i/>
          <w:lang w:val="es-ES" w:eastAsia="es-ES"/>
        </w:rPr>
        <w:t>dentro de un perímetro urbano</w:t>
      </w:r>
      <w:r w:rsidR="00C77E10" w:rsidRPr="007F1F4E">
        <w:rPr>
          <w:rFonts w:ascii="Arial" w:eastAsia="Times New Roman" w:hAnsi="Arial" w:cs="Arial"/>
          <w:lang w:val="es-ES" w:eastAsia="es-ES"/>
        </w:rPr>
        <w:t>.</w:t>
      </w:r>
    </w:p>
    <w:p w14:paraId="5E5E766C" w14:textId="190D9EA9" w:rsidR="00523733" w:rsidRDefault="00601253" w:rsidP="00DA7CAF">
      <w:pPr>
        <w:spacing w:after="0" w:line="276" w:lineRule="auto"/>
        <w:ind w:firstLine="708"/>
        <w:jc w:val="both"/>
        <w:rPr>
          <w:rFonts w:ascii="Arial" w:eastAsia="Calibri" w:hAnsi="Arial" w:cs="Arial"/>
          <w:lang w:val="es-MX"/>
        </w:rPr>
      </w:pPr>
      <w:r>
        <w:rPr>
          <w:rFonts w:ascii="Arial" w:hAnsi="Arial" w:cs="Arial"/>
          <w:lang w:val="es-MX"/>
        </w:rPr>
        <w:t>Esta diferenciación es relevante para</w:t>
      </w:r>
      <w:r w:rsidRPr="00291251">
        <w:rPr>
          <w:rFonts w:ascii="Arial" w:hAnsi="Arial" w:cs="Arial"/>
          <w:lang w:val="es-MX"/>
        </w:rPr>
        <w:t xml:space="preserve"> efectos de </w:t>
      </w:r>
      <w:r>
        <w:rPr>
          <w:rFonts w:ascii="Arial" w:hAnsi="Arial" w:cs="Arial"/>
          <w:lang w:val="es-MX"/>
        </w:rPr>
        <w:t xml:space="preserve">la </w:t>
      </w:r>
      <w:r w:rsidR="007357CA">
        <w:rPr>
          <w:rFonts w:ascii="Arial" w:hAnsi="Arial" w:cs="Arial"/>
          <w:lang w:val="es-MX"/>
        </w:rPr>
        <w:t>interpretació</w:t>
      </w:r>
      <w:r>
        <w:rPr>
          <w:rFonts w:ascii="Arial" w:hAnsi="Arial" w:cs="Arial"/>
          <w:lang w:val="es-MX"/>
        </w:rPr>
        <w:t xml:space="preserve">n de </w:t>
      </w:r>
      <w:r w:rsidRPr="00291251">
        <w:rPr>
          <w:rFonts w:ascii="Arial" w:hAnsi="Arial" w:cs="Arial"/>
          <w:lang w:val="es-MX"/>
        </w:rPr>
        <w:t xml:space="preserve">los documentos tipo de infraestructura de transporte, principalmente, en lo que se refiere a </w:t>
      </w:r>
      <w:r>
        <w:rPr>
          <w:rFonts w:ascii="Arial" w:hAnsi="Arial" w:cs="Arial"/>
          <w:lang w:val="es-MX"/>
        </w:rPr>
        <w:t xml:space="preserve">la </w:t>
      </w:r>
      <w:r w:rsidR="00F53CD4" w:rsidRPr="00291251">
        <w:rPr>
          <w:rFonts w:ascii="Arial" w:hAnsi="Arial" w:cs="Arial"/>
          <w:lang w:val="es-MX"/>
        </w:rPr>
        <w:t>evaluación de la experiencia</w:t>
      </w:r>
      <w:r w:rsidR="00F53CD4">
        <w:rPr>
          <w:rFonts w:ascii="Arial" w:hAnsi="Arial" w:cs="Arial"/>
          <w:lang w:val="es-MX"/>
        </w:rPr>
        <w:t xml:space="preserve"> </w:t>
      </w:r>
      <w:r w:rsidR="007357CA">
        <w:rPr>
          <w:rFonts w:ascii="Arial" w:hAnsi="Arial" w:cs="Arial"/>
          <w:lang w:val="es-MX"/>
        </w:rPr>
        <w:t>exigible</w:t>
      </w:r>
      <w:r w:rsidR="00F53CD4">
        <w:rPr>
          <w:rFonts w:ascii="Arial" w:hAnsi="Arial" w:cs="Arial"/>
          <w:lang w:val="es-MX"/>
        </w:rPr>
        <w:t xml:space="preserve"> en la M</w:t>
      </w:r>
      <w:r w:rsidR="007357CA">
        <w:rPr>
          <w:rFonts w:ascii="Arial" w:hAnsi="Arial" w:cs="Arial"/>
          <w:lang w:val="es-MX"/>
        </w:rPr>
        <w:t>atriz 1</w:t>
      </w:r>
      <w:r w:rsidR="00484F19">
        <w:rPr>
          <w:rFonts w:ascii="Arial" w:hAnsi="Arial" w:cs="Arial"/>
          <w:lang w:val="es-MX"/>
        </w:rPr>
        <w:t xml:space="preserve">.  </w:t>
      </w:r>
      <w:r w:rsidR="00CD45AF" w:rsidRPr="00291251">
        <w:rPr>
          <w:rFonts w:ascii="Arial" w:hAnsi="Arial" w:cs="Arial"/>
          <w:lang w:val="es-MX"/>
        </w:rPr>
        <w:t>En ese sentido</w:t>
      </w:r>
      <w:r w:rsidR="00CD45AF">
        <w:rPr>
          <w:rFonts w:ascii="Arial" w:hAnsi="Arial" w:cs="Arial"/>
          <w:lang w:val="es-MX"/>
        </w:rPr>
        <w:t>, l</w:t>
      </w:r>
      <w:r w:rsidR="00720383">
        <w:rPr>
          <w:rFonts w:ascii="Arial" w:hAnsi="Arial" w:cs="Arial"/>
          <w:lang w:val="es-MX"/>
        </w:rPr>
        <w:t xml:space="preserve">a entidad </w:t>
      </w:r>
      <w:r w:rsidR="00780BEF">
        <w:rPr>
          <w:rFonts w:ascii="Arial" w:hAnsi="Arial" w:cs="Arial"/>
          <w:lang w:val="es-MX"/>
        </w:rPr>
        <w:t>estatal</w:t>
      </w:r>
      <w:r w:rsidR="00720383">
        <w:rPr>
          <w:rFonts w:ascii="Arial" w:hAnsi="Arial" w:cs="Arial"/>
          <w:lang w:val="es-MX"/>
        </w:rPr>
        <w:t xml:space="preserve"> </w:t>
      </w:r>
      <w:r w:rsidR="007357CA">
        <w:rPr>
          <w:rFonts w:ascii="Arial" w:hAnsi="Arial" w:cs="Arial"/>
          <w:lang w:val="es-MX"/>
        </w:rPr>
        <w:t xml:space="preserve">requiere </w:t>
      </w:r>
      <w:r w:rsidR="007357CA">
        <w:rPr>
          <w:rFonts w:ascii="Arial" w:eastAsia="Calibri" w:hAnsi="Arial" w:cs="Arial"/>
          <w:lang w:val="es-MX"/>
        </w:rPr>
        <w:t>establecer</w:t>
      </w:r>
      <w:r w:rsidR="00720383">
        <w:rPr>
          <w:rFonts w:ascii="Arial" w:eastAsia="Calibri" w:hAnsi="Arial" w:cs="Arial"/>
          <w:lang w:val="es-MX"/>
        </w:rPr>
        <w:t xml:space="preserve"> </w:t>
      </w:r>
      <w:r w:rsidR="00720383">
        <w:rPr>
          <w:rFonts w:ascii="Arial" w:eastAsia="Calibri" w:hAnsi="Arial" w:cs="Arial"/>
          <w:lang w:val="es-MX"/>
        </w:rPr>
        <w:lastRenderedPageBreak/>
        <w:t xml:space="preserve">correctamente la experiencia exigible en el proceso de contratación </w:t>
      </w:r>
      <w:r w:rsidR="00216450">
        <w:rPr>
          <w:rFonts w:ascii="Arial" w:eastAsia="Calibri" w:hAnsi="Arial" w:cs="Arial"/>
          <w:lang w:val="es-MX"/>
        </w:rPr>
        <w:t>de acuerdo con cada uno de los tipos de infr</w:t>
      </w:r>
      <w:r w:rsidR="00F53CD4">
        <w:rPr>
          <w:rFonts w:ascii="Arial" w:eastAsia="Calibri" w:hAnsi="Arial" w:cs="Arial"/>
          <w:lang w:val="es-MX"/>
        </w:rPr>
        <w:t>aestructura establecidos en la M</w:t>
      </w:r>
      <w:r w:rsidR="00216450">
        <w:rPr>
          <w:rFonts w:ascii="Arial" w:eastAsia="Calibri" w:hAnsi="Arial" w:cs="Arial"/>
          <w:lang w:val="es-MX"/>
        </w:rPr>
        <w:t xml:space="preserve">atriz 1 y </w:t>
      </w:r>
      <w:r w:rsidR="00780BEF">
        <w:rPr>
          <w:rFonts w:ascii="Arial" w:eastAsia="Calibri" w:hAnsi="Arial" w:cs="Arial"/>
          <w:lang w:val="es-MX"/>
        </w:rPr>
        <w:t xml:space="preserve">las actividades a contratar </w:t>
      </w:r>
      <w:r w:rsidR="00F53CD4">
        <w:rPr>
          <w:rFonts w:ascii="Arial" w:eastAsia="Calibri" w:hAnsi="Arial" w:cs="Arial"/>
          <w:lang w:val="es-MX"/>
        </w:rPr>
        <w:t>que encuadren</w:t>
      </w:r>
      <w:r w:rsidR="00216450">
        <w:rPr>
          <w:rFonts w:ascii="Arial" w:eastAsia="Calibri" w:hAnsi="Arial" w:cs="Arial"/>
          <w:lang w:val="es-MX"/>
        </w:rPr>
        <w:t xml:space="preserve"> </w:t>
      </w:r>
      <w:r w:rsidR="00216450" w:rsidRPr="000769D0">
        <w:rPr>
          <w:rFonts w:ascii="Arial" w:eastAsia="Calibri" w:hAnsi="Arial" w:cs="Arial"/>
          <w:lang w:val="es-MX"/>
        </w:rPr>
        <w:t>de mejor forma el objeto que pretende ejecutar</w:t>
      </w:r>
      <w:r w:rsidR="00216450">
        <w:rPr>
          <w:rFonts w:ascii="Arial" w:eastAsia="Calibri" w:hAnsi="Arial" w:cs="Arial"/>
          <w:lang w:val="es-MX"/>
        </w:rPr>
        <w:t xml:space="preserve">, </w:t>
      </w:r>
      <w:r w:rsidR="00F53CD4">
        <w:rPr>
          <w:rFonts w:ascii="Arial" w:eastAsia="Calibri" w:hAnsi="Arial" w:cs="Arial"/>
          <w:lang w:val="es-MX"/>
        </w:rPr>
        <w:t xml:space="preserve">de igual forma, </w:t>
      </w:r>
      <w:r w:rsidR="006571B6">
        <w:rPr>
          <w:rFonts w:ascii="Arial" w:eastAsia="Calibri" w:hAnsi="Arial" w:cs="Arial"/>
          <w:lang w:val="es-MX"/>
        </w:rPr>
        <w:t>en la evaluación de</w:t>
      </w:r>
      <w:r w:rsidR="00F53CD4">
        <w:rPr>
          <w:rFonts w:ascii="Arial" w:eastAsia="Calibri" w:hAnsi="Arial" w:cs="Arial"/>
          <w:lang w:val="es-MX"/>
        </w:rPr>
        <w:t xml:space="preserve"> </w:t>
      </w:r>
      <w:r w:rsidR="006571B6">
        <w:rPr>
          <w:rFonts w:ascii="Arial" w:eastAsia="Calibri" w:hAnsi="Arial" w:cs="Arial"/>
          <w:lang w:val="es-MX"/>
        </w:rPr>
        <w:t xml:space="preserve">la experiencia, </w:t>
      </w:r>
      <w:r w:rsidR="006571B6" w:rsidRPr="00291251">
        <w:rPr>
          <w:rFonts w:ascii="Arial" w:hAnsi="Arial" w:cs="Arial"/>
          <w:lang w:val="es-MX"/>
        </w:rPr>
        <w:t>para determinar si un proponente tiene o no experiencia en determinado tipo de infraestructura, a la entidad le corresponde verificar que el desarrollo de los contratos acreditados haya efectivamente involucrado la ejecución de alguna de las actividades señaladas</w:t>
      </w:r>
      <w:r w:rsidR="006571B6">
        <w:rPr>
          <w:rFonts w:ascii="Arial" w:hAnsi="Arial" w:cs="Arial"/>
          <w:lang w:val="es-MX"/>
        </w:rPr>
        <w:t xml:space="preserve"> en las condiciones de experiencia general y/o específic</w:t>
      </w:r>
      <w:r w:rsidR="00484F19">
        <w:rPr>
          <w:rFonts w:ascii="Arial" w:hAnsi="Arial" w:cs="Arial"/>
          <w:lang w:val="es-MX"/>
        </w:rPr>
        <w:t>a que apliquen para cada actividad a contratar</w:t>
      </w:r>
      <w:r w:rsidR="006571B6">
        <w:rPr>
          <w:rFonts w:ascii="Arial" w:hAnsi="Arial" w:cs="Arial"/>
          <w:lang w:val="es-MX"/>
        </w:rPr>
        <w:t>.</w:t>
      </w:r>
      <w:r w:rsidR="00484F19">
        <w:rPr>
          <w:rFonts w:ascii="Arial" w:hAnsi="Arial" w:cs="Arial"/>
          <w:lang w:val="es-MX"/>
        </w:rPr>
        <w:t xml:space="preserve"> </w:t>
      </w:r>
      <w:r w:rsidR="00523733">
        <w:rPr>
          <w:rFonts w:ascii="Arial" w:eastAsia="Calibri" w:hAnsi="Arial" w:cs="Arial"/>
          <w:lang w:val="es-MX"/>
        </w:rPr>
        <w:t>De modo que</w:t>
      </w:r>
      <w:r w:rsidR="00484F19">
        <w:rPr>
          <w:rFonts w:ascii="Arial" w:eastAsia="Calibri" w:hAnsi="Arial" w:cs="Arial"/>
          <w:lang w:val="es-MX"/>
        </w:rPr>
        <w:t>,</w:t>
      </w:r>
      <w:r w:rsidR="00523733">
        <w:rPr>
          <w:rFonts w:ascii="Arial" w:eastAsia="Calibri" w:hAnsi="Arial" w:cs="Arial"/>
          <w:lang w:val="es-MX"/>
        </w:rPr>
        <w:t xml:space="preserve"> cuando se trate de condiciones</w:t>
      </w:r>
      <w:r w:rsidR="00484F19">
        <w:rPr>
          <w:rFonts w:ascii="Arial" w:eastAsia="Calibri" w:hAnsi="Arial" w:cs="Arial"/>
          <w:lang w:val="es-MX"/>
        </w:rPr>
        <w:t xml:space="preserve"> de experiencia</w:t>
      </w:r>
      <w:r w:rsidR="00523733">
        <w:rPr>
          <w:rFonts w:ascii="Arial" w:eastAsia="Calibri" w:hAnsi="Arial" w:cs="Arial"/>
          <w:lang w:val="es-MX"/>
        </w:rPr>
        <w:t xml:space="preserve"> que </w:t>
      </w:r>
      <w:r w:rsidR="00484F19">
        <w:rPr>
          <w:rFonts w:ascii="Arial" w:eastAsia="Calibri" w:hAnsi="Arial" w:cs="Arial"/>
          <w:lang w:val="es-MX"/>
        </w:rPr>
        <w:t>involucren los conceptos de</w:t>
      </w:r>
      <w:r w:rsidR="00523733">
        <w:rPr>
          <w:rFonts w:ascii="Arial" w:eastAsia="Calibri" w:hAnsi="Arial" w:cs="Arial"/>
          <w:lang w:val="es-MX"/>
        </w:rPr>
        <w:t xml:space="preserve"> vías primarias, secundarias o urbanas</w:t>
      </w:r>
      <w:r w:rsidR="00484F19">
        <w:rPr>
          <w:rFonts w:ascii="Arial" w:eastAsia="Calibri" w:hAnsi="Arial" w:cs="Arial"/>
          <w:lang w:val="es-MX"/>
        </w:rPr>
        <w:t>, la entidad estatal</w:t>
      </w:r>
      <w:r w:rsidR="00523733">
        <w:rPr>
          <w:rFonts w:ascii="Arial" w:eastAsia="Calibri" w:hAnsi="Arial" w:cs="Arial"/>
          <w:lang w:val="es-MX"/>
        </w:rPr>
        <w:t xml:space="preserve"> deberá acudir a las </w:t>
      </w:r>
      <w:r w:rsidR="00484F19">
        <w:rPr>
          <w:rFonts w:ascii="Arial" w:eastAsia="Calibri" w:hAnsi="Arial" w:cs="Arial"/>
          <w:lang w:val="es-MX"/>
        </w:rPr>
        <w:t xml:space="preserve">definiciones del </w:t>
      </w:r>
      <w:r w:rsidR="00967132">
        <w:rPr>
          <w:rFonts w:ascii="Arial" w:eastAsia="Calibri" w:hAnsi="Arial" w:cs="Arial"/>
          <w:lang w:val="es-MX"/>
        </w:rPr>
        <w:t>«</w:t>
      </w:r>
      <w:r w:rsidR="00484F19">
        <w:rPr>
          <w:rFonts w:ascii="Arial" w:eastAsia="Calibri" w:hAnsi="Arial" w:cs="Arial"/>
          <w:lang w:val="es-MX"/>
        </w:rPr>
        <w:t>Anexo 3</w:t>
      </w:r>
      <w:r w:rsidR="00967132">
        <w:rPr>
          <w:rFonts w:ascii="Arial" w:eastAsia="Calibri" w:hAnsi="Arial" w:cs="Arial"/>
          <w:lang w:val="es-MX"/>
        </w:rPr>
        <w:t>- Glosario»</w:t>
      </w:r>
      <w:r w:rsidR="00484F19">
        <w:rPr>
          <w:rFonts w:ascii="Arial" w:eastAsia="Calibri" w:hAnsi="Arial" w:cs="Arial"/>
          <w:lang w:val="es-MX"/>
        </w:rPr>
        <w:t xml:space="preserve"> para determinar su alcance.</w:t>
      </w:r>
    </w:p>
    <w:p w14:paraId="16CBB81D" w14:textId="77777777" w:rsidR="002B4AA0" w:rsidRPr="007F1F4E" w:rsidRDefault="002B4AA0" w:rsidP="00DA7CAF">
      <w:pPr>
        <w:spacing w:after="0" w:line="276" w:lineRule="auto"/>
        <w:jc w:val="both"/>
        <w:rPr>
          <w:rFonts w:ascii="Arial" w:hAnsi="Arial" w:cs="Arial"/>
          <w:b/>
          <w:bCs/>
          <w:sz w:val="18"/>
          <w:szCs w:val="18"/>
          <w:lang w:val="es-MX"/>
        </w:rPr>
      </w:pPr>
    </w:p>
    <w:p w14:paraId="49610A57" w14:textId="4B3122AB" w:rsidR="004A568B" w:rsidRDefault="004A568B" w:rsidP="00DA7CAF">
      <w:pPr>
        <w:spacing w:after="0" w:line="276" w:lineRule="auto"/>
        <w:jc w:val="both"/>
        <w:rPr>
          <w:rFonts w:ascii="Arial" w:hAnsi="Arial" w:cs="Arial"/>
          <w:b/>
          <w:bCs/>
          <w:lang w:val="es-MX"/>
        </w:rPr>
      </w:pPr>
      <w:r>
        <w:rPr>
          <w:rFonts w:ascii="Arial" w:hAnsi="Arial" w:cs="Arial"/>
          <w:b/>
          <w:bCs/>
          <w:lang w:val="es-MX"/>
        </w:rPr>
        <w:t>3. Respuesta</w:t>
      </w:r>
      <w:r w:rsidR="002B4AA0">
        <w:rPr>
          <w:rFonts w:ascii="Arial" w:hAnsi="Arial" w:cs="Arial"/>
          <w:b/>
          <w:bCs/>
          <w:lang w:val="es-MX"/>
        </w:rPr>
        <w:t>s</w:t>
      </w:r>
    </w:p>
    <w:p w14:paraId="1B22BCD7" w14:textId="044583A1" w:rsidR="00CD45AF" w:rsidRPr="007F1F4E" w:rsidRDefault="00CD45AF" w:rsidP="00DA7CAF">
      <w:pPr>
        <w:spacing w:after="0" w:line="276" w:lineRule="auto"/>
        <w:jc w:val="both"/>
        <w:rPr>
          <w:rFonts w:ascii="Arial" w:hAnsi="Arial" w:cs="Arial"/>
          <w:b/>
          <w:bCs/>
          <w:sz w:val="16"/>
          <w:szCs w:val="16"/>
          <w:lang w:val="es-MX"/>
        </w:rPr>
      </w:pPr>
    </w:p>
    <w:p w14:paraId="79D76D49" w14:textId="6F27354E" w:rsidR="00CD45AF" w:rsidRDefault="00B91EBF" w:rsidP="007F1F4E">
      <w:pPr>
        <w:spacing w:after="0" w:line="240" w:lineRule="auto"/>
        <w:ind w:left="709" w:right="709"/>
        <w:jc w:val="both"/>
        <w:rPr>
          <w:rFonts w:ascii="Arial" w:hAnsi="Arial" w:cs="Arial"/>
          <w:sz w:val="21"/>
          <w:szCs w:val="21"/>
        </w:rPr>
      </w:pPr>
      <w:r>
        <w:rPr>
          <w:rFonts w:ascii="Arial" w:hAnsi="Arial" w:cs="Arial"/>
          <w:sz w:val="21"/>
          <w:szCs w:val="21"/>
        </w:rPr>
        <w:t>«[P]</w:t>
      </w:r>
      <w:proofErr w:type="spellStart"/>
      <w:r w:rsidR="00CD45AF" w:rsidRPr="00CD45AF">
        <w:rPr>
          <w:rFonts w:ascii="Arial" w:hAnsi="Arial" w:cs="Arial"/>
          <w:sz w:val="21"/>
          <w:szCs w:val="21"/>
        </w:rPr>
        <w:t>regunto</w:t>
      </w:r>
      <w:proofErr w:type="spellEnd"/>
      <w:r w:rsidR="00CD45AF" w:rsidRPr="00CD45AF">
        <w:rPr>
          <w:rFonts w:ascii="Arial" w:hAnsi="Arial" w:cs="Arial"/>
          <w:sz w:val="21"/>
          <w:szCs w:val="21"/>
        </w:rPr>
        <w:t xml:space="preserve"> revisando, la matriz de experiencia en pliegos tipo selección abreviada de infraestructura de transporte, tengo la siguiente duda, como puedo diferenciar, una vía primaria y secundaria de una vía urbana, teniendo en cuenta que los abogados dicen que son iguales, porque en la matriz que determina la experiencia </w:t>
      </w:r>
      <w:r w:rsidR="00DA7CAF" w:rsidRPr="00CD45AF">
        <w:rPr>
          <w:rFonts w:ascii="Arial" w:hAnsi="Arial" w:cs="Arial"/>
          <w:sz w:val="21"/>
          <w:szCs w:val="21"/>
        </w:rPr>
        <w:t>la toma diferente</w:t>
      </w:r>
      <w:r w:rsidR="00CD45AF" w:rsidRPr="00CD45AF">
        <w:rPr>
          <w:rFonts w:ascii="Arial" w:hAnsi="Arial" w:cs="Arial"/>
          <w:sz w:val="21"/>
          <w:szCs w:val="21"/>
        </w:rPr>
        <w:t>, que parámetros debo tener en cuen</w:t>
      </w:r>
      <w:r w:rsidR="00CD45AF">
        <w:rPr>
          <w:rFonts w:ascii="Arial" w:hAnsi="Arial" w:cs="Arial"/>
          <w:sz w:val="21"/>
          <w:szCs w:val="21"/>
        </w:rPr>
        <w:t>ta. para decir que son iguales.</w:t>
      </w:r>
    </w:p>
    <w:p w14:paraId="2F761572" w14:textId="77777777" w:rsidR="00DA7CAF" w:rsidRPr="007F1F4E" w:rsidRDefault="00DA7CAF" w:rsidP="00DA7CAF">
      <w:pPr>
        <w:spacing w:after="0"/>
        <w:ind w:left="709" w:right="709"/>
        <w:jc w:val="both"/>
        <w:rPr>
          <w:rFonts w:ascii="Arial" w:hAnsi="Arial" w:cs="Arial"/>
          <w:b/>
          <w:bCs/>
          <w:sz w:val="16"/>
          <w:szCs w:val="16"/>
          <w:lang w:val="es-MX"/>
        </w:rPr>
      </w:pPr>
    </w:p>
    <w:p w14:paraId="3B10706C" w14:textId="77777777" w:rsidR="00967132" w:rsidRPr="00B91EBF" w:rsidRDefault="00CD45AF" w:rsidP="007F1F4E">
      <w:pPr>
        <w:spacing w:after="0" w:line="276" w:lineRule="auto"/>
        <w:jc w:val="both"/>
        <w:rPr>
          <w:rFonts w:ascii="Arial" w:eastAsia="Calibri" w:hAnsi="Arial" w:cs="Arial"/>
          <w:lang w:val="es-MX"/>
        </w:rPr>
      </w:pPr>
      <w:r w:rsidRPr="00B91EBF">
        <w:rPr>
          <w:rFonts w:ascii="Arial" w:hAnsi="Arial" w:cs="Arial"/>
        </w:rPr>
        <w:t>L</w:t>
      </w:r>
      <w:proofErr w:type="spellStart"/>
      <w:r w:rsidRPr="00B91EBF">
        <w:rPr>
          <w:rFonts w:ascii="Arial" w:hAnsi="Arial" w:cs="Arial"/>
          <w:iCs/>
          <w:lang w:val="es-MX"/>
        </w:rPr>
        <w:t>as</w:t>
      </w:r>
      <w:proofErr w:type="spellEnd"/>
      <w:r w:rsidRPr="00B91EBF">
        <w:rPr>
          <w:rFonts w:ascii="Arial" w:hAnsi="Arial" w:cs="Arial"/>
          <w:iCs/>
          <w:lang w:val="es-MX"/>
        </w:rPr>
        <w:t xml:space="preserve"> expresiones </w:t>
      </w:r>
      <w:r w:rsidRPr="00B91EBF">
        <w:rPr>
          <w:rFonts w:ascii="Arial" w:hAnsi="Arial" w:cs="Arial"/>
          <w:i/>
          <w:iCs/>
          <w:lang w:val="es-MX"/>
        </w:rPr>
        <w:t>vías primarias</w:t>
      </w:r>
      <w:r w:rsidRPr="00B91EBF">
        <w:rPr>
          <w:rFonts w:ascii="Arial" w:hAnsi="Arial" w:cs="Arial"/>
          <w:iCs/>
          <w:lang w:val="es-MX"/>
        </w:rPr>
        <w:t xml:space="preserve">, </w:t>
      </w:r>
      <w:r w:rsidRPr="00B91EBF">
        <w:rPr>
          <w:rFonts w:ascii="Arial" w:hAnsi="Arial" w:cs="Arial"/>
          <w:i/>
          <w:iCs/>
          <w:lang w:val="es-MX"/>
        </w:rPr>
        <w:t>vías secundarias</w:t>
      </w:r>
      <w:r w:rsidRPr="00B91EBF">
        <w:rPr>
          <w:rFonts w:ascii="Arial" w:hAnsi="Arial" w:cs="Arial"/>
          <w:iCs/>
          <w:lang w:val="es-MX"/>
        </w:rPr>
        <w:t xml:space="preserve"> y </w:t>
      </w:r>
      <w:r w:rsidRPr="00B91EBF">
        <w:rPr>
          <w:rFonts w:ascii="Arial" w:hAnsi="Arial" w:cs="Arial"/>
          <w:i/>
          <w:iCs/>
          <w:lang w:val="es-MX"/>
        </w:rPr>
        <w:t>vías urbanas</w:t>
      </w:r>
      <w:r w:rsidRPr="00B91EBF">
        <w:rPr>
          <w:rFonts w:ascii="Arial" w:hAnsi="Arial" w:cs="Arial"/>
          <w:lang w:val="es-MX"/>
        </w:rPr>
        <w:t xml:space="preserve"> contenidas en los documentos tipo de infraestructura de transporte,</w:t>
      </w:r>
      <w:r w:rsidRPr="00B91EBF">
        <w:rPr>
          <w:rFonts w:ascii="Arial" w:hAnsi="Arial" w:cs="Arial"/>
          <w:i/>
          <w:iCs/>
          <w:lang w:val="es-MX"/>
        </w:rPr>
        <w:t xml:space="preserve"> </w:t>
      </w:r>
      <w:r w:rsidRPr="00B91EBF">
        <w:rPr>
          <w:rFonts w:ascii="Arial" w:hAnsi="Arial" w:cs="Arial"/>
          <w:lang w:val="es-MX"/>
        </w:rPr>
        <w:t xml:space="preserve">deben interpretarse conforme a las definiciones de los numerales 2.11, 2.12 y 2.97 del </w:t>
      </w:r>
      <w:r w:rsidR="00484F19" w:rsidRPr="00B91EBF">
        <w:rPr>
          <w:rFonts w:ascii="Arial" w:hAnsi="Arial" w:cs="Arial"/>
          <w:lang w:val="es-MX"/>
        </w:rPr>
        <w:t>«</w:t>
      </w:r>
      <w:r w:rsidRPr="00B91EBF">
        <w:rPr>
          <w:rFonts w:ascii="Arial" w:hAnsi="Arial" w:cs="Arial"/>
          <w:lang w:val="es-MX"/>
        </w:rPr>
        <w:t>Anexo 3- Glosario</w:t>
      </w:r>
      <w:r w:rsidR="00484F19" w:rsidRPr="00B91EBF">
        <w:rPr>
          <w:rFonts w:ascii="Arial" w:hAnsi="Arial" w:cs="Arial"/>
          <w:lang w:val="es-MX"/>
        </w:rPr>
        <w:t>»</w:t>
      </w:r>
      <w:r w:rsidRPr="00B91EBF">
        <w:rPr>
          <w:rFonts w:ascii="Arial" w:hAnsi="Arial" w:cs="Arial"/>
          <w:lang w:val="es-MX"/>
        </w:rPr>
        <w:t xml:space="preserve">. </w:t>
      </w:r>
      <w:r w:rsidR="00484F19" w:rsidRPr="00B91EBF">
        <w:rPr>
          <w:rFonts w:ascii="Arial" w:hAnsi="Arial" w:cs="Arial"/>
          <w:lang w:val="es-MX"/>
        </w:rPr>
        <w:t>Tal como se advierte</w:t>
      </w:r>
      <w:r w:rsidRPr="00B91EBF">
        <w:rPr>
          <w:rFonts w:ascii="Arial" w:hAnsi="Arial" w:cs="Arial"/>
          <w:lang w:val="es-MX"/>
        </w:rPr>
        <w:t xml:space="preserve"> en este anexo, la definición de vías primarias, secundarías y urbanas indica que se trata de conceptos diferentes, pues</w:t>
      </w:r>
      <w:r w:rsidR="00484F19" w:rsidRPr="00B91EBF">
        <w:rPr>
          <w:rFonts w:ascii="Arial" w:hAnsi="Arial" w:cs="Arial"/>
          <w:lang w:val="es-MX"/>
        </w:rPr>
        <w:t>to que</w:t>
      </w:r>
      <w:r w:rsidRPr="00B91EBF">
        <w:rPr>
          <w:rFonts w:ascii="Arial" w:hAnsi="Arial" w:cs="Arial"/>
          <w:lang w:val="es-MX"/>
        </w:rPr>
        <w:t xml:space="preserve">, las </w:t>
      </w:r>
      <w:r w:rsidRPr="00B91EBF">
        <w:rPr>
          <w:rFonts w:ascii="Arial" w:hAnsi="Arial" w:cs="Arial"/>
          <w:i/>
          <w:lang w:val="es-MX"/>
        </w:rPr>
        <w:t>carreteras o vías primarias</w:t>
      </w:r>
      <w:r w:rsidRPr="00B91EBF">
        <w:rPr>
          <w:rFonts w:ascii="Arial" w:hAnsi="Arial" w:cs="Arial"/>
          <w:lang w:val="es-MX"/>
        </w:rPr>
        <w:t xml:space="preserve"> son t</w:t>
      </w:r>
      <w:r w:rsidRPr="007F1F4E">
        <w:rPr>
          <w:rFonts w:ascii="Arial" w:eastAsia="Times New Roman" w:hAnsi="Arial" w:cs="Arial"/>
          <w:lang w:val="es-ES" w:eastAsia="es-ES"/>
        </w:rPr>
        <w:t xml:space="preserve">roncales, transversales y accesos a capitales de departamento; las </w:t>
      </w:r>
      <w:r w:rsidRPr="007F1F4E">
        <w:rPr>
          <w:rFonts w:ascii="Arial" w:eastAsia="Times New Roman" w:hAnsi="Arial" w:cs="Arial"/>
          <w:i/>
          <w:lang w:val="es-ES" w:eastAsia="es-ES"/>
        </w:rPr>
        <w:t>carreteras o vías secundarias</w:t>
      </w:r>
      <w:r w:rsidRPr="007F1F4E">
        <w:rPr>
          <w:rFonts w:ascii="Arial" w:eastAsia="Times New Roman" w:hAnsi="Arial" w:cs="Arial"/>
          <w:lang w:val="es-ES" w:eastAsia="es-ES"/>
        </w:rPr>
        <w:t xml:space="preserve"> son vías que unen las cabeceras municipales entre sí y/o que provienen de una cabecera municipal y conectan con una carretera primaria, mientras que</w:t>
      </w:r>
      <w:r w:rsidR="00DE6F97" w:rsidRPr="007F1F4E">
        <w:rPr>
          <w:rFonts w:ascii="Arial" w:eastAsia="Times New Roman" w:hAnsi="Arial" w:cs="Arial"/>
          <w:lang w:val="es-ES" w:eastAsia="es-ES"/>
        </w:rPr>
        <w:t>,</w:t>
      </w:r>
      <w:r w:rsidRPr="007F1F4E">
        <w:rPr>
          <w:rFonts w:ascii="Arial" w:eastAsia="Times New Roman" w:hAnsi="Arial" w:cs="Arial"/>
          <w:lang w:val="es-ES" w:eastAsia="es-ES"/>
        </w:rPr>
        <w:t xml:space="preserve"> las </w:t>
      </w:r>
      <w:r w:rsidRPr="007F1F4E">
        <w:rPr>
          <w:rFonts w:ascii="Arial" w:eastAsia="Times New Roman" w:hAnsi="Arial" w:cs="Arial"/>
          <w:i/>
          <w:lang w:val="es-ES" w:eastAsia="es-ES"/>
        </w:rPr>
        <w:t>vías urbanas</w:t>
      </w:r>
      <w:r w:rsidRPr="007F1F4E">
        <w:rPr>
          <w:rFonts w:ascii="Arial" w:eastAsia="Times New Roman" w:hAnsi="Arial" w:cs="Arial"/>
          <w:lang w:val="es-ES" w:eastAsia="es-ES"/>
        </w:rPr>
        <w:t xml:space="preserve"> son calles, carreras, transversales, avenidas, diagonales, glorietas, autopistas, troncales, variantes, etc., localizadas </w:t>
      </w:r>
      <w:r w:rsidRPr="007F1F4E">
        <w:rPr>
          <w:rFonts w:ascii="Arial" w:eastAsia="Times New Roman" w:hAnsi="Arial" w:cs="Arial"/>
          <w:i/>
          <w:lang w:val="es-ES" w:eastAsia="es-ES"/>
        </w:rPr>
        <w:t>dentro de un perímetro urbano</w:t>
      </w:r>
      <w:r w:rsidRPr="007F1F4E">
        <w:rPr>
          <w:rFonts w:ascii="Arial" w:eastAsia="Times New Roman" w:hAnsi="Arial" w:cs="Arial"/>
          <w:lang w:val="es-ES" w:eastAsia="es-ES"/>
        </w:rPr>
        <w:t>.</w:t>
      </w:r>
      <w:r w:rsidR="00967132" w:rsidRPr="007F1F4E">
        <w:rPr>
          <w:rFonts w:ascii="Arial" w:eastAsia="Times New Roman" w:hAnsi="Arial" w:cs="Arial"/>
          <w:lang w:val="es-ES" w:eastAsia="es-ES"/>
        </w:rPr>
        <w:t xml:space="preserve"> </w:t>
      </w:r>
      <w:r w:rsidR="00967132" w:rsidRPr="00B91EBF">
        <w:rPr>
          <w:rFonts w:ascii="Arial" w:eastAsia="Calibri" w:hAnsi="Arial" w:cs="Arial"/>
          <w:lang w:val="es-MX"/>
        </w:rPr>
        <w:t>De modo que, cuando se trate de condiciones de experiencia que involucren los conceptos de vías primarias, secundarias o urbanas, la entidad estatal deberá acudir a las definiciones del «Anexo 3- Glosario» para determinar su alcance.</w:t>
      </w:r>
    </w:p>
    <w:p w14:paraId="00A27691" w14:textId="77777777" w:rsidR="00DA7CAF" w:rsidRPr="007F1F4E" w:rsidRDefault="00DA7CAF" w:rsidP="007F1F4E">
      <w:pPr>
        <w:spacing w:after="0" w:line="276" w:lineRule="auto"/>
        <w:jc w:val="both"/>
        <w:rPr>
          <w:rFonts w:ascii="Arial" w:eastAsia="Calibri" w:hAnsi="Arial" w:cs="Arial"/>
          <w:color w:val="000000" w:themeColor="text1"/>
          <w:sz w:val="18"/>
          <w:szCs w:val="18"/>
          <w:lang w:val="es-MX"/>
        </w:rPr>
      </w:pPr>
    </w:p>
    <w:p w14:paraId="5545349D" w14:textId="602182C4" w:rsidR="00902944" w:rsidRPr="00902944" w:rsidRDefault="00902944" w:rsidP="00DA7CAF">
      <w:pPr>
        <w:spacing w:after="120" w:line="276" w:lineRule="auto"/>
        <w:jc w:val="both"/>
        <w:rPr>
          <w:rFonts w:ascii="Arial" w:eastAsia="Calibri" w:hAnsi="Arial" w:cs="Arial"/>
          <w:color w:val="000000" w:themeColor="text1"/>
          <w:lang w:val="es-MX"/>
        </w:rPr>
      </w:pPr>
      <w:r w:rsidRPr="00902944">
        <w:rPr>
          <w:rFonts w:ascii="Arial" w:eastAsia="Calibri" w:hAnsi="Arial" w:cs="Arial"/>
          <w:color w:val="000000" w:themeColor="text1"/>
          <w:lang w:val="es-MX"/>
        </w:rPr>
        <w:t>Este concepto tiene el alcance previsto en el artículo 28 del Código de Procedimiento Administrativo y de lo Contencioso Administrativo.</w:t>
      </w:r>
    </w:p>
    <w:p w14:paraId="5B004D57" w14:textId="77777777" w:rsidR="00902944" w:rsidRPr="00902944" w:rsidRDefault="00902944" w:rsidP="00DA7CAF">
      <w:pPr>
        <w:spacing w:after="120" w:line="240" w:lineRule="auto"/>
        <w:ind w:firstLine="709"/>
        <w:jc w:val="both"/>
        <w:rPr>
          <w:rFonts w:ascii="Arial" w:eastAsia="Calibri" w:hAnsi="Arial" w:cs="Arial"/>
          <w:color w:val="000000" w:themeColor="text1"/>
          <w:lang w:val="es-MX"/>
        </w:rPr>
      </w:pPr>
    </w:p>
    <w:p w14:paraId="35A3E86F" w14:textId="77777777" w:rsidR="00902944" w:rsidRPr="00902944" w:rsidRDefault="00902944" w:rsidP="00902944">
      <w:pPr>
        <w:spacing w:after="0" w:line="240" w:lineRule="auto"/>
        <w:jc w:val="both"/>
        <w:rPr>
          <w:rFonts w:ascii="Arial" w:eastAsia="Times New Roman" w:hAnsi="Arial" w:cs="Arial"/>
          <w:color w:val="000000" w:themeColor="text1"/>
          <w:lang w:val="es-MX" w:eastAsia="es-CO"/>
        </w:rPr>
      </w:pPr>
      <w:r w:rsidRPr="00902944">
        <w:rPr>
          <w:rFonts w:ascii="Arial" w:eastAsia="Times New Roman" w:hAnsi="Arial" w:cs="Arial"/>
          <w:color w:val="000000" w:themeColor="text1"/>
          <w:lang w:val="es-MX" w:eastAsia="es-CO"/>
        </w:rPr>
        <w:t>Atentamente,</w:t>
      </w:r>
    </w:p>
    <w:p w14:paraId="6C18BE64" w14:textId="77777777" w:rsidR="00902944" w:rsidRPr="00902944" w:rsidRDefault="00902944" w:rsidP="00902944">
      <w:pPr>
        <w:spacing w:after="0" w:line="240" w:lineRule="auto"/>
        <w:jc w:val="center"/>
        <w:rPr>
          <w:rFonts w:ascii="Arial" w:eastAsia="Times New Roman" w:hAnsi="Arial" w:cs="Arial"/>
          <w:color w:val="000000" w:themeColor="text1"/>
          <w:sz w:val="18"/>
          <w:szCs w:val="20"/>
          <w:lang w:val="es-MX" w:eastAsia="es-CO"/>
        </w:rPr>
      </w:pPr>
    </w:p>
    <w:p w14:paraId="0C4CFAE4" w14:textId="453DD165" w:rsidR="00902944" w:rsidRDefault="008E0688" w:rsidP="00902944">
      <w:pPr>
        <w:spacing w:after="0" w:line="240" w:lineRule="auto"/>
        <w:jc w:val="center"/>
        <w:rPr>
          <w:rFonts w:ascii="Arial" w:hAnsi="Arial" w:cs="Arial"/>
          <w:sz w:val="18"/>
          <w:szCs w:val="20"/>
          <w:lang w:val="es-MX" w:eastAsia="es-CO"/>
        </w:rPr>
      </w:pPr>
      <w:r>
        <w:rPr>
          <w:rFonts w:ascii="Arial" w:hAnsi="Arial" w:cs="Arial"/>
          <w:noProof/>
          <w:color w:val="000000" w:themeColor="text1"/>
          <w:sz w:val="18"/>
          <w:szCs w:val="20"/>
          <w:lang w:val="en-US"/>
        </w:rPr>
        <w:lastRenderedPageBreak/>
        <w:drawing>
          <wp:inline distT="0" distB="0" distL="0" distR="0" wp14:anchorId="6F96F0CC" wp14:editId="0920AB05">
            <wp:extent cx="2668562" cy="1174964"/>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68562" cy="1174964"/>
                    </a:xfrm>
                    <a:prstGeom prst="rect">
                      <a:avLst/>
                    </a:prstGeom>
                    <a:noFill/>
                    <a:ln>
                      <a:noFill/>
                    </a:ln>
                  </pic:spPr>
                </pic:pic>
              </a:graphicData>
            </a:graphic>
          </wp:inline>
        </w:drawing>
      </w:r>
    </w:p>
    <w:p w14:paraId="1EF313B6" w14:textId="77777777" w:rsidR="00902944" w:rsidRPr="00902944" w:rsidRDefault="00902944" w:rsidP="00902944">
      <w:pPr>
        <w:spacing w:after="0" w:line="240" w:lineRule="auto"/>
        <w:jc w:val="center"/>
        <w:rPr>
          <w:rFonts w:ascii="Arial"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02944" w:rsidRPr="00902944" w14:paraId="3F0022DD" w14:textId="77777777" w:rsidTr="00FA31A7">
        <w:trPr>
          <w:trHeight w:val="315"/>
        </w:trPr>
        <w:tc>
          <w:tcPr>
            <w:tcW w:w="812" w:type="dxa"/>
            <w:vAlign w:val="center"/>
            <w:hideMark/>
          </w:tcPr>
          <w:p w14:paraId="7496A0AD"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519EFD77" w14:textId="6121D7C1" w:rsidR="00902944" w:rsidRPr="00902944" w:rsidRDefault="00DE6F97" w:rsidP="00902944">
            <w:pPr>
              <w:rPr>
                <w:rFonts w:ascii="Arial" w:eastAsia="Calibri" w:hAnsi="Arial" w:cs="Arial"/>
                <w:sz w:val="16"/>
                <w:szCs w:val="16"/>
                <w:lang w:val="es-ES_tradnl" w:eastAsia="es-ES"/>
              </w:rPr>
            </w:pPr>
            <w:r>
              <w:rPr>
                <w:rFonts w:ascii="Arial" w:eastAsia="Calibri" w:hAnsi="Arial" w:cs="Arial"/>
                <w:sz w:val="16"/>
                <w:szCs w:val="16"/>
                <w:lang w:val="es-ES_tradnl" w:eastAsia="es-ES"/>
              </w:rPr>
              <w:t>Guillermo Escolar Flórez</w:t>
            </w:r>
          </w:p>
          <w:p w14:paraId="5B6EA6C1" w14:textId="77777777" w:rsidR="00902944" w:rsidRPr="00902944" w:rsidRDefault="00902944" w:rsidP="00902944">
            <w:pPr>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Contratista de la Subdirección de Gestión Contractual</w:t>
            </w:r>
          </w:p>
        </w:tc>
      </w:tr>
      <w:tr w:rsidR="00902944" w:rsidRPr="00902944" w14:paraId="16F34656" w14:textId="77777777" w:rsidTr="00FA31A7">
        <w:trPr>
          <w:trHeight w:val="330"/>
        </w:trPr>
        <w:tc>
          <w:tcPr>
            <w:tcW w:w="812" w:type="dxa"/>
            <w:vAlign w:val="center"/>
            <w:hideMark/>
          </w:tcPr>
          <w:p w14:paraId="03464F95"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B67ABB2" w14:textId="572C7208" w:rsidR="00902944" w:rsidRPr="00902944" w:rsidRDefault="00DE6F97" w:rsidP="00902944">
            <w:pPr>
              <w:rPr>
                <w:rFonts w:ascii="Arial" w:eastAsia="Calibri" w:hAnsi="Arial" w:cs="Arial"/>
                <w:sz w:val="16"/>
                <w:szCs w:val="16"/>
                <w:lang w:val="es-ES_tradnl" w:eastAsia="es-ES"/>
              </w:rPr>
            </w:pPr>
            <w:r>
              <w:rPr>
                <w:rFonts w:ascii="Arial" w:eastAsia="Calibri" w:hAnsi="Arial" w:cs="Arial"/>
                <w:sz w:val="16"/>
                <w:szCs w:val="16"/>
                <w:lang w:val="es-ES_tradnl" w:eastAsia="es-ES"/>
              </w:rPr>
              <w:t>Alejandro Sarmiento Cantillo</w:t>
            </w:r>
          </w:p>
          <w:p w14:paraId="133297B9" w14:textId="77777777" w:rsidR="00902944" w:rsidRPr="00902944" w:rsidRDefault="00902944" w:rsidP="00902944">
            <w:pPr>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Gestor T1-15 de la Subdirección de Gestión Contractual</w:t>
            </w:r>
          </w:p>
        </w:tc>
      </w:tr>
      <w:tr w:rsidR="00902944" w:rsidRPr="00902944" w14:paraId="7CDA18EC" w14:textId="77777777" w:rsidTr="00FA31A7">
        <w:trPr>
          <w:trHeight w:val="300"/>
        </w:trPr>
        <w:tc>
          <w:tcPr>
            <w:tcW w:w="812" w:type="dxa"/>
            <w:vAlign w:val="center"/>
            <w:hideMark/>
          </w:tcPr>
          <w:p w14:paraId="0DDE1894" w14:textId="77777777" w:rsidR="00902944" w:rsidRPr="00902944" w:rsidRDefault="00902944" w:rsidP="00902944">
            <w:pPr>
              <w:spacing w:line="276" w:lineRule="auto"/>
              <w:rPr>
                <w:rFonts w:ascii="Arial" w:eastAsia="Calibri" w:hAnsi="Arial" w:cs="Arial"/>
                <w:sz w:val="16"/>
                <w:szCs w:val="16"/>
                <w:lang w:val="es-ES_tradnl" w:eastAsia="es-ES"/>
              </w:rPr>
            </w:pPr>
            <w:r w:rsidRPr="00902944">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C61963F" w14:textId="77777777" w:rsidR="00902944" w:rsidRPr="00902944" w:rsidRDefault="00902944" w:rsidP="00902944">
            <w:pPr>
              <w:rPr>
                <w:rFonts w:ascii="Arial" w:eastAsia="Calibri" w:hAnsi="Arial" w:cs="Arial"/>
                <w:sz w:val="16"/>
                <w:szCs w:val="16"/>
                <w:lang w:val="pt-BR" w:eastAsia="es-ES"/>
              </w:rPr>
            </w:pPr>
            <w:r w:rsidRPr="00902944">
              <w:rPr>
                <w:rFonts w:ascii="Arial" w:eastAsia="Calibri" w:hAnsi="Arial" w:cs="Arial"/>
                <w:sz w:val="16"/>
                <w:szCs w:val="16"/>
                <w:lang w:val="pt-BR" w:eastAsia="es-ES"/>
              </w:rPr>
              <w:t>Jorge Augusto Tirado Navarro</w:t>
            </w:r>
          </w:p>
          <w:p w14:paraId="66CDB65E" w14:textId="77777777" w:rsidR="00902944" w:rsidRPr="00902944" w:rsidRDefault="00902944" w:rsidP="00902944">
            <w:pPr>
              <w:rPr>
                <w:rFonts w:ascii="Arial" w:eastAsia="Calibri" w:hAnsi="Arial" w:cs="Arial"/>
                <w:sz w:val="16"/>
                <w:szCs w:val="16"/>
                <w:lang w:val="pt-BR" w:eastAsia="es-ES"/>
              </w:rPr>
            </w:pPr>
            <w:proofErr w:type="spellStart"/>
            <w:r w:rsidRPr="00902944">
              <w:rPr>
                <w:rFonts w:ascii="Arial" w:eastAsia="Calibri" w:hAnsi="Arial" w:cs="Arial"/>
                <w:sz w:val="16"/>
                <w:szCs w:val="16"/>
                <w:lang w:eastAsia="es-ES"/>
              </w:rPr>
              <w:t>Subdirecto</w:t>
            </w:r>
            <w:proofErr w:type="spellEnd"/>
            <w:r w:rsidRPr="00902944">
              <w:rPr>
                <w:rFonts w:ascii="Arial" w:eastAsia="Calibri" w:hAnsi="Arial" w:cs="Arial"/>
                <w:sz w:val="16"/>
                <w:szCs w:val="16"/>
                <w:lang w:val="pt-BR" w:eastAsia="es-ES"/>
              </w:rPr>
              <w:t xml:space="preserve">r de Gestión </w:t>
            </w:r>
            <w:proofErr w:type="spellStart"/>
            <w:r w:rsidRPr="00902944">
              <w:rPr>
                <w:rFonts w:ascii="Arial" w:eastAsia="Calibri" w:hAnsi="Arial" w:cs="Arial"/>
                <w:sz w:val="16"/>
                <w:szCs w:val="16"/>
                <w:lang w:val="pt-BR" w:eastAsia="es-ES"/>
              </w:rPr>
              <w:t>Contractual</w:t>
            </w:r>
            <w:proofErr w:type="spellEnd"/>
            <w:r w:rsidRPr="00902944">
              <w:rPr>
                <w:rFonts w:ascii="Arial" w:eastAsia="Calibri" w:hAnsi="Arial" w:cs="Arial"/>
                <w:sz w:val="16"/>
                <w:szCs w:val="16"/>
                <w:lang w:val="pt-BR" w:eastAsia="es-ES"/>
              </w:rPr>
              <w:t xml:space="preserve"> </w:t>
            </w:r>
            <w:proofErr w:type="spellStart"/>
            <w:r w:rsidRPr="00902944">
              <w:rPr>
                <w:rFonts w:ascii="Arial" w:eastAsia="Calibri" w:hAnsi="Arial" w:cs="Arial"/>
                <w:sz w:val="16"/>
                <w:szCs w:val="16"/>
                <w:lang w:val="pt-BR" w:eastAsia="es-ES"/>
              </w:rPr>
              <w:t>ANCP</w:t>
            </w:r>
            <w:proofErr w:type="spellEnd"/>
            <w:r w:rsidRPr="00902944">
              <w:rPr>
                <w:rFonts w:ascii="Arial" w:eastAsia="Calibri" w:hAnsi="Arial" w:cs="Arial"/>
                <w:sz w:val="16"/>
                <w:szCs w:val="16"/>
                <w:lang w:val="pt-BR" w:eastAsia="es-ES"/>
              </w:rPr>
              <w:t xml:space="preserve"> - CCE</w:t>
            </w:r>
          </w:p>
        </w:tc>
      </w:tr>
    </w:tbl>
    <w:p w14:paraId="55FB21B3" w14:textId="77777777" w:rsidR="00902944" w:rsidRPr="00902944" w:rsidRDefault="00902944" w:rsidP="00902944">
      <w:pPr>
        <w:spacing w:after="0" w:line="276" w:lineRule="auto"/>
        <w:jc w:val="both"/>
        <w:rPr>
          <w:rFonts w:ascii="Arial" w:hAnsi="Arial" w:cs="Arial"/>
          <w:color w:val="000000"/>
          <w:lang w:val="es-ES_tradnl" w:eastAsia="es-CO"/>
        </w:rPr>
      </w:pPr>
    </w:p>
    <w:p w14:paraId="1E48B58F" w14:textId="77777777" w:rsidR="00902944" w:rsidRPr="00902944" w:rsidRDefault="00902944" w:rsidP="00902944">
      <w:pPr>
        <w:spacing w:after="0" w:line="240" w:lineRule="auto"/>
        <w:jc w:val="both"/>
        <w:rPr>
          <w:sz w:val="24"/>
          <w:lang w:val="es-MX"/>
        </w:rPr>
      </w:pPr>
    </w:p>
    <w:p w14:paraId="6669E725" w14:textId="77777777" w:rsidR="00902944" w:rsidRPr="00902944" w:rsidRDefault="00902944" w:rsidP="00902944">
      <w:pPr>
        <w:spacing w:after="0" w:line="240" w:lineRule="auto"/>
        <w:jc w:val="both"/>
        <w:rPr>
          <w:rFonts w:ascii="Arial" w:hAnsi="Arial" w:cs="Arial"/>
          <w:lang w:val="es-MX"/>
        </w:rPr>
      </w:pPr>
    </w:p>
    <w:p w14:paraId="07D55920" w14:textId="77777777" w:rsidR="00902944" w:rsidRPr="00902944" w:rsidRDefault="00902944" w:rsidP="00902944">
      <w:pPr>
        <w:spacing w:after="0" w:line="240" w:lineRule="auto"/>
        <w:jc w:val="both"/>
        <w:rPr>
          <w:sz w:val="24"/>
          <w:lang w:val="es-MX"/>
        </w:rPr>
      </w:pPr>
    </w:p>
    <w:p w14:paraId="70289E31" w14:textId="77777777" w:rsidR="00D73C02" w:rsidRDefault="00D73C02" w:rsidP="00CF5D05"/>
    <w:sectPr w:rsidR="00D73C0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4900" w14:textId="77777777" w:rsidR="00424B53" w:rsidRDefault="00424B53" w:rsidP="00FC2E63">
      <w:pPr>
        <w:spacing w:after="0" w:line="240" w:lineRule="auto"/>
      </w:pPr>
      <w:r>
        <w:separator/>
      </w:r>
    </w:p>
  </w:endnote>
  <w:endnote w:type="continuationSeparator" w:id="0">
    <w:p w14:paraId="39038F22" w14:textId="77777777" w:rsidR="00424B53" w:rsidRDefault="00424B53" w:rsidP="00FC2E63">
      <w:pPr>
        <w:spacing w:after="0" w:line="240" w:lineRule="auto"/>
      </w:pPr>
      <w:r>
        <w:continuationSeparator/>
      </w:r>
    </w:p>
  </w:endnote>
  <w:endnote w:type="continuationNotice" w:id="1">
    <w:p w14:paraId="2CBB9ED1" w14:textId="77777777" w:rsidR="00424B53" w:rsidRDefault="00424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EEA9" w14:textId="7A9E85D2" w:rsidR="00BD2130" w:rsidRPr="005A79FE" w:rsidRDefault="00BD2130" w:rsidP="00BD213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20F7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20F7C">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380372D5" w14:textId="77777777" w:rsidR="00BD2130" w:rsidRDefault="00BD2130" w:rsidP="00BD2130">
    <w:pPr>
      <w:pStyle w:val="Piedepgina"/>
      <w:jc w:val="center"/>
      <w:rPr>
        <w:lang w:val="es-ES"/>
      </w:rPr>
    </w:pPr>
    <w:r>
      <w:rPr>
        <w:noProof/>
        <w:lang w:val="en-US"/>
      </w:rPr>
      <w:drawing>
        <wp:inline distT="0" distB="0" distL="0" distR="0" wp14:anchorId="3047CD9E" wp14:editId="4DA7E8DC">
          <wp:extent cx="4241994" cy="595165"/>
          <wp:effectExtent l="0" t="0" r="6350" b="0"/>
          <wp:docPr id="698997578"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97578" name="Imagen 1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E6C7" w14:textId="77777777" w:rsidR="00424B53" w:rsidRDefault="00424B53" w:rsidP="00FC2E63">
      <w:pPr>
        <w:spacing w:after="0" w:line="240" w:lineRule="auto"/>
      </w:pPr>
      <w:r>
        <w:separator/>
      </w:r>
    </w:p>
  </w:footnote>
  <w:footnote w:type="continuationSeparator" w:id="0">
    <w:p w14:paraId="5D9580DE" w14:textId="77777777" w:rsidR="00424B53" w:rsidRDefault="00424B53" w:rsidP="00FC2E63">
      <w:pPr>
        <w:spacing w:after="0" w:line="240" w:lineRule="auto"/>
      </w:pPr>
      <w:r>
        <w:continuationSeparator/>
      </w:r>
    </w:p>
  </w:footnote>
  <w:footnote w:type="continuationNotice" w:id="1">
    <w:p w14:paraId="2D0AD506" w14:textId="77777777" w:rsidR="00424B53" w:rsidRDefault="00424B53">
      <w:pPr>
        <w:spacing w:after="0" w:line="240" w:lineRule="auto"/>
      </w:pPr>
    </w:p>
  </w:footnote>
  <w:footnote w:id="2">
    <w:p w14:paraId="719963CB" w14:textId="77777777" w:rsidR="005065B5" w:rsidRDefault="005065B5" w:rsidP="005065B5">
      <w:pPr>
        <w:pStyle w:val="Textonotapie"/>
        <w:ind w:firstLine="708"/>
        <w:jc w:val="both"/>
        <w:rPr>
          <w:rFonts w:ascii="Arial" w:hAnsi="Arial" w:cs="Arial"/>
          <w:sz w:val="19"/>
          <w:szCs w:val="19"/>
        </w:rPr>
      </w:pPr>
    </w:p>
    <w:p w14:paraId="1E54B09B" w14:textId="0437F407" w:rsidR="00B67585" w:rsidRPr="00B67585" w:rsidRDefault="00B67585" w:rsidP="005065B5">
      <w:pPr>
        <w:pStyle w:val="Textonotapie"/>
        <w:ind w:firstLine="708"/>
        <w:jc w:val="both"/>
        <w:rPr>
          <w:rFonts w:ascii="Arial" w:hAnsi="Arial" w:cs="Arial"/>
          <w:sz w:val="19"/>
          <w:szCs w:val="19"/>
          <w:lang w:val="es-ES"/>
        </w:rPr>
      </w:pPr>
      <w:r w:rsidRPr="00B67585">
        <w:rPr>
          <w:rStyle w:val="Refdenotaalpie"/>
          <w:rFonts w:ascii="Arial" w:hAnsi="Arial" w:cs="Arial"/>
          <w:sz w:val="19"/>
          <w:szCs w:val="19"/>
        </w:rPr>
        <w:footnoteRef/>
      </w:r>
      <w:r w:rsidRPr="00B67585">
        <w:rPr>
          <w:rFonts w:ascii="Arial" w:hAnsi="Arial" w:cs="Arial"/>
          <w:sz w:val="19"/>
          <w:szCs w:val="19"/>
        </w:rPr>
        <w:t xml:space="preserve"> Actualiza </w:t>
      </w:r>
      <w:r w:rsidR="00BB304F" w:rsidRPr="00B67585">
        <w:rPr>
          <w:rFonts w:ascii="Arial" w:hAnsi="Arial" w:cs="Arial"/>
          <w:sz w:val="19"/>
          <w:szCs w:val="19"/>
        </w:rPr>
        <w:t>los Documentos</w:t>
      </w:r>
      <w:r w:rsidRPr="00B67585">
        <w:rPr>
          <w:rFonts w:ascii="Arial" w:hAnsi="Arial" w:cs="Arial"/>
          <w:sz w:val="19"/>
          <w:szCs w:val="19"/>
        </w:rPr>
        <w:t xml:space="preserve"> Tipo para los procesos de selección abreviada de menor cuantía de obra pública de infraestructura de transporte </w:t>
      </w:r>
      <w:r w:rsidR="00BB304F" w:rsidRPr="00B67585">
        <w:rPr>
          <w:rFonts w:ascii="Arial" w:hAnsi="Arial" w:cs="Arial"/>
          <w:sz w:val="19"/>
          <w:szCs w:val="19"/>
        </w:rPr>
        <w:t>y deroga</w:t>
      </w:r>
      <w:r w:rsidRPr="00B67585">
        <w:rPr>
          <w:rFonts w:ascii="Arial" w:hAnsi="Arial" w:cs="Arial"/>
          <w:sz w:val="19"/>
          <w:szCs w:val="19"/>
        </w:rPr>
        <w:t xml:space="preserve"> la Resolución 0044 de 2020</w:t>
      </w:r>
      <w:r w:rsidRPr="00B67585">
        <w:rPr>
          <w:rFonts w:ascii="Arial" w:hAnsi="Arial" w:cs="Arial"/>
          <w:sz w:val="19"/>
          <w:szCs w:val="19"/>
          <w:lang w:val="es-ES"/>
        </w:rPr>
        <w:t xml:space="preserve"> mediante la cual se </w:t>
      </w:r>
      <w:r w:rsidRPr="00B67585">
        <w:rPr>
          <w:rFonts w:ascii="Arial" w:hAnsi="Arial" w:cs="Arial"/>
          <w:sz w:val="19"/>
          <w:szCs w:val="19"/>
        </w:rPr>
        <w:t>desarrollaron e implementaron estos documentos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2B8B" w14:textId="7F5A26F8" w:rsidR="00BD2130" w:rsidRDefault="00722ABA">
    <w:pPr>
      <w:pStyle w:val="Encabezado"/>
    </w:pPr>
    <w:r>
      <w:rPr>
        <w:noProof/>
        <w:lang w:val="en-US"/>
      </w:rPr>
      <w:drawing>
        <wp:anchor distT="0" distB="0" distL="114300" distR="114300" simplePos="0" relativeHeight="251658240" behindDoc="1" locked="0" layoutInCell="1" allowOverlap="1" wp14:anchorId="4095FCB8" wp14:editId="29D39ABD">
          <wp:simplePos x="0" y="0"/>
          <wp:positionH relativeFrom="margin">
            <wp:align>right</wp:align>
          </wp:positionH>
          <wp:positionV relativeFrom="paragraph">
            <wp:posOffset>-105410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811"/>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4D90ABE"/>
    <w:multiLevelType w:val="multilevel"/>
    <w:tmpl w:val="9DAA2204"/>
    <w:lvl w:ilvl="0">
      <w:start w:val="2"/>
      <w:numFmt w:val="decimal"/>
      <w:lvlText w:val="%1"/>
      <w:lvlJc w:val="left"/>
      <w:pPr>
        <w:ind w:left="375" w:hanging="375"/>
      </w:pPr>
      <w:rPr>
        <w:rFonts w:hint="default"/>
        <w:b/>
      </w:rPr>
    </w:lvl>
    <w:lvl w:ilvl="1">
      <w:start w:val="61"/>
      <w:numFmt w:val="decimal"/>
      <w:lvlText w:val="%1.%2"/>
      <w:lvlJc w:val="left"/>
      <w:pPr>
        <w:ind w:left="1226" w:hanging="37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124" w:hanging="72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186" w:hanging="108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2" w15:restartNumberingAfterBreak="0">
    <w:nsid w:val="48F935EC"/>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6C3295"/>
    <w:multiLevelType w:val="hybridMultilevel"/>
    <w:tmpl w:val="77A09DAC"/>
    <w:lvl w:ilvl="0" w:tplc="DA766B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5991268">
    <w:abstractNumId w:val="5"/>
  </w:num>
  <w:num w:numId="2" w16cid:durableId="1806697387">
    <w:abstractNumId w:val="1"/>
  </w:num>
  <w:num w:numId="3" w16cid:durableId="587614547">
    <w:abstractNumId w:val="3"/>
  </w:num>
  <w:num w:numId="4" w16cid:durableId="1831409050">
    <w:abstractNumId w:val="0"/>
  </w:num>
  <w:num w:numId="5" w16cid:durableId="1772043728">
    <w:abstractNumId w:val="2"/>
  </w:num>
  <w:num w:numId="6" w16cid:durableId="784739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63"/>
    <w:rsid w:val="00025EC3"/>
    <w:rsid w:val="00026F53"/>
    <w:rsid w:val="0003301B"/>
    <w:rsid w:val="00034719"/>
    <w:rsid w:val="00035BBF"/>
    <w:rsid w:val="00041D21"/>
    <w:rsid w:val="00060199"/>
    <w:rsid w:val="00064A48"/>
    <w:rsid w:val="000676A5"/>
    <w:rsid w:val="000720B1"/>
    <w:rsid w:val="000729D1"/>
    <w:rsid w:val="000735AD"/>
    <w:rsid w:val="00075E85"/>
    <w:rsid w:val="00075EFB"/>
    <w:rsid w:val="00077F40"/>
    <w:rsid w:val="0008398E"/>
    <w:rsid w:val="000917A9"/>
    <w:rsid w:val="000A56F7"/>
    <w:rsid w:val="000A7F8D"/>
    <w:rsid w:val="000B30DA"/>
    <w:rsid w:val="000B7523"/>
    <w:rsid w:val="000C03B2"/>
    <w:rsid w:val="000C2D6F"/>
    <w:rsid w:val="000C6179"/>
    <w:rsid w:val="000D1D00"/>
    <w:rsid w:val="000D6B00"/>
    <w:rsid w:val="000E3D72"/>
    <w:rsid w:val="000E6095"/>
    <w:rsid w:val="000F5C74"/>
    <w:rsid w:val="001032AC"/>
    <w:rsid w:val="001076DF"/>
    <w:rsid w:val="00116440"/>
    <w:rsid w:val="0011666F"/>
    <w:rsid w:val="00123371"/>
    <w:rsid w:val="001242E4"/>
    <w:rsid w:val="001265D8"/>
    <w:rsid w:val="00134252"/>
    <w:rsid w:val="001411F9"/>
    <w:rsid w:val="001425C6"/>
    <w:rsid w:val="00145F67"/>
    <w:rsid w:val="001503F8"/>
    <w:rsid w:val="00150F67"/>
    <w:rsid w:val="00152308"/>
    <w:rsid w:val="0015630B"/>
    <w:rsid w:val="00161488"/>
    <w:rsid w:val="001639F4"/>
    <w:rsid w:val="00170C87"/>
    <w:rsid w:val="00171704"/>
    <w:rsid w:val="00173CEA"/>
    <w:rsid w:val="00176336"/>
    <w:rsid w:val="00181A0F"/>
    <w:rsid w:val="001836AB"/>
    <w:rsid w:val="00183C49"/>
    <w:rsid w:val="00185C61"/>
    <w:rsid w:val="00196BD1"/>
    <w:rsid w:val="001A5C14"/>
    <w:rsid w:val="001C3A41"/>
    <w:rsid w:val="001C4B68"/>
    <w:rsid w:val="001D661B"/>
    <w:rsid w:val="001E28C0"/>
    <w:rsid w:val="001E2977"/>
    <w:rsid w:val="001E4D03"/>
    <w:rsid w:val="00204F9C"/>
    <w:rsid w:val="00213F30"/>
    <w:rsid w:val="00216450"/>
    <w:rsid w:val="002214FB"/>
    <w:rsid w:val="00226E35"/>
    <w:rsid w:val="00236AD5"/>
    <w:rsid w:val="00236CE9"/>
    <w:rsid w:val="00256006"/>
    <w:rsid w:val="00267FF6"/>
    <w:rsid w:val="00270166"/>
    <w:rsid w:val="00271EAF"/>
    <w:rsid w:val="00274BFA"/>
    <w:rsid w:val="00280B29"/>
    <w:rsid w:val="00281C6B"/>
    <w:rsid w:val="00284AC0"/>
    <w:rsid w:val="00287845"/>
    <w:rsid w:val="00291251"/>
    <w:rsid w:val="00294065"/>
    <w:rsid w:val="00294E3C"/>
    <w:rsid w:val="00295382"/>
    <w:rsid w:val="002B4AA0"/>
    <w:rsid w:val="002B67DF"/>
    <w:rsid w:val="002C1AE8"/>
    <w:rsid w:val="002C2EDA"/>
    <w:rsid w:val="002D1FBB"/>
    <w:rsid w:val="002D3A08"/>
    <w:rsid w:val="002D44D3"/>
    <w:rsid w:val="002E2A35"/>
    <w:rsid w:val="002E3071"/>
    <w:rsid w:val="002F0CE1"/>
    <w:rsid w:val="002F1C99"/>
    <w:rsid w:val="003126CF"/>
    <w:rsid w:val="00321279"/>
    <w:rsid w:val="003212FF"/>
    <w:rsid w:val="00321A9E"/>
    <w:rsid w:val="00323C1F"/>
    <w:rsid w:val="003314DD"/>
    <w:rsid w:val="003327F2"/>
    <w:rsid w:val="00342F37"/>
    <w:rsid w:val="003433B5"/>
    <w:rsid w:val="00345FF2"/>
    <w:rsid w:val="0035033D"/>
    <w:rsid w:val="00354098"/>
    <w:rsid w:val="00355737"/>
    <w:rsid w:val="00366B5B"/>
    <w:rsid w:val="00373AB6"/>
    <w:rsid w:val="0038119F"/>
    <w:rsid w:val="003820D9"/>
    <w:rsid w:val="00384272"/>
    <w:rsid w:val="00384E9B"/>
    <w:rsid w:val="00394C3E"/>
    <w:rsid w:val="003B2B1E"/>
    <w:rsid w:val="003B556D"/>
    <w:rsid w:val="003C4661"/>
    <w:rsid w:val="003C5DB0"/>
    <w:rsid w:val="003D5FC0"/>
    <w:rsid w:val="003D644D"/>
    <w:rsid w:val="003D74E5"/>
    <w:rsid w:val="003E4977"/>
    <w:rsid w:val="00402991"/>
    <w:rsid w:val="004212FA"/>
    <w:rsid w:val="00424B53"/>
    <w:rsid w:val="00424C58"/>
    <w:rsid w:val="0043170C"/>
    <w:rsid w:val="00432775"/>
    <w:rsid w:val="00434339"/>
    <w:rsid w:val="00440AA3"/>
    <w:rsid w:val="00444167"/>
    <w:rsid w:val="004537EE"/>
    <w:rsid w:val="004617FF"/>
    <w:rsid w:val="00462AB2"/>
    <w:rsid w:val="0046438B"/>
    <w:rsid w:val="00481836"/>
    <w:rsid w:val="00484960"/>
    <w:rsid w:val="00484F19"/>
    <w:rsid w:val="004857E6"/>
    <w:rsid w:val="004A000C"/>
    <w:rsid w:val="004A568B"/>
    <w:rsid w:val="004D00D3"/>
    <w:rsid w:val="004D65A3"/>
    <w:rsid w:val="004E7C02"/>
    <w:rsid w:val="004F1E47"/>
    <w:rsid w:val="004F3BC8"/>
    <w:rsid w:val="004F3E41"/>
    <w:rsid w:val="004F5111"/>
    <w:rsid w:val="004F5E80"/>
    <w:rsid w:val="005065B5"/>
    <w:rsid w:val="005105BC"/>
    <w:rsid w:val="0051258A"/>
    <w:rsid w:val="00512658"/>
    <w:rsid w:val="00523733"/>
    <w:rsid w:val="00526405"/>
    <w:rsid w:val="00530E41"/>
    <w:rsid w:val="0053317E"/>
    <w:rsid w:val="00533278"/>
    <w:rsid w:val="00535D07"/>
    <w:rsid w:val="00543B2C"/>
    <w:rsid w:val="00551251"/>
    <w:rsid w:val="00564CD7"/>
    <w:rsid w:val="005731C6"/>
    <w:rsid w:val="005746B2"/>
    <w:rsid w:val="00577EAD"/>
    <w:rsid w:val="00581809"/>
    <w:rsid w:val="00581DE1"/>
    <w:rsid w:val="00587184"/>
    <w:rsid w:val="00597EF1"/>
    <w:rsid w:val="005A3892"/>
    <w:rsid w:val="005B0E02"/>
    <w:rsid w:val="005B1D76"/>
    <w:rsid w:val="005B53EB"/>
    <w:rsid w:val="005B6133"/>
    <w:rsid w:val="005C3DF2"/>
    <w:rsid w:val="005C7BF3"/>
    <w:rsid w:val="005D2262"/>
    <w:rsid w:val="005D2829"/>
    <w:rsid w:val="005D5D0E"/>
    <w:rsid w:val="005D644D"/>
    <w:rsid w:val="005F2DC1"/>
    <w:rsid w:val="00601253"/>
    <w:rsid w:val="00605F94"/>
    <w:rsid w:val="0061526C"/>
    <w:rsid w:val="00652509"/>
    <w:rsid w:val="006571B6"/>
    <w:rsid w:val="006606F5"/>
    <w:rsid w:val="006616FB"/>
    <w:rsid w:val="006633B0"/>
    <w:rsid w:val="00665DDD"/>
    <w:rsid w:val="0066765E"/>
    <w:rsid w:val="006723EE"/>
    <w:rsid w:val="00677243"/>
    <w:rsid w:val="00682FEE"/>
    <w:rsid w:val="00687768"/>
    <w:rsid w:val="006A0886"/>
    <w:rsid w:val="006A0E40"/>
    <w:rsid w:val="006A520C"/>
    <w:rsid w:val="006A6E7B"/>
    <w:rsid w:val="006B2308"/>
    <w:rsid w:val="006D5AA1"/>
    <w:rsid w:val="006D720F"/>
    <w:rsid w:val="006E11B6"/>
    <w:rsid w:val="006F03A2"/>
    <w:rsid w:val="006F0622"/>
    <w:rsid w:val="006F46B3"/>
    <w:rsid w:val="00700EA5"/>
    <w:rsid w:val="00705281"/>
    <w:rsid w:val="00706B98"/>
    <w:rsid w:val="00710CDA"/>
    <w:rsid w:val="00715EE9"/>
    <w:rsid w:val="00720383"/>
    <w:rsid w:val="00720997"/>
    <w:rsid w:val="00721F18"/>
    <w:rsid w:val="0072272A"/>
    <w:rsid w:val="00722ABA"/>
    <w:rsid w:val="007266D2"/>
    <w:rsid w:val="007303CF"/>
    <w:rsid w:val="007357CA"/>
    <w:rsid w:val="007358B8"/>
    <w:rsid w:val="00740ED4"/>
    <w:rsid w:val="007425CE"/>
    <w:rsid w:val="0074757B"/>
    <w:rsid w:val="00750C6E"/>
    <w:rsid w:val="0075242E"/>
    <w:rsid w:val="00771E7E"/>
    <w:rsid w:val="00774292"/>
    <w:rsid w:val="00780BEF"/>
    <w:rsid w:val="00785707"/>
    <w:rsid w:val="00797189"/>
    <w:rsid w:val="007B52D7"/>
    <w:rsid w:val="007B6B24"/>
    <w:rsid w:val="007C6744"/>
    <w:rsid w:val="007D4812"/>
    <w:rsid w:val="007D6A7D"/>
    <w:rsid w:val="007E7F9F"/>
    <w:rsid w:val="007F0CD3"/>
    <w:rsid w:val="007F19C0"/>
    <w:rsid w:val="007F1F4E"/>
    <w:rsid w:val="008016A3"/>
    <w:rsid w:val="0080504E"/>
    <w:rsid w:val="00806CE0"/>
    <w:rsid w:val="00810493"/>
    <w:rsid w:val="00822880"/>
    <w:rsid w:val="0082778B"/>
    <w:rsid w:val="00830F0A"/>
    <w:rsid w:val="008316BB"/>
    <w:rsid w:val="00832C62"/>
    <w:rsid w:val="00834470"/>
    <w:rsid w:val="00865D93"/>
    <w:rsid w:val="00870A62"/>
    <w:rsid w:val="00871D0C"/>
    <w:rsid w:val="00881A64"/>
    <w:rsid w:val="008A0F4C"/>
    <w:rsid w:val="008B6170"/>
    <w:rsid w:val="008C0F3F"/>
    <w:rsid w:val="008C707B"/>
    <w:rsid w:val="008D4AF1"/>
    <w:rsid w:val="008D5ACA"/>
    <w:rsid w:val="008E0688"/>
    <w:rsid w:val="008E4DEF"/>
    <w:rsid w:val="008E53CE"/>
    <w:rsid w:val="008E6A16"/>
    <w:rsid w:val="008E7794"/>
    <w:rsid w:val="00900AF1"/>
    <w:rsid w:val="00902944"/>
    <w:rsid w:val="009204DE"/>
    <w:rsid w:val="0093000F"/>
    <w:rsid w:val="00937B94"/>
    <w:rsid w:val="00956E0F"/>
    <w:rsid w:val="009654E2"/>
    <w:rsid w:val="00965663"/>
    <w:rsid w:val="00967132"/>
    <w:rsid w:val="0097574F"/>
    <w:rsid w:val="00984FB8"/>
    <w:rsid w:val="009861D5"/>
    <w:rsid w:val="00996B74"/>
    <w:rsid w:val="009C3983"/>
    <w:rsid w:val="009C3C43"/>
    <w:rsid w:val="009E3AD9"/>
    <w:rsid w:val="009F0676"/>
    <w:rsid w:val="009F1FE9"/>
    <w:rsid w:val="009F34D5"/>
    <w:rsid w:val="00A14154"/>
    <w:rsid w:val="00A16780"/>
    <w:rsid w:val="00A23A78"/>
    <w:rsid w:val="00A30DAA"/>
    <w:rsid w:val="00A320A9"/>
    <w:rsid w:val="00A34CE9"/>
    <w:rsid w:val="00A36475"/>
    <w:rsid w:val="00A36C33"/>
    <w:rsid w:val="00A37F6E"/>
    <w:rsid w:val="00A5243F"/>
    <w:rsid w:val="00A56510"/>
    <w:rsid w:val="00A67252"/>
    <w:rsid w:val="00A76E00"/>
    <w:rsid w:val="00A80A90"/>
    <w:rsid w:val="00A831C1"/>
    <w:rsid w:val="00A83EC7"/>
    <w:rsid w:val="00A83F16"/>
    <w:rsid w:val="00A8548F"/>
    <w:rsid w:val="00AA45C0"/>
    <w:rsid w:val="00AA532B"/>
    <w:rsid w:val="00AB168C"/>
    <w:rsid w:val="00AC7033"/>
    <w:rsid w:val="00AC79DE"/>
    <w:rsid w:val="00AD0F97"/>
    <w:rsid w:val="00AD124D"/>
    <w:rsid w:val="00AD444D"/>
    <w:rsid w:val="00AD49D7"/>
    <w:rsid w:val="00AD65B3"/>
    <w:rsid w:val="00AE0AC3"/>
    <w:rsid w:val="00AE170D"/>
    <w:rsid w:val="00AE56EF"/>
    <w:rsid w:val="00AF30A8"/>
    <w:rsid w:val="00AF70D0"/>
    <w:rsid w:val="00B00853"/>
    <w:rsid w:val="00B00C41"/>
    <w:rsid w:val="00B00CD6"/>
    <w:rsid w:val="00B04DAE"/>
    <w:rsid w:val="00B142AD"/>
    <w:rsid w:val="00B14BA9"/>
    <w:rsid w:val="00B21B43"/>
    <w:rsid w:val="00B24B81"/>
    <w:rsid w:val="00B25CCA"/>
    <w:rsid w:val="00B342FF"/>
    <w:rsid w:val="00B36E11"/>
    <w:rsid w:val="00B40D1E"/>
    <w:rsid w:val="00B5605C"/>
    <w:rsid w:val="00B6383D"/>
    <w:rsid w:val="00B67585"/>
    <w:rsid w:val="00B8417C"/>
    <w:rsid w:val="00B90DEC"/>
    <w:rsid w:val="00B91EBF"/>
    <w:rsid w:val="00BA276A"/>
    <w:rsid w:val="00BB0D88"/>
    <w:rsid w:val="00BB304F"/>
    <w:rsid w:val="00BB5CC2"/>
    <w:rsid w:val="00BB6893"/>
    <w:rsid w:val="00BB6BD6"/>
    <w:rsid w:val="00BB7763"/>
    <w:rsid w:val="00BC37C2"/>
    <w:rsid w:val="00BD2130"/>
    <w:rsid w:val="00BE1B21"/>
    <w:rsid w:val="00BE4AF7"/>
    <w:rsid w:val="00BF26F1"/>
    <w:rsid w:val="00C03340"/>
    <w:rsid w:val="00C133FC"/>
    <w:rsid w:val="00C14271"/>
    <w:rsid w:val="00C14444"/>
    <w:rsid w:val="00C16BED"/>
    <w:rsid w:val="00C3507C"/>
    <w:rsid w:val="00C52200"/>
    <w:rsid w:val="00C5269B"/>
    <w:rsid w:val="00C54BFF"/>
    <w:rsid w:val="00C56E39"/>
    <w:rsid w:val="00C57972"/>
    <w:rsid w:val="00C74AF8"/>
    <w:rsid w:val="00C75FD4"/>
    <w:rsid w:val="00C77E10"/>
    <w:rsid w:val="00C77E2F"/>
    <w:rsid w:val="00C84710"/>
    <w:rsid w:val="00C87E48"/>
    <w:rsid w:val="00C9653E"/>
    <w:rsid w:val="00CA637B"/>
    <w:rsid w:val="00CC342C"/>
    <w:rsid w:val="00CD1FC7"/>
    <w:rsid w:val="00CD2F96"/>
    <w:rsid w:val="00CD45AF"/>
    <w:rsid w:val="00CE4DF5"/>
    <w:rsid w:val="00CE7DD3"/>
    <w:rsid w:val="00CF0038"/>
    <w:rsid w:val="00CF3FD9"/>
    <w:rsid w:val="00CF5D05"/>
    <w:rsid w:val="00CF64C5"/>
    <w:rsid w:val="00D073B3"/>
    <w:rsid w:val="00D11BAE"/>
    <w:rsid w:val="00D135E0"/>
    <w:rsid w:val="00D15B61"/>
    <w:rsid w:val="00D277C6"/>
    <w:rsid w:val="00D36BF7"/>
    <w:rsid w:val="00D37A1B"/>
    <w:rsid w:val="00D41BC5"/>
    <w:rsid w:val="00D42C04"/>
    <w:rsid w:val="00D44827"/>
    <w:rsid w:val="00D67560"/>
    <w:rsid w:val="00D67FB4"/>
    <w:rsid w:val="00D73C02"/>
    <w:rsid w:val="00D76D49"/>
    <w:rsid w:val="00D776F1"/>
    <w:rsid w:val="00DA0470"/>
    <w:rsid w:val="00DA0960"/>
    <w:rsid w:val="00DA314C"/>
    <w:rsid w:val="00DA344D"/>
    <w:rsid w:val="00DA7CAF"/>
    <w:rsid w:val="00DA7F42"/>
    <w:rsid w:val="00DB13A5"/>
    <w:rsid w:val="00DB3B65"/>
    <w:rsid w:val="00DB4236"/>
    <w:rsid w:val="00DB51BE"/>
    <w:rsid w:val="00DB5280"/>
    <w:rsid w:val="00DB6E37"/>
    <w:rsid w:val="00DD2781"/>
    <w:rsid w:val="00DD2C07"/>
    <w:rsid w:val="00DE6F97"/>
    <w:rsid w:val="00DF4276"/>
    <w:rsid w:val="00E018C1"/>
    <w:rsid w:val="00E11703"/>
    <w:rsid w:val="00E22B4D"/>
    <w:rsid w:val="00E24DA1"/>
    <w:rsid w:val="00E300A4"/>
    <w:rsid w:val="00E34436"/>
    <w:rsid w:val="00E36899"/>
    <w:rsid w:val="00E37B4D"/>
    <w:rsid w:val="00E40DC7"/>
    <w:rsid w:val="00E429D1"/>
    <w:rsid w:val="00E43081"/>
    <w:rsid w:val="00E444D9"/>
    <w:rsid w:val="00E446F6"/>
    <w:rsid w:val="00E47FED"/>
    <w:rsid w:val="00E50B6D"/>
    <w:rsid w:val="00E539A5"/>
    <w:rsid w:val="00E55A40"/>
    <w:rsid w:val="00E60CBF"/>
    <w:rsid w:val="00E62048"/>
    <w:rsid w:val="00E96660"/>
    <w:rsid w:val="00EA4AA8"/>
    <w:rsid w:val="00EC3165"/>
    <w:rsid w:val="00EC5BF8"/>
    <w:rsid w:val="00EC6435"/>
    <w:rsid w:val="00ED6A0E"/>
    <w:rsid w:val="00ED7CA9"/>
    <w:rsid w:val="00EE46BD"/>
    <w:rsid w:val="00EE60F5"/>
    <w:rsid w:val="00F0676F"/>
    <w:rsid w:val="00F07040"/>
    <w:rsid w:val="00F1016C"/>
    <w:rsid w:val="00F1673B"/>
    <w:rsid w:val="00F1779C"/>
    <w:rsid w:val="00F20F7C"/>
    <w:rsid w:val="00F24B67"/>
    <w:rsid w:val="00F26E13"/>
    <w:rsid w:val="00F53CD4"/>
    <w:rsid w:val="00F61CA8"/>
    <w:rsid w:val="00F72116"/>
    <w:rsid w:val="00F73A9B"/>
    <w:rsid w:val="00F817E8"/>
    <w:rsid w:val="00F875D0"/>
    <w:rsid w:val="00F958E2"/>
    <w:rsid w:val="00FA31A7"/>
    <w:rsid w:val="00FB347B"/>
    <w:rsid w:val="00FB75D0"/>
    <w:rsid w:val="00FC2E63"/>
    <w:rsid w:val="00FC3C18"/>
    <w:rsid w:val="00FD53E0"/>
    <w:rsid w:val="00FD58FB"/>
    <w:rsid w:val="00FD59FB"/>
    <w:rsid w:val="00FE011D"/>
    <w:rsid w:val="00FE6B4D"/>
    <w:rsid w:val="00FF26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E533"/>
  <w15:docId w15:val="{366A13AA-A1F1-446C-8F46-B8816F09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A0886"/>
    <w:pPr>
      <w:keepNext/>
      <w:keepLines/>
      <w:numPr>
        <w:ilvl w:val="1"/>
        <w:numId w:val="3"/>
      </w:numPr>
      <w:spacing w:before="40" w:after="120"/>
      <w:ind w:left="357" w:hanging="357"/>
      <w:jc w:val="both"/>
      <w:outlineLvl w:val="1"/>
    </w:pPr>
    <w:rPr>
      <w:rFonts w:ascii="Arial" w:eastAsiaTheme="majorEastAsia" w:hAnsi="Arial" w:cstheme="majorBidi"/>
      <w:b/>
      <w:caps/>
      <w:color w:val="000000" w:themeColor="text1"/>
      <w:sz w:val="20"/>
      <w:szCs w:val="26"/>
      <w:lang w:val="es-MX"/>
    </w:rPr>
  </w:style>
  <w:style w:type="paragraph" w:styleId="Ttulo3">
    <w:name w:val="heading 3"/>
    <w:basedOn w:val="Normal"/>
    <w:next w:val="Normal"/>
    <w:link w:val="Ttulo3Car"/>
    <w:uiPriority w:val="9"/>
    <w:unhideWhenUsed/>
    <w:qFormat/>
    <w:rsid w:val="006A0886"/>
    <w:pPr>
      <w:keepNext/>
      <w:keepLines/>
      <w:numPr>
        <w:ilvl w:val="2"/>
        <w:numId w:val="3"/>
      </w:numPr>
      <w:spacing w:before="40" w:after="120"/>
      <w:jc w:val="both"/>
      <w:outlineLvl w:val="2"/>
    </w:pPr>
    <w:rPr>
      <w:rFonts w:ascii="Arial" w:eastAsiaTheme="majorEastAsia" w:hAnsi="Arial" w:cstheme="majorBidi"/>
      <w:b/>
      <w:caps/>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E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E63"/>
  </w:style>
  <w:style w:type="paragraph" w:styleId="Piedepgina">
    <w:name w:val="footer"/>
    <w:basedOn w:val="Normal"/>
    <w:link w:val="PiedepginaCar"/>
    <w:uiPriority w:val="99"/>
    <w:unhideWhenUsed/>
    <w:rsid w:val="00FC2E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E63"/>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C2E63"/>
    <w:rPr>
      <w:sz w:val="20"/>
      <w:szCs w:val="20"/>
      <w:lang w:val="es-MX"/>
    </w:rPr>
  </w:style>
  <w:style w:type="paragraph" w:customStyle="1" w:styleId="Car1">
    <w:name w:val="Car1"/>
    <w:basedOn w:val="Normal"/>
    <w:next w:val="Textonotapie"/>
    <w:uiPriority w:val="99"/>
    <w:unhideWhenUsed/>
    <w:qFormat/>
    <w:rsid w:val="00FC2E63"/>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FC2E63"/>
    <w:rPr>
      <w:vertAlign w:val="superscript"/>
    </w:rPr>
  </w:style>
  <w:style w:type="paragraph" w:customStyle="1" w:styleId="Appelnotedebasde">
    <w:name w:val="Appel note de bas de..."/>
    <w:basedOn w:val="Normal"/>
    <w:link w:val="Refdenotaalpie"/>
    <w:uiPriority w:val="99"/>
    <w:rsid w:val="00FC2E63"/>
    <w:pPr>
      <w:spacing w:line="240" w:lineRule="exact"/>
    </w:pPr>
    <w:rPr>
      <w:vertAlign w:val="superscript"/>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FC2E63"/>
    <w:pPr>
      <w:spacing w:after="0" w:line="240" w:lineRule="auto"/>
    </w:pPr>
    <w:rPr>
      <w:sz w:val="20"/>
      <w:szCs w:val="20"/>
      <w:lang w:val="es-MX"/>
    </w:rPr>
  </w:style>
  <w:style w:type="character" w:customStyle="1" w:styleId="TextonotapieCar1">
    <w:name w:val="Texto nota pie Car1"/>
    <w:basedOn w:val="Fuentedeprrafopredeter"/>
    <w:uiPriority w:val="99"/>
    <w:semiHidden/>
    <w:rsid w:val="00FC2E63"/>
    <w:rPr>
      <w:sz w:val="20"/>
      <w:szCs w:val="20"/>
    </w:rPr>
  </w:style>
  <w:style w:type="paragraph" w:styleId="NormalWeb">
    <w:name w:val="Normal (Web)"/>
    <w:basedOn w:val="Normal"/>
    <w:uiPriority w:val="99"/>
    <w:semiHidden/>
    <w:unhideWhenUsed/>
    <w:rsid w:val="000917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0917A9"/>
  </w:style>
  <w:style w:type="paragraph" w:styleId="Prrafodelista">
    <w:name w:val="List Paragraph"/>
    <w:basedOn w:val="Normal"/>
    <w:uiPriority w:val="34"/>
    <w:qFormat/>
    <w:rsid w:val="00832C62"/>
    <w:pPr>
      <w:spacing w:before="100" w:beforeAutospacing="1" w:after="100" w:afterAutospacing="1" w:line="240" w:lineRule="auto"/>
    </w:pPr>
    <w:rPr>
      <w:rFonts w:ascii="Calibri" w:hAnsi="Calibri" w:cs="Calibri"/>
      <w:lang w:eastAsia="es-CO"/>
    </w:rPr>
  </w:style>
  <w:style w:type="character" w:styleId="Textoennegrita">
    <w:name w:val="Strong"/>
    <w:basedOn w:val="Fuentedeprrafopredeter"/>
    <w:uiPriority w:val="22"/>
    <w:qFormat/>
    <w:rsid w:val="009F34D5"/>
    <w:rPr>
      <w:b/>
      <w:bCs/>
    </w:rPr>
  </w:style>
  <w:style w:type="paragraph" w:styleId="Textoindependiente">
    <w:name w:val="Body Text"/>
    <w:basedOn w:val="Normal"/>
    <w:link w:val="TextoindependienteCar"/>
    <w:uiPriority w:val="1"/>
    <w:qFormat/>
    <w:rsid w:val="00C133FC"/>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133FC"/>
    <w:rPr>
      <w:rFonts w:ascii="Arial" w:eastAsia="Arial" w:hAnsi="Arial" w:cs="Arial"/>
      <w:lang w:val="es-ES"/>
    </w:rPr>
  </w:style>
  <w:style w:type="character" w:styleId="Hipervnculo">
    <w:name w:val="Hyperlink"/>
    <w:basedOn w:val="Fuentedeprrafopredeter"/>
    <w:uiPriority w:val="99"/>
    <w:unhideWhenUsed/>
    <w:rsid w:val="007E7F9F"/>
    <w:rPr>
      <w:color w:val="0563C1" w:themeColor="hyperlink"/>
      <w:u w:val="single"/>
    </w:rPr>
  </w:style>
  <w:style w:type="paragraph" w:customStyle="1" w:styleId="Invias-VietaNumerada">
    <w:name w:val="Invias-Viñeta Numerada"/>
    <w:next w:val="Normal"/>
    <w:link w:val="Invias-VietaNumeradaCar"/>
    <w:uiPriority w:val="99"/>
    <w:qFormat/>
    <w:rsid w:val="002D44D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44D3"/>
    <w:rPr>
      <w:rFonts w:ascii="Arial Narrow" w:eastAsia="Times New Roman" w:hAnsi="Arial Narrow" w:cs="Times New Roman"/>
      <w:sz w:val="24"/>
      <w:szCs w:val="24"/>
      <w:lang w:val="en-US" w:eastAsia="es-ES"/>
    </w:rPr>
  </w:style>
  <w:style w:type="character" w:customStyle="1" w:styleId="Ttulo2Car">
    <w:name w:val="Título 2 Car"/>
    <w:basedOn w:val="Fuentedeprrafopredeter"/>
    <w:link w:val="Ttulo2"/>
    <w:uiPriority w:val="9"/>
    <w:rsid w:val="006A0886"/>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6A0886"/>
    <w:rPr>
      <w:rFonts w:ascii="Arial" w:eastAsiaTheme="majorEastAsia" w:hAnsi="Arial" w:cstheme="majorBidi"/>
      <w:b/>
      <w:caps/>
      <w:color w:val="000000" w:themeColor="text1"/>
      <w:sz w:val="20"/>
      <w:szCs w:val="24"/>
    </w:rPr>
  </w:style>
  <w:style w:type="table" w:styleId="Tablaconcuadrcula">
    <w:name w:val="Table Grid"/>
    <w:basedOn w:val="Tablanormal"/>
    <w:uiPriority w:val="59"/>
    <w:qFormat/>
    <w:rsid w:val="0046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6383D"/>
    <w:pPr>
      <w:spacing w:after="0" w:line="240" w:lineRule="auto"/>
    </w:pPr>
  </w:style>
  <w:style w:type="character" w:styleId="Refdecomentario">
    <w:name w:val="annotation reference"/>
    <w:basedOn w:val="Fuentedeprrafopredeter"/>
    <w:uiPriority w:val="99"/>
    <w:semiHidden/>
    <w:unhideWhenUsed/>
    <w:rsid w:val="00EC3165"/>
    <w:rPr>
      <w:sz w:val="16"/>
      <w:szCs w:val="16"/>
    </w:rPr>
  </w:style>
  <w:style w:type="paragraph" w:styleId="Textocomentario">
    <w:name w:val="annotation text"/>
    <w:basedOn w:val="Normal"/>
    <w:link w:val="TextocomentarioCar"/>
    <w:uiPriority w:val="99"/>
    <w:semiHidden/>
    <w:unhideWhenUsed/>
    <w:rsid w:val="00EC31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3165"/>
    <w:rPr>
      <w:sz w:val="20"/>
      <w:szCs w:val="20"/>
    </w:rPr>
  </w:style>
  <w:style w:type="paragraph" w:styleId="Asuntodelcomentario">
    <w:name w:val="annotation subject"/>
    <w:basedOn w:val="Textocomentario"/>
    <w:next w:val="Textocomentario"/>
    <w:link w:val="AsuntodelcomentarioCar"/>
    <w:uiPriority w:val="99"/>
    <w:semiHidden/>
    <w:unhideWhenUsed/>
    <w:rsid w:val="00EC3165"/>
    <w:rPr>
      <w:b/>
      <w:bCs/>
    </w:rPr>
  </w:style>
  <w:style w:type="character" w:customStyle="1" w:styleId="AsuntodelcomentarioCar">
    <w:name w:val="Asunto del comentario Car"/>
    <w:basedOn w:val="TextocomentarioCar"/>
    <w:link w:val="Asuntodelcomentario"/>
    <w:uiPriority w:val="99"/>
    <w:semiHidden/>
    <w:rsid w:val="00EC31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51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1F24CC-7314-437D-8845-21D664B0B205}"/>
</file>

<file path=customXml/itemProps2.xml><?xml version="1.0" encoding="utf-8"?>
<ds:datastoreItem xmlns:ds="http://schemas.openxmlformats.org/officeDocument/2006/customXml" ds:itemID="{6EF9EC92-77D4-491E-AB04-BD0BEB20E78A}">
  <ds:schemaRefs>
    <ds:schemaRef ds:uri="http://schemas.openxmlformats.org/officeDocument/2006/bibliography"/>
  </ds:schemaRefs>
</ds:datastoreItem>
</file>

<file path=customXml/itemProps3.xml><?xml version="1.0" encoding="utf-8"?>
<ds:datastoreItem xmlns:ds="http://schemas.openxmlformats.org/officeDocument/2006/customXml" ds:itemID="{2956266E-E80F-468C-BB34-6BCFDE00DA59}">
  <ds:schemaRefs>
    <ds:schemaRef ds:uri="http://schemas.microsoft.com/sharepoint/v3/contenttype/forms"/>
  </ds:schemaRefs>
</ds:datastoreItem>
</file>

<file path=customXml/itemProps4.xml><?xml version="1.0" encoding="utf-8"?>
<ds:datastoreItem xmlns:ds="http://schemas.openxmlformats.org/officeDocument/2006/customXml" ds:itemID="{324C6AA2-1457-452A-89D6-FC8B4AD4A53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3100</Words>
  <Characters>17055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Andrea Ramírez Castañeda</cp:lastModifiedBy>
  <cp:revision>21</cp:revision>
  <dcterms:created xsi:type="dcterms:W3CDTF">2022-05-04T15:43:00Z</dcterms:created>
  <dcterms:modified xsi:type="dcterms:W3CDTF">2022-07-07T16:43:00Z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