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84A2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E84A23">
        <w:rPr>
          <w:rFonts w:ascii="Arial" w:hAnsi="Arial" w:cs="Arial"/>
          <w:bCs/>
          <w:color w:val="000000" w:themeColor="text1"/>
          <w:sz w:val="16"/>
          <w:szCs w:val="16"/>
          <w:lang w:val="es-ES_tradnl" w:eastAsia="es-ES"/>
        </w:rPr>
        <w:t>CCE-DES-FM-17</w:t>
      </w:r>
      <w:bookmarkEnd w:id="0"/>
      <w:bookmarkEnd w:id="1"/>
    </w:p>
    <w:p w14:paraId="7476C089" w14:textId="77777777" w:rsidR="00CF3144" w:rsidRDefault="00CF3144" w:rsidP="00691281">
      <w:pPr>
        <w:jc w:val="both"/>
        <w:rPr>
          <w:rFonts w:ascii="Arial" w:eastAsia="Calibri" w:hAnsi="Arial" w:cs="Arial"/>
          <w:b/>
          <w:color w:val="000000" w:themeColor="text1"/>
          <w:sz w:val="22"/>
          <w:lang w:val="es-ES_tradnl"/>
        </w:rPr>
      </w:pPr>
    </w:p>
    <w:p w14:paraId="667BDADF" w14:textId="4A107574" w:rsidR="00691281" w:rsidRPr="003726A7" w:rsidRDefault="00691281" w:rsidP="006D5A6C">
      <w:pPr>
        <w:jc w:val="both"/>
        <w:rPr>
          <w:rFonts w:ascii="Arial" w:eastAsia="Calibri" w:hAnsi="Arial" w:cs="Arial"/>
          <w:b/>
          <w:bCs/>
          <w:color w:val="000000" w:themeColor="text1"/>
          <w:sz w:val="16"/>
          <w:szCs w:val="16"/>
          <w:lang w:val="es-ES_tradnl"/>
        </w:rPr>
      </w:pPr>
      <w:r w:rsidRPr="003726A7">
        <w:rPr>
          <w:rFonts w:ascii="Arial" w:eastAsia="Calibri" w:hAnsi="Arial" w:cs="Arial"/>
          <w:b/>
          <w:color w:val="000000" w:themeColor="text1"/>
          <w:sz w:val="22"/>
          <w:lang w:val="es-ES_tradnl"/>
        </w:rPr>
        <w:t xml:space="preserve">COMPETENCIA CONSULTIVA – Alcance – Colombia Compra Eficiente – Subdirección de Gestión Contractual </w:t>
      </w:r>
    </w:p>
    <w:p w14:paraId="38889C3E" w14:textId="77777777" w:rsidR="00691281" w:rsidRPr="003726A7" w:rsidRDefault="00691281" w:rsidP="006D5A6C">
      <w:pPr>
        <w:jc w:val="both"/>
        <w:rPr>
          <w:rFonts w:ascii="Arial" w:eastAsia="Calibri" w:hAnsi="Arial" w:cs="Arial"/>
          <w:b/>
          <w:color w:val="000000" w:themeColor="text1"/>
          <w:sz w:val="22"/>
          <w:lang w:val="es-ES_tradnl"/>
        </w:rPr>
      </w:pPr>
    </w:p>
    <w:p w14:paraId="08C41C3C" w14:textId="3DCB9F54" w:rsidR="00691281" w:rsidRDefault="006D5A6C" w:rsidP="006D5A6C">
      <w:pPr>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L</w:t>
      </w:r>
      <w:r w:rsidRPr="006D5A6C">
        <w:rPr>
          <w:rFonts w:ascii="Arial" w:eastAsia="Calibri" w:hAnsi="Arial" w:cs="Arial"/>
          <w:bCs/>
          <w:color w:val="000000" w:themeColor="text1"/>
          <w:sz w:val="22"/>
          <w:lang w:val="es-ES_tradnl"/>
        </w:rPr>
        <w:t>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que implicaría determinar y analizar la naturaleza y el régimen de contratación de cada entidad pública.</w:t>
      </w:r>
    </w:p>
    <w:p w14:paraId="33757D86" w14:textId="77777777" w:rsidR="006D5A6C" w:rsidRDefault="006D5A6C" w:rsidP="006D5A6C">
      <w:pPr>
        <w:jc w:val="both"/>
        <w:rPr>
          <w:rFonts w:ascii="Arial" w:eastAsia="Calibri" w:hAnsi="Arial" w:cs="Arial"/>
          <w:b/>
          <w:sz w:val="22"/>
          <w:lang w:val="es-ES_tradnl"/>
        </w:rPr>
      </w:pPr>
    </w:p>
    <w:p w14:paraId="47BC5195" w14:textId="574F8567" w:rsidR="00357C44" w:rsidRPr="00E84A23" w:rsidRDefault="00357C44" w:rsidP="006D5A6C">
      <w:pPr>
        <w:jc w:val="both"/>
        <w:rPr>
          <w:rFonts w:ascii="Arial" w:eastAsia="Calibri" w:hAnsi="Arial" w:cs="Arial"/>
          <w:b/>
          <w:sz w:val="22"/>
          <w:lang w:val="es-ES_tradnl"/>
        </w:rPr>
      </w:pPr>
      <w:r w:rsidRPr="00E84A23">
        <w:rPr>
          <w:rFonts w:ascii="Arial" w:eastAsia="Calibri" w:hAnsi="Arial" w:cs="Arial"/>
          <w:b/>
          <w:sz w:val="22"/>
          <w:lang w:val="es-ES_tradnl"/>
        </w:rPr>
        <w:t xml:space="preserve">ADICIÓN </w:t>
      </w:r>
      <w:r w:rsidR="00F43D66">
        <w:rPr>
          <w:rFonts w:ascii="Arial" w:eastAsia="Calibri" w:hAnsi="Arial" w:cs="Arial"/>
          <w:b/>
          <w:sz w:val="22"/>
          <w:lang w:val="es-ES_tradnl"/>
        </w:rPr>
        <w:t>DEL CONTRATO</w:t>
      </w:r>
      <w:r w:rsidR="00C41A67">
        <w:rPr>
          <w:rFonts w:ascii="Arial" w:eastAsia="Calibri" w:hAnsi="Arial" w:cs="Arial"/>
          <w:b/>
          <w:sz w:val="22"/>
          <w:lang w:val="es-ES_tradnl"/>
        </w:rPr>
        <w:t xml:space="preserve"> </w:t>
      </w:r>
      <w:r w:rsidRPr="00E84A23">
        <w:rPr>
          <w:rFonts w:ascii="Arial" w:eastAsia="Calibri" w:hAnsi="Arial" w:cs="Arial"/>
          <w:b/>
          <w:color w:val="000000" w:themeColor="text1"/>
          <w:sz w:val="22"/>
          <w:lang w:val="es-ES_tradnl"/>
        </w:rPr>
        <w:t>–</w:t>
      </w:r>
      <w:r w:rsidRPr="00E84A23">
        <w:rPr>
          <w:rFonts w:ascii="Arial" w:eastAsia="Calibri" w:hAnsi="Arial" w:cs="Arial"/>
          <w:b/>
          <w:sz w:val="22"/>
          <w:lang w:val="es-ES_tradnl"/>
        </w:rPr>
        <w:t xml:space="preserve"> Concepto </w:t>
      </w:r>
      <w:r w:rsidRPr="00E84A23">
        <w:rPr>
          <w:rFonts w:ascii="Arial" w:eastAsia="Calibri" w:hAnsi="Arial" w:cs="Arial"/>
          <w:b/>
          <w:color w:val="000000" w:themeColor="text1"/>
          <w:sz w:val="22"/>
          <w:lang w:val="es-ES_tradnl"/>
        </w:rPr>
        <w:t>– Autonomía – Límites</w:t>
      </w:r>
    </w:p>
    <w:p w14:paraId="771A51AD" w14:textId="30C66202" w:rsidR="00357C44" w:rsidRPr="00E84A23" w:rsidRDefault="00357C44" w:rsidP="006D5A6C">
      <w:pPr>
        <w:jc w:val="both"/>
        <w:rPr>
          <w:rFonts w:ascii="Arial" w:hAnsi="Arial" w:cs="Arial"/>
          <w:noProof/>
          <w:color w:val="000000" w:themeColor="text1"/>
          <w:sz w:val="22"/>
          <w:lang w:val="es-ES_tradnl"/>
        </w:rPr>
      </w:pPr>
    </w:p>
    <w:p w14:paraId="405FE6BB" w14:textId="26D7F3DD" w:rsidR="00357C44" w:rsidRPr="00E84A23" w:rsidRDefault="003B0DF0" w:rsidP="006D5A6C">
      <w:pPr>
        <w:jc w:val="both"/>
        <w:rPr>
          <w:rFonts w:ascii="Arial" w:eastAsia="Calibri" w:hAnsi="Arial" w:cs="Arial"/>
          <w:sz w:val="20"/>
          <w:szCs w:val="20"/>
          <w:lang w:val="es-ES_tradnl"/>
        </w:rPr>
      </w:pPr>
      <w:r w:rsidRPr="00E84A23">
        <w:rPr>
          <w:rFonts w:ascii="Arial" w:hAnsi="Arial" w:cs="Arial"/>
          <w:color w:val="000000" w:themeColor="text1"/>
          <w:sz w:val="20"/>
          <w:szCs w:val="20"/>
          <w:lang w:eastAsia="es-ES"/>
        </w:rPr>
        <w:t xml:space="preserve">[…] </w:t>
      </w:r>
      <w:r w:rsidR="006D5A6C" w:rsidRPr="006D5A6C">
        <w:rPr>
          <w:rFonts w:ascii="Arial" w:eastAsia="Calibri" w:hAnsi="Arial" w:cs="Arial"/>
          <w:sz w:val="20"/>
          <w:szCs w:val="20"/>
          <w:lang w:val="es-ES_tradnl"/>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sidR="006D5A6C" w:rsidRPr="006D5A6C">
        <w:rPr>
          <w:rFonts w:ascii="Arial" w:eastAsia="Calibri" w:hAnsi="Arial" w:cs="Arial"/>
          <w:sz w:val="20"/>
          <w:szCs w:val="20"/>
          <w:lang w:val="es-ES_tradnl"/>
        </w:rPr>
        <w:t>ii</w:t>
      </w:r>
      <w:proofErr w:type="spellEnd"/>
      <w:r w:rsidR="006D5A6C" w:rsidRPr="006D5A6C">
        <w:rPr>
          <w:rFonts w:ascii="Arial" w:eastAsia="Calibri" w:hAnsi="Arial" w:cs="Arial"/>
          <w:sz w:val="20"/>
          <w:szCs w:val="20"/>
          <w:lang w:val="es-ES_tradnl"/>
        </w:rPr>
        <w:t>)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w:t>
      </w:r>
    </w:p>
    <w:p w14:paraId="1F3CF78E" w14:textId="77777777" w:rsidR="00357C44" w:rsidRPr="00E84A23" w:rsidRDefault="00357C44" w:rsidP="006D5A6C">
      <w:pPr>
        <w:jc w:val="both"/>
        <w:rPr>
          <w:rFonts w:ascii="Arial" w:eastAsia="Calibri" w:hAnsi="Arial" w:cs="Arial"/>
          <w:sz w:val="20"/>
          <w:szCs w:val="20"/>
          <w:lang w:val="es-ES_tradnl"/>
        </w:rPr>
      </w:pPr>
    </w:p>
    <w:p w14:paraId="45AAB148" w14:textId="22FDA21F" w:rsidR="00357C44" w:rsidRDefault="00BE3585" w:rsidP="006D5A6C">
      <w:pPr>
        <w:jc w:val="both"/>
        <w:rPr>
          <w:rFonts w:ascii="Arial" w:hAnsi="Arial" w:cs="Arial"/>
          <w:color w:val="000000" w:themeColor="text1"/>
          <w:sz w:val="20"/>
          <w:szCs w:val="20"/>
          <w:lang w:eastAsia="es-ES"/>
        </w:rPr>
      </w:pPr>
      <w:r w:rsidRPr="00E84A23">
        <w:rPr>
          <w:rFonts w:ascii="Arial" w:hAnsi="Arial" w:cs="Arial"/>
          <w:color w:val="000000" w:themeColor="text1"/>
          <w:sz w:val="20"/>
          <w:szCs w:val="20"/>
          <w:lang w:eastAsia="es-ES"/>
        </w:rPr>
        <w:t xml:space="preserve">[…] </w:t>
      </w:r>
      <w:r w:rsidR="006D5A6C" w:rsidRPr="006D5A6C">
        <w:rPr>
          <w:rFonts w:ascii="Arial" w:hAnsi="Arial" w:cs="Arial"/>
          <w:color w:val="000000" w:themeColor="text1"/>
          <w:sz w:val="20"/>
          <w:szCs w:val="20"/>
          <w:lang w:eastAsia="es-ES"/>
        </w:rPr>
        <w:t>Lo importante es que, frente a cualquier incremento del valor inicial del contrato, que es lo que implica una adición, por cualquiera de los supuestos señalados previamente, e independiente del nombre que se le dé al acuerdo, se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006D5A6C">
        <w:rPr>
          <w:rFonts w:ascii="Arial" w:hAnsi="Arial" w:cs="Arial"/>
          <w:color w:val="000000" w:themeColor="text1"/>
          <w:sz w:val="20"/>
          <w:szCs w:val="20"/>
          <w:lang w:eastAsia="es-ES"/>
        </w:rPr>
        <w:t>.</w:t>
      </w:r>
    </w:p>
    <w:p w14:paraId="77414D55" w14:textId="77777777" w:rsidR="006D5A6C" w:rsidRPr="00E84A23" w:rsidRDefault="006D5A6C" w:rsidP="006D5A6C">
      <w:pPr>
        <w:jc w:val="both"/>
        <w:rPr>
          <w:rFonts w:ascii="Arial" w:hAnsi="Arial" w:cs="Arial"/>
          <w:noProof/>
          <w:color w:val="000000" w:themeColor="text1"/>
          <w:sz w:val="22"/>
          <w:lang w:val="es-ES_tradnl"/>
        </w:rPr>
      </w:pPr>
    </w:p>
    <w:p w14:paraId="33117EF0" w14:textId="77777777" w:rsidR="00621F68" w:rsidRPr="00E84A23" w:rsidRDefault="00621F68" w:rsidP="006D5A6C">
      <w:pPr>
        <w:jc w:val="both"/>
        <w:rPr>
          <w:rFonts w:ascii="Arial" w:eastAsia="Calibri" w:hAnsi="Arial" w:cs="Arial"/>
          <w:b/>
          <w:bCs/>
          <w:color w:val="000000" w:themeColor="text1"/>
          <w:sz w:val="22"/>
        </w:rPr>
      </w:pPr>
      <w:r w:rsidRPr="00E84A23">
        <w:rPr>
          <w:rFonts w:ascii="Arial" w:eastAsia="Calibri" w:hAnsi="Arial" w:cs="Arial"/>
          <w:b/>
          <w:bCs/>
          <w:color w:val="000000" w:themeColor="text1"/>
          <w:sz w:val="22"/>
        </w:rPr>
        <w:t xml:space="preserve">ADICIÓN – Prohibición – Monto – Cálculo – Parágrafo artículo 40 – Ley 80 de 1993 </w:t>
      </w:r>
    </w:p>
    <w:p w14:paraId="413F7A1B" w14:textId="77777777" w:rsidR="00621F68" w:rsidRPr="00E84A23" w:rsidRDefault="00621F68" w:rsidP="006D5A6C">
      <w:pPr>
        <w:jc w:val="both"/>
        <w:rPr>
          <w:rFonts w:ascii="Arial" w:eastAsia="Calibri" w:hAnsi="Arial" w:cs="Arial"/>
          <w:b/>
          <w:color w:val="000000" w:themeColor="text1"/>
          <w:sz w:val="20"/>
          <w:szCs w:val="20"/>
        </w:rPr>
      </w:pPr>
    </w:p>
    <w:p w14:paraId="5437802C" w14:textId="77777777" w:rsidR="006D5A6C" w:rsidRPr="006D5A6C" w:rsidRDefault="006D5A6C" w:rsidP="006D5A6C">
      <w:pPr>
        <w:jc w:val="both"/>
        <w:rPr>
          <w:rFonts w:ascii="Arial" w:hAnsi="Arial" w:cs="Arial"/>
          <w:color w:val="000000" w:themeColor="text1"/>
          <w:sz w:val="20"/>
          <w:szCs w:val="20"/>
          <w:lang w:eastAsia="es-ES"/>
        </w:rPr>
      </w:pPr>
      <w:r w:rsidRPr="006D5A6C">
        <w:rPr>
          <w:rFonts w:ascii="Arial" w:hAnsi="Arial" w:cs="Arial"/>
          <w:color w:val="000000" w:themeColor="text1"/>
          <w:sz w:val="20"/>
          <w:szCs w:val="20"/>
          <w:lang w:eastAsia="es-ES"/>
        </w:rPr>
        <w:t xml:space="preserve">Dicha norma además de consagrar una prohibición trae implícita una autorización, consistente en la posibilidad de adicionar los contratos estatales, siempre que no se supere el tope establecido. Ahora bien, para determinar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466B6DF2" w14:textId="77777777" w:rsidR="006D5A6C" w:rsidRDefault="006D5A6C" w:rsidP="006D5A6C">
      <w:pPr>
        <w:jc w:val="both"/>
        <w:rPr>
          <w:rFonts w:ascii="Arial" w:hAnsi="Arial" w:cs="Arial"/>
          <w:color w:val="000000" w:themeColor="text1"/>
          <w:sz w:val="20"/>
          <w:szCs w:val="20"/>
          <w:lang w:eastAsia="es-ES"/>
        </w:rPr>
      </w:pPr>
    </w:p>
    <w:p w14:paraId="13C27EB7" w14:textId="6DC5556F" w:rsidR="00B167C8" w:rsidRPr="00E84A23" w:rsidRDefault="006D5A6C" w:rsidP="006D5A6C">
      <w:pPr>
        <w:jc w:val="both"/>
        <w:rPr>
          <w:rFonts w:ascii="Arial" w:hAnsi="Arial" w:cs="Arial"/>
          <w:noProof/>
          <w:color w:val="000000" w:themeColor="text1"/>
          <w:sz w:val="22"/>
          <w:lang w:val="es-ES_tradnl"/>
        </w:rPr>
      </w:pPr>
      <w:r w:rsidRPr="006D5A6C">
        <w:rPr>
          <w:rFonts w:ascii="Arial" w:hAnsi="Arial" w:cs="Arial"/>
          <w:color w:val="000000" w:themeColor="text1"/>
          <w:sz w:val="20"/>
          <w:szCs w:val="20"/>
          <w:lang w:eastAsia="es-ES"/>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w:t>
      </w:r>
      <w:r w:rsidRPr="006D5A6C">
        <w:rPr>
          <w:rFonts w:ascii="Arial" w:hAnsi="Arial" w:cs="Arial"/>
          <w:color w:val="000000" w:themeColor="text1"/>
          <w:sz w:val="20"/>
          <w:szCs w:val="20"/>
          <w:lang w:eastAsia="es-ES"/>
        </w:rPr>
        <w:lastRenderedPageBreak/>
        <w:t>podrían hacerse en diferentes años, porque si el contrato se ejecuta sin existir variación en el valor del salario mínimo la operación sería la misma si se toma el monto en pesos.</w:t>
      </w:r>
    </w:p>
    <w:p w14:paraId="35DE3C3B" w14:textId="77777777" w:rsidR="006D5A6C" w:rsidRDefault="006D5A6C" w:rsidP="006D5A6C">
      <w:pPr>
        <w:jc w:val="both"/>
        <w:rPr>
          <w:rFonts w:ascii="Arial" w:eastAsia="Calibri" w:hAnsi="Arial" w:cs="Arial"/>
          <w:b/>
          <w:bCs/>
          <w:color w:val="000000" w:themeColor="text1"/>
          <w:sz w:val="22"/>
        </w:rPr>
      </w:pPr>
    </w:p>
    <w:p w14:paraId="2C0FE975" w14:textId="2265C90A" w:rsidR="00AA6D0C" w:rsidRPr="00E84A23" w:rsidRDefault="006A6EF6" w:rsidP="006D5A6C">
      <w:pPr>
        <w:jc w:val="both"/>
        <w:rPr>
          <w:rFonts w:ascii="Arial" w:hAnsi="Arial" w:cs="Arial"/>
          <w:noProof/>
          <w:color w:val="000000" w:themeColor="text1"/>
          <w:sz w:val="22"/>
          <w:lang w:val="es-ES_tradnl"/>
        </w:rPr>
      </w:pPr>
      <w:r w:rsidRPr="00E84A23">
        <w:rPr>
          <w:rFonts w:ascii="Arial" w:eastAsia="Calibri" w:hAnsi="Arial" w:cs="Arial"/>
          <w:b/>
          <w:bCs/>
          <w:color w:val="000000" w:themeColor="text1"/>
          <w:sz w:val="22"/>
        </w:rPr>
        <w:t xml:space="preserve">ADICIÓN – </w:t>
      </w:r>
      <w:r w:rsidR="00D813F5" w:rsidRPr="00E84A23">
        <w:rPr>
          <w:rFonts w:ascii="Arial" w:eastAsia="Calibri" w:hAnsi="Arial" w:cs="Arial"/>
          <w:b/>
          <w:bCs/>
          <w:color w:val="000000" w:themeColor="text1"/>
          <w:sz w:val="22"/>
        </w:rPr>
        <w:t xml:space="preserve">Límite </w:t>
      </w:r>
      <w:r w:rsidR="0069709F" w:rsidRPr="00E84A23">
        <w:rPr>
          <w:rFonts w:ascii="Arial" w:eastAsia="Calibri" w:hAnsi="Arial" w:cs="Arial"/>
          <w:b/>
          <w:bCs/>
          <w:color w:val="000000" w:themeColor="text1"/>
          <w:sz w:val="22"/>
        </w:rPr>
        <w:t>de valor –</w:t>
      </w:r>
      <w:r w:rsidR="00D813F5" w:rsidRPr="00E84A23">
        <w:rPr>
          <w:rFonts w:ascii="Arial" w:eastAsia="Calibri" w:hAnsi="Arial" w:cs="Arial"/>
          <w:b/>
          <w:bCs/>
          <w:color w:val="000000" w:themeColor="text1"/>
          <w:sz w:val="22"/>
        </w:rPr>
        <w:t xml:space="preserve"> </w:t>
      </w:r>
      <w:r w:rsidRPr="00E84A23">
        <w:rPr>
          <w:rFonts w:ascii="Arial" w:eastAsia="Calibri" w:hAnsi="Arial" w:cs="Arial"/>
          <w:b/>
          <w:bCs/>
          <w:color w:val="000000" w:themeColor="text1"/>
          <w:sz w:val="22"/>
        </w:rPr>
        <w:t>Excepciones</w:t>
      </w:r>
      <w:r w:rsidR="0069709F" w:rsidRPr="00E84A23">
        <w:rPr>
          <w:rFonts w:ascii="Arial" w:eastAsia="Calibri" w:hAnsi="Arial" w:cs="Arial"/>
          <w:b/>
          <w:bCs/>
          <w:color w:val="000000" w:themeColor="text1"/>
          <w:sz w:val="22"/>
        </w:rPr>
        <w:t xml:space="preserve"> a la regla</w:t>
      </w:r>
      <w:r w:rsidRPr="00E84A23">
        <w:rPr>
          <w:rFonts w:ascii="Arial" w:eastAsia="Calibri" w:hAnsi="Arial" w:cs="Arial"/>
          <w:b/>
          <w:bCs/>
          <w:color w:val="000000" w:themeColor="text1"/>
          <w:sz w:val="22"/>
        </w:rPr>
        <w:t xml:space="preserve"> </w:t>
      </w:r>
    </w:p>
    <w:p w14:paraId="21F9BD45" w14:textId="77777777" w:rsidR="00AA6D0C" w:rsidRPr="00E84A23" w:rsidRDefault="00AA6D0C" w:rsidP="006D5A6C">
      <w:pPr>
        <w:jc w:val="both"/>
        <w:rPr>
          <w:rFonts w:ascii="Arial" w:hAnsi="Arial" w:cs="Arial"/>
          <w:noProof/>
          <w:color w:val="000000" w:themeColor="text1"/>
          <w:sz w:val="22"/>
          <w:lang w:val="es-ES_tradnl"/>
        </w:rPr>
      </w:pPr>
    </w:p>
    <w:p w14:paraId="109ED600" w14:textId="77777777" w:rsidR="008A71DF" w:rsidRPr="008A71DF" w:rsidRDefault="008A71DF" w:rsidP="008A71DF">
      <w:pPr>
        <w:jc w:val="both"/>
        <w:rPr>
          <w:rFonts w:ascii="Arial" w:hAnsi="Arial" w:cs="Arial"/>
          <w:color w:val="000000" w:themeColor="text1"/>
          <w:sz w:val="20"/>
          <w:szCs w:val="20"/>
          <w:lang w:eastAsia="es-ES"/>
        </w:rPr>
      </w:pPr>
      <w:r w:rsidRPr="008A71DF">
        <w:rPr>
          <w:rFonts w:ascii="Arial" w:hAnsi="Arial" w:cs="Arial"/>
          <w:color w:val="000000" w:themeColor="text1"/>
          <w:sz w:val="20"/>
          <w:szCs w:val="20"/>
          <w:lang w:eastAsia="es-ES"/>
        </w:rPr>
        <w:t>Actualmente existe una posibilidad para adicionar contratos estatales en más del 50%, que es la contenida en el artículo 85 de la Ley 1474 de 2011 para los contratos de interventoría que, por su naturaleza de seguimiento técnico a otro contrato estatal, podrá prorrogarse por el plazo en que haya sido prorrogado el contrato objeto de vigilancia, sin que resulte aplicable el tope establecido en el parágrafo del artículo 40 de la Ley 80 de 1993, en relación con el monto de las eventuales adiciones . La disposición de la Ley 1474 de 2011 pretende fortalecer la figura de la interventoría, como una herramienta integral, para proteger los intereses públicos y evitar que se cause un eventual daño antijurídico al abandonar la vigilancia del contrato principal, por limitaciones en cuanto al monto de sus posibles adiciones.</w:t>
      </w:r>
    </w:p>
    <w:p w14:paraId="4CD66514" w14:textId="77777777" w:rsidR="008A71DF" w:rsidRDefault="008A71DF" w:rsidP="008A71DF">
      <w:pPr>
        <w:jc w:val="both"/>
        <w:rPr>
          <w:rFonts w:ascii="Arial" w:hAnsi="Arial" w:cs="Arial"/>
          <w:color w:val="000000" w:themeColor="text1"/>
          <w:sz w:val="20"/>
          <w:szCs w:val="20"/>
          <w:lang w:eastAsia="es-ES"/>
        </w:rPr>
      </w:pPr>
    </w:p>
    <w:p w14:paraId="5B23BC21" w14:textId="4A6CD93A" w:rsidR="00B167C8" w:rsidRPr="00E84A23" w:rsidRDefault="008A71DF" w:rsidP="008A71DF">
      <w:pPr>
        <w:jc w:val="both"/>
        <w:rPr>
          <w:rFonts w:ascii="Arial" w:hAnsi="Arial" w:cs="Arial"/>
          <w:noProof/>
          <w:color w:val="000000" w:themeColor="text1"/>
          <w:sz w:val="22"/>
          <w:lang w:val="es-ES_tradnl"/>
        </w:rPr>
      </w:pPr>
      <w:r w:rsidRPr="008A71DF">
        <w:rPr>
          <w:rFonts w:ascii="Arial" w:hAnsi="Arial" w:cs="Arial"/>
          <w:color w:val="000000" w:themeColor="text1"/>
          <w:sz w:val="20"/>
          <w:szCs w:val="20"/>
          <w:lang w:eastAsia="es-ES"/>
        </w:rPr>
        <w:t>Por otra parte, existió una excepción temporal establecida por el Gobierno Nacional para hacer frente a las condiciones especiales generadas en virtud de la declaratoria de emergencia sanitaria generada por la pandemia Covid-19, con la expedición de los Decretos-Ley 440 y 537 de 2020, particularmente, el artículo 8 de este último, que dispuso que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podrían adicionarse sin limitación al valor. No obstante dicha excepción perdió vigencia a partir del 30 de junio de 2022, cuando finalizó la Emergencia Sanitaria decretada por el Gobierno Nacional. En tal sentido, se retomó la regla general por haber finalizado la emergencia sanitaria y, en consecuencia, los contratos solo podrán adicionarse conforme el inciso final del parágrafo del artículo 40 de la Ley 80 de 1993.</w:t>
      </w:r>
    </w:p>
    <w:p w14:paraId="43C66A45" w14:textId="77777777" w:rsidR="008A71DF" w:rsidRDefault="008A71DF" w:rsidP="006D5A6C">
      <w:pPr>
        <w:jc w:val="both"/>
        <w:rPr>
          <w:rFonts w:ascii="Arial" w:hAnsi="Arial" w:cs="Arial"/>
          <w:b/>
          <w:sz w:val="22"/>
        </w:rPr>
      </w:pPr>
    </w:p>
    <w:p w14:paraId="47C05A37" w14:textId="2D3129FB" w:rsidR="009507C3" w:rsidRPr="00E84A23" w:rsidRDefault="009507C3">
      <w:pPr>
        <w:spacing w:after="200" w:line="276" w:lineRule="auto"/>
        <w:rPr>
          <w:rFonts w:ascii="Arial" w:hAnsi="Arial" w:cs="Arial"/>
          <w:noProof/>
          <w:color w:val="000000" w:themeColor="text1"/>
          <w:sz w:val="22"/>
          <w:lang w:val="es-ES_tradnl"/>
        </w:rPr>
      </w:pPr>
      <w:r w:rsidRPr="00E84A23">
        <w:rPr>
          <w:rFonts w:ascii="Arial" w:hAnsi="Arial" w:cs="Arial"/>
          <w:noProof/>
          <w:color w:val="000000" w:themeColor="text1"/>
          <w:sz w:val="22"/>
          <w:lang w:val="es-ES_tradnl"/>
        </w:rPr>
        <w:br w:type="page"/>
      </w:r>
    </w:p>
    <w:p w14:paraId="1E6C9318" w14:textId="1E3288B5" w:rsidR="009A1774" w:rsidRPr="00E84A23" w:rsidRDefault="00B95C30" w:rsidP="004D45A6">
      <w:pPr>
        <w:contextualSpacing/>
        <w:jc w:val="both"/>
        <w:rPr>
          <w:rFonts w:ascii="Arial" w:eastAsia="Calibri" w:hAnsi="Arial" w:cs="Arial"/>
          <w:noProof/>
          <w:color w:val="161616" w:themeColor="background1" w:themeShade="1A"/>
          <w:sz w:val="22"/>
          <w:szCs w:val="22"/>
          <w:lang w:val="es-ES_tradnl"/>
        </w:rPr>
      </w:pPr>
      <w:r w:rsidRPr="00E84A23">
        <w:rPr>
          <w:rFonts w:ascii="Arial" w:hAnsi="Arial" w:cs="Arial"/>
          <w:noProof/>
          <w:color w:val="000000" w:themeColor="text1"/>
          <w:sz w:val="22"/>
          <w:lang w:val="es-ES_tradnl"/>
        </w:rPr>
        <w:lastRenderedPageBreak/>
        <w:t>Bogotá</w:t>
      </w:r>
      <w:r w:rsidR="00B51437">
        <w:rPr>
          <w:rFonts w:ascii="Arial" w:hAnsi="Arial" w:cs="Arial"/>
          <w:noProof/>
          <w:color w:val="000000" w:themeColor="text1"/>
          <w:sz w:val="22"/>
          <w:lang w:val="es-ES_tradnl"/>
        </w:rPr>
        <w:t>,</w:t>
      </w:r>
      <w:r w:rsidRPr="00E84A23">
        <w:rPr>
          <w:rFonts w:ascii="Arial" w:hAnsi="Arial" w:cs="Arial"/>
          <w:noProof/>
          <w:color w:val="000000" w:themeColor="text1"/>
          <w:sz w:val="22"/>
          <w:lang w:val="es-ES_tradnl"/>
        </w:rPr>
        <w:t xml:space="preserve"> </w:t>
      </w:r>
      <w:r w:rsidR="00A02E88">
        <w:rPr>
          <w:rFonts w:ascii="_˘∂Ωò" w:eastAsiaTheme="minorHAnsi" w:hAnsi="_˘∂Ωò" w:cs="_˘∂Ωò"/>
          <w:sz w:val="22"/>
          <w:szCs w:val="22"/>
          <w:lang w:val="es-ES_tradnl" w:eastAsia="en-US"/>
        </w:rPr>
        <w:t xml:space="preserve">29 </w:t>
      </w:r>
      <w:proofErr w:type="gramStart"/>
      <w:r w:rsidR="00A02E88">
        <w:rPr>
          <w:rFonts w:ascii="_˘∂Ωò" w:eastAsiaTheme="minorHAnsi" w:hAnsi="_˘∂Ωò" w:cs="_˘∂Ωò"/>
          <w:sz w:val="22"/>
          <w:szCs w:val="22"/>
          <w:lang w:val="es-ES_tradnl" w:eastAsia="en-US"/>
        </w:rPr>
        <w:t>Septiembre</w:t>
      </w:r>
      <w:proofErr w:type="gramEnd"/>
      <w:r w:rsidR="00A02E88">
        <w:rPr>
          <w:rFonts w:ascii="_˘∂Ωò" w:eastAsiaTheme="minorHAnsi" w:hAnsi="_˘∂Ωò" w:cs="_˘∂Ωò"/>
          <w:sz w:val="22"/>
          <w:szCs w:val="22"/>
          <w:lang w:val="es-ES_tradnl" w:eastAsia="en-US"/>
        </w:rPr>
        <w:t xml:space="preserve"> 2022.                                       </w:t>
      </w:r>
      <w:r w:rsidR="00A02E88" w:rsidRPr="00A02E88">
        <w:rPr>
          <w:rFonts w:ascii="_˘∂Ωò" w:eastAsiaTheme="minorHAnsi" w:hAnsi="_˘∂Ωò" w:cs="_˘∂Ωò"/>
          <w:noProof/>
          <w:sz w:val="22"/>
          <w:szCs w:val="22"/>
          <w:lang w:val="es-ES_tradnl" w:eastAsia="en-US"/>
        </w:rPr>
        <w:drawing>
          <wp:inline distT="0" distB="0" distL="0" distR="0" wp14:anchorId="13B33BAF" wp14:editId="4039DB7A">
            <wp:extent cx="2832735" cy="8001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6221" cy="803999"/>
                    </a:xfrm>
                    <a:prstGeom prst="rect">
                      <a:avLst/>
                    </a:prstGeom>
                  </pic:spPr>
                </pic:pic>
              </a:graphicData>
            </a:graphic>
          </wp:inline>
        </w:drawing>
      </w:r>
    </w:p>
    <w:p w14:paraId="24A88D3F" w14:textId="110B1738" w:rsidR="00F53F4F" w:rsidRDefault="00F53F4F" w:rsidP="004D45A6">
      <w:pPr>
        <w:contextualSpacing/>
        <w:jc w:val="both"/>
        <w:rPr>
          <w:rFonts w:ascii="Arial" w:hAnsi="Arial" w:cs="Arial"/>
          <w:b/>
          <w:color w:val="000000" w:themeColor="text1"/>
          <w:sz w:val="22"/>
          <w:lang w:val="es-ES_tradnl"/>
        </w:rPr>
      </w:pPr>
    </w:p>
    <w:p w14:paraId="71867B95" w14:textId="77777777" w:rsidR="004D45A6" w:rsidRPr="00E84A23" w:rsidRDefault="004D45A6" w:rsidP="004D45A6">
      <w:pPr>
        <w:contextualSpacing/>
        <w:jc w:val="both"/>
        <w:rPr>
          <w:rFonts w:ascii="Arial" w:hAnsi="Arial" w:cs="Arial"/>
          <w:b/>
          <w:color w:val="000000" w:themeColor="text1"/>
          <w:sz w:val="22"/>
          <w:lang w:val="es-ES_tradnl"/>
        </w:rPr>
      </w:pPr>
    </w:p>
    <w:p w14:paraId="5F5AE9EF" w14:textId="602343FE" w:rsidR="00B95C30" w:rsidRPr="00E84A23" w:rsidRDefault="004D45A6" w:rsidP="004D45A6">
      <w:pPr>
        <w:contextualSpacing/>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Doctor</w:t>
      </w:r>
    </w:p>
    <w:p w14:paraId="6987FB13" w14:textId="0A359338" w:rsidR="002311F0" w:rsidRPr="00E84A23" w:rsidRDefault="00A715F2" w:rsidP="004D45A6">
      <w:pPr>
        <w:contextualSpacing/>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Alejandro García Toro</w:t>
      </w:r>
      <w:r w:rsidR="0069042D" w:rsidRPr="00E84A23">
        <w:rPr>
          <w:rFonts w:ascii="Calibri" w:hAnsi="Calibri" w:cs="Calibri"/>
          <w:b/>
          <w:bCs/>
          <w:color w:val="000000"/>
          <w:sz w:val="22"/>
          <w:szCs w:val="22"/>
        </w:rPr>
        <w:t xml:space="preserve"> </w:t>
      </w:r>
    </w:p>
    <w:p w14:paraId="0E8FE744" w14:textId="15420CF3" w:rsidR="004D45A6" w:rsidRDefault="004D45A6" w:rsidP="004D45A6">
      <w:pPr>
        <w:contextualSpacing/>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Secretario de Gobierno, la Mujer y la Equidad de Género</w:t>
      </w:r>
    </w:p>
    <w:p w14:paraId="09D4AEA8" w14:textId="70D3F5F7" w:rsidR="00B95C30" w:rsidRPr="00E84A23" w:rsidRDefault="00A715F2" w:rsidP="004D45A6">
      <w:pPr>
        <w:contextualSpacing/>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Chinchiná, Caldas</w:t>
      </w:r>
    </w:p>
    <w:p w14:paraId="3B584A57" w14:textId="4528CA3D" w:rsidR="00F53F4F" w:rsidRPr="00E84A23" w:rsidRDefault="00F53F4F" w:rsidP="004D45A6">
      <w:pPr>
        <w:contextualSpacing/>
        <w:jc w:val="both"/>
        <w:rPr>
          <w:rFonts w:ascii="Arial" w:eastAsia="Calibri" w:hAnsi="Arial" w:cs="Arial"/>
          <w:color w:val="000000" w:themeColor="text1"/>
          <w:sz w:val="22"/>
          <w:lang w:val="es-ES_tradnl"/>
        </w:rPr>
      </w:pPr>
    </w:p>
    <w:p w14:paraId="48E36FCF" w14:textId="77777777" w:rsidR="00F53F4F" w:rsidRPr="00E84A23" w:rsidRDefault="00F53F4F" w:rsidP="004D45A6">
      <w:pPr>
        <w:contextualSpacing/>
        <w:jc w:val="both"/>
        <w:rPr>
          <w:rFonts w:ascii="Arial" w:eastAsia="Calibri" w:hAnsi="Arial" w:cs="Arial"/>
          <w:color w:val="000000" w:themeColor="text1"/>
          <w:sz w:val="22"/>
          <w:lang w:val="es-ES_tradnl"/>
        </w:rPr>
      </w:pPr>
    </w:p>
    <w:p w14:paraId="12E66182" w14:textId="4AD0CF8C" w:rsidR="00B95C30" w:rsidRPr="00E84A23" w:rsidRDefault="00F53F4F" w:rsidP="004D45A6">
      <w:pPr>
        <w:contextualSpacing/>
        <w:rPr>
          <w:rFonts w:ascii="Arial" w:eastAsia="Calibri" w:hAnsi="Arial" w:cs="Arial"/>
          <w:b/>
          <w:bCs/>
          <w:color w:val="000000" w:themeColor="text1"/>
          <w:sz w:val="22"/>
          <w:lang w:val="es-ES_tradnl"/>
        </w:rPr>
      </w:pPr>
      <w:r w:rsidRPr="00E84A23">
        <w:rPr>
          <w:rFonts w:ascii="Arial" w:eastAsia="Calibri" w:hAnsi="Arial" w:cs="Arial"/>
          <w:b/>
          <w:bCs/>
          <w:color w:val="000000" w:themeColor="text1"/>
          <w:sz w:val="22"/>
          <w:lang w:val="es-ES_tradnl"/>
        </w:rPr>
        <w:t xml:space="preserve">                                            </w:t>
      </w:r>
      <w:r w:rsidR="00B95C30" w:rsidRPr="00E84A23">
        <w:rPr>
          <w:rFonts w:ascii="Arial" w:eastAsia="Calibri" w:hAnsi="Arial" w:cs="Arial"/>
          <w:b/>
          <w:bCs/>
          <w:color w:val="000000" w:themeColor="text1"/>
          <w:sz w:val="22"/>
          <w:lang w:val="es-ES_tradnl"/>
        </w:rPr>
        <w:t xml:space="preserve">Concepto C ‒ </w:t>
      </w:r>
      <w:r w:rsidR="00A715F2">
        <w:rPr>
          <w:rFonts w:ascii="Arial" w:eastAsia="Calibri" w:hAnsi="Arial" w:cs="Arial"/>
          <w:b/>
          <w:bCs/>
          <w:color w:val="000000" w:themeColor="text1"/>
          <w:sz w:val="22"/>
          <w:lang w:val="es-ES_tradnl"/>
        </w:rPr>
        <w:t>630</w:t>
      </w:r>
      <w:r w:rsidR="00B95C30" w:rsidRPr="00E84A23">
        <w:rPr>
          <w:rFonts w:ascii="Arial" w:eastAsia="Calibri" w:hAnsi="Arial" w:cs="Arial"/>
          <w:b/>
          <w:bCs/>
          <w:color w:val="000000" w:themeColor="text1"/>
          <w:sz w:val="22"/>
          <w:lang w:val="es-ES_tradnl"/>
        </w:rPr>
        <w:t xml:space="preserve"> de 202</w:t>
      </w:r>
      <w:r w:rsidR="006C4B3D" w:rsidRPr="00E84A23">
        <w:rPr>
          <w:rFonts w:ascii="Arial" w:eastAsia="Calibri" w:hAnsi="Arial" w:cs="Arial"/>
          <w:b/>
          <w:bCs/>
          <w:color w:val="000000" w:themeColor="text1"/>
          <w:sz w:val="22"/>
          <w:lang w:val="es-ES_tradnl"/>
        </w:rPr>
        <w:t>2</w:t>
      </w:r>
    </w:p>
    <w:p w14:paraId="1BD594F9" w14:textId="77777777" w:rsidR="00B95C30" w:rsidRPr="00E84A23" w:rsidRDefault="00B95C30" w:rsidP="004D45A6">
      <w:pPr>
        <w:contextualSpacing/>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84A23" w14:paraId="19DFC051" w14:textId="77777777" w:rsidTr="008F4163">
        <w:tc>
          <w:tcPr>
            <w:tcW w:w="2689" w:type="dxa"/>
          </w:tcPr>
          <w:p w14:paraId="3F8CBBF8" w14:textId="77777777" w:rsidR="006C4B5C" w:rsidRPr="00E84A23" w:rsidRDefault="006C4B5C" w:rsidP="004D45A6">
            <w:pPr>
              <w:contextualSpacing/>
              <w:jc w:val="both"/>
              <w:rPr>
                <w:rFonts w:ascii="Arial" w:eastAsia="Calibri" w:hAnsi="Arial" w:cs="Arial"/>
                <w:b/>
                <w:color w:val="000000" w:themeColor="text1"/>
                <w:sz w:val="22"/>
                <w:lang w:val="es-ES_tradnl"/>
              </w:rPr>
            </w:pPr>
          </w:p>
          <w:p w14:paraId="6BC0D1AC" w14:textId="3FA53270" w:rsidR="00B95C30" w:rsidRPr="00E84A23" w:rsidRDefault="00B95C30" w:rsidP="004D45A6">
            <w:pPr>
              <w:contextualSpacing/>
              <w:jc w:val="both"/>
              <w:rPr>
                <w:rFonts w:ascii="Arial" w:eastAsia="Calibri" w:hAnsi="Arial" w:cs="Arial"/>
                <w:color w:val="000000" w:themeColor="text1"/>
                <w:sz w:val="22"/>
                <w:lang w:val="es-ES_tradnl"/>
              </w:rPr>
            </w:pPr>
            <w:r w:rsidRPr="00E84A23">
              <w:rPr>
                <w:rFonts w:ascii="Arial" w:eastAsia="Calibri" w:hAnsi="Arial" w:cs="Arial"/>
                <w:b/>
                <w:color w:val="000000" w:themeColor="text1"/>
                <w:sz w:val="22"/>
                <w:lang w:val="es-ES_tradnl"/>
              </w:rPr>
              <w:t>Temas:</w:t>
            </w:r>
            <w:r w:rsidRPr="00E84A23">
              <w:rPr>
                <w:rFonts w:ascii="Arial" w:eastAsia="Calibri" w:hAnsi="Arial" w:cs="Arial"/>
                <w:color w:val="000000" w:themeColor="text1"/>
                <w:sz w:val="22"/>
                <w:lang w:val="es-ES_tradnl"/>
              </w:rPr>
              <w:t xml:space="preserve">                                      </w:t>
            </w:r>
          </w:p>
        </w:tc>
        <w:tc>
          <w:tcPr>
            <w:tcW w:w="6237" w:type="dxa"/>
          </w:tcPr>
          <w:p w14:paraId="37506409" w14:textId="77777777" w:rsidR="006C4B5C" w:rsidRPr="00E84A23" w:rsidRDefault="006C4B5C" w:rsidP="004D45A6">
            <w:pPr>
              <w:contextualSpacing/>
              <w:jc w:val="both"/>
              <w:rPr>
                <w:rFonts w:ascii="Arial" w:eastAsia="Calibri" w:hAnsi="Arial" w:cs="Arial"/>
                <w:bCs/>
                <w:sz w:val="22"/>
                <w:lang w:val="es-ES_tradnl"/>
              </w:rPr>
            </w:pPr>
          </w:p>
          <w:p w14:paraId="45758832" w14:textId="29030D9E" w:rsidR="006C4B3D" w:rsidRDefault="00691281" w:rsidP="004D45A6">
            <w:pPr>
              <w:contextualSpacing/>
              <w:jc w:val="both"/>
              <w:rPr>
                <w:rFonts w:ascii="Arial" w:eastAsia="Calibri" w:hAnsi="Arial" w:cs="Arial"/>
                <w:bCs/>
                <w:sz w:val="22"/>
                <w:lang w:val="es-ES_tradnl"/>
              </w:rPr>
            </w:pPr>
            <w:r w:rsidRPr="00691281">
              <w:rPr>
                <w:rFonts w:ascii="Arial" w:eastAsia="Calibri" w:hAnsi="Arial" w:cs="Arial"/>
                <w:bCs/>
                <w:sz w:val="22"/>
                <w:lang w:val="es-ES_tradnl"/>
              </w:rPr>
              <w:t>COMPETENCIA CONSULTIVA – Alcance – Colombia Compra Eficiente – Subdirección de Gestión Contractual</w:t>
            </w:r>
            <w:r>
              <w:rPr>
                <w:rFonts w:ascii="Arial" w:eastAsia="Calibri" w:hAnsi="Arial" w:cs="Arial"/>
                <w:bCs/>
                <w:sz w:val="22"/>
                <w:lang w:val="es-ES_tradnl"/>
              </w:rPr>
              <w:t xml:space="preserve"> / </w:t>
            </w:r>
            <w:r w:rsidR="006C4B3D" w:rsidRPr="00E84A23">
              <w:rPr>
                <w:rFonts w:ascii="Arial" w:eastAsia="Calibri" w:hAnsi="Arial" w:cs="Arial"/>
                <w:bCs/>
                <w:sz w:val="22"/>
                <w:lang w:val="es-ES_tradnl"/>
              </w:rPr>
              <w:t>ADICIÓN</w:t>
            </w:r>
            <w:r w:rsidR="00F43D66">
              <w:rPr>
                <w:rFonts w:ascii="Arial" w:eastAsia="Calibri" w:hAnsi="Arial" w:cs="Arial"/>
                <w:bCs/>
                <w:sz w:val="22"/>
                <w:lang w:val="es-ES_tradnl"/>
              </w:rPr>
              <w:t xml:space="preserve"> DEL CONTRATO</w:t>
            </w:r>
            <w:r w:rsidR="006C4B3D" w:rsidRPr="00E84A23">
              <w:rPr>
                <w:rFonts w:ascii="Arial" w:eastAsia="Calibri" w:hAnsi="Arial" w:cs="Arial"/>
                <w:bCs/>
                <w:sz w:val="22"/>
                <w:lang w:val="es-ES_tradnl"/>
              </w:rPr>
              <w:t xml:space="preserve"> – Concepto – Autonomía – Límites / ADICIÓN – Prohibición – Monto – Cálculo – Parágrafo artículo 40 – Ley 80 de 1993 / ADICIÓN – </w:t>
            </w:r>
            <w:r w:rsidR="00D813F5" w:rsidRPr="00E84A23">
              <w:rPr>
                <w:rFonts w:ascii="Arial" w:eastAsia="Calibri" w:hAnsi="Arial" w:cs="Arial"/>
                <w:bCs/>
                <w:sz w:val="22"/>
                <w:lang w:val="es-ES_tradnl"/>
              </w:rPr>
              <w:t>Límite</w:t>
            </w:r>
            <w:r w:rsidR="008A71DF">
              <w:rPr>
                <w:rFonts w:ascii="Arial" w:eastAsia="Calibri" w:hAnsi="Arial" w:cs="Arial"/>
                <w:bCs/>
                <w:sz w:val="22"/>
                <w:lang w:val="es-ES_tradnl"/>
              </w:rPr>
              <w:t xml:space="preserve"> de valor</w:t>
            </w:r>
            <w:r w:rsidR="00D813F5" w:rsidRPr="00E84A23">
              <w:rPr>
                <w:rFonts w:ascii="Arial" w:eastAsia="Calibri" w:hAnsi="Arial" w:cs="Arial"/>
                <w:bCs/>
                <w:sz w:val="22"/>
                <w:lang w:val="es-ES_tradnl"/>
              </w:rPr>
              <w:t xml:space="preserve"> – </w:t>
            </w:r>
            <w:r w:rsidR="006C4B3D" w:rsidRPr="00E84A23">
              <w:rPr>
                <w:rFonts w:ascii="Arial" w:eastAsia="Calibri" w:hAnsi="Arial" w:cs="Arial"/>
                <w:bCs/>
                <w:sz w:val="22"/>
                <w:lang w:val="es-ES_tradnl"/>
              </w:rPr>
              <w:t>Excepci</w:t>
            </w:r>
            <w:r w:rsidR="008A71DF">
              <w:rPr>
                <w:rFonts w:ascii="Arial" w:eastAsia="Calibri" w:hAnsi="Arial" w:cs="Arial"/>
                <w:bCs/>
                <w:sz w:val="22"/>
                <w:lang w:val="es-ES_tradnl"/>
              </w:rPr>
              <w:t>ón a la regla</w:t>
            </w:r>
          </w:p>
          <w:p w14:paraId="5F389CAF" w14:textId="29EB5DAD" w:rsidR="004D45A6" w:rsidRPr="00E84A23" w:rsidRDefault="004D45A6" w:rsidP="004D45A6">
            <w:pPr>
              <w:contextualSpacing/>
              <w:jc w:val="both"/>
              <w:rPr>
                <w:rFonts w:ascii="Arial" w:eastAsia="Calibri" w:hAnsi="Arial" w:cs="Arial"/>
                <w:color w:val="000000" w:themeColor="text1"/>
                <w:sz w:val="22"/>
                <w:lang w:val="es-ES_tradnl"/>
              </w:rPr>
            </w:pPr>
          </w:p>
        </w:tc>
      </w:tr>
      <w:tr w:rsidR="00B95C30" w:rsidRPr="00E84A23" w14:paraId="27CD52AB" w14:textId="77777777" w:rsidTr="008F4163">
        <w:tc>
          <w:tcPr>
            <w:tcW w:w="2689" w:type="dxa"/>
          </w:tcPr>
          <w:p w14:paraId="37E195A1" w14:textId="3CAF2877" w:rsidR="00B95C30" w:rsidRPr="00E84A23" w:rsidRDefault="00B95C30" w:rsidP="004D45A6">
            <w:pPr>
              <w:contextualSpacing/>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Radicación:</w:t>
            </w:r>
            <w:r w:rsidRPr="00E84A23">
              <w:rPr>
                <w:rFonts w:ascii="Arial" w:eastAsia="Calibri" w:hAnsi="Arial" w:cs="Arial"/>
                <w:color w:val="000000" w:themeColor="text1"/>
                <w:sz w:val="22"/>
                <w:lang w:val="es-ES_tradnl"/>
              </w:rPr>
              <w:t xml:space="preserve">                              </w:t>
            </w:r>
          </w:p>
        </w:tc>
        <w:tc>
          <w:tcPr>
            <w:tcW w:w="6237" w:type="dxa"/>
          </w:tcPr>
          <w:p w14:paraId="09088B1B" w14:textId="476AD566" w:rsidR="00B95C30" w:rsidRPr="00E84A23" w:rsidRDefault="00B95C30" w:rsidP="004D45A6">
            <w:pPr>
              <w:contextualSpacing/>
              <w:jc w:val="both"/>
              <w:rPr>
                <w:rFonts w:ascii="Arial" w:eastAsia="Calibri" w:hAnsi="Arial" w:cs="Arial"/>
                <w:color w:val="000000" w:themeColor="text1"/>
                <w:sz w:val="22"/>
                <w:lang w:val="es-ES_tradnl"/>
              </w:rPr>
            </w:pPr>
            <w:r w:rsidRPr="00AE0B87">
              <w:rPr>
                <w:rFonts w:ascii="Arial" w:eastAsia="Calibri" w:hAnsi="Arial" w:cs="Arial"/>
                <w:color w:val="000000" w:themeColor="text1"/>
                <w:sz w:val="22"/>
                <w:szCs w:val="22"/>
                <w:lang w:val="es-ES_tradnl"/>
              </w:rPr>
              <w:t xml:space="preserve">Respuesta a </w:t>
            </w:r>
            <w:r w:rsidR="00185DF9">
              <w:rPr>
                <w:rFonts w:ascii="Arial" w:eastAsia="Calibri" w:hAnsi="Arial" w:cs="Arial"/>
                <w:color w:val="000000" w:themeColor="text1"/>
                <w:sz w:val="22"/>
                <w:szCs w:val="22"/>
                <w:lang w:val="es-ES_tradnl"/>
              </w:rPr>
              <w:t xml:space="preserve">las </w:t>
            </w:r>
            <w:r w:rsidRPr="00AE0B87">
              <w:rPr>
                <w:rFonts w:ascii="Arial" w:eastAsia="Calibri" w:hAnsi="Arial" w:cs="Arial"/>
                <w:color w:val="000000" w:themeColor="text1"/>
                <w:sz w:val="22"/>
                <w:szCs w:val="22"/>
                <w:lang w:val="es-ES_tradnl"/>
              </w:rPr>
              <w:t>consulta</w:t>
            </w:r>
            <w:r w:rsidR="00185DF9">
              <w:rPr>
                <w:rFonts w:ascii="Arial" w:eastAsia="Calibri" w:hAnsi="Arial" w:cs="Arial"/>
                <w:color w:val="000000" w:themeColor="text1"/>
                <w:sz w:val="22"/>
                <w:szCs w:val="22"/>
                <w:lang w:val="es-ES_tradnl"/>
              </w:rPr>
              <w:t>s acumuladas</w:t>
            </w:r>
            <w:r w:rsidR="002311F0" w:rsidRPr="00AE0B87">
              <w:rPr>
                <w:rFonts w:ascii="Arial" w:eastAsia="Calibri" w:hAnsi="Arial" w:cs="Arial"/>
                <w:color w:val="000000" w:themeColor="text1"/>
                <w:sz w:val="22"/>
                <w:szCs w:val="22"/>
                <w:lang w:val="es-ES_tradnl"/>
              </w:rPr>
              <w:t xml:space="preserve"> </w:t>
            </w:r>
            <w:r w:rsidR="00F27AE9" w:rsidRPr="00AE0B87">
              <w:rPr>
                <w:rFonts w:ascii="Arial" w:eastAsia="Calibri" w:hAnsi="Arial" w:cs="Arial"/>
                <w:color w:val="000000" w:themeColor="text1"/>
                <w:sz w:val="22"/>
                <w:szCs w:val="22"/>
                <w:lang w:val="es-ES_tradnl"/>
              </w:rPr>
              <w:t>P20220819008230</w:t>
            </w:r>
            <w:r w:rsidR="00AE0B87" w:rsidRPr="00AE0B87">
              <w:rPr>
                <w:rFonts w:ascii="Arial" w:eastAsia="Calibri" w:hAnsi="Arial" w:cs="Arial"/>
                <w:color w:val="000000" w:themeColor="text1"/>
                <w:sz w:val="22"/>
                <w:szCs w:val="22"/>
                <w:lang w:val="es-ES_tradnl"/>
              </w:rPr>
              <w:t xml:space="preserve"> y </w:t>
            </w:r>
            <w:r w:rsidR="00AE0B87">
              <w:rPr>
                <w:rFonts w:ascii="Arial" w:eastAsia="Calibri" w:hAnsi="Arial" w:cs="Arial"/>
                <w:color w:val="000000" w:themeColor="text1"/>
                <w:sz w:val="22"/>
                <w:szCs w:val="22"/>
                <w:lang w:val="es-ES_tradnl"/>
              </w:rPr>
              <w:t>P</w:t>
            </w:r>
            <w:r w:rsidR="00AE0B87" w:rsidRPr="006D5A6C">
              <w:rPr>
                <w:rFonts w:ascii="Arial" w:hAnsi="Arial" w:cs="Arial"/>
                <w:color w:val="000000"/>
                <w:sz w:val="22"/>
                <w:szCs w:val="22"/>
              </w:rPr>
              <w:t>20220830008630</w:t>
            </w:r>
          </w:p>
        </w:tc>
      </w:tr>
    </w:tbl>
    <w:p w14:paraId="61B55CA4" w14:textId="77777777" w:rsidR="00716BB0" w:rsidRPr="00E84A23" w:rsidRDefault="00716BB0" w:rsidP="003C3339">
      <w:pPr>
        <w:jc w:val="both"/>
        <w:rPr>
          <w:rFonts w:ascii="Arial" w:eastAsia="Calibri" w:hAnsi="Arial" w:cs="Arial"/>
          <w:color w:val="000000" w:themeColor="text1"/>
          <w:sz w:val="22"/>
          <w:lang w:val="es-ES_tradnl"/>
        </w:rPr>
      </w:pPr>
    </w:p>
    <w:p w14:paraId="4B9B5156" w14:textId="77777777" w:rsidR="00716BB0" w:rsidRPr="00E84A23" w:rsidRDefault="00716BB0" w:rsidP="003C3339">
      <w:pPr>
        <w:jc w:val="both"/>
        <w:rPr>
          <w:rFonts w:ascii="Arial" w:eastAsia="Calibri" w:hAnsi="Arial" w:cs="Arial"/>
          <w:color w:val="000000" w:themeColor="text1"/>
          <w:sz w:val="22"/>
          <w:lang w:val="es-ES_tradnl"/>
        </w:rPr>
      </w:pPr>
    </w:p>
    <w:p w14:paraId="1CF4AEA0" w14:textId="10C8554A" w:rsidR="003C3339" w:rsidRPr="00E84A23" w:rsidRDefault="003C3339" w:rsidP="003C3339">
      <w:pPr>
        <w:jc w:val="both"/>
        <w:rPr>
          <w:rFonts w:ascii="Arial" w:eastAsia="Calibri" w:hAnsi="Arial" w:cs="Arial"/>
          <w:color w:val="000000" w:themeColor="text1"/>
          <w:sz w:val="22"/>
          <w:lang w:val="es-ES_tradnl"/>
        </w:rPr>
      </w:pPr>
      <w:r w:rsidRPr="00E84A23">
        <w:rPr>
          <w:rFonts w:ascii="Arial" w:eastAsia="Calibri" w:hAnsi="Arial" w:cs="Arial"/>
          <w:color w:val="000000" w:themeColor="text1"/>
          <w:sz w:val="22"/>
          <w:lang w:val="es-ES_tradnl"/>
        </w:rPr>
        <w:t>Estimad</w:t>
      </w:r>
      <w:r w:rsidR="006C4B5C" w:rsidRPr="00E84A23">
        <w:rPr>
          <w:rFonts w:ascii="Arial" w:eastAsia="Calibri" w:hAnsi="Arial" w:cs="Arial"/>
          <w:color w:val="000000" w:themeColor="text1"/>
          <w:sz w:val="22"/>
          <w:lang w:val="es-ES_tradnl"/>
        </w:rPr>
        <w:t>a</w:t>
      </w:r>
      <w:r w:rsidRPr="00E84A23">
        <w:rPr>
          <w:rFonts w:ascii="Arial" w:eastAsia="Calibri" w:hAnsi="Arial" w:cs="Arial"/>
          <w:color w:val="000000" w:themeColor="text1"/>
          <w:sz w:val="22"/>
          <w:lang w:val="es-ES_tradnl"/>
        </w:rPr>
        <w:t xml:space="preserve"> </w:t>
      </w:r>
      <w:r w:rsidR="00185DF9">
        <w:rPr>
          <w:rFonts w:ascii="Arial" w:eastAsia="Calibri" w:hAnsi="Arial" w:cs="Arial"/>
          <w:color w:val="000000" w:themeColor="text1"/>
          <w:sz w:val="22"/>
          <w:lang w:val="es-ES_tradnl"/>
        </w:rPr>
        <w:t>doctor</w:t>
      </w:r>
      <w:r w:rsidR="00185DF9" w:rsidRPr="00E84A23">
        <w:rPr>
          <w:rFonts w:ascii="Arial" w:eastAsia="Calibri" w:hAnsi="Arial" w:cs="Arial"/>
          <w:color w:val="000000" w:themeColor="text1"/>
          <w:sz w:val="22"/>
          <w:lang w:val="es-ES_tradnl"/>
        </w:rPr>
        <w:t xml:space="preserve"> </w:t>
      </w:r>
      <w:r w:rsidR="00F27AE9">
        <w:rPr>
          <w:rFonts w:ascii="Arial" w:eastAsia="Calibri" w:hAnsi="Arial" w:cs="Arial"/>
          <w:bCs/>
          <w:color w:val="000000" w:themeColor="text1"/>
          <w:sz w:val="22"/>
          <w:lang w:val="es-ES_tradnl"/>
        </w:rPr>
        <w:t>García</w:t>
      </w:r>
      <w:r w:rsidRPr="00E84A23">
        <w:rPr>
          <w:rFonts w:ascii="Arial" w:eastAsia="Calibri" w:hAnsi="Arial" w:cs="Arial"/>
          <w:bCs/>
          <w:color w:val="000000" w:themeColor="text1"/>
          <w:sz w:val="22"/>
          <w:lang w:val="es-ES_tradnl"/>
        </w:rPr>
        <w:t>:</w:t>
      </w:r>
    </w:p>
    <w:p w14:paraId="1EAE5543" w14:textId="77777777" w:rsidR="00DD5B04" w:rsidRPr="00E84A23" w:rsidRDefault="00DD5B04" w:rsidP="00DF76A2">
      <w:pPr>
        <w:jc w:val="both"/>
        <w:rPr>
          <w:rFonts w:ascii="Arial" w:eastAsia="Calibri" w:hAnsi="Arial" w:cs="Arial"/>
          <w:color w:val="000000" w:themeColor="text1"/>
          <w:sz w:val="22"/>
          <w:lang w:val="es-ES_tradnl"/>
        </w:rPr>
      </w:pPr>
    </w:p>
    <w:p w14:paraId="2DC356ED" w14:textId="4994DEF5" w:rsidR="00CC1565" w:rsidRPr="00E84A23" w:rsidRDefault="00DD5B04" w:rsidP="009507C3">
      <w:pPr>
        <w:spacing w:line="276" w:lineRule="auto"/>
        <w:jc w:val="both"/>
        <w:rPr>
          <w:rFonts w:ascii="Arial" w:hAnsi="Arial" w:cs="Arial"/>
          <w:color w:val="161616" w:themeColor="background1" w:themeShade="1A"/>
          <w:sz w:val="22"/>
          <w:szCs w:val="22"/>
          <w:lang w:val="es-ES_tradnl"/>
        </w:rPr>
      </w:pPr>
      <w:r w:rsidRPr="00E84A23">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C1565" w:rsidRPr="00E84A23">
        <w:rPr>
          <w:rFonts w:ascii="Arial" w:hAnsi="Arial" w:cs="Arial"/>
          <w:color w:val="161616" w:themeColor="background1" w:themeShade="1A"/>
          <w:sz w:val="22"/>
          <w:szCs w:val="22"/>
          <w:lang w:val="es-ES_tradnl"/>
        </w:rPr>
        <w:t xml:space="preserve">− Colombia Compra Eficiente responde su consulta del </w:t>
      </w:r>
      <w:r w:rsidR="00FE21AE">
        <w:rPr>
          <w:rFonts w:ascii="Arial" w:hAnsi="Arial" w:cs="Arial"/>
          <w:color w:val="161616" w:themeColor="background1" w:themeShade="1A"/>
          <w:sz w:val="22"/>
          <w:szCs w:val="22"/>
          <w:lang w:val="es-ES_tradnl"/>
        </w:rPr>
        <w:t>19 y el 30</w:t>
      </w:r>
      <w:r w:rsidR="00FE21AE" w:rsidRPr="00E84A23">
        <w:rPr>
          <w:rFonts w:ascii="Arial" w:hAnsi="Arial" w:cs="Arial"/>
          <w:color w:val="161616" w:themeColor="background1" w:themeShade="1A"/>
          <w:sz w:val="22"/>
          <w:szCs w:val="22"/>
          <w:lang w:val="es-ES_tradnl"/>
        </w:rPr>
        <w:t xml:space="preserve"> </w:t>
      </w:r>
      <w:r w:rsidR="00CC1565" w:rsidRPr="00E84A23">
        <w:rPr>
          <w:rFonts w:ascii="Arial" w:hAnsi="Arial" w:cs="Arial"/>
          <w:color w:val="161616" w:themeColor="background1" w:themeShade="1A"/>
          <w:sz w:val="22"/>
          <w:szCs w:val="22"/>
          <w:lang w:val="es-ES_tradnl"/>
        </w:rPr>
        <w:t xml:space="preserve">de </w:t>
      </w:r>
      <w:r w:rsidR="00E8290E">
        <w:rPr>
          <w:rFonts w:ascii="Arial" w:hAnsi="Arial" w:cs="Arial"/>
          <w:color w:val="161616" w:themeColor="background1" w:themeShade="1A"/>
          <w:sz w:val="22"/>
          <w:szCs w:val="22"/>
          <w:lang w:val="es-ES_tradnl"/>
        </w:rPr>
        <w:t>agosto</w:t>
      </w:r>
      <w:r w:rsidR="00CC1565" w:rsidRPr="00E84A23">
        <w:rPr>
          <w:rFonts w:ascii="Arial" w:hAnsi="Arial" w:cs="Arial"/>
          <w:color w:val="161616" w:themeColor="background1" w:themeShade="1A"/>
          <w:sz w:val="22"/>
          <w:szCs w:val="22"/>
          <w:lang w:val="es-ES_tradnl"/>
        </w:rPr>
        <w:t xml:space="preserve"> de 2022.</w:t>
      </w:r>
    </w:p>
    <w:p w14:paraId="0C1E0712" w14:textId="39EA8F59" w:rsidR="00DD5B04" w:rsidRPr="00E84A2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84A2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 xml:space="preserve">Problema planteado </w:t>
      </w:r>
    </w:p>
    <w:p w14:paraId="559EE20C" w14:textId="77777777" w:rsidR="00443B55" w:rsidRPr="00E84A23" w:rsidRDefault="00443B55" w:rsidP="0099583D">
      <w:pPr>
        <w:spacing w:line="276" w:lineRule="auto"/>
        <w:jc w:val="both"/>
        <w:rPr>
          <w:rFonts w:ascii="Arial" w:hAnsi="Arial" w:cs="Arial"/>
          <w:color w:val="000000" w:themeColor="text1"/>
          <w:sz w:val="22"/>
          <w:lang w:val="es-ES_tradnl"/>
        </w:rPr>
      </w:pPr>
    </w:p>
    <w:p w14:paraId="41204E2C" w14:textId="6F3A2A8D" w:rsidR="00C749FD" w:rsidRDefault="00EE77D4" w:rsidP="00E8290E">
      <w:pPr>
        <w:ind w:left="709" w:right="709"/>
        <w:jc w:val="both"/>
        <w:rPr>
          <w:rFonts w:ascii="Arial" w:hAnsi="Arial" w:cs="Arial"/>
          <w:color w:val="000000" w:themeColor="text1"/>
          <w:sz w:val="21"/>
          <w:szCs w:val="21"/>
          <w:lang w:val="es-ES_tradnl"/>
        </w:rPr>
      </w:pPr>
      <w:r w:rsidRPr="00E84A23">
        <w:rPr>
          <w:rFonts w:ascii="Arial" w:hAnsi="Arial" w:cs="Arial"/>
          <w:color w:val="000000" w:themeColor="text1"/>
          <w:sz w:val="21"/>
          <w:szCs w:val="21"/>
          <w:lang w:val="es-ES_tradnl"/>
        </w:rPr>
        <w:t>«</w:t>
      </w:r>
      <w:r w:rsidR="00FE21AE">
        <w:rPr>
          <w:rFonts w:ascii="Arial" w:hAnsi="Arial" w:cs="Arial"/>
          <w:color w:val="000000" w:themeColor="text1"/>
          <w:sz w:val="21"/>
          <w:szCs w:val="21"/>
          <w:lang w:val="es-ES_tradnl"/>
        </w:rPr>
        <w:t>La administración municipal de Chinchiná</w:t>
      </w:r>
      <w:r w:rsidR="00C749FD">
        <w:rPr>
          <w:rFonts w:ascii="Arial" w:hAnsi="Arial" w:cs="Arial"/>
          <w:color w:val="000000" w:themeColor="text1"/>
          <w:sz w:val="21"/>
          <w:szCs w:val="21"/>
          <w:lang w:val="es-ES_tradnl"/>
        </w:rPr>
        <w:t>, Caldas</w:t>
      </w:r>
      <w:r w:rsidR="00FE21AE">
        <w:rPr>
          <w:rFonts w:ascii="Arial" w:hAnsi="Arial" w:cs="Arial"/>
          <w:color w:val="000000" w:themeColor="text1"/>
          <w:sz w:val="21"/>
          <w:szCs w:val="21"/>
          <w:lang w:val="es-ES_tradnl"/>
        </w:rPr>
        <w:t xml:space="preserve"> y el señor RUBEN DARIO GOMEZ suscribieron contrato de prestación de servicios y apoyo a la gestión CO1.PCCNTR.3661947 – CMC-024-281-2022 de mínima cuantía, por valor de $25.000.000, el cual, tiene  por objeto: “</w:t>
      </w:r>
      <w:r w:rsidR="00D4138D">
        <w:rPr>
          <w:rFonts w:ascii="Arial" w:hAnsi="Arial" w:cs="Arial"/>
          <w:color w:val="000000" w:themeColor="text1"/>
          <w:sz w:val="21"/>
          <w:szCs w:val="21"/>
          <w:lang w:val="es-ES_tradnl"/>
        </w:rPr>
        <w:t xml:space="preserve">CONTRATAR EL SERVICIO DE MANTENIMIENTO PREVENTIVO Y CORRECTIVO CON SUMINISTRO DE REPUESTOS ORIGINALES PARA LAS MOTOCICLETAS AL SERVICIO DE LA POLICÍA NACIONAL ADSCRITAS AL MUNICIPIO DE CHINCHINA, CALDAS PARA LA CONSERVACIÓN DE LA SEGURIDAD Y CONVIVENCIA CIUDADANA”. </w:t>
      </w:r>
    </w:p>
    <w:p w14:paraId="2FA53758" w14:textId="77777777" w:rsidR="00C749FD" w:rsidRDefault="00C749FD" w:rsidP="00E8290E">
      <w:pPr>
        <w:ind w:left="709" w:right="709"/>
        <w:jc w:val="both"/>
        <w:rPr>
          <w:rFonts w:ascii="Arial" w:hAnsi="Arial" w:cs="Arial"/>
          <w:color w:val="000000" w:themeColor="text1"/>
          <w:sz w:val="21"/>
          <w:szCs w:val="21"/>
          <w:lang w:val="es-ES_tradnl"/>
        </w:rPr>
      </w:pPr>
    </w:p>
    <w:p w14:paraId="54884D28" w14:textId="731F386E" w:rsidR="00FE21AE" w:rsidRDefault="00C749FD" w:rsidP="00E8290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La alcaldía, en razón de solicitud allegada por el comandante de estación de policía para adición al contrato del parque automotor de Chinchiná</w:t>
      </w:r>
      <w:r w:rsidR="00D61BCA">
        <w:rPr>
          <w:rFonts w:ascii="Arial" w:hAnsi="Arial" w:cs="Arial"/>
          <w:color w:val="000000" w:themeColor="text1"/>
          <w:sz w:val="21"/>
          <w:szCs w:val="21"/>
          <w:lang w:val="es-ES_tradnl"/>
        </w:rPr>
        <w:t>, Caldas</w:t>
      </w:r>
      <w:r>
        <w:rPr>
          <w:rFonts w:ascii="Arial" w:hAnsi="Arial" w:cs="Arial"/>
          <w:color w:val="000000" w:themeColor="text1"/>
          <w:sz w:val="21"/>
          <w:szCs w:val="21"/>
          <w:lang w:val="es-ES_tradnl"/>
        </w:rPr>
        <w:t xml:space="preserve"> y, teniendo en cuenta que en la actualidad se está agotando el monto de los $25.000.000 para el mantenimiento preventivo de las motocicletas de la policía nacional requieren hacer la adición del contrato.</w:t>
      </w:r>
      <w:r w:rsidR="00FE21AE">
        <w:rPr>
          <w:rFonts w:ascii="Arial" w:hAnsi="Arial" w:cs="Arial"/>
          <w:color w:val="000000" w:themeColor="text1"/>
          <w:sz w:val="21"/>
          <w:szCs w:val="21"/>
          <w:lang w:val="es-ES_tradnl"/>
        </w:rPr>
        <w:t xml:space="preserve"> </w:t>
      </w:r>
    </w:p>
    <w:p w14:paraId="324BCF56" w14:textId="77777777" w:rsidR="00FE21AE" w:rsidRDefault="00FE21AE" w:rsidP="00E8290E">
      <w:pPr>
        <w:ind w:left="709" w:right="709"/>
        <w:jc w:val="both"/>
        <w:rPr>
          <w:rFonts w:ascii="Arial" w:hAnsi="Arial" w:cs="Arial"/>
          <w:color w:val="000000" w:themeColor="text1"/>
          <w:sz w:val="21"/>
          <w:szCs w:val="21"/>
          <w:lang w:val="es-ES_tradnl"/>
        </w:rPr>
      </w:pPr>
    </w:p>
    <w:p w14:paraId="1B32A399" w14:textId="23133E8D" w:rsidR="00C749FD" w:rsidRDefault="00C749FD" w:rsidP="00E8290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D</w:t>
      </w:r>
      <w:r w:rsidR="00E8290E" w:rsidRPr="00E8290E">
        <w:rPr>
          <w:rFonts w:ascii="Arial" w:hAnsi="Arial" w:cs="Arial"/>
          <w:color w:val="000000" w:themeColor="text1"/>
          <w:sz w:val="21"/>
          <w:szCs w:val="21"/>
          <w:lang w:val="es-ES_tradnl"/>
        </w:rPr>
        <w:t xml:space="preserve">e conformidad con el parágrafo del artículo 40 de la </w:t>
      </w:r>
      <w:r>
        <w:rPr>
          <w:rFonts w:ascii="Arial" w:hAnsi="Arial" w:cs="Arial"/>
          <w:color w:val="000000" w:themeColor="text1"/>
          <w:sz w:val="21"/>
          <w:szCs w:val="21"/>
          <w:lang w:val="es-ES_tradnl"/>
        </w:rPr>
        <w:t>l</w:t>
      </w:r>
      <w:r w:rsidR="00E8290E" w:rsidRPr="00E8290E">
        <w:rPr>
          <w:rFonts w:ascii="Arial" w:hAnsi="Arial" w:cs="Arial"/>
          <w:color w:val="000000" w:themeColor="text1"/>
          <w:sz w:val="21"/>
          <w:szCs w:val="21"/>
          <w:lang w:val="es-ES_tradnl"/>
        </w:rPr>
        <w:t>ey 80 de 1993, interpretamos que se puede realizar la adición de un contrato hasta el 50% en este caso, el contrato es por $25.000.000 y se va a adicionar $10.000.000 estando por debajo del 50% sin superar el porcentaje</w:t>
      </w:r>
      <w:r>
        <w:rPr>
          <w:rFonts w:ascii="Arial" w:hAnsi="Arial" w:cs="Arial"/>
          <w:color w:val="000000" w:themeColor="text1"/>
          <w:sz w:val="21"/>
          <w:szCs w:val="21"/>
          <w:lang w:val="es-ES_tradnl"/>
        </w:rPr>
        <w:t xml:space="preserve">. </w:t>
      </w:r>
    </w:p>
    <w:p w14:paraId="66F17229" w14:textId="77777777" w:rsidR="00C749FD" w:rsidRDefault="00C749FD" w:rsidP="00E8290E">
      <w:pPr>
        <w:ind w:left="709" w:right="709"/>
        <w:jc w:val="both"/>
        <w:rPr>
          <w:rFonts w:ascii="Arial" w:hAnsi="Arial" w:cs="Arial"/>
          <w:color w:val="000000" w:themeColor="text1"/>
          <w:sz w:val="21"/>
          <w:szCs w:val="21"/>
          <w:lang w:val="es-ES_tradnl"/>
        </w:rPr>
      </w:pPr>
    </w:p>
    <w:p w14:paraId="1EDD2982" w14:textId="34536C4F" w:rsidR="00C23F23" w:rsidRPr="00E84A23" w:rsidRDefault="00C749FD" w:rsidP="00E8290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La solicitud del concepto es la siguiente: comedidamente, por favor</w:t>
      </w:r>
      <w:r w:rsidR="00E8290E" w:rsidRPr="00E8290E">
        <w:rPr>
          <w:rFonts w:ascii="Arial" w:hAnsi="Arial" w:cs="Arial"/>
          <w:color w:val="000000" w:themeColor="text1"/>
          <w:sz w:val="21"/>
          <w:szCs w:val="21"/>
          <w:lang w:val="es-ES_tradnl"/>
        </w:rPr>
        <w:t xml:space="preserve"> indicar si al ser este proceso de mínima cuantía y teniendo en cuenta el valor de la mínima cuantía de esta entidad territorial es de 28.000.000 al realizar esta adición se estaría superando esta cuantía, solicitamos nos conceptúen si se puede hacer dicha adición aun cuando la misma supere el monto de mínima cuantía máximo»</w:t>
      </w:r>
      <w:r w:rsidR="002238B1">
        <w:rPr>
          <w:rFonts w:ascii="Arial" w:hAnsi="Arial" w:cs="Arial"/>
          <w:color w:val="000000" w:themeColor="text1"/>
          <w:sz w:val="21"/>
          <w:szCs w:val="21"/>
          <w:lang w:val="es-ES_tradnl"/>
        </w:rPr>
        <w:t>.</w:t>
      </w:r>
      <w:r w:rsidR="00E8290E" w:rsidRPr="00E8290E">
        <w:rPr>
          <w:rFonts w:ascii="Arial" w:hAnsi="Arial" w:cs="Arial"/>
          <w:color w:val="000000" w:themeColor="text1"/>
          <w:sz w:val="21"/>
          <w:szCs w:val="21"/>
          <w:lang w:val="es-ES_tradnl"/>
        </w:rPr>
        <w:t xml:space="preserve"> </w:t>
      </w:r>
      <w:r>
        <w:rPr>
          <w:rFonts w:ascii="Arial" w:hAnsi="Arial" w:cs="Arial"/>
          <w:color w:val="000000" w:themeColor="text1"/>
          <w:sz w:val="21"/>
          <w:szCs w:val="21"/>
          <w:lang w:val="es-ES_tradnl"/>
        </w:rPr>
        <w:t>(SIC)</w:t>
      </w:r>
    </w:p>
    <w:p w14:paraId="4D07550D" w14:textId="77777777" w:rsidR="002074C2" w:rsidRPr="00E84A23" w:rsidRDefault="002074C2" w:rsidP="002074C2">
      <w:pPr>
        <w:ind w:left="709" w:right="709"/>
        <w:jc w:val="both"/>
        <w:rPr>
          <w:rFonts w:ascii="Arial" w:hAnsi="Arial" w:cs="Arial"/>
          <w:color w:val="000000" w:themeColor="text1"/>
          <w:sz w:val="21"/>
          <w:szCs w:val="21"/>
          <w:lang w:val="es-ES_tradnl"/>
        </w:rPr>
      </w:pPr>
    </w:p>
    <w:p w14:paraId="124D2DCA" w14:textId="77777777" w:rsidR="00DD5B04" w:rsidRPr="00E84A23"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Consideraciones</w:t>
      </w:r>
    </w:p>
    <w:p w14:paraId="7D050D2E" w14:textId="77777777" w:rsidR="00435703" w:rsidRPr="00E84A23" w:rsidRDefault="00435703" w:rsidP="00DF76A2">
      <w:pPr>
        <w:spacing w:line="276" w:lineRule="auto"/>
        <w:jc w:val="both"/>
        <w:rPr>
          <w:rFonts w:ascii="Arial" w:eastAsia="Calibri" w:hAnsi="Arial" w:cs="Arial"/>
          <w:color w:val="000000" w:themeColor="text1"/>
          <w:sz w:val="22"/>
          <w:szCs w:val="22"/>
          <w:lang w:val="es-ES_tradnl"/>
        </w:rPr>
      </w:pPr>
    </w:p>
    <w:p w14:paraId="4AFD863E" w14:textId="60E7051F" w:rsidR="00691281" w:rsidRPr="00F2075F" w:rsidRDefault="00691281" w:rsidP="006D5A6C">
      <w:pPr>
        <w:spacing w:after="120" w:line="276" w:lineRule="auto"/>
        <w:ind w:firstLine="709"/>
        <w:jc w:val="both"/>
        <w:rPr>
          <w:rFonts w:ascii="Arial" w:hAnsi="Arial" w:cs="Arial"/>
          <w:sz w:val="22"/>
          <w:szCs w:val="22"/>
          <w:lang w:val="es-ES"/>
        </w:rPr>
      </w:pPr>
      <w:r w:rsidRPr="00F2075F">
        <w:rPr>
          <w:rFonts w:ascii="Arial" w:hAnsi="Arial" w:cs="Arial"/>
          <w:sz w:val="22"/>
          <w:szCs w:val="22"/>
          <w:lang w:val="es-ES"/>
        </w:rPr>
        <w:t xml:space="preserve">Antes de emitir pronunciamiento sobre la consulta planteada, resulta relevante precisar que, en ejercicio de las competencias conferidas por el numeral quinto del artículo tercero y el numeral octavo del artículo 11 del Decreto Ley 4170 de 2011, la Agencia Nacional de Contratación Pública – Colombia Compra Eficiente solo se encuentra facultada para absolver consultas de carácter general sobre la aplicación de normas relativas a temas contractuales. </w:t>
      </w:r>
    </w:p>
    <w:p w14:paraId="0D2B237F" w14:textId="6C291219" w:rsidR="00691281" w:rsidRPr="00F2075F" w:rsidRDefault="00691281" w:rsidP="00F2075F">
      <w:pPr>
        <w:spacing w:after="120" w:line="276" w:lineRule="auto"/>
        <w:ind w:firstLine="709"/>
        <w:jc w:val="both"/>
        <w:rPr>
          <w:rFonts w:ascii="Arial" w:hAnsi="Arial" w:cs="Arial"/>
          <w:sz w:val="22"/>
          <w:szCs w:val="22"/>
          <w:lang w:val="es-ES"/>
        </w:rPr>
      </w:pPr>
      <w:r w:rsidRPr="00F2075F">
        <w:rPr>
          <w:rFonts w:ascii="Arial" w:hAnsi="Arial" w:cs="Arial"/>
          <w:sz w:val="22"/>
          <w:szCs w:val="22"/>
          <w:lang w:val="es-ES"/>
        </w:rPr>
        <w:t>Por ello, esta Agencia no está facultada para resolver casos concretos, ni pronunciarse sobre la legalidad o no de las actuaciones de las autoridades administrativas, cuya resolución supone la evaluación de una situación jurídica particular. De acuerdo con lo anterior y agotando las funciones consultivas otorgadas a esta entidad, se procederá a emitir pronunciamiento respecto de las normas generales que resultan pertinentes para su solicitud, con el alcance establecido en el artículo 28 del Código de Procedimiento Administrativo y de lo Contencioso Administrativo.</w:t>
      </w:r>
      <w:r w:rsidR="00AB454D" w:rsidRPr="00F2075F">
        <w:rPr>
          <w:rFonts w:ascii="Arial" w:hAnsi="Arial" w:cs="Arial"/>
          <w:sz w:val="22"/>
          <w:szCs w:val="22"/>
          <w:lang w:val="es-ES"/>
        </w:rPr>
        <w:t xml:space="preserve"> </w:t>
      </w:r>
    </w:p>
    <w:p w14:paraId="66D30734" w14:textId="6D5B383D" w:rsidR="00F2075F" w:rsidRPr="00F2075F" w:rsidRDefault="00F2075F" w:rsidP="006D5A6C">
      <w:pPr>
        <w:spacing w:after="120" w:line="276" w:lineRule="auto"/>
        <w:ind w:firstLine="709"/>
        <w:jc w:val="both"/>
        <w:rPr>
          <w:rFonts w:ascii="Arial" w:hAnsi="Arial" w:cs="Arial"/>
          <w:sz w:val="22"/>
          <w:szCs w:val="22"/>
          <w:lang w:val="es-ES"/>
        </w:rPr>
      </w:pPr>
      <w:r w:rsidRPr="00F2075F">
        <w:rPr>
          <w:rFonts w:ascii="Arial" w:eastAsia="Calibri" w:hAnsi="Arial" w:cs="Arial"/>
          <w:color w:val="000000" w:themeColor="text1"/>
          <w:sz w:val="22"/>
          <w:szCs w:val="22"/>
          <w:lang w:val="es-ES_tradnl"/>
        </w:rPr>
        <w:t>Para el efecto se tratarán los siguientes temas: i) precisiones respecto a la competencia consultiva de esta Agencia</w:t>
      </w:r>
      <w:r w:rsidRPr="006D5A6C">
        <w:rPr>
          <w:rStyle w:val="Refdenotaalpie"/>
          <w:rFonts w:ascii="Arial" w:hAnsi="Arial" w:cs="Arial"/>
          <w:color w:val="000000" w:themeColor="text1"/>
          <w:sz w:val="22"/>
          <w:szCs w:val="22"/>
          <w:lang w:val="es-ES_tradnl"/>
        </w:rPr>
        <w:footnoteReference w:id="2"/>
      </w:r>
      <w:r w:rsidRPr="00F2075F">
        <w:rPr>
          <w:rFonts w:ascii="Arial" w:eastAsia="Calibri" w:hAnsi="Arial" w:cs="Arial"/>
          <w:color w:val="000000" w:themeColor="text1"/>
          <w:sz w:val="22"/>
          <w:szCs w:val="22"/>
          <w:lang w:val="es-ES_tradnl"/>
        </w:rPr>
        <w:t xml:space="preserve">; </w:t>
      </w:r>
      <w:proofErr w:type="spellStart"/>
      <w:r w:rsidRPr="00F2075F">
        <w:rPr>
          <w:rFonts w:ascii="Arial" w:eastAsia="Calibri" w:hAnsi="Arial" w:cs="Arial"/>
          <w:color w:val="000000" w:themeColor="text1"/>
          <w:sz w:val="22"/>
          <w:szCs w:val="22"/>
          <w:lang w:val="es-ES_tradnl"/>
        </w:rPr>
        <w:t>ii</w:t>
      </w:r>
      <w:proofErr w:type="spellEnd"/>
      <w:r w:rsidRPr="00F2075F">
        <w:rPr>
          <w:rFonts w:ascii="Arial" w:eastAsia="Calibri" w:hAnsi="Arial" w:cs="Arial"/>
          <w:color w:val="000000" w:themeColor="text1"/>
          <w:sz w:val="22"/>
          <w:szCs w:val="22"/>
        </w:rPr>
        <w:t xml:space="preserve">) concepto de adición en los contratos estatales y sus límites en el Estatuto General de Contratación de la Administración Pública - EGCAP y </w:t>
      </w:r>
      <w:proofErr w:type="spellStart"/>
      <w:r w:rsidRPr="00F2075F">
        <w:rPr>
          <w:rFonts w:ascii="Arial" w:eastAsia="Calibri" w:hAnsi="Arial" w:cs="Arial"/>
          <w:color w:val="000000" w:themeColor="text1"/>
          <w:sz w:val="22"/>
          <w:szCs w:val="22"/>
        </w:rPr>
        <w:t>iii</w:t>
      </w:r>
      <w:proofErr w:type="spellEnd"/>
      <w:r w:rsidRPr="00F2075F">
        <w:rPr>
          <w:rFonts w:ascii="Arial" w:eastAsia="Calibri" w:hAnsi="Arial" w:cs="Arial"/>
          <w:color w:val="000000" w:themeColor="text1"/>
          <w:sz w:val="22"/>
          <w:szCs w:val="22"/>
        </w:rPr>
        <w:t xml:space="preserve">) excepciones al límite de adición de los contratos estatales. </w:t>
      </w:r>
    </w:p>
    <w:p w14:paraId="5F5DA2D4" w14:textId="7E51E622" w:rsidR="00983EC1" w:rsidRPr="00F2075F" w:rsidRDefault="00B723BB" w:rsidP="00F2075F">
      <w:pPr>
        <w:spacing w:line="276" w:lineRule="auto"/>
        <w:ind w:firstLine="708"/>
        <w:jc w:val="both"/>
        <w:rPr>
          <w:rFonts w:ascii="Arial" w:eastAsia="Calibri" w:hAnsi="Arial" w:cs="Arial"/>
          <w:color w:val="000000" w:themeColor="text1"/>
          <w:sz w:val="22"/>
          <w:szCs w:val="22"/>
        </w:rPr>
      </w:pPr>
      <w:r w:rsidRPr="00F2075F">
        <w:rPr>
          <w:rFonts w:ascii="Arial" w:hAnsi="Arial" w:cs="Arial"/>
          <w:color w:val="000000" w:themeColor="text1"/>
          <w:sz w:val="22"/>
          <w:szCs w:val="22"/>
        </w:rPr>
        <w:t xml:space="preserve">La Agencia Nacional de Contratación Pública – Colombia Compra Eficiente, </w:t>
      </w:r>
      <w:r w:rsidRPr="00F2075F">
        <w:rPr>
          <w:rFonts w:ascii="Arial" w:eastAsia="Calibri" w:hAnsi="Arial" w:cs="Arial"/>
          <w:color w:val="000000" w:themeColor="text1"/>
          <w:sz w:val="22"/>
          <w:szCs w:val="22"/>
        </w:rPr>
        <w:t xml:space="preserve">en los conceptos con radicado Nos. 4201912000007298 de 23 de octubre de 2019, </w:t>
      </w:r>
      <w:r w:rsidRPr="00F2075F">
        <w:rPr>
          <w:rFonts w:ascii="Arial" w:eastAsia="Calibri" w:hAnsi="Arial" w:cs="Arial"/>
          <w:color w:val="000000" w:themeColor="text1"/>
          <w:sz w:val="22"/>
          <w:szCs w:val="22"/>
        </w:rPr>
        <w:lastRenderedPageBreak/>
        <w:t xml:space="preserve">4201913000006294 del 16 de septiembre de 2019, C-062 del 25 de marzo de 2020, </w:t>
      </w:r>
      <w:r w:rsidR="007B561E" w:rsidRPr="00F2075F">
        <w:rPr>
          <w:rFonts w:ascii="Arial" w:eastAsia="Calibri" w:hAnsi="Arial" w:cs="Arial"/>
          <w:color w:val="000000" w:themeColor="text1"/>
          <w:sz w:val="22"/>
          <w:szCs w:val="22"/>
        </w:rPr>
        <w:t xml:space="preserve">C-100 de 27 de marzo de 2020, </w:t>
      </w:r>
      <w:r w:rsidRPr="00F2075F">
        <w:rPr>
          <w:rFonts w:ascii="Arial" w:eastAsia="Calibri" w:hAnsi="Arial" w:cs="Arial"/>
          <w:color w:val="000000" w:themeColor="text1"/>
          <w:sz w:val="22"/>
          <w:szCs w:val="22"/>
        </w:rPr>
        <w:t xml:space="preserve">C-318 del 25 de mayo de 2020, </w:t>
      </w:r>
      <w:r w:rsidR="007F510D" w:rsidRPr="00F2075F">
        <w:rPr>
          <w:rFonts w:ascii="Arial" w:eastAsia="Calibri" w:hAnsi="Arial" w:cs="Arial"/>
          <w:color w:val="000000" w:themeColor="text1"/>
          <w:sz w:val="22"/>
          <w:szCs w:val="22"/>
        </w:rPr>
        <w:t xml:space="preserve">C-452 de 28 de julio de 2020, </w:t>
      </w:r>
      <w:r w:rsidRPr="00F2075F">
        <w:rPr>
          <w:rFonts w:ascii="Arial" w:eastAsia="Calibri" w:hAnsi="Arial" w:cs="Arial"/>
          <w:color w:val="000000" w:themeColor="text1"/>
          <w:sz w:val="22"/>
          <w:szCs w:val="22"/>
        </w:rPr>
        <w:t>C-560 del 24 de agosto de 2020, C-628 del 23 de septiembre del 2020, C-073 de 16 de marzo de 2021</w:t>
      </w:r>
      <w:r w:rsidR="003214F1" w:rsidRPr="00F2075F">
        <w:rPr>
          <w:rFonts w:ascii="Arial" w:eastAsia="Calibri" w:hAnsi="Arial" w:cs="Arial"/>
          <w:color w:val="000000" w:themeColor="text1"/>
          <w:sz w:val="22"/>
          <w:szCs w:val="22"/>
        </w:rPr>
        <w:t>, C-277 de 21 de junio de 2021,</w:t>
      </w:r>
      <w:r w:rsidRPr="00F2075F">
        <w:rPr>
          <w:rFonts w:ascii="Arial" w:eastAsia="Calibri" w:hAnsi="Arial" w:cs="Arial"/>
          <w:color w:val="000000" w:themeColor="text1"/>
          <w:sz w:val="22"/>
          <w:szCs w:val="22"/>
        </w:rPr>
        <w:t xml:space="preserve"> C-644 de 18 de noviembre de 2021</w:t>
      </w:r>
      <w:r w:rsidR="00E8290E" w:rsidRPr="00F2075F">
        <w:rPr>
          <w:rFonts w:ascii="Arial" w:eastAsia="Calibri" w:hAnsi="Arial" w:cs="Arial"/>
          <w:color w:val="000000" w:themeColor="text1"/>
          <w:sz w:val="22"/>
          <w:szCs w:val="22"/>
        </w:rPr>
        <w:t>,</w:t>
      </w:r>
      <w:r w:rsidR="003214F1" w:rsidRPr="00F2075F">
        <w:rPr>
          <w:rFonts w:ascii="Arial" w:eastAsia="Calibri" w:hAnsi="Arial" w:cs="Arial"/>
          <w:color w:val="000000" w:themeColor="text1"/>
          <w:sz w:val="22"/>
          <w:szCs w:val="22"/>
        </w:rPr>
        <w:t xml:space="preserve"> C-755 de 21 de enero de 2022</w:t>
      </w:r>
      <w:r w:rsidR="00E8290E" w:rsidRPr="00F2075F">
        <w:rPr>
          <w:rFonts w:ascii="Arial" w:eastAsia="Calibri" w:hAnsi="Arial" w:cs="Arial"/>
          <w:color w:val="000000" w:themeColor="text1"/>
          <w:sz w:val="22"/>
          <w:szCs w:val="22"/>
        </w:rPr>
        <w:t>, C-152 de 1° de abril de 2022, C-267 de 5 de mayo de 2022 y C-432 de 13 de julio de 2022</w:t>
      </w:r>
      <w:r w:rsidRPr="00F2075F">
        <w:rPr>
          <w:rFonts w:ascii="Arial" w:eastAsia="Calibri" w:hAnsi="Arial" w:cs="Arial"/>
          <w:color w:val="000000" w:themeColor="text1"/>
          <w:sz w:val="22"/>
          <w:szCs w:val="22"/>
        </w:rPr>
        <w:t xml:space="preserve"> estudió temas relacionados con la adición de los </w:t>
      </w:r>
      <w:r w:rsidRPr="00F2075F">
        <w:rPr>
          <w:rFonts w:ascii="Arial" w:hAnsi="Arial" w:cs="Arial"/>
          <w:color w:val="000000" w:themeColor="text1"/>
          <w:sz w:val="22"/>
          <w:szCs w:val="22"/>
        </w:rPr>
        <w:t>contratos estatales. La</w:t>
      </w:r>
      <w:r w:rsidR="00E8290E" w:rsidRPr="00F2075F">
        <w:rPr>
          <w:rFonts w:ascii="Arial" w:hAnsi="Arial" w:cs="Arial"/>
          <w:color w:val="000000" w:themeColor="text1"/>
          <w:sz w:val="22"/>
          <w:szCs w:val="22"/>
        </w:rPr>
        <w:t>s</w:t>
      </w:r>
      <w:r w:rsidRPr="00F2075F">
        <w:rPr>
          <w:rFonts w:ascii="Arial" w:hAnsi="Arial" w:cs="Arial"/>
          <w:color w:val="000000" w:themeColor="text1"/>
          <w:sz w:val="22"/>
          <w:szCs w:val="22"/>
        </w:rPr>
        <w:t xml:space="preserve"> tesis expuesta en estos conceptos se reitera</w:t>
      </w:r>
      <w:r w:rsidR="00E8290E" w:rsidRPr="00F2075F">
        <w:rPr>
          <w:rFonts w:ascii="Arial" w:hAnsi="Arial" w:cs="Arial"/>
          <w:color w:val="000000" w:themeColor="text1"/>
          <w:sz w:val="22"/>
          <w:szCs w:val="22"/>
        </w:rPr>
        <w:t>n</w:t>
      </w:r>
      <w:r w:rsidRPr="00F2075F">
        <w:rPr>
          <w:rFonts w:ascii="Arial" w:hAnsi="Arial" w:cs="Arial"/>
          <w:color w:val="000000" w:themeColor="text1"/>
          <w:sz w:val="22"/>
          <w:szCs w:val="22"/>
        </w:rPr>
        <w:t xml:space="preserve"> a continuación</w:t>
      </w:r>
      <w:r w:rsidR="0018375B" w:rsidRPr="00F2075F">
        <w:rPr>
          <w:rFonts w:ascii="Arial" w:hAnsi="Arial" w:cs="Arial"/>
          <w:color w:val="000000" w:themeColor="text1"/>
          <w:sz w:val="22"/>
          <w:szCs w:val="22"/>
        </w:rPr>
        <w:t xml:space="preserve"> </w:t>
      </w:r>
      <w:r w:rsidR="0018375B" w:rsidRPr="00F2075F">
        <w:rPr>
          <w:rFonts w:ascii="Arial" w:eastAsia="Arial" w:hAnsi="Arial" w:cs="Arial"/>
          <w:color w:val="161616" w:themeColor="background1" w:themeShade="1A"/>
          <w:sz w:val="22"/>
          <w:szCs w:val="22"/>
          <w:lang w:val="es-ES_tradnl"/>
        </w:rPr>
        <w:t xml:space="preserve">y </w:t>
      </w:r>
      <w:r w:rsidR="00E8290E" w:rsidRPr="00F2075F">
        <w:rPr>
          <w:rFonts w:ascii="Arial" w:eastAsia="Arial" w:hAnsi="Arial" w:cs="Arial"/>
          <w:color w:val="161616" w:themeColor="background1" w:themeShade="1A"/>
          <w:sz w:val="22"/>
          <w:szCs w:val="22"/>
          <w:lang w:val="es-ES_tradnl"/>
        </w:rPr>
        <w:t xml:space="preserve">se </w:t>
      </w:r>
      <w:r w:rsidR="0018375B" w:rsidRPr="00F2075F">
        <w:rPr>
          <w:rFonts w:ascii="Arial" w:eastAsia="Arial" w:hAnsi="Arial" w:cs="Arial"/>
          <w:color w:val="161616" w:themeColor="background1" w:themeShade="1A"/>
          <w:sz w:val="22"/>
          <w:szCs w:val="22"/>
          <w:lang w:val="es-ES_tradnl"/>
        </w:rPr>
        <w:t>complementa</w:t>
      </w:r>
      <w:r w:rsidR="00E8290E" w:rsidRPr="00F2075F">
        <w:rPr>
          <w:rFonts w:ascii="Arial" w:eastAsia="Arial" w:hAnsi="Arial" w:cs="Arial"/>
          <w:color w:val="161616" w:themeColor="background1" w:themeShade="1A"/>
          <w:sz w:val="22"/>
          <w:szCs w:val="22"/>
          <w:lang w:val="es-ES_tradnl"/>
        </w:rPr>
        <w:t>n en lo que corresponda</w:t>
      </w:r>
      <w:r w:rsidR="0018375B" w:rsidRPr="00F2075F">
        <w:rPr>
          <w:rFonts w:ascii="Arial" w:eastAsia="Arial" w:hAnsi="Arial" w:cs="Arial"/>
          <w:color w:val="161616" w:themeColor="background1" w:themeShade="1A"/>
          <w:sz w:val="22"/>
          <w:szCs w:val="22"/>
          <w:lang w:val="es-ES_tradnl"/>
        </w:rPr>
        <w:t>.</w:t>
      </w:r>
      <w:r w:rsidR="003A149C" w:rsidRPr="00F2075F">
        <w:rPr>
          <w:rFonts w:ascii="Arial" w:eastAsia="Calibri" w:hAnsi="Arial" w:cs="Arial"/>
          <w:color w:val="000000" w:themeColor="text1"/>
          <w:sz w:val="22"/>
          <w:szCs w:val="22"/>
        </w:rPr>
        <w:t xml:space="preserve">. </w:t>
      </w:r>
    </w:p>
    <w:p w14:paraId="263C8871" w14:textId="77777777" w:rsidR="00983EC1" w:rsidRPr="003726A7" w:rsidRDefault="00983EC1" w:rsidP="00983EC1">
      <w:pPr>
        <w:spacing w:line="276" w:lineRule="auto"/>
        <w:ind w:firstLine="708"/>
        <w:jc w:val="both"/>
        <w:rPr>
          <w:rFonts w:ascii="Arial" w:eastAsia="Calibri" w:hAnsi="Arial" w:cs="Arial"/>
          <w:color w:val="000000" w:themeColor="text1"/>
          <w:sz w:val="22"/>
          <w:lang w:val="es-ES_tradnl"/>
        </w:rPr>
      </w:pPr>
    </w:p>
    <w:p w14:paraId="7B4B2054" w14:textId="77777777" w:rsidR="00983EC1" w:rsidRPr="003726A7" w:rsidRDefault="00983EC1" w:rsidP="00983EC1">
      <w:pPr>
        <w:spacing w:line="276" w:lineRule="auto"/>
        <w:jc w:val="both"/>
        <w:rPr>
          <w:rFonts w:ascii="Arial" w:eastAsia="Calibri" w:hAnsi="Arial" w:cs="Arial"/>
          <w:b/>
          <w:bCs/>
          <w:color w:val="000000" w:themeColor="text1"/>
          <w:sz w:val="22"/>
          <w:lang w:val="es-ES_tradnl"/>
        </w:rPr>
      </w:pPr>
      <w:r w:rsidRPr="003726A7">
        <w:rPr>
          <w:rFonts w:ascii="Arial" w:eastAsia="Calibri" w:hAnsi="Arial" w:cs="Arial"/>
          <w:b/>
          <w:bCs/>
          <w:color w:val="000000" w:themeColor="text1"/>
          <w:sz w:val="22"/>
          <w:lang w:val="es-ES_tradnl"/>
        </w:rPr>
        <w:t>2.1. Competencia consultiva de la Agencia Nacional de Contratación Pública – Colombia Compra Eficiente</w:t>
      </w:r>
    </w:p>
    <w:p w14:paraId="0C242916" w14:textId="77777777" w:rsidR="00983EC1" w:rsidRPr="003726A7" w:rsidRDefault="00983EC1" w:rsidP="00983EC1">
      <w:pPr>
        <w:spacing w:line="276" w:lineRule="auto"/>
        <w:jc w:val="both"/>
        <w:rPr>
          <w:rFonts w:ascii="Arial" w:eastAsia="Calibri" w:hAnsi="Arial" w:cs="Arial"/>
          <w:b/>
          <w:bCs/>
          <w:color w:val="000000" w:themeColor="text1"/>
          <w:sz w:val="22"/>
          <w:lang w:val="es-ES_tradnl"/>
        </w:rPr>
      </w:pPr>
    </w:p>
    <w:p w14:paraId="1E75F3BC" w14:textId="5A1766E6" w:rsidR="00BA6826" w:rsidRPr="006D5A6C" w:rsidRDefault="00BA6826" w:rsidP="006D5A6C">
      <w:pPr>
        <w:spacing w:line="276" w:lineRule="auto"/>
        <w:jc w:val="both"/>
        <w:rPr>
          <w:rFonts w:ascii="Arial" w:hAnsi="Arial" w:cs="Arial"/>
          <w:color w:val="000000" w:themeColor="text1"/>
          <w:sz w:val="22"/>
          <w:shd w:val="clear" w:color="auto" w:fill="FFFFFF"/>
          <w:lang w:val="es-ES_tradnl"/>
        </w:rPr>
      </w:pPr>
      <w:r w:rsidRPr="00D505B1">
        <w:rPr>
          <w:rFonts w:ascii="Arial" w:eastAsia="Arial" w:hAnsi="Arial" w:cs="Arial"/>
          <w:lang w:val="es-MX"/>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505B1">
        <w:rPr>
          <w:rFonts w:ascii="Arial" w:eastAsia="Arial" w:hAnsi="Arial" w:cs="Arial"/>
          <w:vertAlign w:val="superscript"/>
          <w:lang w:val="es-MX"/>
        </w:rPr>
        <w:footnoteReference w:id="3"/>
      </w:r>
      <w:r w:rsidRPr="00D505B1">
        <w:rPr>
          <w:rFonts w:ascii="Arial" w:eastAsia="Arial" w:hAnsi="Arial" w:cs="Arial"/>
          <w:lang w:val="es-MX"/>
        </w:rPr>
        <w:t xml:space="preserve">. </w:t>
      </w:r>
      <w:r w:rsidRPr="00D505B1">
        <w:rPr>
          <w:rFonts w:ascii="Arial" w:eastAsia="Calibri" w:hAnsi="Arial" w:cs="Arial"/>
          <w:lang w:val="es-ES_tradnl"/>
        </w:rPr>
        <w:t xml:space="preserve">Es necesario tener en cuenta que esta entidad solo tiene competencia para responder solicitudes sobre la aplicación de normas de carácter general en materia de compras y contratación pública. </w:t>
      </w:r>
      <w:r>
        <w:rPr>
          <w:rFonts w:ascii="Arial" w:eastAsia="Calibri" w:hAnsi="Arial" w:cs="Arial"/>
          <w:lang w:val="es-ES_tradnl"/>
        </w:rPr>
        <w:t xml:space="preserve">En este orden, en </w:t>
      </w:r>
      <w:r>
        <w:rPr>
          <w:rFonts w:ascii="Arial" w:hAnsi="Arial" w:cs="Arial"/>
          <w:color w:val="000000" w:themeColor="text1"/>
          <w:sz w:val="22"/>
          <w:shd w:val="clear" w:color="auto" w:fill="FFFFFF"/>
          <w:lang w:val="es-ES_tradnl"/>
        </w:rPr>
        <w:t>c</w:t>
      </w:r>
      <w:r w:rsidRPr="003726A7">
        <w:rPr>
          <w:rFonts w:ascii="Arial" w:hAnsi="Arial" w:cs="Arial"/>
          <w:color w:val="000000" w:themeColor="text1"/>
          <w:sz w:val="22"/>
          <w:shd w:val="clear" w:color="auto" w:fill="FFFFFF"/>
          <w:lang w:val="es-ES_tradnl"/>
        </w:rPr>
        <w:t xml:space="preserve">omo en la consulta que se resuelve en esta oportunidad se hacen algunos comentarios a partir de un caso concreto, 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14:paraId="7AB3280D" w14:textId="77777777" w:rsidR="00BA6826" w:rsidRPr="003726A7" w:rsidRDefault="00BA6826" w:rsidP="00983EC1">
      <w:pPr>
        <w:spacing w:line="276" w:lineRule="auto"/>
        <w:jc w:val="both"/>
        <w:rPr>
          <w:rFonts w:ascii="Arial" w:hAnsi="Arial" w:cs="Arial"/>
          <w:color w:val="000000" w:themeColor="text1"/>
          <w:sz w:val="22"/>
          <w:lang w:val="es-ES_tradnl"/>
        </w:rPr>
      </w:pPr>
    </w:p>
    <w:p w14:paraId="727EC0CD" w14:textId="3FEC1915" w:rsidR="00BA6826" w:rsidRPr="00D505B1" w:rsidRDefault="00BA6826" w:rsidP="00BA6826">
      <w:pPr>
        <w:spacing w:after="120" w:line="276" w:lineRule="auto"/>
        <w:ind w:firstLine="708"/>
        <w:jc w:val="both"/>
        <w:rPr>
          <w:rFonts w:ascii="Arial" w:eastAsia="Calibri" w:hAnsi="Arial" w:cs="Arial"/>
          <w:lang w:val="es-ES_tradnl"/>
        </w:rPr>
      </w:pPr>
      <w:r>
        <w:rPr>
          <w:rFonts w:ascii="Arial" w:eastAsia="Calibri" w:hAnsi="Arial" w:cs="Arial"/>
          <w:lang w:val="es-ES_tradnl"/>
        </w:rPr>
        <w:t>Sobre este aspecto, es importante precisar que l</w:t>
      </w:r>
      <w:r w:rsidRPr="00D505B1">
        <w:rPr>
          <w:rFonts w:ascii="Arial" w:eastAsia="Calibri" w:hAnsi="Arial" w:cs="Arial"/>
          <w:lang w:val="es-ES_tradnl"/>
        </w:rPr>
        <w:t xml:space="preserve">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w:t>
      </w:r>
      <w:r w:rsidRPr="00D505B1">
        <w:rPr>
          <w:rFonts w:ascii="Arial" w:eastAsia="Calibri" w:hAnsi="Arial" w:cs="Arial"/>
          <w:lang w:val="es-ES_tradnl"/>
        </w:rPr>
        <w:lastRenderedPageBreak/>
        <w:t xml:space="preserve">resolución de controversias, ni a brindar asesorías sobre casos puntuales que implicaría determinar y analizar la naturaleza y el régimen de contratación de cada entidad pública. </w:t>
      </w:r>
    </w:p>
    <w:p w14:paraId="50D59D95" w14:textId="03B77D1A" w:rsidR="00BA6826" w:rsidRDefault="00BA6826" w:rsidP="00BA6826">
      <w:pPr>
        <w:spacing w:before="120" w:line="276" w:lineRule="auto"/>
        <w:ind w:firstLine="708"/>
        <w:jc w:val="both"/>
        <w:rPr>
          <w:rFonts w:ascii="Arial" w:hAnsi="Arial" w:cs="Arial"/>
          <w:color w:val="000000" w:themeColor="text1"/>
          <w:sz w:val="22"/>
          <w:lang w:val="es-ES_tradnl"/>
        </w:rPr>
      </w:pPr>
      <w:r w:rsidRPr="00D505B1">
        <w:rPr>
          <w:rFonts w:ascii="Arial" w:eastAsia="Calibri" w:hAnsi="Arial" w:cs="Arial"/>
        </w:rPr>
        <w:t xml:space="preserve">Así las cosas, </w:t>
      </w:r>
      <w:r w:rsidRPr="00D505B1">
        <w:rPr>
          <w:rFonts w:ascii="Arial" w:eastAsia="Calibri" w:hAnsi="Arial" w:cs="Arial"/>
          <w:lang w:val="es-ES"/>
        </w:rPr>
        <w:t xml:space="preserve">la Agencia –dentro de los límites de sus atribuciones, esto es, </w:t>
      </w:r>
      <w:bookmarkStart w:id="2" w:name="_Hlk61025408"/>
      <w:r w:rsidRPr="00D505B1">
        <w:rPr>
          <w:rFonts w:ascii="Arial" w:eastAsia="Calibri" w:hAnsi="Arial" w:cs="Arial"/>
          <w:lang w:val="es-ES"/>
        </w:rPr>
        <w:t>haciendo abstracción del caso particular expuesto</w:t>
      </w:r>
      <w:bookmarkEnd w:id="2"/>
      <w:r w:rsidRPr="00D505B1">
        <w:rPr>
          <w:rFonts w:ascii="Arial" w:eastAsia="Calibri" w:hAnsi="Arial" w:cs="Arial"/>
          <w:lang w:val="es-ES"/>
        </w:rPr>
        <w:t>–, resolverá la consulta conforme a las normas generales en materia de contratación estatal</w:t>
      </w:r>
    </w:p>
    <w:p w14:paraId="4FC9E730" w14:textId="77777777" w:rsidR="00BA6826" w:rsidRDefault="00BA6826" w:rsidP="00983EC1">
      <w:pPr>
        <w:spacing w:before="120" w:line="276" w:lineRule="auto"/>
        <w:ind w:firstLine="708"/>
        <w:jc w:val="both"/>
        <w:rPr>
          <w:rFonts w:ascii="Arial" w:hAnsi="Arial" w:cs="Arial"/>
          <w:color w:val="000000" w:themeColor="text1"/>
          <w:sz w:val="22"/>
          <w:lang w:val="es-ES_tradnl"/>
        </w:rPr>
      </w:pPr>
    </w:p>
    <w:p w14:paraId="331D0ECA" w14:textId="3305F48F" w:rsidR="003C4317" w:rsidRPr="00E8290E" w:rsidRDefault="003C4317" w:rsidP="00271230">
      <w:pPr>
        <w:spacing w:line="276" w:lineRule="auto"/>
        <w:jc w:val="both"/>
        <w:rPr>
          <w:rFonts w:ascii="Arial" w:eastAsia="Calibri" w:hAnsi="Arial" w:cs="Arial"/>
          <w:color w:val="000000" w:themeColor="text1"/>
          <w:sz w:val="22"/>
          <w:szCs w:val="22"/>
        </w:rPr>
      </w:pPr>
    </w:p>
    <w:p w14:paraId="1F9D5A40" w14:textId="42F20E2C" w:rsidR="00CF1EB8" w:rsidRPr="00E84A23" w:rsidRDefault="00942641" w:rsidP="00E30BF0">
      <w:pPr>
        <w:spacing w:line="276" w:lineRule="auto"/>
        <w:jc w:val="both"/>
        <w:rPr>
          <w:rFonts w:ascii="Arial" w:eastAsia="Calibri" w:hAnsi="Arial" w:cs="Arial"/>
          <w:b/>
          <w:color w:val="000000" w:themeColor="text1"/>
          <w:sz w:val="22"/>
          <w:lang w:val="es-ES_tradnl"/>
        </w:rPr>
      </w:pPr>
      <w:r w:rsidRPr="00E84A23">
        <w:rPr>
          <w:rFonts w:ascii="Arial" w:eastAsia="Calibri" w:hAnsi="Arial" w:cs="Arial"/>
          <w:b/>
          <w:bCs/>
          <w:color w:val="000000" w:themeColor="text1"/>
          <w:sz w:val="22"/>
          <w:lang w:val="es-ES_tradnl"/>
        </w:rPr>
        <w:t>2.</w:t>
      </w:r>
      <w:r w:rsidR="00183AE9">
        <w:rPr>
          <w:rFonts w:ascii="Arial" w:eastAsia="Calibri" w:hAnsi="Arial" w:cs="Arial"/>
          <w:b/>
          <w:bCs/>
          <w:color w:val="000000" w:themeColor="text1"/>
          <w:sz w:val="22"/>
          <w:lang w:val="es-ES_tradnl"/>
        </w:rPr>
        <w:t>2</w:t>
      </w:r>
      <w:r w:rsidRPr="00E84A23">
        <w:rPr>
          <w:rFonts w:ascii="Arial" w:eastAsia="Calibri" w:hAnsi="Arial" w:cs="Arial"/>
          <w:b/>
          <w:bCs/>
          <w:color w:val="000000" w:themeColor="text1"/>
          <w:sz w:val="22"/>
          <w:lang w:val="es-ES_tradnl"/>
        </w:rPr>
        <w:t xml:space="preserve">. </w:t>
      </w:r>
      <w:r w:rsidR="00E30BF0" w:rsidRPr="00E84A23">
        <w:rPr>
          <w:rFonts w:ascii="Arial" w:hAnsi="Arial" w:cs="Arial"/>
          <w:b/>
          <w:sz w:val="22"/>
          <w:lang w:val="es-ES_tradnl"/>
        </w:rPr>
        <w:t>Concepto de adición en los contratos estatales y sus límites</w:t>
      </w:r>
      <w:r w:rsidR="00830655" w:rsidRPr="00E84A23">
        <w:rPr>
          <w:rFonts w:ascii="Arial" w:hAnsi="Arial" w:cs="Arial"/>
          <w:b/>
          <w:sz w:val="22"/>
          <w:lang w:val="es-ES_tradnl"/>
        </w:rPr>
        <w:t xml:space="preserve"> </w:t>
      </w:r>
      <w:r w:rsidR="00E66124" w:rsidRPr="00E84A23">
        <w:rPr>
          <w:rFonts w:ascii="Arial" w:hAnsi="Arial" w:cs="Arial"/>
          <w:b/>
          <w:sz w:val="22"/>
          <w:lang w:val="es-ES_tradnl"/>
        </w:rPr>
        <w:t>en el Estatuto General de Contratación de la Administración Pública</w:t>
      </w:r>
    </w:p>
    <w:p w14:paraId="0AC77B73" w14:textId="77777777" w:rsidR="002655EF" w:rsidRPr="00E84A23" w:rsidRDefault="002655EF" w:rsidP="002655EF">
      <w:pPr>
        <w:spacing w:line="276" w:lineRule="auto"/>
        <w:jc w:val="both"/>
        <w:rPr>
          <w:rFonts w:ascii="Arial" w:hAnsi="Arial" w:cs="Arial"/>
          <w:bCs/>
          <w:sz w:val="22"/>
          <w:lang w:val="es-ES_tradnl"/>
        </w:rPr>
      </w:pPr>
    </w:p>
    <w:p w14:paraId="21D7B0C3" w14:textId="77777777" w:rsidR="002655EF" w:rsidRPr="00E84A23" w:rsidRDefault="002655EF" w:rsidP="002655EF">
      <w:pPr>
        <w:spacing w:after="120" w:line="276" w:lineRule="auto"/>
        <w:jc w:val="both"/>
        <w:rPr>
          <w:rFonts w:ascii="Arial" w:hAnsi="Arial" w:cs="Arial"/>
          <w:bCs/>
          <w:sz w:val="22"/>
          <w:lang w:val="es-ES_tradnl"/>
        </w:rPr>
      </w:pPr>
      <w:r w:rsidRPr="00E84A23">
        <w:rPr>
          <w:rFonts w:ascii="Arial" w:hAnsi="Arial" w:cs="Arial"/>
          <w:bCs/>
          <w:sz w:val="22"/>
          <w:lang w:val="es-ES_tradnl"/>
        </w:rPr>
        <w:t xml:space="preserve">Como es sabido, uno de los elementos más comunes en los contratos estatales es el </w:t>
      </w:r>
      <w:r w:rsidRPr="00E84A23">
        <w:rPr>
          <w:rFonts w:ascii="Arial" w:hAnsi="Arial" w:cs="Arial"/>
          <w:bCs/>
          <w:i/>
          <w:iCs/>
          <w:sz w:val="22"/>
          <w:lang w:val="es-ES_tradnl"/>
        </w:rPr>
        <w:t>precio</w:t>
      </w:r>
      <w:r w:rsidRPr="00E84A23">
        <w:rPr>
          <w:rFonts w:ascii="Arial" w:hAnsi="Arial" w:cs="Arial"/>
          <w:bCs/>
          <w:sz w:val="22"/>
          <w:lang w:val="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4BDB9F7C" w14:textId="636147E4" w:rsidR="00F72DD9" w:rsidRPr="00E84A23" w:rsidRDefault="002655EF" w:rsidP="002655EF">
      <w:pPr>
        <w:spacing w:before="120" w:after="120" w:line="276" w:lineRule="auto"/>
        <w:ind w:firstLine="709"/>
        <w:jc w:val="both"/>
        <w:rPr>
          <w:rFonts w:ascii="Arial" w:hAnsi="Arial" w:cs="Arial"/>
          <w:bCs/>
          <w:sz w:val="22"/>
          <w:lang w:val="es-ES_tradnl"/>
        </w:rPr>
      </w:pPr>
      <w:r w:rsidRPr="00E84A23">
        <w:rPr>
          <w:rFonts w:ascii="Arial" w:hAnsi="Arial" w:cs="Arial"/>
          <w:bCs/>
          <w:sz w:val="22"/>
          <w:lang w:val="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w:t>
      </w:r>
      <w:r w:rsidR="006A7B11" w:rsidRPr="00E84A23">
        <w:rPr>
          <w:rFonts w:ascii="Arial" w:hAnsi="Arial" w:cs="Arial"/>
          <w:bCs/>
          <w:sz w:val="22"/>
          <w:lang w:val="es-ES_tradnl"/>
        </w:rPr>
        <w:t xml:space="preserve">entidad </w:t>
      </w:r>
      <w:r w:rsidRPr="00E84A23">
        <w:rPr>
          <w:rFonts w:ascii="Arial" w:hAnsi="Arial" w:cs="Arial"/>
          <w:bCs/>
          <w:sz w:val="22"/>
          <w:lang w:val="es-ES_tradnl"/>
        </w:rPr>
        <w:t>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E84A23">
        <w:rPr>
          <w:rStyle w:val="Refdenotaalpie"/>
          <w:rFonts w:ascii="Arial" w:hAnsi="Arial" w:cs="Arial"/>
          <w:bCs/>
          <w:sz w:val="22"/>
          <w:lang w:val="es-ES_tradnl"/>
        </w:rPr>
        <w:footnoteReference w:id="4"/>
      </w:r>
      <w:r w:rsidRPr="00E84A23">
        <w:rPr>
          <w:rFonts w:ascii="Arial" w:hAnsi="Arial" w:cs="Arial"/>
          <w:bCs/>
          <w:sz w:val="22"/>
          <w:lang w:val="es-ES_tradnl"/>
        </w:rPr>
        <w:t>.</w:t>
      </w:r>
    </w:p>
    <w:p w14:paraId="6AA4F557" w14:textId="31DB79C7" w:rsidR="002655EF" w:rsidRPr="00E84A23" w:rsidRDefault="002655EF" w:rsidP="002655EF">
      <w:pPr>
        <w:spacing w:before="120" w:after="120" w:line="276" w:lineRule="auto"/>
        <w:ind w:firstLine="709"/>
        <w:jc w:val="both"/>
        <w:rPr>
          <w:rFonts w:ascii="Arial" w:hAnsi="Arial" w:cs="Arial"/>
          <w:bCs/>
          <w:sz w:val="22"/>
          <w:lang w:val="es-ES_tradnl"/>
        </w:rPr>
      </w:pPr>
      <w:r w:rsidRPr="00E84A23">
        <w:rPr>
          <w:rFonts w:ascii="Arial" w:hAnsi="Arial" w:cs="Arial"/>
          <w:bCs/>
          <w:sz w:val="22"/>
          <w:lang w:val="es-ES_tradnl"/>
        </w:rPr>
        <w:lastRenderedPageBreak/>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76CBF741" w14:textId="6103B4FE" w:rsidR="002655EF" w:rsidRPr="00E84A23" w:rsidRDefault="00936517" w:rsidP="006D5A6C">
      <w:pPr>
        <w:spacing w:after="120" w:line="276" w:lineRule="auto"/>
        <w:ind w:firstLine="709"/>
        <w:jc w:val="both"/>
        <w:rPr>
          <w:rFonts w:ascii="Arial" w:hAnsi="Arial" w:cs="Arial"/>
          <w:bCs/>
          <w:sz w:val="22"/>
          <w:lang w:val="es-ES_tradnl"/>
        </w:rPr>
      </w:pPr>
      <w:r w:rsidRPr="00E84A23">
        <w:rPr>
          <w:rFonts w:ascii="Arial" w:hAnsi="Arial" w:cs="Arial"/>
          <w:bCs/>
          <w:sz w:val="22"/>
          <w:lang w:val="es-ES_tradnl"/>
        </w:rPr>
        <w:t>Por ejemplo</w:t>
      </w:r>
      <w:r w:rsidR="002655EF" w:rsidRPr="00E84A23">
        <w:rPr>
          <w:rFonts w:ascii="Arial" w:hAnsi="Arial" w:cs="Arial"/>
          <w:bCs/>
          <w:sz w:val="22"/>
          <w:lang w:val="es-ES_tradnl"/>
        </w:rPr>
        <w:t xml:space="preserve">,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002655EF" w:rsidRPr="00E84A23">
        <w:rPr>
          <w:rFonts w:ascii="Arial" w:hAnsi="Arial" w:cs="Arial"/>
          <w:bCs/>
          <w:i/>
          <w:iCs/>
          <w:sz w:val="22"/>
          <w:lang w:val="es-ES_tradnl"/>
        </w:rPr>
        <w:t>ítems</w:t>
      </w:r>
      <w:r w:rsidR="002655EF" w:rsidRPr="00E84A23">
        <w:rPr>
          <w:rFonts w:ascii="Arial" w:hAnsi="Arial"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w:t>
      </w:r>
      <w:r w:rsidR="002655EF" w:rsidRPr="00E84A23">
        <w:rPr>
          <w:rStyle w:val="Refdenotaalpie"/>
          <w:rFonts w:ascii="Arial" w:hAnsi="Arial" w:cs="Arial"/>
          <w:sz w:val="21"/>
          <w:szCs w:val="21"/>
          <w:lang w:val="es-ES_tradnl"/>
        </w:rPr>
        <w:footnoteReference w:id="5"/>
      </w:r>
      <w:r w:rsidR="002655EF" w:rsidRPr="00E84A23">
        <w:rPr>
          <w:rFonts w:ascii="Arial" w:hAnsi="Arial" w:cs="Arial"/>
          <w:sz w:val="21"/>
          <w:szCs w:val="21"/>
          <w:lang w:val="es-ES_tradnl"/>
        </w:rPr>
        <w:t>.</w:t>
      </w:r>
    </w:p>
    <w:p w14:paraId="76FCA3B6" w14:textId="7FC62DB3" w:rsidR="00E02144" w:rsidRPr="00E84A23" w:rsidRDefault="00727799" w:rsidP="006D5A6C">
      <w:pPr>
        <w:spacing w:before="120" w:after="120" w:line="276" w:lineRule="auto"/>
        <w:ind w:firstLine="709"/>
        <w:jc w:val="both"/>
        <w:rPr>
          <w:rFonts w:ascii="Arial" w:hAnsi="Arial" w:cs="Arial"/>
          <w:bCs/>
          <w:sz w:val="22"/>
          <w:lang w:val="es-ES_tradnl"/>
        </w:rPr>
      </w:pPr>
      <w:r w:rsidRPr="00E84A23">
        <w:rPr>
          <w:rFonts w:ascii="Arial" w:hAnsi="Arial" w:cs="Arial"/>
          <w:bCs/>
          <w:sz w:val="22"/>
          <w:lang w:val="es-ES_tradnl"/>
        </w:rPr>
        <w:t>En este orden de ideas</w:t>
      </w:r>
      <w:r w:rsidR="002655EF" w:rsidRPr="00E84A23">
        <w:rPr>
          <w:rFonts w:ascii="Arial" w:hAnsi="Arial" w:cs="Arial"/>
          <w:bCs/>
          <w:sz w:val="22"/>
          <w:lang w:val="es-ES_tradnl"/>
        </w:rPr>
        <w:t xml:space="preserve">, tanto las entidades sometidas al </w:t>
      </w:r>
      <w:r w:rsidR="00D97B81">
        <w:rPr>
          <w:rFonts w:ascii="Arial" w:hAnsi="Arial" w:cs="Arial"/>
          <w:bCs/>
          <w:sz w:val="22"/>
          <w:lang w:val="es-ES_tradnl"/>
        </w:rPr>
        <w:t xml:space="preserve">Estatuto General de Contratación de la Administración Pública – </w:t>
      </w:r>
      <w:r w:rsidR="002655EF" w:rsidRPr="00E84A23">
        <w:rPr>
          <w:rFonts w:ascii="Arial" w:hAnsi="Arial" w:cs="Arial"/>
          <w:bCs/>
          <w:sz w:val="22"/>
          <w:lang w:val="es-ES_tradnl"/>
        </w:rPr>
        <w:t>E</w:t>
      </w:r>
      <w:r w:rsidR="00F43D66">
        <w:rPr>
          <w:rFonts w:ascii="Arial" w:hAnsi="Arial" w:cs="Arial"/>
          <w:bCs/>
          <w:sz w:val="22"/>
          <w:lang w:val="es-ES_tradnl"/>
        </w:rPr>
        <w:t>GCAP</w:t>
      </w:r>
      <w:r w:rsidR="00D97B81">
        <w:rPr>
          <w:rFonts w:ascii="Arial" w:hAnsi="Arial" w:cs="Arial"/>
          <w:bCs/>
          <w:sz w:val="22"/>
          <w:lang w:val="es-ES_tradnl"/>
        </w:rPr>
        <w:t xml:space="preserve"> –</w:t>
      </w:r>
      <w:r w:rsidR="002655EF" w:rsidRPr="00E84A23">
        <w:rPr>
          <w:rFonts w:ascii="Arial" w:hAnsi="Arial" w:cs="Arial"/>
          <w:bCs/>
          <w:sz w:val="22"/>
          <w:lang w:val="es-ES_tradnl"/>
        </w:rPr>
        <w:t>, como las excluidas de este –es decir, las que tienen un régimen especial– gozan de autonomía para configurar el precio y para establecer el sistema de pago más apropiado para satisfacer los fines de la contratación, respetando los límites previstos en el ordenamiento.</w:t>
      </w:r>
      <w:r w:rsidR="004826AE" w:rsidRPr="00E84A23">
        <w:rPr>
          <w:rFonts w:ascii="Arial" w:hAnsi="Arial" w:cs="Arial"/>
          <w:bCs/>
          <w:sz w:val="22"/>
          <w:lang w:val="es-ES_tradnl"/>
        </w:rPr>
        <w:t xml:space="preserve"> Para las entidades que se rigen por el E</w:t>
      </w:r>
      <w:r w:rsidR="00F43D66">
        <w:rPr>
          <w:rFonts w:ascii="Arial" w:hAnsi="Arial" w:cs="Arial"/>
          <w:bCs/>
          <w:sz w:val="22"/>
          <w:lang w:val="es-ES_tradnl"/>
        </w:rPr>
        <w:t>GCAP</w:t>
      </w:r>
      <w:r w:rsidR="004826AE" w:rsidRPr="00E84A23">
        <w:rPr>
          <w:rFonts w:ascii="Arial" w:hAnsi="Arial" w:cs="Arial"/>
          <w:bCs/>
          <w:sz w:val="22"/>
          <w:lang w:val="es-ES_tradnl"/>
        </w:rPr>
        <w:t xml:space="preserve">, tal autonomía está reconocida en </w:t>
      </w:r>
      <w:r w:rsidR="002655EF" w:rsidRPr="00E84A23">
        <w:rPr>
          <w:rFonts w:ascii="Arial" w:hAnsi="Arial" w:cs="Arial"/>
          <w:bCs/>
          <w:sz w:val="22"/>
          <w:lang w:val="es-ES_tradnl"/>
        </w:rPr>
        <w:t xml:space="preserve">los artículos 13, 32 y 40 </w:t>
      </w:r>
      <w:r w:rsidR="00CE68EF" w:rsidRPr="00E84A23">
        <w:rPr>
          <w:rFonts w:ascii="Arial" w:hAnsi="Arial" w:cs="Arial"/>
          <w:bCs/>
          <w:sz w:val="22"/>
          <w:lang w:val="es-ES_tradnl"/>
        </w:rPr>
        <w:t>de la Ley 80 de 1993.</w:t>
      </w:r>
    </w:p>
    <w:p w14:paraId="7D8D0A17" w14:textId="77777777" w:rsidR="00E02144" w:rsidRPr="00E84A23" w:rsidRDefault="00CE68EF" w:rsidP="00E02144">
      <w:pPr>
        <w:spacing w:before="120" w:line="276" w:lineRule="auto"/>
        <w:ind w:firstLine="709"/>
        <w:jc w:val="both"/>
        <w:rPr>
          <w:rFonts w:ascii="Arial" w:eastAsia="Calibri" w:hAnsi="Arial" w:cs="Arial"/>
          <w:sz w:val="22"/>
          <w:lang w:val="es-ES_tradnl"/>
        </w:rPr>
      </w:pPr>
      <w:r w:rsidRPr="00E84A23">
        <w:rPr>
          <w:rFonts w:ascii="Arial" w:eastAsia="Calibri" w:hAnsi="Arial" w:cs="Arial"/>
          <w:sz w:val="22"/>
          <w:lang w:val="es-ES_tradnl"/>
        </w:rPr>
        <w:t>Ahora bien, l</w:t>
      </w:r>
      <w:r w:rsidR="00D13FE4" w:rsidRPr="00E84A23">
        <w:rPr>
          <w:rFonts w:ascii="Arial" w:eastAsia="Calibri" w:hAnsi="Arial" w:cs="Arial"/>
          <w:sz w:val="22"/>
          <w:lang w:val="es-ES_tradnl"/>
        </w:rPr>
        <w:t xml:space="preserve">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w:t>
      </w:r>
      <w:r w:rsidR="00D13FE4" w:rsidRPr="00E84A23">
        <w:rPr>
          <w:rFonts w:ascii="Arial" w:eastAsia="Calibri" w:hAnsi="Arial" w:cs="Arial"/>
          <w:sz w:val="22"/>
          <w:lang w:val="es-ES_tradnl"/>
        </w:rPr>
        <w:lastRenderedPageBreak/>
        <w:t xml:space="preserve">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5B64671E" w14:textId="3C54FA56" w:rsidR="0029745A" w:rsidRPr="00E84A23" w:rsidRDefault="00D13FE4" w:rsidP="00E02144">
      <w:pPr>
        <w:spacing w:before="120" w:line="276" w:lineRule="auto"/>
        <w:ind w:firstLine="709"/>
        <w:jc w:val="both"/>
        <w:rPr>
          <w:rFonts w:ascii="Arial" w:hAnsi="Arial" w:cs="Arial"/>
          <w:color w:val="000000" w:themeColor="text1"/>
          <w:sz w:val="22"/>
          <w:lang w:val="es-ES_tradnl"/>
        </w:rPr>
      </w:pPr>
      <w:r w:rsidRPr="00E84A23">
        <w:rPr>
          <w:rFonts w:ascii="Arial" w:eastAsia="Calibri" w:hAnsi="Arial" w:cs="Arial"/>
          <w:sz w:val="22"/>
          <w:lang w:val="es-ES_tradnl"/>
        </w:rPr>
        <w:t>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w:t>
      </w:r>
      <w:r w:rsidR="0029745A" w:rsidRPr="00E84A23">
        <w:rPr>
          <w:rFonts w:ascii="Arial" w:eastAsia="Calibri" w:hAnsi="Arial" w:cs="Arial"/>
          <w:sz w:val="22"/>
          <w:lang w:val="es-ES_tradnl"/>
        </w:rPr>
        <w:t xml:space="preserve"> </w:t>
      </w:r>
      <w:r w:rsidR="0029745A" w:rsidRPr="00E84A23">
        <w:rPr>
          <w:rFonts w:ascii="Arial" w:hAnsi="Arial" w:cs="Arial"/>
          <w:color w:val="000000" w:themeColor="text1"/>
          <w:sz w:val="22"/>
          <w:lang w:val="es-ES_tradnl"/>
        </w:rPr>
        <w:t>Lo importante es que</w:t>
      </w:r>
      <w:r w:rsidR="00AE3218" w:rsidRPr="00E84A23">
        <w:rPr>
          <w:rFonts w:ascii="Arial" w:hAnsi="Arial" w:cs="Arial"/>
          <w:color w:val="000000" w:themeColor="text1"/>
          <w:sz w:val="22"/>
          <w:lang w:val="es-ES_tradnl"/>
        </w:rPr>
        <w:t>,</w:t>
      </w:r>
      <w:r w:rsidR="0029745A" w:rsidRPr="00E84A23">
        <w:rPr>
          <w:rFonts w:ascii="Arial" w:hAnsi="Arial" w:cs="Arial"/>
          <w:color w:val="000000" w:themeColor="text1"/>
          <w:sz w:val="22"/>
          <w:lang w:val="es-ES_tradnl"/>
        </w:rPr>
        <w:t xml:space="preserve"> frente a cualquier incremento del valor inicial del contrato, que es lo que implica una </w:t>
      </w:r>
      <w:r w:rsidR="0029745A" w:rsidRPr="00E84A23">
        <w:rPr>
          <w:rFonts w:ascii="Arial" w:hAnsi="Arial" w:cs="Arial"/>
          <w:i/>
          <w:iCs/>
          <w:color w:val="000000" w:themeColor="text1"/>
          <w:sz w:val="22"/>
          <w:lang w:val="es-ES_tradnl"/>
        </w:rPr>
        <w:t xml:space="preserve">adición, </w:t>
      </w:r>
      <w:r w:rsidR="0029745A" w:rsidRPr="00E84A23">
        <w:rPr>
          <w:rFonts w:ascii="Arial" w:hAnsi="Arial" w:cs="Arial"/>
          <w:color w:val="000000" w:themeColor="text1"/>
          <w:sz w:val="22"/>
          <w:lang w:val="es-ES_tradnl"/>
        </w:rPr>
        <w:t>por cualquiera de los supuesto</w:t>
      </w:r>
      <w:r w:rsidR="00AE3218" w:rsidRPr="00E84A23">
        <w:rPr>
          <w:rFonts w:ascii="Arial" w:hAnsi="Arial" w:cs="Arial"/>
          <w:color w:val="000000" w:themeColor="text1"/>
          <w:sz w:val="22"/>
          <w:lang w:val="es-ES_tradnl"/>
        </w:rPr>
        <w:t>s</w:t>
      </w:r>
      <w:r w:rsidR="0029745A" w:rsidRPr="00E84A23">
        <w:rPr>
          <w:rFonts w:ascii="Arial" w:hAnsi="Arial" w:cs="Arial"/>
          <w:color w:val="000000" w:themeColor="text1"/>
          <w:sz w:val="22"/>
          <w:lang w:val="es-ES_tradnl"/>
        </w:rPr>
        <w:t xml:space="preserve"> señalados previamente, e independiente del nombre que se le dé al acuerdo, </w:t>
      </w:r>
      <w:r w:rsidR="00F43D66">
        <w:rPr>
          <w:rFonts w:ascii="Arial" w:hAnsi="Arial" w:cs="Arial"/>
          <w:color w:val="000000" w:themeColor="text1"/>
          <w:sz w:val="22"/>
          <w:lang w:val="es-ES_tradnl"/>
        </w:rPr>
        <w:t xml:space="preserve">se </w:t>
      </w:r>
      <w:r w:rsidR="0029745A" w:rsidRPr="00E84A23">
        <w:rPr>
          <w:rFonts w:ascii="Arial" w:hAnsi="Arial" w:cs="Arial"/>
          <w:color w:val="000000" w:themeColor="text1"/>
          <w:sz w:val="22"/>
          <w:lang w:val="es-ES_tradnl"/>
        </w:rPr>
        <w:t>aplica el límite previsto en el parágrafo del artículo 40 de la Ley 80 de 1993: «Los contratos no podrán adicionarse en más del cincuenta por ciento (50%) de su valor inicial, expresado éste en salarios mínimos legales mensuales». De manera que</w:t>
      </w:r>
      <w:r w:rsidR="00AE3218" w:rsidRPr="00E84A23">
        <w:rPr>
          <w:rFonts w:ascii="Arial" w:hAnsi="Arial" w:cs="Arial"/>
          <w:color w:val="000000" w:themeColor="text1"/>
          <w:sz w:val="22"/>
          <w:lang w:val="es-ES_tradnl"/>
        </w:rPr>
        <w:t>,</w:t>
      </w:r>
      <w:r w:rsidR="0029745A" w:rsidRPr="00E84A23">
        <w:rPr>
          <w:rFonts w:ascii="Arial" w:hAnsi="Arial" w:cs="Arial"/>
          <w:color w:val="000000" w:themeColor="text1"/>
          <w:sz w:val="22"/>
          <w:lang w:val="es-ES_tradnl"/>
        </w:rPr>
        <w:t xml:space="preserve"> aunque es posible celebrar todos los tipos de acuerdos indicados, siempre se debe observar esta última disposición</w:t>
      </w:r>
      <w:r w:rsidR="0029745A" w:rsidRPr="00E84A23">
        <w:rPr>
          <w:rStyle w:val="Refdenotaalpie"/>
          <w:rFonts w:ascii="Arial" w:hAnsi="Arial" w:cs="Arial"/>
          <w:color w:val="000000" w:themeColor="text1"/>
          <w:sz w:val="22"/>
          <w:lang w:val="es-ES_tradnl"/>
        </w:rPr>
        <w:footnoteReference w:id="6"/>
      </w:r>
      <w:r w:rsidR="0029745A" w:rsidRPr="00E84A23">
        <w:rPr>
          <w:rFonts w:ascii="Arial" w:hAnsi="Arial" w:cs="Arial"/>
          <w:color w:val="000000" w:themeColor="text1"/>
          <w:sz w:val="22"/>
          <w:lang w:val="es-ES_tradnl"/>
        </w:rPr>
        <w:t>.</w:t>
      </w:r>
    </w:p>
    <w:p w14:paraId="7B200037" w14:textId="77777777" w:rsidR="00477034" w:rsidRPr="00E84A23" w:rsidRDefault="0029745A" w:rsidP="00A23C69">
      <w:pPr>
        <w:spacing w:before="120" w:line="276" w:lineRule="auto"/>
        <w:ind w:firstLine="709"/>
        <w:jc w:val="both"/>
        <w:rPr>
          <w:rFonts w:ascii="Arial" w:hAnsi="Arial" w:cs="Arial"/>
          <w:color w:val="000000" w:themeColor="text1"/>
          <w:sz w:val="22"/>
          <w:lang w:val="es-ES_tradnl"/>
        </w:rPr>
      </w:pPr>
      <w:r w:rsidRPr="00E84A23">
        <w:rPr>
          <w:rFonts w:ascii="Arial" w:hAnsi="Arial" w:cs="Arial"/>
          <w:color w:val="000000" w:themeColor="text1"/>
          <w:sz w:val="22"/>
          <w:lang w:val="es-ES_tradnl"/>
        </w:rPr>
        <w:t xml:space="preserve">Dicha norma además de consagrar una prohibición trae implícita una autorización, consistente en la posibilidad de adicionar los contratos estatales, siempre que no se supere el tope establecido. Ahora bien, </w:t>
      </w:r>
      <w:r w:rsidR="007C7EDD" w:rsidRPr="00E84A23">
        <w:rPr>
          <w:rFonts w:ascii="Arial" w:hAnsi="Arial" w:cs="Arial"/>
          <w:color w:val="000000" w:themeColor="text1"/>
          <w:sz w:val="22"/>
          <w:lang w:val="es-ES_tradnl"/>
        </w:rPr>
        <w:t xml:space="preserve">para determinar </w:t>
      </w:r>
      <w:r w:rsidRPr="00E84A23">
        <w:rPr>
          <w:rFonts w:ascii="Arial" w:hAnsi="Arial" w:cs="Arial"/>
          <w:color w:val="000000" w:themeColor="text1"/>
          <w:sz w:val="22"/>
          <w:lang w:val="es-ES_tradnl"/>
        </w:rPr>
        <w:t>c</w:t>
      </w:r>
      <w:r w:rsidR="007C7EDD" w:rsidRPr="00E84A23">
        <w:rPr>
          <w:rFonts w:ascii="Arial" w:hAnsi="Arial" w:cs="Arial"/>
          <w:color w:val="000000" w:themeColor="text1"/>
          <w:sz w:val="22"/>
          <w:lang w:val="es-ES_tradnl"/>
        </w:rPr>
        <w:t>ó</w:t>
      </w:r>
      <w:r w:rsidRPr="00E84A23">
        <w:rPr>
          <w:rFonts w:ascii="Arial" w:hAnsi="Arial" w:cs="Arial"/>
          <w:color w:val="000000" w:themeColor="text1"/>
          <w:sz w:val="22"/>
          <w:lang w:val="es-ES_tradnl"/>
        </w:rPr>
        <w:t xml:space="preserve">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3EA89444" w14:textId="77777777" w:rsidR="00477034" w:rsidRPr="00E84A23" w:rsidRDefault="00477034" w:rsidP="00477034">
      <w:pPr>
        <w:spacing w:before="120" w:after="120" w:line="276" w:lineRule="auto"/>
        <w:ind w:firstLine="709"/>
        <w:jc w:val="both"/>
        <w:rPr>
          <w:rFonts w:ascii="Arial" w:hAnsi="Arial" w:cs="Arial"/>
          <w:color w:val="000000" w:themeColor="text1"/>
          <w:sz w:val="22"/>
        </w:rPr>
      </w:pPr>
      <w:r w:rsidRPr="00E84A23">
        <w:rPr>
          <w:rFonts w:ascii="Arial" w:hAnsi="Arial" w:cs="Arial"/>
          <w:color w:val="000000" w:themeColor="text1"/>
          <w:sz w:val="22"/>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w:t>
      </w:r>
      <w:r w:rsidRPr="00E84A23">
        <w:rPr>
          <w:rFonts w:ascii="Arial" w:hAnsi="Arial" w:cs="Arial"/>
          <w:color w:val="000000" w:themeColor="text1"/>
          <w:sz w:val="22"/>
        </w:rPr>
        <w:lastRenderedPageBreak/>
        <w:t xml:space="preserve">hacerse en diferentes años, porque si el contrato se ejecuta sin existir variación en el valor del salario mínimo la operación sería la misma si se toma el monto en pesos. </w:t>
      </w:r>
    </w:p>
    <w:p w14:paraId="565CCEF3" w14:textId="300A8470" w:rsidR="005E6447" w:rsidRPr="00E84A23" w:rsidRDefault="00477034" w:rsidP="009507C3">
      <w:pPr>
        <w:spacing w:after="120" w:line="276" w:lineRule="auto"/>
        <w:ind w:firstLine="709"/>
        <w:jc w:val="both"/>
        <w:rPr>
          <w:rFonts w:ascii="Arial" w:eastAsia="Calibri" w:hAnsi="Arial" w:cs="Arial"/>
          <w:sz w:val="22"/>
        </w:rPr>
      </w:pPr>
      <w:r w:rsidRPr="00E84A23">
        <w:rPr>
          <w:rFonts w:ascii="Arial" w:eastAsia="Calibri" w:hAnsi="Arial" w:cs="Arial"/>
          <w:sz w:val="22"/>
        </w:rPr>
        <w:t>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En consecuencia,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w:t>
      </w:r>
    </w:p>
    <w:p w14:paraId="625D8336" w14:textId="6FB0F905" w:rsidR="00223DE4" w:rsidRPr="00E84A23" w:rsidRDefault="00223DE4" w:rsidP="00694DB0">
      <w:pPr>
        <w:spacing w:after="240" w:line="276" w:lineRule="auto"/>
        <w:ind w:firstLine="709"/>
        <w:jc w:val="both"/>
        <w:rPr>
          <w:rFonts w:ascii="Arial" w:eastAsia="Calibri" w:hAnsi="Arial" w:cs="Arial"/>
          <w:sz w:val="22"/>
        </w:rPr>
      </w:pPr>
      <w:r w:rsidRPr="00E84A23">
        <w:rPr>
          <w:rFonts w:ascii="Arial" w:eastAsia="Calibri" w:hAnsi="Arial" w:cs="Arial"/>
          <w:sz w:val="22"/>
        </w:rPr>
        <w:t xml:space="preserve">Ahora bien, la regla establecida en el parágrafo del artículo 40 de la Ley 80 de 1993 aplica a todos los contratos estatales regidos por el </w:t>
      </w:r>
      <w:r w:rsidR="00F43D66">
        <w:rPr>
          <w:rFonts w:ascii="Arial" w:eastAsia="Calibri" w:hAnsi="Arial" w:cs="Arial"/>
          <w:sz w:val="22"/>
        </w:rPr>
        <w:t>EGCAP</w:t>
      </w:r>
      <w:r w:rsidRPr="00E84A23">
        <w:rPr>
          <w:rFonts w:ascii="Arial" w:eastAsia="Calibri" w:hAnsi="Arial" w:cs="Arial"/>
          <w:sz w:val="22"/>
        </w:rPr>
        <w:t>, independientemente de la modalidad de selección o la tipología contractual del negocio jurídico que se considere necesario adicionar, sin perjuicio de las excepciones al límite de adición de los contratos estatales que se analizará en el siguiente numeral.</w:t>
      </w:r>
    </w:p>
    <w:p w14:paraId="03B950DE" w14:textId="0BA1AD1A" w:rsidR="00F9471B" w:rsidRPr="00E84A23" w:rsidRDefault="00694DB0" w:rsidP="00404C78">
      <w:pPr>
        <w:spacing w:after="240" w:line="276" w:lineRule="auto"/>
        <w:jc w:val="both"/>
        <w:rPr>
          <w:rFonts w:ascii="Arial" w:eastAsia="Calibri" w:hAnsi="Arial" w:cs="Arial"/>
          <w:b/>
          <w:color w:val="000000" w:themeColor="text1"/>
          <w:sz w:val="22"/>
          <w:lang w:val="es-ES_tradnl"/>
        </w:rPr>
      </w:pPr>
      <w:r w:rsidRPr="00E84A23">
        <w:rPr>
          <w:rFonts w:ascii="Arial" w:eastAsia="Calibri" w:hAnsi="Arial" w:cs="Arial"/>
          <w:b/>
          <w:bCs/>
          <w:color w:val="000000" w:themeColor="text1"/>
          <w:sz w:val="22"/>
          <w:lang w:val="es-ES_tradnl"/>
        </w:rPr>
        <w:t>2.</w:t>
      </w:r>
      <w:r w:rsidR="00183AE9">
        <w:rPr>
          <w:rFonts w:ascii="Arial" w:eastAsia="Calibri" w:hAnsi="Arial" w:cs="Arial"/>
          <w:b/>
          <w:bCs/>
          <w:color w:val="000000" w:themeColor="text1"/>
          <w:sz w:val="22"/>
          <w:lang w:val="es-ES_tradnl"/>
        </w:rPr>
        <w:t>3</w:t>
      </w:r>
      <w:r w:rsidRPr="00E84A23">
        <w:rPr>
          <w:rFonts w:ascii="Arial" w:eastAsia="Calibri" w:hAnsi="Arial" w:cs="Arial"/>
          <w:b/>
          <w:bCs/>
          <w:color w:val="000000" w:themeColor="text1"/>
          <w:sz w:val="22"/>
          <w:lang w:val="es-ES_tradnl"/>
        </w:rPr>
        <w:t xml:space="preserve">. </w:t>
      </w:r>
      <w:r w:rsidR="00F9471B" w:rsidRPr="00E84A23">
        <w:rPr>
          <w:rFonts w:ascii="Arial" w:hAnsi="Arial" w:cs="Arial"/>
          <w:b/>
          <w:sz w:val="22"/>
          <w:lang w:val="es-ES_tradnl"/>
        </w:rPr>
        <w:t xml:space="preserve">Excepciones </w:t>
      </w:r>
      <w:r w:rsidR="005B2040" w:rsidRPr="00E84A23">
        <w:rPr>
          <w:rFonts w:ascii="Arial" w:hAnsi="Arial" w:cs="Arial"/>
          <w:b/>
          <w:sz w:val="22"/>
          <w:lang w:val="es-ES_tradnl"/>
        </w:rPr>
        <w:t xml:space="preserve">al </w:t>
      </w:r>
      <w:r w:rsidR="00F9471B" w:rsidRPr="00E84A23">
        <w:rPr>
          <w:rFonts w:ascii="Arial" w:hAnsi="Arial" w:cs="Arial"/>
          <w:b/>
          <w:sz w:val="22"/>
          <w:lang w:val="es-ES_tradnl"/>
        </w:rPr>
        <w:t xml:space="preserve">límite de adición </w:t>
      </w:r>
      <w:r w:rsidR="00830655" w:rsidRPr="00E84A23">
        <w:rPr>
          <w:rFonts w:ascii="Arial" w:hAnsi="Arial" w:cs="Arial"/>
          <w:b/>
          <w:sz w:val="22"/>
          <w:lang w:val="es-ES_tradnl"/>
        </w:rPr>
        <w:t xml:space="preserve">de </w:t>
      </w:r>
      <w:r w:rsidR="00F9471B" w:rsidRPr="00E84A23">
        <w:rPr>
          <w:rFonts w:ascii="Arial" w:hAnsi="Arial" w:cs="Arial"/>
          <w:b/>
          <w:sz w:val="22"/>
          <w:lang w:val="es-ES_tradnl"/>
        </w:rPr>
        <w:t>los contratos estatales</w:t>
      </w:r>
    </w:p>
    <w:p w14:paraId="76459990" w14:textId="68AEE5C8" w:rsidR="00A54C00" w:rsidRPr="00E84A23" w:rsidRDefault="00F9471B" w:rsidP="00DB7336">
      <w:pPr>
        <w:spacing w:before="120" w:after="120" w:line="276" w:lineRule="auto"/>
        <w:jc w:val="both"/>
        <w:rPr>
          <w:rFonts w:ascii="Arial" w:eastAsia="Calibri" w:hAnsi="Arial" w:cs="Arial"/>
          <w:sz w:val="22"/>
        </w:rPr>
      </w:pPr>
      <w:r w:rsidRPr="00E84A23">
        <w:rPr>
          <w:rFonts w:ascii="Arial" w:eastAsia="Calibri" w:hAnsi="Arial" w:cs="Arial"/>
          <w:sz w:val="22"/>
        </w:rPr>
        <w:t>Actualmente</w:t>
      </w:r>
      <w:r w:rsidR="00830655" w:rsidRPr="00E84A23">
        <w:rPr>
          <w:rFonts w:ascii="Arial" w:eastAsia="Calibri" w:hAnsi="Arial" w:cs="Arial"/>
          <w:sz w:val="22"/>
        </w:rPr>
        <w:t xml:space="preserve"> </w:t>
      </w:r>
      <w:r w:rsidRPr="00E84A23">
        <w:rPr>
          <w:rFonts w:ascii="Arial" w:eastAsia="Calibri" w:hAnsi="Arial" w:cs="Arial"/>
          <w:sz w:val="22"/>
        </w:rPr>
        <w:t xml:space="preserve">existe una posibilidad para adicionar contratos </w:t>
      </w:r>
      <w:r w:rsidR="00E66124" w:rsidRPr="00E84A23">
        <w:rPr>
          <w:rFonts w:ascii="Arial" w:eastAsia="Calibri" w:hAnsi="Arial" w:cs="Arial"/>
          <w:sz w:val="22"/>
        </w:rPr>
        <w:t xml:space="preserve">estatales </w:t>
      </w:r>
      <w:r w:rsidRPr="00E84A23">
        <w:rPr>
          <w:rFonts w:ascii="Arial" w:eastAsia="Calibri" w:hAnsi="Arial" w:cs="Arial"/>
          <w:sz w:val="22"/>
        </w:rPr>
        <w:t>en más del 50%</w:t>
      </w:r>
      <w:r w:rsidR="00F20329" w:rsidRPr="00E84A23">
        <w:rPr>
          <w:rFonts w:ascii="Arial" w:eastAsia="Calibri" w:hAnsi="Arial" w:cs="Arial"/>
          <w:sz w:val="22"/>
        </w:rPr>
        <w:t>, que</w:t>
      </w:r>
      <w:r w:rsidRPr="00E84A23">
        <w:rPr>
          <w:rFonts w:ascii="Arial" w:eastAsia="Calibri" w:hAnsi="Arial" w:cs="Arial"/>
          <w:sz w:val="22"/>
        </w:rPr>
        <w:t xml:space="preserve"> es la contenida en el artículo 85 de la Ley 1474 de 2011 para los contratos de interventoría que, por su naturaleza de seguimiento técnico</w:t>
      </w:r>
      <w:r w:rsidR="009A7953" w:rsidRPr="00E84A23">
        <w:rPr>
          <w:rFonts w:ascii="Arial" w:eastAsia="Calibri" w:hAnsi="Arial" w:cs="Arial"/>
          <w:sz w:val="22"/>
        </w:rPr>
        <w:t xml:space="preserve"> a otro contrato estatal</w:t>
      </w:r>
      <w:r w:rsidRPr="00E84A23">
        <w:rPr>
          <w:rFonts w:ascii="Arial" w:eastAsia="Calibri" w:hAnsi="Arial" w:cs="Arial"/>
          <w:sz w:val="22"/>
        </w:rPr>
        <w:t xml:space="preserve">, </w:t>
      </w:r>
      <w:r w:rsidR="009A7953" w:rsidRPr="00E84A23">
        <w:rPr>
          <w:rFonts w:ascii="Arial" w:eastAsia="Calibri" w:hAnsi="Arial" w:cs="Arial"/>
          <w:sz w:val="22"/>
        </w:rPr>
        <w:t>podrá prorrogarse por el</w:t>
      </w:r>
      <w:r w:rsidRPr="00E84A23">
        <w:rPr>
          <w:rFonts w:ascii="Arial" w:eastAsia="Calibri" w:hAnsi="Arial" w:cs="Arial"/>
          <w:sz w:val="22"/>
        </w:rPr>
        <w:t xml:space="preserve"> plazo en que haya sido prorrogado el contrato objeto de vigilancia</w:t>
      </w:r>
      <w:r w:rsidR="00F20329" w:rsidRPr="00E84A23">
        <w:rPr>
          <w:rFonts w:ascii="Arial" w:eastAsia="Calibri" w:hAnsi="Arial" w:cs="Arial"/>
          <w:sz w:val="22"/>
        </w:rPr>
        <w:t xml:space="preserve">, sin que resulte aplicable el tope establecido en el parágrafo del artículo 40 de la </w:t>
      </w:r>
      <w:r w:rsidR="007E67A6" w:rsidRPr="00E84A23">
        <w:rPr>
          <w:rFonts w:ascii="Arial" w:eastAsia="Calibri" w:hAnsi="Arial" w:cs="Arial"/>
          <w:sz w:val="22"/>
        </w:rPr>
        <w:t>Le</w:t>
      </w:r>
      <w:r w:rsidR="00F20329" w:rsidRPr="00E84A23">
        <w:rPr>
          <w:rFonts w:ascii="Arial" w:eastAsia="Calibri" w:hAnsi="Arial" w:cs="Arial"/>
          <w:sz w:val="22"/>
        </w:rPr>
        <w:t>y 80 de 1993</w:t>
      </w:r>
      <w:r w:rsidR="009A7953" w:rsidRPr="00E84A23">
        <w:rPr>
          <w:rFonts w:ascii="Arial" w:eastAsia="Calibri" w:hAnsi="Arial" w:cs="Arial"/>
          <w:sz w:val="22"/>
        </w:rPr>
        <w:t>, en relación con el monto de las eventuales adiciones</w:t>
      </w:r>
      <w:r w:rsidR="00E66124" w:rsidRPr="00E84A23">
        <w:rPr>
          <w:rStyle w:val="Refdenotaalpie"/>
          <w:rFonts w:ascii="Arial" w:eastAsia="Calibri" w:hAnsi="Arial" w:cs="Arial"/>
          <w:sz w:val="22"/>
        </w:rPr>
        <w:footnoteReference w:id="7"/>
      </w:r>
      <w:r w:rsidRPr="00E84A23">
        <w:rPr>
          <w:rFonts w:ascii="Arial" w:eastAsia="Calibri" w:hAnsi="Arial" w:cs="Arial"/>
          <w:sz w:val="22"/>
        </w:rPr>
        <w:t xml:space="preserve">. </w:t>
      </w:r>
      <w:r w:rsidR="009A7953" w:rsidRPr="00E84A23">
        <w:rPr>
          <w:rFonts w:ascii="Arial" w:eastAsia="Calibri" w:hAnsi="Arial" w:cs="Arial"/>
          <w:sz w:val="22"/>
        </w:rPr>
        <w:t>La disposición de la Ley 1474 de 2011</w:t>
      </w:r>
      <w:r w:rsidRPr="00E84A23">
        <w:rPr>
          <w:rFonts w:ascii="Arial" w:eastAsia="Calibri" w:hAnsi="Arial" w:cs="Arial"/>
          <w:sz w:val="22"/>
        </w:rPr>
        <w:t xml:space="preserve"> </w:t>
      </w:r>
      <w:r w:rsidR="007E67A6" w:rsidRPr="00E84A23">
        <w:rPr>
          <w:rFonts w:ascii="Arial" w:eastAsia="Calibri" w:hAnsi="Arial" w:cs="Arial"/>
          <w:sz w:val="22"/>
        </w:rPr>
        <w:t>pretende</w:t>
      </w:r>
      <w:r w:rsidRPr="00E84A23">
        <w:rPr>
          <w:rFonts w:ascii="Arial" w:eastAsia="Calibri" w:hAnsi="Arial" w:cs="Arial"/>
          <w:sz w:val="22"/>
        </w:rPr>
        <w:t xml:space="preserve"> fortalecer la figura de la interventoría, como una herramienta integral, para proteger los intereses públicos y </w:t>
      </w:r>
      <w:r w:rsidR="007E67A6" w:rsidRPr="00E84A23">
        <w:rPr>
          <w:rFonts w:ascii="Arial" w:eastAsia="Calibri" w:hAnsi="Arial" w:cs="Arial"/>
          <w:sz w:val="22"/>
        </w:rPr>
        <w:t>evitar que se cause</w:t>
      </w:r>
      <w:r w:rsidRPr="00E84A23">
        <w:rPr>
          <w:rFonts w:ascii="Arial" w:eastAsia="Calibri" w:hAnsi="Arial" w:cs="Arial"/>
          <w:sz w:val="22"/>
        </w:rPr>
        <w:t xml:space="preserve"> un</w:t>
      </w:r>
      <w:r w:rsidR="00F20329" w:rsidRPr="00E84A23">
        <w:rPr>
          <w:rFonts w:ascii="Arial" w:eastAsia="Calibri" w:hAnsi="Arial" w:cs="Arial"/>
          <w:sz w:val="22"/>
        </w:rPr>
        <w:t xml:space="preserve"> eventual</w:t>
      </w:r>
      <w:r w:rsidRPr="00E84A23">
        <w:rPr>
          <w:rFonts w:ascii="Arial" w:eastAsia="Calibri" w:hAnsi="Arial" w:cs="Arial"/>
          <w:sz w:val="22"/>
        </w:rPr>
        <w:t xml:space="preserve"> daño antijurídico al abandonar la vigilancia del contrato principal, por limitaciones </w:t>
      </w:r>
      <w:r w:rsidR="00E66124" w:rsidRPr="00E84A23">
        <w:rPr>
          <w:rFonts w:ascii="Arial" w:eastAsia="Calibri" w:hAnsi="Arial" w:cs="Arial"/>
          <w:sz w:val="22"/>
        </w:rPr>
        <w:t>en cuanto al monto de sus posibles adiciones</w:t>
      </w:r>
      <w:r w:rsidR="00C35F59" w:rsidRPr="00E84A23">
        <w:rPr>
          <w:rFonts w:ascii="Arial" w:eastAsia="Calibri" w:hAnsi="Arial" w:cs="Arial"/>
          <w:sz w:val="22"/>
        </w:rPr>
        <w:t>.</w:t>
      </w:r>
    </w:p>
    <w:p w14:paraId="5838F9EE" w14:textId="11721C3A" w:rsidR="009C521A" w:rsidRPr="00E84A23" w:rsidRDefault="00A54C00" w:rsidP="006D5A6C">
      <w:pPr>
        <w:spacing w:line="276" w:lineRule="auto"/>
        <w:ind w:firstLine="709"/>
        <w:jc w:val="both"/>
        <w:rPr>
          <w:rFonts w:ascii="Arial" w:hAnsi="Arial" w:cs="Arial"/>
          <w:color w:val="000000" w:themeColor="text1"/>
          <w:sz w:val="22"/>
          <w:lang w:val="es-ES_tradnl"/>
        </w:rPr>
      </w:pPr>
      <w:r w:rsidRPr="00E84A23">
        <w:rPr>
          <w:rFonts w:ascii="Arial" w:eastAsia="Calibri" w:hAnsi="Arial" w:cs="Arial"/>
          <w:sz w:val="22"/>
        </w:rPr>
        <w:t>Por otra parte, exist</w:t>
      </w:r>
      <w:r w:rsidR="000440FA">
        <w:rPr>
          <w:rFonts w:ascii="Arial" w:eastAsia="Calibri" w:hAnsi="Arial" w:cs="Arial"/>
          <w:sz w:val="22"/>
        </w:rPr>
        <w:t>ió</w:t>
      </w:r>
      <w:r w:rsidRPr="00E84A23">
        <w:rPr>
          <w:rFonts w:ascii="Arial" w:eastAsia="Calibri" w:hAnsi="Arial" w:cs="Arial"/>
          <w:sz w:val="22"/>
        </w:rPr>
        <w:t xml:space="preserve"> una excepción temporal </w:t>
      </w:r>
      <w:r w:rsidR="00EF410B" w:rsidRPr="00E84A23">
        <w:rPr>
          <w:rFonts w:ascii="Arial" w:eastAsia="Calibri" w:hAnsi="Arial" w:cs="Arial"/>
          <w:sz w:val="22"/>
        </w:rPr>
        <w:t xml:space="preserve">establecida </w:t>
      </w:r>
      <w:r w:rsidRPr="00E84A23">
        <w:rPr>
          <w:rFonts w:ascii="Arial" w:eastAsia="Calibri" w:hAnsi="Arial" w:cs="Arial"/>
          <w:sz w:val="22"/>
        </w:rPr>
        <w:t>por el Gobierno Nacional para hacer frente a las condiciones especiales generadas en virtud de la declaratoria de emergencia sanitaria generada por la pandemia Covid-19, con la expedición de los Decretos</w:t>
      </w:r>
      <w:r w:rsidR="00EF410B" w:rsidRPr="00E84A23">
        <w:rPr>
          <w:rFonts w:ascii="Arial" w:eastAsia="Calibri" w:hAnsi="Arial" w:cs="Arial"/>
          <w:sz w:val="22"/>
        </w:rPr>
        <w:t>-Ley</w:t>
      </w:r>
      <w:r w:rsidRPr="00E84A23">
        <w:rPr>
          <w:rFonts w:ascii="Arial" w:eastAsia="Calibri" w:hAnsi="Arial" w:cs="Arial"/>
          <w:sz w:val="22"/>
        </w:rPr>
        <w:t xml:space="preserve"> 440 y 537 de 2020</w:t>
      </w:r>
      <w:r w:rsidR="00EF410B" w:rsidRPr="00E84A23">
        <w:rPr>
          <w:rFonts w:ascii="Arial" w:eastAsia="Calibri" w:hAnsi="Arial" w:cs="Arial"/>
          <w:sz w:val="22"/>
        </w:rPr>
        <w:t>, particularmente, el artículo 8 de este último,</w:t>
      </w:r>
      <w:r w:rsidRPr="00E84A23">
        <w:rPr>
          <w:rFonts w:ascii="Arial" w:eastAsia="Calibri" w:hAnsi="Arial" w:cs="Arial"/>
          <w:sz w:val="22"/>
        </w:rPr>
        <w:t xml:space="preserve"> </w:t>
      </w:r>
      <w:r w:rsidR="000440FA">
        <w:rPr>
          <w:rFonts w:ascii="Arial" w:eastAsia="Calibri" w:hAnsi="Arial" w:cs="Arial"/>
          <w:sz w:val="22"/>
        </w:rPr>
        <w:t xml:space="preserve">que dispuso </w:t>
      </w:r>
      <w:r w:rsidRPr="00E84A23">
        <w:rPr>
          <w:rFonts w:ascii="Arial" w:eastAsia="Calibri" w:hAnsi="Arial" w:cs="Arial"/>
          <w:sz w:val="22"/>
        </w:rPr>
        <w:t xml:space="preserve">que durante la vigencia de la Emergencia Sanitaria declarada por el Ministerio de Salud y Protección Social, con ocasión de la pandemia derivada del Coronavirus </w:t>
      </w:r>
      <w:r w:rsidR="006008D4" w:rsidRPr="00E84A23">
        <w:rPr>
          <w:rFonts w:ascii="Arial" w:eastAsia="Calibri" w:hAnsi="Arial" w:cs="Arial"/>
          <w:sz w:val="22"/>
        </w:rPr>
        <w:t>Covid</w:t>
      </w:r>
      <w:r w:rsidRPr="00E84A23">
        <w:rPr>
          <w:rFonts w:ascii="Arial" w:eastAsia="Calibri" w:hAnsi="Arial" w:cs="Arial"/>
          <w:sz w:val="22"/>
        </w:rPr>
        <w:t xml:space="preserve">-19, todos los contratos celebrados por las entidades estatales que se relacionen con bienes, obras o </w:t>
      </w:r>
      <w:r w:rsidRPr="00E84A23">
        <w:rPr>
          <w:rFonts w:ascii="Arial" w:eastAsia="Calibri" w:hAnsi="Arial" w:cs="Arial"/>
          <w:sz w:val="22"/>
        </w:rPr>
        <w:lastRenderedPageBreak/>
        <w:t>servicios que permitan una mejor gestión y mitigación de la situación de emergencia con ocasión de la pandemia derivada del Coronavirus COVID-19, podr</w:t>
      </w:r>
      <w:r w:rsidR="000440FA">
        <w:rPr>
          <w:rFonts w:ascii="Arial" w:eastAsia="Calibri" w:hAnsi="Arial" w:cs="Arial"/>
          <w:sz w:val="22"/>
        </w:rPr>
        <w:t>ían</w:t>
      </w:r>
      <w:r w:rsidRPr="00E84A23">
        <w:rPr>
          <w:rFonts w:ascii="Arial" w:eastAsia="Calibri" w:hAnsi="Arial" w:cs="Arial"/>
          <w:sz w:val="22"/>
        </w:rPr>
        <w:t xml:space="preserve"> adicionarse sin limitación al valor. </w:t>
      </w:r>
      <w:r w:rsidR="000440FA">
        <w:rPr>
          <w:rFonts w:ascii="Arial" w:eastAsia="Calibri" w:hAnsi="Arial" w:cs="Arial"/>
          <w:sz w:val="22"/>
        </w:rPr>
        <w:t xml:space="preserve">No obstante dicha excepción perdió vigencia a partir del 30 de junio de 2022, cuando finalizó la Emergencia Sanitaria decretada por el Gobierno Nacional. </w:t>
      </w:r>
      <w:r w:rsidR="00C571F2" w:rsidRPr="00E84A23">
        <w:rPr>
          <w:rFonts w:ascii="Arial" w:hAnsi="Arial" w:cs="Arial"/>
          <w:color w:val="000000" w:themeColor="text1"/>
          <w:sz w:val="22"/>
          <w:lang w:val="es-ES_tradnl"/>
        </w:rPr>
        <w:t xml:space="preserve">En tal sentido, </w:t>
      </w:r>
      <w:r w:rsidR="00FC67FE">
        <w:rPr>
          <w:rFonts w:ascii="Arial" w:hAnsi="Arial" w:cs="Arial"/>
          <w:color w:val="000000" w:themeColor="text1"/>
          <w:sz w:val="22"/>
          <w:lang w:val="es-ES_tradnl"/>
        </w:rPr>
        <w:t xml:space="preserve">se retomó la regla general por haber finalizado </w:t>
      </w:r>
      <w:r w:rsidR="00C571F2" w:rsidRPr="00E84A23">
        <w:rPr>
          <w:rFonts w:ascii="Arial" w:hAnsi="Arial" w:cs="Arial"/>
          <w:color w:val="000000" w:themeColor="text1"/>
          <w:sz w:val="22"/>
          <w:lang w:val="es-ES_tradnl"/>
        </w:rPr>
        <w:t>la emergencia sanitaria</w:t>
      </w:r>
      <w:r w:rsidR="00FC67FE">
        <w:rPr>
          <w:rFonts w:ascii="Arial" w:hAnsi="Arial" w:cs="Arial"/>
          <w:color w:val="000000" w:themeColor="text1"/>
          <w:sz w:val="22"/>
          <w:lang w:val="es-ES_tradnl"/>
        </w:rPr>
        <w:t xml:space="preserve"> y</w:t>
      </w:r>
      <w:r w:rsidR="006008D4">
        <w:rPr>
          <w:rFonts w:ascii="Arial" w:hAnsi="Arial" w:cs="Arial"/>
          <w:color w:val="000000" w:themeColor="text1"/>
          <w:sz w:val="22"/>
          <w:lang w:val="es-ES_tradnl"/>
        </w:rPr>
        <w:t>,</w:t>
      </w:r>
      <w:r w:rsidR="00FC67FE">
        <w:rPr>
          <w:rFonts w:ascii="Arial" w:hAnsi="Arial" w:cs="Arial"/>
          <w:color w:val="000000" w:themeColor="text1"/>
          <w:sz w:val="22"/>
          <w:lang w:val="es-ES_tradnl"/>
        </w:rPr>
        <w:t xml:space="preserve"> en consecuencia,</w:t>
      </w:r>
      <w:r w:rsidR="009C521A" w:rsidRPr="00E84A23">
        <w:rPr>
          <w:rFonts w:ascii="Arial" w:hAnsi="Arial" w:cs="Arial"/>
          <w:color w:val="000000" w:themeColor="text1"/>
          <w:sz w:val="22"/>
          <w:lang w:val="es-ES_tradnl"/>
        </w:rPr>
        <w:t xml:space="preserve"> los contratos </w:t>
      </w:r>
      <w:r w:rsidR="005A5C7B" w:rsidRPr="00E84A23">
        <w:rPr>
          <w:rFonts w:ascii="Arial" w:hAnsi="Arial" w:cs="Arial"/>
          <w:color w:val="000000" w:themeColor="text1"/>
          <w:sz w:val="22"/>
          <w:lang w:val="es-ES_tradnl"/>
        </w:rPr>
        <w:t xml:space="preserve">solo </w:t>
      </w:r>
      <w:r w:rsidR="009C521A" w:rsidRPr="00E84A23">
        <w:rPr>
          <w:rFonts w:ascii="Arial" w:hAnsi="Arial" w:cs="Arial"/>
          <w:color w:val="000000" w:themeColor="text1"/>
          <w:sz w:val="22"/>
          <w:lang w:val="es-ES_tradnl"/>
        </w:rPr>
        <w:t>podrán adicionarse conforme el inciso final del parágrafo del artículo 40 de la Ley 80 de 1993.</w:t>
      </w:r>
    </w:p>
    <w:p w14:paraId="7CC36CE6" w14:textId="77777777" w:rsidR="00A23C69" w:rsidRPr="00E84A23" w:rsidRDefault="00A23C69" w:rsidP="006B5D71">
      <w:pPr>
        <w:spacing w:line="276" w:lineRule="auto"/>
        <w:ind w:firstLine="709"/>
        <w:jc w:val="both"/>
        <w:rPr>
          <w:rFonts w:ascii="Arial" w:hAnsi="Arial" w:cs="Arial"/>
          <w:color w:val="000000" w:themeColor="text1"/>
          <w:sz w:val="22"/>
          <w:lang w:val="es-ES_tradnl"/>
        </w:rPr>
      </w:pPr>
    </w:p>
    <w:p w14:paraId="37CA9805" w14:textId="4C51B578" w:rsidR="00DD5B04" w:rsidRPr="00E84A23" w:rsidRDefault="004177A6" w:rsidP="00510DE9">
      <w:pPr>
        <w:tabs>
          <w:tab w:val="left" w:pos="0"/>
        </w:tabs>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3</w:t>
      </w:r>
      <w:r w:rsidR="00B011A9" w:rsidRPr="00E84A23">
        <w:rPr>
          <w:rFonts w:ascii="Arial" w:eastAsia="Calibri" w:hAnsi="Arial" w:cs="Arial"/>
          <w:b/>
          <w:color w:val="000000" w:themeColor="text1"/>
          <w:sz w:val="22"/>
          <w:lang w:val="es-ES_tradnl"/>
        </w:rPr>
        <w:t xml:space="preserve">. </w:t>
      </w:r>
      <w:r w:rsidR="00DD5B04" w:rsidRPr="00E84A23">
        <w:rPr>
          <w:rFonts w:ascii="Arial" w:eastAsia="Calibri" w:hAnsi="Arial" w:cs="Arial"/>
          <w:b/>
          <w:color w:val="000000" w:themeColor="text1"/>
          <w:sz w:val="22"/>
          <w:lang w:val="es-ES_tradnl"/>
        </w:rPr>
        <w:t>Respuesta</w:t>
      </w:r>
    </w:p>
    <w:p w14:paraId="0B74D5B8" w14:textId="571E2881" w:rsidR="00C4581D" w:rsidRPr="00E84A23" w:rsidRDefault="00C4581D" w:rsidP="00510DE9">
      <w:pPr>
        <w:tabs>
          <w:tab w:val="left" w:pos="0"/>
        </w:tabs>
        <w:jc w:val="both"/>
        <w:rPr>
          <w:rFonts w:ascii="Arial" w:eastAsia="Calibri" w:hAnsi="Arial" w:cs="Arial"/>
          <w:color w:val="000000" w:themeColor="text1"/>
          <w:sz w:val="22"/>
          <w:lang w:val="es-ES_tradnl"/>
        </w:rPr>
      </w:pPr>
    </w:p>
    <w:p w14:paraId="3F7F412E" w14:textId="77777777" w:rsidR="002238B1" w:rsidRPr="00E84A23" w:rsidRDefault="002238B1" w:rsidP="002238B1">
      <w:pPr>
        <w:ind w:left="709" w:right="709"/>
        <w:jc w:val="both"/>
        <w:rPr>
          <w:rFonts w:ascii="Arial" w:hAnsi="Arial" w:cs="Arial"/>
          <w:color w:val="000000" w:themeColor="text1"/>
          <w:sz w:val="21"/>
          <w:szCs w:val="21"/>
          <w:lang w:val="es-ES_tradnl"/>
        </w:rPr>
      </w:pPr>
      <w:r w:rsidRPr="00E84A23">
        <w:rPr>
          <w:rFonts w:ascii="Arial" w:hAnsi="Arial" w:cs="Arial"/>
          <w:color w:val="000000" w:themeColor="text1"/>
          <w:sz w:val="21"/>
          <w:szCs w:val="21"/>
          <w:lang w:val="es-ES_tradnl"/>
        </w:rPr>
        <w:t>«</w:t>
      </w:r>
      <w:r w:rsidRPr="00E8290E">
        <w:rPr>
          <w:rFonts w:ascii="Arial" w:hAnsi="Arial" w:cs="Arial"/>
          <w:color w:val="000000" w:themeColor="text1"/>
          <w:sz w:val="21"/>
          <w:szCs w:val="21"/>
          <w:lang w:val="es-ES_tradnl"/>
        </w:rPr>
        <w:t xml:space="preserve">[...] de conformidad con el parágrafo del artículo 40 de la Ley 80 de 1993, interpretamos que se puede realizar la adición de un contrato hasta el 50% en este caso, el contrato es por $25.000.000 y se va a adicionar $10.000.000 estando por debajo del 50% sin superar el porcentaje [...] indicar si al ser este proceso de mínima cuantía y teniendo en cuenta el valor de la mínima cuantía de esta entidad territorial es de 28.000.000 al realizar esta adición se estaría superando esta cuantía, solicitamos nos conceptúen si se puede hacer dicha adición aun cuando la misma supere el monto de mínima cuantía máximo.» </w:t>
      </w:r>
    </w:p>
    <w:p w14:paraId="6E475211" w14:textId="0E7E7D23" w:rsidR="00697010" w:rsidRPr="00E84A23" w:rsidRDefault="00697010" w:rsidP="007F172C">
      <w:pPr>
        <w:ind w:right="709"/>
        <w:jc w:val="both"/>
        <w:rPr>
          <w:rFonts w:ascii="Arial" w:hAnsi="Arial" w:cs="Arial"/>
          <w:color w:val="000000" w:themeColor="text1"/>
          <w:sz w:val="21"/>
          <w:szCs w:val="21"/>
          <w:lang w:val="es-ES_tradnl"/>
        </w:rPr>
      </w:pPr>
    </w:p>
    <w:p w14:paraId="519B370C" w14:textId="61B18CB9" w:rsidR="002F0C4F" w:rsidRDefault="00FC67FE" w:rsidP="006D5A6C">
      <w:pPr>
        <w:spacing w:after="120" w:line="276" w:lineRule="auto"/>
        <w:jc w:val="both"/>
        <w:rPr>
          <w:rFonts w:ascii="Arial" w:hAnsi="Arial" w:cs="Arial"/>
          <w:color w:val="000000" w:themeColor="text1"/>
          <w:sz w:val="22"/>
          <w:lang w:val="es-ES_tradnl"/>
        </w:rPr>
      </w:pPr>
      <w:r>
        <w:rPr>
          <w:rFonts w:ascii="Arial" w:hAnsi="Arial" w:cs="Arial"/>
          <w:sz w:val="22"/>
        </w:rPr>
        <w:t xml:space="preserve">Conforme </w:t>
      </w:r>
      <w:r w:rsidR="006F35F8" w:rsidRPr="00E84A23">
        <w:rPr>
          <w:rFonts w:ascii="Arial" w:hAnsi="Arial" w:cs="Arial"/>
          <w:color w:val="000000" w:themeColor="text1"/>
          <w:sz w:val="22"/>
          <w:lang w:val="es-ES_tradnl"/>
        </w:rPr>
        <w:t>se explicó en las consideraciones, e</w:t>
      </w:r>
      <w:r w:rsidR="008B6DAE" w:rsidRPr="00E84A23">
        <w:rPr>
          <w:rFonts w:ascii="Arial" w:hAnsi="Arial" w:cs="Arial"/>
          <w:color w:val="000000" w:themeColor="text1"/>
          <w:sz w:val="22"/>
          <w:lang w:val="es-ES_tradnl"/>
        </w:rPr>
        <w:t xml:space="preserve">l parágrafo del artículo 40 de la Ley 80 de 1993, establece </w:t>
      </w:r>
      <w:r w:rsidR="00223DE4" w:rsidRPr="00E84A23">
        <w:rPr>
          <w:rFonts w:ascii="Arial" w:hAnsi="Arial" w:cs="Arial"/>
          <w:color w:val="000000" w:themeColor="text1"/>
          <w:sz w:val="22"/>
          <w:lang w:val="es-ES_tradnl"/>
        </w:rPr>
        <w:t xml:space="preserve">que </w:t>
      </w:r>
      <w:r w:rsidR="008B6DAE" w:rsidRPr="00E84A23">
        <w:rPr>
          <w:rFonts w:ascii="Arial" w:hAnsi="Arial" w:cs="Arial"/>
          <w:color w:val="000000" w:themeColor="text1"/>
          <w:sz w:val="22"/>
          <w:lang w:val="es-ES_tradnl"/>
        </w:rPr>
        <w:t xml:space="preserve">«Los contratos no podrán adicionarse en más del cincuenta por ciento (50%) de su valor inicial, expresado éste en salarios mínimos legales mensuales». </w:t>
      </w:r>
      <w:r w:rsidR="002F0C4F">
        <w:rPr>
          <w:rFonts w:ascii="Arial" w:hAnsi="Arial" w:cs="Arial"/>
          <w:color w:val="000000" w:themeColor="text1"/>
          <w:sz w:val="22"/>
          <w:lang w:val="es-ES_tradnl"/>
        </w:rPr>
        <w:t>A efectos de dar respuesta a la consulta planteada, es importante mencionar que, l</w:t>
      </w:r>
      <w:r>
        <w:rPr>
          <w:rFonts w:ascii="Arial" w:hAnsi="Arial" w:cs="Arial"/>
          <w:color w:val="000000" w:themeColor="text1"/>
          <w:sz w:val="22"/>
          <w:lang w:val="es-ES_tradnl"/>
        </w:rPr>
        <w:t>a</w:t>
      </w:r>
      <w:r w:rsidR="006F35F8" w:rsidRPr="00E84A23">
        <w:rPr>
          <w:rFonts w:ascii="Arial" w:eastAsia="Calibri" w:hAnsi="Arial" w:cs="Arial"/>
          <w:sz w:val="22"/>
        </w:rPr>
        <w:t xml:space="preserve"> regla establecida en el parágrafo del artículo 40 de la Ley 80 de 1993 </w:t>
      </w:r>
      <w:r>
        <w:rPr>
          <w:rFonts w:ascii="Arial" w:eastAsia="Calibri" w:hAnsi="Arial" w:cs="Arial"/>
          <w:sz w:val="22"/>
        </w:rPr>
        <w:t xml:space="preserve">se </w:t>
      </w:r>
      <w:r w:rsidR="006F35F8" w:rsidRPr="00E84A23">
        <w:rPr>
          <w:rFonts w:ascii="Arial" w:eastAsia="Calibri" w:hAnsi="Arial" w:cs="Arial"/>
          <w:sz w:val="22"/>
        </w:rPr>
        <w:t>aplica a todos los contratos estatales regidos por el Estatuto General de Contratación de la Administración Pública, independientemente de la modalidad de selección o la tipología contractual del negocio jurídico que se considere necesario adicionar</w:t>
      </w:r>
      <w:r w:rsidR="00650DBD" w:rsidRPr="00E84A23">
        <w:rPr>
          <w:rFonts w:ascii="Arial" w:hAnsi="Arial" w:cs="Arial"/>
          <w:color w:val="000000" w:themeColor="text1"/>
          <w:sz w:val="22"/>
          <w:lang w:val="es-ES_tradnl"/>
        </w:rPr>
        <w:t xml:space="preserve">. Así las cosas, donde el legislador no distingue no le es dado hacerlo al intérprete. </w:t>
      </w:r>
    </w:p>
    <w:p w14:paraId="7CC42CD1" w14:textId="3E634E5F" w:rsidR="002D457E" w:rsidRDefault="002F0C4F" w:rsidP="002F0C4F">
      <w:pPr>
        <w:spacing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Ahora bien, actualmente, s</w:t>
      </w:r>
      <w:r w:rsidR="00FC67FE">
        <w:rPr>
          <w:rFonts w:ascii="Arial" w:hAnsi="Arial" w:cs="Arial"/>
          <w:color w:val="000000" w:themeColor="text1"/>
          <w:sz w:val="22"/>
          <w:lang w:val="es-ES_tradnl"/>
        </w:rPr>
        <w:t xml:space="preserve">e exceptúa del límite anterior </w:t>
      </w:r>
      <w:r>
        <w:rPr>
          <w:rFonts w:ascii="Arial" w:hAnsi="Arial" w:cs="Arial"/>
          <w:color w:val="000000" w:themeColor="text1"/>
          <w:sz w:val="22"/>
          <w:lang w:val="es-ES_tradnl"/>
        </w:rPr>
        <w:t xml:space="preserve">y, en consecuencia, se podrá adicionar contratos en más del 50%, conforme lo dispuesto en </w:t>
      </w:r>
      <w:r w:rsidR="00FC67FE">
        <w:rPr>
          <w:rFonts w:ascii="Arial" w:hAnsi="Arial" w:cs="Arial"/>
          <w:color w:val="000000" w:themeColor="text1"/>
          <w:sz w:val="22"/>
          <w:lang w:val="es-ES_tradnl"/>
        </w:rPr>
        <w:t xml:space="preserve">la regla especial fijada en el artículo 85 de la Ley 1474 de 2011 para adicionar contratos de interventoría. </w:t>
      </w:r>
    </w:p>
    <w:p w14:paraId="5C8B7FCC" w14:textId="03100106" w:rsidR="002F0C4F" w:rsidRPr="00E84A23" w:rsidRDefault="002F0C4F" w:rsidP="006D5A6C">
      <w:pPr>
        <w:spacing w:before="120" w:line="276" w:lineRule="auto"/>
        <w:ind w:firstLine="709"/>
        <w:jc w:val="both"/>
        <w:rPr>
          <w:rFonts w:ascii="Arial" w:eastAsia="Arial" w:hAnsi="Arial" w:cs="Arial"/>
          <w:color w:val="161616" w:themeColor="background1" w:themeShade="1A"/>
          <w:sz w:val="22"/>
          <w:szCs w:val="22"/>
          <w:lang w:val="es-ES_tradnl"/>
        </w:rPr>
      </w:pPr>
      <w:r>
        <w:rPr>
          <w:rFonts w:ascii="Arial" w:eastAsia="Arial" w:hAnsi="Arial" w:cs="Arial"/>
          <w:color w:val="161616" w:themeColor="background1" w:themeShade="1A"/>
          <w:sz w:val="22"/>
          <w:szCs w:val="22"/>
          <w:lang w:val="es-ES_tradnl"/>
        </w:rPr>
        <w:t>Así las cosas</w:t>
      </w:r>
      <w:r w:rsidRPr="00E84A23">
        <w:rPr>
          <w:rFonts w:ascii="Arial" w:hAnsi="Arial" w:cs="Arial"/>
          <w:color w:val="161616" w:themeColor="background1" w:themeShade="1A"/>
          <w:sz w:val="22"/>
          <w:szCs w:val="22"/>
          <w:shd w:val="clear" w:color="auto" w:fill="FFFFFF"/>
          <w:lang w:val="es-ES_tradnl"/>
        </w:rPr>
        <w:t xml:space="preserve">, se concluye que en la actualidad los contratos estatales sometidos al Estatuto General de Contratación de la Administración Pública no </w:t>
      </w:r>
      <w:r w:rsidRPr="00E84A23">
        <w:rPr>
          <w:rFonts w:ascii="Arial" w:hAnsi="Arial" w:cs="Arial"/>
          <w:color w:val="000000" w:themeColor="text1"/>
          <w:sz w:val="22"/>
          <w:lang w:val="es-ES_tradnl"/>
        </w:rPr>
        <w:t>podrán adicionarse en más del cincuenta por ciento (50%) de su valor inicial, expresado éste en salarios mínimos legales mensuales</w:t>
      </w:r>
      <w:r w:rsidRPr="00E84A23">
        <w:rPr>
          <w:rFonts w:ascii="Arial" w:hAnsi="Arial" w:cs="Arial"/>
          <w:color w:val="161616" w:themeColor="background1" w:themeShade="1A"/>
          <w:sz w:val="22"/>
          <w:szCs w:val="22"/>
          <w:shd w:val="clear" w:color="auto" w:fill="FFFFFF"/>
          <w:lang w:val="es-ES_tradnl"/>
        </w:rPr>
        <w:t xml:space="preserve">, salvo que se configure la </w:t>
      </w:r>
      <w:r>
        <w:rPr>
          <w:rFonts w:ascii="Arial" w:hAnsi="Arial" w:cs="Arial"/>
          <w:color w:val="161616" w:themeColor="background1" w:themeShade="1A"/>
          <w:sz w:val="22"/>
          <w:szCs w:val="22"/>
          <w:shd w:val="clear" w:color="auto" w:fill="FFFFFF"/>
          <w:lang w:val="es-ES_tradnl"/>
        </w:rPr>
        <w:t>excepción</w:t>
      </w:r>
      <w:r w:rsidRPr="00E84A23">
        <w:rPr>
          <w:rFonts w:ascii="Arial" w:hAnsi="Arial" w:cs="Arial"/>
          <w:color w:val="161616" w:themeColor="background1" w:themeShade="1A"/>
          <w:sz w:val="22"/>
          <w:szCs w:val="22"/>
          <w:shd w:val="clear" w:color="auto" w:fill="FFFFFF"/>
          <w:lang w:val="es-ES_tradnl"/>
        </w:rPr>
        <w:t xml:space="preserve"> prevista en el </w:t>
      </w:r>
      <w:r w:rsidRPr="00E84A23">
        <w:rPr>
          <w:rFonts w:ascii="Arial" w:eastAsia="Calibri" w:hAnsi="Arial" w:cs="Arial"/>
          <w:sz w:val="22"/>
        </w:rPr>
        <w:t>artículo 85 de la Ley 1474 de 2011</w:t>
      </w:r>
      <w:r w:rsidRPr="00E84A23">
        <w:rPr>
          <w:rFonts w:ascii="Arial" w:hAnsi="Arial" w:cs="Arial"/>
          <w:color w:val="161616" w:themeColor="background1" w:themeShade="1A"/>
          <w:sz w:val="22"/>
          <w:szCs w:val="22"/>
          <w:shd w:val="clear" w:color="auto" w:fill="FFFFFF"/>
          <w:lang w:val="es-ES_tradnl"/>
        </w:rPr>
        <w:t xml:space="preserve">. </w:t>
      </w:r>
    </w:p>
    <w:p w14:paraId="4CE11D56" w14:textId="77777777" w:rsidR="00FC67FE" w:rsidRPr="00FC67FE" w:rsidRDefault="00FC67FE" w:rsidP="00FC67FE">
      <w:pPr>
        <w:spacing w:line="276" w:lineRule="auto"/>
        <w:jc w:val="both"/>
        <w:rPr>
          <w:rFonts w:ascii="Arial" w:hAnsi="Arial" w:cs="Arial"/>
          <w:color w:val="000000" w:themeColor="text1"/>
          <w:sz w:val="22"/>
          <w:lang w:val="es-ES_tradnl"/>
        </w:rPr>
      </w:pPr>
    </w:p>
    <w:p w14:paraId="7B2C921D" w14:textId="0F929B38" w:rsidR="00DD5B04" w:rsidRPr="00E84A23" w:rsidRDefault="00DD5B04" w:rsidP="00DF76A2">
      <w:pPr>
        <w:spacing w:line="276" w:lineRule="auto"/>
        <w:jc w:val="both"/>
        <w:rPr>
          <w:rFonts w:ascii="Arial" w:hAnsi="Arial" w:cs="Arial"/>
          <w:color w:val="000000" w:themeColor="text1"/>
          <w:sz w:val="22"/>
          <w:lang w:val="es-ES_tradnl"/>
        </w:rPr>
      </w:pPr>
      <w:r w:rsidRPr="00E84A2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6C481189" w:rsidR="00DD5B04" w:rsidRPr="00E84A2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6C0A94E" w14:textId="77777777" w:rsidR="00183AE9" w:rsidRPr="00C30D1E" w:rsidRDefault="00183AE9" w:rsidP="00183AE9">
      <w:pPr>
        <w:spacing w:line="276" w:lineRule="auto"/>
        <w:rPr>
          <w:rFonts w:ascii="Arial" w:hAnsi="Arial" w:cs="Arial"/>
          <w:sz w:val="22"/>
        </w:rPr>
      </w:pPr>
      <w:r w:rsidRPr="00BE5DF3">
        <w:rPr>
          <w:rFonts w:ascii="Arial" w:hAnsi="Arial" w:cs="Arial"/>
          <w:sz w:val="22"/>
          <w:lang w:eastAsia="es-CO"/>
        </w:rPr>
        <w:t>Atentamente,</w:t>
      </w:r>
    </w:p>
    <w:p w14:paraId="382C02A8" w14:textId="77777777" w:rsidR="00183AE9" w:rsidRPr="00BE5DF3" w:rsidRDefault="00183AE9" w:rsidP="00183AE9">
      <w:pPr>
        <w:spacing w:after="18"/>
        <w:jc w:val="center"/>
        <w:rPr>
          <w:rFonts w:ascii="Arial" w:hAnsi="Arial" w:cs="Arial"/>
          <w:lang w:eastAsia="es-CO"/>
        </w:rPr>
      </w:pPr>
    </w:p>
    <w:p w14:paraId="0B6EC166" w14:textId="5FB78BD0" w:rsidR="00183AE9" w:rsidRPr="00BE5DF3" w:rsidRDefault="00A02E88" w:rsidP="00183AE9">
      <w:pPr>
        <w:spacing w:after="18"/>
        <w:jc w:val="center"/>
        <w:rPr>
          <w:rFonts w:ascii="Arial" w:hAnsi="Arial" w:cs="Arial"/>
          <w:lang w:eastAsia="es-CO"/>
        </w:rPr>
      </w:pPr>
      <w:r w:rsidRPr="002D7CBA">
        <w:rPr>
          <w:rFonts w:ascii="Arial" w:hAnsi="Arial" w:cs="Arial"/>
          <w:noProof/>
          <w:color w:val="FF0000"/>
          <w:lang w:eastAsia="es-CO"/>
        </w:rPr>
        <w:drawing>
          <wp:inline distT="0" distB="0" distL="0" distR="0" wp14:anchorId="1F7BA5F9" wp14:editId="659AFB26">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p w14:paraId="32FE1BC8" w14:textId="77777777" w:rsidR="00183AE9" w:rsidRPr="00BE5DF3" w:rsidRDefault="00183AE9" w:rsidP="00183AE9">
      <w:pPr>
        <w:spacing w:after="18"/>
        <w:jc w:val="center"/>
        <w:rPr>
          <w:rFonts w:ascii="Arial" w:hAnsi="Arial" w:cs="Arial"/>
          <w:lang w:eastAsia="es-CO"/>
        </w:rPr>
      </w:pPr>
    </w:p>
    <w:p w14:paraId="597C8432" w14:textId="77777777" w:rsidR="00183AE9" w:rsidRPr="00BE5DF3" w:rsidRDefault="00183AE9" w:rsidP="00183AE9">
      <w:pPr>
        <w:spacing w:after="18"/>
        <w:jc w:val="center"/>
        <w:rPr>
          <w:rFonts w:ascii="Arial" w:hAnsi="Arial" w:cs="Arial"/>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183AE9" w:rsidRPr="00BE5DF3" w14:paraId="0BC54F1C" w14:textId="77777777" w:rsidTr="00D32B70">
        <w:trPr>
          <w:trHeight w:val="286"/>
        </w:trPr>
        <w:tc>
          <w:tcPr>
            <w:tcW w:w="886" w:type="dxa"/>
            <w:vAlign w:val="center"/>
            <w:hideMark/>
          </w:tcPr>
          <w:p w14:paraId="18E86961" w14:textId="77777777" w:rsidR="00183AE9" w:rsidRPr="00BE5DF3" w:rsidRDefault="00183AE9" w:rsidP="00D32B70">
            <w:pPr>
              <w:rPr>
                <w:rFonts w:ascii="Arial" w:hAnsi="Arial" w:cs="Arial"/>
                <w:sz w:val="14"/>
                <w:szCs w:val="14"/>
                <w:lang w:eastAsia="es-ES"/>
              </w:rPr>
            </w:pPr>
            <w:r w:rsidRPr="00BE5DF3">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271F6157" w14:textId="77777777" w:rsidR="00183AE9" w:rsidRPr="00BE5DF3" w:rsidRDefault="00183AE9" w:rsidP="00D32B70">
            <w:pPr>
              <w:rPr>
                <w:rFonts w:ascii="Arial" w:hAnsi="Arial" w:cs="Arial"/>
                <w:sz w:val="14"/>
                <w:szCs w:val="14"/>
                <w:lang w:eastAsia="es-ES"/>
              </w:rPr>
            </w:pPr>
            <w:r w:rsidRPr="00BE5DF3">
              <w:rPr>
                <w:rFonts w:ascii="Arial" w:hAnsi="Arial" w:cs="Arial"/>
                <w:sz w:val="14"/>
                <w:szCs w:val="14"/>
                <w:lang w:eastAsia="es-ES"/>
              </w:rPr>
              <w:t>Felipe Bastidas Paredes</w:t>
            </w:r>
          </w:p>
          <w:p w14:paraId="79E61BCC" w14:textId="77777777" w:rsidR="00183AE9" w:rsidRPr="00BE5DF3" w:rsidRDefault="00183AE9" w:rsidP="00D32B70">
            <w:pPr>
              <w:rPr>
                <w:rFonts w:ascii="Arial" w:hAnsi="Arial" w:cs="Arial"/>
                <w:sz w:val="14"/>
                <w:szCs w:val="14"/>
                <w:lang w:eastAsia="es-ES"/>
              </w:rPr>
            </w:pPr>
            <w:r w:rsidRPr="00BE5DF3">
              <w:rPr>
                <w:rFonts w:ascii="Arial" w:hAnsi="Arial" w:cs="Arial"/>
                <w:sz w:val="14"/>
                <w:szCs w:val="14"/>
                <w:lang w:eastAsia="es-ES"/>
              </w:rPr>
              <w:t>Contratista de la Subdirección de Gestión Contractual</w:t>
            </w:r>
          </w:p>
        </w:tc>
      </w:tr>
      <w:tr w:rsidR="00183AE9" w:rsidRPr="00BE5DF3" w14:paraId="2DF38259" w14:textId="77777777" w:rsidTr="00D32B70">
        <w:trPr>
          <w:trHeight w:val="299"/>
        </w:trPr>
        <w:tc>
          <w:tcPr>
            <w:tcW w:w="886" w:type="dxa"/>
            <w:vAlign w:val="center"/>
          </w:tcPr>
          <w:p w14:paraId="2B788B29" w14:textId="77777777" w:rsidR="00183AE9" w:rsidRPr="00BE5DF3" w:rsidRDefault="00183AE9" w:rsidP="00D32B70">
            <w:pPr>
              <w:rPr>
                <w:rFonts w:ascii="Arial" w:hAnsi="Arial" w:cs="Arial"/>
                <w:sz w:val="14"/>
                <w:szCs w:val="14"/>
                <w:lang w:eastAsia="es-ES"/>
              </w:rPr>
            </w:pPr>
            <w:r w:rsidRPr="00BE5DF3">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4A7F8141" w14:textId="02C27426" w:rsidR="00183AE9" w:rsidRPr="00BE5DF3" w:rsidRDefault="004D45A6" w:rsidP="00D32B70">
            <w:pPr>
              <w:rPr>
                <w:rFonts w:ascii="Arial" w:hAnsi="Arial" w:cs="Arial"/>
                <w:sz w:val="14"/>
                <w:szCs w:val="14"/>
                <w:lang w:eastAsia="es-ES"/>
              </w:rPr>
            </w:pPr>
            <w:r>
              <w:rPr>
                <w:rFonts w:ascii="Arial" w:hAnsi="Arial" w:cs="Arial"/>
                <w:sz w:val="14"/>
                <w:szCs w:val="14"/>
                <w:lang w:eastAsia="es-ES"/>
              </w:rPr>
              <w:t>Diana Lucia Saavedra Castañeda</w:t>
            </w:r>
          </w:p>
          <w:p w14:paraId="188E80E5" w14:textId="78EE7CEA" w:rsidR="00183AE9" w:rsidRPr="00BE5DF3" w:rsidRDefault="004D45A6" w:rsidP="00D32B70">
            <w:pPr>
              <w:rPr>
                <w:rFonts w:ascii="Arial" w:hAnsi="Arial" w:cs="Arial"/>
                <w:sz w:val="14"/>
                <w:szCs w:val="14"/>
                <w:lang w:eastAsia="es-ES"/>
              </w:rPr>
            </w:pPr>
            <w:r>
              <w:rPr>
                <w:rFonts w:ascii="Arial" w:hAnsi="Arial" w:cs="Arial"/>
                <w:sz w:val="14"/>
                <w:szCs w:val="14"/>
                <w:lang w:eastAsia="es-ES"/>
              </w:rPr>
              <w:t>Contratista</w:t>
            </w:r>
            <w:r w:rsidR="00183AE9" w:rsidRPr="00BE5DF3">
              <w:rPr>
                <w:rFonts w:ascii="Arial" w:hAnsi="Arial" w:cs="Arial"/>
                <w:sz w:val="14"/>
                <w:szCs w:val="14"/>
                <w:lang w:eastAsia="es-ES"/>
              </w:rPr>
              <w:t xml:space="preserve"> de la Subdirección de Gestión Contractual</w:t>
            </w:r>
            <w:r w:rsidR="00183AE9">
              <w:rPr>
                <w:rFonts w:ascii="Arial" w:hAnsi="Arial" w:cs="Arial"/>
                <w:sz w:val="14"/>
                <w:szCs w:val="14"/>
                <w:lang w:eastAsia="es-ES"/>
              </w:rPr>
              <w:t xml:space="preserve"> </w:t>
            </w:r>
          </w:p>
        </w:tc>
      </w:tr>
      <w:tr w:rsidR="00183AE9" w:rsidRPr="00BE5DF3" w14:paraId="43F0169B" w14:textId="77777777" w:rsidTr="00D32B70">
        <w:trPr>
          <w:trHeight w:val="272"/>
        </w:trPr>
        <w:tc>
          <w:tcPr>
            <w:tcW w:w="886" w:type="dxa"/>
            <w:vAlign w:val="center"/>
            <w:hideMark/>
          </w:tcPr>
          <w:p w14:paraId="71DC49CD" w14:textId="77777777" w:rsidR="00183AE9" w:rsidRPr="00BE5DF3" w:rsidRDefault="00183AE9" w:rsidP="00D32B70">
            <w:pPr>
              <w:rPr>
                <w:rFonts w:ascii="Arial" w:hAnsi="Arial" w:cs="Arial"/>
                <w:sz w:val="14"/>
                <w:szCs w:val="14"/>
                <w:lang w:eastAsia="es-ES"/>
              </w:rPr>
            </w:pPr>
            <w:r w:rsidRPr="00BE5DF3">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2B082387" w14:textId="77777777" w:rsidR="00183AE9" w:rsidRPr="00BE5DF3" w:rsidRDefault="00183AE9" w:rsidP="00D32B70">
            <w:pPr>
              <w:rPr>
                <w:rFonts w:ascii="Arial" w:hAnsi="Arial" w:cs="Arial"/>
                <w:sz w:val="14"/>
                <w:szCs w:val="14"/>
                <w:lang w:eastAsia="es-ES"/>
              </w:rPr>
            </w:pPr>
            <w:r w:rsidRPr="00BE5DF3">
              <w:rPr>
                <w:rFonts w:ascii="Arial" w:hAnsi="Arial" w:cs="Arial"/>
                <w:sz w:val="14"/>
                <w:szCs w:val="14"/>
                <w:lang w:eastAsia="es-ES"/>
              </w:rPr>
              <w:t>J</w:t>
            </w:r>
            <w:r>
              <w:rPr>
                <w:rFonts w:ascii="Arial" w:hAnsi="Arial" w:cs="Arial"/>
                <w:sz w:val="14"/>
                <w:szCs w:val="14"/>
                <w:lang w:eastAsia="es-ES"/>
              </w:rPr>
              <w:t xml:space="preserve">uan David Marín López </w:t>
            </w:r>
          </w:p>
          <w:p w14:paraId="7247B4CD" w14:textId="77777777" w:rsidR="00183AE9" w:rsidRPr="00BE5DF3" w:rsidRDefault="00183AE9" w:rsidP="00D32B70">
            <w:pPr>
              <w:rPr>
                <w:rFonts w:ascii="Arial" w:hAnsi="Arial" w:cs="Arial"/>
                <w:sz w:val="14"/>
                <w:szCs w:val="14"/>
                <w:lang w:eastAsia="es-ES"/>
              </w:rPr>
            </w:pPr>
            <w:r w:rsidRPr="00BE5DF3">
              <w:rPr>
                <w:rFonts w:ascii="Arial" w:hAnsi="Arial" w:cs="Arial"/>
                <w:sz w:val="14"/>
                <w:szCs w:val="14"/>
                <w:lang w:eastAsia="es-ES"/>
              </w:rPr>
              <w:t>Subdirector de Gestión Contractual ANCP – CCE</w:t>
            </w:r>
          </w:p>
        </w:tc>
      </w:tr>
    </w:tbl>
    <w:p w14:paraId="271FA271" w14:textId="50773E21" w:rsidR="00AB6BBF" w:rsidRPr="00183AE9" w:rsidRDefault="00AB6BBF" w:rsidP="004374A3">
      <w:pPr>
        <w:jc w:val="center"/>
        <w:rPr>
          <w:rFonts w:ascii="Arial" w:hAnsi="Arial" w:cs="Arial"/>
        </w:rPr>
      </w:pPr>
    </w:p>
    <w:sectPr w:rsidR="00AB6BBF" w:rsidRPr="00183AE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2A0F" w14:textId="77777777" w:rsidR="00735AF6" w:rsidRDefault="00735AF6">
      <w:r>
        <w:separator/>
      </w:r>
    </w:p>
  </w:endnote>
  <w:endnote w:type="continuationSeparator" w:id="0">
    <w:p w14:paraId="2A79607C" w14:textId="77777777" w:rsidR="00735AF6" w:rsidRDefault="00735AF6">
      <w:r>
        <w:continuationSeparator/>
      </w:r>
    </w:p>
  </w:endnote>
  <w:endnote w:type="continuationNotice" w:id="1">
    <w:p w14:paraId="32206E69" w14:textId="77777777" w:rsidR="00735AF6" w:rsidRDefault="0073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Ωò">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B496B">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B496B">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A1A3" w14:textId="77777777" w:rsidR="00735AF6" w:rsidRDefault="00735AF6">
      <w:r>
        <w:separator/>
      </w:r>
    </w:p>
  </w:footnote>
  <w:footnote w:type="continuationSeparator" w:id="0">
    <w:p w14:paraId="1723CDE4" w14:textId="77777777" w:rsidR="00735AF6" w:rsidRDefault="00735AF6">
      <w:r>
        <w:continuationSeparator/>
      </w:r>
    </w:p>
  </w:footnote>
  <w:footnote w:type="continuationNotice" w:id="1">
    <w:p w14:paraId="7FBB5825" w14:textId="77777777" w:rsidR="00735AF6" w:rsidRDefault="00735AF6"/>
  </w:footnote>
  <w:footnote w:id="2">
    <w:p w14:paraId="2325A228" w14:textId="77777777" w:rsidR="00F2075F" w:rsidRPr="003726A7" w:rsidRDefault="00F2075F" w:rsidP="00F2075F">
      <w:pPr>
        <w:pStyle w:val="Textonotapie"/>
        <w:ind w:firstLine="708"/>
        <w:jc w:val="both"/>
        <w:rPr>
          <w:rFonts w:ascii="Arial" w:hAnsi="Arial" w:cs="Arial"/>
          <w:sz w:val="19"/>
          <w:szCs w:val="19"/>
        </w:rPr>
      </w:pPr>
      <w:r w:rsidRPr="004D45A6">
        <w:rPr>
          <w:rStyle w:val="Refdenotaalpie"/>
          <w:rFonts w:ascii="Arial" w:hAnsi="Arial" w:cs="Arial"/>
          <w:sz w:val="19"/>
          <w:szCs w:val="19"/>
        </w:rPr>
        <w:footnoteRef/>
      </w:r>
      <w:r w:rsidRPr="004D45A6">
        <w:rPr>
          <w:rFonts w:ascii="Arial" w:hAnsi="Arial" w:cs="Arial"/>
          <w:sz w:val="19"/>
          <w:szCs w:val="19"/>
        </w:rPr>
        <w:t xml:space="preserve"> Los conceptos de la Agencia Nacional de Contratación Pública – Colombia Compra Eficiente pueden consultarse en el siguiente enlace: </w:t>
      </w:r>
      <w:hyperlink r:id="rId1" w:history="1">
        <w:r w:rsidRPr="00084007">
          <w:rPr>
            <w:rStyle w:val="Hipervnculo"/>
            <w:rFonts w:ascii="Arial" w:hAnsi="Arial" w:cs="Arial"/>
            <w:color w:val="auto"/>
            <w:sz w:val="19"/>
            <w:szCs w:val="19"/>
          </w:rPr>
          <w:t>https://relatoria.colombiacompra.gov.co/busqueda/conceptos</w:t>
        </w:r>
      </w:hyperlink>
      <w:r w:rsidRPr="004D45A6">
        <w:rPr>
          <w:rFonts w:ascii="Arial" w:hAnsi="Arial" w:cs="Arial"/>
          <w:sz w:val="19"/>
          <w:szCs w:val="19"/>
        </w:rPr>
        <w:t xml:space="preserve">. </w:t>
      </w:r>
    </w:p>
  </w:footnote>
  <w:footnote w:id="3">
    <w:p w14:paraId="2E1435C2" w14:textId="77777777" w:rsidR="00BA6826" w:rsidRPr="009C3D43" w:rsidRDefault="00BA6826" w:rsidP="00BA6826">
      <w:pPr>
        <w:pBdr>
          <w:top w:val="nil"/>
          <w:left w:val="nil"/>
          <w:bottom w:val="nil"/>
          <w:right w:val="nil"/>
          <w:between w:val="nil"/>
        </w:pBdr>
        <w:ind w:firstLine="709"/>
        <w:jc w:val="both"/>
        <w:rPr>
          <w:rFonts w:ascii="Arial" w:eastAsia="Arial" w:hAnsi="Arial" w:cs="Arial"/>
          <w:sz w:val="19"/>
          <w:szCs w:val="19"/>
        </w:rPr>
      </w:pPr>
      <w:r w:rsidRPr="009C3D43">
        <w:rPr>
          <w:rFonts w:ascii="Arial" w:hAnsi="Arial" w:cs="Arial"/>
          <w:sz w:val="19"/>
          <w:szCs w:val="19"/>
          <w:vertAlign w:val="superscript"/>
        </w:rPr>
        <w:footnoteRef/>
      </w:r>
      <w:r w:rsidRPr="009C3D43">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C3D43">
        <w:rPr>
          <w:rFonts w:ascii="Arial" w:eastAsia="Arial" w:hAnsi="Arial" w:cs="Arial"/>
          <w:i/>
          <w:sz w:val="19"/>
          <w:szCs w:val="19"/>
        </w:rPr>
        <w:t xml:space="preserve">ibídem </w:t>
      </w:r>
      <w:r w:rsidRPr="009C3D43">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85F31BC" w14:textId="77777777" w:rsidR="00BA6826" w:rsidRPr="009C3D43" w:rsidRDefault="00BA6826" w:rsidP="00BA6826">
      <w:pPr>
        <w:pBdr>
          <w:top w:val="nil"/>
          <w:left w:val="nil"/>
          <w:bottom w:val="nil"/>
          <w:right w:val="nil"/>
          <w:between w:val="nil"/>
        </w:pBdr>
        <w:ind w:firstLine="709"/>
        <w:jc w:val="both"/>
        <w:rPr>
          <w:rFonts w:ascii="Arial" w:eastAsia="Arial" w:hAnsi="Arial" w:cs="Arial"/>
          <w:sz w:val="19"/>
          <w:szCs w:val="19"/>
        </w:rPr>
      </w:pPr>
    </w:p>
  </w:footnote>
  <w:footnote w:id="4">
    <w:p w14:paraId="0A213A48" w14:textId="77777777" w:rsidR="002655EF" w:rsidRPr="00263EC5" w:rsidRDefault="002655EF"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37C5976D" w14:textId="77777777" w:rsidR="002655EF" w:rsidRPr="00263EC5" w:rsidRDefault="002655EF" w:rsidP="00263EC5">
      <w:pPr>
        <w:pStyle w:val="Textonotapie"/>
        <w:ind w:firstLine="709"/>
        <w:jc w:val="both"/>
        <w:rPr>
          <w:rFonts w:ascii="Arial" w:hAnsi="Arial" w:cs="Arial"/>
          <w:sz w:val="19"/>
          <w:szCs w:val="19"/>
          <w:lang w:val="es-ES"/>
        </w:rPr>
      </w:pPr>
      <w:r w:rsidRPr="00263EC5">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263EC5">
        <w:rPr>
          <w:rFonts w:ascii="Arial" w:hAnsi="Arial" w:cs="Arial"/>
          <w:i/>
          <w:iCs/>
          <w:sz w:val="19"/>
          <w:szCs w:val="19"/>
          <w:lang w:val="es-ES"/>
        </w:rPr>
        <w:t>costos directos</w:t>
      </w:r>
      <w:r w:rsidRPr="00263EC5">
        <w:rPr>
          <w:rFonts w:ascii="Arial" w:hAnsi="Arial" w:cs="Arial"/>
          <w:sz w:val="19"/>
          <w:szCs w:val="19"/>
          <w:lang w:val="es-ES"/>
        </w:rPr>
        <w:t xml:space="preserve"> y los</w:t>
      </w:r>
      <w:r w:rsidRPr="00263EC5">
        <w:rPr>
          <w:rFonts w:ascii="Arial" w:hAnsi="Arial" w:cs="Arial"/>
          <w:i/>
          <w:iCs/>
          <w:sz w:val="19"/>
          <w:szCs w:val="19"/>
          <w:lang w:val="es-ES"/>
        </w:rPr>
        <w:t xml:space="preserve"> costos indirectos</w:t>
      </w:r>
      <w:r w:rsidRPr="00263EC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263EC5">
        <w:rPr>
          <w:rFonts w:ascii="Arial" w:hAnsi="Arial" w:cs="Arial"/>
          <w:i/>
          <w:iCs/>
          <w:sz w:val="19"/>
          <w:szCs w:val="19"/>
          <w:lang w:val="es-ES"/>
        </w:rPr>
        <w:t>ítems</w:t>
      </w:r>
      <w:r w:rsidRPr="00263EC5">
        <w:rPr>
          <w:rFonts w:ascii="Arial" w:hAnsi="Arial" w:cs="Arial"/>
          <w:sz w:val="19"/>
          <w:szCs w:val="19"/>
          <w:lang w:val="es-ES"/>
        </w:rPr>
        <w:t xml:space="preserve"> que componen el contrato–. Los costos </w:t>
      </w:r>
      <w:r w:rsidRPr="00263EC5">
        <w:rPr>
          <w:rFonts w:ascii="Arial" w:hAnsi="Arial" w:cs="Arial"/>
          <w:i/>
          <w:iCs/>
          <w:sz w:val="19"/>
          <w:szCs w:val="19"/>
          <w:lang w:val="es-ES"/>
        </w:rPr>
        <w:t>indirectos</w:t>
      </w:r>
      <w:r w:rsidRPr="00263EC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5">
    <w:p w14:paraId="324EFE13" w14:textId="77777777" w:rsidR="002655EF" w:rsidRPr="00263EC5" w:rsidRDefault="002655EF" w:rsidP="00263EC5">
      <w:pPr>
        <w:pStyle w:val="Textonotapie"/>
        <w:ind w:firstLine="709"/>
        <w:jc w:val="both"/>
        <w:rPr>
          <w:rFonts w:ascii="Arial" w:hAnsi="Arial" w:cs="Arial"/>
          <w:sz w:val="19"/>
          <w:szCs w:val="19"/>
        </w:rPr>
      </w:pPr>
      <w:r w:rsidRPr="00263EC5">
        <w:rPr>
          <w:rStyle w:val="Refdenotaalpie"/>
          <w:rFonts w:ascii="Arial" w:hAnsi="Arial" w:cs="Arial"/>
          <w:sz w:val="19"/>
          <w:szCs w:val="19"/>
        </w:rPr>
        <w:footnoteRef/>
      </w:r>
      <w:r w:rsidRPr="00263EC5">
        <w:rPr>
          <w:rFonts w:ascii="Arial" w:hAnsi="Arial" w:cs="Arial"/>
          <w:sz w:val="19"/>
          <w:szCs w:val="19"/>
        </w:rPr>
        <w:t xml:space="preserve"> Consejo de Estado. Sección Tercera. Subsección B. Sentencia del 14 de octubre de 2011. Exp. 20811, C.P. Ruth Stella Correa Palacio.</w:t>
      </w:r>
    </w:p>
    <w:p w14:paraId="1B75F1B3" w14:textId="77777777" w:rsidR="002655EF" w:rsidRPr="00263EC5" w:rsidRDefault="002655EF" w:rsidP="00263EC5">
      <w:pPr>
        <w:pStyle w:val="Textonotapie"/>
        <w:ind w:firstLine="709"/>
        <w:jc w:val="both"/>
        <w:rPr>
          <w:rFonts w:ascii="Arial" w:hAnsi="Arial" w:cs="Arial"/>
          <w:sz w:val="19"/>
          <w:szCs w:val="19"/>
          <w:lang w:val="es-ES"/>
        </w:rPr>
      </w:pPr>
    </w:p>
  </w:footnote>
  <w:footnote w:id="6">
    <w:p w14:paraId="5AB08179" w14:textId="77777777" w:rsidR="0029745A" w:rsidRPr="005C1F67" w:rsidRDefault="0029745A" w:rsidP="0029745A">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7">
    <w:p w14:paraId="387F25FC" w14:textId="37F98F9E" w:rsidR="00E66124" w:rsidRPr="00DB7336" w:rsidRDefault="00E66124" w:rsidP="00DB7336">
      <w:pPr>
        <w:pStyle w:val="Textonotapie"/>
        <w:ind w:firstLine="708"/>
        <w:jc w:val="both"/>
        <w:rPr>
          <w:lang w:val="es-CO"/>
        </w:rPr>
      </w:pPr>
      <w:r w:rsidRPr="00DB7336">
        <w:rPr>
          <w:rStyle w:val="Refdenotaalpie"/>
          <w:rFonts w:ascii="Arial" w:hAnsi="Arial" w:cs="Arial"/>
          <w:sz w:val="19"/>
          <w:szCs w:val="19"/>
        </w:rPr>
        <w:footnoteRef/>
      </w:r>
      <w:r w:rsidRPr="00DB7336">
        <w:rPr>
          <w:rFonts w:ascii="Arial" w:hAnsi="Arial" w:cs="Arial"/>
          <w:sz w:val="19"/>
          <w:szCs w:val="19"/>
        </w:rPr>
        <w:t xml:space="preserve"> </w:t>
      </w:r>
      <w:r>
        <w:rPr>
          <w:rFonts w:ascii="Arial" w:hAnsi="Arial" w:cs="Arial"/>
          <w:sz w:val="19"/>
          <w:szCs w:val="19"/>
        </w:rPr>
        <w:t>«</w:t>
      </w:r>
      <w:r w:rsidRPr="00DB7336">
        <w:rPr>
          <w:rFonts w:ascii="Arial" w:hAnsi="Arial" w:cs="Arial"/>
          <w:sz w:val="19"/>
          <w:szCs w:val="19"/>
        </w:rPr>
        <w:t xml:space="preserve">ARTÍCULO 85. CONTINUIDAD DE LA INTERVENTORÍA. Los contratos de interventoría podrán prorrogarse por el mismo plazo que se haya prorrogado el contrato objeto de vigilancia. </w:t>
      </w:r>
      <w:r w:rsidRPr="00DB7336">
        <w:rPr>
          <w:rFonts w:ascii="Arial" w:hAnsi="Arial" w:cs="Arial"/>
          <w:i/>
          <w:iCs/>
          <w:sz w:val="19"/>
          <w:szCs w:val="19"/>
        </w:rPr>
        <w:t>En tal caso el valor podrá ajustarse en atención a las obligaciones del objeto de interventoría, sin que resulte aplicable lo dispuesto en el parágrafo del artículo 40 de la Ley 80 de 1993</w:t>
      </w:r>
      <w:r>
        <w:rPr>
          <w:rFonts w:ascii="Arial" w:hAnsi="Arial" w:cs="Arial"/>
          <w:sz w:val="19"/>
          <w:szCs w:val="19"/>
        </w:rPr>
        <w:t>» (Cursiva fuera del original)</w:t>
      </w:r>
      <w:r w:rsidRPr="00DB7336">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415021"/>
    <w:multiLevelType w:val="hybridMultilevel"/>
    <w:tmpl w:val="8816280A"/>
    <w:lvl w:ilvl="0" w:tplc="EE9434D0">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007782885">
    <w:abstractNumId w:val="10"/>
  </w:num>
  <w:num w:numId="2" w16cid:durableId="977803422">
    <w:abstractNumId w:val="7"/>
  </w:num>
  <w:num w:numId="3" w16cid:durableId="145513653">
    <w:abstractNumId w:val="13"/>
  </w:num>
  <w:num w:numId="4" w16cid:durableId="585892221">
    <w:abstractNumId w:val="16"/>
  </w:num>
  <w:num w:numId="5" w16cid:durableId="1272280101">
    <w:abstractNumId w:val="20"/>
  </w:num>
  <w:num w:numId="6" w16cid:durableId="13471686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5537">
    <w:abstractNumId w:val="18"/>
  </w:num>
  <w:num w:numId="8" w16cid:durableId="312488413">
    <w:abstractNumId w:val="0"/>
  </w:num>
  <w:num w:numId="9" w16cid:durableId="1527937544">
    <w:abstractNumId w:val="3"/>
  </w:num>
  <w:num w:numId="10" w16cid:durableId="310595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943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708438">
    <w:abstractNumId w:val="9"/>
  </w:num>
  <w:num w:numId="13" w16cid:durableId="1561944257">
    <w:abstractNumId w:val="12"/>
  </w:num>
  <w:num w:numId="14" w16cid:durableId="451754945">
    <w:abstractNumId w:val="6"/>
  </w:num>
  <w:num w:numId="15" w16cid:durableId="201683425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07266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631011">
    <w:abstractNumId w:val="22"/>
  </w:num>
  <w:num w:numId="18" w16cid:durableId="1883134549">
    <w:abstractNumId w:val="14"/>
  </w:num>
  <w:num w:numId="19" w16cid:durableId="447547148">
    <w:abstractNumId w:val="2"/>
  </w:num>
  <w:num w:numId="20" w16cid:durableId="1347442746">
    <w:abstractNumId w:val="23"/>
  </w:num>
  <w:num w:numId="21" w16cid:durableId="1791511464">
    <w:abstractNumId w:val="15"/>
  </w:num>
  <w:num w:numId="22" w16cid:durableId="465008720">
    <w:abstractNumId w:val="5"/>
  </w:num>
  <w:num w:numId="23" w16cid:durableId="1474786540">
    <w:abstractNumId w:val="4"/>
  </w:num>
  <w:num w:numId="24" w16cid:durableId="1710449164">
    <w:abstractNumId w:val="21"/>
  </w:num>
  <w:num w:numId="25" w16cid:durableId="655452706">
    <w:abstractNumId w:val="17"/>
  </w:num>
  <w:num w:numId="26" w16cid:durableId="776366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B98"/>
    <w:rsid w:val="00023DAE"/>
    <w:rsid w:val="00023FC9"/>
    <w:rsid w:val="00024896"/>
    <w:rsid w:val="000255FA"/>
    <w:rsid w:val="00025D0A"/>
    <w:rsid w:val="00025D7D"/>
    <w:rsid w:val="000263F0"/>
    <w:rsid w:val="00026407"/>
    <w:rsid w:val="00026608"/>
    <w:rsid w:val="0002702E"/>
    <w:rsid w:val="00027787"/>
    <w:rsid w:val="000278D2"/>
    <w:rsid w:val="00030DFB"/>
    <w:rsid w:val="00031011"/>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746"/>
    <w:rsid w:val="00042961"/>
    <w:rsid w:val="00042C25"/>
    <w:rsid w:val="00042D03"/>
    <w:rsid w:val="00043086"/>
    <w:rsid w:val="000430A0"/>
    <w:rsid w:val="00043D3B"/>
    <w:rsid w:val="000440FA"/>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569"/>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AA8"/>
    <w:rsid w:val="00070AF1"/>
    <w:rsid w:val="000714DE"/>
    <w:rsid w:val="0007254F"/>
    <w:rsid w:val="000726C0"/>
    <w:rsid w:val="0007357C"/>
    <w:rsid w:val="00073C30"/>
    <w:rsid w:val="00074305"/>
    <w:rsid w:val="000744D0"/>
    <w:rsid w:val="00074B2A"/>
    <w:rsid w:val="00074EEE"/>
    <w:rsid w:val="000753D5"/>
    <w:rsid w:val="000758D8"/>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224A"/>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2D2"/>
    <w:rsid w:val="000B4861"/>
    <w:rsid w:val="000B5781"/>
    <w:rsid w:val="000B5CB1"/>
    <w:rsid w:val="000B5EE5"/>
    <w:rsid w:val="000B75F4"/>
    <w:rsid w:val="000C0185"/>
    <w:rsid w:val="000C0933"/>
    <w:rsid w:val="000C0F81"/>
    <w:rsid w:val="000C128D"/>
    <w:rsid w:val="000C17A3"/>
    <w:rsid w:val="000C1D4B"/>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94"/>
    <w:rsid w:val="000E4D50"/>
    <w:rsid w:val="000E5768"/>
    <w:rsid w:val="000E5843"/>
    <w:rsid w:val="000E6139"/>
    <w:rsid w:val="000E63B7"/>
    <w:rsid w:val="000E653C"/>
    <w:rsid w:val="000E6BE1"/>
    <w:rsid w:val="000E7E0B"/>
    <w:rsid w:val="000F0136"/>
    <w:rsid w:val="000F078A"/>
    <w:rsid w:val="000F0F27"/>
    <w:rsid w:val="000F122D"/>
    <w:rsid w:val="000F1450"/>
    <w:rsid w:val="000F14E8"/>
    <w:rsid w:val="000F1BBD"/>
    <w:rsid w:val="000F290F"/>
    <w:rsid w:val="000F4403"/>
    <w:rsid w:val="000F480B"/>
    <w:rsid w:val="000F4E17"/>
    <w:rsid w:val="000F5615"/>
    <w:rsid w:val="000F5CE5"/>
    <w:rsid w:val="000F6084"/>
    <w:rsid w:val="000F6578"/>
    <w:rsid w:val="000F6693"/>
    <w:rsid w:val="000F6F92"/>
    <w:rsid w:val="000F725D"/>
    <w:rsid w:val="000F7E8F"/>
    <w:rsid w:val="000F7FBB"/>
    <w:rsid w:val="001000FB"/>
    <w:rsid w:val="00100A9E"/>
    <w:rsid w:val="00100F6A"/>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1C"/>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5DA5"/>
    <w:rsid w:val="00116328"/>
    <w:rsid w:val="001163CF"/>
    <w:rsid w:val="00116EC5"/>
    <w:rsid w:val="001174C9"/>
    <w:rsid w:val="001177FE"/>
    <w:rsid w:val="00117E69"/>
    <w:rsid w:val="00121103"/>
    <w:rsid w:val="00121B78"/>
    <w:rsid w:val="00121BAB"/>
    <w:rsid w:val="00121E3C"/>
    <w:rsid w:val="00122B23"/>
    <w:rsid w:val="00122B7E"/>
    <w:rsid w:val="00123DBA"/>
    <w:rsid w:val="00123E27"/>
    <w:rsid w:val="00123FB5"/>
    <w:rsid w:val="0012400F"/>
    <w:rsid w:val="001249DC"/>
    <w:rsid w:val="0012572D"/>
    <w:rsid w:val="00125A2E"/>
    <w:rsid w:val="00125BED"/>
    <w:rsid w:val="00125C59"/>
    <w:rsid w:val="00125D4F"/>
    <w:rsid w:val="00126B22"/>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D0B"/>
    <w:rsid w:val="00151DA8"/>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57B92"/>
    <w:rsid w:val="00157E66"/>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67FD3"/>
    <w:rsid w:val="00170001"/>
    <w:rsid w:val="00170E2B"/>
    <w:rsid w:val="00172198"/>
    <w:rsid w:val="00172612"/>
    <w:rsid w:val="00172817"/>
    <w:rsid w:val="001734E3"/>
    <w:rsid w:val="001742BF"/>
    <w:rsid w:val="001742E1"/>
    <w:rsid w:val="00175E49"/>
    <w:rsid w:val="0017649F"/>
    <w:rsid w:val="0017655B"/>
    <w:rsid w:val="00177C21"/>
    <w:rsid w:val="00177EAA"/>
    <w:rsid w:val="001805C1"/>
    <w:rsid w:val="00180823"/>
    <w:rsid w:val="00180A2E"/>
    <w:rsid w:val="001813AF"/>
    <w:rsid w:val="001826C9"/>
    <w:rsid w:val="001829CD"/>
    <w:rsid w:val="00182F01"/>
    <w:rsid w:val="0018375B"/>
    <w:rsid w:val="00183AE9"/>
    <w:rsid w:val="00184219"/>
    <w:rsid w:val="00184F27"/>
    <w:rsid w:val="0018519B"/>
    <w:rsid w:val="00185966"/>
    <w:rsid w:val="00185A2D"/>
    <w:rsid w:val="00185AFE"/>
    <w:rsid w:val="00185DF9"/>
    <w:rsid w:val="00185E78"/>
    <w:rsid w:val="00187177"/>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5A56"/>
    <w:rsid w:val="001962EC"/>
    <w:rsid w:val="001963DD"/>
    <w:rsid w:val="001965DB"/>
    <w:rsid w:val="00196B5A"/>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F0806"/>
    <w:rsid w:val="001F0D15"/>
    <w:rsid w:val="001F0FA0"/>
    <w:rsid w:val="001F1349"/>
    <w:rsid w:val="001F14C3"/>
    <w:rsid w:val="001F1863"/>
    <w:rsid w:val="001F2356"/>
    <w:rsid w:val="001F2A68"/>
    <w:rsid w:val="001F2C47"/>
    <w:rsid w:val="001F3221"/>
    <w:rsid w:val="001F3E62"/>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631"/>
    <w:rsid w:val="002058D4"/>
    <w:rsid w:val="002060D6"/>
    <w:rsid w:val="0020632A"/>
    <w:rsid w:val="0020697F"/>
    <w:rsid w:val="0020726E"/>
    <w:rsid w:val="00207389"/>
    <w:rsid w:val="002074C2"/>
    <w:rsid w:val="002110EB"/>
    <w:rsid w:val="00211338"/>
    <w:rsid w:val="00211387"/>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38B1"/>
    <w:rsid w:val="00223DE4"/>
    <w:rsid w:val="00224022"/>
    <w:rsid w:val="00224B1C"/>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866"/>
    <w:rsid w:val="00251A9F"/>
    <w:rsid w:val="00251E66"/>
    <w:rsid w:val="00252492"/>
    <w:rsid w:val="00252B35"/>
    <w:rsid w:val="00253070"/>
    <w:rsid w:val="002530A0"/>
    <w:rsid w:val="0025316D"/>
    <w:rsid w:val="00253753"/>
    <w:rsid w:val="00253A02"/>
    <w:rsid w:val="00253B81"/>
    <w:rsid w:val="00254AE9"/>
    <w:rsid w:val="002554DE"/>
    <w:rsid w:val="00255575"/>
    <w:rsid w:val="00255E11"/>
    <w:rsid w:val="002564B7"/>
    <w:rsid w:val="00256835"/>
    <w:rsid w:val="002569F0"/>
    <w:rsid w:val="00256C01"/>
    <w:rsid w:val="00256E1A"/>
    <w:rsid w:val="00256ECF"/>
    <w:rsid w:val="00257730"/>
    <w:rsid w:val="0025782B"/>
    <w:rsid w:val="00257999"/>
    <w:rsid w:val="002604AA"/>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61F1"/>
    <w:rsid w:val="00266316"/>
    <w:rsid w:val="00266DB6"/>
    <w:rsid w:val="0027111F"/>
    <w:rsid w:val="002711A4"/>
    <w:rsid w:val="00271230"/>
    <w:rsid w:val="00271F13"/>
    <w:rsid w:val="00272945"/>
    <w:rsid w:val="00272E89"/>
    <w:rsid w:val="00273A94"/>
    <w:rsid w:val="002742D0"/>
    <w:rsid w:val="0027482E"/>
    <w:rsid w:val="002748F1"/>
    <w:rsid w:val="00274DB5"/>
    <w:rsid w:val="00275BB1"/>
    <w:rsid w:val="00275CBF"/>
    <w:rsid w:val="002766F9"/>
    <w:rsid w:val="00276EF7"/>
    <w:rsid w:val="0027770B"/>
    <w:rsid w:val="00277933"/>
    <w:rsid w:val="00277EC1"/>
    <w:rsid w:val="00277F8D"/>
    <w:rsid w:val="00277FA7"/>
    <w:rsid w:val="00280046"/>
    <w:rsid w:val="0028068C"/>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7F2"/>
    <w:rsid w:val="00284CFC"/>
    <w:rsid w:val="0028552A"/>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2F1"/>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57E"/>
    <w:rsid w:val="002D46A6"/>
    <w:rsid w:val="002D46B4"/>
    <w:rsid w:val="002D46CE"/>
    <w:rsid w:val="002D49C2"/>
    <w:rsid w:val="002D4A45"/>
    <w:rsid w:val="002D4B42"/>
    <w:rsid w:val="002D4B43"/>
    <w:rsid w:val="002D5A1B"/>
    <w:rsid w:val="002D6504"/>
    <w:rsid w:val="002D6558"/>
    <w:rsid w:val="002D65BC"/>
    <w:rsid w:val="002D6630"/>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6F4A"/>
    <w:rsid w:val="002E7847"/>
    <w:rsid w:val="002F0073"/>
    <w:rsid w:val="002F0C4F"/>
    <w:rsid w:val="002F1B27"/>
    <w:rsid w:val="002F1C67"/>
    <w:rsid w:val="002F240B"/>
    <w:rsid w:val="002F24DA"/>
    <w:rsid w:val="002F26EC"/>
    <w:rsid w:val="002F2F50"/>
    <w:rsid w:val="002F33EC"/>
    <w:rsid w:val="002F34E3"/>
    <w:rsid w:val="002F3601"/>
    <w:rsid w:val="002F40E2"/>
    <w:rsid w:val="002F45F6"/>
    <w:rsid w:val="002F5A6F"/>
    <w:rsid w:val="002F692F"/>
    <w:rsid w:val="002F7031"/>
    <w:rsid w:val="002F7747"/>
    <w:rsid w:val="002F7961"/>
    <w:rsid w:val="002F7B66"/>
    <w:rsid w:val="00300BA5"/>
    <w:rsid w:val="00300CB4"/>
    <w:rsid w:val="00300E24"/>
    <w:rsid w:val="00300F9A"/>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4F1"/>
    <w:rsid w:val="00321A70"/>
    <w:rsid w:val="00321BD6"/>
    <w:rsid w:val="00321EC8"/>
    <w:rsid w:val="00321FA3"/>
    <w:rsid w:val="003227D3"/>
    <w:rsid w:val="00322805"/>
    <w:rsid w:val="00322937"/>
    <w:rsid w:val="00323881"/>
    <w:rsid w:val="00324885"/>
    <w:rsid w:val="003251A8"/>
    <w:rsid w:val="003254B1"/>
    <w:rsid w:val="00325AD9"/>
    <w:rsid w:val="00325D98"/>
    <w:rsid w:val="00325DD0"/>
    <w:rsid w:val="0032682A"/>
    <w:rsid w:val="00327A5C"/>
    <w:rsid w:val="003305BD"/>
    <w:rsid w:val="0033092C"/>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152"/>
    <w:rsid w:val="003416F4"/>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A59"/>
    <w:rsid w:val="00363348"/>
    <w:rsid w:val="003634D4"/>
    <w:rsid w:val="00363857"/>
    <w:rsid w:val="00363D59"/>
    <w:rsid w:val="00363F08"/>
    <w:rsid w:val="003640F7"/>
    <w:rsid w:val="00364969"/>
    <w:rsid w:val="003651FD"/>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518F"/>
    <w:rsid w:val="00386456"/>
    <w:rsid w:val="003865A9"/>
    <w:rsid w:val="003872D3"/>
    <w:rsid w:val="0039092B"/>
    <w:rsid w:val="00390BD9"/>
    <w:rsid w:val="00390C0B"/>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49C"/>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72F5"/>
    <w:rsid w:val="003A78E5"/>
    <w:rsid w:val="003B0341"/>
    <w:rsid w:val="003B06DE"/>
    <w:rsid w:val="003B0DF0"/>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A15"/>
    <w:rsid w:val="003B6BD4"/>
    <w:rsid w:val="003B6F4D"/>
    <w:rsid w:val="003B6FE7"/>
    <w:rsid w:val="003B7257"/>
    <w:rsid w:val="003B74E8"/>
    <w:rsid w:val="003C0491"/>
    <w:rsid w:val="003C0C0F"/>
    <w:rsid w:val="003C0D1F"/>
    <w:rsid w:val="003C116A"/>
    <w:rsid w:val="003C1AF4"/>
    <w:rsid w:val="003C1CB8"/>
    <w:rsid w:val="003C22DA"/>
    <w:rsid w:val="003C2550"/>
    <w:rsid w:val="003C287F"/>
    <w:rsid w:val="003C2B2B"/>
    <w:rsid w:val="003C3339"/>
    <w:rsid w:val="003C375A"/>
    <w:rsid w:val="003C4317"/>
    <w:rsid w:val="003C4D9F"/>
    <w:rsid w:val="003C4EA9"/>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4EA"/>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EB"/>
    <w:rsid w:val="00403281"/>
    <w:rsid w:val="004037C2"/>
    <w:rsid w:val="00403FDE"/>
    <w:rsid w:val="00404041"/>
    <w:rsid w:val="004040D4"/>
    <w:rsid w:val="0040475B"/>
    <w:rsid w:val="00404B43"/>
    <w:rsid w:val="00404C61"/>
    <w:rsid w:val="00404C78"/>
    <w:rsid w:val="00405487"/>
    <w:rsid w:val="00405B8A"/>
    <w:rsid w:val="0040602B"/>
    <w:rsid w:val="0040606C"/>
    <w:rsid w:val="004060DC"/>
    <w:rsid w:val="004068BC"/>
    <w:rsid w:val="004068CD"/>
    <w:rsid w:val="00406DF5"/>
    <w:rsid w:val="00406F35"/>
    <w:rsid w:val="00407626"/>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E7B"/>
    <w:rsid w:val="00421FCB"/>
    <w:rsid w:val="004220E2"/>
    <w:rsid w:val="00422DCA"/>
    <w:rsid w:val="00423D04"/>
    <w:rsid w:val="00423E8D"/>
    <w:rsid w:val="00423F9F"/>
    <w:rsid w:val="00424C5B"/>
    <w:rsid w:val="00425C43"/>
    <w:rsid w:val="004273FA"/>
    <w:rsid w:val="004275A7"/>
    <w:rsid w:val="00427BDA"/>
    <w:rsid w:val="00430186"/>
    <w:rsid w:val="00430F17"/>
    <w:rsid w:val="00431CC7"/>
    <w:rsid w:val="0043218E"/>
    <w:rsid w:val="0043260C"/>
    <w:rsid w:val="0043269A"/>
    <w:rsid w:val="00432E92"/>
    <w:rsid w:val="004333C2"/>
    <w:rsid w:val="00434787"/>
    <w:rsid w:val="00434C13"/>
    <w:rsid w:val="00434D8B"/>
    <w:rsid w:val="00435294"/>
    <w:rsid w:val="00435530"/>
    <w:rsid w:val="00435703"/>
    <w:rsid w:val="00435BD5"/>
    <w:rsid w:val="00435C7F"/>
    <w:rsid w:val="00436323"/>
    <w:rsid w:val="004367DE"/>
    <w:rsid w:val="0043683F"/>
    <w:rsid w:val="00436C94"/>
    <w:rsid w:val="00436F40"/>
    <w:rsid w:val="004370FA"/>
    <w:rsid w:val="004374A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08A"/>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5DFA"/>
    <w:rsid w:val="00466616"/>
    <w:rsid w:val="00466A0C"/>
    <w:rsid w:val="00466A53"/>
    <w:rsid w:val="00467EE3"/>
    <w:rsid w:val="00470A6A"/>
    <w:rsid w:val="00470C12"/>
    <w:rsid w:val="00470D73"/>
    <w:rsid w:val="00470D92"/>
    <w:rsid w:val="00471DF7"/>
    <w:rsid w:val="004734CF"/>
    <w:rsid w:val="00473A5B"/>
    <w:rsid w:val="00473F33"/>
    <w:rsid w:val="0047586C"/>
    <w:rsid w:val="00475A31"/>
    <w:rsid w:val="00475C5A"/>
    <w:rsid w:val="00475C9C"/>
    <w:rsid w:val="0047676B"/>
    <w:rsid w:val="00477034"/>
    <w:rsid w:val="0047773C"/>
    <w:rsid w:val="00477C5F"/>
    <w:rsid w:val="00480050"/>
    <w:rsid w:val="0048011C"/>
    <w:rsid w:val="004808DE"/>
    <w:rsid w:val="00480F9A"/>
    <w:rsid w:val="00481912"/>
    <w:rsid w:val="00481AC4"/>
    <w:rsid w:val="00481DC1"/>
    <w:rsid w:val="00482194"/>
    <w:rsid w:val="00482507"/>
    <w:rsid w:val="0048268A"/>
    <w:rsid w:val="004826AE"/>
    <w:rsid w:val="00482A64"/>
    <w:rsid w:val="004835CA"/>
    <w:rsid w:val="004836D7"/>
    <w:rsid w:val="004836F8"/>
    <w:rsid w:val="004836FE"/>
    <w:rsid w:val="00483DF1"/>
    <w:rsid w:val="00484A39"/>
    <w:rsid w:val="00484F0F"/>
    <w:rsid w:val="00484F40"/>
    <w:rsid w:val="0048540C"/>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5A6"/>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1A54"/>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255B"/>
    <w:rsid w:val="00512C4F"/>
    <w:rsid w:val="00513042"/>
    <w:rsid w:val="0051334F"/>
    <w:rsid w:val="00513399"/>
    <w:rsid w:val="00513AF2"/>
    <w:rsid w:val="00514575"/>
    <w:rsid w:val="00514C03"/>
    <w:rsid w:val="00514D67"/>
    <w:rsid w:val="00515164"/>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2"/>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00B5"/>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6C4"/>
    <w:rsid w:val="00573BA3"/>
    <w:rsid w:val="00574708"/>
    <w:rsid w:val="00574D81"/>
    <w:rsid w:val="005756AA"/>
    <w:rsid w:val="00576814"/>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F1A"/>
    <w:rsid w:val="00591C03"/>
    <w:rsid w:val="00591E2A"/>
    <w:rsid w:val="00592240"/>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5C7B"/>
    <w:rsid w:val="005A6035"/>
    <w:rsid w:val="005A6B75"/>
    <w:rsid w:val="005A6E00"/>
    <w:rsid w:val="005A718A"/>
    <w:rsid w:val="005A72DD"/>
    <w:rsid w:val="005A7885"/>
    <w:rsid w:val="005B0293"/>
    <w:rsid w:val="005B12B2"/>
    <w:rsid w:val="005B143B"/>
    <w:rsid w:val="005B19BD"/>
    <w:rsid w:val="005B1E45"/>
    <w:rsid w:val="005B2040"/>
    <w:rsid w:val="005B21C4"/>
    <w:rsid w:val="005B2A28"/>
    <w:rsid w:val="005B35AB"/>
    <w:rsid w:val="005B3621"/>
    <w:rsid w:val="005B3EBE"/>
    <w:rsid w:val="005B43D0"/>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AE1"/>
    <w:rsid w:val="005C5C52"/>
    <w:rsid w:val="005C5D3D"/>
    <w:rsid w:val="005C5DB6"/>
    <w:rsid w:val="005C5F05"/>
    <w:rsid w:val="005C6186"/>
    <w:rsid w:val="005C6CF7"/>
    <w:rsid w:val="005C6D19"/>
    <w:rsid w:val="005C7E45"/>
    <w:rsid w:val="005C7F3E"/>
    <w:rsid w:val="005D06D3"/>
    <w:rsid w:val="005D0C3B"/>
    <w:rsid w:val="005D103E"/>
    <w:rsid w:val="005D1051"/>
    <w:rsid w:val="005D1511"/>
    <w:rsid w:val="005D1606"/>
    <w:rsid w:val="005D1D10"/>
    <w:rsid w:val="005D2044"/>
    <w:rsid w:val="005D209E"/>
    <w:rsid w:val="005D2917"/>
    <w:rsid w:val="005D2EB2"/>
    <w:rsid w:val="005D2F48"/>
    <w:rsid w:val="005D3902"/>
    <w:rsid w:val="005D3B32"/>
    <w:rsid w:val="005D4304"/>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6447"/>
    <w:rsid w:val="005E781C"/>
    <w:rsid w:val="005F2856"/>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08D4"/>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71"/>
    <w:rsid w:val="006129AB"/>
    <w:rsid w:val="00613191"/>
    <w:rsid w:val="006133F9"/>
    <w:rsid w:val="006134B3"/>
    <w:rsid w:val="00613746"/>
    <w:rsid w:val="00613DE1"/>
    <w:rsid w:val="0061401F"/>
    <w:rsid w:val="00614166"/>
    <w:rsid w:val="00614817"/>
    <w:rsid w:val="006149CC"/>
    <w:rsid w:val="00614E21"/>
    <w:rsid w:val="006157A9"/>
    <w:rsid w:val="0061591D"/>
    <w:rsid w:val="00615ED0"/>
    <w:rsid w:val="0061604C"/>
    <w:rsid w:val="00616C2B"/>
    <w:rsid w:val="00616D7F"/>
    <w:rsid w:val="006178D1"/>
    <w:rsid w:val="00617D72"/>
    <w:rsid w:val="00620719"/>
    <w:rsid w:val="006212C9"/>
    <w:rsid w:val="0062131B"/>
    <w:rsid w:val="00621D0C"/>
    <w:rsid w:val="00621F68"/>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968"/>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DBD"/>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5C4"/>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479"/>
    <w:rsid w:val="0068553E"/>
    <w:rsid w:val="00685D37"/>
    <w:rsid w:val="00685E7B"/>
    <w:rsid w:val="00686551"/>
    <w:rsid w:val="00686CAB"/>
    <w:rsid w:val="00686E5A"/>
    <w:rsid w:val="0068717F"/>
    <w:rsid w:val="0068730C"/>
    <w:rsid w:val="00687504"/>
    <w:rsid w:val="00687A14"/>
    <w:rsid w:val="00687A8C"/>
    <w:rsid w:val="0069042D"/>
    <w:rsid w:val="00690839"/>
    <w:rsid w:val="006908DB"/>
    <w:rsid w:val="00690DE9"/>
    <w:rsid w:val="00691281"/>
    <w:rsid w:val="00691563"/>
    <w:rsid w:val="00691A1A"/>
    <w:rsid w:val="00691DE9"/>
    <w:rsid w:val="00691EAA"/>
    <w:rsid w:val="00692245"/>
    <w:rsid w:val="00692745"/>
    <w:rsid w:val="00692FFA"/>
    <w:rsid w:val="00693772"/>
    <w:rsid w:val="00693984"/>
    <w:rsid w:val="00693B77"/>
    <w:rsid w:val="00694160"/>
    <w:rsid w:val="00694DB0"/>
    <w:rsid w:val="00694E8B"/>
    <w:rsid w:val="006959A5"/>
    <w:rsid w:val="00695C0C"/>
    <w:rsid w:val="00696736"/>
    <w:rsid w:val="00696A05"/>
    <w:rsid w:val="00697010"/>
    <w:rsid w:val="0069709F"/>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6EF6"/>
    <w:rsid w:val="006A7AB8"/>
    <w:rsid w:val="006A7B11"/>
    <w:rsid w:val="006A7CB5"/>
    <w:rsid w:val="006A7FD0"/>
    <w:rsid w:val="006B025C"/>
    <w:rsid w:val="006B04DB"/>
    <w:rsid w:val="006B08ED"/>
    <w:rsid w:val="006B2170"/>
    <w:rsid w:val="006B2534"/>
    <w:rsid w:val="006B2CB2"/>
    <w:rsid w:val="006B347D"/>
    <w:rsid w:val="006B34B4"/>
    <w:rsid w:val="006B3E19"/>
    <w:rsid w:val="006B4488"/>
    <w:rsid w:val="006B4736"/>
    <w:rsid w:val="006B4D5D"/>
    <w:rsid w:val="006B50C4"/>
    <w:rsid w:val="006B53AE"/>
    <w:rsid w:val="006B58B4"/>
    <w:rsid w:val="006B5D71"/>
    <w:rsid w:val="006B67AC"/>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3D"/>
    <w:rsid w:val="006C4B5C"/>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91"/>
    <w:rsid w:val="006D46A3"/>
    <w:rsid w:val="006D4A81"/>
    <w:rsid w:val="006D5A6C"/>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838"/>
    <w:rsid w:val="006F0F74"/>
    <w:rsid w:val="006F0FA1"/>
    <w:rsid w:val="006F13BA"/>
    <w:rsid w:val="006F15CC"/>
    <w:rsid w:val="006F15F6"/>
    <w:rsid w:val="006F1716"/>
    <w:rsid w:val="006F35F8"/>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5EF5"/>
    <w:rsid w:val="00716119"/>
    <w:rsid w:val="00716630"/>
    <w:rsid w:val="007167E8"/>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DD3"/>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AF6"/>
    <w:rsid w:val="00735B78"/>
    <w:rsid w:val="00735DA7"/>
    <w:rsid w:val="00736700"/>
    <w:rsid w:val="007368B4"/>
    <w:rsid w:val="007378E0"/>
    <w:rsid w:val="00737A4D"/>
    <w:rsid w:val="0074040E"/>
    <w:rsid w:val="00740529"/>
    <w:rsid w:val="00740876"/>
    <w:rsid w:val="00741358"/>
    <w:rsid w:val="007414B3"/>
    <w:rsid w:val="00741626"/>
    <w:rsid w:val="00742332"/>
    <w:rsid w:val="00742886"/>
    <w:rsid w:val="00742A3A"/>
    <w:rsid w:val="00742BED"/>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3A"/>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3D5A"/>
    <w:rsid w:val="0076445F"/>
    <w:rsid w:val="00764EC5"/>
    <w:rsid w:val="007651EF"/>
    <w:rsid w:val="00766D49"/>
    <w:rsid w:val="00766ECC"/>
    <w:rsid w:val="007672F3"/>
    <w:rsid w:val="007673F2"/>
    <w:rsid w:val="007677B5"/>
    <w:rsid w:val="007678B1"/>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624"/>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61E"/>
    <w:rsid w:val="007B59B7"/>
    <w:rsid w:val="007B6C64"/>
    <w:rsid w:val="007B6EC8"/>
    <w:rsid w:val="007B6F81"/>
    <w:rsid w:val="007B7EA2"/>
    <w:rsid w:val="007C097D"/>
    <w:rsid w:val="007C0AF2"/>
    <w:rsid w:val="007C1672"/>
    <w:rsid w:val="007C17AE"/>
    <w:rsid w:val="007C1CFF"/>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EDD"/>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278"/>
    <w:rsid w:val="007D5648"/>
    <w:rsid w:val="007D58C5"/>
    <w:rsid w:val="007D5DE8"/>
    <w:rsid w:val="007D7CFC"/>
    <w:rsid w:val="007E0812"/>
    <w:rsid w:val="007E0825"/>
    <w:rsid w:val="007E18DF"/>
    <w:rsid w:val="007E1AE5"/>
    <w:rsid w:val="007E214A"/>
    <w:rsid w:val="007E238D"/>
    <w:rsid w:val="007E2C36"/>
    <w:rsid w:val="007E2FEB"/>
    <w:rsid w:val="007E350D"/>
    <w:rsid w:val="007E3ACA"/>
    <w:rsid w:val="007E3F27"/>
    <w:rsid w:val="007E3F4A"/>
    <w:rsid w:val="007E4F0D"/>
    <w:rsid w:val="007E564D"/>
    <w:rsid w:val="007E5C4A"/>
    <w:rsid w:val="007E6135"/>
    <w:rsid w:val="007E64D4"/>
    <w:rsid w:val="007E6566"/>
    <w:rsid w:val="007E66E9"/>
    <w:rsid w:val="007E67A6"/>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976"/>
    <w:rsid w:val="007F4B40"/>
    <w:rsid w:val="007F4C94"/>
    <w:rsid w:val="007F510D"/>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55"/>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4C8"/>
    <w:rsid w:val="00837673"/>
    <w:rsid w:val="00837937"/>
    <w:rsid w:val="00837D82"/>
    <w:rsid w:val="0084008B"/>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5F78"/>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5403"/>
    <w:rsid w:val="00875434"/>
    <w:rsid w:val="00875C1F"/>
    <w:rsid w:val="00876215"/>
    <w:rsid w:val="0087646C"/>
    <w:rsid w:val="00876815"/>
    <w:rsid w:val="00877932"/>
    <w:rsid w:val="00877D6C"/>
    <w:rsid w:val="008808C7"/>
    <w:rsid w:val="00880D7A"/>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265"/>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1DF"/>
    <w:rsid w:val="008A7888"/>
    <w:rsid w:val="008A796E"/>
    <w:rsid w:val="008B0862"/>
    <w:rsid w:val="008B088C"/>
    <w:rsid w:val="008B1BF5"/>
    <w:rsid w:val="008B263F"/>
    <w:rsid w:val="008B3045"/>
    <w:rsid w:val="008B3E9E"/>
    <w:rsid w:val="008B47A6"/>
    <w:rsid w:val="008B5C7C"/>
    <w:rsid w:val="008B63FE"/>
    <w:rsid w:val="008B672C"/>
    <w:rsid w:val="008B6DAE"/>
    <w:rsid w:val="008B7108"/>
    <w:rsid w:val="008B71E6"/>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00"/>
    <w:rsid w:val="008D66CA"/>
    <w:rsid w:val="008D69B1"/>
    <w:rsid w:val="008D7338"/>
    <w:rsid w:val="008D785E"/>
    <w:rsid w:val="008D7B59"/>
    <w:rsid w:val="008D7D66"/>
    <w:rsid w:val="008E0012"/>
    <w:rsid w:val="008E0A71"/>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5C3D"/>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4DFD"/>
    <w:rsid w:val="008F538E"/>
    <w:rsid w:val="008F5A20"/>
    <w:rsid w:val="008F5ABA"/>
    <w:rsid w:val="008F6157"/>
    <w:rsid w:val="008F698E"/>
    <w:rsid w:val="008F71AB"/>
    <w:rsid w:val="008F7905"/>
    <w:rsid w:val="008F7989"/>
    <w:rsid w:val="00900912"/>
    <w:rsid w:val="00900FC5"/>
    <w:rsid w:val="00901F1D"/>
    <w:rsid w:val="00902142"/>
    <w:rsid w:val="009028E8"/>
    <w:rsid w:val="00902E5C"/>
    <w:rsid w:val="0090363E"/>
    <w:rsid w:val="00903788"/>
    <w:rsid w:val="009046E5"/>
    <w:rsid w:val="009047C5"/>
    <w:rsid w:val="00907E97"/>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2F8D"/>
    <w:rsid w:val="00923396"/>
    <w:rsid w:val="00923F56"/>
    <w:rsid w:val="009242A6"/>
    <w:rsid w:val="00924770"/>
    <w:rsid w:val="00924D7D"/>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2ED3"/>
    <w:rsid w:val="009439B6"/>
    <w:rsid w:val="009444B4"/>
    <w:rsid w:val="00944644"/>
    <w:rsid w:val="00944732"/>
    <w:rsid w:val="00946A24"/>
    <w:rsid w:val="009470D4"/>
    <w:rsid w:val="00947337"/>
    <w:rsid w:val="00947E6E"/>
    <w:rsid w:val="009507C3"/>
    <w:rsid w:val="009512FA"/>
    <w:rsid w:val="009516A9"/>
    <w:rsid w:val="00951E57"/>
    <w:rsid w:val="00952350"/>
    <w:rsid w:val="00952505"/>
    <w:rsid w:val="00953018"/>
    <w:rsid w:val="009533E2"/>
    <w:rsid w:val="00953554"/>
    <w:rsid w:val="0095385A"/>
    <w:rsid w:val="00954516"/>
    <w:rsid w:val="00954F3A"/>
    <w:rsid w:val="0095562A"/>
    <w:rsid w:val="00955DFD"/>
    <w:rsid w:val="0095674F"/>
    <w:rsid w:val="0095780A"/>
    <w:rsid w:val="009578C3"/>
    <w:rsid w:val="009579E4"/>
    <w:rsid w:val="00957AA4"/>
    <w:rsid w:val="00957ACB"/>
    <w:rsid w:val="00957F27"/>
    <w:rsid w:val="00960BDB"/>
    <w:rsid w:val="0096105C"/>
    <w:rsid w:val="0096147D"/>
    <w:rsid w:val="00961595"/>
    <w:rsid w:val="00961C14"/>
    <w:rsid w:val="00961D53"/>
    <w:rsid w:val="00961E5F"/>
    <w:rsid w:val="009625C6"/>
    <w:rsid w:val="009629B5"/>
    <w:rsid w:val="00962A50"/>
    <w:rsid w:val="00963550"/>
    <w:rsid w:val="00964138"/>
    <w:rsid w:val="009648D6"/>
    <w:rsid w:val="00964B3F"/>
    <w:rsid w:val="00964C98"/>
    <w:rsid w:val="009674E6"/>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EC1"/>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1DD3"/>
    <w:rsid w:val="0099211C"/>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2FF"/>
    <w:rsid w:val="009A0369"/>
    <w:rsid w:val="009A0917"/>
    <w:rsid w:val="009A0A33"/>
    <w:rsid w:val="009A0CC0"/>
    <w:rsid w:val="009A10B2"/>
    <w:rsid w:val="009A1351"/>
    <w:rsid w:val="009A1774"/>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A7953"/>
    <w:rsid w:val="009A7970"/>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0B36"/>
    <w:rsid w:val="009C181C"/>
    <w:rsid w:val="009C1A44"/>
    <w:rsid w:val="009C1C7F"/>
    <w:rsid w:val="009C1EC7"/>
    <w:rsid w:val="009C2210"/>
    <w:rsid w:val="009C28A2"/>
    <w:rsid w:val="009C3239"/>
    <w:rsid w:val="009C3828"/>
    <w:rsid w:val="009C3AD3"/>
    <w:rsid w:val="009C3AF4"/>
    <w:rsid w:val="009C3D2C"/>
    <w:rsid w:val="009C4987"/>
    <w:rsid w:val="009C4FDE"/>
    <w:rsid w:val="009C521A"/>
    <w:rsid w:val="009C523F"/>
    <w:rsid w:val="009C59BF"/>
    <w:rsid w:val="009C5E4F"/>
    <w:rsid w:val="009C5F64"/>
    <w:rsid w:val="009C5F82"/>
    <w:rsid w:val="009C60EA"/>
    <w:rsid w:val="009C65EB"/>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3553"/>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990"/>
    <w:rsid w:val="009F4F25"/>
    <w:rsid w:val="009F59C2"/>
    <w:rsid w:val="009F60AF"/>
    <w:rsid w:val="009F7263"/>
    <w:rsid w:val="009F73B6"/>
    <w:rsid w:val="009F76EA"/>
    <w:rsid w:val="009F78EB"/>
    <w:rsid w:val="009F7A81"/>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2E88"/>
    <w:rsid w:val="00A03160"/>
    <w:rsid w:val="00A036AC"/>
    <w:rsid w:val="00A03986"/>
    <w:rsid w:val="00A03C54"/>
    <w:rsid w:val="00A03DE5"/>
    <w:rsid w:val="00A041BC"/>
    <w:rsid w:val="00A0447F"/>
    <w:rsid w:val="00A046D2"/>
    <w:rsid w:val="00A0471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0E1"/>
    <w:rsid w:val="00A154D5"/>
    <w:rsid w:val="00A15621"/>
    <w:rsid w:val="00A15670"/>
    <w:rsid w:val="00A157A0"/>
    <w:rsid w:val="00A1585B"/>
    <w:rsid w:val="00A15C19"/>
    <w:rsid w:val="00A15FE9"/>
    <w:rsid w:val="00A16809"/>
    <w:rsid w:val="00A16864"/>
    <w:rsid w:val="00A169E2"/>
    <w:rsid w:val="00A16F53"/>
    <w:rsid w:val="00A17584"/>
    <w:rsid w:val="00A17769"/>
    <w:rsid w:val="00A17AF6"/>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4B95"/>
    <w:rsid w:val="00A25B0F"/>
    <w:rsid w:val="00A25BBB"/>
    <w:rsid w:val="00A27FB6"/>
    <w:rsid w:val="00A30121"/>
    <w:rsid w:val="00A30368"/>
    <w:rsid w:val="00A3043A"/>
    <w:rsid w:val="00A30E02"/>
    <w:rsid w:val="00A30F6A"/>
    <w:rsid w:val="00A31060"/>
    <w:rsid w:val="00A314EE"/>
    <w:rsid w:val="00A31C3E"/>
    <w:rsid w:val="00A32B2D"/>
    <w:rsid w:val="00A34538"/>
    <w:rsid w:val="00A34677"/>
    <w:rsid w:val="00A3540F"/>
    <w:rsid w:val="00A35630"/>
    <w:rsid w:val="00A35914"/>
    <w:rsid w:val="00A36189"/>
    <w:rsid w:val="00A3677A"/>
    <w:rsid w:val="00A37094"/>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C00"/>
    <w:rsid w:val="00A54FC2"/>
    <w:rsid w:val="00A55122"/>
    <w:rsid w:val="00A55806"/>
    <w:rsid w:val="00A55CEA"/>
    <w:rsid w:val="00A55DB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5F2"/>
    <w:rsid w:val="00A71EA7"/>
    <w:rsid w:val="00A730AD"/>
    <w:rsid w:val="00A73855"/>
    <w:rsid w:val="00A73D64"/>
    <w:rsid w:val="00A74216"/>
    <w:rsid w:val="00A74360"/>
    <w:rsid w:val="00A744B4"/>
    <w:rsid w:val="00A74B91"/>
    <w:rsid w:val="00A751E3"/>
    <w:rsid w:val="00A7536B"/>
    <w:rsid w:val="00A753B9"/>
    <w:rsid w:val="00A7549A"/>
    <w:rsid w:val="00A75504"/>
    <w:rsid w:val="00A75FD7"/>
    <w:rsid w:val="00A77168"/>
    <w:rsid w:val="00A7723B"/>
    <w:rsid w:val="00A772A0"/>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15A"/>
    <w:rsid w:val="00AA5779"/>
    <w:rsid w:val="00AA58A1"/>
    <w:rsid w:val="00AA61C7"/>
    <w:rsid w:val="00AA669D"/>
    <w:rsid w:val="00AA66ED"/>
    <w:rsid w:val="00AA6B59"/>
    <w:rsid w:val="00AA6BE1"/>
    <w:rsid w:val="00AA6D0C"/>
    <w:rsid w:val="00AA7416"/>
    <w:rsid w:val="00AA7A60"/>
    <w:rsid w:val="00AA7B42"/>
    <w:rsid w:val="00AB041C"/>
    <w:rsid w:val="00AB14E8"/>
    <w:rsid w:val="00AB1B1D"/>
    <w:rsid w:val="00AB1CD8"/>
    <w:rsid w:val="00AB2216"/>
    <w:rsid w:val="00AB358D"/>
    <w:rsid w:val="00AB37A1"/>
    <w:rsid w:val="00AB3BAD"/>
    <w:rsid w:val="00AB3CFD"/>
    <w:rsid w:val="00AB454D"/>
    <w:rsid w:val="00AB49BC"/>
    <w:rsid w:val="00AB4DEE"/>
    <w:rsid w:val="00AB4E32"/>
    <w:rsid w:val="00AB5C19"/>
    <w:rsid w:val="00AB6BBF"/>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56E3"/>
    <w:rsid w:val="00AD6236"/>
    <w:rsid w:val="00AD69D5"/>
    <w:rsid w:val="00AD6D07"/>
    <w:rsid w:val="00AD7619"/>
    <w:rsid w:val="00AD7770"/>
    <w:rsid w:val="00AD7773"/>
    <w:rsid w:val="00AE0B87"/>
    <w:rsid w:val="00AE1772"/>
    <w:rsid w:val="00AE1990"/>
    <w:rsid w:val="00AE25E8"/>
    <w:rsid w:val="00AE2AD4"/>
    <w:rsid w:val="00AE2CA7"/>
    <w:rsid w:val="00AE2F1D"/>
    <w:rsid w:val="00AE3218"/>
    <w:rsid w:val="00AE4A7D"/>
    <w:rsid w:val="00AE4C81"/>
    <w:rsid w:val="00AE4E63"/>
    <w:rsid w:val="00AE586F"/>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4CE"/>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4DFA"/>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6E"/>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437"/>
    <w:rsid w:val="00B5196C"/>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3BB"/>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826"/>
    <w:rsid w:val="00BA6FE8"/>
    <w:rsid w:val="00BA732D"/>
    <w:rsid w:val="00BA7370"/>
    <w:rsid w:val="00BA778B"/>
    <w:rsid w:val="00BB0888"/>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18B3"/>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585"/>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0F20"/>
    <w:rsid w:val="00BF10ED"/>
    <w:rsid w:val="00BF15F2"/>
    <w:rsid w:val="00BF1D48"/>
    <w:rsid w:val="00BF1DD2"/>
    <w:rsid w:val="00BF23A3"/>
    <w:rsid w:val="00BF2A7E"/>
    <w:rsid w:val="00BF2CD0"/>
    <w:rsid w:val="00BF3331"/>
    <w:rsid w:val="00BF3A45"/>
    <w:rsid w:val="00BF436F"/>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775"/>
    <w:rsid w:val="00C05A61"/>
    <w:rsid w:val="00C05FBA"/>
    <w:rsid w:val="00C05FEE"/>
    <w:rsid w:val="00C066B4"/>
    <w:rsid w:val="00C06CCF"/>
    <w:rsid w:val="00C0794D"/>
    <w:rsid w:val="00C1066C"/>
    <w:rsid w:val="00C10E78"/>
    <w:rsid w:val="00C10F82"/>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DE"/>
    <w:rsid w:val="00C2338B"/>
    <w:rsid w:val="00C233CE"/>
    <w:rsid w:val="00C237DD"/>
    <w:rsid w:val="00C238F4"/>
    <w:rsid w:val="00C2393A"/>
    <w:rsid w:val="00C23A99"/>
    <w:rsid w:val="00C23AB5"/>
    <w:rsid w:val="00C23F23"/>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B5F"/>
    <w:rsid w:val="00C358D4"/>
    <w:rsid w:val="00C35F59"/>
    <w:rsid w:val="00C365C6"/>
    <w:rsid w:val="00C366F4"/>
    <w:rsid w:val="00C36785"/>
    <w:rsid w:val="00C36FEA"/>
    <w:rsid w:val="00C3711C"/>
    <w:rsid w:val="00C37256"/>
    <w:rsid w:val="00C37A7B"/>
    <w:rsid w:val="00C37DC1"/>
    <w:rsid w:val="00C37FA6"/>
    <w:rsid w:val="00C37FFE"/>
    <w:rsid w:val="00C40B50"/>
    <w:rsid w:val="00C419E3"/>
    <w:rsid w:val="00C419F4"/>
    <w:rsid w:val="00C41A67"/>
    <w:rsid w:val="00C41E6A"/>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1F2"/>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4B1"/>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49FD"/>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3F2A"/>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067"/>
    <w:rsid w:val="00CB0236"/>
    <w:rsid w:val="00CB0C97"/>
    <w:rsid w:val="00CB0CB1"/>
    <w:rsid w:val="00CB137C"/>
    <w:rsid w:val="00CB1881"/>
    <w:rsid w:val="00CB1969"/>
    <w:rsid w:val="00CB19E3"/>
    <w:rsid w:val="00CB2C3A"/>
    <w:rsid w:val="00CB2D38"/>
    <w:rsid w:val="00CB2F5E"/>
    <w:rsid w:val="00CB4137"/>
    <w:rsid w:val="00CB50D0"/>
    <w:rsid w:val="00CB5284"/>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565"/>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4F87"/>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92E"/>
    <w:rsid w:val="00CD5982"/>
    <w:rsid w:val="00CD5A1A"/>
    <w:rsid w:val="00CD5C26"/>
    <w:rsid w:val="00CD6126"/>
    <w:rsid w:val="00CD6CAB"/>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144"/>
    <w:rsid w:val="00CF35D0"/>
    <w:rsid w:val="00CF3B57"/>
    <w:rsid w:val="00CF3D61"/>
    <w:rsid w:val="00CF3DD5"/>
    <w:rsid w:val="00CF43E7"/>
    <w:rsid w:val="00CF4AF7"/>
    <w:rsid w:val="00CF4D20"/>
    <w:rsid w:val="00CF5EC0"/>
    <w:rsid w:val="00CF629F"/>
    <w:rsid w:val="00CF73F8"/>
    <w:rsid w:val="00CF7675"/>
    <w:rsid w:val="00CF7928"/>
    <w:rsid w:val="00CF7CA2"/>
    <w:rsid w:val="00D00911"/>
    <w:rsid w:val="00D00A8E"/>
    <w:rsid w:val="00D00DE0"/>
    <w:rsid w:val="00D00F79"/>
    <w:rsid w:val="00D012BF"/>
    <w:rsid w:val="00D01760"/>
    <w:rsid w:val="00D01838"/>
    <w:rsid w:val="00D028B5"/>
    <w:rsid w:val="00D02BD6"/>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732"/>
    <w:rsid w:val="00D2374F"/>
    <w:rsid w:val="00D2376E"/>
    <w:rsid w:val="00D2477B"/>
    <w:rsid w:val="00D24F93"/>
    <w:rsid w:val="00D25027"/>
    <w:rsid w:val="00D2522A"/>
    <w:rsid w:val="00D2531C"/>
    <w:rsid w:val="00D25428"/>
    <w:rsid w:val="00D2553E"/>
    <w:rsid w:val="00D2587F"/>
    <w:rsid w:val="00D2742F"/>
    <w:rsid w:val="00D2754F"/>
    <w:rsid w:val="00D277C5"/>
    <w:rsid w:val="00D279D9"/>
    <w:rsid w:val="00D309A0"/>
    <w:rsid w:val="00D312DC"/>
    <w:rsid w:val="00D31B84"/>
    <w:rsid w:val="00D31C6A"/>
    <w:rsid w:val="00D31EDF"/>
    <w:rsid w:val="00D31FF9"/>
    <w:rsid w:val="00D32149"/>
    <w:rsid w:val="00D32256"/>
    <w:rsid w:val="00D32784"/>
    <w:rsid w:val="00D32A27"/>
    <w:rsid w:val="00D32ABC"/>
    <w:rsid w:val="00D33D93"/>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38D"/>
    <w:rsid w:val="00D41858"/>
    <w:rsid w:val="00D41EEB"/>
    <w:rsid w:val="00D422DB"/>
    <w:rsid w:val="00D4289B"/>
    <w:rsid w:val="00D42AC2"/>
    <w:rsid w:val="00D4498E"/>
    <w:rsid w:val="00D4515F"/>
    <w:rsid w:val="00D451E8"/>
    <w:rsid w:val="00D45EE8"/>
    <w:rsid w:val="00D466C9"/>
    <w:rsid w:val="00D46B43"/>
    <w:rsid w:val="00D47275"/>
    <w:rsid w:val="00D517F6"/>
    <w:rsid w:val="00D51AB7"/>
    <w:rsid w:val="00D51E15"/>
    <w:rsid w:val="00D51FBC"/>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BCA"/>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35E"/>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3F5"/>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049"/>
    <w:rsid w:val="00D9310B"/>
    <w:rsid w:val="00D931F3"/>
    <w:rsid w:val="00D93726"/>
    <w:rsid w:val="00D93F3E"/>
    <w:rsid w:val="00D9405B"/>
    <w:rsid w:val="00D94942"/>
    <w:rsid w:val="00D9502A"/>
    <w:rsid w:val="00D95145"/>
    <w:rsid w:val="00D96594"/>
    <w:rsid w:val="00D96678"/>
    <w:rsid w:val="00D967CB"/>
    <w:rsid w:val="00D968D4"/>
    <w:rsid w:val="00D96EE0"/>
    <w:rsid w:val="00D96F14"/>
    <w:rsid w:val="00D97B81"/>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336"/>
    <w:rsid w:val="00DB7760"/>
    <w:rsid w:val="00DB7DD4"/>
    <w:rsid w:val="00DC00B4"/>
    <w:rsid w:val="00DC0954"/>
    <w:rsid w:val="00DC0DF8"/>
    <w:rsid w:val="00DC15BA"/>
    <w:rsid w:val="00DC18CD"/>
    <w:rsid w:val="00DC1A68"/>
    <w:rsid w:val="00DC2072"/>
    <w:rsid w:val="00DC30B8"/>
    <w:rsid w:val="00DC3B9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CC8"/>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82E"/>
    <w:rsid w:val="00E14C59"/>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BF0"/>
    <w:rsid w:val="00E30E49"/>
    <w:rsid w:val="00E312B1"/>
    <w:rsid w:val="00E31A4A"/>
    <w:rsid w:val="00E320F4"/>
    <w:rsid w:val="00E3344A"/>
    <w:rsid w:val="00E337CC"/>
    <w:rsid w:val="00E33B29"/>
    <w:rsid w:val="00E33B62"/>
    <w:rsid w:val="00E3403D"/>
    <w:rsid w:val="00E340E4"/>
    <w:rsid w:val="00E34376"/>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1727"/>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74F"/>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01E"/>
    <w:rsid w:val="00E55CC9"/>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3A3"/>
    <w:rsid w:val="00E64700"/>
    <w:rsid w:val="00E65074"/>
    <w:rsid w:val="00E65857"/>
    <w:rsid w:val="00E65E70"/>
    <w:rsid w:val="00E66087"/>
    <w:rsid w:val="00E66124"/>
    <w:rsid w:val="00E66D79"/>
    <w:rsid w:val="00E66FF9"/>
    <w:rsid w:val="00E6706F"/>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6537"/>
    <w:rsid w:val="00E76A85"/>
    <w:rsid w:val="00E77784"/>
    <w:rsid w:val="00E77A46"/>
    <w:rsid w:val="00E77AF5"/>
    <w:rsid w:val="00E77DAC"/>
    <w:rsid w:val="00E8035B"/>
    <w:rsid w:val="00E806D9"/>
    <w:rsid w:val="00E80ADE"/>
    <w:rsid w:val="00E820F4"/>
    <w:rsid w:val="00E82263"/>
    <w:rsid w:val="00E823F9"/>
    <w:rsid w:val="00E8290E"/>
    <w:rsid w:val="00E82C1F"/>
    <w:rsid w:val="00E83671"/>
    <w:rsid w:val="00E83D1E"/>
    <w:rsid w:val="00E840EE"/>
    <w:rsid w:val="00E84314"/>
    <w:rsid w:val="00E849CA"/>
    <w:rsid w:val="00E84A23"/>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165"/>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943"/>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2AD"/>
    <w:rsid w:val="00EC26F1"/>
    <w:rsid w:val="00EC2E9D"/>
    <w:rsid w:val="00EC3BA2"/>
    <w:rsid w:val="00EC3C94"/>
    <w:rsid w:val="00EC44DF"/>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0B"/>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329"/>
    <w:rsid w:val="00F2075F"/>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27AE9"/>
    <w:rsid w:val="00F300A8"/>
    <w:rsid w:val="00F302C6"/>
    <w:rsid w:val="00F30400"/>
    <w:rsid w:val="00F3079E"/>
    <w:rsid w:val="00F310FF"/>
    <w:rsid w:val="00F31289"/>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1F2"/>
    <w:rsid w:val="00F424B3"/>
    <w:rsid w:val="00F428B1"/>
    <w:rsid w:val="00F428B4"/>
    <w:rsid w:val="00F4345D"/>
    <w:rsid w:val="00F4387B"/>
    <w:rsid w:val="00F43D66"/>
    <w:rsid w:val="00F45756"/>
    <w:rsid w:val="00F45921"/>
    <w:rsid w:val="00F45B91"/>
    <w:rsid w:val="00F46639"/>
    <w:rsid w:val="00F476FD"/>
    <w:rsid w:val="00F50183"/>
    <w:rsid w:val="00F50D92"/>
    <w:rsid w:val="00F51765"/>
    <w:rsid w:val="00F51991"/>
    <w:rsid w:val="00F51A51"/>
    <w:rsid w:val="00F51BC6"/>
    <w:rsid w:val="00F51CB4"/>
    <w:rsid w:val="00F51CC1"/>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57FB7"/>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96D"/>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471B"/>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2E0B"/>
    <w:rsid w:val="00FB35E3"/>
    <w:rsid w:val="00FB40BA"/>
    <w:rsid w:val="00FB496B"/>
    <w:rsid w:val="00FB4C98"/>
    <w:rsid w:val="00FB4CE3"/>
    <w:rsid w:val="00FB55B5"/>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7FE"/>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6675"/>
    <w:rsid w:val="00FD6DC5"/>
    <w:rsid w:val="00FD72B1"/>
    <w:rsid w:val="00FD798D"/>
    <w:rsid w:val="00FE0FB8"/>
    <w:rsid w:val="00FE141E"/>
    <w:rsid w:val="00FE144E"/>
    <w:rsid w:val="00FE1768"/>
    <w:rsid w:val="00FE1DD5"/>
    <w:rsid w:val="00FE1FCD"/>
    <w:rsid w:val="00FE21AE"/>
    <w:rsid w:val="00FE24ED"/>
    <w:rsid w:val="00FE24F4"/>
    <w:rsid w:val="00FE2560"/>
    <w:rsid w:val="00FE35D0"/>
    <w:rsid w:val="00FE42ED"/>
    <w:rsid w:val="00FE4E06"/>
    <w:rsid w:val="00FE55A7"/>
    <w:rsid w:val="00FE5C5A"/>
    <w:rsid w:val="00FE601E"/>
    <w:rsid w:val="00FE6432"/>
    <w:rsid w:val="00FE72A0"/>
    <w:rsid w:val="00FF0050"/>
    <w:rsid w:val="00FF045F"/>
    <w:rsid w:val="00FF05D7"/>
    <w:rsid w:val="00FF0816"/>
    <w:rsid w:val="00FF0EC4"/>
    <w:rsid w:val="00FF13D4"/>
    <w:rsid w:val="00FF1CF7"/>
    <w:rsid w:val="00FF2053"/>
    <w:rsid w:val="00FF22E8"/>
    <w:rsid w:val="00FF25D7"/>
    <w:rsid w:val="00FF26FB"/>
    <w:rsid w:val="00FF3B37"/>
    <w:rsid w:val="00FF3CC7"/>
    <w:rsid w:val="00FF3D6F"/>
    <w:rsid w:val="00FF441A"/>
    <w:rsid w:val="00FF48C9"/>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paragraph" w:customStyle="1" w:styleId="default0">
    <w:name w:val="default"/>
    <w:basedOn w:val="Normal"/>
    <w:rsid w:val="009C521A"/>
    <w:pPr>
      <w:spacing w:before="100" w:beforeAutospacing="1" w:after="100" w:afterAutospacing="1"/>
    </w:pPr>
    <w:rPr>
      <w:lang w:eastAsia="es-CO"/>
    </w:rPr>
  </w:style>
  <w:style w:type="table" w:customStyle="1" w:styleId="Tablaconcuadrcula11">
    <w:name w:val="Tabla con cuadrícula11"/>
    <w:basedOn w:val="Tablanormal"/>
    <w:next w:val="Tablaconcuadrcula"/>
    <w:uiPriority w:val="59"/>
    <w:rsid w:val="00183AE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8BC"/>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8510686">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54C956-5E27-4931-B142-9755492426B3}">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1D3D499-5CCE-4882-B4CA-5AFAA5AE2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11</Pages>
  <Words>3818</Words>
  <Characters>21004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2022-10-14T20:42:00Z</dcterms:created>
  <dcterms:modified xsi:type="dcterms:W3CDTF">2022-10-14T20:42:00Z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