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F8D7" w14:textId="77777777" w:rsidR="008C109C" w:rsidRPr="008C109C" w:rsidRDefault="008C109C" w:rsidP="008C109C">
      <w:pPr>
        <w:spacing w:after="0"/>
        <w:rPr>
          <w:rFonts w:ascii="Arial" w:hAnsi="Arial" w:cs="Arial"/>
          <w:bCs/>
          <w:color w:val="000000"/>
          <w:sz w:val="20"/>
          <w:szCs w:val="20"/>
          <w:lang w:val="es-ES"/>
        </w:rPr>
      </w:pPr>
      <w:r w:rsidRPr="008C109C">
        <w:rPr>
          <w:rFonts w:ascii="Arial" w:hAnsi="Arial" w:cs="Arial"/>
          <w:b/>
          <w:color w:val="000000"/>
          <w:sz w:val="20"/>
          <w:szCs w:val="20"/>
          <w:lang w:val="es-CO"/>
        </w:rPr>
        <w:t xml:space="preserve">LEY DE EMPRENDIMIENTO – Decreto 1860 del 2021 – Reglamentación artículo 32 </w:t>
      </w:r>
    </w:p>
    <w:p w14:paraId="54E9267F" w14:textId="77777777" w:rsidR="008C109C" w:rsidRPr="008C109C" w:rsidRDefault="008C109C" w:rsidP="008C109C">
      <w:pPr>
        <w:spacing w:after="0" w:line="240" w:lineRule="auto"/>
        <w:rPr>
          <w:rFonts w:ascii="Arial" w:eastAsia="Times New Roman" w:hAnsi="Arial" w:cs="Arial"/>
          <w:color w:val="000000"/>
          <w:sz w:val="20"/>
          <w:szCs w:val="20"/>
          <w:lang w:val="es-ES" w:eastAsia="es-CO"/>
        </w:rPr>
      </w:pPr>
    </w:p>
    <w:p w14:paraId="0F76C08A" w14:textId="77777777" w:rsidR="008C109C" w:rsidRPr="00164807" w:rsidRDefault="008C109C" w:rsidP="008C109C">
      <w:pPr>
        <w:spacing w:after="0" w:line="240" w:lineRule="auto"/>
        <w:rPr>
          <w:rFonts w:ascii="Arial" w:eastAsia="Times New Roman" w:hAnsi="Arial" w:cs="Arial"/>
          <w:bCs/>
          <w:color w:val="000000"/>
          <w:sz w:val="20"/>
          <w:szCs w:val="20"/>
          <w:lang w:eastAsia="es-CO"/>
        </w:rPr>
      </w:pPr>
      <w:r w:rsidRPr="00164807">
        <w:rPr>
          <w:rFonts w:ascii="Arial" w:eastAsia="Times New Roman" w:hAnsi="Arial" w:cs="Arial"/>
          <w:bCs/>
          <w:color w:val="000000"/>
          <w:sz w:val="20"/>
          <w:szCs w:val="20"/>
          <w:lang w:val="es-ES" w:eastAsia="es-CO"/>
        </w:rPr>
        <w:t xml:space="preserve">Así las cosas, </w:t>
      </w:r>
      <w:r w:rsidRPr="00164807">
        <w:rPr>
          <w:rFonts w:ascii="Arial" w:eastAsia="Times New Roman" w:hAnsi="Arial" w:cs="Arial"/>
          <w:bCs/>
          <w:color w:val="000000"/>
          <w:sz w:val="20"/>
          <w:szCs w:val="20"/>
          <w:lang w:val="es-CO" w:eastAsia="es-CO"/>
        </w:rPr>
        <w:t>el artículo 32 de la mencionada Ley establece criterios diferenciales para los «emprendimientos y empresas de mujeres» en el sistema de compras y contratación pública y establece la necesidad de reglamentación de la definición de «emprendimientos y empresas de mujeres» por parte del Gobierno Nacional</w:t>
      </w:r>
      <w:r w:rsidRPr="00164807">
        <w:rPr>
          <w:rFonts w:ascii="Arial" w:eastAsia="Times New Roman" w:hAnsi="Arial" w:cs="Arial"/>
          <w:bCs/>
          <w:color w:val="000000"/>
          <w:sz w:val="20"/>
          <w:szCs w:val="20"/>
          <w:lang w:eastAsia="es-CO"/>
        </w:rPr>
        <w:t xml:space="preserve">. Estos criterios diferenciales –que incluyen tanto los requisitos diferenciales como los puntajes adicionales– aplican a los procesos de licitación pública, selección abreviada de menor cuantía y concurso de méritos. La norma en comento también se extiende a todos los procedimientos competitivos que realicen las entidades estatales excluidas de la Ley 80 de 1993.  </w:t>
      </w:r>
    </w:p>
    <w:p w14:paraId="59C51EE9" w14:textId="77777777" w:rsidR="008C109C" w:rsidRPr="008C109C" w:rsidRDefault="008C109C" w:rsidP="008C109C">
      <w:pPr>
        <w:spacing w:after="0" w:line="240" w:lineRule="auto"/>
        <w:rPr>
          <w:rFonts w:ascii="Arial" w:eastAsia="Times New Roman" w:hAnsi="Arial" w:cs="Arial"/>
          <w:color w:val="000000"/>
          <w:sz w:val="20"/>
          <w:szCs w:val="20"/>
          <w:lang w:val="es-ES" w:eastAsia="es-CO"/>
        </w:rPr>
      </w:pPr>
    </w:p>
    <w:p w14:paraId="7A3FB3FF" w14:textId="77777777" w:rsidR="008C109C" w:rsidRPr="008C109C" w:rsidRDefault="008C109C" w:rsidP="008C109C">
      <w:pPr>
        <w:spacing w:after="0" w:line="240" w:lineRule="auto"/>
        <w:rPr>
          <w:rFonts w:ascii="Arial" w:eastAsia="Times New Roman" w:hAnsi="Arial" w:cs="Arial"/>
          <w:bCs/>
          <w:color w:val="000000"/>
          <w:sz w:val="20"/>
          <w:szCs w:val="20"/>
          <w:lang w:eastAsia="es-CO"/>
        </w:rPr>
      </w:pPr>
    </w:p>
    <w:p w14:paraId="78E9384B" w14:textId="77777777" w:rsidR="008C109C" w:rsidRPr="008C109C" w:rsidRDefault="008C109C" w:rsidP="008C109C">
      <w:pPr>
        <w:spacing w:after="0" w:line="240" w:lineRule="auto"/>
        <w:textAlignment w:val="baseline"/>
        <w:rPr>
          <w:rFonts w:ascii="Arial" w:eastAsia="Times New Roman" w:hAnsi="Arial" w:cs="Arial"/>
          <w:color w:val="000000"/>
          <w:sz w:val="20"/>
          <w:szCs w:val="20"/>
          <w:lang w:val="es-CO" w:eastAsia="es-CO"/>
        </w:rPr>
      </w:pPr>
      <w:r w:rsidRPr="008C109C">
        <w:rPr>
          <w:rFonts w:ascii="Arial" w:eastAsia="Times New Roman" w:hAnsi="Arial" w:cs="Arial"/>
          <w:color w:val="000000"/>
          <w:sz w:val="20"/>
          <w:szCs w:val="20"/>
          <w:lang w:val="es-ES" w:eastAsia="es-CO"/>
        </w:rPr>
        <w:t>[...] Con fundamento en lo anterior, el Gobierno Nacional expidió el Decreto 1860 de 2021 que</w:t>
      </w:r>
      <w:r w:rsidRPr="008C109C">
        <w:rPr>
          <w:rFonts w:ascii="Arial" w:eastAsia="Times New Roman" w:hAnsi="Arial" w:cs="Arial"/>
          <w:color w:val="000000"/>
          <w:sz w:val="20"/>
          <w:szCs w:val="20"/>
          <w:lang w:val="es-CO" w:eastAsia="es-CO"/>
        </w:rPr>
        <w:t xml:space="preserve"> modificó el Decreto 1082 de 2015, Único Reglamentario del Sector Administrativo de Planeación Nacional, incorporando una regulación detallada de la norma anteriormente citadas para la efectiva aplicación de la Ley 2069 de 2020 en el sistema de compras y contratación pública, además de incluir algunas disposiciones adicionales para la reglamentación efectiva de la citada Ley. </w:t>
      </w:r>
    </w:p>
    <w:p w14:paraId="26217C6D" w14:textId="77777777" w:rsidR="008C109C" w:rsidRPr="008C109C" w:rsidRDefault="008C109C" w:rsidP="008C109C">
      <w:pPr>
        <w:spacing w:after="0" w:line="240" w:lineRule="auto"/>
        <w:textAlignment w:val="baseline"/>
        <w:rPr>
          <w:rFonts w:ascii="Arial" w:eastAsia="Times New Roman" w:hAnsi="Arial" w:cs="Arial"/>
          <w:color w:val="000000"/>
          <w:sz w:val="20"/>
          <w:szCs w:val="20"/>
          <w:lang w:val="es-CO" w:eastAsia="es-CO"/>
        </w:rPr>
      </w:pPr>
    </w:p>
    <w:p w14:paraId="6DAF19B7" w14:textId="77777777" w:rsidR="008C109C" w:rsidRPr="008C109C" w:rsidRDefault="008C109C" w:rsidP="008C109C">
      <w:pPr>
        <w:spacing w:after="0" w:line="240" w:lineRule="auto"/>
        <w:textAlignment w:val="baseline"/>
        <w:rPr>
          <w:rFonts w:ascii="Arial" w:eastAsia="Times New Roman" w:hAnsi="Arial" w:cs="Arial"/>
          <w:b/>
          <w:color w:val="000000"/>
          <w:sz w:val="20"/>
          <w:szCs w:val="20"/>
          <w:lang w:val="es-CO" w:eastAsia="es-CO"/>
        </w:rPr>
      </w:pPr>
      <w:r w:rsidRPr="008C109C">
        <w:rPr>
          <w:rFonts w:ascii="Arial" w:eastAsia="Times New Roman" w:hAnsi="Arial" w:cs="Arial"/>
          <w:b/>
          <w:color w:val="000000"/>
          <w:sz w:val="20"/>
          <w:szCs w:val="20"/>
          <w:lang w:val="es-CO" w:eastAsia="es-CO"/>
        </w:rPr>
        <w:t>CRITERIOS DIFERENCIALES – Decreto 1860 de 2021 – Regulación empresas de mujeres</w:t>
      </w:r>
    </w:p>
    <w:p w14:paraId="717A838E" w14:textId="77777777" w:rsidR="008C109C" w:rsidRPr="008C109C" w:rsidRDefault="008C109C" w:rsidP="008C109C">
      <w:pPr>
        <w:spacing w:after="0" w:line="240" w:lineRule="auto"/>
        <w:textAlignment w:val="baseline"/>
        <w:rPr>
          <w:rFonts w:ascii="Arial" w:eastAsia="Times New Roman" w:hAnsi="Arial" w:cs="Arial"/>
          <w:b/>
          <w:color w:val="000000"/>
          <w:sz w:val="20"/>
          <w:szCs w:val="20"/>
          <w:lang w:val="es-CO" w:eastAsia="es-CO"/>
        </w:rPr>
      </w:pPr>
    </w:p>
    <w:p w14:paraId="0415C504" w14:textId="77777777" w:rsidR="008C109C" w:rsidRPr="008C109C" w:rsidRDefault="008C109C" w:rsidP="008C109C">
      <w:pPr>
        <w:spacing w:after="0" w:line="240" w:lineRule="auto"/>
        <w:textAlignment w:val="baseline"/>
        <w:rPr>
          <w:rFonts w:ascii="Arial" w:eastAsia="Times New Roman" w:hAnsi="Arial" w:cs="Arial"/>
          <w:bCs/>
          <w:color w:val="000000"/>
          <w:sz w:val="20"/>
          <w:szCs w:val="20"/>
          <w:lang w:val="es-CO" w:eastAsia="es-CO"/>
        </w:rPr>
      </w:pPr>
      <w:r w:rsidRPr="008C109C">
        <w:rPr>
          <w:rFonts w:ascii="Arial" w:eastAsia="Times New Roman" w:hAnsi="Arial" w:cs="Arial"/>
          <w:color w:val="000000"/>
          <w:sz w:val="20"/>
          <w:szCs w:val="20"/>
          <w:lang w:val="es-CO" w:eastAsia="es-CO"/>
        </w:rPr>
        <w:t xml:space="preserve">[…] </w:t>
      </w:r>
      <w:r w:rsidRPr="008C109C">
        <w:rPr>
          <w:rFonts w:ascii="Arial" w:eastAsia="Times New Roman" w:hAnsi="Arial" w:cs="Arial"/>
          <w:bCs/>
          <w:color w:val="000000"/>
          <w:sz w:val="20"/>
          <w:szCs w:val="20"/>
          <w:lang w:val="es-CO" w:eastAsia="es-CO"/>
        </w:rPr>
        <w:t xml:space="preserve">Como primer presupuesto para la regulación de los criterios diferenciales en favor de los emprendimientos y empresas de mujeres, el artículo el 3 del Decreto 1860 de 2021, que adicionó el artículo 2.2.1.2.4.2.14 al Decreto 1082 de 2015, incorpora la definición de emprendimientos y empresas de mujeres para que puedan aplicarse los criterios diferenciales. De esta manera,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5233E99E" w14:textId="77777777" w:rsidR="008C109C" w:rsidRPr="008C109C" w:rsidRDefault="008C109C" w:rsidP="008C109C">
      <w:pPr>
        <w:spacing w:after="0" w:line="240" w:lineRule="auto"/>
        <w:textAlignment w:val="baseline"/>
        <w:rPr>
          <w:rFonts w:ascii="Arial" w:eastAsia="Times New Roman" w:hAnsi="Arial" w:cs="Arial"/>
          <w:color w:val="000000"/>
          <w:sz w:val="20"/>
          <w:szCs w:val="20"/>
          <w:lang w:val="es-CO" w:eastAsia="es-CO"/>
        </w:rPr>
      </w:pPr>
    </w:p>
    <w:p w14:paraId="2C9630F6" w14:textId="77777777" w:rsidR="008C109C" w:rsidRPr="008C109C" w:rsidRDefault="008C109C" w:rsidP="008C109C">
      <w:pPr>
        <w:spacing w:after="0" w:line="240" w:lineRule="auto"/>
        <w:rPr>
          <w:rFonts w:ascii="Arial" w:eastAsia="Arial" w:hAnsi="Arial" w:cs="Arial"/>
          <w:b/>
          <w:bCs/>
          <w:color w:val="000000"/>
          <w:sz w:val="20"/>
          <w:szCs w:val="20"/>
          <w:lang w:val="es-CO"/>
        </w:rPr>
      </w:pPr>
      <w:r w:rsidRPr="008C109C">
        <w:rPr>
          <w:rFonts w:ascii="Arial" w:eastAsia="Arial" w:hAnsi="Arial" w:cs="Arial"/>
          <w:b/>
          <w:bCs/>
          <w:color w:val="000000"/>
          <w:sz w:val="20"/>
          <w:szCs w:val="20"/>
        </w:rPr>
        <w:t>SUSTITUCIÓN DE EMPLEADORES –</w:t>
      </w:r>
      <w:r w:rsidRPr="008C109C">
        <w:rPr>
          <w:rFonts w:ascii="Arial" w:eastAsia="Arial" w:hAnsi="Arial" w:cs="Arial"/>
          <w:b/>
          <w:bCs/>
          <w:color w:val="000000"/>
          <w:sz w:val="20"/>
          <w:szCs w:val="20"/>
          <w:lang w:val="es-CO"/>
        </w:rPr>
        <w:t xml:space="preserve"> Criterios diferenciales en favor de emprendimientos y empresas de mujeres </w:t>
      </w:r>
    </w:p>
    <w:p w14:paraId="18E109B0" w14:textId="77777777" w:rsidR="008C109C" w:rsidRPr="008C109C" w:rsidRDefault="008C109C" w:rsidP="008C109C">
      <w:pPr>
        <w:spacing w:after="0" w:line="240" w:lineRule="auto"/>
        <w:rPr>
          <w:rFonts w:ascii="Arial" w:eastAsia="Arial" w:hAnsi="Arial" w:cs="Arial"/>
          <w:b/>
          <w:color w:val="000000"/>
          <w:sz w:val="20"/>
          <w:szCs w:val="20"/>
        </w:rPr>
      </w:pPr>
    </w:p>
    <w:p w14:paraId="0C3D60E2" w14:textId="77777777" w:rsidR="008C109C" w:rsidRPr="008C109C" w:rsidRDefault="008C109C" w:rsidP="008C109C">
      <w:pPr>
        <w:spacing w:after="0" w:line="240" w:lineRule="auto"/>
        <w:rPr>
          <w:rFonts w:ascii="Arial" w:hAnsi="Arial" w:cs="Arial"/>
          <w:bCs/>
          <w:color w:val="000000"/>
          <w:sz w:val="20"/>
          <w:szCs w:val="20"/>
          <w:lang w:eastAsia="en-US"/>
        </w:rPr>
      </w:pPr>
      <w:r w:rsidRPr="008C109C">
        <w:rPr>
          <w:rFonts w:ascii="Arial" w:hAnsi="Arial" w:cs="Arial"/>
          <w:bCs/>
          <w:color w:val="000000"/>
          <w:sz w:val="20"/>
          <w:szCs w:val="20"/>
          <w:lang w:eastAsia="en-US"/>
        </w:rPr>
        <w:t xml:space="preserve">Así las cosas, la disposición exige como una de las condiciones con base en las cuales se debe entender que un proponente tiene la condición de emprendimiento o empresa de mujeres, la vinculación mínima de un año del 50% del personal directivo del proponte respectivo, de manera que se trate de mujeres. </w:t>
      </w:r>
    </w:p>
    <w:p w14:paraId="29BA7D91" w14:textId="77777777" w:rsidR="008C109C" w:rsidRPr="008C109C" w:rsidRDefault="008C109C" w:rsidP="008C109C">
      <w:pPr>
        <w:spacing w:after="0" w:line="240" w:lineRule="auto"/>
        <w:rPr>
          <w:rFonts w:ascii="Arial" w:hAnsi="Arial" w:cs="Arial"/>
          <w:bCs/>
          <w:color w:val="000000"/>
          <w:sz w:val="20"/>
          <w:szCs w:val="20"/>
          <w:lang w:eastAsia="en-US"/>
        </w:rPr>
      </w:pPr>
    </w:p>
    <w:p w14:paraId="726FF7BE" w14:textId="77777777" w:rsidR="008C109C" w:rsidRPr="008C109C" w:rsidRDefault="008C109C" w:rsidP="008C109C">
      <w:pPr>
        <w:spacing w:after="0" w:line="240" w:lineRule="auto"/>
        <w:rPr>
          <w:rFonts w:ascii="Arial" w:eastAsia="Times New Roman" w:hAnsi="Arial" w:cs="Arial"/>
          <w:color w:val="000000"/>
          <w:sz w:val="20"/>
          <w:szCs w:val="20"/>
          <w:lang w:val="es-CO" w:eastAsia="es-CO"/>
        </w:rPr>
      </w:pPr>
      <w:r w:rsidRPr="008C109C">
        <w:rPr>
          <w:rFonts w:ascii="Arial" w:eastAsia="Times New Roman" w:hAnsi="Arial" w:cs="Arial"/>
          <w:color w:val="000000"/>
          <w:sz w:val="20"/>
          <w:szCs w:val="20"/>
          <w:lang w:val="es-CO" w:eastAsia="es-CO"/>
        </w:rPr>
        <w:t>[…] Conforme a los artículos 162 y 172 del Código de Comercio, la fusión empresarial es una clase de reforma estatutaria, en virtud de la cual una o más sociedades se disuelven, sin liquidarse, para ser absorbidas por otra o para crear una nueva. Por expresa disposición legal, cuando se materializa esta figura, la absorbente o la nueva compañía adquirirá los derechos y obligaciones de la sociedad o sociedades disueltas al formalizarse el acuerdo de fusión.</w:t>
      </w:r>
    </w:p>
    <w:p w14:paraId="4C802C95" w14:textId="77777777" w:rsidR="008C109C" w:rsidRPr="008C109C" w:rsidRDefault="008C109C" w:rsidP="008C109C">
      <w:pPr>
        <w:spacing w:after="0" w:line="240" w:lineRule="auto"/>
        <w:rPr>
          <w:rFonts w:ascii="Arial" w:eastAsia="Times New Roman" w:hAnsi="Arial" w:cs="Arial"/>
          <w:color w:val="000000"/>
          <w:sz w:val="20"/>
          <w:szCs w:val="20"/>
          <w:lang w:val="es-CO" w:eastAsia="es-CO"/>
        </w:rPr>
      </w:pPr>
    </w:p>
    <w:p w14:paraId="6C3B3402" w14:textId="77777777" w:rsidR="008C109C" w:rsidRPr="008C109C" w:rsidRDefault="008C109C" w:rsidP="008C109C">
      <w:pPr>
        <w:spacing w:after="0" w:line="240" w:lineRule="auto"/>
        <w:rPr>
          <w:rFonts w:ascii="Arial" w:eastAsia="Times New Roman" w:hAnsi="Arial" w:cs="Arial"/>
          <w:color w:val="000000"/>
          <w:sz w:val="20"/>
          <w:szCs w:val="20"/>
          <w:lang w:val="es-CO" w:eastAsia="es-CO"/>
        </w:rPr>
      </w:pPr>
      <w:r w:rsidRPr="008C109C">
        <w:rPr>
          <w:rFonts w:ascii="Arial" w:eastAsia="Times New Roman" w:hAnsi="Arial" w:cs="Arial"/>
          <w:color w:val="000000"/>
          <w:sz w:val="20"/>
          <w:szCs w:val="20"/>
          <w:lang w:val="es-CO" w:eastAsia="es-CO"/>
        </w:rPr>
        <w:t xml:space="preserve">[…]. La figura que se produce con ocasión a la fusión es la de la </w:t>
      </w:r>
      <w:hyperlink r:id="rId8" w:tgtFrame="_blank" w:history="1">
        <w:r w:rsidRPr="008C109C">
          <w:rPr>
            <w:rFonts w:ascii="Arial" w:eastAsia="Times New Roman" w:hAnsi="Arial" w:cs="Arial"/>
            <w:color w:val="000000"/>
            <w:sz w:val="20"/>
            <w:szCs w:val="20"/>
            <w:lang w:val="es-CO" w:eastAsia="es-CO"/>
          </w:rPr>
          <w:t>sustitución patronal</w:t>
        </w:r>
      </w:hyperlink>
      <w:r w:rsidRPr="008C109C">
        <w:rPr>
          <w:rFonts w:ascii="Arial" w:eastAsia="Times New Roman" w:hAnsi="Arial" w:cs="Arial"/>
          <w:color w:val="000000"/>
          <w:sz w:val="20"/>
          <w:szCs w:val="20"/>
          <w:lang w:val="es-CO" w:eastAsia="es-CO"/>
        </w:rPr>
        <w:t xml:space="preserve"> de empleadores que se define en el artículo 67 del Código Sustantivo del Trabajo como «todo cambio de un empleador por otro, por cualquier causa, siempre que subsista la identidad del establecimiento, es decir, en cuanto éste no sufra variaciones esenciales en el giro de sus actividades o negocios»</w:t>
      </w:r>
    </w:p>
    <w:p w14:paraId="36470F70" w14:textId="77777777" w:rsidR="008C109C" w:rsidRPr="008C109C" w:rsidRDefault="008C109C" w:rsidP="008C109C">
      <w:pPr>
        <w:spacing w:after="0" w:line="240" w:lineRule="auto"/>
        <w:rPr>
          <w:rFonts w:ascii="Arial" w:eastAsia="Times New Roman" w:hAnsi="Arial" w:cs="Arial"/>
          <w:color w:val="000000"/>
          <w:sz w:val="20"/>
          <w:szCs w:val="20"/>
          <w:lang w:val="es-CO" w:eastAsia="es-CO"/>
        </w:rPr>
      </w:pPr>
    </w:p>
    <w:p w14:paraId="5F2805F1" w14:textId="229732F8" w:rsidR="008C109C" w:rsidRPr="008C109C" w:rsidRDefault="008C109C" w:rsidP="00C62CA3">
      <w:pPr>
        <w:spacing w:after="0"/>
        <w:rPr>
          <w:rFonts w:ascii="Arial" w:hAnsi="Arial" w:cs="Arial"/>
          <w:bCs/>
          <w:sz w:val="20"/>
          <w:szCs w:val="20"/>
          <w:lang w:val="es-ES_tradnl" w:eastAsia="en-US"/>
        </w:rPr>
      </w:pPr>
      <w:r w:rsidRPr="008C109C">
        <w:rPr>
          <w:rFonts w:ascii="Arial" w:hAnsi="Arial" w:cs="Arial"/>
          <w:bCs/>
          <w:sz w:val="20"/>
          <w:szCs w:val="20"/>
          <w:lang w:val="es-ES_tradnl" w:eastAsia="en-US"/>
        </w:rPr>
        <w:t xml:space="preserve">Por lo tanto, como quiera que el Decreto 1860 del 2021, a través del cual se introdujeron los artículos 2.2.1.2.4.2.14. y 2.2.1.2.4.2.15. al Decreto 1082 del 2015, con el fin de reglamentar la Ley 2069 del 2020 en cuanto a emprendimientos y empresas de mujeres no consagra ninguna disposición en la </w:t>
      </w:r>
      <w:r w:rsidRPr="008C109C">
        <w:rPr>
          <w:rFonts w:ascii="Arial" w:hAnsi="Arial" w:cs="Arial"/>
          <w:bCs/>
          <w:sz w:val="20"/>
          <w:szCs w:val="20"/>
          <w:lang w:val="es-ES_tradnl" w:eastAsia="en-US"/>
        </w:rPr>
        <w:lastRenderedPageBreak/>
        <w:t xml:space="preserve">cual se restringa la aplicación de esta figura prevista en la ley para que los proponentes resulten destinatarios de los criterios diferenciales en favor de este tipo de empresas, esta Subdirección considera que la sustitución de empleadores no es un impedimento para que se siga computando el período de antigüedad exigido en el numeral 2 del artículo 2.2.1.2.4.2.14. del Decreto 1082 del 2015; pues el hecho de que opere tal sustitución no modifica por sí solo el contrato de trabajo, es decir, que se mantiene la misma relación laboral. Sin embargo, el oferente que pretenda beneficiarse con los criterios diferenciales, que tenga la condición de sociedad absorbente o de nueva compañía fruto de una fusión de sociedades, debe conservar el mismo giro ordinario del negocio que existía antes de la sustitución de empleadores y debe existir </w:t>
      </w:r>
      <w:r w:rsidRPr="008C109C">
        <w:rPr>
          <w:rFonts w:ascii="Arial" w:hAnsi="Arial" w:cs="Arial"/>
          <w:i/>
          <w:sz w:val="20"/>
          <w:szCs w:val="20"/>
          <w:lang w:val="es-ES_tradnl"/>
        </w:rPr>
        <w:t>continuidad en los servicios que presta la trabajadora</w:t>
      </w:r>
      <w:proofErr w:type="gramStart"/>
      <w:r w:rsidRPr="008C109C">
        <w:rPr>
          <w:rFonts w:ascii="Arial" w:hAnsi="Arial" w:cs="Arial"/>
          <w:bCs/>
          <w:sz w:val="20"/>
          <w:szCs w:val="20"/>
          <w:lang w:val="es-ES_tradnl" w:eastAsia="en-US"/>
        </w:rPr>
        <w:t>, ,</w:t>
      </w:r>
      <w:proofErr w:type="gramEnd"/>
      <w:r w:rsidRPr="008C109C">
        <w:rPr>
          <w:rFonts w:ascii="Arial" w:hAnsi="Arial" w:cs="Arial"/>
          <w:bCs/>
          <w:sz w:val="20"/>
          <w:szCs w:val="20"/>
          <w:lang w:val="es-ES_tradnl" w:eastAsia="en-US"/>
        </w:rPr>
        <w:t xml:space="preserve"> sin perjuicio de cumplir los demás requisitos establecidos en el artículo 2.2.1.2.4.2.14. del Decreto 1082 del 2015.</w:t>
      </w:r>
    </w:p>
    <w:p w14:paraId="577E8E0E" w14:textId="77777777" w:rsidR="004347D4" w:rsidRPr="008C109C" w:rsidRDefault="004347D4" w:rsidP="004347D4">
      <w:pPr>
        <w:spacing w:after="0" w:line="240" w:lineRule="auto"/>
        <w:rPr>
          <w:rFonts w:ascii="Arial" w:eastAsia="Times New Roman" w:hAnsi="Arial" w:cs="Arial"/>
          <w:color w:val="000000"/>
          <w:sz w:val="20"/>
          <w:szCs w:val="20"/>
          <w:lang w:val="es-CO" w:eastAsia="es-CO"/>
        </w:rPr>
      </w:pPr>
    </w:p>
    <w:p w14:paraId="2850618C" w14:textId="77777777" w:rsidR="0016469F" w:rsidRPr="008C109C" w:rsidRDefault="0016469F" w:rsidP="004347D4">
      <w:pPr>
        <w:spacing w:after="0" w:line="240" w:lineRule="auto"/>
        <w:rPr>
          <w:rFonts w:ascii="Arial" w:eastAsia="Times New Roman" w:hAnsi="Arial" w:cs="Arial"/>
          <w:color w:val="000000"/>
          <w:sz w:val="20"/>
          <w:szCs w:val="20"/>
          <w:lang w:val="es-CO" w:eastAsia="es-CO"/>
        </w:rPr>
      </w:pPr>
    </w:p>
    <w:p w14:paraId="4F23B72F" w14:textId="32447771" w:rsidR="00085A8D" w:rsidRPr="008C109C" w:rsidRDefault="00085A8D">
      <w:pPr>
        <w:rPr>
          <w:rFonts w:ascii="Arial" w:eastAsia="Times New Roman" w:hAnsi="Arial" w:cs="Arial"/>
          <w:color w:val="000000"/>
          <w:sz w:val="20"/>
          <w:szCs w:val="20"/>
          <w:lang w:val="es-CO" w:eastAsia="es-CO"/>
        </w:rPr>
      </w:pPr>
      <w:r w:rsidRPr="008C109C">
        <w:rPr>
          <w:rFonts w:ascii="Arial" w:eastAsia="Times New Roman" w:hAnsi="Arial" w:cs="Arial"/>
          <w:color w:val="000000"/>
          <w:sz w:val="20"/>
          <w:szCs w:val="20"/>
          <w:lang w:val="es-CO" w:eastAsia="es-CO"/>
        </w:rPr>
        <w:br w:type="page"/>
      </w:r>
    </w:p>
    <w:p w14:paraId="07A6FC8D" w14:textId="77777777" w:rsidR="004347D4" w:rsidRPr="008C109C" w:rsidRDefault="004347D4" w:rsidP="004347D4">
      <w:pPr>
        <w:spacing w:after="0" w:line="240" w:lineRule="auto"/>
        <w:rPr>
          <w:rFonts w:ascii="Arial" w:eastAsia="Times New Roman" w:hAnsi="Arial" w:cs="Arial"/>
          <w:color w:val="000000"/>
          <w:sz w:val="20"/>
          <w:szCs w:val="20"/>
          <w:lang w:val="es-CO" w:eastAsia="es-CO"/>
        </w:rPr>
      </w:pPr>
    </w:p>
    <w:p w14:paraId="6B2E9944" w14:textId="77777777" w:rsidR="00871181" w:rsidRPr="008C109C" w:rsidRDefault="003E3EF7" w:rsidP="003C4320">
      <w:pPr>
        <w:spacing w:after="0"/>
        <w:jc w:val="right"/>
        <w:rPr>
          <w:rFonts w:ascii="Arial" w:eastAsia="Arial" w:hAnsi="Arial" w:cs="Arial"/>
          <w:b/>
          <w:color w:val="000000"/>
          <w:sz w:val="16"/>
          <w:szCs w:val="16"/>
        </w:rPr>
      </w:pPr>
      <w:bookmarkStart w:id="0" w:name="_2s8eyo1" w:colFirst="0" w:colLast="0"/>
      <w:bookmarkEnd w:id="0"/>
      <w:r w:rsidRPr="008C109C">
        <w:rPr>
          <w:rFonts w:ascii="Arial" w:eastAsia="Arial" w:hAnsi="Arial" w:cs="Arial"/>
          <w:b/>
          <w:color w:val="000000"/>
          <w:sz w:val="16"/>
          <w:szCs w:val="16"/>
        </w:rPr>
        <w:t>CCE-DES-FM-17</w:t>
      </w:r>
    </w:p>
    <w:p w14:paraId="75BAAC80" w14:textId="77777777" w:rsidR="00871181" w:rsidRPr="008C109C" w:rsidRDefault="00871181" w:rsidP="003C4320">
      <w:pPr>
        <w:tabs>
          <w:tab w:val="left" w:pos="3374"/>
        </w:tabs>
        <w:spacing w:after="0"/>
        <w:rPr>
          <w:rFonts w:ascii="Arial" w:eastAsia="Arial" w:hAnsi="Arial" w:cs="Arial"/>
          <w:color w:val="000000"/>
          <w:sz w:val="22"/>
          <w:szCs w:val="22"/>
        </w:rPr>
      </w:pPr>
    </w:p>
    <w:p w14:paraId="242CE22D" w14:textId="77777777" w:rsidR="00AB4A6B" w:rsidRDefault="00AB4A6B" w:rsidP="003C4320">
      <w:pPr>
        <w:tabs>
          <w:tab w:val="left" w:pos="3374"/>
        </w:tabs>
        <w:spacing w:after="0"/>
        <w:rPr>
          <w:rFonts w:ascii="Arial" w:eastAsia="Arial" w:hAnsi="Arial" w:cs="Arial"/>
          <w:color w:val="000000"/>
          <w:sz w:val="22"/>
          <w:szCs w:val="22"/>
        </w:rPr>
      </w:pPr>
    </w:p>
    <w:p w14:paraId="7F27CC25" w14:textId="77777777" w:rsidR="00AB4A6B" w:rsidRDefault="00AB4A6B" w:rsidP="003C4320">
      <w:pPr>
        <w:tabs>
          <w:tab w:val="left" w:pos="3374"/>
        </w:tabs>
        <w:spacing w:after="0"/>
        <w:rPr>
          <w:rFonts w:ascii="Arial" w:eastAsia="Arial" w:hAnsi="Arial" w:cs="Arial"/>
          <w:color w:val="000000"/>
          <w:sz w:val="22"/>
          <w:szCs w:val="22"/>
        </w:rPr>
      </w:pPr>
    </w:p>
    <w:p w14:paraId="1C0C05F3" w14:textId="4F7810A8" w:rsidR="00AB4A6B" w:rsidRDefault="00AB4A6B" w:rsidP="00AB4A6B">
      <w:pPr>
        <w:tabs>
          <w:tab w:val="left" w:pos="3374"/>
        </w:tabs>
        <w:spacing w:after="0"/>
        <w:jc w:val="right"/>
        <w:rPr>
          <w:rFonts w:ascii="Arial" w:eastAsia="Arial" w:hAnsi="Arial" w:cs="Arial"/>
          <w:color w:val="000000"/>
          <w:sz w:val="22"/>
          <w:szCs w:val="22"/>
        </w:rPr>
      </w:pPr>
      <w:r w:rsidRPr="00AB4A6B">
        <w:rPr>
          <w:rFonts w:ascii="Arial" w:eastAsia="Arial" w:hAnsi="Arial" w:cs="Arial"/>
          <w:color w:val="000000"/>
          <w:sz w:val="22"/>
          <w:szCs w:val="22"/>
        </w:rPr>
        <w:drawing>
          <wp:inline distT="0" distB="0" distL="0" distR="0" wp14:anchorId="4C23DB37" wp14:editId="473E3DA1">
            <wp:extent cx="2565400" cy="787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5400" cy="787400"/>
                    </a:xfrm>
                    <a:prstGeom prst="rect">
                      <a:avLst/>
                    </a:prstGeom>
                  </pic:spPr>
                </pic:pic>
              </a:graphicData>
            </a:graphic>
          </wp:inline>
        </w:drawing>
      </w:r>
    </w:p>
    <w:p w14:paraId="6B4CDBC9" w14:textId="77777777" w:rsidR="00AB4A6B" w:rsidRDefault="00AB4A6B" w:rsidP="003C4320">
      <w:pPr>
        <w:tabs>
          <w:tab w:val="left" w:pos="3374"/>
        </w:tabs>
        <w:spacing w:after="0"/>
        <w:rPr>
          <w:rFonts w:ascii="Arial" w:eastAsia="Arial" w:hAnsi="Arial" w:cs="Arial"/>
          <w:color w:val="000000"/>
          <w:sz w:val="22"/>
          <w:szCs w:val="22"/>
        </w:rPr>
      </w:pPr>
    </w:p>
    <w:p w14:paraId="3F5B5551" w14:textId="77777777" w:rsidR="00AB4A6B" w:rsidRDefault="00AB4A6B" w:rsidP="003C4320">
      <w:pPr>
        <w:tabs>
          <w:tab w:val="left" w:pos="3374"/>
        </w:tabs>
        <w:spacing w:after="0"/>
        <w:rPr>
          <w:rFonts w:ascii="Arial" w:eastAsia="Arial" w:hAnsi="Arial" w:cs="Arial"/>
          <w:color w:val="000000"/>
          <w:sz w:val="22"/>
          <w:szCs w:val="22"/>
        </w:rPr>
      </w:pPr>
    </w:p>
    <w:p w14:paraId="1578B2CC" w14:textId="7E989A10" w:rsidR="00871181" w:rsidRPr="008C109C" w:rsidRDefault="003E3EF7" w:rsidP="003C4320">
      <w:pPr>
        <w:tabs>
          <w:tab w:val="left" w:pos="3374"/>
        </w:tabs>
        <w:spacing w:after="0"/>
        <w:rPr>
          <w:rFonts w:ascii="Arial" w:eastAsia="Arial" w:hAnsi="Arial" w:cs="Arial"/>
          <w:color w:val="000000"/>
          <w:sz w:val="22"/>
          <w:szCs w:val="22"/>
        </w:rPr>
      </w:pPr>
      <w:r w:rsidRPr="008C109C">
        <w:rPr>
          <w:rFonts w:ascii="Arial" w:eastAsia="Arial" w:hAnsi="Arial" w:cs="Arial"/>
          <w:color w:val="000000"/>
          <w:sz w:val="22"/>
          <w:szCs w:val="22"/>
        </w:rPr>
        <w:t xml:space="preserve">Bogotá D.C., </w:t>
      </w:r>
    </w:p>
    <w:p w14:paraId="526FFF2B" w14:textId="77777777" w:rsidR="00871181" w:rsidRPr="008C109C" w:rsidRDefault="00871181" w:rsidP="003C4320">
      <w:pPr>
        <w:spacing w:after="0"/>
        <w:rPr>
          <w:rFonts w:ascii="Arial" w:eastAsia="Arial" w:hAnsi="Arial" w:cs="Arial"/>
          <w:color w:val="000000"/>
          <w:sz w:val="22"/>
          <w:szCs w:val="22"/>
        </w:rPr>
      </w:pPr>
    </w:p>
    <w:p w14:paraId="2D9D0444" w14:textId="77777777" w:rsidR="00871181" w:rsidRPr="008C109C" w:rsidRDefault="00871181" w:rsidP="003C4320">
      <w:pPr>
        <w:spacing w:after="0"/>
        <w:rPr>
          <w:rFonts w:ascii="Arial" w:eastAsia="Arial" w:hAnsi="Arial" w:cs="Arial"/>
          <w:color w:val="000000"/>
          <w:sz w:val="22"/>
          <w:szCs w:val="22"/>
        </w:rPr>
      </w:pPr>
    </w:p>
    <w:p w14:paraId="7BB970E7" w14:textId="77777777" w:rsidR="00871181" w:rsidRPr="008C109C" w:rsidRDefault="003E3EF7" w:rsidP="003C4320">
      <w:pPr>
        <w:spacing w:after="0"/>
        <w:rPr>
          <w:rFonts w:ascii="Arial" w:eastAsia="Arial" w:hAnsi="Arial" w:cs="Arial"/>
          <w:color w:val="000000"/>
          <w:sz w:val="22"/>
          <w:szCs w:val="22"/>
        </w:rPr>
      </w:pPr>
      <w:r w:rsidRPr="008C109C">
        <w:rPr>
          <w:rFonts w:ascii="Arial" w:eastAsia="Arial" w:hAnsi="Arial" w:cs="Arial"/>
          <w:color w:val="000000"/>
          <w:sz w:val="22"/>
          <w:szCs w:val="22"/>
        </w:rPr>
        <w:t>Señor</w:t>
      </w:r>
    </w:p>
    <w:p w14:paraId="6505BAF5" w14:textId="10744670" w:rsidR="0079024C" w:rsidRPr="008C109C" w:rsidRDefault="00DD29E1" w:rsidP="003C4320">
      <w:pPr>
        <w:spacing w:after="0"/>
        <w:rPr>
          <w:rFonts w:ascii="Arial" w:eastAsia="Arial" w:hAnsi="Arial" w:cs="Arial"/>
          <w:b/>
          <w:color w:val="000000"/>
          <w:sz w:val="22"/>
          <w:szCs w:val="22"/>
        </w:rPr>
      </w:pPr>
      <w:r w:rsidRPr="008C109C">
        <w:rPr>
          <w:rFonts w:ascii="Arial" w:eastAsia="Arial" w:hAnsi="Arial" w:cs="Arial"/>
          <w:b/>
          <w:color w:val="000000"/>
          <w:sz w:val="22"/>
          <w:szCs w:val="22"/>
        </w:rPr>
        <w:t xml:space="preserve">Mateo Giraldo </w:t>
      </w:r>
    </w:p>
    <w:p w14:paraId="23F9476A" w14:textId="1D0F0A2A" w:rsidR="00871181" w:rsidRPr="008C109C" w:rsidRDefault="003E3EF7" w:rsidP="003C4320">
      <w:pPr>
        <w:spacing w:after="0"/>
        <w:rPr>
          <w:rFonts w:ascii="Arial" w:eastAsia="Arial" w:hAnsi="Arial" w:cs="Arial"/>
          <w:color w:val="000000"/>
          <w:sz w:val="22"/>
          <w:szCs w:val="22"/>
        </w:rPr>
      </w:pPr>
      <w:r w:rsidRPr="008C109C">
        <w:rPr>
          <w:rFonts w:ascii="Arial" w:eastAsia="Arial" w:hAnsi="Arial" w:cs="Arial"/>
          <w:color w:val="000000"/>
          <w:sz w:val="22"/>
          <w:szCs w:val="22"/>
        </w:rPr>
        <w:t>Bogotá D.C.</w:t>
      </w:r>
    </w:p>
    <w:p w14:paraId="2D356E06" w14:textId="77777777" w:rsidR="00871181" w:rsidRPr="008C109C" w:rsidRDefault="00871181" w:rsidP="003C4320">
      <w:pPr>
        <w:spacing w:after="0"/>
        <w:rPr>
          <w:rFonts w:ascii="Arial" w:eastAsia="Arial" w:hAnsi="Arial" w:cs="Arial"/>
          <w:color w:val="000000"/>
          <w:sz w:val="22"/>
          <w:szCs w:val="22"/>
        </w:rPr>
      </w:pPr>
    </w:p>
    <w:p w14:paraId="1A3C910B" w14:textId="77777777" w:rsidR="008E64B5" w:rsidRPr="008C109C" w:rsidRDefault="008E64B5" w:rsidP="003C4320">
      <w:pPr>
        <w:widowControl w:val="0"/>
        <w:autoSpaceDE w:val="0"/>
        <w:autoSpaceDN w:val="0"/>
        <w:spacing w:after="0"/>
        <w:jc w:val="left"/>
        <w:rPr>
          <w:rFonts w:ascii="Arial" w:eastAsia="Arial MT" w:hAnsi="Arial" w:cs="Arial"/>
          <w:sz w:val="22"/>
          <w:szCs w:val="22"/>
          <w:lang w:val="es-ES" w:eastAsia="en-US"/>
        </w:rPr>
      </w:pPr>
    </w:p>
    <w:p w14:paraId="2095195B" w14:textId="236B258C" w:rsidR="008E64B5" w:rsidRPr="008C109C" w:rsidRDefault="008E64B5" w:rsidP="003C4320">
      <w:pPr>
        <w:widowControl w:val="0"/>
        <w:autoSpaceDE w:val="0"/>
        <w:autoSpaceDN w:val="0"/>
        <w:spacing w:after="0"/>
        <w:jc w:val="left"/>
        <w:outlineLvl w:val="0"/>
        <w:rPr>
          <w:rFonts w:ascii="Arial" w:eastAsia="Arial" w:hAnsi="Arial" w:cs="Arial"/>
          <w:b/>
          <w:bCs/>
          <w:sz w:val="22"/>
          <w:szCs w:val="22"/>
          <w:lang w:val="es-ES" w:eastAsia="en-US"/>
        </w:rPr>
      </w:pPr>
      <w:r w:rsidRPr="008C109C">
        <w:rPr>
          <w:rFonts w:ascii="Arial" w:eastAsia="Arial" w:hAnsi="Arial" w:cs="Arial"/>
          <w:b/>
          <w:bCs/>
          <w:sz w:val="22"/>
          <w:szCs w:val="22"/>
          <w:lang w:val="es-ES" w:eastAsia="en-US"/>
        </w:rPr>
        <w:t xml:space="preserve">                                          Concepto</w:t>
      </w:r>
      <w:r w:rsidRPr="008C109C">
        <w:rPr>
          <w:rFonts w:ascii="Arial" w:eastAsia="Arial" w:hAnsi="Arial" w:cs="Arial"/>
          <w:b/>
          <w:bCs/>
          <w:spacing w:val="-4"/>
          <w:sz w:val="22"/>
          <w:szCs w:val="22"/>
          <w:lang w:val="es-ES" w:eastAsia="en-US"/>
        </w:rPr>
        <w:t xml:space="preserve"> </w:t>
      </w:r>
      <w:r w:rsidRPr="008C109C">
        <w:rPr>
          <w:rFonts w:ascii="Arial" w:eastAsia="Arial" w:hAnsi="Arial" w:cs="Arial"/>
          <w:b/>
          <w:bCs/>
          <w:sz w:val="22"/>
          <w:szCs w:val="22"/>
          <w:lang w:val="es-ES" w:eastAsia="en-US"/>
        </w:rPr>
        <w:t>C</w:t>
      </w:r>
      <w:r w:rsidRPr="008C109C">
        <w:rPr>
          <w:rFonts w:ascii="Arial" w:eastAsia="Arial" w:hAnsi="Arial" w:cs="Arial"/>
          <w:b/>
          <w:bCs/>
          <w:spacing w:val="-2"/>
          <w:sz w:val="22"/>
          <w:szCs w:val="22"/>
          <w:lang w:val="es-ES" w:eastAsia="en-US"/>
        </w:rPr>
        <w:t xml:space="preserve"> </w:t>
      </w:r>
      <w:r w:rsidRPr="008C109C">
        <w:rPr>
          <w:rFonts w:ascii="Arial" w:eastAsia="Arial" w:hAnsi="Arial" w:cs="Arial"/>
          <w:b/>
          <w:bCs/>
          <w:sz w:val="22"/>
          <w:szCs w:val="22"/>
          <w:lang w:val="es-ES" w:eastAsia="en-US"/>
        </w:rPr>
        <w:t>–</w:t>
      </w:r>
      <w:r w:rsidR="00D86CE3" w:rsidRPr="008C109C">
        <w:rPr>
          <w:rFonts w:ascii="Arial" w:eastAsia="Arial" w:hAnsi="Arial" w:cs="Arial"/>
          <w:b/>
          <w:bCs/>
          <w:spacing w:val="-3"/>
          <w:sz w:val="22"/>
          <w:szCs w:val="22"/>
          <w:lang w:val="es-ES" w:eastAsia="en-US"/>
        </w:rPr>
        <w:t>5</w:t>
      </w:r>
      <w:r w:rsidR="00D777F7" w:rsidRPr="008C109C">
        <w:rPr>
          <w:rFonts w:ascii="Arial" w:eastAsia="Arial" w:hAnsi="Arial" w:cs="Arial"/>
          <w:b/>
          <w:bCs/>
          <w:spacing w:val="-3"/>
          <w:sz w:val="22"/>
          <w:szCs w:val="22"/>
          <w:lang w:val="es-ES" w:eastAsia="en-US"/>
        </w:rPr>
        <w:t>48</w:t>
      </w:r>
      <w:r w:rsidRPr="008C109C">
        <w:rPr>
          <w:rFonts w:ascii="Arial" w:eastAsia="Arial" w:hAnsi="Arial" w:cs="Arial"/>
          <w:b/>
          <w:bCs/>
          <w:spacing w:val="-3"/>
          <w:sz w:val="22"/>
          <w:szCs w:val="22"/>
          <w:lang w:val="es-ES" w:eastAsia="en-US"/>
        </w:rPr>
        <w:t xml:space="preserve"> de 2022 </w:t>
      </w:r>
    </w:p>
    <w:p w14:paraId="75CA9EB7" w14:textId="77777777" w:rsidR="00871181" w:rsidRPr="008C109C" w:rsidRDefault="00871181" w:rsidP="003C4320">
      <w:pPr>
        <w:spacing w:after="0"/>
        <w:rPr>
          <w:rFonts w:ascii="Arial" w:eastAsia="Arial" w:hAnsi="Arial" w:cs="Arial"/>
          <w:color w:val="000000"/>
          <w:sz w:val="22"/>
          <w:szCs w:val="22"/>
        </w:rPr>
      </w:pPr>
    </w:p>
    <w:p w14:paraId="7937B7B5" w14:textId="00E09C0D" w:rsidR="00871181" w:rsidRPr="008C109C" w:rsidRDefault="003E3EF7" w:rsidP="003C4320">
      <w:pPr>
        <w:spacing w:after="0"/>
        <w:rPr>
          <w:rFonts w:ascii="Arial" w:eastAsia="Arial" w:hAnsi="Arial" w:cs="Arial"/>
          <w:color w:val="000000"/>
          <w:sz w:val="22"/>
          <w:szCs w:val="22"/>
        </w:rPr>
      </w:pPr>
      <w:r w:rsidRPr="008C109C">
        <w:rPr>
          <w:rFonts w:ascii="Arial" w:eastAsia="Arial" w:hAnsi="Arial" w:cs="Arial"/>
          <w:color w:val="000000"/>
          <w:sz w:val="22"/>
          <w:szCs w:val="22"/>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871181" w:rsidRPr="008C109C" w14:paraId="003B8DE2" w14:textId="77777777">
        <w:trPr>
          <w:trHeight w:val="1038"/>
        </w:trPr>
        <w:tc>
          <w:tcPr>
            <w:tcW w:w="2689" w:type="dxa"/>
          </w:tcPr>
          <w:p w14:paraId="41C32295" w14:textId="77777777" w:rsidR="00871181" w:rsidRPr="008C109C" w:rsidRDefault="003E3EF7" w:rsidP="001878E6">
            <w:pPr>
              <w:spacing w:before="0" w:line="276" w:lineRule="auto"/>
              <w:jc w:val="both"/>
              <w:rPr>
                <w:rFonts w:ascii="Arial" w:eastAsia="Arial" w:hAnsi="Arial" w:cs="Arial"/>
                <w:color w:val="000000"/>
              </w:rPr>
            </w:pPr>
            <w:r w:rsidRPr="008C109C">
              <w:rPr>
                <w:rFonts w:ascii="Arial" w:eastAsia="Arial" w:hAnsi="Arial" w:cs="Arial"/>
                <w:color w:val="000000"/>
              </w:rPr>
              <w:t xml:space="preserve">Temas:        </w:t>
            </w:r>
          </w:p>
        </w:tc>
        <w:tc>
          <w:tcPr>
            <w:tcW w:w="6237" w:type="dxa"/>
          </w:tcPr>
          <w:p w14:paraId="618E7196" w14:textId="3A72F3FB" w:rsidR="001878E6" w:rsidRPr="008C109C" w:rsidRDefault="0016469F" w:rsidP="001878E6">
            <w:pPr>
              <w:shd w:val="clear" w:color="auto" w:fill="FFFFFF"/>
              <w:ind w:right="51"/>
              <w:jc w:val="both"/>
              <w:rPr>
                <w:rFonts w:ascii="Arial" w:eastAsia="Times New Roman" w:hAnsi="Arial" w:cs="Arial"/>
                <w:bCs/>
                <w:sz w:val="22"/>
                <w:szCs w:val="22"/>
                <w:lang w:val="es-CO" w:eastAsia="es-CO"/>
              </w:rPr>
            </w:pPr>
            <w:r w:rsidRPr="008C109C">
              <w:rPr>
                <w:rFonts w:ascii="Arial" w:eastAsia="Times New Roman" w:hAnsi="Arial" w:cs="Arial"/>
                <w:bCs/>
                <w:sz w:val="22"/>
                <w:szCs w:val="22"/>
                <w:lang w:eastAsia="es-CO"/>
              </w:rPr>
              <w:t>LEY DE EMPRENDIMIENTO</w:t>
            </w:r>
            <w:r w:rsidR="00085A8D" w:rsidRPr="008C109C">
              <w:rPr>
                <w:rFonts w:ascii="Arial" w:eastAsia="Times New Roman" w:hAnsi="Arial" w:cs="Arial"/>
                <w:bCs/>
                <w:sz w:val="22"/>
                <w:szCs w:val="22"/>
                <w:lang w:eastAsia="es-CO"/>
              </w:rPr>
              <w:t xml:space="preserve"> – </w:t>
            </w:r>
            <w:r w:rsidRPr="008C109C">
              <w:rPr>
                <w:rFonts w:ascii="Arial" w:eastAsia="Times New Roman" w:hAnsi="Arial" w:cs="Arial"/>
                <w:bCs/>
                <w:sz w:val="22"/>
                <w:szCs w:val="22"/>
                <w:lang w:eastAsia="es-CO"/>
              </w:rPr>
              <w:t>Decreto 1860 del 2021</w:t>
            </w:r>
            <w:r w:rsidR="00085A8D" w:rsidRPr="008C109C">
              <w:rPr>
                <w:rFonts w:ascii="Arial" w:eastAsia="Times New Roman" w:hAnsi="Arial" w:cs="Arial"/>
                <w:bCs/>
                <w:sz w:val="22"/>
                <w:szCs w:val="22"/>
                <w:lang w:eastAsia="es-CO"/>
              </w:rPr>
              <w:t xml:space="preserve"> – </w:t>
            </w:r>
            <w:r w:rsidRPr="008C109C">
              <w:rPr>
                <w:rFonts w:ascii="Arial" w:eastAsia="Times New Roman" w:hAnsi="Arial" w:cs="Arial"/>
                <w:bCs/>
                <w:sz w:val="22"/>
                <w:szCs w:val="22"/>
                <w:lang w:eastAsia="es-CO"/>
              </w:rPr>
              <w:t>Reglamentación artículo 32</w:t>
            </w:r>
            <w:r w:rsidR="00085A8D" w:rsidRPr="008C109C">
              <w:rPr>
                <w:rFonts w:ascii="Arial" w:eastAsia="Times New Roman" w:hAnsi="Arial" w:cs="Arial"/>
                <w:bCs/>
                <w:sz w:val="22"/>
                <w:szCs w:val="22"/>
                <w:lang w:eastAsia="es-CO"/>
              </w:rPr>
              <w:t xml:space="preserve"> </w:t>
            </w:r>
            <w:r w:rsidRPr="008C109C">
              <w:rPr>
                <w:rFonts w:ascii="Arial" w:eastAsia="Times New Roman" w:hAnsi="Arial" w:cs="Arial"/>
                <w:bCs/>
                <w:sz w:val="22"/>
                <w:szCs w:val="22"/>
                <w:lang w:eastAsia="es-CO"/>
              </w:rPr>
              <w:t>/</w:t>
            </w:r>
            <w:r w:rsidR="00085A8D" w:rsidRPr="008C109C">
              <w:rPr>
                <w:rFonts w:ascii="Arial" w:eastAsia="Times New Roman" w:hAnsi="Arial" w:cs="Arial"/>
                <w:bCs/>
                <w:sz w:val="22"/>
                <w:szCs w:val="22"/>
                <w:lang w:eastAsia="es-CO"/>
              </w:rPr>
              <w:t xml:space="preserve"> </w:t>
            </w:r>
            <w:r w:rsidRPr="008C109C">
              <w:rPr>
                <w:rFonts w:ascii="Arial" w:eastAsia="Times New Roman" w:hAnsi="Arial" w:cs="Arial"/>
                <w:bCs/>
                <w:sz w:val="22"/>
                <w:szCs w:val="22"/>
                <w:lang w:eastAsia="es-CO"/>
              </w:rPr>
              <w:t>CRITERIOS DIFERENCIALES</w:t>
            </w:r>
            <w:r w:rsidR="00085A8D" w:rsidRPr="008C109C">
              <w:rPr>
                <w:rFonts w:ascii="Arial" w:eastAsia="Times New Roman" w:hAnsi="Arial" w:cs="Arial"/>
                <w:bCs/>
                <w:sz w:val="22"/>
                <w:szCs w:val="22"/>
                <w:lang w:eastAsia="es-CO"/>
              </w:rPr>
              <w:t xml:space="preserve"> – </w:t>
            </w:r>
            <w:r w:rsidRPr="008C109C">
              <w:rPr>
                <w:rFonts w:ascii="Arial" w:eastAsia="Times New Roman" w:hAnsi="Arial" w:cs="Arial"/>
                <w:bCs/>
                <w:sz w:val="22"/>
                <w:szCs w:val="22"/>
                <w:lang w:eastAsia="es-CO"/>
              </w:rPr>
              <w:t>Regulación Empresas de Mujeres</w:t>
            </w:r>
            <w:r w:rsidR="00085A8D" w:rsidRPr="008C109C">
              <w:rPr>
                <w:rFonts w:ascii="Arial" w:eastAsia="Times New Roman" w:hAnsi="Arial" w:cs="Arial"/>
                <w:bCs/>
                <w:sz w:val="22"/>
                <w:szCs w:val="22"/>
                <w:lang w:eastAsia="es-CO"/>
              </w:rPr>
              <w:t xml:space="preserve"> </w:t>
            </w:r>
            <w:r w:rsidRPr="008C109C">
              <w:rPr>
                <w:rFonts w:ascii="Arial" w:eastAsia="Times New Roman" w:hAnsi="Arial" w:cs="Arial"/>
                <w:bCs/>
                <w:sz w:val="22"/>
                <w:szCs w:val="22"/>
                <w:lang w:eastAsia="es-CO"/>
              </w:rPr>
              <w:t>/</w:t>
            </w:r>
            <w:r w:rsidR="001878E6" w:rsidRPr="008C109C">
              <w:rPr>
                <w:rFonts w:ascii="Arial" w:eastAsia="Times New Roman" w:hAnsi="Arial" w:cs="Arial"/>
                <w:bCs/>
                <w:sz w:val="22"/>
                <w:szCs w:val="22"/>
                <w:lang w:eastAsia="es-CO"/>
              </w:rPr>
              <w:t xml:space="preserve"> SUSTITUCIÓN DE EMPLEADORES</w:t>
            </w:r>
            <w:r w:rsidR="00085A8D" w:rsidRPr="008C109C">
              <w:rPr>
                <w:rFonts w:ascii="Arial" w:eastAsia="Times New Roman" w:hAnsi="Arial" w:cs="Arial"/>
                <w:bCs/>
                <w:sz w:val="22"/>
                <w:szCs w:val="22"/>
                <w:lang w:eastAsia="es-CO"/>
              </w:rPr>
              <w:t xml:space="preserve"> –</w:t>
            </w:r>
            <w:r w:rsidR="001878E6" w:rsidRPr="008C109C">
              <w:rPr>
                <w:rFonts w:ascii="Arial" w:hAnsi="Arial" w:cs="Arial"/>
                <w:bCs/>
                <w:color w:val="000000"/>
                <w:sz w:val="22"/>
                <w:szCs w:val="22"/>
                <w:lang w:val="es-CO" w:eastAsia="en-US"/>
              </w:rPr>
              <w:t xml:space="preserve"> </w:t>
            </w:r>
            <w:r w:rsidR="00085A8D" w:rsidRPr="008C109C">
              <w:rPr>
                <w:rFonts w:ascii="Arial" w:eastAsia="Times New Roman" w:hAnsi="Arial" w:cs="Arial"/>
                <w:bCs/>
                <w:sz w:val="22"/>
                <w:szCs w:val="22"/>
                <w:lang w:val="es-CO" w:eastAsia="es-CO"/>
              </w:rPr>
              <w:t>C</w:t>
            </w:r>
            <w:r w:rsidR="001878E6" w:rsidRPr="008C109C">
              <w:rPr>
                <w:rFonts w:ascii="Arial" w:eastAsia="Times New Roman" w:hAnsi="Arial" w:cs="Arial"/>
                <w:bCs/>
                <w:sz w:val="22"/>
                <w:szCs w:val="22"/>
                <w:lang w:val="es-CO" w:eastAsia="es-CO"/>
              </w:rPr>
              <w:t xml:space="preserve">riterios diferenciales en favor de emprendimientos y empresas de mujeres </w:t>
            </w:r>
          </w:p>
          <w:p w14:paraId="70D39657" w14:textId="56E8EAD6" w:rsidR="00871181" w:rsidRPr="008C109C" w:rsidRDefault="00871181" w:rsidP="001878E6">
            <w:pPr>
              <w:shd w:val="clear" w:color="auto" w:fill="FFFFFF"/>
              <w:ind w:right="51"/>
              <w:jc w:val="both"/>
              <w:rPr>
                <w:rFonts w:ascii="Arial" w:eastAsia="Arial" w:hAnsi="Arial" w:cs="Arial"/>
                <w:color w:val="000000"/>
              </w:rPr>
            </w:pPr>
          </w:p>
        </w:tc>
      </w:tr>
      <w:tr w:rsidR="00871181" w:rsidRPr="008C109C" w14:paraId="08330973" w14:textId="77777777">
        <w:tc>
          <w:tcPr>
            <w:tcW w:w="2689" w:type="dxa"/>
          </w:tcPr>
          <w:p w14:paraId="07BEB766" w14:textId="77777777" w:rsidR="00871181" w:rsidRPr="008C109C" w:rsidRDefault="003E3EF7" w:rsidP="003C4320">
            <w:pPr>
              <w:spacing w:before="0" w:line="276" w:lineRule="auto"/>
              <w:rPr>
                <w:rFonts w:ascii="Arial" w:eastAsia="Arial" w:hAnsi="Arial" w:cs="Arial"/>
                <w:b/>
                <w:color w:val="000000"/>
                <w:sz w:val="22"/>
                <w:szCs w:val="22"/>
              </w:rPr>
            </w:pPr>
            <w:r w:rsidRPr="008C109C">
              <w:rPr>
                <w:rFonts w:ascii="Arial" w:eastAsia="Arial" w:hAnsi="Arial" w:cs="Arial"/>
                <w:b/>
                <w:color w:val="000000"/>
                <w:sz w:val="22"/>
                <w:szCs w:val="22"/>
              </w:rPr>
              <w:t>Radicación:</w:t>
            </w:r>
            <w:r w:rsidRPr="008C109C">
              <w:rPr>
                <w:rFonts w:ascii="Arial" w:eastAsia="Arial" w:hAnsi="Arial" w:cs="Arial"/>
                <w:color w:val="000000"/>
                <w:sz w:val="22"/>
                <w:szCs w:val="22"/>
              </w:rPr>
              <w:t xml:space="preserve">                              </w:t>
            </w:r>
          </w:p>
        </w:tc>
        <w:tc>
          <w:tcPr>
            <w:tcW w:w="6237" w:type="dxa"/>
          </w:tcPr>
          <w:p w14:paraId="3A8E828C" w14:textId="7F9A1552" w:rsidR="00871181" w:rsidRPr="008C109C" w:rsidRDefault="003E3EF7" w:rsidP="003C4320">
            <w:pPr>
              <w:spacing w:before="0" w:line="276" w:lineRule="auto"/>
              <w:jc w:val="both"/>
              <w:rPr>
                <w:rFonts w:ascii="Arial" w:eastAsia="Arial" w:hAnsi="Arial" w:cs="Arial"/>
                <w:color w:val="000000"/>
                <w:sz w:val="22"/>
                <w:szCs w:val="22"/>
              </w:rPr>
            </w:pPr>
            <w:r w:rsidRPr="008C109C">
              <w:rPr>
                <w:rFonts w:ascii="Arial" w:eastAsia="Arial" w:hAnsi="Arial" w:cs="Arial"/>
                <w:color w:val="000000"/>
                <w:sz w:val="22"/>
                <w:szCs w:val="22"/>
              </w:rPr>
              <w:t>Respuesta a consulta</w:t>
            </w:r>
            <w:r w:rsidR="0079024C" w:rsidRPr="008C109C">
              <w:rPr>
                <w:rFonts w:ascii="Arial" w:eastAsia="Arial" w:hAnsi="Arial" w:cs="Arial"/>
                <w:color w:val="000000"/>
                <w:sz w:val="22"/>
                <w:szCs w:val="22"/>
              </w:rPr>
              <w:t xml:space="preserve">s </w:t>
            </w:r>
            <w:r w:rsidR="00DD29E1" w:rsidRPr="008C109C">
              <w:rPr>
                <w:rFonts w:ascii="Arial" w:eastAsia="Arial" w:hAnsi="Arial" w:cs="Arial"/>
                <w:color w:val="000000"/>
                <w:sz w:val="22"/>
                <w:szCs w:val="22"/>
              </w:rPr>
              <w:t xml:space="preserve">P20220719007001         </w:t>
            </w:r>
          </w:p>
        </w:tc>
      </w:tr>
    </w:tbl>
    <w:p w14:paraId="28FE27BE" w14:textId="77777777" w:rsidR="00871181" w:rsidRPr="008C109C" w:rsidRDefault="00871181" w:rsidP="003C4320">
      <w:pPr>
        <w:spacing w:after="0"/>
        <w:rPr>
          <w:color w:val="000000"/>
          <w:sz w:val="22"/>
          <w:szCs w:val="22"/>
        </w:rPr>
      </w:pPr>
    </w:p>
    <w:p w14:paraId="08C64921" w14:textId="77777777" w:rsidR="004347D4" w:rsidRPr="008C109C" w:rsidRDefault="004347D4" w:rsidP="003C4320">
      <w:pPr>
        <w:spacing w:after="0"/>
        <w:rPr>
          <w:rFonts w:ascii="Arial" w:eastAsia="Arial" w:hAnsi="Arial" w:cs="Arial"/>
          <w:color w:val="000000"/>
          <w:sz w:val="22"/>
          <w:szCs w:val="22"/>
        </w:rPr>
      </w:pPr>
    </w:p>
    <w:p w14:paraId="28376A54" w14:textId="77777777" w:rsidR="004347D4" w:rsidRPr="008C109C" w:rsidRDefault="004347D4" w:rsidP="003C4320">
      <w:pPr>
        <w:spacing w:after="0"/>
        <w:rPr>
          <w:rFonts w:ascii="Arial" w:eastAsia="Arial" w:hAnsi="Arial" w:cs="Arial"/>
          <w:color w:val="000000"/>
          <w:sz w:val="22"/>
          <w:szCs w:val="22"/>
        </w:rPr>
      </w:pPr>
    </w:p>
    <w:p w14:paraId="038F7D2C" w14:textId="2BAD39B7" w:rsidR="00871181" w:rsidRPr="008C109C" w:rsidRDefault="003E3EF7" w:rsidP="003C4320">
      <w:pPr>
        <w:spacing w:after="0"/>
        <w:rPr>
          <w:rFonts w:ascii="Arial" w:eastAsia="Arial" w:hAnsi="Arial" w:cs="Arial"/>
          <w:color w:val="000000"/>
          <w:sz w:val="22"/>
          <w:szCs w:val="22"/>
        </w:rPr>
      </w:pPr>
      <w:r w:rsidRPr="008C109C">
        <w:rPr>
          <w:rFonts w:ascii="Arial" w:eastAsia="Arial" w:hAnsi="Arial" w:cs="Arial"/>
          <w:color w:val="000000"/>
          <w:sz w:val="22"/>
          <w:szCs w:val="22"/>
        </w:rPr>
        <w:t>Estimado señor</w:t>
      </w:r>
      <w:r w:rsidR="009A32F0" w:rsidRPr="008C109C">
        <w:rPr>
          <w:rFonts w:ascii="Arial" w:eastAsia="Arial" w:hAnsi="Arial" w:cs="Arial"/>
          <w:color w:val="000000"/>
          <w:sz w:val="22"/>
          <w:szCs w:val="22"/>
        </w:rPr>
        <w:t xml:space="preserve"> </w:t>
      </w:r>
      <w:r w:rsidR="00DD29E1" w:rsidRPr="008C109C">
        <w:rPr>
          <w:rFonts w:ascii="Arial" w:eastAsia="Arial" w:hAnsi="Arial" w:cs="Arial"/>
          <w:color w:val="000000"/>
          <w:sz w:val="22"/>
          <w:szCs w:val="22"/>
        </w:rPr>
        <w:t>Giraldo</w:t>
      </w:r>
      <w:r w:rsidRPr="008C109C">
        <w:rPr>
          <w:rFonts w:ascii="Arial" w:eastAsia="Arial" w:hAnsi="Arial" w:cs="Arial"/>
          <w:color w:val="000000"/>
          <w:sz w:val="22"/>
          <w:szCs w:val="22"/>
        </w:rPr>
        <w:t>:</w:t>
      </w:r>
    </w:p>
    <w:p w14:paraId="32C1B702" w14:textId="77777777" w:rsidR="00871181" w:rsidRPr="008C109C" w:rsidRDefault="00871181" w:rsidP="003C4320">
      <w:pPr>
        <w:spacing w:after="0"/>
        <w:ind w:firstLine="709"/>
        <w:rPr>
          <w:rFonts w:ascii="Arial" w:eastAsia="Arial" w:hAnsi="Arial" w:cs="Arial"/>
          <w:color w:val="000000"/>
          <w:sz w:val="22"/>
          <w:szCs w:val="22"/>
        </w:rPr>
      </w:pPr>
    </w:p>
    <w:p w14:paraId="4C96A024" w14:textId="017FBEC7" w:rsidR="00871181" w:rsidRPr="008C109C" w:rsidRDefault="003E3EF7" w:rsidP="003C4320">
      <w:pPr>
        <w:spacing w:after="0"/>
        <w:ind w:right="51"/>
        <w:rPr>
          <w:rFonts w:ascii="Arial" w:eastAsia="Arial" w:hAnsi="Arial" w:cs="Arial"/>
          <w:color w:val="000000"/>
          <w:sz w:val="22"/>
          <w:szCs w:val="22"/>
        </w:rPr>
      </w:pPr>
      <w:r w:rsidRPr="008C109C">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F664B3" w:rsidRPr="008C109C">
        <w:rPr>
          <w:rFonts w:ascii="Arial" w:eastAsia="Arial" w:hAnsi="Arial" w:cs="Arial"/>
          <w:color w:val="000000"/>
          <w:sz w:val="22"/>
          <w:szCs w:val="22"/>
        </w:rPr>
        <w:t>19 de julio de 2022</w:t>
      </w:r>
      <w:r w:rsidRPr="008C109C">
        <w:rPr>
          <w:rFonts w:ascii="Arial" w:eastAsia="Arial" w:hAnsi="Arial" w:cs="Arial"/>
          <w:color w:val="000000"/>
          <w:sz w:val="22"/>
          <w:szCs w:val="22"/>
        </w:rPr>
        <w:t xml:space="preserve">. </w:t>
      </w:r>
    </w:p>
    <w:p w14:paraId="498A6BCE" w14:textId="77777777" w:rsidR="00871181" w:rsidRPr="008C109C" w:rsidRDefault="00871181" w:rsidP="003C4320">
      <w:pPr>
        <w:spacing w:after="0"/>
        <w:rPr>
          <w:rFonts w:ascii="Arial" w:eastAsia="Arial" w:hAnsi="Arial" w:cs="Arial"/>
          <w:color w:val="000000"/>
          <w:sz w:val="22"/>
          <w:szCs w:val="22"/>
        </w:rPr>
      </w:pPr>
    </w:p>
    <w:p w14:paraId="5E5698CC" w14:textId="77777777" w:rsidR="00871181" w:rsidRPr="008C109C" w:rsidRDefault="003E3EF7" w:rsidP="003C4320">
      <w:pPr>
        <w:tabs>
          <w:tab w:val="left" w:pos="284"/>
        </w:tabs>
        <w:spacing w:after="0"/>
        <w:rPr>
          <w:rFonts w:ascii="Arial" w:eastAsia="Arial" w:hAnsi="Arial" w:cs="Arial"/>
          <w:b/>
          <w:color w:val="000000"/>
          <w:sz w:val="22"/>
          <w:szCs w:val="22"/>
        </w:rPr>
      </w:pPr>
      <w:r w:rsidRPr="008C109C">
        <w:rPr>
          <w:rFonts w:ascii="Arial" w:eastAsia="Arial" w:hAnsi="Arial" w:cs="Arial"/>
          <w:b/>
          <w:color w:val="000000"/>
          <w:sz w:val="22"/>
          <w:szCs w:val="22"/>
        </w:rPr>
        <w:t xml:space="preserve">1. Problema planteado </w:t>
      </w:r>
    </w:p>
    <w:p w14:paraId="70F6F3B3" w14:textId="77777777" w:rsidR="004347D4" w:rsidRPr="008C109C" w:rsidRDefault="004347D4" w:rsidP="003C4320">
      <w:pPr>
        <w:pBdr>
          <w:top w:val="nil"/>
          <w:left w:val="nil"/>
          <w:bottom w:val="nil"/>
          <w:right w:val="nil"/>
          <w:between w:val="nil"/>
        </w:pBdr>
        <w:spacing w:after="0"/>
        <w:rPr>
          <w:rFonts w:ascii="Arial" w:eastAsia="Arial" w:hAnsi="Arial" w:cs="Arial"/>
          <w:color w:val="000000"/>
          <w:sz w:val="22"/>
          <w:szCs w:val="22"/>
        </w:rPr>
      </w:pPr>
      <w:bookmarkStart w:id="1" w:name="_17dp8vu" w:colFirst="0" w:colLast="0"/>
      <w:bookmarkEnd w:id="1"/>
    </w:p>
    <w:p w14:paraId="7127D407" w14:textId="0A33FC2C" w:rsidR="00146CDB" w:rsidRPr="008C109C" w:rsidRDefault="00D1667B" w:rsidP="007714E1">
      <w:pPr>
        <w:pBdr>
          <w:top w:val="nil"/>
          <w:left w:val="nil"/>
          <w:bottom w:val="nil"/>
          <w:right w:val="nil"/>
          <w:between w:val="nil"/>
        </w:pBdr>
        <w:spacing w:after="120"/>
        <w:rPr>
          <w:rFonts w:ascii="Arial" w:eastAsia="Arial" w:hAnsi="Arial" w:cs="Arial"/>
          <w:b/>
          <w:bCs/>
          <w:color w:val="000000"/>
          <w:sz w:val="22"/>
          <w:szCs w:val="22"/>
        </w:rPr>
      </w:pPr>
      <w:r w:rsidRPr="008C109C">
        <w:rPr>
          <w:rFonts w:ascii="Arial" w:eastAsia="Arial" w:hAnsi="Arial" w:cs="Arial"/>
          <w:color w:val="000000"/>
          <w:sz w:val="22"/>
          <w:szCs w:val="22"/>
        </w:rPr>
        <w:lastRenderedPageBreak/>
        <w:t>En la</w:t>
      </w:r>
      <w:r w:rsidR="003833EC" w:rsidRPr="008C109C">
        <w:rPr>
          <w:rFonts w:ascii="Arial" w:eastAsia="Arial" w:hAnsi="Arial" w:cs="Arial"/>
          <w:color w:val="000000"/>
          <w:sz w:val="22"/>
          <w:szCs w:val="22"/>
        </w:rPr>
        <w:t xml:space="preserve"> consulta identificada previamente u</w:t>
      </w:r>
      <w:r w:rsidR="003E3EF7" w:rsidRPr="008C109C">
        <w:rPr>
          <w:rFonts w:ascii="Arial" w:eastAsia="Arial" w:hAnsi="Arial" w:cs="Arial"/>
          <w:color w:val="000000"/>
          <w:sz w:val="22"/>
          <w:szCs w:val="22"/>
        </w:rPr>
        <w:t>sted solicita a la Agencia</w:t>
      </w:r>
      <w:r w:rsidR="00146CDB" w:rsidRPr="008C109C">
        <w:rPr>
          <w:rFonts w:ascii="Arial" w:eastAsia="Arial" w:hAnsi="Arial" w:cs="Arial"/>
          <w:color w:val="000000"/>
          <w:sz w:val="22"/>
          <w:szCs w:val="22"/>
        </w:rPr>
        <w:t xml:space="preserve"> resolver los siguientes interrogantes, l</w:t>
      </w:r>
      <w:r w:rsidR="001D486F" w:rsidRPr="008C109C">
        <w:rPr>
          <w:rFonts w:ascii="Arial" w:eastAsia="Arial" w:hAnsi="Arial" w:cs="Arial"/>
          <w:color w:val="000000"/>
          <w:sz w:val="22"/>
          <w:szCs w:val="22"/>
        </w:rPr>
        <w:t xml:space="preserve">os cuales guardan relación </w:t>
      </w:r>
      <w:r w:rsidR="00D738BA" w:rsidRPr="008C109C">
        <w:rPr>
          <w:rFonts w:ascii="Arial" w:eastAsia="Arial" w:hAnsi="Arial" w:cs="Arial"/>
          <w:color w:val="000000"/>
          <w:sz w:val="22"/>
          <w:szCs w:val="22"/>
        </w:rPr>
        <w:t xml:space="preserve">con </w:t>
      </w:r>
      <w:r w:rsidR="001D486F" w:rsidRPr="008C109C">
        <w:rPr>
          <w:rFonts w:ascii="Arial" w:eastAsia="Arial" w:hAnsi="Arial" w:cs="Arial"/>
          <w:color w:val="000000"/>
          <w:sz w:val="22"/>
          <w:szCs w:val="22"/>
        </w:rPr>
        <w:t xml:space="preserve">las </w:t>
      </w:r>
      <w:r w:rsidR="00146CDB" w:rsidRPr="008C109C">
        <w:rPr>
          <w:rFonts w:ascii="Arial" w:eastAsia="Arial" w:hAnsi="Arial" w:cs="Arial"/>
          <w:color w:val="000000"/>
          <w:sz w:val="22"/>
          <w:szCs w:val="22"/>
        </w:rPr>
        <w:t>re</w:t>
      </w:r>
      <w:r w:rsidR="001D486F" w:rsidRPr="008C109C">
        <w:rPr>
          <w:rFonts w:ascii="Arial" w:eastAsia="Arial" w:hAnsi="Arial" w:cs="Arial"/>
          <w:color w:val="000000"/>
          <w:sz w:val="22"/>
          <w:szCs w:val="22"/>
        </w:rPr>
        <w:t xml:space="preserve">formas introducidas por la Ley </w:t>
      </w:r>
      <w:r w:rsidR="00B83743" w:rsidRPr="008C109C">
        <w:rPr>
          <w:rFonts w:ascii="Arial" w:eastAsia="Arial" w:hAnsi="Arial" w:cs="Arial"/>
          <w:color w:val="000000"/>
          <w:sz w:val="22"/>
          <w:szCs w:val="22"/>
        </w:rPr>
        <w:t>2069</w:t>
      </w:r>
      <w:r w:rsidR="00146CDB" w:rsidRPr="008C109C">
        <w:rPr>
          <w:rFonts w:ascii="Arial" w:eastAsia="Arial" w:hAnsi="Arial" w:cs="Arial"/>
          <w:color w:val="000000"/>
          <w:sz w:val="22"/>
          <w:szCs w:val="22"/>
        </w:rPr>
        <w:t xml:space="preserve"> del 20</w:t>
      </w:r>
      <w:r w:rsidR="00B83743" w:rsidRPr="008C109C">
        <w:rPr>
          <w:rFonts w:ascii="Arial" w:eastAsia="Arial" w:hAnsi="Arial" w:cs="Arial"/>
          <w:color w:val="000000"/>
          <w:sz w:val="22"/>
          <w:szCs w:val="22"/>
        </w:rPr>
        <w:t xml:space="preserve">20 </w:t>
      </w:r>
      <w:r w:rsidR="00146CDB" w:rsidRPr="008C109C">
        <w:rPr>
          <w:rFonts w:ascii="Arial" w:eastAsia="Arial" w:hAnsi="Arial" w:cs="Arial"/>
          <w:color w:val="000000"/>
          <w:sz w:val="22"/>
          <w:szCs w:val="22"/>
        </w:rPr>
        <w:t>y con su reglamentación, contenida en el Decreto 1</w:t>
      </w:r>
      <w:r w:rsidR="00B83743" w:rsidRPr="008C109C">
        <w:rPr>
          <w:rFonts w:ascii="Arial" w:eastAsia="Arial" w:hAnsi="Arial" w:cs="Arial"/>
          <w:color w:val="000000"/>
          <w:sz w:val="22"/>
          <w:szCs w:val="22"/>
        </w:rPr>
        <w:t>860</w:t>
      </w:r>
      <w:r w:rsidR="00146CDB" w:rsidRPr="008C109C">
        <w:rPr>
          <w:rFonts w:ascii="Arial" w:eastAsia="Arial" w:hAnsi="Arial" w:cs="Arial"/>
          <w:color w:val="000000"/>
          <w:sz w:val="22"/>
          <w:szCs w:val="22"/>
        </w:rPr>
        <w:t xml:space="preserve"> del 2021</w:t>
      </w:r>
      <w:r w:rsidR="00A771E2" w:rsidRPr="008C109C">
        <w:rPr>
          <w:rFonts w:ascii="Arial" w:eastAsia="Arial" w:hAnsi="Arial" w:cs="Arial"/>
          <w:color w:val="000000"/>
          <w:sz w:val="22"/>
          <w:szCs w:val="22"/>
        </w:rPr>
        <w:t xml:space="preserve">, por el cual se modificó el Decreto 1082 del 2015. En particular, su consulta se funda en lo previsto en el numeral 2 del artículo 2.2.1.2.4.2.14. </w:t>
      </w:r>
      <w:r w:rsidR="00A735CD" w:rsidRPr="008C109C">
        <w:rPr>
          <w:rFonts w:ascii="Arial" w:eastAsia="Arial" w:hAnsi="Arial" w:cs="Arial"/>
          <w:color w:val="000000"/>
          <w:sz w:val="22"/>
          <w:szCs w:val="22"/>
        </w:rPr>
        <w:t>«</w:t>
      </w:r>
      <w:r w:rsidR="00A771E2" w:rsidRPr="008C109C">
        <w:rPr>
          <w:rFonts w:ascii="Arial" w:eastAsia="Arial" w:hAnsi="Arial" w:cs="Arial"/>
          <w:color w:val="000000"/>
          <w:sz w:val="22"/>
          <w:szCs w:val="22"/>
        </w:rPr>
        <w:t>Definición de emprendimientos y empresas de mujeres</w:t>
      </w:r>
      <w:r w:rsidR="00A735CD" w:rsidRPr="008C109C">
        <w:rPr>
          <w:rFonts w:ascii="Arial" w:eastAsia="Arial" w:hAnsi="Arial" w:cs="Arial"/>
          <w:color w:val="000000"/>
          <w:sz w:val="22"/>
          <w:szCs w:val="22"/>
        </w:rPr>
        <w:t>»</w:t>
      </w:r>
      <w:r w:rsidR="00A771E2" w:rsidRPr="008C109C">
        <w:rPr>
          <w:rFonts w:ascii="Arial" w:eastAsia="Arial" w:hAnsi="Arial" w:cs="Arial"/>
          <w:color w:val="000000"/>
          <w:sz w:val="22"/>
          <w:szCs w:val="22"/>
        </w:rPr>
        <w:t xml:space="preserve"> del Decreto 1082 de 2015</w:t>
      </w:r>
      <w:r w:rsidR="00A735CD" w:rsidRPr="008C109C">
        <w:rPr>
          <w:rFonts w:ascii="Arial" w:eastAsia="Arial" w:hAnsi="Arial" w:cs="Arial"/>
          <w:color w:val="000000"/>
          <w:sz w:val="22"/>
          <w:szCs w:val="22"/>
        </w:rPr>
        <w:t>,</w:t>
      </w:r>
      <w:r w:rsidR="00A771E2" w:rsidRPr="008C109C">
        <w:rPr>
          <w:rFonts w:ascii="Arial" w:eastAsia="Arial" w:hAnsi="Arial" w:cs="Arial"/>
          <w:color w:val="000000"/>
          <w:sz w:val="22"/>
          <w:szCs w:val="22"/>
        </w:rPr>
        <w:t xml:space="preserve"> que dispone lo siguiente:</w:t>
      </w:r>
      <w:r w:rsidR="00A771E2" w:rsidRPr="008C109C">
        <w:rPr>
          <w:rFonts w:ascii="Arial" w:eastAsia="Arial" w:hAnsi="Arial" w:cs="Arial"/>
          <w:bCs/>
          <w:color w:val="000000"/>
          <w:sz w:val="21"/>
          <w:szCs w:val="21"/>
        </w:rPr>
        <w:t xml:space="preserve"> </w:t>
      </w:r>
      <w:r w:rsidR="00A771E2" w:rsidRPr="008C109C">
        <w:rPr>
          <w:rFonts w:ascii="Arial" w:eastAsia="Arial" w:hAnsi="Arial" w:cs="Arial"/>
          <w:bCs/>
          <w:color w:val="000000"/>
          <w:sz w:val="21"/>
          <w:szCs w:val="21"/>
          <w:lang w:val="es-ES_tradnl"/>
        </w:rPr>
        <w:t>«</w:t>
      </w:r>
      <w:r w:rsidR="00A771E2" w:rsidRPr="008C109C">
        <w:rPr>
          <w:rFonts w:ascii="Arial" w:eastAsia="Arial" w:hAnsi="Arial" w:cs="Arial"/>
          <w:bCs/>
          <w:color w:val="000000"/>
          <w:sz w:val="22"/>
          <w:szCs w:val="22"/>
        </w:rPr>
        <w:t xml:space="preserve">2. Cuando por lo menos el cincuenta por ciento (50%) de los empleos del nivel directivo de la persona jurídica sean ejercidos por mujeres y </w:t>
      </w:r>
      <w:r w:rsidR="00A771E2" w:rsidRPr="008C109C">
        <w:rPr>
          <w:rFonts w:ascii="Arial" w:eastAsia="Arial" w:hAnsi="Arial" w:cs="Arial"/>
          <w:bCs/>
          <w:color w:val="000000"/>
          <w:sz w:val="22"/>
          <w:szCs w:val="22"/>
          <w:u w:val="single"/>
        </w:rPr>
        <w:t>éstas hayan estado vinculadas laboralmente a la empresa durante al menos el ÚLTIMO AÑO ANTERIOR A LA FECHA DE CIERRE DEL PROCESO DE SELECCIÓN en el mismo cargo u otro del mismo nivel</w:t>
      </w:r>
      <w:r w:rsidR="00A771E2" w:rsidRPr="008C109C">
        <w:rPr>
          <w:rFonts w:ascii="Arial" w:eastAsia="Arial" w:hAnsi="Arial" w:cs="Arial"/>
          <w:bCs/>
          <w:color w:val="000000"/>
          <w:sz w:val="22"/>
          <w:szCs w:val="22"/>
        </w:rPr>
        <w:t>».</w:t>
      </w:r>
      <w:r w:rsidR="00A771E2" w:rsidRPr="008C109C">
        <w:rPr>
          <w:rFonts w:ascii="Arial" w:eastAsia="Arial" w:hAnsi="Arial" w:cs="Arial"/>
          <w:b/>
          <w:bCs/>
          <w:color w:val="000000"/>
          <w:sz w:val="22"/>
          <w:szCs w:val="22"/>
        </w:rPr>
        <w:t xml:space="preserve"> </w:t>
      </w:r>
    </w:p>
    <w:p w14:paraId="2B35A43D" w14:textId="0256609A" w:rsidR="00A771E2" w:rsidRPr="008C109C" w:rsidRDefault="00A771E2" w:rsidP="007714E1">
      <w:pPr>
        <w:pBdr>
          <w:top w:val="nil"/>
          <w:left w:val="nil"/>
          <w:bottom w:val="nil"/>
          <w:right w:val="nil"/>
          <w:between w:val="nil"/>
        </w:pBdr>
        <w:spacing w:after="0"/>
        <w:ind w:firstLine="720"/>
        <w:rPr>
          <w:rFonts w:ascii="Arial" w:eastAsia="Arial" w:hAnsi="Arial" w:cs="Arial"/>
          <w:color w:val="000000"/>
          <w:sz w:val="22"/>
          <w:szCs w:val="22"/>
        </w:rPr>
      </w:pPr>
      <w:r w:rsidRPr="008C109C">
        <w:rPr>
          <w:rFonts w:ascii="Arial" w:eastAsia="Arial" w:hAnsi="Arial" w:cs="Arial"/>
          <w:color w:val="000000"/>
          <w:sz w:val="22"/>
          <w:szCs w:val="22"/>
        </w:rPr>
        <w:t>Partiendo del contenido de esta disposición, en su consulta se formulan los siguientes interrogantes:</w:t>
      </w:r>
    </w:p>
    <w:p w14:paraId="2036E307" w14:textId="77777777" w:rsidR="00B247DD" w:rsidRPr="008C109C" w:rsidRDefault="00B247DD" w:rsidP="003C4320">
      <w:pPr>
        <w:pBdr>
          <w:top w:val="nil"/>
          <w:left w:val="nil"/>
          <w:bottom w:val="nil"/>
          <w:right w:val="nil"/>
          <w:between w:val="nil"/>
        </w:pBdr>
        <w:spacing w:after="0"/>
        <w:rPr>
          <w:rFonts w:ascii="Arial" w:eastAsia="Arial" w:hAnsi="Arial" w:cs="Arial"/>
          <w:color w:val="000000"/>
          <w:sz w:val="22"/>
          <w:szCs w:val="22"/>
        </w:rPr>
      </w:pPr>
    </w:p>
    <w:p w14:paraId="61ECBC23" w14:textId="73FACE10" w:rsidR="00734A2B" w:rsidRPr="008C109C" w:rsidRDefault="00676AA1" w:rsidP="007714E1">
      <w:pPr>
        <w:pStyle w:val="Prrafodelista"/>
        <w:spacing w:after="0" w:line="240" w:lineRule="auto"/>
        <w:ind w:left="709" w:right="709"/>
        <w:rPr>
          <w:rFonts w:ascii="Arial" w:eastAsia="Arial" w:hAnsi="Arial" w:cs="Arial"/>
          <w:bCs/>
          <w:color w:val="000000"/>
          <w:sz w:val="21"/>
          <w:szCs w:val="21"/>
        </w:rPr>
      </w:pPr>
      <w:r w:rsidRPr="008C109C">
        <w:rPr>
          <w:rFonts w:ascii="Arial" w:eastAsia="Arial" w:hAnsi="Arial" w:cs="Arial"/>
          <w:bCs/>
          <w:color w:val="000000"/>
          <w:sz w:val="21"/>
          <w:szCs w:val="21"/>
          <w:lang w:val="es-ES_tradnl"/>
        </w:rPr>
        <w:t>«</w:t>
      </w:r>
      <w:r w:rsidR="00010531" w:rsidRPr="008C109C">
        <w:rPr>
          <w:rFonts w:ascii="Arial" w:eastAsia="Arial" w:hAnsi="Arial" w:cs="Arial"/>
          <w:bCs/>
          <w:color w:val="000000"/>
          <w:sz w:val="21"/>
          <w:szCs w:val="21"/>
        </w:rPr>
        <w:t xml:space="preserve">Con base en la expresión subrayada de dicho numeral se pregunta a su entidad lo siguiente: En caso de que: a) Dos (o más) empresas realicen una FUSION EMPRESARIAL, y b) Una de estas empresas tenga trabajadoras con más de un año de antigüedad en la nómina, </w:t>
      </w:r>
      <w:proofErr w:type="gramStart"/>
      <w:r w:rsidR="00010531" w:rsidRPr="008C109C">
        <w:rPr>
          <w:rFonts w:ascii="Arial" w:eastAsia="Arial" w:hAnsi="Arial" w:cs="Arial"/>
          <w:bCs/>
          <w:color w:val="000000"/>
          <w:sz w:val="21"/>
          <w:szCs w:val="21"/>
        </w:rPr>
        <w:t>¿Estas trabajadoras conservan la antigüedad de su contrato laboral y pueden presentarse por la empresa ya fusionada para dar cumplimiento al requisito exigido en el numeral 2 del artículo 2.</w:t>
      </w:r>
      <w:proofErr w:type="gramEnd"/>
      <w:r w:rsidR="00010531" w:rsidRPr="008C109C">
        <w:rPr>
          <w:rFonts w:ascii="Arial" w:eastAsia="Arial" w:hAnsi="Arial" w:cs="Arial"/>
          <w:bCs/>
          <w:color w:val="000000"/>
          <w:sz w:val="21"/>
          <w:szCs w:val="21"/>
        </w:rPr>
        <w:t>2.1.2.4.2.14 del Decreto 1082 de 2015?</w:t>
      </w:r>
      <w:r w:rsidR="00655EB1" w:rsidRPr="008C109C">
        <w:rPr>
          <w:rFonts w:ascii="Arial" w:eastAsia="Arial" w:hAnsi="Arial" w:cs="Arial"/>
          <w:bCs/>
          <w:color w:val="000000"/>
          <w:sz w:val="21"/>
          <w:szCs w:val="21"/>
        </w:rPr>
        <w:t>»</w:t>
      </w:r>
      <w:r w:rsidR="00010531" w:rsidRPr="008C109C">
        <w:rPr>
          <w:rFonts w:ascii="Arial" w:eastAsia="Arial" w:hAnsi="Arial" w:cs="Arial"/>
          <w:bCs/>
          <w:color w:val="000000"/>
          <w:sz w:val="21"/>
          <w:szCs w:val="21"/>
          <w:lang w:val="es-ES_tradnl"/>
        </w:rPr>
        <w:t xml:space="preserve"> </w:t>
      </w:r>
    </w:p>
    <w:p w14:paraId="5C4B9C24" w14:textId="06A0724F" w:rsidR="00676AA1" w:rsidRPr="008C109C" w:rsidRDefault="00676AA1" w:rsidP="003C4320">
      <w:pPr>
        <w:pStyle w:val="Prrafodelista"/>
        <w:spacing w:after="0"/>
        <w:ind w:left="1069" w:right="709"/>
        <w:rPr>
          <w:rFonts w:ascii="Arial" w:eastAsia="Arial" w:hAnsi="Arial" w:cs="Arial"/>
          <w:bCs/>
          <w:color w:val="000000"/>
          <w:sz w:val="21"/>
          <w:szCs w:val="21"/>
        </w:rPr>
      </w:pPr>
    </w:p>
    <w:p w14:paraId="56FF9111" w14:textId="77777777" w:rsidR="00871181" w:rsidRPr="008C109C" w:rsidRDefault="003E3EF7" w:rsidP="003C4320">
      <w:pPr>
        <w:tabs>
          <w:tab w:val="left" w:pos="284"/>
        </w:tabs>
        <w:spacing w:after="0"/>
        <w:rPr>
          <w:rFonts w:ascii="Arial" w:eastAsia="Arial" w:hAnsi="Arial" w:cs="Arial"/>
          <w:b/>
          <w:color w:val="000000"/>
          <w:sz w:val="22"/>
          <w:szCs w:val="22"/>
        </w:rPr>
      </w:pPr>
      <w:r w:rsidRPr="008C109C">
        <w:rPr>
          <w:rFonts w:ascii="Arial" w:eastAsia="Arial" w:hAnsi="Arial" w:cs="Arial"/>
          <w:b/>
          <w:color w:val="000000"/>
          <w:sz w:val="22"/>
          <w:szCs w:val="22"/>
        </w:rPr>
        <w:t>2. Consideraciones</w:t>
      </w:r>
    </w:p>
    <w:p w14:paraId="2E2D623B" w14:textId="77777777" w:rsidR="00A771E2" w:rsidRPr="008C109C" w:rsidRDefault="00A771E2" w:rsidP="003C4320">
      <w:pPr>
        <w:tabs>
          <w:tab w:val="left" w:pos="284"/>
        </w:tabs>
        <w:spacing w:after="0"/>
        <w:rPr>
          <w:rFonts w:ascii="Arial" w:eastAsia="Arial" w:hAnsi="Arial" w:cs="Arial"/>
          <w:b/>
          <w:color w:val="000000"/>
          <w:sz w:val="22"/>
          <w:szCs w:val="22"/>
        </w:rPr>
      </w:pPr>
    </w:p>
    <w:p w14:paraId="6F38031C" w14:textId="77777777" w:rsidR="00A771E2" w:rsidRPr="008C109C" w:rsidRDefault="00A771E2" w:rsidP="007714E1">
      <w:pPr>
        <w:spacing w:after="120"/>
        <w:rPr>
          <w:rFonts w:ascii="Arial" w:eastAsia="Arial" w:hAnsi="Arial" w:cs="Arial"/>
          <w:color w:val="000000"/>
          <w:sz w:val="22"/>
          <w:szCs w:val="22"/>
        </w:rPr>
      </w:pPr>
      <w:r w:rsidRPr="008C109C">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8C109C">
        <w:rPr>
          <w:rFonts w:ascii="Arial" w:eastAsia="Arial" w:hAnsi="Arial" w:cs="Arial"/>
          <w:color w:val="000000"/>
          <w:sz w:val="22"/>
          <w:szCs w:val="22"/>
          <w:vertAlign w:val="superscript"/>
        </w:rPr>
        <w:footnoteReference w:id="1"/>
      </w:r>
      <w:r w:rsidRPr="008C109C">
        <w:rPr>
          <w:rFonts w:ascii="Arial" w:eastAsia="Arial" w:hAnsi="Arial" w:cs="Arial"/>
          <w:color w:val="000000"/>
          <w:sz w:val="22"/>
          <w:szCs w:val="22"/>
        </w:rPr>
        <w:t>.</w:t>
      </w:r>
    </w:p>
    <w:p w14:paraId="6EAC4196" w14:textId="4D2BEB2F" w:rsidR="0064659A" w:rsidRPr="008C109C" w:rsidRDefault="0064659A" w:rsidP="007714E1">
      <w:pPr>
        <w:spacing w:after="120"/>
        <w:ind w:firstLine="720"/>
        <w:rPr>
          <w:rFonts w:ascii="Arial" w:eastAsia="Arial" w:hAnsi="Arial" w:cs="Arial"/>
          <w:color w:val="000000"/>
          <w:sz w:val="22"/>
          <w:szCs w:val="22"/>
        </w:rPr>
      </w:pPr>
      <w:r w:rsidRPr="008C109C">
        <w:rPr>
          <w:rFonts w:ascii="Arial" w:eastAsia="Arial" w:hAnsi="Arial" w:cs="Arial"/>
          <w:color w:val="000000"/>
          <w:sz w:val="22"/>
          <w:szCs w:val="22"/>
        </w:rPr>
        <w:t>Por ello, esta Subdirección –dentro de los límites de sus atribuciones</w:t>
      </w:r>
      <w:r w:rsidRPr="008C109C">
        <w:rPr>
          <w:rFonts w:ascii="Arial" w:eastAsia="Arial" w:hAnsi="Arial" w:cs="Arial"/>
          <w:color w:val="000000"/>
          <w:sz w:val="22"/>
          <w:szCs w:val="22"/>
          <w:vertAlign w:val="superscript"/>
        </w:rPr>
        <w:footnoteReference w:id="2"/>
      </w:r>
      <w:r w:rsidRPr="008C109C">
        <w:rPr>
          <w:rFonts w:ascii="Arial" w:eastAsia="Arial" w:hAnsi="Arial" w:cs="Arial"/>
          <w:color w:val="000000"/>
          <w:sz w:val="22"/>
          <w:szCs w:val="22"/>
        </w:rPr>
        <w:t xml:space="preserve">– resolverá la consulta conforme a las normas generales en materia de contratación estatal. Con este </w:t>
      </w:r>
      <w:r w:rsidRPr="008C109C">
        <w:rPr>
          <w:rFonts w:ascii="Arial" w:eastAsia="Arial" w:hAnsi="Arial" w:cs="Arial"/>
          <w:color w:val="000000"/>
          <w:sz w:val="22"/>
          <w:szCs w:val="22"/>
        </w:rPr>
        <w:lastRenderedPageBreak/>
        <w:t>objetivo se analizarán los siguientes temas</w:t>
      </w:r>
      <w:r w:rsidR="00A735CD" w:rsidRPr="008C109C">
        <w:rPr>
          <w:rFonts w:ascii="Arial" w:eastAsia="Arial" w:hAnsi="Arial" w:cs="Arial"/>
          <w:color w:val="000000"/>
          <w:sz w:val="22"/>
          <w:szCs w:val="22"/>
        </w:rPr>
        <w:t>:</w:t>
      </w:r>
      <w:r w:rsidRPr="008C109C">
        <w:rPr>
          <w:rFonts w:ascii="Arial" w:eastAsia="Arial" w:hAnsi="Arial" w:cs="Arial"/>
          <w:color w:val="000000"/>
          <w:sz w:val="22"/>
          <w:szCs w:val="22"/>
        </w:rPr>
        <w:t xml:space="preserve"> i</w:t>
      </w:r>
      <w:r w:rsidRPr="008C109C">
        <w:rPr>
          <w:rFonts w:ascii="Arial" w:eastAsia="Arial" w:hAnsi="Arial" w:cs="Arial"/>
          <w:color w:val="000000"/>
          <w:sz w:val="22"/>
          <w:szCs w:val="22"/>
          <w:lang w:val="es-ES_tradnl"/>
        </w:rPr>
        <w:t xml:space="preserve">) </w:t>
      </w:r>
      <w:r w:rsidR="002E5798" w:rsidRPr="008C109C">
        <w:rPr>
          <w:rFonts w:ascii="Arial" w:eastAsia="Arial" w:hAnsi="Arial" w:cs="Arial"/>
          <w:color w:val="000000"/>
          <w:sz w:val="22"/>
          <w:szCs w:val="22"/>
          <w:lang w:val="es-ES_tradnl"/>
        </w:rPr>
        <w:t>reglamentación del artículo 32 de la Ley 2069 de 2020 por parte del Decreto 1860 de 2021</w:t>
      </w:r>
      <w:r w:rsidR="003C4320" w:rsidRPr="008C109C">
        <w:rPr>
          <w:rFonts w:ascii="Arial" w:eastAsia="Arial" w:hAnsi="Arial" w:cs="Arial"/>
          <w:bCs/>
          <w:color w:val="000000"/>
          <w:sz w:val="22"/>
          <w:szCs w:val="22"/>
          <w:lang w:val="es-ES_tradnl"/>
        </w:rPr>
        <w:t>;</w:t>
      </w:r>
      <w:r w:rsidRPr="008C109C">
        <w:rPr>
          <w:rFonts w:ascii="Arial" w:eastAsia="Arial" w:hAnsi="Arial" w:cs="Arial"/>
          <w:color w:val="000000"/>
          <w:sz w:val="22"/>
          <w:szCs w:val="22"/>
        </w:rPr>
        <w:t xml:space="preserve"> ii) </w:t>
      </w:r>
      <w:r w:rsidR="00A735CD" w:rsidRPr="008C109C">
        <w:rPr>
          <w:rFonts w:ascii="Arial" w:eastAsia="Arial" w:hAnsi="Arial" w:cs="Arial"/>
          <w:color w:val="000000"/>
          <w:sz w:val="22"/>
          <w:szCs w:val="22"/>
        </w:rPr>
        <w:t>a</w:t>
      </w:r>
      <w:r w:rsidR="0002531C" w:rsidRPr="008C109C">
        <w:rPr>
          <w:rFonts w:ascii="Arial" w:eastAsia="Arial" w:hAnsi="Arial" w:cs="Arial"/>
          <w:color w:val="000000"/>
          <w:sz w:val="22"/>
          <w:szCs w:val="22"/>
        </w:rPr>
        <w:t>lcance de la regulación existente sobre los l</w:t>
      </w:r>
      <w:r w:rsidRPr="008C109C">
        <w:rPr>
          <w:rFonts w:ascii="Arial" w:eastAsia="Arial" w:hAnsi="Arial" w:cs="Arial"/>
          <w:color w:val="000000"/>
          <w:sz w:val="22"/>
          <w:szCs w:val="22"/>
          <w:lang w:val="es-CO"/>
        </w:rPr>
        <w:t xml:space="preserve">os criterios diferenciales definidos en el reglamento en favor de </w:t>
      </w:r>
      <w:r w:rsidR="00F04216" w:rsidRPr="008C109C">
        <w:rPr>
          <w:rFonts w:ascii="Arial" w:eastAsia="Arial" w:hAnsi="Arial" w:cs="Arial"/>
          <w:color w:val="000000"/>
          <w:sz w:val="22"/>
          <w:szCs w:val="22"/>
          <w:lang w:val="es-CO"/>
        </w:rPr>
        <w:t>los emprendimientos y empresas de mujeres</w:t>
      </w:r>
      <w:r w:rsidR="00A735CD" w:rsidRPr="008C109C">
        <w:rPr>
          <w:rFonts w:ascii="Arial" w:eastAsia="Arial" w:hAnsi="Arial" w:cs="Arial"/>
          <w:color w:val="000000"/>
          <w:sz w:val="22"/>
          <w:szCs w:val="22"/>
          <w:lang w:val="es-CO"/>
        </w:rPr>
        <w:t>;</w:t>
      </w:r>
      <w:r w:rsidR="00F04216" w:rsidRPr="008C109C">
        <w:rPr>
          <w:rFonts w:ascii="Arial" w:eastAsia="Arial" w:hAnsi="Arial" w:cs="Arial"/>
          <w:color w:val="000000"/>
          <w:sz w:val="22"/>
          <w:szCs w:val="22"/>
          <w:lang w:val="es-CO"/>
        </w:rPr>
        <w:t xml:space="preserve"> y </w:t>
      </w:r>
      <w:proofErr w:type="spellStart"/>
      <w:r w:rsidR="00906FBF" w:rsidRPr="008C109C">
        <w:rPr>
          <w:rFonts w:ascii="Arial" w:eastAsia="Arial" w:hAnsi="Arial" w:cs="Arial"/>
          <w:color w:val="000000"/>
          <w:sz w:val="22"/>
          <w:szCs w:val="22"/>
          <w:lang w:val="es-CO"/>
        </w:rPr>
        <w:t>iii</w:t>
      </w:r>
      <w:proofErr w:type="spellEnd"/>
      <w:r w:rsidR="00906FBF" w:rsidRPr="008C109C">
        <w:rPr>
          <w:rFonts w:ascii="Arial" w:eastAsia="Arial" w:hAnsi="Arial" w:cs="Arial"/>
          <w:color w:val="000000"/>
          <w:sz w:val="22"/>
          <w:szCs w:val="22"/>
          <w:lang w:val="es-CO"/>
        </w:rPr>
        <w:t>)</w:t>
      </w:r>
      <w:r w:rsidR="00A735CD" w:rsidRPr="008C109C">
        <w:rPr>
          <w:rFonts w:ascii="Arial" w:eastAsia="Arial" w:hAnsi="Arial" w:cs="Arial"/>
          <w:color w:val="000000"/>
          <w:sz w:val="22"/>
          <w:szCs w:val="22"/>
          <w:lang w:val="es-CO"/>
        </w:rPr>
        <w:t xml:space="preserve"> a</w:t>
      </w:r>
      <w:r w:rsidR="0002531C" w:rsidRPr="008C109C">
        <w:rPr>
          <w:rFonts w:ascii="Arial" w:eastAsia="Arial" w:hAnsi="Arial" w:cs="Arial"/>
          <w:color w:val="000000"/>
          <w:sz w:val="22"/>
          <w:szCs w:val="22"/>
          <w:lang w:val="es-CO"/>
        </w:rPr>
        <w:t>lcance de la figura de sustitución de empleadores en relación con los criterios diferenciales y los factores de desempate en favor de emprendimientos y empresa de mujeres</w:t>
      </w:r>
      <w:r w:rsidRPr="008C109C">
        <w:rPr>
          <w:rFonts w:ascii="Arial" w:eastAsia="Arial" w:hAnsi="Arial" w:cs="Arial"/>
          <w:color w:val="000000"/>
          <w:sz w:val="22"/>
          <w:szCs w:val="22"/>
          <w:lang w:val="es-CO"/>
        </w:rPr>
        <w:t>.</w:t>
      </w:r>
    </w:p>
    <w:p w14:paraId="52DC2D33" w14:textId="6D6C8A71" w:rsidR="00A771E2" w:rsidRPr="008C109C" w:rsidRDefault="00A771E2" w:rsidP="003C4320">
      <w:pPr>
        <w:spacing w:after="0"/>
        <w:ind w:firstLine="720"/>
        <w:rPr>
          <w:rFonts w:ascii="Arial" w:hAnsi="Arial" w:cs="Arial"/>
          <w:color w:val="000000"/>
          <w:sz w:val="22"/>
          <w:szCs w:val="22"/>
          <w:lang w:val="es-ES_tradnl"/>
        </w:rPr>
      </w:pPr>
      <w:r w:rsidRPr="008C109C">
        <w:rPr>
          <w:rFonts w:ascii="Arial" w:hAnsi="Arial" w:cs="Arial"/>
          <w:color w:val="000000" w:themeColor="text1"/>
          <w:sz w:val="22"/>
          <w:szCs w:val="22"/>
        </w:rPr>
        <w:t>La Agencia Nacional de Contratación Pública − Colombia Compra Eficiente se pronunció sobre</w:t>
      </w:r>
      <w:r w:rsidR="004A2079" w:rsidRPr="008C109C">
        <w:rPr>
          <w:rFonts w:ascii="Arial" w:hAnsi="Arial" w:cs="Arial"/>
          <w:color w:val="000000" w:themeColor="text1"/>
          <w:sz w:val="22"/>
          <w:szCs w:val="22"/>
        </w:rPr>
        <w:t xml:space="preserve"> la Ley 206</w:t>
      </w:r>
      <w:r w:rsidR="00A26AF0" w:rsidRPr="008C109C">
        <w:rPr>
          <w:rFonts w:ascii="Arial" w:hAnsi="Arial" w:cs="Arial"/>
          <w:color w:val="000000" w:themeColor="text1"/>
          <w:sz w:val="22"/>
          <w:szCs w:val="22"/>
        </w:rPr>
        <w:t>9</w:t>
      </w:r>
      <w:r w:rsidR="004A2079" w:rsidRPr="008C109C">
        <w:rPr>
          <w:rFonts w:ascii="Arial" w:hAnsi="Arial" w:cs="Arial"/>
          <w:color w:val="000000" w:themeColor="text1"/>
          <w:sz w:val="22"/>
          <w:szCs w:val="22"/>
        </w:rPr>
        <w:t xml:space="preserve"> del 2020</w:t>
      </w:r>
      <w:r w:rsidR="00280D9B" w:rsidRPr="008C109C">
        <w:rPr>
          <w:rFonts w:ascii="Arial" w:hAnsi="Arial" w:cs="Arial"/>
          <w:color w:val="000000" w:themeColor="text1"/>
          <w:sz w:val="22"/>
          <w:szCs w:val="22"/>
        </w:rPr>
        <w:t>, los criterios diferenciales y los factores de desempate previsto en esta Ley y en su</w:t>
      </w:r>
      <w:r w:rsidR="004A2079" w:rsidRPr="008C109C">
        <w:rPr>
          <w:rFonts w:ascii="Arial" w:hAnsi="Arial" w:cs="Arial"/>
          <w:color w:val="000000" w:themeColor="text1"/>
          <w:sz w:val="22"/>
          <w:szCs w:val="22"/>
        </w:rPr>
        <w:t xml:space="preserve"> reglamentación en los conceptos </w:t>
      </w:r>
      <w:r w:rsidR="00DE02EF" w:rsidRPr="008C109C">
        <w:rPr>
          <w:rFonts w:ascii="Arial" w:hAnsi="Arial" w:cs="Arial"/>
          <w:color w:val="000000" w:themeColor="text1"/>
          <w:sz w:val="22"/>
          <w:szCs w:val="22"/>
        </w:rPr>
        <w:t>C</w:t>
      </w:r>
      <w:r w:rsidR="00F04216" w:rsidRPr="008C109C">
        <w:rPr>
          <w:rFonts w:ascii="Arial" w:hAnsi="Arial" w:cs="Arial"/>
          <w:bCs/>
          <w:color w:val="000000" w:themeColor="text1"/>
          <w:sz w:val="22"/>
          <w:szCs w:val="22"/>
          <w:lang w:val="es-ES_tradnl"/>
        </w:rPr>
        <w:t>-005 del 16 de febrero de 2021</w:t>
      </w:r>
      <w:r w:rsidR="00A26AF0" w:rsidRPr="008C109C">
        <w:rPr>
          <w:rFonts w:ascii="Arial" w:hAnsi="Arial" w:cs="Arial"/>
          <w:bCs/>
          <w:color w:val="000000" w:themeColor="text1"/>
          <w:sz w:val="22"/>
          <w:szCs w:val="22"/>
          <w:lang w:val="es-ES_tradnl"/>
        </w:rPr>
        <w:t>;</w:t>
      </w:r>
      <w:r w:rsidR="00DE02EF" w:rsidRPr="008C109C">
        <w:rPr>
          <w:rFonts w:ascii="Arial" w:hAnsi="Arial" w:cs="Arial"/>
          <w:bCs/>
          <w:color w:val="000000" w:themeColor="text1"/>
          <w:sz w:val="22"/>
          <w:szCs w:val="22"/>
          <w:lang w:val="es-ES_tradnl"/>
        </w:rPr>
        <w:t xml:space="preserve"> C-006 del 5 de febrero del 2021;</w:t>
      </w:r>
      <w:r w:rsidR="00F04216" w:rsidRPr="008C109C">
        <w:rPr>
          <w:rFonts w:ascii="Arial" w:hAnsi="Arial" w:cs="Arial"/>
          <w:bCs/>
          <w:color w:val="000000" w:themeColor="text1"/>
          <w:sz w:val="22"/>
          <w:szCs w:val="22"/>
          <w:lang w:val="es-ES_tradnl"/>
        </w:rPr>
        <w:t xml:space="preserve"> C-0</w:t>
      </w:r>
      <w:r w:rsidR="00DE02EF" w:rsidRPr="008C109C">
        <w:rPr>
          <w:rFonts w:ascii="Arial" w:hAnsi="Arial" w:cs="Arial"/>
          <w:bCs/>
          <w:color w:val="000000" w:themeColor="text1"/>
          <w:sz w:val="22"/>
          <w:szCs w:val="22"/>
          <w:lang w:val="es-ES_tradnl"/>
        </w:rPr>
        <w:t>09 del 4 de febrero del 2021; C</w:t>
      </w:r>
      <w:r w:rsidR="00A26AF0" w:rsidRPr="008C109C">
        <w:rPr>
          <w:rFonts w:ascii="Arial" w:hAnsi="Arial" w:cs="Arial"/>
          <w:bCs/>
          <w:color w:val="000000" w:themeColor="text1"/>
          <w:sz w:val="22"/>
          <w:szCs w:val="22"/>
          <w:lang w:val="es-ES_tradnl"/>
        </w:rPr>
        <w:t>-</w:t>
      </w:r>
      <w:r w:rsidR="00DE02EF" w:rsidRPr="008C109C">
        <w:rPr>
          <w:rFonts w:ascii="Arial" w:hAnsi="Arial" w:cs="Arial"/>
          <w:bCs/>
          <w:color w:val="000000" w:themeColor="text1"/>
          <w:sz w:val="22"/>
          <w:szCs w:val="22"/>
          <w:lang w:val="es-ES_tradnl"/>
        </w:rPr>
        <w:t>012 del 4 de febrero del 2021; C-013 del 4 de febrero del 2021</w:t>
      </w:r>
      <w:r w:rsidR="001641D0" w:rsidRPr="008C109C">
        <w:rPr>
          <w:rFonts w:ascii="Arial" w:hAnsi="Arial" w:cs="Arial"/>
          <w:bCs/>
          <w:color w:val="000000" w:themeColor="text1"/>
          <w:sz w:val="22"/>
          <w:szCs w:val="22"/>
          <w:lang w:val="es-ES_tradnl"/>
        </w:rPr>
        <w:t>; C-015 del 4 de febrero del 2021; C</w:t>
      </w:r>
      <w:r w:rsidR="00A26AF0" w:rsidRPr="008C109C">
        <w:rPr>
          <w:rFonts w:ascii="Arial" w:hAnsi="Arial" w:cs="Arial"/>
          <w:bCs/>
          <w:color w:val="000000" w:themeColor="text1"/>
          <w:sz w:val="22"/>
          <w:szCs w:val="22"/>
          <w:lang w:val="es-ES_tradnl"/>
        </w:rPr>
        <w:t>-</w:t>
      </w:r>
      <w:r w:rsidR="001641D0" w:rsidRPr="008C109C">
        <w:rPr>
          <w:rFonts w:ascii="Arial" w:hAnsi="Arial" w:cs="Arial"/>
          <w:bCs/>
          <w:color w:val="000000" w:themeColor="text1"/>
          <w:sz w:val="22"/>
          <w:szCs w:val="22"/>
          <w:lang w:val="es-ES_tradnl"/>
        </w:rPr>
        <w:t xml:space="preserve">016 de 4 de febrero del 2021; </w:t>
      </w:r>
      <w:r w:rsidR="00C748AE" w:rsidRPr="008C109C">
        <w:rPr>
          <w:rFonts w:ascii="Arial" w:hAnsi="Arial" w:cs="Arial"/>
          <w:bCs/>
          <w:color w:val="000000" w:themeColor="text1"/>
          <w:sz w:val="22"/>
          <w:szCs w:val="22"/>
          <w:lang w:val="es-ES_tradnl"/>
        </w:rPr>
        <w:t xml:space="preserve">C-026 del 4 de febrero del 2021; </w:t>
      </w:r>
      <w:r w:rsidR="00032211" w:rsidRPr="008C109C">
        <w:rPr>
          <w:rFonts w:ascii="Arial" w:hAnsi="Arial" w:cs="Arial"/>
          <w:bCs/>
          <w:color w:val="000000" w:themeColor="text1"/>
          <w:sz w:val="22"/>
          <w:szCs w:val="22"/>
          <w:lang w:val="es-ES_tradnl"/>
        </w:rPr>
        <w:t>C-081 del 23 de febrero del 2021;</w:t>
      </w:r>
      <w:r w:rsidR="00F04216" w:rsidRPr="008C109C">
        <w:rPr>
          <w:rFonts w:ascii="Arial" w:hAnsi="Arial" w:cs="Arial"/>
          <w:bCs/>
          <w:color w:val="000000" w:themeColor="text1"/>
          <w:sz w:val="22"/>
          <w:szCs w:val="22"/>
          <w:lang w:val="es-ES_tradnl"/>
        </w:rPr>
        <w:t xml:space="preserve"> C-035 del 02 de marzo de 2021</w:t>
      </w:r>
      <w:r w:rsidR="00032211" w:rsidRPr="008C109C">
        <w:rPr>
          <w:rFonts w:ascii="Arial" w:hAnsi="Arial" w:cs="Arial"/>
          <w:bCs/>
          <w:color w:val="000000" w:themeColor="text1"/>
          <w:sz w:val="22"/>
          <w:szCs w:val="22"/>
          <w:lang w:val="es-ES_tradnl"/>
        </w:rPr>
        <w:t>; C-056 del 8 de marzo del 2021; C-087 del 19 de marzo del 2021</w:t>
      </w:r>
      <w:r w:rsidR="001D0FA2" w:rsidRPr="008C109C">
        <w:rPr>
          <w:rFonts w:ascii="Arial" w:hAnsi="Arial" w:cs="Arial"/>
          <w:bCs/>
          <w:color w:val="000000" w:themeColor="text1"/>
          <w:sz w:val="22"/>
          <w:szCs w:val="22"/>
          <w:lang w:val="es-ES_tradnl"/>
        </w:rPr>
        <w:t>; C-114 del 13 de abril del 2021; C-206 del 3 de mayo del 2021;</w:t>
      </w:r>
      <w:r w:rsidR="00E53FF1" w:rsidRPr="008C109C">
        <w:rPr>
          <w:rFonts w:ascii="Arial" w:hAnsi="Arial" w:cs="Arial"/>
          <w:bCs/>
          <w:color w:val="000000" w:themeColor="text1"/>
          <w:sz w:val="22"/>
          <w:szCs w:val="22"/>
          <w:lang w:val="es-ES_tradnl"/>
        </w:rPr>
        <w:t xml:space="preserve"> C-245 del 1 de junio del 2021</w:t>
      </w:r>
      <w:r w:rsidR="00DD4907" w:rsidRPr="008C109C">
        <w:rPr>
          <w:rFonts w:ascii="Arial" w:hAnsi="Arial" w:cs="Arial"/>
          <w:bCs/>
          <w:color w:val="000000" w:themeColor="text1"/>
          <w:sz w:val="22"/>
          <w:szCs w:val="22"/>
          <w:lang w:val="es-ES_tradnl"/>
        </w:rPr>
        <w:t>;</w:t>
      </w:r>
      <w:r w:rsidR="00A26AF0" w:rsidRPr="008C109C">
        <w:rPr>
          <w:rFonts w:ascii="Arial" w:hAnsi="Arial" w:cs="Arial"/>
          <w:bCs/>
          <w:color w:val="000000" w:themeColor="text1"/>
          <w:sz w:val="22"/>
          <w:szCs w:val="22"/>
          <w:lang w:val="es-ES_tradnl"/>
        </w:rPr>
        <w:t xml:space="preserve"> y</w:t>
      </w:r>
      <w:r w:rsidR="00DD4907" w:rsidRPr="008C109C">
        <w:rPr>
          <w:rFonts w:ascii="Arial" w:hAnsi="Arial" w:cs="Arial"/>
          <w:bCs/>
          <w:color w:val="000000" w:themeColor="text1"/>
          <w:sz w:val="22"/>
          <w:szCs w:val="22"/>
          <w:lang w:val="es-ES_tradnl"/>
        </w:rPr>
        <w:t xml:space="preserve"> C-661 del 29 de noviembre del 2021</w:t>
      </w:r>
      <w:r w:rsidR="00280D9B" w:rsidRPr="008C109C">
        <w:rPr>
          <w:rFonts w:ascii="Arial" w:hAnsi="Arial" w:cs="Arial"/>
          <w:bCs/>
          <w:color w:val="000000" w:themeColor="text1"/>
          <w:sz w:val="22"/>
          <w:szCs w:val="22"/>
          <w:lang w:val="es-ES_tradnl"/>
        </w:rPr>
        <w:t xml:space="preserve">. En particular, el análisis referido a los emprendimientos y empresas de </w:t>
      </w:r>
      <w:proofErr w:type="gramStart"/>
      <w:r w:rsidR="00280D9B" w:rsidRPr="008C109C">
        <w:rPr>
          <w:rFonts w:ascii="Arial" w:hAnsi="Arial" w:cs="Arial"/>
          <w:bCs/>
          <w:color w:val="000000" w:themeColor="text1"/>
          <w:sz w:val="22"/>
          <w:szCs w:val="22"/>
          <w:lang w:val="es-ES_tradnl"/>
        </w:rPr>
        <w:t>mujeres,</w:t>
      </w:r>
      <w:proofErr w:type="gramEnd"/>
      <w:r w:rsidR="00280D9B" w:rsidRPr="008C109C">
        <w:rPr>
          <w:rFonts w:ascii="Arial" w:hAnsi="Arial" w:cs="Arial"/>
          <w:bCs/>
          <w:color w:val="000000" w:themeColor="text1"/>
          <w:sz w:val="22"/>
          <w:szCs w:val="22"/>
          <w:lang w:val="es-ES_tradnl"/>
        </w:rPr>
        <w:t xml:space="preserve"> se abordó en los conceptos C-029 del 23 de febrero del 2021</w:t>
      </w:r>
      <w:r w:rsidR="00F04216" w:rsidRPr="008C109C">
        <w:rPr>
          <w:rFonts w:ascii="Arial" w:hAnsi="Arial" w:cs="Arial"/>
          <w:bCs/>
          <w:color w:val="000000" w:themeColor="text1"/>
          <w:sz w:val="22"/>
          <w:szCs w:val="22"/>
          <w:lang w:val="es-ES_tradnl"/>
        </w:rPr>
        <w:t>, C</w:t>
      </w:r>
      <w:r w:rsidR="00280D9B" w:rsidRPr="008C109C">
        <w:rPr>
          <w:rFonts w:ascii="Arial" w:hAnsi="Arial" w:cs="Arial"/>
          <w:bCs/>
          <w:color w:val="000000" w:themeColor="text1"/>
          <w:sz w:val="22"/>
          <w:szCs w:val="22"/>
          <w:lang w:val="es-ES_tradnl"/>
        </w:rPr>
        <w:t>-061 del 10 de marzo del 2021</w:t>
      </w:r>
      <w:r w:rsidR="00A26AF0" w:rsidRPr="008C109C">
        <w:rPr>
          <w:rFonts w:ascii="Arial" w:hAnsi="Arial" w:cs="Arial"/>
          <w:bCs/>
          <w:color w:val="000000" w:themeColor="text1"/>
          <w:sz w:val="22"/>
          <w:szCs w:val="22"/>
          <w:lang w:val="es-ES_tradnl"/>
        </w:rPr>
        <w:t>,</w:t>
      </w:r>
      <w:r w:rsidR="00280D9B" w:rsidRPr="008C109C">
        <w:rPr>
          <w:rFonts w:ascii="Arial" w:hAnsi="Arial" w:cs="Arial"/>
          <w:bCs/>
          <w:color w:val="000000" w:themeColor="text1"/>
          <w:sz w:val="22"/>
          <w:szCs w:val="22"/>
          <w:lang w:val="es-ES_tradnl"/>
        </w:rPr>
        <w:t xml:space="preserve"> </w:t>
      </w:r>
      <w:r w:rsidR="00DD4907" w:rsidRPr="008C109C">
        <w:rPr>
          <w:rFonts w:ascii="Arial" w:hAnsi="Arial" w:cs="Arial"/>
          <w:bCs/>
          <w:color w:val="000000" w:themeColor="text1"/>
          <w:sz w:val="22"/>
          <w:szCs w:val="22"/>
          <w:lang w:val="es-ES_tradnl"/>
        </w:rPr>
        <w:t>C-386 del 15 de junio del 2022</w:t>
      </w:r>
      <w:r w:rsidR="0002531C" w:rsidRPr="008C109C">
        <w:rPr>
          <w:rFonts w:ascii="Arial" w:hAnsi="Arial" w:cs="Arial"/>
          <w:bCs/>
          <w:color w:val="000000" w:themeColor="text1"/>
          <w:sz w:val="22"/>
          <w:szCs w:val="22"/>
          <w:lang w:val="es-ES_tradnl"/>
        </w:rPr>
        <w:t xml:space="preserve"> y C-405 del 22 de junio del 2022. </w:t>
      </w:r>
      <w:r w:rsidR="00E53FF1" w:rsidRPr="008C109C">
        <w:rPr>
          <w:rFonts w:ascii="Arial" w:hAnsi="Arial" w:cs="Arial"/>
          <w:bCs/>
          <w:color w:val="000000" w:themeColor="text1"/>
          <w:sz w:val="22"/>
          <w:szCs w:val="22"/>
          <w:lang w:val="es-ES_tradnl"/>
        </w:rPr>
        <w:t xml:space="preserve">Finalmente, en el concepto C-320 del 1 de julio del 2021, esta agencia analizó, a la luz de la Ley 2069 del 2020 la figura de la sustitución de empleadores. </w:t>
      </w:r>
      <w:r w:rsidR="00F04216" w:rsidRPr="008C109C">
        <w:rPr>
          <w:rFonts w:ascii="Arial" w:hAnsi="Arial" w:cs="Arial"/>
          <w:bCs/>
          <w:color w:val="000000" w:themeColor="text1"/>
          <w:sz w:val="22"/>
          <w:szCs w:val="22"/>
          <w:lang w:val="es-ES_tradnl"/>
        </w:rPr>
        <w:t>En lo pertinente, la tesis desarrollada en estos conceptos se reitera a continuación y se complementa con algunas ideas relativas a la consulta realizada</w:t>
      </w:r>
      <w:r w:rsidR="00A26AF0" w:rsidRPr="008C109C">
        <w:rPr>
          <w:rFonts w:ascii="Arial" w:hAnsi="Arial" w:cs="Arial"/>
          <w:bCs/>
          <w:color w:val="000000" w:themeColor="text1"/>
          <w:sz w:val="22"/>
          <w:szCs w:val="22"/>
          <w:lang w:val="es-ES_tradnl"/>
        </w:rPr>
        <w:t>.</w:t>
      </w:r>
    </w:p>
    <w:p w14:paraId="4247C48C" w14:textId="1BB7A4BF" w:rsidR="00D1667B" w:rsidRPr="008C109C" w:rsidRDefault="00D1667B" w:rsidP="003C4320">
      <w:pPr>
        <w:tabs>
          <w:tab w:val="left" w:pos="426"/>
        </w:tabs>
        <w:spacing w:after="0"/>
        <w:rPr>
          <w:rFonts w:ascii="Arial" w:hAnsi="Arial" w:cs="Arial"/>
          <w:bCs/>
          <w:sz w:val="22"/>
          <w:szCs w:val="22"/>
          <w:lang w:val="es-ES_tradnl" w:eastAsia="en-US"/>
        </w:rPr>
      </w:pPr>
    </w:p>
    <w:p w14:paraId="54FD5AD7" w14:textId="0096D9CF" w:rsidR="0047054F" w:rsidRPr="008C109C" w:rsidRDefault="0047054F" w:rsidP="007714E1">
      <w:pPr>
        <w:spacing w:after="0"/>
        <w:rPr>
          <w:rFonts w:ascii="Arial" w:hAnsi="Arial" w:cs="Arial"/>
          <w:b/>
          <w:bCs/>
          <w:color w:val="000000"/>
          <w:sz w:val="22"/>
          <w:szCs w:val="22"/>
          <w:lang w:val="es-ES" w:eastAsia="en-US"/>
        </w:rPr>
      </w:pPr>
      <w:r w:rsidRPr="008C109C">
        <w:rPr>
          <w:rFonts w:ascii="Arial" w:hAnsi="Arial" w:cs="Arial"/>
          <w:b/>
          <w:bCs/>
          <w:color w:val="000000"/>
          <w:sz w:val="22"/>
          <w:szCs w:val="22"/>
          <w:lang w:val="es-ES" w:eastAsia="en-US"/>
        </w:rPr>
        <w:t>2.</w:t>
      </w:r>
      <w:r w:rsidR="00E10994" w:rsidRPr="008C109C">
        <w:rPr>
          <w:rFonts w:ascii="Arial" w:hAnsi="Arial" w:cs="Arial"/>
          <w:b/>
          <w:bCs/>
          <w:color w:val="000000"/>
          <w:sz w:val="22"/>
          <w:szCs w:val="22"/>
          <w:lang w:val="es-ES" w:eastAsia="en-US"/>
        </w:rPr>
        <w:t>1.</w:t>
      </w:r>
      <w:r w:rsidRPr="008C109C">
        <w:rPr>
          <w:rFonts w:ascii="Arial" w:hAnsi="Arial" w:cs="Arial"/>
          <w:b/>
          <w:bCs/>
          <w:color w:val="000000"/>
          <w:sz w:val="22"/>
          <w:szCs w:val="22"/>
          <w:lang w:val="es-ES" w:eastAsia="en-US"/>
        </w:rPr>
        <w:t xml:space="preserve">  </w:t>
      </w:r>
      <w:r w:rsidR="002E5798" w:rsidRPr="008C109C">
        <w:rPr>
          <w:rFonts w:ascii="Arial" w:hAnsi="Arial" w:cs="Arial"/>
          <w:b/>
          <w:bCs/>
          <w:color w:val="000000"/>
          <w:sz w:val="22"/>
          <w:szCs w:val="22"/>
          <w:lang w:val="es-CO" w:eastAsia="en-US"/>
        </w:rPr>
        <w:t>Reglamentación d</w:t>
      </w:r>
      <w:r w:rsidRPr="008C109C">
        <w:rPr>
          <w:rFonts w:ascii="Arial" w:hAnsi="Arial" w:cs="Arial"/>
          <w:b/>
          <w:bCs/>
          <w:color w:val="000000"/>
          <w:sz w:val="22"/>
          <w:szCs w:val="22"/>
          <w:lang w:val="es-CO" w:eastAsia="en-US"/>
        </w:rPr>
        <w:t>el artículo 32 de la Ley 2069 de 2020</w:t>
      </w:r>
      <w:r w:rsidR="002E5798" w:rsidRPr="008C109C">
        <w:rPr>
          <w:rFonts w:ascii="Arial" w:hAnsi="Arial" w:cs="Arial"/>
          <w:b/>
          <w:bCs/>
          <w:color w:val="000000"/>
          <w:sz w:val="22"/>
          <w:szCs w:val="22"/>
          <w:lang w:val="es-CO" w:eastAsia="en-US"/>
        </w:rPr>
        <w:t xml:space="preserve"> por parte del Decreto 1860 de 2021</w:t>
      </w:r>
    </w:p>
    <w:p w14:paraId="1692DBED" w14:textId="77777777" w:rsidR="0047054F" w:rsidRPr="008C109C" w:rsidRDefault="0047054F" w:rsidP="003C4320">
      <w:pPr>
        <w:spacing w:after="0"/>
        <w:ind w:firstLine="709"/>
        <w:rPr>
          <w:rFonts w:ascii="Arial" w:hAnsi="Arial" w:cs="Arial"/>
          <w:bCs/>
          <w:color w:val="000000"/>
          <w:sz w:val="22"/>
          <w:szCs w:val="22"/>
          <w:lang w:val="es-ES" w:eastAsia="en-US"/>
        </w:rPr>
      </w:pPr>
    </w:p>
    <w:p w14:paraId="1A375FB8" w14:textId="77777777" w:rsidR="003C4320" w:rsidRPr="008C109C" w:rsidRDefault="0047054F" w:rsidP="005759DF">
      <w:pPr>
        <w:spacing w:after="120"/>
        <w:rPr>
          <w:rFonts w:ascii="Arial" w:hAnsi="Arial" w:cs="Arial"/>
          <w:bCs/>
          <w:color w:val="000000"/>
          <w:sz w:val="22"/>
          <w:szCs w:val="22"/>
          <w:lang w:val="es-CO" w:eastAsia="en-US"/>
        </w:rPr>
      </w:pPr>
      <w:r w:rsidRPr="008C109C">
        <w:rPr>
          <w:rFonts w:ascii="Arial" w:hAnsi="Arial" w:cs="Arial"/>
          <w:bCs/>
          <w:color w:val="000000"/>
          <w:sz w:val="22"/>
          <w:szCs w:val="22"/>
          <w:lang w:val="es-ES" w:eastAsia="en-US"/>
        </w:rPr>
        <w:t>El Congreso de la República</w:t>
      </w:r>
      <w:r w:rsidRPr="008C109C">
        <w:rPr>
          <w:rFonts w:ascii="Arial" w:hAnsi="Arial" w:cs="Arial"/>
          <w:bCs/>
          <w:color w:val="000000"/>
          <w:sz w:val="22"/>
          <w:szCs w:val="22"/>
          <w:lang w:val="es-CO" w:eastAsia="en-US"/>
        </w:rPr>
        <w:t xml:space="preserve"> </w:t>
      </w:r>
      <w:r w:rsidRPr="008C109C">
        <w:rPr>
          <w:rFonts w:ascii="Arial" w:hAnsi="Arial" w:cs="Arial"/>
          <w:bCs/>
          <w:color w:val="000000"/>
          <w:sz w:val="22"/>
          <w:szCs w:val="22"/>
          <w:lang w:val="es-ES" w:eastAsia="en-US"/>
        </w:rPr>
        <w:t>expidió la Ley 2069 d</w:t>
      </w:r>
      <w:r w:rsidRPr="008C109C">
        <w:rPr>
          <w:rFonts w:ascii="Arial" w:hAnsi="Arial" w:cs="Arial"/>
          <w:bCs/>
          <w:color w:val="000000"/>
          <w:sz w:val="22"/>
          <w:szCs w:val="22"/>
          <w:lang w:val="es-CO" w:eastAsia="en-US"/>
        </w:rPr>
        <w:t>el 31 de diciembre de 2020,</w:t>
      </w:r>
      <w:r w:rsidRPr="008C109C">
        <w:rPr>
          <w:rFonts w:ascii="Arial" w:hAnsi="Arial" w:cs="Arial"/>
          <w:bCs/>
          <w:color w:val="000000"/>
          <w:sz w:val="22"/>
          <w:szCs w:val="22"/>
          <w:lang w:val="es-ES" w:eastAsia="en-US"/>
        </w:rPr>
        <w:t xml:space="preserve"> «Por medio de la cual se impulsa el emprendimiento en Colombia», en esta se establece un marco regulatorio que propicia el emprendimiento, el crecimiento, la consolidación y la sostenibilidad de las empresas, con el fin de aumentar el bienestar social y generar equidad. Concretamente, el «Capítulo III- Compras públicas» de la Ley 2069 de 2020 </w:t>
      </w:r>
      <w:r w:rsidRPr="008C109C">
        <w:rPr>
          <w:rFonts w:ascii="Arial" w:hAnsi="Arial" w:cs="Arial"/>
          <w:bCs/>
          <w:color w:val="000000"/>
          <w:sz w:val="22"/>
          <w:szCs w:val="22"/>
          <w:lang w:val="es-CO" w:eastAsia="en-US"/>
        </w:rPr>
        <w:t xml:space="preserve">contiene normas que modifican algunos aspectos de la contratación estatal para promover el emprendimiento; en particular, </w:t>
      </w:r>
      <w:r w:rsidRPr="008C109C">
        <w:rPr>
          <w:rFonts w:ascii="Arial" w:hAnsi="Arial" w:cs="Arial"/>
          <w:bCs/>
          <w:color w:val="000000"/>
          <w:sz w:val="22"/>
          <w:szCs w:val="22"/>
          <w:lang w:val="es-ES" w:eastAsia="en-US"/>
        </w:rPr>
        <w:t xml:space="preserve">el </w:t>
      </w:r>
      <w:r w:rsidRPr="008C109C">
        <w:rPr>
          <w:rFonts w:ascii="Arial" w:hAnsi="Arial" w:cs="Arial"/>
          <w:bCs/>
          <w:color w:val="000000"/>
          <w:sz w:val="22"/>
          <w:szCs w:val="22"/>
          <w:lang w:val="es-CO" w:eastAsia="en-US"/>
        </w:rPr>
        <w:t>artículo 32 dispone de criterios diferenciales para los emprendimientos y empresas de mujeres en el sistema de compras públicas.</w:t>
      </w:r>
    </w:p>
    <w:p w14:paraId="2D4C6CE5" w14:textId="6F543173" w:rsidR="0047054F" w:rsidRPr="008C109C" w:rsidRDefault="0047054F" w:rsidP="005759DF">
      <w:pPr>
        <w:spacing w:after="120"/>
        <w:ind w:firstLine="709"/>
        <w:rPr>
          <w:rFonts w:ascii="Arial" w:hAnsi="Arial" w:cs="Arial"/>
          <w:bCs/>
          <w:color w:val="000000"/>
          <w:sz w:val="22"/>
          <w:szCs w:val="22"/>
          <w:lang w:eastAsia="en-US"/>
        </w:rPr>
      </w:pPr>
      <w:r w:rsidRPr="008C109C">
        <w:rPr>
          <w:rFonts w:ascii="Arial" w:hAnsi="Arial" w:cs="Arial"/>
          <w:bCs/>
          <w:color w:val="000000"/>
          <w:sz w:val="22"/>
          <w:szCs w:val="22"/>
          <w:lang w:val="es-CO" w:eastAsia="en-US"/>
        </w:rPr>
        <w:t xml:space="preserve"> </w:t>
      </w:r>
      <w:r w:rsidRPr="008C109C">
        <w:rPr>
          <w:rFonts w:ascii="Arial" w:hAnsi="Arial" w:cs="Arial"/>
          <w:bCs/>
          <w:color w:val="000000"/>
          <w:sz w:val="22"/>
          <w:szCs w:val="22"/>
          <w:lang w:val="es-ES" w:eastAsia="en-US"/>
        </w:rPr>
        <w:t xml:space="preserve">Así las cosas, </w:t>
      </w:r>
      <w:r w:rsidRPr="008C109C">
        <w:rPr>
          <w:rFonts w:ascii="Arial" w:hAnsi="Arial" w:cs="Arial"/>
          <w:bCs/>
          <w:color w:val="000000"/>
          <w:sz w:val="22"/>
          <w:szCs w:val="22"/>
          <w:lang w:val="es-CO" w:eastAsia="en-US"/>
        </w:rPr>
        <w:t xml:space="preserve">el artículo 32 de la mencionada Ley establece criterios diferenciales para los «emprendimientos y empresas de mujeres» en el sistema de compras y contratación pública y establece la necesidad de reglamentación de la definición de </w:t>
      </w:r>
      <w:r w:rsidRPr="008C109C">
        <w:rPr>
          <w:rFonts w:ascii="Arial" w:hAnsi="Arial" w:cs="Arial"/>
          <w:bCs/>
          <w:color w:val="000000"/>
          <w:sz w:val="22"/>
          <w:szCs w:val="22"/>
          <w:lang w:val="es-CO" w:eastAsia="en-US"/>
        </w:rPr>
        <w:lastRenderedPageBreak/>
        <w:t>«emprendimientos y empresas de mujeres» por parte del Gobierno Nacional</w:t>
      </w:r>
      <w:r w:rsidRPr="008C109C">
        <w:rPr>
          <w:rFonts w:ascii="Arial" w:hAnsi="Arial" w:cs="Arial"/>
          <w:bCs/>
          <w:color w:val="000000"/>
          <w:sz w:val="22"/>
          <w:szCs w:val="22"/>
          <w:lang w:eastAsia="en-US"/>
        </w:rPr>
        <w:t xml:space="preserve">. Estos criterios diferenciales –que incluyen tanto los requisitos diferenciales como los puntajes adicionales– aplican a los procesos de licitación pública, selección abreviada de menor cuantía y concurso de méritos. La norma en comento también se extiende a todos los procedimientos competitivos </w:t>
      </w:r>
      <w:r w:rsidR="00B66E49" w:rsidRPr="008C109C">
        <w:rPr>
          <w:rFonts w:ascii="Arial" w:hAnsi="Arial" w:cs="Arial"/>
          <w:bCs/>
          <w:color w:val="000000"/>
          <w:sz w:val="22"/>
          <w:szCs w:val="22"/>
          <w:lang w:eastAsia="en-US"/>
        </w:rPr>
        <w:t>que realicen las</w:t>
      </w:r>
      <w:r w:rsidRPr="008C109C">
        <w:rPr>
          <w:rFonts w:ascii="Arial" w:hAnsi="Arial" w:cs="Arial"/>
          <w:bCs/>
          <w:color w:val="000000"/>
          <w:sz w:val="22"/>
          <w:szCs w:val="22"/>
          <w:lang w:eastAsia="en-US"/>
        </w:rPr>
        <w:t xml:space="preserve"> </w:t>
      </w:r>
      <w:r w:rsidR="00B66E49" w:rsidRPr="008C109C">
        <w:rPr>
          <w:rFonts w:ascii="Arial" w:hAnsi="Arial" w:cs="Arial"/>
          <w:bCs/>
          <w:color w:val="000000"/>
          <w:sz w:val="22"/>
          <w:szCs w:val="22"/>
          <w:lang w:eastAsia="en-US"/>
        </w:rPr>
        <w:t>e</w:t>
      </w:r>
      <w:r w:rsidRPr="008C109C">
        <w:rPr>
          <w:rFonts w:ascii="Arial" w:hAnsi="Arial" w:cs="Arial"/>
          <w:bCs/>
          <w:color w:val="000000"/>
          <w:sz w:val="22"/>
          <w:szCs w:val="22"/>
          <w:lang w:eastAsia="en-US"/>
        </w:rPr>
        <w:t xml:space="preserve">ntidades </w:t>
      </w:r>
      <w:r w:rsidR="00B66E49" w:rsidRPr="008C109C">
        <w:rPr>
          <w:rFonts w:ascii="Arial" w:hAnsi="Arial" w:cs="Arial"/>
          <w:bCs/>
          <w:color w:val="000000"/>
          <w:sz w:val="22"/>
          <w:szCs w:val="22"/>
          <w:lang w:eastAsia="en-US"/>
        </w:rPr>
        <w:t xml:space="preserve">estatales </w:t>
      </w:r>
      <w:r w:rsidRPr="008C109C">
        <w:rPr>
          <w:rFonts w:ascii="Arial" w:hAnsi="Arial" w:cs="Arial"/>
          <w:bCs/>
          <w:color w:val="000000"/>
          <w:sz w:val="22"/>
          <w:szCs w:val="22"/>
          <w:lang w:eastAsia="en-US"/>
        </w:rPr>
        <w:t xml:space="preserve">excluidas de la Ley 80 de 1993.  </w:t>
      </w:r>
    </w:p>
    <w:p w14:paraId="67FA6036" w14:textId="0502D6F9" w:rsidR="0047054F" w:rsidRPr="008C109C" w:rsidRDefault="0047054F" w:rsidP="005759DF">
      <w:pPr>
        <w:spacing w:after="120"/>
        <w:ind w:firstLine="709"/>
        <w:rPr>
          <w:rFonts w:ascii="Arial" w:hAnsi="Arial" w:cs="Arial"/>
          <w:bCs/>
          <w:color w:val="000000"/>
          <w:sz w:val="22"/>
          <w:szCs w:val="22"/>
          <w:lang w:val="es-ES" w:eastAsia="en-US"/>
        </w:rPr>
      </w:pPr>
      <w:r w:rsidRPr="008C109C">
        <w:rPr>
          <w:rFonts w:ascii="Arial" w:hAnsi="Arial" w:cs="Arial"/>
          <w:bCs/>
          <w:color w:val="000000"/>
          <w:sz w:val="22"/>
          <w:szCs w:val="22"/>
          <w:lang w:val="es-ES" w:eastAsia="en-US"/>
        </w:rPr>
        <w:t xml:space="preserve">En todo caso, es conveniente resaltar que estos criterios se crearon con el propósito de incentivar los emprendimientos y empresas de mujeres en el sistema de compras públicas, sin perjuicio de los compromisos adquiridos por Colombia en los acuerdos comerciales en vigor. </w:t>
      </w:r>
    </w:p>
    <w:p w14:paraId="0B49DB5A" w14:textId="578FC35F" w:rsidR="0047054F" w:rsidRPr="008C109C" w:rsidRDefault="0047054F"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ES" w:eastAsia="en-US"/>
        </w:rPr>
        <w:tab/>
        <w:t>Con fundamento en lo anterior, el Gobierno Nacional expidió el Decreto 1860 de 2021 que</w:t>
      </w:r>
      <w:r w:rsidRPr="008C109C">
        <w:rPr>
          <w:rFonts w:ascii="Arial" w:hAnsi="Arial" w:cs="Arial"/>
          <w:bCs/>
          <w:color w:val="000000"/>
          <w:sz w:val="22"/>
          <w:szCs w:val="22"/>
          <w:lang w:val="es-CO" w:eastAsia="en-US"/>
        </w:rPr>
        <w:t xml:space="preserve"> modificó el Decreto 1082 de 2015, Único Reglamentario del Sector Administrativo de Planeación Nacional, incorporando una regulación detallada de la norma anteriormente citada para la efectiva aplicación de la Ley 2069 de 2020 en el sistema de compras y contratación pública, además de incluir algunas disposiciones adicionales para la reglamentación efectiva de la citada Ley. </w:t>
      </w:r>
    </w:p>
    <w:p w14:paraId="2B70B61B" w14:textId="77777777" w:rsidR="0047054F" w:rsidRPr="008C109C" w:rsidRDefault="0047054F" w:rsidP="005759DF">
      <w:pPr>
        <w:spacing w:after="120"/>
        <w:ind w:firstLine="709"/>
        <w:rPr>
          <w:rFonts w:ascii="Arial" w:hAnsi="Arial" w:cs="Arial"/>
          <w:bCs/>
          <w:color w:val="000000"/>
          <w:sz w:val="22"/>
          <w:szCs w:val="22"/>
          <w:lang w:val="es-ES" w:eastAsia="en-US"/>
        </w:rPr>
      </w:pPr>
      <w:r w:rsidRPr="008C109C">
        <w:rPr>
          <w:rFonts w:ascii="Arial" w:hAnsi="Arial" w:cs="Arial"/>
          <w:bCs/>
          <w:color w:val="000000"/>
          <w:sz w:val="22"/>
          <w:szCs w:val="22"/>
          <w:lang w:val="es-ES" w:eastAsia="en-US"/>
        </w:rPr>
        <w:t xml:space="preserve">De esta manera, el artículo 3 del Decreto 1860 de 2021 adicionó los artículos </w:t>
      </w:r>
      <w:r w:rsidRPr="008C109C">
        <w:rPr>
          <w:rFonts w:ascii="Arial" w:hAnsi="Arial" w:cs="Arial"/>
          <w:bCs/>
          <w:color w:val="000000"/>
          <w:sz w:val="22"/>
          <w:szCs w:val="22"/>
          <w:lang w:val="es-CO" w:eastAsia="en-US"/>
        </w:rPr>
        <w:t>2.2.1.2.4.2.14 y 2.2.1.2.4.2.15</w:t>
      </w:r>
      <w:r w:rsidRPr="008C109C">
        <w:rPr>
          <w:rFonts w:ascii="Arial" w:hAnsi="Arial" w:cs="Arial"/>
          <w:bCs/>
          <w:color w:val="000000"/>
          <w:sz w:val="22"/>
          <w:szCs w:val="22"/>
          <w:lang w:val="es-ES" w:eastAsia="en-US"/>
        </w:rPr>
        <w:t xml:space="preserve"> al Decreto 1082 de 2015, reglamentando en su orden, los siguientes aspectos: i) la definición de </w:t>
      </w:r>
      <w:r w:rsidRPr="008C109C">
        <w:rPr>
          <w:rFonts w:ascii="Arial" w:hAnsi="Arial" w:cs="Arial"/>
          <w:bCs/>
          <w:i/>
          <w:iCs/>
          <w:color w:val="000000"/>
          <w:sz w:val="22"/>
          <w:szCs w:val="22"/>
          <w:lang w:val="es-ES" w:eastAsia="en-US"/>
        </w:rPr>
        <w:t>«emprendimientos y empresas de mujeres»</w:t>
      </w:r>
      <w:r w:rsidRPr="008C109C">
        <w:rPr>
          <w:rFonts w:ascii="Arial" w:hAnsi="Arial" w:cs="Arial"/>
          <w:bCs/>
          <w:color w:val="000000"/>
          <w:sz w:val="22"/>
          <w:szCs w:val="22"/>
          <w:lang w:val="es-ES" w:eastAsia="en-US"/>
        </w:rPr>
        <w:t xml:space="preserve"> en el sistema de compras y contratación pública y la forma de acreditación en cada caso y ii) los criterios diferenciales en favor de estos </w:t>
      </w:r>
      <w:r w:rsidRPr="008C109C">
        <w:rPr>
          <w:rFonts w:ascii="Arial" w:hAnsi="Arial" w:cs="Arial"/>
          <w:bCs/>
          <w:i/>
          <w:iCs/>
          <w:color w:val="000000"/>
          <w:sz w:val="22"/>
          <w:szCs w:val="22"/>
          <w:lang w:val="es-ES" w:eastAsia="en-US"/>
        </w:rPr>
        <w:t>«emprendimientos y empresas de mujeres»</w:t>
      </w:r>
      <w:r w:rsidRPr="008C109C">
        <w:rPr>
          <w:rFonts w:ascii="Arial" w:hAnsi="Arial" w:cs="Arial"/>
          <w:bCs/>
          <w:color w:val="000000"/>
          <w:sz w:val="22"/>
          <w:szCs w:val="22"/>
          <w:lang w:val="es-ES" w:eastAsia="en-US"/>
        </w:rPr>
        <w:t>.</w:t>
      </w:r>
    </w:p>
    <w:p w14:paraId="1E06FC4F" w14:textId="5182FAE5" w:rsidR="0047054F" w:rsidRPr="008C109C" w:rsidRDefault="0047054F" w:rsidP="003C4320">
      <w:pPr>
        <w:spacing w:after="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Así las cosas, en los siguientes numerales se explicará, por una parte, la reglamentación del Decreto 1860 de 2021 en relación con la regulación de los criterios diferenciales en favor de los emprendimientos y empresas de mujeres, y, por otra</w:t>
      </w:r>
      <w:r w:rsidR="00B247DD" w:rsidRPr="008C109C">
        <w:rPr>
          <w:rFonts w:ascii="Arial" w:hAnsi="Arial" w:cs="Arial"/>
          <w:bCs/>
          <w:color w:val="000000"/>
          <w:sz w:val="22"/>
          <w:szCs w:val="22"/>
          <w:lang w:val="es-CO" w:eastAsia="en-US"/>
        </w:rPr>
        <w:t>,</w:t>
      </w:r>
      <w:r w:rsidRPr="008C109C">
        <w:rPr>
          <w:rFonts w:ascii="Arial" w:hAnsi="Arial" w:cs="Arial"/>
          <w:bCs/>
          <w:color w:val="000000"/>
          <w:sz w:val="22"/>
          <w:szCs w:val="22"/>
          <w:lang w:val="es-CO" w:eastAsia="en-US"/>
        </w:rPr>
        <w:t xml:space="preserve"> se hará referencia a la</w:t>
      </w:r>
      <w:r w:rsidR="007D673C" w:rsidRPr="008C109C">
        <w:rPr>
          <w:rFonts w:ascii="Arial" w:hAnsi="Arial" w:cs="Arial"/>
          <w:bCs/>
          <w:color w:val="000000"/>
          <w:sz w:val="22"/>
          <w:szCs w:val="22"/>
          <w:lang w:val="es-CO" w:eastAsia="en-US"/>
        </w:rPr>
        <w:t xml:space="preserve"> figura de la sustitución de empleador, en relación con tales criterios diferenciales</w:t>
      </w:r>
      <w:r w:rsidRPr="008C109C">
        <w:rPr>
          <w:rFonts w:ascii="Arial" w:hAnsi="Arial" w:cs="Arial"/>
          <w:bCs/>
          <w:color w:val="000000"/>
          <w:sz w:val="22"/>
          <w:szCs w:val="22"/>
          <w:lang w:val="es-CO" w:eastAsia="en-US"/>
        </w:rPr>
        <w:t xml:space="preserve">. </w:t>
      </w:r>
    </w:p>
    <w:p w14:paraId="3A27C86E" w14:textId="77777777" w:rsidR="004275E4" w:rsidRPr="008C109C" w:rsidRDefault="004275E4" w:rsidP="003C4320">
      <w:pPr>
        <w:spacing w:after="0"/>
        <w:ind w:firstLine="709"/>
        <w:rPr>
          <w:rFonts w:ascii="Arial" w:hAnsi="Arial" w:cs="Arial"/>
          <w:bCs/>
          <w:color w:val="000000"/>
          <w:sz w:val="22"/>
          <w:szCs w:val="22"/>
          <w:lang w:val="es-CO" w:eastAsia="en-US"/>
        </w:rPr>
      </w:pPr>
    </w:p>
    <w:p w14:paraId="56ED6EEC" w14:textId="5954B1F1" w:rsidR="0047054F" w:rsidRPr="008C109C" w:rsidRDefault="0047054F" w:rsidP="005759DF">
      <w:pPr>
        <w:spacing w:after="0"/>
        <w:rPr>
          <w:rFonts w:ascii="Arial" w:hAnsi="Arial" w:cs="Arial"/>
          <w:b/>
          <w:bCs/>
          <w:color w:val="000000"/>
          <w:sz w:val="22"/>
          <w:szCs w:val="22"/>
          <w:lang w:val="es-ES" w:eastAsia="en-US"/>
        </w:rPr>
      </w:pPr>
      <w:r w:rsidRPr="008C109C">
        <w:rPr>
          <w:rFonts w:ascii="Arial" w:hAnsi="Arial" w:cs="Arial"/>
          <w:b/>
          <w:bCs/>
          <w:color w:val="000000"/>
          <w:sz w:val="22"/>
          <w:szCs w:val="22"/>
          <w:lang w:val="es-CO" w:eastAsia="en-US"/>
        </w:rPr>
        <w:t>2.</w:t>
      </w:r>
      <w:r w:rsidR="00E10994" w:rsidRPr="008C109C">
        <w:rPr>
          <w:rFonts w:ascii="Arial" w:hAnsi="Arial" w:cs="Arial"/>
          <w:b/>
          <w:bCs/>
          <w:color w:val="000000"/>
          <w:sz w:val="22"/>
          <w:szCs w:val="22"/>
          <w:lang w:val="es-CO" w:eastAsia="en-US"/>
        </w:rPr>
        <w:t>2</w:t>
      </w:r>
      <w:r w:rsidRPr="008C109C">
        <w:rPr>
          <w:rFonts w:ascii="Arial" w:hAnsi="Arial" w:cs="Arial"/>
          <w:b/>
          <w:bCs/>
          <w:color w:val="000000"/>
          <w:sz w:val="22"/>
          <w:szCs w:val="22"/>
          <w:lang w:val="es-CO" w:eastAsia="en-US"/>
        </w:rPr>
        <w:t xml:space="preserve">. </w:t>
      </w:r>
      <w:r w:rsidRPr="008C109C">
        <w:rPr>
          <w:rFonts w:ascii="Arial" w:hAnsi="Arial" w:cs="Arial"/>
          <w:b/>
          <w:bCs/>
          <w:color w:val="000000"/>
          <w:sz w:val="22"/>
          <w:szCs w:val="22"/>
          <w:lang w:val="es-ES" w:eastAsia="en-US"/>
        </w:rPr>
        <w:t>La regulación de los criterios diferenciales en favor de los emprendimientos y empresas de mujeres en el Decreto 1860 de 2021</w:t>
      </w:r>
    </w:p>
    <w:p w14:paraId="6DC549F8" w14:textId="77777777" w:rsidR="0047054F" w:rsidRPr="008C109C" w:rsidRDefault="0047054F" w:rsidP="003C4320">
      <w:pPr>
        <w:spacing w:after="0"/>
        <w:ind w:firstLine="709"/>
        <w:rPr>
          <w:rFonts w:ascii="Arial" w:hAnsi="Arial" w:cs="Arial"/>
          <w:b/>
          <w:bCs/>
          <w:color w:val="000000"/>
          <w:sz w:val="22"/>
          <w:szCs w:val="22"/>
          <w:lang w:val="es-ES" w:eastAsia="en-US"/>
        </w:rPr>
      </w:pPr>
    </w:p>
    <w:p w14:paraId="44B3A10F" w14:textId="77777777" w:rsidR="0047054F" w:rsidRPr="008C109C" w:rsidRDefault="0047054F" w:rsidP="005759DF">
      <w:pPr>
        <w:spacing w:after="120"/>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Como primer presupuesto para la regulación de los criterios diferenciales en favor de los emprendimientos y empresas de mujeres, el artículo el 3 del Decreto 1860 de 2021, que adicionó el artículo 2.2.1.2.4.2.14</w:t>
      </w:r>
      <w:r w:rsidRPr="008C109C">
        <w:rPr>
          <w:rFonts w:ascii="Arial" w:hAnsi="Arial" w:cs="Arial"/>
          <w:bCs/>
          <w:color w:val="000000"/>
          <w:sz w:val="22"/>
          <w:szCs w:val="22"/>
          <w:vertAlign w:val="superscript"/>
          <w:lang w:val="es-CO" w:eastAsia="en-US"/>
        </w:rPr>
        <w:footnoteReference w:id="3"/>
      </w:r>
      <w:r w:rsidRPr="008C109C">
        <w:rPr>
          <w:rFonts w:ascii="Arial" w:hAnsi="Arial" w:cs="Arial"/>
          <w:bCs/>
          <w:color w:val="000000"/>
          <w:sz w:val="22"/>
          <w:szCs w:val="22"/>
          <w:lang w:val="es-CO" w:eastAsia="en-US"/>
        </w:rPr>
        <w:t xml:space="preserve"> al Decreto 1082 de 2015, incorpora la definición de </w:t>
      </w:r>
      <w:r w:rsidRPr="008C109C">
        <w:rPr>
          <w:rFonts w:ascii="Arial" w:hAnsi="Arial" w:cs="Arial"/>
          <w:bCs/>
          <w:color w:val="000000"/>
          <w:sz w:val="22"/>
          <w:szCs w:val="22"/>
          <w:lang w:val="es-CO" w:eastAsia="en-US"/>
        </w:rPr>
        <w:lastRenderedPageBreak/>
        <w:t xml:space="preserve">emprendimientos y empresas de mujeres para que puedan aplicarse los criterios diferenciales. De esta manera,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3A36A0EE" w14:textId="58253CEC" w:rsidR="0047054F" w:rsidRPr="008C109C" w:rsidRDefault="0047054F"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Por otro lado, el artículo 3 del Decreto 1860 de 2021 adicionó el artículo 2.2.1.2.4.2.15</w:t>
      </w:r>
      <w:r w:rsidRPr="008C109C">
        <w:rPr>
          <w:rFonts w:ascii="Arial" w:hAnsi="Arial" w:cs="Arial"/>
          <w:bCs/>
          <w:color w:val="000000"/>
          <w:sz w:val="22"/>
          <w:szCs w:val="22"/>
          <w:vertAlign w:val="superscript"/>
          <w:lang w:val="es-CO" w:eastAsia="en-US"/>
        </w:rPr>
        <w:footnoteReference w:id="4"/>
      </w:r>
      <w:r w:rsidRPr="008C109C">
        <w:rPr>
          <w:rFonts w:ascii="Arial" w:hAnsi="Arial" w:cs="Arial"/>
          <w:bCs/>
          <w:color w:val="000000"/>
          <w:sz w:val="22"/>
          <w:szCs w:val="22"/>
          <w:lang w:val="es-CO" w:eastAsia="en-US"/>
        </w:rPr>
        <w:t xml:space="preserve"> al Decreto 1082 de 2015, estableciendo algunas reglas que permiten una </w:t>
      </w:r>
      <w:r w:rsidRPr="008C109C">
        <w:rPr>
          <w:rFonts w:ascii="Arial" w:hAnsi="Arial" w:cs="Arial"/>
          <w:bCs/>
          <w:color w:val="000000"/>
          <w:sz w:val="22"/>
          <w:szCs w:val="22"/>
          <w:lang w:val="es-CO" w:eastAsia="en-US"/>
        </w:rPr>
        <w:lastRenderedPageBreak/>
        <w:t xml:space="preserve">aplicación uniforme de los criterios diferenciales en favor de empresas y emprendimientos de mujeres. De esta forma, se dispuso de criterios diferenciales, que incluyen tanto las condiciones habilitantes como los puntajes adicionales, señalando expresamente que aplican a los procesos contractuales donde se utilice el procedimiento de licitación pública, selección abreviada de menor cuantía y concurso de méritos. Sin perjuicio de lo anterior, la norma también señaló que aplicarían en los procesos competitivos que adelanten las </w:t>
      </w:r>
      <w:r w:rsidR="00B66E49" w:rsidRPr="008C109C">
        <w:rPr>
          <w:rFonts w:ascii="Arial" w:hAnsi="Arial" w:cs="Arial"/>
          <w:bCs/>
          <w:color w:val="000000"/>
          <w:sz w:val="22"/>
          <w:szCs w:val="22"/>
          <w:lang w:val="es-CO" w:eastAsia="en-US"/>
        </w:rPr>
        <w:t>e</w:t>
      </w:r>
      <w:r w:rsidRPr="008C109C">
        <w:rPr>
          <w:rFonts w:ascii="Arial" w:hAnsi="Arial" w:cs="Arial"/>
          <w:bCs/>
          <w:color w:val="000000"/>
          <w:sz w:val="22"/>
          <w:szCs w:val="22"/>
          <w:lang w:val="es-CO" w:eastAsia="en-US"/>
        </w:rPr>
        <w:t xml:space="preserve">ntidades </w:t>
      </w:r>
      <w:r w:rsidR="00B66E49" w:rsidRPr="008C109C">
        <w:rPr>
          <w:rFonts w:ascii="Arial" w:hAnsi="Arial" w:cs="Arial"/>
          <w:bCs/>
          <w:color w:val="000000"/>
          <w:sz w:val="22"/>
          <w:szCs w:val="22"/>
          <w:lang w:val="es-CO" w:eastAsia="en-US"/>
        </w:rPr>
        <w:t>e</w:t>
      </w:r>
      <w:r w:rsidRPr="008C109C">
        <w:rPr>
          <w:rFonts w:ascii="Arial" w:hAnsi="Arial" w:cs="Arial"/>
          <w:bCs/>
          <w:color w:val="000000"/>
          <w:sz w:val="22"/>
          <w:szCs w:val="22"/>
          <w:lang w:val="es-CO" w:eastAsia="en-US"/>
        </w:rPr>
        <w:t>statales no sometidas al Estatuto General de Contratación de la Administración Pública. Es importante señalar que los procesos en los que aplican estos criterios diferenciales estaban previamente definidos por el legislador en el artículo 32 de la Ley 2069 de 2020</w:t>
      </w:r>
      <w:r w:rsidRPr="008C109C">
        <w:rPr>
          <w:rFonts w:ascii="Arial" w:hAnsi="Arial" w:cs="Arial"/>
          <w:bCs/>
          <w:color w:val="000000"/>
          <w:sz w:val="22"/>
          <w:szCs w:val="22"/>
          <w:vertAlign w:val="superscript"/>
          <w:lang w:val="es-CO" w:eastAsia="en-US"/>
        </w:rPr>
        <w:footnoteReference w:id="5"/>
      </w:r>
      <w:r w:rsidRPr="008C109C">
        <w:rPr>
          <w:rFonts w:ascii="Arial" w:hAnsi="Arial" w:cs="Arial"/>
          <w:bCs/>
          <w:color w:val="000000"/>
          <w:sz w:val="22"/>
          <w:szCs w:val="22"/>
          <w:lang w:val="es-CO" w:eastAsia="en-US"/>
        </w:rPr>
        <w:t>.</w:t>
      </w:r>
    </w:p>
    <w:p w14:paraId="5CC89430" w14:textId="08272A9F" w:rsidR="0047054F" w:rsidRPr="008C109C" w:rsidRDefault="0047054F"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 xml:space="preserve">En este sentido, se determinó que en los documentos del proceso se deben incorporar requisitos habilitantes diferenciales para los emprendimientos y empresas de </w:t>
      </w:r>
      <w:r w:rsidRPr="008C109C">
        <w:rPr>
          <w:rFonts w:ascii="Arial" w:hAnsi="Arial" w:cs="Arial"/>
          <w:bCs/>
          <w:color w:val="000000"/>
          <w:sz w:val="22"/>
          <w:szCs w:val="22"/>
          <w:lang w:val="es-CO" w:eastAsia="en-US"/>
        </w:rPr>
        <w:lastRenderedPageBreak/>
        <w:t>mujeres</w:t>
      </w:r>
      <w:r w:rsidR="00B66E49" w:rsidRPr="008C109C">
        <w:rPr>
          <w:rFonts w:ascii="Arial" w:hAnsi="Arial" w:cs="Arial"/>
          <w:bCs/>
          <w:color w:val="000000"/>
          <w:sz w:val="22"/>
          <w:szCs w:val="22"/>
          <w:lang w:val="es-CO" w:eastAsia="en-US"/>
        </w:rPr>
        <w:t>,</w:t>
      </w:r>
      <w:r w:rsidRPr="008C109C">
        <w:rPr>
          <w:rFonts w:ascii="Arial" w:hAnsi="Arial" w:cs="Arial"/>
          <w:bCs/>
          <w:color w:val="000000"/>
          <w:sz w:val="22"/>
          <w:szCs w:val="22"/>
          <w:lang w:val="es-CO" w:eastAsia="en-US"/>
        </w:rPr>
        <w:t xml:space="preserve">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15E9EB74" w14:textId="77777777" w:rsidR="0047054F" w:rsidRPr="008C109C" w:rsidRDefault="0047054F"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 xml:space="preserve">Igualmente, el decreto establece que, con excepción de los procedimientos de selección donde el menor precio ofrecido sea el único factor de evaluación, las entidades otorgarán un puntaje adicional de hasta el cero punto veinticinco por ciento (0.25%) del valor total de los puntos establecidos en los pliegos de condiciones o documentos equivalentes, a los proponentes que acrediten alguno de los supuestos señalados en el artículo 2.2.1.2.4.2.14 del Decreto 1082 de 2015. </w:t>
      </w:r>
    </w:p>
    <w:p w14:paraId="28D43D83" w14:textId="77777777" w:rsidR="0047054F" w:rsidRPr="008C109C" w:rsidRDefault="0047054F"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En lo relativo a la aplicación de los criterios y puntajes diferenciales para proponentes plurales en los que participen empresas y emprendimientos de mujeres, el decreto señala que los requisitos y criterios diferenciales solo se aplicarán cuando por lo menos uno de los integrantes acredite dicha condición y tenga una participación de al menos el diez por ciento (10%) en la estructura plural. De esta manera, los emprendimientos y empresas de mujeres se verán beneficiados de los referidos incentivos por la presentación de ofertas mediante proponentes plurales, en los que pueden asociarse con otras empresas o proponentes que fortalezcan sus capacidades y experiencia.</w:t>
      </w:r>
    </w:p>
    <w:p w14:paraId="71488C39" w14:textId="77777777" w:rsidR="0047054F" w:rsidRPr="008C109C" w:rsidRDefault="0047054F"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 xml:space="preserve">Según la norma en comento,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07386B69" w14:textId="267589C1" w:rsidR="0047054F" w:rsidRPr="008C109C" w:rsidRDefault="0047054F" w:rsidP="003C4320">
      <w:pPr>
        <w:spacing w:after="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 xml:space="preserve">Finalmente, el artículo 2.2.1.2.4.2.15 del Decreto 1082 de 2015 señala que los incentivos contractuales para las empresas y emprendimientos de mujeres no excluyen la aplicación de los criterios diferenciales para </w:t>
      </w:r>
      <w:proofErr w:type="spellStart"/>
      <w:r w:rsidRPr="008C109C">
        <w:rPr>
          <w:rFonts w:ascii="Arial" w:hAnsi="Arial" w:cs="Arial"/>
          <w:bCs/>
          <w:color w:val="000000"/>
          <w:sz w:val="22"/>
          <w:szCs w:val="22"/>
          <w:lang w:val="es-CO" w:eastAsia="en-US"/>
        </w:rPr>
        <w:t>Mipyme</w:t>
      </w:r>
      <w:proofErr w:type="spellEnd"/>
      <w:r w:rsidRPr="008C109C">
        <w:rPr>
          <w:rFonts w:ascii="Arial" w:hAnsi="Arial" w:cs="Arial"/>
          <w:bCs/>
          <w:color w:val="000000"/>
          <w:sz w:val="22"/>
          <w:szCs w:val="22"/>
          <w:lang w:val="es-CO" w:eastAsia="en-US"/>
        </w:rPr>
        <w:t xml:space="preserve"> en el sistema de compras públicas. Esto significa que los criterios diferenciales que favorezcan a los proponentes que acrediten la calidad de emprendimiento y empresas de mujeres se acumulan con los criterios diferenciales establecidos en favor de aquellos que también ostentan la calidad de </w:t>
      </w:r>
      <w:proofErr w:type="spellStart"/>
      <w:r w:rsidRPr="008C109C">
        <w:rPr>
          <w:rFonts w:ascii="Arial" w:hAnsi="Arial" w:cs="Arial"/>
          <w:bCs/>
          <w:color w:val="000000"/>
          <w:sz w:val="22"/>
          <w:szCs w:val="22"/>
          <w:lang w:val="es-CO" w:eastAsia="en-US"/>
        </w:rPr>
        <w:t>Mipyme</w:t>
      </w:r>
      <w:proofErr w:type="spellEnd"/>
      <w:r w:rsidR="0082754A" w:rsidRPr="008C109C">
        <w:rPr>
          <w:rFonts w:ascii="Arial" w:hAnsi="Arial" w:cs="Arial"/>
          <w:bCs/>
          <w:color w:val="000000"/>
          <w:sz w:val="22"/>
          <w:szCs w:val="22"/>
          <w:lang w:val="es-CO" w:eastAsia="en-US"/>
        </w:rPr>
        <w:t>, de acuerdo con la regulación establecida en el pliego de condiciones o documento equivalente.</w:t>
      </w:r>
      <w:r w:rsidRPr="008C109C">
        <w:rPr>
          <w:rFonts w:ascii="Arial" w:hAnsi="Arial" w:cs="Arial"/>
          <w:bCs/>
          <w:color w:val="000000"/>
          <w:sz w:val="22"/>
          <w:szCs w:val="22"/>
          <w:lang w:val="es-CO" w:eastAsia="en-US"/>
        </w:rPr>
        <w:t xml:space="preserve"> </w:t>
      </w:r>
    </w:p>
    <w:p w14:paraId="77319DCC" w14:textId="1F2BA3DF" w:rsidR="00376C46" w:rsidRPr="008C109C" w:rsidRDefault="00376C46" w:rsidP="003C4320">
      <w:pPr>
        <w:spacing w:after="0"/>
        <w:ind w:firstLine="709"/>
        <w:rPr>
          <w:rFonts w:ascii="Arial" w:hAnsi="Arial" w:cs="Arial"/>
          <w:bCs/>
          <w:color w:val="000000"/>
          <w:sz w:val="22"/>
          <w:szCs w:val="22"/>
          <w:lang w:val="es-CO" w:eastAsia="en-US"/>
        </w:rPr>
      </w:pPr>
    </w:p>
    <w:p w14:paraId="0119AD9B" w14:textId="798AA432" w:rsidR="0060187D" w:rsidRPr="008C109C" w:rsidRDefault="00853525" w:rsidP="005759DF">
      <w:pPr>
        <w:spacing w:after="0"/>
        <w:rPr>
          <w:rFonts w:ascii="Arial" w:hAnsi="Arial" w:cs="Arial"/>
          <w:b/>
          <w:bCs/>
          <w:color w:val="000000"/>
          <w:sz w:val="22"/>
          <w:szCs w:val="22"/>
          <w:lang w:val="es-CO" w:eastAsia="en-US"/>
        </w:rPr>
      </w:pPr>
      <w:r w:rsidRPr="008C109C">
        <w:rPr>
          <w:rFonts w:ascii="Arial" w:hAnsi="Arial" w:cs="Arial"/>
          <w:b/>
          <w:bCs/>
          <w:color w:val="000000"/>
          <w:sz w:val="22"/>
          <w:szCs w:val="22"/>
          <w:lang w:val="es-CO" w:eastAsia="en-US"/>
        </w:rPr>
        <w:t>2.3.</w:t>
      </w:r>
      <w:r w:rsidR="0060187D" w:rsidRPr="008C109C">
        <w:rPr>
          <w:rFonts w:ascii="Arial" w:hAnsi="Arial" w:cs="Arial"/>
          <w:b/>
          <w:bCs/>
          <w:color w:val="000000"/>
          <w:sz w:val="22"/>
          <w:szCs w:val="22"/>
          <w:lang w:val="es-CO" w:eastAsia="en-US"/>
        </w:rPr>
        <w:t xml:space="preserve"> Sustitución de empleadores y criterios </w:t>
      </w:r>
      <w:r w:rsidRPr="008C109C">
        <w:rPr>
          <w:rFonts w:ascii="Arial" w:hAnsi="Arial" w:cs="Arial"/>
          <w:b/>
          <w:bCs/>
          <w:color w:val="000000"/>
          <w:sz w:val="22"/>
          <w:szCs w:val="22"/>
          <w:lang w:val="es-CO" w:eastAsia="en-US"/>
        </w:rPr>
        <w:t xml:space="preserve">diferenciales en favor de emprendimientos y empresas de mujeres </w:t>
      </w:r>
    </w:p>
    <w:p w14:paraId="5125C00A" w14:textId="77777777" w:rsidR="0060187D" w:rsidRPr="008C109C" w:rsidRDefault="0060187D" w:rsidP="00376C46">
      <w:pPr>
        <w:spacing w:after="0"/>
        <w:ind w:firstLine="709"/>
        <w:rPr>
          <w:rFonts w:ascii="Arial" w:hAnsi="Arial" w:cs="Arial"/>
          <w:bCs/>
          <w:color w:val="000000"/>
          <w:sz w:val="22"/>
          <w:szCs w:val="22"/>
          <w:lang w:val="es-CO" w:eastAsia="en-US"/>
        </w:rPr>
      </w:pPr>
    </w:p>
    <w:p w14:paraId="19C7A1F5" w14:textId="48CD171F" w:rsidR="00655EB1" w:rsidRPr="008C109C" w:rsidRDefault="008301BC" w:rsidP="005759DF">
      <w:pPr>
        <w:spacing w:after="0"/>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P</w:t>
      </w:r>
      <w:r w:rsidR="00376C46" w:rsidRPr="008C109C">
        <w:rPr>
          <w:rFonts w:ascii="Arial" w:hAnsi="Arial" w:cs="Arial"/>
          <w:bCs/>
          <w:color w:val="000000"/>
          <w:sz w:val="22"/>
          <w:szCs w:val="22"/>
          <w:lang w:val="es-CO" w:eastAsia="en-US"/>
        </w:rPr>
        <w:t xml:space="preserve">ara </w:t>
      </w:r>
      <w:r w:rsidR="005027BD" w:rsidRPr="008C109C">
        <w:rPr>
          <w:rFonts w:ascii="Arial" w:hAnsi="Arial" w:cs="Arial"/>
          <w:bCs/>
          <w:color w:val="000000"/>
          <w:sz w:val="22"/>
          <w:szCs w:val="22"/>
          <w:lang w:val="es-CO" w:eastAsia="en-US"/>
        </w:rPr>
        <w:t>acreditar la condición de emprendimiento o empresa de mujeres</w:t>
      </w:r>
      <w:r w:rsidR="00655EB1" w:rsidRPr="008C109C">
        <w:rPr>
          <w:rFonts w:ascii="Arial" w:hAnsi="Arial" w:cs="Arial"/>
          <w:bCs/>
          <w:color w:val="000000"/>
          <w:sz w:val="22"/>
          <w:szCs w:val="22"/>
          <w:lang w:val="es-CO" w:eastAsia="en-US"/>
        </w:rPr>
        <w:t>,</w:t>
      </w:r>
      <w:r w:rsidR="005027BD" w:rsidRPr="008C109C">
        <w:rPr>
          <w:rFonts w:ascii="Arial" w:hAnsi="Arial" w:cs="Arial"/>
          <w:bCs/>
          <w:color w:val="000000"/>
          <w:sz w:val="22"/>
          <w:szCs w:val="22"/>
          <w:lang w:val="es-CO" w:eastAsia="en-US"/>
        </w:rPr>
        <w:t xml:space="preserve"> </w:t>
      </w:r>
      <w:r w:rsidRPr="008C109C">
        <w:rPr>
          <w:rFonts w:ascii="Arial" w:hAnsi="Arial" w:cs="Arial"/>
          <w:bCs/>
          <w:color w:val="000000"/>
          <w:sz w:val="22"/>
          <w:szCs w:val="22"/>
          <w:lang w:val="es-CO" w:eastAsia="en-US"/>
        </w:rPr>
        <w:t xml:space="preserve">el numeral 2 del artículo 2.2.1.2.4.2.14. del Decreto 1082 del 2015  exige </w:t>
      </w:r>
      <w:r w:rsidR="00655EB1" w:rsidRPr="008C109C">
        <w:rPr>
          <w:rFonts w:ascii="Arial" w:hAnsi="Arial" w:cs="Arial"/>
          <w:bCs/>
          <w:color w:val="000000"/>
          <w:sz w:val="22"/>
          <w:szCs w:val="22"/>
          <w:lang w:val="es-CO" w:eastAsia="en-US"/>
        </w:rPr>
        <w:t>lo siguiente:</w:t>
      </w:r>
    </w:p>
    <w:p w14:paraId="4E82B4F6" w14:textId="77777777" w:rsidR="00655EB1" w:rsidRPr="008C109C" w:rsidRDefault="00655EB1" w:rsidP="00376C46">
      <w:pPr>
        <w:spacing w:after="0"/>
        <w:ind w:firstLine="709"/>
        <w:rPr>
          <w:rFonts w:ascii="Arial" w:hAnsi="Arial" w:cs="Arial"/>
          <w:bCs/>
          <w:color w:val="000000"/>
          <w:sz w:val="22"/>
          <w:szCs w:val="22"/>
          <w:lang w:val="es-CO" w:eastAsia="en-US"/>
        </w:rPr>
      </w:pPr>
    </w:p>
    <w:p w14:paraId="39437532" w14:textId="2F4A5EDC" w:rsidR="00655EB1" w:rsidRPr="008C109C" w:rsidRDefault="00655EB1" w:rsidP="005759DF">
      <w:pPr>
        <w:spacing w:after="0" w:line="240" w:lineRule="auto"/>
        <w:ind w:left="709" w:right="709"/>
        <w:rPr>
          <w:rFonts w:ascii="Arial" w:hAnsi="Arial" w:cs="Arial"/>
          <w:bCs/>
          <w:color w:val="000000"/>
          <w:sz w:val="21"/>
          <w:szCs w:val="21"/>
          <w:lang w:val="es-CO" w:eastAsia="en-US"/>
        </w:rPr>
      </w:pPr>
      <w:r w:rsidRPr="008C109C">
        <w:rPr>
          <w:rFonts w:ascii="Arial" w:hAnsi="Arial" w:cs="Arial"/>
          <w:bCs/>
          <w:color w:val="000000"/>
          <w:sz w:val="21"/>
          <w:szCs w:val="21"/>
          <w:lang w:eastAsia="en-US"/>
        </w:rPr>
        <w:lastRenderedPageBreak/>
        <w:t>«Artículo 2.2.1.2.4.2.14.</w:t>
      </w:r>
      <w:r w:rsidR="004E2CB4" w:rsidRPr="008C109C">
        <w:rPr>
          <w:rFonts w:ascii="Arial" w:hAnsi="Arial" w:cs="Arial"/>
          <w:bCs/>
          <w:color w:val="000000"/>
          <w:sz w:val="21"/>
          <w:szCs w:val="21"/>
          <w:lang w:eastAsia="en-US"/>
        </w:rPr>
        <w:t xml:space="preserve"> </w:t>
      </w:r>
      <w:r w:rsidR="0060187D" w:rsidRPr="008C109C">
        <w:rPr>
          <w:rFonts w:ascii="Arial" w:hAnsi="Arial" w:cs="Arial"/>
          <w:bCs/>
          <w:color w:val="000000"/>
          <w:sz w:val="21"/>
          <w:szCs w:val="21"/>
          <w:lang w:eastAsia="en-US"/>
        </w:rPr>
        <w:t>Con el propósito de adoptar medidas afirmativas que incentiven la participación de las mujeres en el sistema de compras públicas, se entenderán como emprendimientos y empresas de mujeres aquellas que cumplan con alguna de las siguientes condiciones:</w:t>
      </w:r>
    </w:p>
    <w:p w14:paraId="40335EC7" w14:textId="77777777" w:rsidR="0060187D" w:rsidRPr="008C109C" w:rsidRDefault="0060187D" w:rsidP="005759DF">
      <w:pPr>
        <w:spacing w:after="0" w:line="240" w:lineRule="auto"/>
        <w:ind w:left="709" w:right="709"/>
        <w:rPr>
          <w:rFonts w:ascii="Arial" w:hAnsi="Arial" w:cs="Arial"/>
          <w:bCs/>
          <w:color w:val="000000"/>
          <w:sz w:val="21"/>
          <w:szCs w:val="21"/>
          <w:lang w:val="es-CO" w:eastAsia="en-US"/>
        </w:rPr>
      </w:pPr>
    </w:p>
    <w:p w14:paraId="7FDC2024" w14:textId="63DCF0B1" w:rsidR="00655EB1" w:rsidRPr="008C109C" w:rsidRDefault="0082754A" w:rsidP="005759DF">
      <w:pPr>
        <w:spacing w:after="0" w:line="240" w:lineRule="auto"/>
        <w:ind w:left="709" w:right="709"/>
        <w:rPr>
          <w:rFonts w:ascii="Arial" w:hAnsi="Arial" w:cs="Arial"/>
          <w:bCs/>
          <w:color w:val="000000"/>
          <w:sz w:val="21"/>
          <w:szCs w:val="21"/>
          <w:lang w:val="es-CO" w:eastAsia="en-US"/>
        </w:rPr>
      </w:pPr>
      <w:r w:rsidRPr="008C109C">
        <w:rPr>
          <w:rFonts w:ascii="Arial" w:hAnsi="Arial" w:cs="Arial"/>
          <w:bCs/>
          <w:color w:val="000000"/>
          <w:sz w:val="21"/>
          <w:szCs w:val="21"/>
          <w:lang w:val="es-CO" w:eastAsia="en-US"/>
        </w:rPr>
        <w:t>[</w:t>
      </w:r>
      <w:r w:rsidR="00655EB1" w:rsidRPr="008C109C">
        <w:rPr>
          <w:rFonts w:ascii="Arial" w:hAnsi="Arial" w:cs="Arial"/>
          <w:bCs/>
          <w:color w:val="000000"/>
          <w:sz w:val="21"/>
          <w:szCs w:val="21"/>
          <w:lang w:val="es-CO" w:eastAsia="en-US"/>
        </w:rPr>
        <w:t>…</w:t>
      </w:r>
      <w:r w:rsidRPr="008C109C">
        <w:rPr>
          <w:rFonts w:ascii="Arial" w:hAnsi="Arial" w:cs="Arial"/>
          <w:bCs/>
          <w:color w:val="000000"/>
          <w:sz w:val="21"/>
          <w:szCs w:val="21"/>
          <w:lang w:val="es-CO" w:eastAsia="en-US"/>
        </w:rPr>
        <w:t xml:space="preserve">] </w:t>
      </w:r>
      <w:r w:rsidR="00655EB1" w:rsidRPr="008C109C">
        <w:rPr>
          <w:rFonts w:ascii="Arial" w:hAnsi="Arial" w:cs="Arial"/>
          <w:bCs/>
          <w:color w:val="000000"/>
          <w:sz w:val="21"/>
          <w:szCs w:val="21"/>
          <w:lang w:val="es-CO" w:eastAsia="en-US"/>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0DC7E0AC" w14:textId="77777777" w:rsidR="0060187D" w:rsidRPr="008C109C" w:rsidRDefault="0060187D" w:rsidP="005759DF">
      <w:pPr>
        <w:spacing w:after="0" w:line="240" w:lineRule="auto"/>
        <w:ind w:left="709" w:right="709"/>
        <w:rPr>
          <w:rFonts w:ascii="Arial" w:hAnsi="Arial" w:cs="Arial"/>
          <w:bCs/>
          <w:color w:val="000000"/>
          <w:sz w:val="21"/>
          <w:szCs w:val="21"/>
          <w:lang w:val="es-CO" w:eastAsia="en-US"/>
        </w:rPr>
      </w:pPr>
    </w:p>
    <w:p w14:paraId="3ACA0E6C" w14:textId="77777777" w:rsidR="00655EB1" w:rsidRPr="008C109C" w:rsidRDefault="00655EB1" w:rsidP="005759DF">
      <w:pPr>
        <w:spacing w:after="0" w:line="240" w:lineRule="auto"/>
        <w:ind w:left="709" w:right="709"/>
        <w:rPr>
          <w:rFonts w:ascii="Arial" w:hAnsi="Arial" w:cs="Arial"/>
          <w:bCs/>
          <w:color w:val="000000"/>
          <w:sz w:val="21"/>
          <w:szCs w:val="21"/>
          <w:lang w:val="es-CO" w:eastAsia="en-US"/>
        </w:rPr>
      </w:pPr>
      <w:r w:rsidRPr="008C109C">
        <w:rPr>
          <w:rFonts w:ascii="Arial" w:hAnsi="Arial" w:cs="Arial"/>
          <w:bCs/>
          <w:color w:val="000000"/>
          <w:sz w:val="21"/>
          <w:szCs w:val="21"/>
          <w:lang w:val="es-CO" w:eastAsia="en-US"/>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4802DAEF" w14:textId="77777777" w:rsidR="0060187D" w:rsidRPr="008C109C" w:rsidRDefault="0060187D" w:rsidP="005759DF">
      <w:pPr>
        <w:spacing w:after="0" w:line="240" w:lineRule="auto"/>
        <w:ind w:left="709" w:right="709"/>
        <w:rPr>
          <w:rFonts w:ascii="Arial" w:hAnsi="Arial" w:cs="Arial"/>
          <w:bCs/>
          <w:color w:val="000000"/>
          <w:sz w:val="21"/>
          <w:szCs w:val="21"/>
          <w:lang w:val="es-CO" w:eastAsia="en-US"/>
        </w:rPr>
      </w:pPr>
    </w:p>
    <w:p w14:paraId="74981D1F" w14:textId="77777777" w:rsidR="00655EB1" w:rsidRPr="008C109C" w:rsidRDefault="00655EB1" w:rsidP="005759DF">
      <w:pPr>
        <w:spacing w:after="0" w:line="240" w:lineRule="auto"/>
        <w:ind w:left="709" w:right="709"/>
        <w:rPr>
          <w:rFonts w:ascii="Arial" w:hAnsi="Arial" w:cs="Arial"/>
          <w:bCs/>
          <w:color w:val="000000"/>
          <w:sz w:val="21"/>
          <w:szCs w:val="21"/>
          <w:lang w:val="es-CO" w:eastAsia="en-US"/>
        </w:rPr>
      </w:pPr>
      <w:r w:rsidRPr="008C109C">
        <w:rPr>
          <w:rFonts w:ascii="Arial" w:hAnsi="Arial" w:cs="Arial"/>
          <w:bCs/>
          <w:color w:val="000000"/>
          <w:sz w:val="21"/>
          <w:szCs w:val="21"/>
          <w:lang w:val="es-CO" w:eastAsia="en-US"/>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7CE6CB1D" w14:textId="77777777" w:rsidR="00644C17" w:rsidRPr="008C109C" w:rsidRDefault="00644C17" w:rsidP="005759DF">
      <w:pPr>
        <w:spacing w:after="0" w:line="240" w:lineRule="auto"/>
        <w:ind w:left="709" w:right="709"/>
        <w:rPr>
          <w:rFonts w:ascii="Arial" w:hAnsi="Arial" w:cs="Arial"/>
          <w:bCs/>
          <w:color w:val="000000"/>
          <w:sz w:val="21"/>
          <w:szCs w:val="21"/>
          <w:lang w:val="es-CO" w:eastAsia="en-US"/>
        </w:rPr>
      </w:pPr>
    </w:p>
    <w:p w14:paraId="0AA230F1" w14:textId="77A41515" w:rsidR="00655EB1" w:rsidRPr="008C109C" w:rsidRDefault="00655EB1" w:rsidP="005759DF">
      <w:pPr>
        <w:spacing w:after="0" w:line="240" w:lineRule="auto"/>
        <w:ind w:left="709" w:right="709"/>
        <w:rPr>
          <w:rFonts w:ascii="Arial" w:hAnsi="Arial" w:cs="Arial"/>
          <w:bCs/>
          <w:color w:val="000000"/>
          <w:sz w:val="21"/>
          <w:szCs w:val="21"/>
          <w:lang w:val="es-CO" w:eastAsia="en-US"/>
        </w:rPr>
      </w:pPr>
      <w:r w:rsidRPr="008C109C">
        <w:rPr>
          <w:rFonts w:ascii="Arial" w:hAnsi="Arial" w:cs="Arial"/>
          <w:bCs/>
          <w:color w:val="000000"/>
          <w:sz w:val="21"/>
          <w:szCs w:val="21"/>
          <w:lang w:val="es-CO" w:eastAsia="en-US"/>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r w:rsidRPr="008C109C">
        <w:rPr>
          <w:rFonts w:ascii="Arial" w:hAnsi="Arial" w:cs="Arial"/>
          <w:bCs/>
          <w:color w:val="000000"/>
          <w:sz w:val="21"/>
          <w:szCs w:val="21"/>
          <w:lang w:eastAsia="en-US"/>
        </w:rPr>
        <w:t>»</w:t>
      </w:r>
      <w:r w:rsidRPr="008C109C">
        <w:rPr>
          <w:rFonts w:ascii="Arial" w:hAnsi="Arial" w:cs="Arial"/>
          <w:bCs/>
          <w:color w:val="000000"/>
          <w:sz w:val="21"/>
          <w:szCs w:val="21"/>
          <w:lang w:val="es-CO" w:eastAsia="en-US"/>
        </w:rPr>
        <w:t>.</w:t>
      </w:r>
    </w:p>
    <w:p w14:paraId="7C9D77EA" w14:textId="77777777" w:rsidR="005027BD" w:rsidRPr="008C109C" w:rsidRDefault="005027BD" w:rsidP="00376C46">
      <w:pPr>
        <w:spacing w:after="0"/>
        <w:ind w:firstLine="709"/>
        <w:rPr>
          <w:rFonts w:ascii="Arial" w:hAnsi="Arial" w:cs="Arial"/>
          <w:bCs/>
          <w:color w:val="000000"/>
          <w:sz w:val="21"/>
          <w:szCs w:val="21"/>
          <w:lang w:val="es-CO" w:eastAsia="en-US"/>
        </w:rPr>
      </w:pPr>
    </w:p>
    <w:p w14:paraId="06EE45BD" w14:textId="59C81CCD" w:rsidR="000703CA" w:rsidRPr="008C109C" w:rsidRDefault="00E10994" w:rsidP="005759DF">
      <w:pPr>
        <w:spacing w:after="120"/>
        <w:ind w:firstLine="709"/>
        <w:rPr>
          <w:rFonts w:ascii="Arial" w:hAnsi="Arial" w:cs="Arial"/>
          <w:bCs/>
          <w:i/>
          <w:color w:val="000000"/>
          <w:sz w:val="22"/>
          <w:szCs w:val="22"/>
          <w:lang w:eastAsia="en-US"/>
        </w:rPr>
      </w:pPr>
      <w:r w:rsidRPr="008C109C">
        <w:rPr>
          <w:rFonts w:ascii="Arial" w:hAnsi="Arial" w:cs="Arial"/>
          <w:bCs/>
          <w:color w:val="000000"/>
          <w:sz w:val="22"/>
          <w:szCs w:val="22"/>
          <w:lang w:eastAsia="en-US"/>
        </w:rPr>
        <w:t>Así las cosas, la disposición exige como una de las condiciones con base en las cuales se debe entender que un proponente tiene la condición de emprendimiento o empresa de mujeres, la vinculación mínima de un año del 50% del personal directivo del proponte respectivo</w:t>
      </w:r>
      <w:r w:rsidR="0082754A" w:rsidRPr="008C109C">
        <w:rPr>
          <w:rFonts w:ascii="Arial" w:hAnsi="Arial" w:cs="Arial"/>
          <w:bCs/>
          <w:color w:val="000000"/>
          <w:sz w:val="22"/>
          <w:szCs w:val="22"/>
          <w:lang w:eastAsia="en-US"/>
        </w:rPr>
        <w:t>, de manera que se trate de mujeres</w:t>
      </w:r>
      <w:r w:rsidRPr="008C109C">
        <w:rPr>
          <w:rFonts w:ascii="Arial" w:hAnsi="Arial" w:cs="Arial"/>
          <w:bCs/>
          <w:color w:val="000000"/>
          <w:sz w:val="22"/>
          <w:szCs w:val="22"/>
          <w:lang w:eastAsia="en-US"/>
        </w:rPr>
        <w:t>. En los términos definidos en la norma, se trata de una condición que solo pueden acreditar las personas jurídicas</w:t>
      </w:r>
      <w:r w:rsidR="00844FCD" w:rsidRPr="008C109C">
        <w:rPr>
          <w:rFonts w:ascii="Arial" w:hAnsi="Arial" w:cs="Arial"/>
          <w:bCs/>
          <w:color w:val="000000"/>
          <w:sz w:val="22"/>
          <w:szCs w:val="22"/>
          <w:lang w:eastAsia="en-US"/>
        </w:rPr>
        <w:t xml:space="preserve"> y cuando se trate de proponente plurales </w:t>
      </w:r>
      <w:r w:rsidR="000703CA" w:rsidRPr="008C109C">
        <w:rPr>
          <w:rFonts w:ascii="Arial" w:hAnsi="Arial" w:cs="Arial"/>
          <w:bCs/>
          <w:color w:val="000000"/>
          <w:sz w:val="22"/>
          <w:szCs w:val="22"/>
          <w:lang w:eastAsia="en-US"/>
        </w:rPr>
        <w:t>será necesario cumplir los requerimientos d</w:t>
      </w:r>
      <w:r w:rsidR="00844FCD" w:rsidRPr="008C109C">
        <w:rPr>
          <w:rFonts w:ascii="Arial" w:hAnsi="Arial" w:cs="Arial"/>
          <w:bCs/>
          <w:color w:val="000000"/>
          <w:sz w:val="22"/>
          <w:szCs w:val="22"/>
          <w:lang w:eastAsia="en-US"/>
        </w:rPr>
        <w:t>el parágrafo 1 del artículo 2.2.1.2.4.2.15</w:t>
      </w:r>
      <w:r w:rsidR="000703CA" w:rsidRPr="008C109C">
        <w:rPr>
          <w:rFonts w:ascii="Arial" w:hAnsi="Arial" w:cs="Arial"/>
          <w:bCs/>
          <w:color w:val="000000"/>
          <w:sz w:val="22"/>
          <w:szCs w:val="22"/>
          <w:lang w:eastAsia="en-US"/>
        </w:rPr>
        <w:t xml:space="preserve">, que prevé que </w:t>
      </w:r>
      <w:r w:rsidR="000703CA" w:rsidRPr="008C109C">
        <w:rPr>
          <w:rFonts w:ascii="Arial" w:hAnsi="Arial" w:cs="Arial"/>
          <w:bCs/>
          <w:iCs/>
          <w:color w:val="000000"/>
          <w:sz w:val="22"/>
          <w:szCs w:val="22"/>
          <w:lang w:val="es-ES_tradnl" w:eastAsia="en-US"/>
        </w:rPr>
        <w:t>«</w:t>
      </w:r>
      <w:r w:rsidR="000703CA" w:rsidRPr="008C109C">
        <w:rPr>
          <w:rFonts w:ascii="Arial" w:hAnsi="Arial" w:cs="Arial"/>
          <w:bCs/>
          <w:iCs/>
          <w:color w:val="000000"/>
          <w:sz w:val="22"/>
          <w:szCs w:val="22"/>
          <w:lang w:eastAsia="en-US"/>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24E46213" w14:textId="4C355036" w:rsidR="00844FCD" w:rsidRPr="008C109C" w:rsidRDefault="000703CA" w:rsidP="005759DF">
      <w:pPr>
        <w:spacing w:after="120"/>
        <w:ind w:firstLine="709"/>
        <w:rPr>
          <w:rFonts w:ascii="Arial" w:hAnsi="Arial" w:cs="Arial"/>
          <w:bCs/>
          <w:color w:val="000000"/>
          <w:sz w:val="22"/>
          <w:szCs w:val="22"/>
          <w:lang w:eastAsia="en-US"/>
        </w:rPr>
      </w:pPr>
      <w:r w:rsidRPr="008C109C">
        <w:rPr>
          <w:rFonts w:ascii="Arial" w:hAnsi="Arial" w:cs="Arial"/>
          <w:bCs/>
          <w:color w:val="000000"/>
          <w:sz w:val="22"/>
          <w:szCs w:val="22"/>
          <w:lang w:eastAsia="en-US"/>
        </w:rPr>
        <w:t xml:space="preserve">Adicionalmente, </w:t>
      </w:r>
      <w:r w:rsidR="00844FCD" w:rsidRPr="008C109C">
        <w:rPr>
          <w:rFonts w:ascii="Arial" w:hAnsi="Arial" w:cs="Arial"/>
          <w:bCs/>
          <w:color w:val="000000"/>
          <w:sz w:val="22"/>
          <w:szCs w:val="22"/>
          <w:lang w:eastAsia="en-US"/>
        </w:rPr>
        <w:t xml:space="preserve">en los términos del parágrafo del artículo </w:t>
      </w:r>
      <w:r w:rsidRPr="008C109C">
        <w:rPr>
          <w:rFonts w:ascii="Arial" w:hAnsi="Arial" w:cs="Arial"/>
          <w:bCs/>
          <w:color w:val="000000"/>
          <w:sz w:val="22"/>
          <w:szCs w:val="22"/>
          <w:lang w:eastAsia="en-US"/>
        </w:rPr>
        <w:t>2.2.1.2.4.2.14.</w:t>
      </w:r>
      <w:r w:rsidR="008721BB" w:rsidRPr="008C109C">
        <w:rPr>
          <w:rFonts w:ascii="Arial" w:hAnsi="Arial" w:cs="Arial"/>
          <w:bCs/>
          <w:color w:val="000000"/>
          <w:sz w:val="22"/>
          <w:szCs w:val="22"/>
          <w:lang w:eastAsia="en-US"/>
        </w:rPr>
        <w:t xml:space="preserve"> </w:t>
      </w:r>
      <w:r w:rsidR="00844FCD" w:rsidRPr="008C109C">
        <w:rPr>
          <w:rFonts w:ascii="Arial" w:hAnsi="Arial" w:cs="Arial"/>
          <w:bCs/>
          <w:color w:val="000000"/>
          <w:sz w:val="22"/>
          <w:szCs w:val="22"/>
          <w:lang w:eastAsia="en-US"/>
        </w:rPr>
        <w:t xml:space="preserve">las certificaciones que acrediten la vinculación del porcentaje de personal directivo y su antigüedad deben expedirse bajo la gravedad de juramento con una fecha de máximo </w:t>
      </w:r>
      <w:r w:rsidR="00844FCD" w:rsidRPr="008C109C">
        <w:rPr>
          <w:rFonts w:ascii="Arial" w:hAnsi="Arial" w:cs="Arial"/>
          <w:bCs/>
          <w:color w:val="000000"/>
          <w:sz w:val="22"/>
          <w:szCs w:val="22"/>
          <w:lang w:eastAsia="en-US"/>
        </w:rPr>
        <w:lastRenderedPageBreak/>
        <w:t xml:space="preserve">treinta (30) días calendario anteriores a la prevista para el cierre del procedimiento de selección, lo cual denota la intención de la norma de asegurarse de la existencia de un vínculo laboral actual, en tales condiciones. </w:t>
      </w:r>
    </w:p>
    <w:p w14:paraId="729E2D1A" w14:textId="0D506093" w:rsidR="00844FCD" w:rsidRPr="008C109C" w:rsidRDefault="008721BB" w:rsidP="005759DF">
      <w:pPr>
        <w:spacing w:after="120"/>
        <w:ind w:firstLine="709"/>
        <w:rPr>
          <w:rFonts w:ascii="Arial" w:hAnsi="Arial" w:cs="Arial"/>
          <w:bCs/>
          <w:color w:val="000000"/>
          <w:sz w:val="22"/>
          <w:szCs w:val="22"/>
          <w:lang w:eastAsia="en-US"/>
        </w:rPr>
      </w:pPr>
      <w:r w:rsidRPr="008C109C">
        <w:rPr>
          <w:rFonts w:ascii="Arial" w:hAnsi="Arial" w:cs="Arial"/>
          <w:bCs/>
          <w:color w:val="000000"/>
          <w:sz w:val="22"/>
          <w:szCs w:val="22"/>
          <w:lang w:eastAsia="en-US"/>
        </w:rPr>
        <w:t>Se trata entonces, de una</w:t>
      </w:r>
      <w:r w:rsidR="00955070" w:rsidRPr="008C109C">
        <w:rPr>
          <w:rFonts w:ascii="Arial" w:hAnsi="Arial" w:cs="Arial"/>
          <w:bCs/>
          <w:color w:val="000000"/>
          <w:sz w:val="22"/>
          <w:szCs w:val="22"/>
          <w:lang w:eastAsia="en-US"/>
        </w:rPr>
        <w:t xml:space="preserve"> exigencia relacionada directamente con la celebración de contratos de trabajo por parte del proponente persona jurídica</w:t>
      </w:r>
      <w:r w:rsidR="00022BA4" w:rsidRPr="008C109C">
        <w:rPr>
          <w:rFonts w:ascii="Arial" w:hAnsi="Arial" w:cs="Arial"/>
          <w:bCs/>
          <w:color w:val="000000"/>
          <w:sz w:val="22"/>
          <w:szCs w:val="22"/>
          <w:lang w:eastAsia="en-US"/>
        </w:rPr>
        <w:t xml:space="preserve">, </w:t>
      </w:r>
      <w:r w:rsidR="00955070" w:rsidRPr="008C109C">
        <w:rPr>
          <w:rFonts w:ascii="Arial" w:hAnsi="Arial" w:cs="Arial"/>
          <w:bCs/>
          <w:color w:val="000000"/>
          <w:sz w:val="22"/>
          <w:szCs w:val="22"/>
          <w:lang w:eastAsia="en-US"/>
        </w:rPr>
        <w:t>o de la persona jurídica integrante del proponente plural</w:t>
      </w:r>
      <w:r w:rsidR="00D343E9" w:rsidRPr="008C109C">
        <w:rPr>
          <w:rFonts w:ascii="Arial" w:hAnsi="Arial" w:cs="Arial"/>
          <w:bCs/>
          <w:color w:val="000000"/>
          <w:sz w:val="22"/>
          <w:szCs w:val="22"/>
          <w:lang w:eastAsia="en-US"/>
        </w:rPr>
        <w:t xml:space="preserve">, de lo que se sigue que la vinculación laboral </w:t>
      </w:r>
      <w:r w:rsidR="008301BC" w:rsidRPr="008C109C">
        <w:rPr>
          <w:rFonts w:ascii="Arial" w:hAnsi="Arial" w:cs="Arial"/>
          <w:bCs/>
          <w:color w:val="000000"/>
          <w:sz w:val="22"/>
          <w:szCs w:val="22"/>
          <w:lang w:eastAsia="en-US"/>
        </w:rPr>
        <w:t>necesariamente debe ser con éstos y que no podría tenerse como válida aquella existente con otra persona jurídica, para la aplicación de los criterios diferenciales respe</w:t>
      </w:r>
      <w:r w:rsidR="0082754A" w:rsidRPr="008C109C">
        <w:rPr>
          <w:rFonts w:ascii="Arial" w:hAnsi="Arial" w:cs="Arial"/>
          <w:bCs/>
          <w:color w:val="000000"/>
          <w:sz w:val="22"/>
          <w:szCs w:val="22"/>
          <w:lang w:eastAsia="en-US"/>
        </w:rPr>
        <w:t>c</w:t>
      </w:r>
      <w:r w:rsidR="008301BC" w:rsidRPr="008C109C">
        <w:rPr>
          <w:rFonts w:ascii="Arial" w:hAnsi="Arial" w:cs="Arial"/>
          <w:bCs/>
          <w:color w:val="000000"/>
          <w:sz w:val="22"/>
          <w:szCs w:val="22"/>
          <w:lang w:eastAsia="en-US"/>
        </w:rPr>
        <w:t xml:space="preserve">tivos. </w:t>
      </w:r>
    </w:p>
    <w:p w14:paraId="22F8AC15" w14:textId="130DCA30" w:rsidR="008301BC" w:rsidRPr="008C109C" w:rsidRDefault="008301BC" w:rsidP="005759DF">
      <w:pPr>
        <w:spacing w:after="120"/>
        <w:ind w:firstLine="709"/>
        <w:rPr>
          <w:rFonts w:ascii="Arial" w:hAnsi="Arial" w:cs="Arial"/>
          <w:bCs/>
          <w:color w:val="000000"/>
          <w:sz w:val="22"/>
          <w:szCs w:val="22"/>
          <w:lang w:eastAsia="en-US"/>
        </w:rPr>
      </w:pPr>
      <w:r w:rsidRPr="008C109C">
        <w:rPr>
          <w:rFonts w:ascii="Arial" w:hAnsi="Arial" w:cs="Arial"/>
          <w:bCs/>
          <w:color w:val="000000"/>
          <w:sz w:val="22"/>
          <w:szCs w:val="22"/>
          <w:lang w:eastAsia="en-US"/>
        </w:rPr>
        <w:t>En ese contexto, y en cuanto la consulta formulada se concreta en inquietudes relacionadas con los efectos que puede tener una fusión empresarial, respecto de la antigüedad de la vinculación de l</w:t>
      </w:r>
      <w:r w:rsidR="00022BA4" w:rsidRPr="008C109C">
        <w:rPr>
          <w:rFonts w:ascii="Arial" w:hAnsi="Arial" w:cs="Arial"/>
          <w:bCs/>
          <w:color w:val="000000"/>
          <w:sz w:val="22"/>
          <w:szCs w:val="22"/>
          <w:lang w:eastAsia="en-US"/>
        </w:rPr>
        <w:t>a</w:t>
      </w:r>
      <w:r w:rsidRPr="008C109C">
        <w:rPr>
          <w:rFonts w:ascii="Arial" w:hAnsi="Arial" w:cs="Arial"/>
          <w:bCs/>
          <w:color w:val="000000"/>
          <w:sz w:val="22"/>
          <w:szCs w:val="22"/>
          <w:lang w:eastAsia="en-US"/>
        </w:rPr>
        <w:t>s trabajador</w:t>
      </w:r>
      <w:r w:rsidR="00022BA4" w:rsidRPr="008C109C">
        <w:rPr>
          <w:rFonts w:ascii="Arial" w:hAnsi="Arial" w:cs="Arial"/>
          <w:bCs/>
          <w:color w:val="000000"/>
          <w:sz w:val="22"/>
          <w:szCs w:val="22"/>
          <w:lang w:eastAsia="en-US"/>
        </w:rPr>
        <w:t>a</w:t>
      </w:r>
      <w:r w:rsidRPr="008C109C">
        <w:rPr>
          <w:rFonts w:ascii="Arial" w:hAnsi="Arial" w:cs="Arial"/>
          <w:bCs/>
          <w:color w:val="000000"/>
          <w:sz w:val="22"/>
          <w:szCs w:val="22"/>
          <w:lang w:eastAsia="en-US"/>
        </w:rPr>
        <w:t>s de las empresas fusionadas, resultan pertinentes las siguientes consideraciones:</w:t>
      </w:r>
    </w:p>
    <w:p w14:paraId="175287F6" w14:textId="2F638491" w:rsidR="0046110A" w:rsidRPr="008C109C" w:rsidRDefault="0046110A"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eastAsia="en-US"/>
        </w:rPr>
        <w:t>Conforme a los</w:t>
      </w:r>
      <w:r w:rsidR="008301BC" w:rsidRPr="008C109C">
        <w:rPr>
          <w:rFonts w:ascii="Arial" w:hAnsi="Arial" w:cs="Arial"/>
          <w:bCs/>
          <w:color w:val="000000"/>
          <w:sz w:val="22"/>
          <w:szCs w:val="22"/>
          <w:lang w:eastAsia="en-US"/>
        </w:rPr>
        <w:t xml:space="preserve"> artículo</w:t>
      </w:r>
      <w:r w:rsidRPr="008C109C">
        <w:rPr>
          <w:rFonts w:ascii="Arial" w:hAnsi="Arial" w:cs="Arial"/>
          <w:bCs/>
          <w:color w:val="000000"/>
          <w:sz w:val="22"/>
          <w:szCs w:val="22"/>
          <w:lang w:eastAsia="en-US"/>
        </w:rPr>
        <w:t>s</w:t>
      </w:r>
      <w:r w:rsidR="008301BC" w:rsidRPr="008C109C">
        <w:rPr>
          <w:rFonts w:ascii="Arial" w:hAnsi="Arial" w:cs="Arial"/>
          <w:bCs/>
          <w:color w:val="000000"/>
          <w:sz w:val="22"/>
          <w:szCs w:val="22"/>
          <w:lang w:eastAsia="en-US"/>
        </w:rPr>
        <w:t xml:space="preserve"> 162 </w:t>
      </w:r>
      <w:r w:rsidRPr="008C109C">
        <w:rPr>
          <w:rFonts w:ascii="Arial" w:hAnsi="Arial" w:cs="Arial"/>
          <w:bCs/>
          <w:color w:val="000000"/>
          <w:sz w:val="22"/>
          <w:szCs w:val="22"/>
          <w:lang w:eastAsia="en-US"/>
        </w:rPr>
        <w:t xml:space="preserve">y 172 </w:t>
      </w:r>
      <w:r w:rsidR="008301BC" w:rsidRPr="008C109C">
        <w:rPr>
          <w:rFonts w:ascii="Arial" w:hAnsi="Arial" w:cs="Arial"/>
          <w:bCs/>
          <w:color w:val="000000"/>
          <w:sz w:val="22"/>
          <w:szCs w:val="22"/>
          <w:lang w:eastAsia="en-US"/>
        </w:rPr>
        <w:t xml:space="preserve">del Código de Comercio, la fusión empresarial es una clase de reforma estatutaria, en virtud de la cual </w:t>
      </w:r>
      <w:r w:rsidRPr="008C109C">
        <w:rPr>
          <w:rFonts w:ascii="Arial" w:hAnsi="Arial" w:cs="Arial"/>
          <w:bCs/>
          <w:color w:val="000000"/>
          <w:sz w:val="22"/>
          <w:szCs w:val="22"/>
          <w:lang w:eastAsia="en-US"/>
        </w:rPr>
        <w:t>u</w:t>
      </w:r>
      <w:r w:rsidRPr="008C109C">
        <w:rPr>
          <w:rFonts w:ascii="Arial" w:hAnsi="Arial" w:cs="Arial"/>
          <w:bCs/>
          <w:color w:val="000000"/>
          <w:sz w:val="22"/>
          <w:szCs w:val="22"/>
          <w:lang w:val="es-CO" w:eastAsia="en-US"/>
        </w:rPr>
        <w:t>na o más sociedades se disuelven, sin liquidarse, para ser absorbidas por otra o para crear una nueva. Por expresa disposición legal</w:t>
      </w:r>
      <w:r w:rsidR="003E51AB" w:rsidRPr="008C109C">
        <w:rPr>
          <w:rStyle w:val="Refdenotaalpie"/>
          <w:rFonts w:ascii="Arial" w:hAnsi="Arial" w:cs="Arial"/>
          <w:bCs/>
          <w:color w:val="000000"/>
          <w:sz w:val="22"/>
          <w:szCs w:val="22"/>
          <w:lang w:val="es-CO" w:eastAsia="en-US"/>
        </w:rPr>
        <w:footnoteReference w:id="6"/>
      </w:r>
      <w:r w:rsidRPr="008C109C">
        <w:rPr>
          <w:rFonts w:ascii="Arial" w:hAnsi="Arial" w:cs="Arial"/>
          <w:bCs/>
          <w:color w:val="000000"/>
          <w:sz w:val="22"/>
          <w:szCs w:val="22"/>
          <w:lang w:val="es-CO" w:eastAsia="en-US"/>
        </w:rPr>
        <w:t>, cuando se materializa esta figura, la absorbente o la nueva compañía adquirirá los derechos y obligaciones de la sociedad o sociedades disueltas al formalizarse el acuerdo de fusión.</w:t>
      </w:r>
    </w:p>
    <w:p w14:paraId="1A309E78" w14:textId="41B65B10" w:rsidR="0046110A" w:rsidRPr="008C109C" w:rsidRDefault="003E51AB" w:rsidP="005759DF">
      <w:pPr>
        <w:spacing w:after="120"/>
        <w:ind w:firstLine="709"/>
        <w:rPr>
          <w:rFonts w:ascii="Arial" w:hAnsi="Arial" w:cs="Arial"/>
          <w:bCs/>
          <w:color w:val="000000"/>
          <w:sz w:val="22"/>
          <w:szCs w:val="22"/>
          <w:lang w:val="es-CO" w:eastAsia="en-US"/>
        </w:rPr>
      </w:pPr>
      <w:r w:rsidRPr="008C109C">
        <w:rPr>
          <w:rFonts w:ascii="Arial" w:hAnsi="Arial" w:cs="Arial"/>
          <w:bCs/>
          <w:color w:val="000000"/>
          <w:sz w:val="22"/>
          <w:szCs w:val="22"/>
          <w:lang w:val="es-CO" w:eastAsia="en-US"/>
        </w:rPr>
        <w:t>En esas condiciones, u</w:t>
      </w:r>
      <w:r w:rsidR="0046110A" w:rsidRPr="008C109C">
        <w:rPr>
          <w:rFonts w:ascii="Arial" w:hAnsi="Arial" w:cs="Arial"/>
          <w:bCs/>
          <w:color w:val="000000"/>
          <w:sz w:val="22"/>
          <w:szCs w:val="22"/>
          <w:lang w:val="es-CO" w:eastAsia="en-US"/>
        </w:rPr>
        <w:t>n proceso de fusión de sociedades no acaba</w:t>
      </w:r>
      <w:r w:rsidR="00F44A03" w:rsidRPr="008C109C">
        <w:rPr>
          <w:rFonts w:ascii="Arial" w:hAnsi="Arial" w:cs="Arial"/>
          <w:bCs/>
          <w:color w:val="000000"/>
          <w:sz w:val="22"/>
          <w:szCs w:val="22"/>
          <w:lang w:val="es-CO" w:eastAsia="en-US"/>
        </w:rPr>
        <w:t xml:space="preserve"> </w:t>
      </w:r>
      <w:r w:rsidR="0046110A" w:rsidRPr="008C109C">
        <w:rPr>
          <w:rFonts w:ascii="Arial" w:hAnsi="Arial" w:cs="Arial"/>
          <w:bCs/>
          <w:color w:val="000000"/>
          <w:sz w:val="22"/>
          <w:szCs w:val="22"/>
          <w:lang w:val="es-CO" w:eastAsia="en-US"/>
        </w:rPr>
        <w:t xml:space="preserve">los contratos de trabajo de ninguna de las sociedades que participen en </w:t>
      </w:r>
      <w:r w:rsidRPr="008C109C">
        <w:rPr>
          <w:rFonts w:ascii="Arial" w:hAnsi="Arial" w:cs="Arial"/>
          <w:bCs/>
          <w:color w:val="000000"/>
          <w:sz w:val="22"/>
          <w:szCs w:val="22"/>
          <w:lang w:val="es-CO" w:eastAsia="en-US"/>
        </w:rPr>
        <w:t>éste</w:t>
      </w:r>
      <w:r w:rsidR="0046110A" w:rsidRPr="008C109C">
        <w:rPr>
          <w:rFonts w:ascii="Arial" w:hAnsi="Arial" w:cs="Arial"/>
          <w:bCs/>
          <w:color w:val="000000"/>
          <w:sz w:val="22"/>
          <w:szCs w:val="22"/>
          <w:lang w:val="es-CO" w:eastAsia="en-US"/>
        </w:rPr>
        <w:t xml:space="preserve">, ni modifica sus condiciones; </w:t>
      </w:r>
      <w:r w:rsidRPr="008C109C">
        <w:rPr>
          <w:rFonts w:ascii="Arial" w:hAnsi="Arial" w:cs="Arial"/>
          <w:bCs/>
          <w:color w:val="000000"/>
          <w:sz w:val="22"/>
          <w:szCs w:val="22"/>
          <w:lang w:val="es-CO" w:eastAsia="en-US"/>
        </w:rPr>
        <w:t xml:space="preserve">ya que, debido a la mencionada previsión, </w:t>
      </w:r>
      <w:r w:rsidR="0046110A" w:rsidRPr="008C109C">
        <w:rPr>
          <w:rFonts w:ascii="Arial" w:hAnsi="Arial" w:cs="Arial"/>
          <w:bCs/>
          <w:color w:val="000000"/>
          <w:sz w:val="22"/>
          <w:szCs w:val="22"/>
          <w:lang w:val="es-CO" w:eastAsia="en-US"/>
        </w:rPr>
        <w:t xml:space="preserve">estos contratos y sus correspondientes obligaciones </w:t>
      </w:r>
      <w:r w:rsidRPr="008C109C">
        <w:rPr>
          <w:rFonts w:ascii="Arial" w:hAnsi="Arial" w:cs="Arial"/>
          <w:bCs/>
          <w:color w:val="000000"/>
          <w:sz w:val="22"/>
          <w:szCs w:val="22"/>
          <w:lang w:val="es-CO" w:eastAsia="en-US"/>
        </w:rPr>
        <w:t xml:space="preserve">son </w:t>
      </w:r>
      <w:r w:rsidR="0046110A" w:rsidRPr="008C109C">
        <w:rPr>
          <w:rFonts w:ascii="Arial" w:hAnsi="Arial" w:cs="Arial"/>
          <w:bCs/>
          <w:color w:val="000000"/>
          <w:sz w:val="22"/>
          <w:szCs w:val="22"/>
          <w:lang w:val="es-CO" w:eastAsia="en-US"/>
        </w:rPr>
        <w:t>asumidas por la nueva sociedad.</w:t>
      </w:r>
    </w:p>
    <w:p w14:paraId="28B8E57C" w14:textId="600A6216" w:rsidR="00F44A03" w:rsidRPr="008C109C" w:rsidRDefault="0046110A">
      <w:pPr>
        <w:spacing w:after="120"/>
        <w:ind w:firstLine="709"/>
        <w:rPr>
          <w:rFonts w:ascii="Arial" w:hAnsi="Arial" w:cs="Arial"/>
          <w:bCs/>
          <w:sz w:val="22"/>
          <w:szCs w:val="22"/>
          <w:lang w:val="es-ES_tradnl" w:eastAsia="en-US"/>
        </w:rPr>
      </w:pPr>
      <w:r w:rsidRPr="008C109C">
        <w:rPr>
          <w:rFonts w:ascii="Arial" w:hAnsi="Arial" w:cs="Arial"/>
          <w:bCs/>
          <w:color w:val="000000"/>
          <w:sz w:val="22"/>
          <w:szCs w:val="22"/>
          <w:lang w:val="es-CO" w:eastAsia="en-US"/>
        </w:rPr>
        <w:t xml:space="preserve">La figura que se produce con </w:t>
      </w:r>
      <w:r w:rsidR="00F44A03" w:rsidRPr="008C109C">
        <w:rPr>
          <w:rFonts w:ascii="Arial" w:hAnsi="Arial" w:cs="Arial"/>
          <w:bCs/>
          <w:color w:val="000000"/>
          <w:sz w:val="22"/>
          <w:szCs w:val="22"/>
          <w:lang w:val="es-CO" w:eastAsia="en-US"/>
        </w:rPr>
        <w:t xml:space="preserve">ocasión a la fusión es la de la </w:t>
      </w:r>
      <w:hyperlink r:id="rId10" w:tgtFrame="_blank" w:history="1">
        <w:r w:rsidRPr="008C109C">
          <w:rPr>
            <w:rStyle w:val="Hipervnculo"/>
            <w:rFonts w:ascii="Arial" w:hAnsi="Arial" w:cs="Arial"/>
            <w:bCs/>
            <w:color w:val="auto"/>
            <w:sz w:val="22"/>
            <w:szCs w:val="22"/>
            <w:u w:val="none"/>
            <w:lang w:val="es-CO" w:eastAsia="en-US"/>
          </w:rPr>
          <w:t>sustitución patronal</w:t>
        </w:r>
      </w:hyperlink>
      <w:r w:rsidR="00F44A03" w:rsidRPr="008C109C">
        <w:rPr>
          <w:rFonts w:ascii="Arial" w:hAnsi="Arial" w:cs="Arial"/>
          <w:bCs/>
          <w:sz w:val="22"/>
          <w:szCs w:val="22"/>
          <w:lang w:val="es-CO" w:eastAsia="en-US"/>
        </w:rPr>
        <w:t xml:space="preserve"> de empleadores que se define en el artículo </w:t>
      </w:r>
      <w:r w:rsidR="00F44A03" w:rsidRPr="008C109C">
        <w:rPr>
          <w:rFonts w:ascii="Arial" w:hAnsi="Arial" w:cs="Arial"/>
          <w:bCs/>
          <w:sz w:val="22"/>
          <w:szCs w:val="22"/>
          <w:lang w:val="es-ES_tradnl" w:eastAsia="en-US"/>
        </w:rPr>
        <w:t xml:space="preserve">67 del Código Sustantivo del Trabajo como «todo cambio de un empleador por otro, por cualquier causa, siempre que subsista la identidad del establecimiento, es decir, en cuanto éste no sufra variaciones esenciales en el giro de sus actividades o negocios». </w:t>
      </w:r>
      <w:r w:rsidR="00751A49" w:rsidRPr="008C109C">
        <w:rPr>
          <w:rFonts w:ascii="Arial" w:hAnsi="Arial" w:cs="Arial"/>
          <w:bCs/>
          <w:sz w:val="22"/>
          <w:szCs w:val="22"/>
          <w:lang w:val="es-ES_tradnl" w:eastAsia="en-US"/>
        </w:rPr>
        <w:t>Así,</w:t>
      </w:r>
      <w:r w:rsidR="00F44A03" w:rsidRPr="008C109C">
        <w:rPr>
          <w:rFonts w:ascii="Arial" w:hAnsi="Arial" w:cs="Arial"/>
          <w:bCs/>
          <w:sz w:val="22"/>
          <w:szCs w:val="22"/>
          <w:lang w:val="es-ES_tradnl" w:eastAsia="en-US"/>
        </w:rPr>
        <w:t xml:space="preserve"> este fenómeno opera cuando lo que cambia es el empleador, pero el giro ordinario de la empresa se mantiene. En tal sentido, el artículo 68 del mismo Código señala que «La sola sustitución de empleadores no extingue, suspende ni modifica los contratos de trabajo existentes». </w:t>
      </w:r>
    </w:p>
    <w:p w14:paraId="0961E23A" w14:textId="600C29D0" w:rsidR="00E42FE2" w:rsidRPr="008C109C" w:rsidRDefault="00E42FE2">
      <w:pPr>
        <w:spacing w:after="120"/>
        <w:ind w:firstLine="709"/>
        <w:rPr>
          <w:rFonts w:ascii="Arial" w:hAnsi="Arial" w:cs="Arial"/>
          <w:bCs/>
          <w:sz w:val="22"/>
          <w:szCs w:val="22"/>
          <w:lang w:val="es-ES_tradnl" w:eastAsia="en-US"/>
        </w:rPr>
      </w:pPr>
      <w:r w:rsidRPr="008C109C">
        <w:rPr>
          <w:rFonts w:ascii="Arial" w:hAnsi="Arial" w:cs="Arial"/>
          <w:bCs/>
          <w:sz w:val="22"/>
          <w:szCs w:val="22"/>
          <w:lang w:val="es-ES_tradnl" w:eastAsia="en-US"/>
        </w:rPr>
        <w:t xml:space="preserve">La finalidad de la sustitución patronal es que </w:t>
      </w:r>
      <w:r w:rsidRPr="008C109C">
        <w:rPr>
          <w:rFonts w:ascii="Arial" w:hAnsi="Arial" w:cs="Arial"/>
          <w:sz w:val="22"/>
          <w:szCs w:val="22"/>
        </w:rPr>
        <w:t xml:space="preserve">el nuevo empresario asuma la posición contractual del antiguo en las relaciones laborales existentes en la empresa. Esta </w:t>
      </w:r>
      <w:r w:rsidRPr="008C109C">
        <w:rPr>
          <w:rFonts w:ascii="Arial" w:hAnsi="Arial" w:cs="Arial"/>
          <w:sz w:val="22"/>
          <w:szCs w:val="22"/>
        </w:rPr>
        <w:lastRenderedPageBreak/>
        <w:t>subrogación en la posición de la parte empleadora implica que el nuevo titular de la unidad económica asume los mismos derechos y obligaciones contractuales que el anterior titular</w:t>
      </w:r>
      <w:r w:rsidRPr="008C109C">
        <w:rPr>
          <w:rStyle w:val="Refdenotaalpie"/>
          <w:rFonts w:ascii="Arial" w:hAnsi="Arial" w:cs="Arial"/>
          <w:sz w:val="22"/>
          <w:szCs w:val="22"/>
        </w:rPr>
        <w:footnoteReference w:id="7"/>
      </w:r>
      <w:r w:rsidRPr="008C109C">
        <w:rPr>
          <w:rFonts w:ascii="Arial" w:hAnsi="Arial" w:cs="Arial"/>
          <w:sz w:val="22"/>
          <w:szCs w:val="22"/>
        </w:rPr>
        <w:t>.</w:t>
      </w:r>
    </w:p>
    <w:p w14:paraId="740B2611" w14:textId="43422E75" w:rsidR="00F44A03" w:rsidRPr="008C109C" w:rsidRDefault="00055C09" w:rsidP="006E6C7D">
      <w:pPr>
        <w:spacing w:after="0"/>
        <w:ind w:firstLine="709"/>
        <w:rPr>
          <w:rFonts w:ascii="Arial" w:hAnsi="Arial" w:cs="Arial"/>
          <w:bCs/>
          <w:sz w:val="22"/>
          <w:szCs w:val="22"/>
          <w:lang w:val="es-ES_tradnl" w:eastAsia="en-US"/>
        </w:rPr>
      </w:pPr>
      <w:r w:rsidRPr="008C109C">
        <w:rPr>
          <w:rFonts w:ascii="Arial" w:hAnsi="Arial" w:cs="Arial"/>
          <w:color w:val="000000"/>
          <w:sz w:val="22"/>
          <w:szCs w:val="22"/>
        </w:rPr>
        <w:t xml:space="preserve">En relación con los requisitos esenciales para la sustitución patronal contenidos en el artículo 67 del </w:t>
      </w:r>
      <w:r w:rsidR="00515D41" w:rsidRPr="008C109C">
        <w:rPr>
          <w:rFonts w:ascii="Arial" w:hAnsi="Arial" w:cs="Arial"/>
          <w:bCs/>
          <w:sz w:val="22"/>
          <w:szCs w:val="22"/>
          <w:lang w:val="es-ES_tradnl" w:eastAsia="en-US"/>
        </w:rPr>
        <w:t>Código Sustantivo del Trabajo</w:t>
      </w:r>
      <w:r w:rsidRPr="008C109C">
        <w:rPr>
          <w:rFonts w:ascii="Arial" w:hAnsi="Arial" w:cs="Arial"/>
          <w:color w:val="000000"/>
          <w:sz w:val="22"/>
          <w:szCs w:val="22"/>
        </w:rPr>
        <w:t xml:space="preserve">, </w:t>
      </w:r>
      <w:r w:rsidR="00515D41" w:rsidRPr="008C109C">
        <w:rPr>
          <w:rFonts w:ascii="Arial" w:hAnsi="Arial" w:cs="Arial"/>
          <w:color w:val="000000"/>
          <w:sz w:val="22"/>
          <w:szCs w:val="22"/>
        </w:rPr>
        <w:t>la Sala de Casación Laboral de la Corte Suprema de Justicia, ha señalado que</w:t>
      </w:r>
      <w:r w:rsidRPr="008C109C">
        <w:rPr>
          <w:rFonts w:ascii="Arial" w:hAnsi="Arial" w:cs="Arial"/>
          <w:color w:val="000000"/>
          <w:sz w:val="22"/>
          <w:szCs w:val="22"/>
        </w:rPr>
        <w:t xml:space="preserve">: </w:t>
      </w:r>
      <w:r w:rsidRPr="008C109C">
        <w:rPr>
          <w:rFonts w:ascii="Arial" w:hAnsi="Arial" w:cs="Arial"/>
          <w:i/>
          <w:color w:val="000000"/>
          <w:sz w:val="22"/>
          <w:szCs w:val="22"/>
        </w:rPr>
        <w:t>«</w:t>
      </w:r>
      <w:r w:rsidRPr="008C109C">
        <w:rPr>
          <w:rFonts w:ascii="Arial" w:hAnsi="Arial" w:cs="Arial"/>
          <w:i/>
          <w:sz w:val="22"/>
          <w:szCs w:val="22"/>
          <w:lang w:val="es-ES_tradnl"/>
        </w:rPr>
        <w:t>para que opere la figura jurídica de sustitución de empleadores es necesario que se cumplan los siguientes presupuestos: (i) cambio de empleador, (</w:t>
      </w:r>
      <w:proofErr w:type="spellStart"/>
      <w:r w:rsidRPr="008C109C">
        <w:rPr>
          <w:rFonts w:ascii="Arial" w:hAnsi="Arial" w:cs="Arial"/>
          <w:i/>
          <w:sz w:val="22"/>
          <w:szCs w:val="22"/>
          <w:lang w:val="es-ES_tradnl"/>
        </w:rPr>
        <w:t>ii</w:t>
      </w:r>
      <w:proofErr w:type="spellEnd"/>
      <w:r w:rsidRPr="008C109C">
        <w:rPr>
          <w:rFonts w:ascii="Arial" w:hAnsi="Arial" w:cs="Arial"/>
          <w:i/>
          <w:sz w:val="22"/>
          <w:szCs w:val="22"/>
          <w:lang w:val="es-ES_tradnl"/>
        </w:rPr>
        <w:t>) continuidad de empresa o identidad de establecimiento, y (</w:t>
      </w:r>
      <w:proofErr w:type="spellStart"/>
      <w:r w:rsidRPr="008C109C">
        <w:rPr>
          <w:rFonts w:ascii="Arial" w:hAnsi="Arial" w:cs="Arial"/>
          <w:i/>
          <w:sz w:val="22"/>
          <w:szCs w:val="22"/>
          <w:lang w:val="es-ES_tradnl"/>
        </w:rPr>
        <w:t>iii</w:t>
      </w:r>
      <w:proofErr w:type="spellEnd"/>
      <w:r w:rsidRPr="008C109C">
        <w:rPr>
          <w:rFonts w:ascii="Arial" w:hAnsi="Arial" w:cs="Arial"/>
          <w:i/>
          <w:sz w:val="22"/>
          <w:szCs w:val="22"/>
          <w:lang w:val="es-ES_tradnl"/>
        </w:rPr>
        <w:t>) continuidad en los servicios que presta el trabajador»</w:t>
      </w:r>
      <w:r w:rsidR="00515D41" w:rsidRPr="008C109C">
        <w:rPr>
          <w:rStyle w:val="Refdenotaalpie"/>
          <w:rFonts w:ascii="Arial" w:hAnsi="Arial" w:cs="Arial"/>
          <w:i/>
          <w:sz w:val="22"/>
          <w:szCs w:val="22"/>
          <w:lang w:val="es-ES_tradnl"/>
        </w:rPr>
        <w:footnoteReference w:id="8"/>
      </w:r>
      <w:r w:rsidR="00F44A03" w:rsidRPr="008C109C">
        <w:rPr>
          <w:rFonts w:ascii="Arial" w:hAnsi="Arial" w:cs="Arial"/>
          <w:bCs/>
          <w:sz w:val="22"/>
          <w:szCs w:val="22"/>
          <w:lang w:val="es-ES_tradnl" w:eastAsia="en-US"/>
        </w:rPr>
        <w:t>Por lo tanto, como quiera que el Decreto 1860 del 2021, a través del cual se introdujeron los artículos 2.2.1.2.4.2.14. y 2.2.1.2.4.2.15. al Decreto 1082 del 2015, con el fin de reglamentar la Ley 2069 del 2020 en cuanto a emprendimientos y empresas de mujeres no consagra ninguna disposición en la cual se</w:t>
      </w:r>
      <w:r w:rsidR="00613EF6" w:rsidRPr="008C109C">
        <w:rPr>
          <w:rFonts w:ascii="Arial" w:hAnsi="Arial" w:cs="Arial"/>
          <w:bCs/>
          <w:sz w:val="22"/>
          <w:szCs w:val="22"/>
          <w:lang w:val="es-ES_tradnl" w:eastAsia="en-US"/>
        </w:rPr>
        <w:t xml:space="preserve"> restringa la aplicación de esta figura prevista en la ley para que los proponentes resulten destinatarios de los criterios diferenciales en favor de este tipo de empresas,</w:t>
      </w:r>
      <w:r w:rsidR="00F44A03" w:rsidRPr="008C109C">
        <w:rPr>
          <w:rFonts w:ascii="Arial" w:hAnsi="Arial" w:cs="Arial"/>
          <w:bCs/>
          <w:sz w:val="22"/>
          <w:szCs w:val="22"/>
          <w:lang w:val="es-ES_tradnl" w:eastAsia="en-US"/>
        </w:rPr>
        <w:t xml:space="preserve"> esta Subdirección </w:t>
      </w:r>
      <w:r w:rsidR="00613EF6" w:rsidRPr="008C109C">
        <w:rPr>
          <w:rFonts w:ascii="Arial" w:hAnsi="Arial" w:cs="Arial"/>
          <w:bCs/>
          <w:sz w:val="22"/>
          <w:szCs w:val="22"/>
          <w:lang w:val="es-ES_tradnl" w:eastAsia="en-US"/>
        </w:rPr>
        <w:t xml:space="preserve">considera que </w:t>
      </w:r>
      <w:r w:rsidR="00F44A03" w:rsidRPr="008C109C">
        <w:rPr>
          <w:rFonts w:ascii="Arial" w:hAnsi="Arial" w:cs="Arial"/>
          <w:bCs/>
          <w:sz w:val="22"/>
          <w:szCs w:val="22"/>
          <w:lang w:val="es-ES_tradnl" w:eastAsia="en-US"/>
        </w:rPr>
        <w:t xml:space="preserve">la sustitución de empleadores </w:t>
      </w:r>
      <w:r w:rsidR="00613EF6" w:rsidRPr="008C109C">
        <w:rPr>
          <w:rFonts w:ascii="Arial" w:hAnsi="Arial" w:cs="Arial"/>
          <w:bCs/>
          <w:sz w:val="22"/>
          <w:szCs w:val="22"/>
          <w:lang w:val="es-ES_tradnl" w:eastAsia="en-US"/>
        </w:rPr>
        <w:t>no es un impedimento p</w:t>
      </w:r>
      <w:r w:rsidR="00F44A03" w:rsidRPr="008C109C">
        <w:rPr>
          <w:rFonts w:ascii="Arial" w:hAnsi="Arial" w:cs="Arial"/>
          <w:bCs/>
          <w:sz w:val="22"/>
          <w:szCs w:val="22"/>
          <w:lang w:val="es-ES_tradnl" w:eastAsia="en-US"/>
        </w:rPr>
        <w:t xml:space="preserve">ara que se siga computando el período de antigüedad exigido en </w:t>
      </w:r>
      <w:r w:rsidR="00613EF6" w:rsidRPr="008C109C">
        <w:rPr>
          <w:rFonts w:ascii="Arial" w:hAnsi="Arial" w:cs="Arial"/>
          <w:bCs/>
          <w:sz w:val="22"/>
          <w:szCs w:val="22"/>
          <w:lang w:val="es-ES_tradnl" w:eastAsia="en-US"/>
        </w:rPr>
        <w:t>el numeral 2 del artículo 2.2.1.2.4.2.14. del Decreto 1082 del 201</w:t>
      </w:r>
      <w:r w:rsidR="00D5047D" w:rsidRPr="008C109C">
        <w:rPr>
          <w:rFonts w:ascii="Arial" w:hAnsi="Arial" w:cs="Arial"/>
          <w:bCs/>
          <w:sz w:val="22"/>
          <w:szCs w:val="22"/>
          <w:lang w:val="es-ES_tradnl" w:eastAsia="en-US"/>
        </w:rPr>
        <w:t>5;</w:t>
      </w:r>
      <w:r w:rsidR="00F44A03" w:rsidRPr="008C109C">
        <w:rPr>
          <w:rFonts w:ascii="Arial" w:hAnsi="Arial" w:cs="Arial"/>
          <w:bCs/>
          <w:sz w:val="22"/>
          <w:szCs w:val="22"/>
          <w:lang w:val="es-ES_tradnl" w:eastAsia="en-US"/>
        </w:rPr>
        <w:t xml:space="preserve"> pues el hecho de que opere tal sustitución no modifica por sí solo el contrato de trabajo, es decir</w:t>
      </w:r>
      <w:r w:rsidR="00A1704A" w:rsidRPr="008C109C">
        <w:rPr>
          <w:rFonts w:ascii="Arial" w:hAnsi="Arial" w:cs="Arial"/>
          <w:bCs/>
          <w:sz w:val="22"/>
          <w:szCs w:val="22"/>
          <w:lang w:val="es-ES_tradnl" w:eastAsia="en-US"/>
        </w:rPr>
        <w:t>,</w:t>
      </w:r>
      <w:r w:rsidR="00F44A03" w:rsidRPr="008C109C">
        <w:rPr>
          <w:rFonts w:ascii="Arial" w:hAnsi="Arial" w:cs="Arial"/>
          <w:bCs/>
          <w:sz w:val="22"/>
          <w:szCs w:val="22"/>
          <w:lang w:val="es-ES_tradnl" w:eastAsia="en-US"/>
        </w:rPr>
        <w:t xml:space="preserve"> que se mantiene la misma relación laboral</w:t>
      </w:r>
      <w:r w:rsidR="009B4627" w:rsidRPr="008C109C">
        <w:rPr>
          <w:rStyle w:val="Refdenotaalpie"/>
          <w:rFonts w:ascii="Arial" w:hAnsi="Arial" w:cs="Arial"/>
          <w:bCs/>
          <w:sz w:val="22"/>
          <w:szCs w:val="22"/>
          <w:lang w:val="es-ES_tradnl" w:eastAsia="en-US"/>
        </w:rPr>
        <w:footnoteReference w:id="9"/>
      </w:r>
      <w:r w:rsidR="00F44A03" w:rsidRPr="008C109C">
        <w:rPr>
          <w:rFonts w:ascii="Arial" w:hAnsi="Arial" w:cs="Arial"/>
          <w:bCs/>
          <w:sz w:val="22"/>
          <w:szCs w:val="22"/>
          <w:lang w:val="es-ES_tradnl" w:eastAsia="en-US"/>
        </w:rPr>
        <w:t>. Sin embargo, el oferente</w:t>
      </w:r>
      <w:r w:rsidR="00613EF6" w:rsidRPr="008C109C">
        <w:rPr>
          <w:rFonts w:ascii="Arial" w:hAnsi="Arial" w:cs="Arial"/>
          <w:bCs/>
          <w:sz w:val="22"/>
          <w:szCs w:val="22"/>
          <w:lang w:val="es-ES_tradnl" w:eastAsia="en-US"/>
        </w:rPr>
        <w:t xml:space="preserve"> que pretenda beneficiarse con los criterios diferenciales, que tenga la condición de sociedad absorbente o de nueva compañía fruto de una fusión de sociedades, </w:t>
      </w:r>
      <w:r w:rsidR="00F44A03" w:rsidRPr="008C109C">
        <w:rPr>
          <w:rFonts w:ascii="Arial" w:hAnsi="Arial" w:cs="Arial"/>
          <w:bCs/>
          <w:sz w:val="22"/>
          <w:szCs w:val="22"/>
          <w:lang w:val="es-ES_tradnl" w:eastAsia="en-US"/>
        </w:rPr>
        <w:t>debe conservar el mismo giro ordinario del negocio que existía antes de la sustitución de empleadores</w:t>
      </w:r>
      <w:r w:rsidR="006E6C7D" w:rsidRPr="008C109C">
        <w:rPr>
          <w:rFonts w:ascii="Arial" w:hAnsi="Arial" w:cs="Arial"/>
          <w:bCs/>
          <w:sz w:val="22"/>
          <w:szCs w:val="22"/>
          <w:lang w:val="es-ES_tradnl" w:eastAsia="en-US"/>
        </w:rPr>
        <w:t xml:space="preserve"> y </w:t>
      </w:r>
      <w:r w:rsidR="00B40115" w:rsidRPr="008C109C">
        <w:rPr>
          <w:rFonts w:ascii="Arial" w:hAnsi="Arial" w:cs="Arial"/>
          <w:bCs/>
          <w:sz w:val="22"/>
          <w:szCs w:val="22"/>
          <w:lang w:val="es-ES_tradnl" w:eastAsia="en-US"/>
        </w:rPr>
        <w:t xml:space="preserve">debe existir </w:t>
      </w:r>
      <w:r w:rsidR="006E6C7D" w:rsidRPr="008C109C">
        <w:rPr>
          <w:rFonts w:ascii="Arial" w:hAnsi="Arial" w:cs="Arial"/>
          <w:i/>
          <w:sz w:val="22"/>
          <w:szCs w:val="22"/>
          <w:lang w:val="es-ES_tradnl"/>
        </w:rPr>
        <w:t>continuidad en los servicios que presta la trabajadora</w:t>
      </w:r>
      <w:proofErr w:type="gramStart"/>
      <w:r w:rsidR="00F44A03" w:rsidRPr="008C109C">
        <w:rPr>
          <w:rFonts w:ascii="Arial" w:hAnsi="Arial" w:cs="Arial"/>
          <w:bCs/>
          <w:sz w:val="22"/>
          <w:szCs w:val="22"/>
          <w:lang w:val="es-ES_tradnl" w:eastAsia="en-US"/>
        </w:rPr>
        <w:t xml:space="preserve">, </w:t>
      </w:r>
      <w:r w:rsidR="00A1704A" w:rsidRPr="008C109C">
        <w:rPr>
          <w:rFonts w:ascii="Arial" w:hAnsi="Arial" w:cs="Arial"/>
          <w:bCs/>
          <w:sz w:val="22"/>
          <w:szCs w:val="22"/>
          <w:lang w:val="es-ES_tradnl" w:eastAsia="en-US"/>
        </w:rPr>
        <w:t>,</w:t>
      </w:r>
      <w:proofErr w:type="gramEnd"/>
      <w:r w:rsidR="00A1704A" w:rsidRPr="008C109C">
        <w:rPr>
          <w:rFonts w:ascii="Arial" w:hAnsi="Arial" w:cs="Arial"/>
          <w:bCs/>
          <w:sz w:val="22"/>
          <w:szCs w:val="22"/>
          <w:lang w:val="es-ES_tradnl" w:eastAsia="en-US"/>
        </w:rPr>
        <w:t xml:space="preserve"> sin perjuicio de cumplir los demás requisitos establecidos en el artículo 2.2.1.2.4.2.14. del Decreto 1082 del 2015.</w:t>
      </w:r>
    </w:p>
    <w:p w14:paraId="6AC05009" w14:textId="77777777" w:rsidR="00F44A03" w:rsidRPr="008C109C" w:rsidRDefault="00F44A03" w:rsidP="00F44A03">
      <w:pPr>
        <w:spacing w:after="0"/>
        <w:ind w:firstLine="709"/>
        <w:rPr>
          <w:rFonts w:ascii="Arial" w:hAnsi="Arial" w:cs="Arial"/>
          <w:bCs/>
          <w:sz w:val="22"/>
          <w:szCs w:val="22"/>
          <w:lang w:val="es-ES_tradnl" w:eastAsia="en-US"/>
        </w:rPr>
      </w:pPr>
    </w:p>
    <w:p w14:paraId="765FC8A3" w14:textId="6D3BD368" w:rsidR="004E3780" w:rsidRPr="008C109C" w:rsidRDefault="004347D4" w:rsidP="003C4320">
      <w:pPr>
        <w:tabs>
          <w:tab w:val="left" w:pos="284"/>
          <w:tab w:val="left" w:pos="7938"/>
        </w:tabs>
        <w:spacing w:after="0"/>
        <w:rPr>
          <w:rFonts w:ascii="Arial" w:hAnsi="Arial" w:cs="Arial"/>
          <w:b/>
          <w:sz w:val="22"/>
          <w:szCs w:val="22"/>
          <w:lang w:val="es-CO" w:eastAsia="en-US"/>
        </w:rPr>
      </w:pPr>
      <w:r w:rsidRPr="008C109C">
        <w:rPr>
          <w:rFonts w:ascii="Arial" w:hAnsi="Arial" w:cs="Arial"/>
          <w:b/>
          <w:sz w:val="22"/>
          <w:szCs w:val="22"/>
          <w:lang w:val="es-CO" w:eastAsia="en-US"/>
        </w:rPr>
        <w:t>3. Respuesta</w:t>
      </w:r>
    </w:p>
    <w:p w14:paraId="4E6F5EBE" w14:textId="77777777" w:rsidR="007613A5" w:rsidRPr="008C109C" w:rsidRDefault="00740ADB" w:rsidP="003C4320">
      <w:pPr>
        <w:spacing w:after="0"/>
        <w:rPr>
          <w:rFonts w:ascii="Arial" w:eastAsia="Times New Roman" w:hAnsi="Arial" w:cs="Arial"/>
          <w:sz w:val="22"/>
          <w:szCs w:val="22"/>
          <w:lang w:val="es-CO"/>
        </w:rPr>
      </w:pPr>
      <w:r w:rsidRPr="008C109C">
        <w:rPr>
          <w:rFonts w:ascii="Arial" w:eastAsia="Times New Roman" w:hAnsi="Arial" w:cs="Arial"/>
          <w:sz w:val="22"/>
          <w:szCs w:val="22"/>
          <w:lang w:val="es-CO"/>
        </w:rPr>
        <w:lastRenderedPageBreak/>
        <w:tab/>
      </w:r>
    </w:p>
    <w:p w14:paraId="2DA1ECA2" w14:textId="4BCEF40F" w:rsidR="004347D4" w:rsidRPr="008C109C" w:rsidRDefault="001F58B9" w:rsidP="008C109C">
      <w:pPr>
        <w:spacing w:after="0" w:line="240" w:lineRule="auto"/>
        <w:ind w:left="709" w:right="709"/>
        <w:rPr>
          <w:rFonts w:ascii="Arial" w:hAnsi="Arial" w:cs="Arial"/>
          <w:bCs/>
          <w:color w:val="000000"/>
          <w:sz w:val="21"/>
          <w:szCs w:val="21"/>
          <w:lang w:val="es-CO" w:eastAsia="en-US"/>
        </w:rPr>
      </w:pPr>
      <w:r w:rsidRPr="008C109C">
        <w:rPr>
          <w:rFonts w:ascii="Arial" w:hAnsi="Arial" w:cs="Arial"/>
          <w:bCs/>
          <w:color w:val="000000"/>
          <w:sz w:val="21"/>
          <w:szCs w:val="21"/>
          <w:lang w:val="es-CO" w:eastAsia="en-US"/>
        </w:rPr>
        <w:t xml:space="preserve">[…] </w:t>
      </w:r>
      <w:r w:rsidR="004347D4" w:rsidRPr="008C109C">
        <w:rPr>
          <w:rFonts w:ascii="Arial" w:hAnsi="Arial" w:cs="Arial"/>
          <w:bCs/>
          <w:color w:val="000000"/>
          <w:sz w:val="21"/>
          <w:szCs w:val="21"/>
          <w:lang w:val="es-CO" w:eastAsia="en-US"/>
        </w:rPr>
        <w:t xml:space="preserve">En caso de que: a) Dos (o más) empresas realicen una FUSION EMPRESARIAL, y b) Una de estas empresas tenga trabajadoras con más de un año de antigüedad en la nómina, ¿Estas trabajadoras conservan la antigüedad de su contrato laboral y pueden presentarse por la empresa ya fusionada para dar cumplimiento al requisito exigido en el numeral 2 del artículo 2.2.1.2.4.2.14 del Decreto 1082 de 2015?» </w:t>
      </w:r>
    </w:p>
    <w:p w14:paraId="37FFDB91" w14:textId="77777777" w:rsidR="004347D4" w:rsidRPr="008C109C" w:rsidRDefault="004347D4" w:rsidP="004347D4">
      <w:pPr>
        <w:spacing w:after="0"/>
        <w:ind w:left="709"/>
        <w:rPr>
          <w:rFonts w:ascii="Arial" w:eastAsia="Arial" w:hAnsi="Arial" w:cs="Arial"/>
          <w:bCs/>
          <w:color w:val="000000"/>
          <w:sz w:val="21"/>
          <w:szCs w:val="21"/>
          <w:lang w:val="es-ES_tradnl"/>
        </w:rPr>
      </w:pPr>
    </w:p>
    <w:p w14:paraId="5C58DC66" w14:textId="5CFD1186" w:rsidR="000D73A1" w:rsidRPr="008C109C" w:rsidRDefault="00803F2A" w:rsidP="008C109C">
      <w:pPr>
        <w:tabs>
          <w:tab w:val="left" w:pos="284"/>
        </w:tabs>
        <w:spacing w:after="120"/>
        <w:rPr>
          <w:rFonts w:ascii="Arial" w:eastAsia="Arial" w:hAnsi="Arial" w:cs="Arial"/>
          <w:bCs/>
          <w:color w:val="000000"/>
          <w:sz w:val="22"/>
          <w:szCs w:val="22"/>
          <w:lang w:val="es-CO"/>
        </w:rPr>
      </w:pPr>
      <w:r w:rsidRPr="008C109C">
        <w:rPr>
          <w:rFonts w:ascii="Arial" w:eastAsia="Arial" w:hAnsi="Arial" w:cs="Arial"/>
          <w:bCs/>
          <w:color w:val="000000"/>
          <w:sz w:val="22"/>
          <w:szCs w:val="22"/>
        </w:rPr>
        <w:t>Como se señaló en las consideraciones de este concepto, c</w:t>
      </w:r>
      <w:r w:rsidR="000D73A1" w:rsidRPr="008C109C">
        <w:rPr>
          <w:rFonts w:ascii="Arial" w:eastAsia="Arial" w:hAnsi="Arial" w:cs="Arial"/>
          <w:bCs/>
          <w:color w:val="000000"/>
          <w:sz w:val="22"/>
          <w:szCs w:val="22"/>
        </w:rPr>
        <w:t xml:space="preserve">onforme a la regulación del Código de Comercio –artículos 162 y 172 y siguientes-, cuando se produce una fusión de sociedades la sociedad absorbente o la nueva compañía resultante de la fusión </w:t>
      </w:r>
      <w:r w:rsidR="000D73A1" w:rsidRPr="008C109C">
        <w:rPr>
          <w:rFonts w:ascii="Arial" w:eastAsia="Arial" w:hAnsi="Arial" w:cs="Arial"/>
          <w:bCs/>
          <w:color w:val="000000"/>
          <w:sz w:val="22"/>
          <w:szCs w:val="22"/>
          <w:lang w:val="es-CO"/>
        </w:rPr>
        <w:t>adquirirá los derechos y obligaciones de la sociedad o sociedades disueltas al formalizarse el acuerdo de fusión, entre éstas las obligaciones laborales</w:t>
      </w:r>
      <w:r w:rsidRPr="008C109C">
        <w:rPr>
          <w:rFonts w:ascii="Arial" w:eastAsia="Arial" w:hAnsi="Arial" w:cs="Arial"/>
          <w:bCs/>
          <w:color w:val="000000"/>
          <w:sz w:val="22"/>
          <w:szCs w:val="22"/>
          <w:lang w:val="es-CO"/>
        </w:rPr>
        <w:t>.</w:t>
      </w:r>
    </w:p>
    <w:p w14:paraId="1725FD5A" w14:textId="60BECB3C" w:rsidR="00B96D87" w:rsidRPr="008C109C" w:rsidRDefault="000D73A1" w:rsidP="00141832">
      <w:pPr>
        <w:tabs>
          <w:tab w:val="left" w:pos="284"/>
        </w:tabs>
        <w:spacing w:after="0"/>
        <w:rPr>
          <w:rFonts w:ascii="Arial" w:eastAsia="Arial" w:hAnsi="Arial" w:cs="Arial"/>
          <w:bCs/>
          <w:color w:val="000000"/>
          <w:sz w:val="22"/>
          <w:szCs w:val="22"/>
          <w:lang w:val="es-ES_tradnl"/>
        </w:rPr>
      </w:pPr>
      <w:r w:rsidRPr="008C109C">
        <w:rPr>
          <w:rFonts w:ascii="Arial" w:eastAsia="Arial" w:hAnsi="Arial" w:cs="Arial"/>
          <w:bCs/>
          <w:color w:val="000000"/>
          <w:sz w:val="22"/>
          <w:szCs w:val="22"/>
          <w:lang w:val="es-CO"/>
        </w:rPr>
        <w:t>Por lo tanto, el proceso de fusión no termina los contratos de trabajo de ninguna de las sociedades que participen en éste, ni modifica sus condiciones. En esas condiciones, cuando ocurre una fusión de sociedades se produce la figura de la sustitución de empleador</w:t>
      </w:r>
      <w:r w:rsidR="00EB44B2" w:rsidRPr="008C109C">
        <w:rPr>
          <w:rFonts w:ascii="Arial" w:eastAsia="Arial" w:hAnsi="Arial" w:cs="Arial"/>
          <w:bCs/>
          <w:color w:val="000000"/>
          <w:sz w:val="22"/>
          <w:szCs w:val="22"/>
          <w:lang w:val="es-CO"/>
        </w:rPr>
        <w:t>.</w:t>
      </w:r>
      <w:r w:rsidRPr="008C109C">
        <w:rPr>
          <w:rFonts w:ascii="Arial" w:eastAsia="Arial" w:hAnsi="Arial" w:cs="Arial"/>
          <w:bCs/>
          <w:color w:val="000000"/>
          <w:sz w:val="22"/>
          <w:szCs w:val="22"/>
          <w:lang w:val="es-CO"/>
        </w:rPr>
        <w:t xml:space="preserve"> Así las cosas, en tanto se tra</w:t>
      </w:r>
      <w:r w:rsidR="00141832" w:rsidRPr="008C109C">
        <w:rPr>
          <w:rFonts w:ascii="Arial" w:eastAsia="Arial" w:hAnsi="Arial" w:cs="Arial"/>
          <w:bCs/>
          <w:color w:val="000000"/>
          <w:sz w:val="22"/>
          <w:szCs w:val="22"/>
          <w:lang w:val="es-CO"/>
        </w:rPr>
        <w:t>t</w:t>
      </w:r>
      <w:r w:rsidRPr="008C109C">
        <w:rPr>
          <w:rFonts w:ascii="Arial" w:eastAsia="Arial" w:hAnsi="Arial" w:cs="Arial"/>
          <w:bCs/>
          <w:color w:val="000000"/>
          <w:sz w:val="22"/>
          <w:szCs w:val="22"/>
          <w:lang w:val="es-CO"/>
        </w:rPr>
        <w:t>a de materias reguladas por la ley y dado que, para el acceso a los criterios diferenciales consagrados en favor de emprendimientos y empresas de mujeres</w:t>
      </w:r>
      <w:r w:rsidR="00141832" w:rsidRPr="008C109C">
        <w:rPr>
          <w:rFonts w:ascii="Arial" w:eastAsia="Arial" w:hAnsi="Arial" w:cs="Arial"/>
          <w:bCs/>
          <w:color w:val="000000"/>
          <w:sz w:val="22"/>
          <w:szCs w:val="22"/>
          <w:lang w:val="es-CO"/>
        </w:rPr>
        <w:t>,</w:t>
      </w:r>
      <w:r w:rsidRPr="008C109C">
        <w:rPr>
          <w:rFonts w:ascii="Arial" w:eastAsia="Arial" w:hAnsi="Arial" w:cs="Arial"/>
          <w:bCs/>
          <w:color w:val="000000"/>
          <w:sz w:val="22"/>
          <w:szCs w:val="22"/>
          <w:lang w:val="es-CO"/>
        </w:rPr>
        <w:t xml:space="preserve"> no se consagró ninguna regla especial sobre el particular, se debe entender que los contratos de trabajo celebrados </w:t>
      </w:r>
      <w:r w:rsidR="00803F2A" w:rsidRPr="008C109C">
        <w:rPr>
          <w:rFonts w:ascii="Arial" w:eastAsia="Arial" w:hAnsi="Arial" w:cs="Arial"/>
          <w:bCs/>
          <w:color w:val="000000"/>
          <w:sz w:val="22"/>
          <w:szCs w:val="22"/>
          <w:lang w:val="es-CO"/>
        </w:rPr>
        <w:t xml:space="preserve">por </w:t>
      </w:r>
      <w:r w:rsidRPr="008C109C">
        <w:rPr>
          <w:rFonts w:ascii="Arial" w:eastAsia="Arial" w:hAnsi="Arial" w:cs="Arial"/>
          <w:bCs/>
          <w:color w:val="000000"/>
          <w:sz w:val="22"/>
          <w:szCs w:val="22"/>
          <w:lang w:val="es-CO"/>
        </w:rPr>
        <w:t>una empresa que luego se fusiona</w:t>
      </w:r>
      <w:r w:rsidR="00141832" w:rsidRPr="008C109C">
        <w:rPr>
          <w:rFonts w:ascii="Arial" w:eastAsia="Arial" w:hAnsi="Arial" w:cs="Arial"/>
          <w:bCs/>
          <w:color w:val="000000"/>
          <w:sz w:val="22"/>
          <w:szCs w:val="22"/>
          <w:lang w:val="es-CO"/>
        </w:rPr>
        <w:t xml:space="preserve"> no se terminan ni modifican con ocasión de la fusión, por lo cual la antigüedad exigida en el numeral 2 del artículo 2.2.1.2.4.2.14. del Decreto 1082 del 2015 no se ve afectada por la ocurrencia de esta modificación a la sociedad empleadora original</w:t>
      </w:r>
      <w:r w:rsidR="00B969B3" w:rsidRPr="008C109C">
        <w:rPr>
          <w:rFonts w:ascii="Arial" w:eastAsia="Arial" w:hAnsi="Arial" w:cs="Arial"/>
          <w:bCs/>
          <w:color w:val="000000"/>
          <w:sz w:val="22"/>
          <w:szCs w:val="22"/>
          <w:lang w:val="es-CO"/>
        </w:rPr>
        <w:t>;</w:t>
      </w:r>
      <w:r w:rsidR="00141832" w:rsidRPr="008C109C">
        <w:rPr>
          <w:rFonts w:ascii="Arial" w:eastAsia="Arial" w:hAnsi="Arial" w:cs="Arial"/>
          <w:bCs/>
          <w:color w:val="000000"/>
          <w:sz w:val="22"/>
          <w:szCs w:val="22"/>
          <w:lang w:val="es-CO"/>
        </w:rPr>
        <w:t xml:space="preserve"> sino que, respecto de los mismos opera la figura de la sustitución del empleador, en los términos </w:t>
      </w:r>
      <w:r w:rsidR="00803F2A" w:rsidRPr="008C109C">
        <w:rPr>
          <w:rFonts w:ascii="Arial" w:eastAsia="Arial" w:hAnsi="Arial" w:cs="Arial"/>
          <w:bCs/>
          <w:color w:val="000000"/>
          <w:sz w:val="22"/>
          <w:szCs w:val="22"/>
          <w:lang w:val="es-CO"/>
        </w:rPr>
        <w:t>explicados</w:t>
      </w:r>
      <w:r w:rsidR="00141832" w:rsidRPr="008C109C">
        <w:rPr>
          <w:rFonts w:ascii="Arial" w:eastAsia="Arial" w:hAnsi="Arial" w:cs="Arial"/>
          <w:bCs/>
          <w:color w:val="000000"/>
          <w:sz w:val="22"/>
          <w:szCs w:val="22"/>
          <w:lang w:val="es-CO"/>
        </w:rPr>
        <w:t>.</w:t>
      </w:r>
    </w:p>
    <w:p w14:paraId="7CD744E4" w14:textId="77777777" w:rsidR="00511475" w:rsidRPr="008C109C" w:rsidRDefault="00511475" w:rsidP="003C4320">
      <w:pPr>
        <w:tabs>
          <w:tab w:val="left" w:pos="284"/>
        </w:tabs>
        <w:spacing w:after="0"/>
        <w:rPr>
          <w:rFonts w:ascii="Arial" w:eastAsia="Arial" w:hAnsi="Arial" w:cs="Arial"/>
          <w:color w:val="000000"/>
          <w:sz w:val="22"/>
          <w:szCs w:val="22"/>
        </w:rPr>
      </w:pPr>
    </w:p>
    <w:p w14:paraId="5940804E" w14:textId="77777777" w:rsidR="007E715A" w:rsidRPr="008C109C" w:rsidRDefault="007E715A" w:rsidP="007E715A">
      <w:pPr>
        <w:spacing w:after="120"/>
        <w:rPr>
          <w:rFonts w:ascii="Arial" w:eastAsia="Times New Roman" w:hAnsi="Arial" w:cs="Arial"/>
          <w:sz w:val="22"/>
          <w:szCs w:val="22"/>
          <w:lang w:val="es-ES_tradnl"/>
        </w:rPr>
      </w:pPr>
      <w:bookmarkStart w:id="2" w:name="_2grqrue" w:colFirst="0" w:colLast="0"/>
      <w:bookmarkEnd w:id="2"/>
      <w:r w:rsidRPr="008C109C">
        <w:rPr>
          <w:rFonts w:ascii="Arial" w:eastAsia="Times New Roman" w:hAnsi="Arial" w:cs="Arial"/>
          <w:sz w:val="22"/>
          <w:szCs w:val="22"/>
          <w:lang w:val="es-ES_tradnl"/>
        </w:rPr>
        <w:t>Este concepto tiene el alcance previsto en el artículo 28 del Código de Procedimiento Administrativo y de lo Contencioso Administrativo.</w:t>
      </w:r>
    </w:p>
    <w:p w14:paraId="1A8715B7" w14:textId="77777777" w:rsidR="007E715A" w:rsidRPr="008C109C" w:rsidRDefault="007E715A" w:rsidP="007E715A">
      <w:pPr>
        <w:spacing w:after="0"/>
        <w:jc w:val="left"/>
        <w:rPr>
          <w:rFonts w:ascii="Arial" w:eastAsia="Times New Roman" w:hAnsi="Arial" w:cs="Arial"/>
          <w:sz w:val="22"/>
          <w:szCs w:val="22"/>
          <w:lang w:val="es-CO" w:eastAsia="es-CO"/>
        </w:rPr>
      </w:pPr>
    </w:p>
    <w:p w14:paraId="4B58DE1A" w14:textId="77777777" w:rsidR="007E715A" w:rsidRPr="008C109C" w:rsidRDefault="007E715A" w:rsidP="007E715A">
      <w:pPr>
        <w:spacing w:after="0"/>
        <w:jc w:val="left"/>
        <w:rPr>
          <w:rFonts w:ascii="Arial" w:eastAsia="Times New Roman" w:hAnsi="Arial" w:cs="Arial"/>
          <w:sz w:val="22"/>
          <w:szCs w:val="22"/>
          <w:lang w:val="es-CO"/>
        </w:rPr>
      </w:pPr>
      <w:r w:rsidRPr="008C109C">
        <w:rPr>
          <w:rFonts w:ascii="Arial" w:eastAsia="Times New Roman" w:hAnsi="Arial" w:cs="Arial"/>
          <w:sz w:val="22"/>
          <w:szCs w:val="22"/>
          <w:lang w:val="es-CO" w:eastAsia="es-CO"/>
        </w:rPr>
        <w:t>Atentamente,</w:t>
      </w:r>
    </w:p>
    <w:p w14:paraId="2E8D4743" w14:textId="7A038978" w:rsidR="007E715A" w:rsidRDefault="007E715A" w:rsidP="00AB4A6B">
      <w:pPr>
        <w:spacing w:after="0" w:line="240" w:lineRule="auto"/>
        <w:rPr>
          <w:rFonts w:ascii="Times New Roman" w:eastAsia="Times New Roman" w:hAnsi="Times New Roman" w:cs="Times New Roman"/>
          <w:lang w:val="es-CO" w:eastAsia="es-MX"/>
        </w:rPr>
      </w:pPr>
    </w:p>
    <w:p w14:paraId="74BDAC56" w14:textId="2CD38BE2" w:rsidR="00AB4A6B" w:rsidRDefault="00AB4A6B" w:rsidP="007E715A">
      <w:pPr>
        <w:spacing w:after="0" w:line="240" w:lineRule="auto"/>
        <w:jc w:val="center"/>
        <w:rPr>
          <w:rFonts w:ascii="Times New Roman" w:eastAsia="Times New Roman" w:hAnsi="Times New Roman" w:cs="Times New Roman"/>
          <w:lang w:val="es-CO" w:eastAsia="es-MX"/>
        </w:rPr>
      </w:pPr>
    </w:p>
    <w:p w14:paraId="4AAA27CE" w14:textId="7CC5E758" w:rsidR="00AB4A6B" w:rsidRPr="008C109C" w:rsidRDefault="00AB4A6B" w:rsidP="007E715A">
      <w:pPr>
        <w:spacing w:after="0" w:line="240" w:lineRule="auto"/>
        <w:jc w:val="center"/>
        <w:rPr>
          <w:rFonts w:ascii="Times New Roman" w:eastAsia="Times New Roman" w:hAnsi="Times New Roman" w:cs="Times New Roman"/>
          <w:lang w:val="es-CO" w:eastAsia="es-MX"/>
        </w:rPr>
      </w:pPr>
      <w:r w:rsidRPr="00CC022D">
        <w:rPr>
          <w:rFonts w:ascii="Times New Roman" w:eastAsia="Times New Roman" w:hAnsi="Times New Roman" w:cs="Times New Roman"/>
          <w:noProof/>
          <w:lang w:val="es-CO" w:eastAsia="es-MX"/>
        </w:rPr>
        <w:drawing>
          <wp:inline distT="0" distB="0" distL="0" distR="0" wp14:anchorId="4F490F2F" wp14:editId="40D84D6C">
            <wp:extent cx="3115945" cy="12153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945" cy="1215390"/>
                    </a:xfrm>
                    <a:prstGeom prst="rect">
                      <a:avLst/>
                    </a:prstGeom>
                    <a:noFill/>
                    <a:ln>
                      <a:noFill/>
                    </a:ln>
                  </pic:spPr>
                </pic:pic>
              </a:graphicData>
            </a:graphic>
          </wp:inline>
        </w:drawing>
      </w:r>
    </w:p>
    <w:p w14:paraId="7CF3AC41" w14:textId="77777777" w:rsidR="007E715A" w:rsidRPr="008C109C" w:rsidRDefault="007E715A" w:rsidP="007E715A">
      <w:pPr>
        <w:spacing w:after="0"/>
        <w:rPr>
          <w:rFonts w:ascii="Arial" w:eastAsia="Times New Roman" w:hAnsi="Arial" w:cs="Arial"/>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715A" w:rsidRPr="008C109C" w14:paraId="67476FC0" w14:textId="77777777" w:rsidTr="007E715A">
        <w:trPr>
          <w:trHeight w:val="315"/>
        </w:trPr>
        <w:tc>
          <w:tcPr>
            <w:tcW w:w="812" w:type="dxa"/>
            <w:vAlign w:val="center"/>
            <w:hideMark/>
          </w:tcPr>
          <w:p w14:paraId="2B242E6E" w14:textId="77777777" w:rsidR="007E715A" w:rsidRPr="008C109C" w:rsidRDefault="007E715A" w:rsidP="007E715A">
            <w:pPr>
              <w:rPr>
                <w:rFonts w:ascii="Arial" w:eastAsia="Times New Roman" w:hAnsi="Arial" w:cs="Arial"/>
                <w:sz w:val="16"/>
                <w:szCs w:val="16"/>
                <w:lang w:val="es-ES_tradnl" w:eastAsia="es-ES"/>
              </w:rPr>
            </w:pPr>
            <w:r w:rsidRPr="008C109C">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2615EC55" w14:textId="77777777" w:rsidR="007E715A" w:rsidRPr="008C109C" w:rsidRDefault="007E715A" w:rsidP="007E715A">
            <w:pPr>
              <w:rPr>
                <w:rFonts w:ascii="Arial" w:eastAsia="Times New Roman" w:hAnsi="Arial" w:cs="Arial"/>
                <w:sz w:val="16"/>
                <w:szCs w:val="16"/>
                <w:lang w:val="es-ES_tradnl" w:eastAsia="es-ES"/>
              </w:rPr>
            </w:pPr>
            <w:r w:rsidRPr="008C109C">
              <w:rPr>
                <w:rFonts w:ascii="Arial" w:eastAsia="Times New Roman" w:hAnsi="Arial" w:cs="Arial"/>
                <w:sz w:val="16"/>
                <w:szCs w:val="16"/>
                <w:lang w:val="es-ES_tradnl" w:eastAsia="es-ES"/>
              </w:rPr>
              <w:t xml:space="preserve">Álvaro </w:t>
            </w:r>
            <w:proofErr w:type="spellStart"/>
            <w:r w:rsidRPr="008C109C">
              <w:rPr>
                <w:rFonts w:ascii="Arial" w:eastAsia="Times New Roman" w:hAnsi="Arial" w:cs="Arial"/>
                <w:sz w:val="16"/>
                <w:szCs w:val="16"/>
                <w:lang w:val="es-ES_tradnl" w:eastAsia="es-ES"/>
              </w:rPr>
              <w:t>Namén</w:t>
            </w:r>
            <w:proofErr w:type="spellEnd"/>
            <w:r w:rsidRPr="008C109C">
              <w:rPr>
                <w:rFonts w:ascii="Arial" w:eastAsia="Times New Roman" w:hAnsi="Arial" w:cs="Arial"/>
                <w:sz w:val="16"/>
                <w:szCs w:val="16"/>
                <w:lang w:val="es-ES_tradnl" w:eastAsia="es-ES"/>
              </w:rPr>
              <w:t xml:space="preserve"> Vargas </w:t>
            </w:r>
          </w:p>
          <w:p w14:paraId="32183F76" w14:textId="77777777" w:rsidR="007E715A" w:rsidRPr="008C109C" w:rsidRDefault="007E715A" w:rsidP="007E715A">
            <w:pPr>
              <w:rPr>
                <w:rFonts w:ascii="Arial" w:eastAsia="Times New Roman" w:hAnsi="Arial" w:cs="Arial"/>
                <w:sz w:val="16"/>
                <w:szCs w:val="16"/>
                <w:lang w:val="es-ES_tradnl" w:eastAsia="es-ES"/>
              </w:rPr>
            </w:pPr>
            <w:r w:rsidRPr="008C109C">
              <w:rPr>
                <w:rFonts w:ascii="Arial" w:eastAsia="Times New Roman" w:hAnsi="Arial" w:cs="Arial"/>
                <w:sz w:val="16"/>
                <w:szCs w:val="16"/>
                <w:lang w:val="es-ES_tradnl" w:eastAsia="es-ES"/>
              </w:rPr>
              <w:t>Contratista de la Subdirección de Gestión Contractual</w:t>
            </w:r>
          </w:p>
        </w:tc>
      </w:tr>
      <w:tr w:rsidR="007E715A" w:rsidRPr="008C109C" w14:paraId="5D067E64" w14:textId="77777777" w:rsidTr="007E715A">
        <w:trPr>
          <w:trHeight w:val="330"/>
        </w:trPr>
        <w:tc>
          <w:tcPr>
            <w:tcW w:w="812" w:type="dxa"/>
            <w:vAlign w:val="center"/>
            <w:hideMark/>
          </w:tcPr>
          <w:p w14:paraId="3A970971" w14:textId="77777777" w:rsidR="007E715A" w:rsidRPr="008C109C" w:rsidRDefault="007E715A" w:rsidP="007E715A">
            <w:pPr>
              <w:rPr>
                <w:rFonts w:ascii="Arial" w:eastAsia="Times New Roman" w:hAnsi="Arial" w:cs="Arial"/>
                <w:sz w:val="16"/>
                <w:szCs w:val="16"/>
                <w:lang w:val="es-ES_tradnl" w:eastAsia="es-ES"/>
              </w:rPr>
            </w:pPr>
            <w:r w:rsidRPr="008C109C">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F521515" w14:textId="77777777" w:rsidR="007E715A" w:rsidRPr="008C109C" w:rsidRDefault="007E715A" w:rsidP="007E715A">
            <w:pPr>
              <w:rPr>
                <w:rFonts w:ascii="Times New Roman" w:eastAsia="Times New Roman" w:hAnsi="Times New Roman"/>
              </w:rPr>
            </w:pPr>
            <w:r w:rsidRPr="008C109C">
              <w:rPr>
                <w:rFonts w:ascii="Arial" w:eastAsia="Arial" w:hAnsi="Arial" w:cs="Arial"/>
                <w:color w:val="000000"/>
                <w:sz w:val="16"/>
                <w:szCs w:val="16"/>
              </w:rPr>
              <w:t>Sebastián Ramírez Grisales</w:t>
            </w:r>
          </w:p>
          <w:p w14:paraId="1AFFA916" w14:textId="77777777" w:rsidR="007E715A" w:rsidRPr="008C109C" w:rsidRDefault="007E715A" w:rsidP="007E715A">
            <w:pPr>
              <w:rPr>
                <w:rFonts w:ascii="Arial" w:eastAsia="Times New Roman" w:hAnsi="Arial" w:cs="Arial"/>
                <w:sz w:val="16"/>
                <w:szCs w:val="16"/>
                <w:lang w:val="es-ES_tradnl" w:eastAsia="es-ES"/>
              </w:rPr>
            </w:pPr>
            <w:r w:rsidRPr="008C109C">
              <w:rPr>
                <w:rFonts w:ascii="Arial" w:eastAsia="Arial" w:hAnsi="Arial" w:cs="Arial"/>
                <w:color w:val="000000"/>
                <w:sz w:val="16"/>
                <w:szCs w:val="16"/>
              </w:rPr>
              <w:t>Contratista de la Subdirección de Gestión Contractual</w:t>
            </w:r>
          </w:p>
        </w:tc>
      </w:tr>
      <w:tr w:rsidR="007E715A" w:rsidRPr="007E715A" w14:paraId="255BB27E" w14:textId="77777777" w:rsidTr="007E715A">
        <w:trPr>
          <w:trHeight w:val="300"/>
        </w:trPr>
        <w:tc>
          <w:tcPr>
            <w:tcW w:w="812" w:type="dxa"/>
            <w:vAlign w:val="center"/>
            <w:hideMark/>
          </w:tcPr>
          <w:p w14:paraId="5D2BB484" w14:textId="77777777" w:rsidR="007E715A" w:rsidRPr="008C109C" w:rsidRDefault="007E715A" w:rsidP="007E715A">
            <w:pPr>
              <w:rPr>
                <w:rFonts w:ascii="Arial" w:eastAsia="Times New Roman" w:hAnsi="Arial" w:cs="Arial"/>
                <w:sz w:val="16"/>
                <w:szCs w:val="16"/>
                <w:lang w:val="es-ES_tradnl" w:eastAsia="es-ES"/>
              </w:rPr>
            </w:pPr>
            <w:r w:rsidRPr="008C109C">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0B92542" w14:textId="77777777" w:rsidR="007E715A" w:rsidRPr="008C109C" w:rsidRDefault="007E715A" w:rsidP="007E715A">
            <w:pPr>
              <w:rPr>
                <w:rFonts w:ascii="Times New Roman" w:eastAsia="Times New Roman" w:hAnsi="Times New Roman"/>
              </w:rPr>
            </w:pPr>
            <w:r w:rsidRPr="008C109C">
              <w:rPr>
                <w:rFonts w:ascii="Arial" w:eastAsia="Arial" w:hAnsi="Arial" w:cs="Arial"/>
                <w:color w:val="000000"/>
                <w:sz w:val="16"/>
                <w:szCs w:val="16"/>
              </w:rPr>
              <w:t>Juan David Marín López</w:t>
            </w:r>
          </w:p>
          <w:p w14:paraId="09D7581B" w14:textId="77777777" w:rsidR="007E715A" w:rsidRPr="007E715A" w:rsidRDefault="007E715A" w:rsidP="007E715A">
            <w:pPr>
              <w:rPr>
                <w:rFonts w:ascii="Arial" w:eastAsia="Times New Roman" w:hAnsi="Arial" w:cs="Arial"/>
                <w:sz w:val="16"/>
                <w:szCs w:val="16"/>
                <w:lang w:val="es-ES_tradnl" w:eastAsia="es-ES"/>
              </w:rPr>
            </w:pPr>
            <w:r w:rsidRPr="008C109C">
              <w:rPr>
                <w:rFonts w:ascii="Arial" w:eastAsia="Arial" w:hAnsi="Arial" w:cs="Arial"/>
                <w:color w:val="000000"/>
                <w:sz w:val="16"/>
                <w:szCs w:val="16"/>
              </w:rPr>
              <w:t>Subdirector de Gestión Contractual (E)</w:t>
            </w:r>
          </w:p>
        </w:tc>
      </w:tr>
    </w:tbl>
    <w:p w14:paraId="49DB4578" w14:textId="77777777" w:rsidR="007E715A" w:rsidRPr="007E715A" w:rsidRDefault="007E715A" w:rsidP="007E715A">
      <w:pPr>
        <w:spacing w:after="0" w:line="240" w:lineRule="auto"/>
        <w:jc w:val="left"/>
        <w:rPr>
          <w:rFonts w:ascii="Arial" w:eastAsia="Arial" w:hAnsi="Arial" w:cs="Arial"/>
          <w:b/>
          <w:color w:val="000000"/>
          <w:sz w:val="20"/>
          <w:szCs w:val="20"/>
          <w:lang w:val="es-CO"/>
        </w:rPr>
      </w:pPr>
    </w:p>
    <w:p w14:paraId="382C132A" w14:textId="77777777" w:rsidR="003C4320" w:rsidRPr="007E715A" w:rsidRDefault="003C4320" w:rsidP="007E715A">
      <w:pPr>
        <w:spacing w:after="0"/>
        <w:rPr>
          <w:rFonts w:ascii="Arial" w:eastAsia="Arial" w:hAnsi="Arial" w:cs="Arial"/>
          <w:b/>
          <w:color w:val="000000"/>
          <w:sz w:val="20"/>
          <w:szCs w:val="20"/>
          <w:lang w:val="es-CO"/>
        </w:rPr>
      </w:pPr>
    </w:p>
    <w:sectPr w:rsidR="003C4320" w:rsidRPr="007E715A">
      <w:headerReference w:type="default" r:id="rId12"/>
      <w:footerReference w:type="default" r:id="rId13"/>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705C" w14:textId="77777777" w:rsidR="000E4344" w:rsidRDefault="000E4344">
      <w:pPr>
        <w:spacing w:after="0" w:line="240" w:lineRule="auto"/>
      </w:pPr>
      <w:r>
        <w:separator/>
      </w:r>
    </w:p>
  </w:endnote>
  <w:endnote w:type="continuationSeparator" w:id="0">
    <w:p w14:paraId="4427F24A" w14:textId="77777777" w:rsidR="000E4344" w:rsidRDefault="000E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68D" w14:textId="77777777" w:rsidR="00613EF6" w:rsidRDefault="00613EF6">
    <w:pPr>
      <w:pBdr>
        <w:top w:val="nil"/>
        <w:left w:val="nil"/>
        <w:bottom w:val="nil"/>
        <w:right w:val="nil"/>
        <w:between w:val="nil"/>
      </w:pBdr>
      <w:spacing w:after="0" w:line="240" w:lineRule="auto"/>
      <w:rPr>
        <w:rFonts w:ascii="Arial" w:eastAsia="Arial" w:hAnsi="Arial" w:cs="Arial"/>
        <w:color w:val="000000"/>
        <w:sz w:val="18"/>
        <w:szCs w:val="18"/>
      </w:rPr>
    </w:pPr>
  </w:p>
  <w:p w14:paraId="306BC5E2" w14:textId="61665FB0" w:rsidR="00613EF6" w:rsidRDefault="00613EF6">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D777F7">
      <w:rPr>
        <w:rFonts w:ascii="Arial" w:eastAsia="Arial" w:hAnsi="Arial" w:cs="Arial"/>
        <w:b/>
        <w:noProof/>
        <w:color w:val="7F7F7F"/>
        <w:sz w:val="16"/>
        <w:szCs w:val="16"/>
      </w:rPr>
      <w:t>3</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D777F7">
      <w:rPr>
        <w:rFonts w:ascii="Arial" w:eastAsia="Arial" w:hAnsi="Arial" w:cs="Arial"/>
        <w:b/>
        <w:noProof/>
        <w:color w:val="7F7F7F"/>
        <w:sz w:val="16"/>
        <w:szCs w:val="16"/>
      </w:rPr>
      <w:t>13</w:t>
    </w:r>
    <w:r>
      <w:rPr>
        <w:rFonts w:ascii="Arial" w:eastAsia="Arial" w:hAnsi="Arial" w:cs="Arial"/>
        <w:b/>
        <w:color w:val="7F7F7F"/>
        <w:sz w:val="16"/>
        <w:szCs w:val="16"/>
      </w:rPr>
      <w:fldChar w:fldCharType="end"/>
    </w:r>
  </w:p>
  <w:p w14:paraId="31932D98" w14:textId="77777777" w:rsidR="00613EF6" w:rsidRDefault="00613EF6">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2317FF68" wp14:editId="6AADFB3E">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48E66C" w14:textId="77777777" w:rsidR="00613EF6" w:rsidRDefault="00613EF6">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E8AB" w14:textId="77777777" w:rsidR="000E4344" w:rsidRDefault="000E4344">
      <w:pPr>
        <w:spacing w:after="0" w:line="240" w:lineRule="auto"/>
      </w:pPr>
      <w:r>
        <w:separator/>
      </w:r>
    </w:p>
  </w:footnote>
  <w:footnote w:type="continuationSeparator" w:id="0">
    <w:p w14:paraId="6C13CF24" w14:textId="77777777" w:rsidR="000E4344" w:rsidRDefault="000E4344">
      <w:pPr>
        <w:spacing w:after="0" w:line="240" w:lineRule="auto"/>
      </w:pPr>
      <w:r>
        <w:continuationSeparator/>
      </w:r>
    </w:p>
  </w:footnote>
  <w:footnote w:id="1">
    <w:p w14:paraId="63BEEA3F" w14:textId="77777777" w:rsidR="00613EF6" w:rsidRPr="00EB44B2" w:rsidRDefault="00613EF6" w:rsidP="00EB44B2">
      <w:pPr>
        <w:pBdr>
          <w:top w:val="nil"/>
          <w:left w:val="nil"/>
          <w:bottom w:val="nil"/>
          <w:right w:val="nil"/>
          <w:between w:val="nil"/>
        </w:pBdr>
        <w:spacing w:after="0" w:line="240" w:lineRule="auto"/>
        <w:ind w:firstLine="709"/>
        <w:rPr>
          <w:rFonts w:ascii="Arial" w:eastAsia="Arial" w:hAnsi="Arial" w:cs="Arial"/>
          <w:color w:val="000000"/>
          <w:sz w:val="19"/>
          <w:szCs w:val="19"/>
        </w:rPr>
      </w:pPr>
      <w:r w:rsidRPr="00EB44B2">
        <w:rPr>
          <w:rFonts w:ascii="Arial" w:hAnsi="Arial" w:cs="Arial"/>
          <w:sz w:val="19"/>
          <w:szCs w:val="19"/>
          <w:vertAlign w:val="superscript"/>
        </w:rPr>
        <w:footnoteRef/>
      </w:r>
      <w:r w:rsidRPr="00EB44B2">
        <w:rPr>
          <w:rFonts w:ascii="Arial" w:eastAsia="Arial" w:hAnsi="Arial" w:cs="Arial"/>
          <w:color w:val="000000"/>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B44B2">
        <w:rPr>
          <w:rFonts w:ascii="Arial" w:eastAsia="Arial" w:hAnsi="Arial" w:cs="Arial"/>
          <w:i/>
          <w:color w:val="000000"/>
          <w:sz w:val="19"/>
          <w:szCs w:val="19"/>
        </w:rPr>
        <w:t xml:space="preserve">ibídem </w:t>
      </w:r>
      <w:r w:rsidRPr="00EB44B2">
        <w:rPr>
          <w:rFonts w:ascii="Arial" w:eastAsia="Arial" w:hAnsi="Arial" w:cs="Arial"/>
          <w:color w:val="000000"/>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4AFB5E11" w14:textId="77777777" w:rsidR="00613EF6" w:rsidRPr="00EB44B2" w:rsidRDefault="00613EF6" w:rsidP="00EB44B2">
      <w:pPr>
        <w:pBdr>
          <w:top w:val="nil"/>
          <w:left w:val="nil"/>
          <w:bottom w:val="nil"/>
          <w:right w:val="nil"/>
          <w:between w:val="nil"/>
        </w:pBdr>
        <w:spacing w:after="0" w:line="240" w:lineRule="auto"/>
        <w:ind w:firstLine="709"/>
        <w:rPr>
          <w:rFonts w:ascii="Arial" w:eastAsia="Arial" w:hAnsi="Arial" w:cs="Arial"/>
          <w:color w:val="000000"/>
          <w:sz w:val="19"/>
          <w:szCs w:val="19"/>
        </w:rPr>
      </w:pPr>
      <w:r w:rsidRPr="007714E1">
        <w:rPr>
          <w:rFonts w:ascii="Arial" w:hAnsi="Arial" w:cs="Arial"/>
          <w:sz w:val="19"/>
          <w:szCs w:val="19"/>
          <w:vertAlign w:val="superscript"/>
        </w:rPr>
        <w:footnoteRef/>
      </w:r>
      <w:r w:rsidRPr="00EB44B2">
        <w:rPr>
          <w:rFonts w:ascii="Arial" w:eastAsia="Arial" w:hAnsi="Arial" w:cs="Arial"/>
          <w:color w:val="000000"/>
          <w:sz w:val="19"/>
          <w:szCs w:val="19"/>
        </w:rPr>
        <w:t xml:space="preserve"> 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3CDEFF8C" w14:textId="77777777" w:rsidR="00613EF6" w:rsidRPr="00EB44B2" w:rsidRDefault="00613EF6" w:rsidP="00EB44B2">
      <w:pPr>
        <w:pStyle w:val="NormalWeb"/>
        <w:shd w:val="clear" w:color="auto" w:fill="FFFFFF"/>
        <w:spacing w:after="0" w:line="240" w:lineRule="auto"/>
        <w:ind w:firstLine="708"/>
        <w:rPr>
          <w:rFonts w:ascii="Arial" w:hAnsi="Arial" w:cs="Arial"/>
          <w:sz w:val="19"/>
          <w:szCs w:val="19"/>
        </w:rPr>
      </w:pPr>
      <w:r w:rsidRPr="00EB44B2">
        <w:rPr>
          <w:rStyle w:val="Refdenotaalpie"/>
          <w:rFonts w:ascii="Arial" w:hAnsi="Arial" w:cs="Arial"/>
          <w:sz w:val="19"/>
          <w:szCs w:val="19"/>
        </w:rPr>
        <w:footnoteRef/>
      </w:r>
      <w:r w:rsidRPr="00EB44B2">
        <w:rPr>
          <w:rFonts w:ascii="Arial" w:hAnsi="Arial" w:cs="Arial"/>
          <w:sz w:val="19"/>
          <w:szCs w:val="19"/>
        </w:rPr>
        <w:t xml:space="preserve"> «ARTÍCULO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51FE791F"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2A797D3E"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11C68B58"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8DC5DF4"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090D08D9"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541930F1"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65776BA9" w14:textId="77777777" w:rsidR="00613EF6" w:rsidRPr="00EB44B2" w:rsidRDefault="00613EF6" w:rsidP="00EB44B2">
      <w:pPr>
        <w:shd w:val="clear" w:color="auto" w:fill="FFFFFF"/>
        <w:spacing w:after="0" w:line="240" w:lineRule="auto"/>
        <w:ind w:firstLine="708"/>
        <w:rPr>
          <w:rFonts w:ascii="Arial" w:eastAsia="Times New Roman" w:hAnsi="Arial" w:cs="Arial"/>
          <w:sz w:val="19"/>
          <w:szCs w:val="19"/>
          <w:lang w:eastAsia="es-CO"/>
        </w:rPr>
      </w:pPr>
      <w:r w:rsidRPr="00EB44B2">
        <w:rPr>
          <w:rFonts w:ascii="Arial" w:eastAsia="Times New Roman" w:hAnsi="Arial" w:cs="Arial"/>
          <w:sz w:val="19"/>
          <w:szCs w:val="19"/>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316A11A1" w14:textId="77777777" w:rsidR="00613EF6" w:rsidRPr="00EB44B2" w:rsidRDefault="00613EF6" w:rsidP="00EB44B2">
      <w:pPr>
        <w:shd w:val="clear" w:color="auto" w:fill="FFFFFF"/>
        <w:spacing w:after="0" w:line="240" w:lineRule="auto"/>
        <w:ind w:firstLine="708"/>
        <w:rPr>
          <w:rFonts w:ascii="Arial" w:hAnsi="Arial" w:cs="Arial"/>
          <w:sz w:val="19"/>
          <w:szCs w:val="19"/>
        </w:rPr>
      </w:pPr>
      <w:r w:rsidRPr="00EB44B2">
        <w:rPr>
          <w:rFonts w:ascii="Arial" w:eastAsia="Times New Roman" w:hAnsi="Arial" w:cs="Arial"/>
          <w:sz w:val="19"/>
          <w:szCs w:val="19"/>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footnote>
  <w:footnote w:id="4">
    <w:p w14:paraId="4D332228"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Style w:val="Refdenotaalpie"/>
          <w:rFonts w:ascii="Arial" w:hAnsi="Arial" w:cs="Arial"/>
          <w:sz w:val="19"/>
          <w:szCs w:val="19"/>
        </w:rPr>
        <w:footnoteRef/>
      </w:r>
      <w:r w:rsidRPr="00EB44B2">
        <w:rPr>
          <w:rFonts w:ascii="Arial" w:hAnsi="Arial" w:cs="Arial"/>
          <w:sz w:val="19"/>
          <w:szCs w:val="19"/>
        </w:rPr>
        <w:t xml:space="preserve"> </w:t>
      </w:r>
      <w:r w:rsidRPr="00EB44B2">
        <w:rPr>
          <w:rFonts w:ascii="Arial" w:eastAsia="Arial" w:hAnsi="Arial" w:cs="Arial"/>
          <w:sz w:val="19"/>
          <w:szCs w:val="19"/>
          <w:lang w:eastAsia="es-CO"/>
        </w:rPr>
        <w:t>«Artículo 2.2.1.2.4.2.15. Criterios diferenciales para emprendimientos y empresas de mujeres en el sistema de compras públicas</w:t>
      </w:r>
      <w:r w:rsidRPr="00EB44B2">
        <w:rPr>
          <w:rFonts w:ascii="Arial" w:eastAsia="Arial" w:hAnsi="Arial" w:cs="Arial"/>
          <w:i/>
          <w:iCs/>
          <w:sz w:val="19"/>
          <w:szCs w:val="19"/>
          <w:lang w:eastAsia="es-CO"/>
        </w:rPr>
        <w:t xml:space="preserve">. </w:t>
      </w:r>
      <w:r w:rsidRPr="00EB44B2">
        <w:rPr>
          <w:rFonts w:ascii="Arial" w:eastAsia="Arial" w:hAnsi="Arial" w:cs="Arial"/>
          <w:sz w:val="19"/>
          <w:szCs w:val="19"/>
          <w:lang w:val="es-ES" w:eastAsia="es-CO"/>
        </w:rPr>
        <w:t xml:space="preserve">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3DB23C1D"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Fonts w:ascii="Arial" w:eastAsia="Arial" w:hAnsi="Arial" w:cs="Arial"/>
          <w:sz w:val="19"/>
          <w:szCs w:val="19"/>
          <w:lang w:val="es-ES" w:eastAsia="es-CO"/>
        </w:rPr>
        <w:t xml:space="preserve">»1. Tiempo de experiencia. </w:t>
      </w:r>
    </w:p>
    <w:p w14:paraId="79B8E75E"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Fonts w:ascii="Arial" w:eastAsia="Arial" w:hAnsi="Arial" w:cs="Arial"/>
          <w:sz w:val="19"/>
          <w:szCs w:val="19"/>
          <w:lang w:val="es-ES" w:eastAsia="es-CO"/>
        </w:rPr>
        <w:t xml:space="preserve">»2. Número de contratos para la acreditación de la experiencia. </w:t>
      </w:r>
    </w:p>
    <w:p w14:paraId="45910240"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Fonts w:ascii="Arial" w:eastAsia="Arial" w:hAnsi="Arial" w:cs="Arial"/>
          <w:sz w:val="19"/>
          <w:szCs w:val="19"/>
          <w:lang w:val="es-ES" w:eastAsia="es-CO"/>
        </w:rPr>
        <w:t xml:space="preserve">»3. Índices de capacidad financiera. </w:t>
      </w:r>
    </w:p>
    <w:p w14:paraId="671029E3"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Fonts w:ascii="Arial" w:eastAsia="Arial" w:hAnsi="Arial" w:cs="Arial"/>
          <w:sz w:val="19"/>
          <w:szCs w:val="19"/>
          <w:lang w:val="es-ES" w:eastAsia="es-CO"/>
        </w:rPr>
        <w:t xml:space="preserve">»4. Índices de capacidad organizacional. </w:t>
      </w:r>
    </w:p>
    <w:p w14:paraId="7223E518"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Fonts w:ascii="Arial" w:eastAsia="Arial" w:hAnsi="Arial" w:cs="Arial"/>
          <w:sz w:val="19"/>
          <w:szCs w:val="19"/>
          <w:lang w:val="es-ES" w:eastAsia="es-CO"/>
        </w:rPr>
        <w:t>»5. Valor de la garantía de seriedad de la oferta.</w:t>
      </w:r>
    </w:p>
    <w:p w14:paraId="6618BEAE" w14:textId="77777777" w:rsidR="00613EF6" w:rsidRPr="00EB44B2" w:rsidRDefault="00613EF6" w:rsidP="00EB44B2">
      <w:pPr>
        <w:spacing w:after="0" w:line="240" w:lineRule="auto"/>
        <w:ind w:firstLine="708"/>
        <w:rPr>
          <w:rFonts w:ascii="Arial" w:eastAsia="Arial" w:hAnsi="Arial" w:cs="Arial"/>
          <w:sz w:val="19"/>
          <w:szCs w:val="19"/>
          <w:lang w:eastAsia="es-CO"/>
        </w:rPr>
      </w:pPr>
      <w:r w:rsidRPr="00EB44B2">
        <w:rPr>
          <w:rFonts w:ascii="Arial" w:eastAsia="Arial" w:hAnsi="Arial" w:cs="Arial"/>
          <w:sz w:val="19"/>
          <w:szCs w:val="19"/>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5E5807E1" w14:textId="77777777" w:rsidR="00613EF6" w:rsidRPr="00EB44B2" w:rsidRDefault="00613EF6" w:rsidP="00EB44B2">
      <w:pPr>
        <w:spacing w:after="0" w:line="240" w:lineRule="auto"/>
        <w:ind w:firstLine="708"/>
        <w:rPr>
          <w:rFonts w:ascii="Arial" w:eastAsia="Arial" w:hAnsi="Arial" w:cs="Arial"/>
          <w:sz w:val="19"/>
          <w:szCs w:val="19"/>
          <w:lang w:val="es-ES" w:eastAsia="es-CO"/>
        </w:rPr>
      </w:pPr>
      <w:r w:rsidRPr="00EB44B2">
        <w:rPr>
          <w:rFonts w:ascii="Arial" w:eastAsia="Arial" w:hAnsi="Arial" w:cs="Arial"/>
          <w:sz w:val="19"/>
          <w:szCs w:val="19"/>
          <w:lang w:val="es-ES"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72332770" w14:textId="77777777" w:rsidR="00613EF6" w:rsidRPr="00EB44B2" w:rsidRDefault="00613EF6" w:rsidP="00EB44B2">
      <w:pPr>
        <w:spacing w:after="0" w:line="240" w:lineRule="auto"/>
        <w:ind w:firstLine="708"/>
        <w:rPr>
          <w:rFonts w:ascii="Arial" w:eastAsia="Times New Roman" w:hAnsi="Arial" w:cs="Arial"/>
          <w:sz w:val="19"/>
          <w:szCs w:val="19"/>
          <w:lang w:eastAsia="es-MX"/>
        </w:rPr>
      </w:pPr>
      <w:r w:rsidRPr="00EB44B2">
        <w:rPr>
          <w:rFonts w:ascii="Arial" w:eastAsia="Times New Roman" w:hAnsi="Arial" w:cs="Arial"/>
          <w:sz w:val="19"/>
          <w:szCs w:val="19"/>
          <w:lang w:eastAsia="es-MX"/>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2F7CF8B0" w14:textId="77777777" w:rsidR="00613EF6" w:rsidRPr="00EB44B2" w:rsidRDefault="00613EF6" w:rsidP="00EB44B2">
      <w:pPr>
        <w:spacing w:after="0" w:line="240" w:lineRule="auto"/>
        <w:ind w:firstLine="708"/>
        <w:rPr>
          <w:rFonts w:ascii="Arial" w:eastAsia="Arial" w:hAnsi="Arial" w:cs="Arial"/>
          <w:sz w:val="19"/>
          <w:szCs w:val="19"/>
          <w:lang w:val="es-ES" w:eastAsia="es-CO"/>
        </w:rPr>
      </w:pPr>
      <w:proofErr w:type="gramStart"/>
      <w:r w:rsidRPr="00EB44B2">
        <w:rPr>
          <w:rFonts w:ascii="Arial" w:eastAsia="Arial" w:hAnsi="Arial" w:cs="Arial"/>
          <w:sz w:val="19"/>
          <w:szCs w:val="19"/>
          <w:lang w:val="es-ES" w:eastAsia="es-CO"/>
        </w:rPr>
        <w:t>»Parágrafo</w:t>
      </w:r>
      <w:proofErr w:type="gramEnd"/>
      <w:r w:rsidRPr="00EB44B2">
        <w:rPr>
          <w:rFonts w:ascii="Arial" w:eastAsia="Arial" w:hAnsi="Arial" w:cs="Arial"/>
          <w:sz w:val="19"/>
          <w:szCs w:val="19"/>
          <w:lang w:val="es-ES" w:eastAsia="es-CO"/>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85D3B4C" w14:textId="77777777" w:rsidR="00613EF6" w:rsidRPr="00EB44B2" w:rsidRDefault="00613EF6" w:rsidP="00EB44B2">
      <w:pPr>
        <w:spacing w:after="0" w:line="240" w:lineRule="auto"/>
        <w:ind w:firstLine="708"/>
        <w:rPr>
          <w:rFonts w:ascii="Arial" w:eastAsia="Arial" w:hAnsi="Arial" w:cs="Arial"/>
          <w:sz w:val="19"/>
          <w:szCs w:val="19"/>
          <w:lang w:val="es-ES" w:eastAsia="es-CO"/>
        </w:rPr>
      </w:pPr>
      <w:proofErr w:type="gramStart"/>
      <w:r w:rsidRPr="00EB44B2">
        <w:rPr>
          <w:rFonts w:ascii="Arial" w:eastAsia="Arial" w:hAnsi="Arial" w:cs="Arial"/>
          <w:sz w:val="19"/>
          <w:szCs w:val="19"/>
          <w:lang w:val="es-ES" w:eastAsia="es-CO"/>
        </w:rPr>
        <w:t>»Parágrafo</w:t>
      </w:r>
      <w:proofErr w:type="gramEnd"/>
      <w:r w:rsidRPr="00EB44B2">
        <w:rPr>
          <w:rFonts w:ascii="Arial" w:eastAsia="Arial" w:hAnsi="Arial" w:cs="Arial"/>
          <w:sz w:val="19"/>
          <w:szCs w:val="19"/>
          <w:lang w:val="es-ES" w:eastAsia="es-CO"/>
        </w:rPr>
        <w:t xml:space="preserve"> 2. Los incentivos contractuales para las empresas y emprendimientos de mujeres no excluyen la aplicación de los criterios diferenciales para </w:t>
      </w:r>
      <w:proofErr w:type="spellStart"/>
      <w:r w:rsidRPr="00EB44B2">
        <w:rPr>
          <w:rFonts w:ascii="Arial" w:eastAsia="Arial" w:hAnsi="Arial" w:cs="Arial"/>
          <w:sz w:val="19"/>
          <w:szCs w:val="19"/>
          <w:lang w:val="es-ES" w:eastAsia="es-CO"/>
        </w:rPr>
        <w:t>Mipyme</w:t>
      </w:r>
      <w:proofErr w:type="spellEnd"/>
      <w:r w:rsidRPr="00EB44B2">
        <w:rPr>
          <w:rFonts w:ascii="Arial" w:eastAsia="Arial" w:hAnsi="Arial" w:cs="Arial"/>
          <w:sz w:val="19"/>
          <w:szCs w:val="19"/>
          <w:lang w:val="es-ES" w:eastAsia="es-CO"/>
        </w:rPr>
        <w:t xml:space="preserve"> en el sistema de compras públicas». </w:t>
      </w:r>
    </w:p>
    <w:p w14:paraId="5BB8B7C3" w14:textId="77777777" w:rsidR="00613EF6" w:rsidRPr="00EB44B2" w:rsidRDefault="00613EF6" w:rsidP="00EB44B2">
      <w:pPr>
        <w:pStyle w:val="Textonotapie"/>
        <w:rPr>
          <w:rFonts w:ascii="Arial" w:hAnsi="Arial" w:cs="Arial"/>
          <w:sz w:val="19"/>
          <w:szCs w:val="19"/>
          <w:lang w:val="es-CO"/>
        </w:rPr>
      </w:pPr>
    </w:p>
  </w:footnote>
  <w:footnote w:id="5">
    <w:p w14:paraId="586E95EB" w14:textId="77777777" w:rsidR="00613EF6" w:rsidRPr="00EB44B2" w:rsidRDefault="00613EF6" w:rsidP="00EB44B2">
      <w:pPr>
        <w:pStyle w:val="Textonotapie"/>
        <w:ind w:firstLine="708"/>
        <w:rPr>
          <w:rFonts w:ascii="Arial" w:hAnsi="Arial" w:cs="Arial"/>
          <w:sz w:val="19"/>
          <w:szCs w:val="19"/>
        </w:rPr>
      </w:pPr>
      <w:r w:rsidRPr="00EB44B2">
        <w:rPr>
          <w:rStyle w:val="Refdenotaalpie"/>
          <w:rFonts w:ascii="Arial" w:hAnsi="Arial" w:cs="Arial"/>
          <w:sz w:val="19"/>
          <w:szCs w:val="19"/>
        </w:rPr>
        <w:footnoteRef/>
      </w:r>
      <w:r w:rsidRPr="00EB44B2">
        <w:rPr>
          <w:rFonts w:ascii="Arial" w:hAnsi="Arial" w:cs="Arial"/>
          <w:sz w:val="19"/>
          <w:szCs w:val="19"/>
        </w:rPr>
        <w:t xml:space="preserve"> Ley 2069 de 2020, artículo 32: «ARTÍCULO 32. CRITERIOS DIFERENCIALES PARA EMPRENDIMIENTOS Y EMPRESAS DE MUJERES EN EL SISTEMA DE COMPRAS PÚBLICAS. De acuerdo con el resultado del análisis del sector, las entidades estatales incluirán requisitos diferenciales y puntajes adicionales </w:t>
      </w:r>
      <w:r w:rsidRPr="00EB44B2">
        <w:rPr>
          <w:rFonts w:ascii="Arial" w:hAnsi="Arial" w:cs="Arial"/>
          <w:i/>
          <w:iCs/>
          <w:sz w:val="19"/>
          <w:szCs w:val="19"/>
        </w:rPr>
        <w:t>en los procesos de licitación pública, selección abreviada de menor cuantía y concurso de méritos</w:t>
      </w:r>
      <w:r w:rsidRPr="00EB44B2">
        <w:rPr>
          <w:rFonts w:ascii="Arial" w:hAnsi="Arial" w:cs="Arial"/>
          <w:sz w:val="19"/>
          <w:szCs w:val="19"/>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257A4FA9" w14:textId="77777777" w:rsidR="00613EF6" w:rsidRPr="00EB44B2" w:rsidRDefault="00613EF6" w:rsidP="00EB44B2">
      <w:pPr>
        <w:pStyle w:val="Textonotapie"/>
        <w:ind w:firstLine="708"/>
        <w:rPr>
          <w:rFonts w:ascii="Arial" w:hAnsi="Arial" w:cs="Arial"/>
          <w:sz w:val="19"/>
          <w:szCs w:val="19"/>
          <w:lang w:val="es-CO"/>
        </w:rPr>
      </w:pPr>
      <w:r w:rsidRPr="00EB44B2">
        <w:rPr>
          <w:rFonts w:ascii="Arial" w:hAnsi="Arial" w:cs="Arial"/>
          <w:sz w:val="19"/>
          <w:szCs w:val="19"/>
        </w:rPr>
        <w:t>»PARÁGRAFO 1o. La definición de emprendimientos y empresas de mujeres se reglamentará por el gobierno nacional».</w:t>
      </w:r>
    </w:p>
  </w:footnote>
  <w:footnote w:id="6">
    <w:p w14:paraId="17E189DE" w14:textId="006CD5D9" w:rsidR="00613EF6" w:rsidRPr="00EB44B2" w:rsidRDefault="00613EF6" w:rsidP="00EB44B2">
      <w:pPr>
        <w:pStyle w:val="Textonotapie"/>
        <w:ind w:firstLine="709"/>
        <w:rPr>
          <w:rFonts w:ascii="Arial" w:hAnsi="Arial" w:cs="Arial"/>
          <w:sz w:val="19"/>
          <w:szCs w:val="19"/>
          <w:lang w:val="es-ES"/>
        </w:rPr>
      </w:pPr>
      <w:r w:rsidRPr="007714E1">
        <w:rPr>
          <w:rStyle w:val="Refdenotaalpie"/>
          <w:rFonts w:ascii="Arial" w:hAnsi="Arial" w:cs="Arial"/>
          <w:sz w:val="19"/>
          <w:szCs w:val="19"/>
        </w:rPr>
        <w:footnoteRef/>
      </w:r>
      <w:r w:rsidRPr="007714E1">
        <w:rPr>
          <w:rFonts w:ascii="Arial" w:hAnsi="Arial" w:cs="Arial"/>
          <w:sz w:val="19"/>
          <w:szCs w:val="19"/>
        </w:rPr>
        <w:t xml:space="preserve"> </w:t>
      </w:r>
      <w:r w:rsidRPr="007714E1">
        <w:rPr>
          <w:rFonts w:ascii="Arial" w:hAnsi="Arial" w:cs="Arial"/>
          <w:sz w:val="19"/>
          <w:szCs w:val="19"/>
          <w:lang w:val="es-ES"/>
        </w:rPr>
        <w:t xml:space="preserve">Así lo prevé el artículo 172 del Código de Comercio. </w:t>
      </w:r>
    </w:p>
    <w:p w14:paraId="6A548F0A" w14:textId="77777777" w:rsidR="009B4627" w:rsidRPr="007714E1" w:rsidRDefault="009B4627" w:rsidP="00EB44B2">
      <w:pPr>
        <w:pStyle w:val="Textonotapie"/>
        <w:ind w:firstLine="709"/>
        <w:rPr>
          <w:rFonts w:ascii="Arial" w:hAnsi="Arial" w:cs="Arial"/>
          <w:sz w:val="19"/>
          <w:szCs w:val="19"/>
          <w:lang w:val="es-ES"/>
        </w:rPr>
      </w:pPr>
    </w:p>
  </w:footnote>
  <w:footnote w:id="7">
    <w:p w14:paraId="5510E89E" w14:textId="33D8478E" w:rsidR="00E42FE2" w:rsidRPr="007714E1" w:rsidRDefault="00E42FE2" w:rsidP="00EB44B2">
      <w:pPr>
        <w:pStyle w:val="Textonotapie"/>
        <w:rPr>
          <w:rFonts w:ascii="Arial" w:hAnsi="Arial" w:cs="Arial"/>
          <w:sz w:val="19"/>
          <w:szCs w:val="19"/>
        </w:rPr>
      </w:pPr>
      <w:r w:rsidRPr="007714E1">
        <w:rPr>
          <w:rStyle w:val="Refdenotaalpie"/>
          <w:rFonts w:ascii="Arial" w:hAnsi="Arial" w:cs="Arial"/>
          <w:sz w:val="19"/>
          <w:szCs w:val="19"/>
        </w:rPr>
        <w:footnoteRef/>
      </w:r>
      <w:r w:rsidRPr="007714E1">
        <w:rPr>
          <w:rFonts w:ascii="Arial" w:hAnsi="Arial" w:cs="Arial"/>
          <w:sz w:val="19"/>
          <w:szCs w:val="19"/>
        </w:rPr>
        <w:t xml:space="preserve"> Corte Suprema de Justicia, Sala de Casación Laboral, sentencia de 23 de marzo de 2022, </w:t>
      </w:r>
      <w:r w:rsidR="00A157FE" w:rsidRPr="007714E1">
        <w:rPr>
          <w:rFonts w:ascii="Arial" w:hAnsi="Arial" w:cs="Arial"/>
          <w:sz w:val="19"/>
          <w:szCs w:val="19"/>
        </w:rPr>
        <w:t>radicación No. 81097.</w:t>
      </w:r>
    </w:p>
  </w:footnote>
  <w:footnote w:id="8">
    <w:p w14:paraId="3936F422" w14:textId="49A8AAE5" w:rsidR="00515D41" w:rsidRDefault="00515D41" w:rsidP="00EB44B2">
      <w:pPr>
        <w:pStyle w:val="Textonotapie"/>
        <w:ind w:firstLine="709"/>
        <w:rPr>
          <w:rFonts w:ascii="Arial" w:hAnsi="Arial" w:cs="Arial"/>
          <w:sz w:val="19"/>
          <w:szCs w:val="19"/>
        </w:rPr>
      </w:pPr>
      <w:r w:rsidRPr="007714E1">
        <w:rPr>
          <w:rStyle w:val="Refdenotaalpie"/>
          <w:rFonts w:ascii="Arial" w:hAnsi="Arial" w:cs="Arial"/>
          <w:sz w:val="19"/>
          <w:szCs w:val="19"/>
        </w:rPr>
        <w:footnoteRef/>
      </w:r>
      <w:r w:rsidRPr="007714E1">
        <w:rPr>
          <w:rFonts w:ascii="Arial" w:hAnsi="Arial" w:cs="Arial"/>
          <w:sz w:val="19"/>
          <w:szCs w:val="19"/>
        </w:rPr>
        <w:t xml:space="preserve"> </w:t>
      </w:r>
      <w:r w:rsidR="00A157FE" w:rsidRPr="007714E1">
        <w:rPr>
          <w:rFonts w:ascii="Arial" w:hAnsi="Arial" w:cs="Arial"/>
          <w:sz w:val="19"/>
          <w:szCs w:val="19"/>
        </w:rPr>
        <w:t xml:space="preserve">Corte Suprema de Justicia, Sala de Casación Laboral, sentencia de 5 de marzo de 2009, radicación No. 35259. </w:t>
      </w:r>
    </w:p>
    <w:p w14:paraId="66B0FC04" w14:textId="77777777" w:rsidR="00EB44B2" w:rsidRPr="007714E1" w:rsidRDefault="00EB44B2" w:rsidP="007714E1">
      <w:pPr>
        <w:pStyle w:val="Textonotapie"/>
        <w:ind w:firstLine="709"/>
        <w:rPr>
          <w:rFonts w:ascii="Arial" w:hAnsi="Arial" w:cs="Arial"/>
          <w:sz w:val="19"/>
          <w:szCs w:val="19"/>
        </w:rPr>
      </w:pPr>
    </w:p>
  </w:footnote>
  <w:footnote w:id="9">
    <w:p w14:paraId="5F413B92" w14:textId="08AD6F72" w:rsidR="009B4627" w:rsidRPr="007714E1" w:rsidRDefault="009B4627" w:rsidP="007714E1">
      <w:pPr>
        <w:pStyle w:val="Textonotapie"/>
        <w:ind w:firstLine="709"/>
        <w:rPr>
          <w:rFonts w:ascii="Arial" w:hAnsi="Arial" w:cs="Arial"/>
          <w:sz w:val="19"/>
          <w:szCs w:val="19"/>
          <w:lang w:val="es-ES_tradnl"/>
        </w:rPr>
      </w:pPr>
      <w:r w:rsidRPr="007714E1">
        <w:rPr>
          <w:rStyle w:val="Refdenotaalpie"/>
          <w:rFonts w:ascii="Arial" w:hAnsi="Arial" w:cs="Arial"/>
          <w:sz w:val="19"/>
          <w:szCs w:val="19"/>
        </w:rPr>
        <w:footnoteRef/>
      </w:r>
      <w:r w:rsidRPr="007714E1">
        <w:rPr>
          <w:rFonts w:ascii="Arial" w:hAnsi="Arial" w:cs="Arial"/>
          <w:sz w:val="19"/>
          <w:szCs w:val="19"/>
        </w:rPr>
        <w:t xml:space="preserve"> </w:t>
      </w:r>
      <w:r w:rsidRPr="007714E1">
        <w:rPr>
          <w:rFonts w:ascii="Arial" w:hAnsi="Arial" w:cs="Arial"/>
          <w:sz w:val="19"/>
          <w:szCs w:val="19"/>
          <w:lang w:val="es-ES"/>
        </w:rPr>
        <w:t>Una tesis similar a la anterior fue defendida por esta Agencia</w:t>
      </w:r>
      <w:r w:rsidR="00043C96" w:rsidRPr="007714E1">
        <w:rPr>
          <w:rFonts w:ascii="Arial" w:hAnsi="Arial" w:cs="Arial"/>
          <w:sz w:val="19"/>
          <w:szCs w:val="19"/>
          <w:lang w:val="es-ES"/>
        </w:rPr>
        <w:t xml:space="preserve"> en relación con el parágrafo segundo del artículo 35 de la Ley 2069 de 2020, en relación con los factores de desempate que involucran a vinculación de capital humano, en los que el oferente debe acreditar una antigüedad igual o mayor a un año</w:t>
      </w:r>
      <w:r w:rsidR="00043C96" w:rsidRPr="00EB44B2">
        <w:rPr>
          <w:rFonts w:ascii="Arial" w:hAnsi="Arial" w:cs="Arial"/>
          <w:sz w:val="19"/>
          <w:szCs w:val="19"/>
          <w:lang w:val="es-ES"/>
        </w:rPr>
        <w:t>. En este sentido, en el concepto C-437 del 24 de agosto de 2021 se señaló: «</w:t>
      </w:r>
      <w:r w:rsidR="00043C96" w:rsidRPr="007714E1">
        <w:rPr>
          <w:rFonts w:ascii="Arial" w:hAnsi="Arial" w:cs="Arial"/>
          <w:sz w:val="19"/>
          <w:szCs w:val="19"/>
        </w:rPr>
        <w:t xml:space="preserve"> </w:t>
      </w:r>
      <w:r w:rsidR="00043C96" w:rsidRPr="00EB44B2">
        <w:rPr>
          <w:rFonts w:ascii="Arial" w:hAnsi="Arial" w:cs="Arial"/>
          <w:sz w:val="19"/>
          <w:szCs w:val="19"/>
          <w:lang w:val="es-ES"/>
        </w:rPr>
        <w:t xml:space="preserve">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mencionado artículo, pues el hecho de que opere tal sustitución no modifica por sí solo el contrato de trabajo, es decir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 Disponible en: </w:t>
      </w:r>
      <w:hyperlink r:id="rId1" w:history="1">
        <w:r w:rsidR="00136094" w:rsidRPr="00EB44B2">
          <w:rPr>
            <w:rStyle w:val="Hipervnculo"/>
            <w:rFonts w:ascii="Arial" w:hAnsi="Arial" w:cs="Arial"/>
            <w:sz w:val="19"/>
            <w:szCs w:val="19"/>
            <w:lang w:val="es-ES"/>
          </w:rPr>
          <w:t>https://relatoria.colombiacompra.gov.co/ficha/C-437%20de%202021</w:t>
        </w:r>
      </w:hyperlink>
      <w:r w:rsidR="00136094" w:rsidRPr="00EB44B2">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A4F8" w14:textId="77777777" w:rsidR="00613EF6" w:rsidRDefault="00613EF6">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14:anchorId="1738C0C5" wp14:editId="77481344">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B658473" w14:textId="77777777" w:rsidR="00613EF6" w:rsidRDefault="00613EF6">
    <w:pPr>
      <w:pBdr>
        <w:top w:val="nil"/>
        <w:left w:val="nil"/>
        <w:bottom w:val="nil"/>
        <w:right w:val="nil"/>
        <w:between w:val="nil"/>
      </w:pBdr>
      <w:tabs>
        <w:tab w:val="center" w:pos="4252"/>
        <w:tab w:val="right" w:pos="8504"/>
      </w:tabs>
      <w:spacing w:after="0"/>
      <w:rPr>
        <w:color w:val="000000"/>
      </w:rPr>
    </w:pPr>
  </w:p>
  <w:p w14:paraId="10971F20" w14:textId="77777777" w:rsidR="00613EF6" w:rsidRDefault="00613EF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E3"/>
    <w:multiLevelType w:val="hybridMultilevel"/>
    <w:tmpl w:val="5796AAE4"/>
    <w:lvl w:ilvl="0" w:tplc="90547F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B7F2A10"/>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10407C4"/>
    <w:multiLevelType w:val="hybridMultilevel"/>
    <w:tmpl w:val="3EEA22F4"/>
    <w:lvl w:ilvl="0" w:tplc="82D21D6C">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A98220F"/>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41383C2B"/>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1BC72FE"/>
    <w:multiLevelType w:val="hybridMultilevel"/>
    <w:tmpl w:val="30AA6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0D68B1"/>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8B74AA"/>
    <w:multiLevelType w:val="hybridMultilevel"/>
    <w:tmpl w:val="CB5E6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36584C"/>
    <w:multiLevelType w:val="hybridMultilevel"/>
    <w:tmpl w:val="C7BAB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E77614"/>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588271819">
    <w:abstractNumId w:val="7"/>
  </w:num>
  <w:num w:numId="2" w16cid:durableId="433524956">
    <w:abstractNumId w:val="9"/>
  </w:num>
  <w:num w:numId="3" w16cid:durableId="794565278">
    <w:abstractNumId w:val="3"/>
  </w:num>
  <w:num w:numId="4" w16cid:durableId="513228678">
    <w:abstractNumId w:val="10"/>
  </w:num>
  <w:num w:numId="5" w16cid:durableId="504637207">
    <w:abstractNumId w:val="0"/>
  </w:num>
  <w:num w:numId="6" w16cid:durableId="906039159">
    <w:abstractNumId w:val="5"/>
  </w:num>
  <w:num w:numId="7" w16cid:durableId="650599867">
    <w:abstractNumId w:val="8"/>
  </w:num>
  <w:num w:numId="8" w16cid:durableId="1131822775">
    <w:abstractNumId w:val="2"/>
  </w:num>
  <w:num w:numId="9" w16cid:durableId="667632396">
    <w:abstractNumId w:val="6"/>
  </w:num>
  <w:num w:numId="10" w16cid:durableId="1457599986">
    <w:abstractNumId w:val="4"/>
  </w:num>
  <w:num w:numId="11" w16cid:durableId="144226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1"/>
    <w:rsid w:val="000018DA"/>
    <w:rsid w:val="000030F0"/>
    <w:rsid w:val="000050C5"/>
    <w:rsid w:val="00010531"/>
    <w:rsid w:val="00022BA4"/>
    <w:rsid w:val="0002531C"/>
    <w:rsid w:val="00032211"/>
    <w:rsid w:val="00032699"/>
    <w:rsid w:val="00034198"/>
    <w:rsid w:val="000401DB"/>
    <w:rsid w:val="00043C96"/>
    <w:rsid w:val="000545BA"/>
    <w:rsid w:val="00054969"/>
    <w:rsid w:val="00055C09"/>
    <w:rsid w:val="00057AC7"/>
    <w:rsid w:val="00057B15"/>
    <w:rsid w:val="0006799A"/>
    <w:rsid w:val="000703CA"/>
    <w:rsid w:val="0008028D"/>
    <w:rsid w:val="000845BF"/>
    <w:rsid w:val="00085A8D"/>
    <w:rsid w:val="000A2B46"/>
    <w:rsid w:val="000B4594"/>
    <w:rsid w:val="000D69D2"/>
    <w:rsid w:val="000D73A1"/>
    <w:rsid w:val="000E30C5"/>
    <w:rsid w:val="000E4344"/>
    <w:rsid w:val="000E542F"/>
    <w:rsid w:val="000F1429"/>
    <w:rsid w:val="000F227D"/>
    <w:rsid w:val="00124845"/>
    <w:rsid w:val="001326E7"/>
    <w:rsid w:val="00132EF5"/>
    <w:rsid w:val="00133F82"/>
    <w:rsid w:val="00136094"/>
    <w:rsid w:val="00141832"/>
    <w:rsid w:val="00146CDB"/>
    <w:rsid w:val="001515A9"/>
    <w:rsid w:val="00151DF3"/>
    <w:rsid w:val="00153293"/>
    <w:rsid w:val="001534FE"/>
    <w:rsid w:val="0015675B"/>
    <w:rsid w:val="00161371"/>
    <w:rsid w:val="001641D0"/>
    <w:rsid w:val="0016469F"/>
    <w:rsid w:val="00174154"/>
    <w:rsid w:val="001878E6"/>
    <w:rsid w:val="001A6E50"/>
    <w:rsid w:val="001C0FF1"/>
    <w:rsid w:val="001D0FA2"/>
    <w:rsid w:val="001D27F8"/>
    <w:rsid w:val="001D486F"/>
    <w:rsid w:val="001E0B67"/>
    <w:rsid w:val="001F552E"/>
    <w:rsid w:val="001F58B9"/>
    <w:rsid w:val="0020665A"/>
    <w:rsid w:val="00225134"/>
    <w:rsid w:val="00226CCB"/>
    <w:rsid w:val="00235C6A"/>
    <w:rsid w:val="002459F1"/>
    <w:rsid w:val="002460B6"/>
    <w:rsid w:val="00256FC7"/>
    <w:rsid w:val="00260004"/>
    <w:rsid w:val="002649FB"/>
    <w:rsid w:val="00273C71"/>
    <w:rsid w:val="00274162"/>
    <w:rsid w:val="00280D9B"/>
    <w:rsid w:val="0029138E"/>
    <w:rsid w:val="00292244"/>
    <w:rsid w:val="00294DE1"/>
    <w:rsid w:val="002C0494"/>
    <w:rsid w:val="002C0AC5"/>
    <w:rsid w:val="002C3534"/>
    <w:rsid w:val="002C5413"/>
    <w:rsid w:val="002E5798"/>
    <w:rsid w:val="0030745F"/>
    <w:rsid w:val="00311CFD"/>
    <w:rsid w:val="00331302"/>
    <w:rsid w:val="00341FF0"/>
    <w:rsid w:val="0035084D"/>
    <w:rsid w:val="00355453"/>
    <w:rsid w:val="00356678"/>
    <w:rsid w:val="003751D1"/>
    <w:rsid w:val="00376C46"/>
    <w:rsid w:val="003833EC"/>
    <w:rsid w:val="0038381C"/>
    <w:rsid w:val="00384AE8"/>
    <w:rsid w:val="00391B91"/>
    <w:rsid w:val="00394399"/>
    <w:rsid w:val="00397B0E"/>
    <w:rsid w:val="003C4320"/>
    <w:rsid w:val="003C7757"/>
    <w:rsid w:val="003E3EF7"/>
    <w:rsid w:val="003E51AB"/>
    <w:rsid w:val="003E7F27"/>
    <w:rsid w:val="003F484C"/>
    <w:rsid w:val="0040759B"/>
    <w:rsid w:val="004275E4"/>
    <w:rsid w:val="004347D4"/>
    <w:rsid w:val="0046110A"/>
    <w:rsid w:val="0047054F"/>
    <w:rsid w:val="004709EB"/>
    <w:rsid w:val="00480644"/>
    <w:rsid w:val="00495D8D"/>
    <w:rsid w:val="004A2079"/>
    <w:rsid w:val="004A50F8"/>
    <w:rsid w:val="004B4970"/>
    <w:rsid w:val="004B6D5C"/>
    <w:rsid w:val="004B777F"/>
    <w:rsid w:val="004C1362"/>
    <w:rsid w:val="004C14D3"/>
    <w:rsid w:val="004D0666"/>
    <w:rsid w:val="004D0B70"/>
    <w:rsid w:val="004E27C9"/>
    <w:rsid w:val="004E2CB4"/>
    <w:rsid w:val="004E3780"/>
    <w:rsid w:val="004F06CC"/>
    <w:rsid w:val="005027BD"/>
    <w:rsid w:val="00511475"/>
    <w:rsid w:val="00515D41"/>
    <w:rsid w:val="005255B7"/>
    <w:rsid w:val="00531349"/>
    <w:rsid w:val="0053319E"/>
    <w:rsid w:val="005335E0"/>
    <w:rsid w:val="00534598"/>
    <w:rsid w:val="005452FA"/>
    <w:rsid w:val="00546B3B"/>
    <w:rsid w:val="00557CF6"/>
    <w:rsid w:val="0056543B"/>
    <w:rsid w:val="005667EF"/>
    <w:rsid w:val="005759DF"/>
    <w:rsid w:val="0058075D"/>
    <w:rsid w:val="00580CEF"/>
    <w:rsid w:val="005D72A5"/>
    <w:rsid w:val="005E25B4"/>
    <w:rsid w:val="005E5EDC"/>
    <w:rsid w:val="005F468A"/>
    <w:rsid w:val="0060187D"/>
    <w:rsid w:val="0060386F"/>
    <w:rsid w:val="006105C7"/>
    <w:rsid w:val="00612CA1"/>
    <w:rsid w:val="00613EF6"/>
    <w:rsid w:val="00616E35"/>
    <w:rsid w:val="00626639"/>
    <w:rsid w:val="0063395D"/>
    <w:rsid w:val="00643113"/>
    <w:rsid w:val="00644C17"/>
    <w:rsid w:val="0064659A"/>
    <w:rsid w:val="0065478D"/>
    <w:rsid w:val="00655EB1"/>
    <w:rsid w:val="00671825"/>
    <w:rsid w:val="00676AA1"/>
    <w:rsid w:val="006A06F2"/>
    <w:rsid w:val="006A2202"/>
    <w:rsid w:val="006B138A"/>
    <w:rsid w:val="006C28C2"/>
    <w:rsid w:val="006D4E0E"/>
    <w:rsid w:val="006E6C7D"/>
    <w:rsid w:val="00704CEE"/>
    <w:rsid w:val="00730A24"/>
    <w:rsid w:val="00734A2B"/>
    <w:rsid w:val="00740ADB"/>
    <w:rsid w:val="00742700"/>
    <w:rsid w:val="0074635C"/>
    <w:rsid w:val="00751A49"/>
    <w:rsid w:val="007613A5"/>
    <w:rsid w:val="007714E1"/>
    <w:rsid w:val="0079024C"/>
    <w:rsid w:val="00791555"/>
    <w:rsid w:val="007A5D5E"/>
    <w:rsid w:val="007D1BE4"/>
    <w:rsid w:val="007D673C"/>
    <w:rsid w:val="007E5EC4"/>
    <w:rsid w:val="007E715A"/>
    <w:rsid w:val="00802A0A"/>
    <w:rsid w:val="00803F2A"/>
    <w:rsid w:val="0081648A"/>
    <w:rsid w:val="00824825"/>
    <w:rsid w:val="0082754A"/>
    <w:rsid w:val="008301BC"/>
    <w:rsid w:val="00832049"/>
    <w:rsid w:val="00841E4A"/>
    <w:rsid w:val="00844FCD"/>
    <w:rsid w:val="00853525"/>
    <w:rsid w:val="0086341F"/>
    <w:rsid w:val="00871181"/>
    <w:rsid w:val="008721BB"/>
    <w:rsid w:val="008771D6"/>
    <w:rsid w:val="00896D01"/>
    <w:rsid w:val="00897E75"/>
    <w:rsid w:val="008B2F50"/>
    <w:rsid w:val="008C0946"/>
    <w:rsid w:val="008C109C"/>
    <w:rsid w:val="008C1947"/>
    <w:rsid w:val="008E4228"/>
    <w:rsid w:val="008E64B5"/>
    <w:rsid w:val="008F60BF"/>
    <w:rsid w:val="008F7B30"/>
    <w:rsid w:val="00906FBF"/>
    <w:rsid w:val="00917DAD"/>
    <w:rsid w:val="00937D75"/>
    <w:rsid w:val="009419EB"/>
    <w:rsid w:val="00943629"/>
    <w:rsid w:val="00955070"/>
    <w:rsid w:val="009668F8"/>
    <w:rsid w:val="00970570"/>
    <w:rsid w:val="009906B1"/>
    <w:rsid w:val="00991B98"/>
    <w:rsid w:val="0099225D"/>
    <w:rsid w:val="009A32F0"/>
    <w:rsid w:val="009B4627"/>
    <w:rsid w:val="009E03DD"/>
    <w:rsid w:val="009E4C14"/>
    <w:rsid w:val="009E579C"/>
    <w:rsid w:val="009F7453"/>
    <w:rsid w:val="00A00493"/>
    <w:rsid w:val="00A026F5"/>
    <w:rsid w:val="00A157FE"/>
    <w:rsid w:val="00A1704A"/>
    <w:rsid w:val="00A26AF0"/>
    <w:rsid w:val="00A310D3"/>
    <w:rsid w:val="00A67050"/>
    <w:rsid w:val="00A70D7A"/>
    <w:rsid w:val="00A735CD"/>
    <w:rsid w:val="00A73E91"/>
    <w:rsid w:val="00A771E2"/>
    <w:rsid w:val="00AA13A9"/>
    <w:rsid w:val="00AA7F8F"/>
    <w:rsid w:val="00AB3C3F"/>
    <w:rsid w:val="00AB4A6B"/>
    <w:rsid w:val="00AC4B5F"/>
    <w:rsid w:val="00AC5959"/>
    <w:rsid w:val="00B16CF7"/>
    <w:rsid w:val="00B247DD"/>
    <w:rsid w:val="00B24AF6"/>
    <w:rsid w:val="00B31DF7"/>
    <w:rsid w:val="00B40115"/>
    <w:rsid w:val="00B66E49"/>
    <w:rsid w:val="00B755F9"/>
    <w:rsid w:val="00B777E5"/>
    <w:rsid w:val="00B80D75"/>
    <w:rsid w:val="00B83743"/>
    <w:rsid w:val="00B85EC1"/>
    <w:rsid w:val="00B91B22"/>
    <w:rsid w:val="00B96223"/>
    <w:rsid w:val="00B969B3"/>
    <w:rsid w:val="00B96D87"/>
    <w:rsid w:val="00BB0873"/>
    <w:rsid w:val="00BB2355"/>
    <w:rsid w:val="00BC1095"/>
    <w:rsid w:val="00BD09FF"/>
    <w:rsid w:val="00BE351C"/>
    <w:rsid w:val="00BE375F"/>
    <w:rsid w:val="00BF0131"/>
    <w:rsid w:val="00C161FF"/>
    <w:rsid w:val="00C212FA"/>
    <w:rsid w:val="00C36E16"/>
    <w:rsid w:val="00C44306"/>
    <w:rsid w:val="00C55127"/>
    <w:rsid w:val="00C624AB"/>
    <w:rsid w:val="00C62CA3"/>
    <w:rsid w:val="00C7069D"/>
    <w:rsid w:val="00C70C44"/>
    <w:rsid w:val="00C748AE"/>
    <w:rsid w:val="00C83040"/>
    <w:rsid w:val="00C86B41"/>
    <w:rsid w:val="00C967E6"/>
    <w:rsid w:val="00CA6CA3"/>
    <w:rsid w:val="00CA6E4F"/>
    <w:rsid w:val="00CD2BBE"/>
    <w:rsid w:val="00CD60F5"/>
    <w:rsid w:val="00CE0B9D"/>
    <w:rsid w:val="00CE21B3"/>
    <w:rsid w:val="00CE7CCA"/>
    <w:rsid w:val="00CF72F7"/>
    <w:rsid w:val="00D06CC6"/>
    <w:rsid w:val="00D1133B"/>
    <w:rsid w:val="00D11461"/>
    <w:rsid w:val="00D1667B"/>
    <w:rsid w:val="00D227C9"/>
    <w:rsid w:val="00D31237"/>
    <w:rsid w:val="00D343E9"/>
    <w:rsid w:val="00D345C2"/>
    <w:rsid w:val="00D5047D"/>
    <w:rsid w:val="00D60734"/>
    <w:rsid w:val="00D738BA"/>
    <w:rsid w:val="00D777F7"/>
    <w:rsid w:val="00D86CE3"/>
    <w:rsid w:val="00DA39D0"/>
    <w:rsid w:val="00DC3745"/>
    <w:rsid w:val="00DD29E1"/>
    <w:rsid w:val="00DD4907"/>
    <w:rsid w:val="00DE02EF"/>
    <w:rsid w:val="00DE4313"/>
    <w:rsid w:val="00E04F51"/>
    <w:rsid w:val="00E06F4D"/>
    <w:rsid w:val="00E10994"/>
    <w:rsid w:val="00E2102B"/>
    <w:rsid w:val="00E31560"/>
    <w:rsid w:val="00E42FE2"/>
    <w:rsid w:val="00E51805"/>
    <w:rsid w:val="00E53FF1"/>
    <w:rsid w:val="00E87D3C"/>
    <w:rsid w:val="00EB44B2"/>
    <w:rsid w:val="00EC68B5"/>
    <w:rsid w:val="00EE4AB0"/>
    <w:rsid w:val="00EE669C"/>
    <w:rsid w:val="00EF3F15"/>
    <w:rsid w:val="00F04216"/>
    <w:rsid w:val="00F137F6"/>
    <w:rsid w:val="00F24191"/>
    <w:rsid w:val="00F26152"/>
    <w:rsid w:val="00F37CB3"/>
    <w:rsid w:val="00F44A03"/>
    <w:rsid w:val="00F454DA"/>
    <w:rsid w:val="00F537EB"/>
    <w:rsid w:val="00F57337"/>
    <w:rsid w:val="00F664B3"/>
    <w:rsid w:val="00F6717E"/>
    <w:rsid w:val="00F92C0B"/>
    <w:rsid w:val="00FC1E52"/>
    <w:rsid w:val="00FC4DC4"/>
    <w:rsid w:val="00FD0E21"/>
    <w:rsid w:val="00FD28C5"/>
    <w:rsid w:val="00FE0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AA8D"/>
  <w15:docId w15:val="{74014E73-EE5C-48A0-A275-66C09E7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21"/>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02A0A"/>
    <w:rPr>
      <w:b/>
      <w:bCs/>
    </w:rPr>
  </w:style>
  <w:style w:type="character" w:customStyle="1" w:styleId="AsuntodelcomentarioCar">
    <w:name w:val="Asunto del comentario Car"/>
    <w:basedOn w:val="TextocomentarioCar"/>
    <w:link w:val="Asuntodelcomentario"/>
    <w:uiPriority w:val="99"/>
    <w:semiHidden/>
    <w:rsid w:val="00802A0A"/>
    <w:rPr>
      <w:b/>
      <w:bCs/>
      <w:sz w:val="20"/>
      <w:szCs w:val="20"/>
    </w:rPr>
  </w:style>
  <w:style w:type="paragraph" w:styleId="Textodeglobo">
    <w:name w:val="Balloon Text"/>
    <w:basedOn w:val="Normal"/>
    <w:link w:val="TextodegloboCar"/>
    <w:uiPriority w:val="99"/>
    <w:semiHidden/>
    <w:unhideWhenUsed/>
    <w:rsid w:val="00802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A0A"/>
    <w:rPr>
      <w:rFonts w:ascii="Segoe UI" w:hAnsi="Segoe UI" w:cs="Segoe UI"/>
      <w:sz w:val="18"/>
      <w:szCs w:val="18"/>
    </w:rPr>
  </w:style>
  <w:style w:type="paragraph" w:styleId="Textonotapie">
    <w:name w:val="footnote text"/>
    <w:basedOn w:val="Normal"/>
    <w:link w:val="TextonotapieCar"/>
    <w:uiPriority w:val="99"/>
    <w:unhideWhenUsed/>
    <w:rsid w:val="00734A2B"/>
    <w:pPr>
      <w:spacing w:after="0" w:line="240" w:lineRule="auto"/>
    </w:pPr>
    <w:rPr>
      <w:sz w:val="20"/>
      <w:szCs w:val="20"/>
    </w:rPr>
  </w:style>
  <w:style w:type="character" w:customStyle="1" w:styleId="TextonotapieCar">
    <w:name w:val="Texto nota pie Car"/>
    <w:basedOn w:val="Fuentedeprrafopredeter"/>
    <w:link w:val="Textonotapie"/>
    <w:uiPriority w:val="99"/>
    <w:rsid w:val="00734A2B"/>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734A2B"/>
    <w:rPr>
      <w:vertAlign w:val="superscript"/>
    </w:rPr>
  </w:style>
  <w:style w:type="paragraph" w:customStyle="1" w:styleId="Appelnotedebasde">
    <w:name w:val="Appel note de bas de..."/>
    <w:basedOn w:val="Normal"/>
    <w:link w:val="Refdenotaalpie"/>
    <w:rsid w:val="00734A2B"/>
    <w:pPr>
      <w:spacing w:after="160" w:line="240" w:lineRule="exact"/>
    </w:pPr>
    <w:rPr>
      <w:vertAlign w:val="superscript"/>
    </w:rPr>
  </w:style>
  <w:style w:type="character" w:customStyle="1" w:styleId="Hipervnculo1">
    <w:name w:val="Hipervínculo1"/>
    <w:basedOn w:val="Fuentedeprrafopredeter"/>
    <w:uiPriority w:val="99"/>
    <w:unhideWhenUsed/>
    <w:rsid w:val="00734A2B"/>
    <w:rPr>
      <w:color w:val="0563C1"/>
      <w:u w:val="single"/>
    </w:rPr>
  </w:style>
  <w:style w:type="character" w:styleId="Hipervnculo">
    <w:name w:val="Hyperlink"/>
    <w:basedOn w:val="Fuentedeprrafopredeter"/>
    <w:uiPriority w:val="99"/>
    <w:unhideWhenUsed/>
    <w:rsid w:val="00734A2B"/>
    <w:rPr>
      <w:color w:val="0000FF" w:themeColor="hyperlink"/>
      <w:u w:val="single"/>
    </w:rPr>
  </w:style>
  <w:style w:type="paragraph" w:styleId="NormalWeb">
    <w:name w:val="Normal (Web)"/>
    <w:basedOn w:val="Normal"/>
    <w:uiPriority w:val="99"/>
    <w:semiHidden/>
    <w:unhideWhenUsed/>
    <w:rsid w:val="000E542F"/>
    <w:rPr>
      <w:rFonts w:ascii="Times New Roman" w:hAnsi="Times New Roman" w:cs="Times New Roman"/>
    </w:rPr>
  </w:style>
  <w:style w:type="paragraph" w:styleId="Prrafodelista">
    <w:name w:val="List Paragraph"/>
    <w:basedOn w:val="Normal"/>
    <w:uiPriority w:val="34"/>
    <w:qFormat/>
    <w:rsid w:val="00A310D3"/>
    <w:pPr>
      <w:ind w:left="720"/>
      <w:contextualSpacing/>
    </w:pPr>
  </w:style>
  <w:style w:type="character" w:customStyle="1" w:styleId="baj">
    <w:name w:val="b_aj"/>
    <w:basedOn w:val="Fuentedeprrafopredeter"/>
    <w:rsid w:val="00897E75"/>
  </w:style>
  <w:style w:type="paragraph" w:styleId="Encabezado">
    <w:name w:val="header"/>
    <w:basedOn w:val="Normal"/>
    <w:link w:val="EncabezadoCar"/>
    <w:uiPriority w:val="99"/>
    <w:unhideWhenUsed/>
    <w:rsid w:val="00897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E75"/>
  </w:style>
  <w:style w:type="paragraph" w:styleId="Piedepgina">
    <w:name w:val="footer"/>
    <w:basedOn w:val="Normal"/>
    <w:link w:val="PiedepginaCar"/>
    <w:uiPriority w:val="99"/>
    <w:unhideWhenUsed/>
    <w:rsid w:val="00897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E75"/>
  </w:style>
  <w:style w:type="character" w:styleId="nfasis">
    <w:name w:val="Emphasis"/>
    <w:basedOn w:val="Fuentedeprrafopredeter"/>
    <w:uiPriority w:val="20"/>
    <w:qFormat/>
    <w:rsid w:val="00397B0E"/>
    <w:rPr>
      <w:i/>
      <w:iCs/>
    </w:rPr>
  </w:style>
  <w:style w:type="character" w:styleId="Textoennegrita">
    <w:name w:val="Strong"/>
    <w:basedOn w:val="Fuentedeprrafopredeter"/>
    <w:uiPriority w:val="22"/>
    <w:qFormat/>
    <w:rsid w:val="00791555"/>
    <w:rPr>
      <w:b/>
      <w:bCs/>
    </w:rPr>
  </w:style>
  <w:style w:type="table" w:customStyle="1" w:styleId="Tablaconcuadrcula2">
    <w:name w:val="Tabla con cuadrícula2"/>
    <w:basedOn w:val="Tablanormal"/>
    <w:next w:val="Tablaconcuadrcula"/>
    <w:uiPriority w:val="39"/>
    <w:rsid w:val="007E715A"/>
    <w:pPr>
      <w:spacing w:after="0" w:line="240" w:lineRule="auto"/>
      <w:jc w:val="left"/>
    </w:pPr>
    <w:rPr>
      <w:rFonts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E7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85A8D"/>
    <w:pPr>
      <w:spacing w:after="0" w:line="240" w:lineRule="auto"/>
      <w:jc w:val="left"/>
    </w:pPr>
  </w:style>
  <w:style w:type="character" w:styleId="Mencinsinresolver">
    <w:name w:val="Unresolved Mention"/>
    <w:basedOn w:val="Fuentedeprrafopredeter"/>
    <w:uiPriority w:val="99"/>
    <w:semiHidden/>
    <w:unhideWhenUsed/>
    <w:rsid w:val="0013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124">
      <w:bodyDiv w:val="1"/>
      <w:marLeft w:val="0"/>
      <w:marRight w:val="0"/>
      <w:marTop w:val="0"/>
      <w:marBottom w:val="0"/>
      <w:divBdr>
        <w:top w:val="none" w:sz="0" w:space="0" w:color="auto"/>
        <w:left w:val="none" w:sz="0" w:space="0" w:color="auto"/>
        <w:bottom w:val="none" w:sz="0" w:space="0" w:color="auto"/>
        <w:right w:val="none" w:sz="0" w:space="0" w:color="auto"/>
      </w:divBdr>
    </w:div>
    <w:div w:id="112867600">
      <w:bodyDiv w:val="1"/>
      <w:marLeft w:val="0"/>
      <w:marRight w:val="0"/>
      <w:marTop w:val="0"/>
      <w:marBottom w:val="0"/>
      <w:divBdr>
        <w:top w:val="none" w:sz="0" w:space="0" w:color="auto"/>
        <w:left w:val="none" w:sz="0" w:space="0" w:color="auto"/>
        <w:bottom w:val="none" w:sz="0" w:space="0" w:color="auto"/>
        <w:right w:val="none" w:sz="0" w:space="0" w:color="auto"/>
      </w:divBdr>
      <w:divsChild>
        <w:div w:id="6362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668267">
              <w:marLeft w:val="0"/>
              <w:marRight w:val="0"/>
              <w:marTop w:val="0"/>
              <w:marBottom w:val="0"/>
              <w:divBdr>
                <w:top w:val="none" w:sz="0" w:space="0" w:color="auto"/>
                <w:left w:val="none" w:sz="0" w:space="0" w:color="auto"/>
                <w:bottom w:val="none" w:sz="0" w:space="0" w:color="auto"/>
                <w:right w:val="none" w:sz="0" w:space="0" w:color="auto"/>
              </w:divBdr>
              <w:divsChild>
                <w:div w:id="1274169353">
                  <w:marLeft w:val="0"/>
                  <w:marRight w:val="0"/>
                  <w:marTop w:val="0"/>
                  <w:marBottom w:val="0"/>
                  <w:divBdr>
                    <w:top w:val="none" w:sz="0" w:space="0" w:color="auto"/>
                    <w:left w:val="none" w:sz="0" w:space="0" w:color="auto"/>
                    <w:bottom w:val="none" w:sz="0" w:space="0" w:color="auto"/>
                    <w:right w:val="none" w:sz="0" w:space="0" w:color="auto"/>
                  </w:divBdr>
                  <w:divsChild>
                    <w:div w:id="1108816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607032">
                          <w:marLeft w:val="0"/>
                          <w:marRight w:val="0"/>
                          <w:marTop w:val="0"/>
                          <w:marBottom w:val="0"/>
                          <w:divBdr>
                            <w:top w:val="none" w:sz="0" w:space="0" w:color="auto"/>
                            <w:left w:val="none" w:sz="0" w:space="0" w:color="auto"/>
                            <w:bottom w:val="none" w:sz="0" w:space="0" w:color="auto"/>
                            <w:right w:val="none" w:sz="0" w:space="0" w:color="auto"/>
                          </w:divBdr>
                          <w:divsChild>
                            <w:div w:id="7855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9380">
      <w:bodyDiv w:val="1"/>
      <w:marLeft w:val="0"/>
      <w:marRight w:val="0"/>
      <w:marTop w:val="0"/>
      <w:marBottom w:val="0"/>
      <w:divBdr>
        <w:top w:val="none" w:sz="0" w:space="0" w:color="auto"/>
        <w:left w:val="none" w:sz="0" w:space="0" w:color="auto"/>
        <w:bottom w:val="none" w:sz="0" w:space="0" w:color="auto"/>
        <w:right w:val="none" w:sz="0" w:space="0" w:color="auto"/>
      </w:divBdr>
    </w:div>
    <w:div w:id="225343558">
      <w:bodyDiv w:val="1"/>
      <w:marLeft w:val="0"/>
      <w:marRight w:val="0"/>
      <w:marTop w:val="0"/>
      <w:marBottom w:val="0"/>
      <w:divBdr>
        <w:top w:val="none" w:sz="0" w:space="0" w:color="auto"/>
        <w:left w:val="none" w:sz="0" w:space="0" w:color="auto"/>
        <w:bottom w:val="none" w:sz="0" w:space="0" w:color="auto"/>
        <w:right w:val="none" w:sz="0" w:space="0" w:color="auto"/>
      </w:divBdr>
    </w:div>
    <w:div w:id="698119622">
      <w:bodyDiv w:val="1"/>
      <w:marLeft w:val="0"/>
      <w:marRight w:val="0"/>
      <w:marTop w:val="0"/>
      <w:marBottom w:val="0"/>
      <w:divBdr>
        <w:top w:val="none" w:sz="0" w:space="0" w:color="auto"/>
        <w:left w:val="none" w:sz="0" w:space="0" w:color="auto"/>
        <w:bottom w:val="none" w:sz="0" w:space="0" w:color="auto"/>
        <w:right w:val="none" w:sz="0" w:space="0" w:color="auto"/>
      </w:divBdr>
      <w:divsChild>
        <w:div w:id="183322019">
          <w:marLeft w:val="0"/>
          <w:marRight w:val="0"/>
          <w:marTop w:val="0"/>
          <w:marBottom w:val="0"/>
          <w:divBdr>
            <w:top w:val="none" w:sz="0" w:space="0" w:color="auto"/>
            <w:left w:val="none" w:sz="0" w:space="0" w:color="auto"/>
            <w:bottom w:val="none" w:sz="0" w:space="0" w:color="auto"/>
            <w:right w:val="none" w:sz="0" w:space="0" w:color="auto"/>
          </w:divBdr>
          <w:divsChild>
            <w:div w:id="1159348459">
              <w:marLeft w:val="0"/>
              <w:marRight w:val="0"/>
              <w:marTop w:val="0"/>
              <w:marBottom w:val="0"/>
              <w:divBdr>
                <w:top w:val="none" w:sz="0" w:space="0" w:color="auto"/>
                <w:left w:val="none" w:sz="0" w:space="0" w:color="auto"/>
                <w:bottom w:val="none" w:sz="0" w:space="0" w:color="auto"/>
                <w:right w:val="none" w:sz="0" w:space="0" w:color="auto"/>
              </w:divBdr>
            </w:div>
          </w:divsChild>
        </w:div>
        <w:div w:id="714499568">
          <w:marLeft w:val="0"/>
          <w:marRight w:val="0"/>
          <w:marTop w:val="0"/>
          <w:marBottom w:val="0"/>
          <w:divBdr>
            <w:top w:val="none" w:sz="0" w:space="0" w:color="auto"/>
            <w:left w:val="none" w:sz="0" w:space="0" w:color="auto"/>
            <w:bottom w:val="none" w:sz="0" w:space="0" w:color="auto"/>
            <w:right w:val="none" w:sz="0" w:space="0" w:color="auto"/>
          </w:divBdr>
          <w:divsChild>
            <w:div w:id="1642420608">
              <w:marLeft w:val="0"/>
              <w:marRight w:val="0"/>
              <w:marTop w:val="0"/>
              <w:marBottom w:val="0"/>
              <w:divBdr>
                <w:top w:val="none" w:sz="0" w:space="0" w:color="auto"/>
                <w:left w:val="none" w:sz="0" w:space="0" w:color="auto"/>
                <w:bottom w:val="none" w:sz="0" w:space="0" w:color="auto"/>
                <w:right w:val="none" w:sz="0" w:space="0" w:color="auto"/>
              </w:divBdr>
            </w:div>
          </w:divsChild>
        </w:div>
        <w:div w:id="974798296">
          <w:marLeft w:val="0"/>
          <w:marRight w:val="0"/>
          <w:marTop w:val="0"/>
          <w:marBottom w:val="0"/>
          <w:divBdr>
            <w:top w:val="none" w:sz="0" w:space="0" w:color="auto"/>
            <w:left w:val="none" w:sz="0" w:space="0" w:color="auto"/>
            <w:bottom w:val="none" w:sz="0" w:space="0" w:color="auto"/>
            <w:right w:val="none" w:sz="0" w:space="0" w:color="auto"/>
          </w:divBdr>
          <w:divsChild>
            <w:div w:id="1942491899">
              <w:marLeft w:val="0"/>
              <w:marRight w:val="0"/>
              <w:marTop w:val="0"/>
              <w:marBottom w:val="0"/>
              <w:divBdr>
                <w:top w:val="none" w:sz="0" w:space="0" w:color="auto"/>
                <w:left w:val="none" w:sz="0" w:space="0" w:color="auto"/>
                <w:bottom w:val="none" w:sz="0" w:space="0" w:color="auto"/>
                <w:right w:val="none" w:sz="0" w:space="0" w:color="auto"/>
              </w:divBdr>
            </w:div>
          </w:divsChild>
        </w:div>
        <w:div w:id="1396244973">
          <w:marLeft w:val="0"/>
          <w:marRight w:val="0"/>
          <w:marTop w:val="0"/>
          <w:marBottom w:val="0"/>
          <w:divBdr>
            <w:top w:val="none" w:sz="0" w:space="0" w:color="auto"/>
            <w:left w:val="none" w:sz="0" w:space="0" w:color="auto"/>
            <w:bottom w:val="none" w:sz="0" w:space="0" w:color="auto"/>
            <w:right w:val="none" w:sz="0" w:space="0" w:color="auto"/>
          </w:divBdr>
          <w:divsChild>
            <w:div w:id="405154561">
              <w:marLeft w:val="0"/>
              <w:marRight w:val="0"/>
              <w:marTop w:val="0"/>
              <w:marBottom w:val="0"/>
              <w:divBdr>
                <w:top w:val="none" w:sz="0" w:space="0" w:color="auto"/>
                <w:left w:val="none" w:sz="0" w:space="0" w:color="auto"/>
                <w:bottom w:val="none" w:sz="0" w:space="0" w:color="auto"/>
                <w:right w:val="none" w:sz="0" w:space="0" w:color="auto"/>
              </w:divBdr>
            </w:div>
          </w:divsChild>
        </w:div>
        <w:div w:id="1469468370">
          <w:marLeft w:val="0"/>
          <w:marRight w:val="0"/>
          <w:marTop w:val="0"/>
          <w:marBottom w:val="0"/>
          <w:divBdr>
            <w:top w:val="none" w:sz="0" w:space="0" w:color="auto"/>
            <w:left w:val="none" w:sz="0" w:space="0" w:color="auto"/>
            <w:bottom w:val="none" w:sz="0" w:space="0" w:color="auto"/>
            <w:right w:val="none" w:sz="0" w:space="0" w:color="auto"/>
          </w:divBdr>
          <w:divsChild>
            <w:div w:id="14587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581">
      <w:bodyDiv w:val="1"/>
      <w:marLeft w:val="0"/>
      <w:marRight w:val="0"/>
      <w:marTop w:val="0"/>
      <w:marBottom w:val="0"/>
      <w:divBdr>
        <w:top w:val="none" w:sz="0" w:space="0" w:color="auto"/>
        <w:left w:val="none" w:sz="0" w:space="0" w:color="auto"/>
        <w:bottom w:val="none" w:sz="0" w:space="0" w:color="auto"/>
        <w:right w:val="none" w:sz="0" w:space="0" w:color="auto"/>
      </w:divBdr>
    </w:div>
    <w:div w:id="878780301">
      <w:bodyDiv w:val="1"/>
      <w:marLeft w:val="0"/>
      <w:marRight w:val="0"/>
      <w:marTop w:val="0"/>
      <w:marBottom w:val="0"/>
      <w:divBdr>
        <w:top w:val="none" w:sz="0" w:space="0" w:color="auto"/>
        <w:left w:val="none" w:sz="0" w:space="0" w:color="auto"/>
        <w:bottom w:val="none" w:sz="0" w:space="0" w:color="auto"/>
        <w:right w:val="none" w:sz="0" w:space="0" w:color="auto"/>
      </w:divBdr>
    </w:div>
    <w:div w:id="1003553746">
      <w:bodyDiv w:val="1"/>
      <w:marLeft w:val="0"/>
      <w:marRight w:val="0"/>
      <w:marTop w:val="0"/>
      <w:marBottom w:val="0"/>
      <w:divBdr>
        <w:top w:val="none" w:sz="0" w:space="0" w:color="auto"/>
        <w:left w:val="none" w:sz="0" w:space="0" w:color="auto"/>
        <w:bottom w:val="none" w:sz="0" w:space="0" w:color="auto"/>
        <w:right w:val="none" w:sz="0" w:space="0" w:color="auto"/>
      </w:divBdr>
    </w:div>
    <w:div w:id="1079406859">
      <w:bodyDiv w:val="1"/>
      <w:marLeft w:val="0"/>
      <w:marRight w:val="0"/>
      <w:marTop w:val="0"/>
      <w:marBottom w:val="0"/>
      <w:divBdr>
        <w:top w:val="none" w:sz="0" w:space="0" w:color="auto"/>
        <w:left w:val="none" w:sz="0" w:space="0" w:color="auto"/>
        <w:bottom w:val="none" w:sz="0" w:space="0" w:color="auto"/>
        <w:right w:val="none" w:sz="0" w:space="0" w:color="auto"/>
      </w:divBdr>
    </w:div>
    <w:div w:id="1132556230">
      <w:bodyDiv w:val="1"/>
      <w:marLeft w:val="0"/>
      <w:marRight w:val="0"/>
      <w:marTop w:val="0"/>
      <w:marBottom w:val="0"/>
      <w:divBdr>
        <w:top w:val="none" w:sz="0" w:space="0" w:color="auto"/>
        <w:left w:val="none" w:sz="0" w:space="0" w:color="auto"/>
        <w:bottom w:val="none" w:sz="0" w:space="0" w:color="auto"/>
        <w:right w:val="none" w:sz="0" w:space="0" w:color="auto"/>
      </w:divBdr>
    </w:div>
    <w:div w:id="1248078066">
      <w:bodyDiv w:val="1"/>
      <w:marLeft w:val="0"/>
      <w:marRight w:val="0"/>
      <w:marTop w:val="0"/>
      <w:marBottom w:val="0"/>
      <w:divBdr>
        <w:top w:val="none" w:sz="0" w:space="0" w:color="auto"/>
        <w:left w:val="none" w:sz="0" w:space="0" w:color="auto"/>
        <w:bottom w:val="none" w:sz="0" w:space="0" w:color="auto"/>
        <w:right w:val="none" w:sz="0" w:space="0" w:color="auto"/>
      </w:divBdr>
    </w:div>
    <w:div w:id="1364938419">
      <w:bodyDiv w:val="1"/>
      <w:marLeft w:val="0"/>
      <w:marRight w:val="0"/>
      <w:marTop w:val="0"/>
      <w:marBottom w:val="0"/>
      <w:divBdr>
        <w:top w:val="none" w:sz="0" w:space="0" w:color="auto"/>
        <w:left w:val="none" w:sz="0" w:space="0" w:color="auto"/>
        <w:bottom w:val="none" w:sz="0" w:space="0" w:color="auto"/>
        <w:right w:val="none" w:sz="0" w:space="0" w:color="auto"/>
      </w:divBdr>
      <w:divsChild>
        <w:div w:id="64454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181630">
              <w:marLeft w:val="0"/>
              <w:marRight w:val="0"/>
              <w:marTop w:val="0"/>
              <w:marBottom w:val="0"/>
              <w:divBdr>
                <w:top w:val="none" w:sz="0" w:space="0" w:color="auto"/>
                <w:left w:val="none" w:sz="0" w:space="0" w:color="auto"/>
                <w:bottom w:val="none" w:sz="0" w:space="0" w:color="auto"/>
                <w:right w:val="none" w:sz="0" w:space="0" w:color="auto"/>
              </w:divBdr>
              <w:divsChild>
                <w:div w:id="896816149">
                  <w:marLeft w:val="0"/>
                  <w:marRight w:val="0"/>
                  <w:marTop w:val="0"/>
                  <w:marBottom w:val="0"/>
                  <w:divBdr>
                    <w:top w:val="none" w:sz="0" w:space="0" w:color="auto"/>
                    <w:left w:val="none" w:sz="0" w:space="0" w:color="auto"/>
                    <w:bottom w:val="none" w:sz="0" w:space="0" w:color="auto"/>
                    <w:right w:val="none" w:sz="0" w:space="0" w:color="auto"/>
                  </w:divBdr>
                  <w:divsChild>
                    <w:div w:id="1212301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438782">
                          <w:marLeft w:val="0"/>
                          <w:marRight w:val="0"/>
                          <w:marTop w:val="0"/>
                          <w:marBottom w:val="0"/>
                          <w:divBdr>
                            <w:top w:val="none" w:sz="0" w:space="0" w:color="auto"/>
                            <w:left w:val="none" w:sz="0" w:space="0" w:color="auto"/>
                            <w:bottom w:val="none" w:sz="0" w:space="0" w:color="auto"/>
                            <w:right w:val="none" w:sz="0" w:space="0" w:color="auto"/>
                          </w:divBdr>
                          <w:divsChild>
                            <w:div w:id="18305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332393">
      <w:bodyDiv w:val="1"/>
      <w:marLeft w:val="0"/>
      <w:marRight w:val="0"/>
      <w:marTop w:val="0"/>
      <w:marBottom w:val="0"/>
      <w:divBdr>
        <w:top w:val="none" w:sz="0" w:space="0" w:color="auto"/>
        <w:left w:val="none" w:sz="0" w:space="0" w:color="auto"/>
        <w:bottom w:val="none" w:sz="0" w:space="0" w:color="auto"/>
        <w:right w:val="none" w:sz="0" w:space="0" w:color="auto"/>
      </w:divBdr>
    </w:div>
    <w:div w:id="1540320393">
      <w:bodyDiv w:val="1"/>
      <w:marLeft w:val="0"/>
      <w:marRight w:val="0"/>
      <w:marTop w:val="0"/>
      <w:marBottom w:val="0"/>
      <w:divBdr>
        <w:top w:val="none" w:sz="0" w:space="0" w:color="auto"/>
        <w:left w:val="none" w:sz="0" w:space="0" w:color="auto"/>
        <w:bottom w:val="none" w:sz="0" w:space="0" w:color="auto"/>
        <w:right w:val="none" w:sz="0" w:space="0" w:color="auto"/>
      </w:divBdr>
    </w:div>
    <w:div w:id="1908612038">
      <w:bodyDiv w:val="1"/>
      <w:marLeft w:val="0"/>
      <w:marRight w:val="0"/>
      <w:marTop w:val="0"/>
      <w:marBottom w:val="0"/>
      <w:divBdr>
        <w:top w:val="none" w:sz="0" w:space="0" w:color="auto"/>
        <w:left w:val="none" w:sz="0" w:space="0" w:color="auto"/>
        <w:bottom w:val="none" w:sz="0" w:space="0" w:color="auto"/>
        <w:right w:val="none" w:sz="0" w:space="0" w:color="auto"/>
      </w:divBdr>
    </w:div>
    <w:div w:id="1928922599">
      <w:bodyDiv w:val="1"/>
      <w:marLeft w:val="0"/>
      <w:marRight w:val="0"/>
      <w:marTop w:val="0"/>
      <w:marBottom w:val="0"/>
      <w:divBdr>
        <w:top w:val="none" w:sz="0" w:space="0" w:color="auto"/>
        <w:left w:val="none" w:sz="0" w:space="0" w:color="auto"/>
        <w:bottom w:val="none" w:sz="0" w:space="0" w:color="auto"/>
        <w:right w:val="none" w:sz="0" w:space="0" w:color="auto"/>
      </w:divBdr>
      <w:divsChild>
        <w:div w:id="290291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925470">
              <w:marLeft w:val="0"/>
              <w:marRight w:val="0"/>
              <w:marTop w:val="0"/>
              <w:marBottom w:val="0"/>
              <w:divBdr>
                <w:top w:val="none" w:sz="0" w:space="0" w:color="auto"/>
                <w:left w:val="none" w:sz="0" w:space="0" w:color="auto"/>
                <w:bottom w:val="none" w:sz="0" w:space="0" w:color="auto"/>
                <w:right w:val="none" w:sz="0" w:space="0" w:color="auto"/>
              </w:divBdr>
              <w:divsChild>
                <w:div w:id="1807237549">
                  <w:marLeft w:val="0"/>
                  <w:marRight w:val="0"/>
                  <w:marTop w:val="0"/>
                  <w:marBottom w:val="0"/>
                  <w:divBdr>
                    <w:top w:val="none" w:sz="0" w:space="0" w:color="auto"/>
                    <w:left w:val="none" w:sz="0" w:space="0" w:color="auto"/>
                    <w:bottom w:val="none" w:sz="0" w:space="0" w:color="auto"/>
                    <w:right w:val="none" w:sz="0" w:space="0" w:color="auto"/>
                  </w:divBdr>
                  <w:divsChild>
                    <w:div w:id="727453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117388">
                          <w:marLeft w:val="0"/>
                          <w:marRight w:val="0"/>
                          <w:marTop w:val="0"/>
                          <w:marBottom w:val="0"/>
                          <w:divBdr>
                            <w:top w:val="none" w:sz="0" w:space="0" w:color="auto"/>
                            <w:left w:val="none" w:sz="0" w:space="0" w:color="auto"/>
                            <w:bottom w:val="none" w:sz="0" w:space="0" w:color="auto"/>
                            <w:right w:val="none" w:sz="0" w:space="0" w:color="auto"/>
                          </w:divBdr>
                          <w:divsChild>
                            <w:div w:id="13612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9695">
      <w:bodyDiv w:val="1"/>
      <w:marLeft w:val="0"/>
      <w:marRight w:val="0"/>
      <w:marTop w:val="0"/>
      <w:marBottom w:val="0"/>
      <w:divBdr>
        <w:top w:val="none" w:sz="0" w:space="0" w:color="auto"/>
        <w:left w:val="none" w:sz="0" w:space="0" w:color="auto"/>
        <w:bottom w:val="none" w:sz="0" w:space="0" w:color="auto"/>
        <w:right w:val="none" w:sz="0" w:space="0" w:color="auto"/>
      </w:divBdr>
    </w:div>
    <w:div w:id="1949583030">
      <w:bodyDiv w:val="1"/>
      <w:marLeft w:val="0"/>
      <w:marRight w:val="0"/>
      <w:marTop w:val="0"/>
      <w:marBottom w:val="0"/>
      <w:divBdr>
        <w:top w:val="none" w:sz="0" w:space="0" w:color="auto"/>
        <w:left w:val="none" w:sz="0" w:space="0" w:color="auto"/>
        <w:bottom w:val="none" w:sz="0" w:space="0" w:color="auto"/>
        <w:right w:val="none" w:sz="0" w:space="0" w:color="auto"/>
      </w:divBdr>
    </w:div>
    <w:div w:id="2115202505">
      <w:bodyDiv w:val="1"/>
      <w:marLeft w:val="0"/>
      <w:marRight w:val="0"/>
      <w:marTop w:val="0"/>
      <w:marBottom w:val="0"/>
      <w:divBdr>
        <w:top w:val="none" w:sz="0" w:space="0" w:color="auto"/>
        <w:left w:val="none" w:sz="0" w:space="0" w:color="auto"/>
        <w:bottom w:val="none" w:sz="0" w:space="0" w:color="auto"/>
        <w:right w:val="none" w:sz="0" w:space="0" w:color="auto"/>
      </w:divBdr>
      <w:divsChild>
        <w:div w:id="1285312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41709">
              <w:marLeft w:val="0"/>
              <w:marRight w:val="0"/>
              <w:marTop w:val="0"/>
              <w:marBottom w:val="0"/>
              <w:divBdr>
                <w:top w:val="none" w:sz="0" w:space="0" w:color="auto"/>
                <w:left w:val="none" w:sz="0" w:space="0" w:color="auto"/>
                <w:bottom w:val="none" w:sz="0" w:space="0" w:color="auto"/>
                <w:right w:val="none" w:sz="0" w:space="0" w:color="auto"/>
              </w:divBdr>
              <w:divsChild>
                <w:div w:id="473185084">
                  <w:marLeft w:val="0"/>
                  <w:marRight w:val="0"/>
                  <w:marTop w:val="0"/>
                  <w:marBottom w:val="0"/>
                  <w:divBdr>
                    <w:top w:val="none" w:sz="0" w:space="0" w:color="auto"/>
                    <w:left w:val="none" w:sz="0" w:space="0" w:color="auto"/>
                    <w:bottom w:val="none" w:sz="0" w:space="0" w:color="auto"/>
                    <w:right w:val="none" w:sz="0" w:space="0" w:color="auto"/>
                  </w:divBdr>
                  <w:divsChild>
                    <w:div w:id="43064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1329">
                          <w:marLeft w:val="0"/>
                          <w:marRight w:val="0"/>
                          <w:marTop w:val="0"/>
                          <w:marBottom w:val="0"/>
                          <w:divBdr>
                            <w:top w:val="none" w:sz="0" w:space="0" w:color="auto"/>
                            <w:left w:val="none" w:sz="0" w:space="0" w:color="auto"/>
                            <w:bottom w:val="none" w:sz="0" w:space="0" w:color="auto"/>
                            <w:right w:val="none" w:sz="0" w:space="0" w:color="auto"/>
                          </w:divBdr>
                          <w:divsChild>
                            <w:div w:id="14918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actualicese.co/actualidad/2016/02/15/sustitucion-patronal-como-opera/"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min.actualicese.co/actualidad/2016/02/15/sustitucion-patronal-como-oper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ficha/C-437%20de%2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0A7A4-4B05-41FB-9D60-39A1CE8BDB82}">
  <ds:schemaRefs>
    <ds:schemaRef ds:uri="http://schemas.openxmlformats.org/officeDocument/2006/bibliography"/>
  </ds:schemaRefs>
</ds:datastoreItem>
</file>

<file path=customXml/itemProps2.xml><?xml version="1.0" encoding="utf-8"?>
<ds:datastoreItem xmlns:ds="http://schemas.openxmlformats.org/officeDocument/2006/customXml" ds:itemID="{E5354E40-474C-4322-8B8A-8BC63730EFE6}"/>
</file>

<file path=customXml/itemProps3.xml><?xml version="1.0" encoding="utf-8"?>
<ds:datastoreItem xmlns:ds="http://schemas.openxmlformats.org/officeDocument/2006/customXml" ds:itemID="{D9ED1342-851E-47F0-A35E-5FB2B690C7B0}"/>
</file>

<file path=customXml/itemProps4.xml><?xml version="1.0" encoding="utf-8"?>
<ds:datastoreItem xmlns:ds="http://schemas.openxmlformats.org/officeDocument/2006/customXml" ds:itemID="{285192DC-3906-4D9E-82C3-9AEF2EDFFFEE}"/>
</file>

<file path=docProps/app.xml><?xml version="1.0" encoding="utf-8"?>
<Properties xmlns="http://schemas.openxmlformats.org/officeDocument/2006/extended-properties" xmlns:vt="http://schemas.openxmlformats.org/officeDocument/2006/docPropsVTypes">
  <Template>Normal.dotm</Template>
  <TotalTime>209</TotalTime>
  <Pages>13</Pages>
  <Words>4103</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Luisa Fernanda Pascuaza Cabrera</cp:lastModifiedBy>
  <cp:revision>22</cp:revision>
  <cp:lastPrinted>2022-03-24T20:14:00Z</cp:lastPrinted>
  <dcterms:created xsi:type="dcterms:W3CDTF">2022-08-20T14:55:00Z</dcterms:created>
  <dcterms:modified xsi:type="dcterms:W3CDTF">2022-10-07T21:43:00Z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