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6C90" w14:textId="77777777" w:rsidR="001500F3" w:rsidRPr="001334D8" w:rsidRDefault="001500F3" w:rsidP="1AAD68F4">
      <w:pPr>
        <w:spacing w:after="0" w:line="240" w:lineRule="auto"/>
        <w:contextualSpacing/>
        <w:jc w:val="both"/>
        <w:rPr>
          <w:rFonts w:ascii="Arial" w:eastAsia="Calibri" w:hAnsi="Arial" w:cs="Arial"/>
          <w:lang w:val="es-ES" w:eastAsia="es-MX"/>
        </w:rPr>
      </w:pPr>
      <w:r w:rsidRPr="1AAD68F4">
        <w:rPr>
          <w:rFonts w:ascii="Arial" w:eastAsia="Times New Roman" w:hAnsi="Arial" w:cs="Arial"/>
          <w:b/>
          <w:bCs/>
          <w:lang w:val="es-ES" w:eastAsia="es-ES"/>
        </w:rPr>
        <w:t>REGISTRO ÚNICO DE PROPONENTES – RUP– Concepto</w:t>
      </w:r>
    </w:p>
    <w:p w14:paraId="6AB9CE6A" w14:textId="77777777" w:rsidR="001500F3" w:rsidRPr="001334D8" w:rsidRDefault="001500F3" w:rsidP="00A36C85">
      <w:pPr>
        <w:spacing w:after="0" w:line="240" w:lineRule="auto"/>
        <w:contextualSpacing/>
        <w:jc w:val="both"/>
        <w:textAlignment w:val="baseline"/>
        <w:rPr>
          <w:rFonts w:ascii="Arial" w:eastAsia="Times New Roman" w:hAnsi="Arial" w:cs="Arial"/>
          <w:sz w:val="20"/>
          <w:szCs w:val="20"/>
          <w:lang w:eastAsia="es-ES_tradnl"/>
        </w:rPr>
      </w:pPr>
    </w:p>
    <w:p w14:paraId="500A1729" w14:textId="5098B0D1" w:rsidR="003253D6" w:rsidRDefault="00A36C85" w:rsidP="00A36C85">
      <w:pPr>
        <w:spacing w:after="0" w:line="240" w:lineRule="auto"/>
        <w:contextualSpacing/>
        <w:jc w:val="both"/>
        <w:textAlignment w:val="baseline"/>
        <w:rPr>
          <w:rFonts w:ascii="Arial" w:eastAsia="Times New Roman" w:hAnsi="Arial" w:cs="Arial"/>
          <w:sz w:val="20"/>
          <w:szCs w:val="20"/>
          <w:lang w:eastAsia="es-ES_tradnl"/>
        </w:rPr>
      </w:pPr>
      <w:r w:rsidRPr="00A36C85">
        <w:rPr>
          <w:rFonts w:ascii="Arial" w:eastAsia="Times New Roman" w:hAnsi="Arial" w:cs="Arial"/>
          <w:sz w:val="20"/>
          <w:szCs w:val="20"/>
          <w:lang w:eastAsia="es-ES_tradnl"/>
        </w:rPr>
        <w:t>El RUP es el registro público donde deberán inscribirse las personas naturales y jurídicas que aspiren a celebrar contratos con las entidades estatales, según lo dispone el artículo 6 de la Ley 1150 de 2007. El RUP tiene por objeto consolidar la información relacionada con la capacidad jurídica, financiera, organizacional y de experiencia de los posibles interesados en celebrar contratos con el Estado, con el fin de que participen en los procedimientos de selección realizados por las entidades estatales, facilitando la revisión de los datos contenidos en el registro.La capacidad jurídica, las condiciones de experiencia, la capacidad financiera y de organización de los proponentes deberán verificarse exclusivamente con el registro, toda vez que constituye plena prueba de lo que contiene, según el numeral 6.1 del artículo 6 de la Ley 1150 de 2007 . El legislador otorgó a las cámaras de comercio la administración del RUP y dispuso que estas realizarían la verificación de la información suministrada por las personas naturales o jurídicas para su posterior utilización en los procesos de selección. En el mismo sentido, el artículo 2.2.1.1.1.5.3. del Decreto 1082 de 2015 señala que las cámaras de comercio verificarán y certificarán los requisitos habilitantes de experiencia, capacidad jurídica, capacidad financiera y de organización. Conforme el artículo 6.3 de la Ley 1150 de 2007, la cámara de comercio, verificada la información aportada por el proponente, publicará el acto de inscripción del RUP, contra el cual cualquier persona podrá interponer recurso de reposición dentro de los diez (10) días hábiles siguientes contados a partir de su publicación –posibilidad aplicable frente a la inscripción, renovación o actualización–. En firme el acto administrativo que realiza la inscripción en el RUP se podrá demandar su nulidad sin que la presentación de la demanda suspenda la inscripción del RUP.</w:t>
      </w:r>
    </w:p>
    <w:p w14:paraId="0CC43325" w14:textId="77777777" w:rsidR="00A36C85" w:rsidRPr="001334D8" w:rsidRDefault="00A36C85" w:rsidP="00A36C85">
      <w:pPr>
        <w:spacing w:after="0" w:line="240" w:lineRule="auto"/>
        <w:contextualSpacing/>
        <w:jc w:val="both"/>
        <w:textAlignment w:val="baseline"/>
        <w:rPr>
          <w:rFonts w:ascii="Arial" w:eastAsia="Times New Roman" w:hAnsi="Arial" w:cs="Arial"/>
          <w:sz w:val="20"/>
          <w:szCs w:val="20"/>
          <w:lang w:eastAsia="es-ES_tradnl"/>
        </w:rPr>
      </w:pPr>
    </w:p>
    <w:p w14:paraId="6352356A" w14:textId="77777777" w:rsidR="001500F3" w:rsidRPr="001334D8" w:rsidRDefault="001500F3" w:rsidP="00A36C85">
      <w:pPr>
        <w:spacing w:after="0" w:line="240" w:lineRule="auto"/>
        <w:contextualSpacing/>
        <w:jc w:val="both"/>
        <w:textAlignment w:val="baseline"/>
        <w:rPr>
          <w:rFonts w:ascii="Segoe UI" w:eastAsia="Times New Roman" w:hAnsi="Segoe UI" w:cs="Segoe UI"/>
          <w:lang w:eastAsia="es-CO"/>
        </w:rPr>
      </w:pPr>
      <w:r w:rsidRPr="001334D8">
        <w:rPr>
          <w:rFonts w:ascii="Arial" w:eastAsia="Times New Roman" w:hAnsi="Arial" w:cs="Arial"/>
          <w:b/>
          <w:bCs/>
          <w:lang w:val="es-MX" w:eastAsia="es-CO"/>
        </w:rPr>
        <w:t>EXPERIENCIA ‒ Conservación ‒ Renovación RUP ‒ Cesación efectos RUP</w:t>
      </w:r>
    </w:p>
    <w:p w14:paraId="63D82009" w14:textId="77777777" w:rsidR="001500F3" w:rsidRPr="001334D8" w:rsidRDefault="001500F3" w:rsidP="00A36C85">
      <w:pPr>
        <w:spacing w:after="0" w:line="240" w:lineRule="auto"/>
        <w:contextualSpacing/>
        <w:jc w:val="both"/>
        <w:textAlignment w:val="baseline"/>
        <w:rPr>
          <w:rFonts w:ascii="Segoe UI" w:eastAsia="Times New Roman" w:hAnsi="Segoe UI" w:cs="Segoe UI"/>
          <w:sz w:val="20"/>
          <w:szCs w:val="20"/>
          <w:lang w:eastAsia="es-CO"/>
        </w:rPr>
      </w:pPr>
      <w:r w:rsidRPr="001334D8">
        <w:rPr>
          <w:rFonts w:ascii="Arial" w:eastAsia="Times New Roman" w:hAnsi="Arial" w:cs="Arial"/>
          <w:sz w:val="20"/>
          <w:szCs w:val="20"/>
          <w:lang w:eastAsia="es-CO"/>
        </w:rPr>
        <w:t> </w:t>
      </w:r>
    </w:p>
    <w:p w14:paraId="00A02E2B" w14:textId="427FEB96" w:rsidR="00A36C85" w:rsidRPr="00A36C85" w:rsidRDefault="00A36C85" w:rsidP="00A36C85">
      <w:pPr>
        <w:spacing w:after="120" w:line="240" w:lineRule="auto"/>
        <w:jc w:val="both"/>
        <w:rPr>
          <w:rFonts w:ascii="Arial" w:eastAsia="Calibri" w:hAnsi="Arial" w:cs="Arial"/>
          <w:sz w:val="20"/>
          <w:szCs w:val="20"/>
          <w:lang w:val="es-MX" w:eastAsia="es-ES_tradnl"/>
        </w:rPr>
      </w:pPr>
      <w:r w:rsidRPr="00A36C85">
        <w:rPr>
          <w:rFonts w:ascii="Arial" w:eastAsia="Calibri" w:hAnsi="Arial" w:cs="Arial"/>
          <w:sz w:val="20"/>
          <w:szCs w:val="20"/>
          <w:lang w:val="es-MX" w:eastAsia="es-ES_tradnl"/>
        </w:rPr>
        <w:t>La Ley 1150 de 2007, en el literal 1 del artículo 5, establece los requisitos habilitantes para participar en un procedimiento contractual, dentro de los cuales se destaca la experiencia, cuyo propósito es que las entidades fijen unos requisitos mínimos que debe tener y acreditar el proponente, para que la entidad pueda verificar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Pr>
          <w:rFonts w:ascii="Arial" w:eastAsia="Calibri" w:hAnsi="Arial" w:cs="Arial"/>
          <w:sz w:val="20"/>
          <w:szCs w:val="20"/>
          <w:lang w:val="es-MX" w:eastAsia="es-ES_tradnl"/>
        </w:rPr>
        <w:t xml:space="preserve"> </w:t>
      </w:r>
      <w:r w:rsidRPr="00A36C85">
        <w:rPr>
          <w:rFonts w:ascii="Arial" w:eastAsia="Calibri" w:hAnsi="Arial" w:cs="Arial"/>
          <w:sz w:val="20"/>
          <w:szCs w:val="20"/>
          <w:lang w:val="es-MX" w:eastAsia="es-ES_tradnl"/>
        </w:rPr>
        <w:t>La experiencia que se deriva de los contratos que el proponente ha celebrado y ejecutado con diferentes contratantes, sin importar la naturaleza de estos, se verifica con el Registro Único de Proponentes – en adelante RUP, cuando este certificado sea exigible de acuerdo con la ley. En este registro constan los requisitos habilitantes que se evalúan exclusivamente con este documento, que es plena prueba, sin que la entidad o el proponente puedan solicitar o aportar otra documentación.</w:t>
      </w:r>
    </w:p>
    <w:p w14:paraId="20F7E811" w14:textId="77777777" w:rsidR="005F2C99" w:rsidRPr="001334D8" w:rsidRDefault="005F2C99" w:rsidP="005F2C99">
      <w:pPr>
        <w:spacing w:after="0" w:line="276" w:lineRule="auto"/>
        <w:jc w:val="right"/>
        <w:rPr>
          <w:rFonts w:ascii="Arial" w:eastAsia="Times New Roman" w:hAnsi="Arial" w:cs="Arial"/>
          <w:b/>
          <w:bCs/>
          <w:sz w:val="16"/>
          <w:szCs w:val="16"/>
          <w:lang w:eastAsia="es-ES"/>
        </w:rPr>
      </w:pPr>
    </w:p>
    <w:p w14:paraId="228A0D85" w14:textId="7917DCC6" w:rsidR="004B5310" w:rsidRPr="001334D8" w:rsidRDefault="004B5310" w:rsidP="008C065A">
      <w:pPr>
        <w:spacing w:after="0" w:line="276" w:lineRule="auto"/>
        <w:jc w:val="right"/>
        <w:rPr>
          <w:rFonts w:ascii="Arial" w:eastAsia="Calibri" w:hAnsi="Arial" w:cs="Arial"/>
          <w:b/>
          <w:bCs/>
        </w:rPr>
      </w:pPr>
    </w:p>
    <w:p w14:paraId="2568C8E7" w14:textId="20DDD3ED" w:rsidR="008C065A" w:rsidRPr="001334D8" w:rsidRDefault="008C065A" w:rsidP="005F2C99">
      <w:pPr>
        <w:tabs>
          <w:tab w:val="left" w:pos="3374"/>
        </w:tabs>
        <w:spacing w:after="0" w:line="240" w:lineRule="auto"/>
        <w:contextualSpacing/>
        <w:jc w:val="right"/>
        <w:rPr>
          <w:rFonts w:ascii="Arial" w:eastAsia="Calibri" w:hAnsi="Arial" w:cs="Arial"/>
          <w:lang w:val="es-MX"/>
        </w:rPr>
      </w:pPr>
    </w:p>
    <w:p w14:paraId="74E341FD" w14:textId="3E8E1307" w:rsidR="008C065A" w:rsidRPr="001334D8" w:rsidRDefault="008C065A" w:rsidP="005F2C99">
      <w:pPr>
        <w:tabs>
          <w:tab w:val="left" w:pos="3374"/>
        </w:tabs>
        <w:spacing w:after="0" w:line="240" w:lineRule="auto"/>
        <w:contextualSpacing/>
        <w:jc w:val="right"/>
        <w:rPr>
          <w:rFonts w:ascii="Arial" w:eastAsia="Calibri" w:hAnsi="Arial" w:cs="Arial"/>
          <w:lang w:val="es-MX"/>
        </w:rPr>
      </w:pPr>
    </w:p>
    <w:p w14:paraId="6B7CB840" w14:textId="4234FB91" w:rsidR="00711392" w:rsidRPr="001334D8" w:rsidRDefault="00A36C85" w:rsidP="00A36C85">
      <w:pPr>
        <w:tabs>
          <w:tab w:val="left" w:pos="3374"/>
        </w:tabs>
        <w:spacing w:after="0" w:line="240" w:lineRule="auto"/>
        <w:ind w:left="708"/>
        <w:contextualSpacing/>
        <w:jc w:val="right"/>
        <w:rPr>
          <w:rFonts w:ascii="Arial" w:eastAsia="Calibri" w:hAnsi="Arial" w:cs="Arial"/>
          <w:lang w:val="es-MX"/>
        </w:rPr>
      </w:pPr>
      <w:r>
        <w:rPr>
          <w:rFonts w:ascii="Arial" w:eastAsia="Calibri" w:hAnsi="Arial" w:cs="Arial"/>
          <w:lang w:val="es-MX"/>
        </w:rPr>
        <w:lastRenderedPageBreak/>
        <w:tab/>
        <w:t xml:space="preserve">   </w:t>
      </w:r>
      <w:r w:rsidRPr="00A36C85">
        <w:rPr>
          <w:rFonts w:ascii="Arial" w:eastAsia="Calibri" w:hAnsi="Arial" w:cs="Arial"/>
          <w:noProof/>
          <w:lang w:val="es-MX"/>
        </w:rPr>
        <w:drawing>
          <wp:inline distT="0" distB="0" distL="0" distR="0" wp14:anchorId="4A2017E3" wp14:editId="45CC3D44">
            <wp:extent cx="3087370" cy="798691"/>
            <wp:effectExtent l="0" t="0" r="0" b="190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100173" cy="802003"/>
                    </a:xfrm>
                    <a:prstGeom prst="rect">
                      <a:avLst/>
                    </a:prstGeom>
                  </pic:spPr>
                </pic:pic>
              </a:graphicData>
            </a:graphic>
          </wp:inline>
        </w:drawing>
      </w:r>
    </w:p>
    <w:p w14:paraId="676386C4" w14:textId="77777777" w:rsidR="008A097F" w:rsidRPr="001334D8" w:rsidRDefault="008A097F" w:rsidP="005F2C99">
      <w:pPr>
        <w:tabs>
          <w:tab w:val="left" w:pos="3374"/>
        </w:tabs>
        <w:spacing w:after="0" w:line="240" w:lineRule="auto"/>
        <w:contextualSpacing/>
        <w:jc w:val="right"/>
        <w:rPr>
          <w:rFonts w:ascii="Arial" w:eastAsia="Calibri" w:hAnsi="Arial" w:cs="Arial"/>
          <w:lang w:val="es-MX"/>
        </w:rPr>
      </w:pPr>
    </w:p>
    <w:p w14:paraId="6260F95A" w14:textId="3FF3A832" w:rsidR="00711392" w:rsidRPr="001334D8" w:rsidRDefault="00711392" w:rsidP="000031FA">
      <w:pPr>
        <w:spacing w:after="0" w:line="240" w:lineRule="auto"/>
        <w:contextualSpacing/>
        <w:jc w:val="both"/>
        <w:rPr>
          <w:rFonts w:ascii="Arial" w:eastAsia="Calibri" w:hAnsi="Arial" w:cs="Arial"/>
          <w:lang w:val="es-MX"/>
        </w:rPr>
      </w:pPr>
      <w:bookmarkStart w:id="0" w:name="_Hlk96417464"/>
      <w:bookmarkStart w:id="1" w:name="_Hlk98867631"/>
      <w:bookmarkStart w:id="2" w:name="_Hlk99546921"/>
    </w:p>
    <w:p w14:paraId="01886FD1" w14:textId="6213A251" w:rsidR="00711392" w:rsidRPr="001334D8" w:rsidRDefault="00711392" w:rsidP="000031FA">
      <w:pPr>
        <w:spacing w:after="0" w:line="240" w:lineRule="auto"/>
        <w:contextualSpacing/>
        <w:jc w:val="both"/>
        <w:rPr>
          <w:rFonts w:ascii="Arial" w:eastAsia="Calibri" w:hAnsi="Arial" w:cs="Arial"/>
        </w:rPr>
      </w:pPr>
      <w:r w:rsidRPr="001334D8">
        <w:rPr>
          <w:rFonts w:ascii="Arial" w:eastAsia="Calibri" w:hAnsi="Arial" w:cs="Arial"/>
          <w:lang w:val="es-MX"/>
        </w:rPr>
        <w:t xml:space="preserve">Bogotá D.C., </w:t>
      </w:r>
      <w:r w:rsidR="00A36C85">
        <w:rPr>
          <w:rFonts w:ascii="Arial" w:eastAsia="Calibri" w:hAnsi="Arial" w:cs="Arial"/>
          <w:lang w:val="es-MX"/>
        </w:rPr>
        <w:t xml:space="preserve">16 </w:t>
      </w:r>
      <w:r w:rsidR="00E72663">
        <w:rPr>
          <w:rFonts w:ascii="Arial" w:eastAsia="Calibri" w:hAnsi="Arial" w:cs="Arial"/>
          <w:lang w:val="es-MX"/>
        </w:rPr>
        <w:t>S</w:t>
      </w:r>
      <w:r w:rsidR="00A36C85">
        <w:rPr>
          <w:rFonts w:ascii="Arial" w:eastAsia="Calibri" w:hAnsi="Arial" w:cs="Arial"/>
          <w:lang w:val="es-MX"/>
        </w:rPr>
        <w:t>eptiembre 2022</w:t>
      </w:r>
    </w:p>
    <w:p w14:paraId="792FE6BF" w14:textId="5E1C7EC8" w:rsidR="00711392" w:rsidRPr="001334D8" w:rsidRDefault="00711392" w:rsidP="000031FA">
      <w:pPr>
        <w:spacing w:after="0" w:line="240" w:lineRule="auto"/>
        <w:contextualSpacing/>
        <w:jc w:val="both"/>
        <w:rPr>
          <w:rFonts w:ascii="Arial" w:eastAsia="Calibri" w:hAnsi="Arial" w:cs="Arial"/>
        </w:rPr>
      </w:pPr>
    </w:p>
    <w:p w14:paraId="06389773" w14:textId="77777777" w:rsidR="0053567C" w:rsidRPr="001334D8" w:rsidRDefault="0053567C" w:rsidP="000031FA">
      <w:pPr>
        <w:spacing w:after="0" w:line="240" w:lineRule="auto"/>
        <w:contextualSpacing/>
        <w:jc w:val="both"/>
        <w:rPr>
          <w:rFonts w:ascii="Arial" w:eastAsia="Calibri" w:hAnsi="Arial" w:cs="Arial"/>
        </w:rPr>
      </w:pPr>
    </w:p>
    <w:p w14:paraId="5E1CC0E0" w14:textId="011A2097" w:rsidR="005F2C99" w:rsidRPr="001334D8" w:rsidRDefault="005F2C99" w:rsidP="000031FA">
      <w:pPr>
        <w:spacing w:after="0" w:line="240" w:lineRule="auto"/>
        <w:contextualSpacing/>
        <w:jc w:val="both"/>
        <w:rPr>
          <w:rFonts w:ascii="Arial" w:eastAsia="Calibri" w:hAnsi="Arial" w:cs="Arial"/>
        </w:rPr>
      </w:pPr>
      <w:bookmarkStart w:id="3" w:name="_Hlk114244046"/>
      <w:r w:rsidRPr="001334D8">
        <w:rPr>
          <w:rFonts w:ascii="Arial" w:eastAsia="Calibri" w:hAnsi="Arial" w:cs="Arial"/>
        </w:rPr>
        <w:t>Señor</w:t>
      </w:r>
    </w:p>
    <w:p w14:paraId="102046DE" w14:textId="3638DAAC" w:rsidR="005F2C99" w:rsidRPr="001334D8" w:rsidRDefault="00136065" w:rsidP="000031FA">
      <w:pPr>
        <w:spacing w:after="0" w:line="240" w:lineRule="auto"/>
        <w:contextualSpacing/>
        <w:jc w:val="both"/>
        <w:rPr>
          <w:rFonts w:ascii="Arial" w:eastAsia="Calibri" w:hAnsi="Arial" w:cs="Arial"/>
          <w:b/>
          <w:bCs/>
        </w:rPr>
      </w:pPr>
      <w:r w:rsidRPr="001334D8">
        <w:rPr>
          <w:rFonts w:ascii="Arial" w:eastAsia="Calibri" w:hAnsi="Arial" w:cs="Arial"/>
          <w:b/>
          <w:bCs/>
        </w:rPr>
        <w:t>Félix Joaquín Cárdenas Solano</w:t>
      </w:r>
    </w:p>
    <w:p w14:paraId="414B5EEE" w14:textId="477412EE" w:rsidR="005F2C99" w:rsidRPr="001334D8" w:rsidRDefault="00136065" w:rsidP="000031FA">
      <w:pPr>
        <w:spacing w:after="0" w:line="240" w:lineRule="auto"/>
        <w:contextualSpacing/>
        <w:jc w:val="both"/>
        <w:rPr>
          <w:rFonts w:ascii="Arial" w:eastAsia="Calibri" w:hAnsi="Arial" w:cs="Arial"/>
        </w:rPr>
      </w:pPr>
      <w:r w:rsidRPr="001334D8">
        <w:rPr>
          <w:rFonts w:ascii="Arial" w:eastAsia="Calibri" w:hAnsi="Arial" w:cs="Arial"/>
        </w:rPr>
        <w:t>Ciudad</w:t>
      </w:r>
    </w:p>
    <w:p w14:paraId="3BE5A67F" w14:textId="77777777" w:rsidR="005F2C99" w:rsidRPr="001334D8" w:rsidRDefault="005F2C99" w:rsidP="000031FA">
      <w:pPr>
        <w:spacing w:after="0" w:line="240" w:lineRule="auto"/>
        <w:contextualSpacing/>
        <w:jc w:val="both"/>
        <w:rPr>
          <w:rFonts w:ascii="Arial" w:eastAsia="Calibri" w:hAnsi="Arial" w:cs="Arial"/>
        </w:rPr>
      </w:pPr>
    </w:p>
    <w:p w14:paraId="743126C2" w14:textId="03E8958F" w:rsidR="005F2C99" w:rsidRPr="001334D8" w:rsidRDefault="005F2C99" w:rsidP="000031FA">
      <w:pPr>
        <w:spacing w:after="0" w:line="240" w:lineRule="auto"/>
        <w:contextualSpacing/>
        <w:jc w:val="both"/>
        <w:rPr>
          <w:rFonts w:ascii="Arial" w:eastAsia="Calibri" w:hAnsi="Arial" w:cs="Arial"/>
        </w:rPr>
      </w:pPr>
      <w:r w:rsidRPr="001334D8">
        <w:rPr>
          <w:rFonts w:ascii="Arial" w:eastAsia="Calibri" w:hAnsi="Arial" w:cs="Arial"/>
        </w:rPr>
        <w:t xml:space="preserve">                                            </w:t>
      </w:r>
      <w:r w:rsidRPr="001334D8">
        <w:rPr>
          <w:rFonts w:ascii="Arial" w:eastAsia="Calibri" w:hAnsi="Arial" w:cs="Arial"/>
          <w:b/>
        </w:rPr>
        <w:t>Concepto C-</w:t>
      </w:r>
      <w:r w:rsidR="00136065" w:rsidRPr="001334D8">
        <w:rPr>
          <w:rFonts w:ascii="Arial" w:eastAsia="Calibri" w:hAnsi="Arial" w:cs="Arial"/>
          <w:b/>
        </w:rPr>
        <w:t>580</w:t>
      </w:r>
      <w:r w:rsidRPr="001334D8">
        <w:rPr>
          <w:rFonts w:ascii="Arial" w:eastAsia="Calibri" w:hAnsi="Arial" w:cs="Arial"/>
          <w:b/>
        </w:rPr>
        <w:t xml:space="preserve"> de 2022</w:t>
      </w:r>
      <w:r w:rsidRPr="001334D8">
        <w:rPr>
          <w:rFonts w:ascii="Arial" w:eastAsia="Calibri" w:hAnsi="Arial" w:cs="Arial"/>
        </w:rPr>
        <w:t xml:space="preserve"> </w:t>
      </w:r>
    </w:p>
    <w:p w14:paraId="1CA8CB67" w14:textId="77777777" w:rsidR="005F2C99" w:rsidRPr="001334D8" w:rsidRDefault="005F2C99" w:rsidP="000031FA">
      <w:pPr>
        <w:spacing w:after="0" w:line="240" w:lineRule="auto"/>
        <w:contextualSpacing/>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334D8" w:rsidRPr="001334D8" w14:paraId="04265C09" w14:textId="77777777" w:rsidTr="00970536">
        <w:trPr>
          <w:trHeight w:val="485"/>
        </w:trPr>
        <w:tc>
          <w:tcPr>
            <w:tcW w:w="2689" w:type="dxa"/>
            <w:hideMark/>
          </w:tcPr>
          <w:p w14:paraId="128FE9B0" w14:textId="77777777" w:rsidR="005F2C99" w:rsidRPr="001334D8" w:rsidRDefault="005F2C99" w:rsidP="000031FA">
            <w:pPr>
              <w:contextualSpacing/>
              <w:rPr>
                <w:rFonts w:ascii="Arial" w:eastAsia="Calibri" w:hAnsi="Arial" w:cs="Arial"/>
                <w:noProof/>
                <w:lang w:val="es-ES_tradnl"/>
              </w:rPr>
            </w:pPr>
            <w:r w:rsidRPr="001334D8">
              <w:rPr>
                <w:rFonts w:ascii="Arial" w:eastAsia="Calibri" w:hAnsi="Arial" w:cs="Arial"/>
                <w:b/>
                <w:noProof/>
                <w:lang w:val="es-ES_tradnl"/>
              </w:rPr>
              <w:t>Temas:</w:t>
            </w:r>
            <w:r w:rsidRPr="001334D8">
              <w:rPr>
                <w:rFonts w:ascii="Arial" w:eastAsia="Calibri" w:hAnsi="Arial" w:cs="Arial"/>
                <w:noProof/>
                <w:lang w:val="es-ES_tradnl"/>
              </w:rPr>
              <w:t xml:space="preserve">        </w:t>
            </w:r>
          </w:p>
        </w:tc>
        <w:tc>
          <w:tcPr>
            <w:tcW w:w="6237" w:type="dxa"/>
            <w:hideMark/>
          </w:tcPr>
          <w:p w14:paraId="50740E79" w14:textId="0B737FC0" w:rsidR="00062F37" w:rsidRPr="001334D8" w:rsidRDefault="000C4AB4" w:rsidP="00062F37">
            <w:pPr>
              <w:contextualSpacing/>
              <w:jc w:val="both"/>
              <w:textAlignment w:val="baseline"/>
              <w:rPr>
                <w:rFonts w:ascii="Arial" w:eastAsia="Times New Roman" w:hAnsi="Arial" w:cs="Arial"/>
                <w:sz w:val="20"/>
                <w:szCs w:val="20"/>
                <w:lang w:eastAsia="es-CO"/>
              </w:rPr>
            </w:pPr>
            <w:r w:rsidRPr="001334D8">
              <w:rPr>
                <w:rFonts w:ascii="Arial" w:eastAsia="Times New Roman" w:hAnsi="Arial" w:cs="Arial"/>
                <w:lang w:val="es-ES_tradnl" w:eastAsia="es-ES_tradnl"/>
              </w:rPr>
              <w:t xml:space="preserve">REGISTRO ÚNICO DE PROPONENTES – RUP– Concepto </w:t>
            </w:r>
            <w:r w:rsidR="00936CBC" w:rsidRPr="001334D8">
              <w:rPr>
                <w:rFonts w:ascii="Arial" w:eastAsia="Times New Roman" w:hAnsi="Arial" w:cs="Arial"/>
                <w:lang w:val="es-MX" w:eastAsia="es-CO"/>
              </w:rPr>
              <w:t xml:space="preserve">/ </w:t>
            </w:r>
            <w:r w:rsidR="00867DDC" w:rsidRPr="001334D8">
              <w:rPr>
                <w:rFonts w:ascii="Arial" w:eastAsia="Times New Roman" w:hAnsi="Arial" w:cs="Arial"/>
                <w:lang w:val="es-MX" w:eastAsia="es-CO"/>
              </w:rPr>
              <w:t xml:space="preserve">EXPERIENCIA ‒ Conservación ‒ Renovación RUP ‒ Cesación efectos RUP </w:t>
            </w:r>
          </w:p>
          <w:p w14:paraId="7208FF4D" w14:textId="77777777" w:rsidR="005F2C99" w:rsidRPr="001334D8" w:rsidRDefault="005F2C99" w:rsidP="000031FA">
            <w:pPr>
              <w:contextualSpacing/>
              <w:jc w:val="both"/>
              <w:rPr>
                <w:rFonts w:ascii="Arial" w:eastAsia="Calibri" w:hAnsi="Arial" w:cs="Arial"/>
                <w:b/>
                <w:bCs/>
                <w:lang w:val="es-MX"/>
              </w:rPr>
            </w:pPr>
          </w:p>
          <w:p w14:paraId="5E372229" w14:textId="77777777" w:rsidR="005F2C99" w:rsidRPr="001334D8" w:rsidRDefault="005F2C99" w:rsidP="000031FA">
            <w:pPr>
              <w:ind w:right="703"/>
              <w:contextualSpacing/>
              <w:jc w:val="both"/>
              <w:rPr>
                <w:rFonts w:ascii="Arial" w:eastAsia="Calibri" w:hAnsi="Arial" w:cs="Arial"/>
                <w:bCs/>
                <w:lang w:val="es-MX"/>
              </w:rPr>
            </w:pPr>
          </w:p>
        </w:tc>
      </w:tr>
      <w:tr w:rsidR="00CC7E0F" w:rsidRPr="001334D8" w14:paraId="6451A031" w14:textId="77777777" w:rsidTr="00970536">
        <w:tc>
          <w:tcPr>
            <w:tcW w:w="2689" w:type="dxa"/>
          </w:tcPr>
          <w:p w14:paraId="4EA57047" w14:textId="77777777" w:rsidR="005F2C99" w:rsidRPr="001334D8" w:rsidRDefault="005F2C99" w:rsidP="000031FA">
            <w:pPr>
              <w:contextualSpacing/>
              <w:rPr>
                <w:rFonts w:ascii="Arial" w:eastAsia="Calibri" w:hAnsi="Arial" w:cs="Arial"/>
                <w:b/>
                <w:noProof/>
                <w:lang w:val="es-ES_tradnl"/>
              </w:rPr>
            </w:pPr>
            <w:r w:rsidRPr="001334D8">
              <w:rPr>
                <w:rFonts w:ascii="Arial" w:eastAsia="Calibri" w:hAnsi="Arial" w:cs="Arial"/>
                <w:b/>
                <w:noProof/>
                <w:lang w:val="es-ES_tradnl"/>
              </w:rPr>
              <w:t xml:space="preserve"> Radicación:</w:t>
            </w:r>
            <w:r w:rsidRPr="001334D8">
              <w:rPr>
                <w:rFonts w:ascii="Arial" w:eastAsia="Calibri" w:hAnsi="Arial" w:cs="Arial"/>
                <w:noProof/>
                <w:lang w:val="es-ES_tradnl"/>
              </w:rPr>
              <w:t xml:space="preserve">                              </w:t>
            </w:r>
          </w:p>
        </w:tc>
        <w:tc>
          <w:tcPr>
            <w:tcW w:w="6237" w:type="dxa"/>
          </w:tcPr>
          <w:p w14:paraId="3BD137AC" w14:textId="08F928F3" w:rsidR="005F2C99" w:rsidRPr="001334D8" w:rsidRDefault="005F2C99" w:rsidP="000031FA">
            <w:pPr>
              <w:contextualSpacing/>
              <w:jc w:val="both"/>
              <w:rPr>
                <w:rFonts w:ascii="Arial" w:eastAsia="Calibri" w:hAnsi="Arial" w:cs="Arial"/>
                <w:noProof/>
                <w:lang w:val="es-ES_tradnl"/>
              </w:rPr>
            </w:pPr>
            <w:r w:rsidRPr="001334D8">
              <w:rPr>
                <w:rFonts w:ascii="Arial" w:eastAsia="Calibri" w:hAnsi="Arial" w:cs="Arial"/>
                <w:noProof/>
                <w:lang w:val="es-ES_tradnl"/>
              </w:rPr>
              <w:t xml:space="preserve">Respuesta a </w:t>
            </w:r>
            <w:r w:rsidR="00352372" w:rsidRPr="001334D8">
              <w:rPr>
                <w:rFonts w:ascii="Arial" w:eastAsia="Calibri" w:hAnsi="Arial" w:cs="Arial"/>
                <w:noProof/>
                <w:lang w:val="es-ES_tradnl"/>
              </w:rPr>
              <w:t xml:space="preserve">las </w:t>
            </w:r>
            <w:r w:rsidRPr="001334D8">
              <w:rPr>
                <w:rFonts w:ascii="Arial" w:eastAsia="Calibri" w:hAnsi="Arial" w:cs="Arial"/>
                <w:noProof/>
                <w:lang w:val="es-ES_tradnl"/>
              </w:rPr>
              <w:t>consulta</w:t>
            </w:r>
            <w:r w:rsidR="00062F37" w:rsidRPr="001334D8">
              <w:rPr>
                <w:rFonts w:ascii="Arial" w:eastAsia="Calibri" w:hAnsi="Arial" w:cs="Arial"/>
                <w:noProof/>
                <w:lang w:val="es-ES_tradnl"/>
              </w:rPr>
              <w:t>s</w:t>
            </w:r>
            <w:r w:rsidRPr="001334D8">
              <w:rPr>
                <w:rFonts w:ascii="Arial" w:eastAsia="Calibri" w:hAnsi="Arial" w:cs="Arial"/>
                <w:noProof/>
                <w:lang w:val="es-ES_tradnl"/>
              </w:rPr>
              <w:t xml:space="preserve"> </w:t>
            </w:r>
            <w:r w:rsidR="00136065" w:rsidRPr="001334D8">
              <w:rPr>
                <w:rFonts w:ascii="Arial" w:eastAsia="Calibri" w:hAnsi="Arial" w:cs="Arial"/>
                <w:noProof/>
                <w:lang w:val="es-ES_tradnl"/>
              </w:rPr>
              <w:t>P20220804007709 y P20220805007749</w:t>
            </w:r>
            <w:r w:rsidR="00352372" w:rsidRPr="001334D8">
              <w:rPr>
                <w:rFonts w:ascii="Arial" w:eastAsia="Calibri" w:hAnsi="Arial" w:cs="Arial"/>
                <w:noProof/>
                <w:lang w:val="es-ES_tradnl"/>
              </w:rPr>
              <w:t xml:space="preserve"> – Acumulados–.</w:t>
            </w:r>
          </w:p>
        </w:tc>
      </w:tr>
    </w:tbl>
    <w:p w14:paraId="2A7B686B" w14:textId="77777777" w:rsidR="005F2C99" w:rsidRPr="001334D8" w:rsidRDefault="005F2C99" w:rsidP="000031FA">
      <w:pPr>
        <w:spacing w:after="0" w:line="240" w:lineRule="auto"/>
        <w:contextualSpacing/>
        <w:jc w:val="both"/>
        <w:rPr>
          <w:rFonts w:ascii="Arial" w:eastAsia="Calibri" w:hAnsi="Arial" w:cs="Arial"/>
        </w:rPr>
      </w:pPr>
    </w:p>
    <w:p w14:paraId="5B61AAEF" w14:textId="77777777" w:rsidR="005F2C99" w:rsidRPr="001334D8" w:rsidRDefault="005F2C99" w:rsidP="0068556D">
      <w:pPr>
        <w:spacing w:after="0" w:line="276" w:lineRule="auto"/>
        <w:contextualSpacing/>
        <w:jc w:val="both"/>
        <w:rPr>
          <w:rFonts w:ascii="Arial" w:eastAsia="Calibri" w:hAnsi="Arial" w:cs="Arial"/>
        </w:rPr>
      </w:pPr>
    </w:p>
    <w:p w14:paraId="4CE77967" w14:textId="7D2C63F8" w:rsidR="005F2C99" w:rsidRPr="001334D8" w:rsidRDefault="005F2C99" w:rsidP="0023670C">
      <w:pPr>
        <w:spacing w:after="0" w:line="276" w:lineRule="auto"/>
        <w:contextualSpacing/>
        <w:jc w:val="both"/>
        <w:rPr>
          <w:rFonts w:ascii="Arial" w:eastAsia="Calibri" w:hAnsi="Arial" w:cs="Arial"/>
        </w:rPr>
      </w:pPr>
      <w:r w:rsidRPr="001334D8">
        <w:rPr>
          <w:rFonts w:ascii="Arial" w:eastAsia="Calibri" w:hAnsi="Arial" w:cs="Arial"/>
        </w:rPr>
        <w:t xml:space="preserve">Estimado </w:t>
      </w:r>
      <w:r w:rsidR="00136065" w:rsidRPr="001334D8">
        <w:rPr>
          <w:rFonts w:ascii="Arial" w:eastAsia="Calibri" w:hAnsi="Arial" w:cs="Arial"/>
        </w:rPr>
        <w:t>Cárdenas Solano</w:t>
      </w:r>
      <w:r w:rsidRPr="001334D8">
        <w:rPr>
          <w:rFonts w:ascii="Arial" w:eastAsia="Calibri" w:hAnsi="Arial" w:cs="Arial"/>
        </w:rPr>
        <w:t>:</w:t>
      </w:r>
    </w:p>
    <w:p w14:paraId="67293171" w14:textId="77777777" w:rsidR="005F2C99" w:rsidRPr="001334D8" w:rsidRDefault="005F2C99" w:rsidP="0023670C">
      <w:pPr>
        <w:spacing w:after="0" w:line="276" w:lineRule="auto"/>
        <w:ind w:firstLine="709"/>
        <w:contextualSpacing/>
        <w:jc w:val="both"/>
        <w:rPr>
          <w:rFonts w:ascii="Arial" w:eastAsia="Calibri" w:hAnsi="Arial" w:cs="Arial"/>
        </w:rPr>
      </w:pPr>
    </w:p>
    <w:p w14:paraId="325AB1C4" w14:textId="4DC4EF0B" w:rsidR="005F2C99" w:rsidRPr="001334D8" w:rsidRDefault="005F2C99" w:rsidP="00193C39">
      <w:pPr>
        <w:spacing w:after="0" w:line="276" w:lineRule="auto"/>
        <w:contextualSpacing/>
        <w:jc w:val="both"/>
        <w:rPr>
          <w:rFonts w:ascii="Arial" w:eastAsia="Calibri" w:hAnsi="Arial" w:cs="Arial"/>
        </w:rPr>
      </w:pPr>
      <w:r w:rsidRPr="001334D8">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w:t>
      </w:r>
      <w:r w:rsidR="00B007A0" w:rsidRPr="001334D8">
        <w:rPr>
          <w:rFonts w:ascii="Arial" w:eastAsia="Calibri" w:hAnsi="Arial" w:cs="Arial"/>
        </w:rPr>
        <w:t>los días 4 y</w:t>
      </w:r>
      <w:r w:rsidR="005F20F2" w:rsidRPr="001334D8">
        <w:rPr>
          <w:rFonts w:ascii="Arial" w:eastAsia="Calibri" w:hAnsi="Arial" w:cs="Arial"/>
        </w:rPr>
        <w:t xml:space="preserve"> </w:t>
      </w:r>
      <w:r w:rsidR="009252F3" w:rsidRPr="001334D8">
        <w:rPr>
          <w:rFonts w:ascii="Arial" w:eastAsia="Calibri" w:hAnsi="Arial" w:cs="Arial"/>
        </w:rPr>
        <w:t xml:space="preserve">6 de </w:t>
      </w:r>
      <w:r w:rsidR="00B007A0" w:rsidRPr="001334D8">
        <w:rPr>
          <w:rFonts w:ascii="Arial" w:eastAsia="Calibri" w:hAnsi="Arial" w:cs="Arial"/>
        </w:rPr>
        <w:t xml:space="preserve">agosto </w:t>
      </w:r>
      <w:r w:rsidRPr="001334D8">
        <w:rPr>
          <w:rFonts w:ascii="Arial" w:eastAsia="Calibri" w:hAnsi="Arial" w:cs="Arial"/>
        </w:rPr>
        <w:t xml:space="preserve">de 2022. </w:t>
      </w:r>
    </w:p>
    <w:p w14:paraId="5C626D64" w14:textId="77777777" w:rsidR="005F2C99" w:rsidRPr="001334D8" w:rsidRDefault="005F2C99" w:rsidP="0023670C">
      <w:pPr>
        <w:spacing w:after="0" w:line="276" w:lineRule="auto"/>
        <w:contextualSpacing/>
        <w:jc w:val="both"/>
        <w:rPr>
          <w:rFonts w:ascii="Arial" w:eastAsia="Calibri" w:hAnsi="Arial" w:cs="Arial"/>
        </w:rPr>
      </w:pPr>
    </w:p>
    <w:p w14:paraId="470B7037" w14:textId="77777777" w:rsidR="005F2C99" w:rsidRPr="001334D8" w:rsidRDefault="005F2C99" w:rsidP="0023670C">
      <w:pPr>
        <w:tabs>
          <w:tab w:val="left" w:pos="284"/>
        </w:tabs>
        <w:spacing w:after="0" w:line="276" w:lineRule="auto"/>
        <w:contextualSpacing/>
        <w:jc w:val="both"/>
        <w:rPr>
          <w:rFonts w:ascii="Arial" w:eastAsia="Calibri" w:hAnsi="Arial" w:cs="Arial"/>
          <w:b/>
        </w:rPr>
      </w:pPr>
      <w:r w:rsidRPr="001334D8">
        <w:rPr>
          <w:rFonts w:ascii="Arial" w:eastAsia="Calibri" w:hAnsi="Arial" w:cs="Arial"/>
          <w:b/>
        </w:rPr>
        <w:t xml:space="preserve">1. Problema planteado </w:t>
      </w:r>
    </w:p>
    <w:p w14:paraId="1CDCD47C" w14:textId="77777777" w:rsidR="005F2C99" w:rsidRPr="001334D8" w:rsidRDefault="005F2C99" w:rsidP="0023670C">
      <w:pPr>
        <w:tabs>
          <w:tab w:val="left" w:pos="284"/>
        </w:tabs>
        <w:spacing w:after="0" w:line="276" w:lineRule="auto"/>
        <w:ind w:firstLine="709"/>
        <w:contextualSpacing/>
        <w:jc w:val="both"/>
        <w:rPr>
          <w:rFonts w:ascii="Arial" w:eastAsia="Calibri" w:hAnsi="Arial" w:cs="Arial"/>
          <w:b/>
        </w:rPr>
      </w:pPr>
    </w:p>
    <w:p w14:paraId="264129B1" w14:textId="6862182E" w:rsidR="0068556D" w:rsidRPr="001334D8" w:rsidRDefault="005F2C99" w:rsidP="0023670C">
      <w:pPr>
        <w:spacing w:after="0" w:line="276" w:lineRule="auto"/>
        <w:ind w:right="51"/>
        <w:contextualSpacing/>
        <w:jc w:val="both"/>
        <w:rPr>
          <w:rFonts w:ascii="Arial" w:eastAsia="Calibri" w:hAnsi="Arial" w:cs="Arial"/>
        </w:rPr>
      </w:pPr>
      <w:bookmarkStart w:id="4" w:name="_Hlk58917991"/>
      <w:bookmarkStart w:id="5" w:name="_Hlk56103000"/>
      <w:r w:rsidRPr="001334D8">
        <w:rPr>
          <w:rFonts w:ascii="Arial" w:eastAsia="Calibri" w:hAnsi="Arial" w:cs="Arial"/>
        </w:rPr>
        <w:t>Usted plantea la</w:t>
      </w:r>
      <w:r w:rsidR="007A38D0" w:rsidRPr="001334D8">
        <w:rPr>
          <w:rFonts w:ascii="Arial" w:eastAsia="Calibri" w:hAnsi="Arial" w:cs="Arial"/>
        </w:rPr>
        <w:t>s</w:t>
      </w:r>
      <w:r w:rsidRPr="001334D8">
        <w:rPr>
          <w:rFonts w:ascii="Arial" w:eastAsia="Calibri" w:hAnsi="Arial" w:cs="Arial"/>
        </w:rPr>
        <w:t xml:space="preserve"> siguiente</w:t>
      </w:r>
      <w:r w:rsidR="007A38D0" w:rsidRPr="001334D8">
        <w:rPr>
          <w:rFonts w:ascii="Arial" w:eastAsia="Calibri" w:hAnsi="Arial" w:cs="Arial"/>
        </w:rPr>
        <w:t>s</w:t>
      </w:r>
      <w:r w:rsidRPr="001334D8">
        <w:rPr>
          <w:rFonts w:ascii="Arial" w:eastAsia="Calibri" w:hAnsi="Arial" w:cs="Arial"/>
        </w:rPr>
        <w:t xml:space="preserve"> </w:t>
      </w:r>
      <w:r w:rsidR="0068556D" w:rsidRPr="001334D8">
        <w:rPr>
          <w:rFonts w:ascii="Arial" w:eastAsia="Calibri" w:hAnsi="Arial" w:cs="Arial"/>
        </w:rPr>
        <w:t>consulta</w:t>
      </w:r>
      <w:r w:rsidR="007A38D0" w:rsidRPr="001334D8">
        <w:rPr>
          <w:rFonts w:ascii="Arial" w:eastAsia="Calibri" w:hAnsi="Arial" w:cs="Arial"/>
        </w:rPr>
        <w:t>s</w:t>
      </w:r>
      <w:r w:rsidRPr="001334D8">
        <w:rPr>
          <w:rFonts w:ascii="Arial" w:eastAsia="Calibri" w:hAnsi="Arial" w:cs="Arial"/>
        </w:rPr>
        <w:t xml:space="preserve">: </w:t>
      </w:r>
    </w:p>
    <w:p w14:paraId="08E0CC5A" w14:textId="77777777" w:rsidR="0068556D" w:rsidRPr="001334D8" w:rsidRDefault="0068556D" w:rsidP="00F20372">
      <w:pPr>
        <w:spacing w:after="0"/>
        <w:ind w:left="709" w:right="709"/>
        <w:contextualSpacing/>
        <w:jc w:val="both"/>
        <w:rPr>
          <w:rFonts w:ascii="Arial" w:eastAsia="Calibri" w:hAnsi="Arial" w:cs="Arial"/>
        </w:rPr>
      </w:pPr>
    </w:p>
    <w:bookmarkEnd w:id="4"/>
    <w:bookmarkEnd w:id="5"/>
    <w:p w14:paraId="5B9496F4" w14:textId="77777777" w:rsidR="00216D05" w:rsidRPr="001334D8" w:rsidRDefault="00136065"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 xml:space="preserve">«[…] </w:t>
      </w:r>
      <w:r w:rsidR="00216D05" w:rsidRPr="001334D8">
        <w:rPr>
          <w:rFonts w:ascii="Arial" w:hAnsi="Arial" w:cs="Arial"/>
          <w:sz w:val="21"/>
          <w:szCs w:val="21"/>
        </w:rPr>
        <w:t xml:space="preserve">En ejercicio del Derecho Fundamental a la Petición elevo la siguiente solicitud de aclaración al alcance del numeral 2.5 del artículo 2.2.1.1.1.5.2. del Decreto 1082 del 2015, para lo cual se hace necesario hacer un análisis sistemático del ordenamiento jurídico colombiano: </w:t>
      </w:r>
    </w:p>
    <w:p w14:paraId="4BEDC28A" w14:textId="77777777" w:rsidR="00216D05" w:rsidRPr="001334D8" w:rsidRDefault="00216D05" w:rsidP="00193C39">
      <w:pPr>
        <w:spacing w:after="0" w:line="240" w:lineRule="auto"/>
        <w:ind w:left="709" w:right="709"/>
        <w:contextualSpacing/>
        <w:jc w:val="both"/>
        <w:rPr>
          <w:rFonts w:ascii="Arial" w:hAnsi="Arial" w:cs="Arial"/>
          <w:sz w:val="21"/>
          <w:szCs w:val="21"/>
        </w:rPr>
      </w:pPr>
    </w:p>
    <w:p w14:paraId="3152A2A2" w14:textId="77777777" w:rsidR="00216D05" w:rsidRPr="001334D8" w:rsidRDefault="00216D05"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lastRenderedPageBreak/>
        <w:t xml:space="preserve">El numeral 2.5 del artículo 2.2.1.1.1.5.2. del Decreto 1082 del 2015, establece: </w:t>
      </w:r>
    </w:p>
    <w:p w14:paraId="3AADBFFD" w14:textId="77777777" w:rsidR="00216D05" w:rsidRPr="001334D8" w:rsidRDefault="00216D05" w:rsidP="00193C39">
      <w:pPr>
        <w:spacing w:after="0" w:line="240" w:lineRule="auto"/>
        <w:ind w:left="709" w:right="709"/>
        <w:contextualSpacing/>
        <w:jc w:val="both"/>
        <w:rPr>
          <w:rFonts w:ascii="Arial" w:hAnsi="Arial" w:cs="Arial"/>
          <w:sz w:val="21"/>
          <w:szCs w:val="21"/>
        </w:rPr>
      </w:pPr>
    </w:p>
    <w:p w14:paraId="6A0FF6CF" w14:textId="77777777" w:rsidR="00455CA1" w:rsidRPr="001334D8" w:rsidRDefault="00216D05" w:rsidP="00193C39">
      <w:pPr>
        <w:spacing w:after="0" w:line="240" w:lineRule="auto"/>
        <w:ind w:left="709" w:right="709"/>
        <w:contextualSpacing/>
        <w:jc w:val="both"/>
        <w:rPr>
          <w:rFonts w:ascii="Arial" w:hAnsi="Arial" w:cs="Arial"/>
          <w:sz w:val="21"/>
          <w:szCs w:val="21"/>
        </w:rPr>
      </w:pPr>
      <w:r w:rsidRPr="001334D8">
        <w:rPr>
          <w:rFonts w:ascii="Arial" w:hAnsi="Arial" w:cs="Arial"/>
          <w:i/>
          <w:iCs/>
          <w:sz w:val="21"/>
          <w:szCs w:val="21"/>
        </w:rPr>
        <w:t xml:space="preserve">“Certificados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r w:rsidRPr="001334D8">
        <w:rPr>
          <w:rFonts w:ascii="Arial" w:hAnsi="Arial" w:cs="Arial"/>
          <w:b/>
          <w:bCs/>
          <w:i/>
          <w:iCs/>
          <w:sz w:val="21"/>
          <w:szCs w:val="21"/>
          <w:u w:val="single"/>
        </w:rPr>
        <w:t>Si la constitución del interesado es menor a tres (3) años, puede acreditar la experiencia de sus accionistas, socios o constituyentes</w:t>
      </w:r>
      <w:r w:rsidRPr="001334D8">
        <w:rPr>
          <w:rFonts w:ascii="Arial" w:hAnsi="Arial" w:cs="Arial"/>
          <w:i/>
          <w:iCs/>
          <w:sz w:val="21"/>
          <w:szCs w:val="21"/>
        </w:rPr>
        <w:t>”</w:t>
      </w:r>
      <w:r w:rsidRPr="001334D8">
        <w:rPr>
          <w:rFonts w:ascii="Arial" w:hAnsi="Arial" w:cs="Arial"/>
          <w:sz w:val="21"/>
          <w:szCs w:val="21"/>
        </w:rPr>
        <w:t xml:space="preserve">. (Subrayado fuera del texto original) </w:t>
      </w:r>
    </w:p>
    <w:p w14:paraId="115C393C" w14:textId="77777777" w:rsidR="00455CA1" w:rsidRPr="001334D8" w:rsidRDefault="00455CA1" w:rsidP="00193C39">
      <w:pPr>
        <w:spacing w:after="0" w:line="240" w:lineRule="auto"/>
        <w:ind w:left="709" w:right="709"/>
        <w:contextualSpacing/>
        <w:jc w:val="both"/>
        <w:rPr>
          <w:rFonts w:ascii="Arial" w:hAnsi="Arial" w:cs="Arial"/>
          <w:sz w:val="21"/>
          <w:szCs w:val="21"/>
        </w:rPr>
      </w:pPr>
    </w:p>
    <w:p w14:paraId="5E7A1D0C" w14:textId="5C3C5380" w:rsidR="00216D05" w:rsidRPr="001334D8" w:rsidRDefault="00216D05"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 xml:space="preserve">Como vemos el presente artículo, solo establece que, </w:t>
      </w:r>
      <w:r w:rsidRPr="001334D8">
        <w:rPr>
          <w:rFonts w:ascii="Arial" w:hAnsi="Arial" w:cs="Arial"/>
          <w:i/>
          <w:iCs/>
          <w:sz w:val="21"/>
          <w:szCs w:val="21"/>
        </w:rPr>
        <w:t>“si la constitución de los interesados es menor a tres (03) años, puede acreditar la experiencia de sus accionistas, socios o constituyentes”,</w:t>
      </w:r>
      <w:r w:rsidRPr="001334D8">
        <w:rPr>
          <w:rFonts w:ascii="Arial" w:hAnsi="Arial" w:cs="Arial"/>
          <w:sz w:val="21"/>
          <w:szCs w:val="21"/>
        </w:rPr>
        <w:t xml:space="preserve"> pero nada habla de la perdida de dicho derecho posterior a los tres (03) años.</w:t>
      </w:r>
    </w:p>
    <w:p w14:paraId="0E2498AF" w14:textId="77777777" w:rsidR="00216D05" w:rsidRPr="001334D8" w:rsidRDefault="00216D05" w:rsidP="00193C39">
      <w:pPr>
        <w:spacing w:after="0" w:line="240" w:lineRule="auto"/>
        <w:ind w:left="709" w:right="709"/>
        <w:contextualSpacing/>
        <w:jc w:val="both"/>
        <w:rPr>
          <w:rFonts w:ascii="Arial" w:hAnsi="Arial" w:cs="Arial"/>
          <w:sz w:val="21"/>
          <w:szCs w:val="21"/>
        </w:rPr>
      </w:pPr>
    </w:p>
    <w:p w14:paraId="4FDFA296" w14:textId="78500C5B" w:rsidR="00216D05" w:rsidRPr="001334D8" w:rsidRDefault="0024490D"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Por tanto, hablar de la pérdida del derecho adquirido, posterior a haber acreditado la experiencia de los accionistas, socios o constituyentes, en el término establecido por la citada norma, en cualquier caso, resultaría violatorio al Principio de Legalidad, toda vez que como se dejó de presente anteriormente, en ningún momento se habla de la perdida de dicho derecho.</w:t>
      </w:r>
    </w:p>
    <w:p w14:paraId="31F6FA3E" w14:textId="2FC5A442" w:rsidR="0024490D" w:rsidRPr="001334D8" w:rsidRDefault="0024490D" w:rsidP="00193C39">
      <w:pPr>
        <w:spacing w:after="0" w:line="240" w:lineRule="auto"/>
        <w:ind w:left="709" w:right="709"/>
        <w:contextualSpacing/>
        <w:jc w:val="both"/>
        <w:rPr>
          <w:rFonts w:ascii="Arial" w:hAnsi="Arial" w:cs="Arial"/>
          <w:sz w:val="21"/>
          <w:szCs w:val="21"/>
        </w:rPr>
      </w:pPr>
    </w:p>
    <w:p w14:paraId="11AC29A9" w14:textId="77777777" w:rsidR="0024490D" w:rsidRPr="001334D8" w:rsidRDefault="0024490D"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 xml:space="preserve">Respecto al Principio de Legalidad la Corte Constitucional en Sentencia C-710/01, estableció: </w:t>
      </w:r>
    </w:p>
    <w:p w14:paraId="4AB08755" w14:textId="77777777" w:rsidR="0024490D" w:rsidRPr="001334D8" w:rsidRDefault="0024490D" w:rsidP="00193C39">
      <w:pPr>
        <w:spacing w:after="0" w:line="240" w:lineRule="auto"/>
        <w:ind w:left="709" w:right="709"/>
        <w:contextualSpacing/>
        <w:jc w:val="both"/>
        <w:rPr>
          <w:rFonts w:ascii="Arial" w:hAnsi="Arial" w:cs="Arial"/>
          <w:sz w:val="21"/>
          <w:szCs w:val="21"/>
        </w:rPr>
      </w:pPr>
    </w:p>
    <w:p w14:paraId="4C3B362B" w14:textId="720526DB" w:rsidR="0024490D" w:rsidRPr="001334D8" w:rsidRDefault="0024490D" w:rsidP="00193C39">
      <w:pPr>
        <w:spacing w:after="0" w:line="240" w:lineRule="auto"/>
        <w:ind w:left="709" w:right="709"/>
        <w:contextualSpacing/>
        <w:jc w:val="both"/>
        <w:rPr>
          <w:rFonts w:ascii="Arial" w:hAnsi="Arial" w:cs="Arial"/>
          <w:i/>
          <w:iCs/>
          <w:sz w:val="21"/>
          <w:szCs w:val="21"/>
        </w:rPr>
      </w:pPr>
      <w:r w:rsidRPr="001334D8">
        <w:rPr>
          <w:rFonts w:ascii="Arial" w:hAnsi="Arial" w:cs="Arial"/>
          <w:i/>
          <w:iCs/>
          <w:sz w:val="21"/>
          <w:szCs w:val="21"/>
        </w:rPr>
        <w:t xml:space="preserve">“Como principio rector del ejercicio del poder se entiende </w:t>
      </w:r>
      <w:r w:rsidRPr="001334D8">
        <w:rPr>
          <w:rFonts w:ascii="Arial" w:hAnsi="Arial" w:cs="Arial"/>
          <w:b/>
          <w:bCs/>
          <w:i/>
          <w:iCs/>
          <w:sz w:val="21"/>
          <w:szCs w:val="21"/>
          <w:u w:val="single"/>
        </w:rPr>
        <w:t xml:space="preserve">que no existe facultad, función o acto que puedan desarrollar los servidores públicos que no esté prescrito, definido o establecido en forma expresa, clara y precisa en la ley. </w:t>
      </w:r>
      <w:r w:rsidRPr="001334D8">
        <w:rPr>
          <w:rFonts w:ascii="Arial" w:hAnsi="Arial" w:cs="Arial"/>
          <w:i/>
          <w:iCs/>
          <w:sz w:val="21"/>
          <w:szCs w:val="21"/>
        </w:rPr>
        <w:t>Este principio exige que todos los funcionarios del Estado actúen siempre sujetándose al ordenamiento jurídico que establece la Constitución y lo desarrollan las demás reglas jurídicas”.</w:t>
      </w:r>
    </w:p>
    <w:p w14:paraId="1F671849" w14:textId="7142AA5A" w:rsidR="0024490D" w:rsidRPr="001334D8" w:rsidRDefault="0024490D" w:rsidP="00193C39">
      <w:pPr>
        <w:spacing w:after="0" w:line="240" w:lineRule="auto"/>
        <w:ind w:left="709" w:right="709"/>
        <w:contextualSpacing/>
        <w:jc w:val="both"/>
        <w:rPr>
          <w:rFonts w:ascii="Arial" w:hAnsi="Arial" w:cs="Arial"/>
          <w:sz w:val="21"/>
          <w:szCs w:val="21"/>
        </w:rPr>
      </w:pPr>
    </w:p>
    <w:p w14:paraId="18198447" w14:textId="77777777" w:rsidR="00765EEA" w:rsidRPr="001334D8" w:rsidRDefault="00765EEA"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 xml:space="preserve">Tal como lo establece la Constitución y lo deja de presente la Corte Constitucional, los servidores públicos no podrán ejecutar ninguna actividad que no esté expresa, clara y precisa en la Ley, como ya hemos dicho, nada habla en el numeral 2.5 del artículo 2.2.1.1.1.5.2. del Decreto 1082 del 2015, de la pérdida del derecho adquirido de acreditar la experiencia de los accionistas, socios o constituyentes. </w:t>
      </w:r>
    </w:p>
    <w:p w14:paraId="581E0D30" w14:textId="77777777" w:rsidR="00765EEA" w:rsidRPr="001334D8" w:rsidRDefault="00765EEA" w:rsidP="00193C39">
      <w:pPr>
        <w:spacing w:after="0" w:line="240" w:lineRule="auto"/>
        <w:ind w:left="709" w:right="709"/>
        <w:contextualSpacing/>
        <w:jc w:val="both"/>
        <w:rPr>
          <w:rFonts w:ascii="Arial" w:hAnsi="Arial" w:cs="Arial"/>
          <w:sz w:val="21"/>
          <w:szCs w:val="21"/>
        </w:rPr>
      </w:pPr>
    </w:p>
    <w:p w14:paraId="5E26639D" w14:textId="77777777" w:rsidR="00765EEA" w:rsidRPr="001334D8" w:rsidRDefault="00765EEA"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lastRenderedPageBreak/>
        <w:t xml:space="preserve">Ahora, en la práctica se ha permitido a las empresas acrediten la experiencia de sus accionistas, socios o constituyentes, posterior a los tres años (03) de constitución, cuando se ha realizado la renovación del RUP, a tiempo, sin embargo, se ha venido hablando de la perdida de la experiencia acreditada de los accionistas, socios o constituyentes posterior a los tres (03) años de constituidas las empresas, cuando se ha dejado vencer por alguna razón el RUP, aunque se haya acreditado la experiencia dentro de los tres (03) años, tal como establece expresamente la norma, y aun así, no habiéndose establecido expresamente la perdida de dicho derecho, en ningún caso, posterior de adquirido el derecho. </w:t>
      </w:r>
    </w:p>
    <w:p w14:paraId="13DFA6B0" w14:textId="77777777" w:rsidR="00765EEA" w:rsidRPr="001334D8" w:rsidRDefault="00765EEA" w:rsidP="00193C39">
      <w:pPr>
        <w:spacing w:after="0" w:line="240" w:lineRule="auto"/>
        <w:ind w:left="709" w:right="709"/>
        <w:contextualSpacing/>
        <w:jc w:val="both"/>
        <w:rPr>
          <w:rFonts w:ascii="Arial" w:hAnsi="Arial" w:cs="Arial"/>
          <w:sz w:val="21"/>
          <w:szCs w:val="21"/>
        </w:rPr>
      </w:pPr>
    </w:p>
    <w:p w14:paraId="258E3216" w14:textId="55497B17" w:rsidR="00765EEA" w:rsidRPr="001334D8" w:rsidRDefault="00765EEA"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Esta interpretación de permitir continuar con la experiencia acreditada de los accionistas, socios o constituyentes posterior a los tres (03) años, cuando</w:t>
      </w:r>
      <w:r w:rsidR="00454B6F" w:rsidRPr="001334D8">
        <w:rPr>
          <w:rFonts w:ascii="Arial" w:hAnsi="Arial" w:cs="Arial"/>
          <w:sz w:val="21"/>
          <w:szCs w:val="21"/>
        </w:rPr>
        <w:t xml:space="preserve"> se ha adquirido el derecho en el término contemplado en la norma, y se ha realizado la renovación del RUP a tiempo, y por otra parte, se le ha negado este mismo derecho a las empresas que por alguna razón o inconveniente, que en muchas ocasiones es por fuerza mayor, no han podido renovar el RUP y deben hacer la inscripción del RUP, cabe resaltar, aun habiéndose adquirido previamente el derecho conforme al numeral 2.5 del artículo 2.2.1.1.1.5.2. del Decreto 1082 del 2015, de haber acreditado la experiencia dentro de los tres (03) años de constituida las empresas, resulta no solo violatorio del Principio de Legalidad, por no estar contemplado en ningún caso la perdida de dicho derecho en la norma citada, si no que también resulta dicha interpretación violatorio del Principio de Igualdad.</w:t>
      </w:r>
    </w:p>
    <w:p w14:paraId="19850229" w14:textId="5041BC55" w:rsidR="00765EEA" w:rsidRPr="001334D8" w:rsidRDefault="00765EEA" w:rsidP="00193C39">
      <w:pPr>
        <w:spacing w:after="0" w:line="240" w:lineRule="auto"/>
        <w:ind w:left="709" w:right="709"/>
        <w:contextualSpacing/>
        <w:jc w:val="both"/>
        <w:rPr>
          <w:rFonts w:ascii="Arial" w:hAnsi="Arial" w:cs="Arial"/>
          <w:sz w:val="21"/>
          <w:szCs w:val="21"/>
        </w:rPr>
      </w:pPr>
    </w:p>
    <w:p w14:paraId="27432899" w14:textId="77777777" w:rsidR="00454B6F" w:rsidRPr="001334D8" w:rsidRDefault="00454B6F"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 xml:space="preserve">Respecto al Principio de Igualdad establece la Constitución como derecho fundamental: </w:t>
      </w:r>
    </w:p>
    <w:p w14:paraId="60D580DF" w14:textId="77777777" w:rsidR="00454B6F" w:rsidRPr="001334D8" w:rsidRDefault="00454B6F" w:rsidP="00193C39">
      <w:pPr>
        <w:spacing w:after="0" w:line="240" w:lineRule="auto"/>
        <w:ind w:left="709" w:right="709"/>
        <w:contextualSpacing/>
        <w:jc w:val="both"/>
        <w:rPr>
          <w:rFonts w:ascii="Arial" w:hAnsi="Arial" w:cs="Arial"/>
          <w:sz w:val="21"/>
          <w:szCs w:val="21"/>
        </w:rPr>
      </w:pPr>
    </w:p>
    <w:p w14:paraId="4CE5F7C2" w14:textId="77777777" w:rsidR="00CC1936" w:rsidRPr="001334D8" w:rsidRDefault="00454B6F" w:rsidP="00193C39">
      <w:pPr>
        <w:spacing w:after="0" w:line="240" w:lineRule="auto"/>
        <w:ind w:left="709" w:right="709"/>
        <w:contextualSpacing/>
        <w:jc w:val="both"/>
        <w:rPr>
          <w:rFonts w:ascii="Arial" w:hAnsi="Arial" w:cs="Arial"/>
          <w:i/>
          <w:iCs/>
          <w:sz w:val="21"/>
          <w:szCs w:val="21"/>
        </w:rPr>
      </w:pPr>
      <w:r w:rsidRPr="001334D8">
        <w:rPr>
          <w:rFonts w:ascii="Arial" w:hAnsi="Arial" w:cs="Arial"/>
          <w:b/>
          <w:bCs/>
          <w:i/>
          <w:iCs/>
          <w:sz w:val="21"/>
          <w:szCs w:val="21"/>
          <w:u w:val="single"/>
        </w:rPr>
        <w:t>“ARTICULO 13</w:t>
      </w:r>
      <w:r w:rsidRPr="001334D8">
        <w:rPr>
          <w:rFonts w:ascii="Arial" w:hAnsi="Arial" w:cs="Arial"/>
          <w:i/>
          <w:iCs/>
          <w:sz w:val="21"/>
          <w:szCs w:val="21"/>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14:paraId="3FAD3F34" w14:textId="77777777" w:rsidR="00CC1936" w:rsidRPr="001334D8" w:rsidRDefault="00CC1936" w:rsidP="00193C39">
      <w:pPr>
        <w:spacing w:after="0" w:line="240" w:lineRule="auto"/>
        <w:ind w:left="709" w:right="709"/>
        <w:contextualSpacing/>
        <w:jc w:val="both"/>
        <w:rPr>
          <w:rFonts w:ascii="Arial" w:hAnsi="Arial" w:cs="Arial"/>
          <w:sz w:val="21"/>
          <w:szCs w:val="21"/>
        </w:rPr>
      </w:pPr>
    </w:p>
    <w:p w14:paraId="3D70CFE2" w14:textId="77777777" w:rsidR="00CC1936" w:rsidRPr="001334D8" w:rsidRDefault="00454B6F"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 xml:space="preserve">Y expresa el numeral 2 del artículo 3 del Código Contencioso Administrativo: </w:t>
      </w:r>
    </w:p>
    <w:p w14:paraId="2771B2C7" w14:textId="77777777" w:rsidR="00CC1936" w:rsidRPr="001334D8" w:rsidRDefault="00CC1936" w:rsidP="00193C39">
      <w:pPr>
        <w:spacing w:after="0" w:line="240" w:lineRule="auto"/>
        <w:ind w:left="709" w:right="709"/>
        <w:contextualSpacing/>
        <w:jc w:val="both"/>
        <w:rPr>
          <w:rFonts w:ascii="Arial" w:hAnsi="Arial" w:cs="Arial"/>
          <w:sz w:val="21"/>
          <w:szCs w:val="21"/>
        </w:rPr>
      </w:pPr>
    </w:p>
    <w:p w14:paraId="3B2D9E42" w14:textId="77777777" w:rsidR="00CC1936" w:rsidRPr="001334D8" w:rsidRDefault="00454B6F" w:rsidP="00193C39">
      <w:pPr>
        <w:spacing w:after="0" w:line="240" w:lineRule="auto"/>
        <w:ind w:left="709" w:right="709"/>
        <w:contextualSpacing/>
        <w:jc w:val="both"/>
        <w:rPr>
          <w:rFonts w:ascii="Arial" w:hAnsi="Arial" w:cs="Arial"/>
          <w:i/>
          <w:iCs/>
          <w:sz w:val="21"/>
          <w:szCs w:val="21"/>
        </w:rPr>
      </w:pPr>
      <w:r w:rsidRPr="001334D8">
        <w:rPr>
          <w:rFonts w:ascii="Arial" w:hAnsi="Arial" w:cs="Arial"/>
          <w:i/>
          <w:iCs/>
          <w:sz w:val="21"/>
          <w:szCs w:val="21"/>
        </w:rPr>
        <w:t xml:space="preserve">“Todas las autoridades deberán interpretar y aplicar las disposiciones que regulan las actuaciones y procedimientos administrativos a la luz de los principios consagrados en la Constitución Política, en la Parte Primera de este Código y en las leyes especiales. Las actuaciones administrativas se desarrollarán, especialmente, con arreglo a los principios del debido proceso, igualdad, imparcialidad, buena fe, moralidad, participación, </w:t>
      </w:r>
      <w:r w:rsidRPr="001334D8">
        <w:rPr>
          <w:rFonts w:ascii="Arial" w:hAnsi="Arial" w:cs="Arial"/>
          <w:i/>
          <w:iCs/>
          <w:sz w:val="21"/>
          <w:szCs w:val="21"/>
        </w:rPr>
        <w:lastRenderedPageBreak/>
        <w:t xml:space="preserve">responsabilidad, transparencia, publicidad, coordinación, eficacia, economía y celeridad. </w:t>
      </w:r>
    </w:p>
    <w:p w14:paraId="29753119" w14:textId="77777777" w:rsidR="00CC1936" w:rsidRPr="001334D8" w:rsidRDefault="00CC1936" w:rsidP="00193C39">
      <w:pPr>
        <w:spacing w:after="0" w:line="240" w:lineRule="auto"/>
        <w:ind w:left="709" w:right="709"/>
        <w:contextualSpacing/>
        <w:jc w:val="both"/>
        <w:rPr>
          <w:rFonts w:ascii="Arial" w:hAnsi="Arial" w:cs="Arial"/>
          <w:i/>
          <w:iCs/>
          <w:sz w:val="21"/>
          <w:szCs w:val="21"/>
        </w:rPr>
      </w:pPr>
    </w:p>
    <w:p w14:paraId="53A3FFE3" w14:textId="6FDE4A8B" w:rsidR="00454B6F" w:rsidRPr="001334D8" w:rsidRDefault="00454B6F" w:rsidP="00193C39">
      <w:pPr>
        <w:spacing w:after="0" w:line="240" w:lineRule="auto"/>
        <w:ind w:left="709" w:right="709"/>
        <w:contextualSpacing/>
        <w:jc w:val="both"/>
        <w:rPr>
          <w:rFonts w:ascii="Arial" w:hAnsi="Arial" w:cs="Arial"/>
          <w:i/>
          <w:iCs/>
          <w:sz w:val="21"/>
          <w:szCs w:val="21"/>
        </w:rPr>
      </w:pPr>
      <w:r w:rsidRPr="001334D8">
        <w:rPr>
          <w:rFonts w:ascii="Arial" w:hAnsi="Arial" w:cs="Arial"/>
          <w:i/>
          <w:iCs/>
          <w:sz w:val="21"/>
          <w:szCs w:val="21"/>
        </w:rPr>
        <w:t>2. En virtud del principio de igualdad, las autoridades darán el mismo trato y protección a las personas e instituciones que intervengan en las actuaciones bajo su conocimiento. No obstante, serán objeto de trato y protección especial las personas que por su condición económica, física o mental se encuentran en circunstancias de debilidad manifiesta”.</w:t>
      </w:r>
    </w:p>
    <w:p w14:paraId="3DDEAE3A" w14:textId="0227051E" w:rsidR="00DF00DE" w:rsidRPr="001334D8" w:rsidRDefault="00DF00DE" w:rsidP="00193C39">
      <w:pPr>
        <w:spacing w:after="0" w:line="240" w:lineRule="auto"/>
        <w:ind w:left="709" w:right="709"/>
        <w:contextualSpacing/>
        <w:jc w:val="both"/>
        <w:rPr>
          <w:rFonts w:ascii="Arial" w:hAnsi="Arial" w:cs="Arial"/>
          <w:i/>
          <w:iCs/>
          <w:sz w:val="21"/>
          <w:szCs w:val="21"/>
        </w:rPr>
      </w:pPr>
    </w:p>
    <w:p w14:paraId="67181752" w14:textId="77777777" w:rsidR="00DF00DE" w:rsidRPr="001334D8" w:rsidRDefault="00DF00DE"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 xml:space="preserve">Finalmente, es preciso agregar que, dicha interpretación también contraviene el espíritu por el cual fue creada la norma, permitiéndome citar un extracto de lo indicado por esta entidad, en el cual establece: </w:t>
      </w:r>
    </w:p>
    <w:p w14:paraId="414F4BFC" w14:textId="77777777" w:rsidR="00DF00DE" w:rsidRPr="001334D8" w:rsidRDefault="00DF00DE" w:rsidP="00193C39">
      <w:pPr>
        <w:spacing w:after="0" w:line="240" w:lineRule="auto"/>
        <w:ind w:left="709" w:right="709"/>
        <w:contextualSpacing/>
        <w:jc w:val="both"/>
        <w:rPr>
          <w:rFonts w:ascii="Arial" w:hAnsi="Arial" w:cs="Arial"/>
          <w:sz w:val="21"/>
          <w:szCs w:val="21"/>
        </w:rPr>
      </w:pPr>
    </w:p>
    <w:p w14:paraId="225BC0DA" w14:textId="77777777" w:rsidR="00DF00DE" w:rsidRPr="001334D8" w:rsidRDefault="00DF00DE" w:rsidP="00193C39">
      <w:pPr>
        <w:spacing w:after="0" w:line="240" w:lineRule="auto"/>
        <w:ind w:left="709" w:right="709"/>
        <w:contextualSpacing/>
        <w:jc w:val="both"/>
        <w:rPr>
          <w:rFonts w:ascii="Arial" w:hAnsi="Arial" w:cs="Arial"/>
          <w:i/>
          <w:iCs/>
          <w:sz w:val="21"/>
          <w:szCs w:val="21"/>
        </w:rPr>
      </w:pPr>
      <w:r w:rsidRPr="001334D8">
        <w:rPr>
          <w:rFonts w:ascii="Arial" w:hAnsi="Arial" w:cs="Arial"/>
          <w:i/>
          <w:iCs/>
          <w:sz w:val="21"/>
          <w:szCs w:val="21"/>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 </w:t>
      </w:r>
    </w:p>
    <w:p w14:paraId="2991B537" w14:textId="77777777" w:rsidR="00DF00DE" w:rsidRPr="001334D8" w:rsidRDefault="00DF00DE" w:rsidP="00193C39">
      <w:pPr>
        <w:spacing w:after="0" w:line="240" w:lineRule="auto"/>
        <w:ind w:left="709" w:right="709"/>
        <w:contextualSpacing/>
        <w:jc w:val="both"/>
        <w:rPr>
          <w:rFonts w:ascii="Arial" w:hAnsi="Arial" w:cs="Arial"/>
          <w:sz w:val="21"/>
          <w:szCs w:val="21"/>
        </w:rPr>
      </w:pPr>
    </w:p>
    <w:p w14:paraId="2DFC02A0" w14:textId="21AB2EFA" w:rsidR="00DF00DE" w:rsidRPr="001334D8" w:rsidRDefault="00DF00DE" w:rsidP="00193C39">
      <w:pPr>
        <w:spacing w:after="0" w:line="240" w:lineRule="auto"/>
        <w:ind w:left="709" w:right="709"/>
        <w:contextualSpacing/>
        <w:jc w:val="both"/>
        <w:rPr>
          <w:rFonts w:ascii="Arial" w:hAnsi="Arial" w:cs="Arial"/>
          <w:i/>
          <w:iCs/>
          <w:sz w:val="21"/>
          <w:szCs w:val="21"/>
        </w:rPr>
      </w:pPr>
      <w:r w:rsidRPr="001334D8">
        <w:rPr>
          <w:rFonts w:ascii="Arial" w:hAnsi="Arial" w:cs="Arial"/>
          <w:sz w:val="21"/>
          <w:szCs w:val="21"/>
        </w:rPr>
        <w:t xml:space="preserve">Por lo expresado anteriormente y conforme al Principio de Legalidad y al Principio de Igualdad, solicito comedidamente se verifique el alcance del numeral 2.5 del artículo 2.2.1.1.1.5.2. del Decreto 1082 del 2015, conceptuado por esta entidad, y de esta forma, igualmente, se incentive la competencia en la contratación estatal, el desarrollo de la empresa y la pluralidad de oferentes en la contratación pública». </w:t>
      </w:r>
    </w:p>
    <w:p w14:paraId="221350D7" w14:textId="77777777" w:rsidR="00136065" w:rsidRPr="001334D8" w:rsidRDefault="00136065" w:rsidP="00193C39">
      <w:pPr>
        <w:spacing w:after="0" w:line="276" w:lineRule="auto"/>
        <w:ind w:left="709"/>
        <w:contextualSpacing/>
        <w:jc w:val="both"/>
        <w:rPr>
          <w:rFonts w:ascii="Arial" w:hAnsi="Arial" w:cs="Arial"/>
        </w:rPr>
      </w:pPr>
    </w:p>
    <w:p w14:paraId="1A1024F9" w14:textId="38E23068" w:rsidR="005F2C99" w:rsidRPr="001334D8" w:rsidRDefault="005F2C99" w:rsidP="00C86EB0">
      <w:pPr>
        <w:tabs>
          <w:tab w:val="left" w:pos="284"/>
        </w:tabs>
        <w:spacing w:after="0" w:line="276" w:lineRule="auto"/>
        <w:contextualSpacing/>
        <w:jc w:val="both"/>
        <w:rPr>
          <w:rFonts w:ascii="Arial" w:eastAsia="Calibri" w:hAnsi="Arial" w:cs="Arial"/>
          <w:b/>
        </w:rPr>
      </w:pPr>
      <w:r w:rsidRPr="001334D8">
        <w:rPr>
          <w:rFonts w:ascii="Arial" w:eastAsia="Calibri" w:hAnsi="Arial" w:cs="Arial"/>
          <w:b/>
        </w:rPr>
        <w:t>2. Consideraciones</w:t>
      </w:r>
    </w:p>
    <w:p w14:paraId="304CEADB" w14:textId="77777777" w:rsidR="00751D36" w:rsidRPr="001334D8" w:rsidRDefault="00751D36" w:rsidP="00C86EB0">
      <w:pPr>
        <w:tabs>
          <w:tab w:val="left" w:pos="284"/>
        </w:tabs>
        <w:spacing w:after="0" w:line="276" w:lineRule="auto"/>
        <w:contextualSpacing/>
        <w:jc w:val="both"/>
        <w:rPr>
          <w:rFonts w:ascii="Arial" w:eastAsia="Calibri" w:hAnsi="Arial" w:cs="Arial"/>
          <w:b/>
        </w:rPr>
      </w:pPr>
    </w:p>
    <w:p w14:paraId="313E6B0E" w14:textId="1B7C077A" w:rsidR="000904A2" w:rsidRPr="001334D8" w:rsidRDefault="00A57660" w:rsidP="009B2DEB">
      <w:pPr>
        <w:spacing w:after="120" w:line="276" w:lineRule="auto"/>
        <w:jc w:val="both"/>
        <w:rPr>
          <w:rFonts w:ascii="Arial" w:eastAsia="Calibri" w:hAnsi="Arial" w:cs="Arial"/>
        </w:rPr>
      </w:pPr>
      <w:r w:rsidRPr="001334D8">
        <w:rPr>
          <w:rFonts w:ascii="Arial" w:hAnsi="Arial" w:cs="Arial"/>
        </w:rPr>
        <w:t>Con el fin de</w:t>
      </w:r>
      <w:r w:rsidR="000904A2" w:rsidRPr="001334D8">
        <w:rPr>
          <w:rFonts w:ascii="Arial" w:hAnsi="Arial" w:cs="Arial"/>
        </w:rPr>
        <w:t xml:space="preserve"> absolver la consulta planteada</w:t>
      </w:r>
      <w:r w:rsidRPr="001334D8">
        <w:rPr>
          <w:rFonts w:ascii="Arial" w:hAnsi="Arial" w:cs="Arial"/>
        </w:rPr>
        <w:t>,</w:t>
      </w:r>
      <w:r w:rsidR="000904A2" w:rsidRPr="001334D8">
        <w:rPr>
          <w:rFonts w:ascii="Arial" w:hAnsi="Arial" w:cs="Arial"/>
        </w:rPr>
        <w:t xml:space="preserve"> se abordarán los siguientes temas: i) acreditación de la experiencia de accionistas, socios o constituyentes de sociedades con menos de tres</w:t>
      </w:r>
      <w:r w:rsidRPr="001334D8">
        <w:rPr>
          <w:rFonts w:ascii="Arial" w:hAnsi="Arial" w:cs="Arial"/>
        </w:rPr>
        <w:t xml:space="preserve"> (3)</w:t>
      </w:r>
      <w:r w:rsidR="000904A2" w:rsidRPr="001334D8">
        <w:rPr>
          <w:rFonts w:ascii="Arial" w:hAnsi="Arial" w:cs="Arial"/>
        </w:rPr>
        <w:t xml:space="preserve"> años de constitución; y ii) la firmeza del acto de inscripción en el Registro Único de Proponentes – RUP. Efectos frente a la inscripción, renovación y actualización del registro </w:t>
      </w:r>
      <w:r w:rsidRPr="001334D8">
        <w:rPr>
          <w:rFonts w:ascii="Arial" w:hAnsi="Arial" w:cs="Arial"/>
        </w:rPr>
        <w:t xml:space="preserve">y; </w:t>
      </w:r>
      <w:r w:rsidR="000904A2" w:rsidRPr="001334D8">
        <w:rPr>
          <w:rFonts w:ascii="Arial" w:hAnsi="Arial" w:cs="Arial"/>
        </w:rPr>
        <w:t>iii) alcance de los conceptos emitidos por Colombia Compra Eficiente.</w:t>
      </w:r>
    </w:p>
    <w:p w14:paraId="7F35A8F8" w14:textId="041AAD29" w:rsidR="00194385" w:rsidRPr="001334D8" w:rsidRDefault="005F2C99" w:rsidP="00824A29">
      <w:pPr>
        <w:tabs>
          <w:tab w:val="left" w:pos="284"/>
        </w:tabs>
        <w:spacing w:after="120" w:line="276" w:lineRule="auto"/>
        <w:jc w:val="both"/>
        <w:rPr>
          <w:rFonts w:ascii="Arial" w:eastAsia="Calibri" w:hAnsi="Arial" w:cs="Arial"/>
          <w:lang w:val="es-ES_tradnl" w:eastAsia="es-MX"/>
        </w:rPr>
      </w:pPr>
      <w:r w:rsidRPr="001334D8">
        <w:rPr>
          <w:rFonts w:ascii="Arial" w:eastAsia="Calibri" w:hAnsi="Arial" w:cs="Arial"/>
          <w:lang w:val="es-ES_tradnl" w:eastAsia="es-MX"/>
        </w:rPr>
        <w:tab/>
      </w:r>
      <w:r w:rsidRPr="001334D8">
        <w:rPr>
          <w:rFonts w:ascii="Arial" w:eastAsia="Calibri" w:hAnsi="Arial" w:cs="Arial"/>
          <w:lang w:val="es-ES_tradnl" w:eastAsia="es-MX"/>
        </w:rPr>
        <w:tab/>
        <w:t xml:space="preserve">La Agencia Nacional de Contratación Pública – Colombia Compra Eficiente, </w:t>
      </w:r>
      <w:r w:rsidR="00194385" w:rsidRPr="001334D8">
        <w:rPr>
          <w:rFonts w:ascii="Arial" w:eastAsia="Calibri" w:hAnsi="Arial" w:cs="Arial"/>
          <w:lang w:val="es-ES"/>
        </w:rPr>
        <w:t xml:space="preserve">estudió la acreditación de la experiencia de los socios por una sociedad nueva con menos de tres (3) años de constitución en los conceptos C-025 del 16 de marzo de </w:t>
      </w:r>
      <w:r w:rsidR="00194385" w:rsidRPr="001334D8">
        <w:rPr>
          <w:rFonts w:ascii="Arial" w:eastAsia="Calibri" w:hAnsi="Arial" w:cs="Arial"/>
          <w:lang w:val="es-ES"/>
        </w:rPr>
        <w:lastRenderedPageBreak/>
        <w:t>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C-316 y C-318 del 29 de junio de 2021, C-474 del 6 de septiembre de 2021, C-441 del 13 de octubre de 2021, C-589 del 19 de octubre de 2021, C-034 del 2 de marzo de 2022, C-144 del 28 de marzo de 2022 y C-239 del 26 de abril de 2022, C-319 del 19 de mayo de 2022, C-324 del 19 de  mayo de 2022, C-447 del 19 de julio de 2022, C-456 del 15 de julio de 2022, C-517 del 11 de agosto de 2022</w:t>
      </w:r>
      <w:r w:rsidR="00194385" w:rsidRPr="001334D8">
        <w:rPr>
          <w:rFonts w:ascii="Arial" w:eastAsia="Calibri" w:hAnsi="Arial" w:cs="Arial"/>
          <w:vertAlign w:val="superscript"/>
          <w:lang w:val="es-ES"/>
        </w:rPr>
        <w:footnoteReference w:id="1"/>
      </w:r>
      <w:r w:rsidR="00194385" w:rsidRPr="001334D8">
        <w:rPr>
          <w:rFonts w:ascii="Arial" w:eastAsia="Calibri" w:hAnsi="Arial" w:cs="Arial"/>
          <w:lang w:val="es-ES"/>
        </w:rPr>
        <w:t>.</w:t>
      </w:r>
    </w:p>
    <w:p w14:paraId="47EC8C01" w14:textId="75748949" w:rsidR="00824A29" w:rsidRPr="001334D8" w:rsidRDefault="009B2DEB" w:rsidP="00824A29">
      <w:pPr>
        <w:tabs>
          <w:tab w:val="left" w:pos="284"/>
        </w:tabs>
        <w:spacing w:after="120" w:line="276" w:lineRule="auto"/>
        <w:jc w:val="both"/>
        <w:rPr>
          <w:rFonts w:ascii="Arial" w:hAnsi="Arial" w:cs="Arial"/>
          <w:bCs/>
          <w:lang w:val="es-MX"/>
        </w:rPr>
      </w:pPr>
      <w:r w:rsidRPr="001334D8">
        <w:rPr>
          <w:rFonts w:ascii="Arial" w:eastAsia="Calibri" w:hAnsi="Arial" w:cs="Arial"/>
          <w:lang w:val="es-ES_tradnl" w:eastAsia="es-MX"/>
        </w:rPr>
        <w:tab/>
      </w:r>
      <w:r w:rsidRPr="001334D8">
        <w:rPr>
          <w:rFonts w:ascii="Arial" w:eastAsia="Calibri" w:hAnsi="Arial" w:cs="Arial"/>
          <w:lang w:val="es-ES_tradnl" w:eastAsia="es-MX"/>
        </w:rPr>
        <w:tab/>
      </w:r>
      <w:r w:rsidR="00DA5629" w:rsidRPr="001334D8">
        <w:rPr>
          <w:rFonts w:ascii="Arial" w:eastAsia="Calibri" w:hAnsi="Arial" w:cs="Arial"/>
          <w:lang w:val="es-ES_tradnl" w:eastAsia="es-MX"/>
        </w:rPr>
        <w:t>Así mismo</w:t>
      </w:r>
      <w:r w:rsidR="00AF5977" w:rsidRPr="001334D8">
        <w:rPr>
          <w:rFonts w:ascii="Arial" w:eastAsia="Calibri" w:hAnsi="Arial" w:cs="Arial"/>
          <w:lang w:val="es-ES_tradnl" w:eastAsia="es-MX"/>
        </w:rPr>
        <w:t>, esta Agencia</w:t>
      </w:r>
      <w:r w:rsidRPr="001334D8">
        <w:rPr>
          <w:rFonts w:ascii="Arial" w:eastAsia="Calibri" w:hAnsi="Arial" w:cs="Arial"/>
          <w:lang w:val="es-ES_tradnl" w:eastAsia="es-MX"/>
        </w:rPr>
        <w:t xml:space="preserve"> </w:t>
      </w:r>
      <w:r w:rsidR="006906CB" w:rsidRPr="001334D8">
        <w:rPr>
          <w:rFonts w:ascii="Arial" w:hAnsi="Arial" w:cs="Arial"/>
          <w:lang w:val="es-ES_tradnl"/>
        </w:rPr>
        <w:t>se pronunció sobre las</w:t>
      </w:r>
      <w:r w:rsidR="006906CB" w:rsidRPr="001334D8">
        <w:rPr>
          <w:rFonts w:ascii="Arial" w:hAnsi="Arial" w:cs="Arial"/>
          <w:bCs/>
          <w:lang w:val="es-MX"/>
        </w:rPr>
        <w:t xml:space="preserve"> </w:t>
      </w:r>
      <w:r w:rsidR="006906CB" w:rsidRPr="001334D8">
        <w:rPr>
          <w:rFonts w:ascii="Arial" w:eastAsia="Arial MT" w:hAnsi="Arial" w:cs="Arial"/>
          <w:lang w:val="es-ES"/>
        </w:rPr>
        <w:t>problemáticas asociadas al RUP, relacionadas con la firmeza de la inscripción,</w:t>
      </w:r>
      <w:r w:rsidR="006906CB" w:rsidRPr="001334D8">
        <w:rPr>
          <w:rFonts w:ascii="Arial" w:eastAsia="Arial MT" w:hAnsi="Arial" w:cs="Arial"/>
          <w:spacing w:val="1"/>
          <w:lang w:val="es-ES"/>
        </w:rPr>
        <w:t xml:space="preserve"> </w:t>
      </w:r>
      <w:r w:rsidR="006906CB" w:rsidRPr="001334D8">
        <w:rPr>
          <w:rFonts w:ascii="Arial" w:eastAsia="Arial MT" w:hAnsi="Arial" w:cs="Arial"/>
          <w:lang w:val="es-ES"/>
        </w:rPr>
        <w:t>renovación y actualización en los conceptos C</w:t>
      </w:r>
      <w:r w:rsidR="003F1BBB" w:rsidRPr="001334D8">
        <w:rPr>
          <w:rFonts w:ascii="Arial" w:eastAsia="Arial MT" w:hAnsi="Arial" w:cs="Arial"/>
          <w:lang w:val="es-ES"/>
        </w:rPr>
        <w:t>-</w:t>
      </w:r>
      <w:r w:rsidR="006906CB" w:rsidRPr="001334D8">
        <w:rPr>
          <w:rFonts w:ascii="Arial" w:eastAsia="Arial MT" w:hAnsi="Arial" w:cs="Arial"/>
          <w:lang w:val="es-ES"/>
        </w:rPr>
        <w:t xml:space="preserve">005 </w:t>
      </w:r>
      <w:r w:rsidR="006906CB" w:rsidRPr="001334D8">
        <w:rPr>
          <w:rFonts w:ascii="Arial" w:eastAsia="Arial MT" w:hAnsi="Arial" w:cs="Arial"/>
          <w:spacing w:val="-59"/>
          <w:lang w:val="es-ES"/>
        </w:rPr>
        <w:t xml:space="preserve"> </w:t>
      </w:r>
      <w:r w:rsidR="006906CB" w:rsidRPr="001334D8">
        <w:rPr>
          <w:rFonts w:ascii="Arial" w:eastAsia="Arial MT" w:hAnsi="Arial" w:cs="Arial"/>
          <w:lang w:val="es-ES"/>
        </w:rPr>
        <w:t>del 14 de febrero de 2020, C</w:t>
      </w:r>
      <w:r w:rsidR="003F1BBB" w:rsidRPr="001334D8">
        <w:rPr>
          <w:rFonts w:ascii="Arial" w:eastAsia="Arial MT" w:hAnsi="Arial" w:cs="Arial"/>
          <w:lang w:val="es-ES"/>
        </w:rPr>
        <w:t>-</w:t>
      </w:r>
      <w:r w:rsidR="006906CB" w:rsidRPr="001334D8">
        <w:rPr>
          <w:rFonts w:ascii="Arial" w:eastAsia="Arial MT" w:hAnsi="Arial" w:cs="Arial"/>
          <w:lang w:val="es-ES"/>
        </w:rPr>
        <w:t>148 del 22 de abril de 2020, C</w:t>
      </w:r>
      <w:r w:rsidR="003F1BBB" w:rsidRPr="001334D8">
        <w:rPr>
          <w:rFonts w:ascii="Arial" w:eastAsia="Arial MT" w:hAnsi="Arial" w:cs="Arial"/>
          <w:lang w:val="es-ES"/>
        </w:rPr>
        <w:t>-</w:t>
      </w:r>
      <w:r w:rsidR="006906CB" w:rsidRPr="001334D8">
        <w:rPr>
          <w:rFonts w:ascii="Arial" w:eastAsia="Arial MT" w:hAnsi="Arial" w:cs="Arial"/>
          <w:lang w:val="es-ES"/>
        </w:rPr>
        <w:t>330 del 27 de mayo de</w:t>
      </w:r>
      <w:r w:rsidR="006906CB" w:rsidRPr="001334D8">
        <w:rPr>
          <w:rFonts w:ascii="Arial" w:eastAsia="Arial MT" w:hAnsi="Arial" w:cs="Arial"/>
          <w:spacing w:val="1"/>
          <w:lang w:val="es-ES"/>
        </w:rPr>
        <w:t xml:space="preserve"> </w:t>
      </w:r>
      <w:r w:rsidR="006906CB" w:rsidRPr="001334D8">
        <w:rPr>
          <w:rFonts w:ascii="Arial" w:eastAsia="Arial MT" w:hAnsi="Arial" w:cs="Arial"/>
          <w:lang w:val="es-ES"/>
        </w:rPr>
        <w:t>2020,</w:t>
      </w:r>
      <w:r w:rsidR="006906CB" w:rsidRPr="001334D8">
        <w:rPr>
          <w:rFonts w:ascii="Arial" w:eastAsia="Arial MT" w:hAnsi="Arial" w:cs="Arial"/>
          <w:spacing w:val="-10"/>
          <w:lang w:val="es-ES"/>
        </w:rPr>
        <w:t xml:space="preserve"> </w:t>
      </w:r>
      <w:r w:rsidR="006906CB" w:rsidRPr="001334D8">
        <w:rPr>
          <w:rFonts w:ascii="Arial" w:eastAsia="Arial MT" w:hAnsi="Arial" w:cs="Arial"/>
          <w:lang w:val="es-ES"/>
        </w:rPr>
        <w:t>C</w:t>
      </w:r>
      <w:r w:rsidR="003F1BBB" w:rsidRPr="001334D8">
        <w:rPr>
          <w:rFonts w:ascii="Arial" w:eastAsia="Arial MT" w:hAnsi="Arial" w:cs="Arial"/>
          <w:lang w:val="es-ES"/>
        </w:rPr>
        <w:t>-</w:t>
      </w:r>
      <w:r w:rsidR="006906CB" w:rsidRPr="001334D8">
        <w:rPr>
          <w:rFonts w:ascii="Arial" w:eastAsia="Arial MT" w:hAnsi="Arial" w:cs="Arial"/>
          <w:lang w:val="es-ES"/>
        </w:rPr>
        <w:t>303</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del</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3</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junio</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2020,</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C</w:t>
      </w:r>
      <w:r w:rsidR="003F1BBB" w:rsidRPr="001334D8">
        <w:rPr>
          <w:rFonts w:ascii="Arial" w:eastAsia="Arial MT" w:hAnsi="Arial" w:cs="Arial"/>
          <w:lang w:val="es-ES"/>
        </w:rPr>
        <w:t>-</w:t>
      </w:r>
      <w:r w:rsidR="006906CB" w:rsidRPr="001334D8">
        <w:rPr>
          <w:rFonts w:ascii="Arial" w:eastAsia="Arial MT" w:hAnsi="Arial" w:cs="Arial"/>
          <w:lang w:val="es-ES"/>
        </w:rPr>
        <w:t>328</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30</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10"/>
          <w:lang w:val="es-ES"/>
        </w:rPr>
        <w:t xml:space="preserve"> </w:t>
      </w:r>
      <w:r w:rsidR="006906CB" w:rsidRPr="001334D8">
        <w:rPr>
          <w:rFonts w:ascii="Arial" w:eastAsia="Arial MT" w:hAnsi="Arial" w:cs="Arial"/>
          <w:lang w:val="es-ES"/>
        </w:rPr>
        <w:t>junio</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2020,</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C</w:t>
      </w:r>
      <w:r w:rsidR="003F1BBB" w:rsidRPr="001334D8">
        <w:rPr>
          <w:rFonts w:ascii="Arial" w:eastAsia="Arial MT" w:hAnsi="Arial" w:cs="Arial"/>
          <w:lang w:val="es-ES"/>
        </w:rPr>
        <w:t>-</w:t>
      </w:r>
      <w:r w:rsidR="006906CB" w:rsidRPr="001334D8">
        <w:rPr>
          <w:rFonts w:ascii="Arial" w:eastAsia="Arial MT" w:hAnsi="Arial" w:cs="Arial"/>
          <w:lang w:val="es-ES"/>
        </w:rPr>
        <w:t>454</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del</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6</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julio</w:t>
      </w:r>
      <w:r w:rsidR="006906CB" w:rsidRPr="001334D8">
        <w:rPr>
          <w:rFonts w:ascii="Arial" w:eastAsia="Arial MT" w:hAnsi="Arial" w:cs="Arial"/>
          <w:spacing w:val="-59"/>
          <w:lang w:val="es-ES"/>
        </w:rPr>
        <w:t xml:space="preserve"> </w:t>
      </w:r>
      <w:r w:rsidR="00036F87" w:rsidRPr="001334D8">
        <w:rPr>
          <w:rFonts w:ascii="Arial" w:eastAsia="Arial MT" w:hAnsi="Arial" w:cs="Arial"/>
          <w:spacing w:val="-5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10"/>
          <w:lang w:val="es-ES"/>
        </w:rPr>
        <w:t xml:space="preserve"> </w:t>
      </w:r>
      <w:r w:rsidR="006906CB" w:rsidRPr="001334D8">
        <w:rPr>
          <w:rFonts w:ascii="Arial" w:eastAsia="Arial MT" w:hAnsi="Arial" w:cs="Arial"/>
          <w:lang w:val="es-ES"/>
        </w:rPr>
        <w:t>2020,</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C</w:t>
      </w:r>
      <w:r w:rsidR="003F1BBB" w:rsidRPr="001334D8">
        <w:rPr>
          <w:rFonts w:ascii="Arial" w:eastAsia="Arial MT" w:hAnsi="Arial" w:cs="Arial"/>
          <w:lang w:val="es-ES"/>
        </w:rPr>
        <w:t>-</w:t>
      </w:r>
      <w:r w:rsidR="006906CB" w:rsidRPr="001334D8">
        <w:rPr>
          <w:rFonts w:ascii="Arial" w:eastAsia="Arial MT" w:hAnsi="Arial" w:cs="Arial"/>
          <w:lang w:val="es-ES"/>
        </w:rPr>
        <w:t>374</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del</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23</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julio</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2020,</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C</w:t>
      </w:r>
      <w:r w:rsidR="003F1BBB" w:rsidRPr="001334D8">
        <w:rPr>
          <w:rFonts w:ascii="Arial" w:eastAsia="Arial MT" w:hAnsi="Arial" w:cs="Arial"/>
          <w:lang w:val="es-ES"/>
        </w:rPr>
        <w:t>-</w:t>
      </w:r>
      <w:r w:rsidR="006906CB" w:rsidRPr="001334D8">
        <w:rPr>
          <w:rFonts w:ascii="Arial" w:eastAsia="Arial MT" w:hAnsi="Arial" w:cs="Arial"/>
          <w:lang w:val="es-ES"/>
        </w:rPr>
        <w:t>466</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del</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24</w:t>
      </w:r>
      <w:r w:rsidR="006906CB" w:rsidRPr="001334D8">
        <w:rPr>
          <w:rFonts w:ascii="Arial" w:eastAsia="Arial MT" w:hAnsi="Arial" w:cs="Arial"/>
          <w:spacing w:val="-10"/>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julio</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2020,</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C</w:t>
      </w:r>
      <w:r w:rsidR="003F1BBB" w:rsidRPr="001334D8">
        <w:rPr>
          <w:rFonts w:ascii="Arial" w:eastAsia="Arial MT" w:hAnsi="Arial" w:cs="Arial"/>
          <w:lang w:val="es-ES"/>
        </w:rPr>
        <w:t>-</w:t>
      </w:r>
      <w:r w:rsidR="006906CB" w:rsidRPr="001334D8">
        <w:rPr>
          <w:rFonts w:ascii="Arial" w:eastAsia="Arial MT" w:hAnsi="Arial" w:cs="Arial"/>
          <w:lang w:val="es-ES"/>
        </w:rPr>
        <w:t>420</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del</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28</w:t>
      </w:r>
      <w:r w:rsidR="006906CB" w:rsidRPr="001334D8">
        <w:rPr>
          <w:rFonts w:ascii="Arial" w:eastAsia="Arial MT" w:hAnsi="Arial" w:cs="Arial"/>
          <w:spacing w:val="-9"/>
          <w:lang w:val="es-ES"/>
        </w:rPr>
        <w:t xml:space="preserve"> </w:t>
      </w:r>
      <w:r w:rsidR="006906CB" w:rsidRPr="001334D8">
        <w:rPr>
          <w:rFonts w:ascii="Arial" w:eastAsia="Arial MT" w:hAnsi="Arial" w:cs="Arial"/>
          <w:lang w:val="es-ES"/>
        </w:rPr>
        <w:t>de</w:t>
      </w:r>
      <w:r w:rsidR="006906CB" w:rsidRPr="001334D8">
        <w:rPr>
          <w:rFonts w:ascii="Arial" w:eastAsia="Arial MT" w:hAnsi="Arial" w:cs="Arial"/>
          <w:spacing w:val="-59"/>
          <w:lang w:val="es-ES"/>
        </w:rPr>
        <w:t xml:space="preserve"> </w:t>
      </w:r>
      <w:r w:rsidR="006906CB" w:rsidRPr="001334D8">
        <w:rPr>
          <w:rFonts w:ascii="Arial" w:eastAsia="Arial MT" w:hAnsi="Arial" w:cs="Arial"/>
          <w:lang w:val="es-ES"/>
        </w:rPr>
        <w:t>julio de 2020, C</w:t>
      </w:r>
      <w:r w:rsidR="003F1BBB" w:rsidRPr="001334D8">
        <w:rPr>
          <w:rFonts w:ascii="Arial" w:eastAsia="Arial MT" w:hAnsi="Arial" w:cs="Arial"/>
          <w:lang w:val="es-ES"/>
        </w:rPr>
        <w:t>-</w:t>
      </w:r>
      <w:r w:rsidR="006906CB" w:rsidRPr="001334D8">
        <w:rPr>
          <w:rFonts w:ascii="Arial" w:eastAsia="Arial MT" w:hAnsi="Arial" w:cs="Arial"/>
          <w:lang w:val="es-ES"/>
        </w:rPr>
        <w:t xml:space="preserve">534 del 12 de agosto de 2020, </w:t>
      </w:r>
      <w:r w:rsidR="00036F87" w:rsidRPr="001334D8">
        <w:rPr>
          <w:rFonts w:ascii="Arial" w:hAnsi="Arial" w:cs="Arial"/>
          <w:bCs/>
          <w:lang w:val="es-MX"/>
        </w:rPr>
        <w:t xml:space="preserve">C-285 del 11 de junio de 2021, </w:t>
      </w:r>
      <w:r w:rsidR="006906CB" w:rsidRPr="001334D8">
        <w:rPr>
          <w:rFonts w:ascii="Arial" w:hAnsi="Arial" w:cs="Arial"/>
          <w:bCs/>
          <w:lang w:val="es-MX"/>
        </w:rPr>
        <w:t>C-703 del 12 de enero de 2022</w:t>
      </w:r>
      <w:r w:rsidR="002F1105" w:rsidRPr="001334D8">
        <w:rPr>
          <w:rFonts w:ascii="Arial" w:hAnsi="Arial" w:cs="Arial"/>
          <w:bCs/>
          <w:lang w:val="es-MX"/>
        </w:rPr>
        <w:t xml:space="preserve">, </w:t>
      </w:r>
      <w:r w:rsidR="006906CB" w:rsidRPr="001334D8">
        <w:rPr>
          <w:rFonts w:ascii="Arial" w:hAnsi="Arial" w:cs="Arial"/>
          <w:bCs/>
          <w:lang w:val="es-MX"/>
        </w:rPr>
        <w:t>C-360 del 25 de mayo de 2022</w:t>
      </w:r>
      <w:r w:rsidR="007F391F" w:rsidRPr="001334D8">
        <w:rPr>
          <w:rFonts w:ascii="Arial" w:hAnsi="Arial" w:cs="Arial"/>
          <w:bCs/>
          <w:lang w:val="es-MX"/>
        </w:rPr>
        <w:t xml:space="preserve"> y</w:t>
      </w:r>
      <w:r w:rsidR="002F1105" w:rsidRPr="001334D8">
        <w:rPr>
          <w:rFonts w:ascii="Arial" w:hAnsi="Arial" w:cs="Arial"/>
          <w:bCs/>
          <w:lang w:val="es-MX"/>
        </w:rPr>
        <w:t xml:space="preserve"> </w:t>
      </w:r>
      <w:r w:rsidR="00F75C30" w:rsidRPr="001334D8">
        <w:rPr>
          <w:rFonts w:ascii="Arial" w:hAnsi="Arial" w:cs="Arial"/>
          <w:bCs/>
          <w:lang w:val="es-MX"/>
        </w:rPr>
        <w:t>C-426 del 05 de julio de 2022</w:t>
      </w:r>
      <w:r w:rsidR="00E2436D" w:rsidRPr="001334D8">
        <w:rPr>
          <w:rFonts w:ascii="Arial" w:hAnsi="Arial" w:cs="Arial"/>
          <w:bCs/>
          <w:lang w:val="es-MX"/>
        </w:rPr>
        <w:t xml:space="preserve">. </w:t>
      </w:r>
      <w:r w:rsidR="00036F87" w:rsidRPr="001334D8">
        <w:rPr>
          <w:rFonts w:ascii="Arial" w:hAnsi="Arial" w:cs="Arial"/>
          <w:bCs/>
          <w:lang w:val="es-MX"/>
        </w:rPr>
        <w:t xml:space="preserve"> </w:t>
      </w:r>
      <w:r w:rsidR="006906CB" w:rsidRPr="001334D8">
        <w:rPr>
          <w:rFonts w:ascii="Arial" w:hAnsi="Arial" w:cs="Arial"/>
          <w:bCs/>
          <w:lang w:val="es-MX"/>
        </w:rPr>
        <w:t xml:space="preserve"> </w:t>
      </w:r>
    </w:p>
    <w:p w14:paraId="37B0D8C1" w14:textId="081EABF8" w:rsidR="00824A29" w:rsidRPr="001334D8" w:rsidRDefault="00824A29" w:rsidP="00DA5629">
      <w:pPr>
        <w:tabs>
          <w:tab w:val="left" w:pos="284"/>
        </w:tabs>
        <w:spacing w:after="120" w:line="276" w:lineRule="auto"/>
        <w:jc w:val="both"/>
        <w:rPr>
          <w:rFonts w:ascii="Arial" w:hAnsi="Arial" w:cs="Arial"/>
          <w:bCs/>
          <w:lang w:val="es-MX"/>
        </w:rPr>
      </w:pPr>
      <w:r w:rsidRPr="001334D8">
        <w:rPr>
          <w:rFonts w:ascii="Arial" w:hAnsi="Arial" w:cs="Arial"/>
          <w:bCs/>
          <w:lang w:val="es-MX"/>
        </w:rPr>
        <w:tab/>
      </w:r>
      <w:r w:rsidRPr="001334D8">
        <w:rPr>
          <w:rFonts w:ascii="Arial" w:hAnsi="Arial" w:cs="Arial"/>
          <w:bCs/>
          <w:lang w:val="es-MX"/>
        </w:rPr>
        <w:tab/>
        <w:t xml:space="preserve">Finalmente, </w:t>
      </w:r>
      <w:r w:rsidRPr="001334D8">
        <w:rPr>
          <w:rStyle w:val="normaltextrun"/>
          <w:rFonts w:ascii="Arial" w:hAnsi="Arial" w:cs="Arial"/>
          <w:shd w:val="clear" w:color="auto" w:fill="FFFFFF"/>
        </w:rPr>
        <w:t>se ha pronunciado, sobre el alcance de la competencia consultiva de esta Agencia, entre otros, en los conceptos C-317 del 10 de junio de 2020, C-337 del 26 de junio de 2020, C-353 del 30 de junio de 2020, C-439 del 27 de julio de 2020, C-511 del 10 de agosto de 2020, C-772 del 13 de enero de 2021, C-176 del 4 de abril de 2021, C-191 del 26 de abril de 2021, C-399 del 28 de septiembre de 2021, C-335 de 23 de mayo de 2022 y C-441 de 11 de julio de 2022.</w:t>
      </w:r>
    </w:p>
    <w:p w14:paraId="755BD7D6" w14:textId="574CB5CF" w:rsidR="005F2C99" w:rsidRPr="001334D8" w:rsidRDefault="005960DB" w:rsidP="00E703E5">
      <w:pPr>
        <w:tabs>
          <w:tab w:val="left" w:pos="284"/>
        </w:tabs>
        <w:spacing w:after="0" w:line="276" w:lineRule="auto"/>
        <w:jc w:val="both"/>
        <w:rPr>
          <w:rFonts w:ascii="Arial" w:eastAsia="Calibri" w:hAnsi="Arial" w:cs="Arial"/>
          <w:lang w:val="es-ES" w:eastAsia="es-MX"/>
        </w:rPr>
      </w:pPr>
      <w:r w:rsidRPr="001334D8">
        <w:rPr>
          <w:rFonts w:ascii="Arial" w:hAnsi="Arial" w:cs="Arial"/>
          <w:bCs/>
          <w:lang w:val="es-MX"/>
        </w:rPr>
        <w:tab/>
      </w:r>
      <w:r w:rsidR="006906CB" w:rsidRPr="001334D8">
        <w:rPr>
          <w:rFonts w:ascii="Arial" w:eastAsia="Calibri" w:hAnsi="Arial" w:cs="Arial"/>
          <w:lang w:val="es-MX"/>
        </w:rPr>
        <w:t xml:space="preserve">Las tesis desarrolladas en estos conceptos se reiteran a continuación </w:t>
      </w:r>
      <w:r w:rsidR="006906CB" w:rsidRPr="001334D8">
        <w:rPr>
          <w:rFonts w:ascii="Arial" w:hAnsi="Arial" w:cs="Arial"/>
          <w:bCs/>
          <w:lang w:val="es-MX"/>
        </w:rPr>
        <w:t>y se complementan en lo pertinente.</w:t>
      </w:r>
    </w:p>
    <w:p w14:paraId="2E3AB874" w14:textId="77777777" w:rsidR="00DC0B0E" w:rsidRPr="001334D8" w:rsidRDefault="00DC0B0E" w:rsidP="00193C39">
      <w:pPr>
        <w:widowControl w:val="0"/>
        <w:autoSpaceDE w:val="0"/>
        <w:autoSpaceDN w:val="0"/>
        <w:spacing w:after="0" w:line="276" w:lineRule="auto"/>
        <w:contextualSpacing/>
        <w:jc w:val="both"/>
        <w:rPr>
          <w:rFonts w:ascii="Arial" w:eastAsia="Times New Roman" w:hAnsi="Arial" w:cs="Arial"/>
          <w:bCs/>
          <w:lang w:val="es-MX" w:eastAsia="x-none"/>
        </w:rPr>
      </w:pPr>
    </w:p>
    <w:p w14:paraId="45A111EB" w14:textId="2B4E0FD4" w:rsidR="00F747E4" w:rsidRPr="001334D8" w:rsidRDefault="00783C39" w:rsidP="00193C39">
      <w:pPr>
        <w:spacing w:after="0" w:line="276" w:lineRule="auto"/>
        <w:contextualSpacing/>
        <w:jc w:val="both"/>
        <w:rPr>
          <w:rFonts w:ascii="Arial" w:eastAsia="Calibri" w:hAnsi="Arial" w:cs="Arial"/>
          <w:b/>
          <w:lang w:val="es-MX" w:eastAsia="es-ES_tradnl"/>
        </w:rPr>
      </w:pPr>
      <w:r w:rsidRPr="001334D8">
        <w:rPr>
          <w:rStyle w:val="normaltextrun"/>
          <w:rFonts w:ascii="Arial" w:hAnsi="Arial" w:cs="Arial"/>
          <w:b/>
          <w:bCs/>
          <w:lang w:val="es-ES_tradnl"/>
        </w:rPr>
        <w:lastRenderedPageBreak/>
        <w:t xml:space="preserve">2.1. </w:t>
      </w:r>
      <w:r w:rsidR="00F747E4" w:rsidRPr="001334D8">
        <w:rPr>
          <w:rFonts w:ascii="Arial" w:eastAsia="Calibri" w:hAnsi="Arial" w:cs="Arial"/>
          <w:b/>
          <w:lang w:val="es-MX" w:eastAsia="es-ES_tradnl"/>
        </w:rPr>
        <w:t>Aproximación general al concepto de experiencia en la contratación pública</w:t>
      </w:r>
      <w:r w:rsidR="0045602C" w:rsidRPr="001334D8">
        <w:rPr>
          <w:rFonts w:ascii="Arial" w:eastAsia="Calibri" w:hAnsi="Arial" w:cs="Arial"/>
          <w:b/>
          <w:lang w:val="es-MX" w:eastAsia="es-ES_tradnl"/>
        </w:rPr>
        <w:t xml:space="preserve">. </w:t>
      </w:r>
      <w:r w:rsidR="0045602C" w:rsidRPr="001334D8">
        <w:rPr>
          <w:rFonts w:ascii="Arial" w:eastAsia="Calibri" w:hAnsi="Arial" w:cs="Arial"/>
          <w:b/>
          <w:bCs/>
        </w:rPr>
        <w:t>Acreditación de experiencia de socios por parte de sociedades con menos de tres (3) años de constitución</w:t>
      </w:r>
    </w:p>
    <w:p w14:paraId="4F392E1A" w14:textId="77777777" w:rsidR="00F747E4" w:rsidRPr="001334D8" w:rsidRDefault="00F747E4" w:rsidP="00193C39">
      <w:pPr>
        <w:spacing w:after="0" w:line="276" w:lineRule="auto"/>
        <w:contextualSpacing/>
        <w:jc w:val="both"/>
        <w:rPr>
          <w:rFonts w:ascii="Arial" w:eastAsia="Calibri" w:hAnsi="Arial" w:cs="Arial"/>
          <w:b/>
          <w:lang w:val="es-MX" w:eastAsia="es-ES_tradnl"/>
        </w:rPr>
      </w:pPr>
    </w:p>
    <w:p w14:paraId="5FAA6B18" w14:textId="4F3B5181" w:rsidR="00F747E4" w:rsidRPr="001334D8" w:rsidRDefault="00F747E4" w:rsidP="00193C39">
      <w:pPr>
        <w:spacing w:after="120" w:line="276" w:lineRule="auto"/>
        <w:ind w:firstLine="708"/>
        <w:jc w:val="both"/>
        <w:rPr>
          <w:rFonts w:ascii="Arial" w:eastAsia="Calibri" w:hAnsi="Arial" w:cs="Arial"/>
          <w:lang w:val="es-MX" w:eastAsia="es-ES_tradnl"/>
        </w:rPr>
      </w:pPr>
      <w:bookmarkStart w:id="6" w:name="_Hlk116982584"/>
      <w:r w:rsidRPr="001334D8">
        <w:rPr>
          <w:rFonts w:ascii="Arial" w:eastAsia="Calibri" w:hAnsi="Arial" w:cs="Arial"/>
          <w:lang w:val="es-MX" w:eastAsia="es-ES_tradnl"/>
        </w:rPr>
        <w:t xml:space="preserve">La Ley 1150 de 2007, en el </w:t>
      </w:r>
      <w:r w:rsidR="00B51046" w:rsidRPr="001334D8">
        <w:rPr>
          <w:rFonts w:ascii="Arial" w:eastAsia="Calibri" w:hAnsi="Arial" w:cs="Arial"/>
          <w:lang w:val="es-MX" w:eastAsia="es-ES_tradnl"/>
        </w:rPr>
        <w:t xml:space="preserve">literal 1 del </w:t>
      </w:r>
      <w:r w:rsidRPr="001334D8">
        <w:rPr>
          <w:rFonts w:ascii="Arial" w:eastAsia="Calibri" w:hAnsi="Arial" w:cs="Arial"/>
          <w:lang w:val="es-MX" w:eastAsia="es-ES_tradnl"/>
        </w:rPr>
        <w:t>artículo 5, establece los requisitos habilitantes para participar en un procedimiento contractual, dentro de los cuales se destaca la experiencia</w:t>
      </w:r>
      <w:r w:rsidR="000B0EE7" w:rsidRPr="001334D8">
        <w:rPr>
          <w:rFonts w:ascii="Arial" w:eastAsia="Calibri" w:hAnsi="Arial" w:cs="Arial"/>
          <w:lang w:val="es-MX" w:eastAsia="es-ES_tradnl"/>
        </w:rPr>
        <w:t>,</w:t>
      </w:r>
      <w:r w:rsidR="00F312AC" w:rsidRPr="001334D8">
        <w:rPr>
          <w:rFonts w:ascii="Arial" w:eastAsia="Calibri" w:hAnsi="Arial" w:cs="Arial"/>
          <w:lang w:val="es-MX" w:eastAsia="es-ES_tradnl"/>
        </w:rPr>
        <w:t xml:space="preserve"> cuyo </w:t>
      </w:r>
      <w:r w:rsidR="007E27E0" w:rsidRPr="001334D8">
        <w:rPr>
          <w:rFonts w:ascii="Arial" w:eastAsia="Calibri" w:hAnsi="Arial" w:cs="Arial"/>
          <w:lang w:val="es-MX" w:eastAsia="es-ES_tradnl"/>
        </w:rPr>
        <w:t xml:space="preserve">propósito </w:t>
      </w:r>
      <w:r w:rsidRPr="001334D8">
        <w:rPr>
          <w:rFonts w:ascii="Arial" w:eastAsia="Calibri" w:hAnsi="Arial" w:cs="Arial"/>
          <w:lang w:val="es-MX" w:eastAsia="es-ES_tradnl"/>
        </w:rPr>
        <w:t xml:space="preserve">es que las entidades fijen unos requisitos mínimos que debe tener y acreditar el proponente, para que la entidad </w:t>
      </w:r>
      <w:r w:rsidR="007E27E0" w:rsidRPr="001334D8">
        <w:rPr>
          <w:rFonts w:ascii="Arial" w:eastAsia="Calibri" w:hAnsi="Arial" w:cs="Arial"/>
          <w:lang w:val="es-MX" w:eastAsia="es-ES_tradnl"/>
        </w:rPr>
        <w:t xml:space="preserve">pueda </w:t>
      </w:r>
      <w:r w:rsidRPr="001334D8">
        <w:rPr>
          <w:rFonts w:ascii="Arial" w:eastAsia="Calibri" w:hAnsi="Arial" w:cs="Arial"/>
          <w:lang w:val="es-MX" w:eastAsia="es-ES_tradnl"/>
        </w:rPr>
        <w:t>verifi</w:t>
      </w:r>
      <w:r w:rsidR="007E27E0" w:rsidRPr="001334D8">
        <w:rPr>
          <w:rFonts w:ascii="Arial" w:eastAsia="Calibri" w:hAnsi="Arial" w:cs="Arial"/>
          <w:lang w:val="es-MX" w:eastAsia="es-ES_tradnl"/>
        </w:rPr>
        <w:t xml:space="preserve">car </w:t>
      </w:r>
      <w:r w:rsidRPr="001334D8">
        <w:rPr>
          <w:rFonts w:ascii="Arial" w:eastAsia="Calibri" w:hAnsi="Arial" w:cs="Arial"/>
          <w:lang w:val="es-MX" w:eastAsia="es-ES_tradnl"/>
        </w:rPr>
        <w:t>su aptitud para participar en el procedimiento de contratación y, si se le adjudica, ejecutar el contrato estatal</w:t>
      </w:r>
      <w:r w:rsidRPr="001334D8">
        <w:rPr>
          <w:rFonts w:ascii="Arial" w:eastAsia="Calibri" w:hAnsi="Arial" w:cs="Arial"/>
          <w:vertAlign w:val="superscript"/>
          <w:lang w:val="es-MX" w:eastAsia="es-ES_tradnl"/>
        </w:rPr>
        <w:footnoteReference w:id="2"/>
      </w:r>
      <w:r w:rsidRPr="001334D8">
        <w:rPr>
          <w:rFonts w:ascii="Arial" w:eastAsia="Calibri" w:hAnsi="Arial" w:cs="Arial"/>
          <w:lang w:val="es-MX" w:eastAsia="es-ES_tradnl"/>
        </w:rPr>
        <w:t>. En ese sentido, la entidad, como responsable de la estructuración de su procedimiento de contratación, es autónoma para requerir la experiencia necesaria para el objeto contra</w:t>
      </w:r>
      <w:r w:rsidR="00372057" w:rsidRPr="001334D8">
        <w:rPr>
          <w:rFonts w:ascii="Arial" w:eastAsia="Calibri" w:hAnsi="Arial" w:cs="Arial"/>
          <w:lang w:val="es-MX" w:eastAsia="es-ES_tradnl"/>
        </w:rPr>
        <w:t>c</w:t>
      </w:r>
      <w:r w:rsidRPr="001334D8">
        <w:rPr>
          <w:rFonts w:ascii="Arial" w:eastAsia="Calibri" w:hAnsi="Arial" w:cs="Arial"/>
          <w:lang w:val="es-MX" w:eastAsia="es-ES_tradnl"/>
        </w:rPr>
        <w:t>t</w:t>
      </w:r>
      <w:r w:rsidR="00372057" w:rsidRPr="001334D8">
        <w:rPr>
          <w:rFonts w:ascii="Arial" w:eastAsia="Calibri" w:hAnsi="Arial" w:cs="Arial"/>
          <w:lang w:val="es-MX" w:eastAsia="es-ES_tradnl"/>
        </w:rPr>
        <w:t>ual</w:t>
      </w:r>
      <w:r w:rsidR="00101594" w:rsidRPr="001334D8">
        <w:rPr>
          <w:rFonts w:ascii="Arial" w:eastAsia="Calibri" w:hAnsi="Arial" w:cs="Arial"/>
          <w:lang w:val="es-MX" w:eastAsia="es-ES_tradnl"/>
        </w:rPr>
        <w:t xml:space="preserve"> que se pretende satisfacer </w:t>
      </w:r>
      <w:r w:rsidR="00A46327" w:rsidRPr="001334D8">
        <w:rPr>
          <w:rFonts w:ascii="Arial" w:eastAsia="Calibri" w:hAnsi="Arial" w:cs="Arial"/>
          <w:lang w:val="es-MX" w:eastAsia="es-ES_tradnl"/>
        </w:rPr>
        <w:t>con el procedimiento</w:t>
      </w:r>
      <w:r w:rsidRPr="001334D8">
        <w:rPr>
          <w:rFonts w:ascii="Arial" w:eastAsia="Calibri" w:hAnsi="Arial" w:cs="Arial"/>
          <w:lang w:val="es-MX" w:eastAsia="es-ES_tradnl"/>
        </w:rPr>
        <w:t>, para lo cual, de acuerdo con el artículo 2.2.1.1.1.6.2. del Decreto 1082 de 2015, debe tener en cuenta el estudio del sector y sus componentes como la identificación de riesgos, el mercado y precio del bien, obra o servicio a contratar</w:t>
      </w:r>
      <w:r w:rsidRPr="001334D8">
        <w:rPr>
          <w:rFonts w:ascii="Arial" w:eastAsia="Calibri" w:hAnsi="Arial" w:cs="Arial"/>
          <w:vertAlign w:val="superscript"/>
          <w:lang w:val="es-MX" w:eastAsia="es-ES_tradnl"/>
        </w:rPr>
        <w:footnoteReference w:id="3"/>
      </w:r>
      <w:r w:rsidRPr="001334D8">
        <w:rPr>
          <w:rFonts w:ascii="Arial" w:eastAsia="Calibri" w:hAnsi="Arial" w:cs="Arial"/>
          <w:lang w:val="es-MX" w:eastAsia="es-ES_tradnl"/>
        </w:rPr>
        <w:t>.</w:t>
      </w:r>
    </w:p>
    <w:p w14:paraId="27DB54C8" w14:textId="617243DD" w:rsidR="00F747E4" w:rsidRPr="001334D8" w:rsidRDefault="00F747E4" w:rsidP="00193C39">
      <w:pPr>
        <w:spacing w:after="120" w:line="276" w:lineRule="auto"/>
        <w:ind w:firstLine="708"/>
        <w:jc w:val="both"/>
        <w:rPr>
          <w:rFonts w:ascii="Arial" w:eastAsia="Calibri" w:hAnsi="Arial" w:cs="Arial"/>
          <w:lang w:val="es-MX" w:eastAsia="es-ES_tradnl"/>
        </w:rPr>
      </w:pPr>
      <w:r w:rsidRPr="001334D8">
        <w:rPr>
          <w:rFonts w:ascii="Arial" w:eastAsia="Calibri" w:hAnsi="Arial" w:cs="Arial"/>
          <w:lang w:val="es-MX" w:eastAsia="es-ES_tradnl"/>
        </w:rPr>
        <w:t xml:space="preserve">La experiencia que se deriva de los contratos que el proponente ha celebrado y ejecutado con diferentes contratantes, sin importar la naturaleza de estos, se </w:t>
      </w:r>
      <w:r w:rsidRPr="001334D8">
        <w:rPr>
          <w:rFonts w:ascii="Arial" w:eastAsia="Calibri" w:hAnsi="Arial" w:cs="Arial"/>
          <w:lang w:val="es-MX" w:eastAsia="es-ES_tradnl"/>
        </w:rPr>
        <w:lastRenderedPageBreak/>
        <w:t xml:space="preserve">verifica con el </w:t>
      </w:r>
      <w:r w:rsidR="00081329" w:rsidRPr="001334D8">
        <w:rPr>
          <w:rFonts w:ascii="Arial" w:eastAsia="Calibri" w:hAnsi="Arial" w:cs="Arial"/>
          <w:lang w:val="es-MX" w:eastAsia="es-ES_tradnl"/>
        </w:rPr>
        <w:t xml:space="preserve">Registro Único de Proponentes – en adelante </w:t>
      </w:r>
      <w:r w:rsidRPr="001334D8">
        <w:rPr>
          <w:rFonts w:ascii="Arial" w:eastAsia="Calibri" w:hAnsi="Arial" w:cs="Arial"/>
          <w:lang w:val="es-MX" w:eastAsia="es-ES_tradnl"/>
        </w:rPr>
        <w:t>RUP</w:t>
      </w:r>
      <w:r w:rsidRPr="001334D8">
        <w:rPr>
          <w:rFonts w:ascii="Arial" w:eastAsia="Calibri" w:hAnsi="Arial" w:cs="Arial"/>
          <w:vertAlign w:val="superscript"/>
          <w:lang w:val="es-MX" w:eastAsia="es-ES_tradnl"/>
        </w:rPr>
        <w:footnoteReference w:id="4"/>
      </w:r>
      <w:r w:rsidRPr="001334D8">
        <w:rPr>
          <w:rFonts w:ascii="Arial" w:eastAsia="Calibri" w:hAnsi="Arial" w:cs="Arial"/>
          <w:lang w:val="es-MX" w:eastAsia="es-ES_tradnl"/>
        </w:rPr>
        <w:t>, cuando este certificado sea exigible de acuerdo con la ley. En este registro constan los requisitos habilitantes que se evalúan exclusivamente con este documento, que es plena prueba, sin que la entidad o el proponente puedan solicitar o aportar otra documentación</w:t>
      </w:r>
      <w:r w:rsidRPr="001334D8">
        <w:rPr>
          <w:rFonts w:ascii="Arial" w:eastAsia="Calibri" w:hAnsi="Arial" w:cs="Arial"/>
          <w:vertAlign w:val="superscript"/>
          <w:lang w:val="es-MX" w:eastAsia="es-ES_tradnl"/>
        </w:rPr>
        <w:footnoteReference w:id="5"/>
      </w:r>
      <w:r w:rsidRPr="001334D8">
        <w:rPr>
          <w:rFonts w:ascii="Arial" w:eastAsia="Calibri" w:hAnsi="Arial" w:cs="Arial"/>
          <w:lang w:val="es-MX" w:eastAsia="es-ES_tradnl"/>
        </w:rPr>
        <w:t>.</w:t>
      </w:r>
    </w:p>
    <w:bookmarkEnd w:id="6"/>
    <w:p w14:paraId="24504710" w14:textId="31B2AF7C" w:rsidR="00F747E4" w:rsidRPr="001334D8" w:rsidRDefault="00F747E4" w:rsidP="00193C39">
      <w:pPr>
        <w:spacing w:after="120" w:line="276" w:lineRule="auto"/>
        <w:ind w:firstLine="709"/>
        <w:jc w:val="both"/>
        <w:rPr>
          <w:rFonts w:ascii="Arial" w:eastAsia="Calibri" w:hAnsi="Arial" w:cs="Arial"/>
          <w:lang w:val="es-MX" w:eastAsia="es-ES_tradnl"/>
        </w:rPr>
      </w:pPr>
      <w:r w:rsidRPr="001334D8">
        <w:rPr>
          <w:rFonts w:ascii="Arial" w:eastAsia="Calibri" w:hAnsi="Arial" w:cs="Arial"/>
          <w:lang w:val="es-MX" w:eastAsia="es-ES_tradnl"/>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1334D8">
        <w:rPr>
          <w:rFonts w:ascii="Arial" w:eastAsia="Calibri" w:hAnsi="Arial" w:cs="Arial"/>
          <w:vertAlign w:val="superscript"/>
          <w:lang w:val="es-MX" w:eastAsia="es-ES_tradnl"/>
        </w:rPr>
        <w:footnoteReference w:id="6"/>
      </w:r>
      <w:r w:rsidRPr="001334D8">
        <w:rPr>
          <w:rFonts w:ascii="Arial" w:eastAsia="Calibri" w:hAnsi="Arial" w:cs="Arial"/>
          <w:lang w:val="es-MX" w:eastAsia="es-ES_tradnl"/>
        </w:rPr>
        <w:t>.</w:t>
      </w:r>
      <w:r w:rsidR="00E3750D" w:rsidRPr="001334D8">
        <w:rPr>
          <w:rFonts w:ascii="Arial" w:eastAsia="Calibri" w:hAnsi="Arial" w:cs="Arial"/>
        </w:rPr>
        <w:t xml:space="preserve"> </w:t>
      </w:r>
      <w:r w:rsidRPr="001334D8">
        <w:rPr>
          <w:rFonts w:ascii="Arial" w:eastAsia="Calibri" w:hAnsi="Arial" w:cs="Arial"/>
          <w:lang w:val="es-MX" w:eastAsia="es-ES_tradnl"/>
        </w:rPr>
        <w:t xml:space="preserve">De esta manera, con el RUP se verifica que el proponente tenga </w:t>
      </w:r>
      <w:r w:rsidRPr="001334D8">
        <w:rPr>
          <w:rFonts w:ascii="Arial" w:eastAsia="Calibri" w:hAnsi="Arial" w:cs="Arial"/>
          <w:lang w:val="es-MX" w:eastAsia="es-ES_tradnl"/>
        </w:rPr>
        <w:lastRenderedPageBreak/>
        <w:t xml:space="preserve">experiencia en la ejecución del objeto que pretende contratar la entidad, esto es, que haya celebrado y ejecutado contratos que se asimilen a la necesidad que la entidad requiere satisfacer con el procedimiento contractual, sin que sea necesario que su objeto sea idéntico. </w:t>
      </w:r>
      <w:r w:rsidR="00B554B4" w:rsidRPr="001334D8">
        <w:rPr>
          <w:rFonts w:ascii="Arial" w:eastAsia="Calibri" w:hAnsi="Arial" w:cs="Arial"/>
          <w:lang w:val="es-MX" w:eastAsia="es-ES_tradnl"/>
        </w:rPr>
        <w:t xml:space="preserve"> </w:t>
      </w:r>
    </w:p>
    <w:p w14:paraId="24B10617" w14:textId="1628F212" w:rsidR="00672E04" w:rsidRPr="001334D8" w:rsidRDefault="00F747E4" w:rsidP="00996E32">
      <w:pPr>
        <w:spacing w:after="120" w:line="276" w:lineRule="auto"/>
        <w:ind w:firstLine="709"/>
        <w:jc w:val="both"/>
        <w:rPr>
          <w:rFonts w:ascii="Arial" w:hAnsi="Arial" w:cs="Arial"/>
        </w:rPr>
      </w:pPr>
      <w:r w:rsidRPr="001334D8">
        <w:rPr>
          <w:rFonts w:ascii="Arial" w:hAnsi="Arial" w:cs="Arial"/>
        </w:rPr>
        <w:t>El numeral 2.5</w:t>
      </w:r>
      <w:r w:rsidR="0067350F" w:rsidRPr="001334D8">
        <w:rPr>
          <w:rFonts w:ascii="Arial" w:hAnsi="Arial" w:cs="Arial"/>
        </w:rPr>
        <w:t xml:space="preserve"> </w:t>
      </w:r>
      <w:r w:rsidRPr="001334D8">
        <w:rPr>
          <w:rFonts w:ascii="Arial" w:hAnsi="Arial" w:cs="Arial"/>
        </w:rPr>
        <w:t xml:space="preserve">del artículo </w:t>
      </w:r>
      <w:r w:rsidR="0067350F" w:rsidRPr="001334D8">
        <w:rPr>
          <w:rFonts w:ascii="Arial" w:eastAsia="Calibri" w:hAnsi="Arial" w:cs="Arial"/>
          <w:lang w:val="es-ES"/>
        </w:rPr>
        <w:t>2.2.1.1.1.5.2 del Decreto 1082 de 2015</w:t>
      </w:r>
      <w:r w:rsidR="0067350F" w:rsidRPr="001334D8">
        <w:rPr>
          <w:rFonts w:ascii="Arial" w:hAnsi="Arial" w:cs="Arial"/>
          <w:vertAlign w:val="superscript"/>
        </w:rPr>
        <w:footnoteReference w:id="7"/>
      </w:r>
      <w:r w:rsidR="0067350F" w:rsidRPr="001334D8">
        <w:rPr>
          <w:rFonts w:ascii="Arial" w:hAnsi="Arial" w:cs="Arial"/>
        </w:rPr>
        <w:t xml:space="preserve"> </w:t>
      </w:r>
      <w:r w:rsidRPr="001334D8">
        <w:rPr>
          <w:rFonts w:ascii="Arial" w:hAnsi="Arial" w:cs="Arial"/>
        </w:rPr>
        <w:t xml:space="preserve">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3AAAB785" w14:textId="701F8B40" w:rsidR="00F747E4" w:rsidRPr="001334D8" w:rsidRDefault="00D26899" w:rsidP="00996E32">
      <w:pPr>
        <w:spacing w:after="120" w:line="276" w:lineRule="auto"/>
        <w:ind w:firstLine="709"/>
        <w:jc w:val="both"/>
        <w:rPr>
          <w:rFonts w:ascii="Arial" w:hAnsi="Arial" w:cs="Arial"/>
        </w:rPr>
      </w:pPr>
      <w:r w:rsidRPr="001334D8">
        <w:rPr>
          <w:rFonts w:ascii="Arial" w:hAnsi="Arial" w:cs="Arial"/>
        </w:rPr>
        <w:t xml:space="preserve">Además, </w:t>
      </w:r>
      <w:r w:rsidR="00672E04" w:rsidRPr="001334D8">
        <w:rPr>
          <w:rFonts w:ascii="Arial" w:hAnsi="Arial" w:cs="Arial"/>
        </w:rPr>
        <w:t xml:space="preserve">el </w:t>
      </w:r>
      <w:r w:rsidR="00D14052" w:rsidRPr="001334D8">
        <w:rPr>
          <w:rFonts w:ascii="Arial" w:hAnsi="Arial" w:cs="Arial"/>
        </w:rPr>
        <w:t>anterior</w:t>
      </w:r>
      <w:r w:rsidRPr="001334D8">
        <w:rPr>
          <w:rFonts w:ascii="Arial" w:hAnsi="Arial" w:cs="Arial"/>
        </w:rPr>
        <w:t xml:space="preserve"> numeral establece que, s</w:t>
      </w:r>
      <w:r w:rsidR="00F747E4" w:rsidRPr="001334D8">
        <w:rPr>
          <w:rFonts w:ascii="Arial" w:hAnsi="Arial" w:cs="Arial"/>
        </w:rPr>
        <w:t>i la constitución del interesado es menor a 3 años, puede acreditar la experiencia de sus accionistas, socios o constituyentes.</w:t>
      </w:r>
      <w:r w:rsidR="00672E04" w:rsidRPr="001334D8">
        <w:rPr>
          <w:rFonts w:ascii="Arial" w:hAnsi="Arial" w:cs="Arial"/>
        </w:rPr>
        <w:t xml:space="preserve"> </w:t>
      </w:r>
      <w:r w:rsidR="00F3623A" w:rsidRPr="001334D8">
        <w:rPr>
          <w:rFonts w:ascii="Arial" w:hAnsi="Arial" w:cs="Arial"/>
        </w:rPr>
        <w:t>De esta manera, l</w:t>
      </w:r>
      <w:r w:rsidR="00F747E4" w:rsidRPr="001334D8">
        <w:rPr>
          <w:rFonts w:ascii="Arial" w:hAnsi="Arial" w:cs="Arial"/>
        </w:rPr>
        <w:t xml:space="preserve">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w:t>
      </w:r>
      <w:r w:rsidR="00F747E4" w:rsidRPr="001334D8">
        <w:rPr>
          <w:rFonts w:ascii="Arial" w:hAnsi="Arial" w:cs="Arial"/>
        </w:rPr>
        <w:lastRenderedPageBreak/>
        <w:t>accionistas, socios o constituyentes. A pesar de que la experiencia es inherente a la persona que la ha obtenido, razón por la cual es intransferible en virtud de su carácter personalísimo, por disposición legal o reglamentaria, en casos excepcionales</w:t>
      </w:r>
      <w:r w:rsidR="00363D95" w:rsidRPr="001334D8">
        <w:rPr>
          <w:rFonts w:ascii="Arial" w:hAnsi="Arial" w:cs="Arial"/>
        </w:rPr>
        <w:t xml:space="preserve"> </w:t>
      </w:r>
      <w:r w:rsidR="00F747E4" w:rsidRPr="001334D8">
        <w:rPr>
          <w:rFonts w:ascii="Arial" w:hAnsi="Arial" w:cs="Arial"/>
        </w:rPr>
        <w:t xml:space="preserve">como el descrito por el artículo mencionado, se aplica de otra forma. </w:t>
      </w:r>
    </w:p>
    <w:p w14:paraId="424F3598" w14:textId="77777777" w:rsidR="00F747E4" w:rsidRPr="001334D8" w:rsidRDefault="00F747E4" w:rsidP="00996E32">
      <w:pPr>
        <w:spacing w:after="120" w:line="276" w:lineRule="auto"/>
        <w:ind w:firstLine="709"/>
        <w:jc w:val="both"/>
        <w:rPr>
          <w:rFonts w:ascii="Arial" w:hAnsi="Arial" w:cs="Arial"/>
        </w:rPr>
      </w:pPr>
      <w:r w:rsidRPr="001334D8">
        <w:rPr>
          <w:rFonts w:ascii="Arial" w:hAnsi="Arial" w:cs="Aria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73C7DE9C" w14:textId="3EA50CA5" w:rsidR="00F747E4" w:rsidRPr="001334D8" w:rsidRDefault="00F747E4" w:rsidP="00996E32">
      <w:pPr>
        <w:spacing w:after="120" w:line="276" w:lineRule="auto"/>
        <w:ind w:firstLine="709"/>
        <w:jc w:val="both"/>
        <w:rPr>
          <w:rFonts w:ascii="Arial" w:hAnsi="Arial" w:cs="Arial"/>
        </w:rPr>
      </w:pPr>
      <w:r w:rsidRPr="001334D8">
        <w:rPr>
          <w:rFonts w:ascii="Arial" w:hAnsi="Arial" w:cs="Arial"/>
        </w:rPr>
        <w:t>Este aspecto ofrece meridiana claridad en cuanto a su aplicación, pero el interrogante que ha generado la norma es el siguiente: ¿</w:t>
      </w:r>
      <w:r w:rsidR="001F5ED6" w:rsidRPr="001334D8">
        <w:rPr>
          <w:rFonts w:ascii="Arial" w:hAnsi="Arial" w:cs="Arial"/>
        </w:rPr>
        <w:t xml:space="preserve">Qué </w:t>
      </w:r>
      <w:r w:rsidRPr="001334D8">
        <w:rPr>
          <w:rFonts w:ascii="Arial" w:hAnsi="Arial" w:cs="Arial"/>
        </w:rPr>
        <w:t>pasa después de que la sociedad a la que le ha sido permitido certificar la experiencia de sus socios, accionistas o constituyentes cumple 3 años de su constitución? ¿</w:t>
      </w:r>
      <w:r w:rsidR="0083729B" w:rsidRPr="001334D8">
        <w:rPr>
          <w:rFonts w:ascii="Arial" w:hAnsi="Arial" w:cs="Arial"/>
        </w:rPr>
        <w:t xml:space="preserve">Puede </w:t>
      </w:r>
      <w:r w:rsidRPr="001334D8">
        <w:rPr>
          <w:rFonts w:ascii="Arial" w:hAnsi="Arial" w:cs="Arial"/>
        </w:rPr>
        <w:t xml:space="preserve">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733416AE" w14:textId="5484CD6F" w:rsidR="00F747E4" w:rsidRPr="001334D8" w:rsidRDefault="00F747E4" w:rsidP="00996E32">
      <w:pPr>
        <w:spacing w:after="120" w:line="276" w:lineRule="auto"/>
        <w:ind w:firstLine="709"/>
        <w:jc w:val="both"/>
        <w:rPr>
          <w:rFonts w:ascii="Arial" w:hAnsi="Arial" w:cs="Arial"/>
        </w:rPr>
      </w:pPr>
      <w:r w:rsidRPr="001334D8">
        <w:rPr>
          <w:rFonts w:ascii="Arial" w:hAnsi="Arial" w:cs="Arial"/>
        </w:rPr>
        <w:t>En el concepto identificado con radicado No. 4201814000001418 del 3 de abril de 2018, donde frente a la misma pregunta esta Subdirección respondió que después de cumplidos los 3 años</w:t>
      </w:r>
      <w:r w:rsidR="00533C75" w:rsidRPr="001334D8">
        <w:rPr>
          <w:rFonts w:ascii="Arial" w:hAnsi="Arial" w:cs="Arial"/>
        </w:rPr>
        <w:t>,</w:t>
      </w:r>
      <w:r w:rsidRPr="001334D8">
        <w:rPr>
          <w:rFonts w:ascii="Arial" w:hAnsi="Arial" w:cs="Arial"/>
        </w:rPr>
        <w:t xml:space="preserve"> contados desde la constitución de la sociedad, las entidades estatales no deberían tener como válida la experiencia acreditada por los socios, accionistas o constituyentes. Como fundamento de esta posición, la Subdirección consideró lo siguiente: </w:t>
      </w:r>
    </w:p>
    <w:p w14:paraId="3056F491" w14:textId="05CA0BDF" w:rsidR="00F747E4" w:rsidRPr="001334D8" w:rsidRDefault="00F747E4" w:rsidP="00996E32">
      <w:pPr>
        <w:spacing w:after="120" w:line="276" w:lineRule="auto"/>
        <w:ind w:firstLine="709"/>
        <w:jc w:val="both"/>
        <w:rPr>
          <w:rFonts w:ascii="Arial" w:hAnsi="Arial" w:cs="Arial"/>
        </w:rPr>
      </w:pPr>
      <w:r w:rsidRPr="001334D8">
        <w:rPr>
          <w:rFonts w:ascii="Arial" w:hAnsi="Arial" w:cs="Arial"/>
        </w:rPr>
        <w:t xml:space="preserve">i) El Decreto 1082 de 2015 establece que, para la inscripción en el RUP de una persona jurídica, si su constitución es menor a 3 años, puede acreditar la experiencia de sus accionistas, socios o constituyentes. </w:t>
      </w:r>
    </w:p>
    <w:p w14:paraId="4A42FAF0" w14:textId="3D1361B9" w:rsidR="00F747E4" w:rsidRPr="001334D8" w:rsidRDefault="00F747E4" w:rsidP="00996E32">
      <w:pPr>
        <w:spacing w:after="120" w:line="276" w:lineRule="auto"/>
        <w:ind w:firstLine="709"/>
        <w:jc w:val="both"/>
        <w:rPr>
          <w:rFonts w:ascii="Arial" w:hAnsi="Arial" w:cs="Arial"/>
        </w:rPr>
      </w:pPr>
      <w:r w:rsidRPr="001334D8">
        <w:rPr>
          <w:rFonts w:ascii="Arial" w:hAnsi="Arial" w:cs="Arial"/>
        </w:rPr>
        <w:t xml:space="preserve">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06A19864" w14:textId="2B98C2DC" w:rsidR="00F747E4" w:rsidRPr="001334D8" w:rsidRDefault="00F747E4" w:rsidP="00996E32">
      <w:pPr>
        <w:spacing w:after="120" w:line="276" w:lineRule="auto"/>
        <w:ind w:firstLine="709"/>
        <w:jc w:val="both"/>
        <w:rPr>
          <w:rFonts w:ascii="Arial" w:hAnsi="Arial" w:cs="Arial"/>
        </w:rPr>
      </w:pPr>
      <w:r w:rsidRPr="001334D8">
        <w:rPr>
          <w:rFonts w:ascii="Arial" w:hAnsi="Arial" w:cs="Arial"/>
        </w:rPr>
        <w:lastRenderedPageBreak/>
        <w:t>i</w:t>
      </w:r>
      <w:r w:rsidR="00E415EB" w:rsidRPr="001334D8">
        <w:rPr>
          <w:rFonts w:ascii="Arial" w:hAnsi="Arial" w:cs="Arial"/>
        </w:rPr>
        <w:t>ii</w:t>
      </w:r>
      <w:r w:rsidRPr="001334D8">
        <w:rPr>
          <w:rFonts w:ascii="Arial" w:hAnsi="Arial" w:cs="Arial"/>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005FE795" w14:textId="0F8C8E4E" w:rsidR="00F747E4" w:rsidRPr="001334D8" w:rsidRDefault="00F648FE" w:rsidP="00996E32">
      <w:pPr>
        <w:spacing w:after="120" w:line="276" w:lineRule="auto"/>
        <w:ind w:firstLine="709"/>
        <w:jc w:val="both"/>
        <w:rPr>
          <w:rFonts w:ascii="Arial" w:hAnsi="Arial" w:cs="Arial"/>
        </w:rPr>
      </w:pPr>
      <w:r w:rsidRPr="001334D8">
        <w:rPr>
          <w:rFonts w:ascii="Arial" w:hAnsi="Arial" w:cs="Arial"/>
        </w:rPr>
        <w:t>i</w:t>
      </w:r>
      <w:r w:rsidR="00F747E4" w:rsidRPr="001334D8">
        <w:rPr>
          <w:rFonts w:ascii="Arial" w:hAnsi="Arial" w:cs="Arial"/>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7A43FBE4" w14:textId="1E7844CC" w:rsidR="00F747E4" w:rsidRPr="001334D8" w:rsidRDefault="00F747E4" w:rsidP="00996E32">
      <w:pPr>
        <w:spacing w:after="120" w:line="276" w:lineRule="auto"/>
        <w:ind w:firstLine="709"/>
        <w:jc w:val="both"/>
        <w:rPr>
          <w:rFonts w:ascii="Arial" w:hAnsi="Arial" w:cs="Arial"/>
        </w:rPr>
      </w:pPr>
      <w:r w:rsidRPr="001334D8">
        <w:rPr>
          <w:rFonts w:ascii="Arial" w:hAnsi="Arial" w:cs="Arial"/>
        </w:rPr>
        <w:t xml:space="preserve">La posición anterior, en relación con la </w:t>
      </w:r>
      <w:r w:rsidR="0085682C" w:rsidRPr="001334D8">
        <w:rPr>
          <w:rFonts w:ascii="Arial" w:hAnsi="Arial" w:cs="Arial"/>
        </w:rPr>
        <w:t>im</w:t>
      </w:r>
      <w:r w:rsidRPr="001334D8">
        <w:rPr>
          <w:rFonts w:ascii="Arial" w:hAnsi="Arial" w:cs="Arial"/>
        </w:rPr>
        <w:t>posibilidad de que las sociedades nuevas puedan seguir acreditando la experiencia de sus socios, accionistas o constituyentes, incluso después de cumplidos 3 años de constitución de la persona jurídica, fue superada</w:t>
      </w:r>
      <w:r w:rsidR="00EB378E" w:rsidRPr="001334D8">
        <w:rPr>
          <w:rFonts w:ascii="Arial" w:hAnsi="Arial" w:cs="Arial"/>
        </w:rPr>
        <w:t xml:space="preserve">. En tal sentido, </w:t>
      </w:r>
      <w:r w:rsidRPr="001334D8">
        <w:rPr>
          <w:rFonts w:ascii="Arial" w:hAnsi="Arial" w:cs="Arial"/>
        </w:rPr>
        <w:t>esta Subdirección</w:t>
      </w:r>
      <w:r w:rsidR="00EB378E" w:rsidRPr="001334D8">
        <w:rPr>
          <w:rFonts w:ascii="Arial" w:hAnsi="Arial" w:cs="Arial"/>
        </w:rPr>
        <w:t xml:space="preserve"> ratificó</w:t>
      </w:r>
      <w:r w:rsidRPr="001334D8">
        <w:rPr>
          <w:rFonts w:ascii="Arial" w:hAnsi="Arial" w:cs="Arial"/>
        </w:rPr>
        <w:t xml:space="preserve"> la tesis que ya había sido desarrollada en el concepto del 7 de febrero de 2018</w:t>
      </w:r>
      <w:r w:rsidRPr="001334D8">
        <w:rPr>
          <w:rFonts w:ascii="Arial" w:hAnsi="Arial" w:cs="Arial"/>
          <w:vertAlign w:val="superscript"/>
        </w:rPr>
        <w:footnoteReference w:id="8"/>
      </w:r>
      <w:r w:rsidRPr="001334D8">
        <w:rPr>
          <w:rFonts w:ascii="Arial" w:hAnsi="Arial" w:cs="Arial"/>
        </w:rPr>
        <w:t>, recogida y unificada en el concepto con radicado No. 4201913000006797 del 19 de noviembre de 2019</w:t>
      </w:r>
      <w:r w:rsidR="00210D15" w:rsidRPr="001334D8">
        <w:rPr>
          <w:rFonts w:ascii="Arial" w:hAnsi="Arial" w:cs="Arial"/>
        </w:rPr>
        <w:t>,</w:t>
      </w:r>
      <w:r w:rsidRPr="001334D8">
        <w:rPr>
          <w:rFonts w:ascii="Arial" w:hAnsi="Arial" w:cs="Arial"/>
        </w:rPr>
        <w:t xml:space="preserve">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1D2365F3" w14:textId="4CB6EB8D" w:rsidR="00F747E4" w:rsidRPr="001334D8" w:rsidRDefault="00F747E4" w:rsidP="00996E32">
      <w:pPr>
        <w:spacing w:after="120" w:line="276" w:lineRule="auto"/>
        <w:ind w:firstLine="709"/>
        <w:jc w:val="both"/>
        <w:rPr>
          <w:rFonts w:ascii="Arial" w:hAnsi="Arial" w:cs="Arial"/>
        </w:rPr>
      </w:pPr>
      <w:r w:rsidRPr="001334D8">
        <w:rPr>
          <w:rFonts w:ascii="Arial" w:hAnsi="Arial" w:cs="Arial"/>
        </w:rPr>
        <w:t xml:space="preserve">Teniendo en cuenta lo anterior, aunque la persona jurídica tenga más de </w:t>
      </w:r>
      <w:r w:rsidR="00B35442" w:rsidRPr="001334D8">
        <w:rPr>
          <w:rFonts w:ascii="Arial" w:hAnsi="Arial" w:cs="Arial"/>
        </w:rPr>
        <w:t>3</w:t>
      </w:r>
      <w:r w:rsidRPr="001334D8">
        <w:rPr>
          <w:rFonts w:ascii="Arial" w:hAnsi="Arial" w:cs="Arial"/>
        </w:rPr>
        <w:t xml:space="preserve">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w:t>
      </w:r>
      <w:r w:rsidR="00204DC8" w:rsidRPr="001334D8">
        <w:rPr>
          <w:rFonts w:ascii="Arial" w:hAnsi="Arial" w:cs="Arial"/>
        </w:rPr>
        <w:t>3</w:t>
      </w:r>
      <w:r w:rsidRPr="001334D8">
        <w:rPr>
          <w:rFonts w:ascii="Arial" w:hAnsi="Arial" w:cs="Arial"/>
        </w:rPr>
        <w:t xml:space="preserve">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720AD066" w14:textId="20776095" w:rsidR="00F747E4" w:rsidRPr="001334D8" w:rsidRDefault="0042767F" w:rsidP="00996E32">
      <w:pPr>
        <w:spacing w:after="120" w:line="276" w:lineRule="auto"/>
        <w:ind w:firstLine="709"/>
        <w:jc w:val="both"/>
        <w:rPr>
          <w:rFonts w:ascii="Arial" w:hAnsi="Arial" w:cs="Arial"/>
        </w:rPr>
      </w:pPr>
      <w:r w:rsidRPr="001334D8">
        <w:rPr>
          <w:rFonts w:ascii="Arial" w:hAnsi="Arial" w:cs="Arial"/>
        </w:rPr>
        <w:lastRenderedPageBreak/>
        <w:t>En armonía con lo anterior, s</w:t>
      </w:r>
      <w:r w:rsidR="00F747E4" w:rsidRPr="001334D8">
        <w:rPr>
          <w:rFonts w:ascii="Arial" w:hAnsi="Arial" w:cs="Arial"/>
        </w:rPr>
        <w:t>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00F747E4" w:rsidRPr="001334D8">
        <w:rPr>
          <w:rFonts w:ascii="Arial" w:hAnsi="Arial" w:cs="Arial"/>
          <w:vertAlign w:val="superscript"/>
        </w:rPr>
        <w:footnoteReference w:id="9"/>
      </w:r>
      <w:r w:rsidR="00F747E4" w:rsidRPr="001334D8">
        <w:rPr>
          <w:rFonts w:ascii="Arial" w:hAnsi="Arial" w:cs="Arial"/>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23E9D0F1" w14:textId="6CE60FEC" w:rsidR="00F747E4" w:rsidRPr="001334D8" w:rsidRDefault="00F747E4" w:rsidP="00996E32">
      <w:pPr>
        <w:spacing w:after="0" w:line="276" w:lineRule="auto"/>
        <w:ind w:firstLine="709"/>
        <w:jc w:val="both"/>
        <w:rPr>
          <w:rFonts w:ascii="Arial" w:hAnsi="Arial" w:cs="Arial"/>
        </w:rPr>
      </w:pPr>
      <w:r w:rsidRPr="001334D8">
        <w:rPr>
          <w:rFonts w:ascii="Arial" w:hAnsi="Arial" w:cs="Arial"/>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Lo anterior, tiene fundamento en la Circular Única de la Superintendencia de Industria y Comercio, cuyo numeral 4.2, sobre el procedimiento para llevar el </w:t>
      </w:r>
      <w:r w:rsidR="00396B0E" w:rsidRPr="001334D8">
        <w:rPr>
          <w:rFonts w:ascii="Arial" w:hAnsi="Arial" w:cs="Arial"/>
        </w:rPr>
        <w:t>RUP</w:t>
      </w:r>
      <w:r w:rsidRPr="001334D8">
        <w:rPr>
          <w:rFonts w:ascii="Arial" w:hAnsi="Arial" w:cs="Arial"/>
        </w:rPr>
        <w:t xml:space="preserve">, dispone lo siguiente:  </w:t>
      </w:r>
    </w:p>
    <w:p w14:paraId="4CB76627" w14:textId="77777777" w:rsidR="008B0AC6" w:rsidRPr="001334D8" w:rsidRDefault="008B0AC6" w:rsidP="00193C39">
      <w:pPr>
        <w:spacing w:after="0" w:line="276" w:lineRule="auto"/>
        <w:ind w:firstLine="709"/>
        <w:contextualSpacing/>
        <w:jc w:val="both"/>
        <w:rPr>
          <w:rFonts w:ascii="Arial" w:hAnsi="Arial" w:cs="Arial"/>
        </w:rPr>
      </w:pPr>
    </w:p>
    <w:p w14:paraId="5C017901" w14:textId="3726DB4D" w:rsidR="00F747E4" w:rsidRPr="001334D8" w:rsidRDefault="00F747E4"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68B7F0C9" w14:textId="77777777" w:rsidR="008B0AC6" w:rsidRPr="001334D8" w:rsidRDefault="008B0AC6" w:rsidP="00193C39">
      <w:pPr>
        <w:spacing w:after="0"/>
        <w:ind w:left="709" w:right="709"/>
        <w:contextualSpacing/>
        <w:jc w:val="both"/>
        <w:rPr>
          <w:rFonts w:ascii="Arial" w:hAnsi="Arial" w:cs="Arial"/>
          <w:sz w:val="21"/>
          <w:szCs w:val="21"/>
        </w:rPr>
      </w:pPr>
    </w:p>
    <w:p w14:paraId="3F8BF1D5" w14:textId="50FDBF8D" w:rsidR="00F747E4" w:rsidRPr="001334D8" w:rsidRDefault="00F747E4" w:rsidP="00996E32">
      <w:pPr>
        <w:spacing w:after="120" w:line="276" w:lineRule="auto"/>
        <w:ind w:firstLine="709"/>
        <w:jc w:val="both"/>
        <w:rPr>
          <w:rFonts w:ascii="Arial" w:hAnsi="Arial" w:cs="Arial"/>
        </w:rPr>
      </w:pPr>
      <w:r w:rsidRPr="001334D8">
        <w:rPr>
          <w:rFonts w:ascii="Arial" w:hAnsi="Arial" w:cs="Arial"/>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w:t>
      </w:r>
      <w:r w:rsidR="003D79C1" w:rsidRPr="001334D8">
        <w:rPr>
          <w:rFonts w:ascii="Arial" w:hAnsi="Arial" w:cs="Arial"/>
        </w:rPr>
        <w:t>3</w:t>
      </w:r>
      <w:r w:rsidRPr="001334D8">
        <w:rPr>
          <w:rFonts w:ascii="Arial" w:hAnsi="Arial" w:cs="Arial"/>
        </w:rPr>
        <w:t xml:space="preserve"> años de constitución de la sociedad, pues esta </w:t>
      </w:r>
      <w:r w:rsidRPr="001334D8">
        <w:rPr>
          <w:rFonts w:ascii="Arial" w:hAnsi="Arial" w:cs="Arial"/>
        </w:rPr>
        <w:lastRenderedPageBreak/>
        <w:t xml:space="preserve">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222AD9A0" w14:textId="19836441" w:rsidR="00F747E4" w:rsidRPr="001334D8" w:rsidRDefault="00F747E4" w:rsidP="00193C39">
      <w:pPr>
        <w:spacing w:after="120" w:line="276" w:lineRule="auto"/>
        <w:ind w:firstLine="709"/>
        <w:jc w:val="both"/>
        <w:rPr>
          <w:rFonts w:ascii="Arial" w:hAnsi="Arial" w:cs="Arial"/>
        </w:rPr>
      </w:pPr>
      <w:r w:rsidRPr="001334D8">
        <w:rPr>
          <w:rFonts w:ascii="Arial" w:hAnsi="Arial" w:cs="Arial"/>
        </w:rPr>
        <w:t>Por tanto, en atención al principio general de interpretación</w:t>
      </w:r>
      <w:r w:rsidR="009217E0" w:rsidRPr="001334D8">
        <w:rPr>
          <w:rFonts w:ascii="Arial" w:hAnsi="Arial" w:cs="Arial"/>
        </w:rPr>
        <w:t>,</w:t>
      </w:r>
      <w:r w:rsidRPr="001334D8">
        <w:rPr>
          <w:rFonts w:ascii="Arial" w:hAnsi="Arial" w:cs="Arial"/>
        </w:rPr>
        <w:t xml:space="preserve">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r w:rsidR="00AC64AE" w:rsidRPr="001334D8">
        <w:rPr>
          <w:rFonts w:ascii="Arial" w:hAnsi="Arial" w:cs="Arial"/>
        </w:rPr>
        <w:t>, el cual será explicado en el numeral 2.2. del presente concepto</w:t>
      </w:r>
      <w:r w:rsidRPr="001334D8">
        <w:rPr>
          <w:rFonts w:ascii="Arial" w:hAnsi="Arial" w:cs="Arial"/>
        </w:rPr>
        <w:t>.</w:t>
      </w:r>
    </w:p>
    <w:p w14:paraId="60EB8C7D" w14:textId="6A82202B" w:rsidR="00F747E4" w:rsidRPr="001334D8" w:rsidRDefault="00CE61A4" w:rsidP="004E133C">
      <w:pPr>
        <w:spacing w:before="120" w:after="0" w:line="276" w:lineRule="auto"/>
        <w:ind w:firstLine="709"/>
        <w:jc w:val="both"/>
        <w:rPr>
          <w:rFonts w:ascii="Arial" w:hAnsi="Arial" w:cs="Arial"/>
        </w:rPr>
      </w:pPr>
      <w:r w:rsidRPr="001334D8">
        <w:rPr>
          <w:rFonts w:ascii="Arial" w:hAnsi="Arial" w:cs="Arial"/>
        </w:rPr>
        <w:t xml:space="preserve">La </w:t>
      </w:r>
      <w:r w:rsidR="00F747E4" w:rsidRPr="001334D8">
        <w:rPr>
          <w:rFonts w:ascii="Arial" w:hAnsi="Arial" w:cs="Arial"/>
        </w:rPr>
        <w:t>postura</w:t>
      </w:r>
      <w:r w:rsidRPr="001334D8">
        <w:rPr>
          <w:rFonts w:ascii="Arial" w:hAnsi="Arial" w:cs="Arial"/>
        </w:rPr>
        <w:t xml:space="preserve"> expuesta</w:t>
      </w:r>
      <w:r w:rsidR="00F747E4" w:rsidRPr="001334D8">
        <w:rPr>
          <w:rFonts w:ascii="Arial" w:hAnsi="Arial" w:cs="Arial"/>
        </w:rPr>
        <w:t xml:space="preserve"> ha sido reiterada por esta Agencia en ejercicio de la función consultiva en los conceptos enunciados</w:t>
      </w:r>
      <w:r w:rsidR="006A7777" w:rsidRPr="001334D8">
        <w:rPr>
          <w:rFonts w:ascii="Arial" w:hAnsi="Arial" w:cs="Arial"/>
        </w:rPr>
        <w:t xml:space="preserve"> al inicio de este concepto</w:t>
      </w:r>
      <w:r w:rsidR="00F747E4" w:rsidRPr="001334D8">
        <w:rPr>
          <w:rFonts w:ascii="Arial" w:hAnsi="Arial" w:cs="Arial"/>
        </w:rPr>
        <w:t xml:space="preserve">. Además, se ha reflejado en el contenido de los diferentes documentos tipo expedidos en virtud del parágrafo 7 del artículo 2 de la Ley 1150 de 2007, modificado por la Ley 2022 de 2020. </w:t>
      </w:r>
      <w:r w:rsidR="00937489" w:rsidRPr="001334D8">
        <w:rPr>
          <w:rFonts w:ascii="Arial" w:hAnsi="Arial" w:cs="Arial"/>
        </w:rPr>
        <w:t xml:space="preserve">Es así como en </w:t>
      </w:r>
      <w:r w:rsidR="00C77BF3" w:rsidRPr="001334D8">
        <w:rPr>
          <w:rFonts w:ascii="Arial" w:hAnsi="Arial" w:cs="Arial"/>
        </w:rPr>
        <w:t xml:space="preserve"> los</w:t>
      </w:r>
      <w:r w:rsidR="00F747E4" w:rsidRPr="001334D8">
        <w:rPr>
          <w:rFonts w:ascii="Arial" w:hAnsi="Arial" w:cs="Arial"/>
        </w:rPr>
        <w:t xml:space="preserve"> </w:t>
      </w:r>
      <w:r w:rsidR="00C77BF3" w:rsidRPr="001334D8">
        <w:rPr>
          <w:rFonts w:ascii="Arial" w:hAnsi="Arial" w:cs="Arial"/>
        </w:rPr>
        <w:t>d</w:t>
      </w:r>
      <w:r w:rsidR="00F747E4" w:rsidRPr="001334D8">
        <w:rPr>
          <w:rFonts w:ascii="Arial" w:hAnsi="Arial" w:cs="Arial"/>
        </w:rPr>
        <w:t xml:space="preserve">ocumento </w:t>
      </w:r>
      <w:r w:rsidR="00C77BF3" w:rsidRPr="001334D8">
        <w:rPr>
          <w:rFonts w:ascii="Arial" w:hAnsi="Arial" w:cs="Arial"/>
        </w:rPr>
        <w:t>t</w:t>
      </w:r>
      <w:r w:rsidR="00F747E4" w:rsidRPr="001334D8">
        <w:rPr>
          <w:rFonts w:ascii="Arial" w:hAnsi="Arial" w:cs="Arial"/>
        </w:rPr>
        <w:t xml:space="preserve">ipo </w:t>
      </w:r>
      <w:r w:rsidR="00AE16BC" w:rsidRPr="001334D8">
        <w:rPr>
          <w:rFonts w:ascii="Arial" w:hAnsi="Arial" w:cs="Arial"/>
        </w:rPr>
        <w:t>para procesos de licitación de obra pública de infraestructura de transporte</w:t>
      </w:r>
      <w:r w:rsidR="00652675" w:rsidRPr="001334D8">
        <w:rPr>
          <w:rFonts w:ascii="Arial" w:hAnsi="Arial" w:cs="Arial"/>
        </w:rPr>
        <w:t xml:space="preserve"> </w:t>
      </w:r>
      <w:r w:rsidR="00AE16BC" w:rsidRPr="001334D8">
        <w:rPr>
          <w:rFonts w:ascii="Arial" w:hAnsi="Arial" w:cs="Arial"/>
        </w:rPr>
        <w:t>–Versión 3</w:t>
      </w:r>
      <w:r w:rsidR="00AE16BC" w:rsidRPr="001334D8">
        <w:rPr>
          <w:rFonts w:ascii="Arial" w:hAnsi="Arial" w:cs="Arial"/>
        </w:rPr>
        <w:softHyphen/>
        <w:t xml:space="preserve">–, </w:t>
      </w:r>
      <w:r w:rsidR="00F747E4" w:rsidRPr="001334D8">
        <w:rPr>
          <w:rFonts w:ascii="Arial" w:hAnsi="Arial" w:cs="Arial"/>
        </w:rPr>
        <w:t>expedido mediante la Resolución No. 240 de 2020</w:t>
      </w:r>
      <w:r w:rsidR="00652675" w:rsidRPr="001334D8">
        <w:rPr>
          <w:rFonts w:ascii="Arial" w:hAnsi="Arial" w:cs="Arial"/>
        </w:rPr>
        <w:t xml:space="preserve"> y modificado recientemente mediante la Resolución </w:t>
      </w:r>
      <w:r w:rsidR="009F350C" w:rsidRPr="001334D8">
        <w:rPr>
          <w:rFonts w:ascii="Arial" w:hAnsi="Arial" w:cs="Arial"/>
        </w:rPr>
        <w:t>275 de 2022</w:t>
      </w:r>
      <w:r w:rsidR="00937489" w:rsidRPr="001334D8">
        <w:rPr>
          <w:rFonts w:ascii="Arial" w:hAnsi="Arial" w:cs="Arial"/>
        </w:rPr>
        <w:t>,</w:t>
      </w:r>
      <w:r w:rsidR="009F350C" w:rsidRPr="001334D8">
        <w:rPr>
          <w:rFonts w:ascii="Arial" w:hAnsi="Arial" w:cs="Arial"/>
        </w:rPr>
        <w:t xml:space="preserve"> </w:t>
      </w:r>
      <w:r w:rsidR="00F747E4" w:rsidRPr="001334D8">
        <w:rPr>
          <w:rFonts w:ascii="Arial" w:hAnsi="Arial" w:cs="Arial"/>
        </w:rPr>
        <w:t xml:space="preserve"> </w:t>
      </w:r>
      <w:r w:rsidR="00937489" w:rsidRPr="001334D8">
        <w:rPr>
          <w:rFonts w:ascii="Arial" w:hAnsi="Arial" w:cs="Arial"/>
        </w:rPr>
        <w:t>e</w:t>
      </w:r>
      <w:r w:rsidR="00F747E4" w:rsidRPr="001334D8">
        <w:rPr>
          <w:rFonts w:ascii="Arial" w:hAnsi="Arial" w:cs="Arial"/>
        </w:rPr>
        <w:t>n el literal E, del numeral 3.5.2 de dicho documento, se incluye el siguiente texto:</w:t>
      </w:r>
    </w:p>
    <w:p w14:paraId="45FA3664" w14:textId="77777777" w:rsidR="00996E32" w:rsidRPr="001334D8" w:rsidRDefault="00996E32" w:rsidP="00193C39">
      <w:pPr>
        <w:spacing w:after="0" w:line="276" w:lineRule="auto"/>
        <w:ind w:firstLine="709"/>
        <w:contextualSpacing/>
        <w:jc w:val="both"/>
        <w:rPr>
          <w:rFonts w:ascii="Arial" w:hAnsi="Arial" w:cs="Arial"/>
        </w:rPr>
      </w:pPr>
    </w:p>
    <w:p w14:paraId="47798E8C" w14:textId="69A35F21" w:rsidR="00F747E4" w:rsidRPr="001334D8" w:rsidRDefault="00F747E4" w:rsidP="00193C39">
      <w:pPr>
        <w:pStyle w:val="Prrafodelista"/>
        <w:ind w:left="709" w:right="709"/>
        <w:jc w:val="both"/>
        <w:rPr>
          <w:rFonts w:ascii="Arial" w:hAnsi="Arial" w:cs="Arial"/>
          <w:sz w:val="21"/>
          <w:szCs w:val="21"/>
        </w:rPr>
      </w:pPr>
      <w:r w:rsidRPr="001334D8">
        <w:rPr>
          <w:rFonts w:ascii="Arial" w:hAnsi="Arial" w:cs="Arial"/>
          <w:sz w:val="21"/>
          <w:szCs w:val="21"/>
        </w:rPr>
        <w:t xml:space="preserve">E. 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Pr="001334D8">
        <w:rPr>
          <w:rFonts w:ascii="Arial" w:hAnsi="Arial" w:cs="Arial"/>
          <w:i/>
          <w:iCs/>
          <w:sz w:val="21"/>
          <w:szCs w:val="21"/>
        </w:rPr>
        <w:t>La entidad tendrá en cuenta la experiencia individual de los accionistas, socios o constituyentes de las sociedades con menos de tres (3) años de constituidas. Pasado este tiempo, la sociedad conservará esta experiencia, tal y como haya quedado registrada en el RUP</w:t>
      </w:r>
      <w:r w:rsidRPr="001334D8">
        <w:rPr>
          <w:rFonts w:ascii="Arial" w:hAnsi="Arial" w:cs="Arial"/>
          <w:sz w:val="21"/>
          <w:szCs w:val="21"/>
        </w:rPr>
        <w:t xml:space="preserve">. (Énfasis fuera de texto)  </w:t>
      </w:r>
    </w:p>
    <w:p w14:paraId="3B855E90" w14:textId="77777777" w:rsidR="00996E32" w:rsidRPr="001334D8" w:rsidRDefault="00996E32" w:rsidP="00193C39">
      <w:pPr>
        <w:pStyle w:val="Prrafodelista"/>
        <w:spacing w:line="276" w:lineRule="auto"/>
        <w:ind w:left="709" w:right="709"/>
        <w:jc w:val="both"/>
        <w:rPr>
          <w:rFonts w:ascii="Arial" w:hAnsi="Arial" w:cs="Arial"/>
          <w:sz w:val="21"/>
          <w:szCs w:val="21"/>
        </w:rPr>
      </w:pPr>
    </w:p>
    <w:p w14:paraId="1D5E635C" w14:textId="0C88043A" w:rsidR="00F747E4" w:rsidRPr="001334D8" w:rsidRDefault="00F747E4" w:rsidP="00667E18">
      <w:pPr>
        <w:spacing w:after="0" w:line="276" w:lineRule="auto"/>
        <w:ind w:firstLine="709"/>
        <w:jc w:val="both"/>
        <w:rPr>
          <w:rFonts w:ascii="Arial" w:hAnsi="Arial" w:cs="Arial"/>
        </w:rPr>
      </w:pPr>
      <w:r w:rsidRPr="001334D8">
        <w:rPr>
          <w:rFonts w:ascii="Arial" w:hAnsi="Arial" w:cs="Arial"/>
        </w:rPr>
        <w:t xml:space="preserve"> Como se aprecia, este literal, en desarrollo de lo dispuesto en el numeral 2.5 del artículo 2.2.1.1.1.5.2 del Decreto 1082 de 2015 establece la posibilidad de que las personas jurídicas de reciente constitución acrediten la experiencia adquirida por sus </w:t>
      </w:r>
      <w:r w:rsidR="00BE1378" w:rsidRPr="001334D8">
        <w:rPr>
          <w:rFonts w:ascii="Arial" w:hAnsi="Arial" w:cs="Arial"/>
        </w:rPr>
        <w:t xml:space="preserve">accionistas, </w:t>
      </w:r>
      <w:r w:rsidRPr="001334D8">
        <w:rPr>
          <w:rFonts w:ascii="Arial" w:hAnsi="Arial" w:cs="Arial"/>
        </w:rPr>
        <w:t>socios o constituyentes</w:t>
      </w:r>
      <w:r w:rsidR="0026678C" w:rsidRPr="001334D8">
        <w:rPr>
          <w:rFonts w:ascii="Arial" w:hAnsi="Arial" w:cs="Arial"/>
        </w:rPr>
        <w:t>.</w:t>
      </w:r>
      <w:r w:rsidR="00667E18" w:rsidRPr="001334D8">
        <w:rPr>
          <w:rFonts w:ascii="Arial" w:hAnsi="Arial" w:cs="Arial"/>
        </w:rPr>
        <w:t xml:space="preserve"> </w:t>
      </w:r>
      <w:r w:rsidRPr="001334D8">
        <w:rPr>
          <w:rFonts w:ascii="Arial" w:hAnsi="Arial" w:cs="Arial"/>
        </w:rPr>
        <w:t xml:space="preserve">Ahora, en concordancia con la postura </w:t>
      </w:r>
      <w:r w:rsidRPr="001334D8">
        <w:rPr>
          <w:rFonts w:ascii="Arial" w:hAnsi="Arial" w:cs="Arial"/>
        </w:rPr>
        <w:lastRenderedPageBreak/>
        <w:t xml:space="preserve">expuesta en torno a la aplicación de dicha norma, esta Agencia estableció de manera expresa en el texto citado la posibilidad de que en estos procesos se acredite la referida experiencia, incluso una vez transcurridos los primeros </w:t>
      </w:r>
      <w:r w:rsidR="005828BC" w:rsidRPr="001334D8">
        <w:rPr>
          <w:rFonts w:ascii="Arial" w:hAnsi="Arial" w:cs="Arial"/>
        </w:rPr>
        <w:t>3</w:t>
      </w:r>
      <w:r w:rsidRPr="001334D8">
        <w:rPr>
          <w:rFonts w:ascii="Arial" w:hAnsi="Arial" w:cs="Arial"/>
        </w:rPr>
        <w:t xml:space="preserve"> años de constitución, al incorporarse esta en el RUP de la sociedad, siempre que se haya ejercido debidamente el deber de renovación que impide la cesación de los efectos de este instrumento, por las razones expuestas </w:t>
      </w:r>
      <w:r w:rsidRPr="001334D8">
        <w:rPr>
          <w:rFonts w:ascii="Arial" w:hAnsi="Arial" w:cs="Arial"/>
          <w:i/>
          <w:iCs/>
        </w:rPr>
        <w:t>supra.</w:t>
      </w:r>
    </w:p>
    <w:p w14:paraId="734FE100" w14:textId="77777777" w:rsidR="00996E32" w:rsidRPr="001334D8" w:rsidRDefault="00996E32" w:rsidP="00193C39">
      <w:pPr>
        <w:spacing w:after="0" w:line="276" w:lineRule="auto"/>
        <w:ind w:firstLine="709"/>
        <w:contextualSpacing/>
        <w:jc w:val="both"/>
        <w:rPr>
          <w:rFonts w:ascii="Arial" w:hAnsi="Arial" w:cs="Arial"/>
          <w:i/>
          <w:iCs/>
        </w:rPr>
      </w:pPr>
    </w:p>
    <w:p w14:paraId="32E29683" w14:textId="401CA384" w:rsidR="00783C39" w:rsidRPr="001334D8" w:rsidRDefault="00F747E4" w:rsidP="00193C39">
      <w:pPr>
        <w:pStyle w:val="paragraph"/>
        <w:spacing w:before="0" w:beforeAutospacing="0" w:after="0" w:afterAutospacing="0" w:line="276" w:lineRule="auto"/>
        <w:contextualSpacing/>
        <w:jc w:val="both"/>
        <w:textAlignment w:val="baseline"/>
        <w:rPr>
          <w:rFonts w:ascii="Segoe UI" w:hAnsi="Segoe UI" w:cs="Segoe UI"/>
          <w:sz w:val="18"/>
          <w:szCs w:val="18"/>
          <w:lang w:val="es-ES_tradnl"/>
        </w:rPr>
      </w:pPr>
      <w:r w:rsidRPr="001334D8">
        <w:rPr>
          <w:rStyle w:val="normaltextrun"/>
          <w:rFonts w:ascii="Arial" w:hAnsi="Arial" w:cs="Arial"/>
          <w:b/>
          <w:bCs/>
          <w:sz w:val="22"/>
          <w:szCs w:val="22"/>
        </w:rPr>
        <w:t xml:space="preserve">2.2. </w:t>
      </w:r>
      <w:r w:rsidR="00783C39" w:rsidRPr="001334D8">
        <w:rPr>
          <w:rStyle w:val="normaltextrun"/>
          <w:rFonts w:ascii="Arial" w:hAnsi="Arial" w:cs="Arial"/>
          <w:b/>
          <w:bCs/>
          <w:sz w:val="22"/>
          <w:szCs w:val="22"/>
        </w:rPr>
        <w:t>Obligatoriedad</w:t>
      </w:r>
      <w:r w:rsidR="00783C39" w:rsidRPr="001334D8">
        <w:rPr>
          <w:rStyle w:val="normaltextrun"/>
          <w:rFonts w:ascii="Arial" w:hAnsi="Arial" w:cs="Arial"/>
          <w:b/>
          <w:bCs/>
          <w:sz w:val="22"/>
          <w:szCs w:val="22"/>
          <w:lang w:val="es-ES_tradnl"/>
        </w:rPr>
        <w:t xml:space="preserve"> del</w:t>
      </w:r>
      <w:r w:rsidR="00783C39" w:rsidRPr="001334D8">
        <w:rPr>
          <w:rStyle w:val="normaltextrun"/>
          <w:rFonts w:ascii="Arial" w:hAnsi="Arial" w:cs="Arial"/>
          <w:b/>
          <w:bCs/>
          <w:sz w:val="22"/>
          <w:szCs w:val="22"/>
        </w:rPr>
        <w:t xml:space="preserve"> Registro Único de Proponentes para </w:t>
      </w:r>
      <w:r w:rsidR="00783C39" w:rsidRPr="001334D8">
        <w:rPr>
          <w:rStyle w:val="normaltextrun"/>
          <w:rFonts w:ascii="Arial" w:hAnsi="Arial" w:cs="Arial"/>
          <w:b/>
          <w:bCs/>
          <w:sz w:val="22"/>
          <w:szCs w:val="22"/>
          <w:lang w:val="es-ES_tradnl"/>
        </w:rPr>
        <w:t>contratar</w:t>
      </w:r>
      <w:r w:rsidR="00783C39" w:rsidRPr="001334D8">
        <w:rPr>
          <w:rStyle w:val="normaltextrun"/>
          <w:rFonts w:ascii="Arial" w:hAnsi="Arial" w:cs="Arial"/>
          <w:b/>
          <w:bCs/>
          <w:sz w:val="22"/>
          <w:szCs w:val="22"/>
        </w:rPr>
        <w:t xml:space="preserve"> con entidades estatales</w:t>
      </w:r>
      <w:r w:rsidR="00783C39" w:rsidRPr="001334D8">
        <w:rPr>
          <w:rStyle w:val="eop"/>
          <w:rFonts w:ascii="Arial" w:hAnsi="Arial" w:cs="Arial"/>
          <w:b/>
          <w:bCs/>
          <w:sz w:val="22"/>
          <w:szCs w:val="22"/>
        </w:rPr>
        <w:t> </w:t>
      </w:r>
      <w:r w:rsidR="00783C39" w:rsidRPr="001334D8">
        <w:rPr>
          <w:rStyle w:val="eop"/>
          <w:rFonts w:ascii="Arial" w:hAnsi="Arial" w:cs="Arial"/>
          <w:b/>
          <w:bCs/>
          <w:sz w:val="22"/>
          <w:szCs w:val="22"/>
          <w:lang w:val="es-ES_tradnl"/>
        </w:rPr>
        <w:t>y efectos en caso de omitir su renovación</w:t>
      </w:r>
    </w:p>
    <w:p w14:paraId="39B4E0C7" w14:textId="77777777" w:rsidR="00783C39" w:rsidRPr="001334D8" w:rsidRDefault="00783C39" w:rsidP="00193C39">
      <w:pPr>
        <w:pStyle w:val="paragraph"/>
        <w:spacing w:before="0" w:beforeAutospacing="0" w:after="0" w:afterAutospacing="0" w:line="276" w:lineRule="auto"/>
        <w:contextualSpacing/>
        <w:jc w:val="both"/>
        <w:textAlignment w:val="baseline"/>
        <w:rPr>
          <w:rFonts w:ascii="Segoe UI" w:hAnsi="Segoe UI" w:cs="Segoe UI"/>
          <w:sz w:val="18"/>
          <w:szCs w:val="18"/>
        </w:rPr>
      </w:pPr>
      <w:r w:rsidRPr="001334D8">
        <w:rPr>
          <w:rStyle w:val="eop"/>
          <w:rFonts w:ascii="Arial" w:hAnsi="Arial" w:cs="Arial"/>
          <w:sz w:val="22"/>
          <w:szCs w:val="22"/>
        </w:rPr>
        <w:t> </w:t>
      </w:r>
    </w:p>
    <w:p w14:paraId="6B200D2E" w14:textId="3AC853CC" w:rsidR="00783C39" w:rsidRPr="001334D8" w:rsidRDefault="00783C39" w:rsidP="00783C39">
      <w:pPr>
        <w:tabs>
          <w:tab w:val="left" w:pos="426"/>
        </w:tabs>
        <w:spacing w:after="120" w:line="276" w:lineRule="auto"/>
        <w:jc w:val="both"/>
        <w:rPr>
          <w:rFonts w:ascii="Arial" w:eastAsia="Calibri" w:hAnsi="Arial" w:cs="Arial"/>
          <w:i/>
          <w:iCs/>
        </w:rPr>
      </w:pPr>
      <w:r w:rsidRPr="001334D8">
        <w:rPr>
          <w:rFonts w:ascii="Arial" w:eastAsia="Calibri" w:hAnsi="Arial" w:cs="Arial"/>
        </w:rPr>
        <w:t>El RUP es el registro público donde deberán inscribirse las personas naturales y jurídicas que aspiren a celebrar contratos con las entidades estatales, según lo dispone el artículo 6 de la Ley 1150 de 2007. El RUP</w:t>
      </w:r>
      <w:r w:rsidRPr="001334D8">
        <w:rPr>
          <w:rFonts w:ascii="Arial" w:eastAsia="Calibri" w:hAnsi="Arial" w:cs="Arial"/>
          <w:sz w:val="21"/>
          <w:szCs w:val="21"/>
          <w:lang w:val="es-ES"/>
        </w:rPr>
        <w:t xml:space="preserve"> </w:t>
      </w:r>
      <w:r w:rsidRPr="001334D8">
        <w:rPr>
          <w:rFonts w:ascii="Arial" w:eastAsia="Calibri" w:hAnsi="Arial" w:cs="Arial"/>
        </w:rPr>
        <w:t xml:space="preserve">tiene por objeto consolidar la información relacionada con la capacidad jurídica, financiera, organizacional y de experiencia de los posibles interesados en celebrar contratos con el Estado, con el fin </w:t>
      </w:r>
      <w:r w:rsidR="00C92CFE" w:rsidRPr="001334D8">
        <w:rPr>
          <w:rFonts w:ascii="Arial" w:eastAsia="Calibri" w:hAnsi="Arial" w:cs="Arial"/>
        </w:rPr>
        <w:t xml:space="preserve">de </w:t>
      </w:r>
      <w:r w:rsidRPr="001334D8">
        <w:rPr>
          <w:rFonts w:ascii="Arial" w:eastAsia="Calibri" w:hAnsi="Arial" w:cs="Arial"/>
        </w:rPr>
        <w:t>que participen en los procedimientos de selección realizados por las entidades estatales, facilitando la revisión de los datos contenidos en el registro.</w:t>
      </w:r>
    </w:p>
    <w:p w14:paraId="47A68436" w14:textId="77777777" w:rsidR="00783C39" w:rsidRPr="001334D8" w:rsidRDefault="00783C39" w:rsidP="00783C39">
      <w:pPr>
        <w:spacing w:before="120" w:after="120" w:line="276" w:lineRule="auto"/>
        <w:ind w:firstLine="708"/>
        <w:jc w:val="both"/>
        <w:rPr>
          <w:rFonts w:ascii="Arial" w:eastAsia="Calibri" w:hAnsi="Arial" w:cs="Arial"/>
        </w:rPr>
      </w:pPr>
      <w:r w:rsidRPr="001334D8">
        <w:rPr>
          <w:rFonts w:ascii="Arial" w:eastAsia="Calibri" w:hAnsi="Arial" w:cs="Arial"/>
        </w:rPr>
        <w:t>La capacidad jurídica, las condiciones de experiencia, la capacidad financiera y de organización de los proponentes deberán verificarse exclusivamente con el registro, toda vez que constituye plena prueba de lo que contiene, según el numeral 6.1 del artículo 6 de la Ley 1150 de 2007</w:t>
      </w:r>
      <w:r w:rsidRPr="001334D8">
        <w:rPr>
          <w:rFonts w:ascii="Arial" w:eastAsia="Calibri" w:hAnsi="Arial" w:cs="Arial"/>
          <w:vertAlign w:val="superscript"/>
        </w:rPr>
        <w:footnoteReference w:id="10"/>
      </w:r>
      <w:r w:rsidRPr="001334D8">
        <w:rPr>
          <w:rFonts w:ascii="Arial" w:eastAsia="Calibri" w:hAnsi="Arial" w:cs="Arial"/>
        </w:rPr>
        <w:t xml:space="preserve">. El legislador otorgó a las cámaras de comercio la administración del RUP y dispuso que estas realizarían la verificación de la información suministrada por las personas naturales o jurídicas para su posterior utilización en los procesos de selección. </w:t>
      </w:r>
    </w:p>
    <w:p w14:paraId="5A2AF80A" w14:textId="620BE095" w:rsidR="00783C39" w:rsidRPr="001334D8" w:rsidRDefault="00783C39" w:rsidP="00783C39">
      <w:pPr>
        <w:spacing w:after="120" w:line="276" w:lineRule="auto"/>
        <w:ind w:firstLine="709"/>
        <w:jc w:val="both"/>
        <w:rPr>
          <w:rFonts w:ascii="Arial" w:hAnsi="Arial" w:cs="Arial"/>
        </w:rPr>
      </w:pPr>
      <w:r w:rsidRPr="001334D8">
        <w:rPr>
          <w:rFonts w:ascii="Arial" w:hAnsi="Arial" w:cs="Arial"/>
        </w:rPr>
        <w:t xml:space="preserve">En el mismo sentido, el artículo 2.2.1.1.1.5.3. del Decreto 1082 de 2015 señala que las cámaras de comercio verificarán y certificarán los requisitos habilitantes de experiencia, capacidad jurídica, capacidad financiera y de organización. </w:t>
      </w:r>
      <w:r w:rsidR="00F95FB5" w:rsidRPr="001334D8">
        <w:rPr>
          <w:rFonts w:ascii="Arial" w:hAnsi="Arial" w:cs="Arial"/>
        </w:rPr>
        <w:t>Conforme</w:t>
      </w:r>
      <w:r w:rsidRPr="001334D8">
        <w:rPr>
          <w:rFonts w:ascii="Arial" w:hAnsi="Arial" w:cs="Arial"/>
        </w:rPr>
        <w:t xml:space="preserve"> el </w:t>
      </w:r>
      <w:r w:rsidR="003910FC" w:rsidRPr="001334D8">
        <w:rPr>
          <w:rFonts w:ascii="Arial" w:hAnsi="Arial" w:cs="Arial"/>
        </w:rPr>
        <w:t xml:space="preserve">artículo </w:t>
      </w:r>
      <w:r w:rsidRPr="001334D8">
        <w:rPr>
          <w:rFonts w:ascii="Arial" w:hAnsi="Arial" w:cs="Arial"/>
        </w:rPr>
        <w:t xml:space="preserve">6.3 de la Ley 1150 de 2007, la cámara de comercio, verificada la información aportada por el proponente, publicará el acto de </w:t>
      </w:r>
      <w:r w:rsidRPr="001334D8">
        <w:rPr>
          <w:rFonts w:ascii="Arial" w:hAnsi="Arial" w:cs="Arial"/>
        </w:rPr>
        <w:lastRenderedPageBreak/>
        <w:t xml:space="preserve">inscripción del </w:t>
      </w:r>
      <w:r w:rsidR="00527ACF" w:rsidRPr="001334D8">
        <w:rPr>
          <w:rFonts w:ascii="Arial" w:hAnsi="Arial" w:cs="Arial"/>
        </w:rPr>
        <w:t>RUP</w:t>
      </w:r>
      <w:r w:rsidRPr="001334D8">
        <w:rPr>
          <w:rFonts w:ascii="Arial" w:hAnsi="Arial" w:cs="Arial"/>
        </w:rPr>
        <w:t>, contra el cual cualquier persona podrá interponer recurso de reposición dentro de los diez (10) días hábiles siguientes contados a partir de su publicación</w:t>
      </w:r>
      <w:r w:rsidRPr="001334D8">
        <w:rPr>
          <w:rStyle w:val="Refdenotaalpie"/>
          <w:rFonts w:ascii="Arial" w:hAnsi="Arial" w:cs="Arial"/>
        </w:rPr>
        <w:footnoteReference w:id="11"/>
      </w:r>
      <w:r w:rsidRPr="001334D8">
        <w:rPr>
          <w:rFonts w:ascii="Arial" w:hAnsi="Arial" w:cs="Arial"/>
        </w:rPr>
        <w:t xml:space="preserve"> –posibilidad aplicable frente a la </w:t>
      </w:r>
      <w:r w:rsidRPr="001334D8">
        <w:rPr>
          <w:rFonts w:ascii="Arial" w:hAnsi="Arial" w:cs="Arial"/>
          <w:i/>
          <w:iCs/>
        </w:rPr>
        <w:t>inscripción, renovación o actualización</w:t>
      </w:r>
      <w:r w:rsidRPr="001334D8">
        <w:rPr>
          <w:rFonts w:ascii="Arial" w:hAnsi="Arial" w:cs="Arial"/>
        </w:rPr>
        <w:t>–. En firme el acto administrativo que realiza la inscripción en el R</w:t>
      </w:r>
      <w:r w:rsidR="001647ED" w:rsidRPr="001334D8">
        <w:rPr>
          <w:rFonts w:ascii="Arial" w:hAnsi="Arial" w:cs="Arial"/>
        </w:rPr>
        <w:t>U</w:t>
      </w:r>
      <w:r w:rsidRPr="001334D8">
        <w:rPr>
          <w:rFonts w:ascii="Arial" w:hAnsi="Arial" w:cs="Arial"/>
        </w:rPr>
        <w:t>P se podrá demandar su nulidad sin que la presentación de la demanda suspenda la inscripción del RUP.</w:t>
      </w:r>
    </w:p>
    <w:p w14:paraId="3D7A6B1A" w14:textId="654A043C" w:rsidR="00783C39" w:rsidRPr="001334D8" w:rsidRDefault="00783C39" w:rsidP="00594158">
      <w:pPr>
        <w:spacing w:after="0" w:line="276" w:lineRule="auto"/>
        <w:ind w:firstLine="709"/>
        <w:jc w:val="both"/>
        <w:rPr>
          <w:rFonts w:ascii="Arial" w:eastAsia="Calibri" w:hAnsi="Arial" w:cs="Arial"/>
        </w:rPr>
      </w:pPr>
      <w:r w:rsidRPr="001334D8">
        <w:rPr>
          <w:rFonts w:ascii="Arial" w:hAnsi="Arial" w:cs="Arial"/>
          <w:bdr w:val="none" w:sz="0" w:space="0" w:color="auto" w:frame="1"/>
          <w:shd w:val="clear" w:color="auto" w:fill="FFFFFF"/>
          <w:lang w:val="es-ES_tradnl" w:eastAsia="es-ES_tradnl"/>
        </w:rPr>
        <w:t>De otra parte, el artículo 2.2.1.1.1.5.1. del Decreto 1082 de 2015 impone el deber a las personas inscritas en el RUP de presentar la información para renovar su registro a más tardar el quinto día hábil del mes de abril de cada año, so pena de que cesen los efectos del RUP</w:t>
      </w:r>
      <w:r w:rsidRPr="001334D8">
        <w:rPr>
          <w:rFonts w:ascii="Arial" w:hAnsi="Arial" w:cs="Arial"/>
          <w:bdr w:val="none" w:sz="0" w:space="0" w:color="auto" w:frame="1"/>
          <w:shd w:val="clear" w:color="auto" w:fill="FFFFFF"/>
          <w:vertAlign w:val="superscript"/>
          <w:lang w:eastAsia="es-ES_tradnl"/>
        </w:rPr>
        <w:footnoteReference w:id="12"/>
      </w:r>
      <w:r w:rsidRPr="001334D8">
        <w:rPr>
          <w:rFonts w:ascii="Arial" w:hAnsi="Arial" w:cs="Arial"/>
          <w:bdr w:val="none" w:sz="0" w:space="0" w:color="auto" w:frame="1"/>
          <w:shd w:val="clear" w:color="auto" w:fill="FFFFFF"/>
          <w:lang w:val="es-ES_tradnl" w:eastAsia="es-ES_tradnl"/>
        </w:rPr>
        <w:t xml:space="preserve">. </w:t>
      </w:r>
      <w:r w:rsidRPr="001334D8">
        <w:rPr>
          <w:rFonts w:ascii="Arial" w:eastAsia="Calibri" w:hAnsi="Arial" w:cs="Arial"/>
        </w:rPr>
        <w:t>Respecto a la finalidad de la renovación del RUP y las consecuencias de no hacerlo en el término previsto, el Consejo de Estado</w:t>
      </w:r>
      <w:r w:rsidR="00647759" w:rsidRPr="001334D8">
        <w:rPr>
          <w:rFonts w:ascii="Arial" w:eastAsia="Calibri" w:hAnsi="Arial" w:cs="Arial"/>
        </w:rPr>
        <w:t>,</w:t>
      </w:r>
      <w:r w:rsidRPr="001334D8">
        <w:rPr>
          <w:rFonts w:ascii="Arial" w:eastAsia="Calibri" w:hAnsi="Arial" w:cs="Arial"/>
        </w:rPr>
        <w:t xml:space="preserve"> en sentencia del 19 de septiembre de 2019</w:t>
      </w:r>
      <w:r w:rsidR="00647759" w:rsidRPr="001334D8">
        <w:rPr>
          <w:rFonts w:ascii="Arial" w:eastAsia="Calibri" w:hAnsi="Arial" w:cs="Arial"/>
        </w:rPr>
        <w:t>,</w:t>
      </w:r>
      <w:r w:rsidRPr="001334D8">
        <w:rPr>
          <w:rFonts w:ascii="Arial" w:eastAsia="Calibri" w:hAnsi="Arial" w:cs="Arial"/>
        </w:rPr>
        <w:t xml:space="preserve"> señaló:</w:t>
      </w:r>
    </w:p>
    <w:p w14:paraId="54A945E2" w14:textId="77777777" w:rsidR="00594158" w:rsidRPr="001334D8" w:rsidRDefault="00594158" w:rsidP="00193C39">
      <w:pPr>
        <w:spacing w:after="0" w:line="276" w:lineRule="auto"/>
        <w:ind w:firstLine="709"/>
        <w:jc w:val="both"/>
        <w:rPr>
          <w:rFonts w:ascii="Arial" w:eastAsia="Calibri" w:hAnsi="Arial" w:cs="Arial"/>
        </w:rPr>
      </w:pPr>
    </w:p>
    <w:p w14:paraId="69A3D12B" w14:textId="0BC4114D" w:rsidR="00783C39" w:rsidRPr="001334D8" w:rsidRDefault="00783C39" w:rsidP="00594158">
      <w:pPr>
        <w:tabs>
          <w:tab w:val="left" w:pos="567"/>
        </w:tabs>
        <w:spacing w:after="0" w:line="240" w:lineRule="auto"/>
        <w:ind w:left="709" w:right="709"/>
        <w:contextualSpacing/>
        <w:jc w:val="both"/>
        <w:rPr>
          <w:rFonts w:ascii="Arial" w:hAnsi="Arial" w:cs="Arial"/>
          <w:sz w:val="21"/>
          <w:szCs w:val="21"/>
        </w:rPr>
      </w:pPr>
      <w:r w:rsidRPr="001334D8">
        <w:rPr>
          <w:rFonts w:ascii="Arial" w:hAnsi="Arial" w:cs="Arial"/>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7BD87430" w14:textId="77777777" w:rsidR="00594158" w:rsidRPr="001334D8" w:rsidRDefault="00594158" w:rsidP="00193C39">
      <w:pPr>
        <w:tabs>
          <w:tab w:val="left" w:pos="567"/>
        </w:tabs>
        <w:spacing w:after="0" w:line="240" w:lineRule="auto"/>
        <w:ind w:left="709" w:right="709"/>
        <w:contextualSpacing/>
        <w:jc w:val="both"/>
        <w:rPr>
          <w:rFonts w:ascii="Arial" w:hAnsi="Arial" w:cs="Arial"/>
          <w:sz w:val="21"/>
          <w:szCs w:val="21"/>
        </w:rPr>
      </w:pPr>
    </w:p>
    <w:p w14:paraId="252B1F1F" w14:textId="6279AE72" w:rsidR="00783C39" w:rsidRPr="001334D8" w:rsidRDefault="00783C39" w:rsidP="00594158">
      <w:pPr>
        <w:tabs>
          <w:tab w:val="left" w:pos="567"/>
        </w:tabs>
        <w:spacing w:after="0" w:line="240" w:lineRule="auto"/>
        <w:ind w:left="709" w:right="709"/>
        <w:contextualSpacing/>
        <w:jc w:val="both"/>
        <w:rPr>
          <w:rFonts w:ascii="Arial" w:hAnsi="Arial" w:cs="Arial"/>
          <w:sz w:val="21"/>
          <w:szCs w:val="21"/>
        </w:rPr>
      </w:pPr>
      <w:r w:rsidRPr="001334D8">
        <w:rPr>
          <w:rFonts w:ascii="Arial" w:hAnsi="Arial" w:cs="Arial"/>
          <w:sz w:val="21"/>
          <w:szCs w:val="21"/>
        </w:rPr>
        <w:lastRenderedPageBreak/>
        <w:t xml:space="preserve">Ante ese panorama, </w:t>
      </w:r>
      <w:bookmarkStart w:id="7" w:name="_Hlk20983873"/>
      <w:r w:rsidRPr="001334D8">
        <w:rPr>
          <w:rFonts w:ascii="Arial" w:hAnsi="Arial" w:cs="Arial"/>
          <w:sz w:val="21"/>
          <w:szCs w:val="21"/>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1334D8">
        <w:rPr>
          <w:rStyle w:val="Refdenotaalpie"/>
          <w:rFonts w:ascii="Arial" w:hAnsi="Arial" w:cs="Arial"/>
          <w:sz w:val="21"/>
          <w:szCs w:val="21"/>
        </w:rPr>
        <w:footnoteReference w:id="13"/>
      </w:r>
      <w:r w:rsidRPr="001334D8">
        <w:rPr>
          <w:rFonts w:ascii="Arial" w:hAnsi="Arial" w:cs="Arial"/>
          <w:sz w:val="21"/>
          <w:szCs w:val="21"/>
        </w:rPr>
        <w:t xml:space="preserve">.  </w:t>
      </w:r>
    </w:p>
    <w:p w14:paraId="71263F53" w14:textId="77777777" w:rsidR="00594158" w:rsidRPr="001334D8" w:rsidRDefault="00594158" w:rsidP="00193C39">
      <w:pPr>
        <w:tabs>
          <w:tab w:val="left" w:pos="567"/>
        </w:tabs>
        <w:spacing w:after="0" w:line="240" w:lineRule="auto"/>
        <w:ind w:left="709" w:right="709"/>
        <w:contextualSpacing/>
        <w:jc w:val="both"/>
        <w:rPr>
          <w:rFonts w:ascii="Arial" w:hAnsi="Arial" w:cs="Arial"/>
          <w:sz w:val="21"/>
          <w:szCs w:val="21"/>
        </w:rPr>
      </w:pPr>
    </w:p>
    <w:bookmarkEnd w:id="7"/>
    <w:p w14:paraId="2AF39FEF" w14:textId="626652D8" w:rsidR="00783C39" w:rsidRPr="001334D8" w:rsidRDefault="00E54BD1" w:rsidP="00B16523">
      <w:pPr>
        <w:spacing w:after="120" w:line="276" w:lineRule="auto"/>
        <w:jc w:val="both"/>
        <w:rPr>
          <w:rFonts w:ascii="Arial" w:eastAsia="Calibri" w:hAnsi="Arial" w:cs="Arial"/>
        </w:rPr>
      </w:pPr>
      <w:r w:rsidRPr="001334D8">
        <w:rPr>
          <w:rFonts w:ascii="Arial" w:eastAsia="Calibri" w:hAnsi="Arial" w:cs="Arial"/>
        </w:rPr>
        <w:tab/>
      </w:r>
      <w:r w:rsidR="00783C39" w:rsidRPr="001334D8">
        <w:rPr>
          <w:rFonts w:ascii="Arial" w:eastAsia="Calibri" w:hAnsi="Arial" w:cs="Arial"/>
        </w:rPr>
        <w:t xml:space="preserve">Conforme a lo anterior, y en armonía con lo señalado en el artículo 2.2.1.1.1.5.1. del Decreto 1082 de 2015, </w:t>
      </w:r>
      <w:r w:rsidR="00783C39" w:rsidRPr="001334D8">
        <w:rPr>
          <w:rFonts w:ascii="Arial" w:eastAsia="Calibri" w:hAnsi="Arial" w:cs="Arial"/>
          <w:iCs/>
        </w:rPr>
        <w:t>si el proponente no presenta la información para renovar su registro antes del quinto día hábil del mes de abril de cada año, cesarán los efecto</w:t>
      </w:r>
      <w:r w:rsidR="00783C39" w:rsidRPr="001334D8">
        <w:rPr>
          <w:rFonts w:ascii="Arial" w:eastAsia="Calibri" w:hAnsi="Arial" w:cs="Arial"/>
        </w:rPr>
        <w:t>s del RUP. Lo anterior implica que el proponente que no cumpla con la carga indicada no podrá presentarse a los procedimientos de selección adelantados por las entidades públicas sometidas a la Ley 80 de 1993, en los casos que es necesario estar inscrito en el RUP, porque no tendría la capacidad para hacerlo</w:t>
      </w:r>
      <w:r w:rsidR="000F11CC" w:rsidRPr="001334D8">
        <w:rPr>
          <w:rFonts w:ascii="Arial" w:eastAsia="Calibri" w:hAnsi="Arial" w:cs="Arial"/>
        </w:rPr>
        <w:t>. P</w:t>
      </w:r>
      <w:r w:rsidR="00783C39" w:rsidRPr="001334D8">
        <w:rPr>
          <w:rFonts w:ascii="Arial" w:eastAsia="Calibri" w:hAnsi="Arial" w:cs="Arial"/>
        </w:rPr>
        <w:t xml:space="preserve">or tanto, tendría que inscribirse nuevamente, caso en el cual, solo se podría presentar </w:t>
      </w:r>
      <w:r w:rsidR="009E6762" w:rsidRPr="001334D8">
        <w:rPr>
          <w:rFonts w:ascii="Arial" w:eastAsia="Calibri" w:hAnsi="Arial" w:cs="Arial"/>
        </w:rPr>
        <w:t xml:space="preserve">al proceso de contratación </w:t>
      </w:r>
      <w:r w:rsidR="00783C39" w:rsidRPr="001334D8">
        <w:rPr>
          <w:rFonts w:ascii="Arial" w:eastAsia="Calibri" w:hAnsi="Arial" w:cs="Arial"/>
        </w:rPr>
        <w:t xml:space="preserve">cuando la inscripción esté en firme. </w:t>
      </w:r>
    </w:p>
    <w:p w14:paraId="5F4B68DE" w14:textId="24C8C45F" w:rsidR="00783C39" w:rsidRPr="001334D8" w:rsidRDefault="00EF44D6" w:rsidP="00B16523">
      <w:pPr>
        <w:spacing w:after="120" w:line="276" w:lineRule="auto"/>
        <w:ind w:firstLine="708"/>
        <w:jc w:val="both"/>
        <w:rPr>
          <w:rFonts w:ascii="Arial" w:eastAsia="Calibri" w:hAnsi="Arial" w:cs="Arial"/>
        </w:rPr>
      </w:pPr>
      <w:r w:rsidRPr="001334D8">
        <w:rPr>
          <w:rFonts w:ascii="Arial" w:eastAsia="Calibri" w:hAnsi="Arial" w:cs="Arial"/>
        </w:rPr>
        <w:t xml:space="preserve">Esta Agencia ha indicado que, </w:t>
      </w:r>
      <w:r w:rsidRPr="001334D8">
        <w:rPr>
          <w:rFonts w:ascii="Arial" w:hAnsi="Arial" w:cs="Arial"/>
        </w:rPr>
        <w:t>t</w:t>
      </w:r>
      <w:r w:rsidR="00783C39" w:rsidRPr="001334D8">
        <w:rPr>
          <w:rFonts w:ascii="Arial" w:hAnsi="Arial" w:cs="Arial"/>
        </w:rPr>
        <w:t xml:space="preserve">ratándose del trámite de </w:t>
      </w:r>
      <w:r w:rsidR="00783C39" w:rsidRPr="001334D8">
        <w:rPr>
          <w:rFonts w:ascii="Arial" w:hAnsi="Arial" w:cs="Arial"/>
          <w:i/>
          <w:iCs/>
        </w:rPr>
        <w:t>renovación,</w:t>
      </w:r>
      <w:r w:rsidR="00783C39" w:rsidRPr="001334D8">
        <w:rPr>
          <w:rFonts w:ascii="Arial" w:hAnsi="Arial" w:cs="Arial"/>
        </w:rPr>
        <w:t xml:space="preserve"> </w:t>
      </w:r>
      <w:r w:rsidR="00783C39" w:rsidRPr="001334D8">
        <w:rPr>
          <w:rFonts w:ascii="Arial" w:eastAsia="Calibri" w:hAnsi="Arial" w:cs="Arial"/>
        </w:rPr>
        <w:t xml:space="preserve">la persona que </w:t>
      </w:r>
      <w:r w:rsidR="008617F1" w:rsidRPr="001334D8">
        <w:rPr>
          <w:rFonts w:ascii="Arial" w:eastAsia="Calibri" w:hAnsi="Arial" w:cs="Arial"/>
        </w:rPr>
        <w:t xml:space="preserve">haya presentado </w:t>
      </w:r>
      <w:r w:rsidR="00783C39" w:rsidRPr="001334D8">
        <w:rPr>
          <w:rFonts w:ascii="Arial" w:eastAsia="Calibri" w:hAnsi="Arial" w:cs="Arial"/>
        </w:rPr>
        <w:t xml:space="preserve">la información para renovar su registro antes del quinto día hábil de abril de cada año o en la fecha que para tal fin se indique en la normativa vigente, cumpliendo el requisito </w:t>
      </w:r>
      <w:r w:rsidR="0002586C" w:rsidRPr="001334D8">
        <w:rPr>
          <w:rFonts w:ascii="Arial" w:eastAsia="Calibri" w:hAnsi="Arial" w:cs="Arial"/>
        </w:rPr>
        <w:t xml:space="preserve">establecido en el </w:t>
      </w:r>
      <w:r w:rsidR="00783C39" w:rsidRPr="001334D8">
        <w:rPr>
          <w:rFonts w:ascii="Arial" w:eastAsia="Calibri" w:hAnsi="Arial" w:cs="Arial"/>
        </w:rPr>
        <w:t>artículo 2.2.1.1.1.5.1., y aun cuando la renovación no esté en firme, es decir, mientras esté en trámite el proceso de renovación, puede participar en los procedimientos de selección, debiéndose tener en cuenta la información «antigua»</w:t>
      </w:r>
      <w:r w:rsidR="007844A9" w:rsidRPr="001334D8">
        <w:rPr>
          <w:rFonts w:ascii="Arial" w:eastAsia="Calibri" w:hAnsi="Arial" w:cs="Arial"/>
        </w:rPr>
        <w:t>. De esta</w:t>
      </w:r>
      <w:r w:rsidR="00783C39" w:rsidRPr="001334D8">
        <w:rPr>
          <w:rFonts w:ascii="Arial" w:eastAsia="Calibri" w:hAnsi="Arial" w:cs="Arial"/>
        </w:rPr>
        <w:t xml:space="preserve"> manera</w:t>
      </w:r>
      <w:r w:rsidR="007844A9" w:rsidRPr="001334D8">
        <w:rPr>
          <w:rFonts w:ascii="Arial" w:eastAsia="Calibri" w:hAnsi="Arial" w:cs="Arial"/>
        </w:rPr>
        <w:t xml:space="preserve">, </w:t>
      </w:r>
      <w:r w:rsidR="00783C39" w:rsidRPr="001334D8">
        <w:rPr>
          <w:rFonts w:ascii="Arial" w:eastAsia="Calibri" w:hAnsi="Arial" w:cs="Arial"/>
        </w:rPr>
        <w:t xml:space="preserve">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w:t>
      </w:r>
      <w:r w:rsidR="00783C39" w:rsidRPr="001334D8">
        <w:rPr>
          <w:rFonts w:ascii="Arial" w:eastAsia="Calibri" w:hAnsi="Arial" w:cs="Arial"/>
        </w:rPr>
        <w:lastRenderedPageBreak/>
        <w:t>cierre del proceso», por lo que la evaluación se realizará con la información del RUP en firme antes del cierre, independientemente de que la nueva información favorezca o perjudique al proponente.</w:t>
      </w:r>
    </w:p>
    <w:p w14:paraId="6B0303B5" w14:textId="4C70AA14" w:rsidR="00783C39" w:rsidRPr="001334D8" w:rsidRDefault="00783C39" w:rsidP="00B16523">
      <w:pPr>
        <w:spacing w:before="120" w:after="0" w:line="276" w:lineRule="auto"/>
        <w:ind w:firstLine="709"/>
        <w:jc w:val="both"/>
        <w:rPr>
          <w:rFonts w:ascii="Arial" w:hAnsi="Arial" w:cs="Arial"/>
          <w:bdr w:val="none" w:sz="0" w:space="0" w:color="auto" w:frame="1"/>
          <w:shd w:val="clear" w:color="auto" w:fill="FFFFFF"/>
          <w:lang w:val="es-ES_tradnl" w:eastAsia="es-ES_tradnl"/>
        </w:rPr>
      </w:pPr>
      <w:r w:rsidRPr="001334D8">
        <w:rPr>
          <w:rFonts w:ascii="Arial" w:hAnsi="Arial" w:cs="Arial"/>
          <w:bdr w:val="none" w:sz="0" w:space="0" w:color="auto" w:frame="1"/>
          <w:shd w:val="clear" w:color="auto" w:fill="FFFFFF"/>
          <w:lang w:val="es-ES_tradnl" w:eastAsia="es-ES_tradnl"/>
        </w:rPr>
        <w:t>En conclusión, si las personas inscritas en el RUP no presentan la información para la renovación del registro a más tardar el quinto día del mes de abril de cada año, o en la fecha prevista en la normativa vigente, cesarán los efectos del RUP. Al cesar estos efectos, la persona no puede presentarse a procesos de selección en los que sea obligatorio el registro, porque carecería de capacidad para hacerlo y deberá inscribirse nuevamente</w:t>
      </w:r>
      <w:r w:rsidRPr="001334D8" w:rsidDel="00165FE7">
        <w:rPr>
          <w:rFonts w:ascii="Arial" w:hAnsi="Arial" w:cs="Arial"/>
          <w:bdr w:val="none" w:sz="0" w:space="0" w:color="auto" w:frame="1"/>
          <w:shd w:val="clear" w:color="auto" w:fill="FFFFFF"/>
          <w:lang w:val="es-ES_tradnl" w:eastAsia="es-ES_tradnl"/>
        </w:rPr>
        <w:t xml:space="preserve"> </w:t>
      </w:r>
      <w:r w:rsidRPr="001334D8">
        <w:rPr>
          <w:rFonts w:ascii="Arial" w:hAnsi="Arial" w:cs="Arial"/>
          <w:bdr w:val="none" w:sz="0" w:space="0" w:color="auto" w:frame="1"/>
          <w:shd w:val="clear" w:color="auto" w:fill="FFFFFF"/>
          <w:lang w:val="es-ES_tradnl" w:eastAsia="es-ES_tradnl"/>
        </w:rPr>
        <w:t xml:space="preserve">por falta de renovación oportuna, caso en el cual solo podrá presentarse cuando la inscripción esté en firme. </w:t>
      </w:r>
    </w:p>
    <w:p w14:paraId="1939A2FA" w14:textId="4430AE9E" w:rsidR="00EF44D6" w:rsidRPr="001334D8" w:rsidRDefault="00EF44D6" w:rsidP="00193C39">
      <w:pPr>
        <w:spacing w:before="120" w:after="0" w:line="276" w:lineRule="auto"/>
        <w:ind w:firstLine="709"/>
        <w:jc w:val="both"/>
        <w:rPr>
          <w:rFonts w:ascii="Arial" w:hAnsi="Arial" w:cs="Arial"/>
          <w:bdr w:val="none" w:sz="0" w:space="0" w:color="auto" w:frame="1"/>
          <w:shd w:val="clear" w:color="auto" w:fill="FFFFFF"/>
          <w:lang w:val="es-ES_tradnl" w:eastAsia="es-ES_tradnl"/>
        </w:rPr>
      </w:pPr>
      <w:r w:rsidRPr="001334D8">
        <w:rPr>
          <w:rFonts w:ascii="Arial" w:eastAsia="Calibri" w:hAnsi="Arial" w:cs="Arial"/>
        </w:rPr>
        <w:t xml:space="preserve">Conforme a lo anterior, de cara a la consulta planteada debe señalarse que, </w:t>
      </w:r>
      <w:r w:rsidR="004E5C7D" w:rsidRPr="001334D8">
        <w:rPr>
          <w:rFonts w:ascii="Arial" w:eastAsia="Calibri" w:hAnsi="Arial" w:cs="Arial"/>
        </w:rPr>
        <w:t xml:space="preserve">si la persona jurídica </w:t>
      </w:r>
      <w:r w:rsidR="00263773" w:rsidRPr="001334D8">
        <w:rPr>
          <w:rFonts w:ascii="Arial" w:eastAsia="Calibri" w:hAnsi="Arial" w:cs="Arial"/>
        </w:rPr>
        <w:t>supera lo</w:t>
      </w:r>
      <w:r w:rsidR="00C90629" w:rsidRPr="001334D8">
        <w:rPr>
          <w:rFonts w:ascii="Arial" w:eastAsia="Calibri" w:hAnsi="Arial" w:cs="Arial"/>
        </w:rPr>
        <w:t>s</w:t>
      </w:r>
      <w:r w:rsidR="00263773" w:rsidRPr="001334D8">
        <w:rPr>
          <w:rFonts w:ascii="Arial" w:eastAsia="Calibri" w:hAnsi="Arial" w:cs="Arial"/>
        </w:rPr>
        <w:t xml:space="preserve"> 3 años</w:t>
      </w:r>
      <w:r w:rsidR="00C90629" w:rsidRPr="001334D8">
        <w:rPr>
          <w:rFonts w:ascii="Arial" w:eastAsia="Calibri" w:hAnsi="Arial" w:cs="Arial"/>
        </w:rPr>
        <w:t xml:space="preserve"> de constitución</w:t>
      </w:r>
      <w:r w:rsidR="00263773" w:rsidRPr="001334D8">
        <w:rPr>
          <w:rFonts w:ascii="Arial" w:eastAsia="Calibri" w:hAnsi="Arial" w:cs="Arial"/>
        </w:rPr>
        <w:t xml:space="preserve"> </w:t>
      </w:r>
      <w:r w:rsidRPr="001334D8">
        <w:rPr>
          <w:rFonts w:ascii="Arial" w:eastAsia="Calibri" w:hAnsi="Arial" w:cs="Arial"/>
        </w:rPr>
        <w:t>no cumpl</w:t>
      </w:r>
      <w:r w:rsidR="00C90629" w:rsidRPr="001334D8">
        <w:rPr>
          <w:rFonts w:ascii="Arial" w:eastAsia="Calibri" w:hAnsi="Arial" w:cs="Arial"/>
        </w:rPr>
        <w:t>e</w:t>
      </w:r>
      <w:r w:rsidRPr="001334D8">
        <w:rPr>
          <w:rFonts w:ascii="Arial" w:eastAsia="Calibri" w:hAnsi="Arial" w:cs="Arial"/>
        </w:rPr>
        <w:t xml:space="preserve"> con el deber de actualización del RUP</w:t>
      </w:r>
      <w:r w:rsidR="00C90629" w:rsidRPr="001334D8">
        <w:rPr>
          <w:rFonts w:ascii="Arial" w:eastAsia="Calibri" w:hAnsi="Arial" w:cs="Arial"/>
        </w:rPr>
        <w:t>, en los términos expuestos,</w:t>
      </w:r>
      <w:r w:rsidRPr="001334D8">
        <w:rPr>
          <w:rFonts w:ascii="Arial" w:eastAsia="Calibri" w:hAnsi="Arial" w:cs="Arial"/>
        </w:rPr>
        <w:t xml:space="preserve"> no puede continuar </w:t>
      </w:r>
      <w:r w:rsidR="00377237" w:rsidRPr="001334D8">
        <w:rPr>
          <w:rFonts w:ascii="Arial" w:eastAsia="Calibri" w:hAnsi="Arial" w:cs="Arial"/>
        </w:rPr>
        <w:t xml:space="preserve">acreditando como experiencia aquella aportada por sus socios, en </w:t>
      </w:r>
      <w:r w:rsidRPr="001334D8">
        <w:rPr>
          <w:rFonts w:ascii="Arial" w:eastAsia="Calibri" w:hAnsi="Arial" w:cs="Arial"/>
        </w:rPr>
        <w:t>la medida que el incumplimiento de</w:t>
      </w:r>
      <w:r w:rsidR="00F11A03" w:rsidRPr="001334D8">
        <w:rPr>
          <w:rFonts w:ascii="Arial" w:eastAsia="Calibri" w:hAnsi="Arial" w:cs="Arial"/>
        </w:rPr>
        <w:t xml:space="preserve"> </w:t>
      </w:r>
      <w:r w:rsidRPr="001334D8">
        <w:rPr>
          <w:rFonts w:ascii="Arial" w:eastAsia="Calibri" w:hAnsi="Arial" w:cs="Arial"/>
        </w:rPr>
        <w:t>l</w:t>
      </w:r>
      <w:r w:rsidR="00F11A03" w:rsidRPr="001334D8">
        <w:rPr>
          <w:rFonts w:ascii="Arial" w:eastAsia="Calibri" w:hAnsi="Arial" w:cs="Arial"/>
        </w:rPr>
        <w:t xml:space="preserve">a obligación de actualización del RUP </w:t>
      </w:r>
      <w:r w:rsidRPr="001334D8">
        <w:rPr>
          <w:rFonts w:ascii="Arial" w:eastAsia="Calibri" w:hAnsi="Arial" w:cs="Arial"/>
        </w:rPr>
        <w:t xml:space="preserve">hará cesar </w:t>
      </w:r>
      <w:r w:rsidR="00F11A03" w:rsidRPr="001334D8">
        <w:rPr>
          <w:rFonts w:ascii="Arial" w:eastAsia="Calibri" w:hAnsi="Arial" w:cs="Arial"/>
        </w:rPr>
        <w:t>sus</w:t>
      </w:r>
      <w:r w:rsidRPr="001334D8">
        <w:rPr>
          <w:rFonts w:ascii="Arial" w:eastAsia="Calibri" w:hAnsi="Arial" w:cs="Arial"/>
        </w:rPr>
        <w:t xml:space="preserve"> efectos y, en consecuencia, deberá inscribirse nuevamente. Si </w:t>
      </w:r>
      <w:r w:rsidR="00D917CB" w:rsidRPr="001334D8">
        <w:rPr>
          <w:rFonts w:ascii="Arial" w:eastAsia="Calibri" w:hAnsi="Arial" w:cs="Arial"/>
        </w:rPr>
        <w:t>la persona jurídica</w:t>
      </w:r>
      <w:r w:rsidRPr="001334D8">
        <w:rPr>
          <w:rFonts w:ascii="Arial" w:eastAsia="Calibri" w:hAnsi="Arial" w:cs="Arial"/>
        </w:rPr>
        <w:t xml:space="preserve"> debe inscribirse </w:t>
      </w:r>
      <w:r w:rsidR="00D917CB" w:rsidRPr="001334D8">
        <w:rPr>
          <w:rFonts w:ascii="Arial" w:eastAsia="Calibri" w:hAnsi="Arial" w:cs="Arial"/>
        </w:rPr>
        <w:t>nuevamente al RUP</w:t>
      </w:r>
      <w:r w:rsidRPr="001334D8">
        <w:rPr>
          <w:rFonts w:ascii="Arial" w:eastAsia="Calibri" w:hAnsi="Arial" w:cs="Arial"/>
        </w:rPr>
        <w:t xml:space="preserve"> transcurridos los tres años de constituida ya no estará dentro del supuesto de hecho que consagra la parte final del numeral 2.5 del artículo en mención.</w:t>
      </w:r>
    </w:p>
    <w:p w14:paraId="4253FB98" w14:textId="77777777" w:rsidR="0066787D" w:rsidRPr="001334D8" w:rsidRDefault="0066787D" w:rsidP="00193C39">
      <w:pPr>
        <w:widowControl w:val="0"/>
        <w:autoSpaceDE w:val="0"/>
        <w:autoSpaceDN w:val="0"/>
        <w:spacing w:after="0" w:line="276" w:lineRule="auto"/>
        <w:contextualSpacing/>
        <w:rPr>
          <w:rFonts w:ascii="Arial" w:eastAsia="Arial" w:hAnsi="Arial" w:cs="Arial"/>
          <w:b/>
          <w:lang w:val="es-ES"/>
        </w:rPr>
      </w:pPr>
    </w:p>
    <w:p w14:paraId="4F018E6B" w14:textId="77777777" w:rsidR="00171EA4" w:rsidRPr="001334D8" w:rsidRDefault="00171EA4" w:rsidP="00193C39">
      <w:pPr>
        <w:spacing w:after="0" w:line="276" w:lineRule="auto"/>
        <w:contextualSpacing/>
        <w:jc w:val="both"/>
        <w:rPr>
          <w:rFonts w:ascii="Arial" w:eastAsia="Calibri" w:hAnsi="Arial" w:cs="Arial"/>
          <w:iCs/>
          <w:lang w:val="es-MX"/>
        </w:rPr>
      </w:pPr>
    </w:p>
    <w:p w14:paraId="3C12FBFC" w14:textId="6130FEA5" w:rsidR="005F2C99" w:rsidRPr="001334D8" w:rsidRDefault="005F2C99" w:rsidP="00DA0C14">
      <w:pPr>
        <w:spacing w:after="0" w:line="276" w:lineRule="auto"/>
        <w:contextualSpacing/>
        <w:jc w:val="both"/>
        <w:rPr>
          <w:rFonts w:ascii="Arial" w:eastAsia="Calibri" w:hAnsi="Arial" w:cs="Arial"/>
          <w:b/>
        </w:rPr>
      </w:pPr>
      <w:r w:rsidRPr="001334D8">
        <w:rPr>
          <w:rFonts w:ascii="Arial" w:eastAsia="Calibri" w:hAnsi="Arial" w:cs="Arial"/>
          <w:b/>
        </w:rPr>
        <w:t>3. Respuesta</w:t>
      </w:r>
    </w:p>
    <w:p w14:paraId="3DD1F19D" w14:textId="77777777" w:rsidR="00E4626C" w:rsidRPr="001334D8" w:rsidRDefault="00E4626C" w:rsidP="00193C39">
      <w:pPr>
        <w:spacing w:after="0" w:line="276" w:lineRule="auto"/>
        <w:ind w:left="709"/>
        <w:contextualSpacing/>
        <w:jc w:val="both"/>
        <w:rPr>
          <w:rFonts w:ascii="Arial" w:eastAsia="Calibri" w:hAnsi="Arial" w:cs="Arial"/>
          <w:b/>
        </w:rPr>
      </w:pPr>
    </w:p>
    <w:p w14:paraId="1B59A484" w14:textId="18F352D1" w:rsidR="00FF2682" w:rsidRPr="001334D8" w:rsidRDefault="00FF2682" w:rsidP="00193C39">
      <w:pPr>
        <w:spacing w:after="0" w:line="240" w:lineRule="auto"/>
        <w:ind w:left="709" w:right="709"/>
        <w:contextualSpacing/>
        <w:jc w:val="both"/>
        <w:rPr>
          <w:rFonts w:ascii="Arial" w:hAnsi="Arial" w:cs="Arial"/>
          <w:sz w:val="21"/>
          <w:szCs w:val="21"/>
        </w:rPr>
      </w:pPr>
      <w:r w:rsidRPr="001334D8">
        <w:rPr>
          <w:rFonts w:ascii="Arial" w:hAnsi="Arial" w:cs="Arial"/>
          <w:sz w:val="21"/>
          <w:szCs w:val="21"/>
        </w:rPr>
        <w:t>«[…]conforme al Principio de Legalidad y al Principio de Igualdad, solicito comedidamente se verifique el alcance del numeral 2.5 del artículo 2.2.1.1.1.5.2. del Decreto 1082 del 2015, conceptuado por esta entidad, y de esta forma, igualmente, se incentive la competencia en la contratación estatal, el desarrollo de la empresa y la pluralidad de oferentes en la contratación pública.»</w:t>
      </w:r>
    </w:p>
    <w:p w14:paraId="49BCD758" w14:textId="77777777" w:rsidR="00E4626C" w:rsidRPr="001334D8" w:rsidRDefault="00E4626C" w:rsidP="00193C39">
      <w:pPr>
        <w:spacing w:after="0" w:line="240" w:lineRule="auto"/>
        <w:ind w:left="709" w:firstLine="709"/>
        <w:contextualSpacing/>
        <w:jc w:val="both"/>
        <w:rPr>
          <w:rFonts w:ascii="Arial" w:hAnsi="Arial" w:cs="Arial"/>
          <w:sz w:val="21"/>
          <w:szCs w:val="21"/>
        </w:rPr>
      </w:pPr>
    </w:p>
    <w:p w14:paraId="10809DCB" w14:textId="2CE1FBFC" w:rsidR="00CE2977" w:rsidRPr="001334D8" w:rsidRDefault="00EF7A5C" w:rsidP="00193C39">
      <w:pPr>
        <w:spacing w:after="120" w:line="276" w:lineRule="auto"/>
        <w:ind w:firstLine="708"/>
        <w:jc w:val="both"/>
        <w:rPr>
          <w:rFonts w:ascii="Arial" w:eastAsia="Calibri" w:hAnsi="Arial" w:cs="Arial"/>
          <w:lang w:val="es-ES"/>
        </w:rPr>
      </w:pPr>
      <w:r w:rsidRPr="001334D8">
        <w:rPr>
          <w:rFonts w:ascii="Arial" w:hAnsi="Arial" w:cs="Arial"/>
          <w:lang w:val="es-ES"/>
        </w:rPr>
        <w:t xml:space="preserve">Conforme a lo expuesto, </w:t>
      </w:r>
      <w:r w:rsidR="00132D36" w:rsidRPr="001334D8">
        <w:rPr>
          <w:rFonts w:ascii="Arial" w:hAnsi="Arial" w:cs="Arial"/>
        </w:rPr>
        <w:t xml:space="preserve">el numeral 2.5 del artículo 2.2.1.1.1.5.2 del Decreto 1082 de 2015, indica, de forma clara, que una sociedad con menos de </w:t>
      </w:r>
      <w:r w:rsidR="00946D88" w:rsidRPr="001334D8">
        <w:rPr>
          <w:rFonts w:ascii="Arial" w:hAnsi="Arial" w:cs="Arial"/>
        </w:rPr>
        <w:t>3</w:t>
      </w:r>
      <w:r w:rsidR="00132D36" w:rsidRPr="001334D8">
        <w:rPr>
          <w:rFonts w:ascii="Arial" w:hAnsi="Arial" w:cs="Arial"/>
        </w:rPr>
        <w:t xml:space="preserve"> años de constituida puede aportar la experiencia de sus accionistas, socios o constituyentes.</w:t>
      </w:r>
      <w:r w:rsidR="009F0C16" w:rsidRPr="001334D8">
        <w:rPr>
          <w:rFonts w:ascii="Arial" w:hAnsi="Arial" w:cs="Arial"/>
        </w:rPr>
        <w:t xml:space="preserve"> </w:t>
      </w:r>
      <w:r w:rsidR="009F0C16" w:rsidRPr="001334D8">
        <w:rPr>
          <w:rFonts w:ascii="Arial" w:eastAsia="Calibri" w:hAnsi="Arial" w:cs="Arial"/>
          <w:lang w:val="es-ES"/>
        </w:rPr>
        <w:t>E</w:t>
      </w:r>
      <w:r w:rsidRPr="001334D8">
        <w:rPr>
          <w:rFonts w:ascii="Arial" w:eastAsia="Calibri" w:hAnsi="Arial" w:cs="Arial"/>
          <w:lang w:val="es-ES"/>
        </w:rPr>
        <w:t xml:space="preserve">n aplicación de la prerrogativa establecida en </w:t>
      </w:r>
      <w:r w:rsidR="009F0C16" w:rsidRPr="001334D8">
        <w:rPr>
          <w:rFonts w:ascii="Arial" w:eastAsia="Calibri" w:hAnsi="Arial" w:cs="Arial"/>
          <w:lang w:val="es-ES"/>
        </w:rPr>
        <w:t>la citada disposición</w:t>
      </w:r>
      <w:r w:rsidRPr="001334D8">
        <w:rPr>
          <w:rFonts w:ascii="Arial" w:eastAsia="Calibri" w:hAnsi="Arial" w:cs="Arial"/>
          <w:lang w:val="es-ES"/>
        </w:rPr>
        <w:t>, las personas jurídicas que hayan inscrito la experiencia de sus socios o accionistas en el RUP pueden seguirla acreditando en los procedimientos de selección, aun después de cumplidos los 3 años de constitución. Esto siempre y cuando no hayan cesado los efectos del RUP por el incumplimiento del deber de renovación.</w:t>
      </w:r>
    </w:p>
    <w:p w14:paraId="7237BC29" w14:textId="77777777" w:rsidR="00D76156" w:rsidRPr="001334D8" w:rsidRDefault="00D76156" w:rsidP="00404C5D">
      <w:pPr>
        <w:spacing w:after="120" w:line="276" w:lineRule="auto"/>
        <w:ind w:firstLine="709"/>
        <w:jc w:val="both"/>
        <w:rPr>
          <w:rFonts w:ascii="Arial" w:hAnsi="Arial" w:cs="Arial"/>
        </w:rPr>
      </w:pPr>
      <w:r w:rsidRPr="001334D8">
        <w:rPr>
          <w:rFonts w:ascii="Arial" w:hAnsi="Arial" w:cs="Arial"/>
        </w:rPr>
        <w:lastRenderedPageBreak/>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110CF564" w14:textId="10034C34" w:rsidR="00CE2977" w:rsidRPr="001334D8" w:rsidRDefault="00CE2977" w:rsidP="00404C5D">
      <w:pPr>
        <w:shd w:val="clear" w:color="auto" w:fill="FFFFFF"/>
        <w:spacing w:after="120" w:line="276" w:lineRule="auto"/>
        <w:ind w:firstLine="709"/>
        <w:jc w:val="both"/>
        <w:rPr>
          <w:rFonts w:ascii="Arial" w:hAnsi="Arial" w:cs="Arial"/>
          <w:lang w:val="es-MX"/>
        </w:rPr>
      </w:pPr>
      <w:r w:rsidRPr="001334D8">
        <w:rPr>
          <w:rFonts w:ascii="Arial" w:eastAsia="Times New Roman" w:hAnsi="Arial" w:cs="Arial"/>
          <w:lang w:eastAsia="es-ES_tradnl"/>
        </w:rPr>
        <w:t>Ahora bien, s</w:t>
      </w:r>
      <w:r w:rsidRPr="001334D8">
        <w:rPr>
          <w:rFonts w:ascii="Arial" w:hAnsi="Arial" w:cs="Arial"/>
          <w:lang w:val="es-MX"/>
        </w:rPr>
        <w:t>i la persona jurídica con menos de 3</w:t>
      </w:r>
      <w:r w:rsidR="001E0DF8" w:rsidRPr="001334D8">
        <w:rPr>
          <w:rFonts w:ascii="Arial" w:hAnsi="Arial" w:cs="Arial"/>
          <w:lang w:val="es-MX"/>
        </w:rPr>
        <w:t xml:space="preserve"> </w:t>
      </w:r>
      <w:r w:rsidRPr="001334D8">
        <w:rPr>
          <w:rFonts w:ascii="Arial" w:hAnsi="Arial" w:cs="Arial"/>
          <w:lang w:val="es-MX"/>
        </w:rPr>
        <w:t xml:space="preserve">años de constituida registra la experiencia de sus socios en el RUP, y éste es renovado constantemente de forma oportuna, puede continuar utilizando la experiencia inscrita mientras no cesen los efectos del RUP, incluso después de transcurridos los 3 años. Por el contrario, si no se renueva y la persona jurídica supera los 3 años de constituida, la experiencia que registró de sus socios no puede ser inscrita nuevamente, puesto que el RUP ha cesado sus efectos y la </w:t>
      </w:r>
      <w:r w:rsidR="008B27DA" w:rsidRPr="001334D8">
        <w:rPr>
          <w:rFonts w:ascii="Arial" w:hAnsi="Arial" w:cs="Arial"/>
          <w:lang w:val="es-MX"/>
        </w:rPr>
        <w:t xml:space="preserve">cámara </w:t>
      </w:r>
      <w:r w:rsidRPr="001334D8">
        <w:rPr>
          <w:rFonts w:ascii="Arial" w:hAnsi="Arial" w:cs="Arial"/>
          <w:lang w:val="es-MX"/>
        </w:rPr>
        <w:t xml:space="preserve">de </w:t>
      </w:r>
      <w:r w:rsidR="008B27DA" w:rsidRPr="001334D8">
        <w:rPr>
          <w:rFonts w:ascii="Arial" w:hAnsi="Arial" w:cs="Arial"/>
          <w:lang w:val="es-MX"/>
        </w:rPr>
        <w:t xml:space="preserve">comercio </w:t>
      </w:r>
      <w:r w:rsidRPr="001334D8">
        <w:rPr>
          <w:rFonts w:ascii="Arial" w:hAnsi="Arial" w:cs="Arial"/>
          <w:lang w:val="es-MX"/>
        </w:rPr>
        <w:t xml:space="preserve">tiene que hacer nuevamente la verificación documental de la información presentada al momento de inscribirse en el registro.  </w:t>
      </w:r>
    </w:p>
    <w:p w14:paraId="0D07C881" w14:textId="067E9975" w:rsidR="00EF70DB" w:rsidRPr="001334D8" w:rsidRDefault="00EF70DB" w:rsidP="00404C5D">
      <w:pPr>
        <w:shd w:val="clear" w:color="auto" w:fill="FFFFFF"/>
        <w:spacing w:after="120" w:line="276" w:lineRule="auto"/>
        <w:ind w:firstLine="709"/>
        <w:jc w:val="both"/>
        <w:rPr>
          <w:rFonts w:ascii="Arial" w:hAnsi="Arial" w:cs="Arial"/>
        </w:rPr>
      </w:pPr>
      <w:r w:rsidRPr="001334D8">
        <w:rPr>
          <w:rFonts w:ascii="Arial" w:hAnsi="Arial" w:cs="Arial"/>
          <w:lang w:val="es-MX"/>
        </w:rPr>
        <w:t xml:space="preserve">Lo anterior, se refuerza si se tiene en cuenta el numeral 4.2. de </w:t>
      </w:r>
      <w:r w:rsidRPr="001334D8">
        <w:rPr>
          <w:rFonts w:ascii="Arial" w:hAnsi="Arial" w:cs="Arial"/>
        </w:rPr>
        <w:t xml:space="preserve">la Circular Única de la Superintendencia de Industria y Comercio, </w:t>
      </w:r>
      <w:r w:rsidR="00225A83" w:rsidRPr="001334D8">
        <w:rPr>
          <w:rFonts w:ascii="Arial" w:hAnsi="Arial" w:cs="Arial"/>
        </w:rPr>
        <w:t>el cual</w:t>
      </w:r>
      <w:r w:rsidRPr="001334D8">
        <w:rPr>
          <w:rFonts w:ascii="Arial" w:hAnsi="Arial" w:cs="Arial"/>
        </w:rPr>
        <w:t xml:space="preserve"> dispone lo siguiente: </w:t>
      </w:r>
      <w:r w:rsidR="00404C5D" w:rsidRPr="001334D8">
        <w:rPr>
          <w:rFonts w:ascii="Arial" w:hAnsi="Arial" w:cs="Arial"/>
        </w:rPr>
        <w:t>«Para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7EF2F5CA" w14:textId="46D99236" w:rsidR="002837D8" w:rsidRPr="001334D8" w:rsidRDefault="008B3501" w:rsidP="00404C5D">
      <w:pPr>
        <w:shd w:val="clear" w:color="auto" w:fill="FFFFFF"/>
        <w:spacing w:after="120" w:line="276" w:lineRule="auto"/>
        <w:ind w:firstLine="709"/>
        <w:jc w:val="both"/>
        <w:rPr>
          <w:rFonts w:ascii="Arial" w:eastAsia="Times New Roman" w:hAnsi="Arial" w:cs="Arial"/>
          <w:lang w:eastAsia="es-ES_tradnl"/>
        </w:rPr>
      </w:pPr>
      <w:r w:rsidRPr="001334D8">
        <w:rPr>
          <w:rFonts w:ascii="Arial" w:eastAsia="Calibri" w:hAnsi="Arial" w:cs="Arial"/>
        </w:rPr>
        <w:t>P</w:t>
      </w:r>
      <w:r w:rsidR="002837D8" w:rsidRPr="001334D8">
        <w:rPr>
          <w:rFonts w:ascii="Arial" w:eastAsia="Calibri" w:hAnsi="Arial" w:cs="Arial"/>
        </w:rPr>
        <w:t>ara verificar que los efectos del RUP no han cesado, es necesario que el certificado contenga la anotación de que el inscrito, a más tardar el quinto día hábil de abril de cada año,</w:t>
      </w:r>
      <w:r w:rsidR="002837D8" w:rsidRPr="001334D8" w:rsidDel="00B14FC4">
        <w:rPr>
          <w:rFonts w:ascii="Arial" w:eastAsia="Calibri" w:hAnsi="Arial" w:cs="Arial"/>
        </w:rPr>
        <w:t xml:space="preserve"> </w:t>
      </w:r>
      <w:r w:rsidR="002837D8" w:rsidRPr="001334D8">
        <w:rPr>
          <w:rFonts w:ascii="Arial" w:eastAsia="Calibri" w:hAnsi="Arial" w:cs="Arial"/>
          <w:i/>
          <w:iCs/>
        </w:rPr>
        <w:t>radicó ante la cámara de comercio los documentos para la renovación</w:t>
      </w:r>
      <w:r w:rsidR="00D51755" w:rsidRPr="001334D8">
        <w:rPr>
          <w:rFonts w:ascii="Arial" w:eastAsia="Calibri" w:hAnsi="Arial" w:cs="Arial"/>
        </w:rPr>
        <w:t xml:space="preserve">, cumpliendo el requisito del artículo 2.2.1.1.1.5.1. del Decreto 1082 de 2015. </w:t>
      </w:r>
    </w:p>
    <w:p w14:paraId="615FE6B7" w14:textId="6D9FA4E7" w:rsidR="00803833" w:rsidRPr="001334D8" w:rsidRDefault="00EF7A5C" w:rsidP="00EB734A">
      <w:pPr>
        <w:spacing w:after="120" w:line="276" w:lineRule="auto"/>
        <w:jc w:val="both"/>
        <w:rPr>
          <w:rFonts w:ascii="Arial" w:eastAsia="Calibri" w:hAnsi="Arial" w:cs="Arial"/>
          <w:bCs/>
        </w:rPr>
      </w:pPr>
      <w:r w:rsidRPr="001334D8">
        <w:rPr>
          <w:rFonts w:ascii="Arial" w:eastAsia="Calibri" w:hAnsi="Arial" w:cs="Arial"/>
          <w:lang w:val="es-ES"/>
        </w:rPr>
        <w:t xml:space="preserve"> </w:t>
      </w:r>
      <w:r w:rsidR="009F0C16" w:rsidRPr="001334D8">
        <w:rPr>
          <w:rFonts w:ascii="Arial" w:eastAsia="Calibri" w:hAnsi="Arial" w:cs="Arial"/>
          <w:lang w:val="es-ES"/>
        </w:rPr>
        <w:tab/>
      </w:r>
    </w:p>
    <w:p w14:paraId="2DF46D72" w14:textId="1B9A928C" w:rsidR="0086367A" w:rsidRPr="001334D8" w:rsidRDefault="0086367A" w:rsidP="00404C5D">
      <w:pPr>
        <w:spacing w:after="0" w:line="276" w:lineRule="auto"/>
        <w:contextualSpacing/>
        <w:jc w:val="both"/>
        <w:rPr>
          <w:rFonts w:ascii="Arial" w:eastAsia="Calibri" w:hAnsi="Arial" w:cs="Arial"/>
        </w:rPr>
      </w:pPr>
      <w:bookmarkStart w:id="8" w:name="_Hlk57650395"/>
      <w:r w:rsidRPr="001334D8">
        <w:rPr>
          <w:rFonts w:ascii="Arial" w:eastAsia="Calibri" w:hAnsi="Arial" w:cs="Arial"/>
        </w:rPr>
        <w:t>Este concepto tiene el alcance previsto en el artículo 28 del Código de Procedimiento Administrativo y de lo Contencioso Administrativo.</w:t>
      </w:r>
    </w:p>
    <w:p w14:paraId="13F4C048" w14:textId="77777777" w:rsidR="00404C5D" w:rsidRPr="001334D8" w:rsidRDefault="00404C5D" w:rsidP="00193C39">
      <w:pPr>
        <w:spacing w:after="0" w:line="276" w:lineRule="auto"/>
        <w:contextualSpacing/>
        <w:jc w:val="both"/>
        <w:rPr>
          <w:rFonts w:ascii="Arial" w:eastAsia="Calibri" w:hAnsi="Arial" w:cs="Arial"/>
        </w:rPr>
      </w:pPr>
    </w:p>
    <w:p w14:paraId="4F19FDEF" w14:textId="77777777" w:rsidR="005F2C99" w:rsidRPr="001334D8" w:rsidRDefault="005F2C99" w:rsidP="00193C39">
      <w:pPr>
        <w:spacing w:after="0" w:line="276" w:lineRule="auto"/>
        <w:contextualSpacing/>
        <w:jc w:val="both"/>
        <w:rPr>
          <w:rFonts w:ascii="Arial" w:eastAsia="Times New Roman" w:hAnsi="Arial" w:cs="Arial"/>
          <w:lang w:eastAsia="es-CO"/>
        </w:rPr>
      </w:pPr>
      <w:r w:rsidRPr="001334D8">
        <w:rPr>
          <w:rFonts w:ascii="Arial" w:eastAsia="Times New Roman" w:hAnsi="Arial" w:cs="Arial"/>
          <w:lang w:eastAsia="es-CO"/>
        </w:rPr>
        <w:t>Atentamente,</w:t>
      </w:r>
    </w:p>
    <w:bookmarkEnd w:id="0"/>
    <w:bookmarkEnd w:id="1"/>
    <w:bookmarkEnd w:id="2"/>
    <w:bookmarkEnd w:id="8"/>
    <w:p w14:paraId="1C5A39D1" w14:textId="77777777" w:rsidR="00E94131" w:rsidRPr="001334D8" w:rsidRDefault="00E94131" w:rsidP="00E94131">
      <w:pPr>
        <w:pStyle w:val="NormalWeb"/>
        <w:spacing w:before="0" w:beforeAutospacing="0" w:after="0" w:afterAutospacing="0"/>
        <w:jc w:val="center"/>
        <w:rPr>
          <w:rFonts w:ascii="Arial" w:hAnsi="Arial" w:cs="Arial"/>
          <w:sz w:val="22"/>
          <w:szCs w:val="22"/>
          <w:lang w:val="es-ES_tradnl"/>
        </w:rPr>
      </w:pPr>
    </w:p>
    <w:p w14:paraId="4C68D3A7" w14:textId="5123AEE3" w:rsidR="00E94131" w:rsidRPr="001334D8" w:rsidRDefault="00A36C85" w:rsidP="00E94131">
      <w:pPr>
        <w:pStyle w:val="NormalWeb"/>
        <w:spacing w:before="0" w:beforeAutospacing="0" w:after="0" w:afterAutospacing="0"/>
        <w:jc w:val="center"/>
        <w:rPr>
          <w:rFonts w:ascii="Arial" w:hAnsi="Arial" w:cs="Arial"/>
          <w:sz w:val="22"/>
          <w:szCs w:val="22"/>
          <w:lang w:val="es-ES_tradnl"/>
        </w:rPr>
      </w:pPr>
      <w:r>
        <w:rPr>
          <w:rFonts w:ascii="Arial" w:hAnsi="Arial" w:cs="Arial"/>
          <w:noProof/>
          <w:color w:val="1A1A1A" w:themeColor="background1" w:themeShade="1A"/>
        </w:rPr>
        <w:lastRenderedPageBreak/>
        <w:drawing>
          <wp:inline distT="0" distB="0" distL="0" distR="0" wp14:anchorId="60F92B88" wp14:editId="5207DDEA">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334D8" w:rsidRPr="001334D8" w14:paraId="076111C4" w14:textId="77777777" w:rsidTr="009652B4">
        <w:trPr>
          <w:trHeight w:val="315"/>
        </w:trPr>
        <w:tc>
          <w:tcPr>
            <w:tcW w:w="812" w:type="dxa"/>
            <w:vAlign w:val="center"/>
            <w:hideMark/>
          </w:tcPr>
          <w:p w14:paraId="663757E5" w14:textId="77777777" w:rsidR="00E94131" w:rsidRPr="001334D8" w:rsidRDefault="00E94131" w:rsidP="009652B4">
            <w:pPr>
              <w:rPr>
                <w:rFonts w:ascii="Arial" w:hAnsi="Arial" w:cs="Arial"/>
                <w:sz w:val="16"/>
                <w:szCs w:val="16"/>
                <w:lang w:val="es-ES_tradnl" w:eastAsia="es-ES"/>
              </w:rPr>
            </w:pPr>
            <w:r w:rsidRPr="001334D8">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433EC17" w14:textId="77777777" w:rsidR="00E94131" w:rsidRPr="001334D8" w:rsidRDefault="00E94131" w:rsidP="009652B4">
            <w:pPr>
              <w:rPr>
                <w:rFonts w:ascii="Arial" w:hAnsi="Arial" w:cs="Arial"/>
                <w:sz w:val="16"/>
                <w:szCs w:val="16"/>
                <w:lang w:val="es-ES" w:eastAsia="es-ES"/>
              </w:rPr>
            </w:pPr>
            <w:r w:rsidRPr="001334D8">
              <w:rPr>
                <w:rFonts w:ascii="Arial" w:hAnsi="Arial" w:cs="Arial"/>
                <w:sz w:val="16"/>
                <w:szCs w:val="16"/>
                <w:lang w:val="es-ES" w:eastAsia="es-ES"/>
              </w:rPr>
              <w:t>Edwin Johan Chocontá Quintero</w:t>
            </w:r>
          </w:p>
          <w:p w14:paraId="06F530E2" w14:textId="77777777" w:rsidR="00E94131" w:rsidRPr="001334D8" w:rsidRDefault="00E94131" w:rsidP="009652B4">
            <w:pPr>
              <w:rPr>
                <w:rFonts w:ascii="Arial" w:hAnsi="Arial" w:cs="Arial"/>
                <w:sz w:val="16"/>
                <w:szCs w:val="16"/>
                <w:lang w:val="es-ES_tradnl" w:eastAsia="es-ES"/>
              </w:rPr>
            </w:pPr>
            <w:r w:rsidRPr="001334D8">
              <w:rPr>
                <w:rFonts w:ascii="Arial" w:hAnsi="Arial" w:cs="Arial"/>
                <w:sz w:val="16"/>
                <w:szCs w:val="16"/>
                <w:lang w:val="es-ES" w:eastAsia="es-ES"/>
              </w:rPr>
              <w:t>Analista T2 – 02 de la Subdirección de Gestión Contractual</w:t>
            </w:r>
          </w:p>
        </w:tc>
      </w:tr>
      <w:tr w:rsidR="001334D8" w:rsidRPr="001334D8" w14:paraId="225EDC3B" w14:textId="77777777" w:rsidTr="009652B4">
        <w:trPr>
          <w:trHeight w:val="330"/>
        </w:trPr>
        <w:tc>
          <w:tcPr>
            <w:tcW w:w="812" w:type="dxa"/>
            <w:vAlign w:val="center"/>
            <w:hideMark/>
          </w:tcPr>
          <w:p w14:paraId="31F34081" w14:textId="77777777" w:rsidR="00E94131" w:rsidRPr="001334D8" w:rsidRDefault="00E94131" w:rsidP="009652B4">
            <w:pPr>
              <w:rPr>
                <w:rFonts w:ascii="Arial" w:hAnsi="Arial" w:cs="Arial"/>
                <w:sz w:val="16"/>
                <w:szCs w:val="16"/>
                <w:lang w:val="es-ES_tradnl" w:eastAsia="es-ES"/>
              </w:rPr>
            </w:pPr>
            <w:r w:rsidRPr="001334D8">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FE6675" w14:textId="657912FD" w:rsidR="00E94131" w:rsidRPr="001334D8" w:rsidRDefault="00803833" w:rsidP="009652B4">
            <w:pPr>
              <w:rPr>
                <w:rFonts w:ascii="Arial" w:hAnsi="Arial" w:cs="Arial"/>
                <w:sz w:val="16"/>
                <w:szCs w:val="16"/>
                <w:lang w:val="es-ES_tradnl" w:eastAsia="es-ES"/>
              </w:rPr>
            </w:pPr>
            <w:r w:rsidRPr="001334D8">
              <w:rPr>
                <w:rFonts w:ascii="Arial" w:hAnsi="Arial" w:cs="Arial"/>
                <w:sz w:val="16"/>
                <w:szCs w:val="16"/>
                <w:lang w:val="es-ES_tradnl" w:eastAsia="es-ES"/>
              </w:rPr>
              <w:t>Diana Lucia Saavedra Castañeda</w:t>
            </w:r>
          </w:p>
          <w:p w14:paraId="49AD8F4A" w14:textId="5447DE6B" w:rsidR="00E94131" w:rsidRPr="001334D8" w:rsidRDefault="00803833" w:rsidP="009652B4">
            <w:pPr>
              <w:rPr>
                <w:rFonts w:ascii="Arial" w:hAnsi="Arial" w:cs="Arial"/>
                <w:sz w:val="16"/>
                <w:szCs w:val="16"/>
                <w:lang w:val="es-ES_tradnl" w:eastAsia="es-ES"/>
              </w:rPr>
            </w:pPr>
            <w:r w:rsidRPr="001334D8">
              <w:rPr>
                <w:rFonts w:ascii="Arial" w:hAnsi="Arial" w:cs="Arial"/>
                <w:sz w:val="16"/>
                <w:szCs w:val="16"/>
                <w:lang w:val="es-ES_tradnl" w:eastAsia="es-ES"/>
              </w:rPr>
              <w:t>Contratista</w:t>
            </w:r>
            <w:r w:rsidR="00E94131" w:rsidRPr="001334D8">
              <w:rPr>
                <w:rFonts w:ascii="Arial" w:hAnsi="Arial" w:cs="Arial"/>
                <w:sz w:val="16"/>
                <w:szCs w:val="16"/>
                <w:lang w:val="es-ES_tradnl" w:eastAsia="es-ES"/>
              </w:rPr>
              <w:t xml:space="preserve"> de la Subdirección de Gestión Contractual</w:t>
            </w:r>
          </w:p>
        </w:tc>
      </w:tr>
      <w:tr w:rsidR="00E94131" w:rsidRPr="001334D8" w14:paraId="723786D5" w14:textId="77777777" w:rsidTr="009652B4">
        <w:trPr>
          <w:trHeight w:val="300"/>
        </w:trPr>
        <w:tc>
          <w:tcPr>
            <w:tcW w:w="812" w:type="dxa"/>
            <w:vAlign w:val="center"/>
            <w:hideMark/>
          </w:tcPr>
          <w:p w14:paraId="2C338ED0" w14:textId="77777777" w:rsidR="00E94131" w:rsidRPr="001334D8" w:rsidRDefault="00E94131" w:rsidP="009652B4">
            <w:pPr>
              <w:rPr>
                <w:rFonts w:ascii="Arial" w:hAnsi="Arial" w:cs="Arial"/>
                <w:sz w:val="16"/>
                <w:szCs w:val="16"/>
                <w:lang w:val="es-ES_tradnl" w:eastAsia="es-ES"/>
              </w:rPr>
            </w:pPr>
            <w:r w:rsidRPr="001334D8">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FA9110" w14:textId="77777777" w:rsidR="00E94131" w:rsidRPr="001334D8" w:rsidRDefault="00E94131" w:rsidP="009652B4">
            <w:pPr>
              <w:rPr>
                <w:rFonts w:ascii="Arial" w:hAnsi="Arial" w:cs="Arial"/>
                <w:sz w:val="16"/>
                <w:szCs w:val="16"/>
                <w:lang w:val="es-ES_tradnl" w:eastAsia="es-ES"/>
              </w:rPr>
            </w:pPr>
            <w:r w:rsidRPr="001334D8">
              <w:rPr>
                <w:rFonts w:ascii="Arial" w:hAnsi="Arial" w:cs="Arial"/>
                <w:sz w:val="16"/>
                <w:szCs w:val="16"/>
                <w:lang w:val="es-ES_tradnl" w:eastAsia="es-ES"/>
              </w:rPr>
              <w:t>Juan David Marín López</w:t>
            </w:r>
          </w:p>
          <w:p w14:paraId="379BE1F0" w14:textId="77777777" w:rsidR="00E94131" w:rsidRPr="001334D8" w:rsidRDefault="00E94131" w:rsidP="009652B4">
            <w:pPr>
              <w:rPr>
                <w:rFonts w:ascii="Arial" w:hAnsi="Arial" w:cs="Arial"/>
                <w:sz w:val="16"/>
                <w:szCs w:val="16"/>
                <w:lang w:val="es-ES_tradnl" w:eastAsia="es-ES"/>
              </w:rPr>
            </w:pPr>
            <w:r w:rsidRPr="001334D8">
              <w:rPr>
                <w:rFonts w:ascii="Arial" w:hAnsi="Arial" w:cs="Arial"/>
                <w:sz w:val="16"/>
                <w:szCs w:val="16"/>
                <w:lang w:val="es-ES_tradnl" w:eastAsia="es-ES"/>
              </w:rPr>
              <w:t>Subdirector de Gestión Contractual ANCP – CCE (E)</w:t>
            </w:r>
          </w:p>
        </w:tc>
      </w:tr>
      <w:bookmarkEnd w:id="3"/>
    </w:tbl>
    <w:p w14:paraId="127622CE" w14:textId="77777777" w:rsidR="001A0166" w:rsidRPr="001334D8" w:rsidRDefault="001A0166" w:rsidP="004B5310"/>
    <w:sectPr w:rsidR="001A0166" w:rsidRPr="001334D8"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9CED" w14:textId="77777777" w:rsidR="00437201" w:rsidRDefault="00437201" w:rsidP="005F2C99">
      <w:pPr>
        <w:spacing w:after="0" w:line="240" w:lineRule="auto"/>
      </w:pPr>
      <w:r>
        <w:separator/>
      </w:r>
    </w:p>
  </w:endnote>
  <w:endnote w:type="continuationSeparator" w:id="0">
    <w:p w14:paraId="39758A72" w14:textId="77777777" w:rsidR="00437201" w:rsidRDefault="00437201" w:rsidP="005F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FB49" w14:textId="77777777" w:rsidR="00412132" w:rsidRDefault="00000000" w:rsidP="00B6444C">
    <w:pPr>
      <w:pStyle w:val="Sinespaciado"/>
      <w:rPr>
        <w:rFonts w:ascii="Arial" w:hAnsi="Arial" w:cs="Arial"/>
        <w:sz w:val="18"/>
        <w:szCs w:val="18"/>
      </w:rPr>
    </w:pPr>
  </w:p>
  <w:p w14:paraId="606F09B1" w14:textId="77777777" w:rsidR="00412132" w:rsidRDefault="00000000" w:rsidP="00B6444C">
    <w:pPr>
      <w:pStyle w:val="Sinespaciado"/>
      <w:rPr>
        <w:rFonts w:ascii="Arial" w:hAnsi="Arial" w:cs="Arial"/>
        <w:sz w:val="18"/>
        <w:szCs w:val="18"/>
      </w:rPr>
    </w:pPr>
  </w:p>
  <w:p w14:paraId="1ED3B3FA" w14:textId="77777777" w:rsidR="00412132" w:rsidRPr="00921225" w:rsidRDefault="003D3689" w:rsidP="005A79FE">
    <w:pPr>
      <w:pStyle w:val="Piedepgina"/>
      <w:jc w:val="right"/>
      <w:rPr>
        <w:rFonts w:ascii="Arial" w:hAnsi="Arial" w:cs="Arial"/>
        <w:color w:val="7F7F7F"/>
        <w:sz w:val="16"/>
        <w:szCs w:val="16"/>
      </w:rPr>
    </w:pPr>
    <w:r w:rsidRPr="00921225">
      <w:rPr>
        <w:rFonts w:ascii="Arial" w:hAnsi="Arial" w:cs="Arial"/>
        <w:bCs/>
        <w:color w:val="7F7F7F"/>
        <w:sz w:val="16"/>
        <w:szCs w:val="16"/>
      </w:rPr>
      <w:t xml:space="preserve">Página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PAGE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r w:rsidRPr="00921225">
      <w:rPr>
        <w:rFonts w:ascii="Arial" w:hAnsi="Arial" w:cs="Arial"/>
        <w:color w:val="7F7F7F"/>
        <w:sz w:val="16"/>
        <w:szCs w:val="16"/>
      </w:rPr>
      <w:t xml:space="preserve"> de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NUMPAGES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p>
  <w:p w14:paraId="3AAC4E25" w14:textId="77777777" w:rsidR="00412132" w:rsidRDefault="003D3689" w:rsidP="007B0854">
    <w:pPr>
      <w:pStyle w:val="Piedepgina"/>
      <w:jc w:val="center"/>
      <w:rPr>
        <w:lang w:val="es-ES"/>
      </w:rPr>
    </w:pPr>
    <w:r>
      <w:rPr>
        <w:noProof/>
        <w:lang w:val="es-CO" w:eastAsia="es-CO"/>
      </w:rPr>
      <w:drawing>
        <wp:inline distT="0" distB="0" distL="0" distR="0" wp14:anchorId="1BFB348B" wp14:editId="0F1B6AC7">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F3EB07D" w14:textId="77777777" w:rsidR="00412132" w:rsidRDefault="00000000" w:rsidP="007B0854">
    <w:pPr>
      <w:pStyle w:val="Piedepgina"/>
      <w:jc w:val="center"/>
      <w:rPr>
        <w:lang w:val="es-ES"/>
      </w:rPr>
    </w:pPr>
  </w:p>
  <w:p w14:paraId="23059D74" w14:textId="77777777" w:rsidR="00412132" w:rsidRPr="007B0854" w:rsidRDefault="000000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94EB" w14:textId="77777777" w:rsidR="00437201" w:rsidRDefault="00437201" w:rsidP="005F2C99">
      <w:pPr>
        <w:spacing w:after="0" w:line="240" w:lineRule="auto"/>
      </w:pPr>
      <w:r>
        <w:separator/>
      </w:r>
    </w:p>
  </w:footnote>
  <w:footnote w:type="continuationSeparator" w:id="0">
    <w:p w14:paraId="6E963EFB" w14:textId="77777777" w:rsidR="00437201" w:rsidRDefault="00437201" w:rsidP="005F2C99">
      <w:pPr>
        <w:spacing w:after="0" w:line="240" w:lineRule="auto"/>
      </w:pPr>
      <w:r>
        <w:continuationSeparator/>
      </w:r>
    </w:p>
  </w:footnote>
  <w:footnote w:id="1">
    <w:p w14:paraId="4385AD11" w14:textId="77777777" w:rsidR="00194385" w:rsidRPr="00DC493F" w:rsidRDefault="00194385" w:rsidP="00193C39">
      <w:pPr>
        <w:pStyle w:val="Textonotapie"/>
        <w:spacing w:after="0" w:line="240" w:lineRule="auto"/>
        <w:ind w:firstLine="708"/>
        <w:contextualSpacing/>
        <w:rPr>
          <w:rFonts w:ascii="Arial" w:hAnsi="Arial" w:cs="Arial"/>
          <w:color w:val="000000" w:themeColor="text1"/>
          <w:sz w:val="19"/>
          <w:szCs w:val="19"/>
          <w:lang w:val="es-CO"/>
        </w:rPr>
      </w:pPr>
      <w:r w:rsidRPr="00DC493F">
        <w:rPr>
          <w:rStyle w:val="Refdenotaalpie"/>
          <w:rFonts w:ascii="Arial" w:hAnsi="Arial" w:cs="Arial"/>
          <w:color w:val="000000" w:themeColor="text1"/>
          <w:sz w:val="19"/>
          <w:szCs w:val="19"/>
        </w:rPr>
        <w:footnoteRef/>
      </w:r>
      <w:r w:rsidRPr="00DC493F">
        <w:rPr>
          <w:rFonts w:ascii="Arial" w:hAnsi="Arial" w:cs="Arial"/>
          <w:color w:val="000000" w:themeColor="text1"/>
          <w:sz w:val="19"/>
          <w:szCs w:val="19"/>
        </w:rPr>
        <w:t xml:space="preserve"> De igual forma la Agencia de Nacional de Contratación Pública -Colombia Compra Eficiente- trato el tema objeto de estudio en conceptos del año 2019, identificados con los radicados </w:t>
      </w:r>
      <w:r w:rsidRPr="00DC493F">
        <w:rPr>
          <w:rFonts w:ascii="Arial" w:eastAsia="Calibri" w:hAnsi="Arial" w:cs="Arial"/>
          <w:color w:val="000000" w:themeColor="text1"/>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DC493F">
        <w:rPr>
          <w:rFonts w:ascii="Arial" w:hAnsi="Arial" w:cs="Arial"/>
          <w:color w:val="000000" w:themeColor="text1"/>
          <w:sz w:val="19"/>
          <w:szCs w:val="19"/>
        </w:rPr>
        <w:t xml:space="preserve">4201913000006797 del 19 de noviembre de 2019, </w:t>
      </w:r>
      <w:r w:rsidRPr="00DC493F">
        <w:rPr>
          <w:rFonts w:ascii="Arial" w:eastAsia="Calibri" w:hAnsi="Arial" w:cs="Arial"/>
          <w:color w:val="000000" w:themeColor="text1"/>
          <w:sz w:val="19"/>
          <w:szCs w:val="19"/>
        </w:rPr>
        <w:t xml:space="preserve">4201912000007182 del 3 de diciembre de 2019, 4201912000007512 del 16 de diciembre de 2019, 4201912000007607 del 9 de diciembre de 2019. </w:t>
      </w:r>
    </w:p>
    <w:p w14:paraId="7A4D2E01" w14:textId="77777777" w:rsidR="00194385" w:rsidRPr="00DC493F" w:rsidRDefault="00194385" w:rsidP="00193C39">
      <w:pPr>
        <w:pStyle w:val="Textonotapie"/>
        <w:spacing w:after="0" w:line="240" w:lineRule="auto"/>
        <w:contextualSpacing/>
        <w:rPr>
          <w:rFonts w:ascii="Arial" w:hAnsi="Arial" w:cs="Arial"/>
          <w:color w:val="000000" w:themeColor="text1"/>
          <w:sz w:val="19"/>
          <w:szCs w:val="19"/>
          <w:lang w:val="es-CO"/>
        </w:rPr>
      </w:pPr>
    </w:p>
  </w:footnote>
  <w:footnote w:id="2">
    <w:p w14:paraId="7D54F121"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Style w:val="Refdenotaalpie"/>
          <w:rFonts w:ascii="Arial" w:hAnsi="Arial" w:cs="Arial"/>
          <w:sz w:val="19"/>
          <w:szCs w:val="19"/>
        </w:rPr>
        <w:footnoteRef/>
      </w:r>
      <w:r w:rsidRPr="00193C39">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EB3753A"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05A4FDD4" w14:textId="77777777" w:rsidR="00F747E4" w:rsidRPr="00193C39" w:rsidRDefault="00F747E4" w:rsidP="00DC493F">
      <w:pPr>
        <w:pStyle w:val="Textonotapie"/>
        <w:spacing w:after="0" w:line="240" w:lineRule="auto"/>
        <w:contextualSpacing/>
        <w:rPr>
          <w:rFonts w:ascii="Arial" w:hAnsi="Arial" w:cs="Arial"/>
          <w:sz w:val="19"/>
          <w:szCs w:val="19"/>
          <w:lang w:val="es-ES"/>
        </w:rPr>
      </w:pPr>
    </w:p>
  </w:footnote>
  <w:footnote w:id="3">
    <w:p w14:paraId="25AA53A2"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Style w:val="Refdenotaalpie"/>
          <w:rFonts w:ascii="Arial" w:hAnsi="Arial" w:cs="Arial"/>
          <w:sz w:val="19"/>
          <w:szCs w:val="19"/>
        </w:rPr>
        <w:footnoteRef/>
      </w:r>
      <w:r w:rsidRPr="00193C39">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12572860" w14:textId="77777777" w:rsidR="00F747E4" w:rsidRPr="00193C39" w:rsidRDefault="00F747E4" w:rsidP="00DC493F">
      <w:pPr>
        <w:pStyle w:val="Textonotapie"/>
        <w:spacing w:after="0" w:line="240" w:lineRule="auto"/>
        <w:ind w:firstLine="708"/>
        <w:contextualSpacing/>
        <w:rPr>
          <w:rFonts w:ascii="Arial" w:hAnsi="Arial" w:cs="Arial"/>
          <w:sz w:val="19"/>
          <w:szCs w:val="19"/>
          <w:lang w:val="es-ES"/>
        </w:rPr>
      </w:pPr>
    </w:p>
  </w:footnote>
  <w:footnote w:id="4">
    <w:p w14:paraId="34B49908"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Style w:val="Refdenotaalpie"/>
          <w:rFonts w:ascii="Arial" w:hAnsi="Arial" w:cs="Arial"/>
          <w:sz w:val="19"/>
          <w:szCs w:val="19"/>
        </w:rPr>
        <w:footnoteRef/>
      </w:r>
      <w:r w:rsidRPr="00193C39">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0F5F9D8D"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622BF54D"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Fonts w:ascii="Arial" w:hAnsi="Arial" w:cs="Arial"/>
          <w:sz w:val="19"/>
          <w:szCs w:val="19"/>
        </w:rPr>
        <w:t>[...]».</w:t>
      </w:r>
    </w:p>
    <w:p w14:paraId="4B6E64F6" w14:textId="77777777" w:rsidR="00F747E4" w:rsidRPr="00193C39" w:rsidRDefault="00F747E4" w:rsidP="00DC493F">
      <w:pPr>
        <w:pStyle w:val="Textonotapie"/>
        <w:spacing w:after="0" w:line="240" w:lineRule="auto"/>
        <w:ind w:firstLine="708"/>
        <w:contextualSpacing/>
        <w:rPr>
          <w:rFonts w:ascii="Arial" w:hAnsi="Arial" w:cs="Arial"/>
          <w:sz w:val="19"/>
          <w:szCs w:val="19"/>
        </w:rPr>
      </w:pPr>
    </w:p>
  </w:footnote>
  <w:footnote w:id="5">
    <w:p w14:paraId="652410F9"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Style w:val="Refdenotaalpie"/>
          <w:rFonts w:ascii="Arial" w:hAnsi="Arial" w:cs="Arial"/>
          <w:sz w:val="19"/>
          <w:szCs w:val="19"/>
        </w:rPr>
        <w:footnoteRef/>
      </w:r>
      <w:r w:rsidRPr="00193C39">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3AC17F8"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Fonts w:ascii="Arial" w:hAnsi="Arial" w:cs="Arial"/>
          <w:sz w:val="19"/>
          <w:szCs w:val="19"/>
        </w:rPr>
        <w:t>[...]</w:t>
      </w:r>
    </w:p>
    <w:p w14:paraId="6C205411" w14:textId="77777777" w:rsidR="00F747E4" w:rsidRPr="00193C39" w:rsidRDefault="00F747E4" w:rsidP="00193C39">
      <w:pPr>
        <w:pStyle w:val="Textonotapie"/>
        <w:spacing w:after="0" w:line="240" w:lineRule="auto"/>
        <w:ind w:firstLine="708"/>
        <w:contextualSpacing/>
        <w:rPr>
          <w:rFonts w:ascii="Arial" w:hAnsi="Arial" w:cs="Arial"/>
          <w:sz w:val="19"/>
          <w:szCs w:val="19"/>
        </w:rPr>
      </w:pPr>
      <w:r w:rsidRPr="00193C39">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2F45FB40"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6">
    <w:p w14:paraId="2AC48F75" w14:textId="77777777" w:rsidR="00F747E4" w:rsidRPr="00193C39" w:rsidRDefault="00F747E4" w:rsidP="00DC493F">
      <w:pPr>
        <w:pStyle w:val="Textonotapie"/>
        <w:spacing w:after="0" w:line="240" w:lineRule="auto"/>
        <w:ind w:firstLine="708"/>
        <w:contextualSpacing/>
        <w:rPr>
          <w:rFonts w:ascii="Arial" w:hAnsi="Arial" w:cs="Arial"/>
          <w:sz w:val="19"/>
          <w:szCs w:val="19"/>
        </w:rPr>
      </w:pPr>
    </w:p>
    <w:p w14:paraId="51C040BD"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Style w:val="Refdenotaalpie"/>
          <w:rFonts w:ascii="Arial" w:hAnsi="Arial" w:cs="Arial"/>
          <w:sz w:val="19"/>
          <w:szCs w:val="19"/>
        </w:rPr>
        <w:footnoteRef/>
      </w:r>
      <w:r w:rsidRPr="00193C39">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7806634"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Fonts w:ascii="Arial" w:hAnsi="Arial" w:cs="Arial"/>
          <w:sz w:val="19"/>
          <w:szCs w:val="19"/>
        </w:rPr>
        <w:t>1.    Si es una persona natural:</w:t>
      </w:r>
    </w:p>
    <w:p w14:paraId="73DDC708" w14:textId="77777777" w:rsidR="00F747E4" w:rsidRPr="00193C39" w:rsidRDefault="00F747E4" w:rsidP="00DC493F">
      <w:pPr>
        <w:pStyle w:val="Textonotapie"/>
        <w:spacing w:after="0" w:line="240" w:lineRule="auto"/>
        <w:ind w:firstLine="708"/>
        <w:contextualSpacing/>
        <w:rPr>
          <w:rFonts w:ascii="Arial" w:hAnsi="Arial" w:cs="Arial"/>
          <w:sz w:val="19"/>
          <w:szCs w:val="19"/>
        </w:rPr>
      </w:pPr>
      <w:r w:rsidRPr="00193C39">
        <w:rPr>
          <w:rFonts w:ascii="Arial" w:hAnsi="Arial" w:cs="Arial"/>
          <w:sz w:val="19"/>
          <w:szCs w:val="19"/>
        </w:rPr>
        <w:t>1.1. Bienes, obras y servicios que ofrecerá a las Entidades Estatales, identificados con el Clasificador de Bienes y Servicios en el tercer nivel.</w:t>
      </w:r>
    </w:p>
    <w:p w14:paraId="1E297E8F" w14:textId="6F12A82F" w:rsidR="00F747E4" w:rsidRDefault="00F747E4" w:rsidP="00DC493F">
      <w:pPr>
        <w:pStyle w:val="Textonotapie"/>
        <w:spacing w:after="0" w:line="240" w:lineRule="auto"/>
        <w:ind w:firstLine="708"/>
        <w:contextualSpacing/>
        <w:rPr>
          <w:rFonts w:ascii="Arial" w:hAnsi="Arial" w:cs="Arial"/>
          <w:sz w:val="19"/>
          <w:szCs w:val="19"/>
        </w:rPr>
      </w:pPr>
      <w:r w:rsidRPr="00193C39">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39CB086A" w14:textId="77777777" w:rsidR="00DC493F" w:rsidRPr="00193C39" w:rsidRDefault="00DC493F" w:rsidP="00DC493F">
      <w:pPr>
        <w:pStyle w:val="Textonotapie"/>
        <w:spacing w:after="0" w:line="240" w:lineRule="auto"/>
        <w:ind w:firstLine="708"/>
        <w:contextualSpacing/>
        <w:rPr>
          <w:rFonts w:ascii="Arial" w:hAnsi="Arial" w:cs="Arial"/>
          <w:sz w:val="19"/>
          <w:szCs w:val="19"/>
        </w:rPr>
      </w:pPr>
    </w:p>
  </w:footnote>
  <w:footnote w:id="7">
    <w:p w14:paraId="066E93F9" w14:textId="77777777" w:rsidR="0067350F" w:rsidRPr="00DC493F" w:rsidRDefault="0067350F" w:rsidP="00193C39">
      <w:pPr>
        <w:pStyle w:val="Textonotapie"/>
        <w:spacing w:after="0" w:line="240" w:lineRule="auto"/>
        <w:ind w:firstLine="708"/>
        <w:contextualSpacing/>
        <w:rPr>
          <w:rFonts w:ascii="Arial" w:hAnsi="Arial" w:cs="Arial"/>
          <w:sz w:val="19"/>
          <w:szCs w:val="19"/>
        </w:rPr>
      </w:pPr>
      <w:r w:rsidRPr="00DC493F">
        <w:rPr>
          <w:rStyle w:val="Refdenotaalpie"/>
          <w:rFonts w:ascii="Arial" w:hAnsi="Arial" w:cs="Arial"/>
          <w:sz w:val="19"/>
          <w:szCs w:val="19"/>
        </w:rPr>
        <w:footnoteRef/>
      </w:r>
      <w:r w:rsidRPr="00DC493F">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B2F5B59" w14:textId="77777777" w:rsidR="0067350F" w:rsidRPr="00DC493F" w:rsidRDefault="0067350F" w:rsidP="00193C39">
      <w:pPr>
        <w:pStyle w:val="Textonotapie"/>
        <w:spacing w:after="0" w:line="240" w:lineRule="auto"/>
        <w:ind w:firstLine="708"/>
        <w:contextualSpacing/>
        <w:rPr>
          <w:rFonts w:ascii="Arial" w:hAnsi="Arial" w:cs="Arial"/>
          <w:sz w:val="19"/>
          <w:szCs w:val="19"/>
        </w:rPr>
      </w:pPr>
      <w:r w:rsidRPr="00DC493F">
        <w:rPr>
          <w:rFonts w:ascii="Arial" w:hAnsi="Arial" w:cs="Arial"/>
          <w:sz w:val="19"/>
          <w:szCs w:val="19"/>
        </w:rPr>
        <w:t>[…]</w:t>
      </w:r>
    </w:p>
    <w:p w14:paraId="42D03F65" w14:textId="786990F5" w:rsidR="0067350F" w:rsidRDefault="0067350F" w:rsidP="00DC493F">
      <w:pPr>
        <w:pStyle w:val="Textonotapie"/>
        <w:spacing w:after="0" w:line="240" w:lineRule="auto"/>
        <w:ind w:firstLine="708"/>
        <w:contextualSpacing/>
        <w:rPr>
          <w:rFonts w:ascii="Arial" w:hAnsi="Arial" w:cs="Arial"/>
          <w:sz w:val="19"/>
          <w:szCs w:val="19"/>
        </w:rPr>
      </w:pPr>
      <w:r w:rsidRPr="00DC493F">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DC493F">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DC493F">
        <w:rPr>
          <w:rFonts w:ascii="Arial" w:hAnsi="Arial" w:cs="Arial"/>
          <w:sz w:val="19"/>
          <w:szCs w:val="19"/>
        </w:rPr>
        <w:t>».</w:t>
      </w:r>
    </w:p>
    <w:p w14:paraId="04EB04F6" w14:textId="77777777" w:rsidR="00DC493F" w:rsidRPr="00DC493F" w:rsidRDefault="00DC493F" w:rsidP="00193C39">
      <w:pPr>
        <w:pStyle w:val="Textonotapie"/>
        <w:spacing w:after="0" w:line="240" w:lineRule="auto"/>
        <w:ind w:firstLine="708"/>
        <w:contextualSpacing/>
        <w:rPr>
          <w:rFonts w:ascii="Arial" w:hAnsi="Arial" w:cs="Arial"/>
          <w:sz w:val="19"/>
          <w:szCs w:val="19"/>
          <w:lang w:val="es-CO"/>
        </w:rPr>
      </w:pPr>
    </w:p>
  </w:footnote>
  <w:footnote w:id="8">
    <w:p w14:paraId="0E82E3FA" w14:textId="08582136" w:rsidR="00F747E4" w:rsidRPr="00DC493F" w:rsidRDefault="00F747E4" w:rsidP="00193C39">
      <w:pPr>
        <w:pStyle w:val="Textonotapie"/>
        <w:spacing w:after="0" w:line="240" w:lineRule="auto"/>
        <w:ind w:firstLine="708"/>
        <w:contextualSpacing/>
        <w:rPr>
          <w:rFonts w:ascii="Arial" w:hAnsi="Arial" w:cs="Arial"/>
          <w:sz w:val="19"/>
          <w:szCs w:val="19"/>
        </w:rPr>
      </w:pPr>
      <w:r w:rsidRPr="00DC493F">
        <w:rPr>
          <w:rStyle w:val="Refdenotaalpie"/>
          <w:rFonts w:ascii="Arial" w:hAnsi="Arial" w:cs="Arial"/>
          <w:sz w:val="19"/>
          <w:szCs w:val="19"/>
        </w:rPr>
        <w:footnoteRef/>
      </w:r>
      <w:r w:rsidRPr="00DC493F">
        <w:rPr>
          <w:rFonts w:ascii="Arial" w:hAnsi="Arial" w:cs="Arial"/>
          <w:sz w:val="19"/>
          <w:szCs w:val="19"/>
        </w:rPr>
        <w:t xml:space="preserve"> Colombia Compra Eficiente. Concepto del 7 de febrero de 2018, Rad.</w:t>
      </w:r>
      <w:r w:rsidR="00F546B6" w:rsidRPr="00DC493F">
        <w:rPr>
          <w:rFonts w:ascii="Arial" w:hAnsi="Arial" w:cs="Arial"/>
          <w:sz w:val="19"/>
          <w:szCs w:val="19"/>
        </w:rPr>
        <w:t xml:space="preserve"> </w:t>
      </w:r>
      <w:r w:rsidRPr="00DC493F">
        <w:rPr>
          <w:rFonts w:ascii="Arial" w:hAnsi="Arial" w:cs="Arial"/>
          <w:sz w:val="19"/>
          <w:szCs w:val="19"/>
        </w:rPr>
        <w:t>2201813000000954.</w:t>
      </w:r>
    </w:p>
    <w:p w14:paraId="4E70ADBC" w14:textId="77777777" w:rsidR="00F747E4" w:rsidRPr="00DC493F" w:rsidRDefault="00F747E4" w:rsidP="00193C39">
      <w:pPr>
        <w:pStyle w:val="Textonotapie"/>
        <w:spacing w:after="0" w:line="240" w:lineRule="auto"/>
        <w:ind w:left="708" w:firstLine="1"/>
        <w:contextualSpacing/>
        <w:rPr>
          <w:rFonts w:ascii="Arial" w:hAnsi="Arial" w:cs="Arial"/>
          <w:sz w:val="19"/>
          <w:szCs w:val="19"/>
        </w:rPr>
      </w:pPr>
    </w:p>
  </w:footnote>
  <w:footnote w:id="9">
    <w:p w14:paraId="53C5DCD0" w14:textId="5C3E037D" w:rsidR="00F747E4" w:rsidRDefault="00F747E4" w:rsidP="00DC493F">
      <w:pPr>
        <w:pStyle w:val="Textocomentario"/>
        <w:ind w:firstLine="708"/>
        <w:contextualSpacing/>
        <w:jc w:val="both"/>
        <w:rPr>
          <w:rFonts w:ascii="Arial" w:hAnsi="Arial" w:cs="Arial"/>
          <w:sz w:val="19"/>
          <w:szCs w:val="19"/>
        </w:rPr>
      </w:pPr>
      <w:r w:rsidRPr="00DC493F">
        <w:rPr>
          <w:rStyle w:val="Refdenotaalpie"/>
          <w:rFonts w:ascii="Arial" w:hAnsi="Arial" w:cs="Arial"/>
          <w:sz w:val="19"/>
          <w:szCs w:val="19"/>
        </w:rPr>
        <w:footnoteRef/>
      </w:r>
      <w:r w:rsidRPr="00DC493F">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14:paraId="5218C174" w14:textId="77777777" w:rsidR="00DC493F" w:rsidRPr="00DC493F" w:rsidRDefault="00DC493F" w:rsidP="00193C39">
      <w:pPr>
        <w:pStyle w:val="Textocomentario"/>
        <w:ind w:firstLine="708"/>
        <w:contextualSpacing/>
        <w:jc w:val="both"/>
        <w:rPr>
          <w:rFonts w:ascii="Arial" w:hAnsi="Arial" w:cs="Arial"/>
          <w:sz w:val="19"/>
          <w:szCs w:val="19"/>
          <w:lang w:val="es-CO"/>
        </w:rPr>
      </w:pPr>
    </w:p>
  </w:footnote>
  <w:footnote w:id="10">
    <w:p w14:paraId="0C969333" w14:textId="77777777" w:rsidR="00783C39" w:rsidRPr="00DC493F" w:rsidRDefault="00783C39" w:rsidP="00193C39">
      <w:pPr>
        <w:pStyle w:val="Sinespaciado"/>
        <w:ind w:firstLine="708"/>
        <w:contextualSpacing/>
        <w:rPr>
          <w:rFonts w:ascii="Arial" w:hAnsi="Arial" w:cs="Arial"/>
          <w:sz w:val="19"/>
          <w:szCs w:val="19"/>
        </w:rPr>
      </w:pPr>
      <w:r w:rsidRPr="00DC493F">
        <w:rPr>
          <w:rStyle w:val="Refdenotaalpie"/>
          <w:rFonts w:ascii="Arial" w:hAnsi="Arial" w:cs="Arial"/>
          <w:sz w:val="19"/>
          <w:szCs w:val="19"/>
        </w:rPr>
        <w:footnoteRef/>
      </w:r>
      <w:r w:rsidRPr="00DC493F">
        <w:rPr>
          <w:rFonts w:ascii="Arial" w:hAnsi="Arial" w:cs="Arial"/>
          <w:sz w:val="19"/>
          <w:szCs w:val="19"/>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799BF88" w14:textId="77777777" w:rsidR="00783C39" w:rsidRPr="00DC493F" w:rsidRDefault="00783C39" w:rsidP="00193C39">
      <w:pPr>
        <w:pStyle w:val="Sinespaciado"/>
        <w:ind w:firstLine="708"/>
        <w:contextualSpacing/>
        <w:rPr>
          <w:rFonts w:ascii="Arial" w:hAnsi="Arial" w:cs="Arial"/>
          <w:sz w:val="19"/>
          <w:szCs w:val="19"/>
        </w:rPr>
      </w:pPr>
    </w:p>
  </w:footnote>
  <w:footnote w:id="11">
    <w:p w14:paraId="30557A22" w14:textId="77777777" w:rsidR="00783C39" w:rsidRPr="00DC493F" w:rsidRDefault="00783C39" w:rsidP="00193C39">
      <w:pPr>
        <w:pStyle w:val="NormalWeb"/>
        <w:spacing w:before="0" w:beforeAutospacing="0" w:after="0" w:afterAutospacing="0" w:line="240" w:lineRule="auto"/>
        <w:ind w:firstLine="709"/>
        <w:contextualSpacing/>
        <w:rPr>
          <w:rFonts w:ascii="Arial" w:hAnsi="Arial" w:cs="Arial"/>
          <w:color w:val="000000"/>
          <w:sz w:val="19"/>
          <w:szCs w:val="19"/>
          <w:lang w:eastAsia="es-MX"/>
        </w:rPr>
      </w:pPr>
      <w:r w:rsidRPr="00DC493F">
        <w:rPr>
          <w:rStyle w:val="Refdenotaalpie"/>
          <w:rFonts w:ascii="Arial" w:hAnsi="Arial" w:cs="Arial"/>
          <w:sz w:val="19"/>
          <w:szCs w:val="19"/>
        </w:rPr>
        <w:footnoteRef/>
      </w:r>
      <w:r w:rsidRPr="00DC493F">
        <w:rPr>
          <w:rFonts w:ascii="Arial" w:hAnsi="Arial" w:cs="Arial"/>
          <w:sz w:val="19"/>
          <w:szCs w:val="19"/>
        </w:rPr>
        <w:t xml:space="preserve"> «</w:t>
      </w:r>
      <w:r w:rsidRPr="00DC493F">
        <w:rPr>
          <w:rFonts w:ascii="Arial" w:hAnsi="Arial" w:cs="Arial"/>
          <w:color w:val="000000"/>
          <w:sz w:val="19"/>
          <w:szCs w:val="19"/>
          <w:lang w:eastAsia="es-MX"/>
        </w:rPr>
        <w:t>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  </w:t>
      </w:r>
    </w:p>
    <w:p w14:paraId="5A3B26E4" w14:textId="77777777" w:rsidR="00783C39" w:rsidRPr="00DC493F" w:rsidRDefault="00783C39" w:rsidP="00193C39">
      <w:pPr>
        <w:spacing w:after="0" w:line="240" w:lineRule="auto"/>
        <w:ind w:firstLine="709"/>
        <w:contextualSpacing/>
        <w:jc w:val="both"/>
        <w:rPr>
          <w:rFonts w:ascii="Arial" w:hAnsi="Arial" w:cs="Arial"/>
          <w:color w:val="000000"/>
          <w:sz w:val="19"/>
          <w:szCs w:val="19"/>
        </w:rPr>
      </w:pPr>
      <w:r w:rsidRPr="00DC493F">
        <w:rPr>
          <w:rFonts w:ascii="Arial" w:hAnsi="Arial" w:cs="Arial"/>
          <w:color w:val="000000"/>
          <w:sz w:val="19"/>
          <w:szCs w:val="19"/>
        </w:rPr>
        <w:t>»En firme la inscripción, cualquier persona podrá demandar su nulidad en desarrollo de la acción prevista en el Código Contencioso Administrativo. </w:t>
      </w:r>
    </w:p>
    <w:p w14:paraId="2A4FF00A" w14:textId="77777777" w:rsidR="00783C39" w:rsidRPr="00DC493F" w:rsidRDefault="00783C39" w:rsidP="00193C39">
      <w:pPr>
        <w:spacing w:after="0" w:line="240" w:lineRule="auto"/>
        <w:ind w:firstLine="709"/>
        <w:contextualSpacing/>
        <w:jc w:val="both"/>
        <w:rPr>
          <w:rFonts w:ascii="Arial" w:hAnsi="Arial" w:cs="Arial"/>
          <w:sz w:val="19"/>
          <w:szCs w:val="19"/>
        </w:rPr>
      </w:pPr>
      <w:r w:rsidRPr="00DC493F">
        <w:rPr>
          <w:rFonts w:ascii="Arial" w:hAnsi="Arial" w:cs="Arial"/>
          <w:color w:val="000000"/>
          <w:sz w:val="19"/>
          <w:szCs w:val="19"/>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 […]».  </w:t>
      </w:r>
    </w:p>
  </w:footnote>
  <w:footnote w:id="12">
    <w:p w14:paraId="57B88919" w14:textId="77777777" w:rsidR="00783C39" w:rsidRPr="00DC493F" w:rsidRDefault="00783C39" w:rsidP="00193C39">
      <w:pPr>
        <w:pStyle w:val="Sinespaciado"/>
        <w:contextualSpacing/>
        <w:rPr>
          <w:rFonts w:ascii="Arial" w:eastAsia="Times New Roman" w:hAnsi="Arial" w:cs="Arial"/>
          <w:sz w:val="19"/>
          <w:szCs w:val="19"/>
          <w:lang w:eastAsia="es-CO"/>
        </w:rPr>
      </w:pPr>
    </w:p>
    <w:p w14:paraId="5D705946" w14:textId="7963CF55" w:rsidR="00783C39" w:rsidRDefault="00783C39" w:rsidP="00DC493F">
      <w:pPr>
        <w:pStyle w:val="Sinespaciado"/>
        <w:ind w:firstLine="708"/>
        <w:contextualSpacing/>
        <w:rPr>
          <w:rFonts w:ascii="Arial" w:eastAsia="Times New Roman" w:hAnsi="Arial" w:cs="Arial"/>
          <w:sz w:val="19"/>
          <w:szCs w:val="19"/>
          <w:lang w:eastAsia="es-CO"/>
        </w:rPr>
      </w:pPr>
      <w:r w:rsidRPr="00DC493F">
        <w:rPr>
          <w:rStyle w:val="Refdenotaalpie"/>
          <w:rFonts w:ascii="Arial" w:hAnsi="Arial" w:cs="Arial"/>
          <w:sz w:val="19"/>
          <w:szCs w:val="19"/>
        </w:rPr>
        <w:footnoteRef/>
      </w:r>
      <w:r w:rsidRPr="00DC493F">
        <w:rPr>
          <w:rFonts w:ascii="Arial" w:eastAsia="Times New Roman" w:hAnsi="Arial" w:cs="Arial"/>
          <w:sz w:val="19"/>
          <w:szCs w:val="19"/>
          <w:lang w:eastAsia="es-CO"/>
        </w:rPr>
        <w:t xml:space="preserve"> «Artículo 2.2.1.1.1.5.1. Inscripción, renovación, actualización y cancelación del RUP. […] </w:t>
      </w:r>
      <w:r w:rsidRPr="00DC493F">
        <w:rPr>
          <w:rFonts w:ascii="Arial" w:hAnsi="Arial" w:cs="Arial"/>
          <w:sz w:val="19"/>
          <w:szCs w:val="19"/>
        </w:rPr>
        <w:t>«</w:t>
      </w:r>
      <w:r w:rsidRPr="00DC493F">
        <w:rPr>
          <w:rFonts w:ascii="Arial" w:eastAsia="Times New Roman" w:hAnsi="Arial" w:cs="Arial"/>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0515F6D4" w14:textId="77777777" w:rsidR="00DC493F" w:rsidRPr="00DC493F" w:rsidRDefault="00DC493F" w:rsidP="00193C39">
      <w:pPr>
        <w:pStyle w:val="Sinespaciado"/>
        <w:ind w:firstLine="708"/>
        <w:contextualSpacing/>
        <w:rPr>
          <w:rFonts w:ascii="Arial" w:eastAsia="Times New Roman" w:hAnsi="Arial" w:cs="Arial"/>
          <w:sz w:val="19"/>
          <w:szCs w:val="19"/>
          <w:lang w:eastAsia="es-CO"/>
        </w:rPr>
      </w:pPr>
    </w:p>
  </w:footnote>
  <w:footnote w:id="13">
    <w:p w14:paraId="3A1DC06D" w14:textId="77777777" w:rsidR="00783C39" w:rsidRPr="00DC493F" w:rsidRDefault="00783C39" w:rsidP="00193C39">
      <w:pPr>
        <w:pStyle w:val="Textonotapie"/>
        <w:spacing w:after="0" w:line="240" w:lineRule="auto"/>
        <w:ind w:firstLine="708"/>
        <w:contextualSpacing/>
        <w:rPr>
          <w:rFonts w:ascii="Arial" w:eastAsia="Times New Roman" w:hAnsi="Arial" w:cs="Arial"/>
          <w:color w:val="000000" w:themeColor="text1"/>
          <w:sz w:val="19"/>
          <w:szCs w:val="19"/>
          <w:lang w:eastAsia="es-CO"/>
        </w:rPr>
      </w:pPr>
      <w:r w:rsidRPr="00DC493F">
        <w:rPr>
          <w:rStyle w:val="Refdenotaalpie"/>
          <w:rFonts w:ascii="Arial" w:hAnsi="Arial" w:cs="Arial"/>
          <w:color w:val="000000" w:themeColor="text1"/>
          <w:sz w:val="19"/>
          <w:szCs w:val="19"/>
        </w:rPr>
        <w:footnoteRef/>
      </w:r>
      <w:r w:rsidRPr="00DC493F">
        <w:rPr>
          <w:rFonts w:ascii="Arial" w:hAnsi="Arial" w:cs="Arial"/>
          <w:color w:val="000000" w:themeColor="text1"/>
          <w:sz w:val="19"/>
          <w:szCs w:val="19"/>
        </w:rPr>
        <w:t xml:space="preserve"> </w:t>
      </w:r>
      <w:r w:rsidRPr="00DC493F">
        <w:rPr>
          <w:rFonts w:ascii="Arial" w:eastAsia="Times New Roman" w:hAnsi="Arial" w:cs="Arial"/>
          <w:color w:val="000000" w:themeColor="text1"/>
          <w:sz w:val="19"/>
          <w:szCs w:val="19"/>
          <w:lang w:eastAsia="es-CO"/>
        </w:rPr>
        <w:t>Consejo de Estado. Sección Tercera. Subsección A. Sentencia del 19 de septiembre de 2019. Exp. 59.432. C.P. Marta Nubia Velásquez Rico.</w:t>
      </w:r>
    </w:p>
    <w:p w14:paraId="226BE1F4" w14:textId="77777777" w:rsidR="00783C39" w:rsidRPr="00DC493F" w:rsidRDefault="00783C39" w:rsidP="00193C39">
      <w:pPr>
        <w:pStyle w:val="Textonotapie"/>
        <w:spacing w:after="0" w:line="240" w:lineRule="auto"/>
        <w:ind w:firstLine="708"/>
        <w:contextualSpacing/>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9B1E" w14:textId="77777777" w:rsidR="00412132" w:rsidRDefault="003D3689">
    <w:pPr>
      <w:pStyle w:val="Encabezado"/>
    </w:pPr>
    <w:r>
      <w:rPr>
        <w:noProof/>
        <w:lang w:val="es-CO" w:eastAsia="es-CO"/>
      </w:rPr>
      <w:drawing>
        <wp:anchor distT="0" distB="0" distL="114300" distR="114300" simplePos="0" relativeHeight="251659264" behindDoc="1" locked="0" layoutInCell="1" allowOverlap="1" wp14:anchorId="3627C68D" wp14:editId="2EF8DB20">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03A231" w14:textId="77777777" w:rsidR="00FE0395" w:rsidRDefault="00000000" w:rsidP="00FE0395">
    <w:pPr>
      <w:pStyle w:val="Encabezado"/>
      <w:spacing w:after="0"/>
    </w:pPr>
  </w:p>
  <w:p w14:paraId="137218E8" w14:textId="77777777" w:rsidR="00412132"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6F09"/>
    <w:multiLevelType w:val="multilevel"/>
    <w:tmpl w:val="689213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BA56EEF"/>
    <w:multiLevelType w:val="multilevel"/>
    <w:tmpl w:val="231403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8314542">
    <w:abstractNumId w:val="0"/>
  </w:num>
  <w:num w:numId="2" w16cid:durableId="61618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99"/>
    <w:rsid w:val="000031FA"/>
    <w:rsid w:val="000156B4"/>
    <w:rsid w:val="00023B56"/>
    <w:rsid w:val="0002586C"/>
    <w:rsid w:val="0002786E"/>
    <w:rsid w:val="00035099"/>
    <w:rsid w:val="00036F87"/>
    <w:rsid w:val="00055467"/>
    <w:rsid w:val="00057FDF"/>
    <w:rsid w:val="00062F37"/>
    <w:rsid w:val="00066156"/>
    <w:rsid w:val="000701F2"/>
    <w:rsid w:val="00080E8C"/>
    <w:rsid w:val="00081329"/>
    <w:rsid w:val="000904A2"/>
    <w:rsid w:val="000A0AAA"/>
    <w:rsid w:val="000A262E"/>
    <w:rsid w:val="000B0EE7"/>
    <w:rsid w:val="000B249A"/>
    <w:rsid w:val="000B343C"/>
    <w:rsid w:val="000B731C"/>
    <w:rsid w:val="000C0E39"/>
    <w:rsid w:val="000C4AB4"/>
    <w:rsid w:val="000C6BFA"/>
    <w:rsid w:val="000E03B5"/>
    <w:rsid w:val="000E4A1B"/>
    <w:rsid w:val="000E6BB8"/>
    <w:rsid w:val="000F0E9B"/>
    <w:rsid w:val="000F11CC"/>
    <w:rsid w:val="00101594"/>
    <w:rsid w:val="0011362A"/>
    <w:rsid w:val="00115297"/>
    <w:rsid w:val="00116BCF"/>
    <w:rsid w:val="0012035E"/>
    <w:rsid w:val="00132D36"/>
    <w:rsid w:val="001334D8"/>
    <w:rsid w:val="00136065"/>
    <w:rsid w:val="001500F3"/>
    <w:rsid w:val="00152BC5"/>
    <w:rsid w:val="0015624F"/>
    <w:rsid w:val="001604F7"/>
    <w:rsid w:val="00161F75"/>
    <w:rsid w:val="001647ED"/>
    <w:rsid w:val="00166BEE"/>
    <w:rsid w:val="0016704E"/>
    <w:rsid w:val="00171EA4"/>
    <w:rsid w:val="00176843"/>
    <w:rsid w:val="00192EF0"/>
    <w:rsid w:val="00193C39"/>
    <w:rsid w:val="00194385"/>
    <w:rsid w:val="001A0166"/>
    <w:rsid w:val="001B0907"/>
    <w:rsid w:val="001B70E3"/>
    <w:rsid w:val="001D0C2E"/>
    <w:rsid w:val="001D559D"/>
    <w:rsid w:val="001D6B27"/>
    <w:rsid w:val="001E0DF8"/>
    <w:rsid w:val="001E5064"/>
    <w:rsid w:val="001E6948"/>
    <w:rsid w:val="001F5ED6"/>
    <w:rsid w:val="00204DC8"/>
    <w:rsid w:val="00206D37"/>
    <w:rsid w:val="00210D15"/>
    <w:rsid w:val="00212C02"/>
    <w:rsid w:val="00213D38"/>
    <w:rsid w:val="00216D05"/>
    <w:rsid w:val="00224DDA"/>
    <w:rsid w:val="00225A83"/>
    <w:rsid w:val="00232EC6"/>
    <w:rsid w:val="002337A9"/>
    <w:rsid w:val="00234297"/>
    <w:rsid w:val="0023670C"/>
    <w:rsid w:val="00240437"/>
    <w:rsid w:val="002447F4"/>
    <w:rsid w:val="0024490D"/>
    <w:rsid w:val="00263773"/>
    <w:rsid w:val="0026678C"/>
    <w:rsid w:val="002731C0"/>
    <w:rsid w:val="00280E45"/>
    <w:rsid w:val="002837D8"/>
    <w:rsid w:val="002869E6"/>
    <w:rsid w:val="002A6871"/>
    <w:rsid w:val="002B1226"/>
    <w:rsid w:val="002B7B17"/>
    <w:rsid w:val="002C79E0"/>
    <w:rsid w:val="002C7B24"/>
    <w:rsid w:val="002D3F28"/>
    <w:rsid w:val="002E1B18"/>
    <w:rsid w:val="002E1B9A"/>
    <w:rsid w:val="002E6784"/>
    <w:rsid w:val="002E6AB2"/>
    <w:rsid w:val="002F1105"/>
    <w:rsid w:val="0031501C"/>
    <w:rsid w:val="003253D6"/>
    <w:rsid w:val="0034548A"/>
    <w:rsid w:val="003503FE"/>
    <w:rsid w:val="00352372"/>
    <w:rsid w:val="00352933"/>
    <w:rsid w:val="0036202D"/>
    <w:rsid w:val="0036374F"/>
    <w:rsid w:val="00363CF4"/>
    <w:rsid w:val="00363D95"/>
    <w:rsid w:val="00363F3F"/>
    <w:rsid w:val="00365DCF"/>
    <w:rsid w:val="00366B24"/>
    <w:rsid w:val="003715DE"/>
    <w:rsid w:val="00372057"/>
    <w:rsid w:val="00377237"/>
    <w:rsid w:val="00383DE8"/>
    <w:rsid w:val="003910FC"/>
    <w:rsid w:val="00396579"/>
    <w:rsid w:val="00396B0E"/>
    <w:rsid w:val="003A0671"/>
    <w:rsid w:val="003A2789"/>
    <w:rsid w:val="003A498D"/>
    <w:rsid w:val="003A6241"/>
    <w:rsid w:val="003B16FF"/>
    <w:rsid w:val="003D3689"/>
    <w:rsid w:val="003D79C1"/>
    <w:rsid w:val="003E0AC0"/>
    <w:rsid w:val="003F1BBB"/>
    <w:rsid w:val="003F5205"/>
    <w:rsid w:val="00404C5D"/>
    <w:rsid w:val="00426BCB"/>
    <w:rsid w:val="0042767F"/>
    <w:rsid w:val="00433451"/>
    <w:rsid w:val="00437201"/>
    <w:rsid w:val="00437E6A"/>
    <w:rsid w:val="00440241"/>
    <w:rsid w:val="00444285"/>
    <w:rsid w:val="00445D29"/>
    <w:rsid w:val="0045093E"/>
    <w:rsid w:val="00454B6F"/>
    <w:rsid w:val="00455972"/>
    <w:rsid w:val="00455CA1"/>
    <w:rsid w:val="0045602C"/>
    <w:rsid w:val="00457987"/>
    <w:rsid w:val="00457C4C"/>
    <w:rsid w:val="00461892"/>
    <w:rsid w:val="004673D7"/>
    <w:rsid w:val="0048217E"/>
    <w:rsid w:val="00485302"/>
    <w:rsid w:val="00485574"/>
    <w:rsid w:val="00487710"/>
    <w:rsid w:val="00497692"/>
    <w:rsid w:val="004B5310"/>
    <w:rsid w:val="004B5BBE"/>
    <w:rsid w:val="004C0AAD"/>
    <w:rsid w:val="004C38BB"/>
    <w:rsid w:val="004D2E2F"/>
    <w:rsid w:val="004D3A20"/>
    <w:rsid w:val="004D6F38"/>
    <w:rsid w:val="004D7CB6"/>
    <w:rsid w:val="004D7F51"/>
    <w:rsid w:val="004E133C"/>
    <w:rsid w:val="004E2B12"/>
    <w:rsid w:val="004E304E"/>
    <w:rsid w:val="004E5C7D"/>
    <w:rsid w:val="004F0581"/>
    <w:rsid w:val="004F075B"/>
    <w:rsid w:val="004F36F8"/>
    <w:rsid w:val="004F666E"/>
    <w:rsid w:val="005033CD"/>
    <w:rsid w:val="005041CF"/>
    <w:rsid w:val="005124D4"/>
    <w:rsid w:val="00517D50"/>
    <w:rsid w:val="0052728C"/>
    <w:rsid w:val="00527ACF"/>
    <w:rsid w:val="00530B58"/>
    <w:rsid w:val="00533C75"/>
    <w:rsid w:val="0053567C"/>
    <w:rsid w:val="00552CAC"/>
    <w:rsid w:val="00553986"/>
    <w:rsid w:val="005603B1"/>
    <w:rsid w:val="00562BD5"/>
    <w:rsid w:val="005647CE"/>
    <w:rsid w:val="00565665"/>
    <w:rsid w:val="0056727C"/>
    <w:rsid w:val="005828BC"/>
    <w:rsid w:val="00587325"/>
    <w:rsid w:val="00590167"/>
    <w:rsid w:val="00591DA8"/>
    <w:rsid w:val="00593B60"/>
    <w:rsid w:val="00594158"/>
    <w:rsid w:val="005960DB"/>
    <w:rsid w:val="005A0CEA"/>
    <w:rsid w:val="005A217F"/>
    <w:rsid w:val="005A3C8C"/>
    <w:rsid w:val="005B45F0"/>
    <w:rsid w:val="005C0676"/>
    <w:rsid w:val="005C1E08"/>
    <w:rsid w:val="005D0563"/>
    <w:rsid w:val="005E543A"/>
    <w:rsid w:val="005E614D"/>
    <w:rsid w:val="005E725D"/>
    <w:rsid w:val="005F20F2"/>
    <w:rsid w:val="005F2C99"/>
    <w:rsid w:val="0060398B"/>
    <w:rsid w:val="00607FE0"/>
    <w:rsid w:val="006124C9"/>
    <w:rsid w:val="0061603E"/>
    <w:rsid w:val="006205FA"/>
    <w:rsid w:val="00626036"/>
    <w:rsid w:val="00627B0D"/>
    <w:rsid w:val="006313A1"/>
    <w:rsid w:val="006471DA"/>
    <w:rsid w:val="00647759"/>
    <w:rsid w:val="00652675"/>
    <w:rsid w:val="006528E9"/>
    <w:rsid w:val="006610BD"/>
    <w:rsid w:val="0066751E"/>
    <w:rsid w:val="0066787D"/>
    <w:rsid w:val="00667E18"/>
    <w:rsid w:val="00672E04"/>
    <w:rsid w:val="0067350F"/>
    <w:rsid w:val="0067721F"/>
    <w:rsid w:val="00680E6D"/>
    <w:rsid w:val="00681057"/>
    <w:rsid w:val="006850E0"/>
    <w:rsid w:val="0068556D"/>
    <w:rsid w:val="006906CB"/>
    <w:rsid w:val="006967C0"/>
    <w:rsid w:val="006A1A57"/>
    <w:rsid w:val="006A7777"/>
    <w:rsid w:val="006B2283"/>
    <w:rsid w:val="006B4E23"/>
    <w:rsid w:val="006C474B"/>
    <w:rsid w:val="006C687C"/>
    <w:rsid w:val="006E5EF9"/>
    <w:rsid w:val="006E6919"/>
    <w:rsid w:val="007075F2"/>
    <w:rsid w:val="0071095F"/>
    <w:rsid w:val="00711392"/>
    <w:rsid w:val="0073185C"/>
    <w:rsid w:val="00731B57"/>
    <w:rsid w:val="00734189"/>
    <w:rsid w:val="00734827"/>
    <w:rsid w:val="00743BFC"/>
    <w:rsid w:val="00750E39"/>
    <w:rsid w:val="00751D36"/>
    <w:rsid w:val="00762011"/>
    <w:rsid w:val="00765EEA"/>
    <w:rsid w:val="00766DE9"/>
    <w:rsid w:val="00770615"/>
    <w:rsid w:val="00770ED0"/>
    <w:rsid w:val="00773B98"/>
    <w:rsid w:val="007762A0"/>
    <w:rsid w:val="00783C39"/>
    <w:rsid w:val="007844A9"/>
    <w:rsid w:val="00794719"/>
    <w:rsid w:val="007A0103"/>
    <w:rsid w:val="007A0C4E"/>
    <w:rsid w:val="007A38D0"/>
    <w:rsid w:val="007A7734"/>
    <w:rsid w:val="007D135B"/>
    <w:rsid w:val="007D1861"/>
    <w:rsid w:val="007D35CB"/>
    <w:rsid w:val="007D44F6"/>
    <w:rsid w:val="007E1DE0"/>
    <w:rsid w:val="007E27E0"/>
    <w:rsid w:val="007E68EB"/>
    <w:rsid w:val="007F391F"/>
    <w:rsid w:val="00803833"/>
    <w:rsid w:val="00803B65"/>
    <w:rsid w:val="00812E59"/>
    <w:rsid w:val="00816709"/>
    <w:rsid w:val="00822CF0"/>
    <w:rsid w:val="00824A29"/>
    <w:rsid w:val="0083729B"/>
    <w:rsid w:val="0085682C"/>
    <w:rsid w:val="00857532"/>
    <w:rsid w:val="008617F1"/>
    <w:rsid w:val="00861F1F"/>
    <w:rsid w:val="0086367A"/>
    <w:rsid w:val="008640E6"/>
    <w:rsid w:val="008642DB"/>
    <w:rsid w:val="00865A86"/>
    <w:rsid w:val="00867DDC"/>
    <w:rsid w:val="00872349"/>
    <w:rsid w:val="00873B5C"/>
    <w:rsid w:val="008763A4"/>
    <w:rsid w:val="0088271D"/>
    <w:rsid w:val="00886FBD"/>
    <w:rsid w:val="00895DB2"/>
    <w:rsid w:val="0089793A"/>
    <w:rsid w:val="008A097F"/>
    <w:rsid w:val="008B0AC6"/>
    <w:rsid w:val="008B27DA"/>
    <w:rsid w:val="008B3501"/>
    <w:rsid w:val="008B6FBE"/>
    <w:rsid w:val="008C065A"/>
    <w:rsid w:val="008D17E9"/>
    <w:rsid w:val="008E18CD"/>
    <w:rsid w:val="008F0B8A"/>
    <w:rsid w:val="008F667A"/>
    <w:rsid w:val="009018FF"/>
    <w:rsid w:val="00904991"/>
    <w:rsid w:val="009217E0"/>
    <w:rsid w:val="009252F3"/>
    <w:rsid w:val="0092684E"/>
    <w:rsid w:val="00927783"/>
    <w:rsid w:val="0093243C"/>
    <w:rsid w:val="00935747"/>
    <w:rsid w:val="009364A3"/>
    <w:rsid w:val="00936CBC"/>
    <w:rsid w:val="00937489"/>
    <w:rsid w:val="00946D88"/>
    <w:rsid w:val="00967B65"/>
    <w:rsid w:val="009730D5"/>
    <w:rsid w:val="009738B3"/>
    <w:rsid w:val="009742E0"/>
    <w:rsid w:val="009762BE"/>
    <w:rsid w:val="00976CBC"/>
    <w:rsid w:val="00983E6C"/>
    <w:rsid w:val="00994E87"/>
    <w:rsid w:val="00996E32"/>
    <w:rsid w:val="009A5F38"/>
    <w:rsid w:val="009B2DEB"/>
    <w:rsid w:val="009C014B"/>
    <w:rsid w:val="009C1545"/>
    <w:rsid w:val="009D5F58"/>
    <w:rsid w:val="009E6762"/>
    <w:rsid w:val="009F0C16"/>
    <w:rsid w:val="009F350C"/>
    <w:rsid w:val="00A0219D"/>
    <w:rsid w:val="00A04E07"/>
    <w:rsid w:val="00A15AD1"/>
    <w:rsid w:val="00A164A5"/>
    <w:rsid w:val="00A165B0"/>
    <w:rsid w:val="00A176A7"/>
    <w:rsid w:val="00A23398"/>
    <w:rsid w:val="00A32100"/>
    <w:rsid w:val="00A32BE6"/>
    <w:rsid w:val="00A34E16"/>
    <w:rsid w:val="00A36C85"/>
    <w:rsid w:val="00A46327"/>
    <w:rsid w:val="00A57597"/>
    <w:rsid w:val="00A57660"/>
    <w:rsid w:val="00A72794"/>
    <w:rsid w:val="00A940D2"/>
    <w:rsid w:val="00A96409"/>
    <w:rsid w:val="00AA35FA"/>
    <w:rsid w:val="00AA3C19"/>
    <w:rsid w:val="00AA4FB4"/>
    <w:rsid w:val="00AA7E1B"/>
    <w:rsid w:val="00AB0ADA"/>
    <w:rsid w:val="00AB129C"/>
    <w:rsid w:val="00AC64AE"/>
    <w:rsid w:val="00AD0217"/>
    <w:rsid w:val="00AD0E42"/>
    <w:rsid w:val="00AD3486"/>
    <w:rsid w:val="00AE16BC"/>
    <w:rsid w:val="00AF16BF"/>
    <w:rsid w:val="00AF1BF4"/>
    <w:rsid w:val="00AF3EFA"/>
    <w:rsid w:val="00AF5977"/>
    <w:rsid w:val="00B007A0"/>
    <w:rsid w:val="00B03590"/>
    <w:rsid w:val="00B06E8B"/>
    <w:rsid w:val="00B12EBB"/>
    <w:rsid w:val="00B16523"/>
    <w:rsid w:val="00B3520E"/>
    <w:rsid w:val="00B35442"/>
    <w:rsid w:val="00B40D56"/>
    <w:rsid w:val="00B424B6"/>
    <w:rsid w:val="00B4402A"/>
    <w:rsid w:val="00B444FD"/>
    <w:rsid w:val="00B46F93"/>
    <w:rsid w:val="00B51046"/>
    <w:rsid w:val="00B543EF"/>
    <w:rsid w:val="00B554B4"/>
    <w:rsid w:val="00B61DED"/>
    <w:rsid w:val="00B61F7C"/>
    <w:rsid w:val="00B667C3"/>
    <w:rsid w:val="00B679E6"/>
    <w:rsid w:val="00B71ED8"/>
    <w:rsid w:val="00B76587"/>
    <w:rsid w:val="00B94C01"/>
    <w:rsid w:val="00B970EA"/>
    <w:rsid w:val="00BB0E99"/>
    <w:rsid w:val="00BB52E0"/>
    <w:rsid w:val="00BC399C"/>
    <w:rsid w:val="00BC6501"/>
    <w:rsid w:val="00BD35A8"/>
    <w:rsid w:val="00BE1378"/>
    <w:rsid w:val="00C002A8"/>
    <w:rsid w:val="00C00A4B"/>
    <w:rsid w:val="00C116DC"/>
    <w:rsid w:val="00C12063"/>
    <w:rsid w:val="00C12134"/>
    <w:rsid w:val="00C126B4"/>
    <w:rsid w:val="00C22D19"/>
    <w:rsid w:val="00C335D3"/>
    <w:rsid w:val="00C41A3D"/>
    <w:rsid w:val="00C43510"/>
    <w:rsid w:val="00C764F8"/>
    <w:rsid w:val="00C77BF3"/>
    <w:rsid w:val="00C85F9E"/>
    <w:rsid w:val="00C86383"/>
    <w:rsid w:val="00C86EB0"/>
    <w:rsid w:val="00C90629"/>
    <w:rsid w:val="00C92CFE"/>
    <w:rsid w:val="00C941D6"/>
    <w:rsid w:val="00C95005"/>
    <w:rsid w:val="00CA1022"/>
    <w:rsid w:val="00CA5CA6"/>
    <w:rsid w:val="00CB1191"/>
    <w:rsid w:val="00CB7BD4"/>
    <w:rsid w:val="00CC0867"/>
    <w:rsid w:val="00CC1936"/>
    <w:rsid w:val="00CC2B1B"/>
    <w:rsid w:val="00CC6ADF"/>
    <w:rsid w:val="00CC7B57"/>
    <w:rsid w:val="00CC7E0F"/>
    <w:rsid w:val="00CD2532"/>
    <w:rsid w:val="00CD565F"/>
    <w:rsid w:val="00CE2977"/>
    <w:rsid w:val="00CE61A4"/>
    <w:rsid w:val="00CF0EB2"/>
    <w:rsid w:val="00CF1010"/>
    <w:rsid w:val="00CF1C17"/>
    <w:rsid w:val="00CF7151"/>
    <w:rsid w:val="00D03DAB"/>
    <w:rsid w:val="00D14052"/>
    <w:rsid w:val="00D26899"/>
    <w:rsid w:val="00D27FC6"/>
    <w:rsid w:val="00D3762F"/>
    <w:rsid w:val="00D40CEA"/>
    <w:rsid w:val="00D44693"/>
    <w:rsid w:val="00D51755"/>
    <w:rsid w:val="00D52427"/>
    <w:rsid w:val="00D5456B"/>
    <w:rsid w:val="00D56F57"/>
    <w:rsid w:val="00D5791D"/>
    <w:rsid w:val="00D61084"/>
    <w:rsid w:val="00D648BD"/>
    <w:rsid w:val="00D679DF"/>
    <w:rsid w:val="00D738BD"/>
    <w:rsid w:val="00D76156"/>
    <w:rsid w:val="00D83FD1"/>
    <w:rsid w:val="00D845FD"/>
    <w:rsid w:val="00D8773A"/>
    <w:rsid w:val="00D917CB"/>
    <w:rsid w:val="00D947AE"/>
    <w:rsid w:val="00DA0848"/>
    <w:rsid w:val="00DA0C14"/>
    <w:rsid w:val="00DA1646"/>
    <w:rsid w:val="00DA5629"/>
    <w:rsid w:val="00DB4EB6"/>
    <w:rsid w:val="00DB7EBF"/>
    <w:rsid w:val="00DC0B0E"/>
    <w:rsid w:val="00DC493F"/>
    <w:rsid w:val="00DC4DD5"/>
    <w:rsid w:val="00DD2397"/>
    <w:rsid w:val="00DE1171"/>
    <w:rsid w:val="00DE140E"/>
    <w:rsid w:val="00DE3090"/>
    <w:rsid w:val="00DE7E84"/>
    <w:rsid w:val="00DF00DE"/>
    <w:rsid w:val="00DF09C2"/>
    <w:rsid w:val="00DF4CF3"/>
    <w:rsid w:val="00DF6A9E"/>
    <w:rsid w:val="00E003D2"/>
    <w:rsid w:val="00E2436D"/>
    <w:rsid w:val="00E33537"/>
    <w:rsid w:val="00E3750D"/>
    <w:rsid w:val="00E415EB"/>
    <w:rsid w:val="00E4626C"/>
    <w:rsid w:val="00E54BD1"/>
    <w:rsid w:val="00E56556"/>
    <w:rsid w:val="00E6101D"/>
    <w:rsid w:val="00E65CA4"/>
    <w:rsid w:val="00E6662E"/>
    <w:rsid w:val="00E703E5"/>
    <w:rsid w:val="00E72663"/>
    <w:rsid w:val="00E8089A"/>
    <w:rsid w:val="00E8436D"/>
    <w:rsid w:val="00E92178"/>
    <w:rsid w:val="00E94131"/>
    <w:rsid w:val="00EA0092"/>
    <w:rsid w:val="00EA1291"/>
    <w:rsid w:val="00EA17AA"/>
    <w:rsid w:val="00EB378E"/>
    <w:rsid w:val="00EB5B91"/>
    <w:rsid w:val="00EB5E5C"/>
    <w:rsid w:val="00EB734A"/>
    <w:rsid w:val="00EC46F8"/>
    <w:rsid w:val="00EC4EBA"/>
    <w:rsid w:val="00EC62F0"/>
    <w:rsid w:val="00EE09F6"/>
    <w:rsid w:val="00EE6587"/>
    <w:rsid w:val="00EF1290"/>
    <w:rsid w:val="00EF44D6"/>
    <w:rsid w:val="00EF70DB"/>
    <w:rsid w:val="00EF7A5C"/>
    <w:rsid w:val="00F04A10"/>
    <w:rsid w:val="00F11A03"/>
    <w:rsid w:val="00F15788"/>
    <w:rsid w:val="00F20372"/>
    <w:rsid w:val="00F30717"/>
    <w:rsid w:val="00F312AC"/>
    <w:rsid w:val="00F3623A"/>
    <w:rsid w:val="00F451D5"/>
    <w:rsid w:val="00F546B6"/>
    <w:rsid w:val="00F63A92"/>
    <w:rsid w:val="00F64158"/>
    <w:rsid w:val="00F648FE"/>
    <w:rsid w:val="00F70766"/>
    <w:rsid w:val="00F747E4"/>
    <w:rsid w:val="00F7580B"/>
    <w:rsid w:val="00F75C30"/>
    <w:rsid w:val="00F8223E"/>
    <w:rsid w:val="00F878A1"/>
    <w:rsid w:val="00F90BCB"/>
    <w:rsid w:val="00F92781"/>
    <w:rsid w:val="00F94453"/>
    <w:rsid w:val="00F95FB5"/>
    <w:rsid w:val="00F96A55"/>
    <w:rsid w:val="00FA2E8F"/>
    <w:rsid w:val="00FC3EB8"/>
    <w:rsid w:val="00FE43B8"/>
    <w:rsid w:val="00FE5822"/>
    <w:rsid w:val="00FE62E6"/>
    <w:rsid w:val="00FF0DAA"/>
    <w:rsid w:val="00FF2682"/>
    <w:rsid w:val="00FF4EBE"/>
    <w:rsid w:val="1AAD68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31A6"/>
  <w15:chartTrackingRefBased/>
  <w15:docId w15:val="{E2E90ACD-BA17-4951-B6A0-CA7F3C0A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F2C99"/>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5F2C99"/>
    <w:rPr>
      <w:sz w:val="24"/>
      <w:lang w:val="es-MX"/>
    </w:rPr>
  </w:style>
  <w:style w:type="paragraph" w:styleId="Encabezado">
    <w:name w:val="header"/>
    <w:basedOn w:val="Normal"/>
    <w:link w:val="EncabezadoCar"/>
    <w:uiPriority w:val="99"/>
    <w:unhideWhenUsed/>
    <w:rsid w:val="005F2C99"/>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5F2C99"/>
    <w:rPr>
      <w:sz w:val="24"/>
      <w:lang w:val="es-MX"/>
    </w:rPr>
  </w:style>
  <w:style w:type="table" w:styleId="Tablaconcuadrcula">
    <w:name w:val="Table Grid"/>
    <w:basedOn w:val="Tablanormal"/>
    <w:uiPriority w:val="59"/>
    <w:rsid w:val="005F2C9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5F2C99"/>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1"/>
    <w:qFormat/>
    <w:rsid w:val="005F2C99"/>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F2C9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5F2C99"/>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5F2C9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5F2C99"/>
    <w:rPr>
      <w:vertAlign w:val="superscript"/>
    </w:rPr>
  </w:style>
  <w:style w:type="paragraph" w:customStyle="1" w:styleId="Appelnotedebasde">
    <w:name w:val="Appel note de bas de..."/>
    <w:basedOn w:val="Normal"/>
    <w:link w:val="Refdenotaalpie"/>
    <w:uiPriority w:val="99"/>
    <w:rsid w:val="005F2C99"/>
    <w:pPr>
      <w:spacing w:line="240" w:lineRule="exact"/>
      <w:jc w:val="both"/>
    </w:pPr>
    <w:rPr>
      <w:vertAlign w:val="superscript"/>
    </w:rPr>
  </w:style>
  <w:style w:type="character" w:customStyle="1" w:styleId="NormalWebCar">
    <w:name w:val="Normal (Web) Car"/>
    <w:link w:val="NormalWeb"/>
    <w:uiPriority w:val="99"/>
    <w:locked/>
    <w:rsid w:val="005F2C99"/>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5F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F7151"/>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rsid w:val="00CF7151"/>
    <w:rPr>
      <w:sz w:val="20"/>
      <w:szCs w:val="20"/>
      <w:lang w:val="es-MX"/>
    </w:rPr>
  </w:style>
  <w:style w:type="paragraph" w:customStyle="1" w:styleId="InviasNormal">
    <w:name w:val="Invias Normal"/>
    <w:basedOn w:val="Normal"/>
    <w:link w:val="InviasNormalCar"/>
    <w:qFormat/>
    <w:rsid w:val="00CF7151"/>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CF7151"/>
    <w:rPr>
      <w:rFonts w:ascii="Arial Narrow" w:eastAsia="Times New Roman" w:hAnsi="Arial Narrow" w:cs="Times New Roman"/>
      <w:sz w:val="24"/>
      <w:szCs w:val="24"/>
      <w:lang w:val="x-none" w:eastAsia="es-ES"/>
    </w:rPr>
  </w:style>
  <w:style w:type="character" w:styleId="Textoennegrita">
    <w:name w:val="Strong"/>
    <w:basedOn w:val="Fuentedeprrafopredeter"/>
    <w:uiPriority w:val="22"/>
    <w:qFormat/>
    <w:rsid w:val="0066787D"/>
    <w:rPr>
      <w:b/>
      <w:bCs/>
    </w:rPr>
  </w:style>
  <w:style w:type="character" w:styleId="nfasis">
    <w:name w:val="Emphasis"/>
    <w:basedOn w:val="Fuentedeprrafopredeter"/>
    <w:uiPriority w:val="20"/>
    <w:qFormat/>
    <w:rsid w:val="0066787D"/>
    <w:rPr>
      <w:i/>
      <w:iCs/>
    </w:rPr>
  </w:style>
  <w:style w:type="paragraph" w:styleId="Textoindependiente">
    <w:name w:val="Body Text"/>
    <w:basedOn w:val="Normal"/>
    <w:link w:val="TextoindependienteCar"/>
    <w:uiPriority w:val="1"/>
    <w:qFormat/>
    <w:rsid w:val="00FA2E8F"/>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A2E8F"/>
    <w:rPr>
      <w:rFonts w:ascii="Arial MT" w:eastAsia="Arial MT" w:hAnsi="Arial MT" w:cs="Arial MT"/>
      <w:lang w:val="es-ES"/>
    </w:rPr>
  </w:style>
  <w:style w:type="character" w:customStyle="1" w:styleId="Hipervnculo1">
    <w:name w:val="Hipervínculo1"/>
    <w:basedOn w:val="Fuentedeprrafopredeter"/>
    <w:uiPriority w:val="99"/>
    <w:unhideWhenUsed/>
    <w:rsid w:val="00D56F57"/>
    <w:rPr>
      <w:color w:val="F2F2F2"/>
      <w:u w:val="single"/>
    </w:rPr>
  </w:style>
  <w:style w:type="character" w:styleId="Hipervnculo">
    <w:name w:val="Hyperlink"/>
    <w:basedOn w:val="Fuentedeprrafopredeter"/>
    <w:uiPriority w:val="99"/>
    <w:unhideWhenUsed/>
    <w:rsid w:val="00D56F57"/>
    <w:rPr>
      <w:color w:val="0563C1" w:themeColor="hyperlink"/>
      <w:u w:val="single"/>
    </w:rPr>
  </w:style>
  <w:style w:type="paragraph" w:styleId="Revisin">
    <w:name w:val="Revision"/>
    <w:hidden/>
    <w:uiPriority w:val="99"/>
    <w:semiHidden/>
    <w:rsid w:val="00FC3EB8"/>
    <w:pPr>
      <w:spacing w:after="0" w:line="240" w:lineRule="auto"/>
    </w:pPr>
  </w:style>
  <w:style w:type="paragraph" w:customStyle="1" w:styleId="paragraph">
    <w:name w:val="paragraph"/>
    <w:basedOn w:val="Normal"/>
    <w:rsid w:val="00783C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83C39"/>
  </w:style>
  <w:style w:type="character" w:customStyle="1" w:styleId="eop">
    <w:name w:val="eop"/>
    <w:basedOn w:val="Fuentedeprrafopredeter"/>
    <w:rsid w:val="00783C39"/>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87325"/>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7325"/>
    <w:rPr>
      <w:sz w:val="24"/>
      <w:lang w:val="es-MX"/>
    </w:rPr>
  </w:style>
  <w:style w:type="character" w:styleId="Refdecomentario">
    <w:name w:val="annotation reference"/>
    <w:basedOn w:val="Fuentedeprrafopredeter"/>
    <w:uiPriority w:val="99"/>
    <w:semiHidden/>
    <w:unhideWhenUsed/>
    <w:rsid w:val="007075F2"/>
    <w:rPr>
      <w:sz w:val="16"/>
      <w:szCs w:val="16"/>
    </w:rPr>
  </w:style>
  <w:style w:type="paragraph" w:styleId="Asuntodelcomentario">
    <w:name w:val="annotation subject"/>
    <w:basedOn w:val="Textocomentario"/>
    <w:next w:val="Textocomentario"/>
    <w:link w:val="AsuntodelcomentarioCar"/>
    <w:uiPriority w:val="99"/>
    <w:semiHidden/>
    <w:unhideWhenUsed/>
    <w:rsid w:val="007075F2"/>
    <w:pPr>
      <w:spacing w:after="160"/>
    </w:pPr>
    <w:rPr>
      <w:b/>
      <w:bCs/>
      <w:lang w:val="es-CO"/>
    </w:rPr>
  </w:style>
  <w:style w:type="character" w:customStyle="1" w:styleId="AsuntodelcomentarioCar">
    <w:name w:val="Asunto del comentario Car"/>
    <w:basedOn w:val="TextocomentarioCar"/>
    <w:link w:val="Asuntodelcomentario"/>
    <w:uiPriority w:val="99"/>
    <w:semiHidden/>
    <w:rsid w:val="007075F2"/>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371EF-F1D2-42EF-88F0-9ED677075DB5}">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43E1085-5E7F-4AFC-9128-3D12C29103A9}">
  <ds:schemaRefs>
    <ds:schemaRef ds:uri="http://schemas.openxmlformats.org/officeDocument/2006/bibliography"/>
  </ds:schemaRefs>
</ds:datastoreItem>
</file>

<file path=customXml/itemProps3.xml><?xml version="1.0" encoding="utf-8"?>
<ds:datastoreItem xmlns:ds="http://schemas.openxmlformats.org/officeDocument/2006/customXml" ds:itemID="{7E7166B1-D65C-4D61-A054-9416E61CDAC4}">
  <ds:schemaRefs>
    <ds:schemaRef ds:uri="http://schemas.microsoft.com/sharepoint/v3/contenttype/forms"/>
  </ds:schemaRefs>
</ds:datastoreItem>
</file>

<file path=customXml/itemProps4.xml><?xml version="1.0" encoding="utf-8"?>
<ds:datastoreItem xmlns:ds="http://schemas.openxmlformats.org/officeDocument/2006/customXml" ds:itemID="{1DBF1FC8-9C4E-46AF-B043-404C305D1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5926</Words>
  <Characters>32597</Characters>
  <Application>Microsoft Office Word</Application>
  <DocSecurity>0</DocSecurity>
  <Lines>271</Lines>
  <Paragraphs>76</Paragraphs>
  <ScaleCrop>false</ScaleCrop>
  <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Jorge Eliecer Moran Buitrón</cp:lastModifiedBy>
  <cp:revision>4</cp:revision>
  <dcterms:created xsi:type="dcterms:W3CDTF">2022-10-18T15:54:00Z</dcterms:created>
  <dcterms:modified xsi:type="dcterms:W3CDTF">2022-10-18T20:13:00Z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