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F66F" w14:textId="77777777" w:rsidR="007B6E2C" w:rsidRPr="007B6E2C" w:rsidRDefault="007B6E2C" w:rsidP="007B6E2C">
      <w:pPr>
        <w:spacing w:line="276" w:lineRule="auto"/>
        <w:jc w:val="both"/>
        <w:rPr>
          <w:rFonts w:ascii="Geomanist Light" w:eastAsia="Calibri" w:hAnsi="Geomanist Light" w:cs="Arial"/>
          <w:b/>
          <w:sz w:val="22"/>
          <w:lang w:val="es-ES"/>
        </w:rPr>
      </w:pPr>
      <w:r w:rsidRPr="007B6E2C">
        <w:rPr>
          <w:rFonts w:ascii="Geomanist Light" w:hAnsi="Geomanist Light" w:cs="Arial"/>
          <w:b/>
          <w:sz w:val="22"/>
          <w:lang w:val="es-ES"/>
        </w:rPr>
        <w:t xml:space="preserve">EXPERIENCIA PROFESIONAL – </w:t>
      </w:r>
      <w:r w:rsidRPr="007B6E2C">
        <w:rPr>
          <w:rFonts w:ascii="Geomanist Light" w:eastAsia="Calibri" w:hAnsi="Geomanist Light" w:cs="Arial"/>
          <w:b/>
          <w:sz w:val="22"/>
          <w:lang w:val="es-ES"/>
        </w:rPr>
        <w:t xml:space="preserve">Certificación - </w:t>
      </w:r>
      <w:r w:rsidRPr="007B6E2C">
        <w:rPr>
          <w:rFonts w:ascii="Geomanist Light" w:hAnsi="Geomanist Light" w:cs="Arial"/>
          <w:b/>
          <w:sz w:val="22"/>
          <w:lang w:val="es-ES"/>
        </w:rPr>
        <w:t>Régimen normativo</w:t>
      </w:r>
      <w:r w:rsidRPr="007B6E2C">
        <w:rPr>
          <w:rFonts w:ascii="Geomanist Light" w:eastAsia="Calibri" w:hAnsi="Geomanist Light" w:cs="Arial"/>
          <w:b/>
          <w:sz w:val="22"/>
          <w:lang w:val="es-ES"/>
        </w:rPr>
        <w:t xml:space="preserve"> </w:t>
      </w:r>
    </w:p>
    <w:p w14:paraId="4B2EC9E7" w14:textId="77777777" w:rsidR="007B6E2C" w:rsidRDefault="007B6E2C" w:rsidP="007B6E2C">
      <w:pPr>
        <w:rPr>
          <w:rFonts w:ascii="Geomanist Light" w:eastAsia="Calibri" w:hAnsi="Geomanist Light" w:cs="Arial"/>
          <w:sz w:val="22"/>
          <w:lang w:val="es-ES_tradnl"/>
        </w:rPr>
      </w:pPr>
    </w:p>
    <w:p w14:paraId="5D048AFE" w14:textId="77777777" w:rsidR="007B6E2C" w:rsidRPr="00AB693B" w:rsidRDefault="007B6E2C" w:rsidP="007B6E2C">
      <w:pPr>
        <w:jc w:val="both"/>
        <w:rPr>
          <w:rFonts w:ascii="Geomanist Light" w:eastAsia="Calibri" w:hAnsi="Geomanist Light" w:cs="Arial"/>
          <w:b/>
          <w:sz w:val="20"/>
          <w:szCs w:val="20"/>
        </w:rPr>
      </w:pPr>
      <w:r w:rsidRPr="00AB693B">
        <w:rPr>
          <w:rFonts w:ascii="Geomanist Light" w:eastAsia="Calibri" w:hAnsi="Geomanist Light" w:cs="Arial"/>
          <w:sz w:val="20"/>
          <w:szCs w:val="20"/>
          <w:lang w:val="es-ES_tradnl"/>
        </w:rPr>
        <w:t>Expuesto el alcance del artículo 229 del Decreto ley 019 de 2012 en los anteriores términos, es posible afirmar que esta norma de ninguna manera establece una prerrogativa en virtud de la cual se releve de la acreditación de la experiencia. Esto comoquiera que la norma no establece una presunción en virtud de la cual deba validarse como experiencia general el tiempo transcurrido desde la expedición de la tarjeta profesional, sino que establece un momento a partir del cual la experiencia que se acredite podrá ser considerada como profesional.</w:t>
      </w:r>
      <w:r w:rsidRPr="00AB693B">
        <w:rPr>
          <w:rFonts w:ascii="Geomanist Light" w:eastAsia="Calibri" w:hAnsi="Geomanist Light" w:cs="Arial"/>
          <w:b/>
          <w:sz w:val="20"/>
          <w:szCs w:val="20"/>
        </w:rPr>
        <w:t xml:space="preserve"> </w:t>
      </w:r>
    </w:p>
    <w:p w14:paraId="12551794" w14:textId="77777777" w:rsidR="007B6E2C" w:rsidRDefault="007B6E2C" w:rsidP="007B6E2C">
      <w:pPr>
        <w:jc w:val="both"/>
        <w:rPr>
          <w:rFonts w:ascii="Geomanist Light" w:eastAsia="Calibri" w:hAnsi="Geomanist Light" w:cs="Arial"/>
          <w:b/>
          <w:sz w:val="22"/>
        </w:rPr>
      </w:pPr>
    </w:p>
    <w:p w14:paraId="6576526B" w14:textId="77777777" w:rsidR="007B6E2C" w:rsidRDefault="007B6E2C" w:rsidP="007B6E2C">
      <w:pPr>
        <w:jc w:val="both"/>
        <w:rPr>
          <w:rFonts w:ascii="Geomanist Light" w:eastAsia="Calibri" w:hAnsi="Geomanist Light" w:cs="Arial"/>
          <w:b/>
          <w:sz w:val="22"/>
        </w:rPr>
      </w:pPr>
      <w:r>
        <w:rPr>
          <w:rFonts w:ascii="Geomanist Light" w:eastAsia="Calibri" w:hAnsi="Geomanist Light" w:cs="Arial"/>
          <w:b/>
          <w:sz w:val="22"/>
        </w:rPr>
        <w:t>RUP – E</w:t>
      </w:r>
      <w:r w:rsidRPr="00C012F4">
        <w:rPr>
          <w:rFonts w:ascii="Geomanist Light" w:eastAsia="Calibri" w:hAnsi="Geomanist Light" w:cs="Arial"/>
          <w:b/>
          <w:sz w:val="22"/>
        </w:rPr>
        <w:t>xperiencia</w:t>
      </w:r>
      <w:r>
        <w:rPr>
          <w:rFonts w:ascii="Geomanist Light" w:eastAsia="Calibri" w:hAnsi="Geomanist Light" w:cs="Arial"/>
          <w:b/>
          <w:sz w:val="22"/>
        </w:rPr>
        <w:t xml:space="preserve"> – Certificación – Proceso de contratación </w:t>
      </w:r>
    </w:p>
    <w:p w14:paraId="29857805" w14:textId="77777777" w:rsidR="007B6E2C" w:rsidRDefault="007B6E2C" w:rsidP="007B6E2C">
      <w:pPr>
        <w:spacing w:line="276" w:lineRule="auto"/>
        <w:jc w:val="both"/>
        <w:rPr>
          <w:rFonts w:ascii="Geomanist Light" w:eastAsia="Calibri" w:hAnsi="Geomanist Light" w:cs="Arial"/>
          <w:sz w:val="22"/>
        </w:rPr>
      </w:pPr>
    </w:p>
    <w:p w14:paraId="0744C1EB" w14:textId="06709EB7" w:rsidR="007B6E2C" w:rsidRPr="00AB693B" w:rsidRDefault="007B6E2C" w:rsidP="007B6E2C">
      <w:pPr>
        <w:spacing w:line="276" w:lineRule="auto"/>
        <w:jc w:val="both"/>
        <w:rPr>
          <w:rFonts w:ascii="Geomanist Light" w:eastAsia="Calibri" w:hAnsi="Geomanist Light" w:cs="Arial"/>
          <w:sz w:val="20"/>
          <w:szCs w:val="20"/>
        </w:rPr>
      </w:pPr>
      <w:r w:rsidRPr="00AB693B">
        <w:rPr>
          <w:rFonts w:ascii="Geomanist Light" w:eastAsia="Calibri" w:hAnsi="Geomanist Light" w:cs="Arial"/>
          <w:sz w:val="20"/>
          <w:szCs w:val="20"/>
        </w:rPr>
        <w:t xml:space="preserve">Para ello, </w:t>
      </w:r>
      <w:r w:rsidRPr="00AB693B">
        <w:rPr>
          <w:rFonts w:ascii="Geomanist Light" w:hAnsi="Geomanist Light" w:cs="Arial"/>
          <w:sz w:val="20"/>
          <w:szCs w:val="20"/>
        </w:rPr>
        <w:t>el artículo 6 de la Ley 1150 de 2007 señala que todas las personas naturales o jurídicas, nacionales o extranjeras, domiciliadas o con sucursal en Colombia, que aspiren celebrar contratos con las entidades estatales deberán estar inscritas en el Registro Único de Proponentes–RUP–. En dicho registro constará la información relacionada con la experiencia, la capacidad jurídica, financiera y de organización del proponente y su clasificación.</w:t>
      </w:r>
      <w:r w:rsidRPr="00AB693B">
        <w:rPr>
          <w:rFonts w:ascii="Geomanist Light" w:eastAsia="Calibri" w:hAnsi="Geomanist Light" w:cs="Arial"/>
          <w:sz w:val="20"/>
          <w:szCs w:val="20"/>
        </w:rPr>
        <w:t xml:space="preserve"> El RUP constan los requisitos habilitantes que se evalúan exclusivamente con este documento, que es plena prueba, sin que la entidad o el proponente puedan, en principio, solicitar o aportar otra documentación.</w:t>
      </w:r>
    </w:p>
    <w:p w14:paraId="73D00F30" w14:textId="77777777" w:rsidR="007B6E2C" w:rsidRPr="00C012F4" w:rsidRDefault="007B6E2C" w:rsidP="00AB693B">
      <w:pPr>
        <w:spacing w:before="120" w:line="276" w:lineRule="auto"/>
        <w:jc w:val="both"/>
        <w:rPr>
          <w:rFonts w:ascii="Geomanist Light" w:eastAsia="Calibri" w:hAnsi="Geomanist Light" w:cs="Arial"/>
          <w:sz w:val="22"/>
        </w:rPr>
      </w:pPr>
      <w:r w:rsidRPr="00C012F4">
        <w:rPr>
          <w:rFonts w:ascii="Geomanist Light" w:eastAsia="Calibri" w:hAnsi="Geomanist Light" w:cs="Arial"/>
          <w:sz w:val="22"/>
        </w:rPr>
        <w:t xml:space="preserve">La experiencia debe inscribirse, renovarse o actualizarse en el RUP con copia de los contratos o con certificados de los contratos celebrados por el proponente con diferentes contratantes. Estos terceros expiden dichas certificaciones cuando el contrato fue ejecutado y recibieron los bienes, obras o servicios de parte del proponente.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27D3A019" w14:textId="77777777" w:rsidR="00C012F4" w:rsidRDefault="00C012F4" w:rsidP="581F2C72">
      <w:pPr>
        <w:rPr>
          <w:rFonts w:ascii="Geomanist Light" w:hAnsi="Geomanist Light" w:cs="Arial"/>
          <w:color w:val="000000" w:themeColor="text1"/>
          <w:sz w:val="22"/>
          <w:lang w:val="es-ES"/>
        </w:rPr>
      </w:pPr>
    </w:p>
    <w:p w14:paraId="46752569" w14:textId="77777777" w:rsidR="00C012F4" w:rsidRDefault="00C012F4" w:rsidP="581F2C72">
      <w:pPr>
        <w:rPr>
          <w:rFonts w:ascii="Geomanist Light" w:hAnsi="Geomanist Light" w:cs="Arial"/>
          <w:color w:val="000000" w:themeColor="text1"/>
          <w:sz w:val="22"/>
          <w:lang w:val="es-ES"/>
        </w:rPr>
      </w:pPr>
    </w:p>
    <w:p w14:paraId="1B7F48E9" w14:textId="77777777" w:rsidR="00C012F4" w:rsidRDefault="00C012F4" w:rsidP="581F2C72">
      <w:pPr>
        <w:rPr>
          <w:rFonts w:ascii="Geomanist Light" w:hAnsi="Geomanist Light" w:cs="Arial"/>
          <w:color w:val="000000" w:themeColor="text1"/>
          <w:sz w:val="22"/>
          <w:lang w:val="es-ES"/>
        </w:rPr>
      </w:pPr>
    </w:p>
    <w:p w14:paraId="58057599" w14:textId="77777777" w:rsidR="00C012F4" w:rsidRDefault="00C012F4" w:rsidP="581F2C72">
      <w:pPr>
        <w:rPr>
          <w:rFonts w:ascii="Geomanist Light" w:hAnsi="Geomanist Light" w:cs="Arial"/>
          <w:color w:val="000000" w:themeColor="text1"/>
          <w:sz w:val="22"/>
          <w:lang w:val="es-ES"/>
        </w:rPr>
      </w:pPr>
    </w:p>
    <w:p w14:paraId="392CFC6B" w14:textId="77777777" w:rsidR="00C012F4" w:rsidRDefault="00C012F4" w:rsidP="581F2C72">
      <w:pPr>
        <w:rPr>
          <w:rFonts w:ascii="Geomanist Light" w:hAnsi="Geomanist Light" w:cs="Arial"/>
          <w:color w:val="000000" w:themeColor="text1"/>
          <w:sz w:val="22"/>
          <w:lang w:val="es-ES"/>
        </w:rPr>
      </w:pPr>
    </w:p>
    <w:p w14:paraId="5CC3CB76" w14:textId="77777777" w:rsidR="00C012F4" w:rsidRDefault="00C012F4" w:rsidP="581F2C72">
      <w:pPr>
        <w:rPr>
          <w:rFonts w:ascii="Geomanist Light" w:hAnsi="Geomanist Light" w:cs="Arial"/>
          <w:color w:val="000000" w:themeColor="text1"/>
          <w:sz w:val="22"/>
          <w:lang w:val="es-ES"/>
        </w:rPr>
      </w:pPr>
    </w:p>
    <w:p w14:paraId="555938CE" w14:textId="77777777" w:rsidR="00C012F4" w:rsidRDefault="00C012F4" w:rsidP="581F2C72">
      <w:pPr>
        <w:rPr>
          <w:rFonts w:ascii="Geomanist Light" w:hAnsi="Geomanist Light" w:cs="Arial"/>
          <w:color w:val="000000" w:themeColor="text1"/>
          <w:sz w:val="22"/>
          <w:lang w:val="es-ES"/>
        </w:rPr>
      </w:pPr>
    </w:p>
    <w:p w14:paraId="20A0CFD1" w14:textId="77777777" w:rsidR="00C012F4" w:rsidRDefault="00C012F4" w:rsidP="581F2C72">
      <w:pPr>
        <w:rPr>
          <w:rFonts w:ascii="Geomanist Light" w:hAnsi="Geomanist Light" w:cs="Arial"/>
          <w:color w:val="000000" w:themeColor="text1"/>
          <w:sz w:val="22"/>
          <w:lang w:val="es-ES"/>
        </w:rPr>
      </w:pPr>
    </w:p>
    <w:p w14:paraId="4B4994F3" w14:textId="77777777" w:rsidR="00C012F4" w:rsidRDefault="00C012F4" w:rsidP="581F2C72">
      <w:pPr>
        <w:rPr>
          <w:rFonts w:ascii="Geomanist Light" w:hAnsi="Geomanist Light" w:cs="Arial"/>
          <w:color w:val="000000" w:themeColor="text1"/>
          <w:sz w:val="22"/>
          <w:lang w:val="es-ES"/>
        </w:rPr>
      </w:pPr>
    </w:p>
    <w:p w14:paraId="2A42D41A" w14:textId="77777777" w:rsidR="00C012F4" w:rsidRDefault="00C012F4" w:rsidP="581F2C72">
      <w:pPr>
        <w:rPr>
          <w:rFonts w:ascii="Geomanist Light" w:hAnsi="Geomanist Light" w:cs="Arial"/>
          <w:color w:val="000000" w:themeColor="text1"/>
          <w:sz w:val="22"/>
          <w:lang w:val="es-ES"/>
        </w:rPr>
      </w:pPr>
    </w:p>
    <w:p w14:paraId="1BC32D5E" w14:textId="77777777" w:rsidR="00C012F4" w:rsidRDefault="00C012F4" w:rsidP="581F2C72">
      <w:pPr>
        <w:rPr>
          <w:rFonts w:ascii="Geomanist Light" w:hAnsi="Geomanist Light" w:cs="Arial"/>
          <w:color w:val="000000" w:themeColor="text1"/>
          <w:sz w:val="22"/>
          <w:lang w:val="es-ES"/>
        </w:rPr>
      </w:pPr>
    </w:p>
    <w:p w14:paraId="69773464" w14:textId="77777777" w:rsidR="00C012F4" w:rsidRDefault="00C012F4" w:rsidP="581F2C72">
      <w:pPr>
        <w:rPr>
          <w:rFonts w:ascii="Geomanist Light" w:hAnsi="Geomanist Light" w:cs="Arial"/>
          <w:color w:val="000000" w:themeColor="text1"/>
          <w:sz w:val="22"/>
          <w:lang w:val="es-ES"/>
        </w:rPr>
      </w:pPr>
    </w:p>
    <w:p w14:paraId="0C120AE5" w14:textId="77777777" w:rsidR="00184FF6" w:rsidRPr="003B7016" w:rsidRDefault="00184FF6" w:rsidP="581F2C72">
      <w:pPr>
        <w:rPr>
          <w:rFonts w:ascii="Geomanist Light" w:hAnsi="Geomanist Light" w:cs="Arial"/>
          <w:b/>
          <w:bCs/>
          <w:color w:val="000000" w:themeColor="text1"/>
          <w:sz w:val="22"/>
          <w:lang w:val="es-ES"/>
        </w:rPr>
      </w:pPr>
    </w:p>
    <w:p w14:paraId="15AE3243" w14:textId="550A43CE" w:rsidR="00935834" w:rsidRPr="003B7016" w:rsidRDefault="00184FF6" w:rsidP="007B6E2C">
      <w:pPr>
        <w:jc w:val="center"/>
        <w:rPr>
          <w:rFonts w:ascii="Geomanist Light" w:hAnsi="Geomanist Light" w:cs="Arial"/>
          <w:b/>
          <w:bCs/>
          <w:color w:val="000000" w:themeColor="text1"/>
          <w:sz w:val="22"/>
          <w:lang w:val="es-ES"/>
        </w:rPr>
      </w:pPr>
      <w:r>
        <w:rPr>
          <w:rFonts w:ascii="Geomanist Light" w:hAnsi="Geomanist Light" w:cs="Arial"/>
          <w:b/>
          <w:bCs/>
          <w:color w:val="000000" w:themeColor="text1"/>
          <w:sz w:val="22"/>
          <w:lang w:val="es-ES"/>
        </w:rPr>
        <w:lastRenderedPageBreak/>
        <w:t xml:space="preserve">                                                            </w:t>
      </w:r>
      <w:r w:rsidRPr="00184FF6">
        <w:rPr>
          <w:rFonts w:ascii="Geomanist Light" w:hAnsi="Geomanist Light" w:cs="Arial"/>
          <w:b/>
          <w:bCs/>
          <w:noProof/>
          <w:color w:val="000000" w:themeColor="text1"/>
          <w:sz w:val="22"/>
          <w:lang w:val="es-ES"/>
        </w:rPr>
        <w:drawing>
          <wp:inline distT="0" distB="0" distL="0" distR="0" wp14:anchorId="3F32931D" wp14:editId="61D249A4">
            <wp:extent cx="3205051" cy="851467"/>
            <wp:effectExtent l="0" t="0" r="0" b="635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0"/>
                    <a:stretch>
                      <a:fillRect/>
                    </a:stretch>
                  </pic:blipFill>
                  <pic:spPr>
                    <a:xfrm>
                      <a:off x="0" y="0"/>
                      <a:ext cx="3235339" cy="859513"/>
                    </a:xfrm>
                    <a:prstGeom prst="rect">
                      <a:avLst/>
                    </a:prstGeom>
                  </pic:spPr>
                </pic:pic>
              </a:graphicData>
            </a:graphic>
          </wp:inline>
        </w:drawing>
      </w:r>
    </w:p>
    <w:p w14:paraId="56CB0257" w14:textId="77777777" w:rsidR="00935834" w:rsidRPr="003B7016" w:rsidRDefault="00935834" w:rsidP="00935834">
      <w:pPr>
        <w:jc w:val="right"/>
        <w:rPr>
          <w:rFonts w:ascii="Geomanist Light" w:eastAsia="Calibri" w:hAnsi="Geomanist Light" w:cs="Arial"/>
          <w:color w:val="000000" w:themeColor="text1"/>
          <w:sz w:val="22"/>
          <w:lang w:val="es-ES"/>
        </w:rPr>
      </w:pPr>
      <w:bookmarkStart w:id="0" w:name="_Hlk116401358"/>
    </w:p>
    <w:p w14:paraId="40CF8A8A" w14:textId="187E2BFC" w:rsidR="00184FF6" w:rsidRDefault="00184FF6" w:rsidP="00184FF6">
      <w:pPr>
        <w:rPr>
          <w:rFonts w:ascii="Geomanist Light" w:hAnsi="Geomanist Light" w:cs="Arial"/>
          <w:color w:val="000000" w:themeColor="text1"/>
          <w:sz w:val="22"/>
          <w:lang w:val="es-ES"/>
        </w:rPr>
      </w:pPr>
      <w:r w:rsidRPr="003B7016">
        <w:rPr>
          <w:rFonts w:ascii="Geomanist Light" w:hAnsi="Geomanist Light" w:cs="Arial"/>
          <w:color w:val="000000" w:themeColor="text1"/>
          <w:sz w:val="22"/>
          <w:lang w:val="es-ES"/>
        </w:rPr>
        <w:t xml:space="preserve">Bogotá D.C., </w:t>
      </w:r>
      <w:r>
        <w:rPr>
          <w:rFonts w:ascii="Geomanist Light" w:hAnsi="Geomanist Light" w:cs="Arial"/>
          <w:color w:val="000000" w:themeColor="text1"/>
          <w:sz w:val="22"/>
          <w:lang w:val="es-ES"/>
        </w:rPr>
        <w:t xml:space="preserve">11 de </w:t>
      </w:r>
      <w:proofErr w:type="gramStart"/>
      <w:r w:rsidR="00AB693B">
        <w:rPr>
          <w:rFonts w:ascii="Geomanist Light" w:hAnsi="Geomanist Light" w:cs="Arial"/>
          <w:color w:val="000000" w:themeColor="text1"/>
          <w:sz w:val="22"/>
          <w:lang w:val="es-ES"/>
        </w:rPr>
        <w:t>O</w:t>
      </w:r>
      <w:r>
        <w:rPr>
          <w:rFonts w:ascii="Geomanist Light" w:hAnsi="Geomanist Light" w:cs="Arial"/>
          <w:color w:val="000000" w:themeColor="text1"/>
          <w:sz w:val="22"/>
          <w:lang w:val="es-ES"/>
        </w:rPr>
        <w:t>ctubre</w:t>
      </w:r>
      <w:proofErr w:type="gramEnd"/>
      <w:r>
        <w:rPr>
          <w:rFonts w:ascii="Geomanist Light" w:hAnsi="Geomanist Light" w:cs="Arial"/>
          <w:color w:val="000000" w:themeColor="text1"/>
          <w:sz w:val="22"/>
          <w:lang w:val="es-ES"/>
        </w:rPr>
        <w:t xml:space="preserve"> de 2022</w:t>
      </w:r>
    </w:p>
    <w:p w14:paraId="0D77A767" w14:textId="05978959" w:rsidR="00EB6235" w:rsidRPr="00E721BF" w:rsidRDefault="00935834" w:rsidP="00EB6235">
      <w:pPr>
        <w:pStyle w:val="Textoindependiente"/>
        <w:spacing w:before="93"/>
        <w:rPr>
          <w:rFonts w:ascii="Geomanist Light" w:hAnsi="Geomanist Light"/>
        </w:rPr>
      </w:pPr>
      <w:r w:rsidRPr="00E721BF">
        <w:rPr>
          <w:rFonts w:ascii="Geomanist Light" w:hAnsi="Geomanist Light"/>
        </w:rPr>
        <w:t>Señor</w:t>
      </w:r>
      <w:r w:rsidR="003D4819" w:rsidRPr="00E721BF">
        <w:rPr>
          <w:rFonts w:ascii="Geomanist Light" w:hAnsi="Geomanist Light"/>
        </w:rPr>
        <w:t>a</w:t>
      </w:r>
    </w:p>
    <w:p w14:paraId="425DD670" w14:textId="77777777" w:rsidR="00EB6235" w:rsidRPr="00E721BF" w:rsidRDefault="00EB6235" w:rsidP="00EB6235">
      <w:pPr>
        <w:pStyle w:val="Ttulo1"/>
        <w:spacing w:line="253" w:lineRule="exact"/>
        <w:ind w:left="0" w:firstLine="0"/>
        <w:rPr>
          <w:rFonts w:ascii="Geomanist Light" w:hAnsi="Geomanist Light"/>
        </w:rPr>
      </w:pPr>
      <w:r w:rsidRPr="00E721BF">
        <w:rPr>
          <w:rFonts w:ascii="Geomanist Light" w:hAnsi="Geomanist Light"/>
        </w:rPr>
        <w:t>Alba Luz Manrique Cárdenas</w:t>
      </w:r>
    </w:p>
    <w:p w14:paraId="24F84D1F" w14:textId="77777777" w:rsidR="00EB6235" w:rsidRPr="00E721BF" w:rsidRDefault="00EB6235" w:rsidP="00EB6235">
      <w:pPr>
        <w:pStyle w:val="Textoindependiente"/>
        <w:rPr>
          <w:rFonts w:ascii="Geomanist Light" w:hAnsi="Geomanist Light"/>
        </w:rPr>
      </w:pPr>
      <w:r w:rsidRPr="00E721BF">
        <w:rPr>
          <w:rFonts w:ascii="Geomanist Light" w:hAnsi="Geomanist Light"/>
        </w:rPr>
        <w:t>Bucaramanga, Santander</w:t>
      </w:r>
    </w:p>
    <w:p w14:paraId="444A77F4" w14:textId="77777777" w:rsidR="00935834" w:rsidRPr="00E721BF" w:rsidRDefault="00935834" w:rsidP="00935834">
      <w:pPr>
        <w:pStyle w:val="Textoindependiente"/>
        <w:ind w:left="284"/>
        <w:rPr>
          <w:rFonts w:ascii="Geomanist Light" w:hAnsi="Geomanist Light"/>
        </w:rPr>
      </w:pPr>
    </w:p>
    <w:p w14:paraId="43671961" w14:textId="77777777" w:rsidR="00640873" w:rsidRPr="00E721BF" w:rsidRDefault="00640873" w:rsidP="00935834">
      <w:pPr>
        <w:pStyle w:val="Textoindependiente"/>
        <w:ind w:left="284"/>
        <w:rPr>
          <w:rFonts w:ascii="Geomanist Light" w:hAnsi="Geomanist Light"/>
        </w:rPr>
      </w:pPr>
    </w:p>
    <w:p w14:paraId="77E89272" w14:textId="65EC07C1" w:rsidR="00935834" w:rsidRPr="00E721BF" w:rsidRDefault="003D4819" w:rsidP="00935834">
      <w:pPr>
        <w:spacing w:before="120" w:after="120" w:line="276" w:lineRule="auto"/>
        <w:jc w:val="center"/>
        <w:rPr>
          <w:rFonts w:ascii="Geomanist Light" w:eastAsia="Calibri" w:hAnsi="Geomanist Light" w:cs="Arial"/>
          <w:b/>
          <w:sz w:val="22"/>
          <w:lang w:val="es-ES"/>
        </w:rPr>
      </w:pPr>
      <w:r w:rsidRPr="00E721BF">
        <w:rPr>
          <w:rFonts w:ascii="Geomanist Light" w:eastAsia="Calibri" w:hAnsi="Geomanist Light" w:cs="Arial"/>
          <w:b/>
          <w:sz w:val="22"/>
          <w:lang w:val="es-ES"/>
        </w:rPr>
        <w:t xml:space="preserve">Concepto C </w:t>
      </w:r>
      <w:r w:rsidRPr="00E721BF">
        <w:rPr>
          <w:rFonts w:ascii="Courier New" w:eastAsia="Calibri" w:hAnsi="Courier New" w:cs="Courier New"/>
          <w:b/>
          <w:sz w:val="22"/>
          <w:lang w:val="es-ES"/>
        </w:rPr>
        <w:t>─</w:t>
      </w:r>
      <w:r w:rsidRPr="00E721BF">
        <w:rPr>
          <w:rFonts w:ascii="Geomanist Light" w:eastAsia="Calibri" w:hAnsi="Geomanist Light" w:cs="Arial"/>
          <w:b/>
          <w:sz w:val="22"/>
          <w:lang w:val="es-ES"/>
        </w:rPr>
        <w:t xml:space="preserve"> </w:t>
      </w:r>
      <w:r w:rsidR="008B6F5F" w:rsidRPr="00E721BF">
        <w:rPr>
          <w:rFonts w:ascii="Geomanist Light" w:eastAsia="Calibri" w:hAnsi="Geomanist Light" w:cs="Arial"/>
          <w:b/>
          <w:sz w:val="22"/>
          <w:lang w:val="es-ES"/>
        </w:rPr>
        <w:t>666 de 2022</w:t>
      </w: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935834" w:rsidRPr="00E721BF" w14:paraId="72092E87" w14:textId="77777777" w:rsidTr="00703045">
        <w:tc>
          <w:tcPr>
            <w:tcW w:w="2689" w:type="dxa"/>
            <w:hideMark/>
          </w:tcPr>
          <w:p w14:paraId="31923939" w14:textId="77777777" w:rsidR="00935834" w:rsidRPr="00E721BF" w:rsidRDefault="00935834" w:rsidP="00703045">
            <w:pPr>
              <w:spacing w:before="120" w:after="120" w:line="276" w:lineRule="auto"/>
              <w:rPr>
                <w:rFonts w:ascii="Geomanist Light" w:eastAsia="Calibri" w:hAnsi="Geomanist Light" w:cs="Arial"/>
                <w:lang w:val="es-ES"/>
              </w:rPr>
            </w:pPr>
            <w:r w:rsidRPr="00E721BF">
              <w:rPr>
                <w:rFonts w:ascii="Geomanist Light" w:eastAsia="Calibri" w:hAnsi="Geomanist Light" w:cs="Arial"/>
                <w:b/>
                <w:lang w:val="es-ES"/>
              </w:rPr>
              <w:t>Temas:</w:t>
            </w:r>
            <w:r w:rsidRPr="00E721BF">
              <w:rPr>
                <w:rFonts w:ascii="Geomanist Light" w:eastAsia="Calibri" w:hAnsi="Geomanist Light" w:cs="Arial"/>
                <w:lang w:val="es-ES"/>
              </w:rPr>
              <w:t xml:space="preserve">           </w:t>
            </w:r>
          </w:p>
          <w:p w14:paraId="51A9FB80" w14:textId="77777777" w:rsidR="00935834" w:rsidRPr="00E721BF" w:rsidRDefault="00935834" w:rsidP="00703045">
            <w:pPr>
              <w:spacing w:before="120" w:after="120" w:line="276" w:lineRule="auto"/>
              <w:rPr>
                <w:rFonts w:ascii="Geomanist Light" w:eastAsia="Calibri" w:hAnsi="Geomanist Light" w:cs="Arial"/>
                <w:lang w:val="es-ES"/>
              </w:rPr>
            </w:pPr>
            <w:r w:rsidRPr="00E721BF">
              <w:rPr>
                <w:rFonts w:ascii="Geomanist Light" w:eastAsia="Calibri" w:hAnsi="Geomanist Light" w:cs="Arial"/>
                <w:lang w:val="es-ES"/>
              </w:rPr>
              <w:t xml:space="preserve">                           </w:t>
            </w:r>
          </w:p>
        </w:tc>
        <w:tc>
          <w:tcPr>
            <w:tcW w:w="6383" w:type="dxa"/>
            <w:hideMark/>
          </w:tcPr>
          <w:p w14:paraId="2385B2BA" w14:textId="77777777" w:rsidR="007B6E2C" w:rsidRDefault="007B6E2C" w:rsidP="007B6E2C">
            <w:pPr>
              <w:jc w:val="both"/>
              <w:rPr>
                <w:rFonts w:ascii="Geomanist Light" w:eastAsia="Calibri" w:hAnsi="Geomanist Light" w:cs="Arial"/>
                <w:b/>
              </w:rPr>
            </w:pPr>
            <w:r w:rsidRPr="007B6E2C">
              <w:rPr>
                <w:rFonts w:ascii="Geomanist Light" w:hAnsi="Geomanist Light" w:cs="Arial"/>
                <w:b/>
                <w:sz w:val="18"/>
                <w:szCs w:val="18"/>
                <w:lang w:val="es-ES"/>
              </w:rPr>
              <w:t xml:space="preserve">EXPERIENCIA PROFESIONAL – </w:t>
            </w:r>
            <w:r w:rsidRPr="007B6E2C">
              <w:rPr>
                <w:rFonts w:ascii="Geomanist Light" w:eastAsia="Calibri" w:hAnsi="Geomanist Light" w:cs="Arial"/>
                <w:b/>
                <w:sz w:val="18"/>
                <w:szCs w:val="18"/>
                <w:lang w:val="es-ES"/>
              </w:rPr>
              <w:t xml:space="preserve">Certificación - </w:t>
            </w:r>
            <w:r w:rsidRPr="007B6E2C">
              <w:rPr>
                <w:rFonts w:ascii="Geomanist Light" w:hAnsi="Geomanist Light" w:cs="Arial"/>
                <w:b/>
                <w:sz w:val="18"/>
                <w:szCs w:val="18"/>
                <w:lang w:val="es-ES"/>
              </w:rPr>
              <w:t>Régimen normativo</w:t>
            </w:r>
            <w:r>
              <w:rPr>
                <w:rFonts w:ascii="Geomanist Light" w:hAnsi="Geomanist Light" w:cs="Arial"/>
                <w:b/>
                <w:sz w:val="18"/>
                <w:szCs w:val="18"/>
                <w:lang w:val="es-ES"/>
              </w:rPr>
              <w:t xml:space="preserve"> / </w:t>
            </w:r>
            <w:r w:rsidRPr="007B6E2C">
              <w:rPr>
                <w:rFonts w:ascii="Geomanist Light" w:eastAsia="Calibri" w:hAnsi="Geomanist Light" w:cs="Arial"/>
                <w:bCs/>
                <w:sz w:val="18"/>
                <w:szCs w:val="18"/>
              </w:rPr>
              <w:t>RUP – Experiencia – Certificación – Proceso de contratación</w:t>
            </w:r>
            <w:r w:rsidRPr="007B6E2C">
              <w:rPr>
                <w:rFonts w:ascii="Geomanist Light" w:eastAsia="Calibri" w:hAnsi="Geomanist Light" w:cs="Arial"/>
                <w:b/>
                <w:sz w:val="18"/>
                <w:szCs w:val="18"/>
              </w:rPr>
              <w:t xml:space="preserve"> </w:t>
            </w:r>
          </w:p>
          <w:p w14:paraId="75ECFBAB" w14:textId="5B265ACB" w:rsidR="007B6E2C" w:rsidRPr="007B6E2C" w:rsidRDefault="007B6E2C" w:rsidP="007B6E2C">
            <w:pPr>
              <w:spacing w:line="276" w:lineRule="auto"/>
              <w:jc w:val="both"/>
              <w:rPr>
                <w:rFonts w:ascii="Geomanist Light" w:eastAsia="Calibri" w:hAnsi="Geomanist Light" w:cs="Arial"/>
                <w:b/>
                <w:sz w:val="18"/>
                <w:szCs w:val="18"/>
                <w:lang w:val="es-ES"/>
              </w:rPr>
            </w:pPr>
          </w:p>
          <w:p w14:paraId="186719A4" w14:textId="77777777" w:rsidR="00935834" w:rsidRPr="00E721BF" w:rsidRDefault="00935834" w:rsidP="00703045">
            <w:pPr>
              <w:jc w:val="both"/>
              <w:rPr>
                <w:rFonts w:ascii="Geomanist Light" w:hAnsi="Geomanist Light" w:cs="Arial"/>
                <w:highlight w:val="red"/>
                <w:lang w:val="es-ES"/>
              </w:rPr>
            </w:pPr>
          </w:p>
          <w:p w14:paraId="464F7A07" w14:textId="77777777" w:rsidR="00935834" w:rsidRPr="00E721BF" w:rsidRDefault="00935834" w:rsidP="00703045">
            <w:pPr>
              <w:jc w:val="both"/>
              <w:rPr>
                <w:rFonts w:ascii="Geomanist Light" w:hAnsi="Geomanist Light" w:cs="Arial"/>
                <w:highlight w:val="red"/>
                <w:lang w:val="es-ES"/>
              </w:rPr>
            </w:pPr>
          </w:p>
        </w:tc>
      </w:tr>
      <w:tr w:rsidR="00935834" w:rsidRPr="00E721BF" w14:paraId="2C577DE8" w14:textId="77777777" w:rsidTr="00703045">
        <w:tc>
          <w:tcPr>
            <w:tcW w:w="2689" w:type="dxa"/>
          </w:tcPr>
          <w:p w14:paraId="654ADA3E" w14:textId="77777777" w:rsidR="00935834" w:rsidRPr="00E721BF" w:rsidRDefault="00935834" w:rsidP="00703045">
            <w:pPr>
              <w:spacing w:line="276" w:lineRule="auto"/>
              <w:ind w:right="49"/>
              <w:jc w:val="both"/>
              <w:rPr>
                <w:rFonts w:ascii="Geomanist Light" w:eastAsia="Calibri" w:hAnsi="Geomanist Light" w:cs="Arial"/>
                <w:b/>
                <w:bCs/>
                <w:lang w:val="es-ES"/>
              </w:rPr>
            </w:pPr>
            <w:r w:rsidRPr="00E721BF">
              <w:rPr>
                <w:rFonts w:ascii="Geomanist Light" w:eastAsia="Calibri" w:hAnsi="Geomanist Light" w:cs="Arial"/>
                <w:b/>
                <w:bCs/>
                <w:lang w:val="es-ES"/>
              </w:rPr>
              <w:t xml:space="preserve">Radicación:                              </w:t>
            </w:r>
          </w:p>
        </w:tc>
        <w:tc>
          <w:tcPr>
            <w:tcW w:w="6383" w:type="dxa"/>
          </w:tcPr>
          <w:p w14:paraId="279E21DD" w14:textId="2557EAEB" w:rsidR="008B6F5F" w:rsidRPr="00E721BF" w:rsidRDefault="00935834" w:rsidP="008B6F5F">
            <w:pPr>
              <w:spacing w:line="276" w:lineRule="auto"/>
              <w:ind w:right="49"/>
              <w:jc w:val="both"/>
              <w:rPr>
                <w:rFonts w:ascii="Geomanist Light" w:eastAsia="Calibri" w:hAnsi="Geomanist Light" w:cs="Arial"/>
                <w:bCs/>
                <w:lang w:val="es-ES_tradnl"/>
              </w:rPr>
            </w:pPr>
            <w:r w:rsidRPr="00E721BF">
              <w:rPr>
                <w:rFonts w:ascii="Geomanist Light" w:eastAsia="Calibri" w:hAnsi="Geomanist Light" w:cs="Arial"/>
                <w:lang w:val="es-ES"/>
              </w:rPr>
              <w:t xml:space="preserve"> Respuesta a consulta</w:t>
            </w:r>
            <w:r w:rsidR="008B6F5F" w:rsidRPr="00E721BF">
              <w:rPr>
                <w:rFonts w:ascii="Geomanist Light" w:eastAsia="Calibri" w:hAnsi="Geomanist Light" w:cs="Arial"/>
                <w:lang w:val="es-ES"/>
              </w:rPr>
              <w:t xml:space="preserve"> </w:t>
            </w:r>
            <w:r w:rsidR="008B6F5F" w:rsidRPr="00E721BF">
              <w:rPr>
                <w:rFonts w:ascii="Geomanist Light" w:hAnsi="Geomanist Light" w:cs="Arial"/>
              </w:rPr>
              <w:t>P20220901008762</w:t>
            </w:r>
          </w:p>
          <w:p w14:paraId="03A35744" w14:textId="078CF3B9" w:rsidR="00935834" w:rsidRPr="00E721BF" w:rsidRDefault="00935834" w:rsidP="00703045">
            <w:pPr>
              <w:spacing w:line="276" w:lineRule="auto"/>
              <w:ind w:right="49"/>
              <w:jc w:val="both"/>
              <w:rPr>
                <w:rFonts w:ascii="Geomanist Light" w:eastAsia="Calibri" w:hAnsi="Geomanist Light" w:cs="Arial"/>
                <w:lang w:val="es-ES"/>
              </w:rPr>
            </w:pPr>
          </w:p>
        </w:tc>
      </w:tr>
    </w:tbl>
    <w:p w14:paraId="3378BBD2" w14:textId="77777777" w:rsidR="00640873" w:rsidRPr="00E721BF" w:rsidRDefault="00640873" w:rsidP="00935834">
      <w:pPr>
        <w:spacing w:line="276" w:lineRule="auto"/>
        <w:ind w:right="49"/>
        <w:jc w:val="both"/>
        <w:rPr>
          <w:rFonts w:ascii="Geomanist Light" w:eastAsia="Calibri" w:hAnsi="Geomanist Light" w:cs="Arial"/>
          <w:sz w:val="22"/>
          <w:lang w:val="es-ES"/>
        </w:rPr>
      </w:pPr>
    </w:p>
    <w:p w14:paraId="361155DA" w14:textId="7D8F5792" w:rsidR="00935834" w:rsidRPr="00E721BF" w:rsidRDefault="00935834" w:rsidP="00FA44FD">
      <w:pPr>
        <w:spacing w:before="120" w:line="276" w:lineRule="auto"/>
        <w:ind w:right="51"/>
        <w:jc w:val="both"/>
        <w:rPr>
          <w:rFonts w:ascii="Geomanist Light" w:eastAsia="Calibri" w:hAnsi="Geomanist Light" w:cs="Arial"/>
          <w:sz w:val="22"/>
          <w:lang w:val="es-ES"/>
        </w:rPr>
      </w:pPr>
      <w:r w:rsidRPr="00E721BF">
        <w:rPr>
          <w:rFonts w:ascii="Geomanist Light" w:eastAsia="Calibri" w:hAnsi="Geomanist Light" w:cs="Arial"/>
          <w:sz w:val="22"/>
          <w:lang w:val="es-ES"/>
        </w:rPr>
        <w:t xml:space="preserve">Estimada señora </w:t>
      </w:r>
      <w:r w:rsidR="003B7016" w:rsidRPr="00E721BF">
        <w:rPr>
          <w:rFonts w:ascii="Geomanist Light" w:eastAsia="Calibri" w:hAnsi="Geomanist Light" w:cs="Arial"/>
          <w:sz w:val="22"/>
          <w:lang w:val="es-ES"/>
        </w:rPr>
        <w:t>Manrique</w:t>
      </w:r>
      <w:r w:rsidR="005D77B2" w:rsidRPr="00E721BF">
        <w:rPr>
          <w:rFonts w:ascii="Geomanist Light" w:eastAsia="Calibri" w:hAnsi="Geomanist Light" w:cs="Arial"/>
          <w:sz w:val="22"/>
          <w:lang w:val="es-ES"/>
        </w:rPr>
        <w:t>:</w:t>
      </w:r>
    </w:p>
    <w:p w14:paraId="640057FA" w14:textId="4FA06F02" w:rsidR="00935834" w:rsidRPr="008D1EE9" w:rsidRDefault="00935834" w:rsidP="00FA44FD">
      <w:pPr>
        <w:spacing w:before="120" w:line="276" w:lineRule="auto"/>
        <w:ind w:right="51"/>
        <w:jc w:val="both"/>
        <w:rPr>
          <w:rFonts w:ascii="Geomanist Light" w:eastAsia="Calibri" w:hAnsi="Geomanist Light" w:cs="Arial"/>
          <w:sz w:val="22"/>
          <w:lang w:val="es-ES"/>
        </w:rPr>
      </w:pPr>
      <w:r w:rsidRPr="00E721BF">
        <w:rPr>
          <w:rFonts w:ascii="Geomanist Light" w:eastAsia="Calibri" w:hAnsi="Geomanist Light" w:cs="Arial"/>
          <w:sz w:val="22"/>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5D77B2" w:rsidRPr="00E721BF">
        <w:rPr>
          <w:rFonts w:ascii="Geomanist Light" w:eastAsia="Calibri" w:hAnsi="Geomanist Light" w:cs="Arial"/>
          <w:sz w:val="22"/>
          <w:lang w:val="es-ES"/>
        </w:rPr>
        <w:t>16</w:t>
      </w:r>
      <w:r w:rsidRPr="00E721BF">
        <w:rPr>
          <w:rFonts w:ascii="Geomanist Light" w:eastAsia="Calibri" w:hAnsi="Geomanist Light" w:cs="Arial"/>
          <w:sz w:val="22"/>
          <w:lang w:val="es-ES"/>
        </w:rPr>
        <w:t xml:space="preserve"> de </w:t>
      </w:r>
      <w:r w:rsidR="005D77B2" w:rsidRPr="00E721BF">
        <w:rPr>
          <w:rFonts w:ascii="Geomanist Light" w:eastAsia="Calibri" w:hAnsi="Geomanist Light" w:cs="Arial"/>
          <w:sz w:val="22"/>
          <w:lang w:val="es-ES"/>
        </w:rPr>
        <w:t>febrero de 2021</w:t>
      </w:r>
      <w:r w:rsidRPr="00E721BF">
        <w:rPr>
          <w:rFonts w:ascii="Geomanist Light" w:eastAsia="Calibri" w:hAnsi="Geomanist Light" w:cs="Arial"/>
          <w:sz w:val="22"/>
          <w:lang w:val="es-ES"/>
        </w:rPr>
        <w:t>.</w:t>
      </w:r>
    </w:p>
    <w:p w14:paraId="58CF7F7C" w14:textId="77777777" w:rsidR="00E721BF" w:rsidRPr="003B7016" w:rsidRDefault="00E721BF" w:rsidP="00C012F4">
      <w:pPr>
        <w:spacing w:line="276" w:lineRule="auto"/>
        <w:ind w:right="51"/>
        <w:jc w:val="both"/>
        <w:rPr>
          <w:rFonts w:ascii="Geomanist Light" w:eastAsia="Calibri" w:hAnsi="Geomanist Light" w:cs="Arial"/>
          <w:sz w:val="22"/>
          <w:lang w:val="es-ES"/>
        </w:rPr>
      </w:pPr>
    </w:p>
    <w:p w14:paraId="2639111D" w14:textId="77777777" w:rsidR="00935834" w:rsidRPr="002523C6" w:rsidRDefault="00935834" w:rsidP="00C012F4">
      <w:pPr>
        <w:spacing w:line="276" w:lineRule="auto"/>
        <w:ind w:right="51"/>
        <w:jc w:val="both"/>
        <w:rPr>
          <w:rFonts w:ascii="Geomanist Light" w:eastAsia="Calibri" w:hAnsi="Geomanist Light" w:cs="Arial"/>
          <w:b/>
          <w:sz w:val="22"/>
          <w:lang w:val="es-ES"/>
        </w:rPr>
      </w:pPr>
      <w:r w:rsidRPr="002523C6">
        <w:rPr>
          <w:rFonts w:ascii="Geomanist Light" w:eastAsia="Calibri" w:hAnsi="Geomanist Light" w:cs="Arial"/>
          <w:b/>
          <w:sz w:val="22"/>
          <w:lang w:val="es-ES"/>
        </w:rPr>
        <w:t>1. Problemas planteados</w:t>
      </w:r>
    </w:p>
    <w:p w14:paraId="4F334DCA" w14:textId="38C46FF3" w:rsidR="00935834" w:rsidRDefault="0080282F" w:rsidP="00FA44FD">
      <w:pPr>
        <w:spacing w:before="120" w:line="276" w:lineRule="auto"/>
        <w:ind w:right="51"/>
        <w:jc w:val="both"/>
        <w:rPr>
          <w:rFonts w:ascii="Geomanist Light" w:eastAsia="Calibri" w:hAnsi="Geomanist Light" w:cs="Arial"/>
          <w:sz w:val="22"/>
          <w:lang w:val="es-ES"/>
        </w:rPr>
      </w:pPr>
      <w:r w:rsidRPr="003B7016">
        <w:rPr>
          <w:rFonts w:ascii="Geomanist Light" w:eastAsia="Calibri" w:hAnsi="Geomanist Light" w:cs="Arial"/>
          <w:sz w:val="22"/>
          <w:lang w:val="es-ES"/>
        </w:rPr>
        <w:t>U</w:t>
      </w:r>
      <w:r w:rsidR="00935834" w:rsidRPr="003B7016">
        <w:rPr>
          <w:rFonts w:ascii="Geomanist Light" w:eastAsia="Calibri" w:hAnsi="Geomanist Light" w:cs="Arial"/>
          <w:sz w:val="22"/>
          <w:lang w:val="es-ES"/>
        </w:rPr>
        <w:t xml:space="preserve">sted </w:t>
      </w:r>
      <w:r w:rsidRPr="003B7016">
        <w:rPr>
          <w:rFonts w:ascii="Geomanist Light" w:eastAsia="Calibri" w:hAnsi="Geomanist Light" w:cs="Arial"/>
          <w:sz w:val="22"/>
          <w:lang w:val="es-ES"/>
        </w:rPr>
        <w:t>realiza la siguiente</w:t>
      </w:r>
      <w:r w:rsidR="00935834" w:rsidRPr="003B7016">
        <w:rPr>
          <w:rFonts w:ascii="Geomanist Light" w:eastAsia="Calibri" w:hAnsi="Geomanist Light" w:cs="Arial"/>
          <w:sz w:val="22"/>
          <w:lang w:val="es-ES"/>
        </w:rPr>
        <w:t xml:space="preserve"> </w:t>
      </w:r>
      <w:r w:rsidRPr="003B7016">
        <w:rPr>
          <w:rFonts w:ascii="Geomanist Light" w:eastAsia="Calibri" w:hAnsi="Geomanist Light" w:cs="Arial"/>
          <w:sz w:val="22"/>
          <w:lang w:val="es-ES"/>
        </w:rPr>
        <w:t>pregunta</w:t>
      </w:r>
      <w:r w:rsidR="00935834" w:rsidRPr="003B7016">
        <w:rPr>
          <w:rFonts w:ascii="Geomanist Light" w:eastAsia="Calibri" w:hAnsi="Geomanist Light" w:cs="Arial"/>
          <w:sz w:val="22"/>
          <w:lang w:val="es-ES"/>
        </w:rPr>
        <w:t xml:space="preserve">: </w:t>
      </w:r>
      <w:r w:rsidRPr="003B7016">
        <w:rPr>
          <w:rFonts w:ascii="Geomanist Light" w:eastAsia="Calibri" w:hAnsi="Geomanist Light" w:cs="Arial"/>
          <w:sz w:val="22"/>
          <w:lang w:val="es-ES"/>
        </w:rPr>
        <w:t>«</w:t>
      </w:r>
      <w:r w:rsidR="00806365" w:rsidRPr="003B7016">
        <w:rPr>
          <w:rFonts w:ascii="Geomanist Light" w:eastAsia="Calibri" w:hAnsi="Geomanist Light" w:cs="Arial"/>
          <w:sz w:val="22"/>
          <w:lang w:val="es-ES_tradnl"/>
        </w:rPr>
        <w:t xml:space="preserve">cuando en un proceso de contratación se solicita experiencia general de un </w:t>
      </w:r>
      <w:r w:rsidR="00C012F4" w:rsidRPr="003B7016">
        <w:rPr>
          <w:rFonts w:ascii="Geomanist Light" w:eastAsia="Calibri" w:hAnsi="Geomanist Light" w:cs="Arial"/>
          <w:sz w:val="22"/>
          <w:lang w:val="es-ES_tradnl"/>
        </w:rPr>
        <w:t>número</w:t>
      </w:r>
      <w:r w:rsidR="00806365" w:rsidRPr="003B7016">
        <w:rPr>
          <w:rFonts w:ascii="Geomanist Light" w:eastAsia="Calibri" w:hAnsi="Geomanist Light" w:cs="Arial"/>
          <w:sz w:val="22"/>
          <w:lang w:val="es-ES_tradnl"/>
        </w:rPr>
        <w:t xml:space="preserve"> de años a partir de la expedición de la tarjeta profesional, esa </w:t>
      </w:r>
      <w:r w:rsidR="00E70F99" w:rsidRPr="003B7016">
        <w:rPr>
          <w:rFonts w:ascii="Geomanist Light" w:eastAsia="Calibri" w:hAnsi="Geomanist Light" w:cs="Arial"/>
          <w:sz w:val="22"/>
          <w:lang w:val="es-ES_tradnl"/>
        </w:rPr>
        <w:t>experiencia</w:t>
      </w:r>
      <w:r w:rsidR="00806365" w:rsidRPr="003B7016">
        <w:rPr>
          <w:rFonts w:ascii="Geomanist Light" w:eastAsia="Calibri" w:hAnsi="Geomanist Light" w:cs="Arial"/>
          <w:sz w:val="22"/>
          <w:lang w:val="es-ES_tradnl"/>
        </w:rPr>
        <w:t xml:space="preserve"> debe ser certificada? </w:t>
      </w:r>
      <w:r w:rsidR="00C141E2" w:rsidRPr="003B7016">
        <w:rPr>
          <w:rFonts w:ascii="Geomanist Light" w:eastAsia="Calibri" w:hAnsi="Geomanist Light" w:cs="Arial"/>
          <w:sz w:val="22"/>
          <w:lang w:val="es-ES_tradnl"/>
        </w:rPr>
        <w:t>o</w:t>
      </w:r>
      <w:r w:rsidR="00806365" w:rsidRPr="003B7016">
        <w:rPr>
          <w:rFonts w:ascii="Geomanist Light" w:eastAsia="Calibri" w:hAnsi="Geomanist Light" w:cs="Arial"/>
          <w:sz w:val="22"/>
          <w:lang w:val="es-ES_tradnl"/>
        </w:rPr>
        <w:t xml:space="preserve"> simplemente se tiene </w:t>
      </w:r>
      <w:r w:rsidR="00E70F99" w:rsidRPr="003B7016">
        <w:rPr>
          <w:rFonts w:ascii="Geomanist Light" w:eastAsia="Calibri" w:hAnsi="Geomanist Light" w:cs="Arial"/>
          <w:sz w:val="22"/>
          <w:lang w:val="es-ES_tradnl"/>
        </w:rPr>
        <w:t>en</w:t>
      </w:r>
      <w:r w:rsidR="00C141E2" w:rsidRPr="003B7016">
        <w:rPr>
          <w:rFonts w:ascii="Geomanist Light" w:eastAsia="Calibri" w:hAnsi="Geomanist Light" w:cs="Arial"/>
          <w:sz w:val="22"/>
          <w:lang w:val="es-ES_tradnl"/>
        </w:rPr>
        <w:t xml:space="preserve"> </w:t>
      </w:r>
      <w:r w:rsidR="00E70F99" w:rsidRPr="003B7016">
        <w:rPr>
          <w:rFonts w:ascii="Geomanist Light" w:eastAsia="Calibri" w:hAnsi="Geomanist Light" w:cs="Arial"/>
          <w:sz w:val="22"/>
          <w:lang w:val="es-ES_tradnl"/>
        </w:rPr>
        <w:t>cuenta</w:t>
      </w:r>
      <w:r w:rsidR="00806365" w:rsidRPr="003B7016">
        <w:rPr>
          <w:rFonts w:ascii="Geomanist Light" w:eastAsia="Calibri" w:hAnsi="Geomanist Light" w:cs="Arial"/>
          <w:sz w:val="22"/>
          <w:lang w:val="es-ES_tradnl"/>
        </w:rPr>
        <w:t xml:space="preserve"> que haya transcurrido el </w:t>
      </w:r>
      <w:r w:rsidR="00375FB0" w:rsidRPr="003B7016">
        <w:rPr>
          <w:rFonts w:ascii="Geomanist Light" w:eastAsia="Calibri" w:hAnsi="Geomanist Light" w:cs="Arial"/>
          <w:sz w:val="22"/>
          <w:lang w:val="es-ES_tradnl"/>
        </w:rPr>
        <w:t>número</w:t>
      </w:r>
      <w:r w:rsidR="00806365" w:rsidRPr="003B7016">
        <w:rPr>
          <w:rFonts w:ascii="Geomanist Light" w:eastAsia="Calibri" w:hAnsi="Geomanist Light" w:cs="Arial"/>
          <w:sz w:val="22"/>
          <w:lang w:val="es-ES_tradnl"/>
        </w:rPr>
        <w:t xml:space="preserve"> de </w:t>
      </w:r>
      <w:r w:rsidR="00375FB0" w:rsidRPr="003B7016">
        <w:rPr>
          <w:rFonts w:ascii="Geomanist Light" w:eastAsia="Calibri" w:hAnsi="Geomanist Light" w:cs="Arial"/>
          <w:sz w:val="22"/>
          <w:lang w:val="es-ES_tradnl"/>
        </w:rPr>
        <w:t>años</w:t>
      </w:r>
      <w:r w:rsidR="00806365" w:rsidRPr="003B7016">
        <w:rPr>
          <w:rFonts w:ascii="Geomanist Light" w:eastAsia="Calibri" w:hAnsi="Geomanist Light" w:cs="Arial"/>
          <w:sz w:val="22"/>
          <w:lang w:val="es-ES_tradnl"/>
        </w:rPr>
        <w:t xml:space="preserve"> requeridos desde la expedición de la tarjeta, sin necesidad de presentar </w:t>
      </w:r>
      <w:r w:rsidR="00375FB0" w:rsidRPr="003B7016">
        <w:rPr>
          <w:rFonts w:ascii="Geomanist Light" w:eastAsia="Calibri" w:hAnsi="Geomanist Light" w:cs="Arial"/>
          <w:sz w:val="22"/>
          <w:lang w:val="es-ES_tradnl"/>
        </w:rPr>
        <w:t>certificados</w:t>
      </w:r>
      <w:r w:rsidR="00806365" w:rsidRPr="003B7016">
        <w:rPr>
          <w:rFonts w:ascii="Geomanist Light" w:eastAsia="Calibri" w:hAnsi="Geomanist Light" w:cs="Arial"/>
          <w:sz w:val="22"/>
          <w:lang w:val="es-ES_tradnl"/>
        </w:rPr>
        <w:t xml:space="preserve"> información del solicitante</w:t>
      </w:r>
      <w:r w:rsidR="00935834" w:rsidRPr="003B7016">
        <w:rPr>
          <w:rFonts w:ascii="Geomanist Light" w:eastAsia="Calibri" w:hAnsi="Geomanist Light" w:cs="Arial"/>
          <w:sz w:val="22"/>
          <w:lang w:val="es-ES"/>
        </w:rPr>
        <w:t>»</w:t>
      </w:r>
      <w:r w:rsidR="006B6D31">
        <w:rPr>
          <w:rFonts w:ascii="Geomanist Light" w:eastAsia="Calibri" w:hAnsi="Geomanist Light" w:cs="Arial"/>
          <w:sz w:val="22"/>
          <w:lang w:val="es-ES"/>
        </w:rPr>
        <w:t xml:space="preserve"> [sic]</w:t>
      </w:r>
      <w:r w:rsidR="00625781" w:rsidRPr="003B7016">
        <w:rPr>
          <w:rFonts w:ascii="Geomanist Light" w:eastAsia="Calibri" w:hAnsi="Geomanist Light" w:cs="Arial"/>
          <w:sz w:val="22"/>
          <w:lang w:val="es-ES"/>
        </w:rPr>
        <w:t>.</w:t>
      </w:r>
    </w:p>
    <w:p w14:paraId="682F42D1" w14:textId="77777777" w:rsidR="00E721BF" w:rsidRPr="003B7016" w:rsidRDefault="00E721BF" w:rsidP="00C012F4">
      <w:pPr>
        <w:spacing w:line="276" w:lineRule="auto"/>
        <w:ind w:right="51"/>
        <w:jc w:val="both"/>
        <w:rPr>
          <w:rFonts w:ascii="Geomanist Light" w:eastAsia="Calibri" w:hAnsi="Geomanist Light" w:cs="Arial"/>
          <w:sz w:val="22"/>
          <w:lang w:val="es-ES_tradnl"/>
        </w:rPr>
      </w:pPr>
    </w:p>
    <w:p w14:paraId="626FEC89" w14:textId="7C2BC327" w:rsidR="00935834" w:rsidRDefault="00935834" w:rsidP="00C012F4">
      <w:pPr>
        <w:spacing w:line="276" w:lineRule="auto"/>
        <w:ind w:right="49"/>
        <w:jc w:val="both"/>
        <w:rPr>
          <w:rFonts w:ascii="Geomanist Light" w:eastAsia="Calibri" w:hAnsi="Geomanist Light" w:cs="Arial"/>
          <w:b/>
          <w:sz w:val="22"/>
          <w:lang w:val="es-ES"/>
        </w:rPr>
      </w:pPr>
      <w:r w:rsidRPr="003B7016">
        <w:rPr>
          <w:rFonts w:ascii="Geomanist Light" w:eastAsia="Calibri" w:hAnsi="Geomanist Light" w:cs="Arial"/>
          <w:b/>
          <w:sz w:val="22"/>
          <w:lang w:val="es-ES"/>
        </w:rPr>
        <w:t>2. Consideraciones</w:t>
      </w:r>
    </w:p>
    <w:p w14:paraId="35EAA34F" w14:textId="77777777" w:rsidR="00337A95" w:rsidRPr="00C012F4" w:rsidRDefault="00337A95" w:rsidP="00C012F4">
      <w:pPr>
        <w:spacing w:line="276" w:lineRule="auto"/>
        <w:ind w:right="49"/>
        <w:jc w:val="both"/>
        <w:rPr>
          <w:rFonts w:ascii="Geomanist Light" w:eastAsia="Calibri" w:hAnsi="Geomanist Light" w:cs="Arial"/>
          <w:b/>
          <w:sz w:val="18"/>
          <w:szCs w:val="18"/>
          <w:lang w:val="es-ES"/>
        </w:rPr>
      </w:pPr>
    </w:p>
    <w:p w14:paraId="1D4E7664" w14:textId="345803F1" w:rsidR="00640873" w:rsidRDefault="00935834" w:rsidP="00337A95">
      <w:pPr>
        <w:pStyle w:val="NormalWeb"/>
        <w:spacing w:before="0" w:beforeAutospacing="0" w:after="0" w:afterAutospacing="0" w:line="276" w:lineRule="auto"/>
        <w:jc w:val="both"/>
        <w:rPr>
          <w:rFonts w:ascii="Geomanist Light" w:eastAsia="Calibri" w:hAnsi="Geomanist Light" w:cs="Arial"/>
          <w:sz w:val="22"/>
          <w:szCs w:val="22"/>
          <w:lang w:val="es-MX" w:eastAsia="en-US"/>
        </w:rPr>
      </w:pPr>
      <w:r w:rsidRPr="00337A95">
        <w:rPr>
          <w:rFonts w:ascii="Geomanist Light" w:eastAsia="Calibri" w:hAnsi="Geomanist Light" w:cs="Arial"/>
          <w:sz w:val="22"/>
          <w:szCs w:val="22"/>
          <w:lang w:val="es-MX" w:eastAsia="en-US"/>
        </w:rPr>
        <w:t>La Agencia Nacional de Contr</w:t>
      </w:r>
      <w:r w:rsidR="00CE1D38" w:rsidRPr="00337A95">
        <w:rPr>
          <w:rFonts w:ascii="Geomanist Light" w:eastAsia="Calibri" w:hAnsi="Geomanist Light" w:cs="Arial"/>
          <w:sz w:val="22"/>
          <w:szCs w:val="22"/>
          <w:lang w:val="es-MX" w:eastAsia="en-US"/>
        </w:rPr>
        <w:t xml:space="preserve">atación Pública – </w:t>
      </w:r>
      <w:r w:rsidRPr="00337A95">
        <w:rPr>
          <w:rFonts w:ascii="Geomanist Light" w:eastAsia="Calibri" w:hAnsi="Geomanist Light" w:cs="Arial"/>
          <w:sz w:val="22"/>
          <w:szCs w:val="22"/>
          <w:lang w:val="es-MX" w:eastAsia="en-US"/>
        </w:rPr>
        <w:t>Colombia Compra Eficiente se ha pronunciado sobr</w:t>
      </w:r>
      <w:r w:rsidR="00C141E2" w:rsidRPr="00337A95">
        <w:rPr>
          <w:rFonts w:ascii="Geomanist Light" w:eastAsia="Calibri" w:hAnsi="Geomanist Light" w:cs="Arial"/>
          <w:sz w:val="22"/>
          <w:szCs w:val="22"/>
          <w:lang w:val="es-MX" w:eastAsia="en-US"/>
        </w:rPr>
        <w:t xml:space="preserve">e la experiencia profesional y la manera en que se prueba la misma </w:t>
      </w:r>
      <w:r w:rsidRPr="00337A95">
        <w:rPr>
          <w:rFonts w:ascii="Geomanist Light" w:eastAsia="Calibri" w:hAnsi="Geomanist Light" w:cs="Arial"/>
          <w:sz w:val="22"/>
          <w:szCs w:val="22"/>
          <w:lang w:val="es-MX" w:eastAsia="en-US"/>
        </w:rPr>
        <w:t xml:space="preserve">en conceptos identificados con radicado No. 4201912000005915 del 29 de agosto de 2019, así como en los conceptos C–212 del 14 de abril de 2020, C–355 del 4 de junio de 2020, C–317 del 10 de junio </w:t>
      </w:r>
      <w:r w:rsidRPr="00337A95">
        <w:rPr>
          <w:rFonts w:ascii="Geomanist Light" w:eastAsia="Calibri" w:hAnsi="Geomanist Light" w:cs="Arial"/>
          <w:sz w:val="22"/>
          <w:szCs w:val="22"/>
          <w:lang w:val="es-MX" w:eastAsia="en-US"/>
        </w:rPr>
        <w:lastRenderedPageBreak/>
        <w:t>de 2020, C–337 del 26 de junio de 2020, C–353 del 30 de junio de 2020, C–457 del 20 de julio de 2020, C–471 del 22 de julio de 2020</w:t>
      </w:r>
      <w:r w:rsidR="0080282F" w:rsidRPr="00337A95">
        <w:rPr>
          <w:rFonts w:ascii="Geomanist Light" w:eastAsia="Calibri" w:hAnsi="Geomanist Light" w:cs="Arial"/>
          <w:sz w:val="22"/>
          <w:szCs w:val="22"/>
          <w:lang w:val="es-MX" w:eastAsia="en-US"/>
        </w:rPr>
        <w:t>, C–</w:t>
      </w:r>
      <w:r w:rsidRPr="00337A95">
        <w:rPr>
          <w:rFonts w:ascii="Geomanist Light" w:eastAsia="Calibri" w:hAnsi="Geomanist Light" w:cs="Arial"/>
          <w:sz w:val="22"/>
          <w:szCs w:val="22"/>
          <w:lang w:val="es-MX" w:eastAsia="en-US"/>
        </w:rPr>
        <w:t>561 del 25 de agosto de 2020</w:t>
      </w:r>
      <w:r w:rsidR="0080282F" w:rsidRPr="00337A95">
        <w:rPr>
          <w:rFonts w:ascii="Geomanist Light" w:eastAsia="Calibri" w:hAnsi="Geomanist Light" w:cs="Arial"/>
          <w:sz w:val="22"/>
          <w:szCs w:val="22"/>
          <w:lang w:val="es-MX" w:eastAsia="en-US"/>
        </w:rPr>
        <w:t xml:space="preserve"> y C–566 del 27 de agosto de 2020</w:t>
      </w:r>
      <w:r w:rsidR="00C141E2" w:rsidRPr="00337A95">
        <w:rPr>
          <w:rFonts w:ascii="Geomanist Light" w:eastAsia="Calibri" w:hAnsi="Geomanist Light" w:cs="Arial"/>
          <w:sz w:val="22"/>
          <w:szCs w:val="22"/>
          <w:lang w:val="es-MX" w:eastAsia="en-US"/>
        </w:rPr>
        <w:t>,</w:t>
      </w:r>
      <w:r w:rsidR="00BA096C" w:rsidRPr="00337A95">
        <w:rPr>
          <w:rFonts w:ascii="Geomanist Light" w:eastAsia="Calibri" w:hAnsi="Geomanist Light" w:cs="Arial"/>
          <w:sz w:val="22"/>
          <w:szCs w:val="22"/>
          <w:lang w:val="es-MX" w:eastAsia="en-US"/>
        </w:rPr>
        <w:t xml:space="preserve"> C-120 del 30 de marzo de 2021</w:t>
      </w:r>
      <w:r w:rsidRPr="00337A95">
        <w:rPr>
          <w:rFonts w:ascii="Geomanist Light" w:eastAsia="Calibri" w:hAnsi="Geomanist Light" w:cs="Arial"/>
          <w:sz w:val="22"/>
          <w:szCs w:val="22"/>
          <w:lang w:val="es-MX" w:eastAsia="en-US"/>
        </w:rPr>
        <w:t xml:space="preserve">. </w:t>
      </w:r>
      <w:r w:rsidR="00CB1C19" w:rsidRPr="00337A95">
        <w:rPr>
          <w:rFonts w:ascii="Geomanist Light" w:eastAsia="Calibri" w:hAnsi="Geomanist Light" w:cs="Arial"/>
          <w:sz w:val="22"/>
          <w:szCs w:val="22"/>
          <w:lang w:val="es-MX" w:eastAsia="en-US"/>
        </w:rPr>
        <w:t xml:space="preserve">Con el fin de responder su pregunta, este documento desarrolla los siguientes </w:t>
      </w:r>
      <w:r w:rsidR="00370315" w:rsidRPr="00337A95">
        <w:rPr>
          <w:rFonts w:ascii="Geomanist Light" w:eastAsia="Calibri" w:hAnsi="Geomanist Light" w:cs="Arial"/>
          <w:sz w:val="22"/>
          <w:szCs w:val="22"/>
          <w:lang w:val="es-MX" w:eastAsia="en-US"/>
        </w:rPr>
        <w:t>temas</w:t>
      </w:r>
      <w:r w:rsidR="00CB1C19" w:rsidRPr="00337A95">
        <w:rPr>
          <w:rFonts w:ascii="Geomanist Light" w:eastAsia="Calibri" w:hAnsi="Geomanist Light" w:cs="Arial"/>
          <w:sz w:val="22"/>
          <w:szCs w:val="22"/>
          <w:lang w:val="es-MX" w:eastAsia="en-US"/>
        </w:rPr>
        <w:t>:</w:t>
      </w:r>
      <w:r w:rsidR="00337A95" w:rsidRPr="00C012F4">
        <w:rPr>
          <w:rFonts w:ascii="Geomanist Light" w:hAnsi="Geomanist Light"/>
          <w:sz w:val="22"/>
          <w:szCs w:val="22"/>
        </w:rPr>
        <w:t xml:space="preserve"> i) </w:t>
      </w:r>
      <w:r w:rsidR="00337A95" w:rsidRPr="00337A95">
        <w:rPr>
          <w:rFonts w:ascii="Geomanist Light" w:eastAsia="Calibri" w:hAnsi="Geomanist Light" w:cs="Arial"/>
          <w:sz w:val="22"/>
          <w:szCs w:val="22"/>
          <w:lang w:val="es-MX" w:eastAsia="en-US"/>
        </w:rPr>
        <w:t>régimen normativo aplicable al cómputo de la experiencia profesional</w:t>
      </w:r>
      <w:r w:rsidR="00FA7CE5" w:rsidRPr="00337A95">
        <w:rPr>
          <w:rFonts w:ascii="Geomanist Light" w:eastAsia="Calibri" w:hAnsi="Geomanist Light" w:cs="Arial"/>
          <w:sz w:val="22"/>
          <w:szCs w:val="22"/>
          <w:lang w:val="es-MX" w:eastAsia="en-US"/>
        </w:rPr>
        <w:t xml:space="preserve"> </w:t>
      </w:r>
      <w:r w:rsidR="00337A95" w:rsidRPr="00337A95">
        <w:rPr>
          <w:rFonts w:ascii="Geomanist Light" w:eastAsia="Calibri" w:hAnsi="Geomanist Light" w:cs="Arial"/>
          <w:sz w:val="22"/>
          <w:szCs w:val="22"/>
          <w:lang w:val="es-MX" w:eastAsia="en-US"/>
        </w:rPr>
        <w:t xml:space="preserve">y </w:t>
      </w:r>
      <w:proofErr w:type="spellStart"/>
      <w:r w:rsidR="00E67C0C" w:rsidRPr="00337A95">
        <w:rPr>
          <w:rFonts w:ascii="Geomanist Light" w:eastAsia="Calibri" w:hAnsi="Geomanist Light" w:cs="Arial"/>
          <w:sz w:val="22"/>
          <w:szCs w:val="22"/>
          <w:lang w:val="es-MX" w:eastAsia="en-US"/>
        </w:rPr>
        <w:t>ii</w:t>
      </w:r>
      <w:proofErr w:type="spellEnd"/>
      <w:r w:rsidR="00E67C0C" w:rsidRPr="00337A95">
        <w:rPr>
          <w:rFonts w:ascii="Geomanist Light" w:eastAsia="Calibri" w:hAnsi="Geomanist Light" w:cs="Arial"/>
          <w:sz w:val="22"/>
          <w:szCs w:val="22"/>
          <w:lang w:val="es-MX" w:eastAsia="en-US"/>
        </w:rPr>
        <w:t xml:space="preserve">] </w:t>
      </w:r>
      <w:r w:rsidR="00C02705" w:rsidRPr="00C02705">
        <w:rPr>
          <w:rFonts w:ascii="Geomanist Light" w:eastAsiaTheme="minorHAnsi" w:hAnsi="Geomanist Light" w:cs="Arial"/>
          <w:bCs/>
          <w:iCs/>
          <w:color w:val="000000" w:themeColor="text1"/>
          <w:sz w:val="22"/>
          <w:szCs w:val="22"/>
          <w:lang w:val="es-ES_tradnl" w:eastAsia="en-US"/>
        </w:rPr>
        <w:t>la experiencia en l</w:t>
      </w:r>
      <w:r w:rsidR="00C02705">
        <w:rPr>
          <w:rFonts w:ascii="Geomanist Light" w:eastAsiaTheme="minorHAnsi" w:hAnsi="Geomanist Light" w:cs="Arial"/>
          <w:bCs/>
          <w:iCs/>
          <w:color w:val="000000" w:themeColor="text1"/>
          <w:sz w:val="22"/>
          <w:szCs w:val="22"/>
          <w:lang w:val="es-ES_tradnl" w:eastAsia="en-US"/>
        </w:rPr>
        <w:t xml:space="preserve">os procesos de </w:t>
      </w:r>
      <w:r w:rsidR="00C02705" w:rsidRPr="00C02705">
        <w:rPr>
          <w:rFonts w:ascii="Geomanist Light" w:eastAsiaTheme="minorHAnsi" w:hAnsi="Geomanist Light" w:cs="Arial"/>
          <w:bCs/>
          <w:iCs/>
          <w:color w:val="000000" w:themeColor="text1"/>
          <w:sz w:val="22"/>
          <w:szCs w:val="22"/>
          <w:lang w:val="es-ES_tradnl" w:eastAsia="en-US"/>
        </w:rPr>
        <w:t>contratación pública</w:t>
      </w:r>
      <w:r w:rsidR="00C02705">
        <w:rPr>
          <w:rFonts w:ascii="Geomanist Light" w:eastAsiaTheme="minorHAnsi" w:hAnsi="Geomanist Light" w:cs="Arial"/>
          <w:bCs/>
          <w:iCs/>
          <w:color w:val="000000" w:themeColor="text1"/>
          <w:sz w:val="22"/>
          <w:szCs w:val="22"/>
          <w:lang w:val="es-ES_tradnl" w:eastAsia="en-US"/>
        </w:rPr>
        <w:t>.</w:t>
      </w:r>
      <w:r w:rsidR="00C02705" w:rsidRPr="00C02705">
        <w:rPr>
          <w:rFonts w:ascii="Geomanist Light" w:eastAsiaTheme="minorHAnsi" w:hAnsi="Geomanist Light" w:cs="Arial"/>
          <w:bCs/>
          <w:iCs/>
          <w:color w:val="000000" w:themeColor="text1"/>
          <w:sz w:val="22"/>
          <w:szCs w:val="22"/>
          <w:lang w:val="es-ES_tradnl" w:eastAsia="en-US"/>
        </w:rPr>
        <w:t xml:space="preserve"> </w:t>
      </w:r>
      <w:r w:rsidR="00E721BF">
        <w:rPr>
          <w:rFonts w:ascii="Geomanist Light" w:eastAsia="Calibri" w:hAnsi="Geomanist Light" w:cs="Arial"/>
          <w:sz w:val="22"/>
          <w:szCs w:val="22"/>
          <w:lang w:val="es-MX" w:eastAsia="en-US"/>
        </w:rPr>
        <w:t>A continuación, se reiteran y se complementan en lo pertinente las</w:t>
      </w:r>
      <w:r w:rsidR="00337A95">
        <w:rPr>
          <w:rFonts w:ascii="Geomanist Light" w:eastAsia="Calibri" w:hAnsi="Geomanist Light" w:cs="Arial"/>
          <w:sz w:val="22"/>
          <w:szCs w:val="22"/>
          <w:lang w:val="es-MX" w:eastAsia="en-US"/>
        </w:rPr>
        <w:t xml:space="preserve"> tesis desarrolladas en los anteriores conceptos</w:t>
      </w:r>
      <w:r w:rsidR="00E721BF">
        <w:rPr>
          <w:rFonts w:ascii="Geomanist Light" w:eastAsia="Calibri" w:hAnsi="Geomanist Light" w:cs="Arial"/>
          <w:sz w:val="22"/>
          <w:szCs w:val="22"/>
          <w:lang w:val="es-MX" w:eastAsia="en-US"/>
        </w:rPr>
        <w:t>.</w:t>
      </w:r>
    </w:p>
    <w:p w14:paraId="61B2D84B" w14:textId="77777777" w:rsidR="00E721BF" w:rsidRPr="00337A95" w:rsidRDefault="00E721BF" w:rsidP="00C012F4">
      <w:pPr>
        <w:pStyle w:val="NormalWeb"/>
        <w:spacing w:before="0" w:beforeAutospacing="0" w:after="0" w:afterAutospacing="0" w:line="276" w:lineRule="auto"/>
        <w:jc w:val="both"/>
        <w:rPr>
          <w:rFonts w:ascii="Geomanist Light" w:eastAsia="Calibri" w:hAnsi="Geomanist Light" w:cs="Arial"/>
          <w:sz w:val="22"/>
          <w:szCs w:val="22"/>
          <w:lang w:val="es-MX" w:eastAsia="en-US"/>
        </w:rPr>
      </w:pPr>
    </w:p>
    <w:p w14:paraId="32FD97CD" w14:textId="51E19E44" w:rsidR="00935834" w:rsidRDefault="00935834" w:rsidP="00E721BF">
      <w:pPr>
        <w:spacing w:line="276" w:lineRule="auto"/>
        <w:jc w:val="both"/>
        <w:rPr>
          <w:rFonts w:ascii="Geomanist Light" w:hAnsi="Geomanist Light" w:cs="Arial"/>
          <w:b/>
          <w:sz w:val="22"/>
          <w:lang w:val="es-ES"/>
        </w:rPr>
      </w:pPr>
      <w:r w:rsidRPr="003B7016">
        <w:rPr>
          <w:rFonts w:ascii="Geomanist Light" w:hAnsi="Geomanist Light" w:cs="Arial"/>
          <w:b/>
          <w:sz w:val="22"/>
          <w:lang w:val="es-ES"/>
        </w:rPr>
        <w:t>2.</w:t>
      </w:r>
      <w:r w:rsidR="00337A95">
        <w:rPr>
          <w:rFonts w:ascii="Geomanist Light" w:hAnsi="Geomanist Light" w:cs="Arial"/>
          <w:b/>
          <w:sz w:val="22"/>
          <w:lang w:val="es-ES"/>
        </w:rPr>
        <w:t>1</w:t>
      </w:r>
      <w:r w:rsidR="00F33DBC" w:rsidRPr="003B7016">
        <w:rPr>
          <w:rFonts w:ascii="Geomanist Light" w:hAnsi="Geomanist Light" w:cs="Arial"/>
          <w:b/>
          <w:sz w:val="22"/>
          <w:lang w:val="es-ES"/>
        </w:rPr>
        <w:t xml:space="preserve">. </w:t>
      </w:r>
      <w:r w:rsidRPr="003B7016">
        <w:rPr>
          <w:rFonts w:ascii="Geomanist Light" w:hAnsi="Geomanist Light" w:cs="Arial"/>
          <w:b/>
          <w:sz w:val="22"/>
          <w:lang w:val="es-ES"/>
        </w:rPr>
        <w:t xml:space="preserve"> </w:t>
      </w:r>
      <w:bookmarkStart w:id="1" w:name="_Hlk116397457"/>
      <w:r w:rsidR="00764105">
        <w:rPr>
          <w:rFonts w:ascii="Geomanist Light" w:hAnsi="Geomanist Light" w:cs="Arial"/>
          <w:b/>
          <w:sz w:val="22"/>
          <w:lang w:val="es-ES"/>
        </w:rPr>
        <w:t>Régimen normativo aplicable a</w:t>
      </w:r>
      <w:r w:rsidR="00337A95">
        <w:rPr>
          <w:rFonts w:ascii="Geomanist Light" w:hAnsi="Geomanist Light" w:cs="Arial"/>
          <w:b/>
          <w:sz w:val="22"/>
          <w:lang w:val="es-ES"/>
        </w:rPr>
        <w:t xml:space="preserve">l cómputo </w:t>
      </w:r>
      <w:r w:rsidRPr="003B7016">
        <w:rPr>
          <w:rFonts w:ascii="Geomanist Light" w:hAnsi="Geomanist Light" w:cs="Arial"/>
          <w:b/>
          <w:sz w:val="22"/>
          <w:lang w:val="es-ES"/>
        </w:rPr>
        <w:t>de la experiencia</w:t>
      </w:r>
      <w:r w:rsidR="00764105">
        <w:rPr>
          <w:rFonts w:ascii="Geomanist Light" w:hAnsi="Geomanist Light" w:cs="Arial"/>
          <w:b/>
          <w:sz w:val="22"/>
          <w:lang w:val="es-ES"/>
        </w:rPr>
        <w:t xml:space="preserve"> profesional</w:t>
      </w:r>
      <w:r w:rsidRPr="003B7016">
        <w:rPr>
          <w:rFonts w:ascii="Geomanist Light" w:hAnsi="Geomanist Light" w:cs="Arial"/>
          <w:b/>
          <w:sz w:val="22"/>
          <w:lang w:val="es-ES"/>
        </w:rPr>
        <w:t xml:space="preserve"> </w:t>
      </w:r>
    </w:p>
    <w:bookmarkEnd w:id="1"/>
    <w:p w14:paraId="50D340F9" w14:textId="77777777" w:rsidR="00E721BF" w:rsidRPr="003B7016" w:rsidRDefault="00E721BF" w:rsidP="00C012F4">
      <w:pPr>
        <w:spacing w:line="276" w:lineRule="auto"/>
        <w:jc w:val="both"/>
        <w:rPr>
          <w:rFonts w:ascii="Geomanist Light" w:hAnsi="Geomanist Light" w:cs="Arial"/>
          <w:b/>
          <w:sz w:val="22"/>
          <w:lang w:val="es-ES"/>
        </w:rPr>
      </w:pPr>
    </w:p>
    <w:p w14:paraId="5B9FAE33" w14:textId="60D6077F" w:rsidR="00935834" w:rsidRPr="003B7016" w:rsidRDefault="00935834" w:rsidP="00C012F4">
      <w:pPr>
        <w:spacing w:after="120" w:line="276" w:lineRule="auto"/>
        <w:ind w:right="51"/>
        <w:jc w:val="both"/>
        <w:rPr>
          <w:rFonts w:ascii="Geomanist Light" w:eastAsia="Calibri" w:hAnsi="Geomanist Light" w:cs="Arial"/>
          <w:sz w:val="22"/>
          <w:lang w:val="es-ES"/>
        </w:rPr>
      </w:pPr>
      <w:r w:rsidRPr="003B7016">
        <w:rPr>
          <w:rFonts w:ascii="Geomanist Light" w:eastAsia="Calibri" w:hAnsi="Geomanist Light" w:cs="Arial"/>
          <w:sz w:val="22"/>
          <w:lang w:val="es-ES"/>
        </w:rPr>
        <w:t xml:space="preserve">El asunto de la experiencia profesional y su acreditación en procedimientos de selección de contratistas ha sido objeto de reglamentación y modificación en diversas normas en el ordenamiento jurídico. Para entender el esquema actual es necesario hacer un corto recuento sobre ese </w:t>
      </w:r>
      <w:r w:rsidR="00C141E2" w:rsidRPr="003B7016">
        <w:rPr>
          <w:rFonts w:ascii="Geomanist Light" w:eastAsia="Calibri" w:hAnsi="Geomanist Light" w:cs="Arial"/>
          <w:sz w:val="22"/>
          <w:lang w:val="es-ES"/>
        </w:rPr>
        <w:t>curso</w:t>
      </w:r>
      <w:r w:rsidRPr="003B7016">
        <w:rPr>
          <w:rFonts w:ascii="Geomanist Light" w:eastAsia="Calibri" w:hAnsi="Geomanist Light" w:cs="Arial"/>
          <w:sz w:val="22"/>
          <w:lang w:val="es-ES"/>
        </w:rPr>
        <w:t xml:space="preserve"> normativo. </w:t>
      </w:r>
    </w:p>
    <w:p w14:paraId="17EAC228" w14:textId="3B6A260F" w:rsidR="00935834" w:rsidRPr="003B7016" w:rsidRDefault="00FB730D" w:rsidP="00935834">
      <w:pPr>
        <w:spacing w:after="120" w:line="276" w:lineRule="auto"/>
        <w:ind w:right="51"/>
        <w:jc w:val="both"/>
        <w:rPr>
          <w:rFonts w:ascii="Geomanist Light" w:eastAsia="Calibri" w:hAnsi="Geomanist Light" w:cs="Arial"/>
          <w:sz w:val="22"/>
          <w:lang w:val="es-ES"/>
        </w:rPr>
      </w:pPr>
      <w:r w:rsidRPr="003B7016">
        <w:rPr>
          <w:rFonts w:ascii="Geomanist Light" w:eastAsia="Calibri" w:hAnsi="Geomanist Light" w:cs="Arial"/>
          <w:sz w:val="22"/>
          <w:lang w:val="es-ES"/>
        </w:rPr>
        <w:t>E</w:t>
      </w:r>
      <w:r w:rsidR="00935834" w:rsidRPr="003B7016">
        <w:rPr>
          <w:rFonts w:ascii="Geomanist Light" w:eastAsia="Calibri" w:hAnsi="Geomanist Light" w:cs="Arial"/>
          <w:sz w:val="22"/>
          <w:lang w:val="es-ES"/>
        </w:rPr>
        <w:t xml:space="preserve">s relevante tener en consideración que el artículo 229 </w:t>
      </w:r>
      <w:bookmarkStart w:id="2" w:name="_Hlk116397561"/>
      <w:r w:rsidR="00935834" w:rsidRPr="003B7016">
        <w:rPr>
          <w:rFonts w:ascii="Geomanist Light" w:eastAsia="Calibri" w:hAnsi="Geomanist Light" w:cs="Arial"/>
          <w:sz w:val="22"/>
          <w:lang w:val="es-ES"/>
        </w:rPr>
        <w:t xml:space="preserve">del Decreto 019 de 2012 </w:t>
      </w:r>
      <w:bookmarkEnd w:id="2"/>
      <w:r w:rsidR="00935834" w:rsidRPr="003B7016">
        <w:rPr>
          <w:rFonts w:ascii="Geomanist Light" w:eastAsia="Calibri" w:hAnsi="Geomanist Light" w:cs="Arial"/>
          <w:sz w:val="22"/>
          <w:lang w:val="es-ES"/>
        </w:rPr>
        <w:t xml:space="preserve">establece que el ejercicio de las diferentes profesiones acreditadas por el Ministerio de Educación Nacional se contabiliza a partir de la terminación y aprobación del </w:t>
      </w:r>
      <w:r w:rsidR="00783FD8" w:rsidRPr="003B7016">
        <w:rPr>
          <w:rFonts w:ascii="Geomanist Light" w:eastAsia="Calibri" w:hAnsi="Geomanist Light" w:cs="Arial"/>
          <w:sz w:val="22"/>
          <w:lang w:val="es-ES"/>
        </w:rPr>
        <w:t>pé</w:t>
      </w:r>
      <w:r w:rsidR="0001182E" w:rsidRPr="003B7016">
        <w:rPr>
          <w:rFonts w:ascii="Geomanist Light" w:eastAsia="Calibri" w:hAnsi="Geomanist Light" w:cs="Arial"/>
          <w:sz w:val="22"/>
          <w:lang w:val="es-ES"/>
        </w:rPr>
        <w:t>nsum</w:t>
      </w:r>
      <w:r w:rsidR="00935834" w:rsidRPr="003B7016">
        <w:rPr>
          <w:rFonts w:ascii="Geomanist Light" w:eastAsia="Calibri" w:hAnsi="Geomanist Light" w:cs="Arial"/>
          <w:sz w:val="22"/>
          <w:lang w:val="es-ES"/>
        </w:rPr>
        <w:t xml:space="preserve"> académico de educación superior, salvo para las profesiones relacionadas con el sistema de seguridad social en salud, en las cuales la experiencia profesional se computa a partir de la inscripción o registro profesional</w:t>
      </w:r>
      <w:r w:rsidR="00935834" w:rsidRPr="003B7016">
        <w:rPr>
          <w:rStyle w:val="Refdenotaalpie"/>
          <w:rFonts w:ascii="Geomanist Light" w:eastAsia="Calibri" w:hAnsi="Geomanist Light" w:cs="Arial"/>
          <w:sz w:val="22"/>
          <w:lang w:val="es-ES"/>
        </w:rPr>
        <w:footnoteReference w:id="1"/>
      </w:r>
      <w:r w:rsidR="00935834" w:rsidRPr="003B7016">
        <w:rPr>
          <w:rFonts w:ascii="Geomanist Light" w:eastAsia="Calibri" w:hAnsi="Geomanist Light" w:cs="Arial"/>
          <w:sz w:val="22"/>
          <w:lang w:val="es-ES"/>
        </w:rPr>
        <w:t>.</w:t>
      </w:r>
    </w:p>
    <w:p w14:paraId="24273407" w14:textId="40B19980" w:rsidR="00935834" w:rsidRPr="003B7016" w:rsidRDefault="00935834" w:rsidP="00AB693B">
      <w:pPr>
        <w:spacing w:after="120" w:line="276" w:lineRule="auto"/>
        <w:ind w:right="51"/>
        <w:jc w:val="both"/>
        <w:rPr>
          <w:rFonts w:ascii="Geomanist Light" w:eastAsia="Calibri" w:hAnsi="Geomanist Light" w:cs="Arial"/>
          <w:sz w:val="22"/>
          <w:lang w:val="es-ES"/>
        </w:rPr>
      </w:pPr>
      <w:r w:rsidRPr="003B7016">
        <w:rPr>
          <w:rFonts w:ascii="Geomanist Light" w:eastAsia="Calibri" w:hAnsi="Geomanist Light" w:cs="Arial"/>
          <w:sz w:val="22"/>
          <w:lang w:val="es-ES"/>
        </w:rPr>
        <w:t>De conformidad con lo anterior, el cómputo de la experiencia profesional comienza</w:t>
      </w:r>
      <w:r w:rsidR="00625781" w:rsidRPr="003B7016">
        <w:rPr>
          <w:rFonts w:ascii="Geomanist Light" w:eastAsia="Calibri" w:hAnsi="Geomanist Light" w:cs="Arial"/>
          <w:sz w:val="22"/>
          <w:lang w:val="es-ES"/>
        </w:rPr>
        <w:t>,</w:t>
      </w:r>
      <w:r w:rsidRPr="003B7016">
        <w:rPr>
          <w:rFonts w:ascii="Geomanist Light" w:eastAsia="Calibri" w:hAnsi="Geomanist Light" w:cs="Arial"/>
          <w:sz w:val="22"/>
          <w:lang w:val="es-ES"/>
        </w:rPr>
        <w:t xml:space="preserve"> por regla general, con la terminación y aprobación del pénsum académico de educación superior. Frente a las profesiones relacionadas con el sistema de seguridad social en salud, la experiencia profesional se cuenta desde la inscripción o registro profesional. </w:t>
      </w:r>
    </w:p>
    <w:p w14:paraId="1AFFD6BF" w14:textId="1D87C1FF" w:rsidR="00935834" w:rsidRPr="003B7016" w:rsidRDefault="00935834" w:rsidP="00935834">
      <w:pPr>
        <w:spacing w:after="120" w:line="276" w:lineRule="auto"/>
        <w:ind w:right="51" w:firstLine="708"/>
        <w:jc w:val="both"/>
        <w:rPr>
          <w:rFonts w:ascii="Geomanist Light" w:eastAsia="Calibri" w:hAnsi="Geomanist Light" w:cs="Arial"/>
          <w:sz w:val="22"/>
          <w:lang w:val="es-ES"/>
        </w:rPr>
      </w:pPr>
      <w:r w:rsidRPr="003B7016">
        <w:rPr>
          <w:rFonts w:ascii="Geomanist Light" w:eastAsia="Calibri" w:hAnsi="Geomanist Light" w:cs="Arial"/>
          <w:sz w:val="22"/>
          <w:lang w:val="es-ES"/>
        </w:rPr>
        <w:t xml:space="preserve">Por otro lado, a partir de la </w:t>
      </w:r>
      <w:bookmarkStart w:id="3" w:name="_Hlk116397582"/>
      <w:r w:rsidRPr="003B7016">
        <w:rPr>
          <w:rFonts w:ascii="Geomanist Light" w:eastAsia="Calibri" w:hAnsi="Geomanist Light" w:cs="Arial"/>
          <w:sz w:val="22"/>
          <w:lang w:val="es-ES"/>
        </w:rPr>
        <w:t>Ley 1955 de 2019</w:t>
      </w:r>
      <w:bookmarkEnd w:id="3"/>
      <w:r w:rsidRPr="003B7016">
        <w:rPr>
          <w:rFonts w:ascii="Geomanist Light" w:eastAsia="Calibri" w:hAnsi="Geomanist Light" w:cs="Arial"/>
          <w:sz w:val="22"/>
          <w:lang w:val="es-ES"/>
        </w:rPr>
        <w:t xml:space="preserve"> se permitió contar como experiencia profesional las prácticas laborales realizadas por estudiantes para obtener el título de grado. Para el momento de expedición de esa norma se encontraba vigente el artículo 15 de la Ley 1780 de 2016</w:t>
      </w:r>
      <w:r w:rsidRPr="003B7016">
        <w:rPr>
          <w:rStyle w:val="Refdenotaalpie"/>
          <w:rFonts w:ascii="Geomanist Light" w:eastAsia="Calibri" w:hAnsi="Geomanist Light" w:cs="Arial"/>
          <w:sz w:val="22"/>
          <w:lang w:val="es-ES"/>
        </w:rPr>
        <w:footnoteReference w:id="2"/>
      </w:r>
      <w:r w:rsidRPr="003B7016">
        <w:rPr>
          <w:rFonts w:ascii="Geomanist Light" w:eastAsia="Calibri" w:hAnsi="Geomanist Light" w:cs="Arial"/>
          <w:sz w:val="22"/>
          <w:lang w:val="es-ES"/>
        </w:rPr>
        <w:t xml:space="preserve">, según el cual la práctica laboral es una actividad formativa desarrollada por un </w:t>
      </w:r>
      <w:r w:rsidRPr="003B7016">
        <w:rPr>
          <w:rFonts w:ascii="Geomanist Light" w:eastAsia="Calibri" w:hAnsi="Geomanist Light" w:cs="Arial"/>
          <w:sz w:val="22"/>
          <w:lang w:val="es-ES"/>
        </w:rPr>
        <w:lastRenderedPageBreak/>
        <w:t>estudiante de programas de formación complementaria ofrecidos por las escuelas normales superiores y educación superior de pregrado, durante un tiempo determinado, en un ambiente laboral real, con supervisión y sobre asuntos relacionados con su área de estudio o desempeño.</w:t>
      </w:r>
      <w:r w:rsidR="00370F29">
        <w:rPr>
          <w:rFonts w:ascii="Geomanist Light" w:eastAsia="Calibri" w:hAnsi="Geomanist Light" w:cs="Arial"/>
          <w:sz w:val="22"/>
          <w:lang w:val="es-ES"/>
        </w:rPr>
        <w:t xml:space="preserve"> </w:t>
      </w:r>
      <w:r w:rsidRPr="003B7016">
        <w:rPr>
          <w:rFonts w:ascii="Geomanist Light" w:eastAsia="Calibri" w:hAnsi="Geomanist Light" w:cs="Arial"/>
          <w:sz w:val="22"/>
          <w:lang w:val="es-ES"/>
        </w:rPr>
        <w:t>El artículo 192 de la Ley 1955 de 2019</w:t>
      </w:r>
      <w:r w:rsidRPr="003B7016">
        <w:rPr>
          <w:rStyle w:val="Refdenotaalpie"/>
          <w:rFonts w:ascii="Geomanist Light" w:eastAsia="Calibri" w:hAnsi="Geomanist Light" w:cs="Arial"/>
          <w:sz w:val="22"/>
          <w:lang w:val="es-ES"/>
        </w:rPr>
        <w:footnoteReference w:id="3"/>
      </w:r>
      <w:r w:rsidRPr="003B7016">
        <w:rPr>
          <w:rFonts w:ascii="Geomanist Light" w:eastAsia="Calibri" w:hAnsi="Geomanist Light" w:cs="Arial"/>
          <w:sz w:val="22"/>
          <w:lang w:val="es-ES"/>
        </w:rPr>
        <w:t xml:space="preserve"> establec</w:t>
      </w:r>
      <w:r w:rsidR="006606A1">
        <w:rPr>
          <w:rFonts w:ascii="Geomanist Light" w:eastAsia="Calibri" w:hAnsi="Geomanist Light" w:cs="Arial"/>
          <w:sz w:val="22"/>
          <w:lang w:val="es-ES"/>
        </w:rPr>
        <w:t>ió</w:t>
      </w:r>
      <w:r w:rsidRPr="003B7016">
        <w:rPr>
          <w:rFonts w:ascii="Geomanist Light" w:eastAsia="Calibri" w:hAnsi="Geomanist Light" w:cs="Arial"/>
          <w:sz w:val="22"/>
          <w:lang w:val="es-ES"/>
        </w:rPr>
        <w:t xml:space="preserve"> que el tiempo de la práctica laboral que el estudiante realice para optar por su título profesional, tecnológico o técnico cuenta como experiencia laboral. </w:t>
      </w:r>
    </w:p>
    <w:p w14:paraId="63DE2D55" w14:textId="785A885B" w:rsidR="00935834" w:rsidRPr="003B7016" w:rsidRDefault="00625781" w:rsidP="00AB693B">
      <w:pPr>
        <w:spacing w:after="120" w:line="276" w:lineRule="auto"/>
        <w:ind w:right="51"/>
        <w:jc w:val="both"/>
        <w:rPr>
          <w:rFonts w:ascii="Geomanist Light" w:eastAsia="Calibri" w:hAnsi="Geomanist Light" w:cs="Arial"/>
          <w:color w:val="000000" w:themeColor="text1"/>
          <w:sz w:val="22"/>
          <w:lang w:val="es-ES"/>
        </w:rPr>
      </w:pPr>
      <w:r w:rsidRPr="003B7016">
        <w:rPr>
          <w:rFonts w:ascii="Geomanist Light" w:eastAsia="Calibri" w:hAnsi="Geomanist Light" w:cs="Arial"/>
          <w:sz w:val="22"/>
          <w:lang w:val="es-ES"/>
        </w:rPr>
        <w:t>De acuerdo con lo anterior, e</w:t>
      </w:r>
      <w:r w:rsidR="00935834" w:rsidRPr="003B7016">
        <w:rPr>
          <w:rFonts w:ascii="Geomanist Light" w:eastAsia="Calibri" w:hAnsi="Geomanist Light" w:cs="Arial"/>
          <w:sz w:val="22"/>
          <w:lang w:val="es-ES"/>
        </w:rPr>
        <w:t xml:space="preserve">s importante mencionar </w:t>
      </w:r>
      <w:r w:rsidR="00935834" w:rsidRPr="003B7016">
        <w:rPr>
          <w:rFonts w:ascii="Geomanist Light" w:eastAsia="Calibri" w:hAnsi="Geomanist Light" w:cs="Arial"/>
          <w:color w:val="000000" w:themeColor="text1"/>
          <w:sz w:val="22"/>
          <w:lang w:val="es-ES"/>
        </w:rPr>
        <w:t>que las normas jurídicas, por regla general, producen efectos a partir de su promulgación o publicación. De allí se derivan principios tales como la irretroactividad de la Ley y su efecto general inmediato</w:t>
      </w:r>
      <w:r w:rsidR="00935834" w:rsidRPr="003B7016">
        <w:rPr>
          <w:rStyle w:val="Refdenotaalpie"/>
          <w:rFonts w:ascii="Geomanist Light" w:eastAsia="Calibri" w:hAnsi="Geomanist Light" w:cs="Arial"/>
          <w:color w:val="000000" w:themeColor="text1"/>
          <w:sz w:val="22"/>
          <w:lang w:val="es-ES"/>
        </w:rPr>
        <w:footnoteReference w:id="4"/>
      </w:r>
      <w:r w:rsidR="00935834" w:rsidRPr="003B7016">
        <w:rPr>
          <w:rFonts w:ascii="Geomanist Light" w:eastAsia="Calibri" w:hAnsi="Geomanist Light" w:cs="Arial"/>
          <w:color w:val="000000" w:themeColor="text1"/>
          <w:sz w:val="22"/>
          <w:lang w:val="es-ES"/>
        </w:rPr>
        <w:t xml:space="preserve">. </w:t>
      </w:r>
      <w:r w:rsidR="00935834" w:rsidRPr="003B7016">
        <w:rPr>
          <w:rFonts w:ascii="Geomanist Light" w:eastAsia="Calibri" w:hAnsi="Geomanist Light" w:cs="Arial"/>
          <w:sz w:val="22"/>
          <w:lang w:val="es-ES"/>
        </w:rPr>
        <w:t xml:space="preserve"> </w:t>
      </w:r>
      <w:r w:rsidR="00935834" w:rsidRPr="003B7016">
        <w:rPr>
          <w:rFonts w:ascii="Geomanist Light" w:eastAsia="Calibri" w:hAnsi="Geomanist Light" w:cs="Arial"/>
          <w:color w:val="000000" w:themeColor="text1"/>
          <w:sz w:val="22"/>
          <w:lang w:val="es-ES"/>
        </w:rPr>
        <w:t xml:space="preserve">Sin embargo, las leyes pueden modular sus efectos en el tiempo y establecer para el inicio de su entrada en vigor un plazo o una condición o unos efectos particulares hacia el pasado. </w:t>
      </w:r>
    </w:p>
    <w:p w14:paraId="5D7E0ED0" w14:textId="77777777" w:rsidR="00935834" w:rsidRPr="003B7016" w:rsidRDefault="00935834" w:rsidP="00AB693B">
      <w:pPr>
        <w:spacing w:after="120" w:line="276" w:lineRule="auto"/>
        <w:ind w:right="51"/>
        <w:jc w:val="both"/>
        <w:rPr>
          <w:rFonts w:ascii="Geomanist Light" w:eastAsia="Calibri" w:hAnsi="Geomanist Light" w:cs="Arial"/>
          <w:sz w:val="22"/>
          <w:lang w:val="es-ES"/>
        </w:rPr>
      </w:pPr>
      <w:r w:rsidRPr="003B7016">
        <w:rPr>
          <w:rFonts w:ascii="Geomanist Light" w:eastAsia="Calibri" w:hAnsi="Geomanist Light" w:cs="Arial"/>
          <w:color w:val="000000" w:themeColor="text1"/>
          <w:sz w:val="22"/>
          <w:lang w:val="es-ES"/>
        </w:rPr>
        <w:t xml:space="preserve">En este contexto, la disposición citada de la Ley 1955 de 2019 </w:t>
      </w:r>
      <w:r w:rsidRPr="003B7016">
        <w:rPr>
          <w:rFonts w:ascii="Geomanist Light" w:eastAsia="Calibri" w:hAnsi="Geomanist Light" w:cs="Arial"/>
          <w:sz w:val="22"/>
          <w:lang w:val="es-ES"/>
        </w:rPr>
        <w:t>dispuso que solamente las prácticas laborales realizadas durante los veinticuatro (24) meses anteriores a la entrada en vigor de dicha ley y las que se realizaran con posterioridad se computarían como experiencia. Por último, se exceptúa de lo dispuesto en ese artículo a los estudiantes de posgrado del sector salud.</w:t>
      </w:r>
    </w:p>
    <w:p w14:paraId="480B21D8" w14:textId="316360C9" w:rsidR="00935834" w:rsidRPr="003B7016" w:rsidRDefault="00935834" w:rsidP="00AB693B">
      <w:pPr>
        <w:spacing w:after="120" w:line="276" w:lineRule="auto"/>
        <w:ind w:right="51"/>
        <w:jc w:val="both"/>
        <w:rPr>
          <w:rFonts w:ascii="Geomanist Light" w:eastAsia="Calibri" w:hAnsi="Geomanist Light" w:cs="Arial"/>
          <w:sz w:val="22"/>
          <w:lang w:val="es-ES"/>
        </w:rPr>
      </w:pPr>
      <w:r w:rsidRPr="003B7016">
        <w:rPr>
          <w:rFonts w:ascii="Geomanist Light" w:eastAsia="Calibri" w:hAnsi="Geomanist Light" w:cs="Arial"/>
          <w:sz w:val="22"/>
          <w:lang w:val="es-ES"/>
        </w:rPr>
        <w:t xml:space="preserve">De conformidad con esta norma, las entidades estatales deben tener en cuenta las prácticas laborales como experiencia profesional aun cuando se hayan realizado antes de la terminación de materias. No obstante, solo se tendrán en cuenta i) las prácticas laborales que fueron realizadas durante los veinticuatro </w:t>
      </w:r>
      <w:r w:rsidR="00AC1798">
        <w:rPr>
          <w:rFonts w:ascii="Geomanist Light" w:eastAsia="Calibri" w:hAnsi="Geomanist Light" w:cs="Arial"/>
          <w:sz w:val="22"/>
          <w:lang w:val="es-ES"/>
        </w:rPr>
        <w:t xml:space="preserve">(24) </w:t>
      </w:r>
      <w:r w:rsidRPr="003B7016">
        <w:rPr>
          <w:rFonts w:ascii="Geomanist Light" w:eastAsia="Calibri" w:hAnsi="Geomanist Light" w:cs="Arial"/>
          <w:sz w:val="22"/>
          <w:lang w:val="es-ES"/>
        </w:rPr>
        <w:t xml:space="preserve">meses anteriores a la entrada en vigor de dicha </w:t>
      </w:r>
      <w:r w:rsidRPr="003B7016">
        <w:rPr>
          <w:rFonts w:ascii="Geomanist Light" w:eastAsia="Calibri" w:hAnsi="Geomanist Light" w:cs="Arial"/>
          <w:sz w:val="22"/>
          <w:lang w:val="es-ES"/>
        </w:rPr>
        <w:lastRenderedPageBreak/>
        <w:t xml:space="preserve">ley y las que se realicen con posterioridad, y </w:t>
      </w:r>
      <w:proofErr w:type="spellStart"/>
      <w:r w:rsidRPr="003B7016">
        <w:rPr>
          <w:rFonts w:ascii="Geomanist Light" w:eastAsia="Calibri" w:hAnsi="Geomanist Light" w:cs="Arial"/>
          <w:sz w:val="22"/>
          <w:lang w:val="es-ES"/>
        </w:rPr>
        <w:t>ii</w:t>
      </w:r>
      <w:proofErr w:type="spellEnd"/>
      <w:r w:rsidRPr="003B7016">
        <w:rPr>
          <w:rFonts w:ascii="Geomanist Light" w:eastAsia="Calibri" w:hAnsi="Geomanist Light" w:cs="Arial"/>
          <w:sz w:val="22"/>
          <w:lang w:val="es-ES"/>
        </w:rPr>
        <w:t>) las que realice cualquier estudiante que no sea de posgrado del sector salud.</w:t>
      </w:r>
    </w:p>
    <w:p w14:paraId="1A48AE58" w14:textId="7C2A0FF3" w:rsidR="00935834" w:rsidRDefault="00935834" w:rsidP="00AB693B">
      <w:pPr>
        <w:spacing w:after="120" w:line="276" w:lineRule="auto"/>
        <w:ind w:right="51"/>
        <w:jc w:val="both"/>
        <w:rPr>
          <w:rFonts w:ascii="Geomanist Light" w:eastAsia="Calibri" w:hAnsi="Geomanist Light" w:cs="Arial"/>
          <w:sz w:val="22"/>
          <w:lang w:val="es-ES"/>
        </w:rPr>
      </w:pPr>
      <w:r w:rsidRPr="003B7016">
        <w:rPr>
          <w:rFonts w:ascii="Geomanist Light" w:eastAsia="Calibri" w:hAnsi="Geomanist Light" w:cs="Arial"/>
          <w:sz w:val="22"/>
          <w:lang w:val="es-ES"/>
        </w:rPr>
        <w:t xml:space="preserve">En virtud de la existencia de estas dos normas, en su momento surgió la pregunta sobre la posible derogación del </w:t>
      </w:r>
      <w:bookmarkStart w:id="5" w:name="_Hlk116397609"/>
      <w:r w:rsidRPr="003B7016">
        <w:rPr>
          <w:rFonts w:ascii="Geomanist Light" w:eastAsia="Calibri" w:hAnsi="Geomanist Light" w:cs="Arial"/>
          <w:sz w:val="22"/>
          <w:lang w:val="es-ES"/>
        </w:rPr>
        <w:t xml:space="preserve">decreto Ley 019 de 2012 </w:t>
      </w:r>
      <w:bookmarkEnd w:id="5"/>
      <w:r w:rsidRPr="003B7016">
        <w:rPr>
          <w:rFonts w:ascii="Geomanist Light" w:eastAsia="Calibri" w:hAnsi="Geomanist Light" w:cs="Arial"/>
          <w:sz w:val="22"/>
          <w:lang w:val="es-ES"/>
        </w:rPr>
        <w:t xml:space="preserve">por la Ley 1955 de 2019. </w:t>
      </w:r>
      <w:r w:rsidR="00756CD6">
        <w:rPr>
          <w:rFonts w:ascii="Geomanist Light" w:eastAsia="Calibri" w:hAnsi="Geomanist Light" w:cs="Arial"/>
          <w:sz w:val="22"/>
          <w:lang w:val="es-ES"/>
        </w:rPr>
        <w:t xml:space="preserve"> </w:t>
      </w:r>
      <w:r w:rsidRPr="003B7016">
        <w:rPr>
          <w:rFonts w:ascii="Geomanist Light" w:eastAsia="Calibri" w:hAnsi="Geomanist Light" w:cs="Arial"/>
          <w:sz w:val="22"/>
          <w:lang w:val="es-ES"/>
        </w:rPr>
        <w:t>Para resolver este cuestionamiento, en su momento esta Agencia llamó la atención sobre algunos aspectos que resulta relevante recordar. La Corte Constitucional ha explicado sobre la derogatoria de las normas y la distinción entre derogatoria expresa y tácita, lo siguiente:</w:t>
      </w:r>
    </w:p>
    <w:p w14:paraId="528800DE" w14:textId="77777777" w:rsidR="004728F6" w:rsidRPr="003B7016" w:rsidRDefault="004728F6" w:rsidP="00C012F4">
      <w:pPr>
        <w:spacing w:line="276" w:lineRule="auto"/>
        <w:ind w:right="51" w:firstLine="709"/>
        <w:jc w:val="both"/>
        <w:rPr>
          <w:rFonts w:ascii="Geomanist Light" w:eastAsia="Calibri" w:hAnsi="Geomanist Light" w:cs="Arial"/>
          <w:sz w:val="22"/>
          <w:lang w:val="es-ES"/>
        </w:rPr>
      </w:pPr>
    </w:p>
    <w:p w14:paraId="6BD75864" w14:textId="77777777" w:rsidR="00935834" w:rsidRPr="003B7016" w:rsidRDefault="00935834" w:rsidP="00C012F4">
      <w:pPr>
        <w:ind w:left="709" w:right="709"/>
        <w:jc w:val="both"/>
        <w:rPr>
          <w:rFonts w:ascii="Geomanist Light" w:eastAsia="Calibri" w:hAnsi="Geomanist Light" w:cs="Arial"/>
          <w:sz w:val="22"/>
          <w:lang w:val="es-ES"/>
        </w:rPr>
      </w:pPr>
      <w:r w:rsidRPr="003B7016">
        <w:rPr>
          <w:rFonts w:ascii="Geomanist Light" w:eastAsia="Calibri" w:hAnsi="Geomanist Light" w:cs="Arial"/>
          <w:sz w:val="22"/>
          <w:lang w:val="es-ES"/>
        </w:rPr>
        <w:t>La derogatoria es aquel efecto de una ley, determinante de la pérdida de vigencia de otra ley anterior, la cual puede ser expresa o tácita. Este último evento tiene lugar al menos en dos hipótesis: (i) cuando una norma jurídica posterior resulta incompatible con una anterior, o (</w:t>
      </w:r>
      <w:proofErr w:type="spellStart"/>
      <w:r w:rsidRPr="003B7016">
        <w:rPr>
          <w:rFonts w:ascii="Geomanist Light" w:eastAsia="Calibri" w:hAnsi="Geomanist Light" w:cs="Arial"/>
          <w:sz w:val="22"/>
          <w:lang w:val="es-ES"/>
        </w:rPr>
        <w:t>ii</w:t>
      </w:r>
      <w:proofErr w:type="spellEnd"/>
      <w:r w:rsidRPr="003B7016">
        <w:rPr>
          <w:rFonts w:ascii="Geomanist Light" w:eastAsia="Calibri" w:hAnsi="Geomanist Light" w:cs="Arial"/>
          <w:sz w:val="22"/>
          <w:lang w:val="es-ES"/>
        </w:rPr>
        <w:t xml:space="preserve">) </w:t>
      </w:r>
      <w:r w:rsidRPr="003B7016">
        <w:rPr>
          <w:rFonts w:ascii="Geomanist Light" w:eastAsia="Calibri" w:hAnsi="Geomanist Light" w:cs="Arial"/>
          <w:i/>
          <w:iCs/>
          <w:sz w:val="22"/>
          <w:lang w:val="es-ES"/>
        </w:rPr>
        <w:t xml:space="preserve">cuando se produce una nueva regulación integral de la materia. </w:t>
      </w:r>
      <w:r w:rsidRPr="003B7016">
        <w:rPr>
          <w:rFonts w:ascii="Geomanist Light" w:eastAsia="Calibri" w:hAnsi="Geomanist Light" w:cs="Arial"/>
          <w:sz w:val="22"/>
          <w:lang w:val="es-ES"/>
        </w:rPr>
        <w:t>Así lo ha entendido la jurisprudencia de esta Corporación al señalar que la derogatoria de una ley puede ser expresa, tácita o por reglamentación integral (orgánica) de la materia, sucediendo la primera cuando la nueva ley suprime formal y específicamente la anterior; la segunda cuando la nueva ley contiene disposiciones incompatibles o contrarias a la de la antigua, y la tercera cuando una ley reglamenta toda la materia regulada por una o varias normas precedentes, aunque no haya incompatibilidad entre las disposiciones de éstas y las de la nueva ley</w:t>
      </w:r>
      <w:r w:rsidRPr="003B7016">
        <w:rPr>
          <w:rStyle w:val="Refdenotaalpie"/>
          <w:rFonts w:ascii="Geomanist Light" w:eastAsia="Calibri" w:hAnsi="Geomanist Light" w:cs="Arial"/>
          <w:sz w:val="22"/>
          <w:lang w:val="es-ES"/>
        </w:rPr>
        <w:footnoteReference w:id="5"/>
      </w:r>
      <w:r w:rsidRPr="003B7016">
        <w:rPr>
          <w:rFonts w:ascii="Geomanist Light" w:eastAsia="Calibri" w:hAnsi="Geomanist Light" w:cs="Arial"/>
          <w:sz w:val="22"/>
          <w:lang w:val="es-ES"/>
        </w:rPr>
        <w:t>.</w:t>
      </w:r>
    </w:p>
    <w:p w14:paraId="3F66DB5B" w14:textId="77777777" w:rsidR="00935834" w:rsidRPr="003B7016" w:rsidRDefault="00935834" w:rsidP="00935834">
      <w:pPr>
        <w:ind w:left="709" w:right="709"/>
        <w:jc w:val="both"/>
        <w:rPr>
          <w:rFonts w:ascii="Geomanist Light" w:eastAsia="Calibri" w:hAnsi="Geomanist Light" w:cs="Arial"/>
          <w:sz w:val="22"/>
          <w:lang w:val="es-ES"/>
        </w:rPr>
      </w:pPr>
    </w:p>
    <w:p w14:paraId="67FA029B" w14:textId="77777777" w:rsidR="00935834" w:rsidRPr="003B7016" w:rsidRDefault="00935834" w:rsidP="00AB693B">
      <w:pPr>
        <w:spacing w:after="120" w:line="276" w:lineRule="auto"/>
        <w:ind w:right="51"/>
        <w:jc w:val="both"/>
        <w:rPr>
          <w:rFonts w:ascii="Geomanist Light" w:eastAsia="Calibri" w:hAnsi="Geomanist Light" w:cs="Arial"/>
          <w:sz w:val="22"/>
          <w:lang w:val="es-ES"/>
        </w:rPr>
      </w:pPr>
      <w:r w:rsidRPr="003B7016">
        <w:rPr>
          <w:rFonts w:ascii="Geomanist Light" w:eastAsia="Calibri" w:hAnsi="Geomanist Light" w:cs="Arial"/>
          <w:sz w:val="22"/>
          <w:lang w:val="es-ES"/>
        </w:rPr>
        <w:t>De conformidad con lo anterior, la derogatoria procede cuando la norma pierde vigencia, ya sea expresa o tácitamente. En este caso, la Ley 1955 de 2019, artículo 336, no derogó de forma expresa el artículo 229 del Decreto 019 de 2012, por lo que resta analizar si el artículo 192 de la Ley 1955 de 2019 lo derogó tácitamente.</w:t>
      </w:r>
    </w:p>
    <w:p w14:paraId="7D42D842" w14:textId="77777777" w:rsidR="00935834" w:rsidRPr="003B7016" w:rsidRDefault="00935834" w:rsidP="00AB693B">
      <w:pPr>
        <w:spacing w:after="120" w:line="276" w:lineRule="auto"/>
        <w:ind w:right="51"/>
        <w:jc w:val="both"/>
        <w:rPr>
          <w:rFonts w:ascii="Geomanist Light" w:eastAsia="Calibri" w:hAnsi="Geomanist Light" w:cs="Arial"/>
          <w:sz w:val="22"/>
          <w:lang w:val="es-ES"/>
        </w:rPr>
      </w:pPr>
      <w:r w:rsidRPr="003B7016">
        <w:rPr>
          <w:rFonts w:ascii="Geomanist Light" w:eastAsia="Calibri" w:hAnsi="Geomanist Light" w:cs="Arial"/>
          <w:sz w:val="22"/>
          <w:lang w:val="es-ES"/>
        </w:rPr>
        <w:t>La Corte Constitucional señala que la derogatoria tácita supone la existencia de una norma posterior que contiene disposiciones incompatibles o contrarias a la ley anterior. En este caso, en principio, se evidencia una incompatibilidad entre el artículo 192 de la Ley 1955 de 2019 y el artículo 299 del Decreto 019 de 2012, ya que la nueva ley señala que se cuenta como experiencia profesional la que realice el estudiante como práctica laboral sin importar si es antes o después de la terminación de materias, y el Decreto prevé que la experiencia profesional se cuenta a partir de la terminación de materias o el pénsum académico.</w:t>
      </w:r>
    </w:p>
    <w:p w14:paraId="086F6805" w14:textId="77777777" w:rsidR="00935834" w:rsidRPr="003B7016" w:rsidRDefault="00935834" w:rsidP="00AB693B">
      <w:pPr>
        <w:spacing w:after="120" w:line="276" w:lineRule="auto"/>
        <w:ind w:right="51"/>
        <w:jc w:val="both"/>
        <w:rPr>
          <w:rFonts w:ascii="Geomanist Light" w:eastAsia="Calibri" w:hAnsi="Geomanist Light" w:cs="Arial"/>
          <w:sz w:val="22"/>
          <w:lang w:val="es-ES"/>
        </w:rPr>
      </w:pPr>
      <w:r w:rsidRPr="003B7016">
        <w:rPr>
          <w:rFonts w:ascii="Geomanist Light" w:eastAsia="Calibri" w:hAnsi="Geomanist Light" w:cs="Arial"/>
          <w:sz w:val="22"/>
          <w:lang w:val="es-ES"/>
        </w:rPr>
        <w:t xml:space="preserve">No obstante, se trata de ámbitos de aplicación distintos y no de una contradicción en estricto sentido. Por ello, se debía entender que el artículo 229 del Decreto 019 de 2012 era la regla general para contar el término de la experiencia profesional y, por lo tanto, el cómputo, en </w:t>
      </w:r>
      <w:r w:rsidRPr="003B7016">
        <w:rPr>
          <w:rFonts w:ascii="Geomanist Light" w:eastAsia="Calibri" w:hAnsi="Geomanist Light" w:cs="Arial"/>
          <w:sz w:val="22"/>
          <w:lang w:val="es-ES"/>
        </w:rPr>
        <w:lastRenderedPageBreak/>
        <w:t>principio, se efectuaba después de terminadas las materias; pero el caso particular previsto en el artículo 192 de la Ley 1955 de 2019 era la excepción a esta regla general. En efecto, si el estudiante que opta por un título realizaba una práctica laboral antes de terminar las materias, se debía contar esta experiencia como profesional a pesar de que no fuera adquirida con posterioridad a la terminación de materias. En los demás casos, es decir, cuando no se realizaba ninguna práctica laboral antes de finalizar el pénsum, la experiencia iniciaba después de terminadas las materias, aplicando la regla general del Decreto 019 de 2012.</w:t>
      </w:r>
    </w:p>
    <w:p w14:paraId="681C1D96" w14:textId="2D9D17B4" w:rsidR="00935834" w:rsidRPr="003B7016" w:rsidRDefault="00756CD6" w:rsidP="00AB693B">
      <w:pPr>
        <w:spacing w:after="120" w:line="276" w:lineRule="auto"/>
        <w:ind w:right="51"/>
        <w:jc w:val="both"/>
        <w:rPr>
          <w:rFonts w:ascii="Geomanist Light" w:eastAsia="Calibri" w:hAnsi="Geomanist Light" w:cs="Arial"/>
          <w:sz w:val="22"/>
          <w:lang w:val="es-ES"/>
        </w:rPr>
      </w:pPr>
      <w:r>
        <w:rPr>
          <w:rFonts w:ascii="Geomanist Light" w:eastAsia="Calibri" w:hAnsi="Geomanist Light" w:cs="Arial"/>
          <w:sz w:val="22"/>
          <w:lang w:val="es-ES"/>
        </w:rPr>
        <w:t xml:space="preserve">Posteriormente se expediría la </w:t>
      </w:r>
      <w:bookmarkStart w:id="6" w:name="_Hlk116397640"/>
      <w:r w:rsidR="00935834" w:rsidRPr="003B7016">
        <w:rPr>
          <w:rFonts w:ascii="Geomanist Light" w:eastAsia="Calibri" w:hAnsi="Geomanist Light" w:cs="Arial"/>
          <w:sz w:val="22"/>
          <w:lang w:val="es-ES"/>
        </w:rPr>
        <w:t xml:space="preserve">Ley 2043 de 2020 </w:t>
      </w:r>
      <w:bookmarkEnd w:id="6"/>
      <w:r w:rsidR="00935834" w:rsidRPr="003B7016">
        <w:rPr>
          <w:rFonts w:ascii="Geomanist Light" w:eastAsia="Calibri" w:hAnsi="Geomanist Light" w:cs="Arial"/>
          <w:sz w:val="22"/>
          <w:lang w:val="es-ES"/>
        </w:rPr>
        <w:t>«Por medio de la cual se reconocen las prácticas laborales como experiencia profesional y/o relacionada y se dictan otras disposiciones»</w:t>
      </w:r>
      <w:r w:rsidR="00A44451">
        <w:rPr>
          <w:rFonts w:ascii="Geomanist Light" w:eastAsia="Calibri" w:hAnsi="Geomanist Light" w:cs="Arial"/>
          <w:sz w:val="22"/>
          <w:lang w:val="es-ES"/>
        </w:rPr>
        <w:t>, la cual</w:t>
      </w:r>
      <w:r w:rsidR="00935834" w:rsidRPr="003B7016">
        <w:rPr>
          <w:rFonts w:ascii="Geomanist Light" w:eastAsia="Calibri" w:hAnsi="Geomanist Light" w:cs="Arial"/>
          <w:sz w:val="22"/>
          <w:lang w:val="es-ES"/>
        </w:rPr>
        <w:t xml:space="preserve"> constituye el último hito de esta sucesión de normas en el tiempo.</w:t>
      </w:r>
      <w:r w:rsidR="00A44451">
        <w:rPr>
          <w:rFonts w:ascii="Geomanist Light" w:eastAsia="Calibri" w:hAnsi="Geomanist Light" w:cs="Arial"/>
          <w:sz w:val="22"/>
          <w:lang w:val="es-ES"/>
        </w:rPr>
        <w:t xml:space="preserve"> En primer lugar, </w:t>
      </w:r>
      <w:r w:rsidR="00935834" w:rsidRPr="003B7016">
        <w:rPr>
          <w:rFonts w:ascii="Geomanist Light" w:eastAsia="Calibri" w:hAnsi="Geomanist Light" w:cs="Arial"/>
          <w:sz w:val="22"/>
          <w:lang w:val="es-ES"/>
        </w:rPr>
        <w:t xml:space="preserve">debe </w:t>
      </w:r>
      <w:r w:rsidR="00AA7DE2" w:rsidRPr="003B7016">
        <w:rPr>
          <w:rFonts w:ascii="Geomanist Light" w:eastAsia="Calibri" w:hAnsi="Geomanist Light" w:cs="Arial"/>
          <w:sz w:val="22"/>
          <w:lang w:val="es-ES"/>
        </w:rPr>
        <w:t>tenerse en cuenta</w:t>
      </w:r>
      <w:r w:rsidR="00935834" w:rsidRPr="003B7016">
        <w:rPr>
          <w:rFonts w:ascii="Geomanist Light" w:eastAsia="Calibri" w:hAnsi="Geomanist Light" w:cs="Arial"/>
          <w:sz w:val="22"/>
          <w:lang w:val="es-ES"/>
        </w:rPr>
        <w:t xml:space="preserve"> que el objeto de </w:t>
      </w:r>
      <w:r w:rsidR="00A44451">
        <w:rPr>
          <w:rFonts w:ascii="Geomanist Light" w:eastAsia="Calibri" w:hAnsi="Geomanist Light" w:cs="Arial"/>
          <w:sz w:val="22"/>
          <w:lang w:val="es-ES"/>
        </w:rPr>
        <w:t xml:space="preserve">esta ley, </w:t>
      </w:r>
      <w:r w:rsidR="00935834" w:rsidRPr="003B7016">
        <w:rPr>
          <w:rFonts w:ascii="Geomanist Light" w:eastAsia="Calibri" w:hAnsi="Geomanist Light" w:cs="Arial"/>
          <w:sz w:val="22"/>
          <w:lang w:val="es-ES"/>
        </w:rPr>
        <w:t xml:space="preserve">de conformidad con su artículo 1, es «reconocer de manera obligatoria como experiencia profesional y/o relacionada aquellas prácticas que se hayan realizado en el sector público y/o sector privado como opción para adquirir el correspondiente título». Como consecuencia de la claridad de esta norma, es obligatorio, a partir de su promulgación, sin importar el sector o la profesión, que se reconozca como experiencia profesional la que se adquiere en las prácticas que se realicen como opción para adquirir el correspondiente título. </w:t>
      </w:r>
    </w:p>
    <w:p w14:paraId="243E0E56" w14:textId="58EA9E55" w:rsidR="00935834" w:rsidRPr="003B7016" w:rsidRDefault="009D7C87" w:rsidP="00AB693B">
      <w:pPr>
        <w:spacing w:after="120" w:line="276" w:lineRule="auto"/>
        <w:ind w:right="51"/>
        <w:jc w:val="both"/>
        <w:rPr>
          <w:rFonts w:ascii="Geomanist Light" w:eastAsia="Calibri" w:hAnsi="Geomanist Light" w:cs="Arial"/>
          <w:sz w:val="22"/>
          <w:lang w:val="es-ES"/>
        </w:rPr>
      </w:pPr>
      <w:r>
        <w:rPr>
          <w:rFonts w:ascii="Geomanist Light" w:eastAsia="Calibri" w:hAnsi="Geomanist Light" w:cs="Arial"/>
          <w:sz w:val="22"/>
          <w:lang w:val="es-ES"/>
        </w:rPr>
        <w:t>E</w:t>
      </w:r>
      <w:r w:rsidR="00935834" w:rsidRPr="003B7016">
        <w:rPr>
          <w:rFonts w:ascii="Geomanist Light" w:eastAsia="Calibri" w:hAnsi="Geomanist Light" w:cs="Arial"/>
          <w:sz w:val="22"/>
          <w:lang w:val="es-ES"/>
        </w:rPr>
        <w:t>l artículo 3</w:t>
      </w:r>
      <w:r w:rsidR="00935834" w:rsidRPr="003B7016">
        <w:rPr>
          <w:rStyle w:val="Refdenotaalpie"/>
          <w:rFonts w:ascii="Geomanist Light" w:eastAsia="Calibri" w:hAnsi="Geomanist Light" w:cs="Arial"/>
          <w:sz w:val="22"/>
          <w:lang w:val="es-ES"/>
        </w:rPr>
        <w:footnoteReference w:id="6"/>
      </w:r>
      <w:r w:rsidR="00935834" w:rsidRPr="003B7016">
        <w:rPr>
          <w:rFonts w:ascii="Geomanist Light" w:eastAsia="Calibri" w:hAnsi="Geomanist Light" w:cs="Arial"/>
          <w:sz w:val="22"/>
          <w:lang w:val="es-ES"/>
        </w:rPr>
        <w:t xml:space="preserve"> señala que por práctica laboral se entienden todas aquellas actividades formativas desarrolladas por un estudiante de «cualquier programa de pregrado en las modalidades de formación profesional, tecnológica o técnica». Con ello</w:t>
      </w:r>
      <w:r>
        <w:rPr>
          <w:rFonts w:ascii="Geomanist Light" w:eastAsia="Calibri" w:hAnsi="Geomanist Light" w:cs="Arial"/>
          <w:sz w:val="22"/>
          <w:lang w:val="es-ES"/>
        </w:rPr>
        <w:t xml:space="preserve"> </w:t>
      </w:r>
      <w:r w:rsidR="00935834" w:rsidRPr="003B7016">
        <w:rPr>
          <w:rFonts w:ascii="Geomanist Light" w:eastAsia="Calibri" w:hAnsi="Geomanist Light" w:cs="Arial"/>
          <w:sz w:val="22"/>
          <w:lang w:val="es-ES"/>
        </w:rPr>
        <w:t xml:space="preserve">se refuerza la idea de que las nuevas reglas de acreditación de práctica laboral como experiencia aplican a </w:t>
      </w:r>
      <w:r w:rsidR="00935834" w:rsidRPr="003B7016">
        <w:rPr>
          <w:rFonts w:ascii="Geomanist Light" w:eastAsia="Calibri" w:hAnsi="Geomanist Light" w:cs="Arial"/>
          <w:sz w:val="22"/>
          <w:lang w:val="es-ES"/>
        </w:rPr>
        <w:lastRenderedPageBreak/>
        <w:t>todas las profesiones, o carreras técnicas o tecnológicas; en la medida en que la definición de práctica comprende a cualquier programa de pregrado</w:t>
      </w:r>
      <w:r w:rsidR="00B33C97">
        <w:rPr>
          <w:rFonts w:ascii="Geomanist Light" w:eastAsia="Calibri" w:hAnsi="Geomanist Light" w:cs="Arial"/>
          <w:sz w:val="22"/>
          <w:lang w:val="es-ES"/>
        </w:rPr>
        <w:t xml:space="preserve">, </w:t>
      </w:r>
    </w:p>
    <w:p w14:paraId="50B345FD" w14:textId="7672EF97" w:rsidR="00935834" w:rsidRPr="003B7016" w:rsidRDefault="00935834" w:rsidP="00AB693B">
      <w:pPr>
        <w:spacing w:after="120" w:line="276" w:lineRule="auto"/>
        <w:ind w:right="51"/>
        <w:jc w:val="both"/>
        <w:rPr>
          <w:rFonts w:ascii="Geomanist Light" w:eastAsia="Calibri" w:hAnsi="Geomanist Light" w:cs="Arial"/>
          <w:sz w:val="22"/>
          <w:lang w:val="es-ES"/>
        </w:rPr>
      </w:pPr>
      <w:r w:rsidRPr="003B7016">
        <w:rPr>
          <w:rFonts w:ascii="Geomanist Light" w:eastAsia="Calibri" w:hAnsi="Geomanist Light" w:cs="Arial"/>
          <w:sz w:val="22"/>
          <w:lang w:val="es-ES"/>
        </w:rPr>
        <w:t xml:space="preserve">Finalmente, el artículo 6 de la </w:t>
      </w:r>
      <w:bookmarkStart w:id="7" w:name="_Hlk116397668"/>
      <w:r w:rsidRPr="003B7016">
        <w:rPr>
          <w:rFonts w:ascii="Geomanist Light" w:eastAsia="Calibri" w:hAnsi="Geomanist Light" w:cs="Arial"/>
          <w:sz w:val="22"/>
          <w:lang w:val="es-ES"/>
        </w:rPr>
        <w:t>Ley 2043 de 2020</w:t>
      </w:r>
      <w:bookmarkEnd w:id="7"/>
      <w:r w:rsidRPr="003B7016">
        <w:rPr>
          <w:rStyle w:val="Refdenotaalpie"/>
          <w:rFonts w:ascii="Geomanist Light" w:eastAsia="Calibri" w:hAnsi="Geomanist Light" w:cs="Arial"/>
          <w:sz w:val="22"/>
          <w:lang w:val="es-ES"/>
        </w:rPr>
        <w:footnoteReference w:id="7"/>
      </w:r>
      <w:r w:rsidRPr="003B7016">
        <w:rPr>
          <w:rFonts w:ascii="Geomanist Light" w:eastAsia="Calibri" w:hAnsi="Geomanist Light" w:cs="Arial"/>
          <w:sz w:val="22"/>
          <w:lang w:val="es-ES"/>
        </w:rPr>
        <w:t xml:space="preserve"> establece una regla sobre la certificación de la práctica laboral. Señala que «[…] deberá ser certificada por la entidad beneficiaria y en todo caso sumará al tiempo de experiencia profesional del practicante».  En este sentido, la norma introduce una manera precisa para acreditar la práctica laboral como experiencia profesional: la certificación de la entidad beneficiaria. Esto </w:t>
      </w:r>
      <w:r w:rsidR="004A573C" w:rsidRPr="003B7016">
        <w:rPr>
          <w:rFonts w:ascii="Geomanist Light" w:eastAsia="Calibri" w:hAnsi="Geomanist Light" w:cs="Arial"/>
          <w:sz w:val="22"/>
          <w:lang w:val="es-ES"/>
        </w:rPr>
        <w:t xml:space="preserve">es </w:t>
      </w:r>
      <w:r w:rsidRPr="003B7016">
        <w:rPr>
          <w:rFonts w:ascii="Geomanist Light" w:eastAsia="Calibri" w:hAnsi="Geomanist Light" w:cs="Arial"/>
          <w:sz w:val="22"/>
          <w:lang w:val="es-ES"/>
        </w:rPr>
        <w:t>adiciona</w:t>
      </w:r>
      <w:r w:rsidR="006F1B92" w:rsidRPr="003B7016">
        <w:rPr>
          <w:rFonts w:ascii="Geomanist Light" w:eastAsia="Calibri" w:hAnsi="Geomanist Light" w:cs="Arial"/>
          <w:sz w:val="22"/>
          <w:lang w:val="es-ES"/>
        </w:rPr>
        <w:t>l</w:t>
      </w:r>
      <w:r w:rsidRPr="003B7016">
        <w:rPr>
          <w:rFonts w:ascii="Geomanist Light" w:eastAsia="Calibri" w:hAnsi="Geomanist Light" w:cs="Arial"/>
          <w:sz w:val="22"/>
          <w:lang w:val="es-ES"/>
        </w:rPr>
        <w:t xml:space="preserve"> </w:t>
      </w:r>
      <w:r w:rsidR="004A573C" w:rsidRPr="003B7016">
        <w:rPr>
          <w:rFonts w:ascii="Geomanist Light" w:eastAsia="Calibri" w:hAnsi="Geomanist Light" w:cs="Arial"/>
          <w:sz w:val="22"/>
          <w:lang w:val="es-ES"/>
        </w:rPr>
        <w:t xml:space="preserve">a </w:t>
      </w:r>
      <w:r w:rsidRPr="003B7016">
        <w:rPr>
          <w:rFonts w:ascii="Geomanist Light" w:eastAsia="Calibri" w:hAnsi="Geomanist Light" w:cs="Arial"/>
          <w:sz w:val="22"/>
          <w:lang w:val="es-ES"/>
        </w:rPr>
        <w:t xml:space="preserve">las reglas de la Ley 1955 de 2019, </w:t>
      </w:r>
      <w:r w:rsidR="004A573C" w:rsidRPr="003B7016">
        <w:rPr>
          <w:rFonts w:ascii="Geomanist Light" w:eastAsia="Calibri" w:hAnsi="Geomanist Light" w:cs="Arial"/>
          <w:sz w:val="22"/>
          <w:lang w:val="es-ES"/>
        </w:rPr>
        <w:t>donde</w:t>
      </w:r>
      <w:r w:rsidRPr="003B7016">
        <w:rPr>
          <w:rFonts w:ascii="Geomanist Light" w:eastAsia="Calibri" w:hAnsi="Geomanist Light" w:cs="Arial"/>
          <w:sz w:val="22"/>
          <w:lang w:val="es-ES"/>
        </w:rPr>
        <w:t xml:space="preserve"> no se prevén mecanismos precisos para </w:t>
      </w:r>
      <w:r w:rsidR="004A573C" w:rsidRPr="003B7016">
        <w:rPr>
          <w:rFonts w:ascii="Geomanist Light" w:eastAsia="Calibri" w:hAnsi="Geomanist Light" w:cs="Arial"/>
          <w:sz w:val="22"/>
          <w:lang w:val="es-ES"/>
        </w:rPr>
        <w:t>su acreditación</w:t>
      </w:r>
      <w:r w:rsidRPr="003B7016">
        <w:rPr>
          <w:rFonts w:ascii="Geomanist Light" w:eastAsia="Calibri" w:hAnsi="Geomanist Light" w:cs="Arial"/>
          <w:sz w:val="22"/>
          <w:lang w:val="es-ES"/>
        </w:rPr>
        <w:t xml:space="preserve">. </w:t>
      </w:r>
      <w:r w:rsidR="00F05B2D">
        <w:rPr>
          <w:rFonts w:ascii="Geomanist Light" w:eastAsia="Calibri" w:hAnsi="Geomanist Light" w:cs="Arial"/>
          <w:sz w:val="22"/>
          <w:lang w:val="es-ES"/>
        </w:rPr>
        <w:t xml:space="preserve">En todo caso debe </w:t>
      </w:r>
      <w:r w:rsidR="00173824">
        <w:rPr>
          <w:rFonts w:ascii="Geomanist Light" w:eastAsia="Calibri" w:hAnsi="Geomanist Light" w:cs="Arial"/>
          <w:sz w:val="22"/>
          <w:lang w:val="es-ES"/>
        </w:rPr>
        <w:t>advertirse</w:t>
      </w:r>
      <w:r w:rsidRPr="003B7016">
        <w:rPr>
          <w:rFonts w:ascii="Geomanist Light" w:eastAsia="Calibri" w:hAnsi="Geomanist Light" w:cs="Arial"/>
          <w:sz w:val="22"/>
          <w:lang w:val="es-ES"/>
        </w:rPr>
        <w:t xml:space="preserve"> </w:t>
      </w:r>
      <w:r w:rsidR="00173824">
        <w:rPr>
          <w:rFonts w:ascii="Geomanist Light" w:eastAsia="Calibri" w:hAnsi="Geomanist Light" w:cs="Arial"/>
          <w:sz w:val="22"/>
          <w:lang w:val="es-ES"/>
        </w:rPr>
        <w:t xml:space="preserve">que </w:t>
      </w:r>
      <w:r w:rsidRPr="003B7016">
        <w:rPr>
          <w:rFonts w:ascii="Geomanist Light" w:eastAsia="Calibri" w:hAnsi="Geomanist Light" w:cs="Arial"/>
          <w:sz w:val="22"/>
          <w:lang w:val="es-ES"/>
        </w:rPr>
        <w:t>la Ley 2043 de 2020 no contiene un régimen general de acreditación de experiencia.</w:t>
      </w:r>
      <w:r w:rsidR="007D65AB">
        <w:rPr>
          <w:rFonts w:ascii="Geomanist Light" w:eastAsia="Calibri" w:hAnsi="Geomanist Light" w:cs="Arial"/>
          <w:sz w:val="22"/>
          <w:lang w:val="es-ES"/>
        </w:rPr>
        <w:t xml:space="preserve">, que </w:t>
      </w:r>
      <w:r w:rsidRPr="003B7016">
        <w:rPr>
          <w:rFonts w:ascii="Geomanist Light" w:eastAsia="Calibri" w:hAnsi="Geomanist Light" w:cs="Arial"/>
          <w:sz w:val="22"/>
          <w:lang w:val="es-ES"/>
        </w:rPr>
        <w:t>sigue siendo el artículo 229 del Decreto Ley 019 de 2012, al tenor del cual la experiencia profesional se cuenta desde la terminación de materias salvo para las profesiones relacionadas con el sistema de seguridad social en salud, en las cuales la experiencia se computa desde el día de la inscripción o registro profesional. Ello es así, se reitera, salvo para efectos de contar la práctica laboral como experiencia, caso en el cual se aplicará la normativa especial de la Ley 2043 y se contará como experiencia profesional la práctica laboral de los estudiantes.</w:t>
      </w:r>
    </w:p>
    <w:p w14:paraId="753843BA" w14:textId="66633600" w:rsidR="0044129B" w:rsidRDefault="005B23BE" w:rsidP="00AB693B">
      <w:pPr>
        <w:spacing w:after="120" w:line="276" w:lineRule="auto"/>
        <w:ind w:right="51"/>
        <w:jc w:val="both"/>
        <w:rPr>
          <w:rFonts w:ascii="Geomanist Light" w:eastAsia="Calibri" w:hAnsi="Geomanist Light" w:cs="Arial"/>
          <w:sz w:val="22"/>
          <w:lang w:val="es-ES_tradnl"/>
        </w:rPr>
      </w:pPr>
      <w:r>
        <w:rPr>
          <w:rFonts w:ascii="Geomanist Light" w:eastAsia="Calibri" w:hAnsi="Geomanist Light" w:cs="Arial"/>
          <w:sz w:val="22"/>
          <w:lang w:val="es-ES"/>
        </w:rPr>
        <w:t xml:space="preserve">Explicado lo anterior, </w:t>
      </w:r>
      <w:r w:rsidR="00274B2E">
        <w:rPr>
          <w:rFonts w:ascii="Geomanist Light" w:eastAsia="Calibri" w:hAnsi="Geomanist Light" w:cs="Arial"/>
          <w:sz w:val="22"/>
          <w:lang w:val="es-ES"/>
        </w:rPr>
        <w:t xml:space="preserve">es </w:t>
      </w:r>
      <w:r>
        <w:rPr>
          <w:rFonts w:ascii="Geomanist Light" w:eastAsia="Calibri" w:hAnsi="Geomanist Light" w:cs="Arial"/>
          <w:sz w:val="22"/>
          <w:lang w:val="es-ES"/>
        </w:rPr>
        <w:t xml:space="preserve">necesario </w:t>
      </w:r>
      <w:r w:rsidR="006F127D">
        <w:rPr>
          <w:rFonts w:ascii="Geomanist Light" w:eastAsia="Calibri" w:hAnsi="Geomanist Light" w:cs="Arial"/>
          <w:sz w:val="22"/>
          <w:lang w:val="es-ES"/>
        </w:rPr>
        <w:t>precisar que, el</w:t>
      </w:r>
      <w:r w:rsidR="00AD659A">
        <w:rPr>
          <w:rFonts w:ascii="Geomanist Light" w:eastAsia="Calibri" w:hAnsi="Geomanist Light" w:cs="Arial"/>
          <w:sz w:val="22"/>
          <w:lang w:val="es-ES"/>
        </w:rPr>
        <w:t xml:space="preserve"> inciso primero del</w:t>
      </w:r>
      <w:r w:rsidR="006F127D">
        <w:rPr>
          <w:rFonts w:ascii="Geomanist Light" w:eastAsia="Calibri" w:hAnsi="Geomanist Light" w:cs="Arial"/>
          <w:sz w:val="22"/>
          <w:lang w:val="es-ES"/>
        </w:rPr>
        <w:t xml:space="preserve"> artículo 229 de la </w:t>
      </w:r>
      <w:r w:rsidR="00AD659A">
        <w:rPr>
          <w:rFonts w:ascii="Geomanist Light" w:eastAsia="Calibri" w:hAnsi="Geomanist Light" w:cs="Arial"/>
          <w:sz w:val="22"/>
          <w:lang w:val="es-ES"/>
        </w:rPr>
        <w:t>Decreto 019 de 2012</w:t>
      </w:r>
      <w:r w:rsidR="00C97872">
        <w:rPr>
          <w:rFonts w:ascii="Geomanist Light" w:eastAsia="Calibri" w:hAnsi="Geomanist Light" w:cs="Arial"/>
          <w:sz w:val="22"/>
          <w:lang w:val="es-ES"/>
        </w:rPr>
        <w:t>, se limita a establecer</w:t>
      </w:r>
      <w:r w:rsidR="00C825FD">
        <w:rPr>
          <w:rFonts w:ascii="Geomanist Light" w:eastAsia="Calibri" w:hAnsi="Geomanist Light" w:cs="Arial"/>
          <w:sz w:val="22"/>
          <w:lang w:val="es-ES"/>
        </w:rPr>
        <w:t xml:space="preserve"> que:</w:t>
      </w:r>
      <w:r w:rsidR="00C97872">
        <w:rPr>
          <w:rFonts w:ascii="Geomanist Light" w:eastAsia="Calibri" w:hAnsi="Geomanist Light" w:cs="Arial"/>
          <w:sz w:val="22"/>
          <w:lang w:val="es-ES"/>
        </w:rPr>
        <w:t xml:space="preserve"> «</w:t>
      </w:r>
      <w:r w:rsidR="00C825FD" w:rsidRPr="00C825FD">
        <w:rPr>
          <w:rFonts w:ascii="Geomanist Light" w:eastAsia="Calibri" w:hAnsi="Geomanist Light" w:cs="Arial"/>
          <w:sz w:val="22"/>
          <w:lang w:val="es-ES"/>
        </w:rPr>
        <w:t>Para el ejercicio de las diferentes profesiones acreditadas por el Ministerio de Educación Nacional, la experiencia profesional</w:t>
      </w:r>
      <w:r w:rsidR="00C825FD">
        <w:rPr>
          <w:rFonts w:ascii="Geomanist Light" w:eastAsia="Calibri" w:hAnsi="Geomanist Light" w:cs="Arial"/>
          <w:sz w:val="22"/>
          <w:lang w:val="es-ES"/>
        </w:rPr>
        <w:t xml:space="preserve"> </w:t>
      </w:r>
      <w:r w:rsidR="00C97872" w:rsidRPr="00C97872">
        <w:rPr>
          <w:rFonts w:ascii="Geomanist Light" w:eastAsia="Calibri" w:hAnsi="Geomanist Light" w:cs="Arial"/>
          <w:sz w:val="22"/>
          <w:lang w:val="es-ES"/>
        </w:rPr>
        <w:t>se computará a partir de la terminación y aprobación del pensum académico de educación superior</w:t>
      </w:r>
      <w:r w:rsidR="00C825FD">
        <w:rPr>
          <w:rFonts w:ascii="Geomanist Light" w:eastAsia="Calibri" w:hAnsi="Geomanist Light" w:cs="Arial"/>
          <w:sz w:val="22"/>
          <w:lang w:val="es-ES"/>
        </w:rPr>
        <w:t>»</w:t>
      </w:r>
      <w:r w:rsidR="00C97872" w:rsidRPr="00C97872">
        <w:rPr>
          <w:rFonts w:ascii="Geomanist Light" w:eastAsia="Calibri" w:hAnsi="Geomanist Light" w:cs="Arial"/>
          <w:sz w:val="22"/>
          <w:lang w:val="es-ES"/>
        </w:rPr>
        <w:t xml:space="preserve">. </w:t>
      </w:r>
      <w:r w:rsidR="0080564D">
        <w:rPr>
          <w:rFonts w:ascii="Geomanist Light" w:eastAsia="Calibri" w:hAnsi="Geomanist Light" w:cs="Arial"/>
          <w:sz w:val="22"/>
          <w:lang w:val="es-ES_tradnl"/>
        </w:rPr>
        <w:t xml:space="preserve"> </w:t>
      </w:r>
      <w:r w:rsidR="0033555E">
        <w:rPr>
          <w:rFonts w:ascii="Geomanist Light" w:eastAsia="Calibri" w:hAnsi="Geomanist Light" w:cs="Arial"/>
          <w:sz w:val="22"/>
          <w:lang w:val="es-ES_tradnl"/>
        </w:rPr>
        <w:t xml:space="preserve">En ese sentido, lo que hace la norma es </w:t>
      </w:r>
      <w:r w:rsidR="008E35E8">
        <w:rPr>
          <w:rFonts w:ascii="Geomanist Light" w:eastAsia="Calibri" w:hAnsi="Geomanist Light" w:cs="Arial"/>
          <w:sz w:val="22"/>
          <w:lang w:val="es-ES_tradnl"/>
        </w:rPr>
        <w:t>establecer una regla para el c</w:t>
      </w:r>
      <w:r w:rsidR="000F07D2">
        <w:rPr>
          <w:rFonts w:ascii="Geomanist Light" w:eastAsia="Calibri" w:hAnsi="Geomanist Light" w:cs="Arial"/>
          <w:sz w:val="22"/>
          <w:lang w:val="es-ES_tradnl"/>
        </w:rPr>
        <w:t>ó</w:t>
      </w:r>
      <w:r w:rsidR="008E35E8">
        <w:rPr>
          <w:rFonts w:ascii="Geomanist Light" w:eastAsia="Calibri" w:hAnsi="Geomanist Light" w:cs="Arial"/>
          <w:sz w:val="22"/>
          <w:lang w:val="es-ES_tradnl"/>
        </w:rPr>
        <w:t xml:space="preserve">mputo de </w:t>
      </w:r>
      <w:r w:rsidR="00942AAE">
        <w:rPr>
          <w:rFonts w:ascii="Geomanist Light" w:eastAsia="Calibri" w:hAnsi="Geomanist Light" w:cs="Arial"/>
          <w:sz w:val="22"/>
          <w:lang w:val="es-ES_tradnl"/>
        </w:rPr>
        <w:t>experiencia para el ejercicio de deter</w:t>
      </w:r>
      <w:r w:rsidR="000F07D2">
        <w:rPr>
          <w:rFonts w:ascii="Geomanist Light" w:eastAsia="Calibri" w:hAnsi="Geomanist Light" w:cs="Arial"/>
          <w:sz w:val="22"/>
          <w:lang w:val="es-ES_tradnl"/>
        </w:rPr>
        <w:t>minadas profesiones, en atención a la cual, solo podrá ser considerad</w:t>
      </w:r>
      <w:r w:rsidR="00386243">
        <w:rPr>
          <w:rFonts w:ascii="Geomanist Light" w:eastAsia="Calibri" w:hAnsi="Geomanist Light" w:cs="Arial"/>
          <w:sz w:val="22"/>
          <w:lang w:val="es-ES_tradnl"/>
        </w:rPr>
        <w:t xml:space="preserve">a como profesional aquella experiencia que se haya adquirido con posterioridad a la </w:t>
      </w:r>
      <w:r w:rsidR="00D37014">
        <w:rPr>
          <w:rFonts w:ascii="Geomanist Light" w:eastAsia="Calibri" w:hAnsi="Geomanist Light" w:cs="Arial"/>
          <w:sz w:val="22"/>
          <w:lang w:val="es-ES_tradnl"/>
        </w:rPr>
        <w:t xml:space="preserve">terminación del pensum académico. </w:t>
      </w:r>
    </w:p>
    <w:p w14:paraId="39BCBDE3" w14:textId="7242DA2C" w:rsidR="002436AC" w:rsidRDefault="004432DB" w:rsidP="00E36AA0">
      <w:pPr>
        <w:spacing w:line="276" w:lineRule="auto"/>
        <w:ind w:right="51"/>
        <w:jc w:val="both"/>
        <w:rPr>
          <w:rFonts w:ascii="Geomanist Light" w:eastAsia="Calibri" w:hAnsi="Geomanist Light" w:cs="Arial"/>
          <w:sz w:val="22"/>
          <w:lang w:val="es-ES_tradnl"/>
        </w:rPr>
      </w:pPr>
      <w:bookmarkStart w:id="8" w:name="_Hlk116398031"/>
      <w:r>
        <w:rPr>
          <w:rFonts w:ascii="Geomanist Light" w:eastAsia="Calibri" w:hAnsi="Geomanist Light" w:cs="Arial"/>
          <w:sz w:val="22"/>
          <w:lang w:val="es-ES_tradnl"/>
        </w:rPr>
        <w:t>Expuesto</w:t>
      </w:r>
      <w:r w:rsidR="00A67EC2">
        <w:rPr>
          <w:rFonts w:ascii="Geomanist Light" w:eastAsia="Calibri" w:hAnsi="Geomanist Light" w:cs="Arial"/>
          <w:sz w:val="22"/>
          <w:lang w:val="es-ES_tradnl"/>
        </w:rPr>
        <w:t xml:space="preserve"> el alcance del artículo 229 del Decreto ley 019 de 2012 en los anteriores términos</w:t>
      </w:r>
      <w:r w:rsidR="00274B2E">
        <w:rPr>
          <w:rFonts w:ascii="Geomanist Light" w:eastAsia="Calibri" w:hAnsi="Geomanist Light" w:cs="Arial"/>
          <w:sz w:val="22"/>
          <w:lang w:val="es-ES_tradnl"/>
        </w:rPr>
        <w:t xml:space="preserve">, </w:t>
      </w:r>
      <w:r w:rsidR="00C4252B">
        <w:rPr>
          <w:rFonts w:ascii="Geomanist Light" w:eastAsia="Calibri" w:hAnsi="Geomanist Light" w:cs="Arial"/>
          <w:sz w:val="22"/>
          <w:lang w:val="es-ES_tradnl"/>
        </w:rPr>
        <w:t xml:space="preserve">es posible afirmar que esta norma de ninguna manera establece una </w:t>
      </w:r>
      <w:r w:rsidR="002436AC">
        <w:rPr>
          <w:rFonts w:ascii="Geomanist Light" w:eastAsia="Calibri" w:hAnsi="Geomanist Light" w:cs="Arial"/>
          <w:sz w:val="22"/>
          <w:lang w:val="es-ES_tradnl"/>
        </w:rPr>
        <w:t>prerrogativa en</w:t>
      </w:r>
      <w:r w:rsidR="00286197">
        <w:rPr>
          <w:rFonts w:ascii="Geomanist Light" w:eastAsia="Calibri" w:hAnsi="Geomanist Light" w:cs="Arial"/>
          <w:sz w:val="22"/>
          <w:lang w:val="es-ES_tradnl"/>
        </w:rPr>
        <w:t xml:space="preserve"> virtud de la cual </w:t>
      </w:r>
      <w:r w:rsidR="00F75CCA">
        <w:rPr>
          <w:rFonts w:ascii="Geomanist Light" w:eastAsia="Calibri" w:hAnsi="Geomanist Light" w:cs="Arial"/>
          <w:sz w:val="22"/>
          <w:lang w:val="es-ES_tradnl"/>
        </w:rPr>
        <w:t>se relev</w:t>
      </w:r>
      <w:r w:rsidR="00E36AA0">
        <w:rPr>
          <w:rFonts w:ascii="Geomanist Light" w:eastAsia="Calibri" w:hAnsi="Geomanist Light" w:cs="Arial"/>
          <w:sz w:val="22"/>
          <w:lang w:val="es-ES_tradnl"/>
        </w:rPr>
        <w:t>e</w:t>
      </w:r>
      <w:r w:rsidR="00F75CCA">
        <w:rPr>
          <w:rFonts w:ascii="Geomanist Light" w:eastAsia="Calibri" w:hAnsi="Geomanist Light" w:cs="Arial"/>
          <w:sz w:val="22"/>
          <w:lang w:val="es-ES_tradnl"/>
        </w:rPr>
        <w:t xml:space="preserve"> </w:t>
      </w:r>
      <w:r w:rsidR="00E36AA0">
        <w:rPr>
          <w:rFonts w:ascii="Geomanist Light" w:eastAsia="Calibri" w:hAnsi="Geomanist Light" w:cs="Arial"/>
          <w:sz w:val="22"/>
          <w:lang w:val="es-ES_tradnl"/>
        </w:rPr>
        <w:t xml:space="preserve">de </w:t>
      </w:r>
      <w:r w:rsidR="00F75CCA">
        <w:rPr>
          <w:rFonts w:ascii="Geomanist Light" w:eastAsia="Calibri" w:hAnsi="Geomanist Light" w:cs="Arial"/>
          <w:sz w:val="22"/>
          <w:lang w:val="es-ES_tradnl"/>
        </w:rPr>
        <w:t>la</w:t>
      </w:r>
      <w:r w:rsidR="002F06E8">
        <w:rPr>
          <w:rFonts w:ascii="Geomanist Light" w:eastAsia="Calibri" w:hAnsi="Geomanist Light" w:cs="Arial"/>
          <w:sz w:val="22"/>
          <w:lang w:val="es-ES_tradnl"/>
        </w:rPr>
        <w:t xml:space="preserve"> acreditación de la experiencia</w:t>
      </w:r>
      <w:r w:rsidR="007B0AC2">
        <w:rPr>
          <w:rFonts w:ascii="Geomanist Light" w:eastAsia="Calibri" w:hAnsi="Geomanist Light" w:cs="Arial"/>
          <w:sz w:val="22"/>
          <w:lang w:val="es-ES_tradnl"/>
        </w:rPr>
        <w:t>. Esto comoquiera que la norma no establece una</w:t>
      </w:r>
      <w:r w:rsidR="002436AC">
        <w:rPr>
          <w:rFonts w:ascii="Geomanist Light" w:eastAsia="Calibri" w:hAnsi="Geomanist Light" w:cs="Arial"/>
          <w:sz w:val="22"/>
          <w:lang w:val="es-ES_tradnl"/>
        </w:rPr>
        <w:t xml:space="preserve"> presunción en virtud de la cual deba validarse como experiencia</w:t>
      </w:r>
      <w:r w:rsidR="00A87FA0">
        <w:rPr>
          <w:rFonts w:ascii="Geomanist Light" w:eastAsia="Calibri" w:hAnsi="Geomanist Light" w:cs="Arial"/>
          <w:sz w:val="22"/>
          <w:lang w:val="es-ES_tradnl"/>
        </w:rPr>
        <w:t xml:space="preserve"> general</w:t>
      </w:r>
      <w:r w:rsidR="00104D11">
        <w:rPr>
          <w:rFonts w:ascii="Geomanist Light" w:eastAsia="Calibri" w:hAnsi="Geomanist Light" w:cs="Arial"/>
          <w:sz w:val="22"/>
          <w:lang w:val="es-ES_tradnl"/>
        </w:rPr>
        <w:t xml:space="preserve"> </w:t>
      </w:r>
      <w:r w:rsidR="00DC7022">
        <w:rPr>
          <w:rFonts w:ascii="Geomanist Light" w:eastAsia="Calibri" w:hAnsi="Geomanist Light" w:cs="Arial"/>
          <w:sz w:val="22"/>
          <w:lang w:val="es-ES_tradnl"/>
        </w:rPr>
        <w:t xml:space="preserve">el tiempo </w:t>
      </w:r>
      <w:r w:rsidR="00A87FA0">
        <w:rPr>
          <w:rFonts w:ascii="Geomanist Light" w:eastAsia="Calibri" w:hAnsi="Geomanist Light" w:cs="Arial"/>
          <w:sz w:val="22"/>
          <w:lang w:val="es-ES_tradnl"/>
        </w:rPr>
        <w:t>transcurrido</w:t>
      </w:r>
      <w:r w:rsidR="00DC7022">
        <w:rPr>
          <w:rFonts w:ascii="Geomanist Light" w:eastAsia="Calibri" w:hAnsi="Geomanist Light" w:cs="Arial"/>
          <w:sz w:val="22"/>
          <w:lang w:val="es-ES_tradnl"/>
        </w:rPr>
        <w:t xml:space="preserve"> </w:t>
      </w:r>
      <w:r w:rsidR="00D82223">
        <w:rPr>
          <w:rFonts w:ascii="Geomanist Light" w:eastAsia="Calibri" w:hAnsi="Geomanist Light" w:cs="Arial"/>
          <w:sz w:val="22"/>
          <w:lang w:val="es-ES_tradnl"/>
        </w:rPr>
        <w:t xml:space="preserve">desde la </w:t>
      </w:r>
      <w:r w:rsidR="005A18B5">
        <w:rPr>
          <w:rFonts w:ascii="Geomanist Light" w:eastAsia="Calibri" w:hAnsi="Geomanist Light" w:cs="Arial"/>
          <w:sz w:val="22"/>
          <w:lang w:val="es-ES_tradnl"/>
        </w:rPr>
        <w:t>expedición de la tarjeta profesional</w:t>
      </w:r>
      <w:r w:rsidR="0096229B">
        <w:rPr>
          <w:rFonts w:ascii="Geomanist Light" w:eastAsia="Calibri" w:hAnsi="Geomanist Light" w:cs="Arial"/>
          <w:sz w:val="22"/>
          <w:lang w:val="es-ES_tradnl"/>
        </w:rPr>
        <w:t xml:space="preserve">, sino que establece </w:t>
      </w:r>
      <w:r w:rsidR="00DC4262">
        <w:rPr>
          <w:rFonts w:ascii="Geomanist Light" w:eastAsia="Calibri" w:hAnsi="Geomanist Light" w:cs="Arial"/>
          <w:sz w:val="22"/>
          <w:lang w:val="es-ES_tradnl"/>
        </w:rPr>
        <w:t>un momento a partir del cual la experiencia que se acredite podrá ser considerada como profesional</w:t>
      </w:r>
      <w:r w:rsidR="00EE4DB2">
        <w:rPr>
          <w:rFonts w:ascii="Geomanist Light" w:eastAsia="Calibri" w:hAnsi="Geomanist Light" w:cs="Arial"/>
          <w:sz w:val="22"/>
          <w:lang w:val="es-ES_tradnl"/>
        </w:rPr>
        <w:t>.</w:t>
      </w:r>
      <w:bookmarkEnd w:id="8"/>
      <w:r w:rsidR="00D82223">
        <w:rPr>
          <w:rFonts w:ascii="Geomanist Light" w:eastAsia="Calibri" w:hAnsi="Geomanist Light" w:cs="Arial"/>
          <w:sz w:val="22"/>
          <w:lang w:val="es-ES_tradnl"/>
        </w:rPr>
        <w:t xml:space="preserve"> </w:t>
      </w:r>
    </w:p>
    <w:p w14:paraId="6D14A7C4" w14:textId="77777777" w:rsidR="00E36AA0" w:rsidRDefault="00E36AA0" w:rsidP="00C012F4">
      <w:pPr>
        <w:spacing w:line="276" w:lineRule="auto"/>
        <w:ind w:right="51"/>
        <w:jc w:val="both"/>
        <w:rPr>
          <w:rFonts w:ascii="Geomanist Light" w:eastAsia="Calibri" w:hAnsi="Geomanist Light" w:cs="Arial"/>
          <w:sz w:val="22"/>
          <w:lang w:val="es-ES_tradnl"/>
        </w:rPr>
      </w:pPr>
    </w:p>
    <w:p w14:paraId="07B72C99" w14:textId="0A8B22B1" w:rsidR="0056674F" w:rsidRPr="00C012F4" w:rsidRDefault="0056674F" w:rsidP="0056674F">
      <w:pPr>
        <w:jc w:val="both"/>
        <w:rPr>
          <w:rFonts w:ascii="Geomanist Light" w:eastAsia="Calibri" w:hAnsi="Geomanist Light" w:cs="Arial"/>
          <w:b/>
          <w:sz w:val="22"/>
        </w:rPr>
      </w:pPr>
      <w:r w:rsidRPr="00C012F4">
        <w:rPr>
          <w:rFonts w:ascii="Geomanist Light" w:eastAsia="Calibri" w:hAnsi="Geomanist Light" w:cs="Arial"/>
          <w:b/>
          <w:bCs/>
          <w:sz w:val="22"/>
          <w:lang w:val="es-ES_tradnl"/>
        </w:rPr>
        <w:lastRenderedPageBreak/>
        <w:t>2.2.</w:t>
      </w:r>
      <w:r w:rsidR="00E36AA0" w:rsidRPr="00637444">
        <w:rPr>
          <w:rFonts w:ascii="Geomanist Light" w:eastAsia="Calibri" w:hAnsi="Geomanist Light" w:cs="Arial"/>
          <w:sz w:val="22"/>
          <w:lang w:val="es-ES_tradnl"/>
        </w:rPr>
        <w:t xml:space="preserve"> </w:t>
      </w:r>
      <w:bookmarkStart w:id="9" w:name="_Hlk116398140"/>
      <w:r w:rsidRPr="00C012F4">
        <w:rPr>
          <w:rFonts w:ascii="Geomanist Light" w:eastAsia="Calibri" w:hAnsi="Geomanist Light" w:cs="Arial"/>
          <w:b/>
          <w:sz w:val="22"/>
        </w:rPr>
        <w:t>La experiencia en</w:t>
      </w:r>
      <w:r w:rsidR="00C02705">
        <w:rPr>
          <w:rFonts w:ascii="Geomanist Light" w:eastAsia="Calibri" w:hAnsi="Geomanist Light" w:cs="Arial"/>
          <w:b/>
          <w:sz w:val="22"/>
        </w:rPr>
        <w:t xml:space="preserve"> los procesos de </w:t>
      </w:r>
      <w:r w:rsidRPr="00C012F4">
        <w:rPr>
          <w:rFonts w:ascii="Geomanist Light" w:eastAsia="Calibri" w:hAnsi="Geomanist Light" w:cs="Arial"/>
          <w:b/>
          <w:sz w:val="22"/>
        </w:rPr>
        <w:t>contratación pública</w:t>
      </w:r>
      <w:bookmarkEnd w:id="9"/>
    </w:p>
    <w:p w14:paraId="1936A12E" w14:textId="77777777" w:rsidR="0056674F" w:rsidRPr="00C012F4" w:rsidRDefault="0056674F" w:rsidP="0056674F">
      <w:pPr>
        <w:spacing w:line="276" w:lineRule="auto"/>
        <w:jc w:val="both"/>
        <w:rPr>
          <w:rFonts w:ascii="Geomanist Light" w:eastAsia="Calibri" w:hAnsi="Geomanist Light" w:cs="Arial"/>
          <w:b/>
          <w:sz w:val="22"/>
        </w:rPr>
      </w:pPr>
    </w:p>
    <w:p w14:paraId="207A5756" w14:textId="77777777" w:rsidR="00637444" w:rsidRDefault="0056674F" w:rsidP="00C012F4">
      <w:pPr>
        <w:spacing w:after="120" w:line="276" w:lineRule="auto"/>
        <w:jc w:val="both"/>
        <w:rPr>
          <w:rFonts w:ascii="Geomanist Light" w:eastAsia="Calibri" w:hAnsi="Geomanist Light" w:cs="Arial"/>
          <w:sz w:val="22"/>
        </w:rPr>
      </w:pPr>
      <w:bookmarkStart w:id="10" w:name="_Hlk91599456"/>
      <w:r w:rsidRPr="00C012F4">
        <w:rPr>
          <w:rFonts w:ascii="Geomanist Light" w:eastAsia="Calibri" w:hAnsi="Geomanist Light" w:cs="Arial"/>
          <w:sz w:val="22"/>
        </w:rPr>
        <w:t xml:space="preserve">La Ley 1150 de 2007, en el artículo 5, </w:t>
      </w:r>
      <w:r w:rsidRPr="00C012F4">
        <w:rPr>
          <w:rFonts w:ascii="Geomanist Light" w:hAnsi="Geomanist Light" w:cs="Arial"/>
          <w:sz w:val="22"/>
        </w:rPr>
        <w:t xml:space="preserve">dispone que </w:t>
      </w:r>
      <w:r w:rsidRPr="00C012F4">
        <w:rPr>
          <w:rFonts w:ascii="Geomanist Light" w:eastAsia="Calibri" w:hAnsi="Geomanist Light" w:cs="Arial"/>
          <w:sz w:val="22"/>
        </w:rPr>
        <w:t xml:space="preserve">la capacidad jurídica y las condiciones de experiencia, así como la capacidad financiera y de organización de los proponentes, serán objeto de verificación por parte de las entidades como requisitos habilitantes para participar en los procesos de selección y no otorgarán puntaje. </w:t>
      </w:r>
      <w:r w:rsidR="00637444">
        <w:rPr>
          <w:rFonts w:ascii="Geomanist Light" w:eastAsia="Calibri" w:hAnsi="Geomanist Light" w:cs="Arial"/>
          <w:sz w:val="22"/>
        </w:rPr>
        <w:t xml:space="preserve"> </w:t>
      </w:r>
    </w:p>
    <w:p w14:paraId="1DFBB0A4" w14:textId="5158412A" w:rsidR="0056674F" w:rsidRPr="00C012F4" w:rsidRDefault="0056674F" w:rsidP="00AB693B">
      <w:pPr>
        <w:spacing w:line="276" w:lineRule="auto"/>
        <w:jc w:val="both"/>
        <w:rPr>
          <w:rFonts w:ascii="Geomanist Light" w:eastAsia="Calibri" w:hAnsi="Geomanist Light" w:cs="Arial"/>
          <w:sz w:val="22"/>
        </w:rPr>
      </w:pPr>
      <w:bookmarkStart w:id="11" w:name="_Hlk116400691"/>
      <w:r w:rsidRPr="00C012F4">
        <w:rPr>
          <w:rFonts w:ascii="Geomanist Light" w:eastAsia="Calibri" w:hAnsi="Geomanist Light" w:cs="Arial"/>
          <w:sz w:val="22"/>
        </w:rPr>
        <w:t xml:space="preserve">Para ello, </w:t>
      </w:r>
      <w:r w:rsidRPr="00C012F4">
        <w:rPr>
          <w:rFonts w:ascii="Geomanist Light" w:hAnsi="Geomanist Light" w:cs="Arial"/>
          <w:sz w:val="22"/>
        </w:rPr>
        <w:t>el artículo 6 de la Ley 1150 de 2007 señala que todas las personas naturales o jurídicas, nacionales o extranjeras, domiciliadas o con sucursal en Colombia, que aspiren celebrar contratos con las entidades estatales deberán estar inscritas en el Registro Único de Proponentes</w:t>
      </w:r>
      <w:r w:rsidR="00637444">
        <w:rPr>
          <w:rFonts w:ascii="Geomanist Light" w:hAnsi="Geomanist Light" w:cs="Arial"/>
          <w:sz w:val="22"/>
        </w:rPr>
        <w:t>–RUP–</w:t>
      </w:r>
      <w:r w:rsidRPr="00C012F4">
        <w:rPr>
          <w:rFonts w:ascii="Geomanist Light" w:hAnsi="Geomanist Light" w:cs="Arial"/>
          <w:sz w:val="22"/>
        </w:rPr>
        <w:t>. En dicho registro constará la información relacionada con la experiencia, la capacidad jurídica, financiera y de organización del proponente y su clasificación.</w:t>
      </w:r>
      <w:r w:rsidRPr="00C012F4">
        <w:rPr>
          <w:rFonts w:ascii="Geomanist Light" w:eastAsia="Calibri" w:hAnsi="Geomanist Light" w:cs="Arial"/>
          <w:sz w:val="22"/>
        </w:rPr>
        <w:t xml:space="preserve"> </w:t>
      </w:r>
      <w:bookmarkEnd w:id="10"/>
      <w:r w:rsidR="00EE1798">
        <w:rPr>
          <w:rFonts w:ascii="Geomanist Light" w:eastAsia="Calibri" w:hAnsi="Geomanist Light" w:cs="Arial"/>
          <w:sz w:val="22"/>
        </w:rPr>
        <w:t>El RUP</w:t>
      </w:r>
      <w:r w:rsidRPr="00C012F4">
        <w:rPr>
          <w:rFonts w:ascii="Geomanist Light" w:eastAsia="Calibri" w:hAnsi="Geomanist Light" w:cs="Arial"/>
          <w:sz w:val="22"/>
        </w:rPr>
        <w:t xml:space="preserve"> constan los requisitos habilitantes que se evalúan exclusivamente con este documento, que es plena prueba, sin que la entidad o el proponente puedan, en principio, solicitar o aportar otra documentación</w:t>
      </w:r>
      <w:r w:rsidRPr="00C012F4">
        <w:rPr>
          <w:rStyle w:val="Refdenotaalpie"/>
          <w:rFonts w:ascii="Geomanist Light" w:eastAsia="Calibri" w:hAnsi="Geomanist Light" w:cs="Arial"/>
          <w:sz w:val="22"/>
        </w:rPr>
        <w:footnoteReference w:id="8"/>
      </w:r>
      <w:r w:rsidRPr="00C012F4">
        <w:rPr>
          <w:rFonts w:ascii="Geomanist Light" w:eastAsia="Calibri" w:hAnsi="Geomanist Light" w:cs="Arial"/>
          <w:sz w:val="22"/>
        </w:rPr>
        <w:t>.</w:t>
      </w:r>
    </w:p>
    <w:p w14:paraId="5BB4400B" w14:textId="77777777" w:rsidR="0056674F" w:rsidRPr="00C012F4" w:rsidRDefault="0056674F" w:rsidP="00AB693B">
      <w:pPr>
        <w:spacing w:before="120" w:line="276" w:lineRule="auto"/>
        <w:jc w:val="both"/>
        <w:rPr>
          <w:rFonts w:ascii="Geomanist Light" w:eastAsia="Calibri" w:hAnsi="Geomanist Light" w:cs="Arial"/>
          <w:sz w:val="22"/>
        </w:rPr>
      </w:pPr>
      <w:r w:rsidRPr="00C012F4">
        <w:rPr>
          <w:rFonts w:ascii="Geomanist Light" w:eastAsia="Calibri" w:hAnsi="Geomanist Light" w:cs="Arial"/>
          <w:sz w:val="22"/>
        </w:rPr>
        <w:t>La experiencia debe inscribirse, renovarse o actualizarse en el RUP con copia de los contratos o con certificados de los contratos celebrados por el proponente con diferentes contratantes. Estos terceros expiden dichas certificaciones cuando el contrato fue ejecutado y recibieron los bienes, obras o servicios de parte del proponente</w:t>
      </w:r>
      <w:r w:rsidRPr="00C012F4">
        <w:rPr>
          <w:rStyle w:val="Refdenotaalpie"/>
          <w:rFonts w:ascii="Geomanist Light" w:eastAsia="Calibri" w:hAnsi="Geomanist Light" w:cs="Arial"/>
          <w:sz w:val="22"/>
        </w:rPr>
        <w:footnoteReference w:id="9"/>
      </w:r>
      <w:r w:rsidRPr="00C012F4">
        <w:rPr>
          <w:rFonts w:ascii="Geomanist Light" w:eastAsia="Calibri" w:hAnsi="Geomanist Light" w:cs="Arial"/>
          <w:sz w:val="22"/>
        </w:rPr>
        <w:t xml:space="preserve">. De esta manera, con el RUP se verifica </w:t>
      </w:r>
      <w:r w:rsidRPr="00C012F4">
        <w:rPr>
          <w:rFonts w:ascii="Geomanist Light" w:eastAsia="Calibri" w:hAnsi="Geomanist Light" w:cs="Arial"/>
          <w:sz w:val="22"/>
        </w:rPr>
        <w:lastRenderedPageBreak/>
        <w:t xml:space="preserve">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bookmarkEnd w:id="11"/>
    <w:p w14:paraId="2D09D63D" w14:textId="77777777" w:rsidR="0056674F" w:rsidRPr="00C012F4" w:rsidRDefault="0056674F" w:rsidP="00AB693B">
      <w:pPr>
        <w:spacing w:before="120" w:line="276" w:lineRule="auto"/>
        <w:jc w:val="both"/>
        <w:rPr>
          <w:rFonts w:ascii="Geomanist Light" w:eastAsia="Calibri" w:hAnsi="Geomanist Light" w:cs="Arial"/>
          <w:sz w:val="22"/>
        </w:rPr>
      </w:pPr>
      <w:r w:rsidRPr="00C012F4">
        <w:rPr>
          <w:rFonts w:ascii="Geomanist Light" w:eastAsia="Calibri" w:hAnsi="Geomanist Light" w:cs="Arial"/>
          <w:sz w:val="22"/>
        </w:rPr>
        <w:t xml:space="preserve">Así mismo, de manera correlativa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dispuso que la verificación de las condiciones de que trata el numeral 1 del artículo 5 de la Ley 1150 de 2007 se demostrará «exclusivamente con el respectivo certificado del RUP en donde deberán constar dichas condiciones». </w:t>
      </w:r>
    </w:p>
    <w:p w14:paraId="6D6CBFBE" w14:textId="77777777" w:rsidR="0056674F" w:rsidRPr="00C012F4" w:rsidRDefault="0056674F" w:rsidP="00AB693B">
      <w:pPr>
        <w:spacing w:before="120" w:line="276" w:lineRule="auto"/>
        <w:jc w:val="both"/>
        <w:rPr>
          <w:rFonts w:ascii="Geomanist Light" w:eastAsia="Calibri" w:hAnsi="Geomanist Light" w:cs="Arial"/>
          <w:sz w:val="22"/>
        </w:rPr>
      </w:pPr>
      <w:r w:rsidRPr="00C012F4">
        <w:rPr>
          <w:rFonts w:ascii="Geomanist Light" w:eastAsia="Calibri" w:hAnsi="Geomanist Light" w:cs="Arial"/>
          <w:sz w:val="22"/>
        </w:rPr>
        <w:t xml:space="preserve">En consecuencia, la norma establece que a las entidades les está prohibido exigir otros documentos para efectuar la inscripción en el registro, salvo lo dispuesto en el inciso 3 del numeral 6.1. 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w:t>
      </w:r>
    </w:p>
    <w:p w14:paraId="7322DA66" w14:textId="7B5BE6BC" w:rsidR="0056674F" w:rsidRPr="00C012F4" w:rsidRDefault="0056674F" w:rsidP="00AB693B">
      <w:pPr>
        <w:spacing w:before="120" w:line="276" w:lineRule="auto"/>
        <w:jc w:val="both"/>
        <w:rPr>
          <w:rFonts w:ascii="Geomanist Light" w:eastAsia="Calibri" w:hAnsi="Geomanist Light" w:cs="Arial"/>
          <w:sz w:val="22"/>
        </w:rPr>
      </w:pPr>
      <w:r w:rsidRPr="00C012F4">
        <w:rPr>
          <w:rFonts w:ascii="Geomanist Light" w:hAnsi="Geomanist Light" w:cs="Arial"/>
          <w:sz w:val="22"/>
        </w:rPr>
        <w:t xml:space="preserve">De otra parte, </w:t>
      </w:r>
      <w:r w:rsidR="00E36AA0" w:rsidRPr="00C012F4">
        <w:rPr>
          <w:rFonts w:ascii="Geomanist Light" w:hAnsi="Geomanist Light" w:cs="Arial"/>
          <w:sz w:val="22"/>
        </w:rPr>
        <w:t>e</w:t>
      </w:r>
      <w:r w:rsidRPr="00C012F4">
        <w:rPr>
          <w:rFonts w:ascii="Geomanist Light" w:hAnsi="Geomanist Light" w:cs="Arial"/>
          <w:sz w:val="22"/>
        </w:rPr>
        <w:t>n relación con el requisito habilitante de experiencia, l</w:t>
      </w:r>
      <w:r w:rsidRPr="00C012F4">
        <w:rPr>
          <w:rFonts w:ascii="Geomanist Light" w:eastAsia="Calibri" w:hAnsi="Geomanist Light" w:cs="Arial"/>
          <w:sz w:val="22"/>
        </w:rPr>
        <w:t>a Agencia Nacional de Contratación Pública – Colombia Compra Eficiente puso a disposición de los interesados del Sistema de Compra Pública el «Manual para determinar y verificar requisitos habilitantes en los Procesos de Contratación». Allí se indica que la experiencia tiene un carácter personal, lo cual significa que esta se obtiene por la participación, con anterioridad, en actividades que le permitieron a alguien conocer cómo ejecutar determinado objeto contractual que la entidad ahora pretende desarrollar</w:t>
      </w:r>
      <w:r w:rsidR="00C012F4">
        <w:rPr>
          <w:rFonts w:ascii="Geomanist Light" w:eastAsia="Calibri" w:hAnsi="Geomanist Light" w:cs="Arial"/>
          <w:sz w:val="22"/>
        </w:rPr>
        <w:t xml:space="preserve">. </w:t>
      </w:r>
      <w:r w:rsidR="00A13D2F">
        <w:rPr>
          <w:rFonts w:ascii="Geomanist Light" w:eastAsia="Calibri" w:hAnsi="Geomanist Light" w:cs="Arial"/>
          <w:sz w:val="22"/>
        </w:rPr>
        <w:t>Adicionalmente, se define</w:t>
      </w:r>
      <w:r w:rsidR="00A13D2F" w:rsidRPr="00A13D2F">
        <w:rPr>
          <w:rFonts w:ascii="Geomanist Light" w:eastAsia="Calibri" w:hAnsi="Geomanist Light" w:cs="Arial"/>
          <w:sz w:val="22"/>
        </w:rPr>
        <w:t xml:space="preserve"> </w:t>
      </w:r>
      <w:r w:rsidR="00A13D2F">
        <w:rPr>
          <w:rFonts w:ascii="Geomanist Light" w:eastAsia="Calibri" w:hAnsi="Geomanist Light" w:cs="Arial"/>
          <w:sz w:val="22"/>
        </w:rPr>
        <w:t>l</w:t>
      </w:r>
      <w:r w:rsidR="00A13D2F" w:rsidRPr="00A13D2F">
        <w:rPr>
          <w:rFonts w:ascii="Geomanist Light" w:eastAsia="Calibri" w:hAnsi="Geomanist Light" w:cs="Arial"/>
          <w:sz w:val="22"/>
        </w:rPr>
        <w:t xml:space="preserve">a experiencia </w:t>
      </w:r>
      <w:r w:rsidR="00A13D2F">
        <w:rPr>
          <w:rFonts w:ascii="Geomanist Light" w:eastAsia="Calibri" w:hAnsi="Geomanist Light" w:cs="Arial"/>
          <w:sz w:val="22"/>
        </w:rPr>
        <w:t xml:space="preserve">como «[…] </w:t>
      </w:r>
      <w:r w:rsidR="00A13D2F" w:rsidRPr="00A13D2F">
        <w:rPr>
          <w:rFonts w:ascii="Geomanist Light" w:eastAsia="Calibri" w:hAnsi="Geomanist Light" w:cs="Arial"/>
          <w:sz w:val="22"/>
        </w:rPr>
        <w:t>el conocimiento del proponente derivado de su participación previa en actividades iguales o similares a las previstas en el objeto del contrato».</w:t>
      </w:r>
    </w:p>
    <w:p w14:paraId="51486EBA" w14:textId="77777777" w:rsidR="00A5213A" w:rsidRDefault="0056674F" w:rsidP="00AB693B">
      <w:pPr>
        <w:spacing w:before="120" w:line="276" w:lineRule="auto"/>
        <w:jc w:val="both"/>
        <w:rPr>
          <w:rFonts w:ascii="Geomanist Light" w:eastAsia="Calibri" w:hAnsi="Geomanist Light" w:cs="Arial"/>
          <w:sz w:val="22"/>
        </w:rPr>
      </w:pPr>
      <w:r w:rsidRPr="00C012F4">
        <w:rPr>
          <w:rFonts w:ascii="Geomanist Light" w:eastAsia="Calibri" w:hAnsi="Geomanist Light" w:cs="Arial"/>
          <w:sz w:val="22"/>
        </w:rPr>
        <w:t xml:space="preserve">Lo anterior es determinante, porque no es posible adquirir la experiencia si en la práctica no se han ejecutado actividades previas. Precisamente, de la experiencia se deriva el conocimiento del proponente, lo cual es importante para la contratación pública, pues ello garantiza que no habrá improvisación ni mayores costos por errores o dificultades originadas en realizar una actividad por primera vez. Adicionalmente, el Manual explica que la </w:t>
      </w:r>
      <w:r w:rsidRPr="00C012F4">
        <w:rPr>
          <w:rFonts w:ascii="Geomanist Light" w:eastAsia="Calibri" w:hAnsi="Geomanist Light" w:cs="Arial"/>
          <w:sz w:val="22"/>
        </w:rPr>
        <w:lastRenderedPageBreak/>
        <w:t xml:space="preserve">experiencia puede obtenerse directamente o por participar asociado con otra persona, como es el caso de los proponentes plurales, en cuyo evento la experiencia no deja de ser personal, sino que es proporcional a la participación como miembro de un consorcio o unión temporal. Por tratarse de esquemas asociativos, en estos casos la experiencia es compartida. </w:t>
      </w:r>
    </w:p>
    <w:p w14:paraId="1B2171BF" w14:textId="68885597" w:rsidR="0056674F" w:rsidRPr="00C012F4" w:rsidRDefault="0056674F" w:rsidP="00AB693B">
      <w:pPr>
        <w:spacing w:before="120" w:line="276" w:lineRule="auto"/>
        <w:jc w:val="both"/>
        <w:rPr>
          <w:rFonts w:ascii="Geomanist Light" w:eastAsia="Calibri" w:hAnsi="Geomanist Light" w:cs="Arial"/>
          <w:sz w:val="22"/>
        </w:rPr>
      </w:pPr>
      <w:r w:rsidRPr="00C012F4">
        <w:rPr>
          <w:rFonts w:ascii="Geomanist Light" w:eastAsia="Calibri" w:hAnsi="Geomanist Light" w:cs="Arial"/>
          <w:sz w:val="22"/>
        </w:rPr>
        <w:t xml:space="preserve">Por otra parte, la Agencia recomienda que la experiencia que se solicite sea proporcional y no igual al objeto que se va a contratar, ya que esto puede limitar la participación de los proveedores por no haber ejecutado un objeto igual pero sí similar, de manera que se ayude a que exista pluralidad de oferentes.  </w:t>
      </w:r>
    </w:p>
    <w:p w14:paraId="4B0B1E57" w14:textId="77777777" w:rsidR="007A5AA3" w:rsidRDefault="00E36AA0" w:rsidP="00AB693B">
      <w:pPr>
        <w:spacing w:before="120" w:line="276" w:lineRule="auto"/>
        <w:jc w:val="both"/>
        <w:rPr>
          <w:rFonts w:ascii="Geomanist Light" w:eastAsia="Calibri" w:hAnsi="Geomanist Light" w:cs="Arial"/>
          <w:sz w:val="22"/>
        </w:rPr>
      </w:pPr>
      <w:r w:rsidRPr="00C012F4">
        <w:rPr>
          <w:rFonts w:ascii="Geomanist Light" w:eastAsia="Calibri" w:hAnsi="Geomanist Light" w:cs="Arial"/>
          <w:sz w:val="22"/>
        </w:rPr>
        <w:t>En tales términos</w:t>
      </w:r>
      <w:r w:rsidR="00952E06">
        <w:rPr>
          <w:rFonts w:ascii="Geomanist Light" w:eastAsia="Calibri" w:hAnsi="Geomanist Light" w:cs="Arial"/>
          <w:sz w:val="22"/>
        </w:rPr>
        <w:t xml:space="preserve">, </w:t>
      </w:r>
      <w:r w:rsidR="00510AF9">
        <w:rPr>
          <w:rFonts w:ascii="Geomanist Light" w:eastAsia="Calibri" w:hAnsi="Geomanist Light" w:cs="Arial"/>
          <w:sz w:val="22"/>
        </w:rPr>
        <w:t>es preciso advertir que, en los procesos de contratación pública</w:t>
      </w:r>
      <w:r w:rsidR="00547531">
        <w:rPr>
          <w:rFonts w:ascii="Geomanist Light" w:eastAsia="Calibri" w:hAnsi="Geomanist Light" w:cs="Arial"/>
          <w:sz w:val="22"/>
        </w:rPr>
        <w:t>,</w:t>
      </w:r>
      <w:r w:rsidR="00510AF9">
        <w:rPr>
          <w:rFonts w:ascii="Geomanist Light" w:eastAsia="Calibri" w:hAnsi="Geomanist Light" w:cs="Arial"/>
          <w:sz w:val="22"/>
        </w:rPr>
        <w:t xml:space="preserve"> </w:t>
      </w:r>
      <w:r w:rsidR="00866527">
        <w:rPr>
          <w:rFonts w:ascii="Geomanist Light" w:eastAsia="Calibri" w:hAnsi="Geomanist Light" w:cs="Arial"/>
          <w:sz w:val="22"/>
        </w:rPr>
        <w:t>la</w:t>
      </w:r>
      <w:r w:rsidR="00B61AAC">
        <w:rPr>
          <w:rFonts w:ascii="Geomanist Light" w:eastAsia="Calibri" w:hAnsi="Geomanist Light" w:cs="Arial"/>
          <w:sz w:val="22"/>
        </w:rPr>
        <w:t xml:space="preserve"> experiencia tiene el carácter de </w:t>
      </w:r>
      <w:r w:rsidR="00344625">
        <w:rPr>
          <w:rFonts w:ascii="Geomanist Light" w:eastAsia="Calibri" w:hAnsi="Geomanist Light" w:cs="Arial"/>
          <w:sz w:val="22"/>
        </w:rPr>
        <w:t>condición</w:t>
      </w:r>
      <w:r w:rsidR="00B61AAC">
        <w:rPr>
          <w:rFonts w:ascii="Geomanist Light" w:eastAsia="Calibri" w:hAnsi="Geomanist Light" w:cs="Arial"/>
          <w:sz w:val="22"/>
        </w:rPr>
        <w:t xml:space="preserve"> habilitante </w:t>
      </w:r>
      <w:r w:rsidR="00547531">
        <w:rPr>
          <w:rFonts w:ascii="Geomanist Light" w:eastAsia="Calibri" w:hAnsi="Geomanist Light" w:cs="Arial"/>
          <w:sz w:val="22"/>
        </w:rPr>
        <w:t xml:space="preserve">para cuyo cumplimiento </w:t>
      </w:r>
      <w:r w:rsidR="00D0589C">
        <w:rPr>
          <w:rFonts w:ascii="Geomanist Light" w:eastAsia="Calibri" w:hAnsi="Geomanist Light" w:cs="Arial"/>
          <w:sz w:val="22"/>
        </w:rPr>
        <w:t>se requiere</w:t>
      </w:r>
      <w:r w:rsidR="00120E5A">
        <w:rPr>
          <w:rFonts w:ascii="Geomanist Light" w:eastAsia="Calibri" w:hAnsi="Geomanist Light" w:cs="Arial"/>
          <w:sz w:val="22"/>
        </w:rPr>
        <w:t xml:space="preserve"> la acredita</w:t>
      </w:r>
      <w:r w:rsidR="00D0589C">
        <w:rPr>
          <w:rFonts w:ascii="Geomanist Light" w:eastAsia="Calibri" w:hAnsi="Geomanist Light" w:cs="Arial"/>
          <w:sz w:val="22"/>
        </w:rPr>
        <w:t xml:space="preserve">ción de actividades </w:t>
      </w:r>
      <w:r w:rsidR="00344625">
        <w:rPr>
          <w:rFonts w:ascii="Geomanist Light" w:eastAsia="Calibri" w:hAnsi="Geomanist Light" w:cs="Arial"/>
          <w:sz w:val="22"/>
        </w:rPr>
        <w:t xml:space="preserve">que correspondan con la descripción del requisito, </w:t>
      </w:r>
      <w:r w:rsidR="00285151">
        <w:rPr>
          <w:rFonts w:ascii="Geomanist Light" w:eastAsia="Calibri" w:hAnsi="Geomanist Light" w:cs="Arial"/>
          <w:sz w:val="22"/>
        </w:rPr>
        <w:t>acreditación que</w:t>
      </w:r>
      <w:r w:rsidR="00F65D73">
        <w:rPr>
          <w:rFonts w:ascii="Geomanist Light" w:eastAsia="Calibri" w:hAnsi="Geomanist Light" w:cs="Arial"/>
          <w:sz w:val="22"/>
        </w:rPr>
        <w:t>,</w:t>
      </w:r>
      <w:r w:rsidR="00285151">
        <w:rPr>
          <w:rFonts w:ascii="Geomanist Light" w:eastAsia="Calibri" w:hAnsi="Geomanist Light" w:cs="Arial"/>
          <w:sz w:val="22"/>
        </w:rPr>
        <w:t xml:space="preserve"> </w:t>
      </w:r>
      <w:r w:rsidR="00F65D73">
        <w:rPr>
          <w:rFonts w:ascii="Geomanist Light" w:eastAsia="Calibri" w:hAnsi="Geomanist Light" w:cs="Arial"/>
          <w:sz w:val="22"/>
        </w:rPr>
        <w:t xml:space="preserve">por regla general, debe realizar mediante </w:t>
      </w:r>
      <w:r w:rsidR="00285151">
        <w:rPr>
          <w:rFonts w:ascii="Geomanist Light" w:eastAsia="Calibri" w:hAnsi="Geomanist Light" w:cs="Arial"/>
          <w:sz w:val="22"/>
        </w:rPr>
        <w:t>el RUP</w:t>
      </w:r>
      <w:r w:rsidR="00533E18">
        <w:rPr>
          <w:rFonts w:ascii="Geomanist Light" w:eastAsia="Calibri" w:hAnsi="Geomanist Light" w:cs="Arial"/>
          <w:sz w:val="22"/>
        </w:rPr>
        <w:t xml:space="preserve">. Sin perjuicio de procesos </w:t>
      </w:r>
      <w:r w:rsidR="004E0E1F">
        <w:rPr>
          <w:rFonts w:ascii="Geomanist Light" w:eastAsia="Calibri" w:hAnsi="Geomanist Light" w:cs="Arial"/>
          <w:sz w:val="22"/>
        </w:rPr>
        <w:t xml:space="preserve">exceptuados del RUP de conformidad con el inciso segundo del artículo 6 de la Ley 1150 de 2007, en los que </w:t>
      </w:r>
      <w:proofErr w:type="gramStart"/>
      <w:r w:rsidR="004E0E1F">
        <w:rPr>
          <w:rFonts w:ascii="Geomanist Light" w:eastAsia="Calibri" w:hAnsi="Geomanist Light" w:cs="Arial"/>
          <w:sz w:val="22"/>
        </w:rPr>
        <w:t>le</w:t>
      </w:r>
      <w:proofErr w:type="gramEnd"/>
      <w:r w:rsidR="004E0E1F">
        <w:rPr>
          <w:rFonts w:ascii="Geomanist Light" w:eastAsia="Calibri" w:hAnsi="Geomanist Light" w:cs="Arial"/>
          <w:sz w:val="22"/>
        </w:rPr>
        <w:t xml:space="preserve"> corr</w:t>
      </w:r>
      <w:r w:rsidR="004E0E1F" w:rsidRPr="004E0E1F">
        <w:rPr>
          <w:rFonts w:ascii="Geomanist Light" w:eastAsia="Calibri" w:hAnsi="Geomanist Light" w:cs="Arial"/>
          <w:sz w:val="22"/>
        </w:rPr>
        <w:t>esponderá a las entidades contratantes cumplir con la labor de verificación de las condiciones de los proponentes.</w:t>
      </w:r>
    </w:p>
    <w:p w14:paraId="1D9D5715" w14:textId="7088F687" w:rsidR="00E36AA0" w:rsidRPr="00C012F4" w:rsidRDefault="007A5AA3" w:rsidP="00AB693B">
      <w:pPr>
        <w:spacing w:before="120" w:line="276" w:lineRule="auto"/>
        <w:jc w:val="both"/>
        <w:rPr>
          <w:rFonts w:ascii="Geomanist Light" w:eastAsia="Calibri" w:hAnsi="Geomanist Light" w:cs="Arial"/>
          <w:sz w:val="22"/>
        </w:rPr>
      </w:pPr>
      <w:r>
        <w:rPr>
          <w:rFonts w:ascii="Geomanist Light" w:eastAsia="Calibri" w:hAnsi="Geomanist Light" w:cs="Arial"/>
          <w:sz w:val="22"/>
        </w:rPr>
        <w:t xml:space="preserve">En todo caso, </w:t>
      </w:r>
      <w:r w:rsidR="00C80729">
        <w:rPr>
          <w:rFonts w:ascii="Geomanist Light" w:eastAsia="Calibri" w:hAnsi="Geomanist Light" w:cs="Arial"/>
          <w:sz w:val="22"/>
        </w:rPr>
        <w:t xml:space="preserve">las reglas del cómputo de la experiencia profesional </w:t>
      </w:r>
      <w:r w:rsidR="00183906">
        <w:rPr>
          <w:rFonts w:ascii="Geomanist Light" w:eastAsia="Calibri" w:hAnsi="Geomanist Light" w:cs="Arial"/>
          <w:sz w:val="22"/>
        </w:rPr>
        <w:t xml:space="preserve">estudiadas en el numeral 2.1 del presente concepto deben ser aplicadas por las </w:t>
      </w:r>
      <w:r w:rsidR="008C31BD">
        <w:rPr>
          <w:rFonts w:ascii="Geomanist Light" w:eastAsia="Calibri" w:hAnsi="Geomanist Light" w:cs="Arial"/>
          <w:sz w:val="22"/>
        </w:rPr>
        <w:t>entidades estatales al momento de realizar el cómputo de la experiencia que acrediten sus proponentes</w:t>
      </w:r>
      <w:r w:rsidR="008974D5">
        <w:rPr>
          <w:rFonts w:ascii="Geomanist Light" w:eastAsia="Calibri" w:hAnsi="Geomanist Light" w:cs="Arial"/>
          <w:sz w:val="22"/>
        </w:rPr>
        <w:t xml:space="preserve">. </w:t>
      </w:r>
      <w:r w:rsidR="00DE31B8">
        <w:rPr>
          <w:rFonts w:ascii="Geomanist Light" w:eastAsia="Calibri" w:hAnsi="Geomanist Light" w:cs="Arial"/>
          <w:sz w:val="22"/>
        </w:rPr>
        <w:t>Esto implica que</w:t>
      </w:r>
      <w:r w:rsidR="008974D5">
        <w:rPr>
          <w:rFonts w:ascii="Geomanist Light" w:eastAsia="Calibri" w:hAnsi="Geomanist Light" w:cs="Arial"/>
          <w:sz w:val="22"/>
        </w:rPr>
        <w:t xml:space="preserve"> cuando </w:t>
      </w:r>
      <w:r w:rsidR="00C23F47">
        <w:rPr>
          <w:rFonts w:ascii="Geomanist Light" w:eastAsia="Calibri" w:hAnsi="Geomanist Light" w:cs="Arial"/>
          <w:sz w:val="22"/>
        </w:rPr>
        <w:t xml:space="preserve">se establecen requisitos de experiencia profesional </w:t>
      </w:r>
      <w:r w:rsidR="001D1E13">
        <w:rPr>
          <w:rFonts w:ascii="Geomanist Light" w:eastAsia="Calibri" w:hAnsi="Geomanist Light" w:cs="Arial"/>
          <w:sz w:val="22"/>
        </w:rPr>
        <w:t>respecto de una de las profesiones</w:t>
      </w:r>
      <w:r w:rsidR="00144004">
        <w:rPr>
          <w:rFonts w:ascii="Geomanist Light" w:eastAsia="Calibri" w:hAnsi="Geomanist Light" w:cs="Arial"/>
          <w:sz w:val="22"/>
        </w:rPr>
        <w:t xml:space="preserve"> a las que se refiere el artículo 229 del Decreto 019 de 2012</w:t>
      </w:r>
      <w:r w:rsidR="00846A73">
        <w:rPr>
          <w:rFonts w:ascii="Geomanist Light" w:eastAsia="Calibri" w:hAnsi="Geomanist Light" w:cs="Arial"/>
          <w:sz w:val="22"/>
        </w:rPr>
        <w:t xml:space="preserve">, en atención a lo dispuesto en dicha norma, la entidad solo podrá </w:t>
      </w:r>
      <w:r w:rsidR="00DE31B8">
        <w:rPr>
          <w:rFonts w:ascii="Geomanist Light" w:eastAsia="Calibri" w:hAnsi="Geomanist Light" w:cs="Arial"/>
          <w:sz w:val="22"/>
        </w:rPr>
        <w:t xml:space="preserve">validar como profesional aquella experiencia </w:t>
      </w:r>
      <w:r w:rsidR="00CC7C75">
        <w:rPr>
          <w:rFonts w:ascii="Geomanist Light" w:eastAsia="Calibri" w:hAnsi="Geomanist Light" w:cs="Arial"/>
          <w:sz w:val="22"/>
        </w:rPr>
        <w:t>acreditada mediante el RUP o el documento que corresponda</w:t>
      </w:r>
      <w:r w:rsidR="00D66301">
        <w:rPr>
          <w:rFonts w:ascii="Geomanist Light" w:eastAsia="Calibri" w:hAnsi="Geomanist Light" w:cs="Arial"/>
          <w:sz w:val="22"/>
        </w:rPr>
        <w:t xml:space="preserve">, y únicamente respecto de los periodos de tiempo en los que se demuestre haber ejecutado las actividades </w:t>
      </w:r>
      <w:r w:rsidR="00627DE3">
        <w:rPr>
          <w:rFonts w:ascii="Geomanist Light" w:eastAsia="Calibri" w:hAnsi="Geomanist Light" w:cs="Arial"/>
          <w:sz w:val="22"/>
        </w:rPr>
        <w:t xml:space="preserve">efectivamente ejecutadas y certificadas. </w:t>
      </w:r>
      <w:r w:rsidR="00D66301">
        <w:rPr>
          <w:rFonts w:ascii="Geomanist Light" w:eastAsia="Calibri" w:hAnsi="Geomanist Light" w:cs="Arial"/>
          <w:sz w:val="22"/>
        </w:rPr>
        <w:t xml:space="preserve"> </w:t>
      </w:r>
    </w:p>
    <w:p w14:paraId="546D32C3" w14:textId="77777777" w:rsidR="00D1307F" w:rsidRDefault="00D1307F" w:rsidP="00C012F4">
      <w:pPr>
        <w:spacing w:line="276" w:lineRule="auto"/>
        <w:jc w:val="both"/>
        <w:rPr>
          <w:rFonts w:ascii="Geomanist Light" w:eastAsia="Calibri" w:hAnsi="Geomanist Light" w:cs="Arial"/>
          <w:sz w:val="22"/>
          <w:lang w:val="es-ES_tradnl"/>
        </w:rPr>
      </w:pPr>
    </w:p>
    <w:p w14:paraId="0B0FCDCD" w14:textId="56B252E7" w:rsidR="00935834" w:rsidRPr="003B7016" w:rsidRDefault="00935834" w:rsidP="00AD2522">
      <w:pPr>
        <w:spacing w:before="120" w:line="276" w:lineRule="auto"/>
        <w:jc w:val="both"/>
        <w:rPr>
          <w:rFonts w:ascii="Geomanist Light" w:eastAsia="Calibri" w:hAnsi="Geomanist Light" w:cs="Arial"/>
          <w:sz w:val="22"/>
          <w:lang w:val="es-ES"/>
        </w:rPr>
      </w:pPr>
      <w:r w:rsidRPr="003B7016">
        <w:rPr>
          <w:rFonts w:ascii="Geomanist Light" w:eastAsia="Calibri" w:hAnsi="Geomanist Light" w:cs="Arial"/>
          <w:b/>
          <w:sz w:val="22"/>
          <w:lang w:val="es-ES"/>
        </w:rPr>
        <w:t>3. Respuesta</w:t>
      </w:r>
    </w:p>
    <w:p w14:paraId="6302A2AF" w14:textId="7A816343" w:rsidR="006A24BD" w:rsidRPr="006A24BD" w:rsidRDefault="006B6D31" w:rsidP="00AD2522">
      <w:pPr>
        <w:spacing w:before="120"/>
        <w:ind w:left="709" w:right="709"/>
        <w:jc w:val="both"/>
        <w:rPr>
          <w:rFonts w:ascii="Geomanist Light" w:eastAsia="Calibri" w:hAnsi="Geomanist Light" w:cs="Arial"/>
          <w:sz w:val="22"/>
          <w:lang w:val="es-ES"/>
        </w:rPr>
      </w:pPr>
      <w:r w:rsidRPr="003B7016">
        <w:rPr>
          <w:rFonts w:ascii="Geomanist Light" w:eastAsia="Calibri" w:hAnsi="Geomanist Light" w:cs="Arial"/>
          <w:sz w:val="22"/>
          <w:lang w:val="es-ES"/>
        </w:rPr>
        <w:t>«</w:t>
      </w:r>
      <w:r w:rsidRPr="003B7016">
        <w:rPr>
          <w:rFonts w:ascii="Geomanist Light" w:eastAsia="Calibri" w:hAnsi="Geomanist Light" w:cs="Arial"/>
          <w:sz w:val="22"/>
          <w:lang w:val="es-ES_tradnl"/>
        </w:rPr>
        <w:t>cuando en un proceso de contratación se solicita experiencia general de un número de años a partir de la expedición de la tarjeta profesional, esa experiencia debe ser certificada? o simplemente se tiene en cuenta que haya transcurrido el número de años requeridos desde la expedición de la tarjeta, sin necesidad de presentar certificados información del solicitante</w:t>
      </w:r>
      <w:r w:rsidRPr="003B7016">
        <w:rPr>
          <w:rFonts w:ascii="Geomanist Light" w:eastAsia="Calibri" w:hAnsi="Geomanist Light" w:cs="Arial"/>
          <w:sz w:val="22"/>
          <w:lang w:val="es-ES"/>
        </w:rPr>
        <w:t>»</w:t>
      </w:r>
      <w:r>
        <w:rPr>
          <w:rFonts w:ascii="Geomanist Light" w:eastAsia="Calibri" w:hAnsi="Geomanist Light" w:cs="Arial"/>
          <w:sz w:val="22"/>
          <w:lang w:val="es-ES"/>
        </w:rPr>
        <w:t xml:space="preserve"> [sic]</w:t>
      </w:r>
      <w:r w:rsidR="006A24BD">
        <w:rPr>
          <w:rFonts w:ascii="Geomanist Light" w:eastAsia="Calibri" w:hAnsi="Geomanist Light" w:cs="Arial"/>
          <w:sz w:val="22"/>
          <w:lang w:val="es-ES"/>
        </w:rPr>
        <w:t>.</w:t>
      </w:r>
    </w:p>
    <w:p w14:paraId="44D6A0F1" w14:textId="4C4DBD4B" w:rsidR="00D1307F" w:rsidRDefault="00D1307F" w:rsidP="000A5AB3">
      <w:pPr>
        <w:spacing w:before="120" w:after="120" w:line="276" w:lineRule="auto"/>
        <w:ind w:right="51"/>
        <w:jc w:val="both"/>
        <w:rPr>
          <w:rFonts w:ascii="Geomanist Light" w:eastAsia="Calibri" w:hAnsi="Geomanist Light" w:cs="Arial"/>
          <w:sz w:val="22"/>
        </w:rPr>
      </w:pPr>
      <w:r>
        <w:rPr>
          <w:rFonts w:ascii="Geomanist Light" w:eastAsia="Calibri" w:hAnsi="Geomanist Light" w:cs="Arial"/>
          <w:sz w:val="22"/>
        </w:rPr>
        <w:t>De acuerdo con</w:t>
      </w:r>
      <w:r w:rsidR="00635064">
        <w:rPr>
          <w:rFonts w:ascii="Geomanist Light" w:eastAsia="Calibri" w:hAnsi="Geomanist Light" w:cs="Arial"/>
          <w:sz w:val="22"/>
        </w:rPr>
        <w:t xml:space="preserve"> lo </w:t>
      </w:r>
      <w:proofErr w:type="gramStart"/>
      <w:r w:rsidR="00635064">
        <w:rPr>
          <w:rFonts w:ascii="Geomanist Light" w:eastAsia="Calibri" w:hAnsi="Geomanist Light" w:cs="Arial"/>
          <w:sz w:val="22"/>
        </w:rPr>
        <w:t>expuesto</w:t>
      </w:r>
      <w:r w:rsidR="006B4B86">
        <w:rPr>
          <w:rFonts w:ascii="Geomanist Light" w:eastAsia="Calibri" w:hAnsi="Geomanist Light" w:cs="Arial"/>
          <w:sz w:val="22"/>
        </w:rPr>
        <w:t>,</w:t>
      </w:r>
      <w:r>
        <w:rPr>
          <w:rFonts w:ascii="Geomanist Light" w:eastAsia="Calibri" w:hAnsi="Geomanist Light" w:cs="Arial"/>
          <w:sz w:val="22"/>
        </w:rPr>
        <w:t xml:space="preserve"> </w:t>
      </w:r>
      <w:r w:rsidR="00A13D2F">
        <w:rPr>
          <w:rFonts w:ascii="Geomanist Light" w:eastAsia="Calibri" w:hAnsi="Geomanist Light" w:cs="Arial"/>
          <w:sz w:val="22"/>
        </w:rPr>
        <w:t xml:space="preserve"> </w:t>
      </w:r>
      <w:r>
        <w:rPr>
          <w:rFonts w:ascii="Geomanist Light" w:eastAsia="Calibri" w:hAnsi="Geomanist Light" w:cs="Arial"/>
          <w:sz w:val="22"/>
        </w:rPr>
        <w:t>según</w:t>
      </w:r>
      <w:proofErr w:type="gramEnd"/>
      <w:r>
        <w:rPr>
          <w:rFonts w:ascii="Geomanist Light" w:eastAsia="Calibri" w:hAnsi="Geomanist Light" w:cs="Arial"/>
          <w:sz w:val="22"/>
        </w:rPr>
        <w:t xml:space="preserve"> el artículo 5 de la Ley 1150 de 2007, la</w:t>
      </w:r>
      <w:r w:rsidR="00BA1FAA">
        <w:rPr>
          <w:rFonts w:ascii="Geomanist Light" w:eastAsia="Calibri" w:hAnsi="Geomanist Light" w:cs="Arial"/>
          <w:sz w:val="22"/>
        </w:rPr>
        <w:t>s</w:t>
      </w:r>
      <w:r>
        <w:rPr>
          <w:rFonts w:ascii="Geomanist Light" w:eastAsia="Calibri" w:hAnsi="Geomanist Light" w:cs="Arial"/>
          <w:sz w:val="22"/>
        </w:rPr>
        <w:t xml:space="preserve"> </w:t>
      </w:r>
      <w:r w:rsidR="00BA1FAA">
        <w:rPr>
          <w:rFonts w:ascii="Geomanist Light" w:eastAsia="Calibri" w:hAnsi="Geomanist Light" w:cs="Arial"/>
          <w:sz w:val="22"/>
        </w:rPr>
        <w:t xml:space="preserve">condiciones de </w:t>
      </w:r>
      <w:r>
        <w:rPr>
          <w:rFonts w:ascii="Geomanist Light" w:eastAsia="Calibri" w:hAnsi="Geomanist Light" w:cs="Arial"/>
          <w:sz w:val="22"/>
        </w:rPr>
        <w:t xml:space="preserve">experiencia </w:t>
      </w:r>
      <w:r w:rsidR="00BA1FAA">
        <w:rPr>
          <w:rFonts w:ascii="Geomanist Light" w:eastAsia="Calibri" w:hAnsi="Geomanist Light" w:cs="Arial"/>
          <w:sz w:val="22"/>
        </w:rPr>
        <w:t>son</w:t>
      </w:r>
      <w:r>
        <w:rPr>
          <w:rFonts w:ascii="Geomanist Light" w:eastAsia="Calibri" w:hAnsi="Geomanist Light" w:cs="Arial"/>
          <w:sz w:val="22"/>
        </w:rPr>
        <w:t xml:space="preserve"> un requisito habilitante en los procesos de contratación </w:t>
      </w:r>
      <w:r w:rsidR="00434FBB">
        <w:rPr>
          <w:rFonts w:ascii="Geomanist Light" w:eastAsia="Calibri" w:hAnsi="Geomanist Light" w:cs="Arial"/>
          <w:sz w:val="22"/>
        </w:rPr>
        <w:t>pública, al igual que lo son la capacidad jurídica, la capacidad financiera</w:t>
      </w:r>
      <w:r w:rsidR="00236225">
        <w:rPr>
          <w:rFonts w:ascii="Geomanist Light" w:eastAsia="Calibri" w:hAnsi="Geomanist Light" w:cs="Arial"/>
          <w:sz w:val="22"/>
        </w:rPr>
        <w:t xml:space="preserve"> y la capacidad de organización</w:t>
      </w:r>
      <w:r w:rsidR="002E3BBA">
        <w:rPr>
          <w:rFonts w:ascii="Geomanist Light" w:eastAsia="Calibri" w:hAnsi="Geomanist Light" w:cs="Arial"/>
          <w:sz w:val="22"/>
        </w:rPr>
        <w:t xml:space="preserve">. </w:t>
      </w:r>
      <w:r w:rsidR="00843ECC">
        <w:rPr>
          <w:rFonts w:ascii="Geomanist Light" w:eastAsia="Calibri" w:hAnsi="Geomanist Light" w:cs="Arial"/>
          <w:sz w:val="22"/>
        </w:rPr>
        <w:t>Según impone dicha norma, l</w:t>
      </w:r>
      <w:r w:rsidR="00843ECC" w:rsidRPr="00843ECC">
        <w:rPr>
          <w:rFonts w:ascii="Geomanist Light" w:eastAsia="Calibri" w:hAnsi="Geomanist Light" w:cs="Arial"/>
          <w:sz w:val="22"/>
        </w:rPr>
        <w:t xml:space="preserve">a exigencia de tales condiciones </w:t>
      </w:r>
      <w:r w:rsidR="00A32E99">
        <w:rPr>
          <w:rFonts w:ascii="Geomanist Light" w:eastAsia="Calibri" w:hAnsi="Geomanist Light" w:cs="Arial"/>
          <w:sz w:val="22"/>
        </w:rPr>
        <w:t>por parte de las entidades contrata</w:t>
      </w:r>
      <w:r w:rsidR="009C3A89">
        <w:rPr>
          <w:rFonts w:ascii="Geomanist Light" w:eastAsia="Calibri" w:hAnsi="Geomanist Light" w:cs="Arial"/>
          <w:sz w:val="22"/>
        </w:rPr>
        <w:t xml:space="preserve">ntes </w:t>
      </w:r>
      <w:r w:rsidR="00843ECC" w:rsidRPr="00843ECC">
        <w:rPr>
          <w:rFonts w:ascii="Geomanist Light" w:eastAsia="Calibri" w:hAnsi="Geomanist Light" w:cs="Arial"/>
          <w:sz w:val="22"/>
        </w:rPr>
        <w:t xml:space="preserve">debe ser adecuada y proporcional a la naturaleza del contrato a suscribir y a su </w:t>
      </w:r>
      <w:r w:rsidR="00843ECC" w:rsidRPr="00843ECC">
        <w:rPr>
          <w:rFonts w:ascii="Geomanist Light" w:eastAsia="Calibri" w:hAnsi="Geomanist Light" w:cs="Arial"/>
          <w:sz w:val="22"/>
        </w:rPr>
        <w:lastRenderedPageBreak/>
        <w:t>valor.</w:t>
      </w:r>
      <w:r w:rsidR="00BA1FAA">
        <w:rPr>
          <w:rFonts w:ascii="Geomanist Light" w:eastAsia="Calibri" w:hAnsi="Geomanist Light" w:cs="Arial"/>
          <w:sz w:val="22"/>
        </w:rPr>
        <w:t xml:space="preserve"> En concordancia con esto, el artículo </w:t>
      </w:r>
      <w:r w:rsidR="00EF0BF3">
        <w:rPr>
          <w:rFonts w:ascii="Geomanist Light" w:eastAsia="Calibri" w:hAnsi="Geomanist Light" w:cs="Arial"/>
          <w:sz w:val="22"/>
        </w:rPr>
        <w:t>6</w:t>
      </w:r>
      <w:r w:rsidR="009C3A89">
        <w:rPr>
          <w:rFonts w:ascii="Geomanist Light" w:eastAsia="Calibri" w:hAnsi="Geomanist Light" w:cs="Arial"/>
          <w:sz w:val="22"/>
        </w:rPr>
        <w:t xml:space="preserve"> dispone que</w:t>
      </w:r>
      <w:r w:rsidR="00EF0BF3">
        <w:rPr>
          <w:rFonts w:ascii="Geomanist Light" w:eastAsia="Calibri" w:hAnsi="Geomanist Light" w:cs="Arial"/>
          <w:sz w:val="22"/>
        </w:rPr>
        <w:t xml:space="preserve"> l</w:t>
      </w:r>
      <w:r w:rsidR="00EF0BF3" w:rsidRPr="00EF0BF3">
        <w:rPr>
          <w:rFonts w:ascii="Geomanist Light" w:eastAsia="Calibri" w:hAnsi="Geomanist Light" w:cs="Arial"/>
          <w:sz w:val="22"/>
        </w:rPr>
        <w:t>a verificación documental de las condiciones antes señaladas será efectuada por las Cámaras de Comercio</w:t>
      </w:r>
      <w:r w:rsidR="00AD4311">
        <w:rPr>
          <w:rFonts w:ascii="Geomanist Light" w:eastAsia="Calibri" w:hAnsi="Geomanist Light" w:cs="Arial"/>
          <w:sz w:val="22"/>
        </w:rPr>
        <w:t xml:space="preserve">, y demostraran en los procesos de contratación pública, por regla general, a través del RUP. </w:t>
      </w:r>
    </w:p>
    <w:p w14:paraId="32512874" w14:textId="60FDCCF1" w:rsidR="00F6018C" w:rsidRDefault="009C3A89" w:rsidP="00AB693B">
      <w:pPr>
        <w:spacing w:before="120" w:line="276" w:lineRule="auto"/>
        <w:jc w:val="both"/>
        <w:rPr>
          <w:rFonts w:ascii="Geomanist Light" w:eastAsia="Calibri" w:hAnsi="Geomanist Light" w:cs="Arial"/>
          <w:sz w:val="22"/>
        </w:rPr>
      </w:pPr>
      <w:r>
        <w:rPr>
          <w:rFonts w:ascii="Geomanist Light" w:eastAsia="Calibri" w:hAnsi="Geomanist Light" w:cs="Arial"/>
          <w:sz w:val="22"/>
        </w:rPr>
        <w:t xml:space="preserve">En todo caso, </w:t>
      </w:r>
      <w:r w:rsidR="00F6018C">
        <w:rPr>
          <w:rFonts w:ascii="Geomanist Light" w:eastAsia="Calibri" w:hAnsi="Geomanist Light" w:cs="Arial"/>
          <w:sz w:val="22"/>
        </w:rPr>
        <w:t xml:space="preserve">tratándose de la evaluación de requisitos de experiencia que supongan el ejercicio de algunas de las profesiones a las que se refiere el artículo </w:t>
      </w:r>
      <w:r w:rsidR="003524D3">
        <w:rPr>
          <w:rFonts w:ascii="Geomanist Light" w:eastAsia="Calibri" w:hAnsi="Geomanist Light" w:cs="Arial"/>
          <w:sz w:val="22"/>
        </w:rPr>
        <w:t xml:space="preserve">229 del Decreto ley 019 de 2012, la entidad </w:t>
      </w:r>
      <w:r w:rsidR="00F453B6">
        <w:rPr>
          <w:rFonts w:ascii="Geomanist Light" w:eastAsia="Calibri" w:hAnsi="Geomanist Light" w:cs="Arial"/>
          <w:sz w:val="22"/>
        </w:rPr>
        <w:t xml:space="preserve">solo podrá validar como profesional aquella </w:t>
      </w:r>
      <w:r w:rsidR="00355355">
        <w:rPr>
          <w:rFonts w:ascii="Geomanist Light" w:eastAsia="Calibri" w:hAnsi="Geomanist Light" w:cs="Arial"/>
          <w:sz w:val="22"/>
        </w:rPr>
        <w:t xml:space="preserve">efectivamente adquirida y certificada, que haya sido adquirida con posterioridad a la terminación del pensum académico. </w:t>
      </w:r>
      <w:r w:rsidR="000C5A2A">
        <w:rPr>
          <w:rFonts w:ascii="Geomanist Light" w:eastAsia="Calibri" w:hAnsi="Geomanist Light" w:cs="Arial"/>
          <w:sz w:val="22"/>
        </w:rPr>
        <w:t xml:space="preserve">Esto sin perjuicio de lo dispuesto en el artículo 3 de la Ley 2043 de 2020, en virtud de la cual se tiene como experiencia profesional a las practicas laborales, independientemente del momento en que hayan sido adquiridas. </w:t>
      </w:r>
    </w:p>
    <w:p w14:paraId="34C83799" w14:textId="77777777" w:rsidR="00C02705" w:rsidRDefault="00C02705" w:rsidP="00C02705">
      <w:pPr>
        <w:spacing w:line="276" w:lineRule="auto"/>
        <w:ind w:right="49"/>
        <w:jc w:val="both"/>
        <w:rPr>
          <w:rFonts w:ascii="Geomanist Light" w:eastAsia="Calibri" w:hAnsi="Geomanist Light" w:cs="Arial"/>
          <w:sz w:val="22"/>
          <w:lang w:val="es-ES"/>
        </w:rPr>
      </w:pPr>
    </w:p>
    <w:p w14:paraId="46DA01E1" w14:textId="00589319" w:rsidR="00935834" w:rsidRPr="003B7016" w:rsidRDefault="00935834" w:rsidP="00C012F4">
      <w:pPr>
        <w:spacing w:line="276" w:lineRule="auto"/>
        <w:ind w:right="49"/>
        <w:jc w:val="both"/>
        <w:rPr>
          <w:rFonts w:ascii="Geomanist Light" w:eastAsia="Calibri" w:hAnsi="Geomanist Light" w:cs="Arial"/>
          <w:sz w:val="22"/>
          <w:lang w:val="es-ES"/>
        </w:rPr>
      </w:pPr>
      <w:r w:rsidRPr="003B7016">
        <w:rPr>
          <w:rFonts w:ascii="Geomanist Light" w:eastAsia="Calibri" w:hAnsi="Geomanist Light" w:cs="Arial"/>
          <w:sz w:val="22"/>
          <w:lang w:val="es-ES"/>
        </w:rPr>
        <w:t>Este concepto tiene el alcance previsto en el artículo 28 del Código de Procedimiento Administrativo y de lo Contencioso Administrativo.</w:t>
      </w:r>
    </w:p>
    <w:p w14:paraId="3486FFD0" w14:textId="57CB2883" w:rsidR="00935834" w:rsidRPr="003B7016" w:rsidRDefault="00935834" w:rsidP="00935834">
      <w:pPr>
        <w:spacing w:line="276" w:lineRule="auto"/>
        <w:ind w:right="49"/>
        <w:jc w:val="both"/>
        <w:rPr>
          <w:rFonts w:ascii="Geomanist Light" w:eastAsia="Calibri" w:hAnsi="Geomanist Light" w:cs="Arial"/>
          <w:sz w:val="22"/>
          <w:lang w:val="es-ES"/>
        </w:rPr>
      </w:pPr>
    </w:p>
    <w:p w14:paraId="1D3ED71B" w14:textId="7E4F9306" w:rsidR="004B73C0" w:rsidRPr="003B7016" w:rsidRDefault="00935834" w:rsidP="004B73C0">
      <w:pPr>
        <w:spacing w:line="276" w:lineRule="auto"/>
        <w:ind w:right="49"/>
        <w:jc w:val="both"/>
        <w:rPr>
          <w:rFonts w:ascii="Geomanist Light" w:eastAsia="Calibri" w:hAnsi="Geomanist Light" w:cs="Arial"/>
          <w:sz w:val="22"/>
          <w:lang w:val="es-ES"/>
        </w:rPr>
      </w:pPr>
      <w:r w:rsidRPr="003B7016">
        <w:rPr>
          <w:rFonts w:ascii="Geomanist Light" w:eastAsia="Calibri" w:hAnsi="Geomanist Light" w:cs="Arial"/>
          <w:sz w:val="22"/>
          <w:lang w:val="es-ES"/>
        </w:rPr>
        <w:t>Atentamente,</w:t>
      </w:r>
    </w:p>
    <w:p w14:paraId="4D196B3F" w14:textId="21219113" w:rsidR="004B73C0" w:rsidRPr="003B7016" w:rsidRDefault="00230404" w:rsidP="003B7016">
      <w:pPr>
        <w:spacing w:line="276" w:lineRule="auto"/>
        <w:ind w:right="49"/>
        <w:jc w:val="center"/>
        <w:rPr>
          <w:rFonts w:ascii="Geomanist Light" w:eastAsia="Times New Roman" w:hAnsi="Geomanist Light" w:cs="Arial"/>
          <w:sz w:val="18"/>
          <w:szCs w:val="20"/>
          <w:lang w:eastAsia="es-CO"/>
        </w:rPr>
      </w:pPr>
      <w:r>
        <w:rPr>
          <w:noProof/>
        </w:rPr>
        <w:drawing>
          <wp:inline distT="0" distB="0" distL="0" distR="0" wp14:anchorId="1FC75BC6" wp14:editId="3E18748D">
            <wp:extent cx="3124200" cy="1000125"/>
            <wp:effectExtent l="0" t="0" r="0" b="9525"/>
            <wp:docPr id="6" name="Imagen 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 Carta&#10;&#10;Descripción generada automáticamente"/>
                    <pic:cNvPicPr>
                      <a:picLocks noChangeAspect="1"/>
                    </pic:cNvPicPr>
                  </pic:nvPicPr>
                  <pic:blipFill>
                    <a:blip r:embed="rId11"/>
                    <a:stretch>
                      <a:fillRect/>
                    </a:stretch>
                  </pic:blipFill>
                  <pic:spPr>
                    <a:xfrm>
                      <a:off x="0" y="0"/>
                      <a:ext cx="3124200" cy="1000125"/>
                    </a:xfrm>
                    <a:prstGeom prst="rect">
                      <a:avLst/>
                    </a:prstGeom>
                  </pic:spPr>
                </pic:pic>
              </a:graphicData>
            </a:graphic>
          </wp:inline>
        </w:drawing>
      </w:r>
    </w:p>
    <w:p w14:paraId="6334236E" w14:textId="77777777" w:rsidR="004B73C0" w:rsidRPr="003B7016" w:rsidRDefault="004B73C0" w:rsidP="004B73C0">
      <w:pPr>
        <w:spacing w:after="18"/>
        <w:jc w:val="center"/>
        <w:rPr>
          <w:rFonts w:ascii="Geomanist Light" w:eastAsia="Times New Roman" w:hAnsi="Geomanist Light"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B73C0" w:rsidRPr="003B7016" w14:paraId="722D8A8D" w14:textId="77777777" w:rsidTr="00703045">
        <w:trPr>
          <w:trHeight w:val="315"/>
        </w:trPr>
        <w:tc>
          <w:tcPr>
            <w:tcW w:w="812" w:type="dxa"/>
            <w:vAlign w:val="center"/>
            <w:hideMark/>
          </w:tcPr>
          <w:p w14:paraId="6240211B" w14:textId="77777777" w:rsidR="004B73C0" w:rsidRPr="003B7016" w:rsidRDefault="004B73C0" w:rsidP="00703045">
            <w:pPr>
              <w:rPr>
                <w:rFonts w:ascii="Geomanist Light" w:eastAsia="Times New Roman" w:hAnsi="Geomanist Light" w:cs="Arial"/>
                <w:color w:val="000000" w:themeColor="text1"/>
                <w:sz w:val="16"/>
                <w:szCs w:val="16"/>
                <w:lang w:eastAsia="es-ES"/>
              </w:rPr>
            </w:pPr>
            <w:r w:rsidRPr="003B7016">
              <w:rPr>
                <w:rFonts w:ascii="Geomanist Light" w:eastAsia="Times New Roman" w:hAnsi="Geomanist Light"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142E319" w14:textId="4178E354" w:rsidR="004B73C0" w:rsidRPr="003B7016" w:rsidRDefault="005F136F" w:rsidP="00703045">
            <w:pPr>
              <w:rPr>
                <w:rFonts w:ascii="Geomanist Light" w:eastAsia="Times New Roman" w:hAnsi="Geomanist Light" w:cs="Arial"/>
                <w:color w:val="000000" w:themeColor="text1"/>
                <w:sz w:val="16"/>
                <w:szCs w:val="16"/>
                <w:lang w:eastAsia="es-ES"/>
              </w:rPr>
            </w:pPr>
            <w:r w:rsidRPr="003B7016">
              <w:rPr>
                <w:rFonts w:ascii="Geomanist Light" w:eastAsia="Times New Roman" w:hAnsi="Geomanist Light" w:cs="Arial"/>
                <w:color w:val="000000" w:themeColor="text1"/>
                <w:sz w:val="16"/>
                <w:szCs w:val="16"/>
                <w:lang w:eastAsia="es-ES"/>
              </w:rPr>
              <w:t>Martín Rojas Mejía</w:t>
            </w:r>
          </w:p>
          <w:p w14:paraId="0E0F0B34" w14:textId="404B0AC8" w:rsidR="004B73C0" w:rsidRPr="003B7016" w:rsidRDefault="004B73C0" w:rsidP="00703045">
            <w:pPr>
              <w:rPr>
                <w:rFonts w:ascii="Geomanist Light" w:eastAsia="Times New Roman" w:hAnsi="Geomanist Light" w:cs="Arial"/>
                <w:color w:val="000000" w:themeColor="text1"/>
                <w:sz w:val="16"/>
                <w:szCs w:val="16"/>
                <w:lang w:eastAsia="es-ES"/>
              </w:rPr>
            </w:pPr>
            <w:r w:rsidRPr="003B7016">
              <w:rPr>
                <w:rFonts w:ascii="Geomanist Light" w:eastAsia="Times New Roman" w:hAnsi="Geomanist Light" w:cs="Arial"/>
                <w:color w:val="000000" w:themeColor="text1"/>
                <w:sz w:val="16"/>
                <w:szCs w:val="16"/>
                <w:lang w:eastAsia="es-ES"/>
              </w:rPr>
              <w:t>Analista T2-0</w:t>
            </w:r>
            <w:r w:rsidR="005F136F" w:rsidRPr="003B7016">
              <w:rPr>
                <w:rFonts w:ascii="Geomanist Light" w:eastAsia="Times New Roman" w:hAnsi="Geomanist Light" w:cs="Arial"/>
                <w:color w:val="000000" w:themeColor="text1"/>
                <w:sz w:val="16"/>
                <w:szCs w:val="16"/>
                <w:lang w:eastAsia="es-ES"/>
              </w:rPr>
              <w:t>6</w:t>
            </w:r>
            <w:r w:rsidRPr="003B7016">
              <w:rPr>
                <w:rFonts w:ascii="Geomanist Light" w:eastAsia="Times New Roman" w:hAnsi="Geomanist Light" w:cs="Arial"/>
                <w:color w:val="000000" w:themeColor="text1"/>
                <w:sz w:val="16"/>
                <w:szCs w:val="16"/>
                <w:lang w:eastAsia="es-ES"/>
              </w:rPr>
              <w:t xml:space="preserve"> de la Subdirección de Gestión Contractual</w:t>
            </w:r>
          </w:p>
        </w:tc>
      </w:tr>
      <w:tr w:rsidR="004B73C0" w:rsidRPr="003B7016" w14:paraId="3AC95F2A" w14:textId="77777777" w:rsidTr="00703045">
        <w:trPr>
          <w:trHeight w:val="330"/>
        </w:trPr>
        <w:tc>
          <w:tcPr>
            <w:tcW w:w="812" w:type="dxa"/>
            <w:vAlign w:val="center"/>
            <w:hideMark/>
          </w:tcPr>
          <w:p w14:paraId="58293A0F" w14:textId="77777777" w:rsidR="004B73C0" w:rsidRPr="003B7016" w:rsidRDefault="004B73C0" w:rsidP="00703045">
            <w:pPr>
              <w:rPr>
                <w:rFonts w:ascii="Geomanist Light" w:eastAsia="Times New Roman" w:hAnsi="Geomanist Light" w:cs="Arial"/>
                <w:color w:val="000000" w:themeColor="text1"/>
                <w:sz w:val="16"/>
                <w:szCs w:val="16"/>
                <w:lang w:eastAsia="es-ES"/>
              </w:rPr>
            </w:pPr>
            <w:r w:rsidRPr="003B7016">
              <w:rPr>
                <w:rFonts w:ascii="Geomanist Light" w:eastAsia="Times New Roman" w:hAnsi="Geomanist Light"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0A52E96" w14:textId="1BE29252" w:rsidR="004B73C0" w:rsidRPr="003B7016" w:rsidRDefault="005F136F" w:rsidP="00703045">
            <w:pPr>
              <w:jc w:val="both"/>
              <w:rPr>
                <w:rFonts w:ascii="Geomanist Light" w:hAnsi="Geomanist Light" w:cs="Arial"/>
                <w:sz w:val="16"/>
                <w:szCs w:val="16"/>
                <w:lang w:val="es-ES_tradnl" w:eastAsia="es-ES"/>
              </w:rPr>
            </w:pPr>
            <w:r w:rsidRPr="003B7016">
              <w:rPr>
                <w:rFonts w:ascii="Geomanist Light" w:hAnsi="Geomanist Light" w:cs="Arial"/>
                <w:sz w:val="16"/>
                <w:szCs w:val="16"/>
                <w:lang w:val="es-ES_tradnl" w:eastAsia="es-ES"/>
              </w:rPr>
              <w:t>Alejandro Sarmiento</w:t>
            </w:r>
            <w:r w:rsidR="00C02705">
              <w:rPr>
                <w:rFonts w:ascii="Geomanist Light" w:hAnsi="Geomanist Light" w:cs="Arial"/>
                <w:sz w:val="16"/>
                <w:szCs w:val="16"/>
                <w:lang w:val="es-ES_tradnl" w:eastAsia="es-ES"/>
              </w:rPr>
              <w:t xml:space="preserve"> Cantillo</w:t>
            </w:r>
          </w:p>
          <w:p w14:paraId="1BF901DE" w14:textId="6608AB1E" w:rsidR="004B73C0" w:rsidRPr="003B7016" w:rsidRDefault="00894D5B" w:rsidP="00703045">
            <w:pPr>
              <w:rPr>
                <w:rFonts w:ascii="Geomanist Light" w:eastAsia="Times New Roman" w:hAnsi="Geomanist Light" w:cs="Arial"/>
                <w:color w:val="000000" w:themeColor="text1"/>
                <w:sz w:val="16"/>
                <w:szCs w:val="16"/>
                <w:lang w:eastAsia="es-ES"/>
              </w:rPr>
            </w:pPr>
            <w:r w:rsidRPr="003B7016">
              <w:rPr>
                <w:rFonts w:ascii="Geomanist Light" w:hAnsi="Geomanist Light" w:cs="Arial"/>
                <w:sz w:val="16"/>
                <w:szCs w:val="16"/>
                <w:lang w:val="es-ES_tradnl" w:eastAsia="es-ES"/>
              </w:rPr>
              <w:t>Gestor T1-15</w:t>
            </w:r>
            <w:r w:rsidR="004B73C0" w:rsidRPr="003B7016">
              <w:rPr>
                <w:rFonts w:ascii="Geomanist Light" w:hAnsi="Geomanist Light" w:cs="Arial"/>
                <w:sz w:val="16"/>
                <w:szCs w:val="16"/>
                <w:lang w:val="es-ES_tradnl" w:eastAsia="es-ES"/>
              </w:rPr>
              <w:t xml:space="preserve"> de la Subdirección de Gestión Contractual</w:t>
            </w:r>
          </w:p>
        </w:tc>
      </w:tr>
      <w:tr w:rsidR="004B73C0" w:rsidRPr="003B7016" w14:paraId="4C23696B" w14:textId="77777777" w:rsidTr="00703045">
        <w:trPr>
          <w:trHeight w:val="300"/>
        </w:trPr>
        <w:tc>
          <w:tcPr>
            <w:tcW w:w="812" w:type="dxa"/>
            <w:vAlign w:val="center"/>
            <w:hideMark/>
          </w:tcPr>
          <w:p w14:paraId="5A54ACF7" w14:textId="77777777" w:rsidR="004B73C0" w:rsidRPr="003B7016" w:rsidRDefault="004B73C0" w:rsidP="00703045">
            <w:pPr>
              <w:rPr>
                <w:rFonts w:ascii="Geomanist Light" w:eastAsia="Times New Roman" w:hAnsi="Geomanist Light" w:cs="Arial"/>
                <w:color w:val="000000" w:themeColor="text1"/>
                <w:sz w:val="16"/>
                <w:szCs w:val="16"/>
                <w:lang w:eastAsia="es-ES"/>
              </w:rPr>
            </w:pPr>
            <w:r w:rsidRPr="003B7016">
              <w:rPr>
                <w:rFonts w:ascii="Geomanist Light" w:eastAsia="Times New Roman" w:hAnsi="Geomanist Light"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D7C7058" w14:textId="7EB83669" w:rsidR="004B73C0" w:rsidRPr="003B7016" w:rsidRDefault="005F136F" w:rsidP="00703045">
            <w:pPr>
              <w:rPr>
                <w:rFonts w:ascii="Geomanist Light" w:eastAsia="Times New Roman" w:hAnsi="Geomanist Light" w:cs="Arial"/>
                <w:color w:val="000000" w:themeColor="text1"/>
                <w:sz w:val="16"/>
                <w:szCs w:val="16"/>
                <w:lang w:eastAsia="es-ES"/>
              </w:rPr>
            </w:pPr>
            <w:r w:rsidRPr="003B7016">
              <w:rPr>
                <w:rFonts w:ascii="Geomanist Light" w:eastAsia="Times New Roman" w:hAnsi="Geomanist Light" w:cs="Arial"/>
                <w:color w:val="000000" w:themeColor="text1"/>
                <w:sz w:val="16"/>
                <w:szCs w:val="16"/>
                <w:lang w:eastAsia="es-ES"/>
              </w:rPr>
              <w:t>Juan David Marín López</w:t>
            </w:r>
          </w:p>
          <w:p w14:paraId="29EEE066" w14:textId="3E7275BA" w:rsidR="004B73C0" w:rsidRPr="003B7016" w:rsidRDefault="004B73C0" w:rsidP="00703045">
            <w:pPr>
              <w:rPr>
                <w:rFonts w:ascii="Geomanist Light" w:eastAsia="Times New Roman" w:hAnsi="Geomanist Light" w:cs="Arial"/>
                <w:color w:val="000000" w:themeColor="text1"/>
                <w:sz w:val="16"/>
                <w:szCs w:val="16"/>
                <w:lang w:eastAsia="es-ES"/>
              </w:rPr>
            </w:pPr>
            <w:r w:rsidRPr="003B7016">
              <w:rPr>
                <w:rFonts w:ascii="Geomanist Light" w:eastAsia="Times New Roman" w:hAnsi="Geomanist Light" w:cs="Arial"/>
                <w:color w:val="000000" w:themeColor="text1"/>
                <w:sz w:val="16"/>
                <w:szCs w:val="16"/>
                <w:lang w:eastAsia="es-ES"/>
              </w:rPr>
              <w:t>Subdirector de Gestión Contractual ANCP – CCE</w:t>
            </w:r>
            <w:r w:rsidR="005F136F" w:rsidRPr="003B7016">
              <w:rPr>
                <w:rFonts w:ascii="Geomanist Light" w:eastAsia="Times New Roman" w:hAnsi="Geomanist Light" w:cs="Arial"/>
                <w:color w:val="000000" w:themeColor="text1"/>
                <w:sz w:val="16"/>
                <w:szCs w:val="16"/>
                <w:lang w:eastAsia="es-ES"/>
              </w:rPr>
              <w:t xml:space="preserve"> (e)</w:t>
            </w:r>
          </w:p>
        </w:tc>
      </w:tr>
      <w:bookmarkEnd w:id="0"/>
    </w:tbl>
    <w:p w14:paraId="1399DB8F" w14:textId="77777777" w:rsidR="00910CA9" w:rsidRPr="003B7016" w:rsidRDefault="00910CA9">
      <w:pPr>
        <w:rPr>
          <w:rFonts w:ascii="Geomanist Light" w:hAnsi="Geomanist Light"/>
        </w:rPr>
      </w:pPr>
    </w:p>
    <w:sectPr w:rsidR="00910CA9" w:rsidRPr="003B7016" w:rsidSect="00703045">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A5C0" w14:textId="77777777" w:rsidR="0054656C" w:rsidRDefault="0054656C" w:rsidP="00935834">
      <w:r>
        <w:separator/>
      </w:r>
    </w:p>
  </w:endnote>
  <w:endnote w:type="continuationSeparator" w:id="0">
    <w:p w14:paraId="7E55C295" w14:textId="77777777" w:rsidR="0054656C" w:rsidRDefault="0054656C" w:rsidP="0093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Geomanist Light">
    <w:panose1 w:val="02000503000000020004"/>
    <w:charset w:val="00"/>
    <w:family w:val="modern"/>
    <w:notTrueType/>
    <w:pitch w:val="variable"/>
    <w:sig w:usb0="A000002F" w:usb1="1000004A" w:usb2="00000000"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85A5" w14:textId="77777777" w:rsidR="00703045" w:rsidRDefault="00703045" w:rsidP="00703045">
    <w:pPr>
      <w:pStyle w:val="Sinespaciado"/>
      <w:jc w:val="right"/>
      <w:rPr>
        <w:rFonts w:ascii="Arial" w:hAnsi="Arial" w:cs="Arial"/>
        <w:sz w:val="18"/>
        <w:szCs w:val="18"/>
      </w:rPr>
    </w:pPr>
  </w:p>
  <w:p w14:paraId="38E9C456" w14:textId="77777777" w:rsidR="00703045" w:rsidRDefault="00703045" w:rsidP="00703045">
    <w:pPr>
      <w:pStyle w:val="Sinespaciado"/>
      <w:jc w:val="right"/>
      <w:rPr>
        <w:rFonts w:ascii="Arial" w:hAnsi="Arial" w:cs="Arial"/>
        <w:sz w:val="18"/>
        <w:szCs w:val="18"/>
      </w:rPr>
    </w:pPr>
  </w:p>
  <w:p w14:paraId="7B1DF653" w14:textId="77777777" w:rsidR="00703045" w:rsidRDefault="00703045" w:rsidP="00703045">
    <w:pPr>
      <w:pStyle w:val="Sinespaciado"/>
      <w:jc w:val="right"/>
      <w:rPr>
        <w:rFonts w:ascii="Arial" w:hAnsi="Arial" w:cs="Arial"/>
        <w:sz w:val="18"/>
        <w:szCs w:val="18"/>
      </w:rPr>
    </w:pPr>
  </w:p>
  <w:p w14:paraId="477FBB3F" w14:textId="77777777" w:rsidR="00703045" w:rsidRPr="008217B7" w:rsidRDefault="00703045" w:rsidP="0070304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82DC3">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82DC3">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0A3F4BB6" w14:textId="77777777" w:rsidR="00703045" w:rsidRDefault="581F2C72" w:rsidP="00703045">
    <w:pPr>
      <w:pStyle w:val="Piedepgina"/>
      <w:jc w:val="center"/>
      <w:rPr>
        <w:lang w:val="es-ES"/>
      </w:rPr>
    </w:pPr>
    <w:r>
      <w:rPr>
        <w:noProof/>
        <w:lang w:val="es-ES" w:eastAsia="es-ES"/>
      </w:rPr>
      <w:drawing>
        <wp:inline distT="0" distB="0" distL="0" distR="0" wp14:anchorId="39A26D36" wp14:editId="0EAC47B7">
          <wp:extent cx="3700130" cy="519139"/>
          <wp:effectExtent l="0" t="0" r="0" b="0"/>
          <wp:docPr id="11686013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9484734" w14:textId="77777777" w:rsidR="00703045" w:rsidRPr="00120B10" w:rsidRDefault="00703045" w:rsidP="00703045">
    <w:pPr>
      <w:pStyle w:val="Piedepgina"/>
      <w:rPr>
        <w:sz w:val="18"/>
        <w:szCs w:val="18"/>
      </w:rPr>
    </w:pPr>
  </w:p>
  <w:p w14:paraId="24E077AD" w14:textId="77777777" w:rsidR="00703045" w:rsidRPr="00120B10" w:rsidRDefault="00703045" w:rsidP="00703045">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92FE" w14:textId="77777777" w:rsidR="0054656C" w:rsidRDefault="0054656C" w:rsidP="00935834">
      <w:r>
        <w:separator/>
      </w:r>
    </w:p>
  </w:footnote>
  <w:footnote w:type="continuationSeparator" w:id="0">
    <w:p w14:paraId="5B6B658A" w14:textId="77777777" w:rsidR="0054656C" w:rsidRDefault="0054656C" w:rsidP="00935834">
      <w:r>
        <w:continuationSeparator/>
      </w:r>
    </w:p>
  </w:footnote>
  <w:footnote w:id="1">
    <w:p w14:paraId="07D1A699" w14:textId="77777777" w:rsidR="00703045" w:rsidRPr="00C012F4" w:rsidRDefault="00703045" w:rsidP="00EE1798">
      <w:pPr>
        <w:ind w:right="51" w:firstLine="708"/>
        <w:jc w:val="both"/>
        <w:rPr>
          <w:rFonts w:ascii="Geomanist Light" w:eastAsia="Calibri" w:hAnsi="Geomanist Light" w:cs="Arial"/>
          <w:color w:val="000000" w:themeColor="text1"/>
          <w:sz w:val="18"/>
          <w:szCs w:val="18"/>
        </w:rPr>
      </w:pPr>
      <w:r w:rsidRPr="00C012F4">
        <w:rPr>
          <w:rStyle w:val="Refdenotaalpie"/>
          <w:rFonts w:ascii="Geomanist Light" w:hAnsi="Geomanist Light" w:cs="Arial"/>
          <w:color w:val="000000" w:themeColor="text1"/>
          <w:sz w:val="18"/>
          <w:szCs w:val="18"/>
        </w:rPr>
        <w:footnoteRef/>
      </w:r>
      <w:r w:rsidRPr="00C012F4">
        <w:rPr>
          <w:rFonts w:ascii="Geomanist Light" w:hAnsi="Geomanist Light" w:cs="Arial"/>
          <w:color w:val="000000" w:themeColor="text1"/>
          <w:sz w:val="18"/>
          <w:szCs w:val="18"/>
        </w:rPr>
        <w:t xml:space="preserve"> </w:t>
      </w:r>
      <w:r w:rsidRPr="00C012F4">
        <w:rPr>
          <w:rFonts w:ascii="Geomanist Light" w:eastAsia="Calibri" w:hAnsi="Geomanist Light" w:cs="Arial"/>
          <w:color w:val="000000" w:themeColor="text1"/>
          <w:sz w:val="18"/>
          <w:szCs w:val="18"/>
        </w:rPr>
        <w:t>Decreto 019 de 2012: «Artículo 229. Experiencia profesional. Para el ejercicio de las diferentes profesiones acreditadas por el Ministerio de Educación Nacional, la experiencia profesional se computará a partir de la terminación y aprobación del pensum académico de educación superior.</w:t>
      </w:r>
    </w:p>
    <w:p w14:paraId="10F0F79A" w14:textId="77777777" w:rsidR="00703045" w:rsidRPr="00C012F4" w:rsidRDefault="00703045" w:rsidP="00EE1798">
      <w:pPr>
        <w:ind w:right="51" w:firstLine="708"/>
        <w:jc w:val="both"/>
        <w:rPr>
          <w:rFonts w:ascii="Geomanist Light" w:eastAsia="Calibri" w:hAnsi="Geomanist Light" w:cs="Arial"/>
          <w:color w:val="000000" w:themeColor="text1"/>
          <w:sz w:val="18"/>
          <w:szCs w:val="18"/>
        </w:rPr>
      </w:pPr>
      <w:proofErr w:type="gramStart"/>
      <w:r w:rsidRPr="00C012F4">
        <w:rPr>
          <w:rFonts w:ascii="Geomanist Light" w:eastAsia="Calibri" w:hAnsi="Geomanist Light" w:cs="Arial"/>
          <w:color w:val="000000" w:themeColor="text1"/>
          <w:sz w:val="18"/>
          <w:szCs w:val="18"/>
        </w:rPr>
        <w:t>»Se</w:t>
      </w:r>
      <w:proofErr w:type="gramEnd"/>
      <w:r w:rsidRPr="00C012F4">
        <w:rPr>
          <w:rFonts w:ascii="Geomanist Light" w:eastAsia="Calibri" w:hAnsi="Geomanist Light" w:cs="Arial"/>
          <w:color w:val="000000" w:themeColor="text1"/>
          <w:sz w:val="18"/>
          <w:szCs w:val="18"/>
        </w:rPr>
        <w:t xml:space="preserve"> exceptúan de esta condición las profesiones relacionadas con el sistema de seguridad social en salud en las cuales la experiencia profesional se computará a partir de la inscripción o registro profesional».</w:t>
      </w:r>
    </w:p>
    <w:p w14:paraId="07579562" w14:textId="77777777" w:rsidR="00703045" w:rsidRPr="00C012F4" w:rsidRDefault="00703045" w:rsidP="00EE1798">
      <w:pPr>
        <w:pStyle w:val="Textonotapie"/>
        <w:ind w:firstLine="708"/>
        <w:jc w:val="both"/>
        <w:rPr>
          <w:rFonts w:ascii="Geomanist Light" w:hAnsi="Geomanist Light" w:cs="Arial"/>
          <w:color w:val="000000" w:themeColor="text1"/>
          <w:sz w:val="18"/>
          <w:szCs w:val="18"/>
          <w:lang w:val="es-CO"/>
        </w:rPr>
      </w:pPr>
    </w:p>
  </w:footnote>
  <w:footnote w:id="2">
    <w:p w14:paraId="460A7A30" w14:textId="77777777" w:rsidR="00703045" w:rsidRPr="00C012F4" w:rsidRDefault="00703045" w:rsidP="00EE1798">
      <w:pPr>
        <w:ind w:firstLine="709"/>
        <w:jc w:val="both"/>
        <w:rPr>
          <w:rFonts w:ascii="Geomanist Light" w:eastAsia="Calibri" w:hAnsi="Geomanist Light" w:cs="Arial"/>
          <w:color w:val="000000" w:themeColor="text1"/>
          <w:sz w:val="18"/>
          <w:szCs w:val="18"/>
        </w:rPr>
      </w:pPr>
      <w:r w:rsidRPr="00C012F4">
        <w:rPr>
          <w:rStyle w:val="Refdenotaalpie"/>
          <w:rFonts w:ascii="Geomanist Light" w:hAnsi="Geomanist Light" w:cs="Arial"/>
          <w:color w:val="000000" w:themeColor="text1"/>
          <w:sz w:val="18"/>
          <w:szCs w:val="18"/>
        </w:rPr>
        <w:footnoteRef/>
      </w:r>
      <w:r w:rsidRPr="00C012F4">
        <w:rPr>
          <w:rFonts w:ascii="Geomanist Light" w:hAnsi="Geomanist Light" w:cs="Arial"/>
          <w:color w:val="000000" w:themeColor="text1"/>
          <w:sz w:val="18"/>
          <w:szCs w:val="18"/>
        </w:rPr>
        <w:t xml:space="preserve"> </w:t>
      </w:r>
      <w:r w:rsidRPr="00C012F4">
        <w:rPr>
          <w:rFonts w:ascii="Geomanist Light" w:eastAsia="Calibri" w:hAnsi="Geomanist Light" w:cs="Arial"/>
          <w:color w:val="000000" w:themeColor="text1"/>
          <w:sz w:val="18"/>
          <w:szCs w:val="18"/>
        </w:rPr>
        <w:t>Ley 1780 de 2016: «Artículo 15. Naturaleza, definición y reglamentación de la práctica laboral. la práctica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 y su tipo de formación; para el cumplimiento de un requisito para culminar sus estudios u obtener un título que lo acreditará para el desempeño laboral.</w:t>
      </w:r>
    </w:p>
    <w:p w14:paraId="04B4153B" w14:textId="5E14187F" w:rsidR="00703045" w:rsidRPr="00C012F4" w:rsidRDefault="00703045" w:rsidP="00C012F4">
      <w:pPr>
        <w:ind w:firstLine="709"/>
        <w:jc w:val="both"/>
        <w:rPr>
          <w:rFonts w:ascii="Geomanist Light" w:hAnsi="Geomanist Light" w:cs="Arial"/>
          <w:color w:val="000000" w:themeColor="text1"/>
          <w:sz w:val="18"/>
          <w:szCs w:val="18"/>
          <w:lang w:val="es-CO"/>
        </w:rPr>
      </w:pPr>
      <w:proofErr w:type="gramStart"/>
      <w:r w:rsidRPr="00C012F4">
        <w:rPr>
          <w:rFonts w:ascii="Geomanist Light" w:eastAsia="Calibri" w:hAnsi="Geomanist Light" w:cs="Arial"/>
          <w:color w:val="000000" w:themeColor="text1"/>
          <w:sz w:val="18"/>
          <w:szCs w:val="18"/>
        </w:rPr>
        <w:t>»Por</w:t>
      </w:r>
      <w:proofErr w:type="gramEnd"/>
      <w:r w:rsidRPr="00C012F4">
        <w:rPr>
          <w:rFonts w:ascii="Geomanist Light" w:eastAsia="Calibri" w:hAnsi="Geomanist Light" w:cs="Arial"/>
          <w:color w:val="000000" w:themeColor="text1"/>
          <w:sz w:val="18"/>
          <w:szCs w:val="18"/>
        </w:rPr>
        <w:t xml:space="preserve"> tratarse de una actividad formativa, la práctica laboral no constituye relación de trabajo».</w:t>
      </w:r>
    </w:p>
  </w:footnote>
  <w:footnote w:id="3">
    <w:p w14:paraId="0B9F2252" w14:textId="77777777" w:rsidR="00703045" w:rsidRPr="00C012F4" w:rsidRDefault="00703045" w:rsidP="00EE1798">
      <w:pPr>
        <w:pStyle w:val="NormalWeb"/>
        <w:spacing w:before="0" w:beforeAutospacing="0" w:after="0" w:afterAutospacing="0"/>
        <w:ind w:firstLine="709"/>
        <w:jc w:val="both"/>
        <w:rPr>
          <w:rFonts w:ascii="Geomanist Light" w:hAnsi="Geomanist Light" w:cs="Arial"/>
          <w:color w:val="000000" w:themeColor="text1"/>
          <w:sz w:val="18"/>
          <w:szCs w:val="18"/>
        </w:rPr>
      </w:pPr>
      <w:r w:rsidRPr="00C012F4">
        <w:rPr>
          <w:rStyle w:val="Refdenotaalpie"/>
          <w:rFonts w:ascii="Geomanist Light" w:hAnsi="Geomanist Light" w:cs="Arial"/>
          <w:color w:val="000000" w:themeColor="text1"/>
          <w:sz w:val="18"/>
          <w:szCs w:val="18"/>
        </w:rPr>
        <w:footnoteRef/>
      </w:r>
      <w:bookmarkStart w:id="4" w:name="192"/>
      <w:r w:rsidRPr="00C012F4">
        <w:rPr>
          <w:rFonts w:ascii="Geomanist Light" w:hAnsi="Geomanist Light" w:cs="Arial"/>
          <w:bCs/>
          <w:color w:val="000000" w:themeColor="text1"/>
          <w:sz w:val="18"/>
          <w:szCs w:val="18"/>
        </w:rPr>
        <w:t xml:space="preserve"> «Artículo 192. Prácticas Laborales.</w:t>
      </w:r>
      <w:bookmarkEnd w:id="4"/>
      <w:r w:rsidRPr="00C012F4">
        <w:rPr>
          <w:rFonts w:ascii="Calibri" w:hAnsi="Calibri" w:cs="Calibri"/>
          <w:color w:val="000000" w:themeColor="text1"/>
          <w:sz w:val="18"/>
          <w:szCs w:val="18"/>
        </w:rPr>
        <w:t> </w:t>
      </w:r>
      <w:r w:rsidRPr="00C012F4">
        <w:rPr>
          <w:rFonts w:ascii="Geomanist Light" w:hAnsi="Geomanist Light" w:cs="Arial"/>
          <w:color w:val="000000" w:themeColor="text1"/>
          <w:sz w:val="18"/>
          <w:szCs w:val="18"/>
        </w:rPr>
        <w:t>Adem</w:t>
      </w:r>
      <w:r w:rsidRPr="00C012F4">
        <w:rPr>
          <w:rFonts w:ascii="Geomanist Light" w:hAnsi="Geomanist Light" w:cs="Geomanist Light"/>
          <w:color w:val="000000" w:themeColor="text1"/>
          <w:sz w:val="18"/>
          <w:szCs w:val="18"/>
        </w:rPr>
        <w:t>á</w:t>
      </w:r>
      <w:r w:rsidRPr="00C012F4">
        <w:rPr>
          <w:rFonts w:ascii="Geomanist Light" w:hAnsi="Geomanist Light" w:cs="Arial"/>
          <w:color w:val="000000" w:themeColor="text1"/>
          <w:sz w:val="18"/>
          <w:szCs w:val="18"/>
        </w:rPr>
        <w:t>s de lo previsto en el art</w:t>
      </w:r>
      <w:r w:rsidRPr="00C012F4">
        <w:rPr>
          <w:rFonts w:ascii="Geomanist Light" w:hAnsi="Geomanist Light" w:cs="Geomanist Light"/>
          <w:color w:val="000000" w:themeColor="text1"/>
          <w:sz w:val="18"/>
          <w:szCs w:val="18"/>
        </w:rPr>
        <w:t>í</w:t>
      </w:r>
      <w:r w:rsidRPr="00C012F4">
        <w:rPr>
          <w:rFonts w:ascii="Geomanist Light" w:hAnsi="Geomanist Light" w:cs="Arial"/>
          <w:color w:val="000000" w:themeColor="text1"/>
          <w:sz w:val="18"/>
          <w:szCs w:val="18"/>
        </w:rPr>
        <w:t>culo 15</w:t>
      </w:r>
      <w:r w:rsidRPr="00C012F4">
        <w:rPr>
          <w:rFonts w:ascii="Calibri" w:hAnsi="Calibri" w:cs="Calibri"/>
          <w:color w:val="000000" w:themeColor="text1"/>
          <w:sz w:val="18"/>
          <w:szCs w:val="18"/>
        </w:rPr>
        <w:t> </w:t>
      </w:r>
      <w:r w:rsidRPr="00C012F4">
        <w:rPr>
          <w:rFonts w:ascii="Geomanist Light" w:hAnsi="Geomanist Light" w:cs="Arial"/>
          <w:color w:val="000000" w:themeColor="text1"/>
          <w:sz w:val="18"/>
          <w:szCs w:val="18"/>
        </w:rPr>
        <w:t>de la Ley 1780 de 2016, las pr</w:t>
      </w:r>
      <w:r w:rsidRPr="00C012F4">
        <w:rPr>
          <w:rFonts w:ascii="Geomanist Light" w:hAnsi="Geomanist Light" w:cs="Geomanist Light"/>
          <w:color w:val="000000" w:themeColor="text1"/>
          <w:sz w:val="18"/>
          <w:szCs w:val="18"/>
        </w:rPr>
        <w:t>á</w:t>
      </w:r>
      <w:r w:rsidRPr="00C012F4">
        <w:rPr>
          <w:rFonts w:ascii="Geomanist Light" w:hAnsi="Geomanist Light" w:cs="Arial"/>
          <w:color w:val="000000" w:themeColor="text1"/>
          <w:sz w:val="18"/>
          <w:szCs w:val="18"/>
        </w:rPr>
        <w:t>cticas laborales podr</w:t>
      </w:r>
      <w:r w:rsidRPr="00C012F4">
        <w:rPr>
          <w:rFonts w:ascii="Geomanist Light" w:hAnsi="Geomanist Light" w:cs="Geomanist Light"/>
          <w:color w:val="000000" w:themeColor="text1"/>
          <w:sz w:val="18"/>
          <w:szCs w:val="18"/>
        </w:rPr>
        <w:t>á</w:t>
      </w:r>
      <w:r w:rsidRPr="00C012F4">
        <w:rPr>
          <w:rFonts w:ascii="Geomanist Light" w:hAnsi="Geomanist Light" w:cs="Arial"/>
          <w:color w:val="000000" w:themeColor="text1"/>
          <w:sz w:val="18"/>
          <w:szCs w:val="18"/>
        </w:rPr>
        <w:t>n desarrollarse por estudiantes de educaci</w:t>
      </w:r>
      <w:r w:rsidRPr="00C012F4">
        <w:rPr>
          <w:rFonts w:ascii="Geomanist Light" w:hAnsi="Geomanist Light" w:cs="Geomanist Light"/>
          <w:color w:val="000000" w:themeColor="text1"/>
          <w:sz w:val="18"/>
          <w:szCs w:val="18"/>
        </w:rPr>
        <w:t>ó</w:t>
      </w:r>
      <w:r w:rsidRPr="00C012F4">
        <w:rPr>
          <w:rFonts w:ascii="Geomanist Light" w:hAnsi="Geomanist Light" w:cs="Arial"/>
          <w:color w:val="000000" w:themeColor="text1"/>
          <w:sz w:val="18"/>
          <w:szCs w:val="18"/>
        </w:rPr>
        <w:t>n superior de posgrado, de educaci</w:t>
      </w:r>
      <w:r w:rsidRPr="00C012F4">
        <w:rPr>
          <w:rFonts w:ascii="Geomanist Light" w:hAnsi="Geomanist Light" w:cs="Geomanist Light"/>
          <w:color w:val="000000" w:themeColor="text1"/>
          <w:sz w:val="18"/>
          <w:szCs w:val="18"/>
        </w:rPr>
        <w:t>ó</w:t>
      </w:r>
      <w:r w:rsidRPr="00C012F4">
        <w:rPr>
          <w:rFonts w:ascii="Geomanist Light" w:hAnsi="Geomanist Light" w:cs="Arial"/>
          <w:color w:val="000000" w:themeColor="text1"/>
          <w:sz w:val="18"/>
          <w:szCs w:val="18"/>
        </w:rPr>
        <w:t>n para el trabajo y desarrollo humano, de formaci</w:t>
      </w:r>
      <w:r w:rsidRPr="00C012F4">
        <w:rPr>
          <w:rFonts w:ascii="Geomanist Light" w:hAnsi="Geomanist Light" w:cs="Geomanist Light"/>
          <w:color w:val="000000" w:themeColor="text1"/>
          <w:sz w:val="18"/>
          <w:szCs w:val="18"/>
        </w:rPr>
        <w:t>ó</w:t>
      </w:r>
      <w:r w:rsidRPr="00C012F4">
        <w:rPr>
          <w:rFonts w:ascii="Geomanist Light" w:hAnsi="Geomanist Light" w:cs="Arial"/>
          <w:color w:val="000000" w:themeColor="text1"/>
          <w:sz w:val="18"/>
          <w:szCs w:val="18"/>
        </w:rPr>
        <w:t xml:space="preserve">n profesional integral del SENA, así como de toda la oferta de formación por competencias. </w:t>
      </w:r>
    </w:p>
    <w:p w14:paraId="72F46BDE" w14:textId="77777777" w:rsidR="00703045" w:rsidRPr="00C012F4" w:rsidRDefault="00703045" w:rsidP="00EE1798">
      <w:pPr>
        <w:pStyle w:val="NormalWeb"/>
        <w:spacing w:before="0" w:beforeAutospacing="0" w:after="0" w:afterAutospacing="0"/>
        <w:ind w:firstLine="709"/>
        <w:jc w:val="both"/>
        <w:rPr>
          <w:rFonts w:ascii="Geomanist Light" w:hAnsi="Geomanist Light" w:cs="Arial"/>
          <w:color w:val="000000" w:themeColor="text1"/>
          <w:sz w:val="18"/>
          <w:szCs w:val="18"/>
        </w:rPr>
      </w:pPr>
      <w:proofErr w:type="gramStart"/>
      <w:r w:rsidRPr="00C012F4">
        <w:rPr>
          <w:rStyle w:val="baj"/>
          <w:rFonts w:ascii="Geomanist Light" w:hAnsi="Geomanist Light" w:cs="Arial"/>
          <w:bCs/>
          <w:color w:val="000000" w:themeColor="text1"/>
          <w:sz w:val="18"/>
          <w:szCs w:val="18"/>
        </w:rPr>
        <w:t>»Parágrafo</w:t>
      </w:r>
      <w:proofErr w:type="gramEnd"/>
      <w:r w:rsidRPr="00C012F4">
        <w:rPr>
          <w:rStyle w:val="baj"/>
          <w:rFonts w:ascii="Geomanist Light" w:hAnsi="Geomanist Light" w:cs="Arial"/>
          <w:bCs/>
          <w:color w:val="000000" w:themeColor="text1"/>
          <w:sz w:val="18"/>
          <w:szCs w:val="18"/>
        </w:rPr>
        <w:t xml:space="preserve"> 1o.</w:t>
      </w:r>
      <w:r w:rsidRPr="00C012F4">
        <w:rPr>
          <w:rFonts w:ascii="Calibri" w:hAnsi="Calibri" w:cs="Calibri"/>
          <w:color w:val="000000" w:themeColor="text1"/>
          <w:sz w:val="18"/>
          <w:szCs w:val="18"/>
        </w:rPr>
        <w:t> </w:t>
      </w:r>
      <w:r w:rsidRPr="00C012F4">
        <w:rPr>
          <w:rFonts w:ascii="Geomanist Light" w:hAnsi="Geomanist Light" w:cs="Arial"/>
          <w:color w:val="000000" w:themeColor="text1"/>
          <w:sz w:val="18"/>
          <w:szCs w:val="18"/>
        </w:rPr>
        <w:t>El tiempo de la pr</w:t>
      </w:r>
      <w:r w:rsidRPr="00C012F4">
        <w:rPr>
          <w:rFonts w:ascii="Geomanist Light" w:hAnsi="Geomanist Light" w:cs="Geomanist Light"/>
          <w:color w:val="000000" w:themeColor="text1"/>
          <w:sz w:val="18"/>
          <w:szCs w:val="18"/>
        </w:rPr>
        <w:t>á</w:t>
      </w:r>
      <w:r w:rsidRPr="00C012F4">
        <w:rPr>
          <w:rFonts w:ascii="Geomanist Light" w:hAnsi="Geomanist Light" w:cs="Arial"/>
          <w:color w:val="000000" w:themeColor="text1"/>
          <w:sz w:val="18"/>
          <w:szCs w:val="18"/>
        </w:rPr>
        <w:t>ctica laboral que el estudiante realice para optar a su t</w:t>
      </w:r>
      <w:r w:rsidRPr="00C012F4">
        <w:rPr>
          <w:rFonts w:ascii="Geomanist Light" w:hAnsi="Geomanist Light" w:cs="Geomanist Light"/>
          <w:color w:val="000000" w:themeColor="text1"/>
          <w:sz w:val="18"/>
          <w:szCs w:val="18"/>
        </w:rPr>
        <w:t>í</w:t>
      </w:r>
      <w:r w:rsidRPr="00C012F4">
        <w:rPr>
          <w:rFonts w:ascii="Geomanist Light" w:hAnsi="Geomanist Light" w:cs="Arial"/>
          <w:color w:val="000000" w:themeColor="text1"/>
          <w:sz w:val="18"/>
          <w:szCs w:val="18"/>
        </w:rPr>
        <w:t>tulo de profesional, tecnol</w:t>
      </w:r>
      <w:r w:rsidRPr="00C012F4">
        <w:rPr>
          <w:rFonts w:ascii="Geomanist Light" w:hAnsi="Geomanist Light" w:cs="Geomanist Light"/>
          <w:color w:val="000000" w:themeColor="text1"/>
          <w:sz w:val="18"/>
          <w:szCs w:val="18"/>
        </w:rPr>
        <w:t>ó</w:t>
      </w:r>
      <w:r w:rsidRPr="00C012F4">
        <w:rPr>
          <w:rFonts w:ascii="Geomanist Light" w:hAnsi="Geomanist Light" w:cs="Arial"/>
          <w:color w:val="000000" w:themeColor="text1"/>
          <w:sz w:val="18"/>
          <w:szCs w:val="18"/>
        </w:rPr>
        <w:t>gico o t</w:t>
      </w:r>
      <w:r w:rsidRPr="00C012F4">
        <w:rPr>
          <w:rFonts w:ascii="Geomanist Light" w:hAnsi="Geomanist Light" w:cs="Geomanist Light"/>
          <w:color w:val="000000" w:themeColor="text1"/>
          <w:sz w:val="18"/>
          <w:szCs w:val="18"/>
        </w:rPr>
        <w:t>é</w:t>
      </w:r>
      <w:r w:rsidRPr="00C012F4">
        <w:rPr>
          <w:rFonts w:ascii="Geomanist Light" w:hAnsi="Geomanist Light" w:cs="Arial"/>
          <w:color w:val="000000" w:themeColor="text1"/>
          <w:sz w:val="18"/>
          <w:szCs w:val="18"/>
        </w:rPr>
        <w:t>cnico cuenta como experiencia laboral, sin perjuicio de las disposiciones vigentes en la materia.</w:t>
      </w:r>
    </w:p>
    <w:p w14:paraId="25DB19D0" w14:textId="77777777" w:rsidR="00703045" w:rsidRPr="00C012F4" w:rsidRDefault="00703045" w:rsidP="00EE1798">
      <w:pPr>
        <w:pStyle w:val="NormalWeb"/>
        <w:spacing w:before="0" w:beforeAutospacing="0" w:after="0" w:afterAutospacing="0"/>
        <w:ind w:firstLine="709"/>
        <w:jc w:val="both"/>
        <w:rPr>
          <w:rFonts w:ascii="Geomanist Light" w:hAnsi="Geomanist Light" w:cs="Arial"/>
          <w:color w:val="000000" w:themeColor="text1"/>
          <w:sz w:val="18"/>
          <w:szCs w:val="18"/>
        </w:rPr>
      </w:pPr>
      <w:proofErr w:type="gramStart"/>
      <w:r w:rsidRPr="00C012F4">
        <w:rPr>
          <w:rFonts w:ascii="Geomanist Light" w:hAnsi="Geomanist Light" w:cs="Arial"/>
          <w:color w:val="000000" w:themeColor="text1"/>
          <w:sz w:val="18"/>
          <w:szCs w:val="18"/>
        </w:rPr>
        <w:t>»</w:t>
      </w:r>
      <w:r w:rsidRPr="00C012F4">
        <w:rPr>
          <w:rStyle w:val="baj"/>
          <w:rFonts w:ascii="Geomanist Light" w:hAnsi="Geomanist Light" w:cs="Arial"/>
          <w:bCs/>
          <w:color w:val="000000" w:themeColor="text1"/>
          <w:sz w:val="18"/>
          <w:szCs w:val="18"/>
        </w:rPr>
        <w:t>Parágrafo</w:t>
      </w:r>
      <w:proofErr w:type="gramEnd"/>
      <w:r w:rsidRPr="00C012F4">
        <w:rPr>
          <w:rStyle w:val="baj"/>
          <w:rFonts w:ascii="Geomanist Light" w:hAnsi="Geomanist Light" w:cs="Arial"/>
          <w:bCs/>
          <w:color w:val="000000" w:themeColor="text1"/>
          <w:sz w:val="18"/>
          <w:szCs w:val="18"/>
        </w:rPr>
        <w:t xml:space="preserve"> 2o.</w:t>
      </w:r>
      <w:r w:rsidRPr="00C012F4">
        <w:rPr>
          <w:rFonts w:ascii="Calibri" w:hAnsi="Calibri" w:cs="Calibri"/>
          <w:color w:val="000000" w:themeColor="text1"/>
          <w:sz w:val="18"/>
          <w:szCs w:val="18"/>
        </w:rPr>
        <w:t> </w:t>
      </w:r>
      <w:r w:rsidRPr="00C012F4">
        <w:rPr>
          <w:rFonts w:ascii="Geomanist Light" w:hAnsi="Geomanist Light" w:cs="Arial"/>
          <w:color w:val="000000" w:themeColor="text1"/>
          <w:sz w:val="18"/>
          <w:szCs w:val="18"/>
        </w:rPr>
        <w:t>Las pr</w:t>
      </w:r>
      <w:r w:rsidRPr="00C012F4">
        <w:rPr>
          <w:rFonts w:ascii="Geomanist Light" w:hAnsi="Geomanist Light" w:cs="Geomanist Light"/>
          <w:color w:val="000000" w:themeColor="text1"/>
          <w:sz w:val="18"/>
          <w:szCs w:val="18"/>
        </w:rPr>
        <w:t>á</w:t>
      </w:r>
      <w:r w:rsidRPr="00C012F4">
        <w:rPr>
          <w:rFonts w:ascii="Geomanist Light" w:hAnsi="Geomanist Light" w:cs="Arial"/>
          <w:color w:val="000000" w:themeColor="text1"/>
          <w:sz w:val="18"/>
          <w:szCs w:val="18"/>
        </w:rPr>
        <w:t xml:space="preserve">cticas laborales realizadas durante los veinticuatro (24) meses anteriores a la </w:t>
      </w:r>
      <w:proofErr w:type="gramStart"/>
      <w:r w:rsidRPr="00C012F4">
        <w:rPr>
          <w:rFonts w:ascii="Geomanist Light" w:hAnsi="Geomanist Light" w:cs="Arial"/>
          <w:color w:val="000000" w:themeColor="text1"/>
          <w:sz w:val="18"/>
          <w:szCs w:val="18"/>
        </w:rPr>
        <w:t>entrada en vigencia</w:t>
      </w:r>
      <w:proofErr w:type="gramEnd"/>
      <w:r w:rsidRPr="00C012F4">
        <w:rPr>
          <w:rFonts w:ascii="Geomanist Light" w:hAnsi="Geomanist Light" w:cs="Arial"/>
          <w:color w:val="000000" w:themeColor="text1"/>
          <w:sz w:val="18"/>
          <w:szCs w:val="18"/>
        </w:rPr>
        <w:t xml:space="preserve"> de la presente Ley, ser</w:t>
      </w:r>
      <w:r w:rsidRPr="00C012F4">
        <w:rPr>
          <w:rFonts w:ascii="Geomanist Light" w:hAnsi="Geomanist Light" w:cs="Geomanist Light"/>
          <w:color w:val="000000" w:themeColor="text1"/>
          <w:sz w:val="18"/>
          <w:szCs w:val="18"/>
        </w:rPr>
        <w:t>á</w:t>
      </w:r>
      <w:r w:rsidRPr="00C012F4">
        <w:rPr>
          <w:rFonts w:ascii="Geomanist Light" w:hAnsi="Geomanist Light" w:cs="Arial"/>
          <w:color w:val="000000" w:themeColor="text1"/>
          <w:sz w:val="18"/>
          <w:szCs w:val="18"/>
        </w:rPr>
        <w:t xml:space="preserve">n tenidas en cuenta al momento de contabilizar el tiempo de experiencia laboral. </w:t>
      </w:r>
    </w:p>
    <w:p w14:paraId="617A0545" w14:textId="77777777" w:rsidR="00703045" w:rsidRPr="00C012F4" w:rsidRDefault="00703045" w:rsidP="00EE1798">
      <w:pPr>
        <w:pStyle w:val="NormalWeb"/>
        <w:spacing w:before="0" w:beforeAutospacing="0" w:after="0" w:afterAutospacing="0"/>
        <w:ind w:firstLine="709"/>
        <w:jc w:val="both"/>
        <w:rPr>
          <w:rFonts w:ascii="Geomanist Light" w:hAnsi="Geomanist Light" w:cs="Arial"/>
          <w:color w:val="000000" w:themeColor="text1"/>
          <w:sz w:val="18"/>
          <w:szCs w:val="18"/>
        </w:rPr>
      </w:pPr>
      <w:proofErr w:type="gramStart"/>
      <w:r w:rsidRPr="00C012F4">
        <w:rPr>
          <w:rStyle w:val="baj"/>
          <w:rFonts w:ascii="Geomanist Light" w:hAnsi="Geomanist Light" w:cs="Arial"/>
          <w:bCs/>
          <w:color w:val="000000" w:themeColor="text1"/>
          <w:sz w:val="18"/>
          <w:szCs w:val="18"/>
        </w:rPr>
        <w:t>»Parágrafo</w:t>
      </w:r>
      <w:proofErr w:type="gramEnd"/>
      <w:r w:rsidRPr="00C012F4">
        <w:rPr>
          <w:rStyle w:val="baj"/>
          <w:rFonts w:ascii="Geomanist Light" w:hAnsi="Geomanist Light" w:cs="Arial"/>
          <w:bCs/>
          <w:color w:val="000000" w:themeColor="text1"/>
          <w:sz w:val="18"/>
          <w:szCs w:val="18"/>
        </w:rPr>
        <w:t xml:space="preserve"> 3o.</w:t>
      </w:r>
      <w:r w:rsidRPr="00C012F4">
        <w:rPr>
          <w:rFonts w:ascii="Calibri" w:hAnsi="Calibri" w:cs="Calibri"/>
          <w:color w:val="000000" w:themeColor="text1"/>
          <w:sz w:val="18"/>
          <w:szCs w:val="18"/>
        </w:rPr>
        <w:t> </w:t>
      </w:r>
      <w:r w:rsidRPr="00C012F4">
        <w:rPr>
          <w:rFonts w:ascii="Geomanist Light" w:hAnsi="Geomanist Light" w:cs="Arial"/>
          <w:color w:val="000000" w:themeColor="text1"/>
          <w:sz w:val="18"/>
          <w:szCs w:val="18"/>
        </w:rPr>
        <w:t>Se except</w:t>
      </w:r>
      <w:r w:rsidRPr="00C012F4">
        <w:rPr>
          <w:rFonts w:ascii="Geomanist Light" w:hAnsi="Geomanist Light" w:cs="Geomanist Light"/>
          <w:color w:val="000000" w:themeColor="text1"/>
          <w:sz w:val="18"/>
          <w:szCs w:val="18"/>
        </w:rPr>
        <w:t>ú</w:t>
      </w:r>
      <w:r w:rsidRPr="00C012F4">
        <w:rPr>
          <w:rFonts w:ascii="Geomanist Light" w:hAnsi="Geomanist Light" w:cs="Arial"/>
          <w:color w:val="000000" w:themeColor="text1"/>
          <w:sz w:val="18"/>
          <w:szCs w:val="18"/>
        </w:rPr>
        <w:t>an de lo dispuesto en el presente art</w:t>
      </w:r>
      <w:r w:rsidRPr="00C012F4">
        <w:rPr>
          <w:rFonts w:ascii="Geomanist Light" w:hAnsi="Geomanist Light" w:cs="Geomanist Light"/>
          <w:color w:val="000000" w:themeColor="text1"/>
          <w:sz w:val="18"/>
          <w:szCs w:val="18"/>
        </w:rPr>
        <w:t>í</w:t>
      </w:r>
      <w:r w:rsidRPr="00C012F4">
        <w:rPr>
          <w:rFonts w:ascii="Geomanist Light" w:hAnsi="Geomanist Light" w:cs="Arial"/>
          <w:color w:val="000000" w:themeColor="text1"/>
          <w:sz w:val="18"/>
          <w:szCs w:val="18"/>
        </w:rPr>
        <w:t>culo, los estudiantes de posgrado del sector salud.</w:t>
      </w:r>
    </w:p>
    <w:p w14:paraId="21291790" w14:textId="77777777" w:rsidR="00703045" w:rsidRPr="00C012F4" w:rsidRDefault="00703045" w:rsidP="00EE1798">
      <w:pPr>
        <w:pStyle w:val="NormalWeb"/>
        <w:spacing w:before="0" w:beforeAutospacing="0" w:after="0" w:afterAutospacing="0"/>
        <w:ind w:firstLine="709"/>
        <w:jc w:val="both"/>
        <w:rPr>
          <w:rFonts w:ascii="Geomanist Light" w:hAnsi="Geomanist Light" w:cs="Arial"/>
          <w:color w:val="000000" w:themeColor="text1"/>
          <w:sz w:val="18"/>
          <w:szCs w:val="18"/>
        </w:rPr>
      </w:pPr>
      <w:proofErr w:type="gramStart"/>
      <w:r w:rsidRPr="00C012F4">
        <w:rPr>
          <w:rFonts w:ascii="Geomanist Light" w:hAnsi="Geomanist Light" w:cs="Arial"/>
          <w:color w:val="000000" w:themeColor="text1"/>
          <w:sz w:val="18"/>
          <w:szCs w:val="18"/>
        </w:rPr>
        <w:t>»</w:t>
      </w:r>
      <w:r w:rsidRPr="00C012F4">
        <w:rPr>
          <w:rStyle w:val="baj"/>
          <w:rFonts w:ascii="Geomanist Light" w:hAnsi="Geomanist Light" w:cs="Arial"/>
          <w:bCs/>
          <w:color w:val="000000" w:themeColor="text1"/>
          <w:sz w:val="18"/>
          <w:szCs w:val="18"/>
        </w:rPr>
        <w:t>Parágrafo</w:t>
      </w:r>
      <w:proofErr w:type="gramEnd"/>
      <w:r w:rsidRPr="00C012F4">
        <w:rPr>
          <w:rStyle w:val="baj"/>
          <w:rFonts w:ascii="Geomanist Light" w:hAnsi="Geomanist Light" w:cs="Arial"/>
          <w:bCs/>
          <w:color w:val="000000" w:themeColor="text1"/>
          <w:sz w:val="18"/>
          <w:szCs w:val="18"/>
        </w:rPr>
        <w:t xml:space="preserve"> 4o</w:t>
      </w:r>
      <w:r w:rsidRPr="00C012F4">
        <w:rPr>
          <w:rStyle w:val="baj"/>
          <w:rFonts w:ascii="Geomanist Light" w:hAnsi="Geomanist Light" w:cs="Arial"/>
          <w:b/>
          <w:bCs/>
          <w:color w:val="000000" w:themeColor="text1"/>
          <w:sz w:val="18"/>
          <w:szCs w:val="18"/>
        </w:rPr>
        <w:t>.</w:t>
      </w:r>
      <w:r w:rsidRPr="00C012F4">
        <w:rPr>
          <w:rFonts w:ascii="Calibri" w:hAnsi="Calibri" w:cs="Calibri"/>
          <w:color w:val="000000" w:themeColor="text1"/>
          <w:sz w:val="18"/>
          <w:szCs w:val="18"/>
        </w:rPr>
        <w:t> </w:t>
      </w:r>
      <w:r w:rsidRPr="00C012F4">
        <w:rPr>
          <w:rFonts w:ascii="Geomanist Light" w:hAnsi="Geomanist Light" w:cs="Arial"/>
          <w:color w:val="000000" w:themeColor="text1"/>
          <w:sz w:val="18"/>
          <w:szCs w:val="18"/>
        </w:rPr>
        <w:t>En el sector p</w:t>
      </w:r>
      <w:r w:rsidRPr="00C012F4">
        <w:rPr>
          <w:rFonts w:ascii="Geomanist Light" w:hAnsi="Geomanist Light" w:cs="Geomanist Light"/>
          <w:color w:val="000000" w:themeColor="text1"/>
          <w:sz w:val="18"/>
          <w:szCs w:val="18"/>
        </w:rPr>
        <w:t>ú</w:t>
      </w:r>
      <w:r w:rsidRPr="00C012F4">
        <w:rPr>
          <w:rFonts w:ascii="Geomanist Light" w:hAnsi="Geomanist Light" w:cs="Arial"/>
          <w:color w:val="000000" w:themeColor="text1"/>
          <w:sz w:val="18"/>
          <w:szCs w:val="18"/>
        </w:rPr>
        <w:t>blico se generar</w:t>
      </w:r>
      <w:r w:rsidRPr="00C012F4">
        <w:rPr>
          <w:rFonts w:ascii="Geomanist Light" w:hAnsi="Geomanist Light" w:cs="Geomanist Light"/>
          <w:color w:val="000000" w:themeColor="text1"/>
          <w:sz w:val="18"/>
          <w:szCs w:val="18"/>
        </w:rPr>
        <w:t>á</w:t>
      </w:r>
      <w:r w:rsidRPr="00C012F4">
        <w:rPr>
          <w:rFonts w:ascii="Geomanist Light" w:hAnsi="Geomanist Light" w:cs="Arial"/>
          <w:color w:val="000000" w:themeColor="text1"/>
          <w:sz w:val="18"/>
          <w:szCs w:val="18"/>
        </w:rPr>
        <w:t>n oportunidades de pr</w:t>
      </w:r>
      <w:r w:rsidRPr="00C012F4">
        <w:rPr>
          <w:rFonts w:ascii="Geomanist Light" w:hAnsi="Geomanist Light" w:cs="Geomanist Light"/>
          <w:color w:val="000000" w:themeColor="text1"/>
          <w:sz w:val="18"/>
          <w:szCs w:val="18"/>
        </w:rPr>
        <w:t>á</w:t>
      </w:r>
      <w:r w:rsidRPr="00C012F4">
        <w:rPr>
          <w:rFonts w:ascii="Geomanist Light" w:hAnsi="Geomanist Light" w:cs="Arial"/>
          <w:color w:val="000000" w:themeColor="text1"/>
          <w:sz w:val="18"/>
          <w:szCs w:val="18"/>
        </w:rPr>
        <w:t>cticas laborales para estudiantes de administraci</w:t>
      </w:r>
      <w:r w:rsidRPr="00C012F4">
        <w:rPr>
          <w:rFonts w:ascii="Geomanist Light" w:hAnsi="Geomanist Light" w:cs="Geomanist Light"/>
          <w:color w:val="000000" w:themeColor="text1"/>
          <w:sz w:val="18"/>
          <w:szCs w:val="18"/>
        </w:rPr>
        <w:t>ó</w:t>
      </w:r>
      <w:r w:rsidRPr="00C012F4">
        <w:rPr>
          <w:rFonts w:ascii="Geomanist Light" w:hAnsi="Geomanist Light" w:cs="Arial"/>
          <w:color w:val="000000" w:themeColor="text1"/>
          <w:sz w:val="18"/>
          <w:szCs w:val="18"/>
        </w:rPr>
        <w:t>n p</w:t>
      </w:r>
      <w:r w:rsidRPr="00C012F4">
        <w:rPr>
          <w:rFonts w:ascii="Geomanist Light" w:hAnsi="Geomanist Light" w:cs="Geomanist Light"/>
          <w:color w:val="000000" w:themeColor="text1"/>
          <w:sz w:val="18"/>
          <w:szCs w:val="18"/>
        </w:rPr>
        <w:t>ú</w:t>
      </w:r>
      <w:r w:rsidRPr="00C012F4">
        <w:rPr>
          <w:rFonts w:ascii="Geomanist Light" w:hAnsi="Geomanist Light" w:cs="Arial"/>
          <w:color w:val="000000" w:themeColor="text1"/>
          <w:sz w:val="18"/>
          <w:szCs w:val="18"/>
        </w:rPr>
        <w:t>blica</w:t>
      </w:r>
      <w:r w:rsidRPr="00C012F4">
        <w:rPr>
          <w:rFonts w:ascii="Geomanist Light" w:hAnsi="Geomanist Light" w:cs="Geomanist Light"/>
          <w:color w:val="000000" w:themeColor="text1"/>
          <w:sz w:val="18"/>
          <w:szCs w:val="18"/>
        </w:rPr>
        <w:t>»</w:t>
      </w:r>
      <w:r w:rsidRPr="00C012F4">
        <w:rPr>
          <w:rFonts w:ascii="Geomanist Light" w:hAnsi="Geomanist Light" w:cs="Arial"/>
          <w:color w:val="000000" w:themeColor="text1"/>
          <w:sz w:val="18"/>
          <w:szCs w:val="18"/>
        </w:rPr>
        <w:t>.</w:t>
      </w:r>
    </w:p>
    <w:p w14:paraId="4079AD94" w14:textId="77777777" w:rsidR="00703045" w:rsidRPr="00C012F4" w:rsidRDefault="00703045" w:rsidP="00EE1798">
      <w:pPr>
        <w:pStyle w:val="Textonotapie"/>
        <w:ind w:firstLine="709"/>
        <w:jc w:val="both"/>
        <w:rPr>
          <w:rFonts w:ascii="Geomanist Light" w:hAnsi="Geomanist Light" w:cs="Arial"/>
          <w:color w:val="000000" w:themeColor="text1"/>
          <w:sz w:val="18"/>
          <w:szCs w:val="18"/>
          <w:lang w:val="es-CO"/>
        </w:rPr>
      </w:pPr>
      <w:r w:rsidRPr="00C012F4">
        <w:rPr>
          <w:rFonts w:ascii="Geomanist Light" w:hAnsi="Geomanist Light" w:cs="Arial"/>
          <w:color w:val="000000" w:themeColor="text1"/>
          <w:sz w:val="18"/>
          <w:szCs w:val="18"/>
        </w:rPr>
        <w:t xml:space="preserve"> </w:t>
      </w:r>
    </w:p>
  </w:footnote>
  <w:footnote w:id="4">
    <w:p w14:paraId="1704DE6F" w14:textId="77777777" w:rsidR="00703045" w:rsidRPr="00C012F4" w:rsidRDefault="00703045" w:rsidP="00EE1798">
      <w:pPr>
        <w:pStyle w:val="Textonotapie"/>
        <w:ind w:firstLine="708"/>
        <w:jc w:val="both"/>
        <w:rPr>
          <w:rFonts w:ascii="Geomanist Light" w:hAnsi="Geomanist Light" w:cs="Arial"/>
          <w:sz w:val="18"/>
          <w:szCs w:val="18"/>
        </w:rPr>
      </w:pPr>
      <w:r w:rsidRPr="00C012F4">
        <w:rPr>
          <w:rStyle w:val="Refdenotaalpie"/>
          <w:rFonts w:ascii="Geomanist Light" w:hAnsi="Geomanist Light" w:cs="Arial"/>
          <w:sz w:val="18"/>
          <w:szCs w:val="18"/>
        </w:rPr>
        <w:footnoteRef/>
      </w:r>
      <w:r w:rsidRPr="00C012F4">
        <w:rPr>
          <w:rFonts w:ascii="Geomanist Light" w:hAnsi="Geomanist Light" w:cs="Arial"/>
          <w:sz w:val="18"/>
          <w:szCs w:val="18"/>
        </w:rPr>
        <w:t xml:space="preserve"> En ese sentido, ver CORTE CONSTITUCIONAL. Sentencia C-619 del 14 de junio de 2001. M.P. Marco Gerardo </w:t>
      </w:r>
      <w:proofErr w:type="spellStart"/>
      <w:r w:rsidRPr="00C012F4">
        <w:rPr>
          <w:rFonts w:ascii="Geomanist Light" w:hAnsi="Geomanist Light" w:cs="Arial"/>
          <w:sz w:val="18"/>
          <w:szCs w:val="18"/>
        </w:rPr>
        <w:t>Monry</w:t>
      </w:r>
      <w:proofErr w:type="spellEnd"/>
      <w:r w:rsidRPr="00C012F4">
        <w:rPr>
          <w:rFonts w:ascii="Geomanist Light" w:hAnsi="Geomanist Light" w:cs="Arial"/>
          <w:sz w:val="18"/>
          <w:szCs w:val="18"/>
        </w:rPr>
        <w:t xml:space="preserve"> Cabra. </w:t>
      </w:r>
    </w:p>
    <w:p w14:paraId="30D60FBB" w14:textId="77777777" w:rsidR="00703045" w:rsidRPr="00C012F4" w:rsidRDefault="00703045" w:rsidP="00EE1798">
      <w:pPr>
        <w:pStyle w:val="Textonotapie"/>
        <w:ind w:firstLine="708"/>
        <w:jc w:val="both"/>
        <w:rPr>
          <w:rFonts w:ascii="Geomanist Light" w:hAnsi="Geomanist Light" w:cs="Arial"/>
          <w:sz w:val="18"/>
          <w:szCs w:val="18"/>
        </w:rPr>
      </w:pPr>
    </w:p>
  </w:footnote>
  <w:footnote w:id="5">
    <w:p w14:paraId="1F2656BF" w14:textId="77777777" w:rsidR="00703045" w:rsidRPr="00C012F4" w:rsidRDefault="00703045" w:rsidP="00EE1798">
      <w:pPr>
        <w:pStyle w:val="Textonotapie"/>
        <w:ind w:firstLine="709"/>
        <w:jc w:val="both"/>
        <w:rPr>
          <w:rFonts w:ascii="Geomanist Light" w:hAnsi="Geomanist Light" w:cs="Arial"/>
          <w:color w:val="000000" w:themeColor="text1"/>
          <w:sz w:val="18"/>
          <w:szCs w:val="18"/>
          <w:lang w:val="es-CO"/>
        </w:rPr>
      </w:pPr>
      <w:r w:rsidRPr="00C012F4">
        <w:rPr>
          <w:rStyle w:val="Refdenotaalpie"/>
          <w:rFonts w:ascii="Geomanist Light" w:hAnsi="Geomanist Light" w:cs="Arial"/>
          <w:color w:val="000000" w:themeColor="text1"/>
          <w:sz w:val="18"/>
          <w:szCs w:val="18"/>
        </w:rPr>
        <w:footnoteRef/>
      </w:r>
      <w:r w:rsidRPr="00C012F4">
        <w:rPr>
          <w:rFonts w:ascii="Geomanist Light" w:eastAsia="Calibri" w:hAnsi="Geomanist Light" w:cs="Arial"/>
          <w:color w:val="000000" w:themeColor="text1"/>
          <w:sz w:val="18"/>
          <w:szCs w:val="18"/>
        </w:rPr>
        <w:t xml:space="preserve"> Corte Constitucional. Sentencia C-688 del 10 de septiembre de 2014. M.P. Luis Guillermo Guerrero Pérez</w:t>
      </w:r>
      <w:r w:rsidRPr="00C012F4">
        <w:rPr>
          <w:rFonts w:ascii="Geomanist Light" w:hAnsi="Geomanist Light" w:cs="Arial"/>
          <w:color w:val="000000" w:themeColor="text1"/>
          <w:sz w:val="18"/>
          <w:szCs w:val="18"/>
        </w:rPr>
        <w:t xml:space="preserve"> </w:t>
      </w:r>
    </w:p>
  </w:footnote>
  <w:footnote w:id="6">
    <w:p w14:paraId="12962438" w14:textId="77777777" w:rsidR="00703045" w:rsidRPr="00C012F4" w:rsidRDefault="00703045" w:rsidP="00EE1798">
      <w:pPr>
        <w:pStyle w:val="Textonotapie"/>
        <w:ind w:firstLine="709"/>
        <w:jc w:val="both"/>
        <w:rPr>
          <w:rFonts w:ascii="Geomanist Light" w:hAnsi="Geomanist Light" w:cs="Arial"/>
          <w:sz w:val="18"/>
          <w:szCs w:val="18"/>
          <w:lang w:val="es-ES"/>
        </w:rPr>
      </w:pPr>
      <w:r w:rsidRPr="00C012F4">
        <w:rPr>
          <w:rStyle w:val="Refdenotaalpie"/>
          <w:rFonts w:ascii="Geomanist Light" w:hAnsi="Geomanist Light" w:cs="Arial"/>
          <w:sz w:val="18"/>
          <w:szCs w:val="18"/>
        </w:rPr>
        <w:footnoteRef/>
      </w:r>
      <w:r w:rsidRPr="00C012F4">
        <w:rPr>
          <w:rFonts w:ascii="Geomanist Light" w:hAnsi="Geomanist Light" w:cs="Arial"/>
          <w:sz w:val="18"/>
          <w:szCs w:val="18"/>
        </w:rPr>
        <w:t xml:space="preserve"> </w:t>
      </w:r>
      <w:r w:rsidRPr="00C012F4">
        <w:rPr>
          <w:rFonts w:ascii="Geomanist Light" w:hAnsi="Geomanist Light" w:cs="Arial"/>
          <w:sz w:val="18"/>
          <w:szCs w:val="18"/>
          <w:lang w:val="es-ES"/>
        </w:rPr>
        <w:t xml:space="preserve">La nueva definición legal de práctica profesional es la siguiente: </w:t>
      </w:r>
    </w:p>
    <w:p w14:paraId="24F822E8" w14:textId="77777777" w:rsidR="00703045" w:rsidRPr="00C012F4" w:rsidRDefault="00703045" w:rsidP="00EE1798">
      <w:pPr>
        <w:pStyle w:val="Textonotapie"/>
        <w:ind w:firstLine="709"/>
        <w:jc w:val="both"/>
        <w:rPr>
          <w:rFonts w:ascii="Geomanist Light" w:hAnsi="Geomanist Light" w:cs="Arial"/>
          <w:sz w:val="18"/>
          <w:szCs w:val="18"/>
          <w:lang w:val="es-ES"/>
        </w:rPr>
      </w:pPr>
    </w:p>
    <w:p w14:paraId="5E5FD859" w14:textId="77777777" w:rsidR="00703045" w:rsidRPr="00C012F4" w:rsidRDefault="00703045" w:rsidP="00EE1798">
      <w:pPr>
        <w:pStyle w:val="Textonotapie"/>
        <w:ind w:firstLine="709"/>
        <w:jc w:val="both"/>
        <w:rPr>
          <w:rFonts w:ascii="Geomanist Light" w:hAnsi="Geomanist Light" w:cs="Arial"/>
          <w:sz w:val="18"/>
          <w:szCs w:val="18"/>
        </w:rPr>
      </w:pPr>
      <w:r w:rsidRPr="00C012F4">
        <w:rPr>
          <w:rFonts w:ascii="Geomanist Light" w:hAnsi="Geomanist Light" w:cs="Arial"/>
          <w:sz w:val="18"/>
          <w:szCs w:val="18"/>
        </w:rPr>
        <w:t>«Artículo 3°. Definiciones</w:t>
      </w:r>
      <w:r w:rsidRPr="00C012F4">
        <w:rPr>
          <w:rFonts w:ascii="Geomanist Light" w:hAnsi="Geomanist Light" w:cs="Arial"/>
          <w:sz w:val="18"/>
          <w:szCs w:val="18"/>
          <w:lang w:val="es-ES"/>
        </w:rPr>
        <w:t xml:space="preserve">. </w:t>
      </w:r>
      <w:r w:rsidRPr="00C012F4">
        <w:rPr>
          <w:rFonts w:ascii="Geomanist Light" w:hAnsi="Geomanist Light" w:cs="Arial"/>
          <w:sz w:val="18"/>
          <w:szCs w:val="18"/>
        </w:rPr>
        <w:t>Para los efecto</w:t>
      </w:r>
      <w:r w:rsidRPr="00C012F4">
        <w:rPr>
          <w:rFonts w:ascii="Geomanist Light" w:hAnsi="Geomanist Light" w:cs="Arial"/>
          <w:sz w:val="18"/>
          <w:szCs w:val="18"/>
          <w:lang w:val="es-ES"/>
        </w:rPr>
        <w:t>s</w:t>
      </w:r>
      <w:r w:rsidRPr="00C012F4">
        <w:rPr>
          <w:rFonts w:ascii="Geomanist Light" w:hAnsi="Geomanist Light" w:cs="Arial"/>
          <w:sz w:val="18"/>
          <w:szCs w:val="18"/>
        </w:rPr>
        <w:t xml:space="preserve"> de la presente ley </w:t>
      </w:r>
      <w:r w:rsidRPr="00C012F4">
        <w:rPr>
          <w:rFonts w:ascii="Geomanist Light" w:hAnsi="Geomanist Light" w:cs="Arial"/>
          <w:sz w:val="18"/>
          <w:szCs w:val="18"/>
          <w:lang w:val="es-ES"/>
        </w:rPr>
        <w:t>entiéndase</w:t>
      </w:r>
      <w:r w:rsidRPr="00C012F4">
        <w:rPr>
          <w:rFonts w:ascii="Geomanist Light" w:hAnsi="Geomanist Light" w:cs="Arial"/>
          <w:sz w:val="18"/>
          <w:szCs w:val="18"/>
        </w:rPr>
        <w:t xml:space="preserve"> como práctica laboral todas aquellas actividades formativas desarrolladas por un estudiante de cualquier programa de pregrado en las modalidades de formación profesional, tecnológica o técnica profesional, en el cual aplica y desarrolla actitudes, habilidades y competencias necesarias para desempeñarse en el entorno laboral sobre los asuntos relacionados con el </w:t>
      </w:r>
      <w:proofErr w:type="spellStart"/>
      <w:r w:rsidRPr="00C012F4">
        <w:rPr>
          <w:rFonts w:ascii="Geomanist Light" w:hAnsi="Geomanist Light" w:cs="Arial"/>
          <w:sz w:val="18"/>
          <w:szCs w:val="18"/>
        </w:rPr>
        <w:t>program</w:t>
      </w:r>
      <w:proofErr w:type="spellEnd"/>
      <w:r w:rsidRPr="00C012F4">
        <w:rPr>
          <w:rFonts w:ascii="Geomanist Light" w:hAnsi="Geomanist Light" w:cs="Arial"/>
          <w:sz w:val="18"/>
          <w:szCs w:val="18"/>
          <w:lang w:val="es-ES"/>
        </w:rPr>
        <w:t>a</w:t>
      </w:r>
      <w:r w:rsidRPr="00C012F4">
        <w:rPr>
          <w:rFonts w:ascii="Geomanist Light" w:hAnsi="Geomanist Light" w:cs="Arial"/>
          <w:sz w:val="18"/>
          <w:szCs w:val="18"/>
        </w:rPr>
        <w:t xml:space="preserve"> académico o plan de estudios que cursa y que sirve como opción para culminar el proceso educativo y obtener: un título que lo acreditará para el </w:t>
      </w:r>
      <w:proofErr w:type="spellStart"/>
      <w:r w:rsidRPr="00C012F4">
        <w:rPr>
          <w:rFonts w:ascii="Geomanist Light" w:hAnsi="Geomanist Light" w:cs="Arial"/>
          <w:sz w:val="18"/>
          <w:szCs w:val="18"/>
        </w:rPr>
        <w:t>desempeñ</w:t>
      </w:r>
      <w:proofErr w:type="spellEnd"/>
      <w:r w:rsidRPr="00C012F4">
        <w:rPr>
          <w:rFonts w:ascii="Geomanist Light" w:hAnsi="Geomanist Light" w:cs="Arial"/>
          <w:sz w:val="18"/>
          <w:szCs w:val="18"/>
          <w:lang w:val="es-ES"/>
        </w:rPr>
        <w:t>o l</w:t>
      </w:r>
      <w:r w:rsidRPr="00C012F4">
        <w:rPr>
          <w:rFonts w:ascii="Geomanist Light" w:hAnsi="Geomanist Light" w:cs="Arial"/>
          <w:sz w:val="18"/>
          <w:szCs w:val="18"/>
        </w:rPr>
        <w:t xml:space="preserve">aboral. </w:t>
      </w:r>
    </w:p>
    <w:p w14:paraId="1DFBC5C5" w14:textId="77777777" w:rsidR="00703045" w:rsidRPr="00C012F4" w:rsidRDefault="00703045" w:rsidP="00EE1798">
      <w:pPr>
        <w:pStyle w:val="Textonotapie"/>
        <w:ind w:firstLine="709"/>
        <w:jc w:val="both"/>
        <w:rPr>
          <w:rFonts w:ascii="Geomanist Light" w:hAnsi="Geomanist Light" w:cs="Arial"/>
          <w:sz w:val="18"/>
          <w:szCs w:val="18"/>
        </w:rPr>
      </w:pPr>
      <w:proofErr w:type="gramStart"/>
      <w:r w:rsidRPr="00C012F4">
        <w:rPr>
          <w:rFonts w:ascii="Geomanist Light" w:hAnsi="Geomanist Light" w:cs="Arial"/>
          <w:sz w:val="18"/>
          <w:szCs w:val="18"/>
        </w:rPr>
        <w:t>»Parágrafo</w:t>
      </w:r>
      <w:proofErr w:type="gramEnd"/>
      <w:r w:rsidRPr="00C012F4">
        <w:rPr>
          <w:rFonts w:ascii="Geomanist Light" w:hAnsi="Geomanist Light" w:cs="Arial"/>
          <w:sz w:val="18"/>
          <w:szCs w:val="18"/>
        </w:rPr>
        <w:t xml:space="preserve"> </w:t>
      </w:r>
      <w:r w:rsidRPr="00C012F4">
        <w:rPr>
          <w:rFonts w:ascii="Geomanist Light" w:hAnsi="Geomanist Light" w:cs="Arial"/>
          <w:sz w:val="18"/>
          <w:szCs w:val="18"/>
          <w:lang w:val="es-ES"/>
        </w:rPr>
        <w:t xml:space="preserve">1º </w:t>
      </w:r>
      <w:r w:rsidRPr="00C012F4">
        <w:rPr>
          <w:rFonts w:ascii="Geomanist Light" w:hAnsi="Geomanist Light" w:cs="Arial"/>
          <w:sz w:val="18"/>
          <w:szCs w:val="18"/>
        </w:rPr>
        <w:t xml:space="preserve">Se considerarán como prácticas laborales para efectos de la presente ley las siguientes: </w:t>
      </w:r>
    </w:p>
    <w:p w14:paraId="5EDEDE92" w14:textId="77777777" w:rsidR="00703045" w:rsidRPr="00C012F4" w:rsidRDefault="00703045" w:rsidP="00EE1798">
      <w:pPr>
        <w:pStyle w:val="Textonotapie"/>
        <w:ind w:firstLine="709"/>
        <w:jc w:val="both"/>
        <w:rPr>
          <w:rFonts w:ascii="Geomanist Light" w:hAnsi="Geomanist Light" w:cs="Arial"/>
          <w:sz w:val="18"/>
          <w:szCs w:val="18"/>
        </w:rPr>
      </w:pPr>
      <w:r w:rsidRPr="00C012F4">
        <w:rPr>
          <w:rFonts w:ascii="Geomanist Light" w:hAnsi="Geomanist Light" w:cs="Arial"/>
          <w:sz w:val="18"/>
          <w:szCs w:val="18"/>
        </w:rPr>
        <w:t xml:space="preserve">»1. Práctica laboral en estricto sentido. </w:t>
      </w:r>
    </w:p>
    <w:p w14:paraId="270D763C" w14:textId="77777777" w:rsidR="00703045" w:rsidRPr="00C012F4" w:rsidRDefault="00703045" w:rsidP="00EE1798">
      <w:pPr>
        <w:pStyle w:val="Textonotapie"/>
        <w:ind w:firstLine="709"/>
        <w:jc w:val="both"/>
        <w:rPr>
          <w:rFonts w:ascii="Geomanist Light" w:hAnsi="Geomanist Light" w:cs="Arial"/>
          <w:sz w:val="18"/>
          <w:szCs w:val="18"/>
        </w:rPr>
      </w:pPr>
      <w:r w:rsidRPr="00C012F4">
        <w:rPr>
          <w:rFonts w:ascii="Geomanist Light" w:hAnsi="Geomanist Light" w:cs="Arial"/>
          <w:sz w:val="18"/>
          <w:szCs w:val="18"/>
        </w:rPr>
        <w:t xml:space="preserve">»2. Contratos de aprendizaje. </w:t>
      </w:r>
    </w:p>
    <w:p w14:paraId="4A7DA48D" w14:textId="77777777" w:rsidR="00703045" w:rsidRPr="00C012F4" w:rsidRDefault="00703045" w:rsidP="00EE1798">
      <w:pPr>
        <w:pStyle w:val="Textonotapie"/>
        <w:ind w:firstLine="709"/>
        <w:jc w:val="both"/>
        <w:rPr>
          <w:rFonts w:ascii="Geomanist Light" w:hAnsi="Geomanist Light" w:cs="Arial"/>
          <w:sz w:val="18"/>
          <w:szCs w:val="18"/>
        </w:rPr>
      </w:pPr>
      <w:r w:rsidRPr="00C012F4">
        <w:rPr>
          <w:rFonts w:ascii="Geomanist Light" w:hAnsi="Geomanist Light" w:cs="Arial"/>
          <w:sz w:val="18"/>
          <w:szCs w:val="18"/>
        </w:rPr>
        <w:t xml:space="preserve">»3. Judicatura. </w:t>
      </w:r>
    </w:p>
    <w:p w14:paraId="511E9D5F" w14:textId="77777777" w:rsidR="00703045" w:rsidRPr="00C012F4" w:rsidRDefault="00703045" w:rsidP="00EE1798">
      <w:pPr>
        <w:pStyle w:val="Textonotapie"/>
        <w:ind w:firstLine="720"/>
        <w:jc w:val="both"/>
        <w:rPr>
          <w:rFonts w:ascii="Geomanist Light" w:hAnsi="Geomanist Light" w:cs="Arial"/>
          <w:sz w:val="18"/>
          <w:szCs w:val="18"/>
        </w:rPr>
      </w:pPr>
      <w:r w:rsidRPr="00C012F4">
        <w:rPr>
          <w:rFonts w:ascii="Geomanist Light" w:hAnsi="Geomanist Light" w:cs="Arial"/>
          <w:sz w:val="18"/>
          <w:szCs w:val="18"/>
        </w:rPr>
        <w:t xml:space="preserve">»4. Relación docencia de servicio del sector </w:t>
      </w:r>
      <w:proofErr w:type="gramStart"/>
      <w:r w:rsidRPr="00C012F4">
        <w:rPr>
          <w:rFonts w:ascii="Geomanist Light" w:hAnsi="Geomanist Light" w:cs="Arial"/>
          <w:sz w:val="18"/>
          <w:szCs w:val="18"/>
        </w:rPr>
        <w:t>salud .</w:t>
      </w:r>
      <w:proofErr w:type="gramEnd"/>
      <w:r w:rsidRPr="00C012F4">
        <w:rPr>
          <w:rFonts w:ascii="Geomanist Light" w:hAnsi="Geomanist Light" w:cs="Arial"/>
          <w:sz w:val="18"/>
          <w:szCs w:val="18"/>
        </w:rPr>
        <w:t xml:space="preserve"> </w:t>
      </w:r>
    </w:p>
    <w:p w14:paraId="1E8831C9" w14:textId="77777777" w:rsidR="00703045" w:rsidRPr="00C012F4" w:rsidRDefault="00703045" w:rsidP="00EE1798">
      <w:pPr>
        <w:pStyle w:val="Textonotapie"/>
        <w:ind w:firstLine="720"/>
        <w:jc w:val="both"/>
        <w:rPr>
          <w:rFonts w:ascii="Geomanist Light" w:hAnsi="Geomanist Light" w:cs="Arial"/>
          <w:sz w:val="18"/>
          <w:szCs w:val="18"/>
        </w:rPr>
      </w:pPr>
      <w:r w:rsidRPr="00C012F4">
        <w:rPr>
          <w:rFonts w:ascii="Geomanist Light" w:hAnsi="Geomanist Light" w:cs="Arial"/>
          <w:sz w:val="18"/>
          <w:szCs w:val="18"/>
        </w:rPr>
        <w:t xml:space="preserve">»5. Pasantía. </w:t>
      </w:r>
    </w:p>
    <w:p w14:paraId="69EAB18D" w14:textId="77777777" w:rsidR="00703045" w:rsidRPr="00C012F4" w:rsidRDefault="00703045" w:rsidP="00EE1798">
      <w:pPr>
        <w:pStyle w:val="Textonotapie"/>
        <w:ind w:firstLine="720"/>
        <w:jc w:val="both"/>
        <w:rPr>
          <w:rFonts w:ascii="Geomanist Light" w:hAnsi="Geomanist Light" w:cs="Arial"/>
          <w:sz w:val="18"/>
          <w:szCs w:val="18"/>
        </w:rPr>
      </w:pPr>
      <w:r w:rsidRPr="00C012F4">
        <w:rPr>
          <w:rFonts w:ascii="Geomanist Light" w:hAnsi="Geomanist Light" w:cs="Arial"/>
          <w:sz w:val="18"/>
          <w:szCs w:val="18"/>
        </w:rPr>
        <w:t>»6. Las demás que reúnan las características contemplada</w:t>
      </w:r>
      <w:r w:rsidRPr="00C012F4">
        <w:rPr>
          <w:rFonts w:ascii="Geomanist Light" w:hAnsi="Geomanist Light" w:cs="Arial"/>
          <w:sz w:val="18"/>
          <w:szCs w:val="18"/>
          <w:lang w:val="es-ES"/>
        </w:rPr>
        <w:t>s</w:t>
      </w:r>
      <w:r w:rsidRPr="00C012F4">
        <w:rPr>
          <w:rFonts w:ascii="Geomanist Light" w:hAnsi="Geomanist Light" w:cs="Arial"/>
          <w:sz w:val="18"/>
          <w:szCs w:val="18"/>
        </w:rPr>
        <w:t xml:space="preserve"> en el inciso primero del presente artículo. </w:t>
      </w:r>
    </w:p>
    <w:p w14:paraId="6BAA5DA4" w14:textId="77777777" w:rsidR="00703045" w:rsidRPr="00C012F4" w:rsidRDefault="00703045" w:rsidP="00EE1798">
      <w:pPr>
        <w:pStyle w:val="Textonotapie"/>
        <w:ind w:firstLine="709"/>
        <w:jc w:val="both"/>
        <w:rPr>
          <w:rFonts w:ascii="Geomanist Light" w:hAnsi="Geomanist Light" w:cs="Arial"/>
          <w:sz w:val="18"/>
          <w:szCs w:val="18"/>
          <w:lang w:val="es-ES"/>
        </w:rPr>
      </w:pPr>
      <w:proofErr w:type="gramStart"/>
      <w:r w:rsidRPr="00C012F4">
        <w:rPr>
          <w:rFonts w:ascii="Geomanist Light" w:hAnsi="Geomanist Light" w:cs="Arial"/>
          <w:sz w:val="18"/>
          <w:szCs w:val="18"/>
        </w:rPr>
        <w:t>»Parágrafo</w:t>
      </w:r>
      <w:proofErr w:type="gramEnd"/>
      <w:r w:rsidRPr="00C012F4">
        <w:rPr>
          <w:rFonts w:ascii="Geomanist Light" w:hAnsi="Geomanist Light" w:cs="Arial"/>
          <w:sz w:val="18"/>
          <w:szCs w:val="18"/>
        </w:rPr>
        <w:t xml:space="preserve"> 2°. Para los efectos de la remuneración de</w:t>
      </w:r>
      <w:r w:rsidRPr="00C012F4">
        <w:rPr>
          <w:rFonts w:ascii="Geomanist Light" w:hAnsi="Geomanist Light" w:cs="Arial"/>
          <w:sz w:val="18"/>
          <w:szCs w:val="18"/>
          <w:lang w:val="es-ES"/>
        </w:rPr>
        <w:t>l</w:t>
      </w:r>
      <w:r w:rsidRPr="00C012F4">
        <w:rPr>
          <w:rFonts w:ascii="Geomanist Light" w:hAnsi="Geomanist Light" w:cs="Arial"/>
          <w:sz w:val="18"/>
          <w:szCs w:val="18"/>
        </w:rPr>
        <w:t xml:space="preserve"> contrato de aprendizaje, </w:t>
      </w:r>
      <w:proofErr w:type="spellStart"/>
      <w:r w:rsidRPr="00C012F4">
        <w:rPr>
          <w:rFonts w:ascii="Geomanist Light" w:hAnsi="Geomanist Light" w:cs="Arial"/>
          <w:sz w:val="18"/>
          <w:szCs w:val="18"/>
        </w:rPr>
        <w:t>preval</w:t>
      </w:r>
      <w:proofErr w:type="spellEnd"/>
      <w:r w:rsidRPr="00C012F4">
        <w:rPr>
          <w:rFonts w:ascii="Geomanist Light" w:hAnsi="Geomanist Light" w:cs="Arial"/>
          <w:sz w:val="18"/>
          <w:szCs w:val="18"/>
          <w:lang w:val="es-ES"/>
        </w:rPr>
        <w:t>e</w:t>
      </w:r>
      <w:r w:rsidRPr="00C012F4">
        <w:rPr>
          <w:rFonts w:ascii="Geomanist Light" w:hAnsi="Geomanist Light" w:cs="Arial"/>
          <w:sz w:val="18"/>
          <w:szCs w:val="18"/>
        </w:rPr>
        <w:t>ce lo</w:t>
      </w:r>
      <w:r w:rsidRPr="00C012F4">
        <w:rPr>
          <w:rFonts w:ascii="Geomanist Light" w:hAnsi="Geomanist Light" w:cs="Arial"/>
          <w:sz w:val="18"/>
          <w:szCs w:val="18"/>
          <w:lang w:val="es-ES"/>
        </w:rPr>
        <w:t xml:space="preserve"> </w:t>
      </w:r>
      <w:r w:rsidRPr="00C012F4">
        <w:rPr>
          <w:rFonts w:ascii="Geomanist Light" w:hAnsi="Geomanist Light" w:cs="Arial"/>
          <w:sz w:val="18"/>
          <w:szCs w:val="18"/>
        </w:rPr>
        <w:t xml:space="preserve">consagrado en la Ley 789 de 2002, </w:t>
      </w:r>
      <w:r w:rsidRPr="00C012F4">
        <w:rPr>
          <w:rFonts w:ascii="Geomanist Light" w:hAnsi="Geomanist Light" w:cs="Arial"/>
          <w:sz w:val="18"/>
          <w:szCs w:val="18"/>
          <w:lang w:val="es-ES"/>
        </w:rPr>
        <w:t>re</w:t>
      </w:r>
      <w:proofErr w:type="spellStart"/>
      <w:r w:rsidRPr="00C012F4">
        <w:rPr>
          <w:rFonts w:ascii="Geomanist Light" w:hAnsi="Geomanist Light" w:cs="Arial"/>
          <w:sz w:val="18"/>
          <w:szCs w:val="18"/>
        </w:rPr>
        <w:t>specto</w:t>
      </w:r>
      <w:proofErr w:type="spellEnd"/>
      <w:r w:rsidRPr="00C012F4">
        <w:rPr>
          <w:rFonts w:ascii="Geomanist Light" w:hAnsi="Geomanist Light" w:cs="Arial"/>
          <w:sz w:val="18"/>
          <w:szCs w:val="18"/>
        </w:rPr>
        <w:t xml:space="preserve"> de </w:t>
      </w:r>
      <w:r w:rsidRPr="00C012F4">
        <w:rPr>
          <w:rFonts w:ascii="Geomanist Light" w:hAnsi="Geomanist Light" w:cs="Arial"/>
          <w:sz w:val="18"/>
          <w:szCs w:val="18"/>
          <w:lang w:val="es-ES"/>
        </w:rPr>
        <w:t>l</w:t>
      </w:r>
      <w:r w:rsidRPr="00C012F4">
        <w:rPr>
          <w:rFonts w:ascii="Geomanist Light" w:hAnsi="Geomanist Light" w:cs="Arial"/>
          <w:sz w:val="18"/>
          <w:szCs w:val="18"/>
        </w:rPr>
        <w:t xml:space="preserve">os subsidios o beneficios </w:t>
      </w:r>
      <w:r w:rsidRPr="00C012F4">
        <w:rPr>
          <w:rFonts w:ascii="Geomanist Light" w:hAnsi="Geomanist Light" w:cs="Arial"/>
          <w:sz w:val="18"/>
          <w:szCs w:val="18"/>
          <w:lang w:val="es-ES"/>
        </w:rPr>
        <w:t>e</w:t>
      </w:r>
      <w:proofErr w:type="spellStart"/>
      <w:r w:rsidRPr="00C012F4">
        <w:rPr>
          <w:rFonts w:ascii="Geomanist Light" w:hAnsi="Geomanist Light" w:cs="Arial"/>
          <w:sz w:val="18"/>
          <w:szCs w:val="18"/>
        </w:rPr>
        <w:t>conómicos</w:t>
      </w:r>
      <w:proofErr w:type="spellEnd"/>
      <w:r w:rsidRPr="00C012F4">
        <w:rPr>
          <w:rFonts w:ascii="Geomanist Light" w:hAnsi="Geomanist Light" w:cs="Arial"/>
          <w:sz w:val="18"/>
          <w:szCs w:val="18"/>
        </w:rPr>
        <w:t xml:space="preserve"> allí plasmados, especialmente</w:t>
      </w:r>
      <w:r w:rsidRPr="00C012F4">
        <w:rPr>
          <w:rFonts w:ascii="Geomanist Light" w:hAnsi="Geomanist Light" w:cs="Arial"/>
          <w:sz w:val="18"/>
          <w:szCs w:val="18"/>
          <w:lang w:val="es-ES"/>
        </w:rPr>
        <w:t xml:space="preserve"> l</w:t>
      </w:r>
      <w:r w:rsidRPr="00C012F4">
        <w:rPr>
          <w:rFonts w:ascii="Geomanist Light" w:hAnsi="Geomanist Light" w:cs="Arial"/>
          <w:sz w:val="18"/>
          <w:szCs w:val="18"/>
        </w:rPr>
        <w:t xml:space="preserve">o relacionado con riesgos profesionales y Seguridad Social </w:t>
      </w:r>
      <w:r w:rsidRPr="00C012F4">
        <w:rPr>
          <w:rFonts w:ascii="Geomanist Light" w:hAnsi="Geomanist Light" w:cs="Arial"/>
          <w:sz w:val="18"/>
          <w:szCs w:val="18"/>
          <w:lang w:val="es-ES"/>
        </w:rPr>
        <w:t>en Salud».</w:t>
      </w:r>
    </w:p>
    <w:p w14:paraId="01D73A3E" w14:textId="77777777" w:rsidR="00703045" w:rsidRPr="00C012F4" w:rsidRDefault="00703045" w:rsidP="00EE1798">
      <w:pPr>
        <w:pStyle w:val="Textonotapie"/>
        <w:ind w:firstLine="709"/>
        <w:jc w:val="both"/>
        <w:rPr>
          <w:rFonts w:ascii="Geomanist Light" w:hAnsi="Geomanist Light" w:cs="Arial"/>
          <w:sz w:val="18"/>
          <w:szCs w:val="18"/>
          <w:lang w:val="es-ES"/>
        </w:rPr>
      </w:pPr>
    </w:p>
  </w:footnote>
  <w:footnote w:id="7">
    <w:p w14:paraId="38E21219" w14:textId="77777777" w:rsidR="00703045" w:rsidRPr="00C012F4" w:rsidRDefault="00703045" w:rsidP="00EE1798">
      <w:pPr>
        <w:pStyle w:val="Textonotapie"/>
        <w:ind w:firstLine="709"/>
        <w:jc w:val="both"/>
        <w:rPr>
          <w:rFonts w:ascii="Geomanist Light" w:hAnsi="Geomanist Light" w:cs="Arial"/>
          <w:sz w:val="18"/>
          <w:szCs w:val="18"/>
        </w:rPr>
      </w:pPr>
      <w:r w:rsidRPr="00C012F4">
        <w:rPr>
          <w:rStyle w:val="Refdenotaalpie"/>
          <w:rFonts w:ascii="Geomanist Light" w:hAnsi="Geomanist Light" w:cs="Arial"/>
          <w:sz w:val="18"/>
          <w:szCs w:val="18"/>
        </w:rPr>
        <w:footnoteRef/>
      </w:r>
      <w:r w:rsidRPr="00C012F4">
        <w:rPr>
          <w:rFonts w:ascii="Geomanist Light" w:hAnsi="Geomanist Light" w:cs="Arial"/>
          <w:sz w:val="18"/>
          <w:szCs w:val="18"/>
        </w:rPr>
        <w:t xml:space="preserve"> El citado artículo dispone: «Artículo 6. Certificación. El tiempo que el estudiante realice como práctica laboral, deberá ser certificado por la entidad beneficiaria y en todo caso sumará al tiempo de experiencia profesional del practicante». </w:t>
      </w:r>
    </w:p>
    <w:p w14:paraId="53DD1E0D" w14:textId="77777777" w:rsidR="00703045" w:rsidRPr="00C012F4" w:rsidRDefault="00703045" w:rsidP="00EE1798">
      <w:pPr>
        <w:pStyle w:val="Textonotapie"/>
        <w:jc w:val="both"/>
        <w:rPr>
          <w:rFonts w:ascii="Geomanist Light" w:hAnsi="Geomanist Light" w:cs="Arial"/>
          <w:sz w:val="18"/>
          <w:szCs w:val="18"/>
          <w:lang w:val="es-ES"/>
        </w:rPr>
      </w:pPr>
    </w:p>
  </w:footnote>
  <w:footnote w:id="8">
    <w:p w14:paraId="682831A9" w14:textId="77777777" w:rsidR="0056674F" w:rsidRPr="00C012F4" w:rsidRDefault="0056674F" w:rsidP="00C012F4">
      <w:pPr>
        <w:pStyle w:val="Textonotapie"/>
        <w:ind w:firstLine="709"/>
        <w:jc w:val="both"/>
        <w:rPr>
          <w:rFonts w:ascii="Geomanist Light" w:hAnsi="Geomanist Light" w:cs="Arial"/>
          <w:sz w:val="18"/>
          <w:szCs w:val="18"/>
        </w:rPr>
      </w:pPr>
      <w:r w:rsidRPr="00C012F4">
        <w:rPr>
          <w:rStyle w:val="Refdenotaalpie"/>
          <w:rFonts w:ascii="Geomanist Light" w:hAnsi="Geomanist Light" w:cs="Arial"/>
          <w:sz w:val="18"/>
          <w:szCs w:val="18"/>
        </w:rPr>
        <w:footnoteRef/>
      </w:r>
      <w:r w:rsidRPr="00C012F4">
        <w:rPr>
          <w:rFonts w:ascii="Geomanist Light" w:hAnsi="Geomanist Light" w:cs="Arial"/>
          <w:sz w:val="18"/>
          <w:szCs w:val="18"/>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9061D4C" w14:textId="77777777" w:rsidR="0056674F" w:rsidRPr="00C012F4" w:rsidRDefault="0056674F" w:rsidP="00C012F4">
      <w:pPr>
        <w:pStyle w:val="Textonotapie"/>
        <w:ind w:firstLine="709"/>
        <w:jc w:val="both"/>
        <w:rPr>
          <w:rFonts w:ascii="Geomanist Light" w:hAnsi="Geomanist Light" w:cs="Arial"/>
          <w:sz w:val="18"/>
          <w:szCs w:val="18"/>
        </w:rPr>
      </w:pPr>
      <w:r w:rsidRPr="00C012F4">
        <w:rPr>
          <w:rFonts w:ascii="Geomanist Light" w:hAnsi="Geomanist Light" w:cs="Arial"/>
          <w:sz w:val="18"/>
          <w:szCs w:val="18"/>
        </w:rPr>
        <w:t>[...]</w:t>
      </w:r>
    </w:p>
    <w:p w14:paraId="2A9EE4F2" w14:textId="77777777" w:rsidR="0056674F" w:rsidRPr="00C012F4" w:rsidRDefault="0056674F" w:rsidP="00C012F4">
      <w:pPr>
        <w:pStyle w:val="Textonotapie"/>
        <w:ind w:firstLine="709"/>
        <w:jc w:val="both"/>
        <w:rPr>
          <w:rFonts w:ascii="Geomanist Light" w:hAnsi="Geomanist Light" w:cs="Arial"/>
          <w:sz w:val="18"/>
          <w:szCs w:val="18"/>
        </w:rPr>
      </w:pPr>
      <w:proofErr w:type="gramStart"/>
      <w:r w:rsidRPr="00C012F4">
        <w:rPr>
          <w:rFonts w:ascii="Geomanist Light" w:hAnsi="Geomanist Light" w:cs="Arial"/>
          <w:sz w:val="18"/>
          <w:szCs w:val="18"/>
        </w:rPr>
        <w:t>»El</w:t>
      </w:r>
      <w:proofErr w:type="gramEnd"/>
      <w:r w:rsidRPr="00C012F4">
        <w:rPr>
          <w:rFonts w:ascii="Geomanist Light" w:hAnsi="Geomanist Light" w:cs="Arial"/>
          <w:sz w:val="18"/>
          <w:szCs w:val="18"/>
        </w:rPr>
        <w:t xml:space="preserve">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2CC1E6D1" w14:textId="77777777" w:rsidR="0056674F" w:rsidRPr="00C012F4" w:rsidRDefault="0056674F" w:rsidP="00C012F4">
      <w:pPr>
        <w:pStyle w:val="Textonotapie"/>
        <w:ind w:firstLine="709"/>
        <w:jc w:val="both"/>
        <w:rPr>
          <w:rFonts w:ascii="Geomanist Light" w:hAnsi="Geomanist Light" w:cs="Arial"/>
          <w:sz w:val="18"/>
          <w:szCs w:val="18"/>
        </w:rPr>
      </w:pPr>
      <w:proofErr w:type="gramStart"/>
      <w:r w:rsidRPr="00C012F4">
        <w:rPr>
          <w:rFonts w:ascii="Geomanist Light" w:hAnsi="Geomanist Light" w:cs="Arial"/>
          <w:sz w:val="18"/>
          <w:szCs w:val="18"/>
        </w:rPr>
        <w:t>»No</w:t>
      </w:r>
      <w:proofErr w:type="gramEnd"/>
      <w:r w:rsidRPr="00C012F4">
        <w:rPr>
          <w:rFonts w:ascii="Geomanist Light" w:hAnsi="Geomanist Light" w:cs="Arial"/>
          <w:sz w:val="18"/>
          <w:szCs w:val="18"/>
        </w:rPr>
        <w:t xml:space="preserve">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25C09DAB" w14:textId="77777777" w:rsidR="0056674F" w:rsidRPr="00C012F4" w:rsidRDefault="0056674F" w:rsidP="00C012F4">
      <w:pPr>
        <w:pStyle w:val="Textonotapie"/>
        <w:ind w:firstLine="709"/>
        <w:jc w:val="both"/>
        <w:rPr>
          <w:rFonts w:ascii="Geomanist Light" w:hAnsi="Geomanist Light" w:cs="Arial"/>
          <w:sz w:val="18"/>
          <w:szCs w:val="18"/>
          <w:lang w:val="es-ES"/>
        </w:rPr>
      </w:pPr>
    </w:p>
  </w:footnote>
  <w:footnote w:id="9">
    <w:p w14:paraId="696D765F" w14:textId="77777777" w:rsidR="0056674F" w:rsidRPr="00C012F4" w:rsidRDefault="0056674F" w:rsidP="00C012F4">
      <w:pPr>
        <w:pStyle w:val="Textonotapie"/>
        <w:ind w:firstLine="709"/>
        <w:jc w:val="both"/>
        <w:rPr>
          <w:rFonts w:ascii="Geomanist Light" w:hAnsi="Geomanist Light" w:cs="Arial"/>
          <w:sz w:val="18"/>
          <w:szCs w:val="18"/>
        </w:rPr>
      </w:pPr>
      <w:r w:rsidRPr="00C012F4">
        <w:rPr>
          <w:rStyle w:val="Refdenotaalpie"/>
          <w:rFonts w:ascii="Geomanist Light" w:hAnsi="Geomanist Light" w:cs="Arial"/>
          <w:sz w:val="18"/>
          <w:szCs w:val="18"/>
        </w:rPr>
        <w:footnoteRef/>
      </w:r>
      <w:r w:rsidRPr="00C012F4">
        <w:rPr>
          <w:rFonts w:ascii="Geomanist Light" w:hAnsi="Geomanist Light" w:cs="Arial"/>
          <w:sz w:val="18"/>
          <w:szCs w:val="18"/>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762FEC5" w14:textId="77777777" w:rsidR="0056674F" w:rsidRPr="00C012F4" w:rsidRDefault="0056674F" w:rsidP="00C012F4">
      <w:pPr>
        <w:pStyle w:val="Textonotapie"/>
        <w:ind w:firstLine="709"/>
        <w:jc w:val="both"/>
        <w:rPr>
          <w:rFonts w:ascii="Geomanist Light" w:hAnsi="Geomanist Light" w:cs="Arial"/>
          <w:sz w:val="18"/>
          <w:szCs w:val="18"/>
        </w:rPr>
      </w:pPr>
      <w:r w:rsidRPr="00C012F4">
        <w:rPr>
          <w:rFonts w:ascii="Geomanist Light" w:hAnsi="Geomanist Light" w:cs="Arial"/>
          <w:sz w:val="18"/>
          <w:szCs w:val="18"/>
        </w:rPr>
        <w:t>»1.    Si es una persona natural:</w:t>
      </w:r>
    </w:p>
    <w:p w14:paraId="1BD48065" w14:textId="77777777" w:rsidR="0056674F" w:rsidRPr="00C012F4" w:rsidRDefault="0056674F" w:rsidP="00C012F4">
      <w:pPr>
        <w:pStyle w:val="Textonotapie"/>
        <w:ind w:firstLine="709"/>
        <w:jc w:val="both"/>
        <w:rPr>
          <w:rFonts w:ascii="Geomanist Light" w:hAnsi="Geomanist Light" w:cs="Arial"/>
          <w:sz w:val="18"/>
          <w:szCs w:val="18"/>
        </w:rPr>
      </w:pPr>
      <w:r w:rsidRPr="00C012F4">
        <w:rPr>
          <w:rFonts w:ascii="Geomanist Light" w:hAnsi="Geomanist Light" w:cs="Arial"/>
          <w:sz w:val="18"/>
          <w:szCs w:val="18"/>
        </w:rPr>
        <w:t>»1.1. Bienes, obras y servicios que ofrecerá a las Entidades Estatales, identificados con el Clasificador de Bienes y Servicios en el tercer nivel.</w:t>
      </w:r>
    </w:p>
    <w:p w14:paraId="424E5857" w14:textId="77777777" w:rsidR="0056674F" w:rsidRPr="00C012F4" w:rsidRDefault="0056674F" w:rsidP="00C012F4">
      <w:pPr>
        <w:pStyle w:val="Textonotapie"/>
        <w:ind w:firstLine="709"/>
        <w:jc w:val="both"/>
        <w:rPr>
          <w:rFonts w:ascii="Geomanist Light" w:hAnsi="Geomanist Light" w:cs="Arial"/>
          <w:sz w:val="18"/>
          <w:szCs w:val="18"/>
        </w:rPr>
      </w:pPr>
      <w:r w:rsidRPr="00C012F4">
        <w:rPr>
          <w:rFonts w:ascii="Geomanist Light" w:hAnsi="Geomanist Light" w:cs="Arial"/>
          <w:sz w:val="18"/>
          <w:szCs w:val="18"/>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w:t>
      </w:r>
      <w:r w:rsidRPr="00C012F4">
        <w:rPr>
          <w:rFonts w:ascii="Calibri" w:hAnsi="Calibri" w:cs="Calibri"/>
          <w:sz w:val="18"/>
          <w:szCs w:val="18"/>
        </w:rPr>
        <w:t>­</w:t>
      </w:r>
      <w:r w:rsidRPr="00C012F4">
        <w:rPr>
          <w:rFonts w:ascii="Geomanist Light" w:hAnsi="Geomanist Light" w:cs="Arial"/>
          <w:sz w:val="18"/>
          <w:szCs w:val="18"/>
        </w:rPr>
        <w:t>sificador de Bienes y Servicios en el tercer nivel</w:t>
      </w:r>
      <w:r w:rsidRPr="00C012F4">
        <w:rPr>
          <w:rFonts w:ascii="Geomanist Light" w:hAnsi="Geomanist Light" w:cs="Geomanist Light"/>
          <w:sz w:val="18"/>
          <w:szCs w:val="18"/>
        </w:rPr>
        <w:t>»</w:t>
      </w:r>
      <w:r w:rsidRPr="00C012F4">
        <w:rPr>
          <w:rFonts w:ascii="Geomanist Light" w:hAnsi="Geomanist Light" w:cs="Arial"/>
          <w:sz w:val="18"/>
          <w:szCs w:val="18"/>
        </w:rPr>
        <w:t>.</w:t>
      </w:r>
    </w:p>
    <w:p w14:paraId="529FDD8B" w14:textId="77777777" w:rsidR="0056674F" w:rsidRPr="00C012F4" w:rsidRDefault="0056674F" w:rsidP="00C012F4">
      <w:pPr>
        <w:pStyle w:val="Textonotapie"/>
        <w:ind w:firstLine="709"/>
        <w:jc w:val="both"/>
        <w:rPr>
          <w:rFonts w:ascii="Geomanist Light" w:hAnsi="Geomanist Light" w:cs="Arial"/>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92B8" w14:textId="77777777" w:rsidR="00703045" w:rsidRDefault="00703045">
    <w:pPr>
      <w:pStyle w:val="Encabezado"/>
    </w:pPr>
    <w:r>
      <w:rPr>
        <w:noProof/>
        <w:lang w:val="es-ES" w:eastAsia="es-ES"/>
      </w:rPr>
      <w:drawing>
        <wp:anchor distT="0" distB="0" distL="114300" distR="114300" simplePos="0" relativeHeight="251659264" behindDoc="1" locked="0" layoutInCell="1" allowOverlap="1" wp14:anchorId="1E93B7C0" wp14:editId="23FCF07B">
          <wp:simplePos x="0" y="0"/>
          <wp:positionH relativeFrom="margin">
            <wp:align>right</wp:align>
          </wp:positionH>
          <wp:positionV relativeFrom="paragraph">
            <wp:posOffset>343728</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34"/>
    <w:rsid w:val="0001182E"/>
    <w:rsid w:val="00035C45"/>
    <w:rsid w:val="000516F1"/>
    <w:rsid w:val="00062DD4"/>
    <w:rsid w:val="0007607B"/>
    <w:rsid w:val="000A5AB3"/>
    <w:rsid w:val="000C5A2A"/>
    <w:rsid w:val="000D1C36"/>
    <w:rsid w:val="000D34E4"/>
    <w:rsid w:val="000F07D2"/>
    <w:rsid w:val="000F2F95"/>
    <w:rsid w:val="0010058C"/>
    <w:rsid w:val="00104D11"/>
    <w:rsid w:val="00120E5A"/>
    <w:rsid w:val="00126015"/>
    <w:rsid w:val="00144004"/>
    <w:rsid w:val="00144B0B"/>
    <w:rsid w:val="00173824"/>
    <w:rsid w:val="00183824"/>
    <w:rsid w:val="00183906"/>
    <w:rsid w:val="00184FF6"/>
    <w:rsid w:val="001B41AA"/>
    <w:rsid w:val="001C73EC"/>
    <w:rsid w:val="001D1E13"/>
    <w:rsid w:val="00206681"/>
    <w:rsid w:val="00230404"/>
    <w:rsid w:val="00236225"/>
    <w:rsid w:val="002436AC"/>
    <w:rsid w:val="002523C6"/>
    <w:rsid w:val="0026759E"/>
    <w:rsid w:val="00274B2E"/>
    <w:rsid w:val="00285151"/>
    <w:rsid w:val="00286197"/>
    <w:rsid w:val="002B2B6C"/>
    <w:rsid w:val="002E1C4D"/>
    <w:rsid w:val="002E3BBA"/>
    <w:rsid w:val="002F06E8"/>
    <w:rsid w:val="0033555E"/>
    <w:rsid w:val="00337A95"/>
    <w:rsid w:val="00344625"/>
    <w:rsid w:val="003524D3"/>
    <w:rsid w:val="00355355"/>
    <w:rsid w:val="00370315"/>
    <w:rsid w:val="00370F29"/>
    <w:rsid w:val="00375FB0"/>
    <w:rsid w:val="00386243"/>
    <w:rsid w:val="003964F9"/>
    <w:rsid w:val="003B7016"/>
    <w:rsid w:val="003C67CE"/>
    <w:rsid w:val="003D092A"/>
    <w:rsid w:val="003D4819"/>
    <w:rsid w:val="003D4948"/>
    <w:rsid w:val="003F79E0"/>
    <w:rsid w:val="00434FBB"/>
    <w:rsid w:val="0044129B"/>
    <w:rsid w:val="004432DB"/>
    <w:rsid w:val="00447E4E"/>
    <w:rsid w:val="00461444"/>
    <w:rsid w:val="004728F6"/>
    <w:rsid w:val="004A3191"/>
    <w:rsid w:val="004A573C"/>
    <w:rsid w:val="004B73C0"/>
    <w:rsid w:val="004D2B65"/>
    <w:rsid w:val="004E0E1F"/>
    <w:rsid w:val="00510AF9"/>
    <w:rsid w:val="00533E18"/>
    <w:rsid w:val="00534955"/>
    <w:rsid w:val="0054656C"/>
    <w:rsid w:val="00547531"/>
    <w:rsid w:val="005575A0"/>
    <w:rsid w:val="0056674F"/>
    <w:rsid w:val="00567D6C"/>
    <w:rsid w:val="00571EC3"/>
    <w:rsid w:val="00582DC3"/>
    <w:rsid w:val="005A18B5"/>
    <w:rsid w:val="005A3634"/>
    <w:rsid w:val="005B23BE"/>
    <w:rsid w:val="005D77B2"/>
    <w:rsid w:val="005F136F"/>
    <w:rsid w:val="00625781"/>
    <w:rsid w:val="00627DE3"/>
    <w:rsid w:val="00633707"/>
    <w:rsid w:val="00635064"/>
    <w:rsid w:val="00637444"/>
    <w:rsid w:val="00640873"/>
    <w:rsid w:val="00651F51"/>
    <w:rsid w:val="006606A1"/>
    <w:rsid w:val="006A24BD"/>
    <w:rsid w:val="006B4B86"/>
    <w:rsid w:val="006B6D31"/>
    <w:rsid w:val="006F127D"/>
    <w:rsid w:val="006F1B92"/>
    <w:rsid w:val="00703045"/>
    <w:rsid w:val="00756CD6"/>
    <w:rsid w:val="00764105"/>
    <w:rsid w:val="00783FD8"/>
    <w:rsid w:val="00795ADD"/>
    <w:rsid w:val="007A5AA3"/>
    <w:rsid w:val="007B0AC2"/>
    <w:rsid w:val="007B6E2C"/>
    <w:rsid w:val="007C474E"/>
    <w:rsid w:val="007D65AB"/>
    <w:rsid w:val="007E1A51"/>
    <w:rsid w:val="0080282F"/>
    <w:rsid w:val="0080564D"/>
    <w:rsid w:val="00806365"/>
    <w:rsid w:val="00820032"/>
    <w:rsid w:val="00843ECC"/>
    <w:rsid w:val="00846A73"/>
    <w:rsid w:val="00866527"/>
    <w:rsid w:val="00891668"/>
    <w:rsid w:val="00894D5B"/>
    <w:rsid w:val="008974D5"/>
    <w:rsid w:val="008B6F5F"/>
    <w:rsid w:val="008C31BD"/>
    <w:rsid w:val="008C7E08"/>
    <w:rsid w:val="008E35E8"/>
    <w:rsid w:val="008F54B6"/>
    <w:rsid w:val="00910CA9"/>
    <w:rsid w:val="009123E3"/>
    <w:rsid w:val="00913D39"/>
    <w:rsid w:val="00935834"/>
    <w:rsid w:val="00942AAE"/>
    <w:rsid w:val="00952E06"/>
    <w:rsid w:val="0096229B"/>
    <w:rsid w:val="0097790D"/>
    <w:rsid w:val="009A20F6"/>
    <w:rsid w:val="009C3A89"/>
    <w:rsid w:val="009D2730"/>
    <w:rsid w:val="009D7C87"/>
    <w:rsid w:val="00A13D2F"/>
    <w:rsid w:val="00A24BAA"/>
    <w:rsid w:val="00A32E99"/>
    <w:rsid w:val="00A44451"/>
    <w:rsid w:val="00A46517"/>
    <w:rsid w:val="00A5213A"/>
    <w:rsid w:val="00A67EC2"/>
    <w:rsid w:val="00A87FA0"/>
    <w:rsid w:val="00AA7DE2"/>
    <w:rsid w:val="00AB693B"/>
    <w:rsid w:val="00AC1798"/>
    <w:rsid w:val="00AD2522"/>
    <w:rsid w:val="00AD2F06"/>
    <w:rsid w:val="00AD4311"/>
    <w:rsid w:val="00AD659A"/>
    <w:rsid w:val="00AF41CB"/>
    <w:rsid w:val="00B066BB"/>
    <w:rsid w:val="00B33C97"/>
    <w:rsid w:val="00B61AAC"/>
    <w:rsid w:val="00B75164"/>
    <w:rsid w:val="00B914EA"/>
    <w:rsid w:val="00B93EC2"/>
    <w:rsid w:val="00B93F4C"/>
    <w:rsid w:val="00BA07C0"/>
    <w:rsid w:val="00BA096C"/>
    <w:rsid w:val="00BA1FAA"/>
    <w:rsid w:val="00C012F4"/>
    <w:rsid w:val="00C02705"/>
    <w:rsid w:val="00C141E2"/>
    <w:rsid w:val="00C23F47"/>
    <w:rsid w:val="00C4252B"/>
    <w:rsid w:val="00C80729"/>
    <w:rsid w:val="00C825FD"/>
    <w:rsid w:val="00C97872"/>
    <w:rsid w:val="00CB1C19"/>
    <w:rsid w:val="00CC7C75"/>
    <w:rsid w:val="00CE0B8D"/>
    <w:rsid w:val="00CE1D38"/>
    <w:rsid w:val="00CE48FF"/>
    <w:rsid w:val="00D0589C"/>
    <w:rsid w:val="00D1307F"/>
    <w:rsid w:val="00D32C6E"/>
    <w:rsid w:val="00D37014"/>
    <w:rsid w:val="00D4245C"/>
    <w:rsid w:val="00D66301"/>
    <w:rsid w:val="00D82223"/>
    <w:rsid w:val="00DC4262"/>
    <w:rsid w:val="00DC7022"/>
    <w:rsid w:val="00DD61A2"/>
    <w:rsid w:val="00DE31B8"/>
    <w:rsid w:val="00E36AA0"/>
    <w:rsid w:val="00E52974"/>
    <w:rsid w:val="00E63569"/>
    <w:rsid w:val="00E67C0C"/>
    <w:rsid w:val="00E70F99"/>
    <w:rsid w:val="00E721BF"/>
    <w:rsid w:val="00E75B67"/>
    <w:rsid w:val="00E90476"/>
    <w:rsid w:val="00EB6235"/>
    <w:rsid w:val="00ED6EA5"/>
    <w:rsid w:val="00EE1798"/>
    <w:rsid w:val="00EE4DB2"/>
    <w:rsid w:val="00EF0BF3"/>
    <w:rsid w:val="00F012C1"/>
    <w:rsid w:val="00F02FC3"/>
    <w:rsid w:val="00F05B2D"/>
    <w:rsid w:val="00F33DBC"/>
    <w:rsid w:val="00F453B6"/>
    <w:rsid w:val="00F6018C"/>
    <w:rsid w:val="00F65D73"/>
    <w:rsid w:val="00F75CCA"/>
    <w:rsid w:val="00F867F4"/>
    <w:rsid w:val="00FA2D86"/>
    <w:rsid w:val="00FA44FD"/>
    <w:rsid w:val="00FA7CE5"/>
    <w:rsid w:val="00FB730D"/>
    <w:rsid w:val="00FD3D63"/>
    <w:rsid w:val="00FF0F0F"/>
    <w:rsid w:val="00FF48AB"/>
    <w:rsid w:val="00FF4E9A"/>
    <w:rsid w:val="00FF6550"/>
    <w:rsid w:val="581F2C7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2024F"/>
  <w14:defaultImageDpi w14:val="330"/>
  <w15:docId w15:val="{0EA18FB6-5279-487D-B7FA-02BC4281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834"/>
    <w:rPr>
      <w:rFonts w:eastAsiaTheme="minorHAnsi"/>
      <w:szCs w:val="22"/>
      <w:lang w:val="es-MX" w:eastAsia="en-US"/>
    </w:rPr>
  </w:style>
  <w:style w:type="paragraph" w:styleId="Ttulo1">
    <w:name w:val="heading 1"/>
    <w:basedOn w:val="Normal"/>
    <w:link w:val="Ttulo1Car"/>
    <w:uiPriority w:val="1"/>
    <w:qFormat/>
    <w:rsid w:val="00935834"/>
    <w:pPr>
      <w:widowControl w:val="0"/>
      <w:autoSpaceDE w:val="0"/>
      <w:autoSpaceDN w:val="0"/>
      <w:ind w:left="66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35834"/>
    <w:rPr>
      <w:rFonts w:ascii="Arial" w:eastAsia="Arial" w:hAnsi="Arial" w:cs="Arial"/>
      <w:b/>
      <w:bCs/>
      <w:sz w:val="22"/>
      <w:szCs w:val="22"/>
      <w:lang w:val="es-ES" w:eastAsia="en-US"/>
    </w:rPr>
  </w:style>
  <w:style w:type="paragraph" w:styleId="Piedepgina">
    <w:name w:val="footer"/>
    <w:basedOn w:val="Normal"/>
    <w:link w:val="PiedepginaCar"/>
    <w:uiPriority w:val="99"/>
    <w:unhideWhenUsed/>
    <w:rsid w:val="00935834"/>
    <w:pPr>
      <w:tabs>
        <w:tab w:val="center" w:pos="4419"/>
        <w:tab w:val="right" w:pos="8838"/>
      </w:tabs>
    </w:pPr>
  </w:style>
  <w:style w:type="character" w:customStyle="1" w:styleId="PiedepginaCar">
    <w:name w:val="Pie de página Car"/>
    <w:basedOn w:val="Fuentedeprrafopredeter"/>
    <w:link w:val="Piedepgina"/>
    <w:uiPriority w:val="99"/>
    <w:rsid w:val="00935834"/>
    <w:rPr>
      <w:rFonts w:eastAsiaTheme="minorHAnsi"/>
      <w:szCs w:val="22"/>
      <w:lang w:val="es-MX" w:eastAsia="en-US"/>
    </w:rPr>
  </w:style>
  <w:style w:type="paragraph" w:styleId="Encabezado">
    <w:name w:val="header"/>
    <w:basedOn w:val="Normal"/>
    <w:link w:val="EncabezadoCar"/>
    <w:uiPriority w:val="99"/>
    <w:unhideWhenUsed/>
    <w:rsid w:val="00935834"/>
    <w:pPr>
      <w:tabs>
        <w:tab w:val="center" w:pos="4252"/>
        <w:tab w:val="right" w:pos="8504"/>
      </w:tabs>
    </w:pPr>
  </w:style>
  <w:style w:type="character" w:customStyle="1" w:styleId="EncabezadoCar">
    <w:name w:val="Encabezado Car"/>
    <w:basedOn w:val="Fuentedeprrafopredeter"/>
    <w:link w:val="Encabezado"/>
    <w:uiPriority w:val="99"/>
    <w:rsid w:val="00935834"/>
    <w:rPr>
      <w:rFonts w:eastAsiaTheme="minorHAnsi"/>
      <w:szCs w:val="22"/>
      <w:lang w:val="es-MX" w:eastAsia="en-US"/>
    </w:rPr>
  </w:style>
  <w:style w:type="table" w:styleId="Tablaconcuadrcula">
    <w:name w:val="Table Grid"/>
    <w:basedOn w:val="Tablanormal"/>
    <w:uiPriority w:val="39"/>
    <w:rsid w:val="00935834"/>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935834"/>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935834"/>
    <w:rPr>
      <w:rFonts w:eastAsiaTheme="minorHAnsi"/>
      <w:szCs w:val="22"/>
      <w:lang w:val="es-MX" w:eastAsia="en-U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3583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935834"/>
    <w:rPr>
      <w:rFonts w:eastAsiaTheme="minorEastAsia"/>
      <w:sz w:val="20"/>
      <w:szCs w:val="20"/>
      <w:lang w:eastAsia="es-ES"/>
    </w:rPr>
  </w:style>
  <w:style w:type="character" w:customStyle="1" w:styleId="TextonotapieCar1">
    <w:name w:val="Texto nota pie Car1"/>
    <w:basedOn w:val="Fuentedeprrafopredeter"/>
    <w:uiPriority w:val="99"/>
    <w:semiHidden/>
    <w:rsid w:val="00935834"/>
    <w:rPr>
      <w:rFonts w:eastAsiaTheme="minorHAnsi"/>
      <w:lang w:val="es-MX" w:eastAsia="en-US"/>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935834"/>
    <w:rPr>
      <w:vertAlign w:val="superscript"/>
    </w:rPr>
  </w:style>
  <w:style w:type="character" w:customStyle="1" w:styleId="NormalWebCar">
    <w:name w:val="Normal (Web) Car"/>
    <w:link w:val="NormalWeb"/>
    <w:uiPriority w:val="99"/>
    <w:rsid w:val="00935834"/>
    <w:rPr>
      <w:rFonts w:ascii="Times New Roman" w:eastAsia="Times New Roman" w:hAnsi="Times New Roman" w:cs="Times New Roman"/>
      <w:lang w:val="es-CO" w:eastAsia="es-CO"/>
    </w:rPr>
  </w:style>
  <w:style w:type="paragraph" w:styleId="Textoindependiente">
    <w:name w:val="Body Text"/>
    <w:basedOn w:val="Normal"/>
    <w:link w:val="TextoindependienteCar"/>
    <w:uiPriority w:val="1"/>
    <w:qFormat/>
    <w:rsid w:val="00935834"/>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935834"/>
    <w:rPr>
      <w:rFonts w:ascii="Arial" w:eastAsia="Arial" w:hAnsi="Arial" w:cs="Arial"/>
      <w:sz w:val="22"/>
      <w:szCs w:val="22"/>
      <w:lang w:val="es-ES" w:eastAsia="en-US"/>
    </w:rPr>
  </w:style>
  <w:style w:type="character" w:customStyle="1" w:styleId="baj">
    <w:name w:val="b_aj"/>
    <w:basedOn w:val="Fuentedeprrafopredeter"/>
    <w:rsid w:val="00935834"/>
  </w:style>
  <w:style w:type="paragraph" w:styleId="Textodeglobo">
    <w:name w:val="Balloon Text"/>
    <w:basedOn w:val="Normal"/>
    <w:link w:val="TextodegloboCar"/>
    <w:uiPriority w:val="99"/>
    <w:semiHidden/>
    <w:unhideWhenUsed/>
    <w:rsid w:val="0093583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35834"/>
    <w:rPr>
      <w:rFonts w:ascii="Lucida Grande" w:eastAsiaTheme="minorHAnsi" w:hAnsi="Lucida Grande" w:cs="Lucida Grande"/>
      <w:sz w:val="18"/>
      <w:szCs w:val="18"/>
      <w:lang w:val="es-MX" w:eastAsia="en-US"/>
    </w:rPr>
  </w:style>
  <w:style w:type="character" w:styleId="Textoennegrita">
    <w:name w:val="Strong"/>
    <w:basedOn w:val="Fuentedeprrafopredeter"/>
    <w:uiPriority w:val="22"/>
    <w:qFormat/>
    <w:rsid w:val="00E75B67"/>
    <w:rPr>
      <w:b/>
      <w:bCs/>
    </w:rPr>
  </w:style>
  <w:style w:type="character" w:styleId="nfasis">
    <w:name w:val="Emphasis"/>
    <w:basedOn w:val="Fuentedeprrafopredeter"/>
    <w:uiPriority w:val="20"/>
    <w:qFormat/>
    <w:rsid w:val="00E75B67"/>
    <w:rPr>
      <w:i/>
      <w:iCs/>
    </w:rPr>
  </w:style>
  <w:style w:type="paragraph" w:customStyle="1" w:styleId="Appelnotedebasde">
    <w:name w:val="Appel note de bas de..."/>
    <w:basedOn w:val="Normal"/>
    <w:link w:val="Refdenotaalpie"/>
    <w:uiPriority w:val="99"/>
    <w:rsid w:val="00E67C0C"/>
    <w:pPr>
      <w:spacing w:after="160" w:line="240" w:lineRule="exact"/>
    </w:pPr>
    <w:rPr>
      <w:rFonts w:eastAsiaTheme="minorEastAsia"/>
      <w:szCs w:val="24"/>
      <w:vertAlign w:val="superscript"/>
      <w:lang w:val="es-ES_tradnl" w:eastAsia="es-ES"/>
    </w:rPr>
  </w:style>
  <w:style w:type="paragraph" w:styleId="Revisin">
    <w:name w:val="Revision"/>
    <w:hidden/>
    <w:uiPriority w:val="99"/>
    <w:semiHidden/>
    <w:rsid w:val="00AF41CB"/>
    <w:rPr>
      <w:rFonts w:eastAsiaTheme="minorHAnsi"/>
      <w:szCs w:val="22"/>
      <w:lang w:val="es-MX" w:eastAsia="en-US"/>
    </w:rPr>
  </w:style>
  <w:style w:type="character" w:styleId="Refdecomentario">
    <w:name w:val="annotation reference"/>
    <w:basedOn w:val="Fuentedeprrafopredeter"/>
    <w:uiPriority w:val="99"/>
    <w:semiHidden/>
    <w:unhideWhenUsed/>
    <w:rsid w:val="00F867F4"/>
    <w:rPr>
      <w:sz w:val="16"/>
      <w:szCs w:val="16"/>
    </w:rPr>
  </w:style>
  <w:style w:type="paragraph" w:styleId="Textocomentario">
    <w:name w:val="annotation text"/>
    <w:basedOn w:val="Normal"/>
    <w:link w:val="TextocomentarioCar"/>
    <w:uiPriority w:val="99"/>
    <w:unhideWhenUsed/>
    <w:rsid w:val="00F867F4"/>
    <w:rPr>
      <w:sz w:val="20"/>
      <w:szCs w:val="20"/>
    </w:rPr>
  </w:style>
  <w:style w:type="character" w:customStyle="1" w:styleId="TextocomentarioCar">
    <w:name w:val="Texto comentario Car"/>
    <w:basedOn w:val="Fuentedeprrafopredeter"/>
    <w:link w:val="Textocomentario"/>
    <w:uiPriority w:val="99"/>
    <w:rsid w:val="00F867F4"/>
    <w:rPr>
      <w:rFonts w:eastAsiaTheme="minorHAnsi"/>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F867F4"/>
    <w:rPr>
      <w:b/>
      <w:bCs/>
    </w:rPr>
  </w:style>
  <w:style w:type="character" w:customStyle="1" w:styleId="AsuntodelcomentarioCar">
    <w:name w:val="Asunto del comentario Car"/>
    <w:basedOn w:val="TextocomentarioCar"/>
    <w:link w:val="Asuntodelcomentario"/>
    <w:uiPriority w:val="99"/>
    <w:semiHidden/>
    <w:rsid w:val="00F867F4"/>
    <w:rPr>
      <w:rFonts w:eastAsiaTheme="minorHAnsi"/>
      <w:b/>
      <w:bCs/>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5427">
      <w:bodyDiv w:val="1"/>
      <w:marLeft w:val="0"/>
      <w:marRight w:val="0"/>
      <w:marTop w:val="0"/>
      <w:marBottom w:val="0"/>
      <w:divBdr>
        <w:top w:val="none" w:sz="0" w:space="0" w:color="auto"/>
        <w:left w:val="none" w:sz="0" w:space="0" w:color="auto"/>
        <w:bottom w:val="none" w:sz="0" w:space="0" w:color="auto"/>
        <w:right w:val="none" w:sz="0" w:space="0" w:color="auto"/>
      </w:divBdr>
    </w:div>
    <w:div w:id="1128281141">
      <w:bodyDiv w:val="1"/>
      <w:marLeft w:val="0"/>
      <w:marRight w:val="0"/>
      <w:marTop w:val="0"/>
      <w:marBottom w:val="0"/>
      <w:divBdr>
        <w:top w:val="none" w:sz="0" w:space="0" w:color="auto"/>
        <w:left w:val="none" w:sz="0" w:space="0" w:color="auto"/>
        <w:bottom w:val="none" w:sz="0" w:space="0" w:color="auto"/>
        <w:right w:val="none" w:sz="0" w:space="0" w:color="auto"/>
      </w:divBdr>
    </w:div>
    <w:div w:id="1241210054">
      <w:bodyDiv w:val="1"/>
      <w:marLeft w:val="0"/>
      <w:marRight w:val="0"/>
      <w:marTop w:val="0"/>
      <w:marBottom w:val="0"/>
      <w:divBdr>
        <w:top w:val="none" w:sz="0" w:space="0" w:color="auto"/>
        <w:left w:val="none" w:sz="0" w:space="0" w:color="auto"/>
        <w:bottom w:val="none" w:sz="0" w:space="0" w:color="auto"/>
        <w:right w:val="none" w:sz="0" w:space="0" w:color="auto"/>
      </w:divBdr>
    </w:div>
    <w:div w:id="1352729801">
      <w:bodyDiv w:val="1"/>
      <w:marLeft w:val="0"/>
      <w:marRight w:val="0"/>
      <w:marTop w:val="0"/>
      <w:marBottom w:val="0"/>
      <w:divBdr>
        <w:top w:val="none" w:sz="0" w:space="0" w:color="auto"/>
        <w:left w:val="none" w:sz="0" w:space="0" w:color="auto"/>
        <w:bottom w:val="none" w:sz="0" w:space="0" w:color="auto"/>
        <w:right w:val="none" w:sz="0" w:space="0" w:color="auto"/>
      </w:divBdr>
    </w:div>
    <w:div w:id="1530491748">
      <w:bodyDiv w:val="1"/>
      <w:marLeft w:val="0"/>
      <w:marRight w:val="0"/>
      <w:marTop w:val="0"/>
      <w:marBottom w:val="0"/>
      <w:divBdr>
        <w:top w:val="none" w:sz="0" w:space="0" w:color="auto"/>
        <w:left w:val="none" w:sz="0" w:space="0" w:color="auto"/>
        <w:bottom w:val="none" w:sz="0" w:space="0" w:color="auto"/>
        <w:right w:val="none" w:sz="0" w:space="0" w:color="auto"/>
      </w:divBdr>
    </w:div>
    <w:div w:id="1638409323">
      <w:bodyDiv w:val="1"/>
      <w:marLeft w:val="0"/>
      <w:marRight w:val="0"/>
      <w:marTop w:val="0"/>
      <w:marBottom w:val="0"/>
      <w:divBdr>
        <w:top w:val="none" w:sz="0" w:space="0" w:color="auto"/>
        <w:left w:val="none" w:sz="0" w:space="0" w:color="auto"/>
        <w:bottom w:val="none" w:sz="0" w:space="0" w:color="auto"/>
        <w:right w:val="none" w:sz="0" w:space="0" w:color="auto"/>
      </w:divBdr>
    </w:div>
    <w:div w:id="1884555138">
      <w:bodyDiv w:val="1"/>
      <w:marLeft w:val="0"/>
      <w:marRight w:val="0"/>
      <w:marTop w:val="0"/>
      <w:marBottom w:val="0"/>
      <w:divBdr>
        <w:top w:val="none" w:sz="0" w:space="0" w:color="auto"/>
        <w:left w:val="none" w:sz="0" w:space="0" w:color="auto"/>
        <w:bottom w:val="none" w:sz="0" w:space="0" w:color="auto"/>
        <w:right w:val="none" w:sz="0" w:space="0" w:color="auto"/>
      </w:divBdr>
    </w:div>
    <w:div w:id="1982348735">
      <w:bodyDiv w:val="1"/>
      <w:marLeft w:val="0"/>
      <w:marRight w:val="0"/>
      <w:marTop w:val="0"/>
      <w:marBottom w:val="0"/>
      <w:divBdr>
        <w:top w:val="none" w:sz="0" w:space="0" w:color="auto"/>
        <w:left w:val="none" w:sz="0" w:space="0" w:color="auto"/>
        <w:bottom w:val="none" w:sz="0" w:space="0" w:color="auto"/>
        <w:right w:val="none" w:sz="0" w:space="0" w:color="auto"/>
      </w:divBdr>
    </w:div>
    <w:div w:id="1993244511">
      <w:bodyDiv w:val="1"/>
      <w:marLeft w:val="0"/>
      <w:marRight w:val="0"/>
      <w:marTop w:val="0"/>
      <w:marBottom w:val="0"/>
      <w:divBdr>
        <w:top w:val="none" w:sz="0" w:space="0" w:color="auto"/>
        <w:left w:val="none" w:sz="0" w:space="0" w:color="auto"/>
        <w:bottom w:val="none" w:sz="0" w:space="0" w:color="auto"/>
        <w:right w:val="none" w:sz="0" w:space="0" w:color="auto"/>
      </w:divBdr>
      <w:divsChild>
        <w:div w:id="142842711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C5544-B007-447D-AAB7-0EC491027171}">
  <ds:schemaRefs>
    <ds:schemaRef ds:uri="http://schemas.microsoft.com/sharepoint/v3/contenttype/forms"/>
  </ds:schemaRefs>
</ds:datastoreItem>
</file>

<file path=customXml/itemProps2.xml><?xml version="1.0" encoding="utf-8"?>
<ds:datastoreItem xmlns:ds="http://schemas.openxmlformats.org/officeDocument/2006/customXml" ds:itemID="{A123E559-3F71-4E7C-9A6B-83E38A259DA5}">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48DB26A6-A89B-EB46-A4BF-FE76F14D4DEF}">
  <ds:schemaRefs>
    <ds:schemaRef ds:uri="http://schemas.openxmlformats.org/officeDocument/2006/bibliography"/>
  </ds:schemaRefs>
</ds:datastoreItem>
</file>

<file path=customXml/itemProps4.xml><?xml version="1.0" encoding="utf-8"?>
<ds:datastoreItem xmlns:ds="http://schemas.openxmlformats.org/officeDocument/2006/customXml" ds:itemID="{B37E9687-3CA6-4EE7-94A9-4E609772F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3512</Words>
  <Characters>19318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Materón</dc:creator>
  <cp:keywords/>
  <dc:description/>
  <cp:lastModifiedBy>Jorge Eliecer Moran Buitrón</cp:lastModifiedBy>
  <cp:revision>5</cp:revision>
  <dcterms:created xsi:type="dcterms:W3CDTF">2022-10-11T22:38:00Z</dcterms:created>
  <dcterms:modified xsi:type="dcterms:W3CDTF">2022-10-18T20:32:00Z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