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A2E8F" w14:textId="77777777" w:rsidR="00FE4C26" w:rsidRPr="00CE287A" w:rsidRDefault="00FE4C26" w:rsidP="0022167B">
      <w:pPr>
        <w:jc w:val="right"/>
        <w:rPr>
          <w:rFonts w:ascii="Arial" w:eastAsia="Calibri" w:hAnsi="Arial" w:cs="Arial"/>
          <w:b/>
          <w:bCs/>
          <w:color w:val="161616" w:themeColor="background1" w:themeShade="1A"/>
          <w:sz w:val="16"/>
          <w:szCs w:val="16"/>
          <w:lang w:val="es-ES_tradnl"/>
        </w:rPr>
      </w:pPr>
      <w:bookmarkStart w:id="0" w:name="_Hlk47949675"/>
      <w:r w:rsidRPr="00CE287A">
        <w:rPr>
          <w:rFonts w:ascii="Arial" w:hAnsi="Arial" w:cs="Arial"/>
          <w:b/>
          <w:bCs/>
          <w:color w:val="161616" w:themeColor="background1" w:themeShade="1A"/>
          <w:sz w:val="16"/>
          <w:szCs w:val="16"/>
          <w:lang w:val="es-ES_tradnl" w:eastAsia="es-ES"/>
        </w:rPr>
        <w:t>CCE-DES-FM-17</w:t>
      </w:r>
    </w:p>
    <w:bookmarkEnd w:id="0"/>
    <w:p w14:paraId="7BB63B4F" w14:textId="6AE1F014" w:rsidR="00A1653D" w:rsidRPr="00CE287A" w:rsidRDefault="00A1653D" w:rsidP="00CE287A">
      <w:pPr>
        <w:jc w:val="both"/>
        <w:rPr>
          <w:rFonts w:ascii="Arial" w:hAnsi="Arial" w:cs="Arial"/>
          <w:b/>
          <w:bCs/>
          <w:color w:val="161616" w:themeColor="background1" w:themeShade="1A"/>
          <w:sz w:val="20"/>
          <w:szCs w:val="20"/>
          <w:lang w:val="es-ES_tradnl" w:eastAsia="es-CO"/>
        </w:rPr>
      </w:pPr>
    </w:p>
    <w:p w14:paraId="65603E23" w14:textId="77777777" w:rsidR="00A677B6" w:rsidRPr="00B351BB" w:rsidRDefault="00A677B6" w:rsidP="00A677B6">
      <w:pPr>
        <w:jc w:val="both"/>
        <w:rPr>
          <w:rFonts w:ascii="Arial" w:eastAsia="Calibri" w:hAnsi="Arial" w:cs="Arial"/>
          <w:b/>
          <w:lang w:val="es-ES_tradnl"/>
        </w:rPr>
      </w:pPr>
      <w:bookmarkStart w:id="1" w:name="_Hlk110435904"/>
      <w:r w:rsidRPr="00B351BB">
        <w:rPr>
          <w:rFonts w:ascii="Arial" w:eastAsia="Calibri" w:hAnsi="Arial" w:cs="Arial"/>
          <w:b/>
          <w:lang w:val="es-ES_tradnl"/>
        </w:rPr>
        <w:t>DOCUMENTOS TIPO – Obligatoriedad – Inalterabilidad</w:t>
      </w:r>
    </w:p>
    <w:bookmarkEnd w:id="1"/>
    <w:p w14:paraId="383CAA65" w14:textId="77777777" w:rsidR="00A677B6" w:rsidRPr="00B351BB" w:rsidRDefault="00A677B6" w:rsidP="00A677B6">
      <w:pPr>
        <w:jc w:val="both"/>
        <w:rPr>
          <w:rFonts w:ascii="Arial" w:eastAsia="Calibri" w:hAnsi="Arial" w:cs="Arial"/>
          <w:sz w:val="20"/>
          <w:szCs w:val="20"/>
          <w:lang w:val="es-ES_tradnl"/>
        </w:rPr>
      </w:pPr>
    </w:p>
    <w:p w14:paraId="0A61AAD4" w14:textId="77777777" w:rsidR="00A677B6" w:rsidRPr="007509CD" w:rsidRDefault="00A677B6" w:rsidP="00A677B6">
      <w:pPr>
        <w:jc w:val="both"/>
        <w:rPr>
          <w:rFonts w:ascii="Arial" w:eastAsia="Calibri" w:hAnsi="Arial" w:cs="Arial"/>
          <w:sz w:val="20"/>
          <w:szCs w:val="20"/>
        </w:rPr>
      </w:pPr>
      <w:r w:rsidRPr="007509CD">
        <w:rPr>
          <w:rFonts w:ascii="Arial" w:eastAsia="Calibri" w:hAnsi="Arial" w:cs="Arial"/>
          <w:sz w:val="20"/>
          <w:szCs w:val="20"/>
        </w:rPr>
        <w:t xml:space="preserve">[…] la Ley 2022 de 2020 señala que los documentos tipo adoptados por la Agencia Nacional de Contratación Pública son de </w:t>
      </w:r>
      <w:r w:rsidRPr="007509CD">
        <w:rPr>
          <w:rFonts w:ascii="Arial" w:eastAsia="Calibri" w:hAnsi="Arial" w:cs="Arial"/>
          <w:i/>
          <w:sz w:val="20"/>
          <w:szCs w:val="20"/>
        </w:rPr>
        <w:t>obligatorio</w:t>
      </w:r>
      <w:r w:rsidRPr="007509CD">
        <w:rPr>
          <w:rFonts w:ascii="Arial" w:eastAsia="Calibri" w:hAnsi="Arial" w:cs="Arial"/>
          <w:sz w:val="20"/>
          <w:szCs w:val="20"/>
        </w:rPr>
        <w:t xml:space="preserve"> cumplimiento por todas las entidades públicas, cuyo régimen de contratación sea el Estatuto General de la Contratación de la Administración Pública ‒EGCAP‒. Esta obligatoriedad implica que las entidades estatales tengan que adelantar los procesos de contratación bajo las condiciones establecidas en los documentos tipo que rijan para el objeto a contratar, sin que puedan variarse los requisitos fijados en ellos. Lo anterior, por cuanto los documentos tipo se caracterizan por ser inalterables, es decir, que las entidades públicas carecen de la facultad de modificarlos, con excepción de aquellos aspectos que pueden diligenciar, es decir, las descripciones que están incluidas entre corchetes y resaltadas en gris en cada uno de los documentos tipo.</w:t>
      </w:r>
    </w:p>
    <w:p w14:paraId="5FE33B17" w14:textId="77777777" w:rsidR="00A677B6" w:rsidRPr="00B351BB" w:rsidRDefault="00A677B6" w:rsidP="00A677B6">
      <w:pPr>
        <w:jc w:val="both"/>
        <w:rPr>
          <w:rFonts w:ascii="Arial" w:eastAsia="Calibri" w:hAnsi="Arial" w:cs="Arial"/>
          <w:b/>
        </w:rPr>
      </w:pPr>
    </w:p>
    <w:p w14:paraId="2B5EC46A" w14:textId="77777777" w:rsidR="00A677B6" w:rsidRPr="002975CD" w:rsidRDefault="00A677B6" w:rsidP="00A677B6">
      <w:pPr>
        <w:jc w:val="both"/>
        <w:rPr>
          <w:rFonts w:ascii="Arial" w:eastAsia="Calibri" w:hAnsi="Arial" w:cs="Arial"/>
          <w:b/>
          <w:sz w:val="22"/>
          <w:szCs w:val="22"/>
        </w:rPr>
      </w:pPr>
      <w:r w:rsidRPr="002975CD">
        <w:rPr>
          <w:rFonts w:ascii="Arial" w:eastAsia="Calibri" w:hAnsi="Arial" w:cs="Arial"/>
          <w:b/>
          <w:bCs/>
          <w:sz w:val="22"/>
          <w:szCs w:val="22"/>
          <w:lang w:val="es-ES_tradnl"/>
        </w:rPr>
        <w:t>DOCUMENTOS TIPO – Infraestructura social – Sectores – Educativo – Salud – Cultura, recreación y deporte</w:t>
      </w:r>
    </w:p>
    <w:p w14:paraId="6DA1CEED" w14:textId="77777777" w:rsidR="00A677B6" w:rsidRPr="00B351BB" w:rsidRDefault="00A677B6" w:rsidP="00A677B6">
      <w:pPr>
        <w:jc w:val="both"/>
        <w:rPr>
          <w:rFonts w:ascii="Arial" w:eastAsia="Calibri" w:hAnsi="Arial" w:cs="Arial"/>
          <w:sz w:val="20"/>
          <w:szCs w:val="20"/>
        </w:rPr>
      </w:pPr>
    </w:p>
    <w:p w14:paraId="738C51AE" w14:textId="77777777" w:rsidR="00A677B6" w:rsidRPr="007509CD" w:rsidRDefault="00A677B6" w:rsidP="00A677B6">
      <w:pPr>
        <w:spacing w:after="120"/>
        <w:jc w:val="both"/>
        <w:rPr>
          <w:rFonts w:ascii="Arial" w:hAnsi="Arial" w:cs="Arial"/>
          <w:sz w:val="20"/>
          <w:szCs w:val="20"/>
          <w:lang w:val="es-ES"/>
        </w:rPr>
      </w:pPr>
      <w:r w:rsidRPr="007509CD">
        <w:rPr>
          <w:rFonts w:ascii="Arial" w:eastAsia="Calibri" w:hAnsi="Arial" w:cs="Arial"/>
          <w:bCs/>
          <w:sz w:val="20"/>
          <w:szCs w:val="20"/>
          <w:lang w:val="es-ES"/>
        </w:rPr>
        <w:t xml:space="preserve">[…] </w:t>
      </w:r>
      <w:r w:rsidRPr="007509CD">
        <w:rPr>
          <w:rFonts w:ascii="Arial" w:hAnsi="Arial" w:cs="Arial"/>
          <w:sz w:val="20"/>
          <w:szCs w:val="20"/>
          <w:lang w:val="es-ES"/>
        </w:rPr>
        <w:t xml:space="preserve">en materia de infraestructura social debe tenerse en cuenta que existen dos (2) clases de documentos tipo que se integran en cada proceso:  i) los documentos </w:t>
      </w:r>
      <w:r w:rsidRPr="007509CD">
        <w:rPr>
          <w:rFonts w:ascii="Arial" w:hAnsi="Arial" w:cs="Arial"/>
          <w:i/>
          <w:sz w:val="20"/>
          <w:szCs w:val="20"/>
          <w:lang w:val="es-ES"/>
        </w:rPr>
        <w:t>transversales</w:t>
      </w:r>
      <w:r w:rsidRPr="007509CD">
        <w:rPr>
          <w:rFonts w:ascii="Arial" w:hAnsi="Arial" w:cs="Arial"/>
          <w:sz w:val="20"/>
          <w:szCs w:val="20"/>
          <w:lang w:val="es-ES"/>
        </w:rPr>
        <w:t xml:space="preserve"> a todos los sectores de infraestructura social, es decir, el documento base, los anexos, los formatos, los formularios y las matrices adoptados mediante la Resolución No. 219 de 2021; y </w:t>
      </w:r>
      <w:proofErr w:type="spellStart"/>
      <w:r w:rsidRPr="007509CD">
        <w:rPr>
          <w:rFonts w:ascii="Arial" w:hAnsi="Arial" w:cs="Arial"/>
          <w:sz w:val="20"/>
          <w:szCs w:val="20"/>
          <w:lang w:val="es-ES"/>
        </w:rPr>
        <w:t>ii</w:t>
      </w:r>
      <w:proofErr w:type="spellEnd"/>
      <w:r w:rsidRPr="007509CD">
        <w:rPr>
          <w:rFonts w:ascii="Arial" w:hAnsi="Arial" w:cs="Arial"/>
          <w:sz w:val="20"/>
          <w:szCs w:val="20"/>
          <w:lang w:val="es-ES"/>
        </w:rPr>
        <w:t xml:space="preserve">) los documentos tipo </w:t>
      </w:r>
      <w:r w:rsidRPr="007509CD">
        <w:rPr>
          <w:rFonts w:ascii="Arial" w:hAnsi="Arial" w:cs="Arial"/>
          <w:i/>
          <w:sz w:val="20"/>
          <w:szCs w:val="20"/>
          <w:lang w:val="es-ES"/>
        </w:rPr>
        <w:t>complementarios</w:t>
      </w:r>
      <w:r w:rsidRPr="007509CD">
        <w:rPr>
          <w:rFonts w:ascii="Arial" w:hAnsi="Arial" w:cs="Arial"/>
          <w:iCs/>
          <w:sz w:val="20"/>
          <w:szCs w:val="20"/>
          <w:lang w:val="es-ES"/>
        </w:rPr>
        <w:t>,</w:t>
      </w:r>
      <w:r w:rsidRPr="007509CD">
        <w:rPr>
          <w:rFonts w:ascii="Arial" w:hAnsi="Arial" w:cs="Arial"/>
          <w:i/>
          <w:sz w:val="20"/>
          <w:szCs w:val="20"/>
          <w:lang w:val="es-ES"/>
        </w:rPr>
        <w:t xml:space="preserve"> </w:t>
      </w:r>
      <w:r w:rsidRPr="007509CD">
        <w:rPr>
          <w:rFonts w:ascii="Arial" w:hAnsi="Arial" w:cs="Arial"/>
          <w:sz w:val="20"/>
          <w:szCs w:val="20"/>
          <w:lang w:val="es-ES"/>
        </w:rPr>
        <w:t>referentes a la matriz de experiencia y el glosario, los cuales han sido adoptados en la resolución para cada sector específico.</w:t>
      </w:r>
    </w:p>
    <w:p w14:paraId="69267C84" w14:textId="77777777" w:rsidR="00A677B6" w:rsidRPr="007509CD" w:rsidRDefault="00A677B6" w:rsidP="00A677B6">
      <w:pPr>
        <w:jc w:val="both"/>
        <w:rPr>
          <w:rFonts w:ascii="Arial" w:hAnsi="Arial" w:cs="Arial"/>
          <w:i/>
          <w:iCs/>
          <w:sz w:val="20"/>
          <w:szCs w:val="20"/>
        </w:rPr>
      </w:pPr>
      <w:r w:rsidRPr="007509CD">
        <w:rPr>
          <w:rFonts w:ascii="Arial" w:hAnsi="Arial" w:cs="Arial"/>
          <w:sz w:val="20"/>
          <w:szCs w:val="20"/>
        </w:rPr>
        <w:t>De esta forma, esta Agencia expidió distintos actos administrativos a partir de los cuales se adoptaron la «Matriz – Experiencia» y el «Anexo – Glosario». Así las cosas, la Agencia expidió: i) la Resolución 220 del 6 de agosto de 2021, «Por la cual se adoptan los documentos tipo complementarios para los procesos de licitación de obra pública de infraestructura social relacionados con el sector educativo»;</w:t>
      </w:r>
      <w:r w:rsidRPr="007509CD">
        <w:rPr>
          <w:rFonts w:ascii="Arial" w:hAnsi="Arial" w:cs="Arial"/>
          <w:i/>
          <w:iCs/>
          <w:sz w:val="20"/>
          <w:szCs w:val="20"/>
        </w:rPr>
        <w:t xml:space="preserve"> </w:t>
      </w:r>
      <w:proofErr w:type="spellStart"/>
      <w:r w:rsidRPr="007509CD">
        <w:rPr>
          <w:rFonts w:ascii="Arial" w:hAnsi="Arial" w:cs="Arial"/>
          <w:sz w:val="20"/>
          <w:szCs w:val="20"/>
        </w:rPr>
        <w:t>ii</w:t>
      </w:r>
      <w:proofErr w:type="spellEnd"/>
      <w:r w:rsidRPr="007509CD">
        <w:rPr>
          <w:rFonts w:ascii="Arial" w:hAnsi="Arial" w:cs="Arial"/>
          <w:sz w:val="20"/>
          <w:szCs w:val="20"/>
        </w:rPr>
        <w:t>)</w:t>
      </w:r>
      <w:r w:rsidRPr="007509CD">
        <w:rPr>
          <w:rFonts w:ascii="Arial" w:hAnsi="Arial" w:cs="Arial"/>
          <w:i/>
          <w:iCs/>
          <w:sz w:val="20"/>
          <w:szCs w:val="20"/>
        </w:rPr>
        <w:t xml:space="preserve"> </w:t>
      </w:r>
      <w:r w:rsidRPr="007509CD">
        <w:rPr>
          <w:rFonts w:ascii="Arial" w:hAnsi="Arial" w:cs="Arial"/>
          <w:sz w:val="20"/>
          <w:szCs w:val="20"/>
        </w:rPr>
        <w:t xml:space="preserve">la Resolución 392 del 18 de noviembre de 2021, «Por la cual se adoptan los documentos tipo complementarios para los procesos de licitación de obra pública de infraestructura social relacionados con el sector salud»; y </w:t>
      </w:r>
      <w:proofErr w:type="spellStart"/>
      <w:r w:rsidRPr="007509CD">
        <w:rPr>
          <w:rFonts w:ascii="Arial" w:hAnsi="Arial" w:cs="Arial"/>
          <w:sz w:val="20"/>
          <w:szCs w:val="20"/>
        </w:rPr>
        <w:t>iii</w:t>
      </w:r>
      <w:proofErr w:type="spellEnd"/>
      <w:r w:rsidRPr="007509CD">
        <w:rPr>
          <w:rFonts w:ascii="Arial" w:hAnsi="Arial" w:cs="Arial"/>
          <w:sz w:val="20"/>
          <w:szCs w:val="20"/>
        </w:rPr>
        <w:t>) la Resolución 454 del 16 de diciembre de 2021,</w:t>
      </w:r>
      <w:r w:rsidRPr="007509CD">
        <w:rPr>
          <w:sz w:val="20"/>
          <w:szCs w:val="20"/>
        </w:rPr>
        <w:t xml:space="preserve"> </w:t>
      </w:r>
      <w:r w:rsidRPr="007509CD">
        <w:rPr>
          <w:rFonts w:ascii="Arial" w:hAnsi="Arial" w:cs="Arial"/>
          <w:sz w:val="20"/>
          <w:szCs w:val="20"/>
        </w:rPr>
        <w:t>«Por la cual se adoptan los documentos tipo complementarios para los procesos de licitación de obra pública de infraestructura social relacionados con el sector cultura, recreación y deporte»</w:t>
      </w:r>
      <w:r w:rsidRPr="007509CD">
        <w:rPr>
          <w:rFonts w:ascii="Arial" w:hAnsi="Arial" w:cs="Arial"/>
          <w:i/>
          <w:iCs/>
          <w:sz w:val="20"/>
          <w:szCs w:val="20"/>
        </w:rPr>
        <w:t>.</w:t>
      </w:r>
    </w:p>
    <w:p w14:paraId="0483BAFC" w14:textId="77777777" w:rsidR="00A677B6" w:rsidRDefault="00A677B6" w:rsidP="00A677B6">
      <w:pPr>
        <w:jc w:val="both"/>
        <w:rPr>
          <w:rFonts w:ascii="Arial" w:hAnsi="Arial" w:cs="Arial"/>
          <w:i/>
          <w:iCs/>
          <w:sz w:val="20"/>
          <w:szCs w:val="20"/>
        </w:rPr>
      </w:pPr>
    </w:p>
    <w:p w14:paraId="4CA8FFA8" w14:textId="77777777" w:rsidR="00A677B6" w:rsidRPr="002975CD" w:rsidRDefault="00A677B6" w:rsidP="00A677B6">
      <w:pPr>
        <w:jc w:val="both"/>
        <w:rPr>
          <w:rFonts w:ascii="Arial" w:eastAsia="Calibri" w:hAnsi="Arial" w:cs="Arial"/>
          <w:b/>
          <w:sz w:val="22"/>
          <w:szCs w:val="22"/>
        </w:rPr>
      </w:pPr>
      <w:r w:rsidRPr="002975CD">
        <w:rPr>
          <w:rFonts w:ascii="Arial" w:eastAsia="Calibri" w:hAnsi="Arial" w:cs="Arial"/>
          <w:b/>
          <w:bCs/>
          <w:sz w:val="22"/>
          <w:szCs w:val="22"/>
          <w:lang w:val="es-ES_tradnl"/>
        </w:rPr>
        <w:t xml:space="preserve">DOCUMENTOS TIPO – Infraestructura social – Sectores – Educativo – Salud – Cultura, recreación y deporte – Matriz de experiencia – Aplicación </w:t>
      </w:r>
    </w:p>
    <w:p w14:paraId="0A64AD05" w14:textId="77777777" w:rsidR="00A677B6" w:rsidRPr="00301AF0" w:rsidRDefault="00A677B6" w:rsidP="00A677B6">
      <w:pPr>
        <w:shd w:val="clear" w:color="auto" w:fill="FFFFFF"/>
        <w:jc w:val="both"/>
        <w:rPr>
          <w:rFonts w:ascii="Arial" w:eastAsia="Calibri" w:hAnsi="Arial" w:cs="Arial"/>
          <w:sz w:val="20"/>
          <w:szCs w:val="20"/>
          <w:lang w:val="es-MX"/>
        </w:rPr>
      </w:pPr>
    </w:p>
    <w:p w14:paraId="534E5C40" w14:textId="77777777" w:rsidR="00A677B6" w:rsidRPr="006D43F3" w:rsidRDefault="00A677B6" w:rsidP="00A677B6">
      <w:pPr>
        <w:spacing w:after="120"/>
        <w:jc w:val="both"/>
        <w:rPr>
          <w:rFonts w:ascii="Arial" w:hAnsi="Arial" w:cs="Arial"/>
          <w:sz w:val="20"/>
          <w:szCs w:val="20"/>
          <w:lang w:val="es-ES"/>
        </w:rPr>
      </w:pPr>
      <w:r w:rsidRPr="006D43F3">
        <w:rPr>
          <w:rFonts w:ascii="Arial" w:hAnsi="Arial" w:cs="Arial"/>
          <w:sz w:val="20"/>
          <w:szCs w:val="20"/>
          <w:lang w:val="es-ES"/>
        </w:rPr>
        <w:t xml:space="preserve">Las Resoluciones 220, 392 y 454 del 2021, en el artículo 2, desarrollan el «Anexo − Glosario» y la «Matriz − Experiencia» de cada sector en particular −educativo; salud; cultura, recreación y deporte− de los documentos tipo complementarios de licitación de obra pública de infraestructura social, lo que significa que estos documentos definen el alcance para cada sector. </w:t>
      </w:r>
    </w:p>
    <w:p w14:paraId="0035EF60" w14:textId="77777777" w:rsidR="00A677B6" w:rsidRPr="006D43F3" w:rsidRDefault="00A677B6" w:rsidP="00A677B6">
      <w:pPr>
        <w:spacing w:after="120"/>
        <w:jc w:val="both"/>
        <w:rPr>
          <w:rFonts w:ascii="Arial" w:eastAsia="Calibri" w:hAnsi="Arial" w:cs="Arial"/>
          <w:color w:val="0D0D0D"/>
          <w:sz w:val="20"/>
          <w:szCs w:val="20"/>
          <w:lang w:val="es-MX"/>
        </w:rPr>
      </w:pPr>
      <w:r w:rsidRPr="006D43F3">
        <w:rPr>
          <w:rFonts w:ascii="Arial" w:hAnsi="Arial" w:cs="Arial"/>
          <w:sz w:val="20"/>
          <w:szCs w:val="20"/>
          <w:lang w:val="es-ES"/>
        </w:rPr>
        <w:t xml:space="preserve">De esta forma, la Matriz de experiencia de cada sector mencionado </w:t>
      </w:r>
      <w:r w:rsidRPr="006D43F3">
        <w:rPr>
          <w:rFonts w:ascii="Arial" w:eastAsia="Calibri" w:hAnsi="Arial" w:cs="Arial"/>
          <w:color w:val="0D0D0D"/>
          <w:sz w:val="20"/>
          <w:szCs w:val="20"/>
          <w:lang w:val="es-MX"/>
        </w:rPr>
        <w:t>consta de unas celdas en las que se describe la experiencia requerida en relación con el objeto a contratar</w:t>
      </w:r>
      <w:r w:rsidRPr="006D43F3">
        <w:rPr>
          <w:rFonts w:ascii="Arial" w:hAnsi="Arial" w:cs="Arial"/>
          <w:sz w:val="20"/>
          <w:szCs w:val="20"/>
          <w:lang w:val="es-ES"/>
        </w:rPr>
        <w:t xml:space="preserve">, señalando, además, los proyectos o contratos concretos a los cuales aplican los documentos tipo de cada uno de los sectores, en el entendido de que aplicarán a los procesos contractuales cuyo objeto se relacione con alguna de las actividades establecidas de forma detallada en la Matriz de experiencia </w:t>
      </w:r>
      <w:r w:rsidRPr="006D43F3">
        <w:rPr>
          <w:rFonts w:ascii="Arial" w:hAnsi="Arial" w:cs="Arial"/>
          <w:sz w:val="20"/>
          <w:szCs w:val="20"/>
          <w:lang w:val="es-ES"/>
        </w:rPr>
        <w:lastRenderedPageBreak/>
        <w:t xml:space="preserve">respectiva. </w:t>
      </w:r>
      <w:r w:rsidRPr="006D43F3">
        <w:rPr>
          <w:rFonts w:ascii="Arial" w:eastAsia="Calibri" w:hAnsi="Arial" w:cs="Arial"/>
          <w:color w:val="0D0D0D"/>
          <w:sz w:val="20"/>
          <w:szCs w:val="20"/>
          <w:lang w:val="es-MX"/>
        </w:rPr>
        <w:t xml:space="preserve">Por otro lado, el «Anexo 3 – Glosario», contiene las definiciones de los términos usados en los documentos del proceso. Utilizando estos dos documentos, la entidad estatal puede definir si el objeto a contratarse debe aplicar los documentos tipo de licitación de obra pública de infraestructura social relacionados con el sector educativo, salud y cultura, recreación y deporte −según corresponda−. </w:t>
      </w:r>
    </w:p>
    <w:p w14:paraId="302CED79" w14:textId="77777777" w:rsidR="00A677B6" w:rsidRPr="006D43F3" w:rsidRDefault="00A677B6" w:rsidP="00A677B6">
      <w:pPr>
        <w:spacing w:before="120" w:after="120"/>
        <w:jc w:val="both"/>
        <w:rPr>
          <w:rFonts w:ascii="Arial" w:eastAsia="Calibri" w:hAnsi="Arial" w:cs="Arial"/>
          <w:color w:val="0D0D0D"/>
          <w:sz w:val="20"/>
          <w:szCs w:val="20"/>
          <w:lang w:val="es-MX"/>
        </w:rPr>
      </w:pPr>
      <w:r w:rsidRPr="006D43F3">
        <w:rPr>
          <w:rFonts w:ascii="Arial" w:eastAsia="Calibri" w:hAnsi="Arial" w:cs="Arial"/>
          <w:color w:val="0D0D0D"/>
          <w:sz w:val="20"/>
          <w:szCs w:val="20"/>
          <w:lang w:val="es-MX"/>
        </w:rPr>
        <w:t>De acuerdo con lo anterior, la Matriz de experiencia, cumple una doble función. Por un lado, sirve para estandarizar las condiciones de experiencia, conforme al parágrafo 7 del artículo 2 de la Ley 1150 de 2007. De otro lado, dicha matriz permite determinar el ámbito de aplicación de los documentos tipo complementarios de licitación de obra pública de infraestructura social, respecto de objetos contractuales asociados, ya que son las actividades descritas en esta las que, obligatoriamente, deben contratarse aplicando estos documentos tipo.</w:t>
      </w:r>
    </w:p>
    <w:p w14:paraId="469F0C41" w14:textId="77777777" w:rsidR="00A677B6" w:rsidRPr="006D43F3" w:rsidRDefault="00A677B6" w:rsidP="00A677B6">
      <w:pPr>
        <w:spacing w:before="120" w:after="120"/>
        <w:jc w:val="both"/>
        <w:rPr>
          <w:rFonts w:ascii="Arial" w:eastAsia="Calibri" w:hAnsi="Arial" w:cs="Arial"/>
          <w:color w:val="0D0D0D"/>
          <w:sz w:val="20"/>
          <w:szCs w:val="20"/>
          <w:lang w:val="es-MX"/>
        </w:rPr>
      </w:pPr>
      <w:r w:rsidRPr="006D43F3">
        <w:rPr>
          <w:rFonts w:ascii="Arial" w:eastAsia="Calibri" w:hAnsi="Arial" w:cs="Arial"/>
          <w:color w:val="0D0D0D"/>
          <w:sz w:val="20"/>
          <w:szCs w:val="20"/>
          <w:lang w:val="es-MX"/>
        </w:rPr>
        <w:t>De esta manera, para saber a qué actividades deben aplicarse los documentos tipo de licitación de obra pública de infraestructura social relacionados con el sector educativo, salud y cultura, recreación y deporte, expedidos por esta Agencia, la entidad debe verificar que estos apliquen para la modalidad de selección en la que debe celebrarse el proceso, subsumiendo el objeto a contratar en los tipos de proyectos de infraestructura a contratarse. Por tanto, si el objeto contractual a ejecutar se encuadra materialmente dentro de alguno de los tipos actividades concretas señaladas en cada una de las matrices de experiencia, se tendrán que aplicar estos documentos tipo para los mencionados sectores −según corresponda−, mientras que en el caso contrario no será forzosa su aplicación.</w:t>
      </w:r>
    </w:p>
    <w:p w14:paraId="3CE0F7A6" w14:textId="569EA301" w:rsidR="00CE287A" w:rsidRPr="00C73D31" w:rsidRDefault="00CE287A" w:rsidP="00CE287A">
      <w:pPr>
        <w:spacing w:before="100" w:beforeAutospacing="1" w:after="100" w:afterAutospacing="1"/>
        <w:jc w:val="both"/>
        <w:rPr>
          <w:rFonts w:ascii="Arial" w:hAnsi="Arial" w:cs="Arial"/>
          <w:b/>
          <w:bCs/>
          <w:color w:val="161616" w:themeColor="background1" w:themeShade="1A"/>
          <w:sz w:val="22"/>
          <w:szCs w:val="22"/>
          <w:lang w:val="es-ES_tradnl" w:eastAsia="es-CO"/>
        </w:rPr>
      </w:pPr>
      <w:r w:rsidRPr="00C73D31">
        <w:rPr>
          <w:rFonts w:ascii="Arial" w:hAnsi="Arial" w:cs="Arial"/>
          <w:b/>
          <w:bCs/>
          <w:color w:val="161616" w:themeColor="background1" w:themeShade="1A"/>
          <w:sz w:val="22"/>
          <w:szCs w:val="22"/>
          <w:lang w:val="es-ES_tradnl" w:eastAsia="es-CO"/>
        </w:rPr>
        <w:t>BIENES Y OBRAS ADICIONALES – Características</w:t>
      </w:r>
      <w:r w:rsidR="00A677B6" w:rsidRPr="00C73D31">
        <w:rPr>
          <w:rFonts w:ascii="Arial" w:hAnsi="Arial" w:cs="Arial"/>
          <w:b/>
          <w:bCs/>
          <w:color w:val="161616" w:themeColor="background1" w:themeShade="1A"/>
          <w:sz w:val="22"/>
          <w:szCs w:val="22"/>
          <w:lang w:val="es-ES_tradnl" w:eastAsia="es-CO"/>
        </w:rPr>
        <w:t xml:space="preserve"> – Parámetros </w:t>
      </w:r>
    </w:p>
    <w:p w14:paraId="75850A10" w14:textId="77777777" w:rsidR="00A677B6" w:rsidRPr="00A677B6" w:rsidRDefault="00A677B6" w:rsidP="00A677B6">
      <w:pPr>
        <w:spacing w:before="100" w:beforeAutospacing="1" w:after="100" w:afterAutospacing="1"/>
        <w:jc w:val="both"/>
        <w:rPr>
          <w:rFonts w:ascii="Arial" w:eastAsia="Calibri" w:hAnsi="Arial" w:cs="Arial"/>
          <w:sz w:val="20"/>
          <w:szCs w:val="20"/>
        </w:rPr>
      </w:pPr>
      <w:r w:rsidRPr="00A677B6">
        <w:rPr>
          <w:rFonts w:ascii="Arial" w:eastAsia="Calibri" w:hAnsi="Arial" w:cs="Arial"/>
          <w:sz w:val="20"/>
          <w:szCs w:val="20"/>
        </w:rPr>
        <w:t xml:space="preserve">Según el parágrafo 2 del artículo 1 de la Resolución 219 de 2021, los documentos tipo para licitación pública de infraestructura social «[…] aplicarán  a  los  proyectos  de  infraestructura  social,  tales como, sector educativo, sector salud y sector cultural,  recreación y deporte, de conformidad con cada una de las resoluciones que expida la Agencia Nacional de Contratación Pública -Colombia Compra  Eficiente-,  donde  se  precisará  el  alcance  concreto  de  estos  documentos  tipo;  sin perjuicio de que se incluyan otros tipos de infraestructura social.» </w:t>
      </w:r>
    </w:p>
    <w:p w14:paraId="514483F1" w14:textId="19445E2C" w:rsidR="00A677B6" w:rsidRDefault="00A677B6" w:rsidP="00A677B6">
      <w:pPr>
        <w:spacing w:before="100" w:beforeAutospacing="1" w:after="100" w:afterAutospacing="1"/>
        <w:jc w:val="both"/>
        <w:rPr>
          <w:rFonts w:ascii="Arial" w:eastAsia="Calibri" w:hAnsi="Arial" w:cs="Arial"/>
          <w:sz w:val="20"/>
          <w:szCs w:val="20"/>
        </w:rPr>
      </w:pPr>
      <w:r w:rsidRPr="00A677B6">
        <w:rPr>
          <w:rFonts w:ascii="Arial" w:eastAsia="Calibri" w:hAnsi="Arial" w:cs="Arial"/>
          <w:sz w:val="20"/>
          <w:szCs w:val="20"/>
        </w:rPr>
        <w:t xml:space="preserve">Una excepción a la regla anterior se encuentra prevista en el artículo 4 de la Resolución 219 de 2021, según el cual, para aquellos casos en los que en los que, en el alcance de contratos principalmente dirigidos a la ejecución de obras de infraestructura social, se incluyen bienes o servicios adicionales o ajenos a este tipo de obras . Estos son definidos por el parágrafo 2 de dicho artículo como «[…] aquellas actividades que no están incluidas en la matriz de experiencia de los documentos tipo de infraestructura social aplicable, pero que están relacionadas con el contrato a ejecutar. Por ejemplo, en caso de que el proyecto de obra pública a ejecutar esté relacionado con infraestructura social, como es el sector educativo, pero, además, con proyectos de agua potable y saneamiento básico o con proyectos en la construcción de una vía, el servicio adicional serán las actividades de obra pública en infraestructura de agua potable y saneamiento básico o las actividades de obra pública de infraestructura de transporte». </w:t>
      </w:r>
      <w:r>
        <w:rPr>
          <w:rFonts w:ascii="Arial" w:eastAsia="Calibri" w:hAnsi="Arial" w:cs="Arial"/>
          <w:sz w:val="20"/>
          <w:szCs w:val="20"/>
        </w:rPr>
        <w:t xml:space="preserve"> </w:t>
      </w:r>
      <w:r w:rsidRPr="00A677B6">
        <w:rPr>
          <w:rFonts w:ascii="Arial" w:eastAsia="Calibri" w:hAnsi="Arial" w:cs="Arial"/>
          <w:sz w:val="20"/>
          <w:szCs w:val="20"/>
        </w:rPr>
        <w:t xml:space="preserve">La norma se encarga de establecer unos parámetros que permiten la inclusión de requisitos de experiencia para la evaluación de la idoneidad de los proponentes en relación con los bienes y servicios adicionales a la obra pública de infraestructura social, que no cuentan con experiencia estandarizada. Aplicando estos parámetros la entidad estatal puede solicitar experiencia adicional para evaluar la idoneidad del contratista en procesos de contratación que incluyen bienes o servicios adicionales al proceso que pretende adelantarse. </w:t>
      </w:r>
    </w:p>
    <w:p w14:paraId="564B15D5" w14:textId="2C45994F" w:rsidR="00A677B6" w:rsidRDefault="00A677B6" w:rsidP="00A677B6">
      <w:pPr>
        <w:spacing w:before="100" w:beforeAutospacing="1" w:after="100" w:afterAutospacing="1"/>
        <w:jc w:val="both"/>
        <w:rPr>
          <w:rFonts w:ascii="Arial" w:eastAsia="Calibri" w:hAnsi="Arial" w:cs="Arial"/>
          <w:sz w:val="20"/>
          <w:szCs w:val="20"/>
        </w:rPr>
      </w:pPr>
    </w:p>
    <w:p w14:paraId="05173D4D" w14:textId="34C4962C" w:rsidR="00A677B6" w:rsidRDefault="00A677B6" w:rsidP="00A677B6">
      <w:pPr>
        <w:spacing w:before="100" w:beforeAutospacing="1" w:after="100" w:afterAutospacing="1"/>
        <w:jc w:val="both"/>
        <w:rPr>
          <w:rFonts w:ascii="Arial" w:eastAsia="Calibri" w:hAnsi="Arial" w:cs="Arial"/>
          <w:sz w:val="20"/>
          <w:szCs w:val="20"/>
        </w:rPr>
      </w:pPr>
    </w:p>
    <w:p w14:paraId="184837A8" w14:textId="77777777" w:rsidR="00A677B6" w:rsidRPr="00A677B6" w:rsidRDefault="00A677B6" w:rsidP="00A677B6">
      <w:pPr>
        <w:spacing w:before="100" w:beforeAutospacing="1" w:after="100" w:afterAutospacing="1"/>
        <w:jc w:val="both"/>
        <w:rPr>
          <w:rFonts w:ascii="Arial" w:eastAsia="Calibri" w:hAnsi="Arial" w:cs="Arial"/>
          <w:sz w:val="20"/>
          <w:szCs w:val="20"/>
        </w:rPr>
      </w:pPr>
      <w:r w:rsidRPr="00A677B6">
        <w:rPr>
          <w:rFonts w:ascii="Arial" w:eastAsia="Calibri" w:hAnsi="Arial" w:cs="Arial"/>
          <w:sz w:val="20"/>
          <w:szCs w:val="20"/>
        </w:rPr>
        <w:t>Sin perjuicio de lo anterior, el parágrafo 1 del artículo 4 de la mencionada resolución establece una regla especial para los eventos en los que el componente adicional a la obra pública de infraestructura de transporte lo constituyen actividades cobijadas por otros documentos tipo expedidos por la Agencia Nacional de Contratación Pública. Para estos efectos se establece que «[…] la entidad estatal podrá aplicar las reglas de combinación de experiencia previstas en el numeral 3.5.1 del documento base».</w:t>
      </w:r>
    </w:p>
    <w:p w14:paraId="4F179F3E" w14:textId="18B20AD6" w:rsidR="00A677B6" w:rsidRDefault="00A677B6" w:rsidP="00A677B6">
      <w:pPr>
        <w:spacing w:before="100" w:beforeAutospacing="1" w:after="100" w:afterAutospacing="1"/>
        <w:jc w:val="both"/>
        <w:rPr>
          <w:rFonts w:ascii="Arial" w:eastAsia="Calibri" w:hAnsi="Arial" w:cs="Arial"/>
          <w:sz w:val="20"/>
          <w:szCs w:val="20"/>
        </w:rPr>
      </w:pPr>
      <w:bookmarkStart w:id="2" w:name="_Hlk110436138"/>
      <w:r w:rsidRPr="00CE287A">
        <w:rPr>
          <w:rFonts w:ascii="Arial" w:hAnsi="Arial" w:cs="Arial"/>
          <w:b/>
          <w:bCs/>
          <w:color w:val="161616" w:themeColor="background1" w:themeShade="1A"/>
          <w:sz w:val="20"/>
          <w:szCs w:val="20"/>
          <w:lang w:val="es-ES_tradnl" w:eastAsia="es-CO"/>
        </w:rPr>
        <w:t xml:space="preserve">BIENES Y OBRAS ADICIONALES – </w:t>
      </w:r>
      <w:r>
        <w:rPr>
          <w:rFonts w:ascii="Arial" w:hAnsi="Arial" w:cs="Arial"/>
          <w:b/>
          <w:bCs/>
          <w:color w:val="161616" w:themeColor="background1" w:themeShade="1A"/>
          <w:sz w:val="20"/>
          <w:szCs w:val="20"/>
          <w:lang w:val="es-ES_tradnl" w:eastAsia="es-CO"/>
        </w:rPr>
        <w:t>Reglas de combinación de experiencia – Acreditación de magnitudes intervenidas</w:t>
      </w:r>
    </w:p>
    <w:bookmarkEnd w:id="2"/>
    <w:p w14:paraId="0D1CEC7F" w14:textId="729812D6" w:rsidR="00A677B6" w:rsidRPr="00A677B6" w:rsidRDefault="00A677B6" w:rsidP="00A677B6">
      <w:pPr>
        <w:spacing w:before="100" w:beforeAutospacing="1" w:after="100" w:afterAutospacing="1"/>
        <w:jc w:val="both"/>
        <w:rPr>
          <w:rFonts w:ascii="Arial" w:eastAsia="Calibri" w:hAnsi="Arial" w:cs="Arial"/>
          <w:sz w:val="20"/>
          <w:szCs w:val="20"/>
        </w:rPr>
      </w:pPr>
      <w:r w:rsidRPr="00A677B6">
        <w:rPr>
          <w:rFonts w:ascii="Arial" w:eastAsia="Calibri" w:hAnsi="Arial" w:cs="Arial"/>
          <w:sz w:val="20"/>
          <w:szCs w:val="20"/>
        </w:rPr>
        <w:t>En armonía con lo anterior, el literal A del numeral 3.5.1. «CARACTERÍSTICAS DE LOS CONTRATOS PRESENTADOS PARA ACREDITAR LA EXPERIENCIA EXIGIDA» del Documento Base de licitación de obra pública de infraestructura social, establece las reglas que deben tener en cuenta las entidades estatales y los particulares en caso de que se soliciten combinaciones de diferentes actividades a contratar de una misma o de diferentes matrices de experiencia:</w:t>
      </w:r>
      <w:r>
        <w:rPr>
          <w:rFonts w:ascii="Arial" w:eastAsia="Calibri" w:hAnsi="Arial" w:cs="Arial"/>
          <w:sz w:val="20"/>
          <w:szCs w:val="20"/>
        </w:rPr>
        <w:t xml:space="preserve">[…] </w:t>
      </w:r>
      <w:r w:rsidRPr="00A677B6">
        <w:rPr>
          <w:rFonts w:ascii="Arial" w:eastAsia="Calibri" w:hAnsi="Arial" w:cs="Arial"/>
          <w:sz w:val="20"/>
          <w:szCs w:val="20"/>
        </w:rPr>
        <w:t xml:space="preserve">Una vez definida la actividad principal y secundaria, la entidad estatal debe determinar los requisitos de experiencia exigibles de acuerdo con la matriz de experiencia aplicable, de alguna de la siguientes formas: i) no solicitando experiencia para la actividad secundaria, sino únicamente para la principal, siempre que esta se trate de una actividad definida en las matrices de experiencia de los documentos tipo de infraestructura social, o </w:t>
      </w:r>
      <w:proofErr w:type="spellStart"/>
      <w:r w:rsidRPr="00A677B6">
        <w:rPr>
          <w:rFonts w:ascii="Arial" w:eastAsia="Calibri" w:hAnsi="Arial" w:cs="Arial"/>
          <w:sz w:val="20"/>
          <w:szCs w:val="20"/>
        </w:rPr>
        <w:t>ii</w:t>
      </w:r>
      <w:proofErr w:type="spellEnd"/>
      <w:r w:rsidRPr="00A677B6">
        <w:rPr>
          <w:rFonts w:ascii="Arial" w:eastAsia="Calibri" w:hAnsi="Arial" w:cs="Arial"/>
          <w:sz w:val="20"/>
          <w:szCs w:val="20"/>
        </w:rPr>
        <w:t>) solicitando experiencia general y específica de la actividad principal, y requiriendo la experiencia específica correspondiente a la respectiva matriz de experiencia para el caso de las actividades secundarias –salvo que la matriz aplicable no contemple experiencia específica para determinada actividad secundaria, caso en el cual se podrá solicitar la experiencia general–. La experiencia exigible para las actividades principal y secundaria, debe ser definida en función de los rangos de cuantías aplicables al respectivo proceso de contratación. En todo caso, la entidad contratante no puede incluir más de 2 combinaciones de experiencia adicionales a la prevista para la actividad principal.</w:t>
      </w:r>
    </w:p>
    <w:p w14:paraId="74C1D539" w14:textId="5D000EA9" w:rsidR="00A677B6" w:rsidRPr="00CE287A" w:rsidRDefault="00A677B6" w:rsidP="002975CD">
      <w:pPr>
        <w:spacing w:before="100" w:beforeAutospacing="1" w:after="100" w:afterAutospacing="1"/>
        <w:jc w:val="both"/>
        <w:rPr>
          <w:rFonts w:ascii="Arial" w:eastAsia="Calibri" w:hAnsi="Arial" w:cs="Arial"/>
          <w:sz w:val="20"/>
          <w:szCs w:val="20"/>
        </w:rPr>
      </w:pPr>
      <w:r w:rsidRPr="00A677B6">
        <w:rPr>
          <w:rFonts w:ascii="Arial" w:eastAsia="Calibri" w:hAnsi="Arial" w:cs="Arial"/>
          <w:sz w:val="20"/>
          <w:szCs w:val="20"/>
        </w:rPr>
        <w:t xml:space="preserve"> De acuerdo con esto, la hipótesis establecida en el tercer interrogante, en el marco de la cual se pretende adelantar un proceso de licitación de obra pública de infraestructura social que incluye dentro de su alcance obras de mejoramiento de vías, es un supuesto en el cual debe aplicarse lo dispuestos en el parágrafo 1 del artículo 4 de la Resolución 219 de 2021, y, en consecuencia, las reglas de combinación de experiencia establecidas en el numeral 3.5.1. Esto comoquiera que las obras de infraestructura de transporte se encuentran cobijadas por los documentos tipo adoptados mediante las resoluciones 094, 240 de 2020 y 241 de 2020, expedidas por esta Agencia. </w:t>
      </w:r>
      <w:r>
        <w:rPr>
          <w:rFonts w:ascii="Arial" w:eastAsia="Calibri" w:hAnsi="Arial" w:cs="Arial"/>
          <w:sz w:val="20"/>
          <w:szCs w:val="20"/>
        </w:rPr>
        <w:t xml:space="preserve"> </w:t>
      </w:r>
      <w:r w:rsidRPr="00A677B6">
        <w:rPr>
          <w:rFonts w:ascii="Arial" w:eastAsia="Calibri" w:hAnsi="Arial" w:cs="Arial"/>
          <w:sz w:val="20"/>
          <w:szCs w:val="20"/>
        </w:rPr>
        <w:t xml:space="preserve">Ahora bien, la regla del literal I del numeral 3.5.2 también es aplicable en la evaluación de los requisitos configurados en virtud de la reglas de combinación de experiencia, lo que significa todos aquellos requerimientos de experiencia que estén planteados en términos de dimensionamiento requieren que el proponente acredite las respectivas dimensiones, estando facultadas las entidades para descontar las áreas o longitudes no relacionadas con los requisitos de experiencia establecidos para la actividad principal–configurados a partir de la matriz de experiencia del sector recreación, cultura y deporte–, como los precisen para la actividad secundaría–establecidos a partir de la matriz de experiencia del sector transporte–. No obstante, la aplicación de la regla en este sentido no </w:t>
      </w:r>
      <w:r w:rsidRPr="00A677B6">
        <w:rPr>
          <w:rFonts w:ascii="Arial" w:eastAsia="Calibri" w:hAnsi="Arial" w:cs="Arial"/>
          <w:sz w:val="20"/>
          <w:szCs w:val="20"/>
        </w:rPr>
        <w:lastRenderedPageBreak/>
        <w:t>significa que las magnitudes descartadas para el cómputo de la experiencia establecida para la actividad principal no pueda ser tenida en cuenta para la actividad secundaria y viceversa. En ese sentido, la regla del literal I en casos de experiencia combinada debe ser aplicada en función de cada uno de los requisitos.</w:t>
      </w:r>
    </w:p>
    <w:p w14:paraId="26BAD518" w14:textId="688DBECD" w:rsidR="00DD79A0" w:rsidRDefault="00DD79A0" w:rsidP="002D08FE">
      <w:pPr>
        <w:tabs>
          <w:tab w:val="left" w:pos="426"/>
        </w:tabs>
        <w:jc w:val="both"/>
        <w:rPr>
          <w:rFonts w:ascii="Arial" w:eastAsia="Calibri" w:hAnsi="Arial" w:cs="Arial"/>
          <w:color w:val="161616" w:themeColor="background1" w:themeShade="1A"/>
          <w:sz w:val="22"/>
          <w:szCs w:val="22"/>
        </w:rPr>
      </w:pPr>
    </w:p>
    <w:p w14:paraId="20DDAA72" w14:textId="72E0A76F" w:rsidR="00DD79A0" w:rsidRDefault="00DD79A0" w:rsidP="002D08FE">
      <w:pPr>
        <w:tabs>
          <w:tab w:val="left" w:pos="426"/>
        </w:tabs>
        <w:jc w:val="both"/>
        <w:rPr>
          <w:rFonts w:ascii="Arial" w:eastAsia="Calibri" w:hAnsi="Arial" w:cs="Arial"/>
          <w:color w:val="161616" w:themeColor="background1" w:themeShade="1A"/>
          <w:sz w:val="22"/>
          <w:szCs w:val="22"/>
        </w:rPr>
      </w:pPr>
    </w:p>
    <w:p w14:paraId="1D727C69" w14:textId="139056A0" w:rsidR="00A25D6E" w:rsidRPr="0015287D" w:rsidRDefault="002933C8" w:rsidP="0015287D">
      <w:pPr>
        <w:spacing w:before="120" w:after="120" w:line="276" w:lineRule="auto"/>
        <w:jc w:val="both"/>
        <w:rPr>
          <w:rFonts w:ascii="Arial" w:eastAsia="Calibri" w:hAnsi="Arial" w:cs="Arial"/>
          <w:color w:val="161616" w:themeColor="background1" w:themeShade="1A"/>
          <w:sz w:val="22"/>
          <w:szCs w:val="22"/>
        </w:rPr>
      </w:pPr>
      <w:r>
        <w:rPr>
          <w:rFonts w:ascii="Arial" w:eastAsia="Calibri" w:hAnsi="Arial" w:cs="Arial"/>
          <w:color w:val="161616" w:themeColor="background1" w:themeShade="1A"/>
          <w:sz w:val="22"/>
          <w:szCs w:val="22"/>
        </w:rPr>
        <w:br w:type="page"/>
      </w:r>
    </w:p>
    <w:p w14:paraId="21C4F094" w14:textId="2DC21F58" w:rsidR="00AC0508" w:rsidRDefault="00AC0508" w:rsidP="00AC0508">
      <w:pPr>
        <w:jc w:val="right"/>
      </w:pPr>
      <w:r>
        <w:lastRenderedPageBreak/>
        <w:fldChar w:fldCharType="begin"/>
      </w:r>
      <w:r>
        <w:instrText xml:space="preserve"> INCLUDEPICTURE "/var/folders/tb/0fmk9b510f57pz5rwhv8lnpw0000gp/T/com.microsoft.Word/WebArchiveCopyPasteTempFiles/page1image12160256" \* MERGEFORMATINET </w:instrText>
      </w:r>
      <w:r>
        <w:fldChar w:fldCharType="separate"/>
      </w:r>
      <w:r>
        <w:rPr>
          <w:noProof/>
        </w:rPr>
        <w:drawing>
          <wp:inline distT="0" distB="0" distL="0" distR="0" wp14:anchorId="71429116" wp14:editId="705C0401">
            <wp:extent cx="3349213" cy="855024"/>
            <wp:effectExtent l="0" t="0" r="3810" b="2540"/>
            <wp:docPr id="1" name="Imagen 1" descr="page1image12160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21602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4511" cy="858929"/>
                    </a:xfrm>
                    <a:prstGeom prst="rect">
                      <a:avLst/>
                    </a:prstGeom>
                    <a:noFill/>
                    <a:ln>
                      <a:noFill/>
                    </a:ln>
                  </pic:spPr>
                </pic:pic>
              </a:graphicData>
            </a:graphic>
          </wp:inline>
        </w:drawing>
      </w:r>
      <w:r>
        <w:fldChar w:fldCharType="end"/>
      </w:r>
    </w:p>
    <w:p w14:paraId="265E1E07" w14:textId="44051F58" w:rsidR="00880CAB" w:rsidRDefault="00880CAB" w:rsidP="00730518">
      <w:pPr>
        <w:jc w:val="right"/>
        <w:rPr>
          <w:rFonts w:ascii="Arial" w:hAnsi="Arial" w:cs="Arial"/>
          <w:bCs/>
          <w:color w:val="161616" w:themeColor="background1" w:themeShade="1A"/>
          <w:sz w:val="22"/>
          <w:szCs w:val="22"/>
          <w:lang w:val="es-ES_tradnl"/>
        </w:rPr>
      </w:pPr>
    </w:p>
    <w:p w14:paraId="1BD084B0" w14:textId="77777777" w:rsidR="00642A64" w:rsidRPr="00E34DEB" w:rsidRDefault="00642A64" w:rsidP="0022167B">
      <w:pPr>
        <w:jc w:val="both"/>
        <w:rPr>
          <w:rFonts w:ascii="Arial" w:hAnsi="Arial" w:cs="Arial"/>
          <w:bCs/>
          <w:color w:val="161616" w:themeColor="background1" w:themeShade="1A"/>
          <w:sz w:val="22"/>
          <w:szCs w:val="22"/>
          <w:lang w:val="es-ES_tradnl"/>
        </w:rPr>
      </w:pPr>
    </w:p>
    <w:p w14:paraId="04C389CF" w14:textId="3161353C" w:rsidR="00764EF6" w:rsidRDefault="00764EF6" w:rsidP="0022167B">
      <w:pPr>
        <w:rPr>
          <w:rFonts w:ascii="Arial" w:hAnsi="Arial" w:cs="Arial"/>
          <w:color w:val="161616" w:themeColor="background1" w:themeShade="1A"/>
          <w:sz w:val="22"/>
          <w:szCs w:val="22"/>
          <w:lang w:val="es-ES_tradnl"/>
        </w:rPr>
      </w:pPr>
      <w:bookmarkStart w:id="3" w:name="_Hlk70510939"/>
      <w:r>
        <w:rPr>
          <w:rFonts w:ascii="Arial" w:hAnsi="Arial" w:cs="Arial"/>
          <w:color w:val="161616" w:themeColor="background1" w:themeShade="1A"/>
          <w:sz w:val="22"/>
          <w:szCs w:val="22"/>
          <w:lang w:val="es-ES_tradnl"/>
        </w:rPr>
        <w:t>Bogotá D.C., 4 de agosto de 2022</w:t>
      </w:r>
    </w:p>
    <w:p w14:paraId="45D9607B" w14:textId="77777777" w:rsidR="00764EF6" w:rsidRDefault="00764EF6" w:rsidP="0022167B">
      <w:pPr>
        <w:rPr>
          <w:rFonts w:ascii="Arial" w:hAnsi="Arial" w:cs="Arial"/>
          <w:color w:val="161616" w:themeColor="background1" w:themeShade="1A"/>
          <w:sz w:val="22"/>
          <w:szCs w:val="22"/>
          <w:lang w:val="es-ES_tradnl"/>
        </w:rPr>
      </w:pPr>
    </w:p>
    <w:p w14:paraId="6E444D61" w14:textId="151293FA" w:rsidR="00E54365" w:rsidRDefault="00E54365" w:rsidP="0022167B">
      <w:pPr>
        <w:rPr>
          <w:rFonts w:ascii="Arial" w:hAnsi="Arial" w:cs="Arial"/>
          <w:color w:val="161616" w:themeColor="background1" w:themeShade="1A"/>
          <w:sz w:val="22"/>
          <w:szCs w:val="22"/>
          <w:lang w:val="es-ES_tradnl"/>
        </w:rPr>
      </w:pPr>
      <w:r w:rsidRPr="00DE3BBA">
        <w:rPr>
          <w:rFonts w:ascii="Arial" w:hAnsi="Arial" w:cs="Arial"/>
          <w:color w:val="161616" w:themeColor="background1" w:themeShade="1A"/>
          <w:sz w:val="22"/>
          <w:szCs w:val="22"/>
          <w:lang w:val="es-ES_tradnl"/>
        </w:rPr>
        <w:t>Señor</w:t>
      </w:r>
      <w:r w:rsidR="0015287D">
        <w:rPr>
          <w:rFonts w:ascii="Arial" w:hAnsi="Arial" w:cs="Arial"/>
          <w:color w:val="161616" w:themeColor="background1" w:themeShade="1A"/>
          <w:sz w:val="22"/>
          <w:szCs w:val="22"/>
          <w:lang w:val="es-ES_tradnl"/>
        </w:rPr>
        <w:t>es</w:t>
      </w:r>
    </w:p>
    <w:p w14:paraId="3BF7B7B5" w14:textId="1E75A1A2" w:rsidR="0015287D" w:rsidRPr="0015287D" w:rsidRDefault="0015287D" w:rsidP="0022167B">
      <w:pPr>
        <w:rPr>
          <w:rFonts w:ascii="Arial" w:hAnsi="Arial" w:cs="Arial"/>
          <w:b/>
          <w:bCs/>
          <w:color w:val="161616" w:themeColor="background1" w:themeShade="1A"/>
          <w:sz w:val="22"/>
          <w:szCs w:val="22"/>
          <w:lang w:val="es-ES_tradnl"/>
        </w:rPr>
      </w:pPr>
      <w:r w:rsidRPr="0015287D">
        <w:rPr>
          <w:rFonts w:ascii="Arial" w:hAnsi="Arial" w:cs="Arial"/>
          <w:b/>
          <w:bCs/>
          <w:color w:val="161616" w:themeColor="background1" w:themeShade="1A"/>
          <w:sz w:val="22"/>
          <w:szCs w:val="22"/>
          <w:lang w:val="es-ES_tradnl"/>
        </w:rPr>
        <w:t>INFRAESTRUCTURA Y VIAS S.A.S</w:t>
      </w:r>
    </w:p>
    <w:p w14:paraId="21C6850B" w14:textId="110ADD89" w:rsidR="0015287D" w:rsidRPr="00DE3BBA" w:rsidRDefault="0015287D" w:rsidP="0022167B">
      <w:pPr>
        <w:rPr>
          <w:rFonts w:ascii="Arial" w:hAnsi="Arial" w:cs="Arial"/>
          <w:color w:val="161616" w:themeColor="background1" w:themeShade="1A"/>
          <w:sz w:val="22"/>
          <w:szCs w:val="22"/>
          <w:lang w:val="es-ES_tradnl"/>
        </w:rPr>
      </w:pPr>
      <w:r>
        <w:rPr>
          <w:rFonts w:ascii="Arial" w:hAnsi="Arial" w:cs="Arial"/>
          <w:color w:val="161616" w:themeColor="background1" w:themeShade="1A"/>
          <w:sz w:val="22"/>
          <w:szCs w:val="22"/>
          <w:lang w:val="es-ES_tradnl"/>
        </w:rPr>
        <w:t>Bogotá D.C</w:t>
      </w:r>
      <w:r w:rsidR="00055F34">
        <w:rPr>
          <w:rFonts w:ascii="Arial" w:hAnsi="Arial" w:cs="Arial"/>
          <w:color w:val="161616" w:themeColor="background1" w:themeShade="1A"/>
          <w:sz w:val="22"/>
          <w:szCs w:val="22"/>
          <w:lang w:val="es-ES_tradnl"/>
        </w:rPr>
        <w:t>.</w:t>
      </w:r>
    </w:p>
    <w:p w14:paraId="68DE090B" w14:textId="77777777" w:rsidR="00B87AC3" w:rsidRPr="00B87AC3" w:rsidRDefault="00B87AC3" w:rsidP="00B87AC3">
      <w:pPr>
        <w:jc w:val="both"/>
        <w:rPr>
          <w:rFonts w:ascii="Arial" w:hAnsi="Arial" w:cs="Arial"/>
          <w:bCs/>
          <w:color w:val="0033CC"/>
          <w:sz w:val="22"/>
          <w:szCs w:val="22"/>
          <w:lang w:val="es-ES_tradnl"/>
        </w:rPr>
      </w:pPr>
    </w:p>
    <w:p w14:paraId="462F7397" w14:textId="77777777" w:rsidR="0076432E" w:rsidRPr="00515D32" w:rsidRDefault="0076432E" w:rsidP="0022167B">
      <w:pPr>
        <w:ind w:left="2124" w:firstLine="708"/>
        <w:rPr>
          <w:rFonts w:ascii="Arial" w:hAnsi="Arial" w:cs="Arial"/>
          <w:b/>
          <w:bCs/>
          <w:color w:val="161616" w:themeColor="background1" w:themeShade="1A"/>
          <w:sz w:val="22"/>
          <w:szCs w:val="22"/>
          <w:lang w:val="es-ES_tradnl"/>
        </w:rPr>
      </w:pPr>
    </w:p>
    <w:p w14:paraId="17BA6817" w14:textId="425F4FE2" w:rsidR="00E54365" w:rsidRPr="00515D32" w:rsidRDefault="00E54365" w:rsidP="00055F34">
      <w:pPr>
        <w:ind w:left="2124"/>
        <w:rPr>
          <w:rFonts w:ascii="Arial" w:hAnsi="Arial" w:cs="Arial"/>
          <w:b/>
          <w:bCs/>
          <w:color w:val="161616" w:themeColor="background1" w:themeShade="1A"/>
          <w:sz w:val="22"/>
          <w:szCs w:val="22"/>
          <w:lang w:val="es-ES_tradnl"/>
        </w:rPr>
      </w:pPr>
      <w:r w:rsidRPr="00515D32">
        <w:rPr>
          <w:rFonts w:ascii="Arial" w:hAnsi="Arial" w:cs="Arial"/>
          <w:b/>
          <w:bCs/>
          <w:color w:val="161616" w:themeColor="background1" w:themeShade="1A"/>
          <w:sz w:val="22"/>
          <w:szCs w:val="22"/>
          <w:lang w:val="es-ES_tradnl"/>
        </w:rPr>
        <w:t>Concepto</w:t>
      </w:r>
      <w:r w:rsidR="006559E3" w:rsidRPr="00515D32">
        <w:rPr>
          <w:rFonts w:ascii="Arial" w:hAnsi="Arial" w:cs="Arial"/>
          <w:b/>
          <w:bCs/>
          <w:color w:val="161616" w:themeColor="background1" w:themeShade="1A"/>
          <w:sz w:val="22"/>
          <w:szCs w:val="22"/>
          <w:lang w:val="es-ES_tradnl"/>
        </w:rPr>
        <w:t xml:space="preserve"> </w:t>
      </w:r>
      <w:r w:rsidRPr="00515D32">
        <w:rPr>
          <w:rFonts w:ascii="Arial" w:hAnsi="Arial" w:cs="Arial"/>
          <w:b/>
          <w:bCs/>
          <w:color w:val="161616" w:themeColor="background1" w:themeShade="1A"/>
          <w:sz w:val="22"/>
          <w:szCs w:val="22"/>
          <w:lang w:val="es-ES_tradnl"/>
        </w:rPr>
        <w:t>C</w:t>
      </w:r>
      <w:r w:rsidR="00766A70" w:rsidRPr="00515D32">
        <w:rPr>
          <w:rFonts w:ascii="Arial" w:hAnsi="Arial" w:cs="Arial"/>
          <w:b/>
          <w:bCs/>
          <w:color w:val="161616" w:themeColor="background1" w:themeShade="1A"/>
          <w:sz w:val="22"/>
          <w:szCs w:val="22"/>
          <w:lang w:val="es-ES_tradnl"/>
        </w:rPr>
        <w:t xml:space="preserve"> </w:t>
      </w:r>
      <w:r w:rsidR="00F301AD" w:rsidRPr="00515D32">
        <w:rPr>
          <w:rFonts w:ascii="Arial" w:hAnsi="Arial" w:cs="Arial"/>
          <w:b/>
          <w:bCs/>
          <w:color w:val="161616" w:themeColor="background1" w:themeShade="1A"/>
          <w:sz w:val="22"/>
          <w:szCs w:val="22"/>
          <w:lang w:val="es-ES_tradnl"/>
        </w:rPr>
        <w:t>–</w:t>
      </w:r>
      <w:r w:rsidR="00766A70" w:rsidRPr="00515D32">
        <w:rPr>
          <w:rFonts w:ascii="Arial" w:hAnsi="Arial" w:cs="Arial"/>
          <w:b/>
          <w:bCs/>
          <w:color w:val="161616" w:themeColor="background1" w:themeShade="1A"/>
          <w:sz w:val="22"/>
          <w:szCs w:val="22"/>
          <w:lang w:val="es-ES_tradnl"/>
        </w:rPr>
        <w:t xml:space="preserve"> </w:t>
      </w:r>
      <w:r w:rsidR="0015287D">
        <w:rPr>
          <w:rFonts w:ascii="Arial" w:hAnsi="Arial" w:cs="Arial"/>
          <w:b/>
          <w:bCs/>
          <w:color w:val="161616" w:themeColor="background1" w:themeShade="1A"/>
          <w:sz w:val="22"/>
          <w:szCs w:val="22"/>
          <w:lang w:val="es-ES_tradnl"/>
        </w:rPr>
        <w:t>502</w:t>
      </w:r>
      <w:r w:rsidR="00E81FD0" w:rsidRPr="00515D32">
        <w:rPr>
          <w:rFonts w:ascii="Arial" w:hAnsi="Arial" w:cs="Arial"/>
          <w:b/>
          <w:bCs/>
          <w:color w:val="161616" w:themeColor="background1" w:themeShade="1A"/>
          <w:sz w:val="22"/>
          <w:szCs w:val="22"/>
          <w:lang w:val="es-ES_tradnl"/>
        </w:rPr>
        <w:t xml:space="preserve"> </w:t>
      </w:r>
      <w:r w:rsidRPr="00515D32">
        <w:rPr>
          <w:rFonts w:ascii="Arial" w:hAnsi="Arial" w:cs="Arial"/>
          <w:b/>
          <w:bCs/>
          <w:color w:val="161616" w:themeColor="background1" w:themeShade="1A"/>
          <w:sz w:val="22"/>
          <w:szCs w:val="22"/>
          <w:lang w:val="es-ES_tradnl"/>
        </w:rPr>
        <w:t>de 202</w:t>
      </w:r>
      <w:r w:rsidR="00DC02B2" w:rsidRPr="00515D32">
        <w:rPr>
          <w:rFonts w:ascii="Arial" w:hAnsi="Arial" w:cs="Arial"/>
          <w:b/>
          <w:bCs/>
          <w:color w:val="161616" w:themeColor="background1" w:themeShade="1A"/>
          <w:sz w:val="22"/>
          <w:szCs w:val="22"/>
          <w:lang w:val="es-ES_tradnl"/>
        </w:rPr>
        <w:t>2</w:t>
      </w:r>
    </w:p>
    <w:p w14:paraId="3C57C781" w14:textId="77777777" w:rsidR="00FE4C26" w:rsidRPr="00515D32" w:rsidRDefault="00FE4C26" w:rsidP="0022167B">
      <w:pPr>
        <w:ind w:left="2824" w:hanging="2818"/>
        <w:jc w:val="both"/>
        <w:rPr>
          <w:rFonts w:ascii="Arial" w:eastAsia="Calibri" w:hAnsi="Arial" w:cs="Arial"/>
          <w:b/>
          <w:noProof/>
          <w:color w:val="161616" w:themeColor="background1" w:themeShade="1A"/>
          <w:sz w:val="22"/>
          <w:szCs w:val="22"/>
          <w:lang w:val="es-ES_tradnl" w:eastAsia="en-US"/>
        </w:rPr>
      </w:pPr>
    </w:p>
    <w:p w14:paraId="6371265A" w14:textId="5F3C4EBC" w:rsidR="004E4C0A" w:rsidRDefault="00E54365" w:rsidP="00A677B6">
      <w:pPr>
        <w:ind w:left="2124" w:hanging="2124"/>
        <w:jc w:val="both"/>
        <w:rPr>
          <w:rFonts w:ascii="Arial" w:eastAsia="Calibri" w:hAnsi="Arial" w:cs="Arial"/>
          <w:bCs/>
          <w:noProof/>
          <w:color w:val="161616" w:themeColor="background1" w:themeShade="1A"/>
          <w:sz w:val="22"/>
          <w:szCs w:val="22"/>
          <w:lang w:val="es-ES_tradnl" w:eastAsia="en-US"/>
        </w:rPr>
      </w:pPr>
      <w:r w:rsidRPr="00515D32">
        <w:rPr>
          <w:rFonts w:ascii="Arial" w:eastAsia="Calibri" w:hAnsi="Arial" w:cs="Arial"/>
          <w:b/>
          <w:noProof/>
          <w:color w:val="161616" w:themeColor="background1" w:themeShade="1A"/>
          <w:sz w:val="22"/>
          <w:szCs w:val="22"/>
          <w:lang w:val="es-ES_tradnl" w:eastAsia="en-US"/>
        </w:rPr>
        <w:t>Temas</w:t>
      </w:r>
      <w:r w:rsidRPr="00515D32">
        <w:rPr>
          <w:rFonts w:ascii="Arial" w:eastAsia="Calibri" w:hAnsi="Arial" w:cs="Arial"/>
          <w:bCs/>
          <w:noProof/>
          <w:color w:val="161616" w:themeColor="background1" w:themeShade="1A"/>
          <w:sz w:val="22"/>
          <w:szCs w:val="22"/>
          <w:lang w:val="es-ES_tradnl" w:eastAsia="en-US"/>
        </w:rPr>
        <w:t xml:space="preserve">: </w:t>
      </w:r>
      <w:r w:rsidRPr="00515D32">
        <w:rPr>
          <w:rFonts w:ascii="Arial" w:eastAsia="Calibri" w:hAnsi="Arial" w:cs="Arial"/>
          <w:bCs/>
          <w:noProof/>
          <w:color w:val="161616" w:themeColor="background1" w:themeShade="1A"/>
          <w:sz w:val="22"/>
          <w:szCs w:val="22"/>
          <w:lang w:val="es-ES_tradnl" w:eastAsia="en-US"/>
        </w:rPr>
        <w:tab/>
      </w:r>
      <w:r w:rsidR="00A677B6" w:rsidRPr="00A677B6">
        <w:rPr>
          <w:rFonts w:ascii="Arial" w:eastAsia="Calibri" w:hAnsi="Arial" w:cs="Arial"/>
          <w:bCs/>
          <w:noProof/>
          <w:color w:val="161616" w:themeColor="background1" w:themeShade="1A"/>
          <w:sz w:val="22"/>
          <w:szCs w:val="22"/>
          <w:lang w:val="es-ES_tradnl" w:eastAsia="en-US"/>
        </w:rPr>
        <w:t>DOCUMENTOS TIPO – Obligatoriedad – Inalterabilidad</w:t>
      </w:r>
      <w:r w:rsidR="00A677B6">
        <w:rPr>
          <w:rFonts w:ascii="Arial" w:eastAsia="Calibri" w:hAnsi="Arial" w:cs="Arial"/>
          <w:bCs/>
          <w:noProof/>
          <w:color w:val="161616" w:themeColor="background1" w:themeShade="1A"/>
          <w:sz w:val="22"/>
          <w:szCs w:val="22"/>
          <w:lang w:val="es-ES_tradnl" w:eastAsia="en-US"/>
        </w:rPr>
        <w:t xml:space="preserve"> / </w:t>
      </w:r>
      <w:r w:rsidR="00A677B6" w:rsidRPr="00A677B6">
        <w:rPr>
          <w:rFonts w:ascii="Arial" w:eastAsia="Calibri" w:hAnsi="Arial" w:cs="Arial"/>
          <w:bCs/>
          <w:noProof/>
          <w:color w:val="161616" w:themeColor="background1" w:themeShade="1A"/>
          <w:sz w:val="22"/>
          <w:szCs w:val="22"/>
          <w:lang w:val="es-ES_tradnl" w:eastAsia="en-US"/>
        </w:rPr>
        <w:t>DOCUMENTOS TIPO – Infraestructura social – Sectores – Educativo – Salud – Cultura, recreación y deporte</w:t>
      </w:r>
      <w:r w:rsidR="00A677B6">
        <w:rPr>
          <w:rFonts w:ascii="Arial" w:eastAsia="Calibri" w:hAnsi="Arial" w:cs="Arial"/>
          <w:bCs/>
          <w:noProof/>
          <w:color w:val="161616" w:themeColor="background1" w:themeShade="1A"/>
          <w:sz w:val="22"/>
          <w:szCs w:val="22"/>
          <w:lang w:val="es-ES_tradnl" w:eastAsia="en-US"/>
        </w:rPr>
        <w:t xml:space="preserve">/ </w:t>
      </w:r>
      <w:r w:rsidR="00A677B6" w:rsidRPr="00A677B6">
        <w:rPr>
          <w:rFonts w:ascii="Arial" w:eastAsia="Calibri" w:hAnsi="Arial" w:cs="Arial"/>
          <w:bCs/>
          <w:noProof/>
          <w:color w:val="161616" w:themeColor="background1" w:themeShade="1A"/>
          <w:sz w:val="22"/>
          <w:szCs w:val="22"/>
          <w:lang w:val="es-ES_tradnl" w:eastAsia="en-US"/>
        </w:rPr>
        <w:t xml:space="preserve">DOCUMENTOS TIPO – Infraestructura social – Sectores – Educativo – Salud – Cultura, recreación y deporte – Matriz de experiencia – Aplicación </w:t>
      </w:r>
      <w:r w:rsidR="00A677B6">
        <w:rPr>
          <w:rFonts w:ascii="Arial" w:eastAsia="Calibri" w:hAnsi="Arial" w:cs="Arial"/>
          <w:bCs/>
          <w:noProof/>
          <w:color w:val="161616" w:themeColor="background1" w:themeShade="1A"/>
          <w:sz w:val="22"/>
          <w:szCs w:val="22"/>
          <w:lang w:val="es-ES_tradnl" w:eastAsia="en-US"/>
        </w:rPr>
        <w:t xml:space="preserve"> /</w:t>
      </w:r>
      <w:r w:rsidR="00A677B6" w:rsidRPr="00A677B6">
        <w:t xml:space="preserve"> </w:t>
      </w:r>
      <w:r w:rsidR="00A677B6" w:rsidRPr="00A677B6">
        <w:rPr>
          <w:rFonts w:ascii="Arial" w:eastAsia="Calibri" w:hAnsi="Arial" w:cs="Arial"/>
          <w:bCs/>
          <w:noProof/>
          <w:color w:val="161616" w:themeColor="background1" w:themeShade="1A"/>
          <w:sz w:val="22"/>
          <w:szCs w:val="22"/>
          <w:lang w:val="es-ES_tradnl" w:eastAsia="en-US"/>
        </w:rPr>
        <w:t>BIENES Y OBRAS ADICIONALES – Características</w:t>
      </w:r>
      <w:r w:rsidR="00A677B6">
        <w:rPr>
          <w:rFonts w:ascii="Arial" w:eastAsia="Calibri" w:hAnsi="Arial" w:cs="Arial"/>
          <w:bCs/>
          <w:noProof/>
          <w:color w:val="161616" w:themeColor="background1" w:themeShade="1A"/>
          <w:sz w:val="22"/>
          <w:szCs w:val="22"/>
          <w:lang w:val="es-ES_tradnl" w:eastAsia="en-US"/>
        </w:rPr>
        <w:t xml:space="preserve"> / </w:t>
      </w:r>
      <w:r w:rsidR="00A677B6" w:rsidRPr="00A677B6">
        <w:rPr>
          <w:rFonts w:ascii="Arial" w:eastAsia="Calibri" w:hAnsi="Arial" w:cs="Arial"/>
          <w:bCs/>
          <w:noProof/>
          <w:color w:val="161616" w:themeColor="background1" w:themeShade="1A"/>
          <w:sz w:val="22"/>
          <w:szCs w:val="22"/>
          <w:lang w:val="es-ES_tradnl" w:eastAsia="en-US"/>
        </w:rPr>
        <w:t>BIENES Y OBRAS ADICIONALES – Reglas de combinación de experiencia – Acreditación de magnitudes intervenidas</w:t>
      </w:r>
    </w:p>
    <w:p w14:paraId="27A56534" w14:textId="77777777" w:rsidR="00FD1BB6" w:rsidRPr="00515D32" w:rsidRDefault="00FD1BB6" w:rsidP="00A677B6">
      <w:pPr>
        <w:ind w:left="2124" w:hanging="2124"/>
        <w:jc w:val="both"/>
        <w:rPr>
          <w:rFonts w:ascii="Arial" w:eastAsia="Calibri" w:hAnsi="Arial" w:cs="Arial"/>
          <w:bCs/>
          <w:noProof/>
          <w:color w:val="161616" w:themeColor="background1" w:themeShade="1A"/>
          <w:sz w:val="22"/>
          <w:szCs w:val="22"/>
          <w:lang w:val="es-ES_tradnl" w:eastAsia="en-US"/>
        </w:rPr>
      </w:pPr>
    </w:p>
    <w:p w14:paraId="67585D91" w14:textId="5BAE4EE6" w:rsidR="0015287D" w:rsidRPr="00763927" w:rsidRDefault="00E54365" w:rsidP="0015287D">
      <w:pPr>
        <w:rPr>
          <w:rFonts w:ascii="Arial" w:hAnsi="Arial" w:cs="Arial"/>
        </w:rPr>
      </w:pPr>
      <w:r w:rsidRPr="00515D32">
        <w:rPr>
          <w:rFonts w:ascii="Arial" w:eastAsia="Calibri" w:hAnsi="Arial" w:cs="Arial"/>
          <w:b/>
          <w:noProof/>
          <w:color w:val="161616" w:themeColor="background1" w:themeShade="1A"/>
          <w:sz w:val="22"/>
          <w:szCs w:val="22"/>
          <w:lang w:val="es-ES_tradnl" w:eastAsia="en-US"/>
        </w:rPr>
        <w:t>Radicación</w:t>
      </w:r>
      <w:r w:rsidRPr="00515D32">
        <w:rPr>
          <w:rFonts w:ascii="Arial" w:eastAsia="Calibri" w:hAnsi="Arial" w:cs="Arial"/>
          <w:bCs/>
          <w:noProof/>
          <w:color w:val="161616" w:themeColor="background1" w:themeShade="1A"/>
          <w:sz w:val="22"/>
          <w:szCs w:val="22"/>
          <w:lang w:val="es-ES_tradnl" w:eastAsia="en-US"/>
        </w:rPr>
        <w:t>:</w:t>
      </w:r>
      <w:r w:rsidRPr="00515D32">
        <w:rPr>
          <w:rFonts w:ascii="Arial" w:eastAsia="Calibri" w:hAnsi="Arial" w:cs="Arial"/>
          <w:bCs/>
          <w:noProof/>
          <w:color w:val="161616" w:themeColor="background1" w:themeShade="1A"/>
          <w:sz w:val="22"/>
          <w:szCs w:val="22"/>
          <w:lang w:val="es-ES_tradnl" w:eastAsia="en-US"/>
        </w:rPr>
        <w:tab/>
      </w:r>
      <w:r w:rsidR="0015287D">
        <w:rPr>
          <w:rFonts w:ascii="Arial" w:eastAsia="Calibri" w:hAnsi="Arial" w:cs="Arial"/>
          <w:bCs/>
          <w:noProof/>
          <w:color w:val="161616" w:themeColor="background1" w:themeShade="1A"/>
          <w:sz w:val="22"/>
          <w:szCs w:val="22"/>
          <w:lang w:val="es-ES_tradnl" w:eastAsia="en-US"/>
        </w:rPr>
        <w:tab/>
      </w:r>
      <w:r w:rsidRPr="0015287D">
        <w:rPr>
          <w:rFonts w:ascii="Arial" w:eastAsia="Calibri" w:hAnsi="Arial" w:cs="Arial"/>
          <w:bCs/>
          <w:noProof/>
          <w:color w:val="161616" w:themeColor="background1" w:themeShade="1A"/>
          <w:sz w:val="22"/>
          <w:szCs w:val="22"/>
          <w:lang w:val="es-ES_tradnl" w:eastAsia="en-US"/>
        </w:rPr>
        <w:t>Respuesta a consulta</w:t>
      </w:r>
      <w:r w:rsidR="00FB5E3B" w:rsidRPr="0015287D">
        <w:rPr>
          <w:rFonts w:ascii="Arial" w:eastAsia="Calibri" w:hAnsi="Arial" w:cs="Arial"/>
          <w:bCs/>
          <w:noProof/>
          <w:color w:val="161616" w:themeColor="background1" w:themeShade="1A"/>
          <w:sz w:val="22"/>
          <w:szCs w:val="22"/>
          <w:lang w:val="es-ES_tradnl" w:eastAsia="en-US"/>
        </w:rPr>
        <w:t xml:space="preserve"> </w:t>
      </w:r>
      <w:r w:rsidR="0015287D" w:rsidRPr="0015287D">
        <w:rPr>
          <w:rFonts w:ascii="Arial" w:hAnsi="Arial" w:cs="Arial"/>
          <w:sz w:val="22"/>
          <w:szCs w:val="22"/>
        </w:rPr>
        <w:t>P20220621006153</w:t>
      </w:r>
    </w:p>
    <w:p w14:paraId="30A873A7" w14:textId="440A8082" w:rsidR="00E54365" w:rsidRPr="00515D32" w:rsidRDefault="00E54365" w:rsidP="0022167B">
      <w:pPr>
        <w:ind w:left="2835" w:hanging="2835"/>
        <w:jc w:val="both"/>
        <w:rPr>
          <w:rFonts w:ascii="Arial" w:eastAsia="Calibri" w:hAnsi="Arial" w:cs="Arial"/>
          <w:bCs/>
          <w:noProof/>
          <w:color w:val="161616" w:themeColor="background1" w:themeShade="1A"/>
          <w:sz w:val="22"/>
          <w:szCs w:val="22"/>
          <w:lang w:val="es-ES_tradnl" w:eastAsia="en-US"/>
        </w:rPr>
      </w:pPr>
    </w:p>
    <w:p w14:paraId="49699107" w14:textId="77777777" w:rsidR="00E54365" w:rsidRPr="00515D32" w:rsidRDefault="00E54365" w:rsidP="0022167B">
      <w:pPr>
        <w:rPr>
          <w:rFonts w:ascii="Arial" w:hAnsi="Arial" w:cs="Arial"/>
          <w:color w:val="161616" w:themeColor="background1" w:themeShade="1A"/>
          <w:sz w:val="22"/>
          <w:szCs w:val="22"/>
          <w:lang w:val="es-ES_tradnl"/>
        </w:rPr>
      </w:pPr>
    </w:p>
    <w:p w14:paraId="71ED9EB2" w14:textId="598AA053" w:rsidR="00E54365" w:rsidRDefault="00E54365" w:rsidP="00AD33A7">
      <w:pPr>
        <w:spacing w:line="276" w:lineRule="auto"/>
        <w:rPr>
          <w:rFonts w:ascii="Arial" w:hAnsi="Arial" w:cs="Arial"/>
          <w:sz w:val="22"/>
        </w:rPr>
      </w:pPr>
      <w:r w:rsidRPr="009412C0">
        <w:rPr>
          <w:rFonts w:ascii="Arial" w:hAnsi="Arial" w:cs="Arial"/>
          <w:sz w:val="22"/>
        </w:rPr>
        <w:t>Estimad</w:t>
      </w:r>
      <w:r w:rsidR="0015287D">
        <w:rPr>
          <w:rFonts w:ascii="Arial" w:hAnsi="Arial" w:cs="Arial"/>
          <w:sz w:val="22"/>
        </w:rPr>
        <w:t>os señores</w:t>
      </w:r>
      <w:r w:rsidR="004E4C0A" w:rsidRPr="009412C0">
        <w:rPr>
          <w:rFonts w:ascii="Arial" w:hAnsi="Arial" w:cs="Arial"/>
          <w:sz w:val="22"/>
        </w:rPr>
        <w:t>,</w:t>
      </w:r>
    </w:p>
    <w:p w14:paraId="029CBD9D" w14:textId="77777777" w:rsidR="00AD33A7" w:rsidRDefault="00AD33A7" w:rsidP="00AD33A7">
      <w:pPr>
        <w:spacing w:line="276" w:lineRule="auto"/>
        <w:rPr>
          <w:rFonts w:ascii="Arial" w:hAnsi="Arial" w:cs="Arial"/>
          <w:sz w:val="22"/>
        </w:rPr>
      </w:pPr>
    </w:p>
    <w:p w14:paraId="0AE93D33" w14:textId="5F088AF8" w:rsidR="009412C0" w:rsidRDefault="00E54365" w:rsidP="00AD33A7">
      <w:pPr>
        <w:spacing w:line="276" w:lineRule="auto"/>
        <w:jc w:val="both"/>
        <w:rPr>
          <w:rFonts w:ascii="Arial" w:hAnsi="Arial" w:cs="Arial"/>
          <w:sz w:val="22"/>
        </w:rPr>
      </w:pPr>
      <w:r w:rsidRPr="009412C0">
        <w:rPr>
          <w:rFonts w:ascii="Arial" w:hAnsi="Arial" w:cs="Arial"/>
          <w:sz w:val="22"/>
        </w:rPr>
        <w:t xml:space="preserve">En ejercicio de la competencia otorgada por el numeral 8 del artículo 11 y el numeral 5 del artículo 3 del Decreto Ley 4170 de 2011, la Agencia Nacional de Contratación Pública− Colombia Compra Eficiente responde su consulta </w:t>
      </w:r>
      <w:r w:rsidR="00D23102" w:rsidRPr="009412C0">
        <w:rPr>
          <w:rFonts w:ascii="Arial" w:hAnsi="Arial" w:cs="Arial"/>
          <w:sz w:val="22"/>
        </w:rPr>
        <w:t xml:space="preserve">de fecha </w:t>
      </w:r>
      <w:r w:rsidR="0015287D">
        <w:rPr>
          <w:rFonts w:ascii="Arial" w:hAnsi="Arial" w:cs="Arial"/>
          <w:sz w:val="22"/>
        </w:rPr>
        <w:t>21 de junio</w:t>
      </w:r>
      <w:r w:rsidR="00D23102" w:rsidRPr="009412C0">
        <w:rPr>
          <w:rFonts w:ascii="Arial" w:hAnsi="Arial" w:cs="Arial"/>
          <w:sz w:val="22"/>
        </w:rPr>
        <w:t xml:space="preserve"> de 2022.</w:t>
      </w:r>
    </w:p>
    <w:p w14:paraId="1FACE832" w14:textId="77777777" w:rsidR="00AD33A7" w:rsidRDefault="00AD33A7" w:rsidP="00AD33A7">
      <w:pPr>
        <w:spacing w:line="276" w:lineRule="auto"/>
        <w:jc w:val="both"/>
        <w:rPr>
          <w:rFonts w:ascii="Arial" w:hAnsi="Arial" w:cs="Arial"/>
          <w:b/>
          <w:color w:val="161616" w:themeColor="background1" w:themeShade="1A"/>
          <w:sz w:val="22"/>
          <w:szCs w:val="22"/>
          <w:lang w:val="es-ES_tradnl"/>
        </w:rPr>
      </w:pPr>
    </w:p>
    <w:p w14:paraId="4CDB27A1" w14:textId="5222E4B5" w:rsidR="00FB5E3B" w:rsidRDefault="00E54365" w:rsidP="00AD33A7">
      <w:pPr>
        <w:spacing w:line="276" w:lineRule="auto"/>
        <w:jc w:val="both"/>
        <w:rPr>
          <w:rFonts w:ascii="Arial" w:hAnsi="Arial" w:cs="Arial"/>
          <w:b/>
          <w:color w:val="161616" w:themeColor="background1" w:themeShade="1A"/>
          <w:sz w:val="22"/>
          <w:szCs w:val="22"/>
          <w:lang w:val="es-ES_tradnl"/>
        </w:rPr>
      </w:pPr>
      <w:r w:rsidRPr="00515D32">
        <w:rPr>
          <w:rFonts w:ascii="Arial" w:hAnsi="Arial" w:cs="Arial"/>
          <w:b/>
          <w:color w:val="161616" w:themeColor="background1" w:themeShade="1A"/>
          <w:sz w:val="22"/>
          <w:szCs w:val="22"/>
          <w:lang w:val="es-ES_tradnl"/>
        </w:rPr>
        <w:t xml:space="preserve">1. Problema planteado </w:t>
      </w:r>
    </w:p>
    <w:p w14:paraId="13CA80B4" w14:textId="77777777" w:rsidR="00AD33A7" w:rsidRDefault="00AD33A7" w:rsidP="00AD33A7">
      <w:pPr>
        <w:spacing w:line="276" w:lineRule="auto"/>
        <w:jc w:val="both"/>
        <w:rPr>
          <w:rFonts w:ascii="Arial" w:hAnsi="Arial" w:cs="Arial"/>
          <w:color w:val="161616" w:themeColor="background1" w:themeShade="1A"/>
          <w:sz w:val="22"/>
          <w:szCs w:val="22"/>
          <w:lang w:val="es-ES_tradnl"/>
        </w:rPr>
      </w:pPr>
    </w:p>
    <w:p w14:paraId="296F703A" w14:textId="0A79E81E" w:rsidR="005D6EBD" w:rsidRDefault="00FB5E3B" w:rsidP="0007624E">
      <w:pPr>
        <w:spacing w:line="276" w:lineRule="auto"/>
        <w:jc w:val="both"/>
        <w:rPr>
          <w:rFonts w:ascii="Arial" w:hAnsi="Arial" w:cs="Arial"/>
          <w:color w:val="161616" w:themeColor="background1" w:themeShade="1A"/>
          <w:sz w:val="22"/>
          <w:szCs w:val="22"/>
          <w:lang w:val="es-ES_tradnl"/>
        </w:rPr>
      </w:pPr>
      <w:r w:rsidRPr="00515D32">
        <w:rPr>
          <w:rFonts w:ascii="Arial" w:hAnsi="Arial" w:cs="Arial"/>
          <w:color w:val="161616" w:themeColor="background1" w:themeShade="1A"/>
          <w:sz w:val="22"/>
          <w:szCs w:val="22"/>
          <w:lang w:val="es-ES_tradnl"/>
        </w:rPr>
        <w:t xml:space="preserve">Usted </w:t>
      </w:r>
      <w:r w:rsidR="00EF64D8" w:rsidRPr="00515D32">
        <w:rPr>
          <w:rFonts w:ascii="Arial" w:hAnsi="Arial" w:cs="Arial"/>
          <w:color w:val="161616" w:themeColor="background1" w:themeShade="1A"/>
          <w:sz w:val="22"/>
          <w:szCs w:val="22"/>
          <w:lang w:val="es-ES_tradnl"/>
        </w:rPr>
        <w:t>formula</w:t>
      </w:r>
      <w:r w:rsidRPr="00515D32">
        <w:rPr>
          <w:rFonts w:ascii="Arial" w:hAnsi="Arial" w:cs="Arial"/>
          <w:color w:val="161616" w:themeColor="background1" w:themeShade="1A"/>
          <w:sz w:val="22"/>
          <w:szCs w:val="22"/>
          <w:lang w:val="es-ES_tradnl"/>
        </w:rPr>
        <w:t xml:space="preserve"> </w:t>
      </w:r>
      <w:r w:rsidR="005F7079">
        <w:rPr>
          <w:rFonts w:ascii="Arial" w:hAnsi="Arial" w:cs="Arial"/>
          <w:color w:val="161616" w:themeColor="background1" w:themeShade="1A"/>
          <w:sz w:val="22"/>
          <w:szCs w:val="22"/>
          <w:lang w:val="es-ES_tradnl"/>
        </w:rPr>
        <w:t>consulta sobre el alcance de la regla del literal I del numeral 3.5.2 del Documento Base de l</w:t>
      </w:r>
      <w:r w:rsidR="0011052D">
        <w:rPr>
          <w:rFonts w:ascii="Arial" w:hAnsi="Arial" w:cs="Arial"/>
          <w:color w:val="161616" w:themeColor="background1" w:themeShade="1A"/>
          <w:sz w:val="22"/>
          <w:szCs w:val="22"/>
          <w:lang w:val="es-ES_tradnl"/>
        </w:rPr>
        <w:t>icitación de obra pública de infraestructura social. Al respecto plantea las</w:t>
      </w:r>
      <w:r w:rsidRPr="00515D32">
        <w:rPr>
          <w:rFonts w:ascii="Arial" w:hAnsi="Arial" w:cs="Arial"/>
          <w:color w:val="161616" w:themeColor="background1" w:themeShade="1A"/>
          <w:sz w:val="22"/>
          <w:szCs w:val="22"/>
          <w:lang w:val="es-ES_tradnl"/>
        </w:rPr>
        <w:t xml:space="preserve"> siguiente</w:t>
      </w:r>
      <w:r w:rsidR="0015287D">
        <w:rPr>
          <w:rFonts w:ascii="Arial" w:hAnsi="Arial" w:cs="Arial"/>
          <w:color w:val="161616" w:themeColor="background1" w:themeShade="1A"/>
          <w:sz w:val="22"/>
          <w:szCs w:val="22"/>
          <w:lang w:val="es-ES_tradnl"/>
        </w:rPr>
        <w:t>s</w:t>
      </w:r>
      <w:r w:rsidRPr="00515D32">
        <w:rPr>
          <w:rFonts w:ascii="Arial" w:hAnsi="Arial" w:cs="Arial"/>
          <w:color w:val="161616" w:themeColor="background1" w:themeShade="1A"/>
          <w:sz w:val="22"/>
          <w:szCs w:val="22"/>
          <w:lang w:val="es-ES_tradnl"/>
        </w:rPr>
        <w:t xml:space="preserve"> </w:t>
      </w:r>
      <w:r w:rsidR="0011052D">
        <w:rPr>
          <w:rFonts w:ascii="Arial" w:hAnsi="Arial" w:cs="Arial"/>
          <w:color w:val="161616" w:themeColor="background1" w:themeShade="1A"/>
          <w:sz w:val="22"/>
          <w:szCs w:val="22"/>
          <w:lang w:val="es-ES_tradnl"/>
        </w:rPr>
        <w:t>preguntas</w:t>
      </w:r>
      <w:r w:rsidR="00A74544" w:rsidRPr="00515D32">
        <w:rPr>
          <w:rFonts w:ascii="Arial" w:hAnsi="Arial" w:cs="Arial"/>
          <w:color w:val="161616" w:themeColor="background1" w:themeShade="1A"/>
          <w:sz w:val="22"/>
          <w:szCs w:val="22"/>
          <w:lang w:val="es-ES_tradnl"/>
        </w:rPr>
        <w:t>:</w:t>
      </w:r>
      <w:r w:rsidR="00880D11" w:rsidRPr="00515D32">
        <w:rPr>
          <w:rFonts w:ascii="Arial" w:hAnsi="Arial" w:cs="Arial"/>
          <w:color w:val="161616" w:themeColor="background1" w:themeShade="1A"/>
          <w:sz w:val="22"/>
          <w:szCs w:val="22"/>
          <w:lang w:val="es-ES_tradnl"/>
        </w:rPr>
        <w:t xml:space="preserve"> </w:t>
      </w:r>
    </w:p>
    <w:p w14:paraId="77726C85" w14:textId="77777777" w:rsidR="003F0155" w:rsidRDefault="003F0155" w:rsidP="003F0155">
      <w:pPr>
        <w:ind w:left="709" w:right="709"/>
        <w:jc w:val="both"/>
        <w:rPr>
          <w:rFonts w:ascii="Arial" w:hAnsi="Arial" w:cs="Arial"/>
          <w:bCs/>
          <w:sz w:val="21"/>
          <w:szCs w:val="21"/>
        </w:rPr>
      </w:pPr>
    </w:p>
    <w:p w14:paraId="24C60706" w14:textId="5AFB582C" w:rsidR="00055F34" w:rsidRPr="009433B0" w:rsidRDefault="00B94548" w:rsidP="00F30221">
      <w:pPr>
        <w:ind w:left="709" w:right="709"/>
        <w:jc w:val="both"/>
        <w:rPr>
          <w:rFonts w:ascii="Arial" w:hAnsi="Arial" w:cs="Arial"/>
          <w:color w:val="000000"/>
          <w:sz w:val="21"/>
          <w:szCs w:val="21"/>
        </w:rPr>
      </w:pPr>
      <w:r w:rsidRPr="009433B0">
        <w:rPr>
          <w:rFonts w:ascii="Arial" w:hAnsi="Arial" w:cs="Arial"/>
          <w:bCs/>
          <w:sz w:val="21"/>
          <w:szCs w:val="21"/>
        </w:rPr>
        <w:lastRenderedPageBreak/>
        <w:t>«</w:t>
      </w:r>
      <w:r w:rsidR="0015287D" w:rsidRPr="009433B0">
        <w:rPr>
          <w:rFonts w:ascii="Arial" w:hAnsi="Arial" w:cs="Arial"/>
          <w:color w:val="000000"/>
          <w:sz w:val="21"/>
          <w:szCs w:val="21"/>
          <w:lang w:val="es-ES"/>
        </w:rPr>
        <w:t>1. Si el objeto del contrato de experiencia es 100% obras de infraestructura social, como la construcción de un parque, es necesario también aportar las cantidades de obras ejecutas o se debe evaluar el 100% del valor del contrato?</w:t>
      </w:r>
    </w:p>
    <w:p w14:paraId="14C4BFB6" w14:textId="77777777" w:rsidR="003F0155" w:rsidRPr="009433B0" w:rsidRDefault="003F0155" w:rsidP="00F30221">
      <w:pPr>
        <w:ind w:left="709" w:right="709"/>
        <w:jc w:val="both"/>
        <w:rPr>
          <w:rFonts w:ascii="Arial" w:hAnsi="Arial" w:cs="Arial"/>
          <w:color w:val="000000"/>
          <w:sz w:val="21"/>
          <w:szCs w:val="21"/>
          <w:lang w:val="es-ES"/>
        </w:rPr>
      </w:pPr>
    </w:p>
    <w:p w14:paraId="34895819" w14:textId="1EBEB224" w:rsidR="00055F34" w:rsidRPr="009433B0" w:rsidRDefault="0015287D" w:rsidP="00F30221">
      <w:pPr>
        <w:ind w:left="709" w:right="709"/>
        <w:jc w:val="both"/>
        <w:rPr>
          <w:rFonts w:ascii="Arial" w:hAnsi="Arial" w:cs="Arial"/>
          <w:color w:val="000000"/>
          <w:sz w:val="21"/>
          <w:szCs w:val="21"/>
          <w:lang w:val="es-ES"/>
        </w:rPr>
      </w:pPr>
      <w:r w:rsidRPr="009433B0">
        <w:rPr>
          <w:rFonts w:ascii="Arial" w:hAnsi="Arial" w:cs="Arial"/>
          <w:color w:val="000000"/>
          <w:sz w:val="21"/>
          <w:szCs w:val="21"/>
          <w:lang w:val="es-ES"/>
        </w:rPr>
        <w:t>2.   Si el objeto del contrato de experiencia es 100% obras de infraestructura social, como la construcción de un parque, pero en su alcance se ejecutarán obras como mejoramiento de vías, se debe descontar el valor? </w:t>
      </w:r>
    </w:p>
    <w:p w14:paraId="105B6F04" w14:textId="77777777" w:rsidR="003F0155" w:rsidRPr="009433B0" w:rsidRDefault="003F0155" w:rsidP="00F30221">
      <w:pPr>
        <w:ind w:left="709" w:right="709"/>
        <w:jc w:val="both"/>
        <w:rPr>
          <w:rFonts w:ascii="Arial" w:hAnsi="Arial" w:cs="Arial"/>
          <w:color w:val="000000"/>
          <w:sz w:val="21"/>
          <w:szCs w:val="21"/>
          <w:lang w:val="es-ES"/>
        </w:rPr>
      </w:pPr>
    </w:p>
    <w:p w14:paraId="29F8BB02" w14:textId="54D34A5A" w:rsidR="007E5AD0" w:rsidRDefault="0015287D" w:rsidP="00F30221">
      <w:pPr>
        <w:ind w:left="709" w:right="709"/>
        <w:jc w:val="both"/>
        <w:rPr>
          <w:rFonts w:ascii="Arial" w:hAnsi="Arial" w:cs="Arial"/>
          <w:sz w:val="21"/>
          <w:szCs w:val="21"/>
        </w:rPr>
      </w:pPr>
      <w:r w:rsidRPr="009433B0">
        <w:rPr>
          <w:rFonts w:ascii="Arial" w:hAnsi="Arial" w:cs="Arial"/>
          <w:color w:val="000000"/>
          <w:sz w:val="21"/>
          <w:szCs w:val="21"/>
          <w:lang w:val="es-ES"/>
        </w:rPr>
        <w:t>3.   Que sucede si el contrato que es pretende contratar, tiene dentro</w:t>
      </w:r>
      <w:r w:rsidRPr="00F30221">
        <w:rPr>
          <w:rFonts w:ascii="Arial" w:hAnsi="Arial" w:cs="Arial"/>
          <w:color w:val="000000"/>
          <w:sz w:val="21"/>
          <w:szCs w:val="21"/>
          <w:lang w:val="es-ES"/>
        </w:rPr>
        <w:t xml:space="preserve"> de su alcance actividades ajenas a la infraestructura social, como el mejoramiento de las vías aledañas. ¿Como se debe aplicar este numeral?</w:t>
      </w:r>
      <w:r w:rsidR="007E5AD0" w:rsidRPr="002975CD">
        <w:rPr>
          <w:rFonts w:ascii="Arial" w:hAnsi="Arial" w:cs="Arial" w:hint="eastAsia"/>
          <w:sz w:val="21"/>
          <w:szCs w:val="21"/>
        </w:rPr>
        <w:t>»</w:t>
      </w:r>
      <w:r w:rsidR="003F0155" w:rsidRPr="002975CD">
        <w:rPr>
          <w:rFonts w:ascii="Arial" w:hAnsi="Arial" w:cs="Arial"/>
          <w:sz w:val="21"/>
          <w:szCs w:val="21"/>
        </w:rPr>
        <w:t>.</w:t>
      </w:r>
      <w:r w:rsidR="007E5AD0" w:rsidRPr="002975CD">
        <w:rPr>
          <w:rFonts w:ascii="Arial" w:hAnsi="Arial" w:cs="Arial"/>
          <w:sz w:val="21"/>
          <w:szCs w:val="21"/>
        </w:rPr>
        <w:t xml:space="preserve"> </w:t>
      </w:r>
    </w:p>
    <w:p w14:paraId="48D844F9" w14:textId="77777777" w:rsidR="00FD1BB6" w:rsidRPr="002975CD" w:rsidRDefault="00FD1BB6" w:rsidP="00F30221">
      <w:pPr>
        <w:ind w:left="709" w:right="709"/>
        <w:jc w:val="both"/>
        <w:rPr>
          <w:rFonts w:ascii="Arial" w:hAnsi="Arial" w:cs="Arial"/>
          <w:sz w:val="21"/>
          <w:szCs w:val="21"/>
        </w:rPr>
      </w:pPr>
    </w:p>
    <w:p w14:paraId="7D9C52D1" w14:textId="4A12D25A" w:rsidR="00773BAA" w:rsidRDefault="00E54365" w:rsidP="00773BAA">
      <w:pPr>
        <w:spacing w:line="276" w:lineRule="auto"/>
        <w:rPr>
          <w:rFonts w:ascii="Arial" w:hAnsi="Arial" w:cs="Arial"/>
          <w:b/>
          <w:color w:val="161616" w:themeColor="background1" w:themeShade="1A"/>
          <w:sz w:val="22"/>
          <w:szCs w:val="22"/>
          <w:lang w:val="es-ES_tradnl"/>
        </w:rPr>
      </w:pPr>
      <w:r w:rsidRPr="00515D32">
        <w:rPr>
          <w:rFonts w:ascii="Arial" w:hAnsi="Arial" w:cs="Arial"/>
          <w:b/>
          <w:color w:val="161616" w:themeColor="background1" w:themeShade="1A"/>
          <w:sz w:val="22"/>
          <w:szCs w:val="22"/>
          <w:lang w:val="es-ES_tradnl"/>
        </w:rPr>
        <w:t xml:space="preserve">2. Consideraciones </w:t>
      </w:r>
    </w:p>
    <w:p w14:paraId="65120523" w14:textId="77777777" w:rsidR="0089556B" w:rsidRDefault="0089556B" w:rsidP="0089556B">
      <w:pPr>
        <w:spacing w:line="276" w:lineRule="auto"/>
        <w:jc w:val="both"/>
        <w:rPr>
          <w:rFonts w:ascii="Arial" w:hAnsi="Arial" w:cs="Arial"/>
          <w:bCs/>
          <w:sz w:val="22"/>
        </w:rPr>
      </w:pPr>
    </w:p>
    <w:p w14:paraId="20481282" w14:textId="0062B04C" w:rsidR="00097F4E" w:rsidRDefault="004D54D1" w:rsidP="002975CD">
      <w:pPr>
        <w:spacing w:line="276" w:lineRule="auto"/>
        <w:jc w:val="both"/>
        <w:rPr>
          <w:rFonts w:ascii="Arial" w:hAnsi="Arial" w:cs="Arial"/>
          <w:bCs/>
          <w:sz w:val="22"/>
        </w:rPr>
      </w:pPr>
      <w:r>
        <w:rPr>
          <w:rFonts w:ascii="Arial"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4" w:name="_Hlk61701014"/>
      <w:bookmarkStart w:id="5" w:name="_Hlk62136649"/>
      <w:r>
        <w:rPr>
          <w:rFonts w:ascii="Arial" w:hAnsi="Arial" w:cs="Arial"/>
          <w:bCs/>
          <w:sz w:val="22"/>
        </w:rPr>
        <w:t xml:space="preserve"> </w:t>
      </w:r>
      <w:r>
        <w:rPr>
          <w:rFonts w:ascii="Arial" w:hAnsi="Arial" w:cs="Arial"/>
          <w:sz w:val="22"/>
          <w:lang w:val="es-ES"/>
        </w:rPr>
        <w:t xml:space="preserve">Es necesario tener en cuenta que </w:t>
      </w:r>
      <w:bookmarkStart w:id="6" w:name="_Hlk61026958"/>
      <w:r>
        <w:rPr>
          <w:rFonts w:ascii="Arial" w:hAnsi="Arial" w:cs="Arial"/>
          <w:sz w:val="22"/>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Pr>
          <w:rFonts w:ascii="Arial" w:hAnsi="Arial" w:cs="Arial"/>
          <w:bCs/>
          <w:sz w:val="22"/>
        </w:rPr>
        <w:t xml:space="preserve"> de todos los partícipes de la contratación estatal.</w:t>
      </w:r>
    </w:p>
    <w:bookmarkEnd w:id="4"/>
    <w:bookmarkEnd w:id="5"/>
    <w:bookmarkEnd w:id="6"/>
    <w:p w14:paraId="44946AAA" w14:textId="19EBD496" w:rsidR="001932CC" w:rsidRDefault="001932CC" w:rsidP="008A0CF3">
      <w:pPr>
        <w:spacing w:before="120" w:line="276" w:lineRule="auto"/>
        <w:ind w:firstLine="709"/>
        <w:jc w:val="both"/>
        <w:rPr>
          <w:rFonts w:ascii="Arial" w:eastAsia="Calibri" w:hAnsi="Arial" w:cs="Arial"/>
          <w:color w:val="000000" w:themeColor="text1"/>
          <w:sz w:val="22"/>
          <w:szCs w:val="22"/>
        </w:rPr>
      </w:pPr>
      <w:r w:rsidRPr="003362CD">
        <w:rPr>
          <w:rFonts w:ascii="Arial" w:eastAsia="Calibri" w:hAnsi="Arial" w:cs="Arial"/>
          <w:sz w:val="22"/>
          <w:szCs w:val="22"/>
          <w:lang w:val="es-ES_tradnl"/>
        </w:rPr>
        <w:t>Para responder su consulta</w:t>
      </w:r>
      <w:r>
        <w:rPr>
          <w:rFonts w:ascii="Arial" w:eastAsia="Calibri" w:hAnsi="Arial" w:cs="Arial"/>
          <w:sz w:val="22"/>
          <w:szCs w:val="22"/>
          <w:lang w:val="es-ES_tradnl"/>
        </w:rPr>
        <w:t>, en desarrollo del presente concepto, se analizarán</w:t>
      </w:r>
      <w:r w:rsidRPr="003362CD">
        <w:rPr>
          <w:rFonts w:ascii="Arial" w:eastAsia="Calibri" w:hAnsi="Arial" w:cs="Arial"/>
          <w:sz w:val="22"/>
          <w:szCs w:val="22"/>
          <w:lang w:val="es-ES_tradnl"/>
        </w:rPr>
        <w:t xml:space="preserve"> los siguientes tema</w:t>
      </w:r>
      <w:r>
        <w:rPr>
          <w:rFonts w:ascii="Arial" w:eastAsia="Calibri" w:hAnsi="Arial" w:cs="Arial"/>
          <w:sz w:val="22"/>
          <w:szCs w:val="22"/>
          <w:lang w:val="es-ES_tradnl"/>
        </w:rPr>
        <w:t>s</w:t>
      </w:r>
      <w:r>
        <w:rPr>
          <w:rFonts w:ascii="Arial" w:eastAsia="Calibri" w:hAnsi="Arial" w:cs="Arial"/>
          <w:color w:val="000000" w:themeColor="text1"/>
          <w:sz w:val="22"/>
          <w:szCs w:val="22"/>
        </w:rPr>
        <w:t xml:space="preserve">: </w:t>
      </w:r>
      <w:r w:rsidRPr="00C30234">
        <w:rPr>
          <w:rFonts w:ascii="Arial" w:eastAsia="Calibri" w:hAnsi="Arial" w:cs="Arial"/>
          <w:color w:val="000000" w:themeColor="text1"/>
          <w:sz w:val="22"/>
          <w:szCs w:val="22"/>
        </w:rPr>
        <w:t xml:space="preserve">i) </w:t>
      </w:r>
      <w:r w:rsidR="00C30234">
        <w:rPr>
          <w:rFonts w:ascii="Arial" w:eastAsia="Calibri" w:hAnsi="Arial" w:cs="Arial"/>
          <w:color w:val="000000" w:themeColor="text1"/>
          <w:sz w:val="22"/>
          <w:szCs w:val="22"/>
        </w:rPr>
        <w:t>á</w:t>
      </w:r>
      <w:r w:rsidR="00C30234" w:rsidRPr="00C30234">
        <w:rPr>
          <w:rFonts w:ascii="Arial" w:eastAsia="Calibri" w:hAnsi="Arial" w:cs="Arial"/>
          <w:color w:val="000000" w:themeColor="text1"/>
          <w:sz w:val="22"/>
          <w:szCs w:val="22"/>
        </w:rPr>
        <w:t>mbito de aplicación, obligatoriedad e inalterabilidad de los documentos tipo</w:t>
      </w:r>
      <w:r w:rsidR="00C30234">
        <w:rPr>
          <w:rFonts w:ascii="Arial" w:eastAsia="Calibri" w:hAnsi="Arial" w:cs="Arial"/>
          <w:color w:val="000000" w:themeColor="text1"/>
          <w:sz w:val="22"/>
          <w:szCs w:val="22"/>
        </w:rPr>
        <w:t xml:space="preserve">; </w:t>
      </w:r>
      <w:proofErr w:type="spellStart"/>
      <w:r w:rsidR="00C30234">
        <w:rPr>
          <w:rFonts w:ascii="Arial" w:eastAsia="Calibri" w:hAnsi="Arial" w:cs="Arial"/>
          <w:color w:val="000000" w:themeColor="text1"/>
          <w:sz w:val="22"/>
          <w:szCs w:val="22"/>
        </w:rPr>
        <w:t>ii</w:t>
      </w:r>
      <w:proofErr w:type="spellEnd"/>
      <w:r w:rsidR="00C30234">
        <w:rPr>
          <w:rFonts w:ascii="Arial" w:eastAsia="Calibri" w:hAnsi="Arial" w:cs="Arial"/>
          <w:color w:val="000000" w:themeColor="text1"/>
          <w:sz w:val="22"/>
          <w:szCs w:val="22"/>
        </w:rPr>
        <w:t xml:space="preserve">) </w:t>
      </w:r>
      <w:r w:rsidR="00ED37DE">
        <w:rPr>
          <w:rFonts w:ascii="Arial" w:eastAsia="Calibri" w:hAnsi="Arial" w:cs="Arial"/>
          <w:color w:val="000000" w:themeColor="text1"/>
          <w:sz w:val="22"/>
          <w:szCs w:val="22"/>
        </w:rPr>
        <w:t>d</w:t>
      </w:r>
      <w:r w:rsidR="00ED37DE" w:rsidRPr="00ED37DE">
        <w:rPr>
          <w:rFonts w:ascii="Arial" w:eastAsia="Calibri" w:hAnsi="Arial" w:cs="Arial"/>
          <w:color w:val="000000" w:themeColor="text1"/>
          <w:sz w:val="22"/>
          <w:szCs w:val="22"/>
        </w:rPr>
        <w:t>ocumentos tipo para procesos de licitación de obra pública de infraestructura social relacionados con los sectores educativo, salud y cultura, recreación y deporte</w:t>
      </w:r>
      <w:r w:rsidR="00ED37DE">
        <w:rPr>
          <w:rFonts w:ascii="Arial" w:eastAsia="Calibri" w:hAnsi="Arial" w:cs="Arial"/>
          <w:color w:val="000000" w:themeColor="text1"/>
          <w:sz w:val="22"/>
          <w:szCs w:val="22"/>
        </w:rPr>
        <w:t xml:space="preserve">; </w:t>
      </w:r>
      <w:proofErr w:type="spellStart"/>
      <w:r w:rsidR="00ED37DE">
        <w:rPr>
          <w:rFonts w:ascii="Arial" w:eastAsia="Calibri" w:hAnsi="Arial" w:cs="Arial"/>
          <w:color w:val="000000" w:themeColor="text1"/>
          <w:sz w:val="22"/>
          <w:szCs w:val="22"/>
        </w:rPr>
        <w:t>iii</w:t>
      </w:r>
      <w:proofErr w:type="spellEnd"/>
      <w:r w:rsidR="00ED37DE">
        <w:rPr>
          <w:rFonts w:ascii="Arial" w:eastAsia="Calibri" w:hAnsi="Arial" w:cs="Arial"/>
          <w:color w:val="000000" w:themeColor="text1"/>
          <w:sz w:val="22"/>
          <w:szCs w:val="22"/>
        </w:rPr>
        <w:t>) a</w:t>
      </w:r>
      <w:r w:rsidR="00ED37DE" w:rsidRPr="00ED37DE">
        <w:rPr>
          <w:rFonts w:ascii="Arial" w:eastAsia="Calibri" w:hAnsi="Arial" w:cs="Arial"/>
          <w:color w:val="000000" w:themeColor="text1"/>
          <w:sz w:val="22"/>
          <w:szCs w:val="22"/>
        </w:rPr>
        <w:t>creditación de experiencia en los documentos tipo de licitación de obra pública de infraestructura social</w:t>
      </w:r>
      <w:r w:rsidR="00ED37DE">
        <w:rPr>
          <w:rFonts w:ascii="Arial" w:eastAsia="Calibri" w:hAnsi="Arial" w:cs="Arial"/>
          <w:color w:val="000000" w:themeColor="text1"/>
          <w:sz w:val="22"/>
          <w:szCs w:val="22"/>
        </w:rPr>
        <w:t xml:space="preserve">; y </w:t>
      </w:r>
      <w:proofErr w:type="spellStart"/>
      <w:r w:rsidR="00ED37DE">
        <w:rPr>
          <w:rFonts w:ascii="Arial" w:eastAsia="Calibri" w:hAnsi="Arial" w:cs="Arial"/>
          <w:color w:val="000000" w:themeColor="text1"/>
          <w:sz w:val="22"/>
          <w:szCs w:val="22"/>
        </w:rPr>
        <w:t>iv</w:t>
      </w:r>
      <w:proofErr w:type="spellEnd"/>
      <w:r w:rsidR="00ED37DE">
        <w:rPr>
          <w:rFonts w:ascii="Arial" w:eastAsia="Calibri" w:hAnsi="Arial" w:cs="Arial"/>
          <w:color w:val="000000" w:themeColor="text1"/>
          <w:sz w:val="22"/>
          <w:szCs w:val="22"/>
        </w:rPr>
        <w:t xml:space="preserve">) </w:t>
      </w:r>
      <w:r w:rsidR="00ED37DE" w:rsidRPr="00ED37DE">
        <w:rPr>
          <w:rFonts w:ascii="Arial" w:eastAsia="Calibri" w:hAnsi="Arial" w:cs="Arial"/>
          <w:color w:val="000000" w:themeColor="text1"/>
          <w:sz w:val="22"/>
          <w:szCs w:val="22"/>
        </w:rPr>
        <w:t xml:space="preserve"> </w:t>
      </w:r>
      <w:r w:rsidR="00C30414">
        <w:rPr>
          <w:rFonts w:ascii="Arial" w:eastAsia="Calibri" w:hAnsi="Arial" w:cs="Arial"/>
          <w:color w:val="000000" w:themeColor="text1"/>
          <w:sz w:val="22"/>
          <w:szCs w:val="22"/>
        </w:rPr>
        <w:t>b</w:t>
      </w:r>
      <w:r w:rsidR="00C30414" w:rsidRPr="00C30414">
        <w:rPr>
          <w:rFonts w:ascii="Arial" w:eastAsia="Calibri" w:hAnsi="Arial" w:cs="Arial"/>
          <w:color w:val="000000" w:themeColor="text1"/>
          <w:sz w:val="22"/>
          <w:szCs w:val="22"/>
        </w:rPr>
        <w:t>ienes, obras y/o servicios adicionales a la obra pública de infraestructura social, combinación de experiencia y acreditación de magnitudes intervenidas</w:t>
      </w:r>
      <w:r w:rsidR="00C30414">
        <w:rPr>
          <w:rFonts w:ascii="Arial" w:eastAsia="Calibri" w:hAnsi="Arial" w:cs="Arial"/>
          <w:color w:val="000000" w:themeColor="text1"/>
          <w:sz w:val="22"/>
          <w:szCs w:val="22"/>
        </w:rPr>
        <w:t>.</w:t>
      </w:r>
    </w:p>
    <w:p w14:paraId="3880286F" w14:textId="6CD773F7" w:rsidR="003F0155" w:rsidRDefault="004D54D1" w:rsidP="00AA1CFD">
      <w:pPr>
        <w:spacing w:before="120" w:line="276" w:lineRule="auto"/>
        <w:ind w:firstLine="709"/>
        <w:jc w:val="both"/>
        <w:rPr>
          <w:rFonts w:ascii="Arial" w:eastAsia="Calibri" w:hAnsi="Arial" w:cs="Arial"/>
          <w:b/>
          <w:bCs/>
          <w:sz w:val="22"/>
          <w:szCs w:val="22"/>
          <w:lang w:val="es-ES"/>
        </w:rPr>
      </w:pPr>
      <w:r>
        <w:rPr>
          <w:rFonts w:ascii="Arial" w:eastAsia="Calibri" w:hAnsi="Arial" w:cs="Arial"/>
          <w:color w:val="000000" w:themeColor="text1"/>
          <w:sz w:val="22"/>
          <w:szCs w:val="22"/>
        </w:rPr>
        <w:t xml:space="preserve">Para estos efectos, la Agencia Nacional de Contratación Pública ‒ Colombia Compra Eficiente, en los conceptos </w:t>
      </w:r>
      <w:r w:rsidR="00370E0A" w:rsidRPr="00370E0A">
        <w:rPr>
          <w:rFonts w:ascii="Arial" w:eastAsia="Calibri" w:hAnsi="Arial" w:cs="Arial"/>
          <w:color w:val="000000" w:themeColor="text1"/>
          <w:sz w:val="22"/>
          <w:szCs w:val="22"/>
        </w:rPr>
        <w:t>en los conceptos del 13, 26 y 27 de agosto de 2019</w:t>
      </w:r>
      <w:r w:rsidR="00370E0A">
        <w:rPr>
          <w:rFonts w:ascii="Arial" w:eastAsia="Calibri" w:hAnsi="Arial" w:cs="Arial"/>
          <w:color w:val="000000" w:themeColor="text1"/>
          <w:sz w:val="22"/>
          <w:szCs w:val="22"/>
        </w:rPr>
        <w:t xml:space="preserve"> </w:t>
      </w:r>
      <w:r w:rsidR="00370E0A" w:rsidRPr="00370E0A">
        <w:rPr>
          <w:rFonts w:ascii="Arial" w:eastAsia="Calibri" w:hAnsi="Arial" w:cs="Arial"/>
          <w:color w:val="000000" w:themeColor="text1"/>
          <w:sz w:val="22"/>
          <w:szCs w:val="22"/>
        </w:rPr>
        <w:t>radicados Nos. 2201913000005811,</w:t>
      </w:r>
      <w:r w:rsidR="00370E0A">
        <w:rPr>
          <w:rFonts w:ascii="Arial" w:eastAsia="Calibri" w:hAnsi="Arial" w:cs="Arial"/>
          <w:color w:val="000000" w:themeColor="text1"/>
          <w:sz w:val="22"/>
          <w:szCs w:val="22"/>
        </w:rPr>
        <w:t xml:space="preserve"> </w:t>
      </w:r>
      <w:r w:rsidR="00370E0A" w:rsidRPr="00370E0A">
        <w:rPr>
          <w:rFonts w:ascii="Arial" w:eastAsia="Calibri" w:hAnsi="Arial" w:cs="Arial"/>
          <w:color w:val="000000" w:themeColor="text1"/>
          <w:sz w:val="22"/>
          <w:szCs w:val="22"/>
        </w:rPr>
        <w:t>2201913000005810, 2201913000006232,</w:t>
      </w:r>
      <w:r w:rsidR="00370E0A">
        <w:rPr>
          <w:rFonts w:ascii="Arial" w:eastAsia="Calibri" w:hAnsi="Arial" w:cs="Arial"/>
          <w:color w:val="000000" w:themeColor="text1"/>
          <w:sz w:val="22"/>
          <w:szCs w:val="22"/>
        </w:rPr>
        <w:t xml:space="preserve"> </w:t>
      </w:r>
      <w:r w:rsidR="00370E0A" w:rsidRPr="00370E0A">
        <w:rPr>
          <w:rFonts w:ascii="Arial" w:eastAsia="Calibri" w:hAnsi="Arial" w:cs="Arial"/>
          <w:color w:val="000000" w:themeColor="text1"/>
          <w:sz w:val="22"/>
          <w:szCs w:val="22"/>
        </w:rPr>
        <w:t>2201913000006284, C-102 del 18 de marzo de 2020, C-144 del 2 de marzo 2020, C-263 del 25 de mayo de 2020</w:t>
      </w:r>
      <w:r w:rsidR="00370E0A">
        <w:rPr>
          <w:rFonts w:ascii="Arial" w:eastAsia="Calibri" w:hAnsi="Arial" w:cs="Arial"/>
          <w:color w:val="000000" w:themeColor="text1"/>
          <w:sz w:val="22"/>
          <w:szCs w:val="22"/>
        </w:rPr>
        <w:t xml:space="preserve">, </w:t>
      </w:r>
      <w:r w:rsidR="00370E0A" w:rsidRPr="00370E0A">
        <w:rPr>
          <w:rFonts w:ascii="Arial" w:eastAsia="Calibri" w:hAnsi="Arial" w:cs="Arial"/>
          <w:color w:val="000000" w:themeColor="text1"/>
          <w:sz w:val="22"/>
          <w:szCs w:val="22"/>
        </w:rPr>
        <w:t>C-421 del 15 de julio de 2020</w:t>
      </w:r>
      <w:r w:rsidR="00370E0A">
        <w:rPr>
          <w:rFonts w:ascii="Arial" w:eastAsia="Calibri" w:hAnsi="Arial" w:cs="Arial"/>
          <w:color w:val="000000" w:themeColor="text1"/>
          <w:sz w:val="22"/>
          <w:szCs w:val="22"/>
        </w:rPr>
        <w:t xml:space="preserve">, </w:t>
      </w:r>
      <w:r>
        <w:rPr>
          <w:rFonts w:ascii="Arial" w:eastAsia="Calibri" w:hAnsi="Arial" w:cs="Arial"/>
          <w:color w:val="000000" w:themeColor="text1"/>
          <w:sz w:val="22"/>
          <w:szCs w:val="22"/>
        </w:rPr>
        <w:t xml:space="preserve">C-645 del 6 de noviembre de 2020, C-673 del 11 de noviembre de 2020, C-692 del 27 de noviembre de 2020, C-778 del 18 de enero de 2021, C-021 del 22 de febrero de 2021, C-064 del 8 de marzo de 2021, C-071 </w:t>
      </w:r>
      <w:r>
        <w:rPr>
          <w:rFonts w:ascii="Arial" w:eastAsia="Calibri" w:hAnsi="Arial" w:cs="Arial"/>
          <w:color w:val="000000" w:themeColor="text1"/>
          <w:sz w:val="22"/>
          <w:szCs w:val="22"/>
        </w:rPr>
        <w:lastRenderedPageBreak/>
        <w:t xml:space="preserve">del 17 de marzo de 2021, C-076 del 17 de marzo de 2021, C-375 de 27 de septiembre de 2021, C-536 de 29 de septiembre de 2021, C-719 de 24 de enero de 2022, </w:t>
      </w:r>
      <w:r w:rsidR="00BA24C2">
        <w:rPr>
          <w:rFonts w:ascii="Arial" w:eastAsia="Calibri" w:hAnsi="Arial" w:cs="Arial"/>
          <w:color w:val="000000" w:themeColor="text1"/>
          <w:sz w:val="22"/>
          <w:szCs w:val="22"/>
        </w:rPr>
        <w:t xml:space="preserve">C-090 de 16 de marzo de 2022, </w:t>
      </w:r>
      <w:r>
        <w:rPr>
          <w:rFonts w:ascii="Arial" w:eastAsia="Calibri" w:hAnsi="Arial" w:cs="Arial"/>
          <w:color w:val="000000" w:themeColor="text1"/>
          <w:sz w:val="22"/>
          <w:szCs w:val="22"/>
        </w:rPr>
        <w:t xml:space="preserve">analizó </w:t>
      </w:r>
      <w:r>
        <w:rPr>
          <w:rFonts w:ascii="Arial" w:eastAsia="Calibri" w:hAnsi="Arial" w:cs="Arial"/>
          <w:color w:val="000000" w:themeColor="text1"/>
          <w:sz w:val="22"/>
          <w:lang w:val="es-ES_tradnl"/>
        </w:rPr>
        <w:t>el ámbito de aplicación de los documentos tipo</w:t>
      </w:r>
      <w:r>
        <w:rPr>
          <w:rFonts w:ascii="Arial" w:eastAsia="Calibri" w:hAnsi="Arial" w:cs="Arial"/>
          <w:color w:val="000000" w:themeColor="text1"/>
          <w:sz w:val="22"/>
          <w:szCs w:val="22"/>
        </w:rPr>
        <w:t xml:space="preserve">. </w:t>
      </w:r>
      <w:r w:rsidR="007E32A0">
        <w:rPr>
          <w:rFonts w:ascii="Arial" w:hAnsi="Arial" w:cs="Arial"/>
          <w:sz w:val="22"/>
        </w:rPr>
        <w:t xml:space="preserve">Del mismo modo, la </w:t>
      </w:r>
      <w:r w:rsidR="007E32A0" w:rsidRPr="00E137DC">
        <w:rPr>
          <w:rFonts w:ascii="Arial" w:hAnsi="Arial" w:cs="Arial"/>
          <w:sz w:val="22"/>
        </w:rPr>
        <w:t xml:space="preserve">Agencia se ha pronunciado en diferentes conceptos sobre la forma de establecer y acreditar la experiencia exigible en procesos de contratación adelantados con documentos tipo, en los </w:t>
      </w:r>
      <w:r w:rsidR="007E32A0">
        <w:rPr>
          <w:rFonts w:ascii="Arial" w:hAnsi="Arial" w:cs="Arial"/>
          <w:sz w:val="22"/>
        </w:rPr>
        <w:t>c</w:t>
      </w:r>
      <w:r w:rsidR="007E32A0" w:rsidRPr="00E137DC">
        <w:rPr>
          <w:rFonts w:ascii="Arial" w:hAnsi="Arial" w:cs="Arial"/>
          <w:sz w:val="22"/>
        </w:rPr>
        <w:t xml:space="preserve">onceptos C-056  del 8 de enero de 2020, C-069 del 24 de enero de 2020, C-097 del 5 de febrero de 2020, C-198 del 17 de abril de 2020, C 325 del 26 de mayo de 2020, C-444 del 13 de julio de 2020, C-466 del 24 de julio de 2020, C-485 del 29 de julio de 2020, C-501 del 29 de julio de 2020, C-478 del 30 de julio de 2020, C-450 de 3 de agosto de 2020, C-497 del 6 de agosto de 2020, C-528 del 18 de agosto de 2020, C-531 del 21 de agosto de 2020, C-546 del 26 de agosto de 2020, C-597 del 14 de septiembre de 2020, C-618 del 17 de septiembre de 2020, C-630 del 21 de octubre de 2020, C-633 del 2 de octubre de 2020, C-643 del 26 de octubre de 2020, C-635 del 29 de octubre de 2020, C-716 del 30 de octubre de 2020, C-653 del 9 de noviembre de 2020, C-665 del 11 de noviembre de 2020, C-698 del 19 de noviembre de 2020, C-713 del 2 de diciembre de 2020, C-105 del 26 de marzo de 2021 y C-152 del 12 de abril de 2021, C-403 del 10 de agosto de 2021, </w:t>
      </w:r>
      <w:r w:rsidR="007E32A0">
        <w:rPr>
          <w:rFonts w:ascii="Arial" w:hAnsi="Arial" w:cs="Arial"/>
          <w:sz w:val="22"/>
        </w:rPr>
        <w:t xml:space="preserve">C-507 del 19 de septiembre de 2021, </w:t>
      </w:r>
      <w:r w:rsidR="007E32A0" w:rsidRPr="00E137DC">
        <w:rPr>
          <w:rFonts w:ascii="Arial" w:eastAsia="Calibri" w:hAnsi="Arial" w:cs="Arial"/>
          <w:color w:val="000000" w:themeColor="text1"/>
          <w:sz w:val="22"/>
        </w:rPr>
        <w:t>C-541 del 27 de septiembre de 2021, C-649 del 17 de noviembre de 2021, C-690 del 27 de diciembre de 2021, C-006 del 7 de marzo de 2022, C-130 del 22 de marzo de 2022</w:t>
      </w:r>
      <w:r w:rsidR="007E32A0">
        <w:rPr>
          <w:rFonts w:ascii="Arial" w:eastAsia="Calibri" w:hAnsi="Arial" w:cs="Arial"/>
          <w:color w:val="000000" w:themeColor="text1"/>
          <w:sz w:val="22"/>
        </w:rPr>
        <w:t xml:space="preserve">, </w:t>
      </w:r>
      <w:r w:rsidR="007E32A0" w:rsidRPr="00E137DC">
        <w:rPr>
          <w:rFonts w:ascii="Arial" w:eastAsia="Calibri" w:hAnsi="Arial" w:cs="Arial"/>
          <w:color w:val="000000" w:themeColor="text1"/>
          <w:sz w:val="22"/>
        </w:rPr>
        <w:t>C-218 de 22 de abril de 2022</w:t>
      </w:r>
      <w:r w:rsidR="007E32A0">
        <w:rPr>
          <w:rFonts w:ascii="Arial" w:eastAsia="Calibri" w:hAnsi="Arial" w:cs="Arial"/>
          <w:color w:val="000000" w:themeColor="text1"/>
          <w:sz w:val="22"/>
        </w:rPr>
        <w:t xml:space="preserve"> , C-242 del 3 de mayo de 2022 y C-400</w:t>
      </w:r>
      <w:r w:rsidR="00AA1CFD">
        <w:rPr>
          <w:rFonts w:ascii="Arial" w:eastAsia="Calibri" w:hAnsi="Arial" w:cs="Arial"/>
          <w:color w:val="000000" w:themeColor="text1"/>
          <w:sz w:val="22"/>
        </w:rPr>
        <w:t xml:space="preserve"> del 5 de julio de 2022.</w:t>
      </w:r>
      <w:r w:rsidR="007E32A0">
        <w:rPr>
          <w:rFonts w:ascii="Arial" w:hAnsi="Arial" w:cs="Arial"/>
          <w:sz w:val="22"/>
        </w:rPr>
        <w:t xml:space="preserve">. </w:t>
      </w:r>
      <w:r w:rsidR="007E32A0" w:rsidRPr="00E137DC">
        <w:rPr>
          <w:rFonts w:ascii="Arial" w:hAnsi="Arial" w:cs="Arial"/>
          <w:sz w:val="22"/>
        </w:rPr>
        <w:t xml:space="preserve">En lo pertinente, </w:t>
      </w:r>
      <w:r w:rsidR="00AA1CFD">
        <w:rPr>
          <w:rFonts w:ascii="Arial" w:hAnsi="Arial" w:cs="Arial"/>
          <w:sz w:val="22"/>
        </w:rPr>
        <w:t>algunos de los argumentos expuestos</w:t>
      </w:r>
      <w:r w:rsidR="007E32A0" w:rsidRPr="00E137DC">
        <w:rPr>
          <w:rFonts w:ascii="Arial" w:hAnsi="Arial" w:cs="Arial"/>
          <w:sz w:val="22"/>
        </w:rPr>
        <w:t xml:space="preserve"> en estos conceptos se reiteran y complementan a continuación</w:t>
      </w:r>
      <w:r w:rsidR="00AA1CFD">
        <w:rPr>
          <w:rFonts w:ascii="Arial" w:hAnsi="Arial" w:cs="Arial"/>
          <w:sz w:val="22"/>
        </w:rPr>
        <w:t>.</w:t>
      </w:r>
      <w:bookmarkStart w:id="7" w:name="_1y810tw" w:colFirst="0" w:colLast="0"/>
      <w:bookmarkStart w:id="8" w:name="_2xcytpi" w:colFirst="0" w:colLast="0"/>
      <w:bookmarkStart w:id="9" w:name="_1ci93xb" w:colFirst="0" w:colLast="0"/>
      <w:bookmarkStart w:id="10" w:name="_3whwml4" w:colFirst="0" w:colLast="0"/>
      <w:bookmarkEnd w:id="7"/>
      <w:bookmarkEnd w:id="8"/>
      <w:bookmarkEnd w:id="9"/>
      <w:bookmarkEnd w:id="10"/>
    </w:p>
    <w:p w14:paraId="67646F30" w14:textId="77777777" w:rsidR="00AA1CFD" w:rsidRDefault="00AA1CFD" w:rsidP="002975CD">
      <w:pPr>
        <w:spacing w:line="276" w:lineRule="auto"/>
        <w:ind w:firstLine="709"/>
        <w:jc w:val="both"/>
        <w:rPr>
          <w:rFonts w:ascii="Arial" w:eastAsia="Calibri" w:hAnsi="Arial" w:cs="Arial"/>
          <w:b/>
          <w:bCs/>
          <w:sz w:val="22"/>
          <w:szCs w:val="22"/>
          <w:lang w:val="es-ES"/>
        </w:rPr>
      </w:pPr>
    </w:p>
    <w:p w14:paraId="0BDCFDAA" w14:textId="77777777" w:rsidR="00336B72" w:rsidRPr="00336B72" w:rsidRDefault="00336B72" w:rsidP="00336B72">
      <w:pPr>
        <w:jc w:val="both"/>
        <w:rPr>
          <w:rFonts w:ascii="Arial" w:hAnsi="Arial" w:cs="Arial"/>
          <w:color w:val="0D0D0D"/>
          <w:sz w:val="22"/>
          <w:bdr w:val="none" w:sz="0" w:space="0" w:color="auto" w:frame="1"/>
          <w:lang w:eastAsia="es-CO"/>
        </w:rPr>
      </w:pPr>
      <w:r w:rsidRPr="00336B72">
        <w:rPr>
          <w:rFonts w:ascii="Arial" w:eastAsia="Calibri" w:hAnsi="Arial" w:cs="Arial"/>
          <w:b/>
          <w:sz w:val="22"/>
        </w:rPr>
        <w:t xml:space="preserve">2.1. Ámbito de aplicación, obligatoriedad e inalterabilidad de los documentos tipo </w:t>
      </w:r>
    </w:p>
    <w:p w14:paraId="37FC1AA8" w14:textId="77777777" w:rsidR="00336B72" w:rsidRPr="00336B72" w:rsidRDefault="00336B72" w:rsidP="00336B72">
      <w:pPr>
        <w:jc w:val="both"/>
        <w:rPr>
          <w:rFonts w:ascii="Arial" w:eastAsia="Calibri" w:hAnsi="Arial" w:cs="Arial"/>
          <w:b/>
          <w:sz w:val="22"/>
        </w:rPr>
      </w:pPr>
    </w:p>
    <w:p w14:paraId="5D9765D6" w14:textId="77777777" w:rsidR="00336B72" w:rsidRPr="00336B72" w:rsidRDefault="00336B72" w:rsidP="00336B72">
      <w:pPr>
        <w:spacing w:line="276" w:lineRule="auto"/>
        <w:jc w:val="both"/>
        <w:rPr>
          <w:rFonts w:ascii="Arial" w:hAnsi="Arial" w:cs="Arial"/>
          <w:color w:val="0D0D0D"/>
          <w:sz w:val="22"/>
          <w:bdr w:val="none" w:sz="0" w:space="0" w:color="auto" w:frame="1"/>
          <w:lang w:eastAsia="es-CO"/>
        </w:rPr>
      </w:pPr>
      <w:r w:rsidRPr="00336B72">
        <w:rPr>
          <w:rFonts w:ascii="Arial" w:hAnsi="Arial" w:cs="Arial"/>
          <w:color w:val="0D0D0D"/>
          <w:sz w:val="22"/>
          <w:bdr w:val="none" w:sz="0" w:space="0" w:color="auto" w:frame="1"/>
          <w:lang w:eastAsia="es-CO"/>
        </w:rPr>
        <w:t>Los documentos tipo surgen con la expedición de la Ley 1150 de 2007 cuando el legislador facultó al Gobierno Nacional para adoptarlos en la compra o suministro de bienes y servicios de características técnicas uniformes</w:t>
      </w:r>
      <w:r w:rsidRPr="00336B72">
        <w:rPr>
          <w:rFonts w:ascii="Arial" w:hAnsi="Arial" w:cs="Arial"/>
          <w:color w:val="0D0D0D"/>
          <w:sz w:val="22"/>
          <w:bdr w:val="none" w:sz="0" w:space="0" w:color="auto" w:frame="1"/>
          <w:vertAlign w:val="superscript"/>
          <w:lang w:eastAsia="es-CO"/>
        </w:rPr>
        <w:footnoteReference w:id="1"/>
      </w:r>
      <w:r w:rsidRPr="00336B72">
        <w:rPr>
          <w:rFonts w:ascii="Arial" w:hAnsi="Arial" w:cs="Arial"/>
          <w:color w:val="0D0D0D"/>
          <w:sz w:val="22"/>
          <w:bdr w:val="none" w:sz="0" w:space="0" w:color="auto" w:frame="1"/>
          <w:lang w:eastAsia="es-CO"/>
        </w:rPr>
        <w:t>. Posteriormente, la Ley 1882 de 2018 en el artículo 4, adiciona el parágrafo 7º al artículo 2 de la Ley 1150 de 2007, y establece la obligatoriedad de la adopción de documentos tipo para algunos contratos, en los siguientes términos: </w:t>
      </w:r>
    </w:p>
    <w:p w14:paraId="142AB589" w14:textId="77777777" w:rsidR="00336B72" w:rsidRPr="00336B72" w:rsidRDefault="00336B72" w:rsidP="00336B72">
      <w:pPr>
        <w:shd w:val="clear" w:color="auto" w:fill="FFFFFF"/>
        <w:spacing w:line="276" w:lineRule="auto"/>
        <w:ind w:firstLine="709"/>
        <w:jc w:val="both"/>
        <w:rPr>
          <w:rFonts w:ascii="Arial" w:hAnsi="Arial" w:cs="Arial"/>
          <w:color w:val="0D0D0D"/>
          <w:sz w:val="22"/>
          <w:bdr w:val="none" w:sz="0" w:space="0" w:color="auto" w:frame="1"/>
          <w:lang w:eastAsia="es-CO"/>
        </w:rPr>
      </w:pPr>
    </w:p>
    <w:p w14:paraId="458306BC" w14:textId="77777777" w:rsidR="00336B72" w:rsidRPr="00336B72" w:rsidRDefault="00336B72" w:rsidP="00336B72">
      <w:pPr>
        <w:shd w:val="clear" w:color="auto" w:fill="FFFFFF"/>
        <w:ind w:left="709" w:right="709"/>
        <w:jc w:val="both"/>
        <w:rPr>
          <w:rFonts w:ascii="Arial" w:hAnsi="Arial" w:cs="Arial"/>
          <w:color w:val="0D0D0D"/>
          <w:sz w:val="21"/>
          <w:szCs w:val="21"/>
          <w:bdr w:val="none" w:sz="0" w:space="0" w:color="auto" w:frame="1"/>
          <w:lang w:eastAsia="es-CO"/>
        </w:rPr>
      </w:pPr>
      <w:r w:rsidRPr="00336B72">
        <w:rPr>
          <w:rFonts w:ascii="Arial" w:hAnsi="Arial" w:cs="Arial"/>
          <w:color w:val="0D0D0D"/>
          <w:sz w:val="21"/>
          <w:szCs w:val="21"/>
          <w:bdr w:val="none" w:sz="0" w:space="0" w:color="auto" w:frame="1"/>
          <w:lang w:eastAsia="es-CO"/>
        </w:rPr>
        <w:lastRenderedPageBreak/>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336B72">
        <w:rPr>
          <w:rFonts w:ascii="Arial" w:hAnsi="Arial" w:cs="Arial"/>
          <w:i/>
          <w:iCs/>
          <w:color w:val="0D0D0D"/>
          <w:sz w:val="21"/>
          <w:szCs w:val="21"/>
          <w:bdr w:val="none" w:sz="0" w:space="0" w:color="auto" w:frame="1"/>
          <w:lang w:eastAsia="es-CO"/>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sidRPr="00336B72">
        <w:rPr>
          <w:rFonts w:ascii="Arial" w:hAnsi="Arial" w:cs="Arial"/>
          <w:color w:val="0D0D0D"/>
          <w:sz w:val="21"/>
          <w:szCs w:val="21"/>
          <w:bdr w:val="none" w:sz="0" w:space="0" w:color="auto" w:frame="1"/>
          <w:lang w:eastAsia="es-CO"/>
        </w:rPr>
        <w:t> […] </w:t>
      </w:r>
      <w:r w:rsidRPr="00336B72">
        <w:rPr>
          <w:rFonts w:ascii="Arial" w:hAnsi="Arial" w:cs="Arial"/>
          <w:i/>
          <w:iCs/>
          <w:color w:val="0D0D0D"/>
          <w:sz w:val="21"/>
          <w:szCs w:val="21"/>
          <w:bdr w:val="none" w:sz="0" w:space="0" w:color="auto" w:frame="1"/>
          <w:lang w:eastAsia="es-CO"/>
        </w:rPr>
        <w:t>teniendo en cuenta la naturaleza y cuantía de los contratos</w:t>
      </w:r>
      <w:r w:rsidRPr="00336B72">
        <w:rPr>
          <w:rFonts w:ascii="Arial" w:hAnsi="Arial" w:cs="Arial"/>
          <w:color w:val="0D0D0D"/>
          <w:sz w:val="21"/>
          <w:szCs w:val="21"/>
          <w:bdr w:val="none" w:sz="0" w:space="0" w:color="auto" w:frame="1"/>
          <w:lang w:eastAsia="es-CO"/>
        </w:rPr>
        <w:t> […] (Énfasis fuera de texto). </w:t>
      </w:r>
    </w:p>
    <w:p w14:paraId="4EA63C74" w14:textId="77777777" w:rsidR="00336B72" w:rsidRPr="00336B72" w:rsidRDefault="00336B72" w:rsidP="00336B72">
      <w:pPr>
        <w:spacing w:line="276" w:lineRule="auto"/>
        <w:jc w:val="both"/>
        <w:rPr>
          <w:rFonts w:ascii="Arial" w:eastAsia="Calibri" w:hAnsi="Arial" w:cs="Arial"/>
          <w:sz w:val="22"/>
          <w:lang w:val="es-ES"/>
        </w:rPr>
      </w:pPr>
      <w:r w:rsidRPr="00336B72">
        <w:rPr>
          <w:rFonts w:ascii="Arial" w:eastAsia="Calibri" w:hAnsi="Arial" w:cs="Arial"/>
          <w:sz w:val="22"/>
          <w:lang w:val="es-ES"/>
        </w:rPr>
        <w:tab/>
      </w:r>
    </w:p>
    <w:p w14:paraId="5A6A0608" w14:textId="77777777" w:rsidR="00336B72" w:rsidRPr="00336B72" w:rsidRDefault="00336B72" w:rsidP="00336B72">
      <w:pPr>
        <w:spacing w:after="120" w:line="276" w:lineRule="auto"/>
        <w:ind w:firstLine="708"/>
        <w:jc w:val="both"/>
        <w:rPr>
          <w:rFonts w:ascii="Arial" w:eastAsia="Calibri" w:hAnsi="Arial" w:cs="Arial"/>
          <w:color w:val="0D0D0D"/>
          <w:sz w:val="22"/>
          <w:lang w:val="es-ES"/>
        </w:rPr>
      </w:pPr>
      <w:r w:rsidRPr="00336B72">
        <w:rPr>
          <w:rFonts w:ascii="Arial" w:eastAsia="Calibri" w:hAnsi="Arial" w:cs="Arial"/>
          <w:sz w:val="22"/>
          <w:lang w:val="es-ES"/>
        </w:rPr>
        <w:t>La redacción original del artículo 4 de la Ley 1882 de 2018 establecía que al Gobierno Nacional le correspondía adoptar los documentos tipo, pero p</w:t>
      </w:r>
      <w:r w:rsidRPr="00336B72">
        <w:rPr>
          <w:rFonts w:ascii="Arial" w:eastAsia="Calibri" w:hAnsi="Arial" w:cs="Arial"/>
          <w:color w:val="0D0D0D"/>
          <w:sz w:val="22"/>
          <w:lang w:val="es-ES"/>
        </w:rPr>
        <w:t xml:space="preserve">osteriormente, la Ley 2022 del 22 de julio de 2020 otorgó esta competencia a la Agencia Nacional de Contratación Pública – Colombia Compra Eficiente. Así, el artículo 1 de esta Ley modificó el artículo 4 de la Ley 1882 de 2018 en relación con: i) el sujeto encargado de la adopción de los documentos tipo, pues la competencia había sido otorgada al Gobierno Nacional, pero ahora la entidad encargada directamente por la ley es la Agencia Nacional de Contratación Pública – Colombia Compra Eficiente, o quien haga sus veces; </w:t>
      </w:r>
      <w:proofErr w:type="spellStart"/>
      <w:r w:rsidRPr="00336B72">
        <w:rPr>
          <w:rFonts w:ascii="Arial" w:eastAsia="Calibri" w:hAnsi="Arial" w:cs="Arial"/>
          <w:color w:val="0D0D0D"/>
          <w:sz w:val="22"/>
          <w:lang w:val="es-ES"/>
        </w:rPr>
        <w:t>ii</w:t>
      </w:r>
      <w:proofErr w:type="spellEnd"/>
      <w:r w:rsidRPr="00336B72">
        <w:rPr>
          <w:rFonts w:ascii="Arial" w:eastAsia="Calibri" w:hAnsi="Arial" w:cs="Arial"/>
          <w:color w:val="0D0D0D"/>
          <w:sz w:val="22"/>
          <w:lang w:val="es-ES"/>
        </w:rPr>
        <w:t xml:space="preserve">) la inclusión de buenas prácticas contractuales y los principios de la contratación pública para establecer los requisitos habilitantes, factores técnicos, económicos y otros factores de escogencia en los documentos tipo; </w:t>
      </w:r>
      <w:proofErr w:type="spellStart"/>
      <w:r w:rsidRPr="00336B72">
        <w:rPr>
          <w:rFonts w:ascii="Arial" w:eastAsia="Calibri" w:hAnsi="Arial" w:cs="Arial"/>
          <w:color w:val="0D0D0D"/>
          <w:sz w:val="22"/>
          <w:lang w:val="es-ES"/>
        </w:rPr>
        <w:t>iii</w:t>
      </w:r>
      <w:proofErr w:type="spellEnd"/>
      <w:r w:rsidRPr="00336B72">
        <w:rPr>
          <w:rFonts w:ascii="Arial" w:eastAsia="Calibri" w:hAnsi="Arial" w:cs="Arial"/>
          <w:color w:val="0D0D0D"/>
          <w:sz w:val="22"/>
          <w:lang w:val="es-ES"/>
        </w:rPr>
        <w:t xml:space="preserve">) la implementación de procesos de capacitación en los municipios para la utilización de los documentos tipo buscando el desarrollo de la economía local; y </w:t>
      </w:r>
      <w:proofErr w:type="spellStart"/>
      <w:r w:rsidRPr="00336B72">
        <w:rPr>
          <w:rFonts w:ascii="Arial" w:eastAsia="Calibri" w:hAnsi="Arial" w:cs="Arial"/>
          <w:color w:val="0D0D0D"/>
          <w:sz w:val="22"/>
          <w:lang w:val="es-ES"/>
        </w:rPr>
        <w:t>iv</w:t>
      </w:r>
      <w:proofErr w:type="spellEnd"/>
      <w:r w:rsidRPr="00336B72">
        <w:rPr>
          <w:rFonts w:ascii="Arial" w:eastAsia="Calibri" w:hAnsi="Arial" w:cs="Arial"/>
          <w:color w:val="0D0D0D"/>
          <w:sz w:val="22"/>
          <w:lang w:val="es-ES"/>
        </w:rPr>
        <w:t>) la responsabilidad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336B72">
        <w:rPr>
          <w:rFonts w:ascii="Arial" w:eastAsia="Calibri" w:hAnsi="Arial" w:cs="Arial"/>
          <w:color w:val="0D0D0D"/>
          <w:sz w:val="22"/>
          <w:vertAlign w:val="superscript"/>
          <w:lang w:val="es-ES"/>
        </w:rPr>
        <w:footnoteReference w:id="2"/>
      </w:r>
      <w:r w:rsidRPr="00336B72">
        <w:rPr>
          <w:rFonts w:ascii="Arial" w:eastAsia="Calibri" w:hAnsi="Arial" w:cs="Arial"/>
          <w:color w:val="0D0D0D"/>
          <w:sz w:val="22"/>
          <w:lang w:val="es-ES"/>
        </w:rPr>
        <w:t xml:space="preserve">. </w:t>
      </w:r>
    </w:p>
    <w:p w14:paraId="30763D38" w14:textId="77777777" w:rsidR="00336B72" w:rsidRPr="00336B72" w:rsidRDefault="00336B72" w:rsidP="00336B72">
      <w:pPr>
        <w:spacing w:before="120" w:after="120" w:line="276" w:lineRule="auto"/>
        <w:ind w:firstLine="708"/>
        <w:jc w:val="both"/>
        <w:rPr>
          <w:rFonts w:ascii="Arial" w:eastAsia="Calibri" w:hAnsi="Arial" w:cs="Arial"/>
          <w:sz w:val="22"/>
        </w:rPr>
      </w:pPr>
      <w:r w:rsidRPr="00336B72">
        <w:rPr>
          <w:rFonts w:ascii="Arial" w:eastAsia="Calibri" w:hAnsi="Arial" w:cs="Arial"/>
          <w:sz w:val="22"/>
        </w:rPr>
        <w:lastRenderedPageBreak/>
        <w:t xml:space="preserve">Además, la Ley 2022 de 2020 señala que los documentos tipo adoptados por la Agencia Nacional de Contratación Pública son de </w:t>
      </w:r>
      <w:r w:rsidRPr="00336B72">
        <w:rPr>
          <w:rFonts w:ascii="Arial" w:eastAsia="Calibri" w:hAnsi="Arial" w:cs="Arial"/>
          <w:i/>
          <w:sz w:val="22"/>
        </w:rPr>
        <w:t>obligatorio</w:t>
      </w:r>
      <w:r w:rsidRPr="00336B72">
        <w:rPr>
          <w:rFonts w:ascii="Arial" w:eastAsia="Calibri" w:hAnsi="Arial" w:cs="Arial"/>
          <w:sz w:val="22"/>
        </w:rPr>
        <w:t xml:space="preserve"> cumplimiento por todas las entidades públicas, cuyo régimen de contratación sea el Estatuto General de la Contratación de la Administración Pública ‒EGCAP‒. Esta obligatoriedad implica que las entidades estatales tengan que adelantar los procesos de contratación bajo las condiciones establecidas en los documentos tipo que rijan para el objeto a contratar, sin que puedan variarse los requisitos fijados en ellos. Lo anterior, por cuanto los documentos tipo se caracterizan por ser inalterables, es decir, que las entidades públicas carecen de la facultad de modificarlos, con excepción de aquellos aspectos que pueden diligenciar, es decir, las descripciones que están incluidas entre corchetes y resaltadas en gris en cada uno de los documentos tipo. </w:t>
      </w:r>
    </w:p>
    <w:p w14:paraId="43175ECA" w14:textId="77777777" w:rsidR="00336B72" w:rsidRPr="00336B72" w:rsidRDefault="00336B72" w:rsidP="00336B72">
      <w:pPr>
        <w:spacing w:before="120" w:after="120" w:line="276" w:lineRule="auto"/>
        <w:ind w:firstLine="708"/>
        <w:jc w:val="both"/>
        <w:rPr>
          <w:rFonts w:ascii="Arial" w:eastAsia="Calibri" w:hAnsi="Arial" w:cs="Arial"/>
          <w:color w:val="000000"/>
          <w:sz w:val="22"/>
          <w:lang w:val="es-ES_tradnl"/>
        </w:rPr>
      </w:pPr>
      <w:r w:rsidRPr="00336B72">
        <w:rPr>
          <w:rFonts w:ascii="Arial" w:eastAsia="Calibri" w:hAnsi="Arial" w:cs="Arial"/>
          <w:color w:val="000000"/>
          <w:sz w:val="22"/>
        </w:rPr>
        <w:t>Esta es una regla que está consagrada en la</w:t>
      </w:r>
      <w:r w:rsidRPr="00336B72">
        <w:rPr>
          <w:rFonts w:ascii="Arial" w:eastAsia="Calibri" w:hAnsi="Arial" w:cs="Arial"/>
          <w:color w:val="000000"/>
          <w:sz w:val="22"/>
          <w:lang w:val="es-ES_tradnl"/>
        </w:rPr>
        <w:t xml:space="preserve">s resoluciones expedidas por la Agencia Nacional de Contratación Pública – Colombia Compra Eficiente, mediante las cuales se han adoptado los distintos documentos. Por ello, la inalterabilidad es una prohibición que consiste en que las entidades estatales no pueden incluir o modificar en los </w:t>
      </w:r>
      <w:r w:rsidRPr="00336B72">
        <w:rPr>
          <w:rFonts w:ascii="Arial" w:eastAsia="Calibri" w:hAnsi="Arial" w:cs="Arial"/>
          <w:i/>
          <w:iCs/>
          <w:color w:val="000000"/>
          <w:sz w:val="22"/>
          <w:lang w:val="es-ES_tradnl"/>
        </w:rPr>
        <w:t>Documentos del Proceso</w:t>
      </w:r>
      <w:r w:rsidRPr="00336B72">
        <w:rPr>
          <w:rFonts w:ascii="Arial" w:eastAsia="Calibri" w:hAnsi="Arial" w:cs="Arial"/>
          <w:color w:val="000000"/>
          <w:sz w:val="22"/>
          <w:lang w:val="es-ES_tradnl"/>
        </w:rPr>
        <w:t xml:space="preserve"> las condiciones habilitantes, los factores técnicos y económicos de escogencia y los sistemas de ponderación distintos a los señalados en los documentos tipo.  </w:t>
      </w:r>
    </w:p>
    <w:p w14:paraId="729C563A" w14:textId="77777777" w:rsidR="00336B72" w:rsidRPr="00336B72" w:rsidRDefault="00336B72" w:rsidP="00336B72">
      <w:pPr>
        <w:spacing w:line="276" w:lineRule="auto"/>
        <w:ind w:firstLine="708"/>
        <w:jc w:val="both"/>
        <w:rPr>
          <w:rFonts w:ascii="Arial" w:eastAsia="Calibri" w:hAnsi="Arial" w:cs="Arial"/>
          <w:color w:val="000000"/>
          <w:sz w:val="22"/>
          <w:lang w:val="es-ES_tradnl"/>
        </w:rPr>
      </w:pPr>
      <w:r w:rsidRPr="00336B72">
        <w:rPr>
          <w:rFonts w:ascii="Arial" w:eastAsia="Calibri" w:hAnsi="Arial" w:cs="Arial"/>
          <w:color w:val="000000"/>
          <w:sz w:val="22"/>
          <w:lang w:val="es-ES_tradnl"/>
        </w:rPr>
        <w:t>En consecuencia, las condiciones establecidas en los documentos tipo son de obligatorio cumplimiento para las entidades sometidas al Estatuto General de Contratación de la Administración Pública que adelanten procesos que deban regirse por su contenido, y su alcance y ámbito de aplicación está definido en las resoluciones que los adoptan dentro del sistema de compra pública.</w:t>
      </w:r>
    </w:p>
    <w:p w14:paraId="72A4F005" w14:textId="77777777" w:rsidR="00336B72" w:rsidRPr="00336B72" w:rsidRDefault="00336B72" w:rsidP="00336B72">
      <w:pPr>
        <w:spacing w:line="276" w:lineRule="auto"/>
        <w:ind w:firstLine="708"/>
        <w:jc w:val="both"/>
        <w:rPr>
          <w:rFonts w:ascii="Arial" w:eastAsia="Calibri" w:hAnsi="Arial" w:cs="Arial"/>
          <w:color w:val="000000"/>
          <w:sz w:val="22"/>
          <w:lang w:val="es-ES_tradnl"/>
        </w:rPr>
      </w:pPr>
    </w:p>
    <w:p w14:paraId="3C98E0E2" w14:textId="070E491A" w:rsidR="00336B72" w:rsidRPr="00336B72" w:rsidRDefault="00336B72" w:rsidP="00336B72">
      <w:pPr>
        <w:jc w:val="both"/>
        <w:rPr>
          <w:rFonts w:ascii="Arial" w:eastAsia="Calibri" w:hAnsi="Arial" w:cs="Arial"/>
          <w:b/>
          <w:bCs/>
          <w:sz w:val="22"/>
        </w:rPr>
      </w:pPr>
      <w:r w:rsidRPr="00336B72">
        <w:rPr>
          <w:rFonts w:ascii="Arial" w:eastAsia="Calibri" w:hAnsi="Arial" w:cs="Arial"/>
          <w:b/>
          <w:sz w:val="22"/>
        </w:rPr>
        <w:t xml:space="preserve">2.2. </w:t>
      </w:r>
      <w:r w:rsidRPr="00336B72">
        <w:rPr>
          <w:rFonts w:ascii="Arial" w:eastAsia="Calibri" w:hAnsi="Arial" w:cs="Arial"/>
          <w:b/>
          <w:bCs/>
          <w:sz w:val="22"/>
        </w:rPr>
        <w:t xml:space="preserve">Documentos tipo </w:t>
      </w:r>
      <w:r w:rsidR="00ED37DE">
        <w:rPr>
          <w:rFonts w:ascii="Arial" w:eastAsia="Calibri" w:hAnsi="Arial" w:cs="Arial"/>
          <w:b/>
          <w:bCs/>
          <w:sz w:val="22"/>
        </w:rPr>
        <w:t xml:space="preserve">para </w:t>
      </w:r>
      <w:r w:rsidRPr="00336B72">
        <w:rPr>
          <w:rFonts w:ascii="Arial" w:eastAsia="Calibri" w:hAnsi="Arial" w:cs="Arial"/>
          <w:b/>
          <w:bCs/>
          <w:sz w:val="22"/>
        </w:rPr>
        <w:t xml:space="preserve">procesos de licitación de obra pública de infraestructura social relacionados con </w:t>
      </w:r>
      <w:r w:rsidR="00ED37DE">
        <w:rPr>
          <w:rFonts w:ascii="Arial" w:eastAsia="Calibri" w:hAnsi="Arial" w:cs="Arial"/>
          <w:b/>
          <w:bCs/>
          <w:sz w:val="22"/>
        </w:rPr>
        <w:t>los</w:t>
      </w:r>
      <w:r w:rsidRPr="00336B72">
        <w:rPr>
          <w:rFonts w:ascii="Arial" w:eastAsia="Calibri" w:hAnsi="Arial" w:cs="Arial"/>
          <w:b/>
          <w:bCs/>
          <w:sz w:val="22"/>
        </w:rPr>
        <w:t xml:space="preserve"> sector</w:t>
      </w:r>
      <w:r w:rsidR="00ED37DE">
        <w:rPr>
          <w:rFonts w:ascii="Arial" w:eastAsia="Calibri" w:hAnsi="Arial" w:cs="Arial"/>
          <w:b/>
          <w:bCs/>
          <w:sz w:val="22"/>
        </w:rPr>
        <w:t>es</w:t>
      </w:r>
      <w:r w:rsidRPr="00336B72">
        <w:rPr>
          <w:rFonts w:ascii="Arial" w:eastAsia="Calibri" w:hAnsi="Arial" w:cs="Arial"/>
          <w:b/>
          <w:bCs/>
          <w:sz w:val="22"/>
        </w:rPr>
        <w:t xml:space="preserve"> educativo, salud y cultura, recreación y deporte </w:t>
      </w:r>
    </w:p>
    <w:p w14:paraId="4FF81BB0" w14:textId="77777777" w:rsidR="00336B72" w:rsidRPr="00336B72" w:rsidRDefault="00336B72" w:rsidP="00336B72">
      <w:pPr>
        <w:jc w:val="both"/>
        <w:rPr>
          <w:rFonts w:ascii="Arial" w:eastAsia="Calibri" w:hAnsi="Arial" w:cs="Arial"/>
          <w:b/>
          <w:sz w:val="22"/>
        </w:rPr>
      </w:pPr>
    </w:p>
    <w:p w14:paraId="7C4B03C1" w14:textId="77777777" w:rsidR="00336B72" w:rsidRPr="00336B72" w:rsidRDefault="00336B72" w:rsidP="00336B72">
      <w:pPr>
        <w:spacing w:line="276" w:lineRule="auto"/>
        <w:jc w:val="both"/>
        <w:rPr>
          <w:rFonts w:ascii="Arial" w:hAnsi="Arial" w:cs="Arial"/>
          <w:sz w:val="22"/>
          <w:lang w:val="es-ES"/>
        </w:rPr>
      </w:pPr>
      <w:r w:rsidRPr="00336B72">
        <w:rPr>
          <w:rFonts w:ascii="Arial" w:eastAsia="Calibri" w:hAnsi="Arial" w:cs="Arial"/>
          <w:sz w:val="22"/>
        </w:rPr>
        <w:t xml:space="preserve">En desarrollo de la Ley 2022 de 2020, la Agencia Nacional de Contratación Pública – Colombia Compra Eficiente expidió la Resolución 219 </w:t>
      </w:r>
      <w:r w:rsidRPr="00336B72">
        <w:rPr>
          <w:rFonts w:ascii="Arial" w:hAnsi="Arial" w:cs="Arial"/>
          <w:bCs/>
          <w:color w:val="000000"/>
          <w:sz w:val="22"/>
          <w:lang w:eastAsia="es-ES_tradnl"/>
        </w:rPr>
        <w:t xml:space="preserve">del 6 de agosto </w:t>
      </w:r>
      <w:r w:rsidRPr="00336B72">
        <w:rPr>
          <w:rFonts w:ascii="Arial" w:eastAsia="Calibri" w:hAnsi="Arial" w:cs="Arial"/>
          <w:sz w:val="22"/>
        </w:rPr>
        <w:t>de 2021, «Por la cual se adoptan los documentos tipo para los procesos de licitación de obra pública de infraestructura social». Dentro de esta categoría fue incluida la infraestructura asociada a los sectores de la salud, el educativo y el de cultura, recreación y deporte,</w:t>
      </w:r>
      <w:r w:rsidRPr="00336B72">
        <w:rPr>
          <w:rFonts w:ascii="Arial" w:hAnsi="Arial" w:cs="Arial"/>
          <w:sz w:val="22"/>
          <w:lang w:val="es-ES"/>
        </w:rPr>
        <w:t xml:space="preserve"> tal como lo establece</w:t>
      </w:r>
      <w:r w:rsidRPr="00336B72">
        <w:rPr>
          <w:rFonts w:ascii="Arial" w:hAnsi="Arial" w:cs="Arial"/>
          <w:color w:val="000000"/>
          <w:sz w:val="22"/>
          <w:lang w:val="es-ES"/>
        </w:rPr>
        <w:t xml:space="preserve"> </w:t>
      </w:r>
      <w:r w:rsidRPr="00336B72">
        <w:rPr>
          <w:rFonts w:ascii="Arial" w:hAnsi="Arial" w:cs="Arial"/>
          <w:sz w:val="22"/>
          <w:lang w:val="es-ES"/>
        </w:rPr>
        <w:t xml:space="preserve">el parágrafo 2 del artículo 2 de la resolución indicada, de la siguiente manera: </w:t>
      </w:r>
    </w:p>
    <w:p w14:paraId="64DBF4A1" w14:textId="77777777" w:rsidR="00336B72" w:rsidRPr="00336B72" w:rsidRDefault="00336B72" w:rsidP="00336B72">
      <w:pPr>
        <w:spacing w:line="276" w:lineRule="auto"/>
        <w:jc w:val="both"/>
        <w:rPr>
          <w:rFonts w:ascii="Arial" w:hAnsi="Arial" w:cs="Arial"/>
          <w:sz w:val="22"/>
          <w:lang w:val="es-ES"/>
        </w:rPr>
      </w:pPr>
    </w:p>
    <w:p w14:paraId="6544A585" w14:textId="77777777" w:rsidR="00336B72" w:rsidRPr="00336B72" w:rsidRDefault="00336B72" w:rsidP="00336B72">
      <w:pPr>
        <w:ind w:left="709" w:right="709"/>
        <w:jc w:val="both"/>
        <w:rPr>
          <w:rFonts w:ascii="Arial" w:hAnsi="Arial" w:cs="Arial"/>
          <w:sz w:val="21"/>
          <w:szCs w:val="21"/>
          <w:lang w:val="es-ES"/>
        </w:rPr>
      </w:pPr>
      <w:r w:rsidRPr="00336B72">
        <w:rPr>
          <w:rFonts w:ascii="Arial" w:hAnsi="Arial" w:cs="Arial"/>
          <w:sz w:val="21"/>
          <w:szCs w:val="21"/>
          <w:lang w:val="es-ES"/>
        </w:rPr>
        <w:t xml:space="preserve">Estos documentos tipo aplicarán a los proyectos de infraestructura social, tales como, </w:t>
      </w:r>
      <w:r w:rsidRPr="00336B72">
        <w:rPr>
          <w:rFonts w:ascii="Arial" w:hAnsi="Arial" w:cs="Arial"/>
          <w:i/>
          <w:iCs/>
          <w:sz w:val="21"/>
          <w:szCs w:val="21"/>
          <w:lang w:val="es-ES"/>
        </w:rPr>
        <w:t>sector educativo</w:t>
      </w:r>
      <w:r w:rsidRPr="00336B72">
        <w:rPr>
          <w:rFonts w:ascii="Arial" w:hAnsi="Arial" w:cs="Arial"/>
          <w:sz w:val="21"/>
          <w:szCs w:val="21"/>
          <w:lang w:val="es-ES"/>
        </w:rPr>
        <w:t xml:space="preserve">, sector salud y sector cultural, recreación y deporte, </w:t>
      </w:r>
      <w:r w:rsidRPr="00336B72">
        <w:rPr>
          <w:rFonts w:ascii="Arial" w:hAnsi="Arial" w:cs="Arial"/>
          <w:i/>
          <w:iCs/>
          <w:sz w:val="21"/>
          <w:szCs w:val="21"/>
          <w:lang w:val="es-ES"/>
        </w:rPr>
        <w:t>de conformidad con cada una de las resoluciones que expida la Agencia Nacional de Contratación Pública -Colombia Compra Eficiente-</w:t>
      </w:r>
      <w:r w:rsidRPr="00336B72">
        <w:rPr>
          <w:rFonts w:ascii="Arial" w:hAnsi="Arial" w:cs="Arial"/>
          <w:sz w:val="21"/>
          <w:szCs w:val="21"/>
          <w:lang w:val="es-ES"/>
        </w:rPr>
        <w:t>, donde se precisará el alcance concreto de estos documentos tipo; sin perjuicio de que se incluyan otros tipos de infraestructura social. (Énfasis fuera del texto)</w:t>
      </w:r>
    </w:p>
    <w:p w14:paraId="158EC1C6" w14:textId="77777777" w:rsidR="00336B72" w:rsidRPr="00336B72" w:rsidRDefault="00336B72" w:rsidP="00336B72">
      <w:pPr>
        <w:spacing w:line="276" w:lineRule="auto"/>
        <w:jc w:val="both"/>
        <w:rPr>
          <w:rFonts w:ascii="Arial" w:hAnsi="Arial" w:cs="Arial"/>
          <w:sz w:val="22"/>
          <w:lang w:val="es-ES"/>
        </w:rPr>
      </w:pPr>
      <w:r w:rsidRPr="00336B72">
        <w:rPr>
          <w:rFonts w:ascii="Arial" w:hAnsi="Arial" w:cs="Arial"/>
          <w:sz w:val="22"/>
          <w:lang w:val="es-ES"/>
        </w:rPr>
        <w:tab/>
      </w:r>
    </w:p>
    <w:p w14:paraId="20AC9655" w14:textId="77777777" w:rsidR="00336B72" w:rsidRPr="00336B72" w:rsidRDefault="00336B72" w:rsidP="00336B72">
      <w:pPr>
        <w:spacing w:line="276" w:lineRule="auto"/>
        <w:ind w:firstLine="708"/>
        <w:jc w:val="both"/>
        <w:rPr>
          <w:rFonts w:ascii="Arial" w:hAnsi="Arial" w:cs="Arial"/>
          <w:sz w:val="22"/>
          <w:lang w:val="es-ES"/>
        </w:rPr>
      </w:pPr>
      <w:r w:rsidRPr="00336B72">
        <w:rPr>
          <w:rFonts w:ascii="Arial" w:hAnsi="Arial" w:cs="Arial"/>
          <w:sz w:val="22"/>
          <w:lang w:val="es-ES"/>
        </w:rPr>
        <w:t xml:space="preserve">Como puede observarse, la Resolución 219 de 2021 contiene un listado enunciativo de los sectores relacionados con los proyectos de infraestructura social a los cuales aplican los documentos tipo –educativo; salud; cultura, recreación y deporte–. También precisa que el alcance de cada sector estará dado por las resoluciones posteriores que expida la Agencia. A su vez, esas resoluciones desarrollarán las matrices de experiencia y los glosarios que definirán concretamente cada sector, mediante los cuales se precisará de forma detallada su ámbito de aplicación.  </w:t>
      </w:r>
    </w:p>
    <w:p w14:paraId="181006B6" w14:textId="77777777" w:rsidR="00336B72" w:rsidRPr="00336B72" w:rsidRDefault="00336B72" w:rsidP="00336B72">
      <w:pPr>
        <w:spacing w:before="120" w:after="120" w:line="276" w:lineRule="auto"/>
        <w:ind w:firstLine="708"/>
        <w:jc w:val="both"/>
        <w:rPr>
          <w:rFonts w:ascii="Arial" w:hAnsi="Arial" w:cs="Arial"/>
          <w:bCs/>
          <w:color w:val="000000"/>
          <w:sz w:val="22"/>
          <w:lang w:val="es-ES" w:eastAsia="es-ES_tradnl"/>
        </w:rPr>
      </w:pPr>
      <w:r w:rsidRPr="00336B72">
        <w:rPr>
          <w:rFonts w:ascii="Arial" w:hAnsi="Arial" w:cs="Arial"/>
          <w:sz w:val="22"/>
          <w:szCs w:val="22"/>
          <w:lang w:val="es-ES"/>
        </w:rPr>
        <w:t>Así lo señala el parágrafo 3 del artículo 2 que dispone lo siguiente:</w:t>
      </w:r>
      <w:r w:rsidRPr="00336B72">
        <w:rPr>
          <w:rFonts w:ascii="Arial" w:eastAsia="Calibri" w:hAnsi="Arial" w:cs="Arial"/>
          <w:sz w:val="22"/>
          <w:szCs w:val="22"/>
        </w:rPr>
        <w:t xml:space="preserve"> «</w:t>
      </w:r>
      <w:r w:rsidRPr="00336B72">
        <w:rPr>
          <w:rFonts w:ascii="Arial" w:hAnsi="Arial" w:cs="Arial"/>
          <w:sz w:val="22"/>
          <w:szCs w:val="22"/>
          <w:lang w:val="es-ES"/>
        </w:rPr>
        <w:t>Los documentos tipo de infraestructura social empezarán a regir para cada sector, esto es, educativo, salud y cultura, recreación y deporte, de acuerdo con lo dispuesto en las resoluciones mediante las cuales se adopten cada una de las matrices de experiencia y glosarios aplicables a cada sector</w:t>
      </w:r>
      <w:r w:rsidRPr="00336B72">
        <w:rPr>
          <w:rFonts w:ascii="Arial" w:eastAsia="Calibri" w:hAnsi="Arial" w:cs="Arial"/>
          <w:sz w:val="22"/>
          <w:szCs w:val="22"/>
        </w:rPr>
        <w:t>».</w:t>
      </w:r>
      <w:r w:rsidRPr="00336B72">
        <w:rPr>
          <w:rFonts w:ascii="Arial" w:hAnsi="Arial" w:cs="Arial"/>
          <w:sz w:val="22"/>
          <w:szCs w:val="22"/>
          <w:lang w:val="es-ES"/>
        </w:rPr>
        <w:t xml:space="preserve"> En concordancia, el «Documento Base» de </w:t>
      </w:r>
      <w:r w:rsidRPr="00336B72">
        <w:rPr>
          <w:rFonts w:ascii="Arial" w:eastAsia="Calibri" w:hAnsi="Arial" w:cs="Arial"/>
          <w:sz w:val="22"/>
          <w:szCs w:val="22"/>
        </w:rPr>
        <w:t>licitación de obra pública de infraestructura social</w:t>
      </w:r>
      <w:r w:rsidRPr="00336B72">
        <w:rPr>
          <w:rFonts w:ascii="Arial" w:hAnsi="Arial" w:cs="Arial"/>
          <w:sz w:val="22"/>
          <w:szCs w:val="22"/>
          <w:vertAlign w:val="superscript"/>
          <w:lang w:val="es-ES"/>
        </w:rPr>
        <w:footnoteReference w:id="3"/>
      </w:r>
      <w:r w:rsidRPr="00336B72">
        <w:rPr>
          <w:rFonts w:ascii="Arial" w:eastAsia="Calibri" w:hAnsi="Arial" w:cs="Arial"/>
          <w:sz w:val="22"/>
          <w:szCs w:val="22"/>
        </w:rPr>
        <w:t xml:space="preserve"> prescribe en la parte introductoria que «</w:t>
      </w:r>
      <w:r w:rsidRPr="00336B72">
        <w:rPr>
          <w:rFonts w:ascii="Arial" w:hAnsi="Arial" w:cs="Arial"/>
          <w:bCs/>
          <w:color w:val="000000"/>
          <w:sz w:val="22"/>
          <w:szCs w:val="22"/>
          <w:lang w:eastAsia="es-CO"/>
        </w:rPr>
        <w:t>Este Documento Tipo de “infraestructura social” aplica a los procesos que correspondan a las actividades definidas en las matrices de experiencia, expedidas por la Agencia Nacional de Contratación Pública – Colombia Compra Eficiente para los sectores educativo, salud y cultura, recreación y deporte, sin perjuicio de que dicha Agencia incluya otros tipos de “infraestructura social”</w:t>
      </w:r>
      <w:r w:rsidRPr="00336B72">
        <w:rPr>
          <w:rFonts w:ascii="Arial" w:eastAsia="Calibri" w:hAnsi="Arial" w:cs="Arial"/>
          <w:sz w:val="22"/>
          <w:szCs w:val="22"/>
        </w:rPr>
        <w:t>».</w:t>
      </w:r>
    </w:p>
    <w:p w14:paraId="39DE20B3" w14:textId="77777777" w:rsidR="00336B72" w:rsidRPr="00336B72" w:rsidRDefault="00336B72" w:rsidP="00336B72">
      <w:pPr>
        <w:spacing w:before="120" w:after="120" w:line="276" w:lineRule="auto"/>
        <w:ind w:firstLine="708"/>
        <w:jc w:val="both"/>
        <w:rPr>
          <w:rFonts w:ascii="Arial" w:hAnsi="Arial" w:cs="Arial"/>
          <w:sz w:val="22"/>
          <w:lang w:val="es-ES"/>
        </w:rPr>
      </w:pPr>
      <w:r w:rsidRPr="00336B72">
        <w:rPr>
          <w:rFonts w:ascii="Arial" w:hAnsi="Arial" w:cs="Arial"/>
          <w:bCs/>
          <w:color w:val="000000"/>
          <w:sz w:val="22"/>
          <w:lang w:val="es-ES" w:eastAsia="es-ES_tradnl"/>
        </w:rPr>
        <w:t xml:space="preserve">Cabe anotar que </w:t>
      </w:r>
      <w:r w:rsidRPr="00336B72">
        <w:rPr>
          <w:rFonts w:ascii="Arial" w:hAnsi="Arial" w:cs="Arial"/>
          <w:bCs/>
          <w:color w:val="000000"/>
          <w:sz w:val="22"/>
          <w:lang w:eastAsia="es-ES_tradnl"/>
        </w:rPr>
        <w:t xml:space="preserve">la Resolución 219 del 6 de agosto de 2021 contiene los documentos tipo que aplican </w:t>
      </w:r>
      <w:r w:rsidRPr="00336B72">
        <w:rPr>
          <w:rFonts w:ascii="Arial" w:hAnsi="Arial" w:cs="Arial"/>
          <w:sz w:val="22"/>
          <w:lang w:val="es-ES"/>
        </w:rPr>
        <w:t xml:space="preserve">de forma transversal a los proyectos de infraestructura social en los sectores educativo; salud; cultura, recreación y deporte. Estos documentos son el </w:t>
      </w:r>
      <w:r w:rsidRPr="00336B72">
        <w:rPr>
          <w:rFonts w:ascii="Arial" w:hAnsi="Arial" w:cs="Arial"/>
          <w:sz w:val="22"/>
          <w:lang w:val="es-ES"/>
        </w:rPr>
        <w:lastRenderedPageBreak/>
        <w:t>documento base, los anexos, los formatos, los formularios y las matrices, los cuales se complementarán con cada una de las resoluciones que adoptan las matrices de experiencia y los anexos de glosario para cada uno de los sectores, definiendo así su alcance y vigencia.</w:t>
      </w:r>
    </w:p>
    <w:p w14:paraId="19994FCB" w14:textId="77777777" w:rsidR="00336B72" w:rsidRPr="00336B72" w:rsidRDefault="00336B72" w:rsidP="00336B72">
      <w:pPr>
        <w:spacing w:before="120" w:after="120" w:line="276" w:lineRule="auto"/>
        <w:ind w:firstLine="708"/>
        <w:jc w:val="both"/>
        <w:rPr>
          <w:rFonts w:ascii="Arial" w:hAnsi="Arial" w:cs="Arial"/>
          <w:sz w:val="22"/>
          <w:lang w:val="es-ES"/>
        </w:rPr>
      </w:pPr>
      <w:r w:rsidRPr="00336B72">
        <w:rPr>
          <w:rFonts w:ascii="Arial" w:hAnsi="Arial" w:cs="Arial"/>
          <w:sz w:val="22"/>
          <w:lang w:val="es-ES"/>
        </w:rPr>
        <w:t xml:space="preserve">En consecuencia, en materia de infraestructura social debe tenerse en cuenta que existen dos (2) clases de documentos tipo que se integran en cada proceso:  i) los documentos </w:t>
      </w:r>
      <w:r w:rsidRPr="00336B72">
        <w:rPr>
          <w:rFonts w:ascii="Arial" w:hAnsi="Arial" w:cs="Arial"/>
          <w:i/>
          <w:sz w:val="22"/>
          <w:lang w:val="es-ES"/>
        </w:rPr>
        <w:t>transversales</w:t>
      </w:r>
      <w:r w:rsidRPr="00336B72">
        <w:rPr>
          <w:rFonts w:ascii="Arial" w:hAnsi="Arial" w:cs="Arial"/>
          <w:sz w:val="22"/>
          <w:lang w:val="es-ES"/>
        </w:rPr>
        <w:t xml:space="preserve"> a todos los sectores de infraestructura social, es decir, el documento base, los anexos, los formatos, los formularios y las matrices adoptados mediante la Resolución No. 219 de 2021; y </w:t>
      </w:r>
      <w:proofErr w:type="spellStart"/>
      <w:r w:rsidRPr="00336B72">
        <w:rPr>
          <w:rFonts w:ascii="Arial" w:hAnsi="Arial" w:cs="Arial"/>
          <w:sz w:val="22"/>
          <w:lang w:val="es-ES"/>
        </w:rPr>
        <w:t>ii</w:t>
      </w:r>
      <w:proofErr w:type="spellEnd"/>
      <w:r w:rsidRPr="00336B72">
        <w:rPr>
          <w:rFonts w:ascii="Arial" w:hAnsi="Arial" w:cs="Arial"/>
          <w:sz w:val="22"/>
          <w:lang w:val="es-ES"/>
        </w:rPr>
        <w:t xml:space="preserve">) los documentos tipo </w:t>
      </w:r>
      <w:r w:rsidRPr="00336B72">
        <w:rPr>
          <w:rFonts w:ascii="Arial" w:hAnsi="Arial" w:cs="Arial"/>
          <w:i/>
          <w:sz w:val="22"/>
          <w:lang w:val="es-ES"/>
        </w:rPr>
        <w:t>complementarios</w:t>
      </w:r>
      <w:r w:rsidRPr="00336B72">
        <w:rPr>
          <w:rFonts w:ascii="Arial" w:hAnsi="Arial" w:cs="Arial"/>
          <w:iCs/>
          <w:sz w:val="22"/>
          <w:lang w:val="es-ES"/>
        </w:rPr>
        <w:t>,</w:t>
      </w:r>
      <w:r w:rsidRPr="00336B72">
        <w:rPr>
          <w:rFonts w:ascii="Arial" w:hAnsi="Arial" w:cs="Arial"/>
          <w:i/>
          <w:sz w:val="22"/>
          <w:lang w:val="es-ES"/>
        </w:rPr>
        <w:t xml:space="preserve"> </w:t>
      </w:r>
      <w:r w:rsidRPr="00336B72">
        <w:rPr>
          <w:rFonts w:ascii="Arial" w:hAnsi="Arial" w:cs="Arial"/>
          <w:sz w:val="22"/>
          <w:lang w:val="es-ES"/>
        </w:rPr>
        <w:t>referentes a la matriz de experiencia y el glosario, los cuales han sido adoptados en la resolución para cada sector específico.</w:t>
      </w:r>
    </w:p>
    <w:p w14:paraId="2996CD47" w14:textId="77777777" w:rsidR="00336B72" w:rsidRPr="00336B72" w:rsidRDefault="00336B72" w:rsidP="00336B72">
      <w:pPr>
        <w:spacing w:line="276" w:lineRule="auto"/>
        <w:ind w:firstLine="708"/>
        <w:jc w:val="both"/>
        <w:rPr>
          <w:rFonts w:ascii="Arial" w:hAnsi="Arial" w:cs="Arial"/>
          <w:i/>
          <w:iCs/>
          <w:sz w:val="22"/>
          <w:szCs w:val="22"/>
          <w:lang w:eastAsia="en-US"/>
        </w:rPr>
      </w:pPr>
      <w:r w:rsidRPr="00336B72">
        <w:rPr>
          <w:rFonts w:ascii="Arial" w:hAnsi="Arial" w:cs="Arial"/>
          <w:sz w:val="22"/>
          <w:szCs w:val="22"/>
          <w:lang w:eastAsia="en-US"/>
        </w:rPr>
        <w:t>De esta forma, esta Agencia expidió distintos actos administrativos a partir de los cuales se adoptaron la</w:t>
      </w:r>
      <w:r w:rsidRPr="00336B72">
        <w:rPr>
          <w:rFonts w:ascii="Arial" w:hAnsi="Arial" w:cs="Arial"/>
          <w:sz w:val="20"/>
          <w:szCs w:val="20"/>
          <w:lang w:eastAsia="en-US"/>
        </w:rPr>
        <w:t xml:space="preserve"> </w:t>
      </w:r>
      <w:r w:rsidRPr="00336B72">
        <w:rPr>
          <w:rFonts w:ascii="Arial" w:hAnsi="Arial" w:cs="Arial"/>
          <w:sz w:val="22"/>
          <w:szCs w:val="22"/>
          <w:lang w:eastAsia="en-US"/>
        </w:rPr>
        <w:t>«Matriz – Experiencia» y el «Anexo – Glosario». Así las cosas, la Agencia expidió: i) la Resolución 220 del 6 de agosto de 2021, «Por la cual se adoptan los documentos tipo complementarios para los procesos de licitación de obra pública de infraestructura social relacionados con el sector educativo»;</w:t>
      </w:r>
      <w:r w:rsidRPr="00336B72">
        <w:rPr>
          <w:rFonts w:ascii="Arial" w:hAnsi="Arial" w:cs="Arial"/>
          <w:i/>
          <w:iCs/>
          <w:sz w:val="22"/>
          <w:szCs w:val="22"/>
          <w:lang w:eastAsia="en-US"/>
        </w:rPr>
        <w:t xml:space="preserve"> </w:t>
      </w:r>
      <w:proofErr w:type="spellStart"/>
      <w:r w:rsidRPr="00336B72">
        <w:rPr>
          <w:rFonts w:ascii="Arial" w:hAnsi="Arial" w:cs="Arial"/>
          <w:sz w:val="22"/>
          <w:szCs w:val="22"/>
          <w:lang w:eastAsia="en-US"/>
        </w:rPr>
        <w:t>ii</w:t>
      </w:r>
      <w:proofErr w:type="spellEnd"/>
      <w:r w:rsidRPr="00336B72">
        <w:rPr>
          <w:rFonts w:ascii="Arial" w:hAnsi="Arial" w:cs="Arial"/>
          <w:sz w:val="22"/>
          <w:szCs w:val="22"/>
          <w:lang w:eastAsia="en-US"/>
        </w:rPr>
        <w:t>)</w:t>
      </w:r>
      <w:r w:rsidRPr="00336B72">
        <w:rPr>
          <w:rFonts w:ascii="Arial" w:hAnsi="Arial" w:cs="Arial"/>
          <w:i/>
          <w:iCs/>
          <w:sz w:val="22"/>
          <w:szCs w:val="22"/>
          <w:lang w:eastAsia="en-US"/>
        </w:rPr>
        <w:t xml:space="preserve"> </w:t>
      </w:r>
      <w:r w:rsidRPr="00336B72">
        <w:rPr>
          <w:rFonts w:ascii="Arial" w:hAnsi="Arial" w:cs="Arial"/>
          <w:sz w:val="22"/>
          <w:szCs w:val="22"/>
          <w:lang w:eastAsia="en-US"/>
        </w:rPr>
        <w:t xml:space="preserve">la Resolución 392 del 18 de noviembre de 2021, «Por la cual se adoptan los documentos tipo complementarios para los procesos de licitación de obra pública de infraestructura social relacionados con el sector salud»; y </w:t>
      </w:r>
      <w:proofErr w:type="spellStart"/>
      <w:r w:rsidRPr="00336B72">
        <w:rPr>
          <w:rFonts w:ascii="Arial" w:hAnsi="Arial" w:cs="Arial"/>
          <w:sz w:val="22"/>
          <w:szCs w:val="22"/>
          <w:lang w:eastAsia="en-US"/>
        </w:rPr>
        <w:t>iii</w:t>
      </w:r>
      <w:proofErr w:type="spellEnd"/>
      <w:r w:rsidRPr="00336B72">
        <w:rPr>
          <w:rFonts w:ascii="Arial" w:hAnsi="Arial" w:cs="Arial"/>
          <w:sz w:val="22"/>
          <w:szCs w:val="22"/>
          <w:lang w:eastAsia="en-US"/>
        </w:rPr>
        <w:t>) la Resolución 454 del 16 de diciembre de 2021,</w:t>
      </w:r>
      <w:r w:rsidRPr="00336B72">
        <w:rPr>
          <w:rFonts w:ascii="Calibri" w:eastAsia="Calibri" w:hAnsi="Calibri" w:cs="Arial"/>
          <w:sz w:val="22"/>
          <w:szCs w:val="22"/>
          <w:lang w:eastAsia="en-US"/>
        </w:rPr>
        <w:t xml:space="preserve"> </w:t>
      </w:r>
      <w:r w:rsidRPr="00336B72">
        <w:rPr>
          <w:rFonts w:ascii="Arial" w:hAnsi="Arial" w:cs="Arial"/>
          <w:sz w:val="22"/>
          <w:szCs w:val="22"/>
          <w:lang w:eastAsia="en-US"/>
        </w:rPr>
        <w:t>«Por la cual se adoptan los documentos tipo complementarios para los procesos de licitación de obra pública de infraestructura social relacionados con el sector cultura, recreación y deporte»</w:t>
      </w:r>
      <w:r w:rsidRPr="00336B72">
        <w:rPr>
          <w:rFonts w:ascii="Arial" w:hAnsi="Arial" w:cs="Arial"/>
          <w:i/>
          <w:iCs/>
          <w:sz w:val="22"/>
          <w:szCs w:val="22"/>
          <w:lang w:eastAsia="en-US"/>
        </w:rPr>
        <w:t>.</w:t>
      </w:r>
    </w:p>
    <w:p w14:paraId="603AFFC7" w14:textId="77777777" w:rsidR="000C0B99" w:rsidRPr="003A4DC7" w:rsidRDefault="000C0B99" w:rsidP="002975CD">
      <w:pPr>
        <w:spacing w:line="276" w:lineRule="auto"/>
        <w:jc w:val="both"/>
        <w:rPr>
          <w:rFonts w:ascii="Arial" w:eastAsia="Calibri" w:hAnsi="Arial" w:cs="Arial"/>
          <w:b/>
          <w:bCs/>
          <w:sz w:val="22"/>
          <w:szCs w:val="22"/>
          <w:lang w:val="es-ES" w:eastAsia="es-ES"/>
        </w:rPr>
      </w:pPr>
    </w:p>
    <w:p w14:paraId="03D2DD07" w14:textId="213C2DEA" w:rsidR="00C92C5D" w:rsidRPr="00427154" w:rsidRDefault="00C92C5D" w:rsidP="002975CD">
      <w:pPr>
        <w:spacing w:line="276" w:lineRule="auto"/>
        <w:jc w:val="both"/>
        <w:rPr>
          <w:rFonts w:ascii="Arial" w:eastAsia="Calibri" w:hAnsi="Arial" w:cs="Arial"/>
          <w:b/>
          <w:bCs/>
          <w:sz w:val="22"/>
          <w:szCs w:val="22"/>
          <w:lang w:val="es-ES" w:eastAsia="es-ES"/>
        </w:rPr>
      </w:pPr>
      <w:r w:rsidRPr="00427154">
        <w:rPr>
          <w:rFonts w:ascii="Arial" w:eastAsia="Calibri" w:hAnsi="Arial" w:cs="Arial"/>
          <w:b/>
          <w:bCs/>
          <w:sz w:val="22"/>
          <w:szCs w:val="22"/>
          <w:lang w:val="es-ES" w:eastAsia="es-ES"/>
        </w:rPr>
        <w:t xml:space="preserve">2.3. </w:t>
      </w:r>
      <w:bookmarkStart w:id="11" w:name="_Hlk110433301"/>
      <w:r w:rsidRPr="00427154">
        <w:rPr>
          <w:rFonts w:ascii="Arial" w:eastAsia="Calibri" w:hAnsi="Arial" w:cs="Arial"/>
          <w:b/>
          <w:bCs/>
          <w:sz w:val="22"/>
          <w:szCs w:val="22"/>
          <w:lang w:val="es-ES" w:eastAsia="es-ES"/>
        </w:rPr>
        <w:t xml:space="preserve">Acreditación de experiencia en los </w:t>
      </w:r>
      <w:r w:rsidR="003230C7">
        <w:rPr>
          <w:rFonts w:ascii="Arial" w:eastAsia="Calibri" w:hAnsi="Arial" w:cs="Arial"/>
          <w:b/>
          <w:bCs/>
          <w:sz w:val="22"/>
          <w:szCs w:val="22"/>
          <w:lang w:val="es-ES" w:eastAsia="es-ES"/>
        </w:rPr>
        <w:t xml:space="preserve">documentos tipo </w:t>
      </w:r>
      <w:r w:rsidR="003230C7" w:rsidRPr="003230C7">
        <w:rPr>
          <w:rFonts w:ascii="Arial" w:eastAsia="Calibri" w:hAnsi="Arial" w:cs="Arial"/>
          <w:b/>
          <w:bCs/>
          <w:sz w:val="22"/>
          <w:szCs w:val="22"/>
          <w:lang w:val="es-ES" w:eastAsia="es-ES"/>
        </w:rPr>
        <w:t xml:space="preserve">de licitación de obra pública de infraestructura social </w:t>
      </w:r>
      <w:bookmarkEnd w:id="11"/>
    </w:p>
    <w:p w14:paraId="3130492A" w14:textId="35D8D666" w:rsidR="000C0B99" w:rsidRDefault="000C0B99" w:rsidP="00B123F2">
      <w:pPr>
        <w:spacing w:line="276" w:lineRule="auto"/>
        <w:jc w:val="both"/>
        <w:rPr>
          <w:rFonts w:ascii="Arial" w:hAnsi="Arial" w:cs="Arial"/>
          <w:sz w:val="22"/>
          <w:szCs w:val="22"/>
        </w:rPr>
      </w:pPr>
    </w:p>
    <w:p w14:paraId="2D873658" w14:textId="77777777" w:rsidR="003230C7" w:rsidRPr="003230C7" w:rsidRDefault="003230C7" w:rsidP="003230C7">
      <w:pPr>
        <w:spacing w:after="120" w:line="276" w:lineRule="auto"/>
        <w:jc w:val="both"/>
        <w:rPr>
          <w:rFonts w:ascii="Arial" w:hAnsi="Arial" w:cs="Arial"/>
          <w:sz w:val="22"/>
          <w:lang w:val="es-ES"/>
        </w:rPr>
      </w:pPr>
      <w:r w:rsidRPr="003230C7">
        <w:rPr>
          <w:rFonts w:ascii="Arial" w:hAnsi="Arial" w:cs="Arial"/>
          <w:sz w:val="22"/>
          <w:lang w:val="es-ES"/>
        </w:rPr>
        <w:t xml:space="preserve">Las Resoluciones 220, 392 y 454 del 2021, en el artículo 2, desarrollan el «Anexo − Glosario» y la «Matriz − Experiencia» de cada sector en particular −educativo; salud; cultura, recreación y deporte− de los documentos tipo complementarios de licitación de obra pública de infraestructura social, lo que significa que estos documentos definen el alcance para cada sector. </w:t>
      </w:r>
    </w:p>
    <w:p w14:paraId="373C9AD9" w14:textId="77777777" w:rsidR="003230C7" w:rsidRPr="003230C7" w:rsidRDefault="003230C7" w:rsidP="003230C7">
      <w:pPr>
        <w:spacing w:after="120" w:line="276" w:lineRule="auto"/>
        <w:ind w:firstLine="708"/>
        <w:jc w:val="both"/>
        <w:rPr>
          <w:rFonts w:ascii="Arial" w:eastAsia="Calibri" w:hAnsi="Arial" w:cs="Arial"/>
          <w:color w:val="0D0D0D"/>
          <w:sz w:val="22"/>
          <w:szCs w:val="22"/>
          <w:lang w:val="es-MX" w:eastAsia="en-US"/>
        </w:rPr>
      </w:pPr>
      <w:r w:rsidRPr="003230C7">
        <w:rPr>
          <w:rFonts w:ascii="Arial" w:hAnsi="Arial" w:cs="Arial"/>
          <w:sz w:val="22"/>
          <w:lang w:val="es-ES"/>
        </w:rPr>
        <w:t xml:space="preserve">De esta forma, la Matriz de experiencia de cada sector mencionado </w:t>
      </w:r>
      <w:r w:rsidRPr="003230C7">
        <w:rPr>
          <w:rFonts w:ascii="Arial" w:eastAsia="Calibri" w:hAnsi="Arial" w:cs="Arial"/>
          <w:color w:val="0D0D0D"/>
          <w:sz w:val="22"/>
          <w:szCs w:val="22"/>
          <w:lang w:val="es-MX" w:eastAsia="en-US"/>
        </w:rPr>
        <w:t>consta de unas celdas en las que se describe la experiencia requerida en relación con el objeto a contratar</w:t>
      </w:r>
      <w:r w:rsidRPr="003230C7">
        <w:rPr>
          <w:rFonts w:ascii="Arial" w:hAnsi="Arial" w:cs="Arial"/>
          <w:sz w:val="22"/>
          <w:lang w:val="es-ES"/>
        </w:rPr>
        <w:t xml:space="preserve">, señalando, además, los proyectos o contratos concretos a los cuales aplican los documentos tipo de cada uno de los sectores, en el entendido de que aplicarán a los procesos contractuales cuyo objeto se relacione con alguna de las actividades establecidas de forma detallada en la Matriz de experiencia respectiva. </w:t>
      </w:r>
      <w:r w:rsidRPr="003230C7">
        <w:rPr>
          <w:rFonts w:ascii="Arial" w:eastAsia="Calibri" w:hAnsi="Arial" w:cs="Arial"/>
          <w:color w:val="0D0D0D"/>
          <w:sz w:val="22"/>
          <w:szCs w:val="22"/>
          <w:lang w:val="es-MX" w:eastAsia="en-US"/>
        </w:rPr>
        <w:t xml:space="preserve">Por otro lado, el «Anexo 3 – Glosario», contiene las definiciones de los términos usados en los documentos </w:t>
      </w:r>
      <w:r w:rsidRPr="003230C7">
        <w:rPr>
          <w:rFonts w:ascii="Arial" w:eastAsia="Calibri" w:hAnsi="Arial" w:cs="Arial"/>
          <w:color w:val="0D0D0D"/>
          <w:sz w:val="22"/>
          <w:szCs w:val="22"/>
          <w:lang w:val="es-MX" w:eastAsia="en-US"/>
        </w:rPr>
        <w:lastRenderedPageBreak/>
        <w:t xml:space="preserve">del proceso. Utilizando estos dos documentos, la entidad estatal puede definir si el objeto a contratarse debe aplicar los documentos tipo de licitación de obra pública de infraestructura social relacionados con el sector educativo, salud y cultura, recreación y deporte −según corresponda−. </w:t>
      </w:r>
    </w:p>
    <w:p w14:paraId="2B0D383F" w14:textId="448195D9" w:rsidR="003230C7" w:rsidRPr="003230C7" w:rsidRDefault="003230C7" w:rsidP="003230C7">
      <w:pPr>
        <w:spacing w:before="120" w:after="120" w:line="276" w:lineRule="auto"/>
        <w:ind w:firstLine="709"/>
        <w:jc w:val="both"/>
        <w:rPr>
          <w:rFonts w:ascii="Arial" w:eastAsia="Calibri" w:hAnsi="Arial" w:cs="Arial"/>
          <w:color w:val="0D0D0D"/>
          <w:sz w:val="22"/>
          <w:szCs w:val="22"/>
          <w:lang w:val="es-MX" w:eastAsia="en-US"/>
        </w:rPr>
      </w:pPr>
      <w:r w:rsidRPr="003230C7">
        <w:rPr>
          <w:rFonts w:ascii="Arial" w:eastAsia="Calibri" w:hAnsi="Arial" w:cs="Arial"/>
          <w:color w:val="0D0D0D"/>
          <w:sz w:val="22"/>
          <w:szCs w:val="22"/>
          <w:lang w:val="es-MX" w:eastAsia="en-US"/>
        </w:rPr>
        <w:t xml:space="preserve">De acuerdo con lo anterior, la </w:t>
      </w:r>
      <w:r w:rsidR="003044D8">
        <w:rPr>
          <w:rFonts w:ascii="Arial" w:eastAsia="Calibri" w:hAnsi="Arial" w:cs="Arial"/>
          <w:color w:val="0D0D0D"/>
          <w:sz w:val="22"/>
          <w:szCs w:val="22"/>
          <w:lang w:val="es-MX" w:eastAsia="en-US"/>
        </w:rPr>
        <w:t>m</w:t>
      </w:r>
      <w:r w:rsidRPr="003230C7">
        <w:rPr>
          <w:rFonts w:ascii="Arial" w:eastAsia="Calibri" w:hAnsi="Arial" w:cs="Arial"/>
          <w:color w:val="0D0D0D"/>
          <w:sz w:val="22"/>
          <w:szCs w:val="22"/>
          <w:lang w:val="es-MX" w:eastAsia="en-US"/>
        </w:rPr>
        <w:t>atriz de experiencia, cumple una doble función. Por un lado, sirve para estandarizar las condiciones de experiencia, conforme al parágrafo 7 del artículo 2 de la Ley 1150 de 2007. De otro lado, dicha matriz permite determinar el ámbito de aplicación de los documentos tipo complementarios de licitación de obra pública de infraestructura social, respecto de objetos contractuales asociados, ya que son las actividades descritas en esta las que, obligatoriamente, deben contratarse aplicando estos documentos tipo.</w:t>
      </w:r>
    </w:p>
    <w:p w14:paraId="35339251" w14:textId="7C585C86" w:rsidR="003230C7" w:rsidRPr="003230C7" w:rsidRDefault="003230C7" w:rsidP="003230C7">
      <w:pPr>
        <w:spacing w:before="120" w:after="120" w:line="276" w:lineRule="auto"/>
        <w:ind w:firstLine="709"/>
        <w:jc w:val="both"/>
        <w:rPr>
          <w:rFonts w:ascii="Arial" w:eastAsia="Calibri" w:hAnsi="Arial" w:cs="Arial"/>
          <w:color w:val="0D0D0D"/>
          <w:sz w:val="22"/>
          <w:szCs w:val="22"/>
          <w:lang w:val="es-MX" w:eastAsia="en-US"/>
        </w:rPr>
      </w:pPr>
      <w:r w:rsidRPr="003230C7">
        <w:rPr>
          <w:rFonts w:ascii="Arial" w:eastAsia="Calibri" w:hAnsi="Arial" w:cs="Arial"/>
          <w:color w:val="0D0D0D"/>
          <w:sz w:val="22"/>
          <w:szCs w:val="22"/>
          <w:lang w:val="es-MX" w:eastAsia="en-US"/>
        </w:rPr>
        <w:t>De esta manera, para saber a qué actividades deben aplicarse los documentos tipo de licitación de obra pública de infraestructura social expedidos por esta Agencia, la entidad debe verificar que estos apliquen para la modalidad de selección en la que debe celebrarse el proceso, subsumiendo el objeto a contratar en los tipos de proyectos de infraestructura a contratarse. Por tanto, si el objeto contractual a ejecutar se encuadra materialmente dentro de alguno de los tipos actividades concretas señaladas en cada una de las matrices de experiencia, se tendrán que aplicar estos documentos tipo para los mencionados sectores −según corresponda−, mientras que en el caso contrario no será forzosa su aplicación.</w:t>
      </w:r>
    </w:p>
    <w:p w14:paraId="16810791" w14:textId="148E9912" w:rsidR="003230C7" w:rsidRPr="003230C7" w:rsidRDefault="00732B1F" w:rsidP="003230C7">
      <w:pPr>
        <w:spacing w:line="276" w:lineRule="auto"/>
        <w:ind w:firstLine="708"/>
        <w:jc w:val="both"/>
        <w:rPr>
          <w:rFonts w:ascii="Arial" w:hAnsi="Arial" w:cs="Arial"/>
          <w:color w:val="000000"/>
          <w:sz w:val="22"/>
          <w:szCs w:val="22"/>
          <w:bdr w:val="none" w:sz="0" w:space="0" w:color="auto" w:frame="1"/>
          <w:lang w:val="es-ES_tradnl"/>
        </w:rPr>
      </w:pPr>
      <w:r>
        <w:rPr>
          <w:rFonts w:ascii="Arial" w:eastAsia="Calibri" w:hAnsi="Arial" w:cs="Arial"/>
          <w:color w:val="0D0D0D"/>
          <w:sz w:val="22"/>
          <w:szCs w:val="22"/>
          <w:lang w:val="es-MX" w:eastAsia="en-US"/>
        </w:rPr>
        <w:t xml:space="preserve">A efectos de la </w:t>
      </w:r>
      <w:r w:rsidR="00E72138">
        <w:rPr>
          <w:rFonts w:ascii="Arial" w:eastAsia="Calibri" w:hAnsi="Arial" w:cs="Arial"/>
          <w:color w:val="0D0D0D"/>
          <w:sz w:val="22"/>
          <w:szCs w:val="22"/>
          <w:lang w:val="es-MX" w:eastAsia="en-US"/>
        </w:rPr>
        <w:t>estandarización</w:t>
      </w:r>
      <w:r>
        <w:rPr>
          <w:rFonts w:ascii="Arial" w:eastAsia="Calibri" w:hAnsi="Arial" w:cs="Arial"/>
          <w:color w:val="0D0D0D"/>
          <w:sz w:val="22"/>
          <w:szCs w:val="22"/>
          <w:lang w:val="es-MX" w:eastAsia="en-US"/>
        </w:rPr>
        <w:t xml:space="preserve"> de l</w:t>
      </w:r>
      <w:r w:rsidR="00E72138">
        <w:rPr>
          <w:rFonts w:ascii="Arial" w:eastAsia="Calibri" w:hAnsi="Arial" w:cs="Arial"/>
          <w:color w:val="0D0D0D"/>
          <w:sz w:val="22"/>
          <w:szCs w:val="22"/>
          <w:lang w:val="es-MX" w:eastAsia="en-US"/>
        </w:rPr>
        <w:t xml:space="preserve">as condiciones de experiencia, cada una de </w:t>
      </w:r>
      <w:r w:rsidR="00AD11E5">
        <w:rPr>
          <w:rFonts w:ascii="Arial" w:eastAsia="Calibri" w:hAnsi="Arial" w:cs="Arial"/>
          <w:color w:val="0D0D0D"/>
          <w:sz w:val="22"/>
          <w:szCs w:val="22"/>
          <w:lang w:val="es-MX" w:eastAsia="en-US"/>
        </w:rPr>
        <w:t>las actividades</w:t>
      </w:r>
      <w:r w:rsidR="0086374C">
        <w:rPr>
          <w:rFonts w:ascii="Arial" w:eastAsia="Calibri" w:hAnsi="Arial" w:cs="Arial"/>
          <w:color w:val="0D0D0D"/>
          <w:sz w:val="22"/>
          <w:szCs w:val="22"/>
          <w:lang w:val="es-MX" w:eastAsia="en-US"/>
        </w:rPr>
        <w:t xml:space="preserve"> descritas en las matrices de experiencia</w:t>
      </w:r>
      <w:r>
        <w:rPr>
          <w:rFonts w:ascii="Arial" w:eastAsia="Calibri" w:hAnsi="Arial" w:cs="Arial"/>
          <w:color w:val="0D0D0D"/>
          <w:sz w:val="22"/>
          <w:szCs w:val="22"/>
          <w:lang w:val="es-MX" w:eastAsia="en-US"/>
        </w:rPr>
        <w:t xml:space="preserve"> tienen asignados </w:t>
      </w:r>
      <w:r w:rsidR="00E72138">
        <w:rPr>
          <w:rFonts w:ascii="Arial" w:eastAsia="Calibri" w:hAnsi="Arial" w:cs="Arial"/>
          <w:color w:val="0D0D0D"/>
          <w:sz w:val="22"/>
          <w:szCs w:val="22"/>
          <w:lang w:val="es-MX" w:eastAsia="en-US"/>
        </w:rPr>
        <w:t xml:space="preserve">unos requisitos </w:t>
      </w:r>
      <w:r w:rsidR="00E72138">
        <w:rPr>
          <w:rFonts w:ascii="Arial" w:hAnsi="Arial" w:cs="Arial"/>
          <w:color w:val="000000"/>
          <w:sz w:val="22"/>
          <w:szCs w:val="22"/>
          <w:bdr w:val="none" w:sz="0" w:space="0" w:color="auto" w:frame="1"/>
          <w:lang w:val="es-ES_tradnl"/>
        </w:rPr>
        <w:t>general</w:t>
      </w:r>
      <w:r w:rsidR="00AD11E5">
        <w:rPr>
          <w:rFonts w:ascii="Arial" w:hAnsi="Arial" w:cs="Arial"/>
          <w:color w:val="000000"/>
          <w:sz w:val="22"/>
          <w:szCs w:val="22"/>
          <w:bdr w:val="none" w:sz="0" w:space="0" w:color="auto" w:frame="1"/>
          <w:lang w:val="es-ES_tradnl"/>
        </w:rPr>
        <w:t>es</w:t>
      </w:r>
      <w:r w:rsidR="00E72138">
        <w:rPr>
          <w:rFonts w:ascii="Arial" w:hAnsi="Arial" w:cs="Arial"/>
          <w:color w:val="000000"/>
          <w:sz w:val="22"/>
          <w:szCs w:val="22"/>
          <w:bdr w:val="none" w:sz="0" w:space="0" w:color="auto" w:frame="1"/>
          <w:lang w:val="es-ES_tradnl"/>
        </w:rPr>
        <w:t xml:space="preserve"> y/o </w:t>
      </w:r>
      <w:r w:rsidR="003230C7" w:rsidRPr="003230C7">
        <w:rPr>
          <w:rFonts w:ascii="Arial" w:hAnsi="Arial" w:cs="Arial"/>
          <w:color w:val="000000"/>
          <w:sz w:val="22"/>
          <w:szCs w:val="22"/>
          <w:bdr w:val="none" w:sz="0" w:space="0" w:color="auto" w:frame="1"/>
          <w:lang w:val="es-ES_tradnl"/>
        </w:rPr>
        <w:t>específic</w:t>
      </w:r>
      <w:r w:rsidR="00E72138">
        <w:rPr>
          <w:rFonts w:ascii="Arial" w:hAnsi="Arial" w:cs="Arial"/>
          <w:color w:val="000000"/>
          <w:sz w:val="22"/>
          <w:szCs w:val="22"/>
          <w:bdr w:val="none" w:sz="0" w:space="0" w:color="auto" w:frame="1"/>
          <w:lang w:val="es-ES_tradnl"/>
        </w:rPr>
        <w:t xml:space="preserve">os, </w:t>
      </w:r>
      <w:r w:rsidR="003230C7" w:rsidRPr="003230C7">
        <w:rPr>
          <w:rFonts w:ascii="Arial" w:hAnsi="Arial" w:cs="Arial"/>
          <w:color w:val="000000"/>
          <w:sz w:val="22"/>
          <w:szCs w:val="22"/>
          <w:bdr w:val="none" w:sz="0" w:space="0" w:color="auto" w:frame="1"/>
          <w:lang w:val="es-ES_tradnl"/>
        </w:rPr>
        <w:t xml:space="preserve">que puede exigir la entidad estatal y que deben acreditar los proponentes </w:t>
      </w:r>
      <w:r w:rsidR="00F97794">
        <w:rPr>
          <w:rFonts w:ascii="Arial" w:hAnsi="Arial" w:cs="Arial"/>
          <w:color w:val="000000"/>
          <w:sz w:val="22"/>
          <w:szCs w:val="22"/>
          <w:bdr w:val="none" w:sz="0" w:space="0" w:color="auto" w:frame="1"/>
          <w:lang w:val="es-ES_tradnl"/>
        </w:rPr>
        <w:t xml:space="preserve">para participar en los procesos de contratación </w:t>
      </w:r>
      <w:r w:rsidR="001C0265">
        <w:rPr>
          <w:rFonts w:ascii="Arial" w:hAnsi="Arial" w:cs="Arial"/>
          <w:color w:val="000000"/>
          <w:sz w:val="22"/>
          <w:szCs w:val="22"/>
          <w:bdr w:val="none" w:sz="0" w:space="0" w:color="auto" w:frame="1"/>
          <w:lang w:val="es-ES_tradnl"/>
        </w:rPr>
        <w:t>cuyos objetos correspondan con la actividad para la que se contemplan</w:t>
      </w:r>
      <w:r w:rsidR="00475BEE">
        <w:rPr>
          <w:rFonts w:ascii="Arial" w:hAnsi="Arial" w:cs="Arial"/>
          <w:color w:val="000000"/>
          <w:sz w:val="22"/>
          <w:szCs w:val="22"/>
          <w:bdr w:val="none" w:sz="0" w:space="0" w:color="auto" w:frame="1"/>
          <w:lang w:val="es-ES_tradnl"/>
        </w:rPr>
        <w:t xml:space="preserve"> los mencionados requerimientos.</w:t>
      </w:r>
      <w:r w:rsidR="001C0265">
        <w:rPr>
          <w:rFonts w:ascii="Arial" w:hAnsi="Arial" w:cs="Arial"/>
          <w:color w:val="000000"/>
          <w:sz w:val="22"/>
          <w:szCs w:val="22"/>
          <w:bdr w:val="none" w:sz="0" w:space="0" w:color="auto" w:frame="1"/>
          <w:lang w:val="es-ES_tradnl"/>
        </w:rPr>
        <w:t xml:space="preserve"> </w:t>
      </w:r>
    </w:p>
    <w:p w14:paraId="6F0C0CDB" w14:textId="49F2672B" w:rsidR="003230C7" w:rsidRPr="003230C7" w:rsidRDefault="000D65F9" w:rsidP="003230C7">
      <w:pPr>
        <w:spacing w:before="120" w:after="120" w:line="276" w:lineRule="auto"/>
        <w:ind w:firstLine="708"/>
        <w:jc w:val="both"/>
        <w:rPr>
          <w:rFonts w:ascii="Arial" w:hAnsi="Arial" w:cs="Arial"/>
          <w:color w:val="000000"/>
          <w:sz w:val="22"/>
          <w:szCs w:val="22"/>
          <w:bdr w:val="none" w:sz="0" w:space="0" w:color="auto" w:frame="1"/>
          <w:lang w:val="es-ES_tradnl"/>
        </w:rPr>
      </w:pPr>
      <w:r>
        <w:rPr>
          <w:rFonts w:ascii="Arial" w:hAnsi="Arial" w:cs="Arial"/>
          <w:color w:val="000000"/>
          <w:sz w:val="22"/>
          <w:szCs w:val="22"/>
          <w:bdr w:val="none" w:sz="0" w:space="0" w:color="auto" w:frame="1"/>
          <w:lang w:val="es-ES_tradnl"/>
        </w:rPr>
        <w:t xml:space="preserve">En ese orden, </w:t>
      </w:r>
      <w:r w:rsidR="003230C7" w:rsidRPr="003230C7">
        <w:rPr>
          <w:rFonts w:ascii="Arial" w:hAnsi="Arial" w:cs="Arial"/>
          <w:color w:val="000000"/>
          <w:sz w:val="22"/>
          <w:szCs w:val="22"/>
          <w:bdr w:val="none" w:sz="0" w:space="0" w:color="auto" w:frame="1"/>
          <w:lang w:val="es-ES_tradnl"/>
        </w:rPr>
        <w:t xml:space="preserve">cada entidad estatal deberá determinar la experiencia general y específica que debe acreditarse en cada procedimiento de selección, en función del objeto contractual. En desarrollo de ese análisis, teniendo en cuenta también las definiciones del Glosario, la entidad estatal deberá determinar si el objeto contractual se enmarca en alguno de los tipos de actividades, identificadas con un número y su descripción en la </w:t>
      </w:r>
      <w:r w:rsidR="00475BEE">
        <w:rPr>
          <w:rFonts w:ascii="Arial" w:hAnsi="Arial" w:cs="Arial"/>
          <w:color w:val="000000"/>
          <w:sz w:val="22"/>
          <w:szCs w:val="22"/>
          <w:bdr w:val="none" w:sz="0" w:space="0" w:color="auto" w:frame="1"/>
          <w:lang w:val="es-ES_tradnl"/>
        </w:rPr>
        <w:t>m</w:t>
      </w:r>
      <w:r w:rsidR="003230C7" w:rsidRPr="003230C7">
        <w:rPr>
          <w:rFonts w:ascii="Arial" w:hAnsi="Arial" w:cs="Arial"/>
          <w:color w:val="000000"/>
          <w:sz w:val="22"/>
          <w:szCs w:val="22"/>
          <w:bdr w:val="none" w:sz="0" w:space="0" w:color="auto" w:frame="1"/>
          <w:lang w:val="es-ES_tradnl"/>
        </w:rPr>
        <w:t>atriz de experiencia. De esta manera, deberá aplicar estrictamente lo contenido en dicha matriz. Por tanto, no podrá incluir, modificar, suprimir o alterar las condiciones de experiencia allí establecidas, salvo cuando de forma expresa esta lo determine.</w:t>
      </w:r>
    </w:p>
    <w:p w14:paraId="3C561CD4" w14:textId="49292A1D" w:rsidR="003230C7" w:rsidRPr="003230C7" w:rsidRDefault="005B1628" w:rsidP="003230C7">
      <w:pPr>
        <w:spacing w:before="120" w:line="276" w:lineRule="auto"/>
        <w:ind w:firstLine="708"/>
        <w:jc w:val="both"/>
        <w:rPr>
          <w:rFonts w:ascii="Arial" w:eastAsia="Calibri" w:hAnsi="Arial" w:cs="Arial"/>
          <w:color w:val="000000"/>
          <w:sz w:val="22"/>
          <w:szCs w:val="22"/>
          <w:lang w:val="es-MX" w:eastAsia="en-US"/>
        </w:rPr>
      </w:pPr>
      <w:r>
        <w:rPr>
          <w:rFonts w:ascii="Arial" w:eastAsia="Calibri" w:hAnsi="Arial" w:cs="Arial"/>
          <w:color w:val="000000"/>
          <w:sz w:val="22"/>
          <w:szCs w:val="22"/>
          <w:lang w:val="es-MX" w:eastAsia="en-US"/>
        </w:rPr>
        <w:t xml:space="preserve">Conforme a lo anterior, </w:t>
      </w:r>
      <w:r w:rsidR="003230C7" w:rsidRPr="003230C7">
        <w:rPr>
          <w:rFonts w:ascii="Arial" w:eastAsia="Calibri" w:hAnsi="Arial" w:cs="Arial"/>
          <w:color w:val="000000"/>
          <w:sz w:val="22"/>
          <w:szCs w:val="22"/>
          <w:lang w:val="es-MX" w:eastAsia="en-US"/>
        </w:rPr>
        <w:t>la</w:t>
      </w:r>
      <w:r w:rsidR="00E8384D">
        <w:rPr>
          <w:rFonts w:ascii="Arial" w:eastAsia="Calibri" w:hAnsi="Arial" w:cs="Arial"/>
          <w:color w:val="000000"/>
          <w:sz w:val="22"/>
          <w:szCs w:val="22"/>
          <w:lang w:val="es-MX" w:eastAsia="en-US"/>
        </w:rPr>
        <w:t>s</w:t>
      </w:r>
      <w:r w:rsidR="003230C7" w:rsidRPr="003230C7">
        <w:rPr>
          <w:rFonts w:ascii="Arial" w:eastAsia="Calibri" w:hAnsi="Arial" w:cs="Arial"/>
          <w:color w:val="000000"/>
          <w:sz w:val="22"/>
          <w:szCs w:val="22"/>
          <w:lang w:val="es-MX" w:eastAsia="en-US"/>
        </w:rPr>
        <w:t xml:space="preserve"> entidad</w:t>
      </w:r>
      <w:r w:rsidR="00E8384D">
        <w:rPr>
          <w:rFonts w:ascii="Arial" w:eastAsia="Calibri" w:hAnsi="Arial" w:cs="Arial"/>
          <w:color w:val="000000"/>
          <w:sz w:val="22"/>
          <w:szCs w:val="22"/>
          <w:lang w:val="es-MX" w:eastAsia="en-US"/>
        </w:rPr>
        <w:t>es</w:t>
      </w:r>
      <w:r w:rsidR="003230C7" w:rsidRPr="003230C7">
        <w:rPr>
          <w:rFonts w:ascii="Arial" w:eastAsia="Calibri" w:hAnsi="Arial" w:cs="Arial"/>
          <w:color w:val="000000"/>
          <w:sz w:val="22"/>
          <w:szCs w:val="22"/>
          <w:lang w:val="es-MX" w:eastAsia="en-US"/>
        </w:rPr>
        <w:t xml:space="preserve"> estatal</w:t>
      </w:r>
      <w:r w:rsidR="00E8384D">
        <w:rPr>
          <w:rFonts w:ascii="Arial" w:eastAsia="Calibri" w:hAnsi="Arial" w:cs="Arial"/>
          <w:color w:val="000000"/>
          <w:sz w:val="22"/>
          <w:szCs w:val="22"/>
          <w:lang w:val="es-MX" w:eastAsia="en-US"/>
        </w:rPr>
        <w:t>es</w:t>
      </w:r>
      <w:r w:rsidR="003230C7" w:rsidRPr="003230C7">
        <w:rPr>
          <w:rFonts w:ascii="Arial" w:eastAsia="Calibri" w:hAnsi="Arial" w:cs="Arial"/>
          <w:color w:val="000000"/>
          <w:sz w:val="22"/>
          <w:szCs w:val="22"/>
          <w:lang w:val="es-MX" w:eastAsia="en-US"/>
        </w:rPr>
        <w:t xml:space="preserve"> que adelant</w:t>
      </w:r>
      <w:r w:rsidR="00E8384D">
        <w:rPr>
          <w:rFonts w:ascii="Arial" w:eastAsia="Calibri" w:hAnsi="Arial" w:cs="Arial"/>
          <w:color w:val="000000"/>
          <w:sz w:val="22"/>
          <w:szCs w:val="22"/>
          <w:lang w:val="es-MX" w:eastAsia="en-US"/>
        </w:rPr>
        <w:t>en</w:t>
      </w:r>
      <w:r w:rsidR="003230C7" w:rsidRPr="003230C7">
        <w:rPr>
          <w:rFonts w:ascii="Arial" w:eastAsia="Calibri" w:hAnsi="Arial" w:cs="Arial"/>
          <w:color w:val="000000"/>
          <w:sz w:val="22"/>
          <w:szCs w:val="22"/>
          <w:lang w:val="es-MX" w:eastAsia="en-US"/>
        </w:rPr>
        <w:t xml:space="preserve"> proceso</w:t>
      </w:r>
      <w:r w:rsidR="00E8384D">
        <w:rPr>
          <w:rFonts w:ascii="Arial" w:eastAsia="Calibri" w:hAnsi="Arial" w:cs="Arial"/>
          <w:color w:val="000000"/>
          <w:sz w:val="22"/>
          <w:szCs w:val="22"/>
          <w:lang w:val="es-MX" w:eastAsia="en-US"/>
        </w:rPr>
        <w:t>s</w:t>
      </w:r>
      <w:r w:rsidR="003230C7" w:rsidRPr="003230C7">
        <w:rPr>
          <w:rFonts w:ascii="Arial" w:eastAsia="Calibri" w:hAnsi="Arial" w:cs="Arial"/>
          <w:color w:val="000000"/>
          <w:sz w:val="22"/>
          <w:szCs w:val="22"/>
          <w:lang w:val="es-MX" w:eastAsia="en-US"/>
        </w:rPr>
        <w:t xml:space="preserve"> de contratación de licitación de obra pública de infraestructura social asociado</w:t>
      </w:r>
      <w:r w:rsidR="00E8384D">
        <w:rPr>
          <w:rFonts w:ascii="Arial" w:eastAsia="Calibri" w:hAnsi="Arial" w:cs="Arial"/>
          <w:color w:val="000000"/>
          <w:sz w:val="22"/>
          <w:szCs w:val="22"/>
          <w:lang w:val="es-MX" w:eastAsia="en-US"/>
        </w:rPr>
        <w:t>s</w:t>
      </w:r>
      <w:r w:rsidR="003230C7" w:rsidRPr="003230C7">
        <w:rPr>
          <w:rFonts w:ascii="Arial" w:eastAsia="Calibri" w:hAnsi="Arial" w:cs="Arial"/>
          <w:color w:val="000000"/>
          <w:sz w:val="22"/>
          <w:szCs w:val="22"/>
          <w:lang w:val="es-MX" w:eastAsia="en-US"/>
        </w:rPr>
        <w:t xml:space="preserve"> a</w:t>
      </w:r>
      <w:r>
        <w:rPr>
          <w:rFonts w:ascii="Arial" w:eastAsia="Calibri" w:hAnsi="Arial" w:cs="Arial"/>
          <w:color w:val="000000"/>
          <w:sz w:val="22"/>
          <w:szCs w:val="22"/>
          <w:lang w:val="es-MX" w:eastAsia="en-US"/>
        </w:rPr>
        <w:t xml:space="preserve"> </w:t>
      </w:r>
      <w:r w:rsidR="003230C7" w:rsidRPr="003230C7">
        <w:rPr>
          <w:rFonts w:ascii="Arial" w:eastAsia="Calibri" w:hAnsi="Arial" w:cs="Arial"/>
          <w:color w:val="000000"/>
          <w:sz w:val="22"/>
          <w:szCs w:val="22"/>
          <w:lang w:val="es-MX" w:eastAsia="en-US"/>
        </w:rPr>
        <w:t>l</w:t>
      </w:r>
      <w:r>
        <w:rPr>
          <w:rFonts w:ascii="Arial" w:eastAsia="Calibri" w:hAnsi="Arial" w:cs="Arial"/>
          <w:color w:val="000000"/>
          <w:sz w:val="22"/>
          <w:szCs w:val="22"/>
          <w:lang w:val="es-MX" w:eastAsia="en-US"/>
        </w:rPr>
        <w:t>os</w:t>
      </w:r>
      <w:r w:rsidR="003230C7" w:rsidRPr="003230C7">
        <w:rPr>
          <w:rFonts w:ascii="Arial" w:eastAsia="Calibri" w:hAnsi="Arial" w:cs="Arial"/>
          <w:color w:val="000000"/>
          <w:sz w:val="22"/>
          <w:szCs w:val="22"/>
          <w:lang w:val="es-MX" w:eastAsia="en-US"/>
        </w:rPr>
        <w:t xml:space="preserve"> sector</w:t>
      </w:r>
      <w:r>
        <w:rPr>
          <w:rFonts w:ascii="Arial" w:eastAsia="Calibri" w:hAnsi="Arial" w:cs="Arial"/>
          <w:color w:val="000000"/>
          <w:sz w:val="22"/>
          <w:szCs w:val="22"/>
          <w:lang w:val="es-MX" w:eastAsia="en-US"/>
        </w:rPr>
        <w:t>es</w:t>
      </w:r>
      <w:r w:rsidR="003230C7" w:rsidRPr="003230C7">
        <w:rPr>
          <w:rFonts w:ascii="Arial" w:eastAsia="Calibri" w:hAnsi="Arial" w:cs="Arial"/>
          <w:color w:val="000000"/>
          <w:sz w:val="22"/>
          <w:szCs w:val="22"/>
          <w:lang w:val="es-MX" w:eastAsia="en-US"/>
        </w:rPr>
        <w:t xml:space="preserve"> educativo, salud o cultura, recreación y deporte, debe</w:t>
      </w:r>
      <w:r w:rsidR="00E8384D">
        <w:rPr>
          <w:rFonts w:ascii="Arial" w:eastAsia="Calibri" w:hAnsi="Arial" w:cs="Arial"/>
          <w:color w:val="000000"/>
          <w:sz w:val="22"/>
          <w:szCs w:val="22"/>
          <w:lang w:val="es-MX" w:eastAsia="en-US"/>
        </w:rPr>
        <w:t>n</w:t>
      </w:r>
      <w:r w:rsidR="003230C7" w:rsidRPr="003230C7">
        <w:rPr>
          <w:rFonts w:ascii="Arial" w:eastAsia="Calibri" w:hAnsi="Arial" w:cs="Arial"/>
          <w:color w:val="000000"/>
          <w:sz w:val="22"/>
          <w:szCs w:val="22"/>
          <w:lang w:val="es-MX" w:eastAsia="en-US"/>
        </w:rPr>
        <w:t xml:space="preserve"> definir la experiencia exigible, </w:t>
      </w:r>
      <w:r w:rsidR="003230C7" w:rsidRPr="003230C7">
        <w:rPr>
          <w:rFonts w:ascii="Arial" w:eastAsia="Calibri" w:hAnsi="Arial" w:cs="Arial"/>
          <w:color w:val="000000"/>
          <w:sz w:val="22"/>
          <w:szCs w:val="22"/>
          <w:lang w:val="es-MX" w:eastAsia="en-US"/>
        </w:rPr>
        <w:lastRenderedPageBreak/>
        <w:t>teniendo en cuenta las condiciones fijadas en la</w:t>
      </w:r>
      <w:r w:rsidR="00E8384D">
        <w:rPr>
          <w:rFonts w:ascii="Arial" w:eastAsia="Calibri" w:hAnsi="Arial" w:cs="Arial"/>
          <w:color w:val="000000"/>
          <w:sz w:val="22"/>
          <w:szCs w:val="22"/>
          <w:lang w:val="es-MX" w:eastAsia="en-US"/>
        </w:rPr>
        <w:t>s</w:t>
      </w:r>
      <w:r w:rsidR="003230C7" w:rsidRPr="003230C7">
        <w:rPr>
          <w:rFonts w:ascii="Arial" w:eastAsia="Calibri" w:hAnsi="Arial" w:cs="Arial"/>
          <w:color w:val="000000"/>
          <w:sz w:val="22"/>
          <w:szCs w:val="22"/>
          <w:lang w:val="es-MX" w:eastAsia="en-US"/>
        </w:rPr>
        <w:t xml:space="preserve"> </w:t>
      </w:r>
      <w:r w:rsidR="00E8384D">
        <w:rPr>
          <w:rFonts w:ascii="Arial" w:eastAsia="Calibri" w:hAnsi="Arial" w:cs="Arial"/>
          <w:color w:val="000000"/>
          <w:sz w:val="22"/>
          <w:szCs w:val="22"/>
          <w:lang w:val="es-MX" w:eastAsia="en-US"/>
        </w:rPr>
        <w:t>m</w:t>
      </w:r>
      <w:r w:rsidR="003230C7" w:rsidRPr="003230C7">
        <w:rPr>
          <w:rFonts w:ascii="Arial" w:eastAsia="Calibri" w:hAnsi="Arial" w:cs="Arial"/>
          <w:color w:val="000000"/>
          <w:sz w:val="22"/>
          <w:szCs w:val="22"/>
          <w:lang w:val="es-MX" w:eastAsia="en-US"/>
        </w:rPr>
        <w:t>atri</w:t>
      </w:r>
      <w:r w:rsidR="00E8384D">
        <w:rPr>
          <w:rFonts w:ascii="Arial" w:eastAsia="Calibri" w:hAnsi="Arial" w:cs="Arial"/>
          <w:color w:val="000000"/>
          <w:sz w:val="22"/>
          <w:szCs w:val="22"/>
          <w:lang w:val="es-MX" w:eastAsia="en-US"/>
        </w:rPr>
        <w:t>ces</w:t>
      </w:r>
      <w:r w:rsidR="003230C7" w:rsidRPr="003230C7">
        <w:rPr>
          <w:rFonts w:ascii="Arial" w:eastAsia="Calibri" w:hAnsi="Arial" w:cs="Arial"/>
          <w:color w:val="000000"/>
          <w:sz w:val="22"/>
          <w:szCs w:val="22"/>
          <w:lang w:val="es-MX" w:eastAsia="en-US"/>
        </w:rPr>
        <w:t xml:space="preserve"> de experiencia, de acuerdo con los siguientes pasos</w:t>
      </w:r>
      <w:r w:rsidR="003230C7" w:rsidRPr="003230C7">
        <w:rPr>
          <w:rFonts w:ascii="Arial" w:eastAsia="Calibri" w:hAnsi="Arial" w:cs="Arial"/>
          <w:color w:val="000000"/>
          <w:sz w:val="22"/>
          <w:szCs w:val="22"/>
          <w:vertAlign w:val="superscript"/>
          <w:lang w:val="es-MX" w:eastAsia="en-US"/>
        </w:rPr>
        <w:footnoteReference w:id="4"/>
      </w:r>
      <w:r w:rsidR="003230C7" w:rsidRPr="003230C7">
        <w:rPr>
          <w:rFonts w:ascii="Arial" w:eastAsia="Calibri" w:hAnsi="Arial" w:cs="Arial"/>
          <w:color w:val="000000"/>
          <w:sz w:val="22"/>
          <w:szCs w:val="22"/>
          <w:lang w:val="es-MX" w:eastAsia="en-US"/>
        </w:rPr>
        <w:t>:</w:t>
      </w:r>
    </w:p>
    <w:p w14:paraId="4E9CC0D0" w14:textId="77777777" w:rsidR="003230C7" w:rsidRPr="003230C7" w:rsidRDefault="003230C7" w:rsidP="003230C7">
      <w:pPr>
        <w:spacing w:before="120" w:line="276" w:lineRule="auto"/>
        <w:ind w:firstLine="708"/>
        <w:jc w:val="both"/>
        <w:rPr>
          <w:rFonts w:ascii="Arial" w:eastAsia="Calibri" w:hAnsi="Arial" w:cs="Arial"/>
          <w:color w:val="000000"/>
          <w:sz w:val="22"/>
          <w:szCs w:val="22"/>
          <w:lang w:val="es-MX" w:eastAsia="en-US"/>
        </w:rPr>
      </w:pPr>
      <w:r w:rsidRPr="003230C7">
        <w:rPr>
          <w:rFonts w:ascii="Arial" w:eastAsia="Calibri" w:hAnsi="Arial" w:cs="Arial"/>
          <w:color w:val="000000"/>
          <w:sz w:val="22"/>
          <w:szCs w:val="22"/>
          <w:lang w:val="es-MX" w:eastAsia="en-US"/>
        </w:rPr>
        <w:t xml:space="preserve">a) </w:t>
      </w:r>
      <w:r w:rsidRPr="003230C7">
        <w:rPr>
          <w:rFonts w:ascii="Arial" w:eastAsia="Calibri" w:hAnsi="Arial" w:cs="Arial"/>
          <w:sz w:val="22"/>
          <w:szCs w:val="22"/>
          <w:lang w:val="es-MX" w:eastAsia="en-US"/>
        </w:rPr>
        <w:t xml:space="preserve">Determinar la matriz de experiencia aplicable en atención al tipo de proyecto de infraestructura social a contratarse, ya sea de educación, salud o recreación, cultura y deporte. </w:t>
      </w:r>
    </w:p>
    <w:p w14:paraId="6E9DD68F" w14:textId="77777777" w:rsidR="003230C7" w:rsidRPr="003230C7" w:rsidRDefault="003230C7" w:rsidP="003230C7">
      <w:pPr>
        <w:spacing w:before="120" w:line="276" w:lineRule="auto"/>
        <w:ind w:firstLine="708"/>
        <w:jc w:val="both"/>
        <w:rPr>
          <w:rFonts w:ascii="Arial" w:eastAsia="Calibri" w:hAnsi="Arial" w:cs="Arial"/>
          <w:color w:val="000000"/>
          <w:sz w:val="22"/>
          <w:szCs w:val="22"/>
          <w:lang w:val="es-MX" w:eastAsia="en-US"/>
        </w:rPr>
      </w:pPr>
      <w:r w:rsidRPr="003230C7">
        <w:rPr>
          <w:rFonts w:ascii="Arial" w:eastAsia="Calibri" w:hAnsi="Arial" w:cs="Arial"/>
          <w:color w:val="000000"/>
          <w:sz w:val="22"/>
          <w:szCs w:val="22"/>
          <w:lang w:val="es-MX" w:eastAsia="en-US"/>
        </w:rPr>
        <w:t>b) Identificada la respectiva Matriz de experiencia, la entidad deberá determinar el tipo de infraestructura sobre el cual recae la obra a ejecutar. Los tipos de infraestructuras se encuentran establecidos como un «título principal» en la Matriz de experiencia, el cual permitirá a la entidad establecer cuál sería la «actividad a contratar» requerida.</w:t>
      </w:r>
    </w:p>
    <w:p w14:paraId="383D147A" w14:textId="77777777" w:rsidR="003230C7" w:rsidRPr="003230C7" w:rsidRDefault="003230C7" w:rsidP="003230C7">
      <w:pPr>
        <w:spacing w:before="120" w:line="276" w:lineRule="auto"/>
        <w:ind w:firstLine="708"/>
        <w:jc w:val="both"/>
        <w:rPr>
          <w:rFonts w:ascii="Arial" w:eastAsia="Calibri" w:hAnsi="Arial" w:cs="Arial"/>
          <w:color w:val="000000"/>
          <w:sz w:val="22"/>
          <w:szCs w:val="22"/>
          <w:lang w:val="es-MX" w:eastAsia="en-US"/>
        </w:rPr>
      </w:pPr>
      <w:r w:rsidRPr="003230C7">
        <w:rPr>
          <w:rFonts w:ascii="Arial" w:eastAsia="Calibri" w:hAnsi="Arial" w:cs="Arial"/>
          <w:color w:val="000000"/>
          <w:sz w:val="22"/>
          <w:szCs w:val="22"/>
          <w:lang w:val="es-MX" w:eastAsia="en-US"/>
        </w:rPr>
        <w:t>c) Definido el tipo de infraestructura, la columna denominada como «ACTIVIDAD A CONTRATAR» dispone las diferentes actividades contempladas en la Matriz de experiencia. Por lo tanto, la entidad identificará y establecerá la actividad a contratar en la cual se enmarca su proceso de contratación.</w:t>
      </w:r>
    </w:p>
    <w:p w14:paraId="1A474EC9" w14:textId="77777777" w:rsidR="003230C7" w:rsidRPr="003230C7" w:rsidRDefault="003230C7" w:rsidP="003230C7">
      <w:pPr>
        <w:spacing w:before="120" w:after="120" w:line="276" w:lineRule="auto"/>
        <w:ind w:firstLine="708"/>
        <w:jc w:val="both"/>
        <w:rPr>
          <w:rFonts w:ascii="Arial" w:eastAsia="Calibri" w:hAnsi="Arial" w:cs="Arial"/>
          <w:color w:val="000000"/>
          <w:sz w:val="22"/>
          <w:szCs w:val="22"/>
          <w:lang w:val="es-MX" w:eastAsia="en-US"/>
        </w:rPr>
      </w:pPr>
      <w:r w:rsidRPr="003230C7">
        <w:rPr>
          <w:rFonts w:ascii="Arial" w:eastAsia="Calibri" w:hAnsi="Arial" w:cs="Arial"/>
          <w:color w:val="000000"/>
          <w:sz w:val="22"/>
          <w:szCs w:val="22"/>
          <w:lang w:val="es-MX" w:eastAsia="en-US"/>
        </w:rPr>
        <w:t xml:space="preserve">d) Una vez determinada la «actividad a contratar» requerida por la entidad estatal, se procederá a identificar la experiencia general, específica y el porcentaje de dimensionamiento. Es importante mencionar que ciertas actividades a contratar contemplan como parte del requisito de experiencia específica un «% de dimensionamiento» el cual se encuentra en función de una magnitud física establecida; y que dicho porcentaje de dimensionamiento se determina en función del rango de valores expresados en SMMLV en el cual se encuentre el valor del presupuesto oficial del proceso de contratación. Finalmente, es necesario tener en cuenta que el valor de «% de dimensionamiento» establecerá el valor por el cual será reemplazado el factor (F%). </w:t>
      </w:r>
    </w:p>
    <w:p w14:paraId="3CA62CEB" w14:textId="77777777" w:rsidR="003230C7" w:rsidRPr="003230C7" w:rsidRDefault="003230C7" w:rsidP="003230C7">
      <w:pPr>
        <w:spacing w:before="120" w:after="120" w:line="276" w:lineRule="auto"/>
        <w:ind w:firstLine="709"/>
        <w:jc w:val="both"/>
        <w:rPr>
          <w:rFonts w:ascii="Arial" w:hAnsi="Arial" w:cs="Arial"/>
          <w:sz w:val="22"/>
          <w:lang w:val="es-ES"/>
        </w:rPr>
      </w:pPr>
      <w:r w:rsidRPr="003230C7">
        <w:rPr>
          <w:rFonts w:ascii="Arial" w:eastAsia="Calibri" w:hAnsi="Arial" w:cs="Arial"/>
          <w:color w:val="000000"/>
          <w:sz w:val="22"/>
          <w:szCs w:val="22"/>
          <w:lang w:val="es-MX" w:eastAsia="en-US"/>
        </w:rPr>
        <w:t>e) Establecidos los requisitos de experiencia exigibles, la entidad deberá consignarlos en los apartados grises entre corchetes del literal A del numeral 3.5.1 del documento base, para que los oferentes puedan conocer los requisitos de experiencia general y específica exigidos por la entidad.</w:t>
      </w:r>
    </w:p>
    <w:p w14:paraId="6C6B3970" w14:textId="4E5E8078" w:rsidR="006258A1" w:rsidRDefault="006A20DF" w:rsidP="006258A1">
      <w:pPr>
        <w:spacing w:after="120" w:line="276" w:lineRule="auto"/>
        <w:jc w:val="both"/>
        <w:rPr>
          <w:rFonts w:ascii="Arial" w:hAnsi="Arial" w:cs="Arial"/>
          <w:sz w:val="22"/>
          <w:szCs w:val="22"/>
        </w:rPr>
      </w:pPr>
      <w:r>
        <w:rPr>
          <w:rFonts w:ascii="Arial" w:hAnsi="Arial" w:cs="Arial"/>
          <w:sz w:val="22"/>
          <w:szCs w:val="22"/>
        </w:rPr>
        <w:tab/>
      </w:r>
      <w:r w:rsidR="00D46C83">
        <w:rPr>
          <w:rFonts w:ascii="Arial" w:hAnsi="Arial" w:cs="Arial"/>
          <w:sz w:val="22"/>
          <w:szCs w:val="22"/>
        </w:rPr>
        <w:t>Conforme a lo anterior</w:t>
      </w:r>
      <w:r>
        <w:rPr>
          <w:rFonts w:ascii="Arial" w:hAnsi="Arial" w:cs="Arial"/>
          <w:sz w:val="22"/>
          <w:szCs w:val="22"/>
        </w:rPr>
        <w:t xml:space="preserve">, </w:t>
      </w:r>
      <w:r w:rsidR="001315C5">
        <w:rPr>
          <w:rFonts w:ascii="Arial" w:hAnsi="Arial" w:cs="Arial"/>
          <w:sz w:val="22"/>
          <w:szCs w:val="22"/>
        </w:rPr>
        <w:t xml:space="preserve">si una entidad requiere adelantar </w:t>
      </w:r>
      <w:r w:rsidR="00D46C83">
        <w:rPr>
          <w:rFonts w:ascii="Arial" w:hAnsi="Arial" w:cs="Arial"/>
          <w:sz w:val="22"/>
          <w:szCs w:val="22"/>
        </w:rPr>
        <w:t>una licitación pública para la construcción de un parque</w:t>
      </w:r>
      <w:r w:rsidR="00342024">
        <w:rPr>
          <w:rFonts w:ascii="Arial" w:hAnsi="Arial" w:cs="Arial"/>
          <w:sz w:val="22"/>
          <w:szCs w:val="22"/>
        </w:rPr>
        <w:t>, debe acudir a la matriz de experiencia adoptada por la Resolución 454 de 2021 para el sector recreación, cultura y deporte</w:t>
      </w:r>
      <w:r w:rsidR="006C0941">
        <w:rPr>
          <w:rFonts w:ascii="Arial" w:hAnsi="Arial" w:cs="Arial"/>
          <w:sz w:val="22"/>
          <w:szCs w:val="22"/>
        </w:rPr>
        <w:t>, en la cual se encuentra prevista la actividad «</w:t>
      </w:r>
      <w:r w:rsidR="006C0941" w:rsidRPr="006C0941">
        <w:rPr>
          <w:rFonts w:ascii="Arial" w:hAnsi="Arial" w:cs="Arial"/>
          <w:sz w:val="22"/>
          <w:szCs w:val="22"/>
        </w:rPr>
        <w:t>2.1. PROYECTOS DE CONSTRUCCIÓN Y/O RECONSTRUCCIÓN DE PARQUES</w:t>
      </w:r>
      <w:r w:rsidR="006C0941">
        <w:rPr>
          <w:rFonts w:ascii="Arial" w:hAnsi="Arial" w:cs="Arial"/>
          <w:sz w:val="22"/>
          <w:szCs w:val="22"/>
        </w:rPr>
        <w:t>»</w:t>
      </w:r>
      <w:r w:rsidR="00C32545">
        <w:rPr>
          <w:rFonts w:ascii="Arial" w:hAnsi="Arial" w:cs="Arial"/>
          <w:sz w:val="22"/>
          <w:szCs w:val="22"/>
        </w:rPr>
        <w:t>. Para esta actividad, se establece</w:t>
      </w:r>
      <w:r w:rsidR="00030204">
        <w:rPr>
          <w:rFonts w:ascii="Arial" w:hAnsi="Arial" w:cs="Arial"/>
          <w:sz w:val="22"/>
          <w:szCs w:val="22"/>
        </w:rPr>
        <w:t xml:space="preserve"> </w:t>
      </w:r>
      <w:r w:rsidR="009652A7">
        <w:rPr>
          <w:rFonts w:ascii="Arial" w:hAnsi="Arial" w:cs="Arial"/>
          <w:sz w:val="22"/>
          <w:szCs w:val="22"/>
        </w:rPr>
        <w:t>como requisito de experiencia general «</w:t>
      </w:r>
      <w:r w:rsidR="009652A7" w:rsidRPr="009652A7">
        <w:rPr>
          <w:rFonts w:ascii="Arial" w:hAnsi="Arial" w:cs="Arial"/>
          <w:sz w:val="22"/>
          <w:szCs w:val="22"/>
        </w:rPr>
        <w:t xml:space="preserve">PROYECTOS QUE CORRESPONDAN O HAYAN CONTENIDO </w:t>
      </w:r>
      <w:r w:rsidR="009652A7" w:rsidRPr="009652A7">
        <w:rPr>
          <w:rFonts w:ascii="Arial" w:hAnsi="Arial" w:cs="Arial"/>
          <w:sz w:val="22"/>
          <w:szCs w:val="22"/>
        </w:rPr>
        <w:lastRenderedPageBreak/>
        <w:t>UNA O ALGUNAS DE LAS SIGUIENTES ACTIVIDADES: - CONSTRUCCIÓN Y/O RECONSTRUCCIÓN DE PARQUES</w:t>
      </w:r>
      <w:r w:rsidR="009652A7">
        <w:rPr>
          <w:rFonts w:ascii="Arial" w:hAnsi="Arial" w:cs="Arial"/>
          <w:sz w:val="22"/>
          <w:szCs w:val="22"/>
        </w:rPr>
        <w:t xml:space="preserve"> –</w:t>
      </w:r>
      <w:r w:rsidR="009652A7" w:rsidRPr="009652A7">
        <w:rPr>
          <w:rFonts w:ascii="Arial" w:hAnsi="Arial" w:cs="Arial"/>
          <w:sz w:val="22"/>
          <w:szCs w:val="22"/>
        </w:rPr>
        <w:t xml:space="preserve"> CONSTRUCCIÓN Y/O RECONSTRUCCIÓN DE ESPACIO PÚBLICO</w:t>
      </w:r>
      <w:r w:rsidR="009652A7">
        <w:rPr>
          <w:rFonts w:ascii="Arial" w:hAnsi="Arial" w:cs="Arial"/>
          <w:sz w:val="22"/>
          <w:szCs w:val="22"/>
        </w:rPr>
        <w:t xml:space="preserve">». </w:t>
      </w:r>
      <w:r w:rsidR="00F30C7B">
        <w:rPr>
          <w:rFonts w:ascii="Arial" w:hAnsi="Arial" w:cs="Arial"/>
          <w:sz w:val="22"/>
          <w:szCs w:val="22"/>
        </w:rPr>
        <w:t xml:space="preserve">Respecto de este requisito la matriz establece dos notas relevantes para </w:t>
      </w:r>
      <w:r w:rsidR="00A16C20">
        <w:rPr>
          <w:rFonts w:ascii="Arial" w:hAnsi="Arial" w:cs="Arial"/>
          <w:sz w:val="22"/>
          <w:szCs w:val="22"/>
        </w:rPr>
        <w:t>su</w:t>
      </w:r>
      <w:r w:rsidR="00F30C7B">
        <w:rPr>
          <w:rFonts w:ascii="Arial" w:hAnsi="Arial" w:cs="Arial"/>
          <w:sz w:val="22"/>
          <w:szCs w:val="22"/>
        </w:rPr>
        <w:t xml:space="preserve"> acreditación y evaluación</w:t>
      </w:r>
      <w:r w:rsidR="00A16C20">
        <w:rPr>
          <w:rFonts w:ascii="Arial" w:hAnsi="Arial" w:cs="Arial"/>
          <w:sz w:val="22"/>
          <w:szCs w:val="22"/>
        </w:rPr>
        <w:t xml:space="preserve">, </w:t>
      </w:r>
      <w:r w:rsidR="0086617F">
        <w:rPr>
          <w:rFonts w:ascii="Arial" w:hAnsi="Arial" w:cs="Arial"/>
          <w:sz w:val="22"/>
          <w:szCs w:val="22"/>
        </w:rPr>
        <w:t xml:space="preserve">la primera de las cuales establece </w:t>
      </w:r>
      <w:r w:rsidR="00551665">
        <w:rPr>
          <w:rFonts w:ascii="Arial" w:hAnsi="Arial" w:cs="Arial"/>
          <w:sz w:val="22"/>
          <w:szCs w:val="22"/>
        </w:rPr>
        <w:t>q</w:t>
      </w:r>
      <w:r w:rsidR="0086617F">
        <w:rPr>
          <w:rFonts w:ascii="Arial" w:hAnsi="Arial" w:cs="Arial"/>
          <w:sz w:val="22"/>
          <w:szCs w:val="22"/>
        </w:rPr>
        <w:t>ue</w:t>
      </w:r>
      <w:r w:rsidR="00551665">
        <w:rPr>
          <w:rFonts w:ascii="Arial" w:hAnsi="Arial" w:cs="Arial"/>
          <w:sz w:val="22"/>
          <w:szCs w:val="22"/>
        </w:rPr>
        <w:t xml:space="preserve"> p</w:t>
      </w:r>
      <w:r w:rsidR="00A6056E" w:rsidRPr="00A6056E">
        <w:rPr>
          <w:rFonts w:ascii="Arial" w:hAnsi="Arial" w:cs="Arial"/>
          <w:sz w:val="22"/>
          <w:szCs w:val="22"/>
        </w:rPr>
        <w:t xml:space="preserve">ara el caso de experiencia de </w:t>
      </w:r>
      <w:r w:rsidR="00551665" w:rsidRPr="00A6056E">
        <w:rPr>
          <w:rFonts w:ascii="Arial" w:hAnsi="Arial" w:cs="Arial"/>
          <w:sz w:val="22"/>
          <w:szCs w:val="22"/>
        </w:rPr>
        <w:t xml:space="preserve">espacio público </w:t>
      </w:r>
      <w:r w:rsidR="00551665">
        <w:rPr>
          <w:rFonts w:ascii="Arial" w:hAnsi="Arial" w:cs="Arial"/>
          <w:sz w:val="22"/>
          <w:szCs w:val="22"/>
        </w:rPr>
        <w:t xml:space="preserve">«[…] </w:t>
      </w:r>
      <w:r w:rsidR="00A6056E" w:rsidRPr="00A6056E">
        <w:rPr>
          <w:rFonts w:ascii="Arial" w:hAnsi="Arial" w:cs="Arial"/>
          <w:sz w:val="22"/>
          <w:szCs w:val="22"/>
        </w:rPr>
        <w:t>se excluyen de estos las vías destinadas al tránsito vehicular, así como la conservación y/o preservación de playas marítimas</w:t>
      </w:r>
      <w:r w:rsidR="00551665">
        <w:rPr>
          <w:rFonts w:ascii="Arial" w:hAnsi="Arial" w:cs="Arial"/>
          <w:sz w:val="22"/>
          <w:szCs w:val="22"/>
        </w:rPr>
        <w:t>»</w:t>
      </w:r>
      <w:r w:rsidR="00166E41">
        <w:rPr>
          <w:rFonts w:ascii="Arial" w:hAnsi="Arial" w:cs="Arial"/>
          <w:sz w:val="22"/>
          <w:szCs w:val="22"/>
        </w:rPr>
        <w:t>. La segunda nota indica que en «</w:t>
      </w:r>
      <w:r w:rsidR="00A6056E" w:rsidRPr="00A6056E">
        <w:rPr>
          <w:rFonts w:ascii="Arial" w:hAnsi="Arial" w:cs="Arial"/>
          <w:sz w:val="22"/>
          <w:szCs w:val="22"/>
        </w:rPr>
        <w:t>En el caso en el cual el proceso de selección contemple actividades de dotación de mobiliario, la experiencia válida aportada deberá acreditar en por lo menos uno (1) de los contratos actividades de suministro e instalación de mobiliario</w:t>
      </w:r>
      <w:r w:rsidR="00166E41">
        <w:rPr>
          <w:rFonts w:ascii="Arial" w:hAnsi="Arial" w:cs="Arial"/>
          <w:sz w:val="22"/>
          <w:szCs w:val="22"/>
        </w:rPr>
        <w:t>»</w:t>
      </w:r>
      <w:r w:rsidR="00A6056E" w:rsidRPr="00A6056E">
        <w:rPr>
          <w:rFonts w:ascii="Arial" w:hAnsi="Arial" w:cs="Arial"/>
          <w:sz w:val="22"/>
          <w:szCs w:val="22"/>
        </w:rPr>
        <w:t xml:space="preserve">. </w:t>
      </w:r>
      <w:r w:rsidR="00A6056E" w:rsidRPr="00A6056E">
        <w:rPr>
          <w:rFonts w:ascii="Arial" w:hAnsi="Arial" w:cs="Arial"/>
          <w:sz w:val="22"/>
          <w:szCs w:val="22"/>
        </w:rPr>
        <w:tab/>
      </w:r>
    </w:p>
    <w:p w14:paraId="6412D802" w14:textId="77777777" w:rsidR="000D0A58" w:rsidRDefault="00E57D76" w:rsidP="002975CD">
      <w:pPr>
        <w:spacing w:after="120" w:line="276" w:lineRule="auto"/>
        <w:ind w:firstLine="709"/>
        <w:jc w:val="both"/>
        <w:rPr>
          <w:rFonts w:ascii="Arial" w:hAnsi="Arial" w:cs="Arial"/>
          <w:sz w:val="22"/>
          <w:szCs w:val="22"/>
        </w:rPr>
      </w:pPr>
      <w:r>
        <w:rPr>
          <w:rFonts w:ascii="Arial" w:hAnsi="Arial" w:cs="Arial"/>
          <w:sz w:val="22"/>
          <w:szCs w:val="22"/>
        </w:rPr>
        <w:t>A su vez, c</w:t>
      </w:r>
      <w:r w:rsidR="001074AB">
        <w:rPr>
          <w:rFonts w:ascii="Arial" w:hAnsi="Arial" w:cs="Arial"/>
          <w:sz w:val="22"/>
          <w:szCs w:val="22"/>
        </w:rPr>
        <w:t xml:space="preserve">omo requisito de experiencia </w:t>
      </w:r>
      <w:r w:rsidR="006258A1">
        <w:rPr>
          <w:rFonts w:ascii="Arial" w:hAnsi="Arial" w:cs="Arial"/>
          <w:sz w:val="22"/>
          <w:szCs w:val="22"/>
        </w:rPr>
        <w:t>específica</w:t>
      </w:r>
      <w:r w:rsidR="001074AB">
        <w:rPr>
          <w:rFonts w:ascii="Arial" w:hAnsi="Arial" w:cs="Arial"/>
          <w:sz w:val="22"/>
          <w:szCs w:val="22"/>
        </w:rPr>
        <w:t xml:space="preserve"> </w:t>
      </w:r>
      <w:r w:rsidR="002F5EBA">
        <w:rPr>
          <w:rFonts w:ascii="Arial" w:hAnsi="Arial" w:cs="Arial"/>
          <w:sz w:val="22"/>
          <w:szCs w:val="22"/>
        </w:rPr>
        <w:t>para la m</w:t>
      </w:r>
      <w:r w:rsidR="006258A1">
        <w:rPr>
          <w:rFonts w:ascii="Arial" w:hAnsi="Arial" w:cs="Arial"/>
          <w:sz w:val="22"/>
          <w:szCs w:val="22"/>
        </w:rPr>
        <w:t>encionada actividad se establece que «</w:t>
      </w:r>
      <w:r w:rsidR="006258A1" w:rsidRPr="006258A1">
        <w:rPr>
          <w:rFonts w:ascii="Arial" w:hAnsi="Arial" w:cs="Arial"/>
          <w:sz w:val="22"/>
          <w:szCs w:val="22"/>
        </w:rPr>
        <w:t>Con la sumatoria de hasta máximo dos (2) de los contratos válidos aportados como experiencia general deben contemplar un área intervenida o construida sea igual o superior al (F%) del total de metros cuadrados del proceso de selección, el cual corresponde a [la entidad indicará los metros cuadrados a construir o intervenir para el proceso de selección]</w:t>
      </w:r>
      <w:r w:rsidR="006258A1">
        <w:rPr>
          <w:rFonts w:ascii="Arial" w:hAnsi="Arial" w:cs="Arial"/>
          <w:sz w:val="22"/>
          <w:szCs w:val="22"/>
        </w:rPr>
        <w:t>»</w:t>
      </w:r>
      <w:r w:rsidR="006258A1" w:rsidRPr="006258A1">
        <w:rPr>
          <w:rFonts w:ascii="Arial" w:hAnsi="Arial" w:cs="Arial"/>
          <w:sz w:val="22"/>
          <w:szCs w:val="22"/>
        </w:rPr>
        <w:t>.</w:t>
      </w:r>
      <w:r w:rsidR="0087349D">
        <w:rPr>
          <w:rFonts w:ascii="Arial" w:hAnsi="Arial" w:cs="Arial"/>
          <w:sz w:val="22"/>
          <w:szCs w:val="22"/>
        </w:rPr>
        <w:t xml:space="preserve"> El porcentaje de dimensionamiento previsto como equivalencia de (</w:t>
      </w:r>
      <w:r w:rsidR="0087349D" w:rsidRPr="006258A1">
        <w:rPr>
          <w:rFonts w:ascii="Arial" w:hAnsi="Arial" w:cs="Arial"/>
          <w:sz w:val="22"/>
          <w:szCs w:val="22"/>
        </w:rPr>
        <w:t>F%)</w:t>
      </w:r>
      <w:r w:rsidR="0087349D">
        <w:rPr>
          <w:rFonts w:ascii="Arial" w:hAnsi="Arial" w:cs="Arial"/>
          <w:sz w:val="22"/>
          <w:szCs w:val="22"/>
        </w:rPr>
        <w:t xml:space="preserve"> es el 70%. </w:t>
      </w:r>
      <w:r w:rsidR="009F65E6">
        <w:rPr>
          <w:rFonts w:ascii="Arial" w:hAnsi="Arial" w:cs="Arial"/>
          <w:sz w:val="22"/>
          <w:szCs w:val="22"/>
        </w:rPr>
        <w:t xml:space="preserve">Esto supone que </w:t>
      </w:r>
      <w:r w:rsidR="001B211E">
        <w:rPr>
          <w:rFonts w:ascii="Arial" w:hAnsi="Arial" w:cs="Arial"/>
          <w:sz w:val="22"/>
          <w:szCs w:val="22"/>
        </w:rPr>
        <w:t>si</w:t>
      </w:r>
      <w:r w:rsidR="009F65E6">
        <w:rPr>
          <w:rFonts w:ascii="Arial" w:hAnsi="Arial" w:cs="Arial"/>
          <w:sz w:val="22"/>
          <w:szCs w:val="22"/>
        </w:rPr>
        <w:t>, por ejemplo,</w:t>
      </w:r>
      <w:r w:rsidR="001B211E">
        <w:rPr>
          <w:rFonts w:ascii="Arial" w:hAnsi="Arial" w:cs="Arial"/>
          <w:sz w:val="22"/>
          <w:szCs w:val="22"/>
        </w:rPr>
        <w:t xml:space="preserve"> el alcance físico de la obra son 1000</w:t>
      </w:r>
      <w:r w:rsidR="00E40333">
        <w:rPr>
          <w:rFonts w:ascii="Arial" w:hAnsi="Arial" w:cs="Arial"/>
          <w:sz w:val="22"/>
          <w:szCs w:val="22"/>
        </w:rPr>
        <w:t xml:space="preserve"> </w:t>
      </w:r>
      <w:r w:rsidR="001B211E">
        <w:rPr>
          <w:rFonts w:ascii="Arial" w:hAnsi="Arial" w:cs="Arial"/>
          <w:sz w:val="22"/>
          <w:szCs w:val="22"/>
        </w:rPr>
        <w:t>m</w:t>
      </w:r>
      <w:r w:rsidR="001B211E" w:rsidRPr="002975CD">
        <w:rPr>
          <w:rFonts w:ascii="Arial" w:hAnsi="Arial" w:cs="Arial"/>
          <w:sz w:val="22"/>
          <w:szCs w:val="22"/>
          <w:vertAlign w:val="superscript"/>
        </w:rPr>
        <w:t>2</w:t>
      </w:r>
      <w:r w:rsidR="00E40333">
        <w:rPr>
          <w:rFonts w:ascii="Arial" w:hAnsi="Arial" w:cs="Arial"/>
          <w:sz w:val="22"/>
          <w:szCs w:val="22"/>
          <w:vertAlign w:val="superscript"/>
        </w:rPr>
        <w:t>,</w:t>
      </w:r>
      <w:r w:rsidR="00E40333" w:rsidRPr="002975CD">
        <w:rPr>
          <w:rFonts w:ascii="Arial" w:hAnsi="Arial" w:cs="Arial"/>
          <w:sz w:val="22"/>
          <w:szCs w:val="22"/>
        </w:rPr>
        <w:t xml:space="preserve"> para cumpl</w:t>
      </w:r>
      <w:r w:rsidR="00E40333">
        <w:rPr>
          <w:rFonts w:ascii="Arial" w:hAnsi="Arial" w:cs="Arial"/>
          <w:sz w:val="22"/>
          <w:szCs w:val="22"/>
        </w:rPr>
        <w:t xml:space="preserve">ir con el </w:t>
      </w:r>
      <w:r w:rsidR="009F65E6">
        <w:rPr>
          <w:rFonts w:ascii="Arial" w:hAnsi="Arial" w:cs="Arial"/>
          <w:sz w:val="22"/>
          <w:szCs w:val="22"/>
        </w:rPr>
        <w:t xml:space="preserve">requisito los proponentes tendrán que acreditar que </w:t>
      </w:r>
      <w:r w:rsidR="009000EB">
        <w:rPr>
          <w:rFonts w:ascii="Arial" w:hAnsi="Arial" w:cs="Arial"/>
          <w:sz w:val="22"/>
          <w:szCs w:val="22"/>
        </w:rPr>
        <w:t xml:space="preserve">la sumatoria de las áreas intervenidas en </w:t>
      </w:r>
      <w:r w:rsidR="00110280">
        <w:rPr>
          <w:rFonts w:ascii="Arial" w:hAnsi="Arial" w:cs="Arial"/>
          <w:sz w:val="22"/>
          <w:szCs w:val="22"/>
        </w:rPr>
        <w:t xml:space="preserve">dos de los contratos aportados para el requerimiento general, </w:t>
      </w:r>
      <w:r w:rsidR="00B14932">
        <w:rPr>
          <w:rFonts w:ascii="Arial" w:hAnsi="Arial" w:cs="Arial"/>
          <w:sz w:val="22"/>
          <w:szCs w:val="22"/>
        </w:rPr>
        <w:t>es mayor o igual a</w:t>
      </w:r>
      <w:r w:rsidR="00BB6AB3">
        <w:rPr>
          <w:rFonts w:ascii="Arial" w:hAnsi="Arial" w:cs="Arial"/>
          <w:sz w:val="22"/>
          <w:szCs w:val="22"/>
        </w:rPr>
        <w:t xml:space="preserve">l 70% del área a intervenirse en </w:t>
      </w:r>
      <w:r w:rsidR="00FC2D78">
        <w:rPr>
          <w:rFonts w:ascii="Arial" w:hAnsi="Arial" w:cs="Arial"/>
          <w:sz w:val="22"/>
          <w:szCs w:val="22"/>
        </w:rPr>
        <w:t>el proyecto en licitación,</w:t>
      </w:r>
      <w:r w:rsidR="00744F33">
        <w:rPr>
          <w:rFonts w:ascii="Arial" w:hAnsi="Arial" w:cs="Arial"/>
          <w:sz w:val="22"/>
          <w:szCs w:val="22"/>
        </w:rPr>
        <w:t xml:space="preserve"> el cual equivale a</w:t>
      </w:r>
      <w:r w:rsidR="00FC2D78">
        <w:rPr>
          <w:rFonts w:ascii="Arial" w:hAnsi="Arial" w:cs="Arial"/>
          <w:sz w:val="22"/>
          <w:szCs w:val="22"/>
        </w:rPr>
        <w:t xml:space="preserve"> </w:t>
      </w:r>
      <w:r w:rsidR="00B14932">
        <w:rPr>
          <w:rFonts w:ascii="Arial" w:hAnsi="Arial" w:cs="Arial"/>
          <w:sz w:val="22"/>
          <w:szCs w:val="22"/>
        </w:rPr>
        <w:t>700 m</w:t>
      </w:r>
      <w:r w:rsidR="00B14932" w:rsidRPr="002975CD">
        <w:rPr>
          <w:rFonts w:ascii="Arial" w:hAnsi="Arial" w:cs="Arial"/>
          <w:sz w:val="22"/>
          <w:szCs w:val="22"/>
          <w:vertAlign w:val="superscript"/>
        </w:rPr>
        <w:t>2</w:t>
      </w:r>
      <w:r w:rsidR="00FC2D78">
        <w:rPr>
          <w:rFonts w:ascii="Arial" w:hAnsi="Arial" w:cs="Arial"/>
          <w:sz w:val="22"/>
          <w:szCs w:val="22"/>
        </w:rPr>
        <w:t>.</w:t>
      </w:r>
      <w:r w:rsidR="00BB6AB3">
        <w:rPr>
          <w:rFonts w:ascii="Arial" w:hAnsi="Arial" w:cs="Arial"/>
          <w:sz w:val="22"/>
          <w:szCs w:val="22"/>
        </w:rPr>
        <w:t xml:space="preserve"> </w:t>
      </w:r>
      <w:r w:rsidR="005F2651">
        <w:rPr>
          <w:rFonts w:ascii="Arial" w:hAnsi="Arial" w:cs="Arial"/>
          <w:sz w:val="22"/>
          <w:szCs w:val="22"/>
        </w:rPr>
        <w:t xml:space="preserve"> </w:t>
      </w:r>
      <w:r w:rsidR="009000EB">
        <w:rPr>
          <w:rFonts w:ascii="Arial" w:hAnsi="Arial" w:cs="Arial"/>
          <w:sz w:val="22"/>
          <w:szCs w:val="22"/>
        </w:rPr>
        <w:t xml:space="preserve"> </w:t>
      </w:r>
    </w:p>
    <w:p w14:paraId="6410B3B6" w14:textId="74650F8F" w:rsidR="009E0FAA" w:rsidRDefault="00BE0A00" w:rsidP="002975CD">
      <w:pPr>
        <w:spacing w:after="120" w:line="276" w:lineRule="auto"/>
        <w:ind w:firstLine="708"/>
        <w:jc w:val="both"/>
        <w:rPr>
          <w:rFonts w:ascii="Arial" w:hAnsi="Arial" w:cs="Arial"/>
          <w:sz w:val="22"/>
          <w:szCs w:val="22"/>
        </w:rPr>
      </w:pPr>
      <w:r>
        <w:rPr>
          <w:rFonts w:ascii="Arial" w:hAnsi="Arial" w:cs="Arial"/>
          <w:sz w:val="22"/>
          <w:szCs w:val="22"/>
        </w:rPr>
        <w:t xml:space="preserve">Lo anterior muestra como </w:t>
      </w:r>
      <w:r w:rsidR="003A2BF5">
        <w:rPr>
          <w:rFonts w:ascii="Arial" w:hAnsi="Arial" w:cs="Arial"/>
          <w:sz w:val="22"/>
          <w:szCs w:val="22"/>
        </w:rPr>
        <w:t>los requisitos de experiencia especifica establecidos en términos de dimensionamiento requiere</w:t>
      </w:r>
      <w:r w:rsidR="00814014">
        <w:rPr>
          <w:rFonts w:ascii="Arial" w:hAnsi="Arial" w:cs="Arial"/>
          <w:sz w:val="22"/>
          <w:szCs w:val="22"/>
        </w:rPr>
        <w:t>n</w:t>
      </w:r>
      <w:r w:rsidR="003A2BF5">
        <w:rPr>
          <w:rFonts w:ascii="Arial" w:hAnsi="Arial" w:cs="Arial"/>
          <w:sz w:val="22"/>
          <w:szCs w:val="22"/>
        </w:rPr>
        <w:t xml:space="preserve"> de la acreditación de l</w:t>
      </w:r>
      <w:r w:rsidR="00627F05">
        <w:rPr>
          <w:rFonts w:ascii="Arial" w:hAnsi="Arial" w:cs="Arial"/>
          <w:sz w:val="22"/>
          <w:szCs w:val="22"/>
        </w:rPr>
        <w:t xml:space="preserve">as magnitudes intervenidas, comoquiera que ello </w:t>
      </w:r>
      <w:r w:rsidR="00705EA4">
        <w:rPr>
          <w:rFonts w:ascii="Arial" w:hAnsi="Arial" w:cs="Arial"/>
          <w:sz w:val="22"/>
          <w:szCs w:val="22"/>
        </w:rPr>
        <w:t xml:space="preserve">es un presupuesto para </w:t>
      </w:r>
      <w:r w:rsidR="00814014">
        <w:rPr>
          <w:rFonts w:ascii="Arial" w:hAnsi="Arial" w:cs="Arial"/>
          <w:sz w:val="22"/>
          <w:szCs w:val="22"/>
        </w:rPr>
        <w:t xml:space="preserve">determinar su cumplimiento en el marco de la </w:t>
      </w:r>
      <w:r w:rsidR="00705EA4">
        <w:rPr>
          <w:rFonts w:ascii="Arial" w:hAnsi="Arial" w:cs="Arial"/>
          <w:sz w:val="22"/>
          <w:szCs w:val="22"/>
        </w:rPr>
        <w:t>evaluación</w:t>
      </w:r>
      <w:r w:rsidR="00814014">
        <w:rPr>
          <w:rFonts w:ascii="Arial" w:hAnsi="Arial" w:cs="Arial"/>
          <w:sz w:val="22"/>
          <w:szCs w:val="22"/>
        </w:rPr>
        <w:t xml:space="preserve">, comoquiera la entidad debe verificar que </w:t>
      </w:r>
      <w:r w:rsidR="00EA12CB">
        <w:rPr>
          <w:rFonts w:ascii="Arial" w:hAnsi="Arial" w:cs="Arial"/>
          <w:sz w:val="22"/>
          <w:szCs w:val="22"/>
        </w:rPr>
        <w:t xml:space="preserve">hayan cumplido la actividad prevista como requisito de experiencia especifica </w:t>
      </w:r>
      <w:r w:rsidR="00451716">
        <w:rPr>
          <w:rFonts w:ascii="Arial" w:hAnsi="Arial" w:cs="Arial"/>
          <w:sz w:val="22"/>
          <w:szCs w:val="22"/>
        </w:rPr>
        <w:t>en el alcance físico indicado por la matriz. Esto además</w:t>
      </w:r>
      <w:r w:rsidR="0098173E">
        <w:rPr>
          <w:rFonts w:ascii="Arial" w:hAnsi="Arial" w:cs="Arial"/>
          <w:sz w:val="22"/>
          <w:szCs w:val="22"/>
        </w:rPr>
        <w:t xml:space="preserve"> encuentra sustento en reglas establec</w:t>
      </w:r>
      <w:r w:rsidR="009E0FAA">
        <w:rPr>
          <w:rFonts w:ascii="Arial" w:hAnsi="Arial" w:cs="Arial"/>
          <w:sz w:val="22"/>
          <w:szCs w:val="22"/>
        </w:rPr>
        <w:t>idas en el Documento Base</w:t>
      </w:r>
      <w:r w:rsidR="000A55DE">
        <w:rPr>
          <w:rFonts w:ascii="Arial" w:hAnsi="Arial" w:cs="Arial"/>
          <w:sz w:val="22"/>
          <w:szCs w:val="22"/>
        </w:rPr>
        <w:t xml:space="preserve">, como </w:t>
      </w:r>
      <w:r w:rsidR="003E1F9A">
        <w:rPr>
          <w:rFonts w:ascii="Arial" w:hAnsi="Arial" w:cs="Arial"/>
          <w:sz w:val="22"/>
          <w:szCs w:val="22"/>
        </w:rPr>
        <w:t>la del</w:t>
      </w:r>
      <w:r w:rsidR="000A55DE">
        <w:rPr>
          <w:rFonts w:ascii="Arial" w:hAnsi="Arial" w:cs="Arial"/>
          <w:sz w:val="22"/>
          <w:szCs w:val="22"/>
        </w:rPr>
        <w:t xml:space="preserve"> numeral </w:t>
      </w:r>
      <w:r w:rsidR="009E0FAA">
        <w:rPr>
          <w:rFonts w:ascii="Arial" w:hAnsi="Arial" w:cs="Arial"/>
          <w:sz w:val="22"/>
          <w:szCs w:val="22"/>
        </w:rPr>
        <w:t>3.5.4.</w:t>
      </w:r>
      <w:r w:rsidR="000A55DE">
        <w:rPr>
          <w:rFonts w:ascii="Arial" w:hAnsi="Arial" w:cs="Arial"/>
          <w:sz w:val="22"/>
          <w:szCs w:val="22"/>
        </w:rPr>
        <w:t xml:space="preserve">, literal D, en </w:t>
      </w:r>
      <w:r w:rsidR="00E055A2">
        <w:rPr>
          <w:rFonts w:ascii="Arial" w:hAnsi="Arial" w:cs="Arial"/>
          <w:sz w:val="22"/>
          <w:szCs w:val="22"/>
        </w:rPr>
        <w:t>virtud de la cual</w:t>
      </w:r>
      <w:r w:rsidR="009E0FAA">
        <w:rPr>
          <w:rFonts w:ascii="Arial" w:hAnsi="Arial" w:cs="Arial"/>
          <w:sz w:val="22"/>
          <w:szCs w:val="22"/>
        </w:rPr>
        <w:t>, a efectos de la acreditación de la experiencia requerida, l</w:t>
      </w:r>
      <w:r w:rsidR="009E0FAA" w:rsidRPr="009718E1">
        <w:rPr>
          <w:rFonts w:ascii="Arial" w:hAnsi="Arial" w:cs="Arial"/>
          <w:sz w:val="22"/>
          <w:szCs w:val="22"/>
        </w:rPr>
        <w:t xml:space="preserve">os </w:t>
      </w:r>
      <w:r w:rsidR="00E055A2">
        <w:rPr>
          <w:rFonts w:ascii="Arial" w:hAnsi="Arial" w:cs="Arial"/>
          <w:sz w:val="22"/>
          <w:szCs w:val="22"/>
        </w:rPr>
        <w:t>p</w:t>
      </w:r>
      <w:r w:rsidR="009E0FAA" w:rsidRPr="009718E1">
        <w:rPr>
          <w:rFonts w:ascii="Arial" w:hAnsi="Arial" w:cs="Arial"/>
          <w:sz w:val="22"/>
          <w:szCs w:val="22"/>
        </w:rPr>
        <w:t xml:space="preserve">roponentes </w:t>
      </w:r>
      <w:r w:rsidR="00E055A2">
        <w:rPr>
          <w:rFonts w:ascii="Arial" w:hAnsi="Arial" w:cs="Arial"/>
          <w:sz w:val="22"/>
          <w:szCs w:val="22"/>
        </w:rPr>
        <w:t xml:space="preserve">deben </w:t>
      </w:r>
      <w:r w:rsidR="009E0FAA" w:rsidRPr="009718E1">
        <w:rPr>
          <w:rFonts w:ascii="Arial" w:hAnsi="Arial" w:cs="Arial"/>
          <w:sz w:val="22"/>
          <w:szCs w:val="22"/>
        </w:rPr>
        <w:t xml:space="preserve">acreditar para cada uno de los </w:t>
      </w:r>
      <w:r w:rsidR="00E055A2">
        <w:rPr>
          <w:rFonts w:ascii="Arial" w:hAnsi="Arial" w:cs="Arial"/>
          <w:sz w:val="22"/>
          <w:szCs w:val="22"/>
        </w:rPr>
        <w:t>c</w:t>
      </w:r>
      <w:r w:rsidR="009E0FAA" w:rsidRPr="009718E1">
        <w:rPr>
          <w:rFonts w:ascii="Arial" w:hAnsi="Arial" w:cs="Arial"/>
          <w:sz w:val="22"/>
          <w:szCs w:val="22"/>
        </w:rPr>
        <w:t>ontratos aportados</w:t>
      </w:r>
      <w:r w:rsidR="003E1F9A">
        <w:rPr>
          <w:rFonts w:ascii="Arial" w:hAnsi="Arial" w:cs="Arial"/>
          <w:sz w:val="22"/>
          <w:szCs w:val="22"/>
        </w:rPr>
        <w:t>,</w:t>
      </w:r>
      <w:r w:rsidR="009E0FAA" w:rsidRPr="009718E1">
        <w:rPr>
          <w:rFonts w:ascii="Arial" w:hAnsi="Arial" w:cs="Arial"/>
          <w:sz w:val="22"/>
          <w:szCs w:val="22"/>
        </w:rPr>
        <w:t xml:space="preserve"> mediante alguno, o algunos, de los documentos señalados en la sección 3.5.5 del Pliego de Condiciones</w:t>
      </w:r>
      <w:r w:rsidR="003E1F9A">
        <w:rPr>
          <w:rFonts w:ascii="Arial" w:hAnsi="Arial" w:cs="Arial"/>
          <w:sz w:val="21"/>
          <w:szCs w:val="21"/>
        </w:rPr>
        <w:t xml:space="preserve"> : </w:t>
      </w:r>
      <w:r w:rsidR="009E0FAA" w:rsidRPr="006337DF">
        <w:rPr>
          <w:rFonts w:ascii="Arial" w:hAnsi="Arial" w:cs="Arial"/>
          <w:sz w:val="21"/>
          <w:szCs w:val="21"/>
        </w:rPr>
        <w:t>«</w:t>
      </w:r>
      <w:r w:rsidR="009E0FAA" w:rsidRPr="000F6A40">
        <w:rPr>
          <w:rFonts w:ascii="Arial" w:hAnsi="Arial" w:cs="Arial"/>
          <w:sz w:val="21"/>
          <w:szCs w:val="21"/>
        </w:rPr>
        <w:t>D.</w:t>
      </w:r>
      <w:r w:rsidR="009E0FAA">
        <w:rPr>
          <w:rFonts w:ascii="Arial" w:hAnsi="Arial" w:cs="Arial"/>
          <w:sz w:val="21"/>
          <w:szCs w:val="21"/>
        </w:rPr>
        <w:t xml:space="preserve"> </w:t>
      </w:r>
      <w:r w:rsidR="009E0FAA" w:rsidRPr="000F6A40">
        <w:rPr>
          <w:rFonts w:ascii="Arial" w:hAnsi="Arial" w:cs="Arial"/>
          <w:sz w:val="21"/>
          <w:szCs w:val="21"/>
        </w:rPr>
        <w:t>La magnitud, área intervenida o construida y demás condiciones de experiencia contenida en la matriz de experiencia aplicable en el proyecto de infraestructura social que permita establecer su alcance, en los casos que aplique</w:t>
      </w:r>
      <w:r w:rsidR="009E0FAA" w:rsidRPr="006337DF">
        <w:rPr>
          <w:rFonts w:ascii="Arial" w:hAnsi="Arial" w:cs="Arial"/>
          <w:sz w:val="21"/>
          <w:szCs w:val="21"/>
        </w:rPr>
        <w:t>»</w:t>
      </w:r>
      <w:r w:rsidR="003E1F9A">
        <w:rPr>
          <w:rFonts w:ascii="Arial" w:hAnsi="Arial" w:cs="Arial"/>
          <w:sz w:val="21"/>
          <w:szCs w:val="21"/>
        </w:rPr>
        <w:t>.</w:t>
      </w:r>
    </w:p>
    <w:p w14:paraId="65C38F1D" w14:textId="5F499E46" w:rsidR="00D54B4A" w:rsidRDefault="000D0A58" w:rsidP="00855EA3">
      <w:pPr>
        <w:spacing w:before="120" w:line="276" w:lineRule="auto"/>
        <w:ind w:firstLine="708"/>
        <w:jc w:val="both"/>
        <w:rPr>
          <w:rFonts w:ascii="Arial" w:hAnsi="Arial" w:cs="Arial"/>
          <w:sz w:val="22"/>
          <w:szCs w:val="22"/>
        </w:rPr>
      </w:pPr>
      <w:r>
        <w:rPr>
          <w:rFonts w:ascii="Arial" w:hAnsi="Arial" w:cs="Arial"/>
          <w:sz w:val="22"/>
          <w:szCs w:val="22"/>
        </w:rPr>
        <w:t xml:space="preserve">En </w:t>
      </w:r>
      <w:r w:rsidR="00FB3DD8">
        <w:rPr>
          <w:rFonts w:ascii="Arial" w:hAnsi="Arial" w:cs="Arial"/>
          <w:sz w:val="22"/>
          <w:szCs w:val="22"/>
        </w:rPr>
        <w:t>consonancia</w:t>
      </w:r>
      <w:r>
        <w:rPr>
          <w:rFonts w:ascii="Arial" w:hAnsi="Arial" w:cs="Arial"/>
          <w:sz w:val="22"/>
          <w:szCs w:val="22"/>
        </w:rPr>
        <w:t xml:space="preserve"> con lo anterior, </w:t>
      </w:r>
      <w:r w:rsidR="00F816AE">
        <w:rPr>
          <w:rFonts w:ascii="Arial" w:hAnsi="Arial" w:cs="Arial"/>
          <w:sz w:val="22"/>
          <w:szCs w:val="22"/>
        </w:rPr>
        <w:t>de</w:t>
      </w:r>
      <w:r w:rsidR="00FB3DD8">
        <w:rPr>
          <w:rFonts w:ascii="Arial" w:hAnsi="Arial" w:cs="Arial"/>
          <w:sz w:val="22"/>
          <w:szCs w:val="22"/>
        </w:rPr>
        <w:t xml:space="preserve"> las </w:t>
      </w:r>
      <w:r w:rsidR="00FB3DD8" w:rsidRPr="00FB3DD8">
        <w:rPr>
          <w:rFonts w:ascii="Arial" w:hAnsi="Arial" w:cs="Arial"/>
          <w:sz w:val="22"/>
          <w:szCs w:val="22"/>
        </w:rPr>
        <w:t xml:space="preserve">consideraciones para la validez de la experiencia requerida </w:t>
      </w:r>
      <w:r w:rsidR="008565AA">
        <w:rPr>
          <w:rFonts w:ascii="Arial" w:hAnsi="Arial" w:cs="Arial"/>
          <w:sz w:val="22"/>
          <w:szCs w:val="22"/>
        </w:rPr>
        <w:t xml:space="preserve">por las que se debe seguir la entidad, contempladas en el numeral </w:t>
      </w:r>
      <w:r w:rsidR="00F816AE">
        <w:rPr>
          <w:rFonts w:ascii="Arial" w:hAnsi="Arial" w:cs="Arial"/>
          <w:sz w:val="22"/>
          <w:szCs w:val="22"/>
        </w:rPr>
        <w:t xml:space="preserve">3.5.2 del Documento Base, se destaca la prevista </w:t>
      </w:r>
      <w:r w:rsidR="009718E1">
        <w:rPr>
          <w:rFonts w:ascii="Arial" w:hAnsi="Arial" w:cs="Arial"/>
          <w:sz w:val="22"/>
          <w:szCs w:val="22"/>
        </w:rPr>
        <w:t xml:space="preserve">en el literal I del numeral </w:t>
      </w:r>
      <w:r w:rsidR="00D54B4A">
        <w:rPr>
          <w:rFonts w:ascii="Arial" w:hAnsi="Arial" w:cs="Arial"/>
          <w:sz w:val="22"/>
          <w:szCs w:val="22"/>
        </w:rPr>
        <w:t>3.5.2</w:t>
      </w:r>
      <w:r w:rsidR="009B1666">
        <w:rPr>
          <w:rFonts w:ascii="Arial" w:hAnsi="Arial" w:cs="Arial"/>
          <w:sz w:val="22"/>
          <w:szCs w:val="22"/>
        </w:rPr>
        <w:t xml:space="preserve">, relevante para el tema de la consulta. Esta </w:t>
      </w:r>
      <w:r w:rsidR="00855EA3">
        <w:rPr>
          <w:rFonts w:ascii="Arial" w:hAnsi="Arial" w:cs="Arial"/>
          <w:sz w:val="22"/>
          <w:szCs w:val="22"/>
        </w:rPr>
        <w:t>consideración señala que</w:t>
      </w:r>
      <w:r w:rsidR="00D54B4A">
        <w:rPr>
          <w:rFonts w:ascii="Arial" w:hAnsi="Arial" w:cs="Arial"/>
          <w:sz w:val="22"/>
          <w:szCs w:val="22"/>
        </w:rPr>
        <w:t xml:space="preserve">: </w:t>
      </w:r>
    </w:p>
    <w:p w14:paraId="16A28E74" w14:textId="77777777" w:rsidR="00855EA3" w:rsidRDefault="00855EA3" w:rsidP="002975CD">
      <w:pPr>
        <w:spacing w:line="276" w:lineRule="auto"/>
        <w:ind w:firstLine="708"/>
        <w:jc w:val="both"/>
        <w:rPr>
          <w:rFonts w:ascii="Arial" w:hAnsi="Arial" w:cs="Arial"/>
          <w:sz w:val="22"/>
          <w:szCs w:val="22"/>
        </w:rPr>
      </w:pPr>
    </w:p>
    <w:p w14:paraId="3DB4C8EE" w14:textId="652DF07C" w:rsidR="00D54B4A" w:rsidRPr="00D54B4A" w:rsidRDefault="00B10F79" w:rsidP="00D54B4A">
      <w:pPr>
        <w:pStyle w:val="Prrafodelista"/>
        <w:spacing w:before="0" w:after="160" w:line="240" w:lineRule="auto"/>
        <w:ind w:left="709" w:right="709"/>
        <w:rPr>
          <w:rFonts w:ascii="Arial" w:hAnsi="Arial" w:cs="Arial"/>
          <w:sz w:val="21"/>
          <w:szCs w:val="21"/>
        </w:rPr>
      </w:pPr>
      <w:r>
        <w:rPr>
          <w:rFonts w:ascii="Arial" w:hAnsi="Arial" w:cs="Arial"/>
          <w:sz w:val="21"/>
          <w:szCs w:val="21"/>
        </w:rPr>
        <w:t xml:space="preserve">I. </w:t>
      </w:r>
      <w:r w:rsidR="00D54B4A" w:rsidRPr="00D54B4A">
        <w:rPr>
          <w:rFonts w:ascii="Arial" w:hAnsi="Arial" w:cs="Arial"/>
          <w:sz w:val="21"/>
          <w:szCs w:val="21"/>
        </w:rPr>
        <w:t>El cumplimiento de los requisitos de experiencia que impliquen la acreditación de valores y magnitudes intervenidas deberá evaluarse de acuerdo con lo señalado en la matriz de experiencia aplicable en atención al proyecto de infraestructura social a contratarse. En los contratos aportados como experiencia que contengan actividades ejecutadas ajenas a la obra de infraestructura social requerida, la Entidad Estatal solo tendrá en cuenta los valores y magnitudes ejecutadas relacionadas con este tipo de infraestructura.</w:t>
      </w:r>
    </w:p>
    <w:p w14:paraId="5B8D1FDC" w14:textId="77777777" w:rsidR="00D54B4A" w:rsidRPr="00D54B4A" w:rsidRDefault="00D54B4A" w:rsidP="00D54B4A">
      <w:pPr>
        <w:pStyle w:val="Prrafodelista"/>
        <w:spacing w:line="240" w:lineRule="auto"/>
        <w:ind w:left="709" w:right="709"/>
        <w:rPr>
          <w:rFonts w:ascii="Arial" w:hAnsi="Arial" w:cs="Arial"/>
          <w:sz w:val="21"/>
          <w:szCs w:val="21"/>
        </w:rPr>
      </w:pPr>
    </w:p>
    <w:p w14:paraId="67FF06CD" w14:textId="2E6FA39C" w:rsidR="00D54B4A" w:rsidRPr="00D54B4A" w:rsidRDefault="00D54B4A" w:rsidP="00D54B4A">
      <w:pPr>
        <w:pStyle w:val="Prrafodelista"/>
        <w:spacing w:line="240" w:lineRule="auto"/>
        <w:ind w:left="709" w:right="709"/>
        <w:rPr>
          <w:rFonts w:ascii="Arial" w:hAnsi="Arial" w:cs="Arial"/>
          <w:sz w:val="21"/>
          <w:szCs w:val="21"/>
        </w:rPr>
      </w:pPr>
      <w:r w:rsidRPr="00D54B4A">
        <w:rPr>
          <w:rFonts w:ascii="Arial" w:hAnsi="Arial" w:cs="Arial"/>
          <w:sz w:val="21"/>
          <w:szCs w:val="21"/>
        </w:rPr>
        <w:t>Para estos efectos, el oferente deberá acreditar los valores y magnitudes intervenidas dentro del respectivo contrato, empleando alguno de los documentos válidos establecidos en el numeral 3.5.5 del Pliego de Condiciones. En todo caso, la Entidad Estatal permitirá la subsanación, en los términos del numeral 1.6 del Pliego de Condiciones, requiriendo al Proponente para que acredite los valores ejecutados y magnitudes intervenidas. De no lograrse la discriminación de los valores y magnitudes ejecutadas en el marco del respectivo contrato, la Entidad Estatal no lo tendrá en cuenta para la evaluación</w:t>
      </w:r>
      <w:r>
        <w:rPr>
          <w:rFonts w:ascii="ArialMT" w:hAnsi="ArialMT"/>
          <w:sz w:val="22"/>
          <w:lang w:eastAsia="es-MX"/>
        </w:rPr>
        <w:t>.</w:t>
      </w:r>
    </w:p>
    <w:p w14:paraId="77149241" w14:textId="7B64498B" w:rsidR="003F56A2" w:rsidRDefault="008C2AA2" w:rsidP="002975CD">
      <w:pPr>
        <w:pStyle w:val="NormalWeb"/>
        <w:spacing w:after="120" w:afterAutospacing="0"/>
        <w:ind w:firstLine="709"/>
        <w:rPr>
          <w:rFonts w:ascii="Arial" w:hAnsi="Arial" w:cs="Arial"/>
          <w:sz w:val="21"/>
          <w:szCs w:val="21"/>
        </w:rPr>
      </w:pPr>
      <w:r>
        <w:rPr>
          <w:rFonts w:ascii="Arial" w:hAnsi="Arial" w:cs="Arial"/>
          <w:sz w:val="22"/>
          <w:szCs w:val="22"/>
          <w:lang w:eastAsia="es-MX"/>
        </w:rPr>
        <w:t xml:space="preserve">Esta última regla transcrita, </w:t>
      </w:r>
      <w:r w:rsidR="00BD24DD">
        <w:rPr>
          <w:rFonts w:ascii="Arial" w:hAnsi="Arial" w:cs="Arial"/>
          <w:sz w:val="22"/>
          <w:szCs w:val="22"/>
          <w:lang w:eastAsia="es-MX"/>
        </w:rPr>
        <w:t>no</w:t>
      </w:r>
      <w:r w:rsidR="00F64C93">
        <w:rPr>
          <w:rFonts w:ascii="Arial" w:hAnsi="Arial" w:cs="Arial"/>
          <w:sz w:val="22"/>
          <w:szCs w:val="22"/>
          <w:lang w:eastAsia="es-MX"/>
        </w:rPr>
        <w:t xml:space="preserve"> </w:t>
      </w:r>
      <w:r w:rsidR="00BD24DD">
        <w:rPr>
          <w:rFonts w:ascii="Arial" w:hAnsi="Arial" w:cs="Arial"/>
          <w:sz w:val="22"/>
          <w:szCs w:val="22"/>
          <w:lang w:eastAsia="es-MX"/>
        </w:rPr>
        <w:t>alude</w:t>
      </w:r>
      <w:r w:rsidR="00F64C93">
        <w:rPr>
          <w:rFonts w:ascii="Arial" w:hAnsi="Arial" w:cs="Arial"/>
          <w:sz w:val="22"/>
          <w:szCs w:val="22"/>
          <w:lang w:eastAsia="es-MX"/>
        </w:rPr>
        <w:t xml:space="preserve"> nuevamente </w:t>
      </w:r>
      <w:r w:rsidR="00BD24DD">
        <w:rPr>
          <w:rFonts w:ascii="Arial" w:hAnsi="Arial" w:cs="Arial"/>
          <w:sz w:val="22"/>
          <w:szCs w:val="22"/>
          <w:lang w:eastAsia="es-MX"/>
        </w:rPr>
        <w:t>a</w:t>
      </w:r>
      <w:r w:rsidR="00F64C93">
        <w:rPr>
          <w:rFonts w:ascii="Arial" w:hAnsi="Arial" w:cs="Arial"/>
          <w:sz w:val="22"/>
          <w:szCs w:val="22"/>
          <w:lang w:eastAsia="es-MX"/>
        </w:rPr>
        <w:t>l deber de</w:t>
      </w:r>
      <w:r w:rsidR="00BD24DD">
        <w:rPr>
          <w:rFonts w:ascii="Arial" w:hAnsi="Arial" w:cs="Arial"/>
          <w:sz w:val="22"/>
          <w:szCs w:val="22"/>
          <w:lang w:eastAsia="es-MX"/>
        </w:rPr>
        <w:t xml:space="preserve"> los proponentes de</w:t>
      </w:r>
      <w:r w:rsidR="00F64C93">
        <w:rPr>
          <w:rFonts w:ascii="Arial" w:hAnsi="Arial" w:cs="Arial"/>
          <w:sz w:val="22"/>
          <w:szCs w:val="22"/>
          <w:lang w:eastAsia="es-MX"/>
        </w:rPr>
        <w:t xml:space="preserve"> acreditar las magnitudes i</w:t>
      </w:r>
      <w:r w:rsidR="00BD24DD">
        <w:rPr>
          <w:rFonts w:ascii="Arial" w:hAnsi="Arial" w:cs="Arial"/>
          <w:sz w:val="22"/>
          <w:szCs w:val="22"/>
          <w:lang w:eastAsia="es-MX"/>
        </w:rPr>
        <w:t>ntervenidas en los contratos aportados como experiencia, sino que ade</w:t>
      </w:r>
      <w:r w:rsidR="00681F68">
        <w:rPr>
          <w:rFonts w:ascii="Arial" w:hAnsi="Arial" w:cs="Arial"/>
          <w:sz w:val="22"/>
          <w:szCs w:val="22"/>
          <w:lang w:eastAsia="es-MX"/>
        </w:rPr>
        <w:t>más establece que solo podrán ser teni</w:t>
      </w:r>
      <w:r w:rsidR="00504715">
        <w:rPr>
          <w:rFonts w:ascii="Arial" w:hAnsi="Arial" w:cs="Arial"/>
          <w:sz w:val="22"/>
          <w:szCs w:val="22"/>
          <w:lang w:eastAsia="es-MX"/>
        </w:rPr>
        <w:t xml:space="preserve">das en cuenta aquellas que correspondan a </w:t>
      </w:r>
      <w:r w:rsidR="00BD2812">
        <w:rPr>
          <w:rFonts w:ascii="Arial" w:hAnsi="Arial" w:cs="Arial"/>
          <w:sz w:val="22"/>
          <w:szCs w:val="22"/>
          <w:lang w:eastAsia="es-MX"/>
        </w:rPr>
        <w:t>la infraestructura social requerida</w:t>
      </w:r>
      <w:r w:rsidR="00D808C0">
        <w:rPr>
          <w:rFonts w:ascii="Arial" w:hAnsi="Arial" w:cs="Arial"/>
          <w:sz w:val="22"/>
          <w:szCs w:val="22"/>
          <w:lang w:eastAsia="es-MX"/>
        </w:rPr>
        <w:t>. Esto significa que, para</w:t>
      </w:r>
      <w:r w:rsidR="0090554C">
        <w:rPr>
          <w:rFonts w:ascii="Arial" w:hAnsi="Arial" w:cs="Arial"/>
          <w:sz w:val="22"/>
          <w:szCs w:val="22"/>
          <w:lang w:eastAsia="es-MX"/>
        </w:rPr>
        <w:t xml:space="preserve"> la evaluación de experiencia con</w:t>
      </w:r>
      <w:r w:rsidR="00D808C0">
        <w:rPr>
          <w:rFonts w:ascii="Arial" w:hAnsi="Arial" w:cs="Arial"/>
          <w:sz w:val="22"/>
          <w:szCs w:val="22"/>
          <w:lang w:eastAsia="es-MX"/>
        </w:rPr>
        <w:t xml:space="preserve"> contratos en el marco de las cuales se hayan ejecutado varias actividades, </w:t>
      </w:r>
      <w:r w:rsidR="00DF41B6">
        <w:rPr>
          <w:rFonts w:ascii="Arial" w:hAnsi="Arial" w:cs="Arial"/>
          <w:sz w:val="22"/>
          <w:szCs w:val="22"/>
          <w:lang w:eastAsia="es-MX"/>
        </w:rPr>
        <w:t>de las cuales solo alguna o algunas se ajustan al requisito de experiencia exigible,</w:t>
      </w:r>
      <w:r w:rsidR="0090554C">
        <w:rPr>
          <w:rFonts w:ascii="Arial" w:hAnsi="Arial" w:cs="Arial"/>
          <w:sz w:val="22"/>
          <w:szCs w:val="22"/>
          <w:lang w:eastAsia="es-MX"/>
        </w:rPr>
        <w:t xml:space="preserve"> la entidad solo podrá validar las áreas </w:t>
      </w:r>
      <w:r w:rsidR="00B61AC5">
        <w:rPr>
          <w:rFonts w:ascii="Arial" w:hAnsi="Arial" w:cs="Arial"/>
          <w:sz w:val="22"/>
          <w:szCs w:val="22"/>
          <w:lang w:eastAsia="es-MX"/>
        </w:rPr>
        <w:t>o valores relacionados con estas últimas, descartando</w:t>
      </w:r>
      <w:r w:rsidR="00364F11">
        <w:rPr>
          <w:rFonts w:ascii="Arial" w:hAnsi="Arial" w:cs="Arial"/>
          <w:sz w:val="22"/>
          <w:szCs w:val="22"/>
          <w:lang w:eastAsia="es-MX"/>
        </w:rPr>
        <w:t xml:space="preserve"> las magnitudes</w:t>
      </w:r>
      <w:r w:rsidR="00AC78FF">
        <w:rPr>
          <w:rFonts w:ascii="Arial" w:hAnsi="Arial" w:cs="Arial"/>
          <w:sz w:val="22"/>
          <w:szCs w:val="22"/>
          <w:lang w:eastAsia="es-MX"/>
        </w:rPr>
        <w:t xml:space="preserve"> que, sin perjuicio de que hayan sido efectivamente intervenidas, no se enmar</w:t>
      </w:r>
      <w:r w:rsidR="006509CF">
        <w:rPr>
          <w:rFonts w:ascii="Arial" w:hAnsi="Arial" w:cs="Arial"/>
          <w:sz w:val="22"/>
          <w:szCs w:val="22"/>
          <w:lang w:eastAsia="es-MX"/>
        </w:rPr>
        <w:t>quen</w:t>
      </w:r>
      <w:r w:rsidR="00AC78FF">
        <w:rPr>
          <w:rFonts w:ascii="Arial" w:hAnsi="Arial" w:cs="Arial"/>
          <w:sz w:val="22"/>
          <w:szCs w:val="22"/>
          <w:lang w:eastAsia="es-MX"/>
        </w:rPr>
        <w:t xml:space="preserve"> </w:t>
      </w:r>
      <w:r w:rsidR="006509CF">
        <w:rPr>
          <w:rFonts w:ascii="Arial" w:hAnsi="Arial" w:cs="Arial"/>
          <w:sz w:val="22"/>
          <w:szCs w:val="22"/>
          <w:lang w:eastAsia="es-MX"/>
        </w:rPr>
        <w:t>en</w:t>
      </w:r>
      <w:r w:rsidR="00AC78FF">
        <w:rPr>
          <w:rFonts w:ascii="Arial" w:hAnsi="Arial" w:cs="Arial"/>
          <w:sz w:val="22"/>
          <w:szCs w:val="22"/>
          <w:lang w:eastAsia="es-MX"/>
        </w:rPr>
        <w:t xml:space="preserve"> el requisito de experiencia. </w:t>
      </w:r>
      <w:r w:rsidR="00DF41B6">
        <w:rPr>
          <w:rFonts w:ascii="Arial" w:hAnsi="Arial" w:cs="Arial"/>
          <w:sz w:val="22"/>
          <w:szCs w:val="22"/>
          <w:lang w:eastAsia="es-MX"/>
        </w:rPr>
        <w:t xml:space="preserve"> </w:t>
      </w:r>
      <w:r>
        <w:rPr>
          <w:rFonts w:ascii="Arial" w:hAnsi="Arial" w:cs="Arial"/>
          <w:sz w:val="22"/>
          <w:szCs w:val="22"/>
          <w:lang w:eastAsia="es-MX"/>
        </w:rPr>
        <w:t xml:space="preserve"> </w:t>
      </w:r>
      <w:r w:rsidR="003F56A2">
        <w:rPr>
          <w:rFonts w:ascii="Arial" w:hAnsi="Arial" w:cs="Arial"/>
          <w:sz w:val="22"/>
          <w:szCs w:val="22"/>
          <w:lang w:eastAsia="es-MX"/>
        </w:rPr>
        <w:t xml:space="preserve"> </w:t>
      </w:r>
    </w:p>
    <w:p w14:paraId="32259C60" w14:textId="40110BB9" w:rsidR="003F56A2" w:rsidRDefault="00951272" w:rsidP="0005264A">
      <w:pPr>
        <w:pStyle w:val="NormalWeb"/>
        <w:spacing w:before="120" w:beforeAutospacing="0" w:after="120" w:afterAutospacing="0"/>
        <w:ind w:firstLine="708"/>
        <w:rPr>
          <w:rFonts w:ascii="ArialMT" w:hAnsi="ArialMT"/>
          <w:sz w:val="22"/>
          <w:szCs w:val="22"/>
          <w:lang w:eastAsia="es-MX"/>
        </w:rPr>
      </w:pPr>
      <w:r>
        <w:rPr>
          <w:rFonts w:ascii="Arial" w:hAnsi="Arial" w:cs="Arial"/>
          <w:sz w:val="21"/>
          <w:szCs w:val="21"/>
        </w:rPr>
        <w:t xml:space="preserve">Así pues, </w:t>
      </w:r>
      <w:r w:rsidR="0013282C">
        <w:rPr>
          <w:rFonts w:ascii="Arial" w:hAnsi="Arial" w:cs="Arial"/>
          <w:sz w:val="21"/>
          <w:szCs w:val="21"/>
        </w:rPr>
        <w:t xml:space="preserve">según lo establecido en los numerales 3.5.2 –literal I– y 3.5.4–literal D–, los proponentes tienen el deber de </w:t>
      </w:r>
      <w:r w:rsidR="0013282C" w:rsidRPr="00D54B4A">
        <w:rPr>
          <w:rFonts w:ascii="Arial" w:hAnsi="Arial" w:cs="Arial"/>
          <w:sz w:val="21"/>
          <w:szCs w:val="21"/>
        </w:rPr>
        <w:t>acreditar los valores y magnitudes intervenidas dentro de</w:t>
      </w:r>
      <w:r w:rsidR="0013282C">
        <w:rPr>
          <w:rFonts w:ascii="Arial" w:hAnsi="Arial" w:cs="Arial"/>
          <w:sz w:val="21"/>
          <w:szCs w:val="21"/>
        </w:rPr>
        <w:t xml:space="preserve"> </w:t>
      </w:r>
      <w:r w:rsidR="0013282C" w:rsidRPr="00D54B4A">
        <w:rPr>
          <w:rFonts w:ascii="Arial" w:hAnsi="Arial" w:cs="Arial"/>
          <w:sz w:val="21"/>
          <w:szCs w:val="21"/>
        </w:rPr>
        <w:t>l</w:t>
      </w:r>
      <w:r w:rsidR="0013282C">
        <w:rPr>
          <w:rFonts w:ascii="Arial" w:hAnsi="Arial" w:cs="Arial"/>
          <w:sz w:val="21"/>
          <w:szCs w:val="21"/>
        </w:rPr>
        <w:t>os</w:t>
      </w:r>
      <w:r w:rsidR="0013282C" w:rsidRPr="00D54B4A">
        <w:rPr>
          <w:rFonts w:ascii="Arial" w:hAnsi="Arial" w:cs="Arial"/>
          <w:sz w:val="21"/>
          <w:szCs w:val="21"/>
        </w:rPr>
        <w:t xml:space="preserve"> contrato</w:t>
      </w:r>
      <w:r w:rsidR="0013282C">
        <w:rPr>
          <w:rFonts w:ascii="Arial" w:hAnsi="Arial" w:cs="Arial"/>
          <w:sz w:val="21"/>
          <w:szCs w:val="21"/>
        </w:rPr>
        <w:t xml:space="preserve">s </w:t>
      </w:r>
      <w:r w:rsidR="00B95E27">
        <w:rPr>
          <w:rFonts w:ascii="Arial" w:hAnsi="Arial" w:cs="Arial"/>
          <w:sz w:val="21"/>
          <w:szCs w:val="21"/>
        </w:rPr>
        <w:t>que aportan</w:t>
      </w:r>
      <w:r w:rsidR="0013282C" w:rsidRPr="00D54B4A">
        <w:rPr>
          <w:rFonts w:ascii="Arial" w:hAnsi="Arial" w:cs="Arial"/>
          <w:sz w:val="21"/>
          <w:szCs w:val="21"/>
        </w:rPr>
        <w:t>, empleando alguno de los documentos válidos establecidos en el</w:t>
      </w:r>
      <w:r w:rsidR="00FD1BB6">
        <w:rPr>
          <w:rFonts w:ascii="Arial" w:hAnsi="Arial" w:cs="Arial"/>
          <w:sz w:val="21"/>
          <w:szCs w:val="21"/>
        </w:rPr>
        <w:t xml:space="preserve"> </w:t>
      </w:r>
      <w:r w:rsidR="0013282C" w:rsidRPr="00D54B4A">
        <w:rPr>
          <w:rFonts w:ascii="Arial" w:hAnsi="Arial" w:cs="Arial"/>
          <w:sz w:val="21"/>
          <w:szCs w:val="21"/>
        </w:rPr>
        <w:lastRenderedPageBreak/>
        <w:t>numeral 3.5.5</w:t>
      </w:r>
      <w:r w:rsidR="00B95E27">
        <w:rPr>
          <w:rFonts w:ascii="Arial" w:hAnsi="Arial" w:cs="Arial"/>
          <w:sz w:val="21"/>
          <w:szCs w:val="21"/>
        </w:rPr>
        <w:t xml:space="preserve"> del Documento Base</w:t>
      </w:r>
      <w:r w:rsidR="00C02B12">
        <w:rPr>
          <w:rStyle w:val="Refdenotaalpie"/>
          <w:rFonts w:ascii="Arial" w:hAnsi="Arial" w:cs="Arial"/>
          <w:sz w:val="21"/>
          <w:szCs w:val="21"/>
        </w:rPr>
        <w:footnoteReference w:id="5"/>
      </w:r>
      <w:r w:rsidR="00B95E27">
        <w:rPr>
          <w:rFonts w:ascii="Arial" w:hAnsi="Arial" w:cs="Arial"/>
          <w:sz w:val="21"/>
          <w:szCs w:val="21"/>
        </w:rPr>
        <w:t>.</w:t>
      </w:r>
      <w:r w:rsidR="0013282C" w:rsidRPr="00D54B4A">
        <w:rPr>
          <w:rFonts w:ascii="Arial" w:hAnsi="Arial" w:cs="Arial"/>
          <w:sz w:val="21"/>
          <w:szCs w:val="21"/>
        </w:rPr>
        <w:t xml:space="preserve"> </w:t>
      </w:r>
      <w:r w:rsidR="0011052D">
        <w:rPr>
          <w:rFonts w:ascii="Arial" w:hAnsi="Arial" w:cs="Arial"/>
          <w:sz w:val="21"/>
          <w:szCs w:val="21"/>
        </w:rPr>
        <w:t xml:space="preserve">En todo caso, </w:t>
      </w:r>
      <w:r w:rsidR="006D4C53">
        <w:rPr>
          <w:rFonts w:ascii="Arial" w:hAnsi="Arial" w:cs="Arial"/>
          <w:sz w:val="21"/>
          <w:szCs w:val="21"/>
        </w:rPr>
        <w:t xml:space="preserve">conforme </w:t>
      </w:r>
      <w:r w:rsidR="001E1B00">
        <w:rPr>
          <w:rFonts w:ascii="Arial" w:hAnsi="Arial" w:cs="Arial"/>
          <w:sz w:val="21"/>
          <w:szCs w:val="21"/>
        </w:rPr>
        <w:t>se desprende</w:t>
      </w:r>
      <w:r w:rsidR="006D4C53">
        <w:rPr>
          <w:rFonts w:ascii="Arial" w:hAnsi="Arial" w:cs="Arial"/>
          <w:sz w:val="21"/>
          <w:szCs w:val="21"/>
        </w:rPr>
        <w:t xml:space="preserve"> </w:t>
      </w:r>
      <w:r w:rsidR="001E1B00">
        <w:rPr>
          <w:rFonts w:ascii="Arial" w:hAnsi="Arial" w:cs="Arial"/>
          <w:sz w:val="21"/>
          <w:szCs w:val="21"/>
        </w:rPr>
        <w:t>d</w:t>
      </w:r>
      <w:r w:rsidR="006D4C53">
        <w:rPr>
          <w:rFonts w:ascii="Arial" w:hAnsi="Arial" w:cs="Arial"/>
          <w:sz w:val="21"/>
          <w:szCs w:val="21"/>
        </w:rPr>
        <w:t xml:space="preserve">el segundo inciso de la primera de estas reglas, en caso de que la </w:t>
      </w:r>
      <w:r w:rsidR="001012A1">
        <w:rPr>
          <w:rFonts w:ascii="Arial" w:hAnsi="Arial" w:cs="Arial"/>
          <w:sz w:val="21"/>
          <w:szCs w:val="21"/>
        </w:rPr>
        <w:t xml:space="preserve">documentación en principio aportada por el proponente </w:t>
      </w:r>
      <w:r w:rsidR="001E1B00">
        <w:rPr>
          <w:rFonts w:ascii="Arial" w:hAnsi="Arial" w:cs="Arial"/>
          <w:sz w:val="21"/>
          <w:szCs w:val="21"/>
        </w:rPr>
        <w:t xml:space="preserve">no </w:t>
      </w:r>
      <w:r w:rsidR="0005264A">
        <w:rPr>
          <w:rFonts w:ascii="ArialMT" w:hAnsi="ArialMT"/>
          <w:sz w:val="22"/>
          <w:szCs w:val="22"/>
          <w:lang w:eastAsia="es-MX"/>
        </w:rPr>
        <w:t xml:space="preserve">surjan con claridad </w:t>
      </w:r>
      <w:r w:rsidR="00D95045">
        <w:rPr>
          <w:rFonts w:ascii="ArialMT" w:hAnsi="ArialMT"/>
          <w:sz w:val="22"/>
          <w:szCs w:val="22"/>
          <w:lang w:eastAsia="es-MX"/>
        </w:rPr>
        <w:t>cuáles</w:t>
      </w:r>
      <w:r w:rsidR="0005264A">
        <w:rPr>
          <w:rFonts w:ascii="ArialMT" w:hAnsi="ArialMT"/>
          <w:sz w:val="22"/>
          <w:szCs w:val="22"/>
          <w:lang w:eastAsia="es-MX"/>
        </w:rPr>
        <w:t xml:space="preserve"> son las magnitudes susceptibles de ser validadas para el cumplimiento del requisito de experiencia, la entidad deberá permitir la subsanación conforme a lo señalado en el numeral 1.6</w:t>
      </w:r>
      <w:r w:rsidR="00D95045">
        <w:rPr>
          <w:rFonts w:ascii="ArialMT" w:hAnsi="ArialMT"/>
          <w:sz w:val="22"/>
          <w:szCs w:val="22"/>
          <w:lang w:eastAsia="es-MX"/>
        </w:rPr>
        <w:t xml:space="preserve">, oportunidad en la cual el proponente deberá </w:t>
      </w:r>
      <w:r w:rsidR="0040754A">
        <w:rPr>
          <w:rFonts w:ascii="ArialMT" w:hAnsi="ArialMT"/>
          <w:sz w:val="22"/>
          <w:szCs w:val="22"/>
          <w:lang w:eastAsia="es-MX"/>
        </w:rPr>
        <w:t xml:space="preserve">aportar la información objeto de requerimiento </w:t>
      </w:r>
      <w:r w:rsidR="00633A56">
        <w:rPr>
          <w:rFonts w:ascii="ArialMT" w:hAnsi="ArialMT"/>
          <w:sz w:val="22"/>
          <w:szCs w:val="22"/>
          <w:lang w:eastAsia="es-MX"/>
        </w:rPr>
        <w:t>mediante los documentos aludidos en el numeral 3.5.5</w:t>
      </w:r>
      <w:r w:rsidR="00A87BA3">
        <w:rPr>
          <w:rFonts w:ascii="ArialMT" w:hAnsi="ArialMT"/>
          <w:sz w:val="22"/>
          <w:szCs w:val="22"/>
          <w:lang w:eastAsia="es-MX"/>
        </w:rPr>
        <w:t>, so pena de que el</w:t>
      </w:r>
      <w:r w:rsidR="00C61A0B">
        <w:rPr>
          <w:rFonts w:ascii="ArialMT" w:hAnsi="ArialMT"/>
          <w:sz w:val="22"/>
          <w:szCs w:val="22"/>
          <w:lang w:eastAsia="es-MX"/>
        </w:rPr>
        <w:t xml:space="preserve"> respectivo</w:t>
      </w:r>
      <w:r w:rsidR="00A87BA3">
        <w:rPr>
          <w:rFonts w:ascii="ArialMT" w:hAnsi="ArialMT"/>
          <w:sz w:val="22"/>
          <w:szCs w:val="22"/>
          <w:lang w:eastAsia="es-MX"/>
        </w:rPr>
        <w:t xml:space="preserve"> contrato</w:t>
      </w:r>
      <w:r w:rsidR="00244343">
        <w:rPr>
          <w:rFonts w:ascii="ArialMT" w:hAnsi="ArialMT"/>
          <w:sz w:val="22"/>
          <w:szCs w:val="22"/>
          <w:lang w:eastAsia="es-MX"/>
        </w:rPr>
        <w:t xml:space="preserve"> no sea tenido en cuenta como experiencia. </w:t>
      </w:r>
    </w:p>
    <w:p w14:paraId="20C7D2B5" w14:textId="25F878F5" w:rsidR="00192CEE" w:rsidRDefault="00E261E2" w:rsidP="00C30414">
      <w:pPr>
        <w:pStyle w:val="NormalWeb"/>
        <w:spacing w:before="120" w:beforeAutospacing="0" w:after="0" w:afterAutospacing="0"/>
        <w:ind w:firstLine="708"/>
        <w:rPr>
          <w:rFonts w:ascii="ArialMT" w:hAnsi="ArialMT"/>
          <w:sz w:val="22"/>
          <w:szCs w:val="22"/>
          <w:lang w:eastAsia="es-MX"/>
        </w:rPr>
      </w:pPr>
      <w:r>
        <w:rPr>
          <w:rFonts w:ascii="ArialMT" w:hAnsi="ArialMT"/>
          <w:sz w:val="22"/>
          <w:szCs w:val="22"/>
          <w:lang w:eastAsia="es-MX"/>
        </w:rPr>
        <w:t>E</w:t>
      </w:r>
      <w:r w:rsidR="005545B1">
        <w:rPr>
          <w:rFonts w:ascii="ArialMT" w:hAnsi="ArialMT"/>
          <w:sz w:val="22"/>
          <w:szCs w:val="22"/>
          <w:lang w:eastAsia="es-MX"/>
        </w:rPr>
        <w:t xml:space="preserve">n tales términos, respecto </w:t>
      </w:r>
      <w:r w:rsidR="00076A40">
        <w:rPr>
          <w:rFonts w:ascii="ArialMT" w:hAnsi="ArialMT"/>
          <w:sz w:val="22"/>
          <w:szCs w:val="22"/>
          <w:lang w:eastAsia="es-MX"/>
        </w:rPr>
        <w:t>al</w:t>
      </w:r>
      <w:r w:rsidR="005545B1">
        <w:rPr>
          <w:rFonts w:ascii="ArialMT" w:hAnsi="ArialMT"/>
          <w:sz w:val="22"/>
          <w:szCs w:val="22"/>
          <w:lang w:eastAsia="es-MX"/>
        </w:rPr>
        <w:t xml:space="preserve"> primer</w:t>
      </w:r>
      <w:r w:rsidR="00076A40">
        <w:rPr>
          <w:rFonts w:ascii="ArialMT" w:hAnsi="ArialMT"/>
          <w:sz w:val="22"/>
          <w:szCs w:val="22"/>
          <w:lang w:eastAsia="es-MX"/>
        </w:rPr>
        <w:t>o</w:t>
      </w:r>
      <w:r w:rsidR="005545B1">
        <w:rPr>
          <w:rFonts w:ascii="ArialMT" w:hAnsi="ArialMT"/>
          <w:sz w:val="22"/>
          <w:szCs w:val="22"/>
          <w:lang w:eastAsia="es-MX"/>
        </w:rPr>
        <w:t xml:space="preserve"> de los interrogantes </w:t>
      </w:r>
      <w:r w:rsidR="00F85010">
        <w:rPr>
          <w:rFonts w:ascii="ArialMT" w:hAnsi="ArialMT"/>
          <w:sz w:val="22"/>
          <w:szCs w:val="22"/>
          <w:lang w:eastAsia="es-MX"/>
        </w:rPr>
        <w:t xml:space="preserve">planteados es forzoso concluir que, </w:t>
      </w:r>
      <w:r w:rsidR="001A1F15">
        <w:rPr>
          <w:rFonts w:ascii="ArialMT" w:hAnsi="ArialMT"/>
          <w:sz w:val="22"/>
          <w:szCs w:val="22"/>
          <w:lang w:eastAsia="es-MX"/>
        </w:rPr>
        <w:t>en virtud de lo señalado en los numeral 3.5.2, literal I y 3.5.4</w:t>
      </w:r>
      <w:r w:rsidR="001928EA">
        <w:rPr>
          <w:rFonts w:ascii="ArialMT" w:hAnsi="ArialMT"/>
          <w:sz w:val="22"/>
          <w:szCs w:val="22"/>
          <w:lang w:eastAsia="es-MX"/>
        </w:rPr>
        <w:t>, literal D, los proponentes se encuentran en el deber de acreditar</w:t>
      </w:r>
      <w:r w:rsidR="008A52FB">
        <w:rPr>
          <w:rFonts w:ascii="ArialMT" w:hAnsi="ArialMT"/>
          <w:sz w:val="22"/>
          <w:szCs w:val="22"/>
          <w:lang w:eastAsia="es-MX"/>
        </w:rPr>
        <w:t xml:space="preserve"> los valores ejecutados y</w:t>
      </w:r>
      <w:r w:rsidR="001928EA">
        <w:rPr>
          <w:rFonts w:ascii="ArialMT" w:hAnsi="ArialMT"/>
          <w:sz w:val="22"/>
          <w:szCs w:val="22"/>
          <w:lang w:eastAsia="es-MX"/>
        </w:rPr>
        <w:t xml:space="preserve"> las mag</w:t>
      </w:r>
      <w:r w:rsidR="008A52FB">
        <w:rPr>
          <w:rFonts w:ascii="ArialMT" w:hAnsi="ArialMT"/>
          <w:sz w:val="22"/>
          <w:szCs w:val="22"/>
          <w:lang w:eastAsia="es-MX"/>
        </w:rPr>
        <w:t>nitudes intervenidas en los contratos aportados</w:t>
      </w:r>
      <w:r w:rsidR="005545B1">
        <w:rPr>
          <w:rFonts w:ascii="ArialMT" w:hAnsi="ArialMT"/>
          <w:sz w:val="22"/>
          <w:szCs w:val="22"/>
          <w:lang w:eastAsia="es-MX"/>
        </w:rPr>
        <w:t xml:space="preserve"> </w:t>
      </w:r>
      <w:r w:rsidR="008A52FB">
        <w:rPr>
          <w:rFonts w:ascii="ArialMT" w:hAnsi="ArialMT"/>
          <w:sz w:val="22"/>
          <w:szCs w:val="22"/>
          <w:lang w:eastAsia="es-MX"/>
        </w:rPr>
        <w:t>como experiencia</w:t>
      </w:r>
      <w:r w:rsidR="002E1FD0">
        <w:rPr>
          <w:rFonts w:ascii="ArialMT" w:hAnsi="ArialMT"/>
          <w:sz w:val="22"/>
          <w:szCs w:val="22"/>
          <w:lang w:eastAsia="es-MX"/>
        </w:rPr>
        <w:t>.</w:t>
      </w:r>
      <w:r w:rsidR="00437607">
        <w:rPr>
          <w:rFonts w:ascii="ArialMT" w:hAnsi="ArialMT"/>
          <w:sz w:val="22"/>
          <w:szCs w:val="22"/>
          <w:lang w:eastAsia="es-MX"/>
        </w:rPr>
        <w:t xml:space="preserve"> </w:t>
      </w:r>
      <w:r w:rsidR="00A36369">
        <w:rPr>
          <w:rFonts w:ascii="ArialMT" w:hAnsi="ArialMT"/>
          <w:sz w:val="22"/>
          <w:szCs w:val="22"/>
          <w:lang w:eastAsia="es-MX"/>
        </w:rPr>
        <w:t xml:space="preserve">En cuanto al segundo interrogante, lo anterior permite concluir que </w:t>
      </w:r>
      <w:r w:rsidR="00955D28">
        <w:rPr>
          <w:rFonts w:ascii="ArialMT" w:hAnsi="ArialMT"/>
          <w:sz w:val="22"/>
          <w:szCs w:val="22"/>
          <w:lang w:eastAsia="es-MX"/>
        </w:rPr>
        <w:t xml:space="preserve">para el cumplimiento de los requisitos de experiencia planteados en </w:t>
      </w:r>
      <w:r w:rsidR="00A30EBD">
        <w:rPr>
          <w:rFonts w:ascii="ArialMT" w:hAnsi="ArialMT"/>
          <w:sz w:val="22"/>
          <w:szCs w:val="22"/>
          <w:lang w:eastAsia="es-MX"/>
        </w:rPr>
        <w:t xml:space="preserve">términos de dimensionamiento, </w:t>
      </w:r>
      <w:r w:rsidR="00CC431F">
        <w:rPr>
          <w:rFonts w:ascii="ArialMT" w:hAnsi="ArialMT"/>
          <w:sz w:val="22"/>
          <w:szCs w:val="22"/>
          <w:lang w:eastAsia="es-MX"/>
        </w:rPr>
        <w:t xml:space="preserve">los proponentes </w:t>
      </w:r>
      <w:r w:rsidR="00C25E70">
        <w:rPr>
          <w:rFonts w:ascii="ArialMT" w:hAnsi="ArialMT"/>
          <w:sz w:val="22"/>
          <w:szCs w:val="22"/>
          <w:lang w:eastAsia="es-MX"/>
        </w:rPr>
        <w:lastRenderedPageBreak/>
        <w:t xml:space="preserve">deben acreditar </w:t>
      </w:r>
      <w:r w:rsidR="00CC431F">
        <w:rPr>
          <w:rFonts w:ascii="ArialMT" w:hAnsi="ArialMT"/>
          <w:sz w:val="22"/>
          <w:szCs w:val="22"/>
          <w:lang w:eastAsia="es-MX"/>
        </w:rPr>
        <w:t>el alcance físico de las actividades ejecutadas en dichos contratos</w:t>
      </w:r>
      <w:r w:rsidR="00CD7294">
        <w:rPr>
          <w:rFonts w:ascii="ArialMT" w:hAnsi="ArialMT"/>
          <w:sz w:val="22"/>
          <w:szCs w:val="22"/>
          <w:lang w:eastAsia="es-MX"/>
        </w:rPr>
        <w:t xml:space="preserve"> que se ajusten al requisito de experiencia, de suerte que</w:t>
      </w:r>
      <w:r w:rsidR="00076A40">
        <w:rPr>
          <w:rFonts w:ascii="ArialMT" w:hAnsi="ArialMT"/>
          <w:sz w:val="22"/>
          <w:szCs w:val="22"/>
          <w:lang w:eastAsia="es-MX"/>
        </w:rPr>
        <w:t xml:space="preserve"> para establecer si se cumple o con el requisito, deberán ser descontadas </w:t>
      </w:r>
      <w:r w:rsidR="00CD7294">
        <w:rPr>
          <w:rFonts w:ascii="ArialMT" w:hAnsi="ArialMT"/>
          <w:sz w:val="22"/>
          <w:szCs w:val="22"/>
          <w:lang w:eastAsia="es-MX"/>
        </w:rPr>
        <w:t xml:space="preserve">las áreas o longitudes en las </w:t>
      </w:r>
      <w:r w:rsidR="00076A40">
        <w:rPr>
          <w:rFonts w:ascii="ArialMT" w:hAnsi="ArialMT"/>
          <w:sz w:val="22"/>
          <w:szCs w:val="22"/>
          <w:lang w:eastAsia="es-MX"/>
        </w:rPr>
        <w:t xml:space="preserve">se ejecutaron obras o actividades que no coincidan con el requerimiento establecido en la matriz. </w:t>
      </w:r>
    </w:p>
    <w:p w14:paraId="484509D3" w14:textId="77777777" w:rsidR="00C30414" w:rsidRDefault="00C30414" w:rsidP="002975CD">
      <w:pPr>
        <w:pStyle w:val="NormalWeb"/>
        <w:spacing w:before="0" w:beforeAutospacing="0" w:after="0" w:afterAutospacing="0"/>
        <w:rPr>
          <w:rFonts w:ascii="ArialMT" w:hAnsi="ArialMT"/>
          <w:sz w:val="22"/>
          <w:szCs w:val="22"/>
          <w:lang w:eastAsia="es-MX"/>
        </w:rPr>
      </w:pPr>
    </w:p>
    <w:p w14:paraId="21FE0A7F" w14:textId="21CD65C7" w:rsidR="00273FBD" w:rsidRDefault="00273FBD" w:rsidP="00AD5179">
      <w:pPr>
        <w:pStyle w:val="NormalWeb"/>
        <w:spacing w:before="0" w:beforeAutospacing="0" w:after="0" w:afterAutospacing="0"/>
        <w:rPr>
          <w:rFonts w:ascii="Arial" w:eastAsia="Calibri" w:hAnsi="Arial" w:cs="Arial"/>
          <w:b/>
          <w:bCs/>
          <w:color w:val="000000"/>
          <w:sz w:val="22"/>
        </w:rPr>
      </w:pPr>
      <w:r>
        <w:rPr>
          <w:rFonts w:ascii="ArialMT" w:hAnsi="ArialMT"/>
          <w:b/>
          <w:bCs/>
          <w:sz w:val="22"/>
          <w:szCs w:val="22"/>
          <w:lang w:eastAsia="es-MX"/>
        </w:rPr>
        <w:t>2.</w:t>
      </w:r>
      <w:r w:rsidR="00ED37DE">
        <w:rPr>
          <w:rFonts w:ascii="ArialMT" w:hAnsi="ArialMT"/>
          <w:b/>
          <w:bCs/>
          <w:sz w:val="22"/>
          <w:szCs w:val="22"/>
          <w:lang w:eastAsia="es-MX"/>
        </w:rPr>
        <w:t>4</w:t>
      </w:r>
      <w:r>
        <w:rPr>
          <w:rFonts w:ascii="ArialMT" w:hAnsi="ArialMT"/>
          <w:b/>
          <w:bCs/>
          <w:sz w:val="22"/>
          <w:szCs w:val="22"/>
          <w:lang w:eastAsia="es-MX"/>
        </w:rPr>
        <w:t>.</w:t>
      </w:r>
      <w:r w:rsidR="0088164B">
        <w:rPr>
          <w:rFonts w:ascii="ArialMT" w:hAnsi="ArialMT"/>
          <w:b/>
          <w:bCs/>
          <w:sz w:val="22"/>
          <w:szCs w:val="22"/>
          <w:lang w:eastAsia="es-MX"/>
        </w:rPr>
        <w:t xml:space="preserve"> </w:t>
      </w:r>
      <w:r w:rsidR="0088164B" w:rsidRPr="002975CD">
        <w:rPr>
          <w:rFonts w:ascii="Arial" w:hAnsi="Arial" w:cs="Arial"/>
          <w:b/>
          <w:bCs/>
          <w:sz w:val="22"/>
          <w:szCs w:val="22"/>
          <w:lang w:eastAsia="es-MX"/>
        </w:rPr>
        <w:t>Bienes</w:t>
      </w:r>
      <w:r w:rsidR="004B3F69" w:rsidRPr="002975CD">
        <w:rPr>
          <w:rFonts w:ascii="Arial" w:hAnsi="Arial" w:cs="Arial"/>
          <w:b/>
          <w:bCs/>
          <w:sz w:val="22"/>
          <w:szCs w:val="22"/>
          <w:lang w:eastAsia="es-MX"/>
        </w:rPr>
        <w:t xml:space="preserve">, obras y/o </w:t>
      </w:r>
      <w:r w:rsidR="0088164B" w:rsidRPr="002975CD">
        <w:rPr>
          <w:rFonts w:ascii="Arial" w:hAnsi="Arial" w:cs="Arial"/>
          <w:b/>
          <w:bCs/>
          <w:sz w:val="22"/>
          <w:szCs w:val="22"/>
          <w:lang w:eastAsia="es-MX"/>
        </w:rPr>
        <w:t>servicios adicionales a la obra p</w:t>
      </w:r>
      <w:r w:rsidR="0088164B" w:rsidRPr="002975CD">
        <w:rPr>
          <w:rFonts w:ascii="Arial" w:hAnsi="Arial" w:cs="Arial" w:hint="eastAsia"/>
          <w:b/>
          <w:bCs/>
          <w:sz w:val="22"/>
          <w:szCs w:val="22"/>
          <w:lang w:eastAsia="es-MX"/>
        </w:rPr>
        <w:t>ú</w:t>
      </w:r>
      <w:r w:rsidR="0088164B" w:rsidRPr="002975CD">
        <w:rPr>
          <w:rFonts w:ascii="Arial" w:hAnsi="Arial" w:cs="Arial"/>
          <w:b/>
          <w:bCs/>
          <w:sz w:val="22"/>
          <w:szCs w:val="22"/>
          <w:lang w:eastAsia="es-MX"/>
        </w:rPr>
        <w:t>blica de infraestructura social</w:t>
      </w:r>
      <w:r w:rsidR="003E7E4E" w:rsidRPr="002975CD">
        <w:rPr>
          <w:rFonts w:ascii="Arial" w:hAnsi="Arial" w:cs="Arial"/>
          <w:b/>
          <w:bCs/>
          <w:sz w:val="22"/>
          <w:szCs w:val="22"/>
          <w:lang w:eastAsia="es-MX"/>
        </w:rPr>
        <w:t>,</w:t>
      </w:r>
      <w:r w:rsidR="0088164B" w:rsidRPr="002975CD">
        <w:rPr>
          <w:rFonts w:ascii="Arial" w:hAnsi="Arial" w:cs="Arial"/>
          <w:b/>
          <w:bCs/>
          <w:sz w:val="22"/>
          <w:szCs w:val="22"/>
          <w:lang w:eastAsia="es-MX"/>
        </w:rPr>
        <w:t xml:space="preserve"> </w:t>
      </w:r>
      <w:r w:rsidR="0088164B" w:rsidRPr="00AD5179">
        <w:rPr>
          <w:rFonts w:ascii="Arial" w:eastAsia="Calibri" w:hAnsi="Arial" w:cs="Arial"/>
          <w:b/>
          <w:bCs/>
          <w:color w:val="000000"/>
          <w:sz w:val="22"/>
        </w:rPr>
        <w:t>c</w:t>
      </w:r>
      <w:r w:rsidR="00695D7E" w:rsidRPr="00AD5179">
        <w:rPr>
          <w:rFonts w:ascii="Arial" w:eastAsia="Calibri" w:hAnsi="Arial" w:cs="Arial"/>
          <w:b/>
          <w:bCs/>
          <w:color w:val="000000"/>
          <w:sz w:val="22"/>
        </w:rPr>
        <w:t xml:space="preserve">ombinación de experiencia </w:t>
      </w:r>
      <w:r w:rsidR="003E7E4E" w:rsidRPr="00AD5179">
        <w:rPr>
          <w:rFonts w:ascii="Arial" w:eastAsia="Calibri" w:hAnsi="Arial" w:cs="Arial"/>
          <w:b/>
          <w:bCs/>
          <w:color w:val="000000"/>
          <w:sz w:val="22"/>
        </w:rPr>
        <w:t>y acre</w:t>
      </w:r>
      <w:r w:rsidR="004B3F69" w:rsidRPr="00AD5179">
        <w:rPr>
          <w:rFonts w:ascii="Arial" w:eastAsia="Calibri" w:hAnsi="Arial" w:cs="Arial"/>
          <w:b/>
          <w:bCs/>
          <w:color w:val="000000"/>
          <w:sz w:val="22"/>
        </w:rPr>
        <w:t>ditación de magnitudes intervenidas</w:t>
      </w:r>
    </w:p>
    <w:p w14:paraId="61DBA296" w14:textId="77777777" w:rsidR="00C30414" w:rsidRDefault="00C30414" w:rsidP="002975CD">
      <w:pPr>
        <w:pStyle w:val="NormalWeb"/>
        <w:spacing w:before="0" w:beforeAutospacing="0" w:after="0" w:afterAutospacing="0"/>
        <w:rPr>
          <w:rFonts w:ascii="ArialMT" w:hAnsi="ArialMT"/>
          <w:b/>
          <w:bCs/>
          <w:sz w:val="22"/>
          <w:szCs w:val="22"/>
          <w:lang w:eastAsia="es-MX"/>
        </w:rPr>
      </w:pPr>
    </w:p>
    <w:p w14:paraId="4EB83D02" w14:textId="74324F08" w:rsidR="000E2CBF" w:rsidRDefault="000E2CBF" w:rsidP="002975CD">
      <w:pPr>
        <w:pStyle w:val="NormalWeb"/>
        <w:spacing w:before="0" w:beforeAutospacing="0" w:after="120" w:afterAutospacing="0"/>
        <w:rPr>
          <w:rFonts w:ascii="ArialMT" w:hAnsi="ArialMT"/>
          <w:sz w:val="22"/>
          <w:szCs w:val="22"/>
          <w:lang w:eastAsia="es-MX"/>
        </w:rPr>
      </w:pPr>
      <w:r>
        <w:rPr>
          <w:rFonts w:ascii="ArialMT" w:hAnsi="ArialMT"/>
          <w:sz w:val="22"/>
          <w:szCs w:val="22"/>
          <w:lang w:eastAsia="es-MX"/>
        </w:rPr>
        <w:t xml:space="preserve">En aras de responder el tercer y último interrogante </w:t>
      </w:r>
      <w:r w:rsidR="00414533">
        <w:rPr>
          <w:rFonts w:ascii="ArialMT" w:hAnsi="ArialMT"/>
          <w:sz w:val="22"/>
          <w:szCs w:val="22"/>
          <w:lang w:eastAsia="es-MX"/>
        </w:rPr>
        <w:t>es</w:t>
      </w:r>
      <w:r>
        <w:rPr>
          <w:rFonts w:ascii="ArialMT" w:hAnsi="ArialMT"/>
          <w:sz w:val="22"/>
          <w:szCs w:val="22"/>
          <w:lang w:eastAsia="es-MX"/>
        </w:rPr>
        <w:t xml:space="preserve"> necesario complementar el anterior análisis con el estudio de las reglas aplicables para la determinación de los requisitos de experiencia en procesos de contratación de obras públicas de infraestructura social que incluyan dentro de su alcance bienes, obras o servicios adicionales, como lo son las obras</w:t>
      </w:r>
      <w:r w:rsidR="00825BD7">
        <w:rPr>
          <w:rFonts w:ascii="ArialMT" w:hAnsi="ArialMT"/>
          <w:sz w:val="22"/>
          <w:szCs w:val="22"/>
          <w:lang w:eastAsia="es-MX"/>
        </w:rPr>
        <w:t xml:space="preserve"> públicas</w:t>
      </w:r>
      <w:r>
        <w:rPr>
          <w:rFonts w:ascii="ArialMT" w:hAnsi="ArialMT"/>
          <w:sz w:val="22"/>
          <w:szCs w:val="22"/>
          <w:lang w:eastAsia="es-MX"/>
        </w:rPr>
        <w:t xml:space="preserve"> del sector</w:t>
      </w:r>
      <w:r w:rsidR="00094A92">
        <w:rPr>
          <w:rFonts w:ascii="ArialMT" w:hAnsi="ArialMT"/>
          <w:sz w:val="22"/>
          <w:szCs w:val="22"/>
          <w:lang w:eastAsia="es-MX"/>
        </w:rPr>
        <w:t xml:space="preserve"> transporte</w:t>
      </w:r>
      <w:r w:rsidR="00825BD7">
        <w:rPr>
          <w:rFonts w:ascii="ArialMT" w:hAnsi="ArialMT"/>
          <w:sz w:val="22"/>
          <w:szCs w:val="22"/>
          <w:lang w:eastAsia="es-MX"/>
        </w:rPr>
        <w:t>, cobijadas por lo documentos tipo adoptados mediante las resoluciones 094</w:t>
      </w:r>
      <w:r w:rsidR="00F83F2B">
        <w:rPr>
          <w:rFonts w:ascii="ArialMT" w:hAnsi="ArialMT"/>
          <w:sz w:val="22"/>
          <w:szCs w:val="22"/>
          <w:lang w:eastAsia="es-MX"/>
        </w:rPr>
        <w:t xml:space="preserve">, 240 y 241 de 2020. </w:t>
      </w:r>
      <w:r w:rsidR="00094A92">
        <w:rPr>
          <w:rFonts w:ascii="ArialMT" w:hAnsi="ArialMT"/>
          <w:sz w:val="22"/>
          <w:szCs w:val="22"/>
          <w:lang w:eastAsia="es-MX"/>
        </w:rPr>
        <w:t xml:space="preserve"> </w:t>
      </w:r>
    </w:p>
    <w:p w14:paraId="5EB1CB16" w14:textId="2F901BC8" w:rsidR="00151997" w:rsidRDefault="00605659" w:rsidP="002975CD">
      <w:pPr>
        <w:spacing w:after="120" w:line="276" w:lineRule="auto"/>
        <w:ind w:firstLine="708"/>
        <w:jc w:val="both"/>
        <w:rPr>
          <w:rFonts w:ascii="Arial" w:eastAsia="Calibri" w:hAnsi="Arial" w:cs="Arial"/>
          <w:sz w:val="22"/>
        </w:rPr>
      </w:pPr>
      <w:r>
        <w:rPr>
          <w:rFonts w:ascii="Arial" w:eastAsia="Calibri" w:hAnsi="Arial" w:cs="Arial"/>
          <w:sz w:val="22"/>
        </w:rPr>
        <w:t>S</w:t>
      </w:r>
      <w:r w:rsidR="006F63CD">
        <w:rPr>
          <w:rFonts w:ascii="Arial" w:eastAsia="Calibri" w:hAnsi="Arial" w:cs="Arial"/>
          <w:sz w:val="22"/>
        </w:rPr>
        <w:t xml:space="preserve">egún el parágrafo 2 del artículo 1 de la Resolución 219 de 2021, </w:t>
      </w:r>
      <w:r>
        <w:rPr>
          <w:rFonts w:ascii="Arial" w:eastAsia="Calibri" w:hAnsi="Arial" w:cs="Arial"/>
          <w:sz w:val="22"/>
        </w:rPr>
        <w:t xml:space="preserve">los documentos tipo para licitación pública de infraestructura social </w:t>
      </w:r>
      <w:r w:rsidRPr="006337DF">
        <w:rPr>
          <w:rFonts w:ascii="Arial" w:hAnsi="Arial" w:cs="Arial"/>
          <w:sz w:val="21"/>
          <w:szCs w:val="21"/>
        </w:rPr>
        <w:t>«</w:t>
      </w:r>
      <w:r>
        <w:rPr>
          <w:rFonts w:ascii="Arial" w:hAnsi="Arial" w:cs="Arial"/>
          <w:sz w:val="21"/>
          <w:szCs w:val="21"/>
        </w:rPr>
        <w:t xml:space="preserve">[…] </w:t>
      </w:r>
      <w:r w:rsidRPr="00605659">
        <w:rPr>
          <w:rFonts w:ascii="Arial" w:eastAsia="Calibri" w:hAnsi="Arial" w:cs="Arial"/>
          <w:sz w:val="22"/>
        </w:rPr>
        <w:t>aplicarán  a  los  proyectos  de  infraestructura  social,  tales como, sector educativo, sector salud y sector cultural,  recreación y deporte, de conformidad con cada una de las resoluciones que expida la Agencia Nacional de Contratación Pública -Colombia Compra  Eficiente-,  donde  se  precisará  el  alcance  concreto  de  estos  documen</w:t>
      </w:r>
      <w:r>
        <w:rPr>
          <w:rFonts w:ascii="Arial" w:eastAsia="Calibri" w:hAnsi="Arial" w:cs="Arial"/>
          <w:sz w:val="22"/>
        </w:rPr>
        <w:t>t</w:t>
      </w:r>
      <w:r w:rsidRPr="00605659">
        <w:rPr>
          <w:rFonts w:ascii="Arial" w:eastAsia="Calibri" w:hAnsi="Arial" w:cs="Arial"/>
          <w:sz w:val="22"/>
        </w:rPr>
        <w:t>os  tipo;  sin perjuicio de que se inc</w:t>
      </w:r>
      <w:r>
        <w:rPr>
          <w:rFonts w:ascii="Arial" w:eastAsia="Calibri" w:hAnsi="Arial" w:cs="Arial"/>
          <w:sz w:val="22"/>
        </w:rPr>
        <w:t>l</w:t>
      </w:r>
      <w:r w:rsidRPr="00605659">
        <w:rPr>
          <w:rFonts w:ascii="Arial" w:eastAsia="Calibri" w:hAnsi="Arial" w:cs="Arial"/>
          <w:sz w:val="22"/>
        </w:rPr>
        <w:t>uyan otros tipos de infraestructura social.</w:t>
      </w:r>
      <w:r w:rsidRPr="006337DF">
        <w:rPr>
          <w:rFonts w:ascii="Arial" w:hAnsi="Arial" w:cs="Arial"/>
          <w:sz w:val="21"/>
          <w:szCs w:val="21"/>
        </w:rPr>
        <w:t>»</w:t>
      </w:r>
      <w:r w:rsidR="006F63CD">
        <w:rPr>
          <w:rFonts w:ascii="Arial" w:eastAsia="Calibri" w:hAnsi="Arial" w:cs="Arial"/>
          <w:sz w:val="22"/>
        </w:rPr>
        <w:t xml:space="preserve"> </w:t>
      </w:r>
    </w:p>
    <w:p w14:paraId="6098E706" w14:textId="25584D66" w:rsidR="00896E48" w:rsidRDefault="00273FBD" w:rsidP="000244EC">
      <w:pPr>
        <w:spacing w:after="120" w:line="276" w:lineRule="auto"/>
        <w:ind w:firstLine="708"/>
        <w:jc w:val="both"/>
        <w:rPr>
          <w:rFonts w:ascii="Arial" w:eastAsia="Calibri" w:hAnsi="Arial" w:cs="Arial"/>
          <w:sz w:val="22"/>
        </w:rPr>
      </w:pPr>
      <w:r w:rsidRPr="008D5E13">
        <w:rPr>
          <w:rFonts w:ascii="Arial" w:eastAsia="Calibri" w:hAnsi="Arial" w:cs="Arial"/>
          <w:sz w:val="22"/>
          <w:szCs w:val="22"/>
        </w:rPr>
        <w:t xml:space="preserve">Una excepción a la regla anterior se encuentra </w:t>
      </w:r>
      <w:r w:rsidR="00F46C1B" w:rsidRPr="008D5E13">
        <w:rPr>
          <w:rFonts w:ascii="Arial" w:eastAsia="Calibri" w:hAnsi="Arial" w:cs="Arial"/>
          <w:sz w:val="22"/>
          <w:szCs w:val="22"/>
        </w:rPr>
        <w:t xml:space="preserve">prevista </w:t>
      </w:r>
      <w:r w:rsidRPr="008D5E13">
        <w:rPr>
          <w:rFonts w:ascii="Arial" w:eastAsia="Calibri" w:hAnsi="Arial" w:cs="Arial"/>
          <w:sz w:val="22"/>
          <w:szCs w:val="22"/>
        </w:rPr>
        <w:t xml:space="preserve">en el artículo </w:t>
      </w:r>
      <w:r w:rsidR="002E291A" w:rsidRPr="008D5E13">
        <w:rPr>
          <w:rFonts w:ascii="Arial" w:eastAsia="Calibri" w:hAnsi="Arial" w:cs="Arial"/>
          <w:sz w:val="22"/>
          <w:szCs w:val="22"/>
        </w:rPr>
        <w:t>4</w:t>
      </w:r>
      <w:r w:rsidRPr="008D5E13">
        <w:rPr>
          <w:rFonts w:ascii="Arial" w:eastAsia="Calibri" w:hAnsi="Arial" w:cs="Arial"/>
          <w:sz w:val="22"/>
          <w:szCs w:val="22"/>
        </w:rPr>
        <w:t xml:space="preserve"> de</w:t>
      </w:r>
      <w:r w:rsidR="002E291A" w:rsidRPr="008D5E13">
        <w:rPr>
          <w:rFonts w:ascii="Arial" w:eastAsia="Calibri" w:hAnsi="Arial" w:cs="Arial"/>
          <w:sz w:val="22"/>
          <w:szCs w:val="22"/>
        </w:rPr>
        <w:t xml:space="preserve"> </w:t>
      </w:r>
      <w:r w:rsidRPr="008D5E13">
        <w:rPr>
          <w:rFonts w:ascii="Arial" w:eastAsia="Calibri" w:hAnsi="Arial" w:cs="Arial"/>
          <w:sz w:val="22"/>
          <w:szCs w:val="22"/>
        </w:rPr>
        <w:t>l</w:t>
      </w:r>
      <w:r w:rsidR="002E291A" w:rsidRPr="008D5E13">
        <w:rPr>
          <w:rFonts w:ascii="Arial" w:eastAsia="Calibri" w:hAnsi="Arial" w:cs="Arial"/>
          <w:sz w:val="22"/>
          <w:szCs w:val="22"/>
        </w:rPr>
        <w:t>a</w:t>
      </w:r>
      <w:r w:rsidRPr="008D5E13">
        <w:rPr>
          <w:rFonts w:ascii="Arial" w:eastAsia="Calibri" w:hAnsi="Arial" w:cs="Arial"/>
          <w:sz w:val="22"/>
          <w:szCs w:val="22"/>
        </w:rPr>
        <w:t xml:space="preserve"> </w:t>
      </w:r>
      <w:r w:rsidR="002E291A" w:rsidRPr="008D5E13">
        <w:rPr>
          <w:rFonts w:ascii="Arial" w:eastAsia="Calibri" w:hAnsi="Arial" w:cs="Arial"/>
          <w:sz w:val="22"/>
          <w:szCs w:val="22"/>
        </w:rPr>
        <w:t>Resolución 219 de 2021</w:t>
      </w:r>
      <w:r w:rsidR="00533FD1" w:rsidRPr="008D5E13">
        <w:rPr>
          <w:rFonts w:ascii="Arial" w:eastAsia="Calibri" w:hAnsi="Arial" w:cs="Arial"/>
          <w:sz w:val="22"/>
          <w:szCs w:val="22"/>
        </w:rPr>
        <w:t>, según el cual</w:t>
      </w:r>
      <w:r w:rsidR="00414533">
        <w:rPr>
          <w:rFonts w:ascii="Arial" w:eastAsia="Calibri" w:hAnsi="Arial" w:cs="Arial"/>
          <w:sz w:val="22"/>
          <w:szCs w:val="22"/>
        </w:rPr>
        <w:t xml:space="preserve">, para </w:t>
      </w:r>
      <w:r w:rsidR="00027E6B">
        <w:rPr>
          <w:rFonts w:ascii="Arial" w:eastAsia="Calibri" w:hAnsi="Arial" w:cs="Arial"/>
          <w:sz w:val="22"/>
          <w:szCs w:val="22"/>
        </w:rPr>
        <w:t xml:space="preserve">aquellos </w:t>
      </w:r>
      <w:r w:rsidR="00414533">
        <w:rPr>
          <w:rFonts w:ascii="Arial" w:eastAsia="Calibri" w:hAnsi="Arial" w:cs="Arial"/>
          <w:sz w:val="22"/>
          <w:szCs w:val="22"/>
        </w:rPr>
        <w:t xml:space="preserve">casos en los que </w:t>
      </w:r>
      <w:r w:rsidR="000B597D">
        <w:rPr>
          <w:rFonts w:ascii="Arial" w:eastAsia="Calibri" w:hAnsi="Arial" w:cs="Arial"/>
          <w:sz w:val="22"/>
          <w:szCs w:val="22"/>
        </w:rPr>
        <w:t xml:space="preserve">en </w:t>
      </w:r>
      <w:r w:rsidR="00027E6B">
        <w:rPr>
          <w:rFonts w:ascii="Arial" w:eastAsia="Calibri" w:hAnsi="Arial" w:cs="Arial"/>
          <w:sz w:val="22"/>
          <w:szCs w:val="22"/>
        </w:rPr>
        <w:t xml:space="preserve">los </w:t>
      </w:r>
      <w:r w:rsidR="00054BBB">
        <w:rPr>
          <w:rFonts w:ascii="Arial" w:eastAsia="Calibri" w:hAnsi="Arial" w:cs="Arial"/>
          <w:sz w:val="22"/>
          <w:szCs w:val="22"/>
        </w:rPr>
        <w:t>que,</w:t>
      </w:r>
      <w:r w:rsidR="00027E6B">
        <w:rPr>
          <w:rFonts w:ascii="Arial" w:eastAsia="Calibri" w:hAnsi="Arial" w:cs="Arial"/>
          <w:sz w:val="22"/>
          <w:szCs w:val="22"/>
        </w:rPr>
        <w:t xml:space="preserve"> en el alcance de </w:t>
      </w:r>
      <w:r w:rsidR="000B597D">
        <w:rPr>
          <w:rFonts w:ascii="Arial" w:eastAsia="Calibri" w:hAnsi="Arial" w:cs="Arial"/>
          <w:sz w:val="22"/>
          <w:szCs w:val="22"/>
        </w:rPr>
        <w:t xml:space="preserve">contratos principalmente dirigidos a la ejecución de </w:t>
      </w:r>
      <w:r w:rsidR="00414533">
        <w:rPr>
          <w:rFonts w:ascii="Arial" w:eastAsia="Calibri" w:hAnsi="Arial" w:cs="Arial"/>
          <w:sz w:val="22"/>
          <w:szCs w:val="22"/>
        </w:rPr>
        <w:t>obras de infraestructura socia</w:t>
      </w:r>
      <w:r w:rsidR="000B597D">
        <w:rPr>
          <w:rFonts w:ascii="Arial" w:eastAsia="Calibri" w:hAnsi="Arial" w:cs="Arial"/>
          <w:sz w:val="22"/>
          <w:szCs w:val="22"/>
        </w:rPr>
        <w:t>l</w:t>
      </w:r>
      <w:r w:rsidR="00027E6B">
        <w:rPr>
          <w:rFonts w:ascii="Arial" w:eastAsia="Calibri" w:hAnsi="Arial" w:cs="Arial"/>
          <w:sz w:val="22"/>
          <w:szCs w:val="22"/>
        </w:rPr>
        <w:t>, se incluyen</w:t>
      </w:r>
      <w:r w:rsidR="00054BBB">
        <w:rPr>
          <w:rFonts w:ascii="Arial" w:eastAsia="Calibri" w:hAnsi="Arial" w:cs="Arial"/>
          <w:sz w:val="22"/>
          <w:szCs w:val="22"/>
        </w:rPr>
        <w:t xml:space="preserve"> bienes o servicios adicionales o ajenos a este tip</w:t>
      </w:r>
      <w:r w:rsidR="000244EC">
        <w:rPr>
          <w:rFonts w:ascii="Arial" w:eastAsia="Calibri" w:hAnsi="Arial" w:cs="Arial"/>
          <w:sz w:val="22"/>
          <w:szCs w:val="22"/>
        </w:rPr>
        <w:t>o de obras</w:t>
      </w:r>
      <w:r w:rsidR="00896E48" w:rsidRPr="008D5E13">
        <w:rPr>
          <w:rStyle w:val="Refdenotaalpie"/>
          <w:rFonts w:ascii="Arial" w:eastAsia="Calibri" w:hAnsi="Arial" w:cs="Arial"/>
          <w:sz w:val="22"/>
          <w:szCs w:val="22"/>
        </w:rPr>
        <w:footnoteReference w:id="6"/>
      </w:r>
      <w:r w:rsidR="00533FD1" w:rsidRPr="008D5E13">
        <w:rPr>
          <w:rFonts w:ascii="Arial" w:eastAsia="Calibri" w:hAnsi="Arial" w:cs="Arial"/>
          <w:sz w:val="22"/>
          <w:szCs w:val="22"/>
        </w:rPr>
        <w:t>.</w:t>
      </w:r>
      <w:r w:rsidR="00896E48" w:rsidRPr="008D5E13">
        <w:rPr>
          <w:rFonts w:ascii="Arial" w:eastAsia="Calibri" w:hAnsi="Arial" w:cs="Arial"/>
          <w:sz w:val="22"/>
          <w:szCs w:val="22"/>
        </w:rPr>
        <w:t xml:space="preserve"> Estos son </w:t>
      </w:r>
      <w:r w:rsidR="00896E48" w:rsidRPr="008D5E13">
        <w:rPr>
          <w:rFonts w:ascii="Arial" w:eastAsia="Calibri" w:hAnsi="Arial" w:cs="Arial"/>
          <w:sz w:val="22"/>
          <w:szCs w:val="22"/>
        </w:rPr>
        <w:lastRenderedPageBreak/>
        <w:t xml:space="preserve">definidos </w:t>
      </w:r>
      <w:r w:rsidR="008D5E13" w:rsidRPr="008D5E13">
        <w:rPr>
          <w:rFonts w:ascii="Arial" w:eastAsia="Calibri" w:hAnsi="Arial" w:cs="Arial"/>
          <w:sz w:val="22"/>
          <w:szCs w:val="22"/>
        </w:rPr>
        <w:t xml:space="preserve">por el parágrafo 2 de dicho artículo como «[…] </w:t>
      </w:r>
      <w:r w:rsidR="008D5E13" w:rsidRPr="002975CD">
        <w:rPr>
          <w:rFonts w:ascii="Arial" w:hAnsi="Arial" w:cs="Arial"/>
          <w:sz w:val="22"/>
          <w:szCs w:val="22"/>
        </w:rPr>
        <w:t xml:space="preserve">aquellas actividades que no están incluidas en la matriz de experiencia de los documentos tipo de infraestructura social aplicable, pero que están relacionadas con el contrato a ejecutar. Por ejemplo, en caso de que el proyecto de obra pública a ejecutar esté relacionado con infraestructura social, como es el sector educativo, </w:t>
      </w:r>
      <w:r w:rsidR="00342B25" w:rsidRPr="00342B25">
        <w:rPr>
          <w:rFonts w:ascii="Arial" w:hAnsi="Arial" w:cs="Arial"/>
          <w:sz w:val="22"/>
          <w:szCs w:val="22"/>
        </w:rPr>
        <w:t>pero,</w:t>
      </w:r>
      <w:r w:rsidR="008D5E13" w:rsidRPr="002975CD">
        <w:rPr>
          <w:rFonts w:ascii="Arial" w:hAnsi="Arial" w:cs="Arial"/>
          <w:sz w:val="22"/>
          <w:szCs w:val="22"/>
        </w:rPr>
        <w:t xml:space="preserve"> además, con proyectos de agua potable y saneamiento básico o con proyectos en la construcción de una vía, el servicio adicional serán las actividades de obra pública en infraestructura de agua potable y saneamiento básico o las actividades de obra pública de infraestructura de transporte». </w:t>
      </w:r>
    </w:p>
    <w:p w14:paraId="6A611976" w14:textId="72227747" w:rsidR="00273FBD" w:rsidRDefault="000244EC" w:rsidP="00151997">
      <w:pPr>
        <w:spacing w:after="120" w:line="276" w:lineRule="auto"/>
        <w:ind w:firstLine="708"/>
        <w:jc w:val="both"/>
        <w:rPr>
          <w:rFonts w:ascii="Arial" w:eastAsia="Calibri" w:hAnsi="Arial" w:cs="Arial"/>
          <w:sz w:val="22"/>
        </w:rPr>
      </w:pPr>
      <w:r>
        <w:rPr>
          <w:rFonts w:ascii="Arial" w:eastAsia="Calibri" w:hAnsi="Arial" w:cs="Arial"/>
          <w:sz w:val="22"/>
          <w:szCs w:val="22"/>
        </w:rPr>
        <w:t>La norma se encarga de establecer</w:t>
      </w:r>
      <w:r w:rsidRPr="008D5E13">
        <w:rPr>
          <w:rFonts w:ascii="Arial" w:eastAsia="Calibri" w:hAnsi="Arial" w:cs="Arial"/>
          <w:sz w:val="22"/>
          <w:szCs w:val="22"/>
        </w:rPr>
        <w:t xml:space="preserve"> unos parámetros que permiten la inclusión de</w:t>
      </w:r>
      <w:r>
        <w:rPr>
          <w:rFonts w:ascii="Arial" w:eastAsia="Calibri" w:hAnsi="Arial" w:cs="Arial"/>
          <w:sz w:val="22"/>
          <w:szCs w:val="22"/>
        </w:rPr>
        <w:t xml:space="preserve"> requisitos de experiencia para la evaluación de la idoneidad de los proponentes en relación con los</w:t>
      </w:r>
      <w:r w:rsidRPr="008D5E13">
        <w:rPr>
          <w:rFonts w:ascii="Arial" w:eastAsia="Calibri" w:hAnsi="Arial" w:cs="Arial"/>
          <w:sz w:val="22"/>
          <w:szCs w:val="22"/>
        </w:rPr>
        <w:t xml:space="preserve"> bienes y servicios adicionales a la obra pública de infraestructura social</w:t>
      </w:r>
      <w:r w:rsidR="00985625">
        <w:rPr>
          <w:rFonts w:ascii="Arial" w:eastAsia="Calibri" w:hAnsi="Arial" w:cs="Arial"/>
          <w:sz w:val="22"/>
          <w:szCs w:val="22"/>
        </w:rPr>
        <w:t xml:space="preserve">, que no cuentan con experiencia estandarizada. </w:t>
      </w:r>
      <w:r w:rsidR="001F3B40">
        <w:rPr>
          <w:rFonts w:ascii="Arial" w:eastAsia="Calibri" w:hAnsi="Arial" w:cs="Arial"/>
          <w:sz w:val="22"/>
        </w:rPr>
        <w:t xml:space="preserve">Aplicando </w:t>
      </w:r>
      <w:r w:rsidR="00533FD1">
        <w:rPr>
          <w:rFonts w:ascii="Arial" w:eastAsia="Calibri" w:hAnsi="Arial" w:cs="Arial"/>
          <w:sz w:val="22"/>
        </w:rPr>
        <w:t>es</w:t>
      </w:r>
      <w:r w:rsidR="001F3B40">
        <w:rPr>
          <w:rFonts w:ascii="Arial" w:eastAsia="Calibri" w:hAnsi="Arial" w:cs="Arial"/>
          <w:sz w:val="22"/>
        </w:rPr>
        <w:t>to</w:t>
      </w:r>
      <w:r w:rsidR="00533FD1">
        <w:rPr>
          <w:rFonts w:ascii="Arial" w:eastAsia="Calibri" w:hAnsi="Arial" w:cs="Arial"/>
          <w:sz w:val="22"/>
        </w:rPr>
        <w:t>s parámetros</w:t>
      </w:r>
      <w:r w:rsidR="00273FBD">
        <w:rPr>
          <w:rFonts w:ascii="Arial" w:eastAsia="Calibri" w:hAnsi="Arial" w:cs="Arial"/>
          <w:sz w:val="22"/>
        </w:rPr>
        <w:t xml:space="preserve"> la entidad </w:t>
      </w:r>
      <w:r w:rsidR="00533FD1">
        <w:rPr>
          <w:rFonts w:ascii="Arial" w:eastAsia="Calibri" w:hAnsi="Arial" w:cs="Arial"/>
          <w:sz w:val="22"/>
        </w:rPr>
        <w:t xml:space="preserve">estatal </w:t>
      </w:r>
      <w:r w:rsidR="00273FBD">
        <w:rPr>
          <w:rFonts w:ascii="Arial" w:eastAsia="Calibri" w:hAnsi="Arial" w:cs="Arial"/>
          <w:sz w:val="22"/>
        </w:rPr>
        <w:t xml:space="preserve">puede solicitar experiencia adicional para evaluar la idoneidad del contratista en procesos de contratación que incluyen bienes o servicios adicionales </w:t>
      </w:r>
      <w:r w:rsidR="001C4743">
        <w:rPr>
          <w:rFonts w:ascii="Arial" w:eastAsia="Calibri" w:hAnsi="Arial" w:cs="Arial"/>
          <w:sz w:val="22"/>
        </w:rPr>
        <w:t>al proceso que pretende adelantarse</w:t>
      </w:r>
      <w:r w:rsidR="00273FBD">
        <w:rPr>
          <w:rFonts w:ascii="Arial" w:eastAsia="Calibri" w:hAnsi="Arial" w:cs="Arial"/>
          <w:sz w:val="22"/>
        </w:rPr>
        <w:t xml:space="preserve">. </w:t>
      </w:r>
    </w:p>
    <w:p w14:paraId="11F99D85" w14:textId="1A45720E" w:rsidR="00E51B9F" w:rsidRDefault="00E51B9F" w:rsidP="00151997">
      <w:pPr>
        <w:spacing w:after="120" w:line="276" w:lineRule="auto"/>
        <w:ind w:firstLine="708"/>
        <w:jc w:val="both"/>
        <w:rPr>
          <w:rFonts w:ascii="Arial" w:eastAsia="Calibri" w:hAnsi="Arial" w:cs="Arial"/>
          <w:sz w:val="22"/>
        </w:rPr>
      </w:pPr>
      <w:r>
        <w:rPr>
          <w:rFonts w:ascii="Arial" w:eastAsia="Calibri" w:hAnsi="Arial" w:cs="Arial"/>
          <w:sz w:val="22"/>
        </w:rPr>
        <w:t xml:space="preserve">Sin perjuicio de lo anterior, el parágrafo 1 del artículo </w:t>
      </w:r>
      <w:r w:rsidR="00B76CD3">
        <w:rPr>
          <w:rFonts w:ascii="Arial" w:eastAsia="Calibri" w:hAnsi="Arial" w:cs="Arial"/>
          <w:sz w:val="22"/>
        </w:rPr>
        <w:t xml:space="preserve">4 de la mencionada resolución establece una regla </w:t>
      </w:r>
      <w:r w:rsidR="00722745">
        <w:rPr>
          <w:rFonts w:ascii="Arial" w:eastAsia="Calibri" w:hAnsi="Arial" w:cs="Arial"/>
          <w:sz w:val="22"/>
        </w:rPr>
        <w:t xml:space="preserve">especial para los eventos en los que </w:t>
      </w:r>
      <w:r w:rsidR="00D6759A">
        <w:rPr>
          <w:rFonts w:ascii="Arial" w:eastAsia="Calibri" w:hAnsi="Arial" w:cs="Arial"/>
          <w:sz w:val="22"/>
        </w:rPr>
        <w:t xml:space="preserve">el componente adicional a la obra pública de infraestructura de transporte </w:t>
      </w:r>
      <w:r w:rsidR="00E42D50">
        <w:rPr>
          <w:rFonts w:ascii="Arial" w:eastAsia="Calibri" w:hAnsi="Arial" w:cs="Arial"/>
          <w:sz w:val="22"/>
        </w:rPr>
        <w:t xml:space="preserve">lo constituyen actividades cobijadas por otros documentos tipo expedidos por la Agencia Nacional de Contratación Pública. </w:t>
      </w:r>
      <w:r w:rsidR="00842F23">
        <w:rPr>
          <w:rFonts w:ascii="Arial" w:eastAsia="Calibri" w:hAnsi="Arial" w:cs="Arial"/>
          <w:sz w:val="22"/>
        </w:rPr>
        <w:t xml:space="preserve">Para estos </w:t>
      </w:r>
      <w:r w:rsidR="00842F23">
        <w:rPr>
          <w:rFonts w:ascii="Arial" w:eastAsia="Calibri" w:hAnsi="Arial" w:cs="Arial"/>
          <w:sz w:val="22"/>
        </w:rPr>
        <w:lastRenderedPageBreak/>
        <w:t xml:space="preserve">efectos se establece </w:t>
      </w:r>
      <w:r w:rsidR="00E212F0">
        <w:rPr>
          <w:rFonts w:ascii="Arial" w:eastAsia="Calibri" w:hAnsi="Arial" w:cs="Arial"/>
          <w:sz w:val="22"/>
        </w:rPr>
        <w:t>que «</w:t>
      </w:r>
      <w:r w:rsidR="00842F23">
        <w:rPr>
          <w:rFonts w:ascii="Arial" w:eastAsia="Calibri" w:hAnsi="Arial" w:cs="Arial"/>
          <w:sz w:val="22"/>
        </w:rPr>
        <w:t>[…]</w:t>
      </w:r>
      <w:r>
        <w:rPr>
          <w:rFonts w:ascii="Arial" w:eastAsia="Calibri" w:hAnsi="Arial" w:cs="Arial"/>
          <w:sz w:val="22"/>
        </w:rPr>
        <w:t xml:space="preserve"> </w:t>
      </w:r>
      <w:r w:rsidR="001221FD" w:rsidRPr="001221FD">
        <w:rPr>
          <w:rFonts w:ascii="Arial" w:eastAsia="Calibri" w:hAnsi="Arial" w:cs="Arial"/>
          <w:sz w:val="22"/>
        </w:rPr>
        <w:t>la entidad estatal podrá aplicar las reglas de combinación de experiencia previstas en el numeral 3.5.1 del documento base</w:t>
      </w:r>
      <w:r w:rsidR="00842F23">
        <w:rPr>
          <w:rFonts w:ascii="Arial" w:eastAsia="Calibri" w:hAnsi="Arial" w:cs="Arial"/>
          <w:sz w:val="22"/>
        </w:rPr>
        <w:t>»</w:t>
      </w:r>
      <w:r w:rsidR="00E212F0">
        <w:rPr>
          <w:rFonts w:ascii="Arial" w:eastAsia="Calibri" w:hAnsi="Arial" w:cs="Arial"/>
          <w:sz w:val="22"/>
        </w:rPr>
        <w:t>.</w:t>
      </w:r>
    </w:p>
    <w:p w14:paraId="7A335C23" w14:textId="11D700BE" w:rsidR="00392856" w:rsidRPr="00E137DC" w:rsidRDefault="00392856" w:rsidP="00392856">
      <w:pPr>
        <w:spacing w:before="120" w:line="276" w:lineRule="auto"/>
        <w:ind w:firstLine="709"/>
        <w:jc w:val="both"/>
        <w:rPr>
          <w:rFonts w:ascii="Arial" w:hAnsi="Arial" w:cs="Arial"/>
          <w:sz w:val="22"/>
        </w:rPr>
      </w:pPr>
      <w:r w:rsidRPr="00E137DC">
        <w:rPr>
          <w:rFonts w:ascii="Arial" w:hAnsi="Arial" w:cs="Arial"/>
          <w:sz w:val="22"/>
        </w:rPr>
        <w:t xml:space="preserve">En armonía con lo anterior, el literal A </w:t>
      </w:r>
      <w:r>
        <w:rPr>
          <w:rFonts w:ascii="Arial" w:hAnsi="Arial" w:cs="Arial"/>
          <w:sz w:val="22"/>
        </w:rPr>
        <w:t xml:space="preserve">del </w:t>
      </w:r>
      <w:r w:rsidRPr="00E137DC">
        <w:rPr>
          <w:rFonts w:ascii="Arial" w:hAnsi="Arial" w:cs="Arial"/>
          <w:sz w:val="22"/>
        </w:rPr>
        <w:t xml:space="preserve">numeral 3.5.1. </w:t>
      </w:r>
      <w:r>
        <w:rPr>
          <w:rFonts w:ascii="Arial" w:hAnsi="Arial" w:cs="Arial"/>
          <w:sz w:val="22"/>
        </w:rPr>
        <w:t>«</w:t>
      </w:r>
      <w:r w:rsidRPr="00E137DC">
        <w:rPr>
          <w:rFonts w:ascii="Arial" w:hAnsi="Arial" w:cs="Arial"/>
          <w:sz w:val="22"/>
        </w:rPr>
        <w:t xml:space="preserve">CARACTERÍSTICAS DE LOS CONTRATOS PRESENTADOS PARA ACREDITAR LA EXPERIENCIA EXIGIDA» del </w:t>
      </w:r>
      <w:r>
        <w:rPr>
          <w:rFonts w:ascii="Arial" w:hAnsi="Arial" w:cs="Arial"/>
          <w:sz w:val="22"/>
        </w:rPr>
        <w:t>D</w:t>
      </w:r>
      <w:r w:rsidRPr="00E137DC">
        <w:rPr>
          <w:rFonts w:ascii="Arial" w:hAnsi="Arial" w:cs="Arial"/>
          <w:sz w:val="22"/>
        </w:rPr>
        <w:t xml:space="preserve">ocumento </w:t>
      </w:r>
      <w:r>
        <w:rPr>
          <w:rFonts w:ascii="Arial" w:hAnsi="Arial" w:cs="Arial"/>
          <w:sz w:val="22"/>
        </w:rPr>
        <w:t>B</w:t>
      </w:r>
      <w:r w:rsidRPr="00E137DC">
        <w:rPr>
          <w:rFonts w:ascii="Arial" w:hAnsi="Arial" w:cs="Arial"/>
          <w:sz w:val="22"/>
        </w:rPr>
        <w:t>ase de licitación de obra pública de infraestructura social, establece las reglas que deben tener en cuenta las enti</w:t>
      </w:r>
      <w:r>
        <w:rPr>
          <w:rFonts w:ascii="Arial" w:hAnsi="Arial" w:cs="Arial"/>
          <w:sz w:val="22"/>
        </w:rPr>
        <w:t>d</w:t>
      </w:r>
      <w:r w:rsidRPr="00E137DC">
        <w:rPr>
          <w:rFonts w:ascii="Arial" w:hAnsi="Arial" w:cs="Arial"/>
          <w:sz w:val="22"/>
        </w:rPr>
        <w:t>ades estatales y los particulares en caso de que se soliciten combinaciones de diferentes actividades a contratar de una misma o de diferentes matrices de experiencia:</w:t>
      </w:r>
    </w:p>
    <w:p w14:paraId="1F62B602" w14:textId="77777777" w:rsidR="00392856" w:rsidRPr="00E137DC" w:rsidRDefault="00392856" w:rsidP="00392856">
      <w:pPr>
        <w:spacing w:line="276" w:lineRule="auto"/>
        <w:jc w:val="both"/>
        <w:rPr>
          <w:rFonts w:ascii="Arial" w:hAnsi="Arial" w:cs="Arial"/>
          <w:sz w:val="22"/>
        </w:rPr>
      </w:pPr>
    </w:p>
    <w:p w14:paraId="28ED37FB" w14:textId="77777777" w:rsidR="00392856" w:rsidRPr="00E137DC" w:rsidRDefault="00392856" w:rsidP="00392856">
      <w:pPr>
        <w:ind w:left="709" w:right="709"/>
        <w:jc w:val="both"/>
        <w:rPr>
          <w:rFonts w:ascii="Arial" w:hAnsi="Arial" w:cs="Arial"/>
          <w:sz w:val="21"/>
          <w:szCs w:val="21"/>
        </w:rPr>
      </w:pPr>
      <w:r w:rsidRPr="00E137DC">
        <w:rPr>
          <w:rFonts w:ascii="Arial" w:hAnsi="Arial" w:cs="Arial"/>
          <w:sz w:val="21"/>
          <w:szCs w:val="21"/>
        </w:rPr>
        <w:t>i) [En el caso que eventualmente se soliciten combinaciones de diferentes actividades a contratar de una misma o de diferentes matrices de experiencia, la Entidad Estatal en esta sección identificará y definirá la actividad principal o de mayor relevancia, y la actividad secundaria o accesoria a la principal, de acuerdo con las características del proyecto en particular. La Entidad podrá analizar la relevancia en función del valor de las actividades en el Presupuesto Oficial o por la complejidad técnica, para lo cual establecerá:</w:t>
      </w:r>
    </w:p>
    <w:p w14:paraId="2F895613" w14:textId="77777777" w:rsidR="00392856" w:rsidRPr="00E137DC" w:rsidRDefault="00392856" w:rsidP="00392856">
      <w:pPr>
        <w:ind w:left="709" w:right="709"/>
        <w:jc w:val="both"/>
        <w:rPr>
          <w:rFonts w:ascii="Arial" w:hAnsi="Arial" w:cs="Arial"/>
          <w:sz w:val="21"/>
          <w:szCs w:val="21"/>
        </w:rPr>
      </w:pPr>
      <w:r w:rsidRPr="00E137DC">
        <w:rPr>
          <w:rFonts w:ascii="Arial" w:hAnsi="Arial" w:cs="Arial"/>
          <w:sz w:val="21"/>
          <w:szCs w:val="21"/>
        </w:rPr>
        <w:tab/>
      </w:r>
      <w:r w:rsidRPr="00E137DC">
        <w:rPr>
          <w:rFonts w:ascii="Arial" w:hAnsi="Arial" w:cs="Arial"/>
          <w:sz w:val="21"/>
          <w:szCs w:val="21"/>
        </w:rPr>
        <w:tab/>
      </w:r>
    </w:p>
    <w:p w14:paraId="42B7F217" w14:textId="77777777" w:rsidR="00392856" w:rsidRPr="00E137DC" w:rsidRDefault="00392856" w:rsidP="00392856">
      <w:pPr>
        <w:ind w:left="709" w:right="709"/>
        <w:jc w:val="both"/>
        <w:rPr>
          <w:rFonts w:ascii="Arial" w:hAnsi="Arial" w:cs="Arial"/>
          <w:sz w:val="21"/>
          <w:szCs w:val="21"/>
        </w:rPr>
      </w:pPr>
      <w:r w:rsidRPr="00E137DC">
        <w:rPr>
          <w:rFonts w:ascii="Arial" w:hAnsi="Arial" w:cs="Arial"/>
          <w:b/>
          <w:bCs/>
          <w:sz w:val="21"/>
          <w:szCs w:val="21"/>
        </w:rPr>
        <w:t>Actividad Principal:</w:t>
      </w:r>
      <w:r w:rsidRPr="00E137DC">
        <w:rPr>
          <w:rFonts w:ascii="Arial" w:hAnsi="Arial" w:cs="Arial"/>
          <w:sz w:val="21"/>
          <w:szCs w:val="21"/>
        </w:rPr>
        <w:t xml:space="preserve"> [La Entidad Estatal identificará y definirá la actividad a contratar principal aplicable en el Proceso de Contratación de acuerdo con la respectiva matriz de experiencia. Para esta actividad principal se solicitará la experiencia general y específica de la respectiva actividad a contratar de mayor relevancia.]</w:t>
      </w:r>
    </w:p>
    <w:p w14:paraId="25CF385F" w14:textId="77777777" w:rsidR="00392856" w:rsidRPr="00E137DC" w:rsidRDefault="00392856" w:rsidP="00392856">
      <w:pPr>
        <w:ind w:left="709" w:right="709"/>
        <w:jc w:val="both"/>
        <w:rPr>
          <w:rFonts w:ascii="Arial" w:hAnsi="Arial" w:cs="Arial"/>
          <w:sz w:val="21"/>
          <w:szCs w:val="21"/>
        </w:rPr>
      </w:pPr>
    </w:p>
    <w:p w14:paraId="19B24A17" w14:textId="77777777" w:rsidR="00392856" w:rsidRPr="00E137DC" w:rsidRDefault="00392856" w:rsidP="00392856">
      <w:pPr>
        <w:ind w:left="709" w:right="709"/>
        <w:jc w:val="both"/>
        <w:rPr>
          <w:rFonts w:ascii="Arial" w:hAnsi="Arial" w:cs="Arial"/>
          <w:sz w:val="21"/>
          <w:szCs w:val="21"/>
        </w:rPr>
      </w:pPr>
      <w:r w:rsidRPr="00E137DC">
        <w:rPr>
          <w:rFonts w:ascii="Arial" w:hAnsi="Arial" w:cs="Arial"/>
          <w:sz w:val="21"/>
          <w:szCs w:val="21"/>
        </w:rPr>
        <w:t xml:space="preserve">La Entidad deberá establecer como actividad principal alguna de las “actividades a contratar” definidas en la matriz de experiencia de infraestructura social aplicable (sector educativo, salud o cultura, recreación y deporte). </w:t>
      </w:r>
    </w:p>
    <w:p w14:paraId="67D102F5" w14:textId="77777777" w:rsidR="00392856" w:rsidRPr="00E137DC" w:rsidRDefault="00392856" w:rsidP="00392856">
      <w:pPr>
        <w:ind w:left="709" w:right="709"/>
        <w:jc w:val="both"/>
        <w:rPr>
          <w:rFonts w:ascii="Arial" w:hAnsi="Arial" w:cs="Arial"/>
          <w:sz w:val="21"/>
          <w:szCs w:val="21"/>
        </w:rPr>
      </w:pPr>
    </w:p>
    <w:p w14:paraId="586B7075" w14:textId="77777777" w:rsidR="00392856" w:rsidRPr="00E137DC" w:rsidRDefault="00392856" w:rsidP="00392856">
      <w:pPr>
        <w:ind w:left="709" w:right="709"/>
        <w:jc w:val="both"/>
        <w:rPr>
          <w:rFonts w:ascii="Arial" w:hAnsi="Arial" w:cs="Arial"/>
          <w:sz w:val="21"/>
          <w:szCs w:val="21"/>
        </w:rPr>
      </w:pPr>
      <w:r w:rsidRPr="00E137DC">
        <w:rPr>
          <w:rFonts w:ascii="Arial" w:hAnsi="Arial" w:cs="Arial"/>
          <w:b/>
          <w:bCs/>
          <w:sz w:val="21"/>
          <w:szCs w:val="21"/>
        </w:rPr>
        <w:t>Actividad Secundaria (1) :</w:t>
      </w:r>
      <w:r w:rsidRPr="00E137DC">
        <w:rPr>
          <w:rFonts w:ascii="Arial" w:hAnsi="Arial" w:cs="Arial"/>
          <w:sz w:val="21"/>
          <w:szCs w:val="21"/>
        </w:rPr>
        <w:t xml:space="preserve"> [La Entidad Estatal definirá la actividad secundaria o accesoria aplicable en el Proceso de Contratación de acuerdo con la matriz de experiencia aplicable, ya sea cuando: i) en un mismo proyecto se incluyen actividades definidas en una misma matriz de experiencia de infraestructura social, o </w:t>
      </w:r>
      <w:proofErr w:type="spellStart"/>
      <w:r w:rsidRPr="00E137DC">
        <w:rPr>
          <w:rFonts w:ascii="Arial" w:hAnsi="Arial" w:cs="Arial"/>
          <w:sz w:val="21"/>
          <w:szCs w:val="21"/>
        </w:rPr>
        <w:t>ii</w:t>
      </w:r>
      <w:proofErr w:type="spellEnd"/>
      <w:r w:rsidRPr="00E137DC">
        <w:rPr>
          <w:rFonts w:ascii="Arial" w:hAnsi="Arial" w:cs="Arial"/>
          <w:sz w:val="21"/>
          <w:szCs w:val="21"/>
        </w:rPr>
        <w:t xml:space="preserve">) cuando en un mismo proyecto se incluyen actividades de infraestructura educativa, salud o cultura, recreación y deporte, o, </w:t>
      </w:r>
      <w:proofErr w:type="spellStart"/>
      <w:r w:rsidRPr="00E137DC">
        <w:rPr>
          <w:rFonts w:ascii="Arial" w:hAnsi="Arial" w:cs="Arial"/>
          <w:sz w:val="21"/>
          <w:szCs w:val="21"/>
        </w:rPr>
        <w:t>iii</w:t>
      </w:r>
      <w:proofErr w:type="spellEnd"/>
      <w:r w:rsidRPr="00E137DC">
        <w:rPr>
          <w:rFonts w:ascii="Arial" w:hAnsi="Arial" w:cs="Arial"/>
          <w:sz w:val="21"/>
          <w:szCs w:val="21"/>
        </w:rPr>
        <w:t xml:space="preserve">) cuando en un Proceso de Contratación aplican matrices de experiencia de otros documentos tipo como, por ejemplo, del sector de obra pública de infraestructura de transporte. </w:t>
      </w:r>
    </w:p>
    <w:p w14:paraId="2CC61138" w14:textId="77777777" w:rsidR="00392856" w:rsidRPr="00E137DC" w:rsidRDefault="00392856" w:rsidP="00392856">
      <w:pPr>
        <w:ind w:left="709" w:right="709"/>
        <w:jc w:val="both"/>
        <w:rPr>
          <w:rFonts w:ascii="Arial" w:hAnsi="Arial" w:cs="Arial"/>
          <w:sz w:val="21"/>
          <w:szCs w:val="21"/>
        </w:rPr>
      </w:pPr>
    </w:p>
    <w:p w14:paraId="458F6D95" w14:textId="77777777" w:rsidR="00392856" w:rsidRPr="00E137DC" w:rsidRDefault="00392856" w:rsidP="00392856">
      <w:pPr>
        <w:ind w:left="709" w:right="709"/>
        <w:jc w:val="both"/>
        <w:rPr>
          <w:rFonts w:ascii="Arial" w:hAnsi="Arial" w:cs="Arial"/>
          <w:sz w:val="21"/>
          <w:szCs w:val="21"/>
        </w:rPr>
      </w:pPr>
      <w:r w:rsidRPr="00E137DC">
        <w:rPr>
          <w:rFonts w:ascii="Arial" w:hAnsi="Arial" w:cs="Arial"/>
          <w:b/>
          <w:bCs/>
          <w:sz w:val="21"/>
          <w:szCs w:val="21"/>
        </w:rPr>
        <w:t>Actividad Secundaria (2):</w:t>
      </w:r>
      <w:r w:rsidRPr="00E137DC">
        <w:rPr>
          <w:rFonts w:ascii="Arial" w:hAnsi="Arial" w:cs="Arial"/>
          <w:sz w:val="21"/>
          <w:szCs w:val="21"/>
        </w:rPr>
        <w:t xml:space="preserve"> [La Entidad Estatal diligenciará la experiencia aplicable a esta actividad secundaria de acuerdo con los lineamientos previstos en el párrafo anterior, en caso de que aplique]</w:t>
      </w:r>
    </w:p>
    <w:p w14:paraId="2A6BB79C" w14:textId="77777777" w:rsidR="00392856" w:rsidRPr="00E137DC" w:rsidRDefault="00392856" w:rsidP="00392856">
      <w:pPr>
        <w:spacing w:line="276" w:lineRule="auto"/>
        <w:jc w:val="both"/>
        <w:rPr>
          <w:rFonts w:ascii="Arial" w:hAnsi="Arial" w:cs="Arial"/>
          <w:sz w:val="22"/>
        </w:rPr>
      </w:pPr>
    </w:p>
    <w:p w14:paraId="20324B95" w14:textId="77777777" w:rsidR="00BD477F" w:rsidRDefault="00392856" w:rsidP="002975CD">
      <w:pPr>
        <w:spacing w:after="120" w:line="276" w:lineRule="auto"/>
        <w:ind w:firstLine="709"/>
        <w:jc w:val="both"/>
        <w:rPr>
          <w:rFonts w:ascii="Arial" w:hAnsi="Arial" w:cs="Arial"/>
          <w:sz w:val="22"/>
        </w:rPr>
      </w:pPr>
      <w:r w:rsidRPr="00E137DC">
        <w:rPr>
          <w:rFonts w:ascii="Arial" w:hAnsi="Arial" w:cs="Arial"/>
          <w:sz w:val="22"/>
        </w:rPr>
        <w:t xml:space="preserve">Una vez definida la actividad principal y secundaria, la entidad estatal debe determinar los requisitos de experiencia exigibles de acuerdo con la matriz de experiencia </w:t>
      </w:r>
      <w:r w:rsidRPr="00E137DC">
        <w:rPr>
          <w:rFonts w:ascii="Arial" w:hAnsi="Arial" w:cs="Arial"/>
          <w:sz w:val="22"/>
        </w:rPr>
        <w:lastRenderedPageBreak/>
        <w:t>aplicable, de alguna de la siguientes formas: i) no solicitando experiencia para la actividad secundaria, sino únicamente para la principal, siempre que esta se trat</w:t>
      </w:r>
      <w:r>
        <w:rPr>
          <w:rFonts w:ascii="Arial" w:hAnsi="Arial" w:cs="Arial"/>
          <w:sz w:val="22"/>
        </w:rPr>
        <w:t>e</w:t>
      </w:r>
      <w:r w:rsidRPr="00E137DC">
        <w:rPr>
          <w:rFonts w:ascii="Arial" w:hAnsi="Arial" w:cs="Arial"/>
          <w:sz w:val="22"/>
        </w:rPr>
        <w:t xml:space="preserve"> de una actividad definida en las matrices de experiencia de los documentos tipo de infraestructura social, o </w:t>
      </w:r>
      <w:proofErr w:type="spellStart"/>
      <w:r w:rsidRPr="00E137DC">
        <w:rPr>
          <w:rFonts w:ascii="Arial" w:hAnsi="Arial" w:cs="Arial"/>
          <w:sz w:val="22"/>
        </w:rPr>
        <w:t>ii</w:t>
      </w:r>
      <w:proofErr w:type="spellEnd"/>
      <w:r w:rsidRPr="00E137DC">
        <w:rPr>
          <w:rFonts w:ascii="Arial" w:hAnsi="Arial" w:cs="Arial"/>
          <w:sz w:val="22"/>
        </w:rPr>
        <w:t>) solicitando experiencia general y específica de la actividad principal, y requiriendo la experiencia específica correspondiente a la respectiva matriz de experiencia para el caso de las actividades secundarias –salvo que la matriz aplicable no contemple experiencia específica para determinada actividad secundaria, caso en el cual se podrá solicitar la experiencia general–.</w:t>
      </w:r>
      <w:r>
        <w:rPr>
          <w:rFonts w:ascii="Arial" w:hAnsi="Arial" w:cs="Arial"/>
          <w:sz w:val="22"/>
        </w:rPr>
        <w:t xml:space="preserve"> La experiencia exigible para las actividades principal y secundaria, debe ser definida en función de los rangos de cuantías aplicables al respectivo proceso de contratación. En todo caso, la entidad contratante no puede incluir más de 2 combinaciones de experiencia adicionales a la prevista para la actividad principal.</w:t>
      </w:r>
    </w:p>
    <w:p w14:paraId="65BA3907" w14:textId="0D8B3305" w:rsidR="001F267A" w:rsidRDefault="00392856" w:rsidP="002975CD">
      <w:pPr>
        <w:spacing w:after="120" w:line="276" w:lineRule="auto"/>
        <w:ind w:firstLine="709"/>
        <w:jc w:val="both"/>
        <w:rPr>
          <w:rFonts w:ascii="Arial" w:hAnsi="Arial" w:cs="Arial"/>
          <w:sz w:val="22"/>
        </w:rPr>
      </w:pPr>
      <w:r>
        <w:rPr>
          <w:rFonts w:ascii="Arial" w:hAnsi="Arial" w:cs="Arial"/>
          <w:sz w:val="22"/>
        </w:rPr>
        <w:t xml:space="preserve"> </w:t>
      </w:r>
      <w:r w:rsidR="000D230B">
        <w:rPr>
          <w:rFonts w:ascii="Arial" w:hAnsi="Arial" w:cs="Arial"/>
          <w:sz w:val="22"/>
        </w:rPr>
        <w:t>De acuerdo con esto,</w:t>
      </w:r>
      <w:r w:rsidR="00A42B2F">
        <w:rPr>
          <w:rFonts w:ascii="Arial" w:hAnsi="Arial" w:cs="Arial"/>
          <w:sz w:val="22"/>
        </w:rPr>
        <w:t xml:space="preserve"> la hipótesis </w:t>
      </w:r>
      <w:r w:rsidR="00266C67">
        <w:rPr>
          <w:rFonts w:ascii="Arial" w:hAnsi="Arial" w:cs="Arial"/>
          <w:sz w:val="22"/>
        </w:rPr>
        <w:t xml:space="preserve">establecida en el tercer interrogante, en el marco de la cual se pretende </w:t>
      </w:r>
      <w:r w:rsidR="002400DC">
        <w:rPr>
          <w:rFonts w:ascii="Arial" w:hAnsi="Arial" w:cs="Arial"/>
          <w:sz w:val="22"/>
        </w:rPr>
        <w:t xml:space="preserve">adelantar un proceso de licitación de obra pública de infraestructura </w:t>
      </w:r>
      <w:r w:rsidR="00485C55">
        <w:rPr>
          <w:rFonts w:ascii="Arial" w:hAnsi="Arial" w:cs="Arial"/>
          <w:sz w:val="22"/>
        </w:rPr>
        <w:t xml:space="preserve">social que incluye dentro de su alcance obras de </w:t>
      </w:r>
      <w:r w:rsidR="00C21D54">
        <w:rPr>
          <w:rFonts w:ascii="Arial" w:hAnsi="Arial" w:cs="Arial"/>
          <w:sz w:val="22"/>
        </w:rPr>
        <w:t>mejoramiento de vías, es un supuesto</w:t>
      </w:r>
      <w:r w:rsidR="00166D35">
        <w:rPr>
          <w:rFonts w:ascii="Arial" w:hAnsi="Arial" w:cs="Arial"/>
          <w:sz w:val="22"/>
        </w:rPr>
        <w:t xml:space="preserve"> en el cual debe aplicarse lo dispuestos en el parágrafo 1 del artículo 4 de la Resolución 219 de 2021</w:t>
      </w:r>
      <w:r w:rsidR="00EA4538">
        <w:rPr>
          <w:rFonts w:ascii="Arial" w:hAnsi="Arial" w:cs="Arial"/>
          <w:sz w:val="22"/>
        </w:rPr>
        <w:t xml:space="preserve">, y, en consecuencia, las reglas de combinación de experiencia establecidas en el </w:t>
      </w:r>
      <w:r w:rsidR="005B5258">
        <w:rPr>
          <w:rFonts w:ascii="Arial" w:hAnsi="Arial" w:cs="Arial"/>
          <w:sz w:val="22"/>
        </w:rPr>
        <w:t xml:space="preserve">numeral 3.5.1. Esto </w:t>
      </w:r>
      <w:r w:rsidR="00C54873">
        <w:rPr>
          <w:rFonts w:ascii="Arial" w:hAnsi="Arial" w:cs="Arial"/>
          <w:sz w:val="22"/>
        </w:rPr>
        <w:t xml:space="preserve">comoquiera </w:t>
      </w:r>
      <w:r w:rsidR="005B5258">
        <w:rPr>
          <w:rFonts w:ascii="Arial" w:hAnsi="Arial" w:cs="Arial"/>
          <w:sz w:val="22"/>
        </w:rPr>
        <w:t>que las obras</w:t>
      </w:r>
      <w:r w:rsidR="004B75B5">
        <w:rPr>
          <w:rFonts w:ascii="Arial" w:hAnsi="Arial" w:cs="Arial"/>
          <w:sz w:val="22"/>
        </w:rPr>
        <w:t xml:space="preserve"> de</w:t>
      </w:r>
      <w:r w:rsidR="005B5258">
        <w:rPr>
          <w:rFonts w:ascii="Arial" w:hAnsi="Arial" w:cs="Arial"/>
          <w:sz w:val="22"/>
        </w:rPr>
        <w:t xml:space="preserve"> infraestructura de transporte</w:t>
      </w:r>
      <w:r w:rsidR="004B75B5">
        <w:rPr>
          <w:rFonts w:ascii="Arial" w:hAnsi="Arial" w:cs="Arial"/>
          <w:sz w:val="22"/>
        </w:rPr>
        <w:t xml:space="preserve"> se encuentran cobijad</w:t>
      </w:r>
      <w:r w:rsidR="00C54873">
        <w:rPr>
          <w:rFonts w:ascii="Arial" w:hAnsi="Arial" w:cs="Arial"/>
          <w:sz w:val="22"/>
        </w:rPr>
        <w:t>a</w:t>
      </w:r>
      <w:r w:rsidR="004B75B5">
        <w:rPr>
          <w:rFonts w:ascii="Arial" w:hAnsi="Arial" w:cs="Arial"/>
          <w:sz w:val="22"/>
        </w:rPr>
        <w:t xml:space="preserve">s por los documentos tipo adoptados </w:t>
      </w:r>
      <w:r w:rsidR="001A5808">
        <w:rPr>
          <w:rFonts w:ascii="Arial" w:hAnsi="Arial" w:cs="Arial"/>
          <w:sz w:val="22"/>
        </w:rPr>
        <w:t xml:space="preserve">mediante </w:t>
      </w:r>
      <w:r w:rsidR="004B75B5">
        <w:rPr>
          <w:rFonts w:ascii="Arial" w:hAnsi="Arial" w:cs="Arial"/>
          <w:sz w:val="22"/>
        </w:rPr>
        <w:t xml:space="preserve">las resoluciones </w:t>
      </w:r>
      <w:r w:rsidR="001F267A">
        <w:rPr>
          <w:rFonts w:ascii="Arial" w:hAnsi="Arial" w:cs="Arial"/>
          <w:sz w:val="22"/>
        </w:rPr>
        <w:t xml:space="preserve">094, </w:t>
      </w:r>
      <w:r w:rsidR="004B75B5">
        <w:rPr>
          <w:rFonts w:ascii="Arial" w:hAnsi="Arial" w:cs="Arial"/>
          <w:sz w:val="22"/>
        </w:rPr>
        <w:t>240 de 2020</w:t>
      </w:r>
      <w:r w:rsidR="001F267A">
        <w:rPr>
          <w:rFonts w:ascii="Arial" w:hAnsi="Arial" w:cs="Arial"/>
          <w:sz w:val="22"/>
        </w:rPr>
        <w:t xml:space="preserve"> y</w:t>
      </w:r>
      <w:r w:rsidR="004B75B5">
        <w:rPr>
          <w:rFonts w:ascii="Arial" w:hAnsi="Arial" w:cs="Arial"/>
          <w:sz w:val="22"/>
        </w:rPr>
        <w:t xml:space="preserve"> </w:t>
      </w:r>
      <w:r w:rsidR="001F267A">
        <w:rPr>
          <w:rFonts w:ascii="Arial" w:hAnsi="Arial" w:cs="Arial"/>
          <w:sz w:val="22"/>
        </w:rPr>
        <w:t xml:space="preserve">241 de 2020, expedidas por esta Agencia. </w:t>
      </w:r>
    </w:p>
    <w:p w14:paraId="36A8ECEF" w14:textId="650D5B23" w:rsidR="000B2EBA" w:rsidRDefault="00274AE5" w:rsidP="00C7698D">
      <w:pPr>
        <w:spacing w:line="276" w:lineRule="auto"/>
        <w:ind w:firstLine="709"/>
        <w:jc w:val="both"/>
        <w:rPr>
          <w:rFonts w:ascii="Arial" w:hAnsi="Arial" w:cs="Arial"/>
          <w:sz w:val="22"/>
        </w:rPr>
      </w:pPr>
      <w:r>
        <w:rPr>
          <w:rFonts w:ascii="Arial" w:hAnsi="Arial" w:cs="Arial"/>
          <w:sz w:val="22"/>
        </w:rPr>
        <w:t>Ahora bien,</w:t>
      </w:r>
      <w:r w:rsidR="00C21D54">
        <w:rPr>
          <w:rFonts w:ascii="Arial" w:hAnsi="Arial" w:cs="Arial"/>
          <w:sz w:val="22"/>
        </w:rPr>
        <w:t xml:space="preserve"> </w:t>
      </w:r>
      <w:r>
        <w:rPr>
          <w:rFonts w:ascii="Arial" w:hAnsi="Arial" w:cs="Arial"/>
          <w:sz w:val="22"/>
        </w:rPr>
        <w:t xml:space="preserve">la regla del literal I del numeral 3.5.2 </w:t>
      </w:r>
      <w:r w:rsidR="00AC1DF1">
        <w:rPr>
          <w:rFonts w:ascii="Arial" w:hAnsi="Arial" w:cs="Arial"/>
          <w:sz w:val="22"/>
        </w:rPr>
        <w:t xml:space="preserve">también </w:t>
      </w:r>
      <w:r w:rsidR="003C28B6">
        <w:rPr>
          <w:rFonts w:ascii="Arial" w:hAnsi="Arial" w:cs="Arial"/>
          <w:sz w:val="22"/>
        </w:rPr>
        <w:t>es</w:t>
      </w:r>
      <w:r w:rsidR="00774498">
        <w:rPr>
          <w:rFonts w:ascii="Arial" w:hAnsi="Arial" w:cs="Arial"/>
          <w:sz w:val="22"/>
        </w:rPr>
        <w:t xml:space="preserve"> </w:t>
      </w:r>
      <w:r w:rsidR="003C28B6">
        <w:rPr>
          <w:rFonts w:ascii="Arial" w:hAnsi="Arial" w:cs="Arial"/>
          <w:sz w:val="22"/>
        </w:rPr>
        <w:t>aplicable en la evaluación</w:t>
      </w:r>
      <w:r w:rsidR="00ED61E7">
        <w:rPr>
          <w:rFonts w:ascii="Arial" w:hAnsi="Arial" w:cs="Arial"/>
          <w:sz w:val="22"/>
        </w:rPr>
        <w:t xml:space="preserve"> de los requisito</w:t>
      </w:r>
      <w:r w:rsidR="00196D40">
        <w:rPr>
          <w:rFonts w:ascii="Arial" w:hAnsi="Arial" w:cs="Arial"/>
          <w:sz w:val="22"/>
        </w:rPr>
        <w:t>s configurados en virtud de la regla</w:t>
      </w:r>
      <w:r>
        <w:rPr>
          <w:rFonts w:ascii="Arial" w:hAnsi="Arial" w:cs="Arial"/>
          <w:sz w:val="22"/>
        </w:rPr>
        <w:t>s</w:t>
      </w:r>
      <w:r w:rsidR="00196D40">
        <w:rPr>
          <w:rFonts w:ascii="Arial" w:hAnsi="Arial" w:cs="Arial"/>
          <w:sz w:val="22"/>
        </w:rPr>
        <w:t xml:space="preserve"> de combinación</w:t>
      </w:r>
      <w:r>
        <w:rPr>
          <w:rFonts w:ascii="Arial" w:hAnsi="Arial" w:cs="Arial"/>
          <w:sz w:val="22"/>
        </w:rPr>
        <w:t xml:space="preserve"> de experiencia</w:t>
      </w:r>
      <w:r w:rsidR="00812EBE">
        <w:rPr>
          <w:rFonts w:ascii="Arial" w:hAnsi="Arial" w:cs="Arial"/>
          <w:sz w:val="22"/>
        </w:rPr>
        <w:t xml:space="preserve">, </w:t>
      </w:r>
      <w:r w:rsidR="002B3E2C">
        <w:rPr>
          <w:rFonts w:ascii="Arial" w:hAnsi="Arial" w:cs="Arial"/>
          <w:sz w:val="22"/>
        </w:rPr>
        <w:t xml:space="preserve">lo que significa </w:t>
      </w:r>
      <w:r w:rsidR="00D203FE">
        <w:rPr>
          <w:rFonts w:ascii="Arial" w:hAnsi="Arial" w:cs="Arial"/>
          <w:sz w:val="22"/>
        </w:rPr>
        <w:t>todos</w:t>
      </w:r>
      <w:r w:rsidR="002B3E2C">
        <w:rPr>
          <w:rFonts w:ascii="Arial" w:hAnsi="Arial" w:cs="Arial"/>
          <w:sz w:val="22"/>
        </w:rPr>
        <w:t xml:space="preserve"> </w:t>
      </w:r>
      <w:r w:rsidR="00D203FE">
        <w:rPr>
          <w:rFonts w:ascii="Arial" w:hAnsi="Arial" w:cs="Arial"/>
          <w:sz w:val="22"/>
        </w:rPr>
        <w:t>aquellos</w:t>
      </w:r>
      <w:r w:rsidR="002B3E2C">
        <w:rPr>
          <w:rFonts w:ascii="Arial" w:hAnsi="Arial" w:cs="Arial"/>
          <w:sz w:val="22"/>
        </w:rPr>
        <w:t xml:space="preserve"> </w:t>
      </w:r>
      <w:r w:rsidR="00D203FE">
        <w:rPr>
          <w:rFonts w:ascii="Arial" w:hAnsi="Arial" w:cs="Arial"/>
          <w:sz w:val="22"/>
        </w:rPr>
        <w:t>requerimientos</w:t>
      </w:r>
      <w:r w:rsidR="002B3E2C">
        <w:rPr>
          <w:rFonts w:ascii="Arial" w:hAnsi="Arial" w:cs="Arial"/>
          <w:sz w:val="22"/>
        </w:rPr>
        <w:t xml:space="preserve"> de experiencia</w:t>
      </w:r>
      <w:r w:rsidR="00CA3233">
        <w:rPr>
          <w:rFonts w:ascii="Arial" w:hAnsi="Arial" w:cs="Arial"/>
          <w:sz w:val="22"/>
        </w:rPr>
        <w:t xml:space="preserve"> </w:t>
      </w:r>
      <w:r w:rsidR="00D203FE">
        <w:rPr>
          <w:rFonts w:ascii="Arial" w:hAnsi="Arial" w:cs="Arial"/>
          <w:sz w:val="22"/>
        </w:rPr>
        <w:t>que estén</w:t>
      </w:r>
      <w:r w:rsidR="00CA3233">
        <w:rPr>
          <w:rFonts w:ascii="Arial" w:hAnsi="Arial" w:cs="Arial"/>
          <w:sz w:val="22"/>
        </w:rPr>
        <w:t xml:space="preserve"> planteado</w:t>
      </w:r>
      <w:r w:rsidR="00D203FE">
        <w:rPr>
          <w:rFonts w:ascii="Arial" w:hAnsi="Arial" w:cs="Arial"/>
          <w:sz w:val="22"/>
        </w:rPr>
        <w:t>s</w:t>
      </w:r>
      <w:r w:rsidR="00CA3233">
        <w:rPr>
          <w:rFonts w:ascii="Arial" w:hAnsi="Arial" w:cs="Arial"/>
          <w:sz w:val="22"/>
        </w:rPr>
        <w:t xml:space="preserve"> en términos de dimensionamiento</w:t>
      </w:r>
      <w:r w:rsidR="00550891">
        <w:rPr>
          <w:rFonts w:ascii="Arial" w:hAnsi="Arial" w:cs="Arial"/>
          <w:sz w:val="22"/>
        </w:rPr>
        <w:t xml:space="preserve"> requieren que el proponente </w:t>
      </w:r>
      <w:r w:rsidR="00900D42">
        <w:rPr>
          <w:rFonts w:ascii="Arial" w:hAnsi="Arial" w:cs="Arial"/>
          <w:sz w:val="22"/>
        </w:rPr>
        <w:t>acredite las respectivas dimensiones</w:t>
      </w:r>
      <w:r w:rsidR="002A66A3">
        <w:rPr>
          <w:rFonts w:ascii="Arial" w:hAnsi="Arial" w:cs="Arial"/>
          <w:sz w:val="22"/>
        </w:rPr>
        <w:t xml:space="preserve">, </w:t>
      </w:r>
      <w:r w:rsidR="007023BB">
        <w:rPr>
          <w:rFonts w:ascii="Arial" w:hAnsi="Arial" w:cs="Arial"/>
          <w:sz w:val="22"/>
        </w:rPr>
        <w:t xml:space="preserve">estando facultadas las entidades para </w:t>
      </w:r>
      <w:r w:rsidR="002A66A3">
        <w:rPr>
          <w:rFonts w:ascii="Arial" w:hAnsi="Arial" w:cs="Arial"/>
          <w:sz w:val="22"/>
        </w:rPr>
        <w:t xml:space="preserve">descontar las áreas o longitudes no relacionadas con </w:t>
      </w:r>
      <w:r w:rsidR="007023BB">
        <w:rPr>
          <w:rFonts w:ascii="Arial" w:hAnsi="Arial" w:cs="Arial"/>
          <w:sz w:val="22"/>
        </w:rPr>
        <w:t>los</w:t>
      </w:r>
      <w:r w:rsidR="002A66A3">
        <w:rPr>
          <w:rFonts w:ascii="Arial" w:hAnsi="Arial" w:cs="Arial"/>
          <w:sz w:val="22"/>
        </w:rPr>
        <w:t xml:space="preserve"> </w:t>
      </w:r>
      <w:r w:rsidR="007023BB">
        <w:rPr>
          <w:rFonts w:ascii="Arial" w:hAnsi="Arial" w:cs="Arial"/>
          <w:sz w:val="22"/>
        </w:rPr>
        <w:t>r</w:t>
      </w:r>
      <w:r w:rsidR="002A66A3">
        <w:rPr>
          <w:rFonts w:ascii="Arial" w:hAnsi="Arial" w:cs="Arial"/>
          <w:sz w:val="22"/>
        </w:rPr>
        <w:t>equisito</w:t>
      </w:r>
      <w:r w:rsidR="007023BB">
        <w:rPr>
          <w:rFonts w:ascii="Arial" w:hAnsi="Arial" w:cs="Arial"/>
          <w:sz w:val="22"/>
        </w:rPr>
        <w:t>s</w:t>
      </w:r>
      <w:r w:rsidR="002A66A3">
        <w:rPr>
          <w:rFonts w:ascii="Arial" w:hAnsi="Arial" w:cs="Arial"/>
          <w:sz w:val="22"/>
        </w:rPr>
        <w:t xml:space="preserve"> de experiencia</w:t>
      </w:r>
      <w:r w:rsidR="002B3E2C">
        <w:rPr>
          <w:rFonts w:ascii="Arial" w:hAnsi="Arial" w:cs="Arial"/>
          <w:sz w:val="22"/>
        </w:rPr>
        <w:t xml:space="preserve"> establecidos para la actividad principal–configurados a partir de la matriz de</w:t>
      </w:r>
      <w:r w:rsidR="008577EC">
        <w:rPr>
          <w:rFonts w:ascii="Arial" w:hAnsi="Arial" w:cs="Arial"/>
          <w:sz w:val="22"/>
        </w:rPr>
        <w:t xml:space="preserve"> experiencia del</w:t>
      </w:r>
      <w:r w:rsidR="002B3E2C">
        <w:rPr>
          <w:rFonts w:ascii="Arial" w:hAnsi="Arial" w:cs="Arial"/>
          <w:sz w:val="22"/>
        </w:rPr>
        <w:t xml:space="preserve"> sector recreación, cultura y dep</w:t>
      </w:r>
      <w:r w:rsidR="008577EC">
        <w:rPr>
          <w:rFonts w:ascii="Arial" w:hAnsi="Arial" w:cs="Arial"/>
          <w:sz w:val="22"/>
        </w:rPr>
        <w:t>orte–</w:t>
      </w:r>
      <w:r w:rsidR="009836D1">
        <w:rPr>
          <w:rFonts w:ascii="Arial" w:hAnsi="Arial" w:cs="Arial"/>
          <w:sz w:val="22"/>
        </w:rPr>
        <w:t xml:space="preserve">, como </w:t>
      </w:r>
      <w:r w:rsidR="00E55540">
        <w:rPr>
          <w:rFonts w:ascii="Arial" w:hAnsi="Arial" w:cs="Arial"/>
          <w:sz w:val="22"/>
        </w:rPr>
        <w:t xml:space="preserve">los </w:t>
      </w:r>
      <w:r w:rsidR="00CA3233">
        <w:rPr>
          <w:rFonts w:ascii="Arial" w:hAnsi="Arial" w:cs="Arial"/>
          <w:sz w:val="22"/>
        </w:rPr>
        <w:t xml:space="preserve">precisen para la </w:t>
      </w:r>
      <w:r w:rsidR="00E55540">
        <w:rPr>
          <w:rFonts w:ascii="Arial" w:hAnsi="Arial" w:cs="Arial"/>
          <w:sz w:val="22"/>
        </w:rPr>
        <w:t xml:space="preserve">actividad secundaría–establecidos a partir de </w:t>
      </w:r>
      <w:r w:rsidR="00F34EE5">
        <w:rPr>
          <w:rFonts w:ascii="Arial" w:hAnsi="Arial" w:cs="Arial"/>
          <w:sz w:val="22"/>
        </w:rPr>
        <w:t>la</w:t>
      </w:r>
      <w:r w:rsidR="00E55540">
        <w:rPr>
          <w:rFonts w:ascii="Arial" w:hAnsi="Arial" w:cs="Arial"/>
          <w:sz w:val="22"/>
        </w:rPr>
        <w:t xml:space="preserve"> matriz de experiencia</w:t>
      </w:r>
      <w:r w:rsidR="00F34EE5">
        <w:rPr>
          <w:rFonts w:ascii="Arial" w:hAnsi="Arial" w:cs="Arial"/>
          <w:sz w:val="22"/>
        </w:rPr>
        <w:t xml:space="preserve"> del sector transporte</w:t>
      </w:r>
      <w:r w:rsidR="007023BB">
        <w:rPr>
          <w:rFonts w:ascii="Arial" w:hAnsi="Arial" w:cs="Arial"/>
          <w:i/>
          <w:iCs/>
          <w:sz w:val="22"/>
        </w:rPr>
        <w:t>–.</w:t>
      </w:r>
      <w:r w:rsidR="00012715">
        <w:rPr>
          <w:rFonts w:ascii="Arial" w:hAnsi="Arial" w:cs="Arial"/>
          <w:i/>
          <w:iCs/>
          <w:sz w:val="22"/>
        </w:rPr>
        <w:t xml:space="preserve"> </w:t>
      </w:r>
      <w:r w:rsidR="00F61248">
        <w:rPr>
          <w:rFonts w:ascii="Arial" w:hAnsi="Arial" w:cs="Arial"/>
          <w:sz w:val="22"/>
        </w:rPr>
        <w:t xml:space="preserve">No obstante, la aplicación de la regla en este </w:t>
      </w:r>
      <w:r w:rsidR="000B2EBA">
        <w:rPr>
          <w:rFonts w:ascii="Arial" w:hAnsi="Arial" w:cs="Arial"/>
          <w:sz w:val="22"/>
        </w:rPr>
        <w:t>sentido</w:t>
      </w:r>
      <w:r w:rsidR="00F61248">
        <w:rPr>
          <w:rFonts w:ascii="Arial" w:hAnsi="Arial" w:cs="Arial"/>
          <w:sz w:val="22"/>
        </w:rPr>
        <w:t xml:space="preserve"> no </w:t>
      </w:r>
      <w:r w:rsidR="00A17D76">
        <w:rPr>
          <w:rFonts w:ascii="Arial" w:hAnsi="Arial" w:cs="Arial"/>
          <w:sz w:val="22"/>
        </w:rPr>
        <w:t xml:space="preserve">significa que las magnitudes </w:t>
      </w:r>
      <w:r w:rsidR="00B96BFC">
        <w:rPr>
          <w:rFonts w:ascii="Arial" w:hAnsi="Arial" w:cs="Arial"/>
          <w:sz w:val="22"/>
        </w:rPr>
        <w:t xml:space="preserve">descartadas para el </w:t>
      </w:r>
      <w:r w:rsidR="00C30234">
        <w:rPr>
          <w:rFonts w:ascii="Arial" w:hAnsi="Arial" w:cs="Arial"/>
          <w:sz w:val="22"/>
        </w:rPr>
        <w:t>có</w:t>
      </w:r>
      <w:r w:rsidR="00B96BFC">
        <w:rPr>
          <w:rFonts w:ascii="Arial" w:hAnsi="Arial" w:cs="Arial"/>
          <w:sz w:val="22"/>
        </w:rPr>
        <w:t xml:space="preserve">mputo de la experiencia establecida para la </w:t>
      </w:r>
      <w:r w:rsidR="008904F2">
        <w:rPr>
          <w:rFonts w:ascii="Arial" w:hAnsi="Arial" w:cs="Arial"/>
          <w:sz w:val="22"/>
        </w:rPr>
        <w:t xml:space="preserve">actividad principal no pueda ser tenida en cuenta </w:t>
      </w:r>
      <w:r w:rsidR="006963A3">
        <w:rPr>
          <w:rFonts w:ascii="Arial" w:hAnsi="Arial" w:cs="Arial"/>
          <w:sz w:val="22"/>
        </w:rPr>
        <w:t>para la actividad secundaria</w:t>
      </w:r>
      <w:r w:rsidR="000B2EBA">
        <w:rPr>
          <w:rFonts w:ascii="Arial" w:hAnsi="Arial" w:cs="Arial"/>
          <w:sz w:val="22"/>
        </w:rPr>
        <w:t xml:space="preserve"> y viceversa.</w:t>
      </w:r>
      <w:r w:rsidR="00EA27CC">
        <w:rPr>
          <w:rFonts w:ascii="Arial" w:hAnsi="Arial" w:cs="Arial"/>
          <w:sz w:val="22"/>
        </w:rPr>
        <w:t xml:space="preserve"> En ese sentido, la regla del literal I en casos de experiencia combinada debe se</w:t>
      </w:r>
      <w:r w:rsidR="00DF4328">
        <w:rPr>
          <w:rFonts w:ascii="Arial" w:hAnsi="Arial" w:cs="Arial"/>
          <w:sz w:val="22"/>
        </w:rPr>
        <w:t xml:space="preserve">r aplicada en función de cada uno de los requisitos. </w:t>
      </w:r>
    </w:p>
    <w:p w14:paraId="75869937" w14:textId="77777777" w:rsidR="00C7698D" w:rsidRDefault="00C7698D" w:rsidP="00C7698D">
      <w:pPr>
        <w:spacing w:line="276" w:lineRule="auto"/>
        <w:ind w:firstLine="709"/>
        <w:jc w:val="both"/>
        <w:rPr>
          <w:rFonts w:ascii="Arial" w:hAnsi="Arial" w:cs="Arial"/>
          <w:sz w:val="22"/>
        </w:rPr>
      </w:pPr>
    </w:p>
    <w:p w14:paraId="0B5723FA" w14:textId="1D3A1C47" w:rsidR="00C32018" w:rsidRDefault="00E54365" w:rsidP="002975CD">
      <w:pPr>
        <w:spacing w:line="276" w:lineRule="auto"/>
        <w:ind w:right="79"/>
        <w:jc w:val="both"/>
        <w:rPr>
          <w:rFonts w:ascii="Arial" w:eastAsia="Calibri" w:hAnsi="Arial" w:cs="Arial"/>
          <w:b/>
          <w:noProof/>
          <w:color w:val="161616" w:themeColor="background1" w:themeShade="1A"/>
          <w:sz w:val="22"/>
          <w:szCs w:val="22"/>
          <w:lang w:val="es-ES_tradnl"/>
        </w:rPr>
      </w:pPr>
      <w:r w:rsidRPr="00D86474">
        <w:rPr>
          <w:rFonts w:ascii="Arial" w:eastAsia="Calibri" w:hAnsi="Arial" w:cs="Arial"/>
          <w:b/>
          <w:noProof/>
          <w:color w:val="161616" w:themeColor="background1" w:themeShade="1A"/>
          <w:sz w:val="22"/>
          <w:szCs w:val="22"/>
          <w:lang w:val="es-ES_tradnl"/>
        </w:rPr>
        <w:t>3. Respuesta</w:t>
      </w:r>
    </w:p>
    <w:p w14:paraId="595B8ECE" w14:textId="77777777" w:rsidR="00C7698D" w:rsidRDefault="00C7698D" w:rsidP="002975CD">
      <w:pPr>
        <w:ind w:right="79"/>
        <w:jc w:val="both"/>
        <w:rPr>
          <w:rFonts w:ascii="Arial" w:eastAsia="Calibri" w:hAnsi="Arial" w:cs="Arial"/>
          <w:b/>
          <w:noProof/>
          <w:color w:val="161616" w:themeColor="background1" w:themeShade="1A"/>
          <w:sz w:val="22"/>
          <w:szCs w:val="22"/>
          <w:lang w:val="es-ES_tradnl"/>
        </w:rPr>
      </w:pPr>
    </w:p>
    <w:p w14:paraId="66FF7093" w14:textId="11EAB17F" w:rsidR="00BE0457" w:rsidRPr="00A93736" w:rsidRDefault="00BE0457" w:rsidP="002975CD">
      <w:pPr>
        <w:ind w:left="709" w:right="709"/>
        <w:jc w:val="both"/>
        <w:rPr>
          <w:rFonts w:ascii="Arial" w:hAnsi="Arial" w:cs="Arial"/>
          <w:color w:val="000000"/>
          <w:sz w:val="21"/>
          <w:szCs w:val="21"/>
          <w:lang w:val="es-ES"/>
        </w:rPr>
      </w:pPr>
      <w:r w:rsidRPr="00A93736">
        <w:rPr>
          <w:rFonts w:ascii="Arial" w:hAnsi="Arial" w:cs="Arial"/>
          <w:bCs/>
          <w:sz w:val="21"/>
          <w:szCs w:val="21"/>
        </w:rPr>
        <w:t>«</w:t>
      </w:r>
      <w:r w:rsidRPr="00A93736">
        <w:rPr>
          <w:rFonts w:ascii="Arial" w:hAnsi="Arial" w:cs="Arial"/>
          <w:color w:val="000000"/>
          <w:sz w:val="21"/>
          <w:szCs w:val="21"/>
          <w:lang w:val="es-ES"/>
        </w:rPr>
        <w:t xml:space="preserve">1. Si el objeto del contrato de experiencia es 100% obras de infraestructura social, como la construcción de un parque, es necesario también aportar las </w:t>
      </w:r>
      <w:r w:rsidRPr="00A93736">
        <w:rPr>
          <w:rFonts w:ascii="Arial" w:hAnsi="Arial" w:cs="Arial"/>
          <w:color w:val="000000"/>
          <w:sz w:val="21"/>
          <w:szCs w:val="21"/>
          <w:lang w:val="es-ES"/>
        </w:rPr>
        <w:lastRenderedPageBreak/>
        <w:t>cantidades de obras ejecutas o se debe evaluar el 100% del valor del contrato?</w:t>
      </w:r>
      <w:r w:rsidR="001932CC" w:rsidRPr="002975CD">
        <w:rPr>
          <w:rFonts w:ascii="Arial" w:hAnsi="Arial" w:cs="Arial" w:hint="eastAsia"/>
          <w:sz w:val="21"/>
          <w:szCs w:val="21"/>
        </w:rPr>
        <w:t>»</w:t>
      </w:r>
    </w:p>
    <w:p w14:paraId="2BDA779D" w14:textId="77777777" w:rsidR="00C7698D" w:rsidRDefault="00C7698D" w:rsidP="002975CD">
      <w:pPr>
        <w:spacing w:line="276" w:lineRule="auto"/>
        <w:jc w:val="both"/>
        <w:rPr>
          <w:rFonts w:ascii="Arial" w:eastAsia="Calibri" w:hAnsi="Arial" w:cs="Arial"/>
          <w:sz w:val="22"/>
          <w:szCs w:val="22"/>
          <w:lang w:val="es-ES" w:eastAsia="es-ES" w:bidi="es-ES"/>
        </w:rPr>
      </w:pPr>
    </w:p>
    <w:p w14:paraId="5AD27A8C" w14:textId="3EE89A70" w:rsidR="00ED64A4" w:rsidRDefault="00030C77" w:rsidP="00C7698D">
      <w:pPr>
        <w:spacing w:after="120" w:line="276" w:lineRule="auto"/>
        <w:jc w:val="both"/>
        <w:rPr>
          <w:rFonts w:ascii="Arial" w:eastAsia="Calibri" w:hAnsi="Arial" w:cs="Arial"/>
          <w:sz w:val="22"/>
          <w:szCs w:val="22"/>
          <w:lang w:val="es-ES" w:eastAsia="es-ES" w:bidi="es-ES"/>
        </w:rPr>
      </w:pPr>
      <w:r>
        <w:rPr>
          <w:rFonts w:ascii="Arial" w:eastAsia="Calibri" w:hAnsi="Arial" w:cs="Arial"/>
          <w:sz w:val="22"/>
          <w:szCs w:val="22"/>
          <w:lang w:val="es-ES" w:eastAsia="es-ES" w:bidi="es-ES"/>
        </w:rPr>
        <w:t>Conforme a lo expuesto, en los procesos de contratación adelantados con los documentos tipo de licitación de obra pública de infraestructura social</w:t>
      </w:r>
      <w:r w:rsidR="00484940">
        <w:rPr>
          <w:rFonts w:ascii="Arial" w:eastAsia="Calibri" w:hAnsi="Arial" w:cs="Arial"/>
          <w:sz w:val="22"/>
          <w:szCs w:val="22"/>
          <w:lang w:val="es-ES" w:eastAsia="es-ES" w:bidi="es-ES"/>
        </w:rPr>
        <w:t xml:space="preserve">, </w:t>
      </w:r>
      <w:r w:rsidR="00B34F05">
        <w:rPr>
          <w:rFonts w:ascii="Arial" w:eastAsia="Calibri" w:hAnsi="Arial" w:cs="Arial"/>
          <w:sz w:val="22"/>
          <w:szCs w:val="22"/>
          <w:lang w:val="es-ES" w:eastAsia="es-ES" w:bidi="es-ES"/>
        </w:rPr>
        <w:t xml:space="preserve">en virtud lo establecido en el literal D del numeral 3.5.4 del Documento Base adoptado por la Resolución 219 de 2021, </w:t>
      </w:r>
      <w:r w:rsidR="00484940">
        <w:rPr>
          <w:rFonts w:ascii="Arial" w:eastAsia="Calibri" w:hAnsi="Arial" w:cs="Arial"/>
          <w:sz w:val="22"/>
          <w:szCs w:val="22"/>
          <w:lang w:val="es-ES" w:eastAsia="es-ES" w:bidi="es-ES"/>
        </w:rPr>
        <w:t xml:space="preserve">los proponentes se encuentran obligados a acreditar </w:t>
      </w:r>
      <w:r w:rsidR="00453288">
        <w:rPr>
          <w:rFonts w:ascii="Arial" w:eastAsia="Calibri" w:hAnsi="Arial" w:cs="Arial"/>
          <w:sz w:val="22"/>
          <w:szCs w:val="22"/>
          <w:lang w:val="es-ES" w:eastAsia="es-ES" w:bidi="es-ES"/>
        </w:rPr>
        <w:t xml:space="preserve">las </w:t>
      </w:r>
      <w:r w:rsidR="00ED64A4">
        <w:rPr>
          <w:rFonts w:ascii="Arial" w:eastAsia="Calibri" w:hAnsi="Arial" w:cs="Arial"/>
          <w:sz w:val="22"/>
          <w:szCs w:val="22"/>
          <w:lang w:val="es-ES" w:eastAsia="es-ES" w:bidi="es-ES"/>
        </w:rPr>
        <w:t>magnitudes</w:t>
      </w:r>
      <w:r w:rsidR="00311783">
        <w:rPr>
          <w:rFonts w:ascii="Arial" w:eastAsia="Calibri" w:hAnsi="Arial" w:cs="Arial"/>
          <w:sz w:val="22"/>
          <w:szCs w:val="22"/>
          <w:lang w:val="es-ES" w:eastAsia="es-ES" w:bidi="es-ES"/>
        </w:rPr>
        <w:t xml:space="preserve"> intervenidas en desarrollo de los contratos que se aportan para acreditar l</w:t>
      </w:r>
      <w:r w:rsidR="00B34F05">
        <w:rPr>
          <w:rFonts w:ascii="Arial" w:eastAsia="Calibri" w:hAnsi="Arial" w:cs="Arial"/>
          <w:sz w:val="22"/>
          <w:szCs w:val="22"/>
          <w:lang w:val="es-ES" w:eastAsia="es-ES" w:bidi="es-ES"/>
        </w:rPr>
        <w:t>os requisitos de</w:t>
      </w:r>
      <w:r w:rsidR="00311783">
        <w:rPr>
          <w:rFonts w:ascii="Arial" w:eastAsia="Calibri" w:hAnsi="Arial" w:cs="Arial"/>
          <w:sz w:val="22"/>
          <w:szCs w:val="22"/>
          <w:lang w:val="es-ES" w:eastAsia="es-ES" w:bidi="es-ES"/>
        </w:rPr>
        <w:t xml:space="preserve"> experiencia</w:t>
      </w:r>
      <w:r w:rsidR="00B34F05">
        <w:rPr>
          <w:rFonts w:ascii="Arial" w:eastAsia="Calibri" w:hAnsi="Arial" w:cs="Arial"/>
          <w:sz w:val="22"/>
          <w:szCs w:val="22"/>
          <w:lang w:val="es-ES" w:eastAsia="es-ES" w:bidi="es-ES"/>
        </w:rPr>
        <w:t xml:space="preserve"> establecidos en la matriz de </w:t>
      </w:r>
      <w:r w:rsidR="00FF0D23">
        <w:rPr>
          <w:rFonts w:ascii="Arial" w:eastAsia="Calibri" w:hAnsi="Arial" w:cs="Arial"/>
          <w:sz w:val="22"/>
          <w:szCs w:val="22"/>
          <w:lang w:val="es-ES" w:eastAsia="es-ES" w:bidi="es-ES"/>
        </w:rPr>
        <w:t xml:space="preserve">experiencia aplicable. Esto es concordante con la regla del literal I del numeral 3.5.2, </w:t>
      </w:r>
      <w:r w:rsidR="006A5AED">
        <w:rPr>
          <w:rFonts w:ascii="Arial" w:eastAsia="Calibri" w:hAnsi="Arial" w:cs="Arial"/>
          <w:sz w:val="22"/>
          <w:szCs w:val="22"/>
          <w:lang w:val="es-ES" w:eastAsia="es-ES" w:bidi="es-ES"/>
        </w:rPr>
        <w:t>la cual indica el deber de acreditar las magnitudes que efectivamente se re</w:t>
      </w:r>
      <w:r w:rsidR="00612C5B">
        <w:rPr>
          <w:rFonts w:ascii="Arial" w:eastAsia="Calibri" w:hAnsi="Arial" w:cs="Arial"/>
          <w:sz w:val="22"/>
          <w:szCs w:val="22"/>
          <w:lang w:val="es-ES" w:eastAsia="es-ES" w:bidi="es-ES"/>
        </w:rPr>
        <w:t xml:space="preserve">lacionadas con el requisito de experiencia, estableciendo además la </w:t>
      </w:r>
      <w:r w:rsidR="001125D4">
        <w:rPr>
          <w:rFonts w:ascii="Arial" w:eastAsia="Calibri" w:hAnsi="Arial" w:cs="Arial"/>
          <w:sz w:val="22"/>
          <w:szCs w:val="22"/>
          <w:lang w:val="es-ES" w:eastAsia="es-ES" w:bidi="es-ES"/>
        </w:rPr>
        <w:t xml:space="preserve">necesidad de descontar del cómputo de la experiencia las magnitudes intervenidas que no tengan relación con el requisito de experiencia. </w:t>
      </w:r>
    </w:p>
    <w:p w14:paraId="38E47968" w14:textId="7C72AE31" w:rsidR="009C7593" w:rsidRDefault="009C7593" w:rsidP="009C7593">
      <w:pPr>
        <w:spacing w:after="120" w:line="276" w:lineRule="auto"/>
        <w:jc w:val="both"/>
        <w:rPr>
          <w:rFonts w:ascii="Arial" w:hAnsi="Arial" w:cs="Arial"/>
          <w:sz w:val="22"/>
          <w:szCs w:val="22"/>
        </w:rPr>
      </w:pPr>
      <w:r>
        <w:rPr>
          <w:rFonts w:ascii="Arial" w:eastAsia="Calibri" w:hAnsi="Arial" w:cs="Arial"/>
          <w:sz w:val="22"/>
          <w:szCs w:val="22"/>
          <w:lang w:val="es-ES" w:eastAsia="es-ES" w:bidi="es-ES"/>
        </w:rPr>
        <w:tab/>
      </w:r>
      <w:r>
        <w:rPr>
          <w:rFonts w:ascii="Arial" w:hAnsi="Arial" w:cs="Arial"/>
          <w:sz w:val="22"/>
          <w:szCs w:val="22"/>
        </w:rPr>
        <w:t>De esta manera, si una entidad adelanta una licitación pública para la construcción de un parque, debe acudir a la matriz de experiencia adoptada por la Resolución 454 de 2021 para el sector recreación, cultura y deporte, en la cual se encuentra prevista la actividad «</w:t>
      </w:r>
      <w:r w:rsidRPr="006C0941">
        <w:rPr>
          <w:rFonts w:ascii="Arial" w:hAnsi="Arial" w:cs="Arial"/>
          <w:sz w:val="22"/>
          <w:szCs w:val="22"/>
        </w:rPr>
        <w:t>2.1. PROYECTOS DE CONSTRUCCIÓN Y/O RECONSTRUCCIÓN DE PARQUES</w:t>
      </w:r>
      <w:r>
        <w:rPr>
          <w:rFonts w:ascii="Arial" w:hAnsi="Arial" w:cs="Arial"/>
          <w:sz w:val="22"/>
          <w:szCs w:val="22"/>
        </w:rPr>
        <w:t>». Para esta actividad, se establece como requisito de experiencia general «</w:t>
      </w:r>
      <w:r w:rsidRPr="009652A7">
        <w:rPr>
          <w:rFonts w:ascii="Arial" w:hAnsi="Arial" w:cs="Arial"/>
          <w:sz w:val="22"/>
          <w:szCs w:val="22"/>
        </w:rPr>
        <w:t>PROYECTOS QUE CORRESPONDAN O HAYAN CONTENIDO UNA O ALGUNAS DE LAS SIGUIENTES ACTIVIDADES: - CONSTRUCCIÓN Y/O RECONSTRUCCIÓN DE PARQUES</w:t>
      </w:r>
      <w:r>
        <w:rPr>
          <w:rFonts w:ascii="Arial" w:hAnsi="Arial" w:cs="Arial"/>
          <w:sz w:val="22"/>
          <w:szCs w:val="22"/>
        </w:rPr>
        <w:t xml:space="preserve"> –</w:t>
      </w:r>
      <w:r w:rsidRPr="009652A7">
        <w:rPr>
          <w:rFonts w:ascii="Arial" w:hAnsi="Arial" w:cs="Arial"/>
          <w:sz w:val="22"/>
          <w:szCs w:val="22"/>
        </w:rPr>
        <w:t xml:space="preserve"> CONSTRUCCIÓN Y/O RECONSTRUCCIÓN DE ESPACIO PÚBLICO</w:t>
      </w:r>
      <w:r>
        <w:rPr>
          <w:rFonts w:ascii="Arial" w:hAnsi="Arial" w:cs="Arial"/>
          <w:sz w:val="22"/>
          <w:szCs w:val="22"/>
        </w:rPr>
        <w:t>». Respecto de este requisito la matriz establece dos notas relevantes para su acreditación y evaluación, la primera de las cuales establece que p</w:t>
      </w:r>
      <w:r w:rsidRPr="00A6056E">
        <w:rPr>
          <w:rFonts w:ascii="Arial" w:hAnsi="Arial" w:cs="Arial"/>
          <w:sz w:val="22"/>
          <w:szCs w:val="22"/>
        </w:rPr>
        <w:t xml:space="preserve">ara el caso de experiencia de espacio público </w:t>
      </w:r>
      <w:r>
        <w:rPr>
          <w:rFonts w:ascii="Arial" w:hAnsi="Arial" w:cs="Arial"/>
          <w:sz w:val="22"/>
          <w:szCs w:val="22"/>
        </w:rPr>
        <w:t xml:space="preserve">«[…] </w:t>
      </w:r>
      <w:r w:rsidRPr="00A6056E">
        <w:rPr>
          <w:rFonts w:ascii="Arial" w:hAnsi="Arial" w:cs="Arial"/>
          <w:sz w:val="22"/>
          <w:szCs w:val="22"/>
        </w:rPr>
        <w:t>se excluyen de estos las vías destinadas al tránsito vehicular, así como la conservación y/o preservación de playas marítimas</w:t>
      </w:r>
      <w:r>
        <w:rPr>
          <w:rFonts w:ascii="Arial" w:hAnsi="Arial" w:cs="Arial"/>
          <w:sz w:val="22"/>
          <w:szCs w:val="22"/>
        </w:rPr>
        <w:t>». La segunda nota indica que en «</w:t>
      </w:r>
      <w:r w:rsidRPr="00A6056E">
        <w:rPr>
          <w:rFonts w:ascii="Arial" w:hAnsi="Arial" w:cs="Arial"/>
          <w:sz w:val="22"/>
          <w:szCs w:val="22"/>
        </w:rPr>
        <w:t>En el caso en el cual el proceso de selección contemple actividades de dotación de mobiliario, la experiencia válida aportada deberá acreditar en por lo menos uno (1) de los contratos actividades de suministro e instalación de mobiliario</w:t>
      </w:r>
      <w:r>
        <w:rPr>
          <w:rFonts w:ascii="Arial" w:hAnsi="Arial" w:cs="Arial"/>
          <w:sz w:val="22"/>
          <w:szCs w:val="22"/>
        </w:rPr>
        <w:t>»</w:t>
      </w:r>
      <w:r w:rsidRPr="00A6056E">
        <w:rPr>
          <w:rFonts w:ascii="Arial" w:hAnsi="Arial" w:cs="Arial"/>
          <w:sz w:val="22"/>
          <w:szCs w:val="22"/>
        </w:rPr>
        <w:t xml:space="preserve">. </w:t>
      </w:r>
      <w:r w:rsidRPr="00A6056E">
        <w:rPr>
          <w:rFonts w:ascii="Arial" w:hAnsi="Arial" w:cs="Arial"/>
          <w:sz w:val="22"/>
          <w:szCs w:val="22"/>
        </w:rPr>
        <w:tab/>
      </w:r>
    </w:p>
    <w:p w14:paraId="5D33FA81" w14:textId="77777777" w:rsidR="00C04E2F" w:rsidRDefault="009C7593" w:rsidP="00454F6B">
      <w:pPr>
        <w:spacing w:after="120" w:line="276" w:lineRule="auto"/>
        <w:ind w:firstLine="709"/>
        <w:jc w:val="both"/>
        <w:rPr>
          <w:rFonts w:ascii="Arial" w:hAnsi="Arial" w:cs="Arial"/>
          <w:sz w:val="22"/>
          <w:szCs w:val="22"/>
        </w:rPr>
      </w:pPr>
      <w:r>
        <w:rPr>
          <w:rFonts w:ascii="Arial" w:hAnsi="Arial" w:cs="Arial"/>
          <w:sz w:val="22"/>
          <w:szCs w:val="22"/>
        </w:rPr>
        <w:t>A su vez, como requisito de experiencia específica para la mencionada actividad se establece que «</w:t>
      </w:r>
      <w:r w:rsidRPr="006258A1">
        <w:rPr>
          <w:rFonts w:ascii="Arial" w:hAnsi="Arial" w:cs="Arial"/>
          <w:sz w:val="22"/>
          <w:szCs w:val="22"/>
        </w:rPr>
        <w:t>Con la sumatoria de hasta máximo dos (2) de los contratos válidos aportados como experiencia general deben contemplar un área intervenida o construida sea igual o superior al (F%) del total de metros cuadrados del proceso de selección, el cual corresponde a [la entidad indicará los metros cuadrados a construir o intervenir para el proceso de selección]</w:t>
      </w:r>
      <w:r>
        <w:rPr>
          <w:rFonts w:ascii="Arial" w:hAnsi="Arial" w:cs="Arial"/>
          <w:sz w:val="22"/>
          <w:szCs w:val="22"/>
        </w:rPr>
        <w:t>»</w:t>
      </w:r>
      <w:r w:rsidRPr="006258A1">
        <w:rPr>
          <w:rFonts w:ascii="Arial" w:hAnsi="Arial" w:cs="Arial"/>
          <w:sz w:val="22"/>
          <w:szCs w:val="22"/>
        </w:rPr>
        <w:t>.</w:t>
      </w:r>
      <w:r>
        <w:rPr>
          <w:rFonts w:ascii="Arial" w:hAnsi="Arial" w:cs="Arial"/>
          <w:sz w:val="22"/>
          <w:szCs w:val="22"/>
        </w:rPr>
        <w:t xml:space="preserve"> El porcentaje de dimensionamiento previsto como equivalencia de (</w:t>
      </w:r>
      <w:r w:rsidRPr="006258A1">
        <w:rPr>
          <w:rFonts w:ascii="Arial" w:hAnsi="Arial" w:cs="Arial"/>
          <w:sz w:val="22"/>
          <w:szCs w:val="22"/>
        </w:rPr>
        <w:t>F%)</w:t>
      </w:r>
      <w:r>
        <w:rPr>
          <w:rFonts w:ascii="Arial" w:hAnsi="Arial" w:cs="Arial"/>
          <w:sz w:val="22"/>
          <w:szCs w:val="22"/>
        </w:rPr>
        <w:t xml:space="preserve"> es el 70%. Esto supone que si, por ejemplo, el alcance físico de la obra son 1000 m</w:t>
      </w:r>
      <w:r w:rsidRPr="00707EFB">
        <w:rPr>
          <w:rFonts w:ascii="Arial" w:hAnsi="Arial" w:cs="Arial"/>
          <w:sz w:val="22"/>
          <w:szCs w:val="22"/>
          <w:vertAlign w:val="superscript"/>
        </w:rPr>
        <w:t>2</w:t>
      </w:r>
      <w:r>
        <w:rPr>
          <w:rFonts w:ascii="Arial" w:hAnsi="Arial" w:cs="Arial"/>
          <w:sz w:val="22"/>
          <w:szCs w:val="22"/>
          <w:vertAlign w:val="superscript"/>
        </w:rPr>
        <w:t>,</w:t>
      </w:r>
      <w:r w:rsidRPr="00707EFB">
        <w:rPr>
          <w:rFonts w:ascii="Arial" w:hAnsi="Arial" w:cs="Arial"/>
          <w:sz w:val="22"/>
          <w:szCs w:val="22"/>
        </w:rPr>
        <w:t xml:space="preserve"> para cumpl</w:t>
      </w:r>
      <w:r>
        <w:rPr>
          <w:rFonts w:ascii="Arial" w:hAnsi="Arial" w:cs="Arial"/>
          <w:sz w:val="22"/>
          <w:szCs w:val="22"/>
        </w:rPr>
        <w:t xml:space="preserve">ir con el requisito los proponentes tendrán que acreditar que la sumatoria de las áreas intervenidas en dos de los contratos aportados para el requerimiento general, </w:t>
      </w:r>
      <w:r>
        <w:rPr>
          <w:rFonts w:ascii="Arial" w:hAnsi="Arial" w:cs="Arial"/>
          <w:sz w:val="22"/>
          <w:szCs w:val="22"/>
        </w:rPr>
        <w:lastRenderedPageBreak/>
        <w:t>es mayor o igual al 70% del área a intervenirse en el proyecto en licitación, el cual equivale a 700 m</w:t>
      </w:r>
      <w:r w:rsidRPr="00707EFB">
        <w:rPr>
          <w:rFonts w:ascii="Arial" w:hAnsi="Arial" w:cs="Arial"/>
          <w:sz w:val="22"/>
          <w:szCs w:val="22"/>
          <w:vertAlign w:val="superscript"/>
        </w:rPr>
        <w:t>2</w:t>
      </w:r>
      <w:r>
        <w:rPr>
          <w:rFonts w:ascii="Arial" w:hAnsi="Arial" w:cs="Arial"/>
          <w:sz w:val="22"/>
          <w:szCs w:val="22"/>
        </w:rPr>
        <w:t xml:space="preserve">.  </w:t>
      </w:r>
    </w:p>
    <w:p w14:paraId="2CBC915E" w14:textId="1BCF02B8" w:rsidR="00454F6B" w:rsidRDefault="00454F6B" w:rsidP="00B45232">
      <w:pPr>
        <w:spacing w:line="276" w:lineRule="auto"/>
        <w:ind w:firstLine="709"/>
        <w:jc w:val="both"/>
        <w:rPr>
          <w:rFonts w:ascii="Arial" w:hAnsi="Arial" w:cs="Arial"/>
          <w:sz w:val="22"/>
          <w:szCs w:val="22"/>
        </w:rPr>
      </w:pPr>
      <w:r>
        <w:rPr>
          <w:rFonts w:ascii="Arial" w:hAnsi="Arial" w:cs="Arial"/>
          <w:sz w:val="22"/>
          <w:szCs w:val="22"/>
        </w:rPr>
        <w:t xml:space="preserve">En todo caso, si las actividades ejecutadas en los contratos aportados </w:t>
      </w:r>
      <w:r w:rsidR="00322616">
        <w:rPr>
          <w:rFonts w:ascii="Arial" w:hAnsi="Arial" w:cs="Arial"/>
          <w:sz w:val="22"/>
          <w:szCs w:val="22"/>
        </w:rPr>
        <w:t xml:space="preserve">se enmarcan en su totalidad dentro del requisito de experiencia, las magnitudes intervenidas efectivamente acreditadas podrán ser tenidas en cuenta en su totalidad para el cumplimiento de los requisitos de experiencia planteados en términos de dimensionamiento. </w:t>
      </w:r>
      <w:r w:rsidR="001B52D4">
        <w:rPr>
          <w:rFonts w:ascii="Arial" w:hAnsi="Arial" w:cs="Arial"/>
          <w:sz w:val="22"/>
          <w:szCs w:val="22"/>
        </w:rPr>
        <w:t xml:space="preserve">No obstante, incluso en este evento al proponente </w:t>
      </w:r>
      <w:r w:rsidR="00B671FD">
        <w:rPr>
          <w:rFonts w:ascii="Arial" w:hAnsi="Arial" w:cs="Arial"/>
          <w:sz w:val="22"/>
          <w:szCs w:val="22"/>
        </w:rPr>
        <w:t xml:space="preserve">le </w:t>
      </w:r>
      <w:r w:rsidR="001B52D4">
        <w:rPr>
          <w:rFonts w:ascii="Arial" w:hAnsi="Arial" w:cs="Arial"/>
          <w:sz w:val="22"/>
          <w:szCs w:val="22"/>
        </w:rPr>
        <w:t xml:space="preserve">corresponde acreditar las magnitudes efectivamente intervenidas, </w:t>
      </w:r>
      <w:r w:rsidR="00B45232">
        <w:rPr>
          <w:rFonts w:ascii="Arial" w:hAnsi="Arial" w:cs="Arial"/>
          <w:sz w:val="22"/>
          <w:szCs w:val="22"/>
        </w:rPr>
        <w:t xml:space="preserve">en atención a lo dispuesto en el literal D del numeral 3.5.4 del Documento Base. </w:t>
      </w:r>
    </w:p>
    <w:p w14:paraId="524D8B17" w14:textId="77777777" w:rsidR="00B45232" w:rsidRDefault="00B45232" w:rsidP="002975CD">
      <w:pPr>
        <w:spacing w:line="276" w:lineRule="auto"/>
        <w:ind w:firstLine="709"/>
        <w:jc w:val="both"/>
        <w:rPr>
          <w:rFonts w:ascii="Arial" w:hAnsi="Arial" w:cs="Arial"/>
          <w:sz w:val="22"/>
          <w:szCs w:val="22"/>
        </w:rPr>
      </w:pPr>
    </w:p>
    <w:p w14:paraId="708E9A01" w14:textId="033522EB" w:rsidR="00BE0457" w:rsidRPr="002975CD" w:rsidRDefault="001932CC" w:rsidP="00A93736">
      <w:pPr>
        <w:ind w:left="708" w:right="709"/>
        <w:jc w:val="both"/>
        <w:rPr>
          <w:rFonts w:ascii="Arial" w:hAnsi="Arial" w:cs="Arial"/>
          <w:sz w:val="21"/>
          <w:szCs w:val="21"/>
        </w:rPr>
      </w:pPr>
      <w:r w:rsidRPr="00A93736">
        <w:rPr>
          <w:rFonts w:ascii="Arial" w:hAnsi="Arial" w:cs="Arial"/>
          <w:color w:val="000000"/>
          <w:sz w:val="21"/>
          <w:szCs w:val="21"/>
          <w:lang w:val="es-ES"/>
        </w:rPr>
        <w:t>«</w:t>
      </w:r>
      <w:r w:rsidR="00BE0457" w:rsidRPr="00A93736">
        <w:rPr>
          <w:rFonts w:ascii="Arial" w:hAnsi="Arial" w:cs="Arial"/>
          <w:color w:val="000000"/>
          <w:sz w:val="21"/>
          <w:szCs w:val="21"/>
          <w:lang w:val="es-ES"/>
        </w:rPr>
        <w:t>2.   Si el objeto del contrato de experiencia es 100% obras de infraestructura social, como la construcción de un parque, pero en su alcance se ejecutarán obras como mejoramiento de vías, se debe descontar el valor?</w:t>
      </w:r>
      <w:r w:rsidRPr="002975CD">
        <w:rPr>
          <w:rFonts w:ascii="Arial" w:hAnsi="Arial" w:cs="Arial" w:hint="eastAsia"/>
          <w:sz w:val="21"/>
          <w:szCs w:val="21"/>
        </w:rPr>
        <w:t>»</w:t>
      </w:r>
    </w:p>
    <w:p w14:paraId="107B4918" w14:textId="77777777" w:rsidR="00180AA9" w:rsidRDefault="00180AA9" w:rsidP="00180AA9">
      <w:pPr>
        <w:spacing w:line="276" w:lineRule="auto"/>
        <w:ind w:right="79" w:firstLine="708"/>
        <w:jc w:val="both"/>
        <w:rPr>
          <w:rFonts w:ascii="ArialMT" w:hAnsi="ArialMT"/>
          <w:sz w:val="22"/>
          <w:szCs w:val="22"/>
        </w:rPr>
      </w:pPr>
    </w:p>
    <w:p w14:paraId="016DD1F3" w14:textId="255FCED8" w:rsidR="003D5B8F" w:rsidRDefault="00A75896" w:rsidP="002975CD">
      <w:pPr>
        <w:spacing w:line="276" w:lineRule="auto"/>
        <w:ind w:right="79" w:firstLine="708"/>
        <w:jc w:val="both"/>
        <w:rPr>
          <w:rFonts w:ascii="ArialMT" w:hAnsi="ArialMT"/>
          <w:sz w:val="22"/>
          <w:szCs w:val="22"/>
        </w:rPr>
      </w:pPr>
      <w:r>
        <w:rPr>
          <w:rFonts w:ascii="ArialMT" w:hAnsi="ArialMT"/>
          <w:sz w:val="22"/>
          <w:szCs w:val="22"/>
        </w:rPr>
        <w:t xml:space="preserve">De igual forma, con base en las consideraciones expuestas, </w:t>
      </w:r>
      <w:r w:rsidR="003D5B8F">
        <w:rPr>
          <w:rFonts w:ascii="ArialMT" w:hAnsi="ArialMT"/>
          <w:sz w:val="22"/>
          <w:szCs w:val="22"/>
        </w:rPr>
        <w:t>en el supuesto planteado, s</w:t>
      </w:r>
      <w:r w:rsidRPr="00A75896">
        <w:rPr>
          <w:rFonts w:ascii="ArialMT" w:hAnsi="ArialMT"/>
          <w:sz w:val="22"/>
          <w:szCs w:val="22"/>
        </w:rPr>
        <w:t>egún el literal I del numeral 3.5.2</w:t>
      </w:r>
      <w:r w:rsidR="003D5B8F">
        <w:rPr>
          <w:rFonts w:ascii="ArialMT" w:hAnsi="ArialMT"/>
          <w:sz w:val="22"/>
          <w:szCs w:val="22"/>
        </w:rPr>
        <w:t xml:space="preserve"> del </w:t>
      </w:r>
      <w:r w:rsidR="00B45232">
        <w:rPr>
          <w:rFonts w:ascii="ArialMT" w:hAnsi="ArialMT"/>
          <w:sz w:val="22"/>
          <w:szCs w:val="22"/>
        </w:rPr>
        <w:t>D</w:t>
      </w:r>
      <w:r w:rsidR="003D5B8F">
        <w:rPr>
          <w:rFonts w:ascii="ArialMT" w:hAnsi="ArialMT"/>
          <w:sz w:val="22"/>
          <w:szCs w:val="22"/>
        </w:rPr>
        <w:t xml:space="preserve">ocumento </w:t>
      </w:r>
      <w:r w:rsidR="00B45232">
        <w:rPr>
          <w:rFonts w:ascii="ArialMT" w:hAnsi="ArialMT"/>
          <w:sz w:val="22"/>
          <w:szCs w:val="22"/>
        </w:rPr>
        <w:t>B</w:t>
      </w:r>
      <w:r w:rsidR="003D5B8F">
        <w:rPr>
          <w:rFonts w:ascii="ArialMT" w:hAnsi="ArialMT"/>
          <w:sz w:val="22"/>
          <w:szCs w:val="22"/>
        </w:rPr>
        <w:t>ase</w:t>
      </w:r>
      <w:r w:rsidRPr="00A75896">
        <w:rPr>
          <w:rFonts w:ascii="ArialMT" w:hAnsi="ArialMT"/>
          <w:sz w:val="22"/>
          <w:szCs w:val="22"/>
        </w:rPr>
        <w:t xml:space="preserve">,  si el objeto del contrato que se aporta </w:t>
      </w:r>
      <w:r w:rsidR="003D5B8F">
        <w:rPr>
          <w:rFonts w:ascii="ArialMT" w:hAnsi="ArialMT"/>
          <w:sz w:val="22"/>
          <w:szCs w:val="22"/>
        </w:rPr>
        <w:t>con</w:t>
      </w:r>
      <w:r w:rsidRPr="00A75896">
        <w:rPr>
          <w:rFonts w:ascii="ArialMT" w:hAnsi="ArialMT"/>
          <w:sz w:val="22"/>
          <w:szCs w:val="22"/>
        </w:rPr>
        <w:t xml:space="preserve">tiene bienes y servicios ajenos a la infraestructura social, como el caso de vías, </w:t>
      </w:r>
      <w:r w:rsidR="00B45232">
        <w:rPr>
          <w:rFonts w:ascii="ArialMT" w:hAnsi="ArialMT"/>
          <w:sz w:val="22"/>
          <w:szCs w:val="22"/>
        </w:rPr>
        <w:t>l</w:t>
      </w:r>
      <w:r w:rsidRPr="00A75896">
        <w:rPr>
          <w:rFonts w:ascii="ArialMT" w:hAnsi="ArialMT"/>
          <w:sz w:val="22"/>
          <w:szCs w:val="22"/>
        </w:rPr>
        <w:t>a Entidad Estatal solo tendrá en cuenta los valores y magnitudes ejecutadas relacionadas con este tipo de infraestructura</w:t>
      </w:r>
      <w:r w:rsidR="00D111B1">
        <w:rPr>
          <w:rFonts w:ascii="ArialMT" w:hAnsi="ArialMT"/>
          <w:sz w:val="22"/>
          <w:szCs w:val="22"/>
        </w:rPr>
        <w:t xml:space="preserve">, esto es, las que se enmarquen dentro del requisito de experiencia establecido por la respectiva </w:t>
      </w:r>
      <w:r w:rsidR="008D7FDD">
        <w:rPr>
          <w:rFonts w:ascii="ArialMT" w:hAnsi="ArialMT"/>
          <w:sz w:val="22"/>
          <w:szCs w:val="22"/>
        </w:rPr>
        <w:t xml:space="preserve">matriz. </w:t>
      </w:r>
      <w:r w:rsidRPr="00A75896">
        <w:rPr>
          <w:rFonts w:ascii="ArialMT" w:hAnsi="ArialMT"/>
          <w:sz w:val="22"/>
          <w:szCs w:val="22"/>
        </w:rPr>
        <w:t xml:space="preserve"> Para estos efectos, el oferente deberá acreditar los valores y magnitudes intervenidas dentro del respectivo contrato, empleando alguno de los documentos válidos establecidos en el numeral 3.5.5 del Pliego de Condiciones. En todo caso, la Entidad Estatal permitirá la subsanación, en los términos del numeral 1.6 del Pliego de Condiciones, requiriendo al Proponente para que acredite los valores ejecutados y magnitudes intervenidas. De no lograrse la discriminación de los valores y magnitudes ejecutadas en el marco del respectivo contrato, la Entidad Estatal no lo tendrá en cuenta para la evaluación.</w:t>
      </w:r>
      <w:r w:rsidR="003D5B8F">
        <w:rPr>
          <w:rFonts w:ascii="ArialMT" w:hAnsi="ArialMT"/>
          <w:sz w:val="22"/>
          <w:szCs w:val="22"/>
        </w:rPr>
        <w:tab/>
      </w:r>
    </w:p>
    <w:p w14:paraId="333B8581" w14:textId="77777777" w:rsidR="00180AA9" w:rsidRPr="0015287D" w:rsidRDefault="00180AA9" w:rsidP="002975CD">
      <w:pPr>
        <w:spacing w:line="276" w:lineRule="auto"/>
        <w:ind w:right="79"/>
        <w:jc w:val="both"/>
        <w:rPr>
          <w:rFonts w:ascii="Arial" w:hAnsi="Arial" w:cs="Arial"/>
          <w:color w:val="000000"/>
          <w:sz w:val="21"/>
          <w:szCs w:val="21"/>
        </w:rPr>
      </w:pPr>
    </w:p>
    <w:p w14:paraId="29B71A11" w14:textId="678EED30" w:rsidR="00BE0457" w:rsidRPr="002975CD" w:rsidRDefault="008D7FDD" w:rsidP="002975CD">
      <w:pPr>
        <w:pStyle w:val="NormalWeb"/>
        <w:spacing w:before="0" w:beforeAutospacing="0" w:after="0" w:afterAutospacing="0" w:line="240" w:lineRule="auto"/>
        <w:ind w:left="709" w:right="709"/>
        <w:rPr>
          <w:rFonts w:ascii="Arial" w:hAnsi="Arial" w:cs="Arial"/>
          <w:sz w:val="21"/>
          <w:szCs w:val="21"/>
          <w:lang w:eastAsia="es-MX"/>
        </w:rPr>
      </w:pPr>
      <w:r w:rsidRPr="00180AA9">
        <w:rPr>
          <w:rFonts w:ascii="Arial" w:hAnsi="Arial" w:cs="Arial"/>
          <w:color w:val="000000"/>
          <w:sz w:val="21"/>
          <w:szCs w:val="21"/>
          <w:lang w:val="es-ES" w:eastAsia="es-MX"/>
        </w:rPr>
        <w:t>«</w:t>
      </w:r>
      <w:r w:rsidR="00BE0457" w:rsidRPr="00180AA9">
        <w:rPr>
          <w:rFonts w:ascii="Arial" w:hAnsi="Arial" w:cs="Arial"/>
          <w:color w:val="000000"/>
          <w:sz w:val="21"/>
          <w:szCs w:val="21"/>
          <w:lang w:val="es-ES" w:eastAsia="es-MX"/>
        </w:rPr>
        <w:t>3.</w:t>
      </w:r>
      <w:r w:rsidRPr="00180AA9">
        <w:rPr>
          <w:rFonts w:ascii="Arial" w:hAnsi="Arial" w:cs="Arial"/>
          <w:color w:val="000000"/>
          <w:sz w:val="21"/>
          <w:szCs w:val="21"/>
          <w:lang w:val="es-ES" w:eastAsia="es-MX"/>
        </w:rPr>
        <w:t xml:space="preserve"> </w:t>
      </w:r>
      <w:r w:rsidR="00BE0457" w:rsidRPr="00180AA9">
        <w:rPr>
          <w:rFonts w:ascii="Arial" w:hAnsi="Arial" w:cs="Arial"/>
          <w:color w:val="000000"/>
          <w:sz w:val="21"/>
          <w:szCs w:val="21"/>
          <w:lang w:val="es-ES" w:eastAsia="es-MX"/>
        </w:rPr>
        <w:t>Que sucede si el contrato que es pretende contratar, tiene dentro de su alcance actividades ajenas a la infraestructura social, como el mejoramiento de las vías aledañas. ¿Como se debe aplicar este numeral?</w:t>
      </w:r>
      <w:r w:rsidR="00BE0457" w:rsidRPr="002975CD">
        <w:rPr>
          <w:rFonts w:ascii="Arial" w:hAnsi="Arial" w:cs="Arial" w:hint="eastAsia"/>
          <w:sz w:val="21"/>
          <w:szCs w:val="21"/>
          <w:lang w:eastAsia="es-MX"/>
        </w:rPr>
        <w:t>»</w:t>
      </w:r>
      <w:r w:rsidR="00BE0457" w:rsidRPr="002975CD">
        <w:rPr>
          <w:rFonts w:ascii="Arial" w:hAnsi="Arial" w:cs="Arial"/>
          <w:sz w:val="21"/>
          <w:szCs w:val="21"/>
          <w:lang w:eastAsia="es-MX"/>
        </w:rPr>
        <w:t xml:space="preserve"> </w:t>
      </w:r>
    </w:p>
    <w:p w14:paraId="0E7EFF15" w14:textId="77777777" w:rsidR="00180AA9" w:rsidRDefault="00180AA9" w:rsidP="002975CD">
      <w:pPr>
        <w:pStyle w:val="NormalWeb"/>
        <w:spacing w:before="0" w:beforeAutospacing="0" w:after="0" w:afterAutospacing="0"/>
        <w:rPr>
          <w:rFonts w:ascii="ArialMT" w:hAnsi="ArialMT"/>
          <w:sz w:val="22"/>
          <w:szCs w:val="22"/>
          <w:lang w:eastAsia="es-MX"/>
        </w:rPr>
      </w:pPr>
    </w:p>
    <w:p w14:paraId="75F4B20D" w14:textId="2D4367B9" w:rsidR="00FD13E3" w:rsidRDefault="00892C74" w:rsidP="0053296D">
      <w:pPr>
        <w:pStyle w:val="NormalWeb"/>
        <w:spacing w:before="0" w:beforeAutospacing="0" w:after="120" w:afterAutospacing="0"/>
        <w:ind w:firstLine="708"/>
        <w:rPr>
          <w:rFonts w:ascii="ArialMT" w:hAnsi="ArialMT"/>
          <w:sz w:val="22"/>
          <w:szCs w:val="22"/>
          <w:lang w:eastAsia="es-MX"/>
        </w:rPr>
      </w:pPr>
      <w:r>
        <w:rPr>
          <w:rFonts w:ascii="ArialMT" w:hAnsi="ArialMT"/>
          <w:sz w:val="22"/>
          <w:szCs w:val="22"/>
          <w:lang w:eastAsia="es-MX"/>
        </w:rPr>
        <w:t xml:space="preserve">En relación con el  supuesto descrito en este interrogante es necesario traer a colación el artículo 4 </w:t>
      </w:r>
      <w:r w:rsidR="0054435E" w:rsidRPr="0054435E">
        <w:rPr>
          <w:rFonts w:ascii="ArialMT" w:hAnsi="ArialMT"/>
          <w:sz w:val="22"/>
          <w:szCs w:val="22"/>
          <w:lang w:eastAsia="es-MX"/>
        </w:rPr>
        <w:t xml:space="preserve">de la Resolución 219 de 2021, </w:t>
      </w:r>
      <w:r w:rsidR="0045144F">
        <w:rPr>
          <w:rFonts w:ascii="ArialMT" w:hAnsi="ArialMT"/>
          <w:sz w:val="22"/>
          <w:szCs w:val="22"/>
          <w:lang w:eastAsia="es-MX"/>
        </w:rPr>
        <w:t xml:space="preserve">el cual señala que </w:t>
      </w:r>
      <w:r w:rsidR="0054435E" w:rsidRPr="0054435E">
        <w:rPr>
          <w:rFonts w:ascii="ArialMT" w:hAnsi="ArialMT"/>
          <w:sz w:val="22"/>
          <w:szCs w:val="22"/>
          <w:lang w:eastAsia="es-MX"/>
        </w:rPr>
        <w:t>cuando el objeto contractual incluya bienes o servicios ajenos a la obra pública de infraestructura social, la entidad estatal deberá aplicar los documentos tipo y si de manera excepcional requiere incluir experiencia adicional para evaluar la idoneidad respecto de los bienes o servicios ajenos a la obra pública</w:t>
      </w:r>
      <w:r w:rsidR="0045144F">
        <w:rPr>
          <w:rFonts w:ascii="ArialMT" w:hAnsi="ArialMT"/>
          <w:sz w:val="22"/>
          <w:szCs w:val="22"/>
          <w:lang w:eastAsia="es-MX"/>
        </w:rPr>
        <w:t xml:space="preserve"> de infraestructura social</w:t>
      </w:r>
      <w:r w:rsidR="0054435E" w:rsidRPr="0054435E">
        <w:rPr>
          <w:rFonts w:ascii="ArialMT" w:hAnsi="ArialMT"/>
          <w:sz w:val="22"/>
          <w:szCs w:val="22"/>
          <w:lang w:eastAsia="es-MX"/>
        </w:rPr>
        <w:t>, deberá seguir los parámetros desarrollados en el mismo artículo 4.</w:t>
      </w:r>
      <w:r w:rsidR="0053296D">
        <w:rPr>
          <w:rFonts w:ascii="ArialMT" w:hAnsi="ArialMT"/>
          <w:sz w:val="22"/>
          <w:szCs w:val="22"/>
          <w:lang w:eastAsia="es-MX"/>
        </w:rPr>
        <w:t xml:space="preserve"> </w:t>
      </w:r>
      <w:r w:rsidR="0054435E">
        <w:rPr>
          <w:rFonts w:ascii="ArialMT" w:hAnsi="ArialMT"/>
          <w:sz w:val="22"/>
          <w:szCs w:val="22"/>
          <w:lang w:eastAsia="es-MX"/>
        </w:rPr>
        <w:t xml:space="preserve">Por lo tanto, si el objeto a contratar tiene bienes y </w:t>
      </w:r>
      <w:r w:rsidR="0054435E">
        <w:rPr>
          <w:rFonts w:ascii="ArialMT" w:hAnsi="ArialMT"/>
          <w:sz w:val="22"/>
          <w:szCs w:val="22"/>
          <w:lang w:eastAsia="es-MX"/>
        </w:rPr>
        <w:lastRenderedPageBreak/>
        <w:t xml:space="preserve">servicios adicionales a la infraestructura social, en aplicación de las </w:t>
      </w:r>
      <w:r w:rsidR="0053296D">
        <w:rPr>
          <w:rFonts w:ascii="ArialMT" w:hAnsi="ArialMT"/>
          <w:sz w:val="22"/>
          <w:szCs w:val="22"/>
          <w:lang w:eastAsia="es-MX"/>
        </w:rPr>
        <w:t xml:space="preserve">referidas </w:t>
      </w:r>
      <w:r w:rsidR="0054435E">
        <w:rPr>
          <w:rFonts w:ascii="ArialMT" w:hAnsi="ArialMT"/>
          <w:sz w:val="22"/>
          <w:szCs w:val="22"/>
          <w:lang w:eastAsia="es-MX"/>
        </w:rPr>
        <w:t xml:space="preserve">disposiciones normativas del </w:t>
      </w:r>
      <w:r w:rsidR="0053296D">
        <w:rPr>
          <w:rFonts w:ascii="ArialMT" w:hAnsi="ArialMT"/>
          <w:sz w:val="22"/>
          <w:szCs w:val="22"/>
          <w:lang w:eastAsia="es-MX"/>
        </w:rPr>
        <w:t>D</w:t>
      </w:r>
      <w:r w:rsidR="0054435E">
        <w:rPr>
          <w:rFonts w:ascii="ArialMT" w:hAnsi="ArialMT"/>
          <w:sz w:val="22"/>
          <w:szCs w:val="22"/>
          <w:lang w:eastAsia="es-MX"/>
        </w:rPr>
        <w:t xml:space="preserve">ocumento </w:t>
      </w:r>
      <w:r w:rsidR="0053296D">
        <w:rPr>
          <w:rFonts w:ascii="ArialMT" w:hAnsi="ArialMT"/>
          <w:sz w:val="22"/>
          <w:szCs w:val="22"/>
          <w:lang w:eastAsia="es-MX"/>
        </w:rPr>
        <w:t>B</w:t>
      </w:r>
      <w:r w:rsidR="0054435E">
        <w:rPr>
          <w:rFonts w:ascii="ArialMT" w:hAnsi="ArialMT"/>
          <w:sz w:val="22"/>
          <w:szCs w:val="22"/>
          <w:lang w:eastAsia="es-MX"/>
        </w:rPr>
        <w:t xml:space="preserve">ase, la entidad estatal deberá </w:t>
      </w:r>
      <w:r w:rsidR="0053296D">
        <w:rPr>
          <w:rFonts w:ascii="ArialMT" w:hAnsi="ArialMT"/>
          <w:sz w:val="22"/>
          <w:szCs w:val="22"/>
          <w:lang w:eastAsia="es-MX"/>
        </w:rPr>
        <w:t>incluir requisitos de experiencia</w:t>
      </w:r>
      <w:r w:rsidR="001C4B15">
        <w:rPr>
          <w:rFonts w:ascii="ArialMT" w:hAnsi="ArialMT"/>
          <w:sz w:val="22"/>
          <w:szCs w:val="22"/>
          <w:lang w:eastAsia="es-MX"/>
        </w:rPr>
        <w:t xml:space="preserve"> adicionales</w:t>
      </w:r>
      <w:r w:rsidR="00B47421">
        <w:rPr>
          <w:rFonts w:ascii="ArialMT" w:hAnsi="ArialMT"/>
          <w:sz w:val="22"/>
          <w:szCs w:val="22"/>
          <w:lang w:eastAsia="es-MX"/>
        </w:rPr>
        <w:t xml:space="preserve"> para evaluar la idoneidad del proponente respecto de los bienes y servicios ajenos a la obra pública de infraestructura social</w:t>
      </w:r>
      <w:r w:rsidR="002E3C38">
        <w:rPr>
          <w:rFonts w:ascii="ArialMT" w:hAnsi="ArialMT"/>
          <w:sz w:val="22"/>
          <w:szCs w:val="22"/>
          <w:lang w:eastAsia="es-MX"/>
        </w:rPr>
        <w:t>.</w:t>
      </w:r>
    </w:p>
    <w:p w14:paraId="5D13C4C4" w14:textId="6686E711" w:rsidR="001C4B15" w:rsidRDefault="006659B8" w:rsidP="0053296D">
      <w:pPr>
        <w:pStyle w:val="NormalWeb"/>
        <w:spacing w:before="0" w:beforeAutospacing="0" w:after="120" w:afterAutospacing="0"/>
        <w:ind w:firstLine="708"/>
        <w:rPr>
          <w:rFonts w:ascii="ArialMT" w:hAnsi="ArialMT"/>
          <w:sz w:val="22"/>
          <w:szCs w:val="22"/>
          <w:lang w:eastAsia="es-MX"/>
        </w:rPr>
      </w:pPr>
      <w:r>
        <w:rPr>
          <w:rFonts w:ascii="ArialMT" w:hAnsi="ArialMT"/>
          <w:sz w:val="22"/>
          <w:szCs w:val="22"/>
          <w:lang w:eastAsia="es-MX"/>
        </w:rPr>
        <w:t>Ahora bien, de conformidad con el parágrafo 1 del artículo 4 de la Resolución 219 de 2021</w:t>
      </w:r>
      <w:r w:rsidR="00691194">
        <w:rPr>
          <w:rFonts w:ascii="ArialMT" w:hAnsi="ArialMT"/>
          <w:sz w:val="22"/>
          <w:szCs w:val="22"/>
          <w:lang w:eastAsia="es-MX"/>
        </w:rPr>
        <w:t xml:space="preserve">, en </w:t>
      </w:r>
      <w:r>
        <w:rPr>
          <w:rFonts w:ascii="ArialMT" w:hAnsi="ArialMT"/>
          <w:sz w:val="22"/>
          <w:szCs w:val="22"/>
          <w:lang w:eastAsia="es-MX"/>
        </w:rPr>
        <w:t>los</w:t>
      </w:r>
      <w:r w:rsidR="001C4B15">
        <w:rPr>
          <w:rFonts w:ascii="ArialMT" w:hAnsi="ArialMT"/>
          <w:sz w:val="22"/>
          <w:szCs w:val="22"/>
          <w:lang w:eastAsia="es-MX"/>
        </w:rPr>
        <w:t xml:space="preserve"> </w:t>
      </w:r>
      <w:r w:rsidR="00D621AB">
        <w:rPr>
          <w:rFonts w:ascii="ArialMT" w:hAnsi="ArialMT"/>
          <w:sz w:val="22"/>
          <w:szCs w:val="22"/>
          <w:lang w:eastAsia="es-MX"/>
        </w:rPr>
        <w:t>eventos</w:t>
      </w:r>
      <w:r w:rsidR="001C4B15">
        <w:rPr>
          <w:rFonts w:ascii="ArialMT" w:hAnsi="ArialMT"/>
          <w:sz w:val="22"/>
          <w:szCs w:val="22"/>
          <w:lang w:eastAsia="es-MX"/>
        </w:rPr>
        <w:t xml:space="preserve"> en el que el componente adicional a la obra pública</w:t>
      </w:r>
      <w:r w:rsidR="00691194">
        <w:rPr>
          <w:rFonts w:ascii="ArialMT" w:hAnsi="ArialMT"/>
          <w:sz w:val="22"/>
          <w:szCs w:val="22"/>
          <w:lang w:eastAsia="es-MX"/>
        </w:rPr>
        <w:t xml:space="preserve"> de infraestructura social</w:t>
      </w:r>
      <w:r w:rsidR="0017361B">
        <w:rPr>
          <w:rFonts w:ascii="ArialMT" w:hAnsi="ArialMT"/>
          <w:sz w:val="22"/>
          <w:szCs w:val="22"/>
          <w:lang w:eastAsia="es-MX"/>
        </w:rPr>
        <w:t xml:space="preserve"> consista en objetos cobijados por otros documentos tipo </w:t>
      </w:r>
      <w:r w:rsidR="0017361B">
        <w:rPr>
          <w:rFonts w:ascii="ArialMT" w:hAnsi="ArialMT" w:hint="eastAsia"/>
          <w:sz w:val="22"/>
          <w:szCs w:val="22"/>
          <w:lang w:eastAsia="es-MX"/>
        </w:rPr>
        <w:t>–</w:t>
      </w:r>
      <w:r w:rsidR="0017361B" w:rsidRPr="002975CD">
        <w:rPr>
          <w:rFonts w:ascii="ArialMT" w:hAnsi="ArialMT"/>
          <w:i/>
          <w:iCs/>
          <w:sz w:val="22"/>
          <w:szCs w:val="22"/>
          <w:lang w:eastAsia="es-MX"/>
        </w:rPr>
        <w:t>v.g.</w:t>
      </w:r>
      <w:r w:rsidR="0017361B">
        <w:rPr>
          <w:rFonts w:ascii="ArialMT" w:hAnsi="ArialMT"/>
          <w:sz w:val="22"/>
          <w:szCs w:val="22"/>
          <w:lang w:eastAsia="es-MX"/>
        </w:rPr>
        <w:t xml:space="preserve"> los documentos tipo de infraestructura de transporte </w:t>
      </w:r>
      <w:r w:rsidR="00D621AB">
        <w:rPr>
          <w:rFonts w:ascii="ArialMT" w:hAnsi="ArialMT"/>
          <w:sz w:val="22"/>
          <w:szCs w:val="22"/>
          <w:lang w:eastAsia="es-MX"/>
        </w:rPr>
        <w:t>en el caso de</w:t>
      </w:r>
      <w:r w:rsidR="0083734E">
        <w:rPr>
          <w:rFonts w:ascii="ArialMT" w:hAnsi="ArialMT"/>
          <w:sz w:val="22"/>
          <w:szCs w:val="22"/>
          <w:lang w:eastAsia="es-MX"/>
        </w:rPr>
        <w:t>l mejoramiento de</w:t>
      </w:r>
      <w:r w:rsidR="00D621AB">
        <w:rPr>
          <w:rFonts w:ascii="ArialMT" w:hAnsi="ArialMT"/>
          <w:sz w:val="22"/>
          <w:szCs w:val="22"/>
          <w:lang w:eastAsia="es-MX"/>
        </w:rPr>
        <w:t xml:space="preserve"> las vías aledañas</w:t>
      </w:r>
      <w:r w:rsidR="00D621AB">
        <w:rPr>
          <w:rFonts w:ascii="ArialMT" w:hAnsi="ArialMT" w:hint="eastAsia"/>
          <w:sz w:val="22"/>
          <w:szCs w:val="22"/>
          <w:lang w:eastAsia="es-MX"/>
        </w:rPr>
        <w:t>–</w:t>
      </w:r>
      <w:r w:rsidR="00A27311">
        <w:rPr>
          <w:rFonts w:ascii="ArialMT" w:hAnsi="ArialMT"/>
          <w:sz w:val="22"/>
          <w:szCs w:val="22"/>
          <w:lang w:eastAsia="es-MX"/>
        </w:rPr>
        <w:t xml:space="preserve">, la entidad deberá aplicar las reglas de combinación de experiencia </w:t>
      </w:r>
      <w:r w:rsidR="003B59B0">
        <w:rPr>
          <w:rFonts w:ascii="ArialMT" w:hAnsi="ArialMT"/>
          <w:sz w:val="22"/>
          <w:szCs w:val="22"/>
          <w:lang w:eastAsia="es-MX"/>
        </w:rPr>
        <w:t>previstas en el numeral 3.5.1. del Documento Base. La aplicación de estas reglas de experiencia</w:t>
      </w:r>
      <w:r w:rsidR="007B23FC">
        <w:rPr>
          <w:rFonts w:ascii="ArialMT" w:hAnsi="ArialMT"/>
          <w:sz w:val="22"/>
          <w:szCs w:val="22"/>
          <w:lang w:eastAsia="es-MX"/>
        </w:rPr>
        <w:t xml:space="preserve"> parte de la identificación de una actividad principal, constituida por la </w:t>
      </w:r>
      <w:r w:rsidR="00D33AA8">
        <w:rPr>
          <w:rFonts w:ascii="ArialMT" w:hAnsi="ArialMT"/>
          <w:sz w:val="22"/>
          <w:szCs w:val="22"/>
          <w:lang w:eastAsia="es-MX"/>
        </w:rPr>
        <w:t>obra pública del infraestructura social</w:t>
      </w:r>
      <w:r w:rsidR="00F96F94">
        <w:rPr>
          <w:rFonts w:ascii="ArialMT" w:hAnsi="ArialMT"/>
          <w:sz w:val="22"/>
          <w:szCs w:val="22"/>
          <w:lang w:eastAsia="es-MX"/>
        </w:rPr>
        <w:t xml:space="preserve"> y una secundaría correspondiente a la cobijada por el otro documento tipo</w:t>
      </w:r>
      <w:r w:rsidR="0033389E">
        <w:rPr>
          <w:rFonts w:ascii="ArialMT" w:hAnsi="ArialMT"/>
          <w:sz w:val="22"/>
          <w:szCs w:val="22"/>
          <w:lang w:eastAsia="es-MX"/>
        </w:rPr>
        <w:t>.</w:t>
      </w:r>
    </w:p>
    <w:p w14:paraId="372B4FAF" w14:textId="467F50F9" w:rsidR="003B59B0" w:rsidRDefault="0033389E" w:rsidP="003B59B0">
      <w:pPr>
        <w:spacing w:after="120" w:line="276" w:lineRule="auto"/>
        <w:ind w:firstLine="709"/>
        <w:jc w:val="both"/>
        <w:rPr>
          <w:rFonts w:ascii="Arial" w:hAnsi="Arial" w:cs="Arial"/>
          <w:sz w:val="22"/>
        </w:rPr>
      </w:pPr>
      <w:r>
        <w:rPr>
          <w:rFonts w:ascii="Arial" w:hAnsi="Arial" w:cs="Arial"/>
          <w:sz w:val="22"/>
        </w:rPr>
        <w:t>D</w:t>
      </w:r>
      <w:r w:rsidR="003B59B0" w:rsidRPr="00E137DC">
        <w:rPr>
          <w:rFonts w:ascii="Arial" w:hAnsi="Arial" w:cs="Arial"/>
          <w:sz w:val="22"/>
        </w:rPr>
        <w:t>efinida la</w:t>
      </w:r>
      <w:r>
        <w:rPr>
          <w:rFonts w:ascii="Arial" w:hAnsi="Arial" w:cs="Arial"/>
          <w:sz w:val="22"/>
        </w:rPr>
        <w:t>s</w:t>
      </w:r>
      <w:r w:rsidR="003B59B0" w:rsidRPr="00E137DC">
        <w:rPr>
          <w:rFonts w:ascii="Arial" w:hAnsi="Arial" w:cs="Arial"/>
          <w:sz w:val="22"/>
        </w:rPr>
        <w:t xml:space="preserve"> actividad</w:t>
      </w:r>
      <w:r>
        <w:rPr>
          <w:rFonts w:ascii="Arial" w:hAnsi="Arial" w:cs="Arial"/>
          <w:sz w:val="22"/>
        </w:rPr>
        <w:t xml:space="preserve">es </w:t>
      </w:r>
      <w:r w:rsidR="003B59B0" w:rsidRPr="00E137DC">
        <w:rPr>
          <w:rFonts w:ascii="Arial" w:hAnsi="Arial" w:cs="Arial"/>
          <w:sz w:val="22"/>
        </w:rPr>
        <w:t>principal y secundaria, la entidad estatal debe determinar los requisitos de experiencia exigibles de acuerdo con la matriz de experiencia aplicable, de alguna de la siguientes formas: i) no solicitando experiencia para la actividad secundaria, sino únicamente para la principal, siempre que esta se trat</w:t>
      </w:r>
      <w:r w:rsidR="003B59B0">
        <w:rPr>
          <w:rFonts w:ascii="Arial" w:hAnsi="Arial" w:cs="Arial"/>
          <w:sz w:val="22"/>
        </w:rPr>
        <w:t>e</w:t>
      </w:r>
      <w:r w:rsidR="003B59B0" w:rsidRPr="00E137DC">
        <w:rPr>
          <w:rFonts w:ascii="Arial" w:hAnsi="Arial" w:cs="Arial"/>
          <w:sz w:val="22"/>
        </w:rPr>
        <w:t xml:space="preserve"> de una actividad definida en las matrices de experiencia de los documentos tipo de infraestructura social, o </w:t>
      </w:r>
      <w:proofErr w:type="spellStart"/>
      <w:r w:rsidR="003B59B0" w:rsidRPr="00E137DC">
        <w:rPr>
          <w:rFonts w:ascii="Arial" w:hAnsi="Arial" w:cs="Arial"/>
          <w:sz w:val="22"/>
        </w:rPr>
        <w:t>ii</w:t>
      </w:r>
      <w:proofErr w:type="spellEnd"/>
      <w:r w:rsidR="003B59B0" w:rsidRPr="00E137DC">
        <w:rPr>
          <w:rFonts w:ascii="Arial" w:hAnsi="Arial" w:cs="Arial"/>
          <w:sz w:val="22"/>
        </w:rPr>
        <w:t>) solicitando experiencia general y específica de la actividad principal, y requiriendo la experiencia específica correspondiente a la respectiva matriz de experiencia para el caso de las actividades secundarias –salvo que la matriz aplicable no contemple experiencia específica para determinada actividad secundaria, caso en el cual se podrá solicitar la experiencia general–.</w:t>
      </w:r>
      <w:r w:rsidR="003B59B0">
        <w:rPr>
          <w:rFonts w:ascii="Arial" w:hAnsi="Arial" w:cs="Arial"/>
          <w:sz w:val="22"/>
        </w:rPr>
        <w:t xml:space="preserve"> La experiencia exigible para las actividades principal y secundaria, debe ser definida en función de los rangos de cuantías aplicables al respectivo proceso de contratación. En todo caso, la entidad contratante no puede incluir más de 2 combinaciones de experiencia adicionales a la prevista para la actividad principal.</w:t>
      </w:r>
    </w:p>
    <w:p w14:paraId="139CCC56" w14:textId="77777777" w:rsidR="003B59B0" w:rsidRDefault="003B59B0" w:rsidP="003B59B0">
      <w:pPr>
        <w:spacing w:after="120" w:line="276" w:lineRule="auto"/>
        <w:ind w:firstLine="709"/>
        <w:jc w:val="both"/>
        <w:rPr>
          <w:rFonts w:ascii="Arial" w:hAnsi="Arial" w:cs="Arial"/>
          <w:sz w:val="22"/>
        </w:rPr>
      </w:pPr>
      <w:r>
        <w:rPr>
          <w:rFonts w:ascii="Arial" w:hAnsi="Arial" w:cs="Arial"/>
          <w:sz w:val="22"/>
        </w:rPr>
        <w:t xml:space="preserve"> De acuerdo con esto, la hipótesis establecida en el tercer interrogante, en el marco de la cual se pretende adelantar un proceso de licitación de obra pública de infraestructura social que incluye dentro de su alcance obras de mejoramiento de vías, es un supuesto en el cual debe aplicarse lo dispuestos en el parágrafo 1 del artículo 4 de la Resolución 219 de 2021, y, en consecuencia, las reglas de combinación de experiencia establecidas en el numeral 3.5.1. Esto comoquiera que las obras de infraestructura de transporte se encuentran cobijadas por los documentos tipo adoptados mediante las resoluciones 094, 240 de 2020 y 241 de 2020, expedidas por esta Agencia. </w:t>
      </w:r>
    </w:p>
    <w:p w14:paraId="0157B7F8" w14:textId="6B5CC49B" w:rsidR="003B59B0" w:rsidRDefault="0033389E" w:rsidP="003B59B0">
      <w:pPr>
        <w:spacing w:line="276" w:lineRule="auto"/>
        <w:ind w:firstLine="709"/>
        <w:jc w:val="both"/>
        <w:rPr>
          <w:rFonts w:ascii="Arial" w:hAnsi="Arial" w:cs="Arial"/>
          <w:sz w:val="22"/>
        </w:rPr>
      </w:pPr>
      <w:r>
        <w:rPr>
          <w:rFonts w:ascii="Arial" w:hAnsi="Arial" w:cs="Arial"/>
          <w:sz w:val="22"/>
        </w:rPr>
        <w:t>Sin perjuicio de lo anterior</w:t>
      </w:r>
      <w:r w:rsidR="003B59B0">
        <w:rPr>
          <w:rFonts w:ascii="Arial" w:hAnsi="Arial" w:cs="Arial"/>
          <w:sz w:val="22"/>
        </w:rPr>
        <w:t>, la regla del literal I del numeral 3.5.2</w:t>
      </w:r>
      <w:r>
        <w:rPr>
          <w:rFonts w:ascii="Arial" w:hAnsi="Arial" w:cs="Arial"/>
          <w:sz w:val="22"/>
        </w:rPr>
        <w:t xml:space="preserve"> del Documento Base</w:t>
      </w:r>
      <w:r w:rsidR="003B59B0">
        <w:rPr>
          <w:rFonts w:ascii="Arial" w:hAnsi="Arial" w:cs="Arial"/>
          <w:sz w:val="22"/>
        </w:rPr>
        <w:t xml:space="preserve"> también es aplicable en la evaluación de los requisitos configurados en virtud de la reglas de combinación de experiencia, lo que significa todos aquellos requerimientos de </w:t>
      </w:r>
      <w:r w:rsidR="003B59B0">
        <w:rPr>
          <w:rFonts w:ascii="Arial" w:hAnsi="Arial" w:cs="Arial"/>
          <w:sz w:val="22"/>
        </w:rPr>
        <w:lastRenderedPageBreak/>
        <w:t>experiencia que estén planteados en términos de dimensionamiento requieren que el proponente acredite las respectivas dimensiones, estando facultadas las entidades para descontar las áreas o longitudes no relacionadas con los requisitos de experiencia establecidos para la actividad principal–configurados a partir de la matriz de experiencia del sector recreación, cultura y deporte–, como los precisen para la actividad secundaría–establecidos a partir de otra matriz de experiencia</w:t>
      </w:r>
      <w:r w:rsidR="003B59B0">
        <w:rPr>
          <w:rFonts w:ascii="Arial" w:hAnsi="Arial" w:cs="Arial"/>
          <w:i/>
          <w:iCs/>
          <w:sz w:val="22"/>
        </w:rPr>
        <w:t xml:space="preserve">–. </w:t>
      </w:r>
      <w:r>
        <w:rPr>
          <w:rFonts w:ascii="Arial" w:hAnsi="Arial" w:cs="Arial"/>
          <w:sz w:val="22"/>
        </w:rPr>
        <w:t>Sin embargo,</w:t>
      </w:r>
      <w:r w:rsidR="003B59B0">
        <w:rPr>
          <w:rFonts w:ascii="Arial" w:hAnsi="Arial" w:cs="Arial"/>
          <w:sz w:val="22"/>
        </w:rPr>
        <w:t xml:space="preserve"> la aplicación de la regla en este sentido no significa que las magnitudes descartadas </w:t>
      </w:r>
      <w:r w:rsidR="00EA73B0">
        <w:rPr>
          <w:rFonts w:ascii="Arial" w:hAnsi="Arial" w:cs="Arial"/>
          <w:sz w:val="22"/>
        </w:rPr>
        <w:t>en</w:t>
      </w:r>
      <w:r w:rsidR="003B59B0">
        <w:rPr>
          <w:rFonts w:ascii="Arial" w:hAnsi="Arial" w:cs="Arial"/>
          <w:sz w:val="22"/>
        </w:rPr>
        <w:t xml:space="preserve"> el c</w:t>
      </w:r>
      <w:r>
        <w:rPr>
          <w:rFonts w:ascii="Arial" w:hAnsi="Arial" w:cs="Arial"/>
          <w:sz w:val="22"/>
        </w:rPr>
        <w:t>ó</w:t>
      </w:r>
      <w:r w:rsidR="003B59B0">
        <w:rPr>
          <w:rFonts w:ascii="Arial" w:hAnsi="Arial" w:cs="Arial"/>
          <w:sz w:val="22"/>
        </w:rPr>
        <w:t>mputo de la experiencia establecida para la actividad principal no pueda ser tenida en cuenta para la actividad secundaria y viceversa. En ese sentido, la regla del literal I en casos de experiencia combinada debe ser aplicada en función de cada uno de los requisitos</w:t>
      </w:r>
      <w:r w:rsidR="00336542">
        <w:rPr>
          <w:rFonts w:ascii="Arial" w:hAnsi="Arial" w:cs="Arial"/>
          <w:sz w:val="22"/>
        </w:rPr>
        <w:t xml:space="preserve">, pero no de manera global sino diferenciada. </w:t>
      </w:r>
      <w:r w:rsidR="00C02872">
        <w:rPr>
          <w:rFonts w:ascii="Arial" w:hAnsi="Arial" w:cs="Arial"/>
          <w:sz w:val="22"/>
        </w:rPr>
        <w:t xml:space="preserve"> </w:t>
      </w:r>
    </w:p>
    <w:p w14:paraId="4D60E81F" w14:textId="77777777" w:rsidR="007E7D92" w:rsidRDefault="007E7D92" w:rsidP="008A0CF3">
      <w:pPr>
        <w:spacing w:before="240" w:line="276" w:lineRule="auto"/>
        <w:jc w:val="both"/>
        <w:rPr>
          <w:rFonts w:ascii="Arial" w:eastAsia="Calibri" w:hAnsi="Arial" w:cs="Arial"/>
          <w:sz w:val="22"/>
        </w:rPr>
      </w:pPr>
      <w:r>
        <w:rPr>
          <w:rFonts w:ascii="Arial" w:eastAsia="Calibri" w:hAnsi="Arial" w:cs="Arial"/>
          <w:sz w:val="22"/>
        </w:rPr>
        <w:t>Este concepto tiene el alcance previsto en el artículo 28 del Código de Procedimiento Administrativo y de lo Contencioso Administrativo.</w:t>
      </w:r>
    </w:p>
    <w:p w14:paraId="73353508" w14:textId="4C7518FC" w:rsidR="00EE6A82" w:rsidRPr="00515D32" w:rsidRDefault="00EE6A82" w:rsidP="0060232B">
      <w:pPr>
        <w:spacing w:before="240" w:line="276" w:lineRule="auto"/>
        <w:ind w:right="51"/>
        <w:jc w:val="both"/>
        <w:rPr>
          <w:rFonts w:ascii="Arial" w:hAnsi="Arial" w:cs="Arial"/>
          <w:color w:val="161616" w:themeColor="background1" w:themeShade="1A"/>
          <w:sz w:val="22"/>
          <w:szCs w:val="22"/>
          <w:lang w:val="es-ES_tradnl" w:eastAsia="es-CO"/>
        </w:rPr>
      </w:pPr>
      <w:bookmarkStart w:id="15" w:name="_Hlk50986665"/>
      <w:bookmarkStart w:id="16" w:name="_Hlk52766744"/>
      <w:r w:rsidRPr="00515D32">
        <w:rPr>
          <w:rFonts w:ascii="Arial" w:hAnsi="Arial" w:cs="Arial"/>
          <w:color w:val="161616" w:themeColor="background1" w:themeShade="1A"/>
          <w:sz w:val="22"/>
          <w:szCs w:val="22"/>
          <w:lang w:val="es-ES_tradnl" w:eastAsia="es-CO"/>
        </w:rPr>
        <w:t>Atentamente,</w:t>
      </w:r>
    </w:p>
    <w:bookmarkEnd w:id="3"/>
    <w:bookmarkEnd w:id="15"/>
    <w:bookmarkEnd w:id="16"/>
    <w:p w14:paraId="35B56F46" w14:textId="5C2F63E9" w:rsidR="00746E08" w:rsidRDefault="00746E08" w:rsidP="0022167B">
      <w:pPr>
        <w:jc w:val="center"/>
        <w:rPr>
          <w:rFonts w:ascii="Arial" w:hAnsi="Arial" w:cs="Arial"/>
          <w:noProof/>
          <w:color w:val="161616" w:themeColor="background1" w:themeShade="1A"/>
          <w:sz w:val="22"/>
          <w:szCs w:val="22"/>
          <w:lang w:eastAsia="es-CO"/>
        </w:rPr>
      </w:pPr>
    </w:p>
    <w:p w14:paraId="0C5F8002" w14:textId="28DCEE7C" w:rsidR="001932CC" w:rsidRPr="003362CD" w:rsidRDefault="00343C1C" w:rsidP="001932CC">
      <w:pPr>
        <w:pStyle w:val="NormalWeb"/>
        <w:spacing w:before="0" w:beforeAutospacing="0" w:after="0" w:afterAutospacing="0"/>
        <w:jc w:val="center"/>
        <w:rPr>
          <w:rFonts w:ascii="Arial" w:hAnsi="Arial" w:cs="Arial"/>
          <w:sz w:val="22"/>
          <w:szCs w:val="22"/>
          <w:lang w:val="es-ES_tradnl"/>
        </w:rPr>
      </w:pPr>
      <w:r>
        <w:rPr>
          <w:noProof/>
        </w:rPr>
        <w:drawing>
          <wp:inline distT="0" distB="0" distL="0" distR="0" wp14:anchorId="5E52462A" wp14:editId="155AABFA">
            <wp:extent cx="2534004" cy="981212"/>
            <wp:effectExtent l="0" t="0" r="0" b="9525"/>
            <wp:docPr id="5" name="Imagen 5"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 Carta&#10;&#10;Descripción generada automáticamente"/>
                    <pic:cNvPicPr/>
                  </pic:nvPicPr>
                  <pic:blipFill>
                    <a:blip r:embed="rId12"/>
                    <a:stretch>
                      <a:fillRect/>
                    </a:stretch>
                  </pic:blipFill>
                  <pic:spPr>
                    <a:xfrm>
                      <a:off x="0" y="0"/>
                      <a:ext cx="2534004" cy="981212"/>
                    </a:xfrm>
                    <a:prstGeom prst="rect">
                      <a:avLst/>
                    </a:prstGeom>
                  </pic:spPr>
                </pic:pic>
              </a:graphicData>
            </a:graphic>
          </wp:inline>
        </w:drawing>
      </w:r>
    </w:p>
    <w:p w14:paraId="46BE8F6A" w14:textId="77777777" w:rsidR="001932CC" w:rsidRPr="003362CD" w:rsidRDefault="001932CC" w:rsidP="001932CC">
      <w:pPr>
        <w:pStyle w:val="NormalWeb"/>
        <w:spacing w:before="0" w:beforeAutospacing="0" w:after="0" w:afterAutospacing="0"/>
        <w:jc w:val="center"/>
        <w:rPr>
          <w:rFonts w:ascii="Arial" w:hAnsi="Arial" w:cs="Arial"/>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932CC" w:rsidRPr="003362CD" w14:paraId="497AAD0F" w14:textId="77777777" w:rsidTr="00D8742C">
        <w:trPr>
          <w:trHeight w:val="315"/>
        </w:trPr>
        <w:tc>
          <w:tcPr>
            <w:tcW w:w="812" w:type="dxa"/>
            <w:vAlign w:val="center"/>
            <w:hideMark/>
          </w:tcPr>
          <w:p w14:paraId="1790A250" w14:textId="77777777" w:rsidR="001932CC" w:rsidRPr="003362CD" w:rsidRDefault="001932CC" w:rsidP="00D8742C">
            <w:pPr>
              <w:jc w:val="both"/>
              <w:rPr>
                <w:rFonts w:ascii="Arial" w:hAnsi="Arial" w:cs="Arial"/>
                <w:sz w:val="16"/>
                <w:szCs w:val="16"/>
                <w:lang w:val="es-ES_tradnl" w:eastAsia="es-ES"/>
              </w:rPr>
            </w:pPr>
            <w:r w:rsidRPr="003362CD">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22AF9182" w14:textId="77777777" w:rsidR="001932CC" w:rsidRPr="003362CD" w:rsidRDefault="001932CC" w:rsidP="00D8742C">
            <w:pPr>
              <w:jc w:val="both"/>
              <w:rPr>
                <w:rFonts w:ascii="Arial" w:hAnsi="Arial" w:cs="Arial"/>
                <w:sz w:val="16"/>
                <w:szCs w:val="16"/>
                <w:lang w:val="es-ES_tradnl" w:eastAsia="es-ES"/>
              </w:rPr>
            </w:pPr>
            <w:r>
              <w:rPr>
                <w:rFonts w:ascii="Arial" w:hAnsi="Arial" w:cs="Arial"/>
                <w:sz w:val="16"/>
                <w:szCs w:val="16"/>
                <w:lang w:val="es-ES_tradnl" w:eastAsia="es-ES"/>
              </w:rPr>
              <w:t>Camilo Perdomo Villamil</w:t>
            </w:r>
          </w:p>
          <w:p w14:paraId="446DF5C7" w14:textId="77777777" w:rsidR="001932CC" w:rsidRPr="003362CD" w:rsidRDefault="001932CC" w:rsidP="00D8742C">
            <w:pPr>
              <w:jc w:val="both"/>
              <w:rPr>
                <w:rFonts w:ascii="Arial" w:hAnsi="Arial" w:cs="Arial"/>
                <w:sz w:val="16"/>
                <w:szCs w:val="16"/>
                <w:lang w:val="es-ES_tradnl" w:eastAsia="es-ES"/>
              </w:rPr>
            </w:pPr>
            <w:r w:rsidRPr="003362CD">
              <w:rPr>
                <w:rFonts w:ascii="Arial" w:hAnsi="Arial" w:cs="Arial"/>
                <w:sz w:val="16"/>
                <w:szCs w:val="16"/>
                <w:lang w:val="es-ES_tradnl" w:eastAsia="es-ES"/>
              </w:rPr>
              <w:t>Contratista de la Subdirección de Gestión Contractual</w:t>
            </w:r>
          </w:p>
        </w:tc>
      </w:tr>
      <w:tr w:rsidR="001932CC" w:rsidRPr="003362CD" w14:paraId="57C39515" w14:textId="77777777" w:rsidTr="00D8742C">
        <w:trPr>
          <w:trHeight w:val="330"/>
        </w:trPr>
        <w:tc>
          <w:tcPr>
            <w:tcW w:w="812" w:type="dxa"/>
            <w:vAlign w:val="center"/>
            <w:hideMark/>
          </w:tcPr>
          <w:p w14:paraId="024DE328" w14:textId="77777777" w:rsidR="001932CC" w:rsidRPr="003362CD" w:rsidRDefault="001932CC" w:rsidP="00D8742C">
            <w:pPr>
              <w:jc w:val="both"/>
              <w:rPr>
                <w:rFonts w:ascii="Arial" w:hAnsi="Arial" w:cs="Arial"/>
                <w:sz w:val="16"/>
                <w:szCs w:val="16"/>
                <w:lang w:val="es-ES_tradnl" w:eastAsia="es-ES"/>
              </w:rPr>
            </w:pPr>
            <w:r w:rsidRPr="003362CD">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1102CAF" w14:textId="1160DFB9" w:rsidR="001932CC" w:rsidRPr="003362CD" w:rsidRDefault="001932CC" w:rsidP="00D8742C">
            <w:pPr>
              <w:jc w:val="both"/>
              <w:rPr>
                <w:rFonts w:ascii="Arial" w:hAnsi="Arial" w:cs="Arial"/>
                <w:sz w:val="16"/>
                <w:szCs w:val="16"/>
                <w:lang w:val="es-ES_tradnl" w:eastAsia="es-ES"/>
              </w:rPr>
            </w:pPr>
            <w:r>
              <w:rPr>
                <w:rFonts w:ascii="Arial" w:hAnsi="Arial" w:cs="Arial"/>
                <w:sz w:val="16"/>
                <w:szCs w:val="16"/>
                <w:lang w:val="es-ES_tradnl" w:eastAsia="es-ES"/>
              </w:rPr>
              <w:t xml:space="preserve">Alejandro Sarmiento Cantillo </w:t>
            </w:r>
          </w:p>
          <w:p w14:paraId="648EDD10" w14:textId="77777777" w:rsidR="001932CC" w:rsidRPr="003362CD" w:rsidRDefault="001932CC" w:rsidP="00D8742C">
            <w:pPr>
              <w:jc w:val="both"/>
              <w:rPr>
                <w:rFonts w:ascii="Arial" w:hAnsi="Arial" w:cs="Arial"/>
                <w:sz w:val="16"/>
                <w:szCs w:val="16"/>
                <w:lang w:val="es-ES_tradnl" w:eastAsia="es-ES"/>
              </w:rPr>
            </w:pPr>
            <w:r w:rsidRPr="003362CD">
              <w:rPr>
                <w:rFonts w:ascii="Arial" w:hAnsi="Arial" w:cs="Arial"/>
                <w:sz w:val="16"/>
                <w:szCs w:val="16"/>
                <w:lang w:val="es-ES_tradnl" w:eastAsia="es-ES"/>
              </w:rPr>
              <w:t>Gestor T1-1</w:t>
            </w:r>
            <w:r>
              <w:rPr>
                <w:rFonts w:ascii="Arial" w:hAnsi="Arial" w:cs="Arial"/>
                <w:sz w:val="16"/>
                <w:szCs w:val="16"/>
                <w:lang w:val="es-ES_tradnl" w:eastAsia="es-ES"/>
              </w:rPr>
              <w:t>5</w:t>
            </w:r>
            <w:r w:rsidRPr="003362CD">
              <w:rPr>
                <w:rFonts w:ascii="Arial" w:hAnsi="Arial" w:cs="Arial"/>
                <w:sz w:val="16"/>
                <w:szCs w:val="16"/>
                <w:lang w:val="es-ES_tradnl" w:eastAsia="es-ES"/>
              </w:rPr>
              <w:t xml:space="preserve"> de la Subdirección de Gestión Contractual</w:t>
            </w:r>
          </w:p>
        </w:tc>
      </w:tr>
      <w:tr w:rsidR="001932CC" w:rsidRPr="00BA5F98" w14:paraId="6DF96BC4" w14:textId="77777777" w:rsidTr="00D8742C">
        <w:trPr>
          <w:trHeight w:val="300"/>
        </w:trPr>
        <w:tc>
          <w:tcPr>
            <w:tcW w:w="812" w:type="dxa"/>
            <w:vAlign w:val="center"/>
            <w:hideMark/>
          </w:tcPr>
          <w:p w14:paraId="053B3168" w14:textId="77777777" w:rsidR="001932CC" w:rsidRPr="003362CD" w:rsidRDefault="001932CC" w:rsidP="00D8742C">
            <w:pPr>
              <w:jc w:val="both"/>
              <w:rPr>
                <w:rFonts w:ascii="Arial" w:hAnsi="Arial" w:cs="Arial"/>
                <w:sz w:val="16"/>
                <w:szCs w:val="16"/>
                <w:lang w:val="es-ES_tradnl" w:eastAsia="es-ES"/>
              </w:rPr>
            </w:pPr>
            <w:r w:rsidRPr="003362CD">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AE3100A" w14:textId="77777777" w:rsidR="001932CC" w:rsidRPr="003362CD" w:rsidRDefault="001932CC" w:rsidP="00D8742C">
            <w:pPr>
              <w:jc w:val="both"/>
              <w:rPr>
                <w:rFonts w:ascii="Arial" w:hAnsi="Arial" w:cs="Arial"/>
                <w:sz w:val="16"/>
                <w:szCs w:val="16"/>
                <w:lang w:val="es-ES_tradnl" w:eastAsia="es-ES"/>
              </w:rPr>
            </w:pPr>
            <w:r w:rsidRPr="00BA5F98">
              <w:rPr>
                <w:rFonts w:ascii="Arial" w:hAnsi="Arial" w:cs="Arial"/>
                <w:sz w:val="16"/>
                <w:szCs w:val="16"/>
                <w:lang w:val="es-ES_tradnl" w:eastAsia="es-ES"/>
              </w:rPr>
              <w:t>Juan David Marín López</w:t>
            </w:r>
          </w:p>
          <w:p w14:paraId="03EB1E63" w14:textId="77777777" w:rsidR="001932CC" w:rsidRPr="003362CD" w:rsidRDefault="001932CC" w:rsidP="00D8742C">
            <w:pPr>
              <w:jc w:val="both"/>
              <w:rPr>
                <w:rFonts w:ascii="Arial" w:hAnsi="Arial" w:cs="Arial"/>
                <w:sz w:val="16"/>
                <w:szCs w:val="16"/>
                <w:lang w:val="es-ES_tradnl" w:eastAsia="es-ES"/>
              </w:rPr>
            </w:pPr>
            <w:r w:rsidRPr="003362CD">
              <w:rPr>
                <w:rFonts w:ascii="Arial" w:hAnsi="Arial" w:cs="Arial"/>
                <w:sz w:val="16"/>
                <w:szCs w:val="16"/>
                <w:lang w:val="es-ES_tradnl" w:eastAsia="es-ES"/>
              </w:rPr>
              <w:t xml:space="preserve">Subdirector de Gestión Contractual </w:t>
            </w:r>
            <w:r>
              <w:rPr>
                <w:rFonts w:ascii="Arial" w:hAnsi="Arial" w:cs="Arial"/>
                <w:sz w:val="16"/>
                <w:szCs w:val="16"/>
                <w:lang w:val="es-ES_tradnl" w:eastAsia="es-ES"/>
              </w:rPr>
              <w:t>(</w:t>
            </w:r>
            <w:r w:rsidRPr="003362CD">
              <w:rPr>
                <w:rFonts w:ascii="Arial" w:hAnsi="Arial" w:cs="Arial"/>
                <w:sz w:val="16"/>
                <w:szCs w:val="16"/>
                <w:lang w:val="es-ES_tradnl" w:eastAsia="es-ES"/>
              </w:rPr>
              <w:t>E</w:t>
            </w:r>
            <w:r>
              <w:rPr>
                <w:rFonts w:ascii="Arial" w:hAnsi="Arial" w:cs="Arial"/>
                <w:sz w:val="16"/>
                <w:szCs w:val="16"/>
                <w:lang w:val="es-ES_tradnl" w:eastAsia="es-ES"/>
              </w:rPr>
              <w:t xml:space="preserve">) </w:t>
            </w:r>
          </w:p>
        </w:tc>
      </w:tr>
    </w:tbl>
    <w:p w14:paraId="46A2D6C9" w14:textId="158D40E6" w:rsidR="00123BE2" w:rsidRPr="00515D32" w:rsidRDefault="00123BE2" w:rsidP="00BE0457">
      <w:pPr>
        <w:jc w:val="center"/>
        <w:rPr>
          <w:rFonts w:ascii="Arial" w:hAnsi="Arial" w:cs="Arial"/>
          <w:color w:val="161616" w:themeColor="background1" w:themeShade="1A"/>
          <w:sz w:val="22"/>
          <w:szCs w:val="22"/>
          <w:lang w:val="es-ES_tradnl"/>
        </w:rPr>
      </w:pPr>
    </w:p>
    <w:sectPr w:rsidR="00123BE2" w:rsidRPr="00515D32" w:rsidSect="00D650B5">
      <w:headerReference w:type="default" r:id="rId13"/>
      <w:footerReference w:type="default" r:id="rId14"/>
      <w:pgSz w:w="12240" w:h="15840"/>
      <w:pgMar w:top="2041" w:right="1758" w:bottom="1474" w:left="175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F3EA3" w14:textId="77777777" w:rsidR="0093096C" w:rsidRDefault="0093096C">
      <w:r>
        <w:separator/>
      </w:r>
    </w:p>
  </w:endnote>
  <w:endnote w:type="continuationSeparator" w:id="0">
    <w:p w14:paraId="2077892D" w14:textId="77777777" w:rsidR="0093096C" w:rsidRDefault="00930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5F905D24" w:rsidR="00EF64D8" w:rsidRPr="008217B7" w:rsidRDefault="00EF64D8"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730518">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730518">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p>
  <w:p w14:paraId="48FC6A04" w14:textId="5FD1A7C9" w:rsidR="00EF64D8" w:rsidRDefault="434D2F1C" w:rsidP="00322937">
    <w:pPr>
      <w:pStyle w:val="Piedepgina"/>
      <w:jc w:val="center"/>
      <w:rPr>
        <w:lang w:val="es-ES"/>
      </w:rPr>
    </w:pPr>
    <w:r>
      <w:rPr>
        <w:noProof/>
        <w:lang w:val="es-CO" w:eastAsia="es-CO"/>
      </w:rPr>
      <w:drawing>
        <wp:inline distT="0" distB="0" distL="0" distR="0" wp14:anchorId="608B196D" wp14:editId="40ED6A14">
          <wp:extent cx="3700130" cy="519139"/>
          <wp:effectExtent l="0" t="0" r="0" b="0"/>
          <wp:docPr id="35860387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EF64D8" w:rsidRDefault="00EF64D8" w:rsidP="007B0854">
    <w:pPr>
      <w:pStyle w:val="Piedepgina"/>
      <w:jc w:val="center"/>
      <w:rPr>
        <w:lang w:val="es-ES"/>
      </w:rPr>
    </w:pPr>
  </w:p>
  <w:p w14:paraId="6C0EFC49" w14:textId="77777777" w:rsidR="00EF64D8" w:rsidRPr="007B0854" w:rsidRDefault="00EF64D8"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5FF1C" w14:textId="77777777" w:rsidR="0093096C" w:rsidRDefault="0093096C">
      <w:r>
        <w:separator/>
      </w:r>
    </w:p>
  </w:footnote>
  <w:footnote w:type="continuationSeparator" w:id="0">
    <w:p w14:paraId="055BC1FB" w14:textId="77777777" w:rsidR="0093096C" w:rsidRDefault="0093096C">
      <w:r>
        <w:continuationSeparator/>
      </w:r>
    </w:p>
  </w:footnote>
  <w:footnote w:id="1">
    <w:p w14:paraId="194DEEEB" w14:textId="77777777" w:rsidR="00336B72" w:rsidRPr="0089556B" w:rsidRDefault="00336B72" w:rsidP="002975CD">
      <w:pPr>
        <w:pStyle w:val="Textonotapie"/>
        <w:spacing w:before="0" w:after="0" w:line="240" w:lineRule="auto"/>
        <w:ind w:firstLine="709"/>
        <w:rPr>
          <w:rFonts w:ascii="Arial" w:hAnsi="Arial" w:cs="Arial"/>
          <w:sz w:val="19"/>
          <w:szCs w:val="19"/>
        </w:rPr>
      </w:pPr>
      <w:r w:rsidRPr="0089556B">
        <w:rPr>
          <w:rStyle w:val="Refdenotaalpie"/>
          <w:rFonts w:ascii="Arial" w:hAnsi="Arial" w:cs="Arial"/>
          <w:sz w:val="19"/>
          <w:szCs w:val="19"/>
        </w:rPr>
        <w:footnoteRef/>
      </w:r>
      <w:r w:rsidRPr="0089556B">
        <w:rPr>
          <w:rFonts w:ascii="Arial" w:hAnsi="Arial" w:cs="Arial"/>
          <w:sz w:val="19"/>
          <w:szCs w:val="19"/>
        </w:rPr>
        <w:t xml:space="preserve"> </w:t>
      </w:r>
      <w:r w:rsidRPr="0089556B">
        <w:rPr>
          <w:rFonts w:ascii="Arial" w:eastAsia="Times New Roman" w:hAnsi="Arial" w:cs="Arial"/>
          <w:color w:val="000000"/>
          <w:sz w:val="19"/>
          <w:szCs w:val="19"/>
          <w:bdr w:val="none" w:sz="0" w:space="0" w:color="auto" w:frame="1"/>
          <w:lang w:eastAsia="es-CO"/>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footnote>
  <w:footnote w:id="2">
    <w:p w14:paraId="5DD363D8" w14:textId="77777777" w:rsidR="00336B72" w:rsidRPr="0089556B" w:rsidRDefault="00336B72" w:rsidP="002975CD">
      <w:pPr>
        <w:pStyle w:val="Textonotapie"/>
        <w:spacing w:line="240" w:lineRule="auto"/>
        <w:ind w:firstLine="708"/>
        <w:rPr>
          <w:rFonts w:ascii="Arial" w:hAnsi="Arial" w:cs="Arial"/>
          <w:sz w:val="19"/>
          <w:szCs w:val="19"/>
        </w:rPr>
      </w:pPr>
      <w:r w:rsidRPr="0089556B">
        <w:rPr>
          <w:rStyle w:val="Refdenotaalpie"/>
          <w:rFonts w:ascii="Arial" w:hAnsi="Arial" w:cs="Arial"/>
          <w:sz w:val="19"/>
          <w:szCs w:val="19"/>
        </w:rPr>
        <w:footnoteRef/>
      </w:r>
      <w:r w:rsidRPr="0089556B">
        <w:rPr>
          <w:rFonts w:ascii="Arial" w:hAnsi="Arial" w:cs="Arial"/>
          <w:sz w:val="19"/>
          <w:szCs w:val="19"/>
        </w:rPr>
        <w:t xml:space="preserve"> El artículo 1 de la Ley 2022 de 2020 modifica el artículo 4 de la Ley 1882 de 2018, el cual adicionó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11AA3156" w14:textId="77777777" w:rsidR="00336B72" w:rsidRPr="0089556B" w:rsidRDefault="00336B72" w:rsidP="002975CD">
      <w:pPr>
        <w:pStyle w:val="Textonotapie"/>
        <w:spacing w:line="240" w:lineRule="auto"/>
        <w:ind w:firstLine="708"/>
        <w:rPr>
          <w:rFonts w:ascii="Arial" w:hAnsi="Arial" w:cs="Arial"/>
          <w:sz w:val="19"/>
          <w:szCs w:val="19"/>
        </w:rPr>
      </w:pPr>
      <w:r w:rsidRPr="0089556B">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493357E1" w14:textId="77777777" w:rsidR="00336B72" w:rsidRPr="0089556B" w:rsidRDefault="00336B72" w:rsidP="002975CD">
      <w:pPr>
        <w:pStyle w:val="Textonotapie"/>
        <w:spacing w:line="240" w:lineRule="auto"/>
        <w:ind w:firstLine="708"/>
        <w:rPr>
          <w:rFonts w:ascii="Arial" w:hAnsi="Arial" w:cs="Arial"/>
          <w:sz w:val="19"/>
          <w:szCs w:val="19"/>
        </w:rPr>
      </w:pPr>
      <w:r w:rsidRPr="0089556B">
        <w:rPr>
          <w:rFonts w:ascii="Arial" w:hAnsi="Arial" w:cs="Arial"/>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51BF2FF3" w14:textId="77777777" w:rsidR="00336B72" w:rsidRPr="0089556B" w:rsidRDefault="00336B72" w:rsidP="002975CD">
      <w:pPr>
        <w:pStyle w:val="Textonotapie"/>
        <w:spacing w:line="240" w:lineRule="auto"/>
        <w:ind w:firstLine="708"/>
        <w:rPr>
          <w:rFonts w:ascii="Arial" w:hAnsi="Arial" w:cs="Arial"/>
          <w:sz w:val="19"/>
          <w:szCs w:val="19"/>
        </w:rPr>
      </w:pPr>
      <w:r w:rsidRPr="0089556B">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2E9F559F" w14:textId="77777777" w:rsidR="00336B72" w:rsidRPr="0089556B" w:rsidRDefault="00336B72" w:rsidP="002975CD">
      <w:pPr>
        <w:pStyle w:val="Textonotapie"/>
        <w:spacing w:line="240" w:lineRule="auto"/>
        <w:ind w:firstLine="708"/>
        <w:rPr>
          <w:rFonts w:ascii="Arial" w:hAnsi="Arial" w:cs="Arial"/>
          <w:sz w:val="19"/>
          <w:szCs w:val="19"/>
          <w:lang w:val="es-ES"/>
        </w:rPr>
      </w:pPr>
      <w:r w:rsidRPr="0089556B">
        <w:rPr>
          <w:rFonts w:ascii="Arial" w:hAnsi="Arial" w:cs="Arial"/>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3">
    <w:p w14:paraId="31A46E28" w14:textId="77777777" w:rsidR="00336B72" w:rsidRPr="0089556B" w:rsidRDefault="00336B72" w:rsidP="002975CD">
      <w:pPr>
        <w:pStyle w:val="Textonotapie"/>
        <w:spacing w:line="240" w:lineRule="auto"/>
        <w:ind w:firstLine="708"/>
        <w:rPr>
          <w:rFonts w:ascii="Arial" w:hAnsi="Arial" w:cs="Arial"/>
          <w:sz w:val="19"/>
          <w:szCs w:val="19"/>
          <w:lang w:val="es-ES"/>
        </w:rPr>
      </w:pPr>
      <w:r w:rsidRPr="0089556B">
        <w:rPr>
          <w:rStyle w:val="Refdenotaalpie"/>
          <w:rFonts w:ascii="Arial" w:hAnsi="Arial" w:cs="Arial"/>
          <w:sz w:val="19"/>
          <w:szCs w:val="19"/>
        </w:rPr>
        <w:footnoteRef/>
      </w:r>
      <w:r w:rsidRPr="0089556B">
        <w:rPr>
          <w:rFonts w:ascii="Arial" w:hAnsi="Arial" w:cs="Arial"/>
          <w:sz w:val="19"/>
          <w:szCs w:val="19"/>
        </w:rPr>
        <w:t xml:space="preserve"> Código: CCE-EICP-GI-14. Versión 1</w:t>
      </w:r>
    </w:p>
  </w:footnote>
  <w:footnote w:id="4">
    <w:p w14:paraId="4E15FA2E" w14:textId="77777777" w:rsidR="003230C7" w:rsidRPr="0089556B" w:rsidRDefault="003230C7" w:rsidP="002975CD">
      <w:pPr>
        <w:pStyle w:val="Textonotapie"/>
        <w:spacing w:line="240" w:lineRule="auto"/>
        <w:ind w:firstLine="708"/>
        <w:rPr>
          <w:rFonts w:ascii="Arial" w:hAnsi="Arial" w:cs="Arial"/>
          <w:sz w:val="19"/>
          <w:szCs w:val="19"/>
          <w:lang w:val="es-CO"/>
        </w:rPr>
      </w:pPr>
      <w:r w:rsidRPr="0089556B">
        <w:rPr>
          <w:rStyle w:val="Refdenotaalpie"/>
          <w:rFonts w:ascii="Arial" w:hAnsi="Arial" w:cs="Arial"/>
          <w:sz w:val="19"/>
          <w:szCs w:val="19"/>
        </w:rPr>
        <w:footnoteRef/>
      </w:r>
      <w:r w:rsidRPr="0089556B">
        <w:rPr>
          <w:rFonts w:ascii="Arial" w:hAnsi="Arial" w:cs="Arial"/>
          <w:sz w:val="19"/>
          <w:szCs w:val="19"/>
        </w:rPr>
        <w:t xml:space="preserve"> Estos parámetros se encuentran dispuestos de forma gráfica en </w:t>
      </w:r>
      <w:r w:rsidRPr="0089556B">
        <w:rPr>
          <w:rFonts w:ascii="Arial" w:hAnsi="Arial" w:cs="Arial"/>
          <w:sz w:val="19"/>
          <w:szCs w:val="19"/>
          <w:lang w:val="es-CO"/>
        </w:rPr>
        <w:t xml:space="preserve">la segunda página “Interpretación de la matriz 1 – experiencia” de cada una de las Matrices de experiencia adoptadas mediante las </w:t>
      </w:r>
      <w:r w:rsidRPr="0089556B">
        <w:rPr>
          <w:rFonts w:ascii="Arial" w:eastAsia="Times New Roman" w:hAnsi="Arial" w:cs="Arial"/>
          <w:sz w:val="19"/>
          <w:szCs w:val="19"/>
          <w:lang w:val="es-ES" w:eastAsia="en-GB"/>
        </w:rPr>
        <w:t>Resoluciones Nos. 220, 392 y 454 del 2021.</w:t>
      </w:r>
    </w:p>
  </w:footnote>
  <w:footnote w:id="5">
    <w:p w14:paraId="70834138" w14:textId="4B81C621" w:rsidR="00C31B0A" w:rsidRPr="002975CD" w:rsidRDefault="00C02B12" w:rsidP="002975CD">
      <w:pPr>
        <w:pStyle w:val="Ttulo3"/>
        <w:ind w:firstLine="708"/>
        <w:jc w:val="both"/>
        <w:rPr>
          <w:rFonts w:ascii="Arial" w:eastAsia="Calibri" w:hAnsi="Arial" w:cs="Arial"/>
          <w:color w:val="auto"/>
          <w:sz w:val="19"/>
          <w:szCs w:val="19"/>
          <w:lang w:val="es-MX" w:eastAsia="en-US"/>
        </w:rPr>
      </w:pPr>
      <w:r w:rsidRPr="002975CD">
        <w:rPr>
          <w:rStyle w:val="Refdenotaalpie"/>
          <w:rFonts w:ascii="Arial" w:hAnsi="Arial" w:cs="Arial"/>
          <w:color w:val="auto"/>
          <w:sz w:val="19"/>
          <w:szCs w:val="19"/>
        </w:rPr>
        <w:footnoteRef/>
      </w:r>
      <w:r w:rsidRPr="002975CD">
        <w:rPr>
          <w:rFonts w:ascii="Arial" w:hAnsi="Arial" w:cs="Arial"/>
          <w:color w:val="auto"/>
          <w:sz w:val="19"/>
          <w:szCs w:val="19"/>
        </w:rPr>
        <w:t xml:space="preserve"> El numeral 3.5.5. </w:t>
      </w:r>
      <w:bookmarkStart w:id="12" w:name="_Toc67583307"/>
      <w:bookmarkStart w:id="13" w:name="_Toc78789456"/>
      <w:bookmarkStart w:id="14" w:name="_Toc84486072"/>
      <w:r w:rsidR="00AC08E9" w:rsidRPr="002975CD">
        <w:rPr>
          <w:rFonts w:ascii="Arial" w:hAnsi="Arial" w:cs="Arial"/>
          <w:color w:val="auto"/>
          <w:sz w:val="19"/>
          <w:szCs w:val="19"/>
        </w:rPr>
        <w:t xml:space="preserve">del </w:t>
      </w:r>
      <w:r w:rsidR="00C31B0A" w:rsidRPr="0089556B">
        <w:rPr>
          <w:rFonts w:ascii="Arial" w:hAnsi="Arial" w:cs="Arial"/>
          <w:color w:val="auto"/>
          <w:sz w:val="19"/>
          <w:szCs w:val="19"/>
        </w:rPr>
        <w:t>D</w:t>
      </w:r>
      <w:r w:rsidR="00AC08E9" w:rsidRPr="002975CD">
        <w:rPr>
          <w:rFonts w:ascii="Arial" w:hAnsi="Arial" w:cs="Arial"/>
          <w:color w:val="auto"/>
          <w:sz w:val="19"/>
          <w:szCs w:val="19"/>
        </w:rPr>
        <w:t>ocumento</w:t>
      </w:r>
      <w:r w:rsidR="00C31B0A" w:rsidRPr="0089556B">
        <w:rPr>
          <w:rFonts w:ascii="Arial" w:hAnsi="Arial" w:cs="Arial"/>
          <w:color w:val="auto"/>
          <w:sz w:val="19"/>
          <w:szCs w:val="19"/>
        </w:rPr>
        <w:t xml:space="preserve"> Base</w:t>
      </w:r>
      <w:r w:rsidR="00AC08E9" w:rsidRPr="002975CD">
        <w:rPr>
          <w:rFonts w:ascii="Arial" w:hAnsi="Arial" w:cs="Arial"/>
          <w:color w:val="auto"/>
          <w:sz w:val="19"/>
          <w:szCs w:val="19"/>
        </w:rPr>
        <w:t xml:space="preserve"> titulado «</w:t>
      </w:r>
      <w:r w:rsidRPr="002975CD">
        <w:rPr>
          <w:rFonts w:ascii="Arial" w:eastAsia="Yu Gothic Light" w:hAnsi="Arial" w:cs="Arial"/>
          <w:bCs/>
          <w:caps/>
          <w:color w:val="auto"/>
          <w:sz w:val="19"/>
          <w:szCs w:val="19"/>
          <w:lang w:eastAsia="en-US"/>
        </w:rPr>
        <w:t>DOCUMENTOS VÁLIDOS PARA LA ACREDITACIÓN DE LA EXPERIENCIA REQUERIDA</w:t>
      </w:r>
      <w:bookmarkEnd w:id="12"/>
      <w:bookmarkEnd w:id="13"/>
      <w:bookmarkEnd w:id="14"/>
      <w:r w:rsidR="00AC08E9" w:rsidRPr="002975CD">
        <w:rPr>
          <w:rFonts w:ascii="Arial" w:eastAsia="Yu Gothic Light" w:hAnsi="Arial" w:cs="Arial"/>
          <w:bCs/>
          <w:caps/>
          <w:color w:val="auto"/>
          <w:sz w:val="19"/>
          <w:szCs w:val="19"/>
          <w:lang w:eastAsia="en-US"/>
        </w:rPr>
        <w:t xml:space="preserve">» </w:t>
      </w:r>
      <w:r w:rsidR="00AC08E9" w:rsidRPr="002975CD">
        <w:rPr>
          <w:rFonts w:ascii="Arial" w:eastAsia="Calibri" w:hAnsi="Arial" w:cs="Arial"/>
          <w:color w:val="auto"/>
          <w:sz w:val="19"/>
          <w:szCs w:val="19"/>
          <w:lang w:val="es-MX" w:eastAsia="en-US"/>
        </w:rPr>
        <w:t>establece lo siguiente:</w:t>
      </w:r>
    </w:p>
    <w:p w14:paraId="06F750B0" w14:textId="77777777" w:rsidR="00C31B0A" w:rsidRPr="0089556B" w:rsidRDefault="00AC08E9" w:rsidP="0011052D">
      <w:pPr>
        <w:pStyle w:val="Ttulo3"/>
        <w:ind w:firstLine="708"/>
        <w:jc w:val="both"/>
        <w:rPr>
          <w:rFonts w:ascii="Arial" w:eastAsia="Calibri" w:hAnsi="Arial" w:cs="Arial"/>
          <w:color w:val="auto"/>
          <w:sz w:val="19"/>
          <w:szCs w:val="19"/>
          <w:lang w:val="es-MX" w:eastAsia="en-US"/>
        </w:rPr>
      </w:pPr>
      <w:r w:rsidRPr="002975CD">
        <w:rPr>
          <w:rFonts w:ascii="Arial" w:eastAsia="Calibri" w:hAnsi="Arial" w:cs="Arial"/>
          <w:color w:val="auto"/>
          <w:sz w:val="19"/>
          <w:szCs w:val="19"/>
          <w:lang w:val="es-MX" w:eastAsia="en-US"/>
        </w:rPr>
        <w:t>«</w:t>
      </w:r>
      <w:r w:rsidR="00C02B12" w:rsidRPr="002975CD">
        <w:rPr>
          <w:rFonts w:ascii="Arial" w:eastAsia="Calibri" w:hAnsi="Arial" w:cs="Arial"/>
          <w:color w:val="auto"/>
          <w:sz w:val="19"/>
          <w:szCs w:val="19"/>
          <w:lang w:val="es-MX" w:eastAsia="en-US"/>
        </w:rPr>
        <w:t>En aquellos casos en que por las características del objeto a contratar se requiera verificar información adicional a la contenida en el RUP, el Proponente podrá aportar uno o algunos de los documentos que se establecen a continuación, para que la Entidad realice la verificación en forma directa. Los mismos deberán estar diligenciados y suscritos por el contratante, el Contratista o el interventor, según corresponda. En caso de existir discrepancias entre dos (2) o más documentos aportados por el Proponente para la acreditación de la experiencia, se tendrá en cuenta el orden de prevalencia indicado a continuación:</w:t>
      </w:r>
      <w:r w:rsidRPr="002975CD">
        <w:rPr>
          <w:rFonts w:ascii="Arial" w:eastAsia="Calibri" w:hAnsi="Arial" w:cs="Arial"/>
          <w:color w:val="auto"/>
          <w:sz w:val="19"/>
          <w:szCs w:val="19"/>
          <w:lang w:val="es-MX" w:eastAsia="en-US"/>
        </w:rPr>
        <w:t xml:space="preserve"> </w:t>
      </w:r>
    </w:p>
    <w:p w14:paraId="65FADC7B" w14:textId="77AB7012" w:rsidR="00C02B12" w:rsidRPr="002975CD" w:rsidRDefault="00AC08E9" w:rsidP="002975CD">
      <w:pPr>
        <w:pStyle w:val="Ttulo3"/>
        <w:ind w:firstLine="708"/>
        <w:jc w:val="both"/>
        <w:rPr>
          <w:rFonts w:ascii="Arial" w:eastAsia="Calibri" w:hAnsi="Arial" w:cs="Arial"/>
          <w:color w:val="auto"/>
          <w:sz w:val="19"/>
          <w:szCs w:val="19"/>
          <w:lang w:val="es-MX" w:eastAsia="en-US"/>
        </w:rPr>
      </w:pPr>
      <w:r w:rsidRPr="002975CD">
        <w:rPr>
          <w:rFonts w:ascii="Arial" w:eastAsia="Calibri" w:hAnsi="Arial" w:cs="Arial"/>
          <w:color w:val="auto"/>
          <w:sz w:val="19"/>
          <w:szCs w:val="19"/>
          <w:lang w:val="es-MX" w:eastAsia="en-US"/>
        </w:rPr>
        <w:t xml:space="preserve">A. </w:t>
      </w:r>
      <w:r w:rsidR="00C02B12" w:rsidRPr="002975CD">
        <w:rPr>
          <w:rFonts w:ascii="Arial" w:eastAsia="Calibri" w:hAnsi="Arial" w:cs="Arial"/>
          <w:color w:val="auto"/>
          <w:sz w:val="19"/>
          <w:szCs w:val="19"/>
          <w:lang w:val="es-MX" w:eastAsia="en-US"/>
        </w:rPr>
        <w:t>Acta de liquidación.</w:t>
      </w:r>
      <w:r w:rsidRPr="002975CD">
        <w:rPr>
          <w:rFonts w:ascii="Arial" w:eastAsia="Calibri" w:hAnsi="Arial" w:cs="Arial"/>
          <w:color w:val="auto"/>
          <w:sz w:val="19"/>
          <w:szCs w:val="19"/>
          <w:lang w:val="es-MX" w:eastAsia="en-US"/>
        </w:rPr>
        <w:t xml:space="preserve"> B. </w:t>
      </w:r>
      <w:r w:rsidR="00C02B12" w:rsidRPr="002975CD">
        <w:rPr>
          <w:rFonts w:ascii="Arial" w:eastAsia="Calibri" w:hAnsi="Arial" w:cs="Arial"/>
          <w:color w:val="auto"/>
          <w:sz w:val="19"/>
          <w:szCs w:val="19"/>
          <w:lang w:val="es-MX" w:eastAsia="en-US"/>
        </w:rPr>
        <w:t xml:space="preserve">Acta de entrega, terminación, final o de recibo definitivo. </w:t>
      </w:r>
      <w:r w:rsidRPr="002975CD">
        <w:rPr>
          <w:rFonts w:ascii="Arial" w:eastAsia="Calibri" w:hAnsi="Arial" w:cs="Arial"/>
          <w:color w:val="auto"/>
          <w:sz w:val="19"/>
          <w:szCs w:val="19"/>
          <w:lang w:val="es-MX" w:eastAsia="en-US"/>
        </w:rPr>
        <w:t xml:space="preserve">C. </w:t>
      </w:r>
      <w:r w:rsidR="00C02B12" w:rsidRPr="002975CD">
        <w:rPr>
          <w:rFonts w:ascii="Arial" w:eastAsia="Calibri" w:hAnsi="Arial" w:cs="Arial"/>
          <w:color w:val="auto"/>
          <w:sz w:val="19"/>
          <w:szCs w:val="19"/>
          <w:lang w:val="es-MX" w:eastAsia="en-US"/>
        </w:rPr>
        <w:t>Certificación de experiencia. Expedida con posterioridad a la fecha de terminación del Contrato en la que conste el recibo a satisfacción de la obra contratada debidamente suscrita por quien esté en capacidad u obligación de hacerlo.</w:t>
      </w:r>
      <w:r w:rsidRPr="002975CD">
        <w:rPr>
          <w:rFonts w:ascii="Arial" w:eastAsia="Calibri" w:hAnsi="Arial" w:cs="Arial"/>
          <w:color w:val="auto"/>
          <w:sz w:val="19"/>
          <w:szCs w:val="19"/>
          <w:lang w:val="es-MX" w:eastAsia="en-US"/>
        </w:rPr>
        <w:t xml:space="preserve"> D. </w:t>
      </w:r>
      <w:r w:rsidR="00C02B12" w:rsidRPr="002975CD">
        <w:rPr>
          <w:rFonts w:ascii="Arial" w:eastAsia="Calibri" w:hAnsi="Arial" w:cs="Arial"/>
          <w:color w:val="auto"/>
          <w:sz w:val="19"/>
          <w:szCs w:val="19"/>
          <w:lang w:val="es-MX" w:eastAsia="en-US"/>
        </w:rPr>
        <w:t>Acta de inicio o la orden de inicio. La misma solo será válida para efectos de acreditar la fecha de inicio.</w:t>
      </w:r>
      <w:r w:rsidR="00C31B0A" w:rsidRPr="002975CD">
        <w:rPr>
          <w:rFonts w:ascii="Arial" w:eastAsia="Calibri" w:hAnsi="Arial" w:cs="Arial"/>
          <w:color w:val="auto"/>
          <w:sz w:val="19"/>
          <w:szCs w:val="19"/>
          <w:lang w:val="es-MX" w:eastAsia="en-US"/>
        </w:rPr>
        <w:t xml:space="preserve"> E. </w:t>
      </w:r>
      <w:r w:rsidR="00C02B12" w:rsidRPr="002975CD">
        <w:rPr>
          <w:rFonts w:ascii="Arial" w:eastAsia="Calibri" w:hAnsi="Arial" w:cs="Arial"/>
          <w:color w:val="auto"/>
          <w:sz w:val="19"/>
          <w:szCs w:val="19"/>
          <w:highlight w:val="lightGray"/>
          <w:lang w:val="es-MX" w:eastAsia="en-US"/>
        </w:rPr>
        <w:t>[Para los proyectos de edificaciones emplee este literal, de lo contrario eliminarlo.]</w:t>
      </w:r>
      <w:r w:rsidR="00C02B12" w:rsidRPr="002975CD">
        <w:rPr>
          <w:rFonts w:ascii="Arial" w:eastAsia="Calibri" w:hAnsi="Arial" w:cs="Arial"/>
          <w:color w:val="auto"/>
          <w:sz w:val="19"/>
          <w:szCs w:val="19"/>
          <w:lang w:val="es-MX" w:eastAsia="en-US"/>
        </w:rPr>
        <w:t xml:space="preserve"> Copia de la licencia de construcción y/o licencia de urbanismo.</w:t>
      </w:r>
      <w:r w:rsidR="00C31B0A" w:rsidRPr="002975CD">
        <w:rPr>
          <w:rFonts w:ascii="Arial" w:eastAsia="Calibri" w:hAnsi="Arial" w:cs="Arial"/>
          <w:color w:val="auto"/>
          <w:sz w:val="19"/>
          <w:szCs w:val="19"/>
          <w:lang w:val="es-MX" w:eastAsia="en-US"/>
        </w:rPr>
        <w:t xml:space="preserve"> F. </w:t>
      </w:r>
      <w:r w:rsidR="00C02B12" w:rsidRPr="002975CD">
        <w:rPr>
          <w:rFonts w:ascii="Arial" w:hAnsi="Arial" w:cs="Arial"/>
          <w:color w:val="auto"/>
          <w:sz w:val="19"/>
          <w:szCs w:val="19"/>
          <w:lang w:val="es-MX" w:eastAsia="en-US"/>
        </w:rPr>
        <w:t>Planos récord finales de obra.</w:t>
      </w:r>
      <w:r w:rsidR="00C31B0A" w:rsidRPr="002975CD">
        <w:rPr>
          <w:rFonts w:ascii="Arial" w:hAnsi="Arial" w:cs="Arial"/>
          <w:color w:val="auto"/>
          <w:sz w:val="19"/>
          <w:szCs w:val="19"/>
          <w:lang w:val="es-MX" w:eastAsia="en-US"/>
        </w:rPr>
        <w:t xml:space="preserve"> G. </w:t>
      </w:r>
      <w:r w:rsidR="00C02B12" w:rsidRPr="002975CD">
        <w:rPr>
          <w:rFonts w:ascii="Arial" w:eastAsia="Calibri" w:hAnsi="Arial" w:cs="Arial"/>
          <w:color w:val="auto"/>
          <w:sz w:val="19"/>
          <w:szCs w:val="19"/>
          <w:lang w:val="es-MX" w:eastAsia="en-US"/>
        </w:rPr>
        <w:t>Para los contratos que hayan sido objeto de cesión, el Contrato deberá encontrarse inscrito y clasificado en el RUP o en uno o alguno de los documentos considerados como válidos para la acreditación de experiencia de la persona jurídica o natural cesionaria, según aplique. La experiencia se admitirá para el cesionario y no se reconocerá experiencia alguna al cedente.</w:t>
      </w:r>
      <w:r w:rsidR="00C31B0A" w:rsidRPr="002975CD">
        <w:rPr>
          <w:rFonts w:ascii="Arial" w:eastAsia="Calibri" w:hAnsi="Arial" w:cs="Arial"/>
          <w:color w:val="auto"/>
          <w:sz w:val="19"/>
          <w:szCs w:val="19"/>
          <w:lang w:val="es-MX" w:eastAsia="en-US"/>
        </w:rPr>
        <w:t xml:space="preserve"> H. </w:t>
      </w:r>
      <w:r w:rsidR="00C02B12" w:rsidRPr="002975CD">
        <w:rPr>
          <w:rFonts w:ascii="Arial" w:eastAsia="Calibri" w:hAnsi="Arial" w:cs="Arial"/>
          <w:color w:val="auto"/>
          <w:sz w:val="19"/>
          <w:szCs w:val="19"/>
          <w:lang w:val="es-MX" w:eastAsia="en-US"/>
        </w:rPr>
        <w:t xml:space="preserve">Cualquier otro documento idóneo que acredite la experiencia exigida, tales como: el Contrato y/o los Documentos del Proceso Contractual, los cuales deben estar suscritos por las personas que intervinieron en su formación o estar publicados en el SECOP. </w:t>
      </w:r>
    </w:p>
    <w:p w14:paraId="63E94DD9" w14:textId="6BBA2900" w:rsidR="00C02B12" w:rsidRPr="002975CD" w:rsidRDefault="00C31B0A" w:rsidP="002975CD">
      <w:pPr>
        <w:ind w:firstLine="708"/>
        <w:jc w:val="both"/>
        <w:rPr>
          <w:rFonts w:ascii="Arial" w:eastAsia="Calibri" w:hAnsi="Arial" w:cs="Arial"/>
          <w:sz w:val="19"/>
          <w:szCs w:val="19"/>
          <w:lang w:val="es-MX" w:eastAsia="en-US"/>
        </w:rPr>
      </w:pPr>
      <w:r w:rsidRPr="002975CD">
        <w:rPr>
          <w:rFonts w:ascii="Arial" w:eastAsia="Calibri" w:hAnsi="Arial" w:cs="Arial"/>
          <w:sz w:val="19"/>
          <w:szCs w:val="19"/>
          <w:lang w:val="es-MX" w:eastAsia="en-US"/>
        </w:rPr>
        <w:t>»</w:t>
      </w:r>
      <w:r w:rsidR="00C02B12" w:rsidRPr="002975CD">
        <w:rPr>
          <w:rFonts w:ascii="Arial" w:eastAsia="Calibri" w:hAnsi="Arial" w:cs="Arial"/>
          <w:sz w:val="19"/>
          <w:szCs w:val="19"/>
          <w:lang w:val="es-MX" w:eastAsia="en-US"/>
        </w:rPr>
        <w:t>Para efectos de acreditación de experiencia entre particulares, el Proponente deberá aportar, además, la certificación de facturación expedida con posterioridad a la fecha de terminación del Contrato emitida por el revisor fiscal o contador público del Proponente que acredita la experiencia, según corresponda, con la copia de la tarjeta profesional y certificado de antecedente disciplinarios vigente, de la Junta Central de Contadores, o los documentos equivalentes que hagan sus veces en el país donde se expide el documento del profesional.</w:t>
      </w:r>
    </w:p>
    <w:p w14:paraId="228A5BCC" w14:textId="085C5EA5" w:rsidR="00C02B12" w:rsidRPr="002975CD" w:rsidRDefault="00C02B12" w:rsidP="002975CD">
      <w:pPr>
        <w:pStyle w:val="Textonotapie"/>
        <w:spacing w:line="240" w:lineRule="auto"/>
        <w:ind w:firstLine="708"/>
        <w:rPr>
          <w:rFonts w:ascii="Arial" w:hAnsi="Arial" w:cs="Arial"/>
        </w:rPr>
      </w:pPr>
    </w:p>
  </w:footnote>
  <w:footnote w:id="6">
    <w:p w14:paraId="343C3B8D" w14:textId="77777777" w:rsidR="00896E48" w:rsidRPr="0089556B" w:rsidRDefault="00896E48" w:rsidP="00896E48">
      <w:pPr>
        <w:pStyle w:val="Textonotapie"/>
        <w:spacing w:before="0" w:line="240" w:lineRule="auto"/>
        <w:ind w:firstLine="709"/>
        <w:rPr>
          <w:rFonts w:ascii="Arial" w:hAnsi="Arial" w:cs="Arial"/>
          <w:sz w:val="19"/>
          <w:szCs w:val="19"/>
        </w:rPr>
      </w:pPr>
      <w:r w:rsidRPr="0089556B">
        <w:rPr>
          <w:rStyle w:val="Refdenotaalpie"/>
          <w:rFonts w:ascii="Arial" w:hAnsi="Arial" w:cs="Arial"/>
          <w:sz w:val="19"/>
          <w:szCs w:val="19"/>
        </w:rPr>
        <w:footnoteRef/>
      </w:r>
      <w:r w:rsidRPr="0089556B">
        <w:rPr>
          <w:rFonts w:ascii="Arial" w:hAnsi="Arial" w:cs="Arial"/>
          <w:sz w:val="19"/>
          <w:szCs w:val="19"/>
        </w:rPr>
        <w:t xml:space="preserve"> Resolución 219 de 2020: «Artículo 4. Bienes o servicios adicionales a la obra pública de infraestructura social. Cuando el objeto contractual incluya bienes o servicios ajenos a la obra pública de infraestructura social, la entidad estatal deberá aplicar los documentos tipo. Si de manera excepcional requiere incluir experiencia adicional para evaluar la idoneidad respecto de los bienes o servicios ajenos a [a obra pública, deberá seguir los siguientes parámetros: </w:t>
      </w:r>
    </w:p>
    <w:p w14:paraId="05C54EB7" w14:textId="77777777" w:rsidR="00896E48" w:rsidRPr="0089556B" w:rsidRDefault="00896E48" w:rsidP="00896E48">
      <w:pPr>
        <w:pStyle w:val="Textonotapie"/>
        <w:spacing w:before="0" w:line="240" w:lineRule="auto"/>
        <w:ind w:firstLine="709"/>
        <w:rPr>
          <w:rFonts w:ascii="Arial" w:hAnsi="Arial" w:cs="Arial"/>
          <w:sz w:val="19"/>
          <w:szCs w:val="19"/>
        </w:rPr>
      </w:pPr>
      <w:r w:rsidRPr="0089556B">
        <w:rPr>
          <w:rFonts w:ascii="Arial" w:hAnsi="Arial" w:cs="Arial"/>
          <w:sz w:val="19"/>
          <w:szCs w:val="19"/>
        </w:rPr>
        <w:t xml:space="preserve">»1. Demostrar en los estudios previos que ha verificado las condiciones de mercado para la adquisición de los bienes o servicios adicionales al componente de obra pública, de {al manera que la experiencia adicional que se exija para tales bienes o servicios procure la pluralidad de oferentes, y no limite la concurrencia de proponentes al proceso de contratación. Para tal efecto, la entidad realizará el estudio previo y el análisis del sector en los términos de los artículos 2.2.1.1.1.6.1 y 2.2.1.1.1.6.2 del Decreto 1082 de 2015, o la norma que los adicione, complemente o sustituya. </w:t>
      </w:r>
    </w:p>
    <w:p w14:paraId="7D6988AF" w14:textId="77777777" w:rsidR="00896E48" w:rsidRPr="0089556B" w:rsidRDefault="00896E48" w:rsidP="00896E48">
      <w:pPr>
        <w:pStyle w:val="Textonotapie"/>
        <w:spacing w:before="0" w:line="240" w:lineRule="auto"/>
        <w:ind w:firstLine="709"/>
        <w:rPr>
          <w:rFonts w:ascii="Arial" w:hAnsi="Arial" w:cs="Arial"/>
          <w:sz w:val="19"/>
          <w:szCs w:val="19"/>
        </w:rPr>
      </w:pPr>
      <w:r w:rsidRPr="0089556B">
        <w:rPr>
          <w:rFonts w:ascii="Arial" w:hAnsi="Arial" w:cs="Arial"/>
          <w:sz w:val="19"/>
          <w:szCs w:val="19"/>
        </w:rPr>
        <w:t xml:space="preserve">»2. Conservar los requisitos exigidos en los documentos tipo. </w:t>
      </w:r>
    </w:p>
    <w:p w14:paraId="54ADA958" w14:textId="77777777" w:rsidR="00896E48" w:rsidRPr="0089556B" w:rsidRDefault="00896E48" w:rsidP="00896E48">
      <w:pPr>
        <w:pStyle w:val="Textonotapie"/>
        <w:spacing w:before="0" w:line="240" w:lineRule="auto"/>
        <w:ind w:firstLine="709"/>
        <w:rPr>
          <w:rFonts w:ascii="Arial" w:hAnsi="Arial" w:cs="Arial"/>
          <w:sz w:val="19"/>
          <w:szCs w:val="19"/>
        </w:rPr>
      </w:pPr>
      <w:r w:rsidRPr="0089556B">
        <w:rPr>
          <w:rFonts w:ascii="Arial" w:hAnsi="Arial" w:cs="Arial"/>
          <w:sz w:val="19"/>
          <w:szCs w:val="19"/>
        </w:rPr>
        <w:t xml:space="preserve">»3. Abstenerse de pedir experiencia exclusiva con entidades de cualquier naturaleza, experiencia previa exclusiva en un territorio específico, limitada en el tiempo o que incluya volúmenes o cantidades de obra específica. </w:t>
      </w:r>
    </w:p>
    <w:p w14:paraId="254673E8" w14:textId="77777777" w:rsidR="00896E48" w:rsidRPr="0089556B" w:rsidRDefault="00896E48" w:rsidP="00896E48">
      <w:pPr>
        <w:pStyle w:val="Textonotapie"/>
        <w:spacing w:before="0" w:line="240" w:lineRule="auto"/>
        <w:ind w:firstLine="709"/>
        <w:rPr>
          <w:rFonts w:ascii="Arial" w:hAnsi="Arial" w:cs="Arial"/>
          <w:sz w:val="19"/>
          <w:szCs w:val="19"/>
        </w:rPr>
      </w:pPr>
      <w:r w:rsidRPr="0089556B">
        <w:rPr>
          <w:rFonts w:ascii="Arial" w:hAnsi="Arial" w:cs="Arial"/>
          <w:sz w:val="19"/>
          <w:szCs w:val="19"/>
        </w:rPr>
        <w:t>»4. Clasificar la experiencia requerida solo hasta el tercer nivel del Clasificador de Bienes y Servicios e incluir exclusivamente los códigos que estén relacionados directamente con el objeto a contratar</w:t>
      </w:r>
    </w:p>
    <w:p w14:paraId="1AD94414" w14:textId="77777777" w:rsidR="00896E48" w:rsidRPr="0089556B" w:rsidRDefault="00896E48" w:rsidP="00896E48">
      <w:pPr>
        <w:pStyle w:val="Textonotapie"/>
        <w:spacing w:before="0" w:line="240" w:lineRule="auto"/>
        <w:ind w:firstLine="709"/>
        <w:rPr>
          <w:rFonts w:ascii="Arial" w:hAnsi="Arial" w:cs="Arial"/>
          <w:sz w:val="19"/>
          <w:szCs w:val="19"/>
        </w:rPr>
      </w:pPr>
      <w:r w:rsidRPr="0089556B">
        <w:rPr>
          <w:rFonts w:ascii="Arial" w:hAnsi="Arial" w:cs="Arial"/>
          <w:sz w:val="19"/>
          <w:szCs w:val="19"/>
        </w:rPr>
        <w:t xml:space="preserve">»Parágrafo 1. En los casos que el objeto contractual incluya actividades abarcadas por otros documentos tipo expedidos por la Agencia Nacional de Contratación Pública -Colombia Compra Eficiente-, la entidad estatal podrá aplicar las reglas de combinación de experiencia previstas en el numeral 3.5.1 del documento base. </w:t>
      </w:r>
    </w:p>
    <w:p w14:paraId="1C1580F8" w14:textId="77777777" w:rsidR="00896E48" w:rsidRPr="0089556B" w:rsidRDefault="00896E48" w:rsidP="00896E48">
      <w:pPr>
        <w:pStyle w:val="Textonotapie"/>
        <w:spacing w:before="0" w:line="240" w:lineRule="auto"/>
        <w:ind w:firstLine="709"/>
        <w:rPr>
          <w:rFonts w:ascii="Arial" w:hAnsi="Arial" w:cs="Arial"/>
          <w:sz w:val="19"/>
          <w:szCs w:val="19"/>
        </w:rPr>
      </w:pPr>
      <w:r w:rsidRPr="0089556B">
        <w:rPr>
          <w:rFonts w:ascii="Arial" w:hAnsi="Arial" w:cs="Arial"/>
          <w:sz w:val="19"/>
          <w:szCs w:val="19"/>
        </w:rPr>
        <w:t xml:space="preserve">»Parágrafo 2. Para los efectos de este artículo se entiende por "bienes o servicios adicionales" aquellas actividades que no están incluidas en la matriz de experiencia de los documentos tipo de infraestructura social aplicable, pero que están relacionadas con el contrato a ejecutar. Por ejemplo, en caso de que el proyecto de obra pública a ejecutar esté relacionado con infraestructura social, como es el sector educativo, pero además, con proyectos de agua potable y saneamiento básico o con proyectos en la construcción de una vía, el servicio adicional serán las actividades de obra pública en infraestructura de agua potable y saneamiento básico o las actividades de obra pública de infraestructura de transporte. </w:t>
      </w:r>
    </w:p>
    <w:p w14:paraId="00016B6F" w14:textId="77777777" w:rsidR="00896E48" w:rsidRPr="0089556B" w:rsidRDefault="00896E48" w:rsidP="00896E48">
      <w:pPr>
        <w:pStyle w:val="Textonotapie"/>
        <w:spacing w:before="0" w:after="0" w:line="240" w:lineRule="auto"/>
        <w:ind w:firstLine="708"/>
        <w:rPr>
          <w:rFonts w:ascii="Arial" w:hAnsi="Arial" w:cs="Arial"/>
          <w:sz w:val="19"/>
          <w:szCs w:val="19"/>
          <w:lang w:val="es-CO"/>
        </w:rPr>
      </w:pPr>
      <w:r w:rsidRPr="0089556B">
        <w:rPr>
          <w:rFonts w:ascii="Arial" w:hAnsi="Arial" w:cs="Arial"/>
          <w:sz w:val="19"/>
          <w:szCs w:val="19"/>
        </w:rPr>
        <w:t>»Parágrafo 3. Para la aplicación de este artículo, se entiende por experiencia adicional aquella que no está definida en la matriz de experiencia de infraestructura social aplicable, pero que la entidad estatal considera necesaria para garantizar la idoneidad del contratista para la ejecución del proyecto, puesto que está relacionada con el objeto a ejecutar».</w:t>
      </w:r>
      <w:r w:rsidRPr="002975CD">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F64D8" w:rsidRDefault="00EF64D8">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2F02B9"/>
    <w:multiLevelType w:val="hybridMultilevel"/>
    <w:tmpl w:val="64F6AB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6265F41"/>
    <w:multiLevelType w:val="hybridMultilevel"/>
    <w:tmpl w:val="57E0A038"/>
    <w:lvl w:ilvl="0" w:tplc="45F0579C">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2768CA"/>
    <w:multiLevelType w:val="hybridMultilevel"/>
    <w:tmpl w:val="BFEEB81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8A2D41"/>
    <w:multiLevelType w:val="hybridMultilevel"/>
    <w:tmpl w:val="B8CC0D42"/>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6" w15:restartNumberingAfterBreak="0">
    <w:nsid w:val="29380B19"/>
    <w:multiLevelType w:val="hybridMultilevel"/>
    <w:tmpl w:val="1F66EDE8"/>
    <w:lvl w:ilvl="0" w:tplc="60226B48">
      <w:start w:val="1"/>
      <w:numFmt w:val="decimal"/>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15:restartNumberingAfterBreak="0">
    <w:nsid w:val="2C625574"/>
    <w:multiLevelType w:val="hybridMultilevel"/>
    <w:tmpl w:val="7EA03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CF3319"/>
    <w:multiLevelType w:val="hybridMultilevel"/>
    <w:tmpl w:val="D42C505A"/>
    <w:lvl w:ilvl="0" w:tplc="FC5637A6">
      <w:start w:val="1"/>
      <w:numFmt w:val="decimal"/>
      <w:lvlText w:val="%1."/>
      <w:lvlJc w:val="left"/>
      <w:pPr>
        <w:ind w:left="720" w:hanging="360"/>
      </w:pPr>
      <w:rPr>
        <w:rFonts w:ascii="Calibri" w:hAnsi="Calibri" w:cs="Calibri"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F3B1499"/>
    <w:multiLevelType w:val="hybridMultilevel"/>
    <w:tmpl w:val="B5BA0E08"/>
    <w:lvl w:ilvl="0" w:tplc="EC46EAB4">
      <w:start w:val="1"/>
      <w:numFmt w:val="lowerRoman"/>
      <w:lvlText w:val="%1)"/>
      <w:lvlJc w:val="left"/>
      <w:pPr>
        <w:ind w:left="1429" w:hanging="72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0"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7B7BA6"/>
    <w:multiLevelType w:val="hybridMultilevel"/>
    <w:tmpl w:val="0A9A12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5C1658E"/>
    <w:multiLevelType w:val="hybridMultilevel"/>
    <w:tmpl w:val="6BB45F22"/>
    <w:lvl w:ilvl="0" w:tplc="324E2A2C">
      <w:start w:val="1"/>
      <w:numFmt w:val="upperRoman"/>
      <w:lvlText w:val="%1."/>
      <w:lvlJc w:val="right"/>
      <w:pPr>
        <w:ind w:left="1429" w:hanging="360"/>
      </w:pPr>
      <w:rPr>
        <w:sz w:val="22"/>
        <w:szCs w:val="22"/>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4" w15:restartNumberingAfterBreak="0">
    <w:nsid w:val="3642528B"/>
    <w:multiLevelType w:val="hybridMultilevel"/>
    <w:tmpl w:val="D408B580"/>
    <w:lvl w:ilvl="0" w:tplc="15DE398A">
      <w:start w:val="1"/>
      <w:numFmt w:val="lowerLetter"/>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5" w15:restartNumberingAfterBreak="0">
    <w:nsid w:val="3DF77F05"/>
    <w:multiLevelType w:val="hybridMultilevel"/>
    <w:tmpl w:val="0E90E834"/>
    <w:lvl w:ilvl="0" w:tplc="073E4240">
      <w:start w:val="1"/>
      <w:numFmt w:val="lowerRoman"/>
      <w:lvlText w:val="%1)"/>
      <w:lvlJc w:val="left"/>
      <w:pPr>
        <w:ind w:left="1429" w:hanging="72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6" w15:restartNumberingAfterBreak="0">
    <w:nsid w:val="444D0259"/>
    <w:multiLevelType w:val="hybridMultilevel"/>
    <w:tmpl w:val="77FC860C"/>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B603041"/>
    <w:multiLevelType w:val="multilevel"/>
    <w:tmpl w:val="F592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2B27AF"/>
    <w:multiLevelType w:val="hybridMultilevel"/>
    <w:tmpl w:val="BA34E780"/>
    <w:lvl w:ilvl="0" w:tplc="56241FF8">
      <w:start w:val="1"/>
      <w:numFmt w:val="lowerLetter"/>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2" w15:restartNumberingAfterBreak="0">
    <w:nsid w:val="6A9B7B46"/>
    <w:multiLevelType w:val="hybridMultilevel"/>
    <w:tmpl w:val="103E82C4"/>
    <w:lvl w:ilvl="0" w:tplc="0C0A0013">
      <w:start w:val="1"/>
      <w:numFmt w:val="upperRoman"/>
      <w:lvlText w:val="%1."/>
      <w:lvlJc w:val="righ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3" w15:restartNumberingAfterBreak="0">
    <w:nsid w:val="6AEE097A"/>
    <w:multiLevelType w:val="hybridMultilevel"/>
    <w:tmpl w:val="F1E6C93C"/>
    <w:lvl w:ilvl="0" w:tplc="1020E432">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6FEE5641"/>
    <w:multiLevelType w:val="hybridMultilevel"/>
    <w:tmpl w:val="CE064F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0966857"/>
    <w:multiLevelType w:val="hybridMultilevel"/>
    <w:tmpl w:val="2EB8A274"/>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7" w15:restartNumberingAfterBreak="0">
    <w:nsid w:val="7A5605E3"/>
    <w:multiLevelType w:val="multilevel"/>
    <w:tmpl w:val="22AA4B80"/>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C703690"/>
    <w:multiLevelType w:val="hybridMultilevel"/>
    <w:tmpl w:val="F9862F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85926295">
    <w:abstractNumId w:val="12"/>
  </w:num>
  <w:num w:numId="2" w16cid:durableId="1943492402">
    <w:abstractNumId w:val="10"/>
  </w:num>
  <w:num w:numId="3" w16cid:durableId="322927219">
    <w:abstractNumId w:val="17"/>
  </w:num>
  <w:num w:numId="4" w16cid:durableId="362487953">
    <w:abstractNumId w:val="18"/>
  </w:num>
  <w:num w:numId="5" w16cid:durableId="957685316">
    <w:abstractNumId w:val="24"/>
  </w:num>
  <w:num w:numId="6" w16cid:durableId="64095947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7025592">
    <w:abstractNumId w:val="19"/>
  </w:num>
  <w:num w:numId="8" w16cid:durableId="7294060">
    <w:abstractNumId w:val="7"/>
  </w:num>
  <w:num w:numId="9" w16cid:durableId="2126151467">
    <w:abstractNumId w:val="1"/>
  </w:num>
  <w:num w:numId="10" w16cid:durableId="1374842859">
    <w:abstractNumId w:val="8"/>
  </w:num>
  <w:num w:numId="11" w16cid:durableId="1511869303">
    <w:abstractNumId w:val="2"/>
  </w:num>
  <w:num w:numId="12" w16cid:durableId="1266235554">
    <w:abstractNumId w:val="11"/>
  </w:num>
  <w:num w:numId="13" w16cid:durableId="543950728">
    <w:abstractNumId w:val="5"/>
  </w:num>
  <w:num w:numId="14" w16cid:durableId="1855920786">
    <w:abstractNumId w:val="21"/>
  </w:num>
  <w:num w:numId="15" w16cid:durableId="882207272">
    <w:abstractNumId w:val="16"/>
  </w:num>
  <w:num w:numId="16" w16cid:durableId="1116607716">
    <w:abstractNumId w:val="14"/>
  </w:num>
  <w:num w:numId="17" w16cid:durableId="263196483">
    <w:abstractNumId w:val="26"/>
  </w:num>
  <w:num w:numId="18" w16cid:durableId="804272940">
    <w:abstractNumId w:val="6"/>
  </w:num>
  <w:num w:numId="19" w16cid:durableId="508914679">
    <w:abstractNumId w:val="13"/>
  </w:num>
  <w:num w:numId="20" w16cid:durableId="1178159651">
    <w:abstractNumId w:val="15"/>
  </w:num>
  <w:num w:numId="21" w16cid:durableId="617415810">
    <w:abstractNumId w:val="22"/>
  </w:num>
  <w:num w:numId="22" w16cid:durableId="759178625">
    <w:abstractNumId w:val="9"/>
  </w:num>
  <w:num w:numId="23" w16cid:durableId="383873824">
    <w:abstractNumId w:val="28"/>
  </w:num>
  <w:num w:numId="24" w16cid:durableId="1916548963">
    <w:abstractNumId w:val="25"/>
  </w:num>
  <w:num w:numId="25" w16cid:durableId="675305355">
    <w:abstractNumId w:val="23"/>
  </w:num>
  <w:num w:numId="26" w16cid:durableId="273678479">
    <w:abstractNumId w:val="20"/>
  </w:num>
  <w:num w:numId="27" w16cid:durableId="2121485125">
    <w:abstractNumId w:val="4"/>
  </w:num>
  <w:num w:numId="28" w16cid:durableId="1722711157">
    <w:abstractNumId w:val="3"/>
  </w:num>
  <w:num w:numId="29" w16cid:durableId="157608690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16"/>
    <w:rsid w:val="0000126D"/>
    <w:rsid w:val="000019A6"/>
    <w:rsid w:val="00001A1D"/>
    <w:rsid w:val="000025E0"/>
    <w:rsid w:val="000034EE"/>
    <w:rsid w:val="000070A8"/>
    <w:rsid w:val="0001231C"/>
    <w:rsid w:val="00012715"/>
    <w:rsid w:val="000135A1"/>
    <w:rsid w:val="00013F7C"/>
    <w:rsid w:val="00015BF3"/>
    <w:rsid w:val="00015E80"/>
    <w:rsid w:val="00015F78"/>
    <w:rsid w:val="000169A0"/>
    <w:rsid w:val="00016D26"/>
    <w:rsid w:val="00016D2E"/>
    <w:rsid w:val="00017245"/>
    <w:rsid w:val="00017253"/>
    <w:rsid w:val="00017C1D"/>
    <w:rsid w:val="000205F1"/>
    <w:rsid w:val="000210DF"/>
    <w:rsid w:val="0002264C"/>
    <w:rsid w:val="0002271C"/>
    <w:rsid w:val="000229A9"/>
    <w:rsid w:val="00022B3A"/>
    <w:rsid w:val="00023CD9"/>
    <w:rsid w:val="000244EC"/>
    <w:rsid w:val="00024653"/>
    <w:rsid w:val="000268E2"/>
    <w:rsid w:val="0002739B"/>
    <w:rsid w:val="00027E6B"/>
    <w:rsid w:val="000300C6"/>
    <w:rsid w:val="00030204"/>
    <w:rsid w:val="00030271"/>
    <w:rsid w:val="00030C77"/>
    <w:rsid w:val="00032989"/>
    <w:rsid w:val="00032A51"/>
    <w:rsid w:val="00033802"/>
    <w:rsid w:val="00033C14"/>
    <w:rsid w:val="00033D8C"/>
    <w:rsid w:val="00034398"/>
    <w:rsid w:val="00034663"/>
    <w:rsid w:val="00040044"/>
    <w:rsid w:val="000414BE"/>
    <w:rsid w:val="000432DF"/>
    <w:rsid w:val="00044D8C"/>
    <w:rsid w:val="00050C64"/>
    <w:rsid w:val="0005181E"/>
    <w:rsid w:val="0005264A"/>
    <w:rsid w:val="00053136"/>
    <w:rsid w:val="000540E1"/>
    <w:rsid w:val="00054817"/>
    <w:rsid w:val="00054BBB"/>
    <w:rsid w:val="00055F34"/>
    <w:rsid w:val="00060D6D"/>
    <w:rsid w:val="000641A8"/>
    <w:rsid w:val="0006467C"/>
    <w:rsid w:val="0006474E"/>
    <w:rsid w:val="00065205"/>
    <w:rsid w:val="00066517"/>
    <w:rsid w:val="00066BFC"/>
    <w:rsid w:val="00071132"/>
    <w:rsid w:val="00071351"/>
    <w:rsid w:val="000716B2"/>
    <w:rsid w:val="0007405A"/>
    <w:rsid w:val="00074BEE"/>
    <w:rsid w:val="00074D1E"/>
    <w:rsid w:val="00075D07"/>
    <w:rsid w:val="0007624E"/>
    <w:rsid w:val="00076A40"/>
    <w:rsid w:val="00076B31"/>
    <w:rsid w:val="000770DB"/>
    <w:rsid w:val="00077E68"/>
    <w:rsid w:val="0008228E"/>
    <w:rsid w:val="000822A6"/>
    <w:rsid w:val="0008274C"/>
    <w:rsid w:val="00082CE0"/>
    <w:rsid w:val="00084B97"/>
    <w:rsid w:val="00086D8D"/>
    <w:rsid w:val="000877B5"/>
    <w:rsid w:val="000902BC"/>
    <w:rsid w:val="00090E72"/>
    <w:rsid w:val="00091AC6"/>
    <w:rsid w:val="00092617"/>
    <w:rsid w:val="00092B6A"/>
    <w:rsid w:val="000942EB"/>
    <w:rsid w:val="000943FC"/>
    <w:rsid w:val="00094A92"/>
    <w:rsid w:val="00095B25"/>
    <w:rsid w:val="00096C01"/>
    <w:rsid w:val="0009763D"/>
    <w:rsid w:val="00097F4E"/>
    <w:rsid w:val="000A1E57"/>
    <w:rsid w:val="000A3521"/>
    <w:rsid w:val="000A4DD7"/>
    <w:rsid w:val="000A55DE"/>
    <w:rsid w:val="000A5915"/>
    <w:rsid w:val="000B076C"/>
    <w:rsid w:val="000B0E61"/>
    <w:rsid w:val="000B103F"/>
    <w:rsid w:val="000B14BA"/>
    <w:rsid w:val="000B2D9A"/>
    <w:rsid w:val="000B2EBA"/>
    <w:rsid w:val="000B597D"/>
    <w:rsid w:val="000B5C13"/>
    <w:rsid w:val="000C00A2"/>
    <w:rsid w:val="000C0769"/>
    <w:rsid w:val="000C0B99"/>
    <w:rsid w:val="000C1515"/>
    <w:rsid w:val="000C3232"/>
    <w:rsid w:val="000C394F"/>
    <w:rsid w:val="000C3C87"/>
    <w:rsid w:val="000C3F9B"/>
    <w:rsid w:val="000C4E3E"/>
    <w:rsid w:val="000C5512"/>
    <w:rsid w:val="000C5D99"/>
    <w:rsid w:val="000D0A58"/>
    <w:rsid w:val="000D1837"/>
    <w:rsid w:val="000D186A"/>
    <w:rsid w:val="000D230B"/>
    <w:rsid w:val="000D25BC"/>
    <w:rsid w:val="000D5E53"/>
    <w:rsid w:val="000D5EF4"/>
    <w:rsid w:val="000D65F9"/>
    <w:rsid w:val="000D7953"/>
    <w:rsid w:val="000D7A0F"/>
    <w:rsid w:val="000E0DED"/>
    <w:rsid w:val="000E2CBF"/>
    <w:rsid w:val="000E304C"/>
    <w:rsid w:val="000E337B"/>
    <w:rsid w:val="000E3909"/>
    <w:rsid w:val="000E6563"/>
    <w:rsid w:val="000E739D"/>
    <w:rsid w:val="000F091C"/>
    <w:rsid w:val="000F14E8"/>
    <w:rsid w:val="000F2AA2"/>
    <w:rsid w:val="000F2EE1"/>
    <w:rsid w:val="000F4695"/>
    <w:rsid w:val="000F6A40"/>
    <w:rsid w:val="000F7FC3"/>
    <w:rsid w:val="00100D69"/>
    <w:rsid w:val="00101018"/>
    <w:rsid w:val="001012A1"/>
    <w:rsid w:val="001034A0"/>
    <w:rsid w:val="00103915"/>
    <w:rsid w:val="001041A9"/>
    <w:rsid w:val="001072DB"/>
    <w:rsid w:val="001074AB"/>
    <w:rsid w:val="001078AA"/>
    <w:rsid w:val="00110280"/>
    <w:rsid w:val="0011052D"/>
    <w:rsid w:val="00110CE1"/>
    <w:rsid w:val="001112FD"/>
    <w:rsid w:val="0011178C"/>
    <w:rsid w:val="00111CDF"/>
    <w:rsid w:val="001124EB"/>
    <w:rsid w:val="001125D4"/>
    <w:rsid w:val="00113157"/>
    <w:rsid w:val="00114327"/>
    <w:rsid w:val="00114900"/>
    <w:rsid w:val="0011520A"/>
    <w:rsid w:val="001155B8"/>
    <w:rsid w:val="00116C84"/>
    <w:rsid w:val="0011766B"/>
    <w:rsid w:val="00120D67"/>
    <w:rsid w:val="001214BC"/>
    <w:rsid w:val="001221FD"/>
    <w:rsid w:val="00122B23"/>
    <w:rsid w:val="00122B9A"/>
    <w:rsid w:val="00123BE2"/>
    <w:rsid w:val="0012416B"/>
    <w:rsid w:val="00124A82"/>
    <w:rsid w:val="00130457"/>
    <w:rsid w:val="001315C5"/>
    <w:rsid w:val="0013282C"/>
    <w:rsid w:val="001336B2"/>
    <w:rsid w:val="00133F8F"/>
    <w:rsid w:val="00134D65"/>
    <w:rsid w:val="0013770F"/>
    <w:rsid w:val="001377EC"/>
    <w:rsid w:val="00137E66"/>
    <w:rsid w:val="00137FFA"/>
    <w:rsid w:val="0014071F"/>
    <w:rsid w:val="00141B41"/>
    <w:rsid w:val="00141CCA"/>
    <w:rsid w:val="00141E25"/>
    <w:rsid w:val="0014214B"/>
    <w:rsid w:val="00142560"/>
    <w:rsid w:val="001429C2"/>
    <w:rsid w:val="00143D03"/>
    <w:rsid w:val="00144D68"/>
    <w:rsid w:val="00150CB3"/>
    <w:rsid w:val="00151129"/>
    <w:rsid w:val="00151936"/>
    <w:rsid w:val="00151997"/>
    <w:rsid w:val="0015287D"/>
    <w:rsid w:val="00152FDA"/>
    <w:rsid w:val="00154785"/>
    <w:rsid w:val="00155B3D"/>
    <w:rsid w:val="00155C13"/>
    <w:rsid w:val="00156216"/>
    <w:rsid w:val="0015738F"/>
    <w:rsid w:val="00160CB0"/>
    <w:rsid w:val="00161A37"/>
    <w:rsid w:val="001643A4"/>
    <w:rsid w:val="001649AC"/>
    <w:rsid w:val="00165347"/>
    <w:rsid w:val="00165995"/>
    <w:rsid w:val="001659D7"/>
    <w:rsid w:val="00166D35"/>
    <w:rsid w:val="00166E41"/>
    <w:rsid w:val="00171685"/>
    <w:rsid w:val="0017335A"/>
    <w:rsid w:val="0017361B"/>
    <w:rsid w:val="00173B85"/>
    <w:rsid w:val="001742CE"/>
    <w:rsid w:val="00175D9F"/>
    <w:rsid w:val="00180188"/>
    <w:rsid w:val="00180AA9"/>
    <w:rsid w:val="001824DD"/>
    <w:rsid w:val="001827CB"/>
    <w:rsid w:val="00182A86"/>
    <w:rsid w:val="00182EEE"/>
    <w:rsid w:val="00183289"/>
    <w:rsid w:val="0018335C"/>
    <w:rsid w:val="001833C1"/>
    <w:rsid w:val="00185A59"/>
    <w:rsid w:val="00185ECD"/>
    <w:rsid w:val="0018635C"/>
    <w:rsid w:val="00190961"/>
    <w:rsid w:val="00191C4D"/>
    <w:rsid w:val="001928EA"/>
    <w:rsid w:val="00192CDC"/>
    <w:rsid w:val="00192CE0"/>
    <w:rsid w:val="00192CEE"/>
    <w:rsid w:val="001932CC"/>
    <w:rsid w:val="001961C8"/>
    <w:rsid w:val="00196D40"/>
    <w:rsid w:val="00197BB3"/>
    <w:rsid w:val="00197E31"/>
    <w:rsid w:val="001A0A19"/>
    <w:rsid w:val="001A0E7A"/>
    <w:rsid w:val="001A1753"/>
    <w:rsid w:val="001A1F15"/>
    <w:rsid w:val="001A1FB1"/>
    <w:rsid w:val="001A217F"/>
    <w:rsid w:val="001A40A1"/>
    <w:rsid w:val="001A5808"/>
    <w:rsid w:val="001A75EE"/>
    <w:rsid w:val="001A78DE"/>
    <w:rsid w:val="001A7FD7"/>
    <w:rsid w:val="001B0444"/>
    <w:rsid w:val="001B0BE3"/>
    <w:rsid w:val="001B18DC"/>
    <w:rsid w:val="001B211E"/>
    <w:rsid w:val="001B2D51"/>
    <w:rsid w:val="001B2F08"/>
    <w:rsid w:val="001B39FA"/>
    <w:rsid w:val="001B5217"/>
    <w:rsid w:val="001B52D4"/>
    <w:rsid w:val="001B5D90"/>
    <w:rsid w:val="001B6E10"/>
    <w:rsid w:val="001C01AF"/>
    <w:rsid w:val="001C0265"/>
    <w:rsid w:val="001C24BF"/>
    <w:rsid w:val="001C4122"/>
    <w:rsid w:val="001C4743"/>
    <w:rsid w:val="001C47C8"/>
    <w:rsid w:val="001C4B15"/>
    <w:rsid w:val="001C6F95"/>
    <w:rsid w:val="001C763E"/>
    <w:rsid w:val="001D0C03"/>
    <w:rsid w:val="001D1560"/>
    <w:rsid w:val="001D17C2"/>
    <w:rsid w:val="001D2F93"/>
    <w:rsid w:val="001D2FC9"/>
    <w:rsid w:val="001D30D8"/>
    <w:rsid w:val="001D33DD"/>
    <w:rsid w:val="001D4EA4"/>
    <w:rsid w:val="001D5434"/>
    <w:rsid w:val="001D567B"/>
    <w:rsid w:val="001D612F"/>
    <w:rsid w:val="001E01F9"/>
    <w:rsid w:val="001E074F"/>
    <w:rsid w:val="001E1959"/>
    <w:rsid w:val="001E1B00"/>
    <w:rsid w:val="001E1EEE"/>
    <w:rsid w:val="001E2866"/>
    <w:rsid w:val="001E2A7A"/>
    <w:rsid w:val="001E4B0D"/>
    <w:rsid w:val="001E6C8C"/>
    <w:rsid w:val="001E7B54"/>
    <w:rsid w:val="001E7D79"/>
    <w:rsid w:val="001F267A"/>
    <w:rsid w:val="001F3B40"/>
    <w:rsid w:val="001F4D43"/>
    <w:rsid w:val="001F4F5C"/>
    <w:rsid w:val="001F5388"/>
    <w:rsid w:val="001F5745"/>
    <w:rsid w:val="001F6290"/>
    <w:rsid w:val="001F6378"/>
    <w:rsid w:val="001F7341"/>
    <w:rsid w:val="001F774C"/>
    <w:rsid w:val="0020001F"/>
    <w:rsid w:val="0020059F"/>
    <w:rsid w:val="00200651"/>
    <w:rsid w:val="00200E03"/>
    <w:rsid w:val="002025CC"/>
    <w:rsid w:val="0020324E"/>
    <w:rsid w:val="00203E16"/>
    <w:rsid w:val="00204675"/>
    <w:rsid w:val="00205185"/>
    <w:rsid w:val="00205753"/>
    <w:rsid w:val="00205CAE"/>
    <w:rsid w:val="0020632A"/>
    <w:rsid w:val="002075B6"/>
    <w:rsid w:val="002076CC"/>
    <w:rsid w:val="00207A3B"/>
    <w:rsid w:val="00210A2D"/>
    <w:rsid w:val="00210DF2"/>
    <w:rsid w:val="002110EB"/>
    <w:rsid w:val="00211338"/>
    <w:rsid w:val="00213541"/>
    <w:rsid w:val="0021518A"/>
    <w:rsid w:val="00215618"/>
    <w:rsid w:val="00215B97"/>
    <w:rsid w:val="00216AEE"/>
    <w:rsid w:val="00216E64"/>
    <w:rsid w:val="002177D9"/>
    <w:rsid w:val="00217988"/>
    <w:rsid w:val="00217C7F"/>
    <w:rsid w:val="00220120"/>
    <w:rsid w:val="00220E20"/>
    <w:rsid w:val="0022167B"/>
    <w:rsid w:val="002232F5"/>
    <w:rsid w:val="002249BC"/>
    <w:rsid w:val="002270C0"/>
    <w:rsid w:val="002309D1"/>
    <w:rsid w:val="00230F89"/>
    <w:rsid w:val="00233909"/>
    <w:rsid w:val="002339D3"/>
    <w:rsid w:val="00234113"/>
    <w:rsid w:val="00234B84"/>
    <w:rsid w:val="00234C1A"/>
    <w:rsid w:val="002364D4"/>
    <w:rsid w:val="0023691B"/>
    <w:rsid w:val="002379B1"/>
    <w:rsid w:val="002400DC"/>
    <w:rsid w:val="002409B6"/>
    <w:rsid w:val="00240D99"/>
    <w:rsid w:val="00243EE8"/>
    <w:rsid w:val="00244343"/>
    <w:rsid w:val="002456B1"/>
    <w:rsid w:val="002456DB"/>
    <w:rsid w:val="00246944"/>
    <w:rsid w:val="00247C35"/>
    <w:rsid w:val="0025069C"/>
    <w:rsid w:val="0025151A"/>
    <w:rsid w:val="002534F1"/>
    <w:rsid w:val="002538B5"/>
    <w:rsid w:val="00254711"/>
    <w:rsid w:val="00255215"/>
    <w:rsid w:val="00255D2C"/>
    <w:rsid w:val="00256CE7"/>
    <w:rsid w:val="002576FD"/>
    <w:rsid w:val="00257B1C"/>
    <w:rsid w:val="002613B7"/>
    <w:rsid w:val="002623F4"/>
    <w:rsid w:val="002627A8"/>
    <w:rsid w:val="0026362F"/>
    <w:rsid w:val="00263755"/>
    <w:rsid w:val="0026403D"/>
    <w:rsid w:val="002647F7"/>
    <w:rsid w:val="00264E94"/>
    <w:rsid w:val="002654C1"/>
    <w:rsid w:val="0026616C"/>
    <w:rsid w:val="00266787"/>
    <w:rsid w:val="00266C67"/>
    <w:rsid w:val="00267A47"/>
    <w:rsid w:val="00267DDA"/>
    <w:rsid w:val="002708A2"/>
    <w:rsid w:val="00271043"/>
    <w:rsid w:val="002725EE"/>
    <w:rsid w:val="00272FBF"/>
    <w:rsid w:val="002737FD"/>
    <w:rsid w:val="00273E83"/>
    <w:rsid w:val="00273FBD"/>
    <w:rsid w:val="00274AE5"/>
    <w:rsid w:val="00274DDF"/>
    <w:rsid w:val="002758C1"/>
    <w:rsid w:val="00275C49"/>
    <w:rsid w:val="00275E86"/>
    <w:rsid w:val="002801C7"/>
    <w:rsid w:val="00285503"/>
    <w:rsid w:val="00285AC8"/>
    <w:rsid w:val="00285AC9"/>
    <w:rsid w:val="00286089"/>
    <w:rsid w:val="00287343"/>
    <w:rsid w:val="00287741"/>
    <w:rsid w:val="002907D3"/>
    <w:rsid w:val="00290E9F"/>
    <w:rsid w:val="002914E1"/>
    <w:rsid w:val="00291C4F"/>
    <w:rsid w:val="00291FE3"/>
    <w:rsid w:val="002933C8"/>
    <w:rsid w:val="002938BD"/>
    <w:rsid w:val="00293BBD"/>
    <w:rsid w:val="002941C6"/>
    <w:rsid w:val="00296B40"/>
    <w:rsid w:val="002975CD"/>
    <w:rsid w:val="002A2E12"/>
    <w:rsid w:val="002A3C35"/>
    <w:rsid w:val="002A4F9E"/>
    <w:rsid w:val="002A5498"/>
    <w:rsid w:val="002A5F87"/>
    <w:rsid w:val="002A66A3"/>
    <w:rsid w:val="002A695B"/>
    <w:rsid w:val="002A7A4E"/>
    <w:rsid w:val="002B288D"/>
    <w:rsid w:val="002B3433"/>
    <w:rsid w:val="002B3E2C"/>
    <w:rsid w:val="002B41FB"/>
    <w:rsid w:val="002B4390"/>
    <w:rsid w:val="002B55C7"/>
    <w:rsid w:val="002C0A98"/>
    <w:rsid w:val="002C216A"/>
    <w:rsid w:val="002C28E1"/>
    <w:rsid w:val="002C2B56"/>
    <w:rsid w:val="002C2D1E"/>
    <w:rsid w:val="002C32E1"/>
    <w:rsid w:val="002C40FB"/>
    <w:rsid w:val="002C4C0C"/>
    <w:rsid w:val="002C57C8"/>
    <w:rsid w:val="002C6821"/>
    <w:rsid w:val="002D08FE"/>
    <w:rsid w:val="002D155C"/>
    <w:rsid w:val="002D2CD0"/>
    <w:rsid w:val="002D3589"/>
    <w:rsid w:val="002D481A"/>
    <w:rsid w:val="002D65E2"/>
    <w:rsid w:val="002D7275"/>
    <w:rsid w:val="002D752D"/>
    <w:rsid w:val="002E06A1"/>
    <w:rsid w:val="002E1FD0"/>
    <w:rsid w:val="002E291A"/>
    <w:rsid w:val="002E3C38"/>
    <w:rsid w:val="002E7979"/>
    <w:rsid w:val="002F1E36"/>
    <w:rsid w:val="002F334B"/>
    <w:rsid w:val="002F4470"/>
    <w:rsid w:val="002F5EBA"/>
    <w:rsid w:val="002F7BD7"/>
    <w:rsid w:val="003016E2"/>
    <w:rsid w:val="003033BA"/>
    <w:rsid w:val="003044D8"/>
    <w:rsid w:val="00304580"/>
    <w:rsid w:val="00304B38"/>
    <w:rsid w:val="0030589C"/>
    <w:rsid w:val="00306C30"/>
    <w:rsid w:val="00307067"/>
    <w:rsid w:val="0030732C"/>
    <w:rsid w:val="003073C0"/>
    <w:rsid w:val="00307855"/>
    <w:rsid w:val="003078D7"/>
    <w:rsid w:val="003108EF"/>
    <w:rsid w:val="00311783"/>
    <w:rsid w:val="0031206F"/>
    <w:rsid w:val="00312204"/>
    <w:rsid w:val="00312ADC"/>
    <w:rsid w:val="00312D89"/>
    <w:rsid w:val="00314C7D"/>
    <w:rsid w:val="00316214"/>
    <w:rsid w:val="003162C8"/>
    <w:rsid w:val="00316B16"/>
    <w:rsid w:val="00317F00"/>
    <w:rsid w:val="00321018"/>
    <w:rsid w:val="00322616"/>
    <w:rsid w:val="00322937"/>
    <w:rsid w:val="003230C7"/>
    <w:rsid w:val="0032350A"/>
    <w:rsid w:val="003238A9"/>
    <w:rsid w:val="00327549"/>
    <w:rsid w:val="00327CEB"/>
    <w:rsid w:val="00330722"/>
    <w:rsid w:val="0033389E"/>
    <w:rsid w:val="00334638"/>
    <w:rsid w:val="00334D76"/>
    <w:rsid w:val="00336542"/>
    <w:rsid w:val="00336B72"/>
    <w:rsid w:val="003404C6"/>
    <w:rsid w:val="0034096E"/>
    <w:rsid w:val="0034177C"/>
    <w:rsid w:val="00341D52"/>
    <w:rsid w:val="00342024"/>
    <w:rsid w:val="003429F6"/>
    <w:rsid w:val="00342B25"/>
    <w:rsid w:val="00343C1C"/>
    <w:rsid w:val="00344B03"/>
    <w:rsid w:val="00345705"/>
    <w:rsid w:val="00345E28"/>
    <w:rsid w:val="0034680A"/>
    <w:rsid w:val="00347024"/>
    <w:rsid w:val="00350AA9"/>
    <w:rsid w:val="00350DA7"/>
    <w:rsid w:val="00352AD1"/>
    <w:rsid w:val="00353653"/>
    <w:rsid w:val="00353DD5"/>
    <w:rsid w:val="00353EE8"/>
    <w:rsid w:val="00355084"/>
    <w:rsid w:val="00355E8C"/>
    <w:rsid w:val="00357167"/>
    <w:rsid w:val="00361495"/>
    <w:rsid w:val="00364EF6"/>
    <w:rsid w:val="00364F11"/>
    <w:rsid w:val="003652E7"/>
    <w:rsid w:val="00366283"/>
    <w:rsid w:val="00366693"/>
    <w:rsid w:val="00367828"/>
    <w:rsid w:val="00370E0A"/>
    <w:rsid w:val="00371F43"/>
    <w:rsid w:val="00372E26"/>
    <w:rsid w:val="003754D2"/>
    <w:rsid w:val="003757C2"/>
    <w:rsid w:val="00376930"/>
    <w:rsid w:val="00380FAE"/>
    <w:rsid w:val="00381C32"/>
    <w:rsid w:val="00384C43"/>
    <w:rsid w:val="00385CF3"/>
    <w:rsid w:val="00386456"/>
    <w:rsid w:val="003901B3"/>
    <w:rsid w:val="003903B0"/>
    <w:rsid w:val="00390C02"/>
    <w:rsid w:val="003912A3"/>
    <w:rsid w:val="0039143D"/>
    <w:rsid w:val="003923F8"/>
    <w:rsid w:val="00392856"/>
    <w:rsid w:val="00392E00"/>
    <w:rsid w:val="003949EE"/>
    <w:rsid w:val="003964D5"/>
    <w:rsid w:val="00396918"/>
    <w:rsid w:val="003A0878"/>
    <w:rsid w:val="003A0EBE"/>
    <w:rsid w:val="003A2BF5"/>
    <w:rsid w:val="003A30B4"/>
    <w:rsid w:val="003A4CA4"/>
    <w:rsid w:val="003A4DC7"/>
    <w:rsid w:val="003A581E"/>
    <w:rsid w:val="003A5E90"/>
    <w:rsid w:val="003A6751"/>
    <w:rsid w:val="003A7F89"/>
    <w:rsid w:val="003B027A"/>
    <w:rsid w:val="003B2341"/>
    <w:rsid w:val="003B267F"/>
    <w:rsid w:val="003B43DB"/>
    <w:rsid w:val="003B49DA"/>
    <w:rsid w:val="003B59B0"/>
    <w:rsid w:val="003B73DE"/>
    <w:rsid w:val="003C01B1"/>
    <w:rsid w:val="003C28B6"/>
    <w:rsid w:val="003C541A"/>
    <w:rsid w:val="003C6CBA"/>
    <w:rsid w:val="003C75FC"/>
    <w:rsid w:val="003D1BE9"/>
    <w:rsid w:val="003D33FF"/>
    <w:rsid w:val="003D3D29"/>
    <w:rsid w:val="003D3D9D"/>
    <w:rsid w:val="003D43B0"/>
    <w:rsid w:val="003D45AC"/>
    <w:rsid w:val="003D527E"/>
    <w:rsid w:val="003D5B8F"/>
    <w:rsid w:val="003D7E29"/>
    <w:rsid w:val="003E04EE"/>
    <w:rsid w:val="003E0D9E"/>
    <w:rsid w:val="003E13B9"/>
    <w:rsid w:val="003E1992"/>
    <w:rsid w:val="003E1F9A"/>
    <w:rsid w:val="003E4A30"/>
    <w:rsid w:val="003E6423"/>
    <w:rsid w:val="003E6884"/>
    <w:rsid w:val="003E7AA5"/>
    <w:rsid w:val="003E7E4E"/>
    <w:rsid w:val="003F00C3"/>
    <w:rsid w:val="003F0155"/>
    <w:rsid w:val="003F0161"/>
    <w:rsid w:val="003F18DE"/>
    <w:rsid w:val="003F1D3C"/>
    <w:rsid w:val="003F4E89"/>
    <w:rsid w:val="003F56A2"/>
    <w:rsid w:val="0040246E"/>
    <w:rsid w:val="004030F2"/>
    <w:rsid w:val="00405913"/>
    <w:rsid w:val="00406251"/>
    <w:rsid w:val="00406A1A"/>
    <w:rsid w:val="0040754A"/>
    <w:rsid w:val="00407705"/>
    <w:rsid w:val="0040799E"/>
    <w:rsid w:val="004129BB"/>
    <w:rsid w:val="00413C8D"/>
    <w:rsid w:val="00413E61"/>
    <w:rsid w:val="00414152"/>
    <w:rsid w:val="00414533"/>
    <w:rsid w:val="00415DDE"/>
    <w:rsid w:val="00416308"/>
    <w:rsid w:val="00416996"/>
    <w:rsid w:val="00417025"/>
    <w:rsid w:val="00417425"/>
    <w:rsid w:val="00420782"/>
    <w:rsid w:val="00421624"/>
    <w:rsid w:val="00421DF6"/>
    <w:rsid w:val="004228D3"/>
    <w:rsid w:val="00423F66"/>
    <w:rsid w:val="00423F9F"/>
    <w:rsid w:val="00425FD7"/>
    <w:rsid w:val="00427154"/>
    <w:rsid w:val="00427F2F"/>
    <w:rsid w:val="00430D86"/>
    <w:rsid w:val="00431739"/>
    <w:rsid w:val="004326F3"/>
    <w:rsid w:val="00432AD1"/>
    <w:rsid w:val="00432B52"/>
    <w:rsid w:val="00433494"/>
    <w:rsid w:val="004334E3"/>
    <w:rsid w:val="00434140"/>
    <w:rsid w:val="00435826"/>
    <w:rsid w:val="00435B7C"/>
    <w:rsid w:val="00435F5F"/>
    <w:rsid w:val="0043612C"/>
    <w:rsid w:val="00437235"/>
    <w:rsid w:val="00437607"/>
    <w:rsid w:val="004376B9"/>
    <w:rsid w:val="00437BA7"/>
    <w:rsid w:val="00440848"/>
    <w:rsid w:val="00441DC6"/>
    <w:rsid w:val="00441EE4"/>
    <w:rsid w:val="004422D6"/>
    <w:rsid w:val="00444350"/>
    <w:rsid w:val="0044490E"/>
    <w:rsid w:val="00446E21"/>
    <w:rsid w:val="00447165"/>
    <w:rsid w:val="00447729"/>
    <w:rsid w:val="004511B1"/>
    <w:rsid w:val="0045144F"/>
    <w:rsid w:val="00451716"/>
    <w:rsid w:val="00452F9A"/>
    <w:rsid w:val="00453288"/>
    <w:rsid w:val="00454F6B"/>
    <w:rsid w:val="00457110"/>
    <w:rsid w:val="00460D1C"/>
    <w:rsid w:val="00464311"/>
    <w:rsid w:val="00466026"/>
    <w:rsid w:val="0046603E"/>
    <w:rsid w:val="00466082"/>
    <w:rsid w:val="0046653B"/>
    <w:rsid w:val="0046694E"/>
    <w:rsid w:val="00472B78"/>
    <w:rsid w:val="0047380F"/>
    <w:rsid w:val="0047426F"/>
    <w:rsid w:val="0047453E"/>
    <w:rsid w:val="004746AD"/>
    <w:rsid w:val="00475BEE"/>
    <w:rsid w:val="00475F18"/>
    <w:rsid w:val="00477498"/>
    <w:rsid w:val="00477514"/>
    <w:rsid w:val="004779F8"/>
    <w:rsid w:val="00480824"/>
    <w:rsid w:val="00480D03"/>
    <w:rsid w:val="00480ECA"/>
    <w:rsid w:val="00484940"/>
    <w:rsid w:val="00485C55"/>
    <w:rsid w:val="004861E4"/>
    <w:rsid w:val="0048674D"/>
    <w:rsid w:val="004870BB"/>
    <w:rsid w:val="004872D8"/>
    <w:rsid w:val="0048754A"/>
    <w:rsid w:val="00487C10"/>
    <w:rsid w:val="00490A62"/>
    <w:rsid w:val="0049241A"/>
    <w:rsid w:val="00494663"/>
    <w:rsid w:val="004956F3"/>
    <w:rsid w:val="004974CD"/>
    <w:rsid w:val="004A0085"/>
    <w:rsid w:val="004A0106"/>
    <w:rsid w:val="004A0F49"/>
    <w:rsid w:val="004A34D2"/>
    <w:rsid w:val="004A3D74"/>
    <w:rsid w:val="004A4D64"/>
    <w:rsid w:val="004A4F76"/>
    <w:rsid w:val="004A6841"/>
    <w:rsid w:val="004A7B59"/>
    <w:rsid w:val="004B0B42"/>
    <w:rsid w:val="004B353C"/>
    <w:rsid w:val="004B3F69"/>
    <w:rsid w:val="004B6500"/>
    <w:rsid w:val="004B6E7D"/>
    <w:rsid w:val="004B75B5"/>
    <w:rsid w:val="004B7D5F"/>
    <w:rsid w:val="004C246A"/>
    <w:rsid w:val="004C31AF"/>
    <w:rsid w:val="004C3ADF"/>
    <w:rsid w:val="004C3BA4"/>
    <w:rsid w:val="004C54A8"/>
    <w:rsid w:val="004C59F7"/>
    <w:rsid w:val="004C60C5"/>
    <w:rsid w:val="004C62A3"/>
    <w:rsid w:val="004C755C"/>
    <w:rsid w:val="004C7603"/>
    <w:rsid w:val="004D05D5"/>
    <w:rsid w:val="004D087D"/>
    <w:rsid w:val="004D22DE"/>
    <w:rsid w:val="004D318D"/>
    <w:rsid w:val="004D4A87"/>
    <w:rsid w:val="004D52FA"/>
    <w:rsid w:val="004D53FA"/>
    <w:rsid w:val="004D54D1"/>
    <w:rsid w:val="004D5756"/>
    <w:rsid w:val="004D63F7"/>
    <w:rsid w:val="004D65AC"/>
    <w:rsid w:val="004D702B"/>
    <w:rsid w:val="004D7944"/>
    <w:rsid w:val="004D7D21"/>
    <w:rsid w:val="004D7FB4"/>
    <w:rsid w:val="004E05CC"/>
    <w:rsid w:val="004E07A4"/>
    <w:rsid w:val="004E4C0A"/>
    <w:rsid w:val="004E4C6D"/>
    <w:rsid w:val="004E5463"/>
    <w:rsid w:val="004E5A0D"/>
    <w:rsid w:val="004E5B76"/>
    <w:rsid w:val="004F1425"/>
    <w:rsid w:val="004F16DB"/>
    <w:rsid w:val="004F30F8"/>
    <w:rsid w:val="004F3492"/>
    <w:rsid w:val="004F3517"/>
    <w:rsid w:val="004F3CDF"/>
    <w:rsid w:val="004F510B"/>
    <w:rsid w:val="004F5B24"/>
    <w:rsid w:val="004F6048"/>
    <w:rsid w:val="00501473"/>
    <w:rsid w:val="0050310A"/>
    <w:rsid w:val="00504715"/>
    <w:rsid w:val="005051F8"/>
    <w:rsid w:val="0051074C"/>
    <w:rsid w:val="00510CF8"/>
    <w:rsid w:val="005112E4"/>
    <w:rsid w:val="00511922"/>
    <w:rsid w:val="00513AF2"/>
    <w:rsid w:val="00514439"/>
    <w:rsid w:val="00514D99"/>
    <w:rsid w:val="00514E3C"/>
    <w:rsid w:val="005156ED"/>
    <w:rsid w:val="00515D32"/>
    <w:rsid w:val="005164D3"/>
    <w:rsid w:val="0051759B"/>
    <w:rsid w:val="005216C1"/>
    <w:rsid w:val="00523703"/>
    <w:rsid w:val="00525997"/>
    <w:rsid w:val="00525FE7"/>
    <w:rsid w:val="005265E4"/>
    <w:rsid w:val="00526943"/>
    <w:rsid w:val="00527E3C"/>
    <w:rsid w:val="0053038B"/>
    <w:rsid w:val="0053170C"/>
    <w:rsid w:val="00531D5C"/>
    <w:rsid w:val="0053296D"/>
    <w:rsid w:val="00532B96"/>
    <w:rsid w:val="00533FD1"/>
    <w:rsid w:val="005343FF"/>
    <w:rsid w:val="00535106"/>
    <w:rsid w:val="005355D8"/>
    <w:rsid w:val="00535A34"/>
    <w:rsid w:val="0054155D"/>
    <w:rsid w:val="00542B62"/>
    <w:rsid w:val="00542BA7"/>
    <w:rsid w:val="0054413A"/>
    <w:rsid w:val="0054435E"/>
    <w:rsid w:val="0054713D"/>
    <w:rsid w:val="005472F5"/>
    <w:rsid w:val="00550567"/>
    <w:rsid w:val="00550891"/>
    <w:rsid w:val="00550D93"/>
    <w:rsid w:val="005514ED"/>
    <w:rsid w:val="00551665"/>
    <w:rsid w:val="00552754"/>
    <w:rsid w:val="005545B1"/>
    <w:rsid w:val="00554A77"/>
    <w:rsid w:val="005564CA"/>
    <w:rsid w:val="005601A8"/>
    <w:rsid w:val="00561506"/>
    <w:rsid w:val="0056182B"/>
    <w:rsid w:val="005622EB"/>
    <w:rsid w:val="00562332"/>
    <w:rsid w:val="0056728F"/>
    <w:rsid w:val="00567F3B"/>
    <w:rsid w:val="00570F08"/>
    <w:rsid w:val="0057142B"/>
    <w:rsid w:val="00571D8D"/>
    <w:rsid w:val="005721B3"/>
    <w:rsid w:val="00573F4F"/>
    <w:rsid w:val="005756AA"/>
    <w:rsid w:val="0057591C"/>
    <w:rsid w:val="00575A1C"/>
    <w:rsid w:val="0057646F"/>
    <w:rsid w:val="00577148"/>
    <w:rsid w:val="00582AE3"/>
    <w:rsid w:val="00584D9E"/>
    <w:rsid w:val="00585BBF"/>
    <w:rsid w:val="0058679D"/>
    <w:rsid w:val="00586BDB"/>
    <w:rsid w:val="005879CA"/>
    <w:rsid w:val="00590380"/>
    <w:rsid w:val="005930B1"/>
    <w:rsid w:val="0059377A"/>
    <w:rsid w:val="00596896"/>
    <w:rsid w:val="00597412"/>
    <w:rsid w:val="005A0414"/>
    <w:rsid w:val="005A119F"/>
    <w:rsid w:val="005A1645"/>
    <w:rsid w:val="005A2130"/>
    <w:rsid w:val="005A4FC5"/>
    <w:rsid w:val="005A6AB9"/>
    <w:rsid w:val="005A7DBD"/>
    <w:rsid w:val="005B1144"/>
    <w:rsid w:val="005B1628"/>
    <w:rsid w:val="005B1817"/>
    <w:rsid w:val="005B4267"/>
    <w:rsid w:val="005B5258"/>
    <w:rsid w:val="005B5BE2"/>
    <w:rsid w:val="005B753A"/>
    <w:rsid w:val="005C00FA"/>
    <w:rsid w:val="005C343C"/>
    <w:rsid w:val="005C3BE4"/>
    <w:rsid w:val="005C5C9A"/>
    <w:rsid w:val="005C6A48"/>
    <w:rsid w:val="005C6C85"/>
    <w:rsid w:val="005C7184"/>
    <w:rsid w:val="005C7FC4"/>
    <w:rsid w:val="005D1BC0"/>
    <w:rsid w:val="005D3155"/>
    <w:rsid w:val="005D35B6"/>
    <w:rsid w:val="005D36B1"/>
    <w:rsid w:val="005D483D"/>
    <w:rsid w:val="005D4AEF"/>
    <w:rsid w:val="005D4E8A"/>
    <w:rsid w:val="005D50CE"/>
    <w:rsid w:val="005D51FA"/>
    <w:rsid w:val="005D5B90"/>
    <w:rsid w:val="005D6EBD"/>
    <w:rsid w:val="005D791B"/>
    <w:rsid w:val="005E01CE"/>
    <w:rsid w:val="005E09A6"/>
    <w:rsid w:val="005E139E"/>
    <w:rsid w:val="005E1974"/>
    <w:rsid w:val="005E2C01"/>
    <w:rsid w:val="005E3B5B"/>
    <w:rsid w:val="005E4765"/>
    <w:rsid w:val="005E5697"/>
    <w:rsid w:val="005F055F"/>
    <w:rsid w:val="005F1B0F"/>
    <w:rsid w:val="005F25FE"/>
    <w:rsid w:val="005F2651"/>
    <w:rsid w:val="005F317C"/>
    <w:rsid w:val="005F37CD"/>
    <w:rsid w:val="005F3CD0"/>
    <w:rsid w:val="005F40EB"/>
    <w:rsid w:val="005F51FB"/>
    <w:rsid w:val="005F53B6"/>
    <w:rsid w:val="005F5849"/>
    <w:rsid w:val="005F599B"/>
    <w:rsid w:val="005F604B"/>
    <w:rsid w:val="005F650A"/>
    <w:rsid w:val="005F68F7"/>
    <w:rsid w:val="005F7079"/>
    <w:rsid w:val="005F788C"/>
    <w:rsid w:val="0060070B"/>
    <w:rsid w:val="00600C61"/>
    <w:rsid w:val="0060232B"/>
    <w:rsid w:val="00602708"/>
    <w:rsid w:val="00603E4D"/>
    <w:rsid w:val="00603FBE"/>
    <w:rsid w:val="00604893"/>
    <w:rsid w:val="00604B04"/>
    <w:rsid w:val="00605659"/>
    <w:rsid w:val="006058F6"/>
    <w:rsid w:val="00611ED9"/>
    <w:rsid w:val="00612C51"/>
    <w:rsid w:val="00612C5B"/>
    <w:rsid w:val="00613FDA"/>
    <w:rsid w:val="006146F1"/>
    <w:rsid w:val="00614817"/>
    <w:rsid w:val="00616E1F"/>
    <w:rsid w:val="00620C5F"/>
    <w:rsid w:val="00620FE8"/>
    <w:rsid w:val="00621021"/>
    <w:rsid w:val="00621A1E"/>
    <w:rsid w:val="00623D2C"/>
    <w:rsid w:val="00624498"/>
    <w:rsid w:val="006258A1"/>
    <w:rsid w:val="00625CCD"/>
    <w:rsid w:val="0062724E"/>
    <w:rsid w:val="00627F05"/>
    <w:rsid w:val="00630D7C"/>
    <w:rsid w:val="006318E7"/>
    <w:rsid w:val="0063224F"/>
    <w:rsid w:val="0063269D"/>
    <w:rsid w:val="00633A56"/>
    <w:rsid w:val="00633DBF"/>
    <w:rsid w:val="006341BB"/>
    <w:rsid w:val="00635DED"/>
    <w:rsid w:val="0063667E"/>
    <w:rsid w:val="0063754D"/>
    <w:rsid w:val="00637982"/>
    <w:rsid w:val="0064033C"/>
    <w:rsid w:val="00642A64"/>
    <w:rsid w:val="00643B51"/>
    <w:rsid w:val="006441CE"/>
    <w:rsid w:val="006447B9"/>
    <w:rsid w:val="00644D7F"/>
    <w:rsid w:val="0064514E"/>
    <w:rsid w:val="006509CF"/>
    <w:rsid w:val="00650FE8"/>
    <w:rsid w:val="00651335"/>
    <w:rsid w:val="006518DC"/>
    <w:rsid w:val="00652BAA"/>
    <w:rsid w:val="00653CA3"/>
    <w:rsid w:val="00654069"/>
    <w:rsid w:val="0065480B"/>
    <w:rsid w:val="00655371"/>
    <w:rsid w:val="006559E3"/>
    <w:rsid w:val="00656EB7"/>
    <w:rsid w:val="00657259"/>
    <w:rsid w:val="00657446"/>
    <w:rsid w:val="00657BC2"/>
    <w:rsid w:val="00660D51"/>
    <w:rsid w:val="00662C7E"/>
    <w:rsid w:val="00663165"/>
    <w:rsid w:val="0066325D"/>
    <w:rsid w:val="006659B8"/>
    <w:rsid w:val="00667768"/>
    <w:rsid w:val="006678A3"/>
    <w:rsid w:val="00667E0E"/>
    <w:rsid w:val="00670466"/>
    <w:rsid w:val="0067148D"/>
    <w:rsid w:val="0067157B"/>
    <w:rsid w:val="00672272"/>
    <w:rsid w:val="006728A0"/>
    <w:rsid w:val="006734E6"/>
    <w:rsid w:val="006748E0"/>
    <w:rsid w:val="00674F99"/>
    <w:rsid w:val="006803D2"/>
    <w:rsid w:val="006807C6"/>
    <w:rsid w:val="00680B58"/>
    <w:rsid w:val="00681EED"/>
    <w:rsid w:val="00681F68"/>
    <w:rsid w:val="00682E7B"/>
    <w:rsid w:val="006852F3"/>
    <w:rsid w:val="006857F1"/>
    <w:rsid w:val="006906D4"/>
    <w:rsid w:val="00691194"/>
    <w:rsid w:val="0069141C"/>
    <w:rsid w:val="006919EA"/>
    <w:rsid w:val="00692992"/>
    <w:rsid w:val="00692F57"/>
    <w:rsid w:val="006954E4"/>
    <w:rsid w:val="00695B70"/>
    <w:rsid w:val="00695D7E"/>
    <w:rsid w:val="006963A3"/>
    <w:rsid w:val="00697665"/>
    <w:rsid w:val="00697742"/>
    <w:rsid w:val="00697C55"/>
    <w:rsid w:val="00697DD0"/>
    <w:rsid w:val="006A0EB7"/>
    <w:rsid w:val="006A20DF"/>
    <w:rsid w:val="006A5AED"/>
    <w:rsid w:val="006A6ACB"/>
    <w:rsid w:val="006A7424"/>
    <w:rsid w:val="006A7BB4"/>
    <w:rsid w:val="006A7CB5"/>
    <w:rsid w:val="006A7FD0"/>
    <w:rsid w:val="006B064B"/>
    <w:rsid w:val="006B08EC"/>
    <w:rsid w:val="006B0C4E"/>
    <w:rsid w:val="006B1779"/>
    <w:rsid w:val="006B2398"/>
    <w:rsid w:val="006B24DE"/>
    <w:rsid w:val="006B2D45"/>
    <w:rsid w:val="006B318A"/>
    <w:rsid w:val="006B39D4"/>
    <w:rsid w:val="006B4EDA"/>
    <w:rsid w:val="006B5051"/>
    <w:rsid w:val="006B5FA9"/>
    <w:rsid w:val="006C06E6"/>
    <w:rsid w:val="006C0941"/>
    <w:rsid w:val="006C116D"/>
    <w:rsid w:val="006C11B5"/>
    <w:rsid w:val="006C132E"/>
    <w:rsid w:val="006C1463"/>
    <w:rsid w:val="006C18C1"/>
    <w:rsid w:val="006C1A72"/>
    <w:rsid w:val="006C2A51"/>
    <w:rsid w:val="006C2B00"/>
    <w:rsid w:val="006C3B52"/>
    <w:rsid w:val="006C6EE9"/>
    <w:rsid w:val="006C771B"/>
    <w:rsid w:val="006C7CD4"/>
    <w:rsid w:val="006C7EC1"/>
    <w:rsid w:val="006C7F3D"/>
    <w:rsid w:val="006D0BAE"/>
    <w:rsid w:val="006D2519"/>
    <w:rsid w:val="006D33B1"/>
    <w:rsid w:val="006D4C53"/>
    <w:rsid w:val="006D5552"/>
    <w:rsid w:val="006D5B2B"/>
    <w:rsid w:val="006D7687"/>
    <w:rsid w:val="006D78DC"/>
    <w:rsid w:val="006D7CF6"/>
    <w:rsid w:val="006E034F"/>
    <w:rsid w:val="006E0572"/>
    <w:rsid w:val="006E131E"/>
    <w:rsid w:val="006E170C"/>
    <w:rsid w:val="006E19D3"/>
    <w:rsid w:val="006E1E98"/>
    <w:rsid w:val="006E37FA"/>
    <w:rsid w:val="006E66D9"/>
    <w:rsid w:val="006F3617"/>
    <w:rsid w:val="006F4EB3"/>
    <w:rsid w:val="006F56C4"/>
    <w:rsid w:val="006F6168"/>
    <w:rsid w:val="006F63CD"/>
    <w:rsid w:val="006F7679"/>
    <w:rsid w:val="00700B57"/>
    <w:rsid w:val="007014F8"/>
    <w:rsid w:val="007023BB"/>
    <w:rsid w:val="00702C8C"/>
    <w:rsid w:val="00705403"/>
    <w:rsid w:val="00705631"/>
    <w:rsid w:val="00705EA4"/>
    <w:rsid w:val="00706C8B"/>
    <w:rsid w:val="00707531"/>
    <w:rsid w:val="00710134"/>
    <w:rsid w:val="00711205"/>
    <w:rsid w:val="007136AC"/>
    <w:rsid w:val="00715437"/>
    <w:rsid w:val="00715EAA"/>
    <w:rsid w:val="007168C5"/>
    <w:rsid w:val="00716CC3"/>
    <w:rsid w:val="00717F25"/>
    <w:rsid w:val="00720050"/>
    <w:rsid w:val="00720E84"/>
    <w:rsid w:val="007213F0"/>
    <w:rsid w:val="00722293"/>
    <w:rsid w:val="00722745"/>
    <w:rsid w:val="007236CC"/>
    <w:rsid w:val="00723B38"/>
    <w:rsid w:val="00724D11"/>
    <w:rsid w:val="00726F60"/>
    <w:rsid w:val="00730518"/>
    <w:rsid w:val="00732B1F"/>
    <w:rsid w:val="00733BCA"/>
    <w:rsid w:val="0073441F"/>
    <w:rsid w:val="0073589B"/>
    <w:rsid w:val="00735AEF"/>
    <w:rsid w:val="007412B8"/>
    <w:rsid w:val="00741A9E"/>
    <w:rsid w:val="00742281"/>
    <w:rsid w:val="00742DD2"/>
    <w:rsid w:val="00744F33"/>
    <w:rsid w:val="00746E08"/>
    <w:rsid w:val="00747C96"/>
    <w:rsid w:val="007503E9"/>
    <w:rsid w:val="0075094E"/>
    <w:rsid w:val="007522E8"/>
    <w:rsid w:val="00755CC4"/>
    <w:rsid w:val="00756085"/>
    <w:rsid w:val="0075647A"/>
    <w:rsid w:val="007572F9"/>
    <w:rsid w:val="00760166"/>
    <w:rsid w:val="00762948"/>
    <w:rsid w:val="00762F48"/>
    <w:rsid w:val="007634AD"/>
    <w:rsid w:val="00764011"/>
    <w:rsid w:val="0076432E"/>
    <w:rsid w:val="00764EF6"/>
    <w:rsid w:val="007668D9"/>
    <w:rsid w:val="00766A70"/>
    <w:rsid w:val="0077057C"/>
    <w:rsid w:val="007707A7"/>
    <w:rsid w:val="00770B28"/>
    <w:rsid w:val="00771DF3"/>
    <w:rsid w:val="007739E8"/>
    <w:rsid w:val="00773BAA"/>
    <w:rsid w:val="00773CB2"/>
    <w:rsid w:val="00774498"/>
    <w:rsid w:val="00775563"/>
    <w:rsid w:val="00776689"/>
    <w:rsid w:val="00776838"/>
    <w:rsid w:val="00776A87"/>
    <w:rsid w:val="0078122E"/>
    <w:rsid w:val="00783A83"/>
    <w:rsid w:val="007914B4"/>
    <w:rsid w:val="00792E66"/>
    <w:rsid w:val="00792F13"/>
    <w:rsid w:val="007930A5"/>
    <w:rsid w:val="00793E57"/>
    <w:rsid w:val="00794007"/>
    <w:rsid w:val="00795647"/>
    <w:rsid w:val="007973B1"/>
    <w:rsid w:val="007A174B"/>
    <w:rsid w:val="007A3611"/>
    <w:rsid w:val="007A5737"/>
    <w:rsid w:val="007A6125"/>
    <w:rsid w:val="007A76FC"/>
    <w:rsid w:val="007B0854"/>
    <w:rsid w:val="007B1ACE"/>
    <w:rsid w:val="007B2277"/>
    <w:rsid w:val="007B23FC"/>
    <w:rsid w:val="007B27D7"/>
    <w:rsid w:val="007B2D7A"/>
    <w:rsid w:val="007B4F45"/>
    <w:rsid w:val="007B4F4C"/>
    <w:rsid w:val="007B660A"/>
    <w:rsid w:val="007C0AB3"/>
    <w:rsid w:val="007C1528"/>
    <w:rsid w:val="007C15C8"/>
    <w:rsid w:val="007C209F"/>
    <w:rsid w:val="007C22B6"/>
    <w:rsid w:val="007C2357"/>
    <w:rsid w:val="007C2D7E"/>
    <w:rsid w:val="007C33A6"/>
    <w:rsid w:val="007C4A1C"/>
    <w:rsid w:val="007C4BE5"/>
    <w:rsid w:val="007C58BD"/>
    <w:rsid w:val="007C5C1C"/>
    <w:rsid w:val="007C691F"/>
    <w:rsid w:val="007D00BD"/>
    <w:rsid w:val="007D01F0"/>
    <w:rsid w:val="007D0B72"/>
    <w:rsid w:val="007D3671"/>
    <w:rsid w:val="007D4919"/>
    <w:rsid w:val="007D4DBE"/>
    <w:rsid w:val="007D4F06"/>
    <w:rsid w:val="007D5C3E"/>
    <w:rsid w:val="007D6C71"/>
    <w:rsid w:val="007D7901"/>
    <w:rsid w:val="007D7DD8"/>
    <w:rsid w:val="007E02AE"/>
    <w:rsid w:val="007E0C58"/>
    <w:rsid w:val="007E1312"/>
    <w:rsid w:val="007E25A3"/>
    <w:rsid w:val="007E32A0"/>
    <w:rsid w:val="007E3ACA"/>
    <w:rsid w:val="007E5AD0"/>
    <w:rsid w:val="007E5C16"/>
    <w:rsid w:val="007E676C"/>
    <w:rsid w:val="007E7A93"/>
    <w:rsid w:val="007E7D92"/>
    <w:rsid w:val="007F15AE"/>
    <w:rsid w:val="007F1C69"/>
    <w:rsid w:val="007F51B0"/>
    <w:rsid w:val="007F54FB"/>
    <w:rsid w:val="007F5623"/>
    <w:rsid w:val="007F573F"/>
    <w:rsid w:val="007F6A64"/>
    <w:rsid w:val="007F6B46"/>
    <w:rsid w:val="007F6D80"/>
    <w:rsid w:val="007F72CB"/>
    <w:rsid w:val="00800C47"/>
    <w:rsid w:val="0080224B"/>
    <w:rsid w:val="0080370F"/>
    <w:rsid w:val="0080514C"/>
    <w:rsid w:val="00805AF6"/>
    <w:rsid w:val="00806AD5"/>
    <w:rsid w:val="00812D1B"/>
    <w:rsid w:val="00812EBE"/>
    <w:rsid w:val="008132FA"/>
    <w:rsid w:val="00813988"/>
    <w:rsid w:val="00814014"/>
    <w:rsid w:val="00814E0D"/>
    <w:rsid w:val="0081553B"/>
    <w:rsid w:val="00815BCC"/>
    <w:rsid w:val="008160B2"/>
    <w:rsid w:val="00817744"/>
    <w:rsid w:val="00817C29"/>
    <w:rsid w:val="0082065D"/>
    <w:rsid w:val="00820A37"/>
    <w:rsid w:val="008217B7"/>
    <w:rsid w:val="00824BF9"/>
    <w:rsid w:val="00825BD7"/>
    <w:rsid w:val="00830018"/>
    <w:rsid w:val="00830303"/>
    <w:rsid w:val="0083119B"/>
    <w:rsid w:val="0083292F"/>
    <w:rsid w:val="00833039"/>
    <w:rsid w:val="00835917"/>
    <w:rsid w:val="00836EAB"/>
    <w:rsid w:val="0083734E"/>
    <w:rsid w:val="0083782B"/>
    <w:rsid w:val="00840960"/>
    <w:rsid w:val="008420C6"/>
    <w:rsid w:val="00842F23"/>
    <w:rsid w:val="008445AD"/>
    <w:rsid w:val="00844864"/>
    <w:rsid w:val="00845AF5"/>
    <w:rsid w:val="00846235"/>
    <w:rsid w:val="00846B3D"/>
    <w:rsid w:val="0085092D"/>
    <w:rsid w:val="00850F79"/>
    <w:rsid w:val="00851723"/>
    <w:rsid w:val="00851D62"/>
    <w:rsid w:val="00853074"/>
    <w:rsid w:val="00853AE0"/>
    <w:rsid w:val="00853AF8"/>
    <w:rsid w:val="00854D44"/>
    <w:rsid w:val="00854DB7"/>
    <w:rsid w:val="00855EA3"/>
    <w:rsid w:val="008565AA"/>
    <w:rsid w:val="008577EC"/>
    <w:rsid w:val="00857EEA"/>
    <w:rsid w:val="00861F54"/>
    <w:rsid w:val="0086218A"/>
    <w:rsid w:val="00862F91"/>
    <w:rsid w:val="008632AF"/>
    <w:rsid w:val="0086374C"/>
    <w:rsid w:val="00864821"/>
    <w:rsid w:val="008654BA"/>
    <w:rsid w:val="0086617F"/>
    <w:rsid w:val="00870AF9"/>
    <w:rsid w:val="00871990"/>
    <w:rsid w:val="00872A2E"/>
    <w:rsid w:val="0087349D"/>
    <w:rsid w:val="008749A9"/>
    <w:rsid w:val="00876146"/>
    <w:rsid w:val="0087668B"/>
    <w:rsid w:val="00876868"/>
    <w:rsid w:val="008770F7"/>
    <w:rsid w:val="00880378"/>
    <w:rsid w:val="00880CAB"/>
    <w:rsid w:val="00880D11"/>
    <w:rsid w:val="0088164B"/>
    <w:rsid w:val="00881812"/>
    <w:rsid w:val="00881A23"/>
    <w:rsid w:val="00882C43"/>
    <w:rsid w:val="00882F5E"/>
    <w:rsid w:val="0088409B"/>
    <w:rsid w:val="0088434E"/>
    <w:rsid w:val="008844DF"/>
    <w:rsid w:val="0088605D"/>
    <w:rsid w:val="00886E97"/>
    <w:rsid w:val="00887C57"/>
    <w:rsid w:val="008902A2"/>
    <w:rsid w:val="008904F2"/>
    <w:rsid w:val="00890D42"/>
    <w:rsid w:val="00891FB0"/>
    <w:rsid w:val="008927F9"/>
    <w:rsid w:val="00892C74"/>
    <w:rsid w:val="0089306D"/>
    <w:rsid w:val="00894211"/>
    <w:rsid w:val="00894D5C"/>
    <w:rsid w:val="00894FE0"/>
    <w:rsid w:val="0089556B"/>
    <w:rsid w:val="00896E48"/>
    <w:rsid w:val="0089774F"/>
    <w:rsid w:val="008A0CF3"/>
    <w:rsid w:val="008A18EE"/>
    <w:rsid w:val="008A1C35"/>
    <w:rsid w:val="008A1C99"/>
    <w:rsid w:val="008A1CED"/>
    <w:rsid w:val="008A1E91"/>
    <w:rsid w:val="008A2483"/>
    <w:rsid w:val="008A2550"/>
    <w:rsid w:val="008A2823"/>
    <w:rsid w:val="008A3153"/>
    <w:rsid w:val="008A383B"/>
    <w:rsid w:val="008A4934"/>
    <w:rsid w:val="008A519B"/>
    <w:rsid w:val="008A52FB"/>
    <w:rsid w:val="008B1829"/>
    <w:rsid w:val="008B2C6A"/>
    <w:rsid w:val="008B3AED"/>
    <w:rsid w:val="008B6265"/>
    <w:rsid w:val="008B6AF8"/>
    <w:rsid w:val="008B6B7E"/>
    <w:rsid w:val="008C2AA2"/>
    <w:rsid w:val="008C30C7"/>
    <w:rsid w:val="008C34B5"/>
    <w:rsid w:val="008C3736"/>
    <w:rsid w:val="008C4741"/>
    <w:rsid w:val="008C6F87"/>
    <w:rsid w:val="008C7C2E"/>
    <w:rsid w:val="008D18F7"/>
    <w:rsid w:val="008D1EFE"/>
    <w:rsid w:val="008D271F"/>
    <w:rsid w:val="008D46D3"/>
    <w:rsid w:val="008D56BF"/>
    <w:rsid w:val="008D572E"/>
    <w:rsid w:val="008D5E13"/>
    <w:rsid w:val="008D711B"/>
    <w:rsid w:val="008D79F4"/>
    <w:rsid w:val="008D7EE7"/>
    <w:rsid w:val="008D7FDD"/>
    <w:rsid w:val="008E1C15"/>
    <w:rsid w:val="008E3109"/>
    <w:rsid w:val="008E35DC"/>
    <w:rsid w:val="008E3C08"/>
    <w:rsid w:val="008E4E6A"/>
    <w:rsid w:val="008E5687"/>
    <w:rsid w:val="008E7DBB"/>
    <w:rsid w:val="008F0B5E"/>
    <w:rsid w:val="008F2D5F"/>
    <w:rsid w:val="008F39C7"/>
    <w:rsid w:val="008F538E"/>
    <w:rsid w:val="008F5551"/>
    <w:rsid w:val="008F6CB0"/>
    <w:rsid w:val="008F7712"/>
    <w:rsid w:val="009000EB"/>
    <w:rsid w:val="00900304"/>
    <w:rsid w:val="00900817"/>
    <w:rsid w:val="009008CF"/>
    <w:rsid w:val="00900D42"/>
    <w:rsid w:val="00900F40"/>
    <w:rsid w:val="009037EE"/>
    <w:rsid w:val="00904534"/>
    <w:rsid w:val="00904785"/>
    <w:rsid w:val="009047C5"/>
    <w:rsid w:val="0090554C"/>
    <w:rsid w:val="009065BE"/>
    <w:rsid w:val="00906A56"/>
    <w:rsid w:val="00907852"/>
    <w:rsid w:val="0091187A"/>
    <w:rsid w:val="00911E6D"/>
    <w:rsid w:val="009139FF"/>
    <w:rsid w:val="00913DEE"/>
    <w:rsid w:val="00914DA0"/>
    <w:rsid w:val="00914F6A"/>
    <w:rsid w:val="00915799"/>
    <w:rsid w:val="00915933"/>
    <w:rsid w:val="00915B66"/>
    <w:rsid w:val="00916765"/>
    <w:rsid w:val="00916D58"/>
    <w:rsid w:val="009173EE"/>
    <w:rsid w:val="0091758D"/>
    <w:rsid w:val="00917D8E"/>
    <w:rsid w:val="00920A32"/>
    <w:rsid w:val="00921674"/>
    <w:rsid w:val="009224E5"/>
    <w:rsid w:val="00922597"/>
    <w:rsid w:val="00922786"/>
    <w:rsid w:val="009234B9"/>
    <w:rsid w:val="00923802"/>
    <w:rsid w:val="009246D0"/>
    <w:rsid w:val="00924C63"/>
    <w:rsid w:val="00927D00"/>
    <w:rsid w:val="0093096C"/>
    <w:rsid w:val="009350C1"/>
    <w:rsid w:val="009368B9"/>
    <w:rsid w:val="00937020"/>
    <w:rsid w:val="00940DB9"/>
    <w:rsid w:val="009412C0"/>
    <w:rsid w:val="009433B0"/>
    <w:rsid w:val="00944590"/>
    <w:rsid w:val="0094567D"/>
    <w:rsid w:val="009458F0"/>
    <w:rsid w:val="009471A0"/>
    <w:rsid w:val="00947622"/>
    <w:rsid w:val="00951272"/>
    <w:rsid w:val="00951621"/>
    <w:rsid w:val="00951B07"/>
    <w:rsid w:val="00952E98"/>
    <w:rsid w:val="0095385A"/>
    <w:rsid w:val="00955202"/>
    <w:rsid w:val="00955B44"/>
    <w:rsid w:val="00955D28"/>
    <w:rsid w:val="00956821"/>
    <w:rsid w:val="00964425"/>
    <w:rsid w:val="00964942"/>
    <w:rsid w:val="009652A7"/>
    <w:rsid w:val="009658C0"/>
    <w:rsid w:val="00967268"/>
    <w:rsid w:val="00967CD8"/>
    <w:rsid w:val="00970437"/>
    <w:rsid w:val="009707FF"/>
    <w:rsid w:val="009718E1"/>
    <w:rsid w:val="00971F9D"/>
    <w:rsid w:val="00971FAB"/>
    <w:rsid w:val="009726BB"/>
    <w:rsid w:val="0097606C"/>
    <w:rsid w:val="00976295"/>
    <w:rsid w:val="00981216"/>
    <w:rsid w:val="0098173E"/>
    <w:rsid w:val="00982027"/>
    <w:rsid w:val="009820DB"/>
    <w:rsid w:val="0098238F"/>
    <w:rsid w:val="009836D1"/>
    <w:rsid w:val="0098489D"/>
    <w:rsid w:val="00984AB9"/>
    <w:rsid w:val="00985625"/>
    <w:rsid w:val="009900DC"/>
    <w:rsid w:val="009906BE"/>
    <w:rsid w:val="0099095D"/>
    <w:rsid w:val="009916A7"/>
    <w:rsid w:val="00992127"/>
    <w:rsid w:val="009922C8"/>
    <w:rsid w:val="0099237F"/>
    <w:rsid w:val="0099262B"/>
    <w:rsid w:val="00994DF5"/>
    <w:rsid w:val="00994E2D"/>
    <w:rsid w:val="009976EE"/>
    <w:rsid w:val="009A0F94"/>
    <w:rsid w:val="009A2B57"/>
    <w:rsid w:val="009A3569"/>
    <w:rsid w:val="009A4826"/>
    <w:rsid w:val="009A60FC"/>
    <w:rsid w:val="009A758C"/>
    <w:rsid w:val="009B1666"/>
    <w:rsid w:val="009B4776"/>
    <w:rsid w:val="009B512E"/>
    <w:rsid w:val="009B5190"/>
    <w:rsid w:val="009B61A4"/>
    <w:rsid w:val="009C0D78"/>
    <w:rsid w:val="009C31BE"/>
    <w:rsid w:val="009C37DC"/>
    <w:rsid w:val="009C38F7"/>
    <w:rsid w:val="009C57EF"/>
    <w:rsid w:val="009C6959"/>
    <w:rsid w:val="009C713B"/>
    <w:rsid w:val="009C7593"/>
    <w:rsid w:val="009C7DDB"/>
    <w:rsid w:val="009D3BBA"/>
    <w:rsid w:val="009D3CF6"/>
    <w:rsid w:val="009D4945"/>
    <w:rsid w:val="009D4B2F"/>
    <w:rsid w:val="009D5C7D"/>
    <w:rsid w:val="009D6E69"/>
    <w:rsid w:val="009E0FAA"/>
    <w:rsid w:val="009E30D4"/>
    <w:rsid w:val="009E40AA"/>
    <w:rsid w:val="009E54F2"/>
    <w:rsid w:val="009E5853"/>
    <w:rsid w:val="009E5D6E"/>
    <w:rsid w:val="009E64D5"/>
    <w:rsid w:val="009F1040"/>
    <w:rsid w:val="009F261D"/>
    <w:rsid w:val="009F3602"/>
    <w:rsid w:val="009F5096"/>
    <w:rsid w:val="009F59C2"/>
    <w:rsid w:val="009F65E6"/>
    <w:rsid w:val="009F78A0"/>
    <w:rsid w:val="00A0103E"/>
    <w:rsid w:val="00A010FC"/>
    <w:rsid w:val="00A02213"/>
    <w:rsid w:val="00A025D7"/>
    <w:rsid w:val="00A03425"/>
    <w:rsid w:val="00A04977"/>
    <w:rsid w:val="00A04B5C"/>
    <w:rsid w:val="00A05140"/>
    <w:rsid w:val="00A0528D"/>
    <w:rsid w:val="00A066BD"/>
    <w:rsid w:val="00A10053"/>
    <w:rsid w:val="00A11895"/>
    <w:rsid w:val="00A12B18"/>
    <w:rsid w:val="00A13886"/>
    <w:rsid w:val="00A14415"/>
    <w:rsid w:val="00A146B7"/>
    <w:rsid w:val="00A1653D"/>
    <w:rsid w:val="00A1656D"/>
    <w:rsid w:val="00A16C20"/>
    <w:rsid w:val="00A16FAB"/>
    <w:rsid w:val="00A1745B"/>
    <w:rsid w:val="00A1798B"/>
    <w:rsid w:val="00A17D76"/>
    <w:rsid w:val="00A2084E"/>
    <w:rsid w:val="00A21B32"/>
    <w:rsid w:val="00A228C5"/>
    <w:rsid w:val="00A23693"/>
    <w:rsid w:val="00A23CE5"/>
    <w:rsid w:val="00A2433B"/>
    <w:rsid w:val="00A2439B"/>
    <w:rsid w:val="00A24560"/>
    <w:rsid w:val="00A24834"/>
    <w:rsid w:val="00A25D6E"/>
    <w:rsid w:val="00A27311"/>
    <w:rsid w:val="00A27708"/>
    <w:rsid w:val="00A30EBD"/>
    <w:rsid w:val="00A32B79"/>
    <w:rsid w:val="00A3420B"/>
    <w:rsid w:val="00A34538"/>
    <w:rsid w:val="00A350AF"/>
    <w:rsid w:val="00A35AD8"/>
    <w:rsid w:val="00A36369"/>
    <w:rsid w:val="00A37C18"/>
    <w:rsid w:val="00A37FB6"/>
    <w:rsid w:val="00A40A28"/>
    <w:rsid w:val="00A42365"/>
    <w:rsid w:val="00A426EC"/>
    <w:rsid w:val="00A42B2F"/>
    <w:rsid w:val="00A462AB"/>
    <w:rsid w:val="00A500EF"/>
    <w:rsid w:val="00A509BC"/>
    <w:rsid w:val="00A51659"/>
    <w:rsid w:val="00A529CB"/>
    <w:rsid w:val="00A5350E"/>
    <w:rsid w:val="00A5539A"/>
    <w:rsid w:val="00A568F6"/>
    <w:rsid w:val="00A57160"/>
    <w:rsid w:val="00A57797"/>
    <w:rsid w:val="00A6056E"/>
    <w:rsid w:val="00A61297"/>
    <w:rsid w:val="00A612F6"/>
    <w:rsid w:val="00A62322"/>
    <w:rsid w:val="00A65AD5"/>
    <w:rsid w:val="00A677B6"/>
    <w:rsid w:val="00A7090A"/>
    <w:rsid w:val="00A734C1"/>
    <w:rsid w:val="00A73C6F"/>
    <w:rsid w:val="00A73FE5"/>
    <w:rsid w:val="00A74544"/>
    <w:rsid w:val="00A757E2"/>
    <w:rsid w:val="00A75896"/>
    <w:rsid w:val="00A771A5"/>
    <w:rsid w:val="00A82473"/>
    <w:rsid w:val="00A83087"/>
    <w:rsid w:val="00A83E55"/>
    <w:rsid w:val="00A83F78"/>
    <w:rsid w:val="00A8570E"/>
    <w:rsid w:val="00A87BA3"/>
    <w:rsid w:val="00A87ECD"/>
    <w:rsid w:val="00A90DB0"/>
    <w:rsid w:val="00A91699"/>
    <w:rsid w:val="00A91BEA"/>
    <w:rsid w:val="00A93736"/>
    <w:rsid w:val="00A944C2"/>
    <w:rsid w:val="00A9502E"/>
    <w:rsid w:val="00A95095"/>
    <w:rsid w:val="00A95142"/>
    <w:rsid w:val="00A957B9"/>
    <w:rsid w:val="00A9641E"/>
    <w:rsid w:val="00A97125"/>
    <w:rsid w:val="00A97234"/>
    <w:rsid w:val="00AA08E7"/>
    <w:rsid w:val="00AA0B78"/>
    <w:rsid w:val="00AA0BE1"/>
    <w:rsid w:val="00AA1CFD"/>
    <w:rsid w:val="00AA2094"/>
    <w:rsid w:val="00AA3AE1"/>
    <w:rsid w:val="00AA442B"/>
    <w:rsid w:val="00AA4639"/>
    <w:rsid w:val="00AA6300"/>
    <w:rsid w:val="00AA669D"/>
    <w:rsid w:val="00AA7403"/>
    <w:rsid w:val="00AA7483"/>
    <w:rsid w:val="00AA7503"/>
    <w:rsid w:val="00AB0808"/>
    <w:rsid w:val="00AB3212"/>
    <w:rsid w:val="00AB35A6"/>
    <w:rsid w:val="00AB5852"/>
    <w:rsid w:val="00AB5969"/>
    <w:rsid w:val="00AB5C7F"/>
    <w:rsid w:val="00AB628F"/>
    <w:rsid w:val="00AB6591"/>
    <w:rsid w:val="00AB6EBA"/>
    <w:rsid w:val="00AC0508"/>
    <w:rsid w:val="00AC08E9"/>
    <w:rsid w:val="00AC146A"/>
    <w:rsid w:val="00AC1DF1"/>
    <w:rsid w:val="00AC27E8"/>
    <w:rsid w:val="00AC4829"/>
    <w:rsid w:val="00AC514C"/>
    <w:rsid w:val="00AC5690"/>
    <w:rsid w:val="00AC5F3A"/>
    <w:rsid w:val="00AC755B"/>
    <w:rsid w:val="00AC78FF"/>
    <w:rsid w:val="00AD11E5"/>
    <w:rsid w:val="00AD1A73"/>
    <w:rsid w:val="00AD33A7"/>
    <w:rsid w:val="00AD45E3"/>
    <w:rsid w:val="00AD5179"/>
    <w:rsid w:val="00AE08F9"/>
    <w:rsid w:val="00AE1539"/>
    <w:rsid w:val="00AE2D2E"/>
    <w:rsid w:val="00AE32F2"/>
    <w:rsid w:val="00AE3618"/>
    <w:rsid w:val="00AE4B35"/>
    <w:rsid w:val="00AE4C20"/>
    <w:rsid w:val="00AE5ABF"/>
    <w:rsid w:val="00AE61E1"/>
    <w:rsid w:val="00AE6434"/>
    <w:rsid w:val="00AE69A5"/>
    <w:rsid w:val="00AE6C09"/>
    <w:rsid w:val="00AE7779"/>
    <w:rsid w:val="00AF07FB"/>
    <w:rsid w:val="00AF0BEC"/>
    <w:rsid w:val="00AF373E"/>
    <w:rsid w:val="00AF561D"/>
    <w:rsid w:val="00AF5D5A"/>
    <w:rsid w:val="00B000D8"/>
    <w:rsid w:val="00B012D7"/>
    <w:rsid w:val="00B02774"/>
    <w:rsid w:val="00B03808"/>
    <w:rsid w:val="00B04012"/>
    <w:rsid w:val="00B04E6F"/>
    <w:rsid w:val="00B050B8"/>
    <w:rsid w:val="00B05411"/>
    <w:rsid w:val="00B066B2"/>
    <w:rsid w:val="00B0753B"/>
    <w:rsid w:val="00B108AB"/>
    <w:rsid w:val="00B10F79"/>
    <w:rsid w:val="00B1214A"/>
    <w:rsid w:val="00B123F2"/>
    <w:rsid w:val="00B12F06"/>
    <w:rsid w:val="00B13EC0"/>
    <w:rsid w:val="00B14932"/>
    <w:rsid w:val="00B16829"/>
    <w:rsid w:val="00B179C1"/>
    <w:rsid w:val="00B20525"/>
    <w:rsid w:val="00B21442"/>
    <w:rsid w:val="00B22E22"/>
    <w:rsid w:val="00B2342C"/>
    <w:rsid w:val="00B236C4"/>
    <w:rsid w:val="00B2513E"/>
    <w:rsid w:val="00B2548B"/>
    <w:rsid w:val="00B25E66"/>
    <w:rsid w:val="00B27AD4"/>
    <w:rsid w:val="00B30086"/>
    <w:rsid w:val="00B31F22"/>
    <w:rsid w:val="00B32BCD"/>
    <w:rsid w:val="00B34F05"/>
    <w:rsid w:val="00B35625"/>
    <w:rsid w:val="00B359ED"/>
    <w:rsid w:val="00B36260"/>
    <w:rsid w:val="00B37C00"/>
    <w:rsid w:val="00B426AA"/>
    <w:rsid w:val="00B44270"/>
    <w:rsid w:val="00B44AD6"/>
    <w:rsid w:val="00B44E26"/>
    <w:rsid w:val="00B44E8E"/>
    <w:rsid w:val="00B45232"/>
    <w:rsid w:val="00B46C42"/>
    <w:rsid w:val="00B47421"/>
    <w:rsid w:val="00B51003"/>
    <w:rsid w:val="00B512FD"/>
    <w:rsid w:val="00B525CB"/>
    <w:rsid w:val="00B5487A"/>
    <w:rsid w:val="00B552B6"/>
    <w:rsid w:val="00B5546E"/>
    <w:rsid w:val="00B5566E"/>
    <w:rsid w:val="00B55851"/>
    <w:rsid w:val="00B5758A"/>
    <w:rsid w:val="00B57B27"/>
    <w:rsid w:val="00B60461"/>
    <w:rsid w:val="00B61235"/>
    <w:rsid w:val="00B61AC5"/>
    <w:rsid w:val="00B61B4F"/>
    <w:rsid w:val="00B621C0"/>
    <w:rsid w:val="00B62A61"/>
    <w:rsid w:val="00B62F95"/>
    <w:rsid w:val="00B633F9"/>
    <w:rsid w:val="00B63872"/>
    <w:rsid w:val="00B63CB2"/>
    <w:rsid w:val="00B641D9"/>
    <w:rsid w:val="00B64EDB"/>
    <w:rsid w:val="00B654E7"/>
    <w:rsid w:val="00B66578"/>
    <w:rsid w:val="00B671FD"/>
    <w:rsid w:val="00B71697"/>
    <w:rsid w:val="00B71C79"/>
    <w:rsid w:val="00B7315F"/>
    <w:rsid w:val="00B74ABE"/>
    <w:rsid w:val="00B750D9"/>
    <w:rsid w:val="00B76967"/>
    <w:rsid w:val="00B76CD3"/>
    <w:rsid w:val="00B77F95"/>
    <w:rsid w:val="00B81F6E"/>
    <w:rsid w:val="00B84416"/>
    <w:rsid w:val="00B84BA7"/>
    <w:rsid w:val="00B85186"/>
    <w:rsid w:val="00B87AC3"/>
    <w:rsid w:val="00B91AF0"/>
    <w:rsid w:val="00B91B8E"/>
    <w:rsid w:val="00B9384C"/>
    <w:rsid w:val="00B93C9A"/>
    <w:rsid w:val="00B9404F"/>
    <w:rsid w:val="00B94548"/>
    <w:rsid w:val="00B955AB"/>
    <w:rsid w:val="00B95AC8"/>
    <w:rsid w:val="00B95E27"/>
    <w:rsid w:val="00B9618B"/>
    <w:rsid w:val="00B96BFC"/>
    <w:rsid w:val="00B97E63"/>
    <w:rsid w:val="00BA19D8"/>
    <w:rsid w:val="00BA24C2"/>
    <w:rsid w:val="00BA3286"/>
    <w:rsid w:val="00BA3871"/>
    <w:rsid w:val="00BA4D28"/>
    <w:rsid w:val="00BA4E77"/>
    <w:rsid w:val="00BB00BC"/>
    <w:rsid w:val="00BB08CE"/>
    <w:rsid w:val="00BB3B04"/>
    <w:rsid w:val="00BB3EE8"/>
    <w:rsid w:val="00BB584D"/>
    <w:rsid w:val="00BB6AB3"/>
    <w:rsid w:val="00BB7084"/>
    <w:rsid w:val="00BB7E79"/>
    <w:rsid w:val="00BC2704"/>
    <w:rsid w:val="00BC7280"/>
    <w:rsid w:val="00BD120E"/>
    <w:rsid w:val="00BD2036"/>
    <w:rsid w:val="00BD24DD"/>
    <w:rsid w:val="00BD2700"/>
    <w:rsid w:val="00BD2812"/>
    <w:rsid w:val="00BD477F"/>
    <w:rsid w:val="00BD78FE"/>
    <w:rsid w:val="00BE0457"/>
    <w:rsid w:val="00BE0A00"/>
    <w:rsid w:val="00BE0AD3"/>
    <w:rsid w:val="00BE15DA"/>
    <w:rsid w:val="00BE16E8"/>
    <w:rsid w:val="00BE1CEA"/>
    <w:rsid w:val="00BE34DC"/>
    <w:rsid w:val="00BE642B"/>
    <w:rsid w:val="00BE67A9"/>
    <w:rsid w:val="00BE72D6"/>
    <w:rsid w:val="00BF31BA"/>
    <w:rsid w:val="00BF5E9C"/>
    <w:rsid w:val="00BF618F"/>
    <w:rsid w:val="00BF6D9D"/>
    <w:rsid w:val="00BF7724"/>
    <w:rsid w:val="00C00B3C"/>
    <w:rsid w:val="00C00B9C"/>
    <w:rsid w:val="00C014AB"/>
    <w:rsid w:val="00C0241E"/>
    <w:rsid w:val="00C02872"/>
    <w:rsid w:val="00C02B12"/>
    <w:rsid w:val="00C02CA7"/>
    <w:rsid w:val="00C0362B"/>
    <w:rsid w:val="00C03773"/>
    <w:rsid w:val="00C0469E"/>
    <w:rsid w:val="00C04E2F"/>
    <w:rsid w:val="00C055D5"/>
    <w:rsid w:val="00C06A57"/>
    <w:rsid w:val="00C06B30"/>
    <w:rsid w:val="00C071FB"/>
    <w:rsid w:val="00C07B9B"/>
    <w:rsid w:val="00C126E0"/>
    <w:rsid w:val="00C1486D"/>
    <w:rsid w:val="00C16D56"/>
    <w:rsid w:val="00C170AF"/>
    <w:rsid w:val="00C17177"/>
    <w:rsid w:val="00C17E35"/>
    <w:rsid w:val="00C20738"/>
    <w:rsid w:val="00C20AB9"/>
    <w:rsid w:val="00C21D54"/>
    <w:rsid w:val="00C220CE"/>
    <w:rsid w:val="00C22BB6"/>
    <w:rsid w:val="00C24150"/>
    <w:rsid w:val="00C245B6"/>
    <w:rsid w:val="00C24D7E"/>
    <w:rsid w:val="00C25E70"/>
    <w:rsid w:val="00C269AB"/>
    <w:rsid w:val="00C27711"/>
    <w:rsid w:val="00C30234"/>
    <w:rsid w:val="00C3033B"/>
    <w:rsid w:val="00C30414"/>
    <w:rsid w:val="00C309CE"/>
    <w:rsid w:val="00C31B0A"/>
    <w:rsid w:val="00C32018"/>
    <w:rsid w:val="00C32119"/>
    <w:rsid w:val="00C32545"/>
    <w:rsid w:val="00C34208"/>
    <w:rsid w:val="00C366C4"/>
    <w:rsid w:val="00C373C2"/>
    <w:rsid w:val="00C374F0"/>
    <w:rsid w:val="00C404E4"/>
    <w:rsid w:val="00C42508"/>
    <w:rsid w:val="00C42C10"/>
    <w:rsid w:val="00C42D9F"/>
    <w:rsid w:val="00C4437C"/>
    <w:rsid w:val="00C472D7"/>
    <w:rsid w:val="00C50170"/>
    <w:rsid w:val="00C50A4B"/>
    <w:rsid w:val="00C53173"/>
    <w:rsid w:val="00C5372F"/>
    <w:rsid w:val="00C54873"/>
    <w:rsid w:val="00C54BAF"/>
    <w:rsid w:val="00C557BF"/>
    <w:rsid w:val="00C61A0B"/>
    <w:rsid w:val="00C6465E"/>
    <w:rsid w:val="00C64A86"/>
    <w:rsid w:val="00C64E43"/>
    <w:rsid w:val="00C6552A"/>
    <w:rsid w:val="00C65533"/>
    <w:rsid w:val="00C70B9D"/>
    <w:rsid w:val="00C73D31"/>
    <w:rsid w:val="00C75629"/>
    <w:rsid w:val="00C758C6"/>
    <w:rsid w:val="00C76212"/>
    <w:rsid w:val="00C7698D"/>
    <w:rsid w:val="00C76AD9"/>
    <w:rsid w:val="00C77041"/>
    <w:rsid w:val="00C77849"/>
    <w:rsid w:val="00C77851"/>
    <w:rsid w:val="00C77F03"/>
    <w:rsid w:val="00C818AF"/>
    <w:rsid w:val="00C81ADC"/>
    <w:rsid w:val="00C81F3D"/>
    <w:rsid w:val="00C822C2"/>
    <w:rsid w:val="00C841DD"/>
    <w:rsid w:val="00C8458D"/>
    <w:rsid w:val="00C8725E"/>
    <w:rsid w:val="00C901FB"/>
    <w:rsid w:val="00C90701"/>
    <w:rsid w:val="00C9106A"/>
    <w:rsid w:val="00C91242"/>
    <w:rsid w:val="00C91E8D"/>
    <w:rsid w:val="00C92C3B"/>
    <w:rsid w:val="00C92C5D"/>
    <w:rsid w:val="00C9585F"/>
    <w:rsid w:val="00C95E95"/>
    <w:rsid w:val="00C96C1B"/>
    <w:rsid w:val="00C97AAA"/>
    <w:rsid w:val="00CA059D"/>
    <w:rsid w:val="00CA2C72"/>
    <w:rsid w:val="00CA3233"/>
    <w:rsid w:val="00CA5583"/>
    <w:rsid w:val="00CA6FB7"/>
    <w:rsid w:val="00CA7385"/>
    <w:rsid w:val="00CB0765"/>
    <w:rsid w:val="00CB2B36"/>
    <w:rsid w:val="00CB2C0F"/>
    <w:rsid w:val="00CB42FC"/>
    <w:rsid w:val="00CB5943"/>
    <w:rsid w:val="00CB619A"/>
    <w:rsid w:val="00CB63B3"/>
    <w:rsid w:val="00CB67C1"/>
    <w:rsid w:val="00CC00CD"/>
    <w:rsid w:val="00CC0339"/>
    <w:rsid w:val="00CC0B3D"/>
    <w:rsid w:val="00CC0E85"/>
    <w:rsid w:val="00CC2DB6"/>
    <w:rsid w:val="00CC431F"/>
    <w:rsid w:val="00CC4DF1"/>
    <w:rsid w:val="00CC748E"/>
    <w:rsid w:val="00CD02E0"/>
    <w:rsid w:val="00CD2B8C"/>
    <w:rsid w:val="00CD4A86"/>
    <w:rsid w:val="00CD5576"/>
    <w:rsid w:val="00CD7294"/>
    <w:rsid w:val="00CD7E27"/>
    <w:rsid w:val="00CE12E2"/>
    <w:rsid w:val="00CE15B5"/>
    <w:rsid w:val="00CE2805"/>
    <w:rsid w:val="00CE287A"/>
    <w:rsid w:val="00CE4E6E"/>
    <w:rsid w:val="00CE7A1A"/>
    <w:rsid w:val="00CF02E0"/>
    <w:rsid w:val="00CF0701"/>
    <w:rsid w:val="00CF2F30"/>
    <w:rsid w:val="00CF600D"/>
    <w:rsid w:val="00CF7275"/>
    <w:rsid w:val="00CF7A13"/>
    <w:rsid w:val="00D01760"/>
    <w:rsid w:val="00D01EBF"/>
    <w:rsid w:val="00D0252C"/>
    <w:rsid w:val="00D04E1E"/>
    <w:rsid w:val="00D06596"/>
    <w:rsid w:val="00D077EB"/>
    <w:rsid w:val="00D078B8"/>
    <w:rsid w:val="00D10800"/>
    <w:rsid w:val="00D111B1"/>
    <w:rsid w:val="00D12085"/>
    <w:rsid w:val="00D129EB"/>
    <w:rsid w:val="00D13D5F"/>
    <w:rsid w:val="00D15B95"/>
    <w:rsid w:val="00D16E39"/>
    <w:rsid w:val="00D170B9"/>
    <w:rsid w:val="00D17379"/>
    <w:rsid w:val="00D1798A"/>
    <w:rsid w:val="00D203FE"/>
    <w:rsid w:val="00D21C43"/>
    <w:rsid w:val="00D220D3"/>
    <w:rsid w:val="00D2214A"/>
    <w:rsid w:val="00D22258"/>
    <w:rsid w:val="00D223B6"/>
    <w:rsid w:val="00D22BEB"/>
    <w:rsid w:val="00D23102"/>
    <w:rsid w:val="00D23AD8"/>
    <w:rsid w:val="00D2423E"/>
    <w:rsid w:val="00D261E8"/>
    <w:rsid w:val="00D2686C"/>
    <w:rsid w:val="00D26B57"/>
    <w:rsid w:val="00D32A50"/>
    <w:rsid w:val="00D33AA8"/>
    <w:rsid w:val="00D350DE"/>
    <w:rsid w:val="00D35546"/>
    <w:rsid w:val="00D35FC1"/>
    <w:rsid w:val="00D41655"/>
    <w:rsid w:val="00D41EE1"/>
    <w:rsid w:val="00D42298"/>
    <w:rsid w:val="00D4320D"/>
    <w:rsid w:val="00D44E97"/>
    <w:rsid w:val="00D460D9"/>
    <w:rsid w:val="00D46C83"/>
    <w:rsid w:val="00D47709"/>
    <w:rsid w:val="00D506C0"/>
    <w:rsid w:val="00D53894"/>
    <w:rsid w:val="00D53C6C"/>
    <w:rsid w:val="00D54876"/>
    <w:rsid w:val="00D54B4A"/>
    <w:rsid w:val="00D54C45"/>
    <w:rsid w:val="00D565FF"/>
    <w:rsid w:val="00D60327"/>
    <w:rsid w:val="00D621AB"/>
    <w:rsid w:val="00D641C3"/>
    <w:rsid w:val="00D64981"/>
    <w:rsid w:val="00D650B5"/>
    <w:rsid w:val="00D66C4F"/>
    <w:rsid w:val="00D6759A"/>
    <w:rsid w:val="00D679D8"/>
    <w:rsid w:val="00D7075B"/>
    <w:rsid w:val="00D710B9"/>
    <w:rsid w:val="00D71D22"/>
    <w:rsid w:val="00D72126"/>
    <w:rsid w:val="00D72E9D"/>
    <w:rsid w:val="00D73FA7"/>
    <w:rsid w:val="00D74765"/>
    <w:rsid w:val="00D7568C"/>
    <w:rsid w:val="00D769E0"/>
    <w:rsid w:val="00D7727A"/>
    <w:rsid w:val="00D808C0"/>
    <w:rsid w:val="00D81BEA"/>
    <w:rsid w:val="00D82CE5"/>
    <w:rsid w:val="00D84FE0"/>
    <w:rsid w:val="00D85C8F"/>
    <w:rsid w:val="00D86474"/>
    <w:rsid w:val="00D87181"/>
    <w:rsid w:val="00D8736E"/>
    <w:rsid w:val="00D90EFA"/>
    <w:rsid w:val="00D914DB"/>
    <w:rsid w:val="00D91D72"/>
    <w:rsid w:val="00D92770"/>
    <w:rsid w:val="00D93287"/>
    <w:rsid w:val="00D94D04"/>
    <w:rsid w:val="00D95045"/>
    <w:rsid w:val="00D95983"/>
    <w:rsid w:val="00D970D3"/>
    <w:rsid w:val="00D978B4"/>
    <w:rsid w:val="00D97DDD"/>
    <w:rsid w:val="00DA2449"/>
    <w:rsid w:val="00DA41EF"/>
    <w:rsid w:val="00DA583D"/>
    <w:rsid w:val="00DA5AB1"/>
    <w:rsid w:val="00DA7B6E"/>
    <w:rsid w:val="00DA7CCA"/>
    <w:rsid w:val="00DB0499"/>
    <w:rsid w:val="00DB0DFA"/>
    <w:rsid w:val="00DB1542"/>
    <w:rsid w:val="00DB28B8"/>
    <w:rsid w:val="00DB3D31"/>
    <w:rsid w:val="00DB6234"/>
    <w:rsid w:val="00DB6895"/>
    <w:rsid w:val="00DB68F9"/>
    <w:rsid w:val="00DC02B2"/>
    <w:rsid w:val="00DC1562"/>
    <w:rsid w:val="00DC2AFD"/>
    <w:rsid w:val="00DC3544"/>
    <w:rsid w:val="00DC3A87"/>
    <w:rsid w:val="00DC4E41"/>
    <w:rsid w:val="00DC53D1"/>
    <w:rsid w:val="00DC62E5"/>
    <w:rsid w:val="00DC73DF"/>
    <w:rsid w:val="00DC743F"/>
    <w:rsid w:val="00DC78DC"/>
    <w:rsid w:val="00DD0BB0"/>
    <w:rsid w:val="00DD293E"/>
    <w:rsid w:val="00DD32A0"/>
    <w:rsid w:val="00DD3E02"/>
    <w:rsid w:val="00DD3E55"/>
    <w:rsid w:val="00DD451F"/>
    <w:rsid w:val="00DD47A2"/>
    <w:rsid w:val="00DD5376"/>
    <w:rsid w:val="00DD595F"/>
    <w:rsid w:val="00DD652D"/>
    <w:rsid w:val="00DD6845"/>
    <w:rsid w:val="00DD6847"/>
    <w:rsid w:val="00DD735D"/>
    <w:rsid w:val="00DD79A0"/>
    <w:rsid w:val="00DD7FA8"/>
    <w:rsid w:val="00DE07A5"/>
    <w:rsid w:val="00DE247F"/>
    <w:rsid w:val="00DE308A"/>
    <w:rsid w:val="00DE3119"/>
    <w:rsid w:val="00DE3139"/>
    <w:rsid w:val="00DE3BBA"/>
    <w:rsid w:val="00DE463A"/>
    <w:rsid w:val="00DE5BCA"/>
    <w:rsid w:val="00DE6473"/>
    <w:rsid w:val="00DE6872"/>
    <w:rsid w:val="00DF20FB"/>
    <w:rsid w:val="00DF2128"/>
    <w:rsid w:val="00DF236B"/>
    <w:rsid w:val="00DF25B9"/>
    <w:rsid w:val="00DF2804"/>
    <w:rsid w:val="00DF28C7"/>
    <w:rsid w:val="00DF3553"/>
    <w:rsid w:val="00DF3F8D"/>
    <w:rsid w:val="00DF41B6"/>
    <w:rsid w:val="00DF4328"/>
    <w:rsid w:val="00DF64F5"/>
    <w:rsid w:val="00DF6AA5"/>
    <w:rsid w:val="00DF7086"/>
    <w:rsid w:val="00DF7F9E"/>
    <w:rsid w:val="00E00221"/>
    <w:rsid w:val="00E0048D"/>
    <w:rsid w:val="00E018F9"/>
    <w:rsid w:val="00E03C85"/>
    <w:rsid w:val="00E04A52"/>
    <w:rsid w:val="00E055A2"/>
    <w:rsid w:val="00E057C5"/>
    <w:rsid w:val="00E0677C"/>
    <w:rsid w:val="00E06A8D"/>
    <w:rsid w:val="00E10879"/>
    <w:rsid w:val="00E13AB8"/>
    <w:rsid w:val="00E13D3F"/>
    <w:rsid w:val="00E1640E"/>
    <w:rsid w:val="00E16864"/>
    <w:rsid w:val="00E16924"/>
    <w:rsid w:val="00E212F0"/>
    <w:rsid w:val="00E234D7"/>
    <w:rsid w:val="00E25CB3"/>
    <w:rsid w:val="00E261E2"/>
    <w:rsid w:val="00E27E15"/>
    <w:rsid w:val="00E30301"/>
    <w:rsid w:val="00E3074B"/>
    <w:rsid w:val="00E31A47"/>
    <w:rsid w:val="00E32A49"/>
    <w:rsid w:val="00E33B62"/>
    <w:rsid w:val="00E34106"/>
    <w:rsid w:val="00E34DEB"/>
    <w:rsid w:val="00E354CF"/>
    <w:rsid w:val="00E356D7"/>
    <w:rsid w:val="00E36139"/>
    <w:rsid w:val="00E40333"/>
    <w:rsid w:val="00E40D14"/>
    <w:rsid w:val="00E4143A"/>
    <w:rsid w:val="00E41823"/>
    <w:rsid w:val="00E41943"/>
    <w:rsid w:val="00E42461"/>
    <w:rsid w:val="00E42761"/>
    <w:rsid w:val="00E42D50"/>
    <w:rsid w:val="00E43624"/>
    <w:rsid w:val="00E44610"/>
    <w:rsid w:val="00E453AF"/>
    <w:rsid w:val="00E46137"/>
    <w:rsid w:val="00E50774"/>
    <w:rsid w:val="00E510C7"/>
    <w:rsid w:val="00E5199E"/>
    <w:rsid w:val="00E51B9F"/>
    <w:rsid w:val="00E51CF8"/>
    <w:rsid w:val="00E52580"/>
    <w:rsid w:val="00E53B77"/>
    <w:rsid w:val="00E54365"/>
    <w:rsid w:val="00E5462E"/>
    <w:rsid w:val="00E55073"/>
    <w:rsid w:val="00E55540"/>
    <w:rsid w:val="00E56EC0"/>
    <w:rsid w:val="00E57652"/>
    <w:rsid w:val="00E57D76"/>
    <w:rsid w:val="00E62C10"/>
    <w:rsid w:val="00E631C7"/>
    <w:rsid w:val="00E65BDD"/>
    <w:rsid w:val="00E66455"/>
    <w:rsid w:val="00E70C4B"/>
    <w:rsid w:val="00E72138"/>
    <w:rsid w:val="00E73728"/>
    <w:rsid w:val="00E73C2F"/>
    <w:rsid w:val="00E73F9E"/>
    <w:rsid w:val="00E742E7"/>
    <w:rsid w:val="00E75AE9"/>
    <w:rsid w:val="00E76013"/>
    <w:rsid w:val="00E76D64"/>
    <w:rsid w:val="00E76DD0"/>
    <w:rsid w:val="00E81CD9"/>
    <w:rsid w:val="00E81FD0"/>
    <w:rsid w:val="00E8282C"/>
    <w:rsid w:val="00E8384D"/>
    <w:rsid w:val="00E87FB5"/>
    <w:rsid w:val="00E91B88"/>
    <w:rsid w:val="00E9622C"/>
    <w:rsid w:val="00E96F1A"/>
    <w:rsid w:val="00EA04BE"/>
    <w:rsid w:val="00EA0C86"/>
    <w:rsid w:val="00EA12CB"/>
    <w:rsid w:val="00EA2015"/>
    <w:rsid w:val="00EA27CC"/>
    <w:rsid w:val="00EA2E7A"/>
    <w:rsid w:val="00EA3761"/>
    <w:rsid w:val="00EA3B8E"/>
    <w:rsid w:val="00EA4538"/>
    <w:rsid w:val="00EA4951"/>
    <w:rsid w:val="00EA4AA6"/>
    <w:rsid w:val="00EA73B0"/>
    <w:rsid w:val="00EB03A0"/>
    <w:rsid w:val="00EB0D38"/>
    <w:rsid w:val="00EB23D0"/>
    <w:rsid w:val="00EB2CBD"/>
    <w:rsid w:val="00EB5263"/>
    <w:rsid w:val="00EB5408"/>
    <w:rsid w:val="00EB55EE"/>
    <w:rsid w:val="00EB5A79"/>
    <w:rsid w:val="00EB5D25"/>
    <w:rsid w:val="00EB5E41"/>
    <w:rsid w:val="00EB745A"/>
    <w:rsid w:val="00EC5592"/>
    <w:rsid w:val="00EC59E3"/>
    <w:rsid w:val="00EC5B1B"/>
    <w:rsid w:val="00EC77E0"/>
    <w:rsid w:val="00ED0181"/>
    <w:rsid w:val="00ED05A8"/>
    <w:rsid w:val="00ED0D83"/>
    <w:rsid w:val="00ED18C9"/>
    <w:rsid w:val="00ED1921"/>
    <w:rsid w:val="00ED1A5E"/>
    <w:rsid w:val="00ED21E1"/>
    <w:rsid w:val="00ED2C7A"/>
    <w:rsid w:val="00ED37DE"/>
    <w:rsid w:val="00ED5E7E"/>
    <w:rsid w:val="00ED61E7"/>
    <w:rsid w:val="00ED64A4"/>
    <w:rsid w:val="00ED6D48"/>
    <w:rsid w:val="00ED716D"/>
    <w:rsid w:val="00EE084F"/>
    <w:rsid w:val="00EE2C9C"/>
    <w:rsid w:val="00EE336A"/>
    <w:rsid w:val="00EE4DB1"/>
    <w:rsid w:val="00EE59B5"/>
    <w:rsid w:val="00EE6118"/>
    <w:rsid w:val="00EE6A82"/>
    <w:rsid w:val="00EE70E5"/>
    <w:rsid w:val="00EE75CC"/>
    <w:rsid w:val="00EE7C1A"/>
    <w:rsid w:val="00EF0420"/>
    <w:rsid w:val="00EF169E"/>
    <w:rsid w:val="00EF1F7B"/>
    <w:rsid w:val="00EF28A9"/>
    <w:rsid w:val="00EF2D58"/>
    <w:rsid w:val="00EF3258"/>
    <w:rsid w:val="00EF3F42"/>
    <w:rsid w:val="00EF4E3B"/>
    <w:rsid w:val="00EF5547"/>
    <w:rsid w:val="00EF5E27"/>
    <w:rsid w:val="00EF64D8"/>
    <w:rsid w:val="00EF6FEA"/>
    <w:rsid w:val="00F0076F"/>
    <w:rsid w:val="00F01990"/>
    <w:rsid w:val="00F04156"/>
    <w:rsid w:val="00F04D40"/>
    <w:rsid w:val="00F05E5B"/>
    <w:rsid w:val="00F0608C"/>
    <w:rsid w:val="00F06296"/>
    <w:rsid w:val="00F074DD"/>
    <w:rsid w:val="00F0774D"/>
    <w:rsid w:val="00F077AE"/>
    <w:rsid w:val="00F10954"/>
    <w:rsid w:val="00F11955"/>
    <w:rsid w:val="00F11D29"/>
    <w:rsid w:val="00F128BC"/>
    <w:rsid w:val="00F16AE2"/>
    <w:rsid w:val="00F172E0"/>
    <w:rsid w:val="00F2035B"/>
    <w:rsid w:val="00F2107D"/>
    <w:rsid w:val="00F2195A"/>
    <w:rsid w:val="00F21B2C"/>
    <w:rsid w:val="00F21BA2"/>
    <w:rsid w:val="00F21D09"/>
    <w:rsid w:val="00F24230"/>
    <w:rsid w:val="00F25C0B"/>
    <w:rsid w:val="00F25C2F"/>
    <w:rsid w:val="00F26F3C"/>
    <w:rsid w:val="00F26F4E"/>
    <w:rsid w:val="00F301AD"/>
    <w:rsid w:val="00F30221"/>
    <w:rsid w:val="00F30C7B"/>
    <w:rsid w:val="00F3110C"/>
    <w:rsid w:val="00F33364"/>
    <w:rsid w:val="00F34431"/>
    <w:rsid w:val="00F34C8E"/>
    <w:rsid w:val="00F34CBA"/>
    <w:rsid w:val="00F34EE5"/>
    <w:rsid w:val="00F3533F"/>
    <w:rsid w:val="00F3791E"/>
    <w:rsid w:val="00F42CA4"/>
    <w:rsid w:val="00F4315D"/>
    <w:rsid w:val="00F43A17"/>
    <w:rsid w:val="00F43A68"/>
    <w:rsid w:val="00F46C1B"/>
    <w:rsid w:val="00F476A9"/>
    <w:rsid w:val="00F50901"/>
    <w:rsid w:val="00F5101F"/>
    <w:rsid w:val="00F51E02"/>
    <w:rsid w:val="00F520D5"/>
    <w:rsid w:val="00F536CD"/>
    <w:rsid w:val="00F55F3A"/>
    <w:rsid w:val="00F574CC"/>
    <w:rsid w:val="00F6029C"/>
    <w:rsid w:val="00F6064F"/>
    <w:rsid w:val="00F61248"/>
    <w:rsid w:val="00F61305"/>
    <w:rsid w:val="00F61B1D"/>
    <w:rsid w:val="00F61C41"/>
    <w:rsid w:val="00F61F32"/>
    <w:rsid w:val="00F64812"/>
    <w:rsid w:val="00F64C93"/>
    <w:rsid w:val="00F65EC5"/>
    <w:rsid w:val="00F6751F"/>
    <w:rsid w:val="00F73D70"/>
    <w:rsid w:val="00F764CE"/>
    <w:rsid w:val="00F77855"/>
    <w:rsid w:val="00F80D0F"/>
    <w:rsid w:val="00F80E8A"/>
    <w:rsid w:val="00F816AE"/>
    <w:rsid w:val="00F82943"/>
    <w:rsid w:val="00F83F2B"/>
    <w:rsid w:val="00F84899"/>
    <w:rsid w:val="00F85010"/>
    <w:rsid w:val="00F859F0"/>
    <w:rsid w:val="00F904F9"/>
    <w:rsid w:val="00F90DB0"/>
    <w:rsid w:val="00F91287"/>
    <w:rsid w:val="00F91CA1"/>
    <w:rsid w:val="00F92766"/>
    <w:rsid w:val="00F92769"/>
    <w:rsid w:val="00F92D53"/>
    <w:rsid w:val="00F93250"/>
    <w:rsid w:val="00F94805"/>
    <w:rsid w:val="00F94B44"/>
    <w:rsid w:val="00F9511B"/>
    <w:rsid w:val="00F95598"/>
    <w:rsid w:val="00F95FAB"/>
    <w:rsid w:val="00F96F94"/>
    <w:rsid w:val="00F97794"/>
    <w:rsid w:val="00FA0765"/>
    <w:rsid w:val="00FA0805"/>
    <w:rsid w:val="00FA0BE5"/>
    <w:rsid w:val="00FA1420"/>
    <w:rsid w:val="00FA15DA"/>
    <w:rsid w:val="00FA1947"/>
    <w:rsid w:val="00FA28BF"/>
    <w:rsid w:val="00FA3221"/>
    <w:rsid w:val="00FA63A7"/>
    <w:rsid w:val="00FA6B54"/>
    <w:rsid w:val="00FB08BF"/>
    <w:rsid w:val="00FB1520"/>
    <w:rsid w:val="00FB3DD8"/>
    <w:rsid w:val="00FB48C5"/>
    <w:rsid w:val="00FB5E3B"/>
    <w:rsid w:val="00FC08AD"/>
    <w:rsid w:val="00FC16AE"/>
    <w:rsid w:val="00FC2D78"/>
    <w:rsid w:val="00FC4AF7"/>
    <w:rsid w:val="00FC5EB6"/>
    <w:rsid w:val="00FD13E3"/>
    <w:rsid w:val="00FD1BB6"/>
    <w:rsid w:val="00FD1C4A"/>
    <w:rsid w:val="00FD2088"/>
    <w:rsid w:val="00FD2829"/>
    <w:rsid w:val="00FD2EA3"/>
    <w:rsid w:val="00FD3F65"/>
    <w:rsid w:val="00FD461D"/>
    <w:rsid w:val="00FD46B4"/>
    <w:rsid w:val="00FD4AA4"/>
    <w:rsid w:val="00FD57EF"/>
    <w:rsid w:val="00FD5F1B"/>
    <w:rsid w:val="00FD7084"/>
    <w:rsid w:val="00FD7D17"/>
    <w:rsid w:val="00FE07B7"/>
    <w:rsid w:val="00FE094E"/>
    <w:rsid w:val="00FE0B32"/>
    <w:rsid w:val="00FE141E"/>
    <w:rsid w:val="00FE1C75"/>
    <w:rsid w:val="00FE1E34"/>
    <w:rsid w:val="00FE2C20"/>
    <w:rsid w:val="00FE2E03"/>
    <w:rsid w:val="00FE38FF"/>
    <w:rsid w:val="00FE42ED"/>
    <w:rsid w:val="00FE4C26"/>
    <w:rsid w:val="00FE4EF2"/>
    <w:rsid w:val="00FE63C7"/>
    <w:rsid w:val="00FE6445"/>
    <w:rsid w:val="00FE759E"/>
    <w:rsid w:val="00FE7664"/>
    <w:rsid w:val="00FF0D23"/>
    <w:rsid w:val="00FF1C68"/>
    <w:rsid w:val="00FF4164"/>
    <w:rsid w:val="00FF4418"/>
    <w:rsid w:val="00FF485B"/>
    <w:rsid w:val="00FF4CB9"/>
    <w:rsid w:val="19D94649"/>
    <w:rsid w:val="3B1BF6E6"/>
    <w:rsid w:val="434D2F1C"/>
    <w:rsid w:val="489DAED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508"/>
    <w:pPr>
      <w:spacing w:before="0" w:after="0" w:line="240" w:lineRule="auto"/>
      <w:jc w:val="left"/>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F61305"/>
    <w:pPr>
      <w:keepNext/>
      <w:keepLines/>
      <w:spacing w:before="240"/>
      <w:outlineLvl w:val="0"/>
    </w:pPr>
    <w:rPr>
      <w:rFonts w:asciiTheme="majorHAnsi" w:eastAsiaTheme="majorEastAsia" w:hAnsiTheme="majorHAnsi" w:cstheme="majorBidi"/>
      <w:color w:val="365F91" w:themeColor="accent1" w:themeShade="BF"/>
      <w:sz w:val="32"/>
      <w:szCs w:val="32"/>
      <w:lang w:eastAsia="en-GB"/>
    </w:rPr>
  </w:style>
  <w:style w:type="paragraph" w:styleId="Ttulo2">
    <w:name w:val="heading 2"/>
    <w:basedOn w:val="Normal"/>
    <w:next w:val="Normal"/>
    <w:link w:val="Ttulo2Car"/>
    <w:uiPriority w:val="9"/>
    <w:unhideWhenUsed/>
    <w:qFormat/>
    <w:rsid w:val="00F61305"/>
    <w:pPr>
      <w:keepNext/>
      <w:keepLines/>
      <w:spacing w:before="40"/>
      <w:outlineLvl w:val="1"/>
    </w:pPr>
    <w:rPr>
      <w:rFonts w:asciiTheme="majorHAnsi" w:eastAsiaTheme="majorEastAsia" w:hAnsiTheme="majorHAnsi" w:cstheme="majorBidi"/>
      <w:color w:val="365F91" w:themeColor="accent1" w:themeShade="BF"/>
      <w:sz w:val="26"/>
      <w:szCs w:val="26"/>
      <w:lang w:eastAsia="en-GB"/>
    </w:rPr>
  </w:style>
  <w:style w:type="paragraph" w:styleId="Ttulo3">
    <w:name w:val="heading 3"/>
    <w:basedOn w:val="Normal"/>
    <w:next w:val="Normal"/>
    <w:link w:val="Ttulo3Car"/>
    <w:uiPriority w:val="9"/>
    <w:unhideWhenUsed/>
    <w:qFormat/>
    <w:rsid w:val="00F61305"/>
    <w:pPr>
      <w:keepNext/>
      <w:keepLines/>
      <w:spacing w:before="40"/>
      <w:outlineLvl w:val="2"/>
    </w:pPr>
    <w:rPr>
      <w:rFonts w:asciiTheme="majorHAnsi" w:eastAsiaTheme="majorEastAsia" w:hAnsiTheme="majorHAnsi" w:cstheme="majorBidi"/>
      <w:color w:val="243F60" w:themeColor="accent1" w:themeShade="7F"/>
      <w:lang w:eastAsia="en-GB"/>
    </w:rPr>
  </w:style>
  <w:style w:type="paragraph" w:styleId="Ttulo4">
    <w:name w:val="heading 4"/>
    <w:basedOn w:val="Normal"/>
    <w:next w:val="Normal"/>
    <w:link w:val="Ttulo4Car"/>
    <w:uiPriority w:val="9"/>
    <w:unhideWhenUsed/>
    <w:qFormat/>
    <w:rsid w:val="00F61305"/>
    <w:pPr>
      <w:keepNext/>
      <w:keepLines/>
      <w:spacing w:before="40"/>
      <w:outlineLvl w:val="3"/>
    </w:pPr>
    <w:rPr>
      <w:rFonts w:asciiTheme="majorHAnsi" w:eastAsiaTheme="majorEastAsia" w:hAnsiTheme="majorHAnsi" w:cstheme="majorBidi"/>
      <w:i/>
      <w:iCs/>
      <w:color w:val="365F91" w:themeColor="accent1" w:themeShade="BF"/>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before="120" w:after="120" w:line="276" w:lineRule="auto"/>
      <w:jc w:val="both"/>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before="120" w:after="120" w:line="276" w:lineRule="auto"/>
      <w:jc w:val="both"/>
    </w:pPr>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before="120" w:after="120" w:line="276" w:lineRule="auto"/>
      <w:jc w:val="both"/>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9047C5"/>
    <w:pPr>
      <w:spacing w:before="120" w:after="120" w:line="276" w:lineRule="auto"/>
      <w:ind w:left="720"/>
      <w:contextualSpacing/>
      <w:jc w:val="both"/>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76" w:lineRule="auto"/>
      <w:jc w:val="both"/>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jc w:val="both"/>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Re"/>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984AB9"/>
  </w:style>
  <w:style w:type="character" w:styleId="Textoennegrita">
    <w:name w:val="Strong"/>
    <w:basedOn w:val="Fuentedeprrafopredeter"/>
    <w:uiPriority w:val="22"/>
    <w:qFormat/>
    <w:rsid w:val="00792E66"/>
    <w:rPr>
      <w:b/>
      <w:bCs/>
    </w:rPr>
  </w:style>
  <w:style w:type="character" w:styleId="nfasis">
    <w:name w:val="Emphasis"/>
    <w:basedOn w:val="Fuentedeprrafopredeter"/>
    <w:uiPriority w:val="20"/>
    <w:qFormat/>
    <w:rsid w:val="00792E66"/>
    <w:rPr>
      <w:i/>
      <w:iCs/>
    </w:rPr>
  </w:style>
  <w:style w:type="paragraph" w:customStyle="1" w:styleId="Appelnotedebasde">
    <w:name w:val="Appel note de bas de..."/>
    <w:basedOn w:val="Normal"/>
    <w:link w:val="Refdenotaalpie"/>
    <w:uiPriority w:val="99"/>
    <w:rsid w:val="00E54365"/>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NormalWebCar">
    <w:name w:val="Normal (Web) Car"/>
    <w:link w:val="NormalWeb"/>
    <w:uiPriority w:val="99"/>
    <w:rsid w:val="00A957B9"/>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AE4C20"/>
    <w:rPr>
      <w:color w:val="605E5C"/>
      <w:shd w:val="clear" w:color="auto" w:fill="E1DFDD"/>
    </w:rPr>
  </w:style>
  <w:style w:type="paragraph" w:styleId="Textoindependiente">
    <w:name w:val="Body Text"/>
    <w:basedOn w:val="Normal"/>
    <w:link w:val="TextoindependienteCar"/>
    <w:uiPriority w:val="99"/>
    <w:unhideWhenUsed/>
    <w:rsid w:val="00A16FAB"/>
    <w:pPr>
      <w:spacing w:before="100" w:beforeAutospacing="1" w:after="100" w:afterAutospacing="1"/>
    </w:pPr>
    <w:rPr>
      <w:lang w:eastAsia="es-CO"/>
    </w:rPr>
  </w:style>
  <w:style w:type="character" w:customStyle="1" w:styleId="TextoindependienteCar">
    <w:name w:val="Texto independiente Car"/>
    <w:basedOn w:val="Fuentedeprrafopredeter"/>
    <w:link w:val="Textoindependiente"/>
    <w:uiPriority w:val="99"/>
    <w:rsid w:val="00A16FAB"/>
    <w:rPr>
      <w:rFonts w:ascii="Times New Roman" w:eastAsia="Times New Roman" w:hAnsi="Times New Roman" w:cs="Times New Roman"/>
      <w:sz w:val="24"/>
      <w:szCs w:val="24"/>
      <w:lang w:eastAsia="es-CO"/>
    </w:rPr>
  </w:style>
  <w:style w:type="character" w:customStyle="1" w:styleId="Mencinsinresolver2">
    <w:name w:val="Mención sin resolver2"/>
    <w:basedOn w:val="Fuentedeprrafopredeter"/>
    <w:uiPriority w:val="99"/>
    <w:semiHidden/>
    <w:unhideWhenUsed/>
    <w:rsid w:val="0076432E"/>
    <w:rPr>
      <w:color w:val="605E5C"/>
      <w:shd w:val="clear" w:color="auto" w:fill="E1DFDD"/>
    </w:rPr>
  </w:style>
  <w:style w:type="character" w:styleId="Refdenotaalfinal">
    <w:name w:val="endnote reference"/>
    <w:basedOn w:val="Fuentedeprrafopredeter"/>
    <w:uiPriority w:val="99"/>
    <w:semiHidden/>
    <w:unhideWhenUsed/>
    <w:rsid w:val="00FE1E34"/>
    <w:rPr>
      <w:vertAlign w:val="superscript"/>
    </w:rPr>
  </w:style>
  <w:style w:type="paragraph" w:styleId="Revisin">
    <w:name w:val="Revision"/>
    <w:hidden/>
    <w:uiPriority w:val="99"/>
    <w:semiHidden/>
    <w:rsid w:val="009246D0"/>
    <w:pPr>
      <w:spacing w:before="0" w:after="0" w:line="240" w:lineRule="auto"/>
      <w:jc w:val="left"/>
    </w:pPr>
    <w:rPr>
      <w:rFonts w:ascii="Times New Roman" w:eastAsia="Times New Roman" w:hAnsi="Times New Roman" w:cs="Times New Roman"/>
      <w:sz w:val="24"/>
      <w:szCs w:val="24"/>
      <w:lang w:eastAsia="en-GB"/>
    </w:rPr>
  </w:style>
  <w:style w:type="character" w:customStyle="1" w:styleId="Mencinsinresolver3">
    <w:name w:val="Mención sin resolver3"/>
    <w:basedOn w:val="Fuentedeprrafopredeter"/>
    <w:uiPriority w:val="99"/>
    <w:semiHidden/>
    <w:unhideWhenUsed/>
    <w:rsid w:val="00B552B6"/>
    <w:rPr>
      <w:color w:val="605E5C"/>
      <w:shd w:val="clear" w:color="auto" w:fill="E1DFDD"/>
    </w:rPr>
  </w:style>
  <w:style w:type="paragraph" w:customStyle="1" w:styleId="Normal11pt">
    <w:name w:val="Normal + 11 pt"/>
    <w:aliases w:val="Negro,Justificado,Izquierda:  -0,95 cm,Derecha:  0,04 cm"/>
    <w:basedOn w:val="Normal"/>
    <w:uiPriority w:val="99"/>
    <w:rsid w:val="00D81BEA"/>
    <w:pPr>
      <w:ind w:left="-540"/>
      <w:jc w:val="both"/>
    </w:pPr>
    <w:rPr>
      <w:rFonts w:ascii="Arial" w:hAnsi="Arial" w:cs="Arial"/>
      <w:color w:val="000000"/>
      <w:sz w:val="22"/>
      <w:szCs w:val="22"/>
      <w:lang w:val="es-ES_tradnl" w:eastAsia="es-ES"/>
    </w:rPr>
  </w:style>
  <w:style w:type="character" w:customStyle="1" w:styleId="Ttulo1Car">
    <w:name w:val="Título 1 Car"/>
    <w:basedOn w:val="Fuentedeprrafopredeter"/>
    <w:link w:val="Ttulo1"/>
    <w:uiPriority w:val="9"/>
    <w:rsid w:val="00F61305"/>
    <w:rPr>
      <w:rFonts w:asciiTheme="majorHAnsi" w:eastAsiaTheme="majorEastAsia" w:hAnsiTheme="majorHAnsi" w:cstheme="majorBidi"/>
      <w:color w:val="365F91" w:themeColor="accent1" w:themeShade="BF"/>
      <w:sz w:val="32"/>
      <w:szCs w:val="32"/>
      <w:lang w:eastAsia="en-GB"/>
    </w:rPr>
  </w:style>
  <w:style w:type="character" w:customStyle="1" w:styleId="Ttulo2Car">
    <w:name w:val="Título 2 Car"/>
    <w:basedOn w:val="Fuentedeprrafopredeter"/>
    <w:link w:val="Ttulo2"/>
    <w:uiPriority w:val="9"/>
    <w:rsid w:val="00F61305"/>
    <w:rPr>
      <w:rFonts w:asciiTheme="majorHAnsi" w:eastAsiaTheme="majorEastAsia" w:hAnsiTheme="majorHAnsi" w:cstheme="majorBidi"/>
      <w:color w:val="365F91" w:themeColor="accent1" w:themeShade="BF"/>
      <w:sz w:val="26"/>
      <w:szCs w:val="26"/>
      <w:lang w:eastAsia="en-GB"/>
    </w:rPr>
  </w:style>
  <w:style w:type="character" w:customStyle="1" w:styleId="Ttulo3Car">
    <w:name w:val="Título 3 Car"/>
    <w:basedOn w:val="Fuentedeprrafopredeter"/>
    <w:link w:val="Ttulo3"/>
    <w:uiPriority w:val="9"/>
    <w:rsid w:val="00F61305"/>
    <w:rPr>
      <w:rFonts w:asciiTheme="majorHAnsi" w:eastAsiaTheme="majorEastAsia" w:hAnsiTheme="majorHAnsi" w:cstheme="majorBidi"/>
      <w:color w:val="243F60" w:themeColor="accent1" w:themeShade="7F"/>
      <w:sz w:val="24"/>
      <w:szCs w:val="24"/>
      <w:lang w:eastAsia="en-GB"/>
    </w:rPr>
  </w:style>
  <w:style w:type="character" w:customStyle="1" w:styleId="Ttulo4Car">
    <w:name w:val="Título 4 Car"/>
    <w:basedOn w:val="Fuentedeprrafopredeter"/>
    <w:link w:val="Ttulo4"/>
    <w:uiPriority w:val="9"/>
    <w:rsid w:val="00F61305"/>
    <w:rPr>
      <w:rFonts w:asciiTheme="majorHAnsi" w:eastAsiaTheme="majorEastAsia" w:hAnsiTheme="majorHAnsi" w:cstheme="majorBidi"/>
      <w:i/>
      <w:iCs/>
      <w:color w:val="365F91" w:themeColor="accent1" w:themeShade="BF"/>
      <w:sz w:val="24"/>
      <w:szCs w:val="24"/>
      <w:lang w:eastAsia="en-GB"/>
    </w:rPr>
  </w:style>
  <w:style w:type="paragraph" w:styleId="Lista">
    <w:name w:val="List"/>
    <w:basedOn w:val="Normal"/>
    <w:uiPriority w:val="99"/>
    <w:unhideWhenUsed/>
    <w:rsid w:val="00F61305"/>
    <w:pPr>
      <w:ind w:left="283" w:hanging="283"/>
      <w:contextualSpacing/>
    </w:pPr>
    <w:rPr>
      <w:lang w:eastAsia="en-GB"/>
    </w:rPr>
  </w:style>
  <w:style w:type="paragraph" w:styleId="Lista2">
    <w:name w:val="List 2"/>
    <w:basedOn w:val="Normal"/>
    <w:uiPriority w:val="99"/>
    <w:unhideWhenUsed/>
    <w:rsid w:val="00F61305"/>
    <w:pPr>
      <w:ind w:left="566" w:hanging="283"/>
      <w:contextualSpacing/>
    </w:pPr>
    <w:rPr>
      <w:lang w:eastAsia="en-GB"/>
    </w:rPr>
  </w:style>
  <w:style w:type="paragraph" w:styleId="Saludo">
    <w:name w:val="Salutation"/>
    <w:basedOn w:val="Normal"/>
    <w:next w:val="Normal"/>
    <w:link w:val="SaludoCar"/>
    <w:uiPriority w:val="99"/>
    <w:unhideWhenUsed/>
    <w:rsid w:val="00F61305"/>
    <w:rPr>
      <w:lang w:eastAsia="en-GB"/>
    </w:rPr>
  </w:style>
  <w:style w:type="character" w:customStyle="1" w:styleId="SaludoCar">
    <w:name w:val="Saludo Car"/>
    <w:basedOn w:val="Fuentedeprrafopredeter"/>
    <w:link w:val="Saludo"/>
    <w:uiPriority w:val="99"/>
    <w:rsid w:val="00F61305"/>
    <w:rPr>
      <w:rFonts w:ascii="Times New Roman" w:eastAsia="Times New Roman" w:hAnsi="Times New Roman" w:cs="Times New Roman"/>
      <w:sz w:val="24"/>
      <w:szCs w:val="24"/>
      <w:lang w:eastAsia="en-GB"/>
    </w:rPr>
  </w:style>
  <w:style w:type="paragraph" w:styleId="Continuarlista">
    <w:name w:val="List Continue"/>
    <w:basedOn w:val="Normal"/>
    <w:uiPriority w:val="99"/>
    <w:unhideWhenUsed/>
    <w:rsid w:val="00F61305"/>
    <w:pPr>
      <w:spacing w:after="120"/>
      <w:ind w:left="283"/>
      <w:contextualSpacing/>
    </w:pPr>
    <w:rPr>
      <w:lang w:eastAsia="en-GB"/>
    </w:rPr>
  </w:style>
  <w:style w:type="paragraph" w:styleId="Textoindependienteprimerasangra">
    <w:name w:val="Body Text First Indent"/>
    <w:basedOn w:val="Textoindependiente"/>
    <w:link w:val="TextoindependienteprimerasangraCar"/>
    <w:uiPriority w:val="99"/>
    <w:unhideWhenUsed/>
    <w:rsid w:val="00F61305"/>
    <w:pPr>
      <w:spacing w:before="0" w:beforeAutospacing="0" w:after="0" w:afterAutospacing="0"/>
      <w:ind w:firstLine="360"/>
    </w:pPr>
    <w:rPr>
      <w:lang w:eastAsia="en-GB"/>
    </w:rPr>
  </w:style>
  <w:style w:type="character" w:customStyle="1" w:styleId="TextoindependienteprimerasangraCar">
    <w:name w:val="Texto independiente primera sangría Car"/>
    <w:basedOn w:val="TextoindependienteCar"/>
    <w:link w:val="Textoindependienteprimerasangra"/>
    <w:uiPriority w:val="99"/>
    <w:rsid w:val="00F61305"/>
    <w:rPr>
      <w:rFonts w:ascii="Times New Roman" w:eastAsia="Times New Roman" w:hAnsi="Times New Roman" w:cs="Times New Roman"/>
      <w:sz w:val="24"/>
      <w:szCs w:val="24"/>
      <w:lang w:eastAsia="en-GB"/>
    </w:rPr>
  </w:style>
  <w:style w:type="paragraph" w:styleId="Sangradetextonormal">
    <w:name w:val="Body Text Indent"/>
    <w:basedOn w:val="Normal"/>
    <w:link w:val="SangradetextonormalCar"/>
    <w:uiPriority w:val="99"/>
    <w:semiHidden/>
    <w:unhideWhenUsed/>
    <w:rsid w:val="00F61305"/>
    <w:pPr>
      <w:spacing w:after="120"/>
      <w:ind w:left="283"/>
    </w:pPr>
    <w:rPr>
      <w:lang w:eastAsia="en-GB"/>
    </w:rPr>
  </w:style>
  <w:style w:type="character" w:customStyle="1" w:styleId="SangradetextonormalCar">
    <w:name w:val="Sangría de texto normal Car"/>
    <w:basedOn w:val="Fuentedeprrafopredeter"/>
    <w:link w:val="Sangradetextonormal"/>
    <w:uiPriority w:val="99"/>
    <w:semiHidden/>
    <w:rsid w:val="00F61305"/>
    <w:rPr>
      <w:rFonts w:ascii="Times New Roman" w:eastAsia="Times New Roman" w:hAnsi="Times New Roman" w:cs="Times New Roman"/>
      <w:sz w:val="24"/>
      <w:szCs w:val="24"/>
      <w:lang w:eastAsia="en-GB"/>
    </w:rPr>
  </w:style>
  <w:style w:type="paragraph" w:styleId="Textoindependienteprimerasangra2">
    <w:name w:val="Body Text First Indent 2"/>
    <w:basedOn w:val="Sangradetextonormal"/>
    <w:link w:val="Textoindependienteprimerasangra2Car"/>
    <w:uiPriority w:val="99"/>
    <w:unhideWhenUsed/>
    <w:rsid w:val="00F613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61305"/>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4248">
      <w:bodyDiv w:val="1"/>
      <w:marLeft w:val="0"/>
      <w:marRight w:val="0"/>
      <w:marTop w:val="0"/>
      <w:marBottom w:val="0"/>
      <w:divBdr>
        <w:top w:val="none" w:sz="0" w:space="0" w:color="auto"/>
        <w:left w:val="none" w:sz="0" w:space="0" w:color="auto"/>
        <w:bottom w:val="none" w:sz="0" w:space="0" w:color="auto"/>
        <w:right w:val="none" w:sz="0" w:space="0" w:color="auto"/>
      </w:divBdr>
    </w:div>
    <w:div w:id="26376757">
      <w:bodyDiv w:val="1"/>
      <w:marLeft w:val="0"/>
      <w:marRight w:val="0"/>
      <w:marTop w:val="0"/>
      <w:marBottom w:val="0"/>
      <w:divBdr>
        <w:top w:val="none" w:sz="0" w:space="0" w:color="auto"/>
        <w:left w:val="none" w:sz="0" w:space="0" w:color="auto"/>
        <w:bottom w:val="none" w:sz="0" w:space="0" w:color="auto"/>
        <w:right w:val="none" w:sz="0" w:space="0" w:color="auto"/>
      </w:divBdr>
    </w:div>
    <w:div w:id="34547504">
      <w:bodyDiv w:val="1"/>
      <w:marLeft w:val="0"/>
      <w:marRight w:val="0"/>
      <w:marTop w:val="0"/>
      <w:marBottom w:val="0"/>
      <w:divBdr>
        <w:top w:val="none" w:sz="0" w:space="0" w:color="auto"/>
        <w:left w:val="none" w:sz="0" w:space="0" w:color="auto"/>
        <w:bottom w:val="none" w:sz="0" w:space="0" w:color="auto"/>
        <w:right w:val="none" w:sz="0" w:space="0" w:color="auto"/>
      </w:divBdr>
      <w:divsChild>
        <w:div w:id="1089038493">
          <w:marLeft w:val="0"/>
          <w:marRight w:val="0"/>
          <w:marTop w:val="0"/>
          <w:marBottom w:val="0"/>
          <w:divBdr>
            <w:top w:val="none" w:sz="0" w:space="0" w:color="auto"/>
            <w:left w:val="none" w:sz="0" w:space="0" w:color="auto"/>
            <w:bottom w:val="none" w:sz="0" w:space="0" w:color="auto"/>
            <w:right w:val="none" w:sz="0" w:space="0" w:color="auto"/>
          </w:divBdr>
          <w:divsChild>
            <w:div w:id="1272318982">
              <w:marLeft w:val="0"/>
              <w:marRight w:val="0"/>
              <w:marTop w:val="0"/>
              <w:marBottom w:val="0"/>
              <w:divBdr>
                <w:top w:val="none" w:sz="0" w:space="0" w:color="auto"/>
                <w:left w:val="none" w:sz="0" w:space="0" w:color="auto"/>
                <w:bottom w:val="none" w:sz="0" w:space="0" w:color="auto"/>
                <w:right w:val="none" w:sz="0" w:space="0" w:color="auto"/>
              </w:divBdr>
              <w:divsChild>
                <w:div w:id="2095392219">
                  <w:marLeft w:val="0"/>
                  <w:marRight w:val="0"/>
                  <w:marTop w:val="0"/>
                  <w:marBottom w:val="0"/>
                  <w:divBdr>
                    <w:top w:val="none" w:sz="0" w:space="0" w:color="auto"/>
                    <w:left w:val="none" w:sz="0" w:space="0" w:color="auto"/>
                    <w:bottom w:val="none" w:sz="0" w:space="0" w:color="auto"/>
                    <w:right w:val="none" w:sz="0" w:space="0" w:color="auto"/>
                  </w:divBdr>
                </w:div>
              </w:divsChild>
            </w:div>
            <w:div w:id="1916353221">
              <w:marLeft w:val="0"/>
              <w:marRight w:val="0"/>
              <w:marTop w:val="0"/>
              <w:marBottom w:val="0"/>
              <w:divBdr>
                <w:top w:val="none" w:sz="0" w:space="0" w:color="auto"/>
                <w:left w:val="none" w:sz="0" w:space="0" w:color="auto"/>
                <w:bottom w:val="none" w:sz="0" w:space="0" w:color="auto"/>
                <w:right w:val="none" w:sz="0" w:space="0" w:color="auto"/>
              </w:divBdr>
              <w:divsChild>
                <w:div w:id="652224104">
                  <w:marLeft w:val="0"/>
                  <w:marRight w:val="0"/>
                  <w:marTop w:val="0"/>
                  <w:marBottom w:val="0"/>
                  <w:divBdr>
                    <w:top w:val="none" w:sz="0" w:space="0" w:color="auto"/>
                    <w:left w:val="none" w:sz="0" w:space="0" w:color="auto"/>
                    <w:bottom w:val="none" w:sz="0" w:space="0" w:color="auto"/>
                    <w:right w:val="none" w:sz="0" w:space="0" w:color="auto"/>
                  </w:divBdr>
                  <w:divsChild>
                    <w:div w:id="1204710348">
                      <w:marLeft w:val="0"/>
                      <w:marRight w:val="0"/>
                      <w:marTop w:val="0"/>
                      <w:marBottom w:val="0"/>
                      <w:divBdr>
                        <w:top w:val="none" w:sz="0" w:space="0" w:color="auto"/>
                        <w:left w:val="none" w:sz="0" w:space="0" w:color="auto"/>
                        <w:bottom w:val="none" w:sz="0" w:space="0" w:color="auto"/>
                        <w:right w:val="none" w:sz="0" w:space="0" w:color="auto"/>
                      </w:divBdr>
                    </w:div>
                  </w:divsChild>
                </w:div>
                <w:div w:id="1047804438">
                  <w:marLeft w:val="0"/>
                  <w:marRight w:val="0"/>
                  <w:marTop w:val="0"/>
                  <w:marBottom w:val="0"/>
                  <w:divBdr>
                    <w:top w:val="none" w:sz="0" w:space="0" w:color="auto"/>
                    <w:left w:val="none" w:sz="0" w:space="0" w:color="auto"/>
                    <w:bottom w:val="none" w:sz="0" w:space="0" w:color="auto"/>
                    <w:right w:val="none" w:sz="0" w:space="0" w:color="auto"/>
                  </w:divBdr>
                  <w:divsChild>
                    <w:div w:id="14159431">
                      <w:marLeft w:val="0"/>
                      <w:marRight w:val="0"/>
                      <w:marTop w:val="0"/>
                      <w:marBottom w:val="0"/>
                      <w:divBdr>
                        <w:top w:val="none" w:sz="0" w:space="0" w:color="auto"/>
                        <w:left w:val="none" w:sz="0" w:space="0" w:color="auto"/>
                        <w:bottom w:val="none" w:sz="0" w:space="0" w:color="auto"/>
                        <w:right w:val="none" w:sz="0" w:space="0" w:color="auto"/>
                      </w:divBdr>
                    </w:div>
                  </w:divsChild>
                </w:div>
                <w:div w:id="296494317">
                  <w:marLeft w:val="0"/>
                  <w:marRight w:val="0"/>
                  <w:marTop w:val="0"/>
                  <w:marBottom w:val="0"/>
                  <w:divBdr>
                    <w:top w:val="none" w:sz="0" w:space="0" w:color="auto"/>
                    <w:left w:val="none" w:sz="0" w:space="0" w:color="auto"/>
                    <w:bottom w:val="none" w:sz="0" w:space="0" w:color="auto"/>
                    <w:right w:val="none" w:sz="0" w:space="0" w:color="auto"/>
                  </w:divBdr>
                  <w:divsChild>
                    <w:div w:id="2010281809">
                      <w:marLeft w:val="0"/>
                      <w:marRight w:val="0"/>
                      <w:marTop w:val="0"/>
                      <w:marBottom w:val="0"/>
                      <w:divBdr>
                        <w:top w:val="none" w:sz="0" w:space="0" w:color="auto"/>
                        <w:left w:val="none" w:sz="0" w:space="0" w:color="auto"/>
                        <w:bottom w:val="none" w:sz="0" w:space="0" w:color="auto"/>
                        <w:right w:val="none" w:sz="0" w:space="0" w:color="auto"/>
                      </w:divBdr>
                    </w:div>
                  </w:divsChild>
                </w:div>
                <w:div w:id="2039044254">
                  <w:marLeft w:val="0"/>
                  <w:marRight w:val="0"/>
                  <w:marTop w:val="0"/>
                  <w:marBottom w:val="0"/>
                  <w:divBdr>
                    <w:top w:val="none" w:sz="0" w:space="0" w:color="auto"/>
                    <w:left w:val="none" w:sz="0" w:space="0" w:color="auto"/>
                    <w:bottom w:val="none" w:sz="0" w:space="0" w:color="auto"/>
                    <w:right w:val="none" w:sz="0" w:space="0" w:color="auto"/>
                  </w:divBdr>
                  <w:divsChild>
                    <w:div w:id="884369205">
                      <w:marLeft w:val="0"/>
                      <w:marRight w:val="0"/>
                      <w:marTop w:val="0"/>
                      <w:marBottom w:val="0"/>
                      <w:divBdr>
                        <w:top w:val="none" w:sz="0" w:space="0" w:color="auto"/>
                        <w:left w:val="none" w:sz="0" w:space="0" w:color="auto"/>
                        <w:bottom w:val="none" w:sz="0" w:space="0" w:color="auto"/>
                        <w:right w:val="none" w:sz="0" w:space="0" w:color="auto"/>
                      </w:divBdr>
                    </w:div>
                  </w:divsChild>
                </w:div>
                <w:div w:id="1481575031">
                  <w:marLeft w:val="0"/>
                  <w:marRight w:val="0"/>
                  <w:marTop w:val="0"/>
                  <w:marBottom w:val="0"/>
                  <w:divBdr>
                    <w:top w:val="none" w:sz="0" w:space="0" w:color="auto"/>
                    <w:left w:val="none" w:sz="0" w:space="0" w:color="auto"/>
                    <w:bottom w:val="none" w:sz="0" w:space="0" w:color="auto"/>
                    <w:right w:val="none" w:sz="0" w:space="0" w:color="auto"/>
                  </w:divBdr>
                  <w:divsChild>
                    <w:div w:id="1260917977">
                      <w:marLeft w:val="0"/>
                      <w:marRight w:val="0"/>
                      <w:marTop w:val="0"/>
                      <w:marBottom w:val="0"/>
                      <w:divBdr>
                        <w:top w:val="none" w:sz="0" w:space="0" w:color="auto"/>
                        <w:left w:val="none" w:sz="0" w:space="0" w:color="auto"/>
                        <w:bottom w:val="none" w:sz="0" w:space="0" w:color="auto"/>
                        <w:right w:val="none" w:sz="0" w:space="0" w:color="auto"/>
                      </w:divBdr>
                    </w:div>
                  </w:divsChild>
                </w:div>
                <w:div w:id="1447849936">
                  <w:marLeft w:val="0"/>
                  <w:marRight w:val="0"/>
                  <w:marTop w:val="0"/>
                  <w:marBottom w:val="0"/>
                  <w:divBdr>
                    <w:top w:val="none" w:sz="0" w:space="0" w:color="auto"/>
                    <w:left w:val="none" w:sz="0" w:space="0" w:color="auto"/>
                    <w:bottom w:val="none" w:sz="0" w:space="0" w:color="auto"/>
                    <w:right w:val="none" w:sz="0" w:space="0" w:color="auto"/>
                  </w:divBdr>
                  <w:divsChild>
                    <w:div w:id="155540195">
                      <w:marLeft w:val="0"/>
                      <w:marRight w:val="0"/>
                      <w:marTop w:val="0"/>
                      <w:marBottom w:val="0"/>
                      <w:divBdr>
                        <w:top w:val="none" w:sz="0" w:space="0" w:color="auto"/>
                        <w:left w:val="none" w:sz="0" w:space="0" w:color="auto"/>
                        <w:bottom w:val="none" w:sz="0" w:space="0" w:color="auto"/>
                        <w:right w:val="none" w:sz="0" w:space="0" w:color="auto"/>
                      </w:divBdr>
                    </w:div>
                  </w:divsChild>
                </w:div>
                <w:div w:id="1485851593">
                  <w:marLeft w:val="0"/>
                  <w:marRight w:val="0"/>
                  <w:marTop w:val="0"/>
                  <w:marBottom w:val="0"/>
                  <w:divBdr>
                    <w:top w:val="none" w:sz="0" w:space="0" w:color="auto"/>
                    <w:left w:val="none" w:sz="0" w:space="0" w:color="auto"/>
                    <w:bottom w:val="none" w:sz="0" w:space="0" w:color="auto"/>
                    <w:right w:val="none" w:sz="0" w:space="0" w:color="auto"/>
                  </w:divBdr>
                  <w:divsChild>
                    <w:div w:id="875777802">
                      <w:marLeft w:val="0"/>
                      <w:marRight w:val="0"/>
                      <w:marTop w:val="0"/>
                      <w:marBottom w:val="0"/>
                      <w:divBdr>
                        <w:top w:val="none" w:sz="0" w:space="0" w:color="auto"/>
                        <w:left w:val="none" w:sz="0" w:space="0" w:color="auto"/>
                        <w:bottom w:val="none" w:sz="0" w:space="0" w:color="auto"/>
                        <w:right w:val="none" w:sz="0" w:space="0" w:color="auto"/>
                      </w:divBdr>
                    </w:div>
                  </w:divsChild>
                </w:div>
                <w:div w:id="1370301947">
                  <w:marLeft w:val="0"/>
                  <w:marRight w:val="0"/>
                  <w:marTop w:val="0"/>
                  <w:marBottom w:val="0"/>
                  <w:divBdr>
                    <w:top w:val="none" w:sz="0" w:space="0" w:color="auto"/>
                    <w:left w:val="none" w:sz="0" w:space="0" w:color="auto"/>
                    <w:bottom w:val="none" w:sz="0" w:space="0" w:color="auto"/>
                    <w:right w:val="none" w:sz="0" w:space="0" w:color="auto"/>
                  </w:divBdr>
                  <w:divsChild>
                    <w:div w:id="2000424439">
                      <w:marLeft w:val="0"/>
                      <w:marRight w:val="0"/>
                      <w:marTop w:val="0"/>
                      <w:marBottom w:val="0"/>
                      <w:divBdr>
                        <w:top w:val="none" w:sz="0" w:space="0" w:color="auto"/>
                        <w:left w:val="none" w:sz="0" w:space="0" w:color="auto"/>
                        <w:bottom w:val="none" w:sz="0" w:space="0" w:color="auto"/>
                        <w:right w:val="none" w:sz="0" w:space="0" w:color="auto"/>
                      </w:divBdr>
                    </w:div>
                  </w:divsChild>
                </w:div>
                <w:div w:id="723676059">
                  <w:marLeft w:val="0"/>
                  <w:marRight w:val="0"/>
                  <w:marTop w:val="0"/>
                  <w:marBottom w:val="0"/>
                  <w:divBdr>
                    <w:top w:val="none" w:sz="0" w:space="0" w:color="auto"/>
                    <w:left w:val="none" w:sz="0" w:space="0" w:color="auto"/>
                    <w:bottom w:val="none" w:sz="0" w:space="0" w:color="auto"/>
                    <w:right w:val="none" w:sz="0" w:space="0" w:color="auto"/>
                  </w:divBdr>
                  <w:divsChild>
                    <w:div w:id="296224025">
                      <w:marLeft w:val="0"/>
                      <w:marRight w:val="0"/>
                      <w:marTop w:val="0"/>
                      <w:marBottom w:val="0"/>
                      <w:divBdr>
                        <w:top w:val="none" w:sz="0" w:space="0" w:color="auto"/>
                        <w:left w:val="none" w:sz="0" w:space="0" w:color="auto"/>
                        <w:bottom w:val="none" w:sz="0" w:space="0" w:color="auto"/>
                        <w:right w:val="none" w:sz="0" w:space="0" w:color="auto"/>
                      </w:divBdr>
                    </w:div>
                  </w:divsChild>
                </w:div>
                <w:div w:id="306977073">
                  <w:marLeft w:val="0"/>
                  <w:marRight w:val="0"/>
                  <w:marTop w:val="0"/>
                  <w:marBottom w:val="0"/>
                  <w:divBdr>
                    <w:top w:val="none" w:sz="0" w:space="0" w:color="auto"/>
                    <w:left w:val="none" w:sz="0" w:space="0" w:color="auto"/>
                    <w:bottom w:val="none" w:sz="0" w:space="0" w:color="auto"/>
                    <w:right w:val="none" w:sz="0" w:space="0" w:color="auto"/>
                  </w:divBdr>
                  <w:divsChild>
                    <w:div w:id="1025719090">
                      <w:marLeft w:val="0"/>
                      <w:marRight w:val="0"/>
                      <w:marTop w:val="0"/>
                      <w:marBottom w:val="0"/>
                      <w:divBdr>
                        <w:top w:val="none" w:sz="0" w:space="0" w:color="auto"/>
                        <w:left w:val="none" w:sz="0" w:space="0" w:color="auto"/>
                        <w:bottom w:val="none" w:sz="0" w:space="0" w:color="auto"/>
                        <w:right w:val="none" w:sz="0" w:space="0" w:color="auto"/>
                      </w:divBdr>
                    </w:div>
                  </w:divsChild>
                </w:div>
                <w:div w:id="1118253344">
                  <w:marLeft w:val="0"/>
                  <w:marRight w:val="0"/>
                  <w:marTop w:val="0"/>
                  <w:marBottom w:val="0"/>
                  <w:divBdr>
                    <w:top w:val="none" w:sz="0" w:space="0" w:color="auto"/>
                    <w:left w:val="none" w:sz="0" w:space="0" w:color="auto"/>
                    <w:bottom w:val="none" w:sz="0" w:space="0" w:color="auto"/>
                    <w:right w:val="none" w:sz="0" w:space="0" w:color="auto"/>
                  </w:divBdr>
                  <w:divsChild>
                    <w:div w:id="2086221236">
                      <w:marLeft w:val="0"/>
                      <w:marRight w:val="0"/>
                      <w:marTop w:val="0"/>
                      <w:marBottom w:val="0"/>
                      <w:divBdr>
                        <w:top w:val="none" w:sz="0" w:space="0" w:color="auto"/>
                        <w:left w:val="none" w:sz="0" w:space="0" w:color="auto"/>
                        <w:bottom w:val="none" w:sz="0" w:space="0" w:color="auto"/>
                        <w:right w:val="none" w:sz="0" w:space="0" w:color="auto"/>
                      </w:divBdr>
                    </w:div>
                  </w:divsChild>
                </w:div>
                <w:div w:id="744186937">
                  <w:marLeft w:val="0"/>
                  <w:marRight w:val="0"/>
                  <w:marTop w:val="0"/>
                  <w:marBottom w:val="0"/>
                  <w:divBdr>
                    <w:top w:val="none" w:sz="0" w:space="0" w:color="auto"/>
                    <w:left w:val="none" w:sz="0" w:space="0" w:color="auto"/>
                    <w:bottom w:val="none" w:sz="0" w:space="0" w:color="auto"/>
                    <w:right w:val="none" w:sz="0" w:space="0" w:color="auto"/>
                  </w:divBdr>
                  <w:divsChild>
                    <w:div w:id="6657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9504353">
      <w:bodyDiv w:val="1"/>
      <w:marLeft w:val="0"/>
      <w:marRight w:val="0"/>
      <w:marTop w:val="0"/>
      <w:marBottom w:val="0"/>
      <w:divBdr>
        <w:top w:val="none" w:sz="0" w:space="0" w:color="auto"/>
        <w:left w:val="none" w:sz="0" w:space="0" w:color="auto"/>
        <w:bottom w:val="none" w:sz="0" w:space="0" w:color="auto"/>
        <w:right w:val="none" w:sz="0" w:space="0" w:color="auto"/>
      </w:divBdr>
    </w:div>
    <w:div w:id="85808315">
      <w:bodyDiv w:val="1"/>
      <w:marLeft w:val="0"/>
      <w:marRight w:val="0"/>
      <w:marTop w:val="0"/>
      <w:marBottom w:val="0"/>
      <w:divBdr>
        <w:top w:val="none" w:sz="0" w:space="0" w:color="auto"/>
        <w:left w:val="none" w:sz="0" w:space="0" w:color="auto"/>
        <w:bottom w:val="none" w:sz="0" w:space="0" w:color="auto"/>
        <w:right w:val="none" w:sz="0" w:space="0" w:color="auto"/>
      </w:divBdr>
    </w:div>
    <w:div w:id="93744512">
      <w:bodyDiv w:val="1"/>
      <w:marLeft w:val="0"/>
      <w:marRight w:val="0"/>
      <w:marTop w:val="0"/>
      <w:marBottom w:val="0"/>
      <w:divBdr>
        <w:top w:val="none" w:sz="0" w:space="0" w:color="auto"/>
        <w:left w:val="none" w:sz="0" w:space="0" w:color="auto"/>
        <w:bottom w:val="none" w:sz="0" w:space="0" w:color="auto"/>
        <w:right w:val="none" w:sz="0" w:space="0" w:color="auto"/>
      </w:divBdr>
    </w:div>
    <w:div w:id="94375242">
      <w:bodyDiv w:val="1"/>
      <w:marLeft w:val="0"/>
      <w:marRight w:val="0"/>
      <w:marTop w:val="0"/>
      <w:marBottom w:val="0"/>
      <w:divBdr>
        <w:top w:val="none" w:sz="0" w:space="0" w:color="auto"/>
        <w:left w:val="none" w:sz="0" w:space="0" w:color="auto"/>
        <w:bottom w:val="none" w:sz="0" w:space="0" w:color="auto"/>
        <w:right w:val="none" w:sz="0" w:space="0" w:color="auto"/>
      </w:divBdr>
    </w:div>
    <w:div w:id="108739752">
      <w:bodyDiv w:val="1"/>
      <w:marLeft w:val="0"/>
      <w:marRight w:val="0"/>
      <w:marTop w:val="0"/>
      <w:marBottom w:val="0"/>
      <w:divBdr>
        <w:top w:val="none" w:sz="0" w:space="0" w:color="auto"/>
        <w:left w:val="none" w:sz="0" w:space="0" w:color="auto"/>
        <w:bottom w:val="none" w:sz="0" w:space="0" w:color="auto"/>
        <w:right w:val="none" w:sz="0" w:space="0" w:color="auto"/>
      </w:divBdr>
    </w:div>
    <w:div w:id="154686247">
      <w:bodyDiv w:val="1"/>
      <w:marLeft w:val="0"/>
      <w:marRight w:val="0"/>
      <w:marTop w:val="0"/>
      <w:marBottom w:val="0"/>
      <w:divBdr>
        <w:top w:val="none" w:sz="0" w:space="0" w:color="auto"/>
        <w:left w:val="none" w:sz="0" w:space="0" w:color="auto"/>
        <w:bottom w:val="none" w:sz="0" w:space="0" w:color="auto"/>
        <w:right w:val="none" w:sz="0" w:space="0" w:color="auto"/>
      </w:divBdr>
    </w:div>
    <w:div w:id="156462446">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7017789">
      <w:bodyDiv w:val="1"/>
      <w:marLeft w:val="0"/>
      <w:marRight w:val="0"/>
      <w:marTop w:val="0"/>
      <w:marBottom w:val="0"/>
      <w:divBdr>
        <w:top w:val="none" w:sz="0" w:space="0" w:color="auto"/>
        <w:left w:val="none" w:sz="0" w:space="0" w:color="auto"/>
        <w:bottom w:val="none" w:sz="0" w:space="0" w:color="auto"/>
        <w:right w:val="none" w:sz="0" w:space="0" w:color="auto"/>
      </w:divBdr>
    </w:div>
    <w:div w:id="179442121">
      <w:bodyDiv w:val="1"/>
      <w:marLeft w:val="0"/>
      <w:marRight w:val="0"/>
      <w:marTop w:val="0"/>
      <w:marBottom w:val="0"/>
      <w:divBdr>
        <w:top w:val="none" w:sz="0" w:space="0" w:color="auto"/>
        <w:left w:val="none" w:sz="0" w:space="0" w:color="auto"/>
        <w:bottom w:val="none" w:sz="0" w:space="0" w:color="auto"/>
        <w:right w:val="none" w:sz="0" w:space="0" w:color="auto"/>
      </w:divBdr>
    </w:div>
    <w:div w:id="179929087">
      <w:bodyDiv w:val="1"/>
      <w:marLeft w:val="0"/>
      <w:marRight w:val="0"/>
      <w:marTop w:val="0"/>
      <w:marBottom w:val="0"/>
      <w:divBdr>
        <w:top w:val="none" w:sz="0" w:space="0" w:color="auto"/>
        <w:left w:val="none" w:sz="0" w:space="0" w:color="auto"/>
        <w:bottom w:val="none" w:sz="0" w:space="0" w:color="auto"/>
        <w:right w:val="none" w:sz="0" w:space="0" w:color="auto"/>
      </w:divBdr>
      <w:divsChild>
        <w:div w:id="404572909">
          <w:marLeft w:val="0"/>
          <w:marRight w:val="0"/>
          <w:marTop w:val="0"/>
          <w:marBottom w:val="0"/>
          <w:divBdr>
            <w:top w:val="none" w:sz="0" w:space="0" w:color="auto"/>
            <w:left w:val="none" w:sz="0" w:space="0" w:color="auto"/>
            <w:bottom w:val="none" w:sz="0" w:space="0" w:color="auto"/>
            <w:right w:val="none" w:sz="0" w:space="0" w:color="auto"/>
          </w:divBdr>
        </w:div>
        <w:div w:id="2088721344">
          <w:marLeft w:val="0"/>
          <w:marRight w:val="0"/>
          <w:marTop w:val="0"/>
          <w:marBottom w:val="0"/>
          <w:divBdr>
            <w:top w:val="none" w:sz="0" w:space="0" w:color="auto"/>
            <w:left w:val="none" w:sz="0" w:space="0" w:color="auto"/>
            <w:bottom w:val="none" w:sz="0" w:space="0" w:color="auto"/>
            <w:right w:val="none" w:sz="0" w:space="0" w:color="auto"/>
          </w:divBdr>
        </w:div>
        <w:div w:id="1807044410">
          <w:marLeft w:val="0"/>
          <w:marRight w:val="0"/>
          <w:marTop w:val="0"/>
          <w:marBottom w:val="0"/>
          <w:divBdr>
            <w:top w:val="none" w:sz="0" w:space="0" w:color="auto"/>
            <w:left w:val="none" w:sz="0" w:space="0" w:color="auto"/>
            <w:bottom w:val="none" w:sz="0" w:space="0" w:color="auto"/>
            <w:right w:val="none" w:sz="0" w:space="0" w:color="auto"/>
          </w:divBdr>
        </w:div>
      </w:divsChild>
    </w:div>
    <w:div w:id="193421896">
      <w:bodyDiv w:val="1"/>
      <w:marLeft w:val="0"/>
      <w:marRight w:val="0"/>
      <w:marTop w:val="0"/>
      <w:marBottom w:val="0"/>
      <w:divBdr>
        <w:top w:val="none" w:sz="0" w:space="0" w:color="auto"/>
        <w:left w:val="none" w:sz="0" w:space="0" w:color="auto"/>
        <w:bottom w:val="none" w:sz="0" w:space="0" w:color="auto"/>
        <w:right w:val="none" w:sz="0" w:space="0" w:color="auto"/>
      </w:divBdr>
    </w:div>
    <w:div w:id="2162033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7952074">
      <w:bodyDiv w:val="1"/>
      <w:marLeft w:val="0"/>
      <w:marRight w:val="0"/>
      <w:marTop w:val="0"/>
      <w:marBottom w:val="0"/>
      <w:divBdr>
        <w:top w:val="none" w:sz="0" w:space="0" w:color="auto"/>
        <w:left w:val="none" w:sz="0" w:space="0" w:color="auto"/>
        <w:bottom w:val="none" w:sz="0" w:space="0" w:color="auto"/>
        <w:right w:val="none" w:sz="0" w:space="0" w:color="auto"/>
      </w:divBdr>
    </w:div>
    <w:div w:id="346564690">
      <w:bodyDiv w:val="1"/>
      <w:marLeft w:val="0"/>
      <w:marRight w:val="0"/>
      <w:marTop w:val="0"/>
      <w:marBottom w:val="0"/>
      <w:divBdr>
        <w:top w:val="none" w:sz="0" w:space="0" w:color="auto"/>
        <w:left w:val="none" w:sz="0" w:space="0" w:color="auto"/>
        <w:bottom w:val="none" w:sz="0" w:space="0" w:color="auto"/>
        <w:right w:val="none" w:sz="0" w:space="0" w:color="auto"/>
      </w:divBdr>
    </w:div>
    <w:div w:id="362751634">
      <w:bodyDiv w:val="1"/>
      <w:marLeft w:val="0"/>
      <w:marRight w:val="0"/>
      <w:marTop w:val="0"/>
      <w:marBottom w:val="0"/>
      <w:divBdr>
        <w:top w:val="none" w:sz="0" w:space="0" w:color="auto"/>
        <w:left w:val="none" w:sz="0" w:space="0" w:color="auto"/>
        <w:bottom w:val="none" w:sz="0" w:space="0" w:color="auto"/>
        <w:right w:val="none" w:sz="0" w:space="0" w:color="auto"/>
      </w:divBdr>
    </w:div>
    <w:div w:id="368262125">
      <w:bodyDiv w:val="1"/>
      <w:marLeft w:val="0"/>
      <w:marRight w:val="0"/>
      <w:marTop w:val="0"/>
      <w:marBottom w:val="0"/>
      <w:divBdr>
        <w:top w:val="none" w:sz="0" w:space="0" w:color="auto"/>
        <w:left w:val="none" w:sz="0" w:space="0" w:color="auto"/>
        <w:bottom w:val="none" w:sz="0" w:space="0" w:color="auto"/>
        <w:right w:val="none" w:sz="0" w:space="0" w:color="auto"/>
      </w:divBdr>
    </w:div>
    <w:div w:id="378751757">
      <w:bodyDiv w:val="1"/>
      <w:marLeft w:val="0"/>
      <w:marRight w:val="0"/>
      <w:marTop w:val="0"/>
      <w:marBottom w:val="0"/>
      <w:divBdr>
        <w:top w:val="none" w:sz="0" w:space="0" w:color="auto"/>
        <w:left w:val="none" w:sz="0" w:space="0" w:color="auto"/>
        <w:bottom w:val="none" w:sz="0" w:space="0" w:color="auto"/>
        <w:right w:val="none" w:sz="0" w:space="0" w:color="auto"/>
      </w:divBdr>
      <w:divsChild>
        <w:div w:id="862132326">
          <w:marLeft w:val="0"/>
          <w:marRight w:val="0"/>
          <w:marTop w:val="0"/>
          <w:marBottom w:val="0"/>
          <w:divBdr>
            <w:top w:val="none" w:sz="0" w:space="0" w:color="auto"/>
            <w:left w:val="none" w:sz="0" w:space="0" w:color="auto"/>
            <w:bottom w:val="none" w:sz="0" w:space="0" w:color="auto"/>
            <w:right w:val="none" w:sz="0" w:space="0" w:color="auto"/>
          </w:divBdr>
          <w:divsChild>
            <w:div w:id="160004306">
              <w:marLeft w:val="0"/>
              <w:marRight w:val="0"/>
              <w:marTop w:val="0"/>
              <w:marBottom w:val="0"/>
              <w:divBdr>
                <w:top w:val="none" w:sz="0" w:space="0" w:color="auto"/>
                <w:left w:val="none" w:sz="0" w:space="0" w:color="auto"/>
                <w:bottom w:val="none" w:sz="0" w:space="0" w:color="auto"/>
                <w:right w:val="none" w:sz="0" w:space="0" w:color="auto"/>
              </w:divBdr>
              <w:divsChild>
                <w:div w:id="201753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88476">
      <w:bodyDiv w:val="1"/>
      <w:marLeft w:val="0"/>
      <w:marRight w:val="0"/>
      <w:marTop w:val="0"/>
      <w:marBottom w:val="0"/>
      <w:divBdr>
        <w:top w:val="none" w:sz="0" w:space="0" w:color="auto"/>
        <w:left w:val="none" w:sz="0" w:space="0" w:color="auto"/>
        <w:bottom w:val="none" w:sz="0" w:space="0" w:color="auto"/>
        <w:right w:val="none" w:sz="0" w:space="0" w:color="auto"/>
      </w:divBdr>
    </w:div>
    <w:div w:id="388193450">
      <w:bodyDiv w:val="1"/>
      <w:marLeft w:val="0"/>
      <w:marRight w:val="0"/>
      <w:marTop w:val="0"/>
      <w:marBottom w:val="0"/>
      <w:divBdr>
        <w:top w:val="none" w:sz="0" w:space="0" w:color="auto"/>
        <w:left w:val="none" w:sz="0" w:space="0" w:color="auto"/>
        <w:bottom w:val="none" w:sz="0" w:space="0" w:color="auto"/>
        <w:right w:val="none" w:sz="0" w:space="0" w:color="auto"/>
      </w:divBdr>
    </w:div>
    <w:div w:id="392899119">
      <w:bodyDiv w:val="1"/>
      <w:marLeft w:val="0"/>
      <w:marRight w:val="0"/>
      <w:marTop w:val="0"/>
      <w:marBottom w:val="0"/>
      <w:divBdr>
        <w:top w:val="none" w:sz="0" w:space="0" w:color="auto"/>
        <w:left w:val="none" w:sz="0" w:space="0" w:color="auto"/>
        <w:bottom w:val="none" w:sz="0" w:space="0" w:color="auto"/>
        <w:right w:val="none" w:sz="0" w:space="0" w:color="auto"/>
      </w:divBdr>
      <w:divsChild>
        <w:div w:id="1284575857">
          <w:marLeft w:val="0"/>
          <w:marRight w:val="0"/>
          <w:marTop w:val="0"/>
          <w:marBottom w:val="0"/>
          <w:divBdr>
            <w:top w:val="none" w:sz="0" w:space="0" w:color="auto"/>
            <w:left w:val="none" w:sz="0" w:space="0" w:color="auto"/>
            <w:bottom w:val="none" w:sz="0" w:space="0" w:color="auto"/>
            <w:right w:val="none" w:sz="0" w:space="0" w:color="auto"/>
          </w:divBdr>
          <w:divsChild>
            <w:div w:id="827794406">
              <w:marLeft w:val="0"/>
              <w:marRight w:val="0"/>
              <w:marTop w:val="0"/>
              <w:marBottom w:val="0"/>
              <w:divBdr>
                <w:top w:val="none" w:sz="0" w:space="0" w:color="auto"/>
                <w:left w:val="none" w:sz="0" w:space="0" w:color="auto"/>
                <w:bottom w:val="none" w:sz="0" w:space="0" w:color="auto"/>
                <w:right w:val="none" w:sz="0" w:space="0" w:color="auto"/>
              </w:divBdr>
              <w:divsChild>
                <w:div w:id="206930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53061">
      <w:bodyDiv w:val="1"/>
      <w:marLeft w:val="0"/>
      <w:marRight w:val="0"/>
      <w:marTop w:val="0"/>
      <w:marBottom w:val="0"/>
      <w:divBdr>
        <w:top w:val="none" w:sz="0" w:space="0" w:color="auto"/>
        <w:left w:val="none" w:sz="0" w:space="0" w:color="auto"/>
        <w:bottom w:val="none" w:sz="0" w:space="0" w:color="auto"/>
        <w:right w:val="none" w:sz="0" w:space="0" w:color="auto"/>
      </w:divBdr>
    </w:div>
    <w:div w:id="410006999">
      <w:bodyDiv w:val="1"/>
      <w:marLeft w:val="0"/>
      <w:marRight w:val="0"/>
      <w:marTop w:val="0"/>
      <w:marBottom w:val="0"/>
      <w:divBdr>
        <w:top w:val="none" w:sz="0" w:space="0" w:color="auto"/>
        <w:left w:val="none" w:sz="0" w:space="0" w:color="auto"/>
        <w:bottom w:val="none" w:sz="0" w:space="0" w:color="auto"/>
        <w:right w:val="none" w:sz="0" w:space="0" w:color="auto"/>
      </w:divBdr>
      <w:divsChild>
        <w:div w:id="1549413466">
          <w:marLeft w:val="0"/>
          <w:marRight w:val="0"/>
          <w:marTop w:val="0"/>
          <w:marBottom w:val="0"/>
          <w:divBdr>
            <w:top w:val="none" w:sz="0" w:space="0" w:color="auto"/>
            <w:left w:val="none" w:sz="0" w:space="0" w:color="auto"/>
            <w:bottom w:val="none" w:sz="0" w:space="0" w:color="auto"/>
            <w:right w:val="none" w:sz="0" w:space="0" w:color="auto"/>
          </w:divBdr>
          <w:divsChild>
            <w:div w:id="1668316938">
              <w:marLeft w:val="0"/>
              <w:marRight w:val="0"/>
              <w:marTop w:val="0"/>
              <w:marBottom w:val="0"/>
              <w:divBdr>
                <w:top w:val="none" w:sz="0" w:space="0" w:color="auto"/>
                <w:left w:val="none" w:sz="0" w:space="0" w:color="auto"/>
                <w:bottom w:val="none" w:sz="0" w:space="0" w:color="auto"/>
                <w:right w:val="none" w:sz="0" w:space="0" w:color="auto"/>
              </w:divBdr>
              <w:divsChild>
                <w:div w:id="9720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03571">
      <w:bodyDiv w:val="1"/>
      <w:marLeft w:val="0"/>
      <w:marRight w:val="0"/>
      <w:marTop w:val="0"/>
      <w:marBottom w:val="0"/>
      <w:divBdr>
        <w:top w:val="none" w:sz="0" w:space="0" w:color="auto"/>
        <w:left w:val="none" w:sz="0" w:space="0" w:color="auto"/>
        <w:bottom w:val="none" w:sz="0" w:space="0" w:color="auto"/>
        <w:right w:val="none" w:sz="0" w:space="0" w:color="auto"/>
      </w:divBdr>
    </w:div>
    <w:div w:id="435561268">
      <w:bodyDiv w:val="1"/>
      <w:marLeft w:val="0"/>
      <w:marRight w:val="0"/>
      <w:marTop w:val="0"/>
      <w:marBottom w:val="0"/>
      <w:divBdr>
        <w:top w:val="none" w:sz="0" w:space="0" w:color="auto"/>
        <w:left w:val="none" w:sz="0" w:space="0" w:color="auto"/>
        <w:bottom w:val="none" w:sz="0" w:space="0" w:color="auto"/>
        <w:right w:val="none" w:sz="0" w:space="0" w:color="auto"/>
      </w:divBdr>
      <w:divsChild>
        <w:div w:id="2144037319">
          <w:marLeft w:val="0"/>
          <w:marRight w:val="0"/>
          <w:marTop w:val="0"/>
          <w:marBottom w:val="0"/>
          <w:divBdr>
            <w:top w:val="none" w:sz="0" w:space="0" w:color="auto"/>
            <w:left w:val="none" w:sz="0" w:space="0" w:color="auto"/>
            <w:bottom w:val="none" w:sz="0" w:space="0" w:color="auto"/>
            <w:right w:val="none" w:sz="0" w:space="0" w:color="auto"/>
          </w:divBdr>
          <w:divsChild>
            <w:div w:id="157112927">
              <w:marLeft w:val="0"/>
              <w:marRight w:val="0"/>
              <w:marTop w:val="0"/>
              <w:marBottom w:val="0"/>
              <w:divBdr>
                <w:top w:val="none" w:sz="0" w:space="0" w:color="auto"/>
                <w:left w:val="none" w:sz="0" w:space="0" w:color="auto"/>
                <w:bottom w:val="none" w:sz="0" w:space="0" w:color="auto"/>
                <w:right w:val="none" w:sz="0" w:space="0" w:color="auto"/>
              </w:divBdr>
              <w:divsChild>
                <w:div w:id="210313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7518">
      <w:bodyDiv w:val="1"/>
      <w:marLeft w:val="0"/>
      <w:marRight w:val="0"/>
      <w:marTop w:val="0"/>
      <w:marBottom w:val="0"/>
      <w:divBdr>
        <w:top w:val="none" w:sz="0" w:space="0" w:color="auto"/>
        <w:left w:val="none" w:sz="0" w:space="0" w:color="auto"/>
        <w:bottom w:val="none" w:sz="0" w:space="0" w:color="auto"/>
        <w:right w:val="none" w:sz="0" w:space="0" w:color="auto"/>
      </w:divBdr>
    </w:div>
    <w:div w:id="473645752">
      <w:bodyDiv w:val="1"/>
      <w:marLeft w:val="0"/>
      <w:marRight w:val="0"/>
      <w:marTop w:val="0"/>
      <w:marBottom w:val="0"/>
      <w:divBdr>
        <w:top w:val="none" w:sz="0" w:space="0" w:color="auto"/>
        <w:left w:val="none" w:sz="0" w:space="0" w:color="auto"/>
        <w:bottom w:val="none" w:sz="0" w:space="0" w:color="auto"/>
        <w:right w:val="none" w:sz="0" w:space="0" w:color="auto"/>
      </w:divBdr>
    </w:div>
    <w:div w:id="496309153">
      <w:bodyDiv w:val="1"/>
      <w:marLeft w:val="0"/>
      <w:marRight w:val="0"/>
      <w:marTop w:val="0"/>
      <w:marBottom w:val="0"/>
      <w:divBdr>
        <w:top w:val="none" w:sz="0" w:space="0" w:color="auto"/>
        <w:left w:val="none" w:sz="0" w:space="0" w:color="auto"/>
        <w:bottom w:val="none" w:sz="0" w:space="0" w:color="auto"/>
        <w:right w:val="none" w:sz="0" w:space="0" w:color="auto"/>
      </w:divBdr>
    </w:div>
    <w:div w:id="503864386">
      <w:bodyDiv w:val="1"/>
      <w:marLeft w:val="0"/>
      <w:marRight w:val="0"/>
      <w:marTop w:val="0"/>
      <w:marBottom w:val="0"/>
      <w:divBdr>
        <w:top w:val="none" w:sz="0" w:space="0" w:color="auto"/>
        <w:left w:val="none" w:sz="0" w:space="0" w:color="auto"/>
        <w:bottom w:val="none" w:sz="0" w:space="0" w:color="auto"/>
        <w:right w:val="none" w:sz="0" w:space="0" w:color="auto"/>
      </w:divBdr>
    </w:div>
    <w:div w:id="520319128">
      <w:bodyDiv w:val="1"/>
      <w:marLeft w:val="0"/>
      <w:marRight w:val="0"/>
      <w:marTop w:val="0"/>
      <w:marBottom w:val="0"/>
      <w:divBdr>
        <w:top w:val="none" w:sz="0" w:space="0" w:color="auto"/>
        <w:left w:val="none" w:sz="0" w:space="0" w:color="auto"/>
        <w:bottom w:val="none" w:sz="0" w:space="0" w:color="auto"/>
        <w:right w:val="none" w:sz="0" w:space="0" w:color="auto"/>
      </w:divBdr>
      <w:divsChild>
        <w:div w:id="217786628">
          <w:marLeft w:val="0"/>
          <w:marRight w:val="0"/>
          <w:marTop w:val="0"/>
          <w:marBottom w:val="0"/>
          <w:divBdr>
            <w:top w:val="none" w:sz="0" w:space="0" w:color="auto"/>
            <w:left w:val="none" w:sz="0" w:space="0" w:color="auto"/>
            <w:bottom w:val="none" w:sz="0" w:space="0" w:color="auto"/>
            <w:right w:val="none" w:sz="0" w:space="0" w:color="auto"/>
          </w:divBdr>
        </w:div>
      </w:divsChild>
    </w:div>
    <w:div w:id="531654358">
      <w:bodyDiv w:val="1"/>
      <w:marLeft w:val="0"/>
      <w:marRight w:val="0"/>
      <w:marTop w:val="0"/>
      <w:marBottom w:val="0"/>
      <w:divBdr>
        <w:top w:val="none" w:sz="0" w:space="0" w:color="auto"/>
        <w:left w:val="none" w:sz="0" w:space="0" w:color="auto"/>
        <w:bottom w:val="none" w:sz="0" w:space="0" w:color="auto"/>
        <w:right w:val="none" w:sz="0" w:space="0" w:color="auto"/>
      </w:divBdr>
      <w:divsChild>
        <w:div w:id="1821338746">
          <w:marLeft w:val="0"/>
          <w:marRight w:val="0"/>
          <w:marTop w:val="0"/>
          <w:marBottom w:val="0"/>
          <w:divBdr>
            <w:top w:val="none" w:sz="0" w:space="0" w:color="auto"/>
            <w:left w:val="none" w:sz="0" w:space="0" w:color="auto"/>
            <w:bottom w:val="none" w:sz="0" w:space="0" w:color="auto"/>
            <w:right w:val="none" w:sz="0" w:space="0" w:color="auto"/>
          </w:divBdr>
          <w:divsChild>
            <w:div w:id="1848402016">
              <w:marLeft w:val="0"/>
              <w:marRight w:val="0"/>
              <w:marTop w:val="0"/>
              <w:marBottom w:val="0"/>
              <w:divBdr>
                <w:top w:val="none" w:sz="0" w:space="0" w:color="auto"/>
                <w:left w:val="none" w:sz="0" w:space="0" w:color="auto"/>
                <w:bottom w:val="none" w:sz="0" w:space="0" w:color="auto"/>
                <w:right w:val="none" w:sz="0" w:space="0" w:color="auto"/>
              </w:divBdr>
              <w:divsChild>
                <w:div w:id="17512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501164022">
          <w:marLeft w:val="0"/>
          <w:marRight w:val="0"/>
          <w:marTop w:val="0"/>
          <w:marBottom w:val="0"/>
          <w:divBdr>
            <w:top w:val="none" w:sz="0" w:space="0" w:color="auto"/>
            <w:left w:val="none" w:sz="0" w:space="0" w:color="auto"/>
            <w:bottom w:val="none" w:sz="0" w:space="0" w:color="auto"/>
            <w:right w:val="none" w:sz="0" w:space="0" w:color="auto"/>
          </w:divBdr>
          <w:divsChild>
            <w:div w:id="1402405762">
              <w:marLeft w:val="0"/>
              <w:marRight w:val="0"/>
              <w:marTop w:val="0"/>
              <w:marBottom w:val="0"/>
              <w:divBdr>
                <w:top w:val="none" w:sz="0" w:space="0" w:color="auto"/>
                <w:left w:val="none" w:sz="0" w:space="0" w:color="auto"/>
                <w:bottom w:val="none" w:sz="0" w:space="0" w:color="auto"/>
                <w:right w:val="none" w:sz="0" w:space="0" w:color="auto"/>
              </w:divBdr>
              <w:divsChild>
                <w:div w:id="12109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361565">
      <w:bodyDiv w:val="1"/>
      <w:marLeft w:val="0"/>
      <w:marRight w:val="0"/>
      <w:marTop w:val="0"/>
      <w:marBottom w:val="0"/>
      <w:divBdr>
        <w:top w:val="none" w:sz="0" w:space="0" w:color="auto"/>
        <w:left w:val="none" w:sz="0" w:space="0" w:color="auto"/>
        <w:bottom w:val="none" w:sz="0" w:space="0" w:color="auto"/>
        <w:right w:val="none" w:sz="0" w:space="0" w:color="auto"/>
      </w:divBdr>
    </w:div>
    <w:div w:id="572352670">
      <w:bodyDiv w:val="1"/>
      <w:marLeft w:val="0"/>
      <w:marRight w:val="0"/>
      <w:marTop w:val="0"/>
      <w:marBottom w:val="0"/>
      <w:divBdr>
        <w:top w:val="none" w:sz="0" w:space="0" w:color="auto"/>
        <w:left w:val="none" w:sz="0" w:space="0" w:color="auto"/>
        <w:bottom w:val="none" w:sz="0" w:space="0" w:color="auto"/>
        <w:right w:val="none" w:sz="0" w:space="0" w:color="auto"/>
      </w:divBdr>
    </w:div>
    <w:div w:id="574782676">
      <w:bodyDiv w:val="1"/>
      <w:marLeft w:val="0"/>
      <w:marRight w:val="0"/>
      <w:marTop w:val="0"/>
      <w:marBottom w:val="0"/>
      <w:divBdr>
        <w:top w:val="none" w:sz="0" w:space="0" w:color="auto"/>
        <w:left w:val="none" w:sz="0" w:space="0" w:color="auto"/>
        <w:bottom w:val="none" w:sz="0" w:space="0" w:color="auto"/>
        <w:right w:val="none" w:sz="0" w:space="0" w:color="auto"/>
      </w:divBdr>
    </w:div>
    <w:div w:id="587693317">
      <w:bodyDiv w:val="1"/>
      <w:marLeft w:val="0"/>
      <w:marRight w:val="0"/>
      <w:marTop w:val="0"/>
      <w:marBottom w:val="0"/>
      <w:divBdr>
        <w:top w:val="none" w:sz="0" w:space="0" w:color="auto"/>
        <w:left w:val="none" w:sz="0" w:space="0" w:color="auto"/>
        <w:bottom w:val="none" w:sz="0" w:space="0" w:color="auto"/>
        <w:right w:val="none" w:sz="0" w:space="0" w:color="auto"/>
      </w:divBdr>
      <w:divsChild>
        <w:div w:id="886187785">
          <w:marLeft w:val="0"/>
          <w:marRight w:val="0"/>
          <w:marTop w:val="0"/>
          <w:marBottom w:val="0"/>
          <w:divBdr>
            <w:top w:val="none" w:sz="0" w:space="0" w:color="auto"/>
            <w:left w:val="none" w:sz="0" w:space="0" w:color="auto"/>
            <w:bottom w:val="none" w:sz="0" w:space="0" w:color="auto"/>
            <w:right w:val="none" w:sz="0" w:space="0" w:color="auto"/>
          </w:divBdr>
          <w:divsChild>
            <w:div w:id="1766996754">
              <w:marLeft w:val="0"/>
              <w:marRight w:val="0"/>
              <w:marTop w:val="0"/>
              <w:marBottom w:val="0"/>
              <w:divBdr>
                <w:top w:val="none" w:sz="0" w:space="0" w:color="auto"/>
                <w:left w:val="none" w:sz="0" w:space="0" w:color="auto"/>
                <w:bottom w:val="none" w:sz="0" w:space="0" w:color="auto"/>
                <w:right w:val="none" w:sz="0" w:space="0" w:color="auto"/>
              </w:divBdr>
              <w:divsChild>
                <w:div w:id="1732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658152">
      <w:bodyDiv w:val="1"/>
      <w:marLeft w:val="0"/>
      <w:marRight w:val="0"/>
      <w:marTop w:val="0"/>
      <w:marBottom w:val="0"/>
      <w:divBdr>
        <w:top w:val="none" w:sz="0" w:space="0" w:color="auto"/>
        <w:left w:val="none" w:sz="0" w:space="0" w:color="auto"/>
        <w:bottom w:val="none" w:sz="0" w:space="0" w:color="auto"/>
        <w:right w:val="none" w:sz="0" w:space="0" w:color="auto"/>
      </w:divBdr>
    </w:div>
    <w:div w:id="604969486">
      <w:bodyDiv w:val="1"/>
      <w:marLeft w:val="0"/>
      <w:marRight w:val="0"/>
      <w:marTop w:val="0"/>
      <w:marBottom w:val="0"/>
      <w:divBdr>
        <w:top w:val="none" w:sz="0" w:space="0" w:color="auto"/>
        <w:left w:val="none" w:sz="0" w:space="0" w:color="auto"/>
        <w:bottom w:val="none" w:sz="0" w:space="0" w:color="auto"/>
        <w:right w:val="none" w:sz="0" w:space="0" w:color="auto"/>
      </w:divBdr>
    </w:div>
    <w:div w:id="610358860">
      <w:bodyDiv w:val="1"/>
      <w:marLeft w:val="0"/>
      <w:marRight w:val="0"/>
      <w:marTop w:val="0"/>
      <w:marBottom w:val="0"/>
      <w:divBdr>
        <w:top w:val="none" w:sz="0" w:space="0" w:color="auto"/>
        <w:left w:val="none" w:sz="0" w:space="0" w:color="auto"/>
        <w:bottom w:val="none" w:sz="0" w:space="0" w:color="auto"/>
        <w:right w:val="none" w:sz="0" w:space="0" w:color="auto"/>
      </w:divBdr>
    </w:div>
    <w:div w:id="614942659">
      <w:bodyDiv w:val="1"/>
      <w:marLeft w:val="0"/>
      <w:marRight w:val="0"/>
      <w:marTop w:val="0"/>
      <w:marBottom w:val="0"/>
      <w:divBdr>
        <w:top w:val="none" w:sz="0" w:space="0" w:color="auto"/>
        <w:left w:val="none" w:sz="0" w:space="0" w:color="auto"/>
        <w:bottom w:val="none" w:sz="0" w:space="0" w:color="auto"/>
        <w:right w:val="none" w:sz="0" w:space="0" w:color="auto"/>
      </w:divBdr>
    </w:div>
    <w:div w:id="616374217">
      <w:bodyDiv w:val="1"/>
      <w:marLeft w:val="0"/>
      <w:marRight w:val="0"/>
      <w:marTop w:val="0"/>
      <w:marBottom w:val="0"/>
      <w:divBdr>
        <w:top w:val="none" w:sz="0" w:space="0" w:color="auto"/>
        <w:left w:val="none" w:sz="0" w:space="0" w:color="auto"/>
        <w:bottom w:val="none" w:sz="0" w:space="0" w:color="auto"/>
        <w:right w:val="none" w:sz="0" w:space="0" w:color="auto"/>
      </w:divBdr>
    </w:div>
    <w:div w:id="636760311">
      <w:bodyDiv w:val="1"/>
      <w:marLeft w:val="0"/>
      <w:marRight w:val="0"/>
      <w:marTop w:val="0"/>
      <w:marBottom w:val="0"/>
      <w:divBdr>
        <w:top w:val="none" w:sz="0" w:space="0" w:color="auto"/>
        <w:left w:val="none" w:sz="0" w:space="0" w:color="auto"/>
        <w:bottom w:val="none" w:sz="0" w:space="0" w:color="auto"/>
        <w:right w:val="none" w:sz="0" w:space="0" w:color="auto"/>
      </w:divBdr>
    </w:div>
    <w:div w:id="640814642">
      <w:bodyDiv w:val="1"/>
      <w:marLeft w:val="0"/>
      <w:marRight w:val="0"/>
      <w:marTop w:val="0"/>
      <w:marBottom w:val="0"/>
      <w:divBdr>
        <w:top w:val="none" w:sz="0" w:space="0" w:color="auto"/>
        <w:left w:val="none" w:sz="0" w:space="0" w:color="auto"/>
        <w:bottom w:val="none" w:sz="0" w:space="0" w:color="auto"/>
        <w:right w:val="none" w:sz="0" w:space="0" w:color="auto"/>
      </w:divBdr>
      <w:divsChild>
        <w:div w:id="1558200145">
          <w:marLeft w:val="0"/>
          <w:marRight w:val="0"/>
          <w:marTop w:val="0"/>
          <w:marBottom w:val="0"/>
          <w:divBdr>
            <w:top w:val="none" w:sz="0" w:space="0" w:color="auto"/>
            <w:left w:val="none" w:sz="0" w:space="0" w:color="auto"/>
            <w:bottom w:val="none" w:sz="0" w:space="0" w:color="auto"/>
            <w:right w:val="none" w:sz="0" w:space="0" w:color="auto"/>
          </w:divBdr>
          <w:divsChild>
            <w:div w:id="1979918988">
              <w:marLeft w:val="0"/>
              <w:marRight w:val="0"/>
              <w:marTop w:val="0"/>
              <w:marBottom w:val="0"/>
              <w:divBdr>
                <w:top w:val="none" w:sz="0" w:space="0" w:color="auto"/>
                <w:left w:val="none" w:sz="0" w:space="0" w:color="auto"/>
                <w:bottom w:val="none" w:sz="0" w:space="0" w:color="auto"/>
                <w:right w:val="none" w:sz="0" w:space="0" w:color="auto"/>
              </w:divBdr>
              <w:divsChild>
                <w:div w:id="2148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679024">
      <w:bodyDiv w:val="1"/>
      <w:marLeft w:val="0"/>
      <w:marRight w:val="0"/>
      <w:marTop w:val="0"/>
      <w:marBottom w:val="0"/>
      <w:divBdr>
        <w:top w:val="none" w:sz="0" w:space="0" w:color="auto"/>
        <w:left w:val="none" w:sz="0" w:space="0" w:color="auto"/>
        <w:bottom w:val="none" w:sz="0" w:space="0" w:color="auto"/>
        <w:right w:val="none" w:sz="0" w:space="0" w:color="auto"/>
      </w:divBdr>
    </w:div>
    <w:div w:id="660500369">
      <w:bodyDiv w:val="1"/>
      <w:marLeft w:val="0"/>
      <w:marRight w:val="0"/>
      <w:marTop w:val="0"/>
      <w:marBottom w:val="0"/>
      <w:divBdr>
        <w:top w:val="none" w:sz="0" w:space="0" w:color="auto"/>
        <w:left w:val="none" w:sz="0" w:space="0" w:color="auto"/>
        <w:bottom w:val="none" w:sz="0" w:space="0" w:color="auto"/>
        <w:right w:val="none" w:sz="0" w:space="0" w:color="auto"/>
      </w:divBdr>
    </w:div>
    <w:div w:id="662316655">
      <w:bodyDiv w:val="1"/>
      <w:marLeft w:val="0"/>
      <w:marRight w:val="0"/>
      <w:marTop w:val="0"/>
      <w:marBottom w:val="0"/>
      <w:divBdr>
        <w:top w:val="none" w:sz="0" w:space="0" w:color="auto"/>
        <w:left w:val="none" w:sz="0" w:space="0" w:color="auto"/>
        <w:bottom w:val="none" w:sz="0" w:space="0" w:color="auto"/>
        <w:right w:val="none" w:sz="0" w:space="0" w:color="auto"/>
      </w:divBdr>
    </w:div>
    <w:div w:id="674454366">
      <w:bodyDiv w:val="1"/>
      <w:marLeft w:val="0"/>
      <w:marRight w:val="0"/>
      <w:marTop w:val="0"/>
      <w:marBottom w:val="0"/>
      <w:divBdr>
        <w:top w:val="none" w:sz="0" w:space="0" w:color="auto"/>
        <w:left w:val="none" w:sz="0" w:space="0" w:color="auto"/>
        <w:bottom w:val="none" w:sz="0" w:space="0" w:color="auto"/>
        <w:right w:val="none" w:sz="0" w:space="0" w:color="auto"/>
      </w:divBdr>
    </w:div>
    <w:div w:id="686492545">
      <w:bodyDiv w:val="1"/>
      <w:marLeft w:val="0"/>
      <w:marRight w:val="0"/>
      <w:marTop w:val="0"/>
      <w:marBottom w:val="0"/>
      <w:divBdr>
        <w:top w:val="none" w:sz="0" w:space="0" w:color="auto"/>
        <w:left w:val="none" w:sz="0" w:space="0" w:color="auto"/>
        <w:bottom w:val="none" w:sz="0" w:space="0" w:color="auto"/>
        <w:right w:val="none" w:sz="0" w:space="0" w:color="auto"/>
      </w:divBdr>
    </w:div>
    <w:div w:id="695346960">
      <w:bodyDiv w:val="1"/>
      <w:marLeft w:val="0"/>
      <w:marRight w:val="0"/>
      <w:marTop w:val="0"/>
      <w:marBottom w:val="0"/>
      <w:divBdr>
        <w:top w:val="none" w:sz="0" w:space="0" w:color="auto"/>
        <w:left w:val="none" w:sz="0" w:space="0" w:color="auto"/>
        <w:bottom w:val="none" w:sz="0" w:space="0" w:color="auto"/>
        <w:right w:val="none" w:sz="0" w:space="0" w:color="auto"/>
      </w:divBdr>
      <w:divsChild>
        <w:div w:id="1337732821">
          <w:marLeft w:val="0"/>
          <w:marRight w:val="0"/>
          <w:marTop w:val="0"/>
          <w:marBottom w:val="0"/>
          <w:divBdr>
            <w:top w:val="none" w:sz="0" w:space="0" w:color="auto"/>
            <w:left w:val="none" w:sz="0" w:space="0" w:color="auto"/>
            <w:bottom w:val="none" w:sz="0" w:space="0" w:color="auto"/>
            <w:right w:val="none" w:sz="0" w:space="0" w:color="auto"/>
          </w:divBdr>
          <w:divsChild>
            <w:div w:id="1048838927">
              <w:marLeft w:val="0"/>
              <w:marRight w:val="0"/>
              <w:marTop w:val="0"/>
              <w:marBottom w:val="0"/>
              <w:divBdr>
                <w:top w:val="none" w:sz="0" w:space="0" w:color="auto"/>
                <w:left w:val="none" w:sz="0" w:space="0" w:color="auto"/>
                <w:bottom w:val="none" w:sz="0" w:space="0" w:color="auto"/>
                <w:right w:val="none" w:sz="0" w:space="0" w:color="auto"/>
              </w:divBdr>
              <w:divsChild>
                <w:div w:id="12870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94947">
      <w:bodyDiv w:val="1"/>
      <w:marLeft w:val="0"/>
      <w:marRight w:val="0"/>
      <w:marTop w:val="0"/>
      <w:marBottom w:val="0"/>
      <w:divBdr>
        <w:top w:val="none" w:sz="0" w:space="0" w:color="auto"/>
        <w:left w:val="none" w:sz="0" w:space="0" w:color="auto"/>
        <w:bottom w:val="none" w:sz="0" w:space="0" w:color="auto"/>
        <w:right w:val="none" w:sz="0" w:space="0" w:color="auto"/>
      </w:divBdr>
    </w:div>
    <w:div w:id="700516826">
      <w:bodyDiv w:val="1"/>
      <w:marLeft w:val="0"/>
      <w:marRight w:val="0"/>
      <w:marTop w:val="0"/>
      <w:marBottom w:val="0"/>
      <w:divBdr>
        <w:top w:val="none" w:sz="0" w:space="0" w:color="auto"/>
        <w:left w:val="none" w:sz="0" w:space="0" w:color="auto"/>
        <w:bottom w:val="none" w:sz="0" w:space="0" w:color="auto"/>
        <w:right w:val="none" w:sz="0" w:space="0" w:color="auto"/>
      </w:divBdr>
    </w:div>
    <w:div w:id="704867754">
      <w:bodyDiv w:val="1"/>
      <w:marLeft w:val="0"/>
      <w:marRight w:val="0"/>
      <w:marTop w:val="0"/>
      <w:marBottom w:val="0"/>
      <w:divBdr>
        <w:top w:val="none" w:sz="0" w:space="0" w:color="auto"/>
        <w:left w:val="none" w:sz="0" w:space="0" w:color="auto"/>
        <w:bottom w:val="none" w:sz="0" w:space="0" w:color="auto"/>
        <w:right w:val="none" w:sz="0" w:space="0" w:color="auto"/>
      </w:divBdr>
    </w:div>
    <w:div w:id="758253688">
      <w:bodyDiv w:val="1"/>
      <w:marLeft w:val="0"/>
      <w:marRight w:val="0"/>
      <w:marTop w:val="0"/>
      <w:marBottom w:val="0"/>
      <w:divBdr>
        <w:top w:val="none" w:sz="0" w:space="0" w:color="auto"/>
        <w:left w:val="none" w:sz="0" w:space="0" w:color="auto"/>
        <w:bottom w:val="none" w:sz="0" w:space="0" w:color="auto"/>
        <w:right w:val="none" w:sz="0" w:space="0" w:color="auto"/>
      </w:divBdr>
    </w:div>
    <w:div w:id="761217209">
      <w:bodyDiv w:val="1"/>
      <w:marLeft w:val="0"/>
      <w:marRight w:val="0"/>
      <w:marTop w:val="0"/>
      <w:marBottom w:val="0"/>
      <w:divBdr>
        <w:top w:val="none" w:sz="0" w:space="0" w:color="auto"/>
        <w:left w:val="none" w:sz="0" w:space="0" w:color="auto"/>
        <w:bottom w:val="none" w:sz="0" w:space="0" w:color="auto"/>
        <w:right w:val="none" w:sz="0" w:space="0" w:color="auto"/>
      </w:divBdr>
    </w:div>
    <w:div w:id="780993557">
      <w:bodyDiv w:val="1"/>
      <w:marLeft w:val="0"/>
      <w:marRight w:val="0"/>
      <w:marTop w:val="0"/>
      <w:marBottom w:val="0"/>
      <w:divBdr>
        <w:top w:val="none" w:sz="0" w:space="0" w:color="auto"/>
        <w:left w:val="none" w:sz="0" w:space="0" w:color="auto"/>
        <w:bottom w:val="none" w:sz="0" w:space="0" w:color="auto"/>
        <w:right w:val="none" w:sz="0" w:space="0" w:color="auto"/>
      </w:divBdr>
    </w:div>
    <w:div w:id="783965500">
      <w:bodyDiv w:val="1"/>
      <w:marLeft w:val="0"/>
      <w:marRight w:val="0"/>
      <w:marTop w:val="0"/>
      <w:marBottom w:val="0"/>
      <w:divBdr>
        <w:top w:val="none" w:sz="0" w:space="0" w:color="auto"/>
        <w:left w:val="none" w:sz="0" w:space="0" w:color="auto"/>
        <w:bottom w:val="none" w:sz="0" w:space="0" w:color="auto"/>
        <w:right w:val="none" w:sz="0" w:space="0" w:color="auto"/>
      </w:divBdr>
    </w:div>
    <w:div w:id="816410699">
      <w:bodyDiv w:val="1"/>
      <w:marLeft w:val="0"/>
      <w:marRight w:val="0"/>
      <w:marTop w:val="0"/>
      <w:marBottom w:val="0"/>
      <w:divBdr>
        <w:top w:val="none" w:sz="0" w:space="0" w:color="auto"/>
        <w:left w:val="none" w:sz="0" w:space="0" w:color="auto"/>
        <w:bottom w:val="none" w:sz="0" w:space="0" w:color="auto"/>
        <w:right w:val="none" w:sz="0" w:space="0" w:color="auto"/>
      </w:divBdr>
      <w:divsChild>
        <w:div w:id="232158434">
          <w:marLeft w:val="0"/>
          <w:marRight w:val="0"/>
          <w:marTop w:val="0"/>
          <w:marBottom w:val="0"/>
          <w:divBdr>
            <w:top w:val="none" w:sz="0" w:space="0" w:color="auto"/>
            <w:left w:val="none" w:sz="0" w:space="0" w:color="auto"/>
            <w:bottom w:val="none" w:sz="0" w:space="0" w:color="auto"/>
            <w:right w:val="none" w:sz="0" w:space="0" w:color="auto"/>
          </w:divBdr>
          <w:divsChild>
            <w:div w:id="1337803968">
              <w:marLeft w:val="0"/>
              <w:marRight w:val="0"/>
              <w:marTop w:val="0"/>
              <w:marBottom w:val="0"/>
              <w:divBdr>
                <w:top w:val="none" w:sz="0" w:space="0" w:color="auto"/>
                <w:left w:val="none" w:sz="0" w:space="0" w:color="auto"/>
                <w:bottom w:val="none" w:sz="0" w:space="0" w:color="auto"/>
                <w:right w:val="none" w:sz="0" w:space="0" w:color="auto"/>
              </w:divBdr>
              <w:divsChild>
                <w:div w:id="141158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7151">
      <w:bodyDiv w:val="1"/>
      <w:marLeft w:val="0"/>
      <w:marRight w:val="0"/>
      <w:marTop w:val="0"/>
      <w:marBottom w:val="0"/>
      <w:divBdr>
        <w:top w:val="none" w:sz="0" w:space="0" w:color="auto"/>
        <w:left w:val="none" w:sz="0" w:space="0" w:color="auto"/>
        <w:bottom w:val="none" w:sz="0" w:space="0" w:color="auto"/>
        <w:right w:val="none" w:sz="0" w:space="0" w:color="auto"/>
      </w:divBdr>
    </w:div>
    <w:div w:id="856314995">
      <w:bodyDiv w:val="1"/>
      <w:marLeft w:val="0"/>
      <w:marRight w:val="0"/>
      <w:marTop w:val="0"/>
      <w:marBottom w:val="0"/>
      <w:divBdr>
        <w:top w:val="none" w:sz="0" w:space="0" w:color="auto"/>
        <w:left w:val="none" w:sz="0" w:space="0" w:color="auto"/>
        <w:bottom w:val="none" w:sz="0" w:space="0" w:color="auto"/>
        <w:right w:val="none" w:sz="0" w:space="0" w:color="auto"/>
      </w:divBdr>
    </w:div>
    <w:div w:id="894269019">
      <w:bodyDiv w:val="1"/>
      <w:marLeft w:val="0"/>
      <w:marRight w:val="0"/>
      <w:marTop w:val="0"/>
      <w:marBottom w:val="0"/>
      <w:divBdr>
        <w:top w:val="none" w:sz="0" w:space="0" w:color="auto"/>
        <w:left w:val="none" w:sz="0" w:space="0" w:color="auto"/>
        <w:bottom w:val="none" w:sz="0" w:space="0" w:color="auto"/>
        <w:right w:val="none" w:sz="0" w:space="0" w:color="auto"/>
      </w:divBdr>
    </w:div>
    <w:div w:id="901673658">
      <w:bodyDiv w:val="1"/>
      <w:marLeft w:val="0"/>
      <w:marRight w:val="0"/>
      <w:marTop w:val="0"/>
      <w:marBottom w:val="0"/>
      <w:divBdr>
        <w:top w:val="none" w:sz="0" w:space="0" w:color="auto"/>
        <w:left w:val="none" w:sz="0" w:space="0" w:color="auto"/>
        <w:bottom w:val="none" w:sz="0" w:space="0" w:color="auto"/>
        <w:right w:val="none" w:sz="0" w:space="0" w:color="auto"/>
      </w:divBdr>
    </w:div>
    <w:div w:id="924798016">
      <w:bodyDiv w:val="1"/>
      <w:marLeft w:val="0"/>
      <w:marRight w:val="0"/>
      <w:marTop w:val="0"/>
      <w:marBottom w:val="0"/>
      <w:divBdr>
        <w:top w:val="none" w:sz="0" w:space="0" w:color="auto"/>
        <w:left w:val="none" w:sz="0" w:space="0" w:color="auto"/>
        <w:bottom w:val="none" w:sz="0" w:space="0" w:color="auto"/>
        <w:right w:val="none" w:sz="0" w:space="0" w:color="auto"/>
      </w:divBdr>
    </w:div>
    <w:div w:id="932467858">
      <w:bodyDiv w:val="1"/>
      <w:marLeft w:val="0"/>
      <w:marRight w:val="0"/>
      <w:marTop w:val="0"/>
      <w:marBottom w:val="0"/>
      <w:divBdr>
        <w:top w:val="none" w:sz="0" w:space="0" w:color="auto"/>
        <w:left w:val="none" w:sz="0" w:space="0" w:color="auto"/>
        <w:bottom w:val="none" w:sz="0" w:space="0" w:color="auto"/>
        <w:right w:val="none" w:sz="0" w:space="0" w:color="auto"/>
      </w:divBdr>
    </w:div>
    <w:div w:id="933126585">
      <w:bodyDiv w:val="1"/>
      <w:marLeft w:val="0"/>
      <w:marRight w:val="0"/>
      <w:marTop w:val="0"/>
      <w:marBottom w:val="0"/>
      <w:divBdr>
        <w:top w:val="none" w:sz="0" w:space="0" w:color="auto"/>
        <w:left w:val="none" w:sz="0" w:space="0" w:color="auto"/>
        <w:bottom w:val="none" w:sz="0" w:space="0" w:color="auto"/>
        <w:right w:val="none" w:sz="0" w:space="0" w:color="auto"/>
      </w:divBdr>
    </w:div>
    <w:div w:id="937715469">
      <w:bodyDiv w:val="1"/>
      <w:marLeft w:val="0"/>
      <w:marRight w:val="0"/>
      <w:marTop w:val="0"/>
      <w:marBottom w:val="0"/>
      <w:divBdr>
        <w:top w:val="none" w:sz="0" w:space="0" w:color="auto"/>
        <w:left w:val="none" w:sz="0" w:space="0" w:color="auto"/>
        <w:bottom w:val="none" w:sz="0" w:space="0" w:color="auto"/>
        <w:right w:val="none" w:sz="0" w:space="0" w:color="auto"/>
      </w:divBdr>
    </w:div>
    <w:div w:id="939676729">
      <w:bodyDiv w:val="1"/>
      <w:marLeft w:val="0"/>
      <w:marRight w:val="0"/>
      <w:marTop w:val="0"/>
      <w:marBottom w:val="0"/>
      <w:divBdr>
        <w:top w:val="none" w:sz="0" w:space="0" w:color="auto"/>
        <w:left w:val="none" w:sz="0" w:space="0" w:color="auto"/>
        <w:bottom w:val="none" w:sz="0" w:space="0" w:color="auto"/>
        <w:right w:val="none" w:sz="0" w:space="0" w:color="auto"/>
      </w:divBdr>
    </w:div>
    <w:div w:id="940726993">
      <w:bodyDiv w:val="1"/>
      <w:marLeft w:val="0"/>
      <w:marRight w:val="0"/>
      <w:marTop w:val="0"/>
      <w:marBottom w:val="0"/>
      <w:divBdr>
        <w:top w:val="none" w:sz="0" w:space="0" w:color="auto"/>
        <w:left w:val="none" w:sz="0" w:space="0" w:color="auto"/>
        <w:bottom w:val="none" w:sz="0" w:space="0" w:color="auto"/>
        <w:right w:val="none" w:sz="0" w:space="0" w:color="auto"/>
      </w:divBdr>
      <w:divsChild>
        <w:div w:id="1352217114">
          <w:marLeft w:val="0"/>
          <w:marRight w:val="0"/>
          <w:marTop w:val="0"/>
          <w:marBottom w:val="0"/>
          <w:divBdr>
            <w:top w:val="none" w:sz="0" w:space="0" w:color="auto"/>
            <w:left w:val="none" w:sz="0" w:space="0" w:color="auto"/>
            <w:bottom w:val="none" w:sz="0" w:space="0" w:color="auto"/>
            <w:right w:val="none" w:sz="0" w:space="0" w:color="auto"/>
          </w:divBdr>
          <w:divsChild>
            <w:div w:id="586694038">
              <w:marLeft w:val="0"/>
              <w:marRight w:val="0"/>
              <w:marTop w:val="0"/>
              <w:marBottom w:val="0"/>
              <w:divBdr>
                <w:top w:val="none" w:sz="0" w:space="0" w:color="auto"/>
                <w:left w:val="none" w:sz="0" w:space="0" w:color="auto"/>
                <w:bottom w:val="none" w:sz="0" w:space="0" w:color="auto"/>
                <w:right w:val="none" w:sz="0" w:space="0" w:color="auto"/>
              </w:divBdr>
              <w:divsChild>
                <w:div w:id="78708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76504">
      <w:bodyDiv w:val="1"/>
      <w:marLeft w:val="0"/>
      <w:marRight w:val="0"/>
      <w:marTop w:val="0"/>
      <w:marBottom w:val="0"/>
      <w:divBdr>
        <w:top w:val="none" w:sz="0" w:space="0" w:color="auto"/>
        <w:left w:val="none" w:sz="0" w:space="0" w:color="auto"/>
        <w:bottom w:val="none" w:sz="0" w:space="0" w:color="auto"/>
        <w:right w:val="none" w:sz="0" w:space="0" w:color="auto"/>
      </w:divBdr>
    </w:div>
    <w:div w:id="954755376">
      <w:bodyDiv w:val="1"/>
      <w:marLeft w:val="0"/>
      <w:marRight w:val="0"/>
      <w:marTop w:val="0"/>
      <w:marBottom w:val="0"/>
      <w:divBdr>
        <w:top w:val="none" w:sz="0" w:space="0" w:color="auto"/>
        <w:left w:val="none" w:sz="0" w:space="0" w:color="auto"/>
        <w:bottom w:val="none" w:sz="0" w:space="0" w:color="auto"/>
        <w:right w:val="none" w:sz="0" w:space="0" w:color="auto"/>
      </w:divBdr>
    </w:div>
    <w:div w:id="964772393">
      <w:bodyDiv w:val="1"/>
      <w:marLeft w:val="0"/>
      <w:marRight w:val="0"/>
      <w:marTop w:val="0"/>
      <w:marBottom w:val="0"/>
      <w:divBdr>
        <w:top w:val="none" w:sz="0" w:space="0" w:color="auto"/>
        <w:left w:val="none" w:sz="0" w:space="0" w:color="auto"/>
        <w:bottom w:val="none" w:sz="0" w:space="0" w:color="auto"/>
        <w:right w:val="none" w:sz="0" w:space="0" w:color="auto"/>
      </w:divBdr>
    </w:div>
    <w:div w:id="974527350">
      <w:bodyDiv w:val="1"/>
      <w:marLeft w:val="0"/>
      <w:marRight w:val="0"/>
      <w:marTop w:val="0"/>
      <w:marBottom w:val="0"/>
      <w:divBdr>
        <w:top w:val="none" w:sz="0" w:space="0" w:color="auto"/>
        <w:left w:val="none" w:sz="0" w:space="0" w:color="auto"/>
        <w:bottom w:val="none" w:sz="0" w:space="0" w:color="auto"/>
        <w:right w:val="none" w:sz="0" w:space="0" w:color="auto"/>
      </w:divBdr>
    </w:div>
    <w:div w:id="998535819">
      <w:bodyDiv w:val="1"/>
      <w:marLeft w:val="0"/>
      <w:marRight w:val="0"/>
      <w:marTop w:val="0"/>
      <w:marBottom w:val="0"/>
      <w:divBdr>
        <w:top w:val="none" w:sz="0" w:space="0" w:color="auto"/>
        <w:left w:val="none" w:sz="0" w:space="0" w:color="auto"/>
        <w:bottom w:val="none" w:sz="0" w:space="0" w:color="auto"/>
        <w:right w:val="none" w:sz="0" w:space="0" w:color="auto"/>
      </w:divBdr>
      <w:divsChild>
        <w:div w:id="1582371669">
          <w:marLeft w:val="0"/>
          <w:marRight w:val="0"/>
          <w:marTop w:val="120"/>
          <w:marBottom w:val="120"/>
          <w:divBdr>
            <w:top w:val="none" w:sz="0" w:space="0" w:color="auto"/>
            <w:left w:val="none" w:sz="0" w:space="0" w:color="auto"/>
            <w:bottom w:val="none" w:sz="0" w:space="0" w:color="auto"/>
            <w:right w:val="none" w:sz="0" w:space="0" w:color="auto"/>
          </w:divBdr>
          <w:divsChild>
            <w:div w:id="1431854296">
              <w:marLeft w:val="0"/>
              <w:marRight w:val="0"/>
              <w:marTop w:val="0"/>
              <w:marBottom w:val="0"/>
              <w:divBdr>
                <w:top w:val="none" w:sz="0" w:space="0" w:color="auto"/>
                <w:left w:val="none" w:sz="0" w:space="0" w:color="auto"/>
                <w:bottom w:val="none" w:sz="0" w:space="0" w:color="auto"/>
                <w:right w:val="none" w:sz="0" w:space="0" w:color="auto"/>
              </w:divBdr>
            </w:div>
          </w:divsChild>
        </w:div>
        <w:div w:id="190846579">
          <w:marLeft w:val="0"/>
          <w:marRight w:val="0"/>
          <w:marTop w:val="0"/>
          <w:marBottom w:val="120"/>
          <w:divBdr>
            <w:top w:val="none" w:sz="0" w:space="0" w:color="auto"/>
            <w:left w:val="none" w:sz="0" w:space="0" w:color="auto"/>
            <w:bottom w:val="none" w:sz="0" w:space="0" w:color="auto"/>
            <w:right w:val="none" w:sz="0" w:space="0" w:color="auto"/>
          </w:divBdr>
          <w:divsChild>
            <w:div w:id="6472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4996">
      <w:bodyDiv w:val="1"/>
      <w:marLeft w:val="0"/>
      <w:marRight w:val="0"/>
      <w:marTop w:val="0"/>
      <w:marBottom w:val="0"/>
      <w:divBdr>
        <w:top w:val="none" w:sz="0" w:space="0" w:color="auto"/>
        <w:left w:val="none" w:sz="0" w:space="0" w:color="auto"/>
        <w:bottom w:val="none" w:sz="0" w:space="0" w:color="auto"/>
        <w:right w:val="none" w:sz="0" w:space="0" w:color="auto"/>
      </w:divBdr>
    </w:div>
    <w:div w:id="1036738959">
      <w:bodyDiv w:val="1"/>
      <w:marLeft w:val="0"/>
      <w:marRight w:val="0"/>
      <w:marTop w:val="0"/>
      <w:marBottom w:val="0"/>
      <w:divBdr>
        <w:top w:val="none" w:sz="0" w:space="0" w:color="auto"/>
        <w:left w:val="none" w:sz="0" w:space="0" w:color="auto"/>
        <w:bottom w:val="none" w:sz="0" w:space="0" w:color="auto"/>
        <w:right w:val="none" w:sz="0" w:space="0" w:color="auto"/>
      </w:divBdr>
    </w:div>
    <w:div w:id="1046875568">
      <w:bodyDiv w:val="1"/>
      <w:marLeft w:val="0"/>
      <w:marRight w:val="0"/>
      <w:marTop w:val="0"/>
      <w:marBottom w:val="0"/>
      <w:divBdr>
        <w:top w:val="none" w:sz="0" w:space="0" w:color="auto"/>
        <w:left w:val="none" w:sz="0" w:space="0" w:color="auto"/>
        <w:bottom w:val="none" w:sz="0" w:space="0" w:color="auto"/>
        <w:right w:val="none" w:sz="0" w:space="0" w:color="auto"/>
      </w:divBdr>
      <w:divsChild>
        <w:div w:id="1765883146">
          <w:marLeft w:val="0"/>
          <w:marRight w:val="0"/>
          <w:marTop w:val="0"/>
          <w:marBottom w:val="0"/>
          <w:divBdr>
            <w:top w:val="none" w:sz="0" w:space="0" w:color="auto"/>
            <w:left w:val="none" w:sz="0" w:space="0" w:color="auto"/>
            <w:bottom w:val="none" w:sz="0" w:space="0" w:color="auto"/>
            <w:right w:val="none" w:sz="0" w:space="0" w:color="auto"/>
          </w:divBdr>
          <w:divsChild>
            <w:div w:id="1214732987">
              <w:marLeft w:val="0"/>
              <w:marRight w:val="0"/>
              <w:marTop w:val="0"/>
              <w:marBottom w:val="0"/>
              <w:divBdr>
                <w:top w:val="none" w:sz="0" w:space="0" w:color="auto"/>
                <w:left w:val="none" w:sz="0" w:space="0" w:color="auto"/>
                <w:bottom w:val="none" w:sz="0" w:space="0" w:color="auto"/>
                <w:right w:val="none" w:sz="0" w:space="0" w:color="auto"/>
              </w:divBdr>
              <w:divsChild>
                <w:div w:id="589043789">
                  <w:marLeft w:val="0"/>
                  <w:marRight w:val="0"/>
                  <w:marTop w:val="0"/>
                  <w:marBottom w:val="0"/>
                  <w:divBdr>
                    <w:top w:val="none" w:sz="0" w:space="0" w:color="auto"/>
                    <w:left w:val="none" w:sz="0" w:space="0" w:color="auto"/>
                    <w:bottom w:val="none" w:sz="0" w:space="0" w:color="auto"/>
                    <w:right w:val="none" w:sz="0" w:space="0" w:color="auto"/>
                  </w:divBdr>
                  <w:divsChild>
                    <w:div w:id="7917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54862">
      <w:bodyDiv w:val="1"/>
      <w:marLeft w:val="0"/>
      <w:marRight w:val="0"/>
      <w:marTop w:val="0"/>
      <w:marBottom w:val="0"/>
      <w:divBdr>
        <w:top w:val="none" w:sz="0" w:space="0" w:color="auto"/>
        <w:left w:val="none" w:sz="0" w:space="0" w:color="auto"/>
        <w:bottom w:val="none" w:sz="0" w:space="0" w:color="auto"/>
        <w:right w:val="none" w:sz="0" w:space="0" w:color="auto"/>
      </w:divBdr>
    </w:div>
    <w:div w:id="1089816314">
      <w:bodyDiv w:val="1"/>
      <w:marLeft w:val="0"/>
      <w:marRight w:val="0"/>
      <w:marTop w:val="0"/>
      <w:marBottom w:val="0"/>
      <w:divBdr>
        <w:top w:val="none" w:sz="0" w:space="0" w:color="auto"/>
        <w:left w:val="none" w:sz="0" w:space="0" w:color="auto"/>
        <w:bottom w:val="none" w:sz="0" w:space="0" w:color="auto"/>
        <w:right w:val="none" w:sz="0" w:space="0" w:color="auto"/>
      </w:divBdr>
    </w:div>
    <w:div w:id="1099066427">
      <w:bodyDiv w:val="1"/>
      <w:marLeft w:val="0"/>
      <w:marRight w:val="0"/>
      <w:marTop w:val="0"/>
      <w:marBottom w:val="0"/>
      <w:divBdr>
        <w:top w:val="none" w:sz="0" w:space="0" w:color="auto"/>
        <w:left w:val="none" w:sz="0" w:space="0" w:color="auto"/>
        <w:bottom w:val="none" w:sz="0" w:space="0" w:color="auto"/>
        <w:right w:val="none" w:sz="0" w:space="0" w:color="auto"/>
      </w:divBdr>
    </w:div>
    <w:div w:id="1099907042">
      <w:bodyDiv w:val="1"/>
      <w:marLeft w:val="0"/>
      <w:marRight w:val="0"/>
      <w:marTop w:val="0"/>
      <w:marBottom w:val="0"/>
      <w:divBdr>
        <w:top w:val="none" w:sz="0" w:space="0" w:color="auto"/>
        <w:left w:val="none" w:sz="0" w:space="0" w:color="auto"/>
        <w:bottom w:val="none" w:sz="0" w:space="0" w:color="auto"/>
        <w:right w:val="none" w:sz="0" w:space="0" w:color="auto"/>
      </w:divBdr>
      <w:divsChild>
        <w:div w:id="2032756475">
          <w:marLeft w:val="0"/>
          <w:marRight w:val="0"/>
          <w:marTop w:val="0"/>
          <w:marBottom w:val="0"/>
          <w:divBdr>
            <w:top w:val="none" w:sz="0" w:space="0" w:color="auto"/>
            <w:left w:val="none" w:sz="0" w:space="0" w:color="auto"/>
            <w:bottom w:val="none" w:sz="0" w:space="0" w:color="auto"/>
            <w:right w:val="none" w:sz="0" w:space="0" w:color="auto"/>
          </w:divBdr>
          <w:divsChild>
            <w:div w:id="242109588">
              <w:marLeft w:val="0"/>
              <w:marRight w:val="0"/>
              <w:marTop w:val="0"/>
              <w:marBottom w:val="0"/>
              <w:divBdr>
                <w:top w:val="none" w:sz="0" w:space="0" w:color="auto"/>
                <w:left w:val="none" w:sz="0" w:space="0" w:color="auto"/>
                <w:bottom w:val="none" w:sz="0" w:space="0" w:color="auto"/>
                <w:right w:val="none" w:sz="0" w:space="0" w:color="auto"/>
              </w:divBdr>
              <w:divsChild>
                <w:div w:id="5516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90005">
      <w:bodyDiv w:val="1"/>
      <w:marLeft w:val="0"/>
      <w:marRight w:val="0"/>
      <w:marTop w:val="0"/>
      <w:marBottom w:val="0"/>
      <w:divBdr>
        <w:top w:val="none" w:sz="0" w:space="0" w:color="auto"/>
        <w:left w:val="none" w:sz="0" w:space="0" w:color="auto"/>
        <w:bottom w:val="none" w:sz="0" w:space="0" w:color="auto"/>
        <w:right w:val="none" w:sz="0" w:space="0" w:color="auto"/>
      </w:divBdr>
    </w:div>
    <w:div w:id="1116750964">
      <w:bodyDiv w:val="1"/>
      <w:marLeft w:val="0"/>
      <w:marRight w:val="0"/>
      <w:marTop w:val="0"/>
      <w:marBottom w:val="0"/>
      <w:divBdr>
        <w:top w:val="none" w:sz="0" w:space="0" w:color="auto"/>
        <w:left w:val="none" w:sz="0" w:space="0" w:color="auto"/>
        <w:bottom w:val="none" w:sz="0" w:space="0" w:color="auto"/>
        <w:right w:val="none" w:sz="0" w:space="0" w:color="auto"/>
      </w:divBdr>
    </w:div>
    <w:div w:id="1129082876">
      <w:bodyDiv w:val="1"/>
      <w:marLeft w:val="0"/>
      <w:marRight w:val="0"/>
      <w:marTop w:val="0"/>
      <w:marBottom w:val="0"/>
      <w:divBdr>
        <w:top w:val="none" w:sz="0" w:space="0" w:color="auto"/>
        <w:left w:val="none" w:sz="0" w:space="0" w:color="auto"/>
        <w:bottom w:val="none" w:sz="0" w:space="0" w:color="auto"/>
        <w:right w:val="none" w:sz="0" w:space="0" w:color="auto"/>
      </w:divBdr>
    </w:div>
    <w:div w:id="1142768902">
      <w:bodyDiv w:val="1"/>
      <w:marLeft w:val="0"/>
      <w:marRight w:val="0"/>
      <w:marTop w:val="0"/>
      <w:marBottom w:val="0"/>
      <w:divBdr>
        <w:top w:val="none" w:sz="0" w:space="0" w:color="auto"/>
        <w:left w:val="none" w:sz="0" w:space="0" w:color="auto"/>
        <w:bottom w:val="none" w:sz="0" w:space="0" w:color="auto"/>
        <w:right w:val="none" w:sz="0" w:space="0" w:color="auto"/>
      </w:divBdr>
      <w:divsChild>
        <w:div w:id="206242">
          <w:marLeft w:val="0"/>
          <w:marRight w:val="0"/>
          <w:marTop w:val="0"/>
          <w:marBottom w:val="0"/>
          <w:divBdr>
            <w:top w:val="none" w:sz="0" w:space="0" w:color="auto"/>
            <w:left w:val="none" w:sz="0" w:space="0" w:color="auto"/>
            <w:bottom w:val="none" w:sz="0" w:space="0" w:color="auto"/>
            <w:right w:val="none" w:sz="0" w:space="0" w:color="auto"/>
          </w:divBdr>
          <w:divsChild>
            <w:div w:id="1143624910">
              <w:marLeft w:val="0"/>
              <w:marRight w:val="0"/>
              <w:marTop w:val="0"/>
              <w:marBottom w:val="0"/>
              <w:divBdr>
                <w:top w:val="none" w:sz="0" w:space="0" w:color="auto"/>
                <w:left w:val="none" w:sz="0" w:space="0" w:color="auto"/>
                <w:bottom w:val="none" w:sz="0" w:space="0" w:color="auto"/>
                <w:right w:val="none" w:sz="0" w:space="0" w:color="auto"/>
              </w:divBdr>
              <w:divsChild>
                <w:div w:id="267198057">
                  <w:marLeft w:val="0"/>
                  <w:marRight w:val="0"/>
                  <w:marTop w:val="0"/>
                  <w:marBottom w:val="0"/>
                  <w:divBdr>
                    <w:top w:val="none" w:sz="0" w:space="0" w:color="auto"/>
                    <w:left w:val="none" w:sz="0" w:space="0" w:color="auto"/>
                    <w:bottom w:val="none" w:sz="0" w:space="0" w:color="auto"/>
                    <w:right w:val="none" w:sz="0" w:space="0" w:color="auto"/>
                  </w:divBdr>
                  <w:divsChild>
                    <w:div w:id="1482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06961">
      <w:bodyDiv w:val="1"/>
      <w:marLeft w:val="0"/>
      <w:marRight w:val="0"/>
      <w:marTop w:val="0"/>
      <w:marBottom w:val="0"/>
      <w:divBdr>
        <w:top w:val="none" w:sz="0" w:space="0" w:color="auto"/>
        <w:left w:val="none" w:sz="0" w:space="0" w:color="auto"/>
        <w:bottom w:val="none" w:sz="0" w:space="0" w:color="auto"/>
        <w:right w:val="none" w:sz="0" w:space="0" w:color="auto"/>
      </w:divBdr>
    </w:div>
    <w:div w:id="1170565204">
      <w:bodyDiv w:val="1"/>
      <w:marLeft w:val="0"/>
      <w:marRight w:val="0"/>
      <w:marTop w:val="0"/>
      <w:marBottom w:val="0"/>
      <w:divBdr>
        <w:top w:val="none" w:sz="0" w:space="0" w:color="auto"/>
        <w:left w:val="none" w:sz="0" w:space="0" w:color="auto"/>
        <w:bottom w:val="none" w:sz="0" w:space="0" w:color="auto"/>
        <w:right w:val="none" w:sz="0" w:space="0" w:color="auto"/>
      </w:divBdr>
    </w:div>
    <w:div w:id="1174150298">
      <w:bodyDiv w:val="1"/>
      <w:marLeft w:val="0"/>
      <w:marRight w:val="0"/>
      <w:marTop w:val="0"/>
      <w:marBottom w:val="0"/>
      <w:divBdr>
        <w:top w:val="none" w:sz="0" w:space="0" w:color="auto"/>
        <w:left w:val="none" w:sz="0" w:space="0" w:color="auto"/>
        <w:bottom w:val="none" w:sz="0" w:space="0" w:color="auto"/>
        <w:right w:val="none" w:sz="0" w:space="0" w:color="auto"/>
      </w:divBdr>
    </w:div>
    <w:div w:id="1175803372">
      <w:bodyDiv w:val="1"/>
      <w:marLeft w:val="0"/>
      <w:marRight w:val="0"/>
      <w:marTop w:val="0"/>
      <w:marBottom w:val="0"/>
      <w:divBdr>
        <w:top w:val="none" w:sz="0" w:space="0" w:color="auto"/>
        <w:left w:val="none" w:sz="0" w:space="0" w:color="auto"/>
        <w:bottom w:val="none" w:sz="0" w:space="0" w:color="auto"/>
        <w:right w:val="none" w:sz="0" w:space="0" w:color="auto"/>
      </w:divBdr>
    </w:div>
    <w:div w:id="1205874501">
      <w:bodyDiv w:val="1"/>
      <w:marLeft w:val="0"/>
      <w:marRight w:val="0"/>
      <w:marTop w:val="0"/>
      <w:marBottom w:val="0"/>
      <w:divBdr>
        <w:top w:val="none" w:sz="0" w:space="0" w:color="auto"/>
        <w:left w:val="none" w:sz="0" w:space="0" w:color="auto"/>
        <w:bottom w:val="none" w:sz="0" w:space="0" w:color="auto"/>
        <w:right w:val="none" w:sz="0" w:space="0" w:color="auto"/>
      </w:divBdr>
    </w:div>
    <w:div w:id="1207139070">
      <w:bodyDiv w:val="1"/>
      <w:marLeft w:val="0"/>
      <w:marRight w:val="0"/>
      <w:marTop w:val="0"/>
      <w:marBottom w:val="0"/>
      <w:divBdr>
        <w:top w:val="none" w:sz="0" w:space="0" w:color="auto"/>
        <w:left w:val="none" w:sz="0" w:space="0" w:color="auto"/>
        <w:bottom w:val="none" w:sz="0" w:space="0" w:color="auto"/>
        <w:right w:val="none" w:sz="0" w:space="0" w:color="auto"/>
      </w:divBdr>
    </w:div>
    <w:div w:id="1261793452">
      <w:bodyDiv w:val="1"/>
      <w:marLeft w:val="0"/>
      <w:marRight w:val="0"/>
      <w:marTop w:val="0"/>
      <w:marBottom w:val="0"/>
      <w:divBdr>
        <w:top w:val="none" w:sz="0" w:space="0" w:color="auto"/>
        <w:left w:val="none" w:sz="0" w:space="0" w:color="auto"/>
        <w:bottom w:val="none" w:sz="0" w:space="0" w:color="auto"/>
        <w:right w:val="none" w:sz="0" w:space="0" w:color="auto"/>
      </w:divBdr>
    </w:div>
    <w:div w:id="1267542854">
      <w:bodyDiv w:val="1"/>
      <w:marLeft w:val="0"/>
      <w:marRight w:val="0"/>
      <w:marTop w:val="0"/>
      <w:marBottom w:val="0"/>
      <w:divBdr>
        <w:top w:val="none" w:sz="0" w:space="0" w:color="auto"/>
        <w:left w:val="none" w:sz="0" w:space="0" w:color="auto"/>
        <w:bottom w:val="none" w:sz="0" w:space="0" w:color="auto"/>
        <w:right w:val="none" w:sz="0" w:space="0" w:color="auto"/>
      </w:divBdr>
    </w:div>
    <w:div w:id="1279216317">
      <w:bodyDiv w:val="1"/>
      <w:marLeft w:val="0"/>
      <w:marRight w:val="0"/>
      <w:marTop w:val="0"/>
      <w:marBottom w:val="0"/>
      <w:divBdr>
        <w:top w:val="none" w:sz="0" w:space="0" w:color="auto"/>
        <w:left w:val="none" w:sz="0" w:space="0" w:color="auto"/>
        <w:bottom w:val="none" w:sz="0" w:space="0" w:color="auto"/>
        <w:right w:val="none" w:sz="0" w:space="0" w:color="auto"/>
      </w:divBdr>
      <w:divsChild>
        <w:div w:id="25912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966155">
      <w:bodyDiv w:val="1"/>
      <w:marLeft w:val="0"/>
      <w:marRight w:val="0"/>
      <w:marTop w:val="0"/>
      <w:marBottom w:val="0"/>
      <w:divBdr>
        <w:top w:val="none" w:sz="0" w:space="0" w:color="auto"/>
        <w:left w:val="none" w:sz="0" w:space="0" w:color="auto"/>
        <w:bottom w:val="none" w:sz="0" w:space="0" w:color="auto"/>
        <w:right w:val="none" w:sz="0" w:space="0" w:color="auto"/>
      </w:divBdr>
    </w:div>
    <w:div w:id="128695894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58236228">
      <w:bodyDiv w:val="1"/>
      <w:marLeft w:val="0"/>
      <w:marRight w:val="0"/>
      <w:marTop w:val="0"/>
      <w:marBottom w:val="0"/>
      <w:divBdr>
        <w:top w:val="none" w:sz="0" w:space="0" w:color="auto"/>
        <w:left w:val="none" w:sz="0" w:space="0" w:color="auto"/>
        <w:bottom w:val="none" w:sz="0" w:space="0" w:color="auto"/>
        <w:right w:val="none" w:sz="0" w:space="0" w:color="auto"/>
      </w:divBdr>
    </w:div>
    <w:div w:id="1386833543">
      <w:bodyDiv w:val="1"/>
      <w:marLeft w:val="0"/>
      <w:marRight w:val="0"/>
      <w:marTop w:val="0"/>
      <w:marBottom w:val="0"/>
      <w:divBdr>
        <w:top w:val="none" w:sz="0" w:space="0" w:color="auto"/>
        <w:left w:val="none" w:sz="0" w:space="0" w:color="auto"/>
        <w:bottom w:val="none" w:sz="0" w:space="0" w:color="auto"/>
        <w:right w:val="none" w:sz="0" w:space="0" w:color="auto"/>
      </w:divBdr>
    </w:div>
    <w:div w:id="1390033927">
      <w:bodyDiv w:val="1"/>
      <w:marLeft w:val="0"/>
      <w:marRight w:val="0"/>
      <w:marTop w:val="0"/>
      <w:marBottom w:val="0"/>
      <w:divBdr>
        <w:top w:val="none" w:sz="0" w:space="0" w:color="auto"/>
        <w:left w:val="none" w:sz="0" w:space="0" w:color="auto"/>
        <w:bottom w:val="none" w:sz="0" w:space="0" w:color="auto"/>
        <w:right w:val="none" w:sz="0" w:space="0" w:color="auto"/>
      </w:divBdr>
    </w:div>
    <w:div w:id="1432697115">
      <w:bodyDiv w:val="1"/>
      <w:marLeft w:val="0"/>
      <w:marRight w:val="0"/>
      <w:marTop w:val="0"/>
      <w:marBottom w:val="0"/>
      <w:divBdr>
        <w:top w:val="none" w:sz="0" w:space="0" w:color="auto"/>
        <w:left w:val="none" w:sz="0" w:space="0" w:color="auto"/>
        <w:bottom w:val="none" w:sz="0" w:space="0" w:color="auto"/>
        <w:right w:val="none" w:sz="0" w:space="0" w:color="auto"/>
      </w:divBdr>
    </w:div>
    <w:div w:id="1460761140">
      <w:bodyDiv w:val="1"/>
      <w:marLeft w:val="0"/>
      <w:marRight w:val="0"/>
      <w:marTop w:val="0"/>
      <w:marBottom w:val="0"/>
      <w:divBdr>
        <w:top w:val="none" w:sz="0" w:space="0" w:color="auto"/>
        <w:left w:val="none" w:sz="0" w:space="0" w:color="auto"/>
        <w:bottom w:val="none" w:sz="0" w:space="0" w:color="auto"/>
        <w:right w:val="none" w:sz="0" w:space="0" w:color="auto"/>
      </w:divBdr>
    </w:div>
    <w:div w:id="1502820155">
      <w:bodyDiv w:val="1"/>
      <w:marLeft w:val="0"/>
      <w:marRight w:val="0"/>
      <w:marTop w:val="0"/>
      <w:marBottom w:val="0"/>
      <w:divBdr>
        <w:top w:val="none" w:sz="0" w:space="0" w:color="auto"/>
        <w:left w:val="none" w:sz="0" w:space="0" w:color="auto"/>
        <w:bottom w:val="none" w:sz="0" w:space="0" w:color="auto"/>
        <w:right w:val="none" w:sz="0" w:space="0" w:color="auto"/>
      </w:divBdr>
      <w:divsChild>
        <w:div w:id="1332176088">
          <w:marLeft w:val="0"/>
          <w:marRight w:val="0"/>
          <w:marTop w:val="0"/>
          <w:marBottom w:val="0"/>
          <w:divBdr>
            <w:top w:val="none" w:sz="0" w:space="0" w:color="auto"/>
            <w:left w:val="none" w:sz="0" w:space="0" w:color="auto"/>
            <w:bottom w:val="none" w:sz="0" w:space="0" w:color="auto"/>
            <w:right w:val="none" w:sz="0" w:space="0" w:color="auto"/>
          </w:divBdr>
          <w:divsChild>
            <w:div w:id="2085176547">
              <w:marLeft w:val="0"/>
              <w:marRight w:val="0"/>
              <w:marTop w:val="0"/>
              <w:marBottom w:val="0"/>
              <w:divBdr>
                <w:top w:val="none" w:sz="0" w:space="0" w:color="auto"/>
                <w:left w:val="none" w:sz="0" w:space="0" w:color="auto"/>
                <w:bottom w:val="none" w:sz="0" w:space="0" w:color="auto"/>
                <w:right w:val="none" w:sz="0" w:space="0" w:color="auto"/>
              </w:divBdr>
              <w:divsChild>
                <w:div w:id="13598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09482">
      <w:bodyDiv w:val="1"/>
      <w:marLeft w:val="0"/>
      <w:marRight w:val="0"/>
      <w:marTop w:val="0"/>
      <w:marBottom w:val="0"/>
      <w:divBdr>
        <w:top w:val="none" w:sz="0" w:space="0" w:color="auto"/>
        <w:left w:val="none" w:sz="0" w:space="0" w:color="auto"/>
        <w:bottom w:val="none" w:sz="0" w:space="0" w:color="auto"/>
        <w:right w:val="none" w:sz="0" w:space="0" w:color="auto"/>
      </w:divBdr>
    </w:div>
    <w:div w:id="1510022868">
      <w:bodyDiv w:val="1"/>
      <w:marLeft w:val="0"/>
      <w:marRight w:val="0"/>
      <w:marTop w:val="0"/>
      <w:marBottom w:val="0"/>
      <w:divBdr>
        <w:top w:val="none" w:sz="0" w:space="0" w:color="auto"/>
        <w:left w:val="none" w:sz="0" w:space="0" w:color="auto"/>
        <w:bottom w:val="none" w:sz="0" w:space="0" w:color="auto"/>
        <w:right w:val="none" w:sz="0" w:space="0" w:color="auto"/>
      </w:divBdr>
    </w:div>
    <w:div w:id="1513495103">
      <w:bodyDiv w:val="1"/>
      <w:marLeft w:val="0"/>
      <w:marRight w:val="0"/>
      <w:marTop w:val="0"/>
      <w:marBottom w:val="0"/>
      <w:divBdr>
        <w:top w:val="none" w:sz="0" w:space="0" w:color="auto"/>
        <w:left w:val="none" w:sz="0" w:space="0" w:color="auto"/>
        <w:bottom w:val="none" w:sz="0" w:space="0" w:color="auto"/>
        <w:right w:val="none" w:sz="0" w:space="0" w:color="auto"/>
      </w:divBdr>
      <w:divsChild>
        <w:div w:id="651714656">
          <w:marLeft w:val="0"/>
          <w:marRight w:val="0"/>
          <w:marTop w:val="0"/>
          <w:marBottom w:val="0"/>
          <w:divBdr>
            <w:top w:val="none" w:sz="0" w:space="0" w:color="auto"/>
            <w:left w:val="none" w:sz="0" w:space="0" w:color="auto"/>
            <w:bottom w:val="none" w:sz="0" w:space="0" w:color="auto"/>
            <w:right w:val="none" w:sz="0" w:space="0" w:color="auto"/>
          </w:divBdr>
          <w:divsChild>
            <w:div w:id="691537461">
              <w:marLeft w:val="0"/>
              <w:marRight w:val="0"/>
              <w:marTop w:val="0"/>
              <w:marBottom w:val="0"/>
              <w:divBdr>
                <w:top w:val="none" w:sz="0" w:space="0" w:color="auto"/>
                <w:left w:val="none" w:sz="0" w:space="0" w:color="auto"/>
                <w:bottom w:val="none" w:sz="0" w:space="0" w:color="auto"/>
                <w:right w:val="none" w:sz="0" w:space="0" w:color="auto"/>
              </w:divBdr>
              <w:divsChild>
                <w:div w:id="5153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78415">
      <w:bodyDiv w:val="1"/>
      <w:marLeft w:val="0"/>
      <w:marRight w:val="0"/>
      <w:marTop w:val="0"/>
      <w:marBottom w:val="0"/>
      <w:divBdr>
        <w:top w:val="none" w:sz="0" w:space="0" w:color="auto"/>
        <w:left w:val="none" w:sz="0" w:space="0" w:color="auto"/>
        <w:bottom w:val="none" w:sz="0" w:space="0" w:color="auto"/>
        <w:right w:val="none" w:sz="0" w:space="0" w:color="auto"/>
      </w:divBdr>
    </w:div>
    <w:div w:id="1519924469">
      <w:bodyDiv w:val="1"/>
      <w:marLeft w:val="0"/>
      <w:marRight w:val="0"/>
      <w:marTop w:val="0"/>
      <w:marBottom w:val="0"/>
      <w:divBdr>
        <w:top w:val="none" w:sz="0" w:space="0" w:color="auto"/>
        <w:left w:val="none" w:sz="0" w:space="0" w:color="auto"/>
        <w:bottom w:val="none" w:sz="0" w:space="0" w:color="auto"/>
        <w:right w:val="none" w:sz="0" w:space="0" w:color="auto"/>
      </w:divBdr>
    </w:div>
    <w:div w:id="1522891932">
      <w:bodyDiv w:val="1"/>
      <w:marLeft w:val="0"/>
      <w:marRight w:val="0"/>
      <w:marTop w:val="0"/>
      <w:marBottom w:val="0"/>
      <w:divBdr>
        <w:top w:val="none" w:sz="0" w:space="0" w:color="auto"/>
        <w:left w:val="none" w:sz="0" w:space="0" w:color="auto"/>
        <w:bottom w:val="none" w:sz="0" w:space="0" w:color="auto"/>
        <w:right w:val="none" w:sz="0" w:space="0" w:color="auto"/>
      </w:divBdr>
    </w:div>
    <w:div w:id="1553615896">
      <w:bodyDiv w:val="1"/>
      <w:marLeft w:val="0"/>
      <w:marRight w:val="0"/>
      <w:marTop w:val="0"/>
      <w:marBottom w:val="0"/>
      <w:divBdr>
        <w:top w:val="none" w:sz="0" w:space="0" w:color="auto"/>
        <w:left w:val="none" w:sz="0" w:space="0" w:color="auto"/>
        <w:bottom w:val="none" w:sz="0" w:space="0" w:color="auto"/>
        <w:right w:val="none" w:sz="0" w:space="0" w:color="auto"/>
      </w:divBdr>
    </w:div>
    <w:div w:id="1563558216">
      <w:bodyDiv w:val="1"/>
      <w:marLeft w:val="0"/>
      <w:marRight w:val="0"/>
      <w:marTop w:val="0"/>
      <w:marBottom w:val="0"/>
      <w:divBdr>
        <w:top w:val="none" w:sz="0" w:space="0" w:color="auto"/>
        <w:left w:val="none" w:sz="0" w:space="0" w:color="auto"/>
        <w:bottom w:val="none" w:sz="0" w:space="0" w:color="auto"/>
        <w:right w:val="none" w:sz="0" w:space="0" w:color="auto"/>
      </w:divBdr>
    </w:div>
    <w:div w:id="1567372477">
      <w:bodyDiv w:val="1"/>
      <w:marLeft w:val="0"/>
      <w:marRight w:val="0"/>
      <w:marTop w:val="0"/>
      <w:marBottom w:val="0"/>
      <w:divBdr>
        <w:top w:val="none" w:sz="0" w:space="0" w:color="auto"/>
        <w:left w:val="none" w:sz="0" w:space="0" w:color="auto"/>
        <w:bottom w:val="none" w:sz="0" w:space="0" w:color="auto"/>
        <w:right w:val="none" w:sz="0" w:space="0" w:color="auto"/>
      </w:divBdr>
    </w:div>
    <w:div w:id="1579248639">
      <w:bodyDiv w:val="1"/>
      <w:marLeft w:val="0"/>
      <w:marRight w:val="0"/>
      <w:marTop w:val="0"/>
      <w:marBottom w:val="0"/>
      <w:divBdr>
        <w:top w:val="none" w:sz="0" w:space="0" w:color="auto"/>
        <w:left w:val="none" w:sz="0" w:space="0" w:color="auto"/>
        <w:bottom w:val="none" w:sz="0" w:space="0" w:color="auto"/>
        <w:right w:val="none" w:sz="0" w:space="0" w:color="auto"/>
      </w:divBdr>
      <w:divsChild>
        <w:div w:id="1878396374">
          <w:marLeft w:val="0"/>
          <w:marRight w:val="0"/>
          <w:marTop w:val="0"/>
          <w:marBottom w:val="0"/>
          <w:divBdr>
            <w:top w:val="none" w:sz="0" w:space="0" w:color="auto"/>
            <w:left w:val="none" w:sz="0" w:space="0" w:color="auto"/>
            <w:bottom w:val="none" w:sz="0" w:space="0" w:color="auto"/>
            <w:right w:val="none" w:sz="0" w:space="0" w:color="auto"/>
          </w:divBdr>
          <w:divsChild>
            <w:div w:id="2022050289">
              <w:marLeft w:val="0"/>
              <w:marRight w:val="0"/>
              <w:marTop w:val="0"/>
              <w:marBottom w:val="0"/>
              <w:divBdr>
                <w:top w:val="none" w:sz="0" w:space="0" w:color="auto"/>
                <w:left w:val="none" w:sz="0" w:space="0" w:color="auto"/>
                <w:bottom w:val="none" w:sz="0" w:space="0" w:color="auto"/>
                <w:right w:val="none" w:sz="0" w:space="0" w:color="auto"/>
              </w:divBdr>
              <w:divsChild>
                <w:div w:id="17006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165652">
      <w:bodyDiv w:val="1"/>
      <w:marLeft w:val="0"/>
      <w:marRight w:val="0"/>
      <w:marTop w:val="0"/>
      <w:marBottom w:val="0"/>
      <w:divBdr>
        <w:top w:val="none" w:sz="0" w:space="0" w:color="auto"/>
        <w:left w:val="none" w:sz="0" w:space="0" w:color="auto"/>
        <w:bottom w:val="none" w:sz="0" w:space="0" w:color="auto"/>
        <w:right w:val="none" w:sz="0" w:space="0" w:color="auto"/>
      </w:divBdr>
    </w:div>
    <w:div w:id="1599288011">
      <w:bodyDiv w:val="1"/>
      <w:marLeft w:val="0"/>
      <w:marRight w:val="0"/>
      <w:marTop w:val="0"/>
      <w:marBottom w:val="0"/>
      <w:divBdr>
        <w:top w:val="none" w:sz="0" w:space="0" w:color="auto"/>
        <w:left w:val="none" w:sz="0" w:space="0" w:color="auto"/>
        <w:bottom w:val="none" w:sz="0" w:space="0" w:color="auto"/>
        <w:right w:val="none" w:sz="0" w:space="0" w:color="auto"/>
      </w:divBdr>
    </w:div>
    <w:div w:id="1609851624">
      <w:bodyDiv w:val="1"/>
      <w:marLeft w:val="0"/>
      <w:marRight w:val="0"/>
      <w:marTop w:val="0"/>
      <w:marBottom w:val="0"/>
      <w:divBdr>
        <w:top w:val="none" w:sz="0" w:space="0" w:color="auto"/>
        <w:left w:val="none" w:sz="0" w:space="0" w:color="auto"/>
        <w:bottom w:val="none" w:sz="0" w:space="0" w:color="auto"/>
        <w:right w:val="none" w:sz="0" w:space="0" w:color="auto"/>
      </w:divBdr>
    </w:div>
    <w:div w:id="1611543459">
      <w:bodyDiv w:val="1"/>
      <w:marLeft w:val="0"/>
      <w:marRight w:val="0"/>
      <w:marTop w:val="0"/>
      <w:marBottom w:val="0"/>
      <w:divBdr>
        <w:top w:val="none" w:sz="0" w:space="0" w:color="auto"/>
        <w:left w:val="none" w:sz="0" w:space="0" w:color="auto"/>
        <w:bottom w:val="none" w:sz="0" w:space="0" w:color="auto"/>
        <w:right w:val="none" w:sz="0" w:space="0" w:color="auto"/>
      </w:divBdr>
    </w:div>
    <w:div w:id="1617979677">
      <w:bodyDiv w:val="1"/>
      <w:marLeft w:val="0"/>
      <w:marRight w:val="0"/>
      <w:marTop w:val="0"/>
      <w:marBottom w:val="0"/>
      <w:divBdr>
        <w:top w:val="none" w:sz="0" w:space="0" w:color="auto"/>
        <w:left w:val="none" w:sz="0" w:space="0" w:color="auto"/>
        <w:bottom w:val="none" w:sz="0" w:space="0" w:color="auto"/>
        <w:right w:val="none" w:sz="0" w:space="0" w:color="auto"/>
      </w:divBdr>
      <w:divsChild>
        <w:div w:id="1186483161">
          <w:marLeft w:val="0"/>
          <w:marRight w:val="0"/>
          <w:marTop w:val="0"/>
          <w:marBottom w:val="0"/>
          <w:divBdr>
            <w:top w:val="none" w:sz="0" w:space="0" w:color="auto"/>
            <w:left w:val="none" w:sz="0" w:space="0" w:color="auto"/>
            <w:bottom w:val="none" w:sz="0" w:space="0" w:color="auto"/>
            <w:right w:val="none" w:sz="0" w:space="0" w:color="auto"/>
          </w:divBdr>
          <w:divsChild>
            <w:div w:id="1722049108">
              <w:marLeft w:val="0"/>
              <w:marRight w:val="0"/>
              <w:marTop w:val="0"/>
              <w:marBottom w:val="0"/>
              <w:divBdr>
                <w:top w:val="none" w:sz="0" w:space="0" w:color="auto"/>
                <w:left w:val="none" w:sz="0" w:space="0" w:color="auto"/>
                <w:bottom w:val="none" w:sz="0" w:space="0" w:color="auto"/>
                <w:right w:val="none" w:sz="0" w:space="0" w:color="auto"/>
              </w:divBdr>
              <w:divsChild>
                <w:div w:id="1396734033">
                  <w:marLeft w:val="0"/>
                  <w:marRight w:val="0"/>
                  <w:marTop w:val="0"/>
                  <w:marBottom w:val="0"/>
                  <w:divBdr>
                    <w:top w:val="none" w:sz="0" w:space="0" w:color="auto"/>
                    <w:left w:val="none" w:sz="0" w:space="0" w:color="auto"/>
                    <w:bottom w:val="none" w:sz="0" w:space="0" w:color="auto"/>
                    <w:right w:val="none" w:sz="0" w:space="0" w:color="auto"/>
                  </w:divBdr>
                  <w:divsChild>
                    <w:div w:id="1297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971608">
      <w:bodyDiv w:val="1"/>
      <w:marLeft w:val="0"/>
      <w:marRight w:val="0"/>
      <w:marTop w:val="0"/>
      <w:marBottom w:val="0"/>
      <w:divBdr>
        <w:top w:val="none" w:sz="0" w:space="0" w:color="auto"/>
        <w:left w:val="none" w:sz="0" w:space="0" w:color="auto"/>
        <w:bottom w:val="none" w:sz="0" w:space="0" w:color="auto"/>
        <w:right w:val="none" w:sz="0" w:space="0" w:color="auto"/>
      </w:divBdr>
    </w:div>
    <w:div w:id="1678842192">
      <w:bodyDiv w:val="1"/>
      <w:marLeft w:val="0"/>
      <w:marRight w:val="0"/>
      <w:marTop w:val="0"/>
      <w:marBottom w:val="0"/>
      <w:divBdr>
        <w:top w:val="none" w:sz="0" w:space="0" w:color="auto"/>
        <w:left w:val="none" w:sz="0" w:space="0" w:color="auto"/>
        <w:bottom w:val="none" w:sz="0" w:space="0" w:color="auto"/>
        <w:right w:val="none" w:sz="0" w:space="0" w:color="auto"/>
      </w:divBdr>
    </w:div>
    <w:div w:id="1682732533">
      <w:bodyDiv w:val="1"/>
      <w:marLeft w:val="0"/>
      <w:marRight w:val="0"/>
      <w:marTop w:val="0"/>
      <w:marBottom w:val="0"/>
      <w:divBdr>
        <w:top w:val="none" w:sz="0" w:space="0" w:color="auto"/>
        <w:left w:val="none" w:sz="0" w:space="0" w:color="auto"/>
        <w:bottom w:val="none" w:sz="0" w:space="0" w:color="auto"/>
        <w:right w:val="none" w:sz="0" w:space="0" w:color="auto"/>
      </w:divBdr>
    </w:div>
    <w:div w:id="1699315397">
      <w:bodyDiv w:val="1"/>
      <w:marLeft w:val="0"/>
      <w:marRight w:val="0"/>
      <w:marTop w:val="0"/>
      <w:marBottom w:val="0"/>
      <w:divBdr>
        <w:top w:val="none" w:sz="0" w:space="0" w:color="auto"/>
        <w:left w:val="none" w:sz="0" w:space="0" w:color="auto"/>
        <w:bottom w:val="none" w:sz="0" w:space="0" w:color="auto"/>
        <w:right w:val="none" w:sz="0" w:space="0" w:color="auto"/>
      </w:divBdr>
    </w:div>
    <w:div w:id="1701280684">
      <w:bodyDiv w:val="1"/>
      <w:marLeft w:val="0"/>
      <w:marRight w:val="0"/>
      <w:marTop w:val="0"/>
      <w:marBottom w:val="0"/>
      <w:divBdr>
        <w:top w:val="none" w:sz="0" w:space="0" w:color="auto"/>
        <w:left w:val="none" w:sz="0" w:space="0" w:color="auto"/>
        <w:bottom w:val="none" w:sz="0" w:space="0" w:color="auto"/>
        <w:right w:val="none" w:sz="0" w:space="0" w:color="auto"/>
      </w:divBdr>
    </w:div>
    <w:div w:id="1709334319">
      <w:bodyDiv w:val="1"/>
      <w:marLeft w:val="0"/>
      <w:marRight w:val="0"/>
      <w:marTop w:val="0"/>
      <w:marBottom w:val="0"/>
      <w:divBdr>
        <w:top w:val="none" w:sz="0" w:space="0" w:color="auto"/>
        <w:left w:val="none" w:sz="0" w:space="0" w:color="auto"/>
        <w:bottom w:val="none" w:sz="0" w:space="0" w:color="auto"/>
        <w:right w:val="none" w:sz="0" w:space="0" w:color="auto"/>
      </w:divBdr>
    </w:div>
    <w:div w:id="1712680958">
      <w:bodyDiv w:val="1"/>
      <w:marLeft w:val="0"/>
      <w:marRight w:val="0"/>
      <w:marTop w:val="0"/>
      <w:marBottom w:val="0"/>
      <w:divBdr>
        <w:top w:val="none" w:sz="0" w:space="0" w:color="auto"/>
        <w:left w:val="none" w:sz="0" w:space="0" w:color="auto"/>
        <w:bottom w:val="none" w:sz="0" w:space="0" w:color="auto"/>
        <w:right w:val="none" w:sz="0" w:space="0" w:color="auto"/>
      </w:divBdr>
    </w:div>
    <w:div w:id="1724064044">
      <w:bodyDiv w:val="1"/>
      <w:marLeft w:val="0"/>
      <w:marRight w:val="0"/>
      <w:marTop w:val="0"/>
      <w:marBottom w:val="0"/>
      <w:divBdr>
        <w:top w:val="none" w:sz="0" w:space="0" w:color="auto"/>
        <w:left w:val="none" w:sz="0" w:space="0" w:color="auto"/>
        <w:bottom w:val="none" w:sz="0" w:space="0" w:color="auto"/>
        <w:right w:val="none" w:sz="0" w:space="0" w:color="auto"/>
      </w:divBdr>
    </w:div>
    <w:div w:id="1724600835">
      <w:bodyDiv w:val="1"/>
      <w:marLeft w:val="0"/>
      <w:marRight w:val="0"/>
      <w:marTop w:val="0"/>
      <w:marBottom w:val="0"/>
      <w:divBdr>
        <w:top w:val="none" w:sz="0" w:space="0" w:color="auto"/>
        <w:left w:val="none" w:sz="0" w:space="0" w:color="auto"/>
        <w:bottom w:val="none" w:sz="0" w:space="0" w:color="auto"/>
        <w:right w:val="none" w:sz="0" w:space="0" w:color="auto"/>
      </w:divBdr>
    </w:div>
    <w:div w:id="1725061229">
      <w:bodyDiv w:val="1"/>
      <w:marLeft w:val="0"/>
      <w:marRight w:val="0"/>
      <w:marTop w:val="0"/>
      <w:marBottom w:val="0"/>
      <w:divBdr>
        <w:top w:val="none" w:sz="0" w:space="0" w:color="auto"/>
        <w:left w:val="none" w:sz="0" w:space="0" w:color="auto"/>
        <w:bottom w:val="none" w:sz="0" w:space="0" w:color="auto"/>
        <w:right w:val="none" w:sz="0" w:space="0" w:color="auto"/>
      </w:divBdr>
    </w:div>
    <w:div w:id="1744134616">
      <w:bodyDiv w:val="1"/>
      <w:marLeft w:val="0"/>
      <w:marRight w:val="0"/>
      <w:marTop w:val="0"/>
      <w:marBottom w:val="0"/>
      <w:divBdr>
        <w:top w:val="none" w:sz="0" w:space="0" w:color="auto"/>
        <w:left w:val="none" w:sz="0" w:space="0" w:color="auto"/>
        <w:bottom w:val="none" w:sz="0" w:space="0" w:color="auto"/>
        <w:right w:val="none" w:sz="0" w:space="0" w:color="auto"/>
      </w:divBdr>
    </w:div>
    <w:div w:id="1744721494">
      <w:bodyDiv w:val="1"/>
      <w:marLeft w:val="0"/>
      <w:marRight w:val="0"/>
      <w:marTop w:val="0"/>
      <w:marBottom w:val="0"/>
      <w:divBdr>
        <w:top w:val="none" w:sz="0" w:space="0" w:color="auto"/>
        <w:left w:val="none" w:sz="0" w:space="0" w:color="auto"/>
        <w:bottom w:val="none" w:sz="0" w:space="0" w:color="auto"/>
        <w:right w:val="none" w:sz="0" w:space="0" w:color="auto"/>
      </w:divBdr>
    </w:div>
    <w:div w:id="1745755912">
      <w:bodyDiv w:val="1"/>
      <w:marLeft w:val="0"/>
      <w:marRight w:val="0"/>
      <w:marTop w:val="0"/>
      <w:marBottom w:val="0"/>
      <w:divBdr>
        <w:top w:val="none" w:sz="0" w:space="0" w:color="auto"/>
        <w:left w:val="none" w:sz="0" w:space="0" w:color="auto"/>
        <w:bottom w:val="none" w:sz="0" w:space="0" w:color="auto"/>
        <w:right w:val="none" w:sz="0" w:space="0" w:color="auto"/>
      </w:divBdr>
    </w:div>
    <w:div w:id="1757818829">
      <w:bodyDiv w:val="1"/>
      <w:marLeft w:val="0"/>
      <w:marRight w:val="0"/>
      <w:marTop w:val="0"/>
      <w:marBottom w:val="0"/>
      <w:divBdr>
        <w:top w:val="none" w:sz="0" w:space="0" w:color="auto"/>
        <w:left w:val="none" w:sz="0" w:space="0" w:color="auto"/>
        <w:bottom w:val="none" w:sz="0" w:space="0" w:color="auto"/>
        <w:right w:val="none" w:sz="0" w:space="0" w:color="auto"/>
      </w:divBdr>
    </w:div>
    <w:div w:id="1803185862">
      <w:bodyDiv w:val="1"/>
      <w:marLeft w:val="0"/>
      <w:marRight w:val="0"/>
      <w:marTop w:val="0"/>
      <w:marBottom w:val="0"/>
      <w:divBdr>
        <w:top w:val="none" w:sz="0" w:space="0" w:color="auto"/>
        <w:left w:val="none" w:sz="0" w:space="0" w:color="auto"/>
        <w:bottom w:val="none" w:sz="0" w:space="0" w:color="auto"/>
        <w:right w:val="none" w:sz="0" w:space="0" w:color="auto"/>
      </w:divBdr>
    </w:div>
    <w:div w:id="1831631735">
      <w:bodyDiv w:val="1"/>
      <w:marLeft w:val="0"/>
      <w:marRight w:val="0"/>
      <w:marTop w:val="0"/>
      <w:marBottom w:val="0"/>
      <w:divBdr>
        <w:top w:val="none" w:sz="0" w:space="0" w:color="auto"/>
        <w:left w:val="none" w:sz="0" w:space="0" w:color="auto"/>
        <w:bottom w:val="none" w:sz="0" w:space="0" w:color="auto"/>
        <w:right w:val="none" w:sz="0" w:space="0" w:color="auto"/>
      </w:divBdr>
    </w:div>
    <w:div w:id="1857381944">
      <w:bodyDiv w:val="1"/>
      <w:marLeft w:val="0"/>
      <w:marRight w:val="0"/>
      <w:marTop w:val="0"/>
      <w:marBottom w:val="0"/>
      <w:divBdr>
        <w:top w:val="none" w:sz="0" w:space="0" w:color="auto"/>
        <w:left w:val="none" w:sz="0" w:space="0" w:color="auto"/>
        <w:bottom w:val="none" w:sz="0" w:space="0" w:color="auto"/>
        <w:right w:val="none" w:sz="0" w:space="0" w:color="auto"/>
      </w:divBdr>
      <w:divsChild>
        <w:div w:id="260144330">
          <w:marLeft w:val="0"/>
          <w:marRight w:val="0"/>
          <w:marTop w:val="0"/>
          <w:marBottom w:val="0"/>
          <w:divBdr>
            <w:top w:val="none" w:sz="0" w:space="0" w:color="auto"/>
            <w:left w:val="none" w:sz="0" w:space="0" w:color="auto"/>
            <w:bottom w:val="none" w:sz="0" w:space="0" w:color="auto"/>
            <w:right w:val="none" w:sz="0" w:space="0" w:color="auto"/>
          </w:divBdr>
          <w:divsChild>
            <w:div w:id="1125390645">
              <w:marLeft w:val="0"/>
              <w:marRight w:val="0"/>
              <w:marTop w:val="0"/>
              <w:marBottom w:val="0"/>
              <w:divBdr>
                <w:top w:val="none" w:sz="0" w:space="0" w:color="auto"/>
                <w:left w:val="none" w:sz="0" w:space="0" w:color="auto"/>
                <w:bottom w:val="none" w:sz="0" w:space="0" w:color="auto"/>
                <w:right w:val="none" w:sz="0" w:space="0" w:color="auto"/>
              </w:divBdr>
              <w:divsChild>
                <w:div w:id="191844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88785">
      <w:bodyDiv w:val="1"/>
      <w:marLeft w:val="0"/>
      <w:marRight w:val="0"/>
      <w:marTop w:val="0"/>
      <w:marBottom w:val="0"/>
      <w:divBdr>
        <w:top w:val="none" w:sz="0" w:space="0" w:color="auto"/>
        <w:left w:val="none" w:sz="0" w:space="0" w:color="auto"/>
        <w:bottom w:val="none" w:sz="0" w:space="0" w:color="auto"/>
        <w:right w:val="none" w:sz="0" w:space="0" w:color="auto"/>
      </w:divBdr>
    </w:div>
    <w:div w:id="1882009544">
      <w:bodyDiv w:val="1"/>
      <w:marLeft w:val="0"/>
      <w:marRight w:val="0"/>
      <w:marTop w:val="0"/>
      <w:marBottom w:val="0"/>
      <w:divBdr>
        <w:top w:val="none" w:sz="0" w:space="0" w:color="auto"/>
        <w:left w:val="none" w:sz="0" w:space="0" w:color="auto"/>
        <w:bottom w:val="none" w:sz="0" w:space="0" w:color="auto"/>
        <w:right w:val="none" w:sz="0" w:space="0" w:color="auto"/>
      </w:divBdr>
    </w:div>
    <w:div w:id="1889685721">
      <w:bodyDiv w:val="1"/>
      <w:marLeft w:val="0"/>
      <w:marRight w:val="0"/>
      <w:marTop w:val="0"/>
      <w:marBottom w:val="0"/>
      <w:divBdr>
        <w:top w:val="none" w:sz="0" w:space="0" w:color="auto"/>
        <w:left w:val="none" w:sz="0" w:space="0" w:color="auto"/>
        <w:bottom w:val="none" w:sz="0" w:space="0" w:color="auto"/>
        <w:right w:val="none" w:sz="0" w:space="0" w:color="auto"/>
      </w:divBdr>
    </w:div>
    <w:div w:id="1927615735">
      <w:bodyDiv w:val="1"/>
      <w:marLeft w:val="0"/>
      <w:marRight w:val="0"/>
      <w:marTop w:val="0"/>
      <w:marBottom w:val="0"/>
      <w:divBdr>
        <w:top w:val="none" w:sz="0" w:space="0" w:color="auto"/>
        <w:left w:val="none" w:sz="0" w:space="0" w:color="auto"/>
        <w:bottom w:val="none" w:sz="0" w:space="0" w:color="auto"/>
        <w:right w:val="none" w:sz="0" w:space="0" w:color="auto"/>
      </w:divBdr>
      <w:divsChild>
        <w:div w:id="2120296303">
          <w:marLeft w:val="0"/>
          <w:marRight w:val="0"/>
          <w:marTop w:val="0"/>
          <w:marBottom w:val="0"/>
          <w:divBdr>
            <w:top w:val="none" w:sz="0" w:space="0" w:color="auto"/>
            <w:left w:val="none" w:sz="0" w:space="0" w:color="auto"/>
            <w:bottom w:val="none" w:sz="0" w:space="0" w:color="auto"/>
            <w:right w:val="none" w:sz="0" w:space="0" w:color="auto"/>
          </w:divBdr>
          <w:divsChild>
            <w:div w:id="59333235">
              <w:marLeft w:val="0"/>
              <w:marRight w:val="0"/>
              <w:marTop w:val="0"/>
              <w:marBottom w:val="0"/>
              <w:divBdr>
                <w:top w:val="none" w:sz="0" w:space="0" w:color="auto"/>
                <w:left w:val="none" w:sz="0" w:space="0" w:color="auto"/>
                <w:bottom w:val="none" w:sz="0" w:space="0" w:color="auto"/>
                <w:right w:val="none" w:sz="0" w:space="0" w:color="auto"/>
              </w:divBdr>
              <w:divsChild>
                <w:div w:id="43347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0571">
      <w:bodyDiv w:val="1"/>
      <w:marLeft w:val="0"/>
      <w:marRight w:val="0"/>
      <w:marTop w:val="0"/>
      <w:marBottom w:val="0"/>
      <w:divBdr>
        <w:top w:val="none" w:sz="0" w:space="0" w:color="auto"/>
        <w:left w:val="none" w:sz="0" w:space="0" w:color="auto"/>
        <w:bottom w:val="none" w:sz="0" w:space="0" w:color="auto"/>
        <w:right w:val="none" w:sz="0" w:space="0" w:color="auto"/>
      </w:divBdr>
    </w:div>
    <w:div w:id="2016108594">
      <w:bodyDiv w:val="1"/>
      <w:marLeft w:val="0"/>
      <w:marRight w:val="0"/>
      <w:marTop w:val="0"/>
      <w:marBottom w:val="0"/>
      <w:divBdr>
        <w:top w:val="none" w:sz="0" w:space="0" w:color="auto"/>
        <w:left w:val="none" w:sz="0" w:space="0" w:color="auto"/>
        <w:bottom w:val="none" w:sz="0" w:space="0" w:color="auto"/>
        <w:right w:val="none" w:sz="0" w:space="0" w:color="auto"/>
      </w:divBdr>
    </w:div>
    <w:div w:id="2029939448">
      <w:bodyDiv w:val="1"/>
      <w:marLeft w:val="0"/>
      <w:marRight w:val="0"/>
      <w:marTop w:val="0"/>
      <w:marBottom w:val="0"/>
      <w:divBdr>
        <w:top w:val="none" w:sz="0" w:space="0" w:color="auto"/>
        <w:left w:val="none" w:sz="0" w:space="0" w:color="auto"/>
        <w:bottom w:val="none" w:sz="0" w:space="0" w:color="auto"/>
        <w:right w:val="none" w:sz="0" w:space="0" w:color="auto"/>
      </w:divBdr>
    </w:div>
    <w:div w:id="2041316034">
      <w:bodyDiv w:val="1"/>
      <w:marLeft w:val="0"/>
      <w:marRight w:val="0"/>
      <w:marTop w:val="0"/>
      <w:marBottom w:val="0"/>
      <w:divBdr>
        <w:top w:val="none" w:sz="0" w:space="0" w:color="auto"/>
        <w:left w:val="none" w:sz="0" w:space="0" w:color="auto"/>
        <w:bottom w:val="none" w:sz="0" w:space="0" w:color="auto"/>
        <w:right w:val="none" w:sz="0" w:space="0" w:color="auto"/>
      </w:divBdr>
    </w:div>
    <w:div w:id="2082019158">
      <w:bodyDiv w:val="1"/>
      <w:marLeft w:val="0"/>
      <w:marRight w:val="0"/>
      <w:marTop w:val="0"/>
      <w:marBottom w:val="0"/>
      <w:divBdr>
        <w:top w:val="none" w:sz="0" w:space="0" w:color="auto"/>
        <w:left w:val="none" w:sz="0" w:space="0" w:color="auto"/>
        <w:bottom w:val="none" w:sz="0" w:space="0" w:color="auto"/>
        <w:right w:val="none" w:sz="0" w:space="0" w:color="auto"/>
      </w:divBdr>
    </w:div>
    <w:div w:id="2094011783">
      <w:bodyDiv w:val="1"/>
      <w:marLeft w:val="0"/>
      <w:marRight w:val="0"/>
      <w:marTop w:val="0"/>
      <w:marBottom w:val="0"/>
      <w:divBdr>
        <w:top w:val="none" w:sz="0" w:space="0" w:color="auto"/>
        <w:left w:val="none" w:sz="0" w:space="0" w:color="auto"/>
        <w:bottom w:val="none" w:sz="0" w:space="0" w:color="auto"/>
        <w:right w:val="none" w:sz="0" w:space="0" w:color="auto"/>
      </w:divBdr>
    </w:div>
    <w:div w:id="2097166973">
      <w:bodyDiv w:val="1"/>
      <w:marLeft w:val="0"/>
      <w:marRight w:val="0"/>
      <w:marTop w:val="0"/>
      <w:marBottom w:val="0"/>
      <w:divBdr>
        <w:top w:val="none" w:sz="0" w:space="0" w:color="auto"/>
        <w:left w:val="none" w:sz="0" w:space="0" w:color="auto"/>
        <w:bottom w:val="none" w:sz="0" w:space="0" w:color="auto"/>
        <w:right w:val="none" w:sz="0" w:space="0" w:color="auto"/>
      </w:divBdr>
      <w:divsChild>
        <w:div w:id="1772432827">
          <w:marLeft w:val="0"/>
          <w:marRight w:val="0"/>
          <w:marTop w:val="0"/>
          <w:marBottom w:val="0"/>
          <w:divBdr>
            <w:top w:val="none" w:sz="0" w:space="0" w:color="auto"/>
            <w:left w:val="none" w:sz="0" w:space="0" w:color="auto"/>
            <w:bottom w:val="none" w:sz="0" w:space="0" w:color="auto"/>
            <w:right w:val="none" w:sz="0" w:space="0" w:color="auto"/>
          </w:divBdr>
          <w:divsChild>
            <w:div w:id="835607488">
              <w:marLeft w:val="0"/>
              <w:marRight w:val="0"/>
              <w:marTop w:val="0"/>
              <w:marBottom w:val="0"/>
              <w:divBdr>
                <w:top w:val="none" w:sz="0" w:space="0" w:color="auto"/>
                <w:left w:val="none" w:sz="0" w:space="0" w:color="auto"/>
                <w:bottom w:val="none" w:sz="0" w:space="0" w:color="auto"/>
                <w:right w:val="none" w:sz="0" w:space="0" w:color="auto"/>
              </w:divBdr>
              <w:divsChild>
                <w:div w:id="9163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3238">
      <w:bodyDiv w:val="1"/>
      <w:marLeft w:val="0"/>
      <w:marRight w:val="0"/>
      <w:marTop w:val="0"/>
      <w:marBottom w:val="0"/>
      <w:divBdr>
        <w:top w:val="none" w:sz="0" w:space="0" w:color="auto"/>
        <w:left w:val="none" w:sz="0" w:space="0" w:color="auto"/>
        <w:bottom w:val="none" w:sz="0" w:space="0" w:color="auto"/>
        <w:right w:val="none" w:sz="0" w:space="0" w:color="auto"/>
      </w:divBdr>
    </w:div>
    <w:div w:id="211185506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436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66CDDEFB-AD22-4A84-81E1-884796179B45}">
  <ds:schemaRefs>
    <ds:schemaRef ds:uri="http://schemas.openxmlformats.org/officeDocument/2006/bibliography"/>
  </ds:schemaRefs>
</ds:datastoreItem>
</file>

<file path=customXml/itemProps3.xml><?xml version="1.0" encoding="utf-8"?>
<ds:datastoreItem xmlns:ds="http://schemas.openxmlformats.org/officeDocument/2006/customXml" ds:itemID="{0BF8B4B2-F454-42C0-864A-CEE5E83AC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D51A68-FED2-4540-A566-D7B47EE01F53}">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146</TotalTime>
  <Pages>24</Pages>
  <Words>8961</Words>
  <Characters>49288</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7</cp:revision>
  <cp:lastPrinted>2020-01-30T15:05:00Z</cp:lastPrinted>
  <dcterms:created xsi:type="dcterms:W3CDTF">2022-08-04T00:04:00Z</dcterms:created>
  <dcterms:modified xsi:type="dcterms:W3CDTF">2022-10-19T22:43:00Z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