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137E23" w:rsidRDefault="00137E23" w:rsidP="00137E23">
      <w:pPr>
        <w:spacing w:after="0" w:line="240" w:lineRule="auto"/>
        <w:jc w:val="right"/>
        <w:rPr>
          <w:rFonts w:ascii="Arial" w:eastAsia="Times New Roman" w:hAnsi="Arial" w:cs="Arial"/>
          <w:sz w:val="16"/>
          <w:szCs w:val="16"/>
          <w:lang w:eastAsia="es-ES"/>
        </w:rPr>
      </w:pPr>
      <w:r w:rsidRPr="00137E23">
        <w:rPr>
          <w:rFonts w:ascii="Arial" w:eastAsia="Times New Roman" w:hAnsi="Arial" w:cs="Arial"/>
          <w:sz w:val="16"/>
          <w:szCs w:val="16"/>
          <w:lang w:eastAsia="es-ES"/>
        </w:rPr>
        <w:t>CCE-DES-FM-17</w:t>
      </w:r>
    </w:p>
    <w:p w14:paraId="4113813E" w14:textId="77777777" w:rsidR="00137E23" w:rsidRPr="00881F9F" w:rsidRDefault="00137E23" w:rsidP="00AE5FD6">
      <w:pPr>
        <w:spacing w:after="0" w:line="240" w:lineRule="auto"/>
        <w:jc w:val="both"/>
        <w:rPr>
          <w:rFonts w:ascii="Arial" w:eastAsia="Calibri" w:hAnsi="Arial" w:cs="Arial"/>
          <w:b/>
          <w:sz w:val="20"/>
          <w:szCs w:val="20"/>
        </w:rPr>
      </w:pPr>
    </w:p>
    <w:p w14:paraId="217169C2" w14:textId="6B95E3A1" w:rsidR="006D3709" w:rsidRPr="00F737A7" w:rsidRDefault="006D3709" w:rsidP="008766CF">
      <w:pPr>
        <w:tabs>
          <w:tab w:val="left" w:pos="3374"/>
        </w:tabs>
        <w:spacing w:after="0" w:line="240" w:lineRule="auto"/>
        <w:jc w:val="both"/>
        <w:rPr>
          <w:rFonts w:ascii="Arial" w:hAnsi="Arial" w:cs="Arial"/>
          <w:b/>
          <w:bCs/>
        </w:rPr>
      </w:pPr>
      <w:bookmarkStart w:id="0" w:name="_Hlk104401313"/>
      <w:bookmarkStart w:id="1" w:name="_Hlk72942111"/>
      <w:r w:rsidRPr="00F737A7">
        <w:rPr>
          <w:rFonts w:ascii="Arial" w:hAnsi="Arial" w:cs="Arial"/>
          <w:b/>
          <w:bCs/>
        </w:rPr>
        <w:t>COLOMBIA COMPRA EFICIENTE – Competencia Consultiva – Contratación Estatal – Normas Generales</w:t>
      </w:r>
    </w:p>
    <w:p w14:paraId="704A803C" w14:textId="77777777" w:rsidR="008766CF" w:rsidRPr="00881F9F" w:rsidRDefault="008766CF" w:rsidP="008766CF">
      <w:pPr>
        <w:tabs>
          <w:tab w:val="left" w:pos="3374"/>
        </w:tabs>
        <w:spacing w:after="0" w:line="240" w:lineRule="auto"/>
        <w:jc w:val="both"/>
        <w:rPr>
          <w:rFonts w:ascii="Arial" w:hAnsi="Arial" w:cs="Arial"/>
          <w:b/>
          <w:bCs/>
          <w:sz w:val="20"/>
          <w:szCs w:val="20"/>
        </w:rPr>
      </w:pPr>
    </w:p>
    <w:p w14:paraId="4358A7D8" w14:textId="4A3A91DD" w:rsidR="0096395E" w:rsidRDefault="0096395E" w:rsidP="0096395E">
      <w:pPr>
        <w:tabs>
          <w:tab w:val="left" w:pos="3374"/>
        </w:tabs>
        <w:spacing w:after="0" w:line="240" w:lineRule="auto"/>
        <w:jc w:val="both"/>
        <w:rPr>
          <w:rFonts w:ascii="Arial" w:hAnsi="Arial" w:cs="Arial"/>
          <w:sz w:val="20"/>
          <w:szCs w:val="20"/>
        </w:rPr>
      </w:pPr>
      <w:r w:rsidRPr="0096395E">
        <w:rPr>
          <w:rFonts w:ascii="Arial" w:hAnsi="Arial" w:cs="Arial"/>
          <w:sz w:val="20"/>
          <w:szCs w:val="20"/>
        </w:rPr>
        <w:t>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tampoco puede extenderse a la resolución de controversias, ni a brindar asesorías sobre casos puntuales.</w:t>
      </w:r>
    </w:p>
    <w:p w14:paraId="1C6BCE81" w14:textId="77777777" w:rsidR="0096395E" w:rsidRDefault="0096395E" w:rsidP="008766CF">
      <w:pPr>
        <w:tabs>
          <w:tab w:val="left" w:pos="3374"/>
        </w:tabs>
        <w:spacing w:after="0" w:line="240" w:lineRule="auto"/>
        <w:jc w:val="both"/>
        <w:rPr>
          <w:rFonts w:ascii="Arial" w:hAnsi="Arial" w:cs="Arial"/>
          <w:sz w:val="20"/>
          <w:szCs w:val="20"/>
        </w:rPr>
      </w:pPr>
    </w:p>
    <w:p w14:paraId="33DCB1B2" w14:textId="77777777" w:rsidR="005C5E92" w:rsidRPr="00F737A7" w:rsidRDefault="005C5E92" w:rsidP="005C5E92">
      <w:pPr>
        <w:tabs>
          <w:tab w:val="left" w:pos="3374"/>
        </w:tabs>
        <w:spacing w:after="0" w:line="240" w:lineRule="auto"/>
        <w:jc w:val="both"/>
        <w:rPr>
          <w:rFonts w:ascii="Arial" w:eastAsia="Arial" w:hAnsi="Arial" w:cs="Arial"/>
          <w:b/>
          <w:bCs/>
          <w:lang w:val="es-ES"/>
        </w:rPr>
      </w:pPr>
      <w:r w:rsidRPr="00F737A7">
        <w:rPr>
          <w:rFonts w:ascii="Arial" w:eastAsia="Arial" w:hAnsi="Arial" w:cs="Arial"/>
          <w:b/>
          <w:bCs/>
          <w:lang w:val="es-ES"/>
        </w:rPr>
        <w:t>BIENES O SERVICIOS DE CARACTERÍSTICAS TÉCNICAS UNIFORMES Y DE COMÚN UTILIZACIÓN – Noción – Fundamentos jurídicos – Elementos</w:t>
      </w:r>
    </w:p>
    <w:p w14:paraId="3499C69E" w14:textId="77777777" w:rsidR="005C5E92" w:rsidRPr="005C5E92" w:rsidRDefault="005C5E92" w:rsidP="005C5E92">
      <w:pPr>
        <w:tabs>
          <w:tab w:val="left" w:pos="3374"/>
        </w:tabs>
        <w:spacing w:after="0" w:line="240" w:lineRule="auto"/>
        <w:jc w:val="both"/>
        <w:rPr>
          <w:rFonts w:ascii="Arial" w:eastAsia="Arial" w:hAnsi="Arial" w:cs="Arial"/>
          <w:b/>
          <w:bCs/>
          <w:sz w:val="20"/>
          <w:szCs w:val="20"/>
          <w:lang w:val="es-ES"/>
        </w:rPr>
      </w:pPr>
    </w:p>
    <w:p w14:paraId="0A6563C8" w14:textId="4A922E8C" w:rsidR="005C5E92" w:rsidRPr="005C5E92" w:rsidRDefault="005C5E92" w:rsidP="005C5E92">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la Ley 1150 de 2007 –artículo 2, numeral 2, literal a)– estableció que los bienes y servicios de características técnicas uniformes son aquellos que poseen las mismas especificaciones técnicas y comparten patrones de desempeño y calidad objetivamente definidas, con independencia de su diseño o de sus características descriptivas.</w:t>
      </w:r>
    </w:p>
    <w:p w14:paraId="65108B85" w14:textId="77777777" w:rsidR="005C5E92" w:rsidRPr="005C5E92" w:rsidRDefault="005C5E92" w:rsidP="005C5E92">
      <w:pPr>
        <w:tabs>
          <w:tab w:val="left" w:pos="3374"/>
        </w:tabs>
        <w:spacing w:after="0" w:line="240" w:lineRule="auto"/>
        <w:jc w:val="both"/>
        <w:rPr>
          <w:rFonts w:ascii="Arial" w:eastAsia="Arial" w:hAnsi="Arial" w:cs="Arial"/>
          <w:sz w:val="20"/>
          <w:szCs w:val="20"/>
          <w:lang w:val="es-ES"/>
        </w:rPr>
      </w:pPr>
    </w:p>
    <w:p w14:paraId="6EB1B4F6" w14:textId="46C56547" w:rsidR="005C5E92" w:rsidRPr="005C5E92" w:rsidRDefault="005C5E92" w:rsidP="005C5E92">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xml:space="preserve">En armonía con la disposición anterior, el artículo 2.2.1.1.1.3.1 del Decreto 1082 de 2015 desarrolló el concepto de «bienes y servicios de características técnicas uniformes» en los siguientes términos: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w:t>
      </w:r>
    </w:p>
    <w:p w14:paraId="1DCB2737" w14:textId="77777777" w:rsidR="005C5E92" w:rsidRPr="005C5E92" w:rsidRDefault="005C5E92" w:rsidP="005C5E92">
      <w:pPr>
        <w:tabs>
          <w:tab w:val="left" w:pos="3374"/>
        </w:tabs>
        <w:spacing w:after="0" w:line="240" w:lineRule="auto"/>
        <w:jc w:val="both"/>
        <w:rPr>
          <w:rFonts w:ascii="Arial" w:eastAsia="Arial" w:hAnsi="Arial" w:cs="Arial"/>
          <w:sz w:val="20"/>
          <w:szCs w:val="20"/>
          <w:lang w:val="es-ES"/>
        </w:rPr>
      </w:pPr>
    </w:p>
    <w:p w14:paraId="19191523" w14:textId="15AC3B54" w:rsidR="006B129B" w:rsidRPr="005C5E92" w:rsidRDefault="005C5E92" w:rsidP="005C5E92">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los elementos centrales para definir si un bien o servicio se considera de características técnicas uniformes consiste en que posea las mismas especificaciones técnicas y compartan patrones de desempeño y calidad objetivamente definidos, de manera que es posible adquirirlos en el mercado en condiciones estandarizadas u homogéneas, con independencia de su diseño o de sus características descriptivas, que no afectan su funcionalidad. En este sentido, la forma como se adquieren en el mercado incide en la determinación si un bien o servicio encaja en esta categoría, de ahí que el Decreto 1082 de 2015 señale que «pueden ser agrupados como bienes y servicios homogéneos para su adquisición», dado que son bienes y servicio con especificaciones técnicas y patrones de desempeño y calidad iguales o similares.</w:t>
      </w:r>
    </w:p>
    <w:p w14:paraId="0B6CD0E6" w14:textId="77777777" w:rsidR="005C5E92" w:rsidRPr="00F737A7" w:rsidRDefault="005C5E92" w:rsidP="005C5E92">
      <w:pPr>
        <w:tabs>
          <w:tab w:val="left" w:pos="3374"/>
        </w:tabs>
        <w:spacing w:after="0" w:line="240" w:lineRule="auto"/>
        <w:jc w:val="both"/>
        <w:rPr>
          <w:rFonts w:ascii="Arial" w:hAnsi="Arial" w:cs="Arial"/>
          <w:lang w:val="es-MX"/>
        </w:rPr>
      </w:pPr>
    </w:p>
    <w:p w14:paraId="437F0A78" w14:textId="77777777" w:rsidR="006B129B" w:rsidRPr="00F737A7" w:rsidRDefault="006B129B" w:rsidP="006B129B">
      <w:pPr>
        <w:pStyle w:val="Textoindependiente"/>
        <w:spacing w:after="12"/>
        <w:ind w:right="116"/>
        <w:jc w:val="both"/>
        <w:rPr>
          <w:b/>
          <w:bCs/>
        </w:rPr>
      </w:pPr>
      <w:r w:rsidRPr="00F737A7">
        <w:rPr>
          <w:b/>
          <w:bCs/>
        </w:rPr>
        <w:t>ACUERDO MARCO DE PRECIOS – Bienes y servicios de características técnicas uniformes</w:t>
      </w:r>
    </w:p>
    <w:p w14:paraId="7BC1746F" w14:textId="77777777" w:rsidR="006B129B" w:rsidRPr="006B129B" w:rsidRDefault="006B129B" w:rsidP="006B129B">
      <w:pPr>
        <w:pStyle w:val="Textoindependiente"/>
        <w:spacing w:after="12"/>
        <w:ind w:right="111"/>
        <w:jc w:val="both"/>
        <w:rPr>
          <w:b/>
          <w:sz w:val="20"/>
          <w:szCs w:val="20"/>
        </w:rPr>
      </w:pPr>
    </w:p>
    <w:p w14:paraId="170CCEA0" w14:textId="6338844E" w:rsidR="0096395E" w:rsidRDefault="0096395E" w:rsidP="0096395E">
      <w:pPr>
        <w:pStyle w:val="Textoindependiente"/>
        <w:ind w:right="116"/>
        <w:jc w:val="both"/>
        <w:rPr>
          <w:sz w:val="20"/>
          <w:szCs w:val="20"/>
        </w:rPr>
      </w:pPr>
      <w:r w:rsidRPr="0096395E">
        <w:rPr>
          <w:sz w:val="20"/>
          <w:szCs w:val="20"/>
        </w:rPr>
        <w:t>De conformidad con lo previsto en el literal a) del numeral 2º del artículo 2º de la Ley 1150 de 2007 la selección abreviada es la modalidad de selección de selección determinada para la adquisición de bienes de características técnicas uniformes y de común utilización.</w:t>
      </w:r>
    </w:p>
    <w:p w14:paraId="0A38891E" w14:textId="77777777" w:rsidR="0096395E" w:rsidRDefault="0096395E" w:rsidP="0096395E">
      <w:pPr>
        <w:pStyle w:val="Textoindependiente"/>
        <w:ind w:right="116"/>
        <w:jc w:val="both"/>
        <w:rPr>
          <w:sz w:val="20"/>
          <w:szCs w:val="20"/>
        </w:rPr>
      </w:pPr>
    </w:p>
    <w:p w14:paraId="479CB42B" w14:textId="35F10324" w:rsidR="006B129B" w:rsidRDefault="0096395E" w:rsidP="0096395E">
      <w:pPr>
        <w:pStyle w:val="Textoindependiente"/>
        <w:ind w:right="116"/>
        <w:jc w:val="both"/>
        <w:rPr>
          <w:sz w:val="20"/>
          <w:szCs w:val="20"/>
        </w:rPr>
      </w:pPr>
      <w:r w:rsidRPr="0096395E">
        <w:rPr>
          <w:sz w:val="20"/>
          <w:szCs w:val="20"/>
        </w:rPr>
        <w:t>Nótese que la disposición en cita introdujo una categoría novedosa para el momento en que fue expedida la Ley 1150 de 2007: l</w:t>
      </w:r>
      <w:r w:rsidR="006B129B" w:rsidRPr="006B129B">
        <w:rPr>
          <w:sz w:val="20"/>
          <w:szCs w:val="20"/>
        </w:rPr>
        <w:t xml:space="preserve">os bienes y servicios de características técnicas uniformes y de común utilización por parte de las entidades. En segundo lugar, la norma señaló que este tipo de </w:t>
      </w:r>
      <w:r w:rsidR="006B129B" w:rsidRPr="006B129B">
        <w:rPr>
          <w:sz w:val="20"/>
          <w:szCs w:val="20"/>
        </w:rPr>
        <w:lastRenderedPageBreak/>
        <w:t xml:space="preserve">bienes y servicios se adquieren a través de tres modalidades: i) subasta inversa; </w:t>
      </w:r>
      <w:proofErr w:type="spellStart"/>
      <w:r w:rsidR="006B129B" w:rsidRPr="006B129B">
        <w:rPr>
          <w:sz w:val="20"/>
          <w:szCs w:val="20"/>
        </w:rPr>
        <w:t>ii</w:t>
      </w:r>
      <w:proofErr w:type="spellEnd"/>
      <w:r w:rsidR="006B129B" w:rsidRPr="006B129B">
        <w:rPr>
          <w:sz w:val="20"/>
          <w:szCs w:val="20"/>
        </w:rPr>
        <w:t xml:space="preserve">) bolsas de productos y </w:t>
      </w:r>
      <w:proofErr w:type="spellStart"/>
      <w:r w:rsidR="006B129B" w:rsidRPr="006B129B">
        <w:rPr>
          <w:sz w:val="20"/>
          <w:szCs w:val="20"/>
        </w:rPr>
        <w:t>iii</w:t>
      </w:r>
      <w:proofErr w:type="spellEnd"/>
      <w:r w:rsidR="006B129B" w:rsidRPr="006B129B">
        <w:rPr>
          <w:sz w:val="20"/>
          <w:szCs w:val="20"/>
        </w:rPr>
        <w:t>) instrumentos de compra por catálogo derivados de acuerdos marco de precios.</w:t>
      </w:r>
    </w:p>
    <w:p w14:paraId="7A123B3D" w14:textId="77777777" w:rsidR="0096395E" w:rsidRPr="006B129B" w:rsidRDefault="0096395E" w:rsidP="0096395E">
      <w:pPr>
        <w:pStyle w:val="Textoindependiente"/>
        <w:ind w:right="116"/>
        <w:jc w:val="both"/>
        <w:rPr>
          <w:sz w:val="20"/>
          <w:szCs w:val="20"/>
        </w:rPr>
      </w:pPr>
    </w:p>
    <w:p w14:paraId="0B6D1A81" w14:textId="5E79FB2A" w:rsidR="006B129B" w:rsidRDefault="0096395E" w:rsidP="006B129B">
      <w:pPr>
        <w:pStyle w:val="Textoindependiente"/>
        <w:ind w:right="116"/>
        <w:jc w:val="both"/>
        <w:rPr>
          <w:sz w:val="20"/>
          <w:szCs w:val="20"/>
        </w:rPr>
      </w:pPr>
      <w:r w:rsidRPr="0096395E">
        <w:rPr>
          <w:sz w:val="20"/>
          <w:szCs w:val="20"/>
        </w:rPr>
        <w:t>La aplicación de estos mecanismos se encuentra reglamentada por el Decreto 1082 de 2015, el cual determina en su artículo 2.2.1.2.1.2.9 del Decreto 1082 de 2015, que corresponde a la Entidad Estatal en la etapa de planeación del Proceso de Contratación verificar si existe un Acuerdo Marco de Precios vigente con el cual se pueda satisfacer la necesidad identificada. Si el Catálogo para Acuerdos Marco de Precios contiene el bien o servicio requerido, la Entidad Estatal de que trata el inciso 1° del artículo 2.2.1.2.1.2.7 del presente decreto está obligada a suscribir el Acuerdo Marco de Precios, en la forma que Colombia Compra Eficiente disponga, y luego puede colocar la orden de compra correspondiente en los términos establecidos en el Acuerdo Marco de Precios.</w:t>
      </w:r>
    </w:p>
    <w:bookmarkEnd w:id="0"/>
    <w:p w14:paraId="4F023302" w14:textId="77777777" w:rsidR="00F737A7" w:rsidRDefault="00F737A7" w:rsidP="00586358">
      <w:pPr>
        <w:tabs>
          <w:tab w:val="left" w:pos="3374"/>
        </w:tabs>
        <w:spacing w:after="0" w:line="240" w:lineRule="auto"/>
        <w:jc w:val="both"/>
        <w:rPr>
          <w:rFonts w:ascii="Arial" w:hAnsi="Arial" w:cs="Arial"/>
          <w:b/>
          <w:bCs/>
          <w:sz w:val="20"/>
          <w:szCs w:val="20"/>
        </w:rPr>
      </w:pPr>
    </w:p>
    <w:p w14:paraId="4DD3D209" w14:textId="0A00156F" w:rsidR="00F737A7" w:rsidRDefault="00F737A7" w:rsidP="00F737A7">
      <w:pPr>
        <w:spacing w:line="276" w:lineRule="auto"/>
        <w:jc w:val="both"/>
        <w:rPr>
          <w:rFonts w:ascii="Arial" w:eastAsia="Calibri" w:hAnsi="Arial" w:cs="Arial"/>
          <w:b/>
          <w:color w:val="000000"/>
          <w:lang w:val="es-ES_tradnl"/>
        </w:rPr>
      </w:pPr>
      <w:r w:rsidRPr="00F737A7">
        <w:rPr>
          <w:rFonts w:ascii="Arial" w:eastAsia="Calibri" w:hAnsi="Arial" w:cs="Arial"/>
          <w:b/>
          <w:color w:val="000000"/>
          <w:lang w:val="es-ES_tradnl"/>
        </w:rPr>
        <w:t>SERVICIOS NACIONALES</w:t>
      </w:r>
      <w:r w:rsidRPr="0088027A">
        <w:rPr>
          <w:rFonts w:ascii="Arial" w:eastAsia="Calibri" w:hAnsi="Arial" w:cs="Arial"/>
          <w:b/>
          <w:color w:val="000000"/>
          <w:lang w:val="es-ES_tradnl"/>
        </w:rPr>
        <w:t xml:space="preserve"> </w:t>
      </w:r>
      <w:r>
        <w:rPr>
          <w:rFonts w:ascii="Arial" w:eastAsia="Calibri" w:hAnsi="Arial" w:cs="Arial"/>
          <w:b/>
          <w:color w:val="000000"/>
          <w:lang w:val="es-ES_tradnl"/>
        </w:rPr>
        <w:t xml:space="preserve">- </w:t>
      </w:r>
      <w:r w:rsidR="00C4741C">
        <w:rPr>
          <w:rFonts w:ascii="Arial" w:eastAsia="Calibri" w:hAnsi="Arial" w:cs="Arial"/>
          <w:b/>
          <w:color w:val="000000"/>
          <w:lang w:val="es-ES_tradnl"/>
        </w:rPr>
        <w:t>P</w:t>
      </w:r>
      <w:r w:rsidR="00C4741C" w:rsidRPr="0088027A">
        <w:rPr>
          <w:rFonts w:ascii="Arial" w:eastAsia="Calibri" w:hAnsi="Arial" w:cs="Arial"/>
          <w:b/>
          <w:color w:val="000000"/>
          <w:lang w:val="es-ES_tradnl"/>
        </w:rPr>
        <w:t xml:space="preserve">untaje </w:t>
      </w:r>
      <w:r w:rsidR="00C4741C">
        <w:rPr>
          <w:rFonts w:ascii="Arial" w:eastAsia="Calibri" w:hAnsi="Arial" w:cs="Arial"/>
          <w:b/>
          <w:color w:val="000000"/>
          <w:lang w:val="es-ES_tradnl"/>
        </w:rPr>
        <w:t xml:space="preserve">- </w:t>
      </w:r>
      <w:r w:rsidRPr="0088027A">
        <w:rPr>
          <w:rFonts w:ascii="Arial" w:eastAsia="Calibri" w:hAnsi="Arial" w:cs="Arial"/>
          <w:b/>
          <w:color w:val="000000"/>
          <w:lang w:val="es-ES_tradnl"/>
        </w:rPr>
        <w:t>Ley 816 de 2003</w:t>
      </w:r>
      <w:r>
        <w:rPr>
          <w:rFonts w:ascii="Arial" w:eastAsia="Calibri" w:hAnsi="Arial" w:cs="Arial"/>
          <w:b/>
          <w:color w:val="000000"/>
          <w:lang w:val="es-ES_tradnl"/>
        </w:rPr>
        <w:t xml:space="preserve"> - </w:t>
      </w:r>
      <w:r w:rsidR="00C4741C">
        <w:rPr>
          <w:rFonts w:ascii="Arial" w:eastAsia="Calibri" w:hAnsi="Arial" w:cs="Arial"/>
          <w:b/>
          <w:color w:val="000000"/>
          <w:lang w:val="es-ES_tradnl"/>
        </w:rPr>
        <w:t>N</w:t>
      </w:r>
      <w:r w:rsidR="00C4741C" w:rsidRPr="0088027A">
        <w:rPr>
          <w:rFonts w:ascii="Arial" w:eastAsia="Calibri" w:hAnsi="Arial" w:cs="Arial"/>
          <w:b/>
          <w:color w:val="000000"/>
          <w:lang w:val="es-ES_tradnl"/>
        </w:rPr>
        <w:t xml:space="preserve">oción </w:t>
      </w:r>
      <w:r w:rsidR="00C4741C">
        <w:rPr>
          <w:rFonts w:ascii="Arial" w:eastAsia="Calibri" w:hAnsi="Arial" w:cs="Arial"/>
          <w:b/>
          <w:color w:val="000000"/>
          <w:lang w:val="es-ES_tradnl"/>
        </w:rPr>
        <w:t xml:space="preserve">- </w:t>
      </w:r>
      <w:r w:rsidRPr="0088027A">
        <w:rPr>
          <w:rFonts w:ascii="Arial" w:eastAsia="Calibri" w:hAnsi="Arial" w:cs="Arial"/>
          <w:b/>
          <w:color w:val="000000"/>
          <w:lang w:val="es-ES_tradnl"/>
        </w:rPr>
        <w:t>Decreto 680 de 2021</w:t>
      </w:r>
    </w:p>
    <w:p w14:paraId="1B2FFFD8" w14:textId="667B4BB1" w:rsidR="00F737A7" w:rsidRPr="00C4741C" w:rsidRDefault="00F737A7" w:rsidP="00F737A7">
      <w:pPr>
        <w:tabs>
          <w:tab w:val="left" w:pos="3374"/>
        </w:tabs>
        <w:spacing w:after="0" w:line="240" w:lineRule="auto"/>
        <w:jc w:val="both"/>
        <w:rPr>
          <w:rFonts w:ascii="Arial" w:hAnsi="Arial" w:cs="Arial"/>
          <w:sz w:val="20"/>
          <w:szCs w:val="20"/>
        </w:rPr>
      </w:pPr>
      <w:r w:rsidRPr="00C4741C">
        <w:rPr>
          <w:rFonts w:ascii="Arial" w:hAnsi="Arial" w:cs="Arial"/>
          <w:sz w:val="20"/>
          <w:szCs w:val="20"/>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la citada Ley adoptó con el propósito de crear un factor de preferencia para las propuestas que ofrezcan productos o servicios nacionales</w:t>
      </w:r>
      <w:r w:rsidR="00C4741C" w:rsidRPr="00C4741C">
        <w:rPr>
          <w:rFonts w:ascii="Arial" w:hAnsi="Arial" w:cs="Arial"/>
          <w:sz w:val="20"/>
          <w:szCs w:val="20"/>
        </w:rPr>
        <w:t>.</w:t>
      </w:r>
    </w:p>
    <w:p w14:paraId="2313ACC7" w14:textId="44D82236" w:rsidR="00C4741C" w:rsidRPr="00C4741C" w:rsidRDefault="00C4741C" w:rsidP="00F737A7">
      <w:pPr>
        <w:tabs>
          <w:tab w:val="left" w:pos="3374"/>
        </w:tabs>
        <w:spacing w:after="0" w:line="240" w:lineRule="auto"/>
        <w:jc w:val="both"/>
        <w:rPr>
          <w:rFonts w:ascii="Arial" w:hAnsi="Arial" w:cs="Arial"/>
          <w:sz w:val="20"/>
          <w:szCs w:val="20"/>
        </w:rPr>
      </w:pPr>
    </w:p>
    <w:p w14:paraId="5BD5C23E" w14:textId="4075F3EF" w:rsidR="00C4741C" w:rsidRPr="00C4741C" w:rsidRDefault="00C4741C" w:rsidP="00F737A7">
      <w:pPr>
        <w:tabs>
          <w:tab w:val="left" w:pos="3374"/>
        </w:tabs>
        <w:spacing w:after="0" w:line="240" w:lineRule="auto"/>
        <w:jc w:val="both"/>
        <w:rPr>
          <w:rFonts w:ascii="Arial" w:hAnsi="Arial" w:cs="Arial"/>
          <w:sz w:val="20"/>
          <w:szCs w:val="20"/>
        </w:rPr>
      </w:pPr>
      <w:r w:rsidRPr="00C4741C">
        <w:rPr>
          <w:rFonts w:ascii="Arial" w:hAnsi="Arial" w:cs="Arial"/>
          <w:sz w:val="20"/>
          <w:szCs w:val="20"/>
        </w:rPr>
        <w:t>Para el cumplimiento de tales fines, el artículo 1 dispone que las entidades estatales, en los procedimientos de selección que realicen e independientemente del régimen contractual que les sea aplicable, deben adoptar criterios que apoyen la industria nacional. De acuerdo con esta norma, las ofertas de bienes y servicios nacionales –o extranjeros con derecho a trato nacional– deberán beneficiarse de la obtención de un puntaje comprendido entre el diez (10) y el veinte (20%) del total de los puntos, según lo haya definido la entidad estatal contratante en el pliego de condiciones o documento equivalente, con la finalidad de incentivar la industria nacional.</w:t>
      </w:r>
    </w:p>
    <w:p w14:paraId="081BF4F7" w14:textId="339152BE" w:rsidR="00C4741C" w:rsidRPr="00C4741C" w:rsidRDefault="00C4741C" w:rsidP="00F737A7">
      <w:pPr>
        <w:tabs>
          <w:tab w:val="left" w:pos="3374"/>
        </w:tabs>
        <w:spacing w:after="0" w:line="240" w:lineRule="auto"/>
        <w:jc w:val="both"/>
        <w:rPr>
          <w:rFonts w:ascii="Arial" w:hAnsi="Arial" w:cs="Arial"/>
          <w:sz w:val="20"/>
          <w:szCs w:val="20"/>
        </w:rPr>
      </w:pPr>
    </w:p>
    <w:p w14:paraId="6920008A" w14:textId="526E33D1" w:rsidR="00C4741C" w:rsidRPr="00C4741C" w:rsidRDefault="00C4741C" w:rsidP="00F737A7">
      <w:pPr>
        <w:tabs>
          <w:tab w:val="left" w:pos="3374"/>
        </w:tabs>
        <w:spacing w:after="0" w:line="240" w:lineRule="auto"/>
        <w:jc w:val="both"/>
        <w:rPr>
          <w:rFonts w:ascii="Arial" w:hAnsi="Arial" w:cs="Arial"/>
          <w:sz w:val="20"/>
          <w:szCs w:val="20"/>
        </w:rPr>
      </w:pPr>
      <w:r w:rsidRPr="00586358">
        <w:rPr>
          <w:rFonts w:ascii="Arial" w:hAnsi="Arial" w:cs="Arial"/>
          <w:sz w:val="20"/>
          <w:szCs w:val="20"/>
        </w:rPr>
        <w:t>[…]</w:t>
      </w:r>
      <w:r>
        <w:rPr>
          <w:rFonts w:ascii="Arial" w:hAnsi="Arial" w:cs="Arial"/>
          <w:sz w:val="20"/>
          <w:szCs w:val="20"/>
        </w:rPr>
        <w:t xml:space="preserve"> </w:t>
      </w:r>
      <w:r w:rsidRPr="00C4741C">
        <w:rPr>
          <w:rFonts w:ascii="Arial" w:hAnsi="Arial" w:cs="Arial"/>
          <w:sz w:val="20"/>
          <w:szCs w:val="20"/>
        </w:rPr>
        <w:t xml:space="preserve">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Servicios Nacionales </w:t>
      </w:r>
      <w:r w:rsidRPr="00586358">
        <w:rPr>
          <w:rFonts w:ascii="Arial" w:hAnsi="Arial" w:cs="Arial"/>
          <w:sz w:val="20"/>
          <w:szCs w:val="20"/>
        </w:rPr>
        <w:t>[…]</w:t>
      </w:r>
      <w:r>
        <w:rPr>
          <w:rFonts w:ascii="Arial" w:hAnsi="Arial" w:cs="Arial"/>
          <w:sz w:val="20"/>
          <w:szCs w:val="20"/>
        </w:rPr>
        <w:t xml:space="preserve">. </w:t>
      </w:r>
      <w:r w:rsidRPr="00C4741C">
        <w:rPr>
          <w:rFonts w:ascii="Arial" w:hAnsi="Arial" w:cs="Arial"/>
          <w:sz w:val="20"/>
          <w:szCs w:val="20"/>
        </w:rPr>
        <w:t>De otra parte, el Decreto 680 de 2021 consagra, en el artículo 2, unos lineamientos que deben seguir las entidades estatales para definir los bienes colombianos relevantes y otorgar el puntaje de que trata el inciso 1 del artículo 2 de la Ley 816 de 2003.</w:t>
      </w:r>
    </w:p>
    <w:p w14:paraId="38D6C23C" w14:textId="77777777" w:rsidR="00F737A7" w:rsidRDefault="00F737A7" w:rsidP="00586358">
      <w:pPr>
        <w:tabs>
          <w:tab w:val="left" w:pos="3374"/>
        </w:tabs>
        <w:spacing w:after="0" w:line="240" w:lineRule="auto"/>
        <w:jc w:val="both"/>
        <w:rPr>
          <w:rFonts w:ascii="Arial" w:hAnsi="Arial" w:cs="Arial"/>
          <w:b/>
          <w:bCs/>
          <w:sz w:val="20"/>
          <w:szCs w:val="20"/>
        </w:rPr>
      </w:pPr>
    </w:p>
    <w:p w14:paraId="67F871BD" w14:textId="62928D34" w:rsidR="00586358" w:rsidRPr="00051707" w:rsidRDefault="00586358" w:rsidP="00C4741C">
      <w:pPr>
        <w:tabs>
          <w:tab w:val="left" w:pos="3374"/>
        </w:tabs>
        <w:spacing w:after="0" w:line="240" w:lineRule="auto"/>
        <w:jc w:val="both"/>
        <w:rPr>
          <w:rFonts w:ascii="Arial" w:hAnsi="Arial" w:cs="Arial"/>
        </w:rPr>
      </w:pPr>
      <w:r w:rsidRPr="00051707">
        <w:rPr>
          <w:rFonts w:ascii="Arial" w:hAnsi="Arial" w:cs="Arial"/>
          <w:b/>
          <w:bCs/>
        </w:rPr>
        <w:t>LEY DE EMPRENDIMIENTO – Ley 2069 de 2020 –</w:t>
      </w:r>
      <w:r w:rsidR="00C4741C" w:rsidRPr="00051707">
        <w:rPr>
          <w:rFonts w:ascii="Arial" w:hAnsi="Arial" w:cs="Arial"/>
          <w:b/>
          <w:bCs/>
        </w:rPr>
        <w:t xml:space="preserve"> </w:t>
      </w:r>
      <w:r w:rsidRPr="00051707">
        <w:rPr>
          <w:rFonts w:ascii="Arial" w:hAnsi="Arial" w:cs="Arial"/>
          <w:b/>
          <w:bCs/>
        </w:rPr>
        <w:t>Contratación estatal − Incentivos</w:t>
      </w:r>
      <w:r w:rsidRPr="00051707">
        <w:rPr>
          <w:rFonts w:ascii="Arial" w:hAnsi="Arial" w:cs="Arial"/>
        </w:rPr>
        <w:t xml:space="preserve"> </w:t>
      </w:r>
    </w:p>
    <w:p w14:paraId="2B3FF615" w14:textId="77777777" w:rsidR="00C4741C" w:rsidRPr="00586358" w:rsidRDefault="00C4741C" w:rsidP="00051707">
      <w:pPr>
        <w:tabs>
          <w:tab w:val="left" w:pos="3374"/>
        </w:tabs>
        <w:spacing w:after="0" w:line="240" w:lineRule="auto"/>
        <w:jc w:val="both"/>
        <w:rPr>
          <w:rFonts w:ascii="Arial" w:hAnsi="Arial" w:cs="Arial"/>
          <w:sz w:val="20"/>
          <w:szCs w:val="20"/>
        </w:rPr>
      </w:pPr>
    </w:p>
    <w:p w14:paraId="67808481" w14:textId="04B7D526" w:rsidR="00C4741C" w:rsidRDefault="00C4741C" w:rsidP="00051707">
      <w:pPr>
        <w:spacing w:after="0" w:line="240" w:lineRule="auto"/>
        <w:jc w:val="both"/>
        <w:rPr>
          <w:rFonts w:ascii="Arial" w:hAnsi="Arial" w:cs="Arial"/>
          <w:sz w:val="20"/>
          <w:szCs w:val="20"/>
        </w:rPr>
      </w:pPr>
      <w:r w:rsidRPr="00051707">
        <w:rPr>
          <w:rFonts w:ascii="Arial" w:hAnsi="Arial" w:cs="Arial"/>
          <w:sz w:val="20"/>
          <w:szCs w:val="20"/>
        </w:rPr>
        <w:t xml:space="preserve">El artículo 34 de la ley 2069 de 2020 –en adelante, también, Ley de Emprendimiento– 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 En este sentido, frente al artículo 12 de la ley 1150 de 2007, se produjo el fenómeno de la subrogación </w:t>
      </w:r>
      <w:r w:rsidRPr="00586358">
        <w:rPr>
          <w:rFonts w:ascii="Arial" w:hAnsi="Arial" w:cs="Arial"/>
          <w:sz w:val="20"/>
          <w:szCs w:val="20"/>
        </w:rPr>
        <w:t>[…]</w:t>
      </w:r>
      <w:r>
        <w:rPr>
          <w:rFonts w:ascii="Arial" w:hAnsi="Arial" w:cs="Arial"/>
          <w:sz w:val="20"/>
          <w:szCs w:val="20"/>
        </w:rPr>
        <w:t>.</w:t>
      </w:r>
      <w:r w:rsidRPr="00051707">
        <w:rPr>
          <w:rFonts w:ascii="Arial" w:hAnsi="Arial" w:cs="Arial"/>
          <w:sz w:val="20"/>
          <w:szCs w:val="20"/>
        </w:rPr>
        <w:t xml:space="preserve"> Así, el artículo 34 de la Ley 2069 de 2020 cambia requisitos esenciales para que pueda haber convocatorias limitadas a </w:t>
      </w:r>
      <w:proofErr w:type="spellStart"/>
      <w:r w:rsidRPr="00051707">
        <w:rPr>
          <w:rFonts w:ascii="Arial" w:hAnsi="Arial" w:cs="Arial"/>
          <w:sz w:val="20"/>
          <w:szCs w:val="20"/>
        </w:rPr>
        <w:t>Mipymes</w:t>
      </w:r>
      <w:proofErr w:type="spellEnd"/>
      <w:r w:rsidRPr="00051707">
        <w:rPr>
          <w:rFonts w:ascii="Arial" w:hAnsi="Arial" w:cs="Arial"/>
          <w:sz w:val="20"/>
          <w:szCs w:val="20"/>
        </w:rPr>
        <w:t xml:space="preserve">, en relación con la regulación anterior. En tal sentido: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051707">
        <w:rPr>
          <w:rFonts w:ascii="Arial" w:hAnsi="Arial" w:cs="Arial"/>
          <w:sz w:val="20"/>
          <w:szCs w:val="20"/>
        </w:rPr>
        <w:t>ii</w:t>
      </w:r>
      <w:proofErr w:type="spellEnd"/>
      <w:r w:rsidRPr="00051707">
        <w:rPr>
          <w:rFonts w:ascii="Arial" w:hAnsi="Arial" w:cs="Arial"/>
          <w:sz w:val="20"/>
          <w:szCs w:val="20"/>
        </w:rPr>
        <w:t xml:space="preserve">) señala que los </w:t>
      </w:r>
      <w:r w:rsidRPr="00051707">
        <w:rPr>
          <w:rFonts w:ascii="Arial" w:hAnsi="Arial" w:cs="Arial"/>
          <w:sz w:val="20"/>
          <w:szCs w:val="20"/>
        </w:rPr>
        <w:lastRenderedPageBreak/>
        <w:t xml:space="preserve">patrimonios autónomos constituidos por entidades estatales y los particulares que ejecuten recursos públicos también son destinatarios de esta exigencia; </w:t>
      </w:r>
      <w:proofErr w:type="spellStart"/>
      <w:r w:rsidRPr="00051707">
        <w:rPr>
          <w:rFonts w:ascii="Arial" w:hAnsi="Arial" w:cs="Arial"/>
          <w:sz w:val="20"/>
          <w:szCs w:val="20"/>
        </w:rPr>
        <w:t>iii</w:t>
      </w:r>
      <w:proofErr w:type="spellEnd"/>
      <w:r w:rsidRPr="00051707">
        <w:rPr>
          <w:rFonts w:ascii="Arial" w:hAnsi="Arial" w:cs="Arial"/>
          <w:sz w:val="20"/>
          <w:szCs w:val="20"/>
        </w:rPr>
        <w:t xml:space="preserve">) indica que para que pueda haber convocatorias limitadas a </w:t>
      </w:r>
      <w:proofErr w:type="spellStart"/>
      <w:r w:rsidRPr="00051707">
        <w:rPr>
          <w:rFonts w:ascii="Arial" w:hAnsi="Arial" w:cs="Arial"/>
          <w:sz w:val="20"/>
          <w:szCs w:val="20"/>
        </w:rPr>
        <w:t>Mipymes</w:t>
      </w:r>
      <w:proofErr w:type="spellEnd"/>
      <w:r w:rsidRPr="00051707">
        <w:rPr>
          <w:rFonts w:ascii="Arial" w:hAnsi="Arial" w:cs="Arial"/>
          <w:sz w:val="20"/>
          <w:szCs w:val="20"/>
        </w:rPr>
        <w:t>, dos (2) de ellas deben manifestar su interés –mientras que el artículo 12 de la Ley 1150 de 2007 no establecía un número mínimo y el Decreto 1082 de 2015 exigía tres (3)–.</w:t>
      </w:r>
    </w:p>
    <w:p w14:paraId="1B78BC51" w14:textId="77777777" w:rsidR="00051707" w:rsidRPr="00051707" w:rsidRDefault="00051707" w:rsidP="00051707">
      <w:pPr>
        <w:spacing w:after="0" w:line="240" w:lineRule="auto"/>
        <w:jc w:val="both"/>
        <w:rPr>
          <w:rFonts w:ascii="Arial" w:hAnsi="Arial" w:cs="Arial"/>
          <w:sz w:val="20"/>
          <w:szCs w:val="20"/>
        </w:rPr>
      </w:pPr>
    </w:p>
    <w:p w14:paraId="3528D0E5" w14:textId="01DD3B08" w:rsidR="00C4741C" w:rsidRDefault="00051707" w:rsidP="00051707">
      <w:pPr>
        <w:tabs>
          <w:tab w:val="left" w:pos="709"/>
        </w:tabs>
        <w:spacing w:after="0" w:line="240" w:lineRule="auto"/>
        <w:jc w:val="both"/>
        <w:rPr>
          <w:rFonts w:ascii="Arial" w:hAnsi="Arial" w:cs="Arial"/>
          <w:sz w:val="20"/>
          <w:szCs w:val="20"/>
        </w:rPr>
      </w:pPr>
      <w:r w:rsidRPr="00586358">
        <w:rPr>
          <w:rFonts w:ascii="Arial" w:hAnsi="Arial" w:cs="Arial"/>
          <w:sz w:val="20"/>
          <w:szCs w:val="20"/>
        </w:rPr>
        <w:t>[…]</w:t>
      </w:r>
      <w:r w:rsidR="00C4741C" w:rsidRPr="00051707">
        <w:rPr>
          <w:rFonts w:ascii="Arial" w:hAnsi="Arial" w:cs="Arial"/>
          <w:sz w:val="20"/>
          <w:szCs w:val="20"/>
        </w:rPr>
        <w:t xml:space="preserve">el artículo 5 del Decreto 1860 de 2021 modificó el artículo 2.2.1.2.4.2.2 del Decreto 1082 de 2015, </w:t>
      </w:r>
      <w:r w:rsidRPr="00586358">
        <w:rPr>
          <w:rFonts w:ascii="Arial" w:hAnsi="Arial" w:cs="Arial"/>
          <w:sz w:val="20"/>
          <w:szCs w:val="20"/>
        </w:rPr>
        <w:t>[…]</w:t>
      </w:r>
      <w:r>
        <w:rPr>
          <w:rFonts w:ascii="Arial" w:hAnsi="Arial" w:cs="Arial"/>
          <w:sz w:val="20"/>
          <w:szCs w:val="20"/>
        </w:rPr>
        <w:t xml:space="preserve"> </w:t>
      </w:r>
      <w:r w:rsidR="00C4741C" w:rsidRPr="00051707">
        <w:rPr>
          <w:rFonts w:ascii="Arial" w:hAnsi="Arial" w:cs="Arial"/>
          <w:sz w:val="20"/>
          <w:szCs w:val="20"/>
        </w:rPr>
        <w:t xml:space="preserve">Según se evidencia, el numeral primero fijó cuantitativamente los procesos contractuales que son susceptibles de limitarse a </w:t>
      </w:r>
      <w:proofErr w:type="spellStart"/>
      <w:r w:rsidR="00C4741C" w:rsidRPr="00051707">
        <w:rPr>
          <w:rFonts w:ascii="Arial" w:hAnsi="Arial" w:cs="Arial"/>
          <w:sz w:val="20"/>
          <w:szCs w:val="20"/>
        </w:rPr>
        <w:t>Mipymes</w:t>
      </w:r>
      <w:proofErr w:type="spellEnd"/>
      <w:r w:rsidR="00C4741C" w:rsidRPr="00051707">
        <w:rPr>
          <w:rFonts w:ascii="Arial" w:hAnsi="Arial" w:cs="Arial"/>
          <w:sz w:val="20"/>
          <w:szCs w:val="20"/>
        </w:rPr>
        <w:t xml:space="preserve">, en la medida en que el valor del proceso de contratación tendrá que ser «menor a ciento veinticinco mil dólares de los Estados Unidos de América». </w:t>
      </w:r>
      <w:r w:rsidR="00C4741C" w:rsidRPr="00586358">
        <w:rPr>
          <w:rFonts w:ascii="Arial" w:hAnsi="Arial" w:cs="Arial"/>
          <w:sz w:val="20"/>
          <w:szCs w:val="20"/>
        </w:rPr>
        <w:t>[…]</w:t>
      </w:r>
      <w:r w:rsidR="00C4741C">
        <w:rPr>
          <w:rFonts w:ascii="Arial" w:hAnsi="Arial" w:cs="Arial"/>
          <w:sz w:val="20"/>
          <w:szCs w:val="20"/>
        </w:rPr>
        <w:t xml:space="preserve"> </w:t>
      </w:r>
      <w:r w:rsidR="00C4741C" w:rsidRPr="00051707">
        <w:rPr>
          <w:rFonts w:ascii="Arial" w:hAnsi="Arial" w:cs="Arial"/>
          <w:sz w:val="20"/>
          <w:szCs w:val="20"/>
        </w:rPr>
        <w:t xml:space="preserve">Por su parte, el numeral segundo establece dos exigencias: por un lado, que al menos dos (2) </w:t>
      </w:r>
      <w:proofErr w:type="spellStart"/>
      <w:r w:rsidR="00C4741C" w:rsidRPr="00051707">
        <w:rPr>
          <w:rFonts w:ascii="Arial" w:hAnsi="Arial" w:cs="Arial"/>
          <w:sz w:val="20"/>
          <w:szCs w:val="20"/>
        </w:rPr>
        <w:t>Mipymes</w:t>
      </w:r>
      <w:proofErr w:type="spellEnd"/>
      <w:r w:rsidR="00C4741C" w:rsidRPr="00051707">
        <w:rPr>
          <w:rFonts w:ascii="Arial" w:hAnsi="Arial" w:cs="Arial"/>
          <w:sz w:val="20"/>
          <w:szCs w:val="20"/>
        </w:rPr>
        <w:t xml:space="preserve"> colombianas presenten a la entidad la solicitud de limitar el proceso contractual; y, por el otro, que hagan la solicitud por lo menos un día (1) hábil antes de la expedición del acto administrativo de apertura del proceso de contratación. </w:t>
      </w:r>
    </w:p>
    <w:p w14:paraId="1F2E5FF3" w14:textId="77777777" w:rsidR="00051707" w:rsidRPr="00051707" w:rsidRDefault="00051707" w:rsidP="00051707">
      <w:pPr>
        <w:tabs>
          <w:tab w:val="left" w:pos="709"/>
        </w:tabs>
        <w:spacing w:after="0" w:line="240" w:lineRule="auto"/>
        <w:jc w:val="both"/>
        <w:rPr>
          <w:rFonts w:ascii="Arial" w:hAnsi="Arial" w:cs="Arial"/>
          <w:sz w:val="20"/>
          <w:szCs w:val="20"/>
        </w:rPr>
      </w:pPr>
    </w:p>
    <w:p w14:paraId="79E2AFB7" w14:textId="5123B00A" w:rsidR="00C4741C" w:rsidRDefault="00C4741C" w:rsidP="00051707">
      <w:pPr>
        <w:spacing w:after="0" w:line="240" w:lineRule="auto"/>
        <w:jc w:val="both"/>
        <w:rPr>
          <w:rFonts w:ascii="Arial" w:hAnsi="Arial" w:cs="Arial"/>
          <w:sz w:val="20"/>
          <w:szCs w:val="20"/>
        </w:rPr>
      </w:pPr>
      <w:r w:rsidRPr="00051707">
        <w:rPr>
          <w:rFonts w:ascii="Arial" w:hAnsi="Arial" w:cs="Arial"/>
          <w:sz w:val="20"/>
          <w:szCs w:val="20"/>
        </w:rPr>
        <w:t xml:space="preserve">De esta manera, en todos los procesos de contratación, independientemente de la modalidad de selección, las entidades estatales, cualquiera que sea su régimen de contratación, los patrimonios autónomos constituidos por entidades estatales y los particulares que ejecuten recursos públicos, deberán limitar las convocatorias con pluralidad de oferentes a </w:t>
      </w:r>
      <w:proofErr w:type="spellStart"/>
      <w:r w:rsidRPr="00051707">
        <w:rPr>
          <w:rFonts w:ascii="Arial" w:hAnsi="Arial" w:cs="Arial"/>
          <w:sz w:val="20"/>
          <w:szCs w:val="20"/>
        </w:rPr>
        <w:t>Mipymes</w:t>
      </w:r>
      <w:proofErr w:type="spellEnd"/>
      <w:r w:rsidRPr="00051707">
        <w:rPr>
          <w:rFonts w:ascii="Arial" w:hAnsi="Arial" w:cs="Arial"/>
          <w:sz w:val="20"/>
          <w:szCs w:val="20"/>
        </w:rPr>
        <w:t xml:space="preserve"> colombianas, una vez concurran todos los requisitos señalados anteriormente y siempre que cuenten con mínimo un (1) año de existencia. </w:t>
      </w:r>
    </w:p>
    <w:p w14:paraId="61255A67" w14:textId="77777777" w:rsidR="00051707" w:rsidRPr="00051707" w:rsidRDefault="00051707" w:rsidP="00051707">
      <w:pPr>
        <w:spacing w:after="0" w:line="240" w:lineRule="auto"/>
        <w:jc w:val="both"/>
        <w:rPr>
          <w:rFonts w:ascii="Arial" w:hAnsi="Arial" w:cs="Arial"/>
          <w:sz w:val="20"/>
          <w:szCs w:val="20"/>
        </w:rPr>
      </w:pPr>
    </w:p>
    <w:p w14:paraId="072BDEDF" w14:textId="25CA74EB" w:rsidR="00051707" w:rsidRPr="00051707" w:rsidRDefault="00B02CD8" w:rsidP="00C4741C">
      <w:pPr>
        <w:pStyle w:val="Textoindependiente"/>
        <w:spacing w:after="120" w:line="276" w:lineRule="auto"/>
        <w:ind w:right="113"/>
        <w:jc w:val="both"/>
        <w:rPr>
          <w:rFonts w:eastAsiaTheme="minorHAnsi"/>
          <w:b/>
          <w:bCs/>
          <w:lang w:val="es-CO"/>
        </w:rPr>
      </w:pPr>
      <w:r w:rsidRPr="00051707">
        <w:rPr>
          <w:rFonts w:eastAsiaTheme="minorHAnsi"/>
          <w:b/>
          <w:bCs/>
          <w:lang w:val="es-CO"/>
        </w:rPr>
        <w:t xml:space="preserve">LIMITACIÓN CONVOCATORIAS </w:t>
      </w:r>
      <w:r w:rsidR="00051707" w:rsidRPr="00051707">
        <w:rPr>
          <w:rFonts w:eastAsiaTheme="minorHAnsi"/>
          <w:b/>
          <w:bCs/>
          <w:lang w:val="es-CO"/>
        </w:rPr>
        <w:t xml:space="preserve">- </w:t>
      </w:r>
      <w:proofErr w:type="spellStart"/>
      <w:r w:rsidR="00051707" w:rsidRPr="00051707">
        <w:rPr>
          <w:rFonts w:eastAsiaTheme="minorHAnsi"/>
          <w:b/>
          <w:bCs/>
          <w:lang w:val="es-CO"/>
        </w:rPr>
        <w:t>Mipymes</w:t>
      </w:r>
      <w:proofErr w:type="spellEnd"/>
      <w:r w:rsidR="00051707" w:rsidRPr="00051707">
        <w:rPr>
          <w:rFonts w:eastAsiaTheme="minorHAnsi"/>
          <w:b/>
          <w:bCs/>
          <w:lang w:val="es-CO"/>
        </w:rPr>
        <w:t xml:space="preserve"> - Incentivo</w:t>
      </w:r>
    </w:p>
    <w:p w14:paraId="1033A83C" w14:textId="77777777" w:rsidR="00051707" w:rsidRDefault="00051707" w:rsidP="00051707">
      <w:pPr>
        <w:pStyle w:val="Textoindependiente"/>
        <w:ind w:right="113"/>
        <w:jc w:val="both"/>
        <w:rPr>
          <w:rFonts w:eastAsiaTheme="minorHAnsi"/>
          <w:sz w:val="20"/>
          <w:szCs w:val="20"/>
          <w:lang w:val="es-CO"/>
        </w:rPr>
      </w:pPr>
    </w:p>
    <w:p w14:paraId="1E6C14CE" w14:textId="6C177C85" w:rsidR="00C4741C" w:rsidRDefault="00051707" w:rsidP="00051707">
      <w:pPr>
        <w:pStyle w:val="Textoindependiente"/>
        <w:ind w:right="113"/>
        <w:jc w:val="both"/>
        <w:rPr>
          <w:rFonts w:eastAsiaTheme="minorHAnsi"/>
          <w:sz w:val="20"/>
          <w:szCs w:val="20"/>
          <w:lang w:val="es-CO"/>
        </w:rPr>
      </w:pPr>
      <w:r w:rsidRPr="00586358">
        <w:rPr>
          <w:sz w:val="20"/>
          <w:szCs w:val="20"/>
        </w:rPr>
        <w:t>[…]</w:t>
      </w:r>
      <w:r>
        <w:rPr>
          <w:sz w:val="20"/>
          <w:szCs w:val="20"/>
        </w:rPr>
        <w:t xml:space="preserve"> </w:t>
      </w:r>
      <w:r w:rsidR="00C4741C" w:rsidRPr="00051707">
        <w:rPr>
          <w:rFonts w:eastAsiaTheme="minorHAnsi"/>
          <w:sz w:val="20"/>
          <w:szCs w:val="20"/>
          <w:lang w:val="es-CO"/>
        </w:rPr>
        <w:t xml:space="preserve">es preciso advertir que, dado el alcance de la medida introducida en favor de las </w:t>
      </w:r>
      <w:proofErr w:type="spellStart"/>
      <w:r w:rsidR="00C4741C" w:rsidRPr="00051707">
        <w:rPr>
          <w:rFonts w:eastAsiaTheme="minorHAnsi"/>
          <w:sz w:val="20"/>
          <w:szCs w:val="20"/>
          <w:lang w:val="es-CO"/>
        </w:rPr>
        <w:t>Mipymes</w:t>
      </w:r>
      <w:proofErr w:type="spellEnd"/>
      <w:r w:rsidR="00C4741C" w:rsidRPr="00051707">
        <w:rPr>
          <w:rFonts w:eastAsiaTheme="minorHAnsi"/>
          <w:sz w:val="20"/>
          <w:szCs w:val="20"/>
          <w:lang w:val="es-CO"/>
        </w:rPr>
        <w:t xml:space="preserve"> por el artículo 12 de la Ley 1150 de 2007, modificado por el artículo 34 de la Ley 2069 de 2020, y reglamentada por el Decreto 1860 de 2021 en los términos aquí explicados, es claro que se trata de un incentivo en favor la vinculación de proveedores nacionales en la contratación pública, específicamente de las empresas clasificadas como micro, pequeñas y/o medianas. Sin embargo, su alcance no es el de un criterio de calificación o un factor ponderable determinante para la comparación de ofertas, que su aplicación permite cerrar los procedimientos en los que se cumplan los requisitos señalados en el artículo 2.2.1.2.4.2.2 del Decreto 1082 de 2015, a la participación exclusiva </w:t>
      </w:r>
      <w:proofErr w:type="spellStart"/>
      <w:r w:rsidR="00C4741C" w:rsidRPr="00051707">
        <w:rPr>
          <w:rFonts w:eastAsiaTheme="minorHAnsi"/>
          <w:sz w:val="20"/>
          <w:szCs w:val="20"/>
          <w:lang w:val="es-CO"/>
        </w:rPr>
        <w:t>mipymes</w:t>
      </w:r>
      <w:proofErr w:type="spellEnd"/>
      <w:r w:rsidR="00C4741C" w:rsidRPr="00051707">
        <w:rPr>
          <w:rFonts w:eastAsiaTheme="minorHAnsi"/>
          <w:sz w:val="20"/>
          <w:szCs w:val="20"/>
          <w:lang w:val="es-CO"/>
        </w:rPr>
        <w:t xml:space="preserve">. En ese sentido, en estos procesos las </w:t>
      </w:r>
      <w:proofErr w:type="spellStart"/>
      <w:r w:rsidR="00C4741C" w:rsidRPr="00051707">
        <w:rPr>
          <w:rFonts w:eastAsiaTheme="minorHAnsi"/>
          <w:sz w:val="20"/>
          <w:szCs w:val="20"/>
          <w:lang w:val="es-CO"/>
        </w:rPr>
        <w:t>mipymes</w:t>
      </w:r>
      <w:proofErr w:type="spellEnd"/>
      <w:r w:rsidR="00C4741C" w:rsidRPr="00051707">
        <w:rPr>
          <w:rFonts w:eastAsiaTheme="minorHAnsi"/>
          <w:sz w:val="20"/>
          <w:szCs w:val="20"/>
          <w:lang w:val="es-CO"/>
        </w:rPr>
        <w:t xml:space="preserve"> que participen tienen la posibilidad de ser adjudicatarias de conformidad con los factores de evaluación que con sujeción a lo establecido en el artículo 5 de la Ley 1150 de 2007 se hayan incluido en el pliego de condiciones. </w:t>
      </w:r>
    </w:p>
    <w:p w14:paraId="5C10EEFA" w14:textId="77777777" w:rsidR="00051707" w:rsidRPr="00051707" w:rsidRDefault="00051707" w:rsidP="00051707">
      <w:pPr>
        <w:pStyle w:val="Textoindependiente"/>
        <w:ind w:right="113"/>
        <w:jc w:val="both"/>
        <w:rPr>
          <w:rFonts w:eastAsiaTheme="minorHAnsi"/>
          <w:sz w:val="20"/>
          <w:szCs w:val="20"/>
          <w:lang w:val="es-CO"/>
        </w:rPr>
      </w:pPr>
    </w:p>
    <w:p w14:paraId="3366EEAA" w14:textId="0A42970C" w:rsidR="00C4741C" w:rsidRPr="007C1198" w:rsidRDefault="007C1198" w:rsidP="00051707">
      <w:pPr>
        <w:pStyle w:val="NormalWeb"/>
        <w:spacing w:after="0" w:line="240" w:lineRule="auto"/>
        <w:jc w:val="both"/>
        <w:rPr>
          <w:rFonts w:ascii="Arial" w:hAnsi="Arial" w:cs="Arial"/>
          <w:sz w:val="20"/>
          <w:szCs w:val="20"/>
        </w:rPr>
      </w:pPr>
      <w:r w:rsidRPr="00051707">
        <w:rPr>
          <w:rFonts w:ascii="Arial" w:hAnsi="Arial" w:cs="Arial"/>
          <w:sz w:val="20"/>
          <w:szCs w:val="20"/>
        </w:rPr>
        <w:t xml:space="preserve">[…] </w:t>
      </w:r>
      <w:r w:rsidR="00C4741C" w:rsidRPr="00051707">
        <w:rPr>
          <w:rFonts w:ascii="Arial" w:hAnsi="Arial" w:cs="Arial"/>
          <w:sz w:val="20"/>
          <w:szCs w:val="20"/>
        </w:rPr>
        <w:t>cuando el inciso segundo del artículo 2.2.1.2.4.2.1 del Decreto 1082 de 2015 establece que el incentivo al cual se refiere «[…] no es aplicable en los procesos para la adquisición de Bienes y Servicios de Características Técnicas Uniformes», lo hace con relación a lo mencionado en el inciso primero de dicha norma. Este primer inciso habla de incluir en los «[…] criterios de calificación de las propuestas, los incentivos para los bienes, servicios y oferentes nacionales o aquellos considerados nacionales con ocasión de la existencia de</w:t>
      </w:r>
      <w:r w:rsidR="00C4741C" w:rsidRPr="007C1198">
        <w:rPr>
          <w:rFonts w:ascii="Arial" w:hAnsi="Arial" w:cs="Arial"/>
          <w:sz w:val="20"/>
          <w:szCs w:val="20"/>
        </w:rPr>
        <w:t xml:space="preserve"> trato nacional». </w:t>
      </w:r>
      <w:r w:rsidR="00C4741C" w:rsidRPr="00B02CD8">
        <w:rPr>
          <w:rFonts w:ascii="Arial" w:hAnsi="Arial" w:cs="Arial"/>
          <w:sz w:val="20"/>
          <w:szCs w:val="20"/>
        </w:rPr>
        <w:t xml:space="preserve">En ese orden, al referirse esta norma a criterios de calificación resulta claro que el incentivo regulado en favor de las </w:t>
      </w:r>
      <w:proofErr w:type="spellStart"/>
      <w:r w:rsidR="00C4741C" w:rsidRPr="00B02CD8">
        <w:rPr>
          <w:rFonts w:ascii="Arial" w:hAnsi="Arial" w:cs="Arial"/>
          <w:sz w:val="20"/>
          <w:szCs w:val="20"/>
        </w:rPr>
        <w:t>mipymes</w:t>
      </w:r>
      <w:proofErr w:type="spellEnd"/>
      <w:r w:rsidR="00C4741C" w:rsidRPr="00B02CD8">
        <w:rPr>
          <w:rFonts w:ascii="Arial" w:hAnsi="Arial" w:cs="Arial"/>
          <w:sz w:val="20"/>
          <w:szCs w:val="20"/>
        </w:rPr>
        <w:t xml:space="preserve"> nacionales por el artículo 2.2.1.2.4.2.2 del Decreto 1082 de 2015, al no estar tener </w:t>
      </w:r>
      <w:r w:rsidR="00B02CD8">
        <w:rPr>
          <w:rFonts w:ascii="Arial" w:hAnsi="Arial" w:cs="Arial"/>
          <w:sz w:val="20"/>
          <w:szCs w:val="20"/>
        </w:rPr>
        <w:t>e</w:t>
      </w:r>
      <w:r w:rsidR="00C4741C" w:rsidRPr="00B02CD8">
        <w:rPr>
          <w:rFonts w:ascii="Arial" w:hAnsi="Arial" w:cs="Arial"/>
          <w:sz w:val="20"/>
          <w:szCs w:val="20"/>
        </w:rPr>
        <w:t>l carácter de factor de evaluación, no se encuentra comprendido por la referencia realizada por esta norma.</w:t>
      </w:r>
      <w:r w:rsidR="00C4741C" w:rsidRPr="007C1198">
        <w:rPr>
          <w:rFonts w:ascii="Arial" w:hAnsi="Arial" w:cs="Arial"/>
          <w:sz w:val="20"/>
          <w:szCs w:val="20"/>
        </w:rPr>
        <w:t xml:space="preserve"> </w:t>
      </w:r>
    </w:p>
    <w:p w14:paraId="5200D2E9" w14:textId="77777777" w:rsidR="007C1198" w:rsidRDefault="007C1198" w:rsidP="003816CD">
      <w:pPr>
        <w:tabs>
          <w:tab w:val="left" w:pos="3374"/>
        </w:tabs>
        <w:spacing w:after="0" w:line="240" w:lineRule="auto"/>
        <w:rPr>
          <w:rFonts w:ascii="Arial" w:hAnsi="Arial" w:cs="Arial"/>
          <w:sz w:val="20"/>
          <w:szCs w:val="20"/>
        </w:rPr>
      </w:pPr>
    </w:p>
    <w:p w14:paraId="0D8FDEF6" w14:textId="4BC977A3" w:rsidR="006F3E39" w:rsidRDefault="00B02CD8" w:rsidP="003816CD">
      <w:pPr>
        <w:tabs>
          <w:tab w:val="left" w:pos="3374"/>
        </w:tabs>
        <w:spacing w:after="0" w:line="240" w:lineRule="auto"/>
        <w:rPr>
          <w:rFonts w:ascii="Arial" w:hAnsi="Arial" w:cs="Arial"/>
        </w:rPr>
      </w:pPr>
      <w:r w:rsidRPr="007C1198">
        <w:rPr>
          <w:rFonts w:ascii="Arial" w:hAnsi="Arial" w:cs="Arial"/>
        </w:rPr>
        <w:lastRenderedPageBreak/>
        <w:t>B</w:t>
      </w:r>
      <w:r w:rsidR="006F3E39" w:rsidRPr="007C1198">
        <w:rPr>
          <w:rFonts w:ascii="Arial" w:hAnsi="Arial" w:cs="Arial"/>
        </w:rPr>
        <w:t xml:space="preserve">ogotá D.C., </w:t>
      </w:r>
      <w:r w:rsidR="00F954FB" w:rsidRPr="007C1198">
        <w:rPr>
          <w:rFonts w:ascii="Arial" w:hAnsi="Arial" w:cs="Arial"/>
        </w:rPr>
        <w:t xml:space="preserve">18 </w:t>
      </w:r>
      <w:r w:rsidR="006F3E39" w:rsidRPr="007C1198">
        <w:rPr>
          <w:rFonts w:ascii="Arial" w:hAnsi="Arial" w:cs="Arial"/>
        </w:rPr>
        <w:t>de octubre de 2022</w:t>
      </w:r>
    </w:p>
    <w:p w14:paraId="0AFF9025" w14:textId="705A9BFE" w:rsidR="009165AE" w:rsidRDefault="009165AE" w:rsidP="003816CD">
      <w:pPr>
        <w:tabs>
          <w:tab w:val="left" w:pos="3374"/>
        </w:tabs>
        <w:spacing w:after="0" w:line="240" w:lineRule="auto"/>
        <w:rPr>
          <w:rFonts w:ascii="Arial" w:hAnsi="Arial" w:cs="Arial"/>
        </w:rPr>
      </w:pPr>
    </w:p>
    <w:p w14:paraId="5F1F477F" w14:textId="77777777" w:rsidR="009165AE" w:rsidRPr="007C1198" w:rsidRDefault="009165AE" w:rsidP="003816CD">
      <w:pPr>
        <w:tabs>
          <w:tab w:val="left" w:pos="3374"/>
        </w:tabs>
        <w:spacing w:after="0" w:line="240" w:lineRule="auto"/>
        <w:rPr>
          <w:rFonts w:ascii="Arial" w:hAnsi="Arial" w:cs="Arial"/>
        </w:rPr>
      </w:pPr>
    </w:p>
    <w:p w14:paraId="5245E877" w14:textId="74582E8A" w:rsidR="006F3E39" w:rsidRPr="00F954FB" w:rsidRDefault="009165AE" w:rsidP="009165AE">
      <w:pPr>
        <w:tabs>
          <w:tab w:val="left" w:pos="3374"/>
        </w:tabs>
        <w:spacing w:after="0" w:line="240" w:lineRule="auto"/>
        <w:jc w:val="right"/>
        <w:rPr>
          <w:rFonts w:ascii="Arial" w:eastAsia="Calibri" w:hAnsi="Arial" w:cs="Arial"/>
          <w:bCs/>
          <w:color w:val="1A1A1A" w:themeColor="background1" w:themeShade="1A"/>
          <w:lang w:val="es-ES_tradnl"/>
        </w:rPr>
      </w:pPr>
      <w:r>
        <w:rPr>
          <w:noProof/>
        </w:rPr>
        <w:drawing>
          <wp:inline distT="0" distB="0" distL="0" distR="0" wp14:anchorId="75FE5426" wp14:editId="22C103BD">
            <wp:extent cx="2600325" cy="685800"/>
            <wp:effectExtent l="0" t="0" r="952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rotWithShape="1">
                    <a:blip r:embed="rId11"/>
                    <a:srcRect l="38059" t="62842" r="15349" b="15301"/>
                    <a:stretch/>
                  </pic:blipFill>
                  <pic:spPr bwMode="auto">
                    <a:xfrm>
                      <a:off x="0" y="0"/>
                      <a:ext cx="2600325" cy="685800"/>
                    </a:xfrm>
                    <a:prstGeom prst="rect">
                      <a:avLst/>
                    </a:prstGeom>
                    <a:ln>
                      <a:noFill/>
                    </a:ln>
                    <a:extLst>
                      <a:ext uri="{53640926-AAD7-44D8-BBD7-CCE9431645EC}">
                        <a14:shadowObscured xmlns:a14="http://schemas.microsoft.com/office/drawing/2010/main"/>
                      </a:ext>
                    </a:extLst>
                  </pic:spPr>
                </pic:pic>
              </a:graphicData>
            </a:graphic>
          </wp:inline>
        </w:drawing>
      </w:r>
    </w:p>
    <w:p w14:paraId="50F5783A" w14:textId="77777777" w:rsidR="006F3E39" w:rsidRPr="00F954FB" w:rsidRDefault="006F3E39" w:rsidP="003816CD">
      <w:pPr>
        <w:tabs>
          <w:tab w:val="left" w:pos="3374"/>
        </w:tabs>
        <w:spacing w:after="0" w:line="240" w:lineRule="auto"/>
        <w:rPr>
          <w:rFonts w:ascii="Arial" w:eastAsia="Calibri" w:hAnsi="Arial" w:cs="Arial"/>
          <w:bCs/>
          <w:color w:val="1A1A1A" w:themeColor="background1" w:themeShade="1A"/>
          <w:lang w:val="es-ES_tradnl"/>
        </w:rPr>
      </w:pPr>
    </w:p>
    <w:p w14:paraId="399C47A4" w14:textId="77BFEB05" w:rsidR="00137E23" w:rsidRPr="00881F9F" w:rsidRDefault="00137E23" w:rsidP="003816CD">
      <w:pPr>
        <w:tabs>
          <w:tab w:val="left" w:pos="3374"/>
        </w:tabs>
        <w:spacing w:after="0" w:line="240" w:lineRule="auto"/>
        <w:rPr>
          <w:rFonts w:ascii="Arial" w:eastAsia="Calibri" w:hAnsi="Arial" w:cs="Arial"/>
          <w:bCs/>
          <w:color w:val="1A1A1A" w:themeColor="background1" w:themeShade="1A"/>
          <w:lang w:val="es-ES_tradnl"/>
        </w:rPr>
      </w:pPr>
      <w:r w:rsidRPr="00F954FB">
        <w:rPr>
          <w:rFonts w:ascii="Arial" w:eastAsia="Calibri" w:hAnsi="Arial" w:cs="Arial"/>
          <w:bCs/>
          <w:color w:val="1A1A1A" w:themeColor="background1" w:themeShade="1A"/>
          <w:lang w:val="es-ES_tradnl"/>
        </w:rPr>
        <w:t>Señor</w:t>
      </w:r>
      <w:r w:rsidR="00586358" w:rsidRPr="00F954FB">
        <w:rPr>
          <w:rFonts w:ascii="Arial" w:eastAsia="Calibri" w:hAnsi="Arial" w:cs="Arial"/>
          <w:bCs/>
          <w:color w:val="1A1A1A" w:themeColor="background1" w:themeShade="1A"/>
          <w:lang w:val="es-ES_tradnl"/>
        </w:rPr>
        <w:t>a</w:t>
      </w:r>
    </w:p>
    <w:p w14:paraId="6B1A51C1" w14:textId="190DD4A6" w:rsidR="00586358" w:rsidRDefault="00586358" w:rsidP="00881F9F">
      <w:pPr>
        <w:spacing w:after="0" w:line="240" w:lineRule="auto"/>
        <w:rPr>
          <w:rFonts w:ascii="Arial" w:eastAsia="Calibri" w:hAnsi="Arial" w:cs="Arial"/>
          <w:b/>
          <w:color w:val="1A1A1A" w:themeColor="background1" w:themeShade="1A"/>
          <w:lang w:val="es-ES_tradnl"/>
        </w:rPr>
      </w:pPr>
      <w:r w:rsidRPr="00586358">
        <w:rPr>
          <w:rFonts w:ascii="Arial" w:eastAsia="Calibri" w:hAnsi="Arial" w:cs="Arial"/>
          <w:b/>
          <w:color w:val="1A1A1A" w:themeColor="background1" w:themeShade="1A"/>
          <w:lang w:val="es-ES_tradnl"/>
        </w:rPr>
        <w:t>María Alexandra Murillo Diaz</w:t>
      </w:r>
    </w:p>
    <w:p w14:paraId="314914ED" w14:textId="7297E744" w:rsidR="00881F9F" w:rsidRPr="00881F9F" w:rsidRDefault="00000000" w:rsidP="00881F9F">
      <w:pPr>
        <w:spacing w:after="0" w:line="240" w:lineRule="auto"/>
        <w:rPr>
          <w:rFonts w:ascii="Arial" w:eastAsia="Calibri" w:hAnsi="Arial" w:cs="Arial"/>
          <w:bCs/>
          <w:color w:val="1A1A1A" w:themeColor="background1" w:themeShade="1A"/>
          <w:lang w:val="es-ES_tradnl"/>
        </w:rPr>
      </w:pPr>
      <w:hyperlink r:id="rId12" w:history="1">
        <w:r w:rsidR="006F3E39" w:rsidRPr="006F3E39">
          <w:rPr>
            <w:rFonts w:ascii="Arial" w:eastAsia="Calibri" w:hAnsi="Arial" w:cs="Arial"/>
            <w:bCs/>
            <w:color w:val="1A1A1A" w:themeColor="background1" w:themeShade="1A"/>
            <w:lang w:val="es-ES_tradnl"/>
          </w:rPr>
          <w:t>El</w:t>
        </w:r>
      </w:hyperlink>
      <w:r w:rsidR="006F3E39" w:rsidRPr="006F3E39">
        <w:rPr>
          <w:rFonts w:ascii="Arial" w:eastAsia="Calibri" w:hAnsi="Arial" w:cs="Arial"/>
          <w:bCs/>
          <w:color w:val="1A1A1A" w:themeColor="background1" w:themeShade="1A"/>
          <w:lang w:val="es-ES_tradnl"/>
        </w:rPr>
        <w:t xml:space="preserve"> Doncello, Caquetá</w:t>
      </w:r>
      <w:r w:rsidR="00586358" w:rsidRPr="006F3E39">
        <w:rPr>
          <w:rFonts w:ascii="Arial" w:eastAsia="Calibri" w:hAnsi="Arial" w:cs="Arial"/>
          <w:bCs/>
          <w:color w:val="1A1A1A" w:themeColor="background1" w:themeShade="1A"/>
          <w:lang w:val="es-ES_tradnl"/>
        </w:rPr>
        <w:t xml:space="preserve"> </w:t>
      </w:r>
    </w:p>
    <w:p w14:paraId="6F34B0AD" w14:textId="77777777" w:rsidR="00881F9F" w:rsidRDefault="00881F9F" w:rsidP="00A30642">
      <w:pPr>
        <w:ind w:left="2116" w:firstLine="708"/>
        <w:rPr>
          <w:rFonts w:ascii="Arial" w:eastAsia="Calibri" w:hAnsi="Arial" w:cs="Arial"/>
          <w:b/>
        </w:rPr>
      </w:pPr>
    </w:p>
    <w:p w14:paraId="1F232330" w14:textId="767D0FE3" w:rsidR="00137E23" w:rsidRDefault="00137E23" w:rsidP="00A30642">
      <w:pPr>
        <w:ind w:left="2116" w:firstLine="708"/>
        <w:rPr>
          <w:rFonts w:ascii="Arial" w:eastAsia="Calibri" w:hAnsi="Arial" w:cs="Arial"/>
          <w:b/>
        </w:rPr>
      </w:pPr>
      <w:r w:rsidRPr="00137E23">
        <w:rPr>
          <w:rFonts w:ascii="Arial" w:eastAsia="Calibri" w:hAnsi="Arial" w:cs="Arial"/>
          <w:b/>
        </w:rPr>
        <w:t>Concepto C –</w:t>
      </w:r>
      <w:r w:rsidR="00926EB3">
        <w:rPr>
          <w:rFonts w:ascii="Arial" w:eastAsia="Calibri" w:hAnsi="Arial" w:cs="Arial"/>
          <w:b/>
        </w:rPr>
        <w:t xml:space="preserve"> </w:t>
      </w:r>
      <w:r w:rsidR="00586358" w:rsidRPr="00586358">
        <w:rPr>
          <w:rFonts w:ascii="Arial" w:eastAsia="Calibri" w:hAnsi="Arial" w:cs="Arial"/>
          <w:b/>
        </w:rPr>
        <w:t>669</w:t>
      </w:r>
      <w:r w:rsidR="00586358">
        <w:rPr>
          <w:rFonts w:ascii="Arial" w:eastAsia="Calibri" w:hAnsi="Arial" w:cs="Arial"/>
          <w:b/>
        </w:rPr>
        <w:t xml:space="preserve"> </w:t>
      </w:r>
      <w:r w:rsidRPr="00137E23">
        <w:rPr>
          <w:rFonts w:ascii="Arial" w:eastAsia="Calibri" w:hAnsi="Arial" w:cs="Arial"/>
          <w:b/>
        </w:rPr>
        <w:t>de 202</w:t>
      </w:r>
      <w:r w:rsidR="000E0118">
        <w:rPr>
          <w:rFonts w:ascii="Arial" w:eastAsia="Calibri" w:hAnsi="Arial" w:cs="Arial"/>
          <w:b/>
        </w:rPr>
        <w:t>2</w:t>
      </w:r>
    </w:p>
    <w:p w14:paraId="16F1F97F" w14:textId="531AB111" w:rsidR="00F737A7" w:rsidRDefault="00A30642" w:rsidP="00392B77">
      <w:pPr>
        <w:ind w:left="2824" w:hanging="2824"/>
        <w:jc w:val="both"/>
        <w:rPr>
          <w:rFonts w:ascii="Arial" w:eastAsia="Calibri" w:hAnsi="Arial" w:cs="Arial"/>
          <w:bCs/>
          <w:color w:val="1A1A1A" w:themeColor="background1" w:themeShade="1A"/>
          <w:lang w:val="es-ES_tradnl"/>
        </w:rPr>
      </w:pPr>
      <w:r w:rsidRPr="00691AAC">
        <w:rPr>
          <w:rFonts w:ascii="Arial" w:eastAsia="Calibri" w:hAnsi="Arial" w:cs="Arial"/>
          <w:b/>
          <w:noProof/>
          <w:color w:val="1A1A1A" w:themeColor="background1" w:themeShade="1A"/>
          <w:lang w:val="es-ES_tradnl"/>
        </w:rPr>
        <w:t>Temas</w:t>
      </w:r>
      <w:r w:rsidRPr="00691AAC">
        <w:rPr>
          <w:rFonts w:ascii="Arial" w:eastAsia="Calibri" w:hAnsi="Arial" w:cs="Arial"/>
          <w:bCs/>
          <w:noProof/>
          <w:color w:val="1A1A1A" w:themeColor="background1" w:themeShade="1A"/>
          <w:lang w:val="es-ES_tradnl"/>
        </w:rPr>
        <w:t xml:space="preserve">: </w:t>
      </w:r>
      <w:r w:rsidRPr="00691AAC">
        <w:rPr>
          <w:rFonts w:ascii="Arial" w:eastAsia="Calibri" w:hAnsi="Arial" w:cs="Arial"/>
          <w:bCs/>
          <w:noProof/>
          <w:color w:val="1A1A1A" w:themeColor="background1" w:themeShade="1A"/>
          <w:lang w:val="es-ES_tradnl"/>
        </w:rPr>
        <w:tab/>
      </w:r>
      <w:r w:rsidR="00F737A7" w:rsidRPr="00F737A7">
        <w:rPr>
          <w:rFonts w:ascii="Arial" w:eastAsia="Calibri" w:hAnsi="Arial" w:cs="Arial"/>
          <w:bCs/>
          <w:color w:val="1A1A1A" w:themeColor="background1" w:themeShade="1A"/>
          <w:lang w:val="es-ES_tradnl"/>
        </w:rPr>
        <w:t xml:space="preserve">COLOMBIA COMPRA EFICIENTE – Competencia Consultiva – Contratación Estatal – Normas Generales / BIENES O SERVICIOS DE CARACTERÍSTICAS TÉCNICAS UNIFORMES Y DE COMÚN UTILIZACIÓN – Noción – Fundamentos jurídicos – Elementos / ACUERDO MARCO DE PRECIOS – Bienes y servicios de características técnicas uniformes / </w:t>
      </w:r>
      <w:r w:rsidR="00B02CD8" w:rsidRPr="00B02CD8">
        <w:rPr>
          <w:rFonts w:ascii="Arial" w:eastAsia="Calibri" w:hAnsi="Arial" w:cs="Arial"/>
          <w:bCs/>
          <w:color w:val="1A1A1A" w:themeColor="background1" w:themeShade="1A"/>
          <w:lang w:val="es-ES_tradnl"/>
        </w:rPr>
        <w:t>SERVICIOS NACIONALES - Puntaje - Ley 816 de 2003 - Noción - Decreto 680 de 2021</w:t>
      </w:r>
      <w:r w:rsidR="00F737A7" w:rsidRPr="00F737A7">
        <w:rPr>
          <w:rFonts w:ascii="Arial" w:eastAsia="Calibri" w:hAnsi="Arial" w:cs="Arial"/>
          <w:bCs/>
          <w:color w:val="1A1A1A" w:themeColor="background1" w:themeShade="1A"/>
          <w:lang w:val="es-ES_tradnl"/>
        </w:rPr>
        <w:t xml:space="preserve"> / </w:t>
      </w:r>
      <w:r w:rsidR="00B02CD8" w:rsidRPr="00B02CD8">
        <w:rPr>
          <w:rFonts w:ascii="Arial" w:eastAsia="Calibri" w:hAnsi="Arial" w:cs="Arial"/>
          <w:bCs/>
          <w:color w:val="1A1A1A" w:themeColor="background1" w:themeShade="1A"/>
          <w:lang w:val="es-ES_tradnl"/>
        </w:rPr>
        <w:t>LEY DE EMPRENDIMIENTO – Ley 2069 de 2020 – Contratación estatal − Incentivos</w:t>
      </w:r>
      <w:r w:rsidR="00F737A7" w:rsidRPr="00F737A7">
        <w:rPr>
          <w:rFonts w:ascii="Arial" w:eastAsia="Calibri" w:hAnsi="Arial" w:cs="Arial"/>
          <w:bCs/>
          <w:color w:val="1A1A1A" w:themeColor="background1" w:themeShade="1A"/>
          <w:lang w:val="es-ES_tradnl"/>
        </w:rPr>
        <w:t xml:space="preserve"> / </w:t>
      </w:r>
      <w:r w:rsidR="00B02CD8" w:rsidRPr="00B02CD8">
        <w:rPr>
          <w:rFonts w:ascii="Arial" w:eastAsia="Calibri" w:hAnsi="Arial" w:cs="Arial"/>
          <w:bCs/>
          <w:color w:val="1A1A1A" w:themeColor="background1" w:themeShade="1A"/>
          <w:lang w:val="es-ES_tradnl"/>
        </w:rPr>
        <w:t xml:space="preserve">LIMITACIÓN CONVOCATORIAS - </w:t>
      </w:r>
      <w:proofErr w:type="spellStart"/>
      <w:r w:rsidR="00B02CD8" w:rsidRPr="00B02CD8">
        <w:rPr>
          <w:rFonts w:ascii="Arial" w:eastAsia="Calibri" w:hAnsi="Arial" w:cs="Arial"/>
          <w:bCs/>
          <w:color w:val="1A1A1A" w:themeColor="background1" w:themeShade="1A"/>
          <w:lang w:val="es-ES_tradnl"/>
        </w:rPr>
        <w:t>Mipymes</w:t>
      </w:r>
      <w:proofErr w:type="spellEnd"/>
      <w:r w:rsidR="00B02CD8" w:rsidRPr="00B02CD8">
        <w:rPr>
          <w:rFonts w:ascii="Arial" w:eastAsia="Calibri" w:hAnsi="Arial" w:cs="Arial"/>
          <w:bCs/>
          <w:color w:val="1A1A1A" w:themeColor="background1" w:themeShade="1A"/>
          <w:lang w:val="es-ES_tradnl"/>
        </w:rPr>
        <w:t xml:space="preserve"> - Incentivo</w:t>
      </w:r>
    </w:p>
    <w:p w14:paraId="7A59BE7E" w14:textId="0239D8BE" w:rsidR="00F737A7" w:rsidRPr="00F737A7" w:rsidRDefault="00A30642" w:rsidP="00F737A7">
      <w:pPr>
        <w:ind w:left="2824" w:hanging="2818"/>
        <w:jc w:val="both"/>
        <w:rPr>
          <w:rFonts w:ascii="Arial" w:eastAsia="Calibri" w:hAnsi="Arial" w:cs="Arial"/>
          <w:lang w:val="es-ES_tradnl"/>
        </w:rPr>
      </w:pPr>
      <w:r w:rsidRPr="00691AAC">
        <w:rPr>
          <w:rFonts w:ascii="Arial" w:eastAsia="Calibri" w:hAnsi="Arial" w:cs="Arial"/>
          <w:b/>
          <w:noProof/>
          <w:color w:val="1A1A1A" w:themeColor="background1" w:themeShade="1A"/>
          <w:lang w:val="es-ES_tradnl"/>
        </w:rPr>
        <w:t>Radicación</w:t>
      </w:r>
      <w:r w:rsidRPr="00691AAC">
        <w:rPr>
          <w:rFonts w:ascii="Arial" w:eastAsia="Calibri" w:hAnsi="Arial" w:cs="Arial"/>
          <w:bCs/>
          <w:noProof/>
          <w:color w:val="1A1A1A" w:themeColor="background1" w:themeShade="1A"/>
          <w:lang w:val="es-ES_tradnl"/>
        </w:rPr>
        <w:t>:</w:t>
      </w:r>
      <w:r w:rsidRPr="00691AAC">
        <w:rPr>
          <w:rFonts w:ascii="Arial" w:eastAsia="Calibri" w:hAnsi="Arial" w:cs="Arial"/>
          <w:bCs/>
          <w:noProof/>
          <w:color w:val="1A1A1A" w:themeColor="background1" w:themeShade="1A"/>
          <w:lang w:val="es-ES_tradnl"/>
        </w:rPr>
        <w:tab/>
        <w:t xml:space="preserve">Respuesta a consulta </w:t>
      </w:r>
      <w:r w:rsidR="00783852" w:rsidRPr="00783852">
        <w:rPr>
          <w:rFonts w:ascii="Arial" w:eastAsia="Calibri" w:hAnsi="Arial" w:cs="Arial"/>
          <w:bCs/>
          <w:noProof/>
          <w:color w:val="1A1A1A" w:themeColor="background1" w:themeShade="1A"/>
          <w:lang w:val="es-ES_tradnl"/>
        </w:rPr>
        <w:t>P20220906008883</w:t>
      </w:r>
      <w:r w:rsidR="00783852">
        <w:rPr>
          <w:rFonts w:ascii="Arial" w:eastAsia="Calibri" w:hAnsi="Arial" w:cs="Arial"/>
          <w:bCs/>
          <w:noProof/>
          <w:color w:val="1A1A1A" w:themeColor="background1" w:themeShade="1A"/>
          <w:lang w:val="es-ES_tradnl"/>
        </w:rPr>
        <w:t xml:space="preserve">. </w:t>
      </w:r>
      <w:r w:rsidR="00F737A7" w:rsidRPr="00F737A7">
        <w:rPr>
          <w:rFonts w:ascii="Arial" w:eastAsia="Calibri" w:hAnsi="Arial" w:cs="Arial"/>
          <w:bCs/>
          <w:color w:val="1A1A1A" w:themeColor="background1" w:themeShade="1A"/>
          <w:lang w:val="es-ES_tradnl"/>
        </w:rPr>
        <w:t xml:space="preserve"> </w:t>
      </w:r>
    </w:p>
    <w:p w14:paraId="6B5FA8D1" w14:textId="77777777" w:rsidR="00F737A7" w:rsidRDefault="00F737A7" w:rsidP="00163D53">
      <w:pPr>
        <w:ind w:left="2824" w:hanging="2818"/>
        <w:jc w:val="both"/>
        <w:rPr>
          <w:rFonts w:ascii="Arial" w:eastAsia="Calibri" w:hAnsi="Arial" w:cs="Arial"/>
          <w:lang w:val="es-ES_tradnl"/>
        </w:rPr>
      </w:pPr>
    </w:p>
    <w:p w14:paraId="5874A272" w14:textId="1355BB3B" w:rsidR="00137E23" w:rsidRPr="00137E23" w:rsidRDefault="00137E23" w:rsidP="00830AB8">
      <w:pPr>
        <w:tabs>
          <w:tab w:val="left" w:pos="3374"/>
        </w:tabs>
        <w:spacing w:after="0"/>
        <w:rPr>
          <w:rFonts w:ascii="Arial" w:eastAsia="Calibri" w:hAnsi="Arial" w:cs="Arial"/>
        </w:rPr>
      </w:pPr>
      <w:r w:rsidRPr="00137E23">
        <w:rPr>
          <w:rFonts w:ascii="Arial" w:eastAsia="Calibri" w:hAnsi="Arial" w:cs="Arial"/>
        </w:rPr>
        <w:t>Estimad</w:t>
      </w:r>
      <w:r w:rsidR="00783852">
        <w:rPr>
          <w:rFonts w:ascii="Arial" w:eastAsia="Calibri" w:hAnsi="Arial" w:cs="Arial"/>
        </w:rPr>
        <w:t>a</w:t>
      </w:r>
      <w:r w:rsidR="00E62C8E">
        <w:rPr>
          <w:rFonts w:ascii="Arial" w:eastAsia="Calibri" w:hAnsi="Arial" w:cs="Arial"/>
        </w:rPr>
        <w:t xml:space="preserve"> </w:t>
      </w:r>
      <w:r w:rsidRPr="00137E23">
        <w:rPr>
          <w:rFonts w:ascii="Arial" w:eastAsia="Calibri" w:hAnsi="Arial" w:cs="Arial"/>
        </w:rPr>
        <w:t>señor</w:t>
      </w:r>
      <w:r w:rsidR="00783852">
        <w:rPr>
          <w:rFonts w:ascii="Arial" w:eastAsia="Calibri" w:hAnsi="Arial" w:cs="Arial"/>
        </w:rPr>
        <w:t>a</w:t>
      </w:r>
      <w:r w:rsidR="00830AB8" w:rsidRPr="00830AB8">
        <w:rPr>
          <w:rFonts w:ascii="Arial" w:hAnsi="Arial" w:cs="Arial"/>
          <w:b/>
          <w:bCs/>
        </w:rPr>
        <w:t xml:space="preserve"> </w:t>
      </w:r>
      <w:r w:rsidR="00783852">
        <w:rPr>
          <w:rFonts w:ascii="Arial" w:hAnsi="Arial" w:cs="Arial"/>
        </w:rPr>
        <w:t>Murillo</w:t>
      </w:r>
      <w:r w:rsidR="003A7A79">
        <w:rPr>
          <w:rFonts w:ascii="Arial" w:hAnsi="Arial" w:cs="Arial"/>
        </w:rPr>
        <w:t xml:space="preserve">, </w:t>
      </w:r>
      <w:r w:rsidR="00E62C8E">
        <w:rPr>
          <w:rFonts w:ascii="Arial" w:hAnsi="Arial" w:cs="Arial"/>
        </w:rPr>
        <w:t xml:space="preserve"> </w:t>
      </w:r>
      <w:r w:rsidR="005F6209">
        <w:rPr>
          <w:rFonts w:ascii="Arial" w:hAnsi="Arial" w:cs="Arial"/>
          <w:b/>
          <w:bCs/>
        </w:rPr>
        <w:t xml:space="preserve"> </w:t>
      </w:r>
    </w:p>
    <w:p w14:paraId="06382AAE" w14:textId="77777777" w:rsidR="00423644" w:rsidRDefault="00423644" w:rsidP="00423644">
      <w:pPr>
        <w:spacing w:after="0" w:line="276" w:lineRule="auto"/>
        <w:jc w:val="both"/>
        <w:rPr>
          <w:rFonts w:ascii="Arial" w:eastAsia="Calibri" w:hAnsi="Arial" w:cs="Arial"/>
        </w:rPr>
      </w:pPr>
    </w:p>
    <w:p w14:paraId="743F6248" w14:textId="5EE5E187" w:rsidR="00830AB8" w:rsidRDefault="00423644" w:rsidP="00423644">
      <w:pPr>
        <w:spacing w:after="0" w:line="276" w:lineRule="auto"/>
        <w:jc w:val="both"/>
        <w:rPr>
          <w:rFonts w:ascii="Arial" w:eastAsia="Calibri" w:hAnsi="Arial" w:cs="Arial"/>
        </w:rPr>
      </w:pPr>
      <w:r w:rsidRPr="00423644">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Pr>
          <w:rFonts w:ascii="Arial" w:eastAsia="Calibri" w:hAnsi="Arial" w:cs="Arial"/>
        </w:rPr>
        <w:t>de fecha</w:t>
      </w:r>
      <w:r w:rsidR="00DE6321">
        <w:rPr>
          <w:rFonts w:ascii="Arial" w:eastAsia="Calibri" w:hAnsi="Arial" w:cs="Arial"/>
        </w:rPr>
        <w:t xml:space="preserve"> </w:t>
      </w:r>
      <w:r w:rsidR="006F3E39">
        <w:rPr>
          <w:rFonts w:ascii="Arial" w:eastAsia="Calibri" w:hAnsi="Arial" w:cs="Arial"/>
        </w:rPr>
        <w:t>5</w:t>
      </w:r>
      <w:r w:rsidR="00DE6321">
        <w:rPr>
          <w:rFonts w:ascii="Arial" w:eastAsia="Calibri" w:hAnsi="Arial" w:cs="Arial"/>
        </w:rPr>
        <w:t xml:space="preserve"> </w:t>
      </w:r>
      <w:r w:rsidR="003A7A79">
        <w:rPr>
          <w:rFonts w:ascii="Arial" w:eastAsia="Calibri" w:hAnsi="Arial" w:cs="Arial"/>
        </w:rPr>
        <w:t xml:space="preserve">de </w:t>
      </w:r>
      <w:r w:rsidR="006F3E39">
        <w:rPr>
          <w:rFonts w:ascii="Arial" w:eastAsia="Calibri" w:hAnsi="Arial" w:cs="Arial"/>
        </w:rPr>
        <w:t>septiembre</w:t>
      </w:r>
      <w:r w:rsidR="003A7A79">
        <w:rPr>
          <w:rFonts w:ascii="Arial" w:eastAsia="Calibri" w:hAnsi="Arial" w:cs="Arial"/>
        </w:rPr>
        <w:t xml:space="preserve"> </w:t>
      </w:r>
      <w:r w:rsidRPr="00423644">
        <w:rPr>
          <w:rFonts w:ascii="Arial" w:eastAsia="Calibri" w:hAnsi="Arial" w:cs="Arial"/>
        </w:rPr>
        <w:t>de 2022.</w:t>
      </w:r>
    </w:p>
    <w:p w14:paraId="4617D601" w14:textId="77777777" w:rsidR="00423644" w:rsidRPr="00423644" w:rsidRDefault="00423644" w:rsidP="00423644">
      <w:pPr>
        <w:spacing w:after="0" w:line="276" w:lineRule="auto"/>
        <w:jc w:val="both"/>
        <w:rPr>
          <w:rFonts w:ascii="Arial" w:hAnsi="Arial" w:cs="Arial"/>
          <w:lang w:val="es-ES_tradnl"/>
        </w:rPr>
      </w:pPr>
    </w:p>
    <w:p w14:paraId="6A56E98F" w14:textId="77777777" w:rsidR="00830AB8" w:rsidRPr="00830AB8" w:rsidRDefault="00830AB8" w:rsidP="00830AB8">
      <w:pPr>
        <w:tabs>
          <w:tab w:val="left" w:pos="284"/>
        </w:tabs>
        <w:spacing w:after="0" w:line="276" w:lineRule="auto"/>
        <w:contextualSpacing/>
        <w:jc w:val="both"/>
        <w:rPr>
          <w:rFonts w:ascii="Arial" w:eastAsia="Calibri" w:hAnsi="Arial" w:cs="Arial"/>
          <w:b/>
        </w:rPr>
      </w:pPr>
      <w:r w:rsidRPr="00830AB8">
        <w:rPr>
          <w:rFonts w:ascii="Arial" w:eastAsia="Calibri" w:hAnsi="Arial" w:cs="Arial"/>
          <w:b/>
        </w:rPr>
        <w:t xml:space="preserve">1. Problema planteado </w:t>
      </w:r>
    </w:p>
    <w:p w14:paraId="234B12EE" w14:textId="77777777" w:rsidR="00830AB8" w:rsidRPr="00830AB8" w:rsidRDefault="00830AB8" w:rsidP="00830AB8">
      <w:pPr>
        <w:tabs>
          <w:tab w:val="left" w:pos="426"/>
        </w:tabs>
        <w:spacing w:after="0" w:line="276" w:lineRule="auto"/>
        <w:jc w:val="both"/>
        <w:rPr>
          <w:rFonts w:ascii="Arial" w:eastAsia="Calibri" w:hAnsi="Arial" w:cs="Arial"/>
        </w:rPr>
      </w:pPr>
    </w:p>
    <w:p w14:paraId="5A1430E4" w14:textId="77777777" w:rsidR="00FF5BF5" w:rsidRDefault="00FF5BF5" w:rsidP="00FF5BF5">
      <w:pPr>
        <w:jc w:val="both"/>
        <w:rPr>
          <w:rFonts w:ascii="Arial" w:hAnsi="Arial" w:cs="Arial"/>
          <w:color w:val="1A1A1A" w:themeColor="background1" w:themeShade="1A"/>
          <w:lang w:val="es-ES_tradnl"/>
        </w:rPr>
      </w:pPr>
      <w:r w:rsidRPr="00691AAC">
        <w:rPr>
          <w:rFonts w:ascii="Arial" w:hAnsi="Arial" w:cs="Arial"/>
          <w:color w:val="1A1A1A" w:themeColor="background1" w:themeShade="1A"/>
          <w:lang w:val="es-ES_tradnl"/>
        </w:rPr>
        <w:t xml:space="preserve">Usted formula la siguiente consulta: </w:t>
      </w:r>
    </w:p>
    <w:p w14:paraId="2678527E" w14:textId="07E447F2" w:rsidR="003A7A79" w:rsidRDefault="003A7A79" w:rsidP="006D0E8A">
      <w:pPr>
        <w:spacing w:line="240" w:lineRule="auto"/>
        <w:ind w:left="709" w:right="709"/>
        <w:jc w:val="both"/>
        <w:rPr>
          <w:rFonts w:ascii="Arial" w:hAnsi="Arial" w:cs="Arial"/>
          <w:color w:val="1A1A1A" w:themeColor="background1" w:themeShade="1A"/>
          <w:sz w:val="21"/>
          <w:szCs w:val="21"/>
        </w:rPr>
      </w:pPr>
      <w:bookmarkStart w:id="2" w:name="_Hlk106025682"/>
      <w:r w:rsidRPr="003A7A79">
        <w:rPr>
          <w:rFonts w:ascii="Arial" w:hAnsi="Arial" w:cs="Arial"/>
          <w:color w:val="1A1A1A" w:themeColor="background1" w:themeShade="1A"/>
          <w:sz w:val="21"/>
          <w:szCs w:val="21"/>
        </w:rPr>
        <w:t>«</w:t>
      </w:r>
      <w:r w:rsidR="00783852" w:rsidRPr="00783852">
        <w:rPr>
          <w:rFonts w:ascii="Arial" w:hAnsi="Arial" w:cs="Arial"/>
          <w:color w:val="1A1A1A" w:themeColor="background1" w:themeShade="1A"/>
          <w:sz w:val="21"/>
          <w:szCs w:val="21"/>
        </w:rPr>
        <w:t xml:space="preserve">solicito se me aclara si las Convocatorias limitadas a </w:t>
      </w:r>
      <w:proofErr w:type="spellStart"/>
      <w:r w:rsidR="00783852" w:rsidRPr="00783852">
        <w:rPr>
          <w:rFonts w:ascii="Arial" w:hAnsi="Arial" w:cs="Arial"/>
          <w:color w:val="1A1A1A" w:themeColor="background1" w:themeShade="1A"/>
          <w:sz w:val="21"/>
          <w:szCs w:val="21"/>
        </w:rPr>
        <w:t>Mipyme</w:t>
      </w:r>
      <w:proofErr w:type="spellEnd"/>
      <w:r w:rsidR="00783852">
        <w:rPr>
          <w:rFonts w:ascii="Arial" w:hAnsi="Arial" w:cs="Arial"/>
          <w:color w:val="1A1A1A" w:themeColor="background1" w:themeShade="1A"/>
          <w:sz w:val="21"/>
          <w:szCs w:val="21"/>
        </w:rPr>
        <w:t xml:space="preserve"> </w:t>
      </w:r>
      <w:r w:rsidR="00783852" w:rsidRPr="00783852">
        <w:rPr>
          <w:rFonts w:ascii="Arial" w:hAnsi="Arial" w:cs="Arial"/>
          <w:color w:val="1A1A1A" w:themeColor="background1" w:themeShade="1A"/>
          <w:sz w:val="21"/>
          <w:szCs w:val="21"/>
        </w:rPr>
        <w:t>contenidas en el artículo 2.2.1.2.4.2.2. del Decreto 1082 de 2015, es un incentivo en</w:t>
      </w:r>
      <w:r w:rsidR="00783852">
        <w:rPr>
          <w:rFonts w:ascii="Arial" w:hAnsi="Arial" w:cs="Arial"/>
          <w:color w:val="1A1A1A" w:themeColor="background1" w:themeShade="1A"/>
          <w:sz w:val="21"/>
          <w:szCs w:val="21"/>
        </w:rPr>
        <w:t xml:space="preserve"> </w:t>
      </w:r>
      <w:proofErr w:type="spellStart"/>
      <w:r w:rsidR="00783852" w:rsidRPr="00783852">
        <w:rPr>
          <w:rFonts w:ascii="Arial" w:hAnsi="Arial" w:cs="Arial"/>
          <w:color w:val="1A1A1A" w:themeColor="background1" w:themeShade="1A"/>
          <w:sz w:val="21"/>
          <w:szCs w:val="21"/>
        </w:rPr>
        <w:t>en</w:t>
      </w:r>
      <w:proofErr w:type="spellEnd"/>
      <w:r w:rsidR="00783852" w:rsidRPr="00783852">
        <w:rPr>
          <w:rFonts w:ascii="Arial" w:hAnsi="Arial" w:cs="Arial"/>
          <w:color w:val="1A1A1A" w:themeColor="background1" w:themeShade="1A"/>
          <w:sz w:val="21"/>
          <w:szCs w:val="21"/>
        </w:rPr>
        <w:t xml:space="preserve"> la </w:t>
      </w:r>
      <w:r w:rsidR="00783852" w:rsidRPr="00783852">
        <w:rPr>
          <w:rFonts w:ascii="Arial" w:hAnsi="Arial" w:cs="Arial"/>
          <w:color w:val="1A1A1A" w:themeColor="background1" w:themeShade="1A"/>
          <w:sz w:val="21"/>
          <w:szCs w:val="21"/>
        </w:rPr>
        <w:lastRenderedPageBreak/>
        <w:t xml:space="preserve">contratación pública de los que trata el artículo 2.2.1.2.4.2.1. del Decreto </w:t>
      </w:r>
      <w:proofErr w:type="spellStart"/>
      <w:r w:rsidR="00783852" w:rsidRPr="00783852">
        <w:rPr>
          <w:rFonts w:ascii="Arial" w:hAnsi="Arial" w:cs="Arial"/>
          <w:color w:val="1A1A1A" w:themeColor="background1" w:themeShade="1A"/>
          <w:sz w:val="21"/>
          <w:szCs w:val="21"/>
        </w:rPr>
        <w:t>íbidem</w:t>
      </w:r>
      <w:proofErr w:type="spellEnd"/>
      <w:r w:rsidR="00783852" w:rsidRPr="00783852">
        <w:rPr>
          <w:rFonts w:ascii="Arial" w:hAnsi="Arial" w:cs="Arial"/>
          <w:color w:val="1A1A1A" w:themeColor="background1" w:themeShade="1A"/>
          <w:sz w:val="21"/>
          <w:szCs w:val="21"/>
        </w:rPr>
        <w:t>, y</w:t>
      </w:r>
      <w:r w:rsidR="00783852">
        <w:rPr>
          <w:rFonts w:ascii="Arial" w:hAnsi="Arial" w:cs="Arial"/>
          <w:color w:val="1A1A1A" w:themeColor="background1" w:themeShade="1A"/>
          <w:sz w:val="21"/>
          <w:szCs w:val="21"/>
        </w:rPr>
        <w:t xml:space="preserve"> </w:t>
      </w:r>
      <w:r w:rsidR="00783852" w:rsidRPr="00783852">
        <w:rPr>
          <w:rFonts w:ascii="Arial" w:hAnsi="Arial" w:cs="Arial"/>
          <w:color w:val="1A1A1A" w:themeColor="background1" w:themeShade="1A"/>
          <w:sz w:val="21"/>
          <w:szCs w:val="21"/>
        </w:rPr>
        <w:t>por tanto no es aplicable en los procesos para la adquisición de Bienes y Servicios de</w:t>
      </w:r>
      <w:r w:rsidR="00783852">
        <w:rPr>
          <w:rFonts w:ascii="Arial" w:hAnsi="Arial" w:cs="Arial"/>
          <w:color w:val="1A1A1A" w:themeColor="background1" w:themeShade="1A"/>
          <w:sz w:val="21"/>
          <w:szCs w:val="21"/>
        </w:rPr>
        <w:t xml:space="preserve"> </w:t>
      </w:r>
      <w:r w:rsidR="00783852" w:rsidRPr="00783852">
        <w:rPr>
          <w:rFonts w:ascii="Arial" w:hAnsi="Arial" w:cs="Arial"/>
          <w:color w:val="1A1A1A" w:themeColor="background1" w:themeShade="1A"/>
          <w:sz w:val="21"/>
          <w:szCs w:val="21"/>
        </w:rPr>
        <w:t>Características Técnicas Uniformes:</w:t>
      </w:r>
      <w:r w:rsidRPr="003A7A79">
        <w:rPr>
          <w:rFonts w:ascii="Arial" w:hAnsi="Arial" w:cs="Arial"/>
          <w:color w:val="1A1A1A" w:themeColor="background1" w:themeShade="1A"/>
          <w:sz w:val="21"/>
          <w:szCs w:val="21"/>
        </w:rPr>
        <w:t>»</w:t>
      </w:r>
      <w:bookmarkEnd w:id="2"/>
      <w:r w:rsidR="00783852">
        <w:rPr>
          <w:rFonts w:ascii="Arial" w:hAnsi="Arial" w:cs="Arial"/>
          <w:color w:val="1A1A1A" w:themeColor="background1" w:themeShade="1A"/>
          <w:sz w:val="21"/>
          <w:szCs w:val="21"/>
        </w:rPr>
        <w:t xml:space="preserve"> (sic) </w:t>
      </w:r>
    </w:p>
    <w:p w14:paraId="40DB22C1" w14:textId="710168FD" w:rsidR="00830AB8" w:rsidRPr="003A7A79" w:rsidRDefault="00830AB8" w:rsidP="003A7A79">
      <w:pPr>
        <w:spacing w:line="240" w:lineRule="auto"/>
        <w:ind w:right="709"/>
        <w:jc w:val="both"/>
        <w:rPr>
          <w:rFonts w:ascii="Arial" w:hAnsi="Arial" w:cs="Arial"/>
          <w:color w:val="1A1A1A" w:themeColor="background1" w:themeShade="1A"/>
          <w:sz w:val="21"/>
          <w:szCs w:val="21"/>
        </w:rPr>
      </w:pPr>
      <w:r w:rsidRPr="00830AB8">
        <w:rPr>
          <w:rFonts w:ascii="Arial" w:eastAsia="Calibri" w:hAnsi="Arial" w:cs="Arial"/>
          <w:b/>
        </w:rPr>
        <w:t>2. Consideraciones</w:t>
      </w:r>
    </w:p>
    <w:p w14:paraId="64197335" w14:textId="2B14AD4D" w:rsidR="00B42724" w:rsidRPr="00F375E2" w:rsidRDefault="00B42724" w:rsidP="006B129B">
      <w:pPr>
        <w:spacing w:before="240" w:line="276" w:lineRule="auto"/>
        <w:jc w:val="both"/>
        <w:rPr>
          <w:rFonts w:ascii="Arial" w:eastAsia="Calibri" w:hAnsi="Arial" w:cs="Arial"/>
          <w:color w:val="000000" w:themeColor="text1"/>
          <w:lang w:val="es-ES_tradnl"/>
        </w:rPr>
      </w:pPr>
      <w:r w:rsidRPr="00F375E2">
        <w:rPr>
          <w:rFonts w:ascii="Arial" w:hAnsi="Arial" w:cs="Arial"/>
          <w:color w:val="000000" w:themeColor="text1"/>
          <w:lang w:val="es-ES"/>
        </w:rPr>
        <w:t>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375E2">
        <w:rPr>
          <w:rStyle w:val="Refdenotaalpie"/>
          <w:rFonts w:ascii="Arial" w:hAnsi="Arial" w:cs="Arial"/>
          <w:color w:val="000000" w:themeColor="text1"/>
          <w:lang w:val="es-ES"/>
        </w:rPr>
        <w:footnoteReference w:id="1"/>
      </w:r>
      <w:r w:rsidRPr="00F375E2">
        <w:rPr>
          <w:rFonts w:ascii="Arial" w:hAnsi="Arial" w:cs="Arial"/>
          <w:color w:val="000000" w:themeColor="text1"/>
          <w:lang w:val="es-ES"/>
        </w:rPr>
        <w:t xml:space="preserve">. Esta competencia de interpretación de normas generales, por definición, </w:t>
      </w:r>
      <w:r w:rsidR="003A1C61">
        <w:rPr>
          <w:rFonts w:ascii="Arial" w:hAnsi="Arial" w:cs="Arial"/>
          <w:color w:val="000000" w:themeColor="text1"/>
          <w:lang w:val="es-ES"/>
        </w:rPr>
        <w:t>tampoco</w:t>
      </w:r>
      <w:r w:rsidR="003A1C61" w:rsidRPr="00F375E2">
        <w:rPr>
          <w:rFonts w:ascii="Arial" w:hAnsi="Arial" w:cs="Arial"/>
          <w:color w:val="000000" w:themeColor="text1"/>
          <w:lang w:val="es-ES"/>
        </w:rPr>
        <w:t xml:space="preserve"> </w:t>
      </w:r>
      <w:r w:rsidRPr="00F375E2">
        <w:rPr>
          <w:rFonts w:ascii="Arial" w:hAnsi="Arial" w:cs="Arial"/>
          <w:color w:val="000000" w:themeColor="text1"/>
          <w:lang w:val="es-ES"/>
        </w:rPr>
        <w:t>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3F659A69" w14:textId="2614510B" w:rsidR="00B42724" w:rsidRDefault="00B42724" w:rsidP="00B42724">
      <w:pPr>
        <w:tabs>
          <w:tab w:val="left" w:pos="426"/>
        </w:tabs>
        <w:spacing w:before="240" w:line="276" w:lineRule="auto"/>
        <w:ind w:firstLine="709"/>
        <w:jc w:val="both"/>
        <w:rPr>
          <w:rFonts w:ascii="Arial" w:eastAsia="Arial" w:hAnsi="Arial" w:cs="Arial"/>
          <w:color w:val="000000" w:themeColor="text1"/>
          <w:lang w:val="es-ES_tradnl"/>
        </w:rPr>
      </w:pPr>
      <w:r w:rsidRPr="00F375E2">
        <w:rPr>
          <w:rFonts w:ascii="Arial" w:eastAsia="Calibri" w:hAnsi="Arial"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Pr>
          <w:rFonts w:ascii="Arial" w:eastAsia="Calibri" w:hAnsi="Arial" w:cs="Arial"/>
          <w:color w:val="000000" w:themeColor="text1"/>
          <w:lang w:val="es-ES_tradnl"/>
        </w:rPr>
        <w:t xml:space="preserve"> en materia de contratación pública</w:t>
      </w:r>
      <w:r w:rsidRPr="00F375E2">
        <w:rPr>
          <w:rFonts w:ascii="Arial" w:eastAsia="Calibri" w:hAnsi="Arial"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F375E2">
        <w:rPr>
          <w:rFonts w:ascii="Arial" w:eastAsia="Arial" w:hAnsi="Arial" w:cs="Arial"/>
          <w:color w:val="000000" w:themeColor="text1"/>
          <w:lang w:val="es-ES_tradnl"/>
        </w:rPr>
        <w:t>de obligatorio cumplimiento para el destinatario, sino que expresan la posición interpretativa del ente que elabora el concepto.</w:t>
      </w:r>
    </w:p>
    <w:p w14:paraId="4B404BE5" w14:textId="4A10889A" w:rsidR="00525B40" w:rsidRDefault="00392B77" w:rsidP="00525B40">
      <w:pPr>
        <w:spacing w:line="276" w:lineRule="auto"/>
        <w:ind w:firstLine="708"/>
        <w:jc w:val="both"/>
        <w:rPr>
          <w:rFonts w:ascii="Arial" w:eastAsia="Calibri" w:hAnsi="Arial" w:cs="Arial"/>
          <w:lang w:val="es-ES_tradnl"/>
        </w:rPr>
      </w:pPr>
      <w:bookmarkStart w:id="3" w:name="_Hlk38448224"/>
      <w:r>
        <w:rPr>
          <w:rFonts w:ascii="Arial" w:hAnsi="Arial" w:cs="Arial"/>
          <w:lang w:val="es-ES_tradnl"/>
        </w:rPr>
        <w:lastRenderedPageBreak/>
        <w:t>La Agencia Nacional de Contratación Pública – Colombia Compra Eficiente</w:t>
      </w:r>
      <w:bookmarkEnd w:id="3"/>
      <w:r>
        <w:rPr>
          <w:rFonts w:ascii="Arial" w:eastAsia="Calibri" w:hAnsi="Arial" w:cs="Arial"/>
          <w:lang w:val="es-MX"/>
        </w:rPr>
        <w:t xml:space="preserve">, </w:t>
      </w:r>
      <w:r w:rsidR="00F007C7" w:rsidRPr="00F007C7">
        <w:rPr>
          <w:rFonts w:ascii="Arial" w:eastAsia="Calibri" w:hAnsi="Arial" w:cs="Arial"/>
          <w:lang w:val="es-MX"/>
        </w:rPr>
        <w:t>en los conceptos con radicado 2201913000008812 del 28 de noviembre de 2019 y 2201913000009600 del 24 de diciembre de 2019 se pronunció respecto a los bienes y servicios de características técnicas uniformes, por lo que se reiteran, en lo pertinente, tales consideraciones.</w:t>
      </w:r>
      <w:r w:rsidR="00676652">
        <w:rPr>
          <w:rFonts w:ascii="Arial" w:eastAsia="Calibri" w:hAnsi="Arial" w:cs="Arial"/>
          <w:lang w:val="es-MX"/>
        </w:rPr>
        <w:t xml:space="preserve"> Así mismo, </w:t>
      </w:r>
      <w:r w:rsidR="00676652">
        <w:rPr>
          <w:rFonts w:ascii="Arial" w:eastAsia="Calibri" w:hAnsi="Arial" w:cs="Arial"/>
          <w:lang w:val="es-ES_tradnl"/>
        </w:rPr>
        <w:t xml:space="preserve">se pronunció sobre la nueva regulación de la promoción del desarrollo en la contratación estatal contenida en el artículo 34 de la Ley 2069 de 2020 en los conceptos </w:t>
      </w:r>
      <w:r w:rsidR="00525B40" w:rsidRPr="00525B40">
        <w:rPr>
          <w:rFonts w:ascii="Arial" w:eastAsia="Calibri" w:hAnsi="Arial" w:cs="Arial"/>
          <w:lang w:val="es-ES_tradnl"/>
        </w:rPr>
        <w:t>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sidR="00850FBA">
        <w:rPr>
          <w:rFonts w:ascii="Arial" w:eastAsia="Calibri" w:hAnsi="Arial" w:cs="Arial"/>
          <w:lang w:val="es-ES_tradnl"/>
        </w:rPr>
        <w:t xml:space="preserve">. </w:t>
      </w:r>
      <w:r w:rsidR="00850FBA">
        <w:rPr>
          <w:rFonts w:ascii="Arial" w:hAnsi="Arial" w:cs="Arial"/>
        </w:rPr>
        <w:t>De igual forma la</w:t>
      </w:r>
      <w:r w:rsidR="00850FBA" w:rsidRPr="0088027A">
        <w:rPr>
          <w:rFonts w:ascii="Arial" w:hAnsi="Arial" w:cs="Arial"/>
        </w:rPr>
        <w:t xml:space="preserve"> Agencia analizó la aplicación del Decreto 680 de 2021 y el otorgamiento del puntaje por apoyo a la industria nacional en los procedimientos de selección en los conceptos C-442 del 26 de agosto de 2021, C-542 del 20 de octubre de 2021, C-549 del 5 de noviembre de 2021</w:t>
      </w:r>
      <w:r w:rsidR="00850FBA">
        <w:rPr>
          <w:rFonts w:ascii="Arial" w:hAnsi="Arial" w:cs="Arial"/>
        </w:rPr>
        <w:t xml:space="preserve">, </w:t>
      </w:r>
      <w:r w:rsidR="00850FBA" w:rsidRPr="0088027A">
        <w:rPr>
          <w:rFonts w:ascii="Arial" w:hAnsi="Arial" w:cs="Arial"/>
        </w:rPr>
        <w:t>C-020 del 22 de febrero de 2022</w:t>
      </w:r>
      <w:r w:rsidR="00850FBA">
        <w:rPr>
          <w:rFonts w:ascii="Arial" w:hAnsi="Arial" w:cs="Arial"/>
        </w:rPr>
        <w:t xml:space="preserve">, </w:t>
      </w:r>
      <w:r w:rsidR="00850FBA" w:rsidRPr="00D447A9">
        <w:rPr>
          <w:rFonts w:ascii="Arial" w:eastAsia="Calibri" w:hAnsi="Arial" w:cs="Arial"/>
          <w:lang w:val="es-ES_tradnl"/>
        </w:rPr>
        <w:t>C-219 del 21 de abril de 2022</w:t>
      </w:r>
      <w:r w:rsidR="00850FBA">
        <w:rPr>
          <w:rFonts w:ascii="Arial" w:eastAsia="Calibri" w:hAnsi="Arial" w:cs="Arial"/>
          <w:lang w:val="es-ES_tradnl"/>
        </w:rPr>
        <w:t xml:space="preserve"> y</w:t>
      </w:r>
      <w:r w:rsidR="00850FBA" w:rsidRPr="00D447A9">
        <w:rPr>
          <w:rFonts w:ascii="Arial" w:eastAsia="Calibri" w:hAnsi="Arial" w:cs="Arial"/>
          <w:lang w:val="es-ES_tradnl"/>
        </w:rPr>
        <w:t xml:space="preserve"> C-265 del 4 de abril de 2022</w:t>
      </w:r>
      <w:r w:rsidR="00850FBA" w:rsidRPr="0088027A">
        <w:rPr>
          <w:rFonts w:ascii="Arial" w:hAnsi="Arial" w:cs="Arial"/>
        </w:rPr>
        <w:t xml:space="preserve">. </w:t>
      </w:r>
      <w:r w:rsidR="00850FBA" w:rsidRPr="00D447A9">
        <w:rPr>
          <w:rFonts w:ascii="Arial" w:eastAsia="Calibri" w:hAnsi="Arial" w:cs="Arial"/>
          <w:lang w:val="es-ES_tradnl"/>
        </w:rPr>
        <w:t>As</w:t>
      </w:r>
      <w:r w:rsidR="00850FBA">
        <w:rPr>
          <w:rFonts w:ascii="Arial" w:eastAsia="Calibri" w:hAnsi="Arial" w:cs="Arial"/>
          <w:lang w:val="es-ES_tradnl"/>
        </w:rPr>
        <w:t xml:space="preserve">í </w:t>
      </w:r>
      <w:r w:rsidR="00850FBA" w:rsidRPr="00D447A9">
        <w:rPr>
          <w:rFonts w:ascii="Arial" w:eastAsia="Calibri" w:hAnsi="Arial" w:cs="Arial"/>
          <w:lang w:val="es-ES_tradnl"/>
        </w:rPr>
        <w:t>mismo, la Agencia explicó la aplicación de la Resolución 304 de 2021 «</w:t>
      </w:r>
      <w:r w:rsidR="00850FBA" w:rsidRPr="00D447A9">
        <w:rPr>
          <w:rFonts w:ascii="Arial" w:eastAsia="Calibri" w:hAnsi="Arial" w:cs="Arial"/>
        </w:rPr>
        <w:t>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y C-396 del 15 de junio de 2022</w:t>
      </w:r>
      <w:r w:rsidR="00525B40" w:rsidRPr="00525B40">
        <w:rPr>
          <w:rFonts w:ascii="Arial" w:eastAsia="Calibri" w:hAnsi="Arial" w:cs="Arial"/>
          <w:lang w:val="es-ES_tradnl"/>
        </w:rPr>
        <w:t xml:space="preserve">. Las consideraciones de estos conceptos se reiteran a continuación y se complementan en lo pertinente. </w:t>
      </w:r>
    </w:p>
    <w:p w14:paraId="2A929E95" w14:textId="4495D25D" w:rsidR="00F007C7" w:rsidRPr="00BC42A3" w:rsidRDefault="002B19FB" w:rsidP="00525B40">
      <w:pPr>
        <w:spacing w:line="276" w:lineRule="auto"/>
        <w:jc w:val="both"/>
        <w:rPr>
          <w:rFonts w:ascii="Arial" w:hAnsi="Arial" w:cs="Arial"/>
          <w:b/>
          <w:lang w:val="es-ES_tradnl"/>
        </w:rPr>
      </w:pPr>
      <w:r w:rsidRPr="002B19FB">
        <w:rPr>
          <w:rFonts w:ascii="Arial" w:hAnsi="Arial" w:cs="Arial"/>
          <w:b/>
          <w:bCs/>
        </w:rPr>
        <w:t>2.1.</w:t>
      </w:r>
      <w:r w:rsidR="007B08AC" w:rsidRPr="007B08AC">
        <w:t xml:space="preserve"> </w:t>
      </w:r>
      <w:r w:rsidR="00F007C7">
        <w:t xml:space="preserve"> </w:t>
      </w:r>
      <w:r w:rsidR="00F007C7">
        <w:rPr>
          <w:rFonts w:ascii="Arial" w:eastAsia="Arial" w:hAnsi="Arial" w:cs="Arial"/>
          <w:b/>
          <w:bCs/>
        </w:rPr>
        <w:t xml:space="preserve">Bienes o servicios de características técnicas uniformes </w:t>
      </w:r>
      <w:r w:rsidR="00F007C7">
        <w:rPr>
          <w:rFonts w:ascii="Arial" w:hAnsi="Arial" w:cs="Arial"/>
          <w:b/>
          <w:lang w:val="es-ES_tradnl"/>
        </w:rPr>
        <w:t>en el ordenamiento jurídico colombiano</w:t>
      </w:r>
      <w:r w:rsidR="00AF68E7">
        <w:rPr>
          <w:rFonts w:ascii="Arial" w:hAnsi="Arial" w:cs="Arial"/>
          <w:b/>
          <w:lang w:val="es-ES_tradnl"/>
        </w:rPr>
        <w:t xml:space="preserve">. </w:t>
      </w:r>
      <w:r w:rsidR="002B7FA3">
        <w:rPr>
          <w:rFonts w:ascii="Arial" w:hAnsi="Arial" w:cs="Arial"/>
          <w:b/>
          <w:lang w:val="es-ES_tradnl"/>
        </w:rPr>
        <w:t>Mecanismos y criterio</w:t>
      </w:r>
      <w:r w:rsidR="00992C25">
        <w:rPr>
          <w:rFonts w:ascii="Arial" w:hAnsi="Arial" w:cs="Arial"/>
          <w:b/>
          <w:lang w:val="es-ES_tradnl"/>
        </w:rPr>
        <w:t>s</w:t>
      </w:r>
      <w:r w:rsidR="002B7FA3">
        <w:rPr>
          <w:rFonts w:ascii="Arial" w:hAnsi="Arial" w:cs="Arial"/>
          <w:b/>
          <w:lang w:val="es-ES_tradnl"/>
        </w:rPr>
        <w:t xml:space="preserve"> aplicable a su selección. </w:t>
      </w:r>
    </w:p>
    <w:p w14:paraId="57C80248" w14:textId="77777777" w:rsidR="00F007C7" w:rsidRDefault="00F007C7" w:rsidP="006F3E39">
      <w:pPr>
        <w:spacing w:after="120" w:line="276" w:lineRule="auto"/>
        <w:jc w:val="both"/>
        <w:rPr>
          <w:rFonts w:ascii="Arial" w:eastAsia="Arial" w:hAnsi="Arial" w:cs="Arial"/>
          <w:lang w:val="es-ES" w:bidi="es-ES"/>
        </w:rPr>
      </w:pPr>
      <w:r>
        <w:rPr>
          <w:rFonts w:ascii="Arial" w:eastAsia="Arial" w:hAnsi="Arial" w:cs="Arial"/>
          <w:lang w:val="es-ES" w:bidi="es-ES"/>
        </w:rPr>
        <w:t>El numeral 2º del artículo 2º de la Ley 1150 de 2007 consagra la selección abreviada como una de las modalidades de selección de contratistas del Estado. El legislador dispuso, que la selección abreviada es un proceso que garantiza la eficiencia de la gestión contractual, en aquellos eventos en los que, por las características del objeto a contratar, las circunstancias de la contratación o la cuantía o destinación del bien, obra o servicio, se pueda adelantar procesos simplificados y eficientes.</w:t>
      </w:r>
    </w:p>
    <w:p w14:paraId="2F0C5DD9" w14:textId="77777777" w:rsidR="00F007C7" w:rsidRDefault="00F007C7" w:rsidP="00F007C7">
      <w:pPr>
        <w:spacing w:line="276" w:lineRule="auto"/>
        <w:ind w:firstLine="720"/>
        <w:jc w:val="both"/>
        <w:rPr>
          <w:rFonts w:ascii="Arial" w:eastAsia="Arial" w:hAnsi="Arial" w:cs="Arial"/>
          <w:lang w:val="es-ES" w:bidi="es-ES"/>
        </w:rPr>
      </w:pPr>
      <w:r>
        <w:rPr>
          <w:rFonts w:ascii="Arial" w:eastAsia="Arial" w:hAnsi="Arial" w:cs="Arial"/>
          <w:lang w:val="es-ES" w:bidi="es-ES"/>
        </w:rPr>
        <w:lastRenderedPageBreak/>
        <w:t>Pues bien, por las características del objeto a contratar, la primera causal de selección abreviada es la contenida en el literal a) de la norma citada, que dispone lo siguiente:</w:t>
      </w:r>
    </w:p>
    <w:p w14:paraId="27A3C94F" w14:textId="77777777" w:rsidR="00F007C7" w:rsidRDefault="00F007C7" w:rsidP="006D0E8A">
      <w:pPr>
        <w:spacing w:after="120" w:line="240" w:lineRule="auto"/>
        <w:ind w:left="709" w:right="709"/>
        <w:jc w:val="both"/>
        <w:rPr>
          <w:rFonts w:ascii="Arial" w:eastAsia="Arial" w:hAnsi="Arial" w:cs="Arial"/>
          <w:sz w:val="21"/>
          <w:szCs w:val="21"/>
          <w:lang w:val="es-ES" w:bidi="es-ES"/>
        </w:rPr>
      </w:pPr>
      <w:r>
        <w:rPr>
          <w:rFonts w:ascii="Arial" w:eastAsia="Arial" w:hAnsi="Arial" w:cs="Arial"/>
          <w:sz w:val="21"/>
          <w:szCs w:val="21"/>
          <w:lang w:val="es-ES" w:bidi="es-ES"/>
        </w:rPr>
        <w:t>Serán causales de selección abreviada las siguientes:</w:t>
      </w:r>
    </w:p>
    <w:p w14:paraId="516EA92D" w14:textId="77777777" w:rsidR="00F007C7" w:rsidRDefault="00F007C7" w:rsidP="006D0E8A">
      <w:pPr>
        <w:spacing w:line="240" w:lineRule="auto"/>
        <w:ind w:left="709" w:right="709"/>
        <w:jc w:val="both"/>
        <w:rPr>
          <w:rFonts w:ascii="Arial" w:eastAsia="Arial" w:hAnsi="Arial" w:cs="Arial"/>
          <w:sz w:val="21"/>
          <w:szCs w:val="21"/>
          <w:lang w:val="es-ES" w:bidi="es-ES"/>
        </w:rPr>
      </w:pPr>
      <w:r>
        <w:rPr>
          <w:rFonts w:ascii="Arial" w:eastAsia="Arial" w:hAnsi="Arial" w:cs="Arial"/>
          <w:sz w:val="21"/>
          <w:szCs w:val="21"/>
          <w:lang w:val="es-ES" w:bidi="es-ES"/>
        </w:rPr>
        <w:t xml:space="preserve">La adquisición o suministro de bienes y servicios de características técnicas uniformes y de común utilización por parte de las entidades, que </w:t>
      </w:r>
      <w:r>
        <w:rPr>
          <w:rFonts w:ascii="Arial" w:eastAsia="Arial" w:hAnsi="Arial" w:cs="Arial"/>
          <w:i/>
          <w:iCs/>
          <w:sz w:val="21"/>
          <w:szCs w:val="21"/>
          <w:lang w:val="es-ES" w:bidi="es-ES"/>
        </w:rPr>
        <w:t>corresponden a aquellos que poseen las mismas especificaciones técnicas, con independencia de su diseño o de sus características descriptivas, y comparten patrones de desempeño y calidad objetivamente definidos</w:t>
      </w:r>
      <w:r>
        <w:rPr>
          <w:rFonts w:ascii="Arial" w:eastAsia="Arial" w:hAnsi="Arial" w:cs="Arial"/>
          <w:sz w:val="21"/>
          <w:szCs w:val="21"/>
          <w:lang w:val="es-ES" w:bidi="es-ES"/>
        </w:rPr>
        <w:t>.</w:t>
      </w:r>
    </w:p>
    <w:p w14:paraId="125BB845" w14:textId="77777777" w:rsidR="00F007C7" w:rsidRDefault="00F007C7" w:rsidP="00F007C7">
      <w:pPr>
        <w:spacing w:after="120" w:line="276" w:lineRule="auto"/>
        <w:ind w:firstLine="720"/>
        <w:jc w:val="both"/>
        <w:rPr>
          <w:rFonts w:ascii="Arial" w:eastAsia="Arial" w:hAnsi="Arial" w:cs="Arial"/>
          <w:lang w:val="es-ES" w:bidi="es-ES"/>
        </w:rPr>
      </w:pPr>
      <w:r>
        <w:rPr>
          <w:rFonts w:ascii="Arial" w:eastAsia="Arial" w:hAnsi="Arial" w:cs="Arial"/>
          <w:lang w:val="es-ES" w:bidi="es-ES"/>
        </w:rPr>
        <w:t xml:space="preserve">La norma introdujo una categoría novedosa para el momento en que fue expedida la Ley 1150 de 2007: los bienes y servicios de características técnicas uniformes y de común utilización. De igual forma, la norma señaló que este tipo de bienes y servicios se podrían adquirir a través de tres modalidades: i) subasta inversa; </w:t>
      </w:r>
      <w:proofErr w:type="spellStart"/>
      <w:r>
        <w:rPr>
          <w:rFonts w:ascii="Arial" w:eastAsia="Arial" w:hAnsi="Arial" w:cs="Arial"/>
          <w:lang w:val="es-ES" w:bidi="es-ES"/>
        </w:rPr>
        <w:t>ii</w:t>
      </w:r>
      <w:proofErr w:type="spellEnd"/>
      <w:r>
        <w:rPr>
          <w:rFonts w:ascii="Arial" w:eastAsia="Arial" w:hAnsi="Arial" w:cs="Arial"/>
          <w:lang w:val="es-ES" w:bidi="es-ES"/>
        </w:rPr>
        <w:t xml:space="preserve">) bolsas de productos e </w:t>
      </w:r>
      <w:proofErr w:type="spellStart"/>
      <w:r>
        <w:rPr>
          <w:rFonts w:ascii="Arial" w:eastAsia="Arial" w:hAnsi="Arial" w:cs="Arial"/>
          <w:lang w:val="es-ES" w:bidi="es-ES"/>
        </w:rPr>
        <w:t>iii</w:t>
      </w:r>
      <w:proofErr w:type="spellEnd"/>
      <w:r>
        <w:rPr>
          <w:rFonts w:ascii="Arial" w:eastAsia="Arial" w:hAnsi="Arial" w:cs="Arial"/>
          <w:lang w:val="es-ES" w:bidi="es-ES"/>
        </w:rPr>
        <w:t>) instrumentos de compra por catálogo derivados de acuerdos marco de precios.</w:t>
      </w:r>
    </w:p>
    <w:p w14:paraId="63B8E5D6" w14:textId="77777777" w:rsidR="00F007C7" w:rsidRDefault="00F007C7" w:rsidP="00F007C7">
      <w:pPr>
        <w:spacing w:after="120" w:line="276" w:lineRule="auto"/>
        <w:ind w:firstLine="720"/>
        <w:jc w:val="both"/>
        <w:rPr>
          <w:rFonts w:ascii="Arial" w:eastAsia="Arial" w:hAnsi="Arial" w:cs="Arial"/>
          <w:lang w:val="es-ES" w:bidi="es-ES"/>
        </w:rPr>
      </w:pPr>
      <w:r>
        <w:rPr>
          <w:rFonts w:ascii="Arial" w:eastAsia="Arial" w:hAnsi="Arial" w:cs="Arial"/>
          <w:lang w:val="es-ES" w:bidi="es-ES"/>
        </w:rPr>
        <w:t>Como se advierte de la disposición citada, la Ley 1150 de 2007 –artículo 2, numeral 2, literal a)– estableció que los bienes y servicios de características técnicas uniformes son aquellos que poseen las mismas especificaciones técnicas y comparten patrones de desempeño y calidad objetivamente definidas, con independencia de su diseño o de sus características descriptivas.</w:t>
      </w:r>
    </w:p>
    <w:p w14:paraId="47563A7A" w14:textId="77777777" w:rsidR="00F007C7" w:rsidRDefault="00F007C7" w:rsidP="00F007C7">
      <w:pPr>
        <w:spacing w:after="120" w:line="276" w:lineRule="auto"/>
        <w:ind w:firstLine="720"/>
        <w:jc w:val="both"/>
        <w:rPr>
          <w:rFonts w:ascii="Arial" w:eastAsia="Arial" w:hAnsi="Arial" w:cs="Arial"/>
          <w:lang w:val="es-ES" w:bidi="es-ES"/>
        </w:rPr>
      </w:pPr>
      <w:r>
        <w:rPr>
          <w:rFonts w:ascii="Arial" w:eastAsia="Arial" w:hAnsi="Arial" w:cs="Arial"/>
          <w:lang w:val="es-ES" w:bidi="es-ES"/>
        </w:rPr>
        <w:t xml:space="preserve">En armonía con la disposición anterior, el artículo 2.2.1.1.1.3.1 del Decreto 1082 de 2015 desarrolló el concepto de «bienes y servicios de características técnicas uniformes» en los siguientes términos: </w:t>
      </w:r>
      <w:r>
        <w:rPr>
          <w:rFonts w:ascii="Arial" w:eastAsia="Arial" w:hAnsi="Arial" w:cs="Arial"/>
          <w:lang w:bidi="es-ES"/>
        </w:rPr>
        <w:t>«</w:t>
      </w:r>
      <w:r>
        <w:rPr>
          <w:rFonts w:ascii="Arial" w:eastAsia="Arial" w:hAnsi="Arial" w:cs="Arial"/>
          <w:lang w:val="es-ES" w:bidi="es-ES"/>
        </w:rPr>
        <w:t>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w:t>
      </w:r>
      <w:r>
        <w:rPr>
          <w:rFonts w:ascii="Arial" w:eastAsia="Arial" w:hAnsi="Arial" w:cs="Arial"/>
          <w:lang w:bidi="es-ES"/>
        </w:rPr>
        <w:t>»</w:t>
      </w:r>
      <w:r>
        <w:rPr>
          <w:rFonts w:ascii="Arial" w:eastAsia="Arial" w:hAnsi="Arial" w:cs="Arial"/>
          <w:lang w:val="es-ES" w:bidi="es-ES"/>
        </w:rPr>
        <w:t>.</w:t>
      </w:r>
    </w:p>
    <w:p w14:paraId="520E3E33" w14:textId="77777777" w:rsidR="00F007C7" w:rsidRDefault="00F007C7" w:rsidP="00F007C7">
      <w:pPr>
        <w:spacing w:line="276" w:lineRule="auto"/>
        <w:ind w:firstLine="720"/>
        <w:jc w:val="both"/>
        <w:rPr>
          <w:rFonts w:ascii="Arial" w:eastAsia="Arial" w:hAnsi="Arial" w:cs="Arial"/>
          <w:lang w:val="es-ES" w:bidi="es-ES"/>
        </w:rPr>
      </w:pPr>
      <w:r>
        <w:rPr>
          <w:rFonts w:ascii="Arial" w:eastAsia="Arial" w:hAnsi="Arial" w:cs="Arial"/>
          <w:lang w:val="es-ES" w:bidi="es-ES"/>
        </w:rPr>
        <w:t xml:space="preserve">A partir de las disposiciones anteriores, la doctrina ha avanzado en la conceptualización de este tipo de bienes y servicios, resaltando sus características esenciales relacionadas con su </w:t>
      </w:r>
      <w:r>
        <w:rPr>
          <w:rFonts w:ascii="Arial" w:eastAsia="Arial" w:hAnsi="Arial" w:cs="Arial"/>
          <w:i/>
          <w:iCs/>
          <w:lang w:val="es-ES" w:bidi="es-ES"/>
        </w:rPr>
        <w:t xml:space="preserve">homogeneidad </w:t>
      </w:r>
      <w:r>
        <w:rPr>
          <w:rFonts w:ascii="Arial" w:eastAsia="Arial" w:hAnsi="Arial" w:cs="Arial"/>
          <w:lang w:val="es-ES" w:bidi="es-ES"/>
        </w:rPr>
        <w:t>y su oferta en el mercado en condiciones estandarizadas. En tal sentido, frente a ellos se ha afirmado:</w:t>
      </w:r>
    </w:p>
    <w:p w14:paraId="2FF0336A" w14:textId="77777777" w:rsidR="00F007C7" w:rsidRDefault="00F007C7" w:rsidP="006D0E8A">
      <w:pPr>
        <w:spacing w:line="240" w:lineRule="auto"/>
        <w:ind w:left="709" w:right="709"/>
        <w:jc w:val="both"/>
        <w:rPr>
          <w:rFonts w:ascii="Arial" w:eastAsia="Arial" w:hAnsi="Arial" w:cs="Arial"/>
          <w:sz w:val="21"/>
          <w:szCs w:val="21"/>
          <w:lang w:val="es-ES" w:bidi="es-ES"/>
        </w:rPr>
      </w:pPr>
      <w:r>
        <w:rPr>
          <w:rFonts w:ascii="Arial" w:eastAsia="Arial" w:hAnsi="Arial" w:cs="Arial"/>
          <w:sz w:val="21"/>
          <w:szCs w:val="21"/>
          <w:lang w:val="es-ES" w:bidi="es-ES"/>
        </w:rPr>
        <w:t xml:space="preserve">«[…] ello evoca que sean fácilmente describibles por </w:t>
      </w:r>
      <w:r>
        <w:rPr>
          <w:rFonts w:ascii="Arial" w:eastAsia="Arial" w:hAnsi="Arial" w:cs="Arial"/>
          <w:i/>
          <w:iCs/>
          <w:sz w:val="21"/>
          <w:szCs w:val="21"/>
          <w:lang w:val="es-ES" w:bidi="es-ES"/>
        </w:rPr>
        <w:t xml:space="preserve">características mínimas comunes a los de su tipo, excluyendo elementos no esenciales, tales como los de diseño o cualquier otro que no altere la funcionalidad del bien o servicio. </w:t>
      </w:r>
      <w:r>
        <w:rPr>
          <w:rFonts w:ascii="Arial" w:eastAsia="Arial" w:hAnsi="Arial" w:cs="Arial"/>
          <w:sz w:val="21"/>
          <w:szCs w:val="21"/>
          <w:lang w:val="es-ES" w:bidi="es-ES"/>
        </w:rPr>
        <w:t>Ello debería ser así, en la medida en la cual se busca que la Administración logre que compitan bienes y servicios de igual calidad ofrecidos por proponentes capaces de satisfacer el requerimiento de la entidad contratante.</w:t>
      </w:r>
    </w:p>
    <w:p w14:paraId="2CF14393" w14:textId="77777777" w:rsidR="00F007C7" w:rsidRDefault="00F007C7" w:rsidP="006D0E8A">
      <w:pPr>
        <w:spacing w:line="240" w:lineRule="auto"/>
        <w:ind w:left="709" w:right="709"/>
        <w:jc w:val="both"/>
        <w:rPr>
          <w:rFonts w:ascii="Arial" w:eastAsia="Arial" w:hAnsi="Arial" w:cs="Arial"/>
          <w:sz w:val="21"/>
          <w:szCs w:val="21"/>
          <w:lang w:val="es-ES" w:bidi="es-ES"/>
        </w:rPr>
      </w:pPr>
      <w:r>
        <w:rPr>
          <w:rFonts w:ascii="Arial" w:eastAsia="Arial" w:hAnsi="Arial" w:cs="Arial"/>
          <w:sz w:val="21"/>
          <w:szCs w:val="21"/>
          <w:lang w:val="es-ES" w:bidi="es-ES"/>
        </w:rPr>
        <w:t>[…]</w:t>
      </w:r>
    </w:p>
    <w:p w14:paraId="3EBA1E9E" w14:textId="77777777" w:rsidR="00F007C7" w:rsidRDefault="00F007C7" w:rsidP="006D0E8A">
      <w:pPr>
        <w:spacing w:line="240" w:lineRule="auto"/>
        <w:ind w:left="709" w:right="709"/>
        <w:jc w:val="both"/>
        <w:rPr>
          <w:rFonts w:ascii="Arial" w:eastAsia="Arial" w:hAnsi="Arial" w:cs="Arial"/>
          <w:sz w:val="21"/>
          <w:szCs w:val="21"/>
          <w:lang w:val="es-ES" w:bidi="es-ES"/>
        </w:rPr>
      </w:pPr>
      <w:proofErr w:type="gramStart"/>
      <w:r>
        <w:rPr>
          <w:rFonts w:ascii="Arial" w:eastAsia="Arial" w:hAnsi="Arial" w:cs="Arial"/>
          <w:sz w:val="21"/>
          <w:szCs w:val="21"/>
          <w:lang w:val="es-ES" w:bidi="es-ES"/>
        </w:rPr>
        <w:lastRenderedPageBreak/>
        <w:t>»Aquellos</w:t>
      </w:r>
      <w:proofErr w:type="gramEnd"/>
      <w:r>
        <w:rPr>
          <w:rFonts w:ascii="Arial" w:eastAsia="Arial" w:hAnsi="Arial" w:cs="Arial"/>
          <w:sz w:val="21"/>
          <w:szCs w:val="21"/>
          <w:lang w:val="es-ES" w:bidi="es-ES"/>
        </w:rPr>
        <w:t xml:space="preserve"> que se ofrecen en el mercado con un estándar para quienes los demandan, o lo que es igual, que la oferta de los mismos en el mercado ocurriese en condiciones equivalentes para todo interesado en adquirirlo»</w:t>
      </w:r>
      <w:r>
        <w:rPr>
          <w:rStyle w:val="Refdenotaalpie"/>
          <w:rFonts w:ascii="Arial" w:eastAsia="Arial" w:hAnsi="Arial" w:cs="Arial"/>
          <w:sz w:val="21"/>
          <w:szCs w:val="21"/>
          <w:lang w:bidi="es-ES"/>
        </w:rPr>
        <w:footnoteReference w:id="2"/>
      </w:r>
      <w:r>
        <w:rPr>
          <w:rFonts w:ascii="Arial" w:eastAsia="Arial" w:hAnsi="Arial" w:cs="Arial"/>
          <w:sz w:val="21"/>
          <w:szCs w:val="21"/>
          <w:lang w:val="es-ES" w:bidi="es-ES"/>
        </w:rPr>
        <w:t>.</w:t>
      </w:r>
    </w:p>
    <w:p w14:paraId="6BC104F2" w14:textId="77777777" w:rsidR="00F007C7" w:rsidRDefault="00F007C7" w:rsidP="00F007C7">
      <w:pPr>
        <w:spacing w:after="120" w:line="276" w:lineRule="auto"/>
        <w:ind w:firstLine="709"/>
        <w:jc w:val="both"/>
        <w:rPr>
          <w:rFonts w:ascii="Arial" w:eastAsia="Arial" w:hAnsi="Arial" w:cs="Arial"/>
          <w:lang w:val="es-ES" w:bidi="es-ES"/>
        </w:rPr>
      </w:pPr>
      <w:r>
        <w:rPr>
          <w:rFonts w:ascii="Arial" w:eastAsia="Arial" w:hAnsi="Arial" w:cs="Arial"/>
          <w:lang w:val="es-ES" w:bidi="es-ES"/>
        </w:rPr>
        <w:t>Como se advierte de lo anterior, los elementos centrales para definir si un bien o servicio se considera de características técnicas uniformes consiste en que posea las mismas especificaciones técnicas y compartan patrones de desempeño y calidad objetivamente definidos, de manera que es posible adquirirlos en el mercado en condiciones estandarizadas u homogéneas, con independencia de su diseño o de sus características descriptivas, que no afectan su funcionalidad. En este sentido, la forma como se adquieren en el mercado incide en la determinación si un bien o servicio encaja en esta categoría, de ahí que el Decreto 1082 de 2015 señale que «pueden ser agrupados como bienes y servicios homogéneos para su adquisición», dado que son bienes y servicio con especificaciones técnicas y patrones de desempeño y calidad iguales o similares.</w:t>
      </w:r>
    </w:p>
    <w:p w14:paraId="5F135B0E" w14:textId="5A3CE3C0" w:rsidR="00F007C7" w:rsidRPr="000E55ED" w:rsidRDefault="009762BE" w:rsidP="00F954FB">
      <w:pPr>
        <w:pStyle w:val="Textoindependiente"/>
        <w:spacing w:line="276" w:lineRule="auto"/>
        <w:ind w:right="122" w:firstLine="567"/>
        <w:jc w:val="both"/>
      </w:pPr>
      <w:r>
        <w:rPr>
          <w:lang w:bidi="es-ES"/>
        </w:rPr>
        <w:t>De conformidad con lo previsto</w:t>
      </w:r>
      <w:r w:rsidR="000E07E6">
        <w:rPr>
          <w:lang w:bidi="es-ES"/>
        </w:rPr>
        <w:t xml:space="preserve"> en</w:t>
      </w:r>
      <w:r w:rsidR="00F1084D">
        <w:rPr>
          <w:lang w:bidi="es-ES"/>
        </w:rPr>
        <w:t xml:space="preserve"> el literal a)</w:t>
      </w:r>
      <w:r w:rsidR="000E07E6">
        <w:rPr>
          <w:lang w:bidi="es-ES"/>
        </w:rPr>
        <w:t xml:space="preserve"> </w:t>
      </w:r>
      <w:r w:rsidR="00F1084D">
        <w:rPr>
          <w:lang w:bidi="es-ES"/>
        </w:rPr>
        <w:t xml:space="preserve">del </w:t>
      </w:r>
      <w:r w:rsidR="00F007C7" w:rsidRPr="000E55ED">
        <w:rPr>
          <w:lang w:bidi="es-ES"/>
        </w:rPr>
        <w:t xml:space="preserve">numeral 2º del artículo 2º de la Ley 1150 de 2007 la selección abreviada </w:t>
      </w:r>
      <w:r w:rsidR="00F1084D">
        <w:rPr>
          <w:lang w:bidi="es-ES"/>
        </w:rPr>
        <w:t>es</w:t>
      </w:r>
      <w:r w:rsidR="00F007C7" w:rsidRPr="000E55ED">
        <w:rPr>
          <w:lang w:bidi="es-ES"/>
        </w:rPr>
        <w:t xml:space="preserve"> la modalidad de selección de </w:t>
      </w:r>
      <w:r w:rsidR="00F1084D">
        <w:rPr>
          <w:lang w:bidi="es-ES"/>
        </w:rPr>
        <w:t>selección determinada para la adq</w:t>
      </w:r>
      <w:r w:rsidR="00947741">
        <w:rPr>
          <w:lang w:bidi="es-ES"/>
        </w:rPr>
        <w:t xml:space="preserve">uisición de bienes de características técnicas uniformes y de común utilización. </w:t>
      </w:r>
      <w:r w:rsidR="00655206">
        <w:t>Dicha norma dispone:</w:t>
      </w:r>
    </w:p>
    <w:p w14:paraId="25EA9AD8" w14:textId="77777777" w:rsidR="00904AEE" w:rsidRDefault="00904AEE" w:rsidP="00F342A3">
      <w:pPr>
        <w:pStyle w:val="Textoindependiente"/>
        <w:ind w:firstLine="567"/>
        <w:jc w:val="both"/>
      </w:pPr>
    </w:p>
    <w:p w14:paraId="7C7E77AE" w14:textId="05EE66CE" w:rsidR="00F007C7" w:rsidRPr="000E55ED" w:rsidRDefault="00F007C7" w:rsidP="006D0E8A">
      <w:pPr>
        <w:pStyle w:val="Textoindependiente"/>
        <w:ind w:firstLine="567"/>
        <w:jc w:val="both"/>
      </w:pPr>
      <w:r w:rsidRPr="000E55ED">
        <w:t>Serán causales de selección abreviada las siguientes:</w:t>
      </w:r>
    </w:p>
    <w:p w14:paraId="1AC2511D" w14:textId="77777777" w:rsidR="00F007C7" w:rsidRPr="00F007C7" w:rsidRDefault="00F007C7" w:rsidP="006D0E8A">
      <w:pPr>
        <w:pStyle w:val="Textoindependiente"/>
        <w:jc w:val="both"/>
        <w:rPr>
          <w:sz w:val="21"/>
          <w:szCs w:val="21"/>
        </w:rPr>
      </w:pPr>
    </w:p>
    <w:p w14:paraId="2BAE859A" w14:textId="77777777" w:rsidR="00F007C7" w:rsidRPr="00F007C7" w:rsidRDefault="00F007C7" w:rsidP="006D0E8A">
      <w:pPr>
        <w:pStyle w:val="Prrafodelista"/>
        <w:widowControl w:val="0"/>
        <w:numPr>
          <w:ilvl w:val="2"/>
          <w:numId w:val="8"/>
        </w:numPr>
        <w:tabs>
          <w:tab w:val="left" w:pos="1136"/>
        </w:tabs>
        <w:autoSpaceDE w:val="0"/>
        <w:autoSpaceDN w:val="0"/>
        <w:ind w:left="567" w:right="851" w:firstLine="0"/>
        <w:contextualSpacing w:val="0"/>
        <w:jc w:val="both"/>
        <w:rPr>
          <w:rFonts w:ascii="Arial" w:hAnsi="Arial" w:cs="Arial"/>
          <w:sz w:val="21"/>
          <w:szCs w:val="21"/>
        </w:rPr>
      </w:pPr>
      <w:r w:rsidRPr="00F007C7">
        <w:rPr>
          <w:rFonts w:ascii="Arial" w:hAnsi="Arial" w:cs="Arial"/>
          <w:i/>
          <w:sz w:val="21"/>
          <w:szCs w:val="21"/>
        </w:rPr>
        <w:t>La adquisición o suministro de bienes y servicios de características técnicas uniformes y de común utilización por parte de las entidades</w:t>
      </w:r>
      <w:r w:rsidRPr="00F007C7">
        <w:rPr>
          <w:rFonts w:ascii="Arial" w:hAnsi="Arial" w:cs="Arial"/>
          <w:sz w:val="21"/>
          <w:szCs w:val="21"/>
        </w:rPr>
        <w:t>, que corresponden a aquellos que poseen las mismas especificaciones técnicas, con independencia de su diseño o de sus características descriptivas, y comparten patrones de desempeño y calidad objetivamente</w:t>
      </w:r>
      <w:r w:rsidRPr="00F007C7">
        <w:rPr>
          <w:rFonts w:ascii="Arial" w:hAnsi="Arial" w:cs="Arial"/>
          <w:spacing w:val="-9"/>
          <w:sz w:val="21"/>
          <w:szCs w:val="21"/>
        </w:rPr>
        <w:t xml:space="preserve"> </w:t>
      </w:r>
      <w:r w:rsidRPr="00F007C7">
        <w:rPr>
          <w:rFonts w:ascii="Arial" w:hAnsi="Arial" w:cs="Arial"/>
          <w:sz w:val="21"/>
          <w:szCs w:val="21"/>
        </w:rPr>
        <w:t>definidos.</w:t>
      </w:r>
    </w:p>
    <w:p w14:paraId="279B44DD" w14:textId="77777777" w:rsidR="00F007C7" w:rsidRPr="00F007C7" w:rsidRDefault="00F007C7" w:rsidP="006D0E8A">
      <w:pPr>
        <w:pStyle w:val="Textoindependiente"/>
        <w:ind w:left="567" w:right="851"/>
        <w:jc w:val="both"/>
        <w:rPr>
          <w:sz w:val="21"/>
          <w:szCs w:val="21"/>
        </w:rPr>
      </w:pPr>
    </w:p>
    <w:p w14:paraId="0AAD92BA" w14:textId="77777777" w:rsidR="00F007C7" w:rsidRPr="00F007C7" w:rsidRDefault="00F007C7" w:rsidP="006D0E8A">
      <w:pPr>
        <w:spacing w:line="240" w:lineRule="auto"/>
        <w:ind w:left="567" w:right="851"/>
        <w:jc w:val="both"/>
        <w:rPr>
          <w:rFonts w:ascii="Arial" w:hAnsi="Arial" w:cs="Arial"/>
          <w:sz w:val="21"/>
          <w:szCs w:val="21"/>
        </w:rPr>
      </w:pPr>
      <w:r w:rsidRPr="00F007C7">
        <w:rPr>
          <w:rFonts w:ascii="Arial" w:hAnsi="Arial" w:cs="Arial"/>
          <w:sz w:val="21"/>
          <w:szCs w:val="21"/>
        </w:rPr>
        <w:t xml:space="preserve">Para la adquisición de estos bienes y servicios las entidades deberán, siempre que el reglamento así lo señale, hacer uso de procedimientos de subasta inversa </w:t>
      </w:r>
      <w:r w:rsidRPr="00F007C7">
        <w:rPr>
          <w:rFonts w:ascii="Arial" w:hAnsi="Arial" w:cs="Arial"/>
          <w:i/>
          <w:sz w:val="21"/>
          <w:szCs w:val="21"/>
        </w:rPr>
        <w:t xml:space="preserve">o de instrumentos de compra por catálogo derivados de la celebración de acuerdos marco de precios </w:t>
      </w:r>
      <w:r w:rsidRPr="00F007C7">
        <w:rPr>
          <w:rFonts w:ascii="Arial" w:hAnsi="Arial" w:cs="Arial"/>
          <w:sz w:val="21"/>
          <w:szCs w:val="21"/>
        </w:rPr>
        <w:t>o de procedimientos de adquisición en bolsas de productos. (Cursivas fuera de texto).</w:t>
      </w:r>
    </w:p>
    <w:p w14:paraId="3A5C637D" w14:textId="59D81848" w:rsidR="00F007C7" w:rsidRDefault="00F007C7" w:rsidP="00873DF2">
      <w:pPr>
        <w:pStyle w:val="Textoindependiente"/>
        <w:spacing w:after="120" w:line="276" w:lineRule="auto"/>
        <w:ind w:right="113" w:firstLine="567"/>
        <w:jc w:val="both"/>
      </w:pPr>
      <w:r w:rsidRPr="000E55ED">
        <w:t xml:space="preserve">Nótese que la </w:t>
      </w:r>
      <w:r w:rsidR="00655206">
        <w:t>disposición en cita</w:t>
      </w:r>
      <w:r w:rsidR="00655206" w:rsidRPr="000E55ED">
        <w:t xml:space="preserve"> </w:t>
      </w:r>
      <w:r w:rsidRPr="000E55ED">
        <w:t>introdujo una categoría novedosa para el momento en que fue expedida la Ley 11</w:t>
      </w:r>
      <w:r w:rsidRPr="00F007C7">
        <w:rPr>
          <w:sz w:val="21"/>
          <w:szCs w:val="21"/>
        </w:rPr>
        <w:t>5</w:t>
      </w:r>
      <w:r w:rsidRPr="000E55ED">
        <w:t xml:space="preserve">0 de 2007: los bienes y servicios de características técnicas uniformes y de común utilización por parte de las entidades. En segundo lugar, la norma señaló que este tipo de bienes y servicios se adquieren a través de tres modalidades: i) subasta inversa; </w:t>
      </w:r>
      <w:proofErr w:type="spellStart"/>
      <w:r w:rsidRPr="000E55ED">
        <w:t>ii</w:t>
      </w:r>
      <w:proofErr w:type="spellEnd"/>
      <w:r w:rsidRPr="000E55ED">
        <w:t xml:space="preserve">) bolsas de productos y </w:t>
      </w:r>
      <w:proofErr w:type="spellStart"/>
      <w:r w:rsidRPr="000E55ED">
        <w:t>iii</w:t>
      </w:r>
      <w:proofErr w:type="spellEnd"/>
      <w:r w:rsidRPr="000E55ED">
        <w:t xml:space="preserve">) instrumentos de compra por catálogo </w:t>
      </w:r>
      <w:r w:rsidRPr="000E55ED">
        <w:lastRenderedPageBreak/>
        <w:t>derivados de acuerdos marco de precios.</w:t>
      </w:r>
    </w:p>
    <w:p w14:paraId="7A4B92AE" w14:textId="4A8DAF2C" w:rsidR="007E7770" w:rsidRPr="00321C0B" w:rsidRDefault="007E7770" w:rsidP="00F954FB">
      <w:pPr>
        <w:pStyle w:val="Textoindependiente"/>
        <w:spacing w:after="120" w:line="276" w:lineRule="auto"/>
        <w:ind w:firstLine="709"/>
        <w:jc w:val="both"/>
      </w:pPr>
      <w:r>
        <w:t xml:space="preserve">Estos mecanismos tienen en común </w:t>
      </w:r>
      <w:r w:rsidR="008013EC">
        <w:t>el hecho que permite realizar la</w:t>
      </w:r>
      <w:r>
        <w:t xml:space="preserve"> selección de </w:t>
      </w:r>
      <w:r w:rsidR="001B774D">
        <w:t xml:space="preserve">a partir del </w:t>
      </w:r>
      <w:r>
        <w:t xml:space="preserve">menor precio como único factor de evaluación. Esto </w:t>
      </w:r>
      <w:r w:rsidR="001B774D">
        <w:t>obedece</w:t>
      </w:r>
      <w:r>
        <w:t xml:space="preserve"> a lo señalado en el artículo 5-3 de la Ley 1150 de 2007, el cual señala que «[…] </w:t>
      </w:r>
      <w:r w:rsidRPr="00E97B3F">
        <w:t>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r>
        <w:t>»</w:t>
      </w:r>
      <w:r w:rsidRPr="00E97B3F">
        <w:t>.</w:t>
      </w:r>
    </w:p>
    <w:p w14:paraId="62475D18" w14:textId="04BAC398" w:rsidR="00824AFA" w:rsidRDefault="00143AA6" w:rsidP="00F954FB">
      <w:pPr>
        <w:pStyle w:val="Textoindependiente"/>
        <w:spacing w:after="120" w:line="276" w:lineRule="auto"/>
        <w:jc w:val="both"/>
      </w:pPr>
      <w:r w:rsidRPr="00321C0B">
        <w:tab/>
        <w:t xml:space="preserve">La aplicación de estos mecanismos se encuentra reglamentada por el Decreto 1082 de 2015, el cual determina </w:t>
      </w:r>
      <w:r w:rsidR="004858CE" w:rsidRPr="00321C0B">
        <w:t>en su artículo 2.2.1.2.1.2.9</w:t>
      </w:r>
      <w:r w:rsidR="00321104" w:rsidRPr="00321C0B">
        <w:t xml:space="preserve"> del Decreto 1082 de 2015</w:t>
      </w:r>
      <w:r w:rsidR="0099169C">
        <w:rPr>
          <w:rStyle w:val="Refdenotaalpie"/>
        </w:rPr>
        <w:footnoteReference w:id="3"/>
      </w:r>
      <w:r w:rsidR="00321104" w:rsidRPr="00321C0B">
        <w:t>, que</w:t>
      </w:r>
      <w:r w:rsidR="00953A6D" w:rsidRPr="00321C0B">
        <w:t xml:space="preserve"> corresponde a la Entidad Estatal en la etapa de planeación del Proceso de Contratación verificar si existe un Acuerdo Marco de Precios vigente con el cual se pueda satisfacer la necesidad identificada. Si </w:t>
      </w:r>
      <w:r w:rsidR="00321104" w:rsidRPr="00321C0B">
        <w:t>el Catálogo para Acuerdos Marco de Precios contiene el bien o servicio requerido, la Entidad Estatal de que trata el inciso 1° del artículo 2.2.1.2.1.2.7 del presente decreto está obligada a suscribir el Acuerdo Marco de Precios, en la forma que Colombia Compra Eficiente disponga, y luego puede colocar la orden de compra correspondiente en los términos establecidos en el Acuerdo Marco de Precios.</w:t>
      </w:r>
      <w:r w:rsidR="00824AFA">
        <w:t xml:space="preserve"> </w:t>
      </w:r>
    </w:p>
    <w:p w14:paraId="1231119E" w14:textId="54A73658" w:rsidR="006510E6" w:rsidRDefault="00824AFA" w:rsidP="00F954FB">
      <w:pPr>
        <w:pStyle w:val="Textoindependiente"/>
        <w:spacing w:line="276" w:lineRule="auto"/>
        <w:ind w:firstLine="709"/>
        <w:jc w:val="both"/>
      </w:pPr>
      <w:r>
        <w:t xml:space="preserve">Por su </w:t>
      </w:r>
      <w:r w:rsidR="00BD0EBE">
        <w:t>parte</w:t>
      </w:r>
      <w:r>
        <w:t>, l</w:t>
      </w:r>
      <w:r w:rsidR="00BB4497">
        <w:t xml:space="preserve">a adquisición de bienes y servicios de características técnicas uniformes </w:t>
      </w:r>
      <w:r w:rsidR="004605CA">
        <w:t xml:space="preserve">no cubiertos por los Acuerdos Marco de Precios se encuentra regulada por los artículos </w:t>
      </w:r>
      <w:r w:rsidR="007D79D2" w:rsidRPr="007D79D2">
        <w:t>2.2.1.2.1.2.12</w:t>
      </w:r>
      <w:r w:rsidR="007D79D2">
        <w:rPr>
          <w:rStyle w:val="Refdenotaalpie"/>
        </w:rPr>
        <w:footnoteReference w:id="4"/>
      </w:r>
      <w:r>
        <w:t xml:space="preserve"> del Decreto 1082 de 2015.</w:t>
      </w:r>
      <w:r w:rsidR="009062F8">
        <w:t xml:space="preserve"> </w:t>
      </w:r>
      <w:r>
        <w:t xml:space="preserve">Esta norma establece </w:t>
      </w:r>
      <w:r w:rsidR="00594B61" w:rsidRPr="00594B61">
        <w:t xml:space="preserve">las entidades </w:t>
      </w:r>
      <w:r w:rsidR="00594B61" w:rsidRPr="00594B61">
        <w:lastRenderedPageBreak/>
        <w:t xml:space="preserve">estatales deben estudiar, comparar e identificar las ventajas de utilizar la bolsa de productos para la adquisición respectiva frente a la subasta inversa o a la promoción de un nuevo Acuerdo Marco de Precios con la Agencia Nacional de Contratación Pública -Colombia Compra Eficiente-para tales bienes o servicios, incluyendo el análisis del Proceso de Selección del comisionista, los costos asociados a la selección, el valor de la comisión y de las garantías.  </w:t>
      </w:r>
      <w:r w:rsidR="00BD0EBE">
        <w:t>Esta norma además permite que, aun</w:t>
      </w:r>
      <w:r w:rsidR="00BD0EBE" w:rsidRPr="00BD0EBE">
        <w:t xml:space="preserve"> existiendo un Acuerdo Marco de Precios, las entidades estatales acud</w:t>
      </w:r>
      <w:r w:rsidR="00BD0EBE">
        <w:t>an</w:t>
      </w:r>
      <w:r w:rsidR="00BD0EBE" w:rsidRPr="00BD0EBE">
        <w:t xml:space="preserve"> a las bolsas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Eficiente-durante los últimos seis (6) meses</w:t>
      </w:r>
      <w:r w:rsidR="00BD0EBE">
        <w:t xml:space="preserve">. </w:t>
      </w:r>
      <w:r w:rsidR="00BD0EBE" w:rsidRPr="00BD0EBE">
        <w:t xml:space="preserve"> </w:t>
      </w:r>
    </w:p>
    <w:p w14:paraId="5338E5EE" w14:textId="4CC6F212" w:rsidR="006510E6" w:rsidRDefault="006510E6" w:rsidP="00F954FB">
      <w:pPr>
        <w:pStyle w:val="Textoindependiente"/>
        <w:spacing w:line="276" w:lineRule="auto"/>
        <w:jc w:val="both"/>
      </w:pPr>
    </w:p>
    <w:p w14:paraId="3EB0449E" w14:textId="6A1DC5D9" w:rsidR="006510E6" w:rsidRPr="0088027A" w:rsidRDefault="006510E6" w:rsidP="006510E6">
      <w:pPr>
        <w:spacing w:line="276" w:lineRule="auto"/>
        <w:jc w:val="both"/>
        <w:rPr>
          <w:rFonts w:ascii="Arial" w:eastAsia="Calibri" w:hAnsi="Arial" w:cs="Arial"/>
          <w:b/>
          <w:color w:val="000000"/>
          <w:lang w:val="es-ES_tradnl"/>
        </w:rPr>
      </w:pPr>
      <w:r w:rsidRPr="0088027A">
        <w:rPr>
          <w:rFonts w:ascii="Arial" w:hAnsi="Arial" w:cs="Arial"/>
          <w:b/>
          <w:bCs/>
        </w:rPr>
        <w:lastRenderedPageBreak/>
        <w:t>2.</w:t>
      </w:r>
      <w:r>
        <w:rPr>
          <w:rFonts w:ascii="Arial" w:hAnsi="Arial" w:cs="Arial"/>
          <w:b/>
          <w:bCs/>
        </w:rPr>
        <w:t>2</w:t>
      </w:r>
      <w:r w:rsidRPr="0088027A">
        <w:rPr>
          <w:rFonts w:ascii="Arial" w:hAnsi="Arial" w:cs="Arial"/>
          <w:b/>
          <w:bCs/>
        </w:rPr>
        <w:t xml:space="preserve">. </w:t>
      </w:r>
      <w:r w:rsidRPr="0088027A">
        <w:rPr>
          <w:rFonts w:ascii="Arial" w:eastAsia="Calibri" w:hAnsi="Arial" w:cs="Arial"/>
          <w:b/>
          <w:color w:val="000000"/>
          <w:lang w:val="es-ES_tradnl"/>
        </w:rPr>
        <w:t xml:space="preserve">Otorgamiento de puntaje por apoyo a la industria nacional de conformidad con la Ley 816 de 2003 y la noción de </w:t>
      </w:r>
      <w:r w:rsidRPr="0088027A">
        <w:rPr>
          <w:rFonts w:ascii="Arial" w:eastAsia="Calibri" w:hAnsi="Arial" w:cs="Arial"/>
          <w:b/>
          <w:i/>
          <w:iCs/>
          <w:color w:val="000000"/>
          <w:lang w:val="es-ES_tradnl"/>
        </w:rPr>
        <w:t>Servicios Nacionales</w:t>
      </w:r>
      <w:r w:rsidRPr="0088027A">
        <w:rPr>
          <w:rFonts w:ascii="Arial" w:eastAsia="Calibri" w:hAnsi="Arial" w:cs="Arial"/>
          <w:b/>
          <w:color w:val="000000"/>
          <w:lang w:val="es-ES_tradnl"/>
        </w:rPr>
        <w:t xml:space="preserve"> introducida por el Decreto 680 de 2021 </w:t>
      </w:r>
    </w:p>
    <w:p w14:paraId="0B452DFB" w14:textId="77777777" w:rsidR="006510E6" w:rsidRPr="0088027A" w:rsidRDefault="006510E6" w:rsidP="006510E6">
      <w:pPr>
        <w:spacing w:after="120" w:line="276" w:lineRule="auto"/>
        <w:ind w:right="51"/>
        <w:jc w:val="both"/>
        <w:rPr>
          <w:rFonts w:ascii="Arial" w:eastAsia="Arial" w:hAnsi="Arial" w:cs="Arial"/>
          <w:color w:val="000000"/>
          <w:lang w:val="es-ES" w:eastAsia="es-CO"/>
        </w:rPr>
      </w:pPr>
      <w:r w:rsidRPr="0088027A">
        <w:rPr>
          <w:rFonts w:ascii="Arial" w:eastAsia="Arial" w:hAnsi="Arial" w:cs="Arial"/>
          <w:color w:val="000000"/>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w:t>
      </w:r>
      <w:r>
        <w:rPr>
          <w:rFonts w:ascii="Arial" w:eastAsia="Arial" w:hAnsi="Arial" w:cs="Arial"/>
          <w:color w:val="000000"/>
          <w:lang w:val="es-ES" w:eastAsia="es-CO"/>
        </w:rPr>
        <w:t xml:space="preserve"> </w:t>
      </w:r>
      <w:r w:rsidRPr="0088027A">
        <w:rPr>
          <w:rFonts w:ascii="Arial" w:eastAsia="Arial" w:hAnsi="Arial" w:cs="Arial"/>
          <w:color w:val="000000"/>
          <w:lang w:val="es-ES" w:eastAsia="es-CO"/>
        </w:rPr>
        <w:t xml:space="preserve">públicas. De igual manera, </w:t>
      </w:r>
      <w:r>
        <w:rPr>
          <w:rFonts w:ascii="Arial" w:eastAsia="Arial" w:hAnsi="Arial" w:cs="Arial"/>
          <w:color w:val="000000"/>
          <w:lang w:val="es-ES" w:eastAsia="es-CO"/>
        </w:rPr>
        <w:t xml:space="preserve">la citada Ley </w:t>
      </w:r>
      <w:r w:rsidRPr="0088027A">
        <w:rPr>
          <w:rFonts w:ascii="Arial" w:eastAsia="Arial" w:hAnsi="Arial" w:cs="Arial"/>
          <w:color w:val="000000"/>
          <w:lang w:val="es-ES" w:eastAsia="es-CO"/>
        </w:rPr>
        <w:t>adoptó con el propósito de crear un factor de preferencia para las propuestas que ofrezcan productos o servicios nacionales</w:t>
      </w:r>
      <w:r w:rsidRPr="0088027A">
        <w:rPr>
          <w:rFonts w:ascii="Arial" w:eastAsia="Arial" w:hAnsi="Arial" w:cs="Arial"/>
          <w:color w:val="000000"/>
          <w:vertAlign w:val="superscript"/>
          <w:lang w:eastAsia="es-CO"/>
        </w:rPr>
        <w:footnoteReference w:id="5"/>
      </w:r>
      <w:r w:rsidRPr="0088027A">
        <w:rPr>
          <w:rFonts w:ascii="Arial" w:eastAsia="Arial" w:hAnsi="Arial" w:cs="Arial"/>
          <w:color w:val="000000"/>
          <w:lang w:val="es-ES" w:eastAsia="es-CO"/>
        </w:rPr>
        <w:t xml:space="preserve">. </w:t>
      </w:r>
    </w:p>
    <w:p w14:paraId="78019BB8" w14:textId="77777777" w:rsidR="006510E6" w:rsidRPr="0088027A" w:rsidRDefault="006510E6" w:rsidP="00F954FB">
      <w:pPr>
        <w:tabs>
          <w:tab w:val="left" w:pos="0"/>
        </w:tabs>
        <w:spacing w:after="0" w:line="276" w:lineRule="auto"/>
        <w:jc w:val="both"/>
        <w:rPr>
          <w:rFonts w:ascii="Arial" w:eastAsia="Calibri" w:hAnsi="Arial" w:cs="Arial"/>
          <w:bCs/>
          <w:color w:val="000000"/>
          <w:lang w:val="es-ES_tradnl"/>
        </w:rPr>
      </w:pPr>
      <w:r w:rsidRPr="0088027A">
        <w:rPr>
          <w:rFonts w:ascii="Arial" w:eastAsia="Calibri" w:hAnsi="Arial" w:cs="Arial"/>
          <w:bCs/>
          <w:color w:val="000000"/>
          <w:lang w:val="es-ES_tradnl"/>
        </w:rPr>
        <w:tab/>
        <w:t>Para el</w:t>
      </w:r>
      <w:r>
        <w:rPr>
          <w:rFonts w:ascii="Arial" w:eastAsia="Calibri" w:hAnsi="Arial" w:cs="Arial"/>
          <w:bCs/>
          <w:color w:val="000000"/>
          <w:lang w:val="es-ES_tradnl"/>
        </w:rPr>
        <w:t xml:space="preserve"> cumplimiento de tales fines</w:t>
      </w:r>
      <w:r w:rsidRPr="0088027A">
        <w:rPr>
          <w:rFonts w:ascii="Arial" w:eastAsia="Calibri" w:hAnsi="Arial" w:cs="Arial"/>
          <w:bCs/>
          <w:color w:val="000000"/>
          <w:lang w:val="es-ES_tradnl"/>
        </w:rPr>
        <w:t>,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70BFE21E" w14:textId="77777777" w:rsidR="006510E6" w:rsidRPr="0088027A" w:rsidRDefault="006510E6" w:rsidP="00F954FB">
      <w:pPr>
        <w:tabs>
          <w:tab w:val="left" w:pos="0"/>
        </w:tabs>
        <w:spacing w:after="0" w:line="276" w:lineRule="auto"/>
        <w:ind w:left="709" w:right="709"/>
        <w:jc w:val="both"/>
        <w:rPr>
          <w:rFonts w:ascii="Arial" w:eastAsia="Calibri" w:hAnsi="Arial" w:cs="Arial"/>
          <w:bCs/>
          <w:color w:val="000000"/>
          <w:lang w:val="es-ES_tradnl"/>
        </w:rPr>
      </w:pPr>
    </w:p>
    <w:p w14:paraId="0C5297E8" w14:textId="77777777" w:rsidR="006510E6" w:rsidRPr="0088027A" w:rsidRDefault="006510E6" w:rsidP="00F954FB">
      <w:pPr>
        <w:tabs>
          <w:tab w:val="left" w:pos="0"/>
        </w:tabs>
        <w:spacing w:after="0" w:line="240" w:lineRule="auto"/>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579A4E43" w14:textId="77777777" w:rsidR="006510E6" w:rsidRPr="0088027A" w:rsidRDefault="006510E6" w:rsidP="00F954FB">
      <w:pPr>
        <w:tabs>
          <w:tab w:val="left" w:pos="0"/>
        </w:tabs>
        <w:spacing w:after="0" w:line="276" w:lineRule="auto"/>
        <w:jc w:val="both"/>
        <w:rPr>
          <w:rFonts w:ascii="Arial" w:eastAsia="Calibri" w:hAnsi="Arial" w:cs="Arial"/>
          <w:bCs/>
          <w:color w:val="000000"/>
          <w:lang w:val="es-ES_tradnl"/>
        </w:rPr>
      </w:pPr>
    </w:p>
    <w:p w14:paraId="55B935E8" w14:textId="77777777" w:rsidR="006510E6" w:rsidRPr="0088027A" w:rsidRDefault="006510E6" w:rsidP="006510E6">
      <w:pPr>
        <w:tabs>
          <w:tab w:val="left" w:pos="0"/>
        </w:tabs>
        <w:spacing w:line="276" w:lineRule="auto"/>
        <w:ind w:firstLine="709"/>
        <w:jc w:val="both"/>
        <w:rPr>
          <w:rFonts w:ascii="Arial" w:eastAsia="Calibri" w:hAnsi="Arial" w:cs="Arial"/>
          <w:bCs/>
          <w:color w:val="000000"/>
          <w:lang w:val="es-ES_tradnl"/>
        </w:rPr>
      </w:pPr>
      <w:r w:rsidRPr="0088027A">
        <w:rPr>
          <w:rFonts w:ascii="Arial" w:eastAsia="Calibri" w:hAnsi="Arial" w:cs="Arial"/>
          <w:bCs/>
          <w:color w:val="000000"/>
          <w:lang w:val="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88027A">
        <w:rPr>
          <w:rFonts w:ascii="Arial" w:eastAsia="Calibri" w:hAnsi="Arial" w:cs="Arial"/>
          <w:bCs/>
          <w:color w:val="000000"/>
          <w:vertAlign w:val="superscript"/>
          <w:lang w:val="es-ES_tradnl"/>
        </w:rPr>
        <w:footnoteReference w:id="6"/>
      </w:r>
      <w:r w:rsidRPr="0088027A">
        <w:rPr>
          <w:rFonts w:ascii="Arial" w:eastAsia="Calibri" w:hAnsi="Arial" w:cs="Arial"/>
          <w:bCs/>
          <w:color w:val="000000"/>
          <w:lang w:val="es-ES_tradnl"/>
        </w:rPr>
        <w:t xml:space="preserve">, en el que se establece la forma como se debe acreditar la existencia de </w:t>
      </w:r>
      <w:r w:rsidRPr="0088027A">
        <w:rPr>
          <w:rFonts w:ascii="Arial" w:eastAsia="Calibri" w:hAnsi="Arial" w:cs="Arial"/>
          <w:bCs/>
          <w:color w:val="000000"/>
          <w:lang w:val="es-ES_tradnl"/>
        </w:rPr>
        <w:lastRenderedPageBreak/>
        <w:t>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24DB9D3A" w14:textId="77777777" w:rsidR="006510E6" w:rsidRPr="0088027A" w:rsidRDefault="006510E6" w:rsidP="006510E6">
      <w:pPr>
        <w:tabs>
          <w:tab w:val="left" w:pos="0"/>
        </w:tabs>
        <w:spacing w:after="120"/>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82B72F2" w14:textId="77777777" w:rsidR="006510E6" w:rsidRPr="0088027A" w:rsidRDefault="006510E6" w:rsidP="006510E6">
      <w:pPr>
        <w:tabs>
          <w:tab w:val="left" w:pos="0"/>
        </w:tabs>
        <w:spacing w:after="120"/>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55E55C38" w14:textId="77777777" w:rsidR="006510E6" w:rsidRPr="0088027A" w:rsidRDefault="006510E6" w:rsidP="006510E6">
      <w:pPr>
        <w:tabs>
          <w:tab w:val="left" w:pos="0"/>
        </w:tabs>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04764DF0" w14:textId="798D765D" w:rsidR="006510E6" w:rsidRPr="0088027A" w:rsidRDefault="006510E6" w:rsidP="00F954FB">
      <w:pPr>
        <w:tabs>
          <w:tab w:val="left" w:pos="0"/>
        </w:tabs>
        <w:spacing w:line="276" w:lineRule="auto"/>
        <w:jc w:val="both"/>
        <w:rPr>
          <w:rFonts w:ascii="Arial" w:eastAsia="Calibri" w:hAnsi="Arial" w:cs="Arial"/>
          <w:bCs/>
          <w:color w:val="000000"/>
          <w:lang w:val="es-ES_tradnl"/>
        </w:rPr>
      </w:pPr>
      <w:r w:rsidRPr="0088027A">
        <w:rPr>
          <w:rFonts w:ascii="Arial" w:eastAsia="Calibri" w:hAnsi="Arial" w:cs="Arial"/>
          <w:bCs/>
          <w:color w:val="000000"/>
          <w:lang w:val="es-ES_tradnl"/>
        </w:rPr>
        <w:tab/>
        <w:t xml:space="preserve">De acuerdo con esta norma, las ofertas de bienes y servicios nacionales –o extranjeros con derecho a trato nacional– deberán beneficiarse de la obtención de un puntaje comprendido entre el </w:t>
      </w:r>
      <w:r>
        <w:rPr>
          <w:rFonts w:ascii="Arial" w:eastAsia="Calibri" w:hAnsi="Arial" w:cs="Arial"/>
          <w:bCs/>
          <w:color w:val="000000"/>
          <w:lang w:val="es-ES_tradnl"/>
        </w:rPr>
        <w:t>diez (</w:t>
      </w:r>
      <w:r w:rsidRPr="0088027A">
        <w:rPr>
          <w:rFonts w:ascii="Arial" w:eastAsia="Calibri" w:hAnsi="Arial" w:cs="Arial"/>
          <w:bCs/>
          <w:color w:val="000000"/>
          <w:lang w:val="es-ES_tradnl"/>
        </w:rPr>
        <w:t>10</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y el</w:t>
      </w:r>
      <w:r>
        <w:rPr>
          <w:rFonts w:ascii="Arial" w:eastAsia="Calibri" w:hAnsi="Arial" w:cs="Arial"/>
          <w:bCs/>
          <w:color w:val="000000"/>
          <w:lang w:val="es-ES_tradnl"/>
        </w:rPr>
        <w:t xml:space="preserve"> veinte</w:t>
      </w:r>
      <w:r w:rsidRPr="0088027A">
        <w:rPr>
          <w:rFonts w:ascii="Arial" w:eastAsia="Calibri" w:hAnsi="Arial" w:cs="Arial"/>
          <w:bCs/>
          <w:color w:val="000000"/>
          <w:lang w:val="es-ES_tradnl"/>
        </w:rPr>
        <w:t xml:space="preserve"> </w:t>
      </w:r>
      <w:r>
        <w:rPr>
          <w:rFonts w:ascii="Arial" w:eastAsia="Calibri" w:hAnsi="Arial" w:cs="Arial"/>
          <w:bCs/>
          <w:color w:val="000000"/>
          <w:lang w:val="es-ES_tradnl"/>
        </w:rPr>
        <w:t>(</w:t>
      </w:r>
      <w:r w:rsidRPr="0088027A">
        <w:rPr>
          <w:rFonts w:ascii="Arial" w:eastAsia="Calibri" w:hAnsi="Arial" w:cs="Arial"/>
          <w:bCs/>
          <w:color w:val="000000"/>
          <w:lang w:val="es-ES_tradnl"/>
        </w:rPr>
        <w:t>20%</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w:t>
      </w:r>
      <w:r>
        <w:rPr>
          <w:rFonts w:ascii="Arial" w:eastAsia="Calibri" w:hAnsi="Arial" w:cs="Arial"/>
          <w:bCs/>
          <w:color w:val="000000"/>
          <w:lang w:val="es-ES_tradnl"/>
        </w:rPr>
        <w:t xml:space="preserve">las entidades </w:t>
      </w:r>
      <w:r w:rsidRPr="0088027A">
        <w:rPr>
          <w:rFonts w:ascii="Arial" w:eastAsia="Calibri" w:hAnsi="Arial" w:cs="Arial"/>
          <w:bCs/>
          <w:color w:val="000000"/>
          <w:lang w:val="es-ES_tradnl"/>
        </w:rPr>
        <w:t>cuenta</w:t>
      </w:r>
      <w:r>
        <w:rPr>
          <w:rFonts w:ascii="Arial" w:eastAsia="Calibri" w:hAnsi="Arial" w:cs="Arial"/>
          <w:bCs/>
          <w:color w:val="000000"/>
          <w:lang w:val="es-ES_tradnl"/>
        </w:rPr>
        <w:t>n</w:t>
      </w:r>
      <w:r w:rsidRPr="0088027A">
        <w:rPr>
          <w:rFonts w:ascii="Arial" w:eastAsia="Calibri" w:hAnsi="Arial" w:cs="Arial"/>
          <w:bCs/>
          <w:color w:val="000000"/>
          <w:lang w:val="es-ES_tradnl"/>
        </w:rPr>
        <w:t xml:space="preserve"> con la discrecionalidad administrativa para determinar a partir de qué elementos o circunstancias realizará</w:t>
      </w:r>
      <w:r>
        <w:rPr>
          <w:rFonts w:ascii="Arial" w:eastAsia="Calibri" w:hAnsi="Arial" w:cs="Arial"/>
          <w:bCs/>
          <w:color w:val="000000"/>
          <w:lang w:val="es-ES_tradnl"/>
        </w:rPr>
        <w:t>n</w:t>
      </w:r>
      <w:r w:rsidRPr="0088027A">
        <w:rPr>
          <w:rFonts w:ascii="Arial" w:eastAsia="Calibri" w:hAnsi="Arial" w:cs="Arial"/>
          <w:bCs/>
          <w:color w:val="000000"/>
          <w:lang w:val="es-ES_tradnl"/>
        </w:rPr>
        <w:t xml:space="preserve"> la calificación de las propuestas. Por supuesto, tal </w:t>
      </w:r>
      <w:r w:rsidRPr="0088027A">
        <w:rPr>
          <w:rFonts w:ascii="Arial" w:eastAsia="Calibri" w:hAnsi="Arial" w:cs="Arial"/>
          <w:bCs/>
          <w:color w:val="000000"/>
          <w:lang w:val="es-ES_tradnl"/>
        </w:rPr>
        <w:lastRenderedPageBreak/>
        <w:t>discrecionalidad no es absoluta, sino que está limitada por las normas de orden público, que incluyen reglas imperativas para la elaboración del pliego de condiciones</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y el deber de selección objetiva.</w:t>
      </w:r>
    </w:p>
    <w:p w14:paraId="4998A490" w14:textId="77777777" w:rsidR="006510E6" w:rsidRPr="0088027A" w:rsidRDefault="006510E6" w:rsidP="006510E6">
      <w:pPr>
        <w:tabs>
          <w:tab w:val="left" w:pos="0"/>
        </w:tabs>
        <w:spacing w:before="120" w:after="120" w:line="276" w:lineRule="auto"/>
        <w:jc w:val="both"/>
        <w:rPr>
          <w:rFonts w:ascii="Arial" w:eastAsia="Calibri" w:hAnsi="Arial" w:cs="Arial"/>
          <w:bCs/>
          <w:color w:val="000000"/>
          <w:lang w:val="es-ES_tradnl"/>
        </w:rPr>
      </w:pPr>
      <w:r w:rsidRPr="0088027A">
        <w:rPr>
          <w:rFonts w:ascii="Arial" w:eastAsia="Calibri" w:hAnsi="Arial" w:cs="Arial"/>
          <w:bCs/>
          <w:color w:val="000000"/>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88027A">
        <w:rPr>
          <w:rFonts w:ascii="Arial" w:eastAsia="Calibri" w:hAnsi="Arial" w:cs="Arial"/>
          <w:lang w:val="es-ES_tradnl"/>
        </w:rPr>
        <w:t xml:space="preserve">[…] </w:t>
      </w:r>
      <w:r w:rsidRPr="0088027A">
        <w:rPr>
          <w:rFonts w:ascii="Arial" w:eastAsia="Calibri" w:hAnsi="Arial" w:cs="Arial"/>
          <w:bCs/>
          <w:color w:val="000000"/>
          <w:lang w:val="es-ES_tradnl"/>
        </w:rPr>
        <w:t>un puntaje comprendido entre el diez (10) y el veinte por ciento (20%)» para estimular la industria nacional, cuando se oferten bienes o servicios nacionales» –inciso primero o «Franja 1»–. Adicionalmente, la norma indica que</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si no se ofertan bienes o servicios nacionales, sino bienes o servicios </w:t>
      </w:r>
      <w:r w:rsidRPr="0088027A">
        <w:rPr>
          <w:rFonts w:ascii="Arial" w:eastAsia="Calibri" w:hAnsi="Arial" w:cs="Arial"/>
          <w:bCs/>
          <w:i/>
          <w:iCs/>
          <w:color w:val="000000"/>
          <w:lang w:val="es-ES_tradnl"/>
        </w:rPr>
        <w:t>extranjeros</w:t>
      </w:r>
      <w:r w:rsidRPr="0088027A">
        <w:rPr>
          <w:rFonts w:ascii="Arial" w:eastAsia="Calibri" w:hAnsi="Arial" w:cs="Arial"/>
          <w:bCs/>
          <w:color w:val="000000"/>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88027A">
        <w:rPr>
          <w:rFonts w:ascii="Arial" w:eastAsia="Calibri" w:hAnsi="Arial" w:cs="Arial"/>
          <w:bCs/>
          <w:color w:val="000000"/>
        </w:rPr>
        <w:t>«</w:t>
      </w:r>
      <w:r w:rsidRPr="0088027A">
        <w:rPr>
          <w:rFonts w:ascii="Arial" w:eastAsia="Calibri" w:hAnsi="Arial" w:cs="Arial"/>
          <w:bCs/>
          <w:color w:val="000000"/>
          <w:lang w:val="es-ES_tradnl"/>
        </w:rPr>
        <w:t xml:space="preserve">Franja 2»–. </w:t>
      </w:r>
    </w:p>
    <w:p w14:paraId="7FEE00E0" w14:textId="77777777" w:rsidR="006510E6" w:rsidRPr="0088027A" w:rsidRDefault="006510E6" w:rsidP="00F954FB">
      <w:pPr>
        <w:spacing w:before="120" w:after="0" w:line="276" w:lineRule="auto"/>
        <w:jc w:val="both"/>
        <w:rPr>
          <w:rFonts w:ascii="Arial" w:eastAsia="Calibri" w:hAnsi="Arial" w:cs="Arial"/>
          <w:bCs/>
          <w:color w:val="000000"/>
          <w:lang w:val="es-ES_tradnl"/>
        </w:rPr>
      </w:pPr>
      <w:r w:rsidRPr="0088027A">
        <w:rPr>
          <w:rFonts w:ascii="Arial" w:eastAsia="Calibri" w:hAnsi="Arial" w:cs="Arial"/>
          <w:bCs/>
          <w:color w:val="000000"/>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88027A">
        <w:rPr>
          <w:rFonts w:ascii="Arial" w:eastAsia="Calibri" w:hAnsi="Arial" w:cs="Arial"/>
          <w:bCs/>
          <w:i/>
          <w:iCs/>
          <w:color w:val="000000"/>
          <w:lang w:val="es-ES_tradnl"/>
        </w:rPr>
        <w:t>Servicios Nacionales</w:t>
      </w:r>
      <w:r w:rsidRPr="0088027A">
        <w:rPr>
          <w:rFonts w:ascii="Arial" w:eastAsia="Calibri" w:hAnsi="Arial" w:cs="Arial"/>
          <w:bCs/>
          <w:color w:val="000000"/>
          <w:lang w:val="es-ES_tradnl"/>
        </w:rPr>
        <w:t xml:space="preserve"> en forma distinta, así:</w:t>
      </w:r>
    </w:p>
    <w:p w14:paraId="28973CB0" w14:textId="77777777" w:rsidR="00962B14" w:rsidRDefault="00962B14"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p>
    <w:p w14:paraId="0AB7006F" w14:textId="434ACCB8" w:rsidR="006510E6" w:rsidRDefault="006510E6"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9984ACA" w14:textId="77777777" w:rsidR="006510E6" w:rsidRPr="0088027A" w:rsidRDefault="006510E6"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p>
    <w:p w14:paraId="5279DE28" w14:textId="77777777" w:rsidR="006510E6" w:rsidRPr="0088027A" w:rsidRDefault="006510E6"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84C75E8" w14:textId="77777777" w:rsidR="006510E6" w:rsidRDefault="006510E6"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p>
    <w:p w14:paraId="185402CD" w14:textId="77777777" w:rsidR="006510E6" w:rsidRPr="0088027A" w:rsidRDefault="006510E6" w:rsidP="00F954FB">
      <w:pPr>
        <w:tabs>
          <w:tab w:val="left" w:pos="0"/>
        </w:tabs>
        <w:spacing w:line="240" w:lineRule="auto"/>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69FC2AD1" w14:textId="77777777" w:rsidR="006510E6" w:rsidRPr="0088027A" w:rsidRDefault="006510E6" w:rsidP="006510E6">
      <w:pPr>
        <w:tabs>
          <w:tab w:val="left" w:pos="0"/>
        </w:tabs>
        <w:spacing w:line="276" w:lineRule="auto"/>
        <w:contextualSpacing/>
        <w:jc w:val="both"/>
        <w:rPr>
          <w:rFonts w:ascii="Arial" w:eastAsia="Calibri" w:hAnsi="Arial" w:cs="Arial"/>
          <w:bCs/>
          <w:color w:val="000000"/>
          <w:lang w:val="es-ES_tradnl"/>
        </w:rPr>
      </w:pPr>
    </w:p>
    <w:p w14:paraId="0A03848C" w14:textId="77777777" w:rsidR="006510E6" w:rsidRPr="0088027A" w:rsidRDefault="006510E6" w:rsidP="006510E6">
      <w:pPr>
        <w:tabs>
          <w:tab w:val="left" w:pos="0"/>
        </w:tabs>
        <w:spacing w:after="120" w:line="276" w:lineRule="auto"/>
        <w:ind w:firstLine="709"/>
        <w:jc w:val="both"/>
        <w:rPr>
          <w:rFonts w:ascii="Arial" w:eastAsia="Calibri" w:hAnsi="Arial" w:cs="Arial"/>
          <w:bCs/>
          <w:color w:val="000000"/>
          <w:lang w:val="es-ES_tradnl"/>
        </w:rPr>
      </w:pPr>
      <w:bookmarkStart w:id="5" w:name="_Hlk86820071"/>
      <w:r w:rsidRPr="0088027A">
        <w:rPr>
          <w:rFonts w:ascii="Arial" w:eastAsia="Calibri" w:hAnsi="Arial" w:cs="Arial"/>
          <w:bCs/>
          <w:color w:val="000000"/>
          <w:lang w:val="es-ES_tradnl"/>
        </w:rPr>
        <w:t xml:space="preserve">De acuerdo con lo anterior, la noción de </w:t>
      </w:r>
      <w:r w:rsidRPr="0088027A">
        <w:rPr>
          <w:rFonts w:ascii="Arial" w:eastAsia="Calibri" w:hAnsi="Arial" w:cs="Arial"/>
          <w:bCs/>
          <w:i/>
          <w:iCs/>
          <w:color w:val="000000"/>
          <w:lang w:val="es-ES_tradnl"/>
        </w:rPr>
        <w:t>Servicios Nacionales</w:t>
      </w:r>
      <w:r w:rsidRPr="0088027A">
        <w:rPr>
          <w:rFonts w:ascii="Arial" w:eastAsia="Calibri" w:hAnsi="Arial" w:cs="Arial"/>
          <w:bCs/>
          <w:color w:val="000000"/>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88027A">
        <w:rPr>
          <w:rFonts w:ascii="Arial" w:eastAsia="Calibri" w:hAnsi="Arial" w:cs="Arial"/>
          <w:bCs/>
          <w:i/>
          <w:iCs/>
          <w:color w:val="000000"/>
          <w:lang w:val="es-ES_tradnl"/>
        </w:rPr>
        <w:t xml:space="preserve">Servicios Nacionales </w:t>
      </w:r>
      <w:r w:rsidRPr="0088027A">
        <w:rPr>
          <w:rFonts w:ascii="Arial" w:eastAsia="Calibri" w:hAnsi="Arial" w:cs="Arial"/>
          <w:bCs/>
          <w:color w:val="000000"/>
          <w:lang w:val="es-ES_tradnl"/>
        </w:rPr>
        <w:t xml:space="preserve">remite a la noción de </w:t>
      </w:r>
      <w:r w:rsidRPr="0088027A">
        <w:rPr>
          <w:rFonts w:ascii="Arial" w:eastAsia="Calibri" w:hAnsi="Arial" w:cs="Arial"/>
          <w:bCs/>
          <w:i/>
          <w:iCs/>
          <w:color w:val="000000"/>
          <w:lang w:val="es-ES_tradnl"/>
        </w:rPr>
        <w:t>Bienes Nacionales</w:t>
      </w:r>
      <w:r w:rsidRPr="0088027A">
        <w:rPr>
          <w:rFonts w:ascii="Arial" w:eastAsia="Calibri" w:hAnsi="Arial" w:cs="Arial"/>
          <w:bCs/>
          <w:color w:val="00000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5"/>
      <w:r w:rsidRPr="0088027A">
        <w:rPr>
          <w:rFonts w:ascii="Arial" w:eastAsia="Calibri" w:hAnsi="Arial" w:cs="Arial"/>
          <w:bCs/>
          <w:color w:val="000000"/>
          <w:lang w:val="es-ES_tradnl"/>
        </w:rPr>
        <w:t>».</w:t>
      </w:r>
    </w:p>
    <w:p w14:paraId="4400A28F" w14:textId="77777777" w:rsidR="006510E6" w:rsidRPr="0088027A" w:rsidRDefault="006510E6" w:rsidP="006510E6">
      <w:pPr>
        <w:tabs>
          <w:tab w:val="left" w:pos="0"/>
        </w:tabs>
        <w:spacing w:before="120" w:after="120" w:line="276" w:lineRule="auto"/>
        <w:ind w:firstLine="709"/>
        <w:jc w:val="both"/>
        <w:rPr>
          <w:rFonts w:ascii="Arial" w:eastAsia="Calibri" w:hAnsi="Arial" w:cs="Arial"/>
          <w:bCs/>
          <w:color w:val="000000"/>
          <w:lang w:val="es-ES_tradnl"/>
        </w:rPr>
      </w:pPr>
      <w:r w:rsidRPr="0088027A">
        <w:rPr>
          <w:rFonts w:ascii="Arial" w:eastAsia="Calibri" w:hAnsi="Arial"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67692E86" w14:textId="77777777" w:rsidR="006510E6" w:rsidRPr="0088027A" w:rsidRDefault="006510E6" w:rsidP="006510E6">
      <w:pPr>
        <w:tabs>
          <w:tab w:val="left" w:pos="0"/>
        </w:tabs>
        <w:spacing w:before="120" w:after="120" w:line="276" w:lineRule="auto"/>
        <w:ind w:firstLine="709"/>
        <w:jc w:val="both"/>
        <w:rPr>
          <w:rFonts w:ascii="Arial" w:eastAsia="Calibri" w:hAnsi="Arial" w:cs="Arial"/>
          <w:bCs/>
          <w:color w:val="000000"/>
          <w:lang w:val="es-ES_tradnl"/>
        </w:rPr>
      </w:pPr>
      <w:r w:rsidRPr="0088027A">
        <w:rPr>
          <w:rFonts w:ascii="Arial" w:eastAsia="Calibri" w:hAnsi="Arial" w:cs="Arial"/>
          <w:bCs/>
          <w:color w:val="000000"/>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492ABE12" w14:textId="77777777" w:rsidR="006510E6" w:rsidRPr="0088027A" w:rsidRDefault="006510E6" w:rsidP="00F954FB">
      <w:pPr>
        <w:tabs>
          <w:tab w:val="left" w:pos="0"/>
        </w:tabs>
        <w:spacing w:after="0" w:line="276" w:lineRule="auto"/>
        <w:ind w:firstLine="709"/>
        <w:jc w:val="both"/>
        <w:rPr>
          <w:rFonts w:ascii="Arial" w:eastAsia="Calibri" w:hAnsi="Arial" w:cs="Arial"/>
          <w:bCs/>
          <w:color w:val="000000"/>
          <w:lang w:val="es-ES_tradnl"/>
        </w:rPr>
      </w:pPr>
      <w:r w:rsidRPr="0088027A">
        <w:rPr>
          <w:rFonts w:ascii="Arial" w:eastAsia="Calibri" w:hAnsi="Arial" w:cs="Arial"/>
          <w:bCs/>
          <w:color w:val="000000"/>
          <w:lang w:val="es-ES_tradnl"/>
        </w:rPr>
        <w:lastRenderedPageBreak/>
        <w:t xml:space="preserve">De otra parte, el Decreto 680 de 2021 consagra, en el artículo 2, unos lineamientos que deben seguir las entidades estatales para definir los </w:t>
      </w:r>
      <w:r w:rsidRPr="0088027A">
        <w:rPr>
          <w:rFonts w:ascii="Arial" w:eastAsia="Calibri" w:hAnsi="Arial" w:cs="Arial"/>
          <w:bCs/>
          <w:i/>
          <w:iCs/>
          <w:color w:val="000000"/>
          <w:lang w:val="es-ES_tradnl"/>
        </w:rPr>
        <w:t>bienes colombianos relevantes</w:t>
      </w:r>
      <w:r w:rsidRPr="0088027A">
        <w:rPr>
          <w:rFonts w:ascii="Arial" w:eastAsia="Calibri" w:hAnsi="Arial" w:cs="Arial"/>
          <w:bCs/>
          <w:color w:val="000000"/>
          <w:lang w:val="es-ES_tradnl"/>
        </w:rPr>
        <w:t xml:space="preserve"> y otorgar el puntaje de que trata el inciso 1 del artículo 2 de la Ley 816 de 2003. En efecto, el artículo 2 del Decreto en comento, establece: </w:t>
      </w:r>
    </w:p>
    <w:p w14:paraId="07CA87E4" w14:textId="77777777" w:rsidR="006510E6" w:rsidRPr="0088027A" w:rsidRDefault="006510E6" w:rsidP="00F954FB">
      <w:pPr>
        <w:tabs>
          <w:tab w:val="left" w:pos="0"/>
        </w:tabs>
        <w:spacing w:after="0" w:line="276" w:lineRule="auto"/>
        <w:ind w:left="709" w:right="709"/>
        <w:jc w:val="both"/>
        <w:rPr>
          <w:rFonts w:ascii="Arial" w:eastAsia="Calibri" w:hAnsi="Arial" w:cs="Arial"/>
          <w:bCs/>
          <w:color w:val="000000"/>
          <w:lang w:val="es-ES_tradnl"/>
        </w:rPr>
      </w:pPr>
    </w:p>
    <w:p w14:paraId="7FCBF703" w14:textId="1B8F3FF2"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4ED02F57" w14:textId="77777777" w:rsidR="006510E6" w:rsidRPr="0088027A" w:rsidRDefault="006510E6" w:rsidP="006510E6">
      <w:pPr>
        <w:tabs>
          <w:tab w:val="left" w:pos="0"/>
        </w:tabs>
        <w:ind w:right="709"/>
        <w:contextualSpacing/>
        <w:jc w:val="both"/>
        <w:rPr>
          <w:rFonts w:ascii="Arial" w:eastAsia="Calibri" w:hAnsi="Arial" w:cs="Arial"/>
          <w:bCs/>
          <w:color w:val="000000"/>
          <w:sz w:val="21"/>
          <w:szCs w:val="21"/>
          <w:lang w:val="es-ES_tradnl"/>
        </w:rPr>
      </w:pPr>
    </w:p>
    <w:p w14:paraId="23B5032F" w14:textId="62A65E88" w:rsidR="006510E6" w:rsidRPr="0088027A" w:rsidRDefault="00095070" w:rsidP="006510E6">
      <w:pPr>
        <w:tabs>
          <w:tab w:val="left" w:pos="0"/>
        </w:tabs>
        <w:ind w:left="709" w:right="709"/>
        <w:contextualSpacing/>
        <w:jc w:val="both"/>
        <w:rPr>
          <w:rFonts w:ascii="Arial" w:eastAsia="Calibri" w:hAnsi="Arial" w:cs="Arial"/>
          <w:bCs/>
          <w:color w:val="000000"/>
          <w:sz w:val="21"/>
          <w:szCs w:val="21"/>
          <w:lang w:val="es-ES_tradnl"/>
        </w:rPr>
      </w:pPr>
      <w:r>
        <w:rPr>
          <w:rFonts w:ascii="Arial" w:eastAsia="Calibri" w:hAnsi="Arial" w:cs="Arial"/>
          <w:bCs/>
          <w:color w:val="000000"/>
          <w:sz w:val="21"/>
          <w:szCs w:val="21"/>
          <w:lang w:val="es-ES_tradnl"/>
        </w:rPr>
        <w:t>“</w:t>
      </w:r>
      <w:r w:rsidR="006510E6" w:rsidRPr="0088027A">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7247EF19" w14:textId="77777777" w:rsidR="006510E6"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4CAC87CB" w14:textId="77777777"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p>
    <w:p w14:paraId="11E25E60" w14:textId="77777777"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344B445E" w14:textId="77777777" w:rsidR="006510E6" w:rsidRDefault="006510E6" w:rsidP="006510E6">
      <w:pPr>
        <w:tabs>
          <w:tab w:val="left" w:pos="0"/>
        </w:tabs>
        <w:ind w:left="709" w:right="709"/>
        <w:contextualSpacing/>
        <w:jc w:val="both"/>
        <w:rPr>
          <w:rFonts w:ascii="Arial" w:eastAsia="Calibri" w:hAnsi="Arial" w:cs="Arial"/>
          <w:bCs/>
          <w:color w:val="000000"/>
          <w:sz w:val="21"/>
          <w:szCs w:val="21"/>
          <w:lang w:val="es-ES_tradnl"/>
        </w:rPr>
      </w:pPr>
    </w:p>
    <w:p w14:paraId="468AAC87" w14:textId="77777777"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2. El porcentaje de participación de los bienes en el presupuesto del Proceso de Contratación; y</w:t>
      </w:r>
    </w:p>
    <w:p w14:paraId="5109A3D7" w14:textId="77777777" w:rsidR="006510E6" w:rsidRDefault="006510E6" w:rsidP="006510E6">
      <w:pPr>
        <w:tabs>
          <w:tab w:val="left" w:pos="0"/>
        </w:tabs>
        <w:ind w:left="709" w:right="709"/>
        <w:contextualSpacing/>
        <w:jc w:val="both"/>
        <w:rPr>
          <w:rFonts w:ascii="Arial" w:eastAsia="Calibri" w:hAnsi="Arial" w:cs="Arial"/>
          <w:bCs/>
          <w:color w:val="000000"/>
          <w:sz w:val="21"/>
          <w:szCs w:val="21"/>
          <w:lang w:val="es-ES_tradnl"/>
        </w:rPr>
      </w:pPr>
    </w:p>
    <w:p w14:paraId="79DF3F0D" w14:textId="77777777"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0482CEA9" w14:textId="77777777" w:rsidR="006510E6" w:rsidRDefault="006510E6" w:rsidP="006510E6">
      <w:pPr>
        <w:tabs>
          <w:tab w:val="left" w:pos="0"/>
        </w:tabs>
        <w:ind w:left="709" w:right="709"/>
        <w:contextualSpacing/>
        <w:jc w:val="both"/>
        <w:rPr>
          <w:rFonts w:ascii="Arial" w:eastAsia="Calibri" w:hAnsi="Arial" w:cs="Arial"/>
          <w:bCs/>
          <w:color w:val="000000"/>
          <w:sz w:val="21"/>
          <w:szCs w:val="21"/>
          <w:lang w:val="es-ES_tradnl"/>
        </w:rPr>
      </w:pPr>
    </w:p>
    <w:p w14:paraId="293EE377" w14:textId="77777777"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6CA91D4D" w14:textId="77777777" w:rsidR="006510E6" w:rsidRDefault="006510E6" w:rsidP="006510E6">
      <w:pPr>
        <w:tabs>
          <w:tab w:val="left" w:pos="0"/>
        </w:tabs>
        <w:ind w:left="709" w:right="709"/>
        <w:contextualSpacing/>
        <w:jc w:val="both"/>
        <w:rPr>
          <w:rFonts w:ascii="Arial" w:eastAsia="Calibri" w:hAnsi="Arial" w:cs="Arial"/>
          <w:bCs/>
          <w:color w:val="000000"/>
          <w:sz w:val="21"/>
          <w:szCs w:val="21"/>
          <w:lang w:val="es-ES_tradnl"/>
        </w:rPr>
      </w:pPr>
    </w:p>
    <w:p w14:paraId="2ED60158" w14:textId="12DEA096" w:rsidR="006510E6" w:rsidRPr="0088027A" w:rsidRDefault="006510E6" w:rsidP="006510E6">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La Entidad Estatal documentará este análisis y dejará constancia en los Documentos del Proceso</w:t>
      </w:r>
      <w:r w:rsidR="00095070">
        <w:rPr>
          <w:rFonts w:ascii="Arial" w:eastAsia="Calibri" w:hAnsi="Arial" w:cs="Arial"/>
          <w:bCs/>
          <w:color w:val="000000"/>
          <w:sz w:val="21"/>
          <w:szCs w:val="21"/>
          <w:lang w:val="es-ES_tradnl"/>
        </w:rPr>
        <w:t>”</w:t>
      </w:r>
      <w:r w:rsidRPr="0088027A">
        <w:rPr>
          <w:rFonts w:ascii="Arial" w:eastAsia="Calibri" w:hAnsi="Arial" w:cs="Arial"/>
          <w:bCs/>
          <w:color w:val="000000"/>
          <w:sz w:val="21"/>
          <w:szCs w:val="21"/>
          <w:lang w:val="es-ES_tradnl"/>
        </w:rPr>
        <w:t>.</w:t>
      </w:r>
    </w:p>
    <w:p w14:paraId="62FE55DF" w14:textId="77777777" w:rsidR="006510E6" w:rsidRPr="0088027A" w:rsidRDefault="006510E6" w:rsidP="006510E6">
      <w:pPr>
        <w:tabs>
          <w:tab w:val="left" w:pos="0"/>
        </w:tabs>
        <w:spacing w:line="276" w:lineRule="auto"/>
        <w:ind w:left="709" w:right="709"/>
        <w:jc w:val="both"/>
        <w:rPr>
          <w:rFonts w:ascii="Arial" w:eastAsia="Calibri" w:hAnsi="Arial" w:cs="Arial"/>
          <w:bCs/>
          <w:color w:val="000000"/>
          <w:lang w:val="es-ES_tradnl"/>
        </w:rPr>
      </w:pPr>
    </w:p>
    <w:p w14:paraId="52314219" w14:textId="77777777" w:rsidR="006510E6" w:rsidRPr="0088027A" w:rsidRDefault="006510E6" w:rsidP="006510E6">
      <w:pPr>
        <w:tabs>
          <w:tab w:val="left" w:pos="0"/>
        </w:tabs>
        <w:spacing w:after="120" w:line="276" w:lineRule="auto"/>
        <w:ind w:firstLine="709"/>
        <w:jc w:val="both"/>
        <w:rPr>
          <w:rFonts w:ascii="Arial" w:eastAsia="Calibri" w:hAnsi="Arial" w:cs="Arial"/>
          <w:bCs/>
          <w:color w:val="000000"/>
          <w:lang w:val="es-ES_tradnl"/>
        </w:rPr>
      </w:pPr>
      <w:bookmarkStart w:id="6" w:name="_Hlk86820149"/>
      <w:bookmarkStart w:id="7" w:name="_Hlk87025682"/>
      <w:r w:rsidRPr="0088027A">
        <w:rPr>
          <w:rFonts w:ascii="Arial" w:eastAsia="Calibri" w:hAnsi="Arial" w:cs="Arial"/>
          <w:bCs/>
          <w:color w:val="000000"/>
          <w:lang w:val="es-ES_tradnl"/>
        </w:rPr>
        <w:t>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w:t>
      </w:r>
      <w:r>
        <w:rPr>
          <w:rFonts w:ascii="Arial" w:eastAsia="Calibri" w:hAnsi="Arial" w:cs="Arial"/>
          <w:bCs/>
          <w:color w:val="000000"/>
          <w:lang w:val="es-ES_tradnl"/>
        </w:rPr>
        <w:t xml:space="preserve"> de los oferentes</w:t>
      </w:r>
      <w:r w:rsidRPr="0088027A">
        <w:rPr>
          <w:rFonts w:ascii="Arial" w:eastAsia="Calibri" w:hAnsi="Arial" w:cs="Arial"/>
          <w:bCs/>
          <w:color w:val="000000"/>
          <w:lang w:val="es-ES_tradnl"/>
        </w:rPr>
        <w:t xml:space="preserve">, </w:t>
      </w:r>
      <w:r>
        <w:rPr>
          <w:rFonts w:ascii="Arial" w:eastAsia="Calibri" w:hAnsi="Arial" w:cs="Arial"/>
          <w:bCs/>
          <w:color w:val="000000"/>
          <w:lang w:val="es-ES_tradnl"/>
        </w:rPr>
        <w:t xml:space="preserve">además de </w:t>
      </w:r>
      <w:r w:rsidRPr="0088027A">
        <w:rPr>
          <w:rFonts w:ascii="Arial" w:eastAsia="Calibri" w:hAnsi="Arial" w:cs="Arial"/>
          <w:bCs/>
          <w:color w:val="000000"/>
          <w:lang w:val="es-ES_tradnl"/>
        </w:rPr>
        <w:t xml:space="preserve">toda aquella información recabada en la etapa de planeación proceso, </w:t>
      </w:r>
      <w:proofErr w:type="spellStart"/>
      <w:r w:rsidRPr="0088027A">
        <w:rPr>
          <w:rFonts w:ascii="Arial" w:eastAsia="Calibri" w:hAnsi="Arial" w:cs="Arial"/>
          <w:bCs/>
          <w:color w:val="000000"/>
          <w:lang w:val="es-ES_tradnl"/>
        </w:rPr>
        <w:t>ii</w:t>
      </w:r>
      <w:proofErr w:type="spellEnd"/>
      <w:r w:rsidRPr="0088027A">
        <w:rPr>
          <w:rFonts w:ascii="Arial" w:eastAsia="Calibri" w:hAnsi="Arial" w:cs="Arial"/>
          <w:bCs/>
          <w:color w:val="000000"/>
          <w:lang w:val="es-ES_tradnl"/>
        </w:rPr>
        <w:t xml:space="preserve">) el porcentaje de participación de los bienes en el presupuesto del </w:t>
      </w:r>
      <w:r>
        <w:rPr>
          <w:rFonts w:ascii="Arial" w:eastAsia="Calibri" w:hAnsi="Arial" w:cs="Arial"/>
          <w:bCs/>
          <w:color w:val="000000"/>
          <w:lang w:val="es-ES_tradnl"/>
        </w:rPr>
        <w:t xml:space="preserve">proceso de </w:t>
      </w:r>
      <w:r w:rsidRPr="0088027A">
        <w:rPr>
          <w:rFonts w:ascii="Arial" w:eastAsia="Calibri" w:hAnsi="Arial" w:cs="Arial"/>
          <w:bCs/>
          <w:color w:val="000000"/>
          <w:lang w:val="es-ES_tradnl"/>
        </w:rPr>
        <w:t>contrat</w:t>
      </w:r>
      <w:r>
        <w:rPr>
          <w:rFonts w:ascii="Arial" w:eastAsia="Calibri" w:hAnsi="Arial" w:cs="Arial"/>
          <w:bCs/>
          <w:color w:val="000000"/>
          <w:lang w:val="es-ES_tradnl"/>
        </w:rPr>
        <w:t xml:space="preserve">ación </w:t>
      </w:r>
      <w:r w:rsidRPr="0088027A">
        <w:rPr>
          <w:rFonts w:ascii="Arial" w:eastAsia="Calibri" w:hAnsi="Arial" w:cs="Arial"/>
          <w:bCs/>
          <w:color w:val="000000"/>
          <w:lang w:val="es-ES_tradnl"/>
        </w:rPr>
        <w:t xml:space="preserve">y </w:t>
      </w:r>
      <w:proofErr w:type="spellStart"/>
      <w:r w:rsidRPr="0088027A">
        <w:rPr>
          <w:rFonts w:ascii="Arial" w:eastAsia="Calibri" w:hAnsi="Arial" w:cs="Arial"/>
          <w:bCs/>
          <w:color w:val="000000"/>
          <w:lang w:val="es-ES_tradnl"/>
        </w:rPr>
        <w:t>iii</w:t>
      </w:r>
      <w:proofErr w:type="spellEnd"/>
      <w:r w:rsidRPr="0088027A">
        <w:rPr>
          <w:rFonts w:ascii="Arial" w:eastAsia="Calibri" w:hAnsi="Arial" w:cs="Arial"/>
          <w:bCs/>
          <w:color w:val="000000"/>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6"/>
    <w:p w14:paraId="46C19D1C" w14:textId="77777777" w:rsidR="006510E6" w:rsidRPr="0088027A" w:rsidRDefault="006510E6" w:rsidP="006510E6">
      <w:pPr>
        <w:tabs>
          <w:tab w:val="left" w:pos="0"/>
        </w:tabs>
        <w:spacing w:after="120" w:line="276" w:lineRule="auto"/>
        <w:ind w:firstLine="709"/>
        <w:jc w:val="both"/>
        <w:rPr>
          <w:rFonts w:ascii="Arial" w:eastAsia="Calibri" w:hAnsi="Arial" w:cs="Arial"/>
          <w:bCs/>
          <w:color w:val="000000"/>
          <w:lang w:val="es-ES_tradnl"/>
        </w:rPr>
      </w:pPr>
      <w:r w:rsidRPr="0088027A">
        <w:rPr>
          <w:rFonts w:ascii="Arial" w:eastAsia="Calibri" w:hAnsi="Arial" w:cs="Arial"/>
          <w:bCs/>
          <w:color w:val="00000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w:t>
      </w:r>
      <w:r>
        <w:rPr>
          <w:rFonts w:ascii="Arial" w:eastAsia="Calibri" w:hAnsi="Arial" w:cs="Arial"/>
          <w:bCs/>
          <w:color w:val="000000"/>
          <w:lang w:val="es-ES_tradnl"/>
        </w:rPr>
        <w:t>cuarenta por ciento (</w:t>
      </w:r>
      <w:r w:rsidRPr="0088027A">
        <w:rPr>
          <w:rFonts w:ascii="Arial" w:eastAsia="Calibri" w:hAnsi="Arial" w:cs="Arial"/>
          <w:bCs/>
          <w:color w:val="000000"/>
          <w:lang w:val="es-ES_tradnl"/>
        </w:rPr>
        <w:t>40%</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del total de empleados y contratistas asociados al cumplimiento del contrato. Conforme a esta regla residual, cuando en el marco de la </w:t>
      </w:r>
      <w:r>
        <w:rPr>
          <w:rFonts w:ascii="Arial" w:eastAsia="Calibri" w:hAnsi="Arial" w:cs="Arial"/>
          <w:bCs/>
          <w:color w:val="000000"/>
          <w:lang w:val="es-ES_tradnl"/>
        </w:rPr>
        <w:t xml:space="preserve">fase de </w:t>
      </w:r>
      <w:r w:rsidRPr="0088027A">
        <w:rPr>
          <w:rFonts w:ascii="Arial" w:eastAsia="Calibri" w:hAnsi="Arial" w:cs="Arial"/>
          <w:bCs/>
          <w:color w:val="000000"/>
          <w:lang w:val="es-ES_tradnl"/>
        </w:rPr>
        <w:t xml:space="preserve">planeación, la entidad estatal no logre establecer que el objeto contractual requiera de bienes nacionales que se ajusten a los referidos criterios, deberá otorgar el puntaje por apoyo a la industria nacional a los proponentes que </w:t>
      </w:r>
      <w:r>
        <w:rPr>
          <w:rFonts w:ascii="Arial" w:eastAsia="Calibri" w:hAnsi="Arial" w:cs="Arial"/>
          <w:bCs/>
          <w:color w:val="000000"/>
          <w:lang w:val="es-ES_tradnl"/>
        </w:rPr>
        <w:t xml:space="preserve">se comprometan a </w:t>
      </w:r>
      <w:r w:rsidRPr="0088027A">
        <w:rPr>
          <w:rFonts w:ascii="Arial" w:eastAsia="Calibri" w:hAnsi="Arial" w:cs="Arial"/>
          <w:bCs/>
          <w:color w:val="000000"/>
          <w:lang w:val="es-ES_tradnl"/>
        </w:rPr>
        <w:t>ejecut</w:t>
      </w:r>
      <w:r>
        <w:rPr>
          <w:rFonts w:ascii="Arial" w:eastAsia="Calibri" w:hAnsi="Arial" w:cs="Arial"/>
          <w:bCs/>
          <w:color w:val="000000"/>
          <w:lang w:val="es-ES_tradnl"/>
        </w:rPr>
        <w:t>ar</w:t>
      </w:r>
      <w:r w:rsidRPr="0088027A">
        <w:rPr>
          <w:rFonts w:ascii="Arial" w:eastAsia="Calibri" w:hAnsi="Arial" w:cs="Arial"/>
          <w:bCs/>
          <w:color w:val="000000"/>
          <w:lang w:val="es-ES_tradnl"/>
        </w:rPr>
        <w:t xml:space="preserve"> el contrato garantizando la participación de personal colombiano en el correspondiente porcentaje mínimo.    </w:t>
      </w:r>
    </w:p>
    <w:bookmarkEnd w:id="7"/>
    <w:p w14:paraId="0CB527D2" w14:textId="77777777" w:rsidR="006510E6" w:rsidRPr="0088027A" w:rsidRDefault="006510E6" w:rsidP="006510E6">
      <w:pPr>
        <w:tabs>
          <w:tab w:val="left" w:pos="0"/>
        </w:tabs>
        <w:spacing w:after="120" w:line="276" w:lineRule="auto"/>
        <w:jc w:val="both"/>
        <w:rPr>
          <w:rFonts w:ascii="Arial" w:eastAsia="Calibri" w:hAnsi="Arial" w:cs="Arial"/>
          <w:bCs/>
          <w:color w:val="000000"/>
        </w:rPr>
      </w:pPr>
      <w:r w:rsidRPr="0088027A">
        <w:rPr>
          <w:rFonts w:ascii="Arial" w:eastAsia="Calibri" w:hAnsi="Arial" w:cs="Arial"/>
          <w:bCs/>
          <w:color w:val="000000"/>
        </w:rPr>
        <w:tab/>
        <w:t>De acuerdo con lo anterior, corresponde a las entidades estatales</w:t>
      </w:r>
      <w:r>
        <w:rPr>
          <w:rFonts w:ascii="Arial" w:eastAsia="Calibri" w:hAnsi="Arial" w:cs="Arial"/>
          <w:bCs/>
          <w:color w:val="000000"/>
        </w:rPr>
        <w:t>,</w:t>
      </w:r>
      <w:r w:rsidRPr="0088027A">
        <w:rPr>
          <w:rFonts w:ascii="Arial" w:eastAsia="Calibri" w:hAnsi="Arial" w:cs="Arial"/>
          <w:bCs/>
          <w:color w:val="000000"/>
        </w:rPr>
        <w:t xml:space="preserve">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w:t>
      </w:r>
      <w:r w:rsidRPr="0088027A">
        <w:rPr>
          <w:rFonts w:ascii="Arial" w:eastAsia="Calibri" w:hAnsi="Arial" w:cs="Arial"/>
          <w:bCs/>
          <w:color w:val="000000"/>
        </w:rPr>
        <w:lastRenderedPageBreak/>
        <w:t>de conformidad con el artículo 2.2.1.1.2.1.3 del Decreto 1082 de 2015</w:t>
      </w:r>
      <w:r w:rsidRPr="0088027A">
        <w:rPr>
          <w:rStyle w:val="Refdenotaalpie"/>
          <w:rFonts w:ascii="Arial" w:eastAsia="Calibri" w:hAnsi="Arial" w:cs="Arial"/>
          <w:bCs/>
          <w:color w:val="000000"/>
        </w:rPr>
        <w:footnoteReference w:id="7"/>
      </w:r>
      <w:r w:rsidRPr="0088027A">
        <w:rPr>
          <w:rFonts w:ascii="Arial" w:eastAsia="Calibri" w:hAnsi="Arial" w:cs="Arial"/>
          <w:bCs/>
          <w:color w:val="000000"/>
        </w:rPr>
        <w:t xml:space="preserve">, establezcan en los pliegos de condiciones las reglas por las que deben seguirse los proponentes al momento de presentar sus ofertas para poder obtener el puntaje por apoyo a la industria nacional. </w:t>
      </w:r>
    </w:p>
    <w:p w14:paraId="1CC5654E" w14:textId="77777777" w:rsidR="006510E6" w:rsidRPr="0088027A" w:rsidRDefault="006510E6" w:rsidP="006510E6">
      <w:pPr>
        <w:spacing w:line="276" w:lineRule="auto"/>
        <w:jc w:val="both"/>
        <w:rPr>
          <w:rFonts w:ascii="Arial" w:eastAsia="Calibri" w:hAnsi="Arial" w:cs="Arial"/>
          <w:bCs/>
          <w:color w:val="000000"/>
          <w:lang w:val="es-ES_tradnl"/>
        </w:rPr>
      </w:pPr>
      <w:r w:rsidRPr="0088027A">
        <w:rPr>
          <w:rFonts w:ascii="Arial" w:eastAsia="Calibri" w:hAnsi="Arial" w:cs="Arial"/>
          <w:bCs/>
          <w:color w:val="000000"/>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88027A">
        <w:rPr>
          <w:rFonts w:ascii="Arial" w:eastAsia="Calibri" w:hAnsi="Arial" w:cs="Arial"/>
          <w:bCs/>
          <w:i/>
          <w:iCs/>
          <w:color w:val="000000"/>
        </w:rPr>
        <w:t>Servicio Nacional</w:t>
      </w:r>
      <w:r w:rsidRPr="0088027A">
        <w:rPr>
          <w:rFonts w:ascii="Arial" w:eastAsia="Calibri" w:hAnsi="Arial" w:cs="Arial"/>
          <w:bCs/>
          <w:color w:val="000000"/>
        </w:rPr>
        <w:t xml:space="preserve">, en cualquiera de las dos alternativas por las que se haya decantado la entidad tras aplicar el </w:t>
      </w:r>
      <w:r w:rsidRPr="0088027A">
        <w:rPr>
          <w:rFonts w:ascii="Arial" w:eastAsia="Calibri" w:hAnsi="Arial" w:cs="Arial"/>
          <w:bCs/>
          <w:color w:val="000000"/>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w:t>
      </w:r>
      <w:r>
        <w:rPr>
          <w:rFonts w:ascii="Arial" w:eastAsia="Calibri" w:hAnsi="Arial" w:cs="Arial"/>
          <w:bCs/>
          <w:color w:val="000000"/>
          <w:lang w:val="es-ES_tradnl"/>
        </w:rPr>
        <w:t>cuarenta (</w:t>
      </w:r>
      <w:r w:rsidRPr="0088027A">
        <w:rPr>
          <w:rFonts w:ascii="Arial" w:eastAsia="Calibri" w:hAnsi="Arial" w:cs="Arial"/>
          <w:bCs/>
          <w:color w:val="000000"/>
          <w:lang w:val="es-ES_tradnl"/>
        </w:rPr>
        <w:t>40%</w:t>
      </w:r>
      <w:r>
        <w:rPr>
          <w:rFonts w:ascii="Arial" w:eastAsia="Calibri" w:hAnsi="Arial" w:cs="Arial"/>
          <w:bCs/>
          <w:color w:val="000000"/>
          <w:lang w:val="es-ES_tradnl"/>
        </w:rPr>
        <w:t>)</w:t>
      </w:r>
      <w:r w:rsidRPr="0088027A">
        <w:rPr>
          <w:rFonts w:ascii="Arial" w:eastAsia="Calibri" w:hAnsi="Arial" w:cs="Arial"/>
          <w:bCs/>
          <w:color w:val="000000"/>
          <w:lang w:val="es-ES_tradnl"/>
        </w:rPr>
        <w:t xml:space="preserve">.    </w:t>
      </w:r>
    </w:p>
    <w:p w14:paraId="3D6FE40D" w14:textId="736D94E3" w:rsidR="00FB3E2C" w:rsidRDefault="00676652" w:rsidP="00FB3E2C">
      <w:pPr>
        <w:pStyle w:val="Textoindependiente"/>
        <w:ind w:right="116"/>
        <w:jc w:val="both"/>
        <w:rPr>
          <w:rFonts w:eastAsia="Calibri"/>
          <w:b/>
          <w:bCs/>
          <w:lang w:val="es-ES_tradnl"/>
        </w:rPr>
      </w:pPr>
      <w:r w:rsidRPr="00676652">
        <w:rPr>
          <w:b/>
          <w:bCs/>
        </w:rPr>
        <w:t>2.</w:t>
      </w:r>
      <w:r w:rsidR="00095070">
        <w:rPr>
          <w:b/>
          <w:bCs/>
        </w:rPr>
        <w:t>3</w:t>
      </w:r>
      <w:r w:rsidRPr="00676652">
        <w:rPr>
          <w:b/>
          <w:bCs/>
        </w:rPr>
        <w:t>.</w:t>
      </w:r>
      <w:r w:rsidR="00F342A3">
        <w:rPr>
          <w:b/>
          <w:bCs/>
        </w:rPr>
        <w:t xml:space="preserve"> </w:t>
      </w:r>
      <w:r w:rsidR="00D22494" w:rsidRPr="00D22494">
        <w:rPr>
          <w:rFonts w:eastAsia="Calibri"/>
          <w:b/>
          <w:bCs/>
          <w:lang w:val="es-ES_tradnl"/>
        </w:rPr>
        <w:t xml:space="preserve">Regulación de la promoción del desarrollo en la contratación estatal en el artículo 34 de la Ley 2069 de 2020. Regulación de las convocatorias limitadas a </w:t>
      </w:r>
      <w:proofErr w:type="spellStart"/>
      <w:r w:rsidR="00D22494" w:rsidRPr="00D22494">
        <w:rPr>
          <w:rFonts w:eastAsia="Calibri"/>
          <w:b/>
          <w:bCs/>
          <w:lang w:val="es-ES_tradnl"/>
        </w:rPr>
        <w:t>Mipyme</w:t>
      </w:r>
      <w:proofErr w:type="spellEnd"/>
      <w:r w:rsidR="00D22494" w:rsidRPr="00D22494">
        <w:rPr>
          <w:rFonts w:eastAsia="Calibri"/>
          <w:b/>
          <w:bCs/>
          <w:lang w:val="es-ES_tradnl"/>
        </w:rPr>
        <w:t>.</w:t>
      </w:r>
      <w:r w:rsidR="00904AEE">
        <w:rPr>
          <w:rFonts w:eastAsia="Calibri"/>
          <w:b/>
          <w:bCs/>
          <w:lang w:val="es-ES_tradnl"/>
        </w:rPr>
        <w:t xml:space="preserve"> </w:t>
      </w:r>
      <w:r w:rsidR="00F342A3">
        <w:rPr>
          <w:rFonts w:eastAsia="Calibri"/>
          <w:b/>
          <w:bCs/>
          <w:lang w:val="es-ES_tradnl"/>
        </w:rPr>
        <w:t xml:space="preserve"> </w:t>
      </w:r>
    </w:p>
    <w:p w14:paraId="12B4E355" w14:textId="77777777" w:rsidR="00A16AF5" w:rsidRDefault="00A16AF5" w:rsidP="00F954FB">
      <w:pPr>
        <w:spacing w:after="0" w:line="276" w:lineRule="auto"/>
        <w:jc w:val="both"/>
        <w:rPr>
          <w:rFonts w:ascii="Arial" w:eastAsia="Calibri" w:hAnsi="Arial" w:cs="Arial"/>
          <w:bCs/>
          <w:color w:val="000000" w:themeColor="text1"/>
          <w:lang w:val="es-ES_tradnl"/>
        </w:rPr>
      </w:pPr>
      <w:bookmarkStart w:id="8" w:name="_Hlk69144376"/>
    </w:p>
    <w:p w14:paraId="69F1D782" w14:textId="0B45E027" w:rsidR="00A16AF5" w:rsidRPr="003726A7" w:rsidRDefault="00A16AF5" w:rsidP="00A16AF5">
      <w:pPr>
        <w:spacing w:line="276" w:lineRule="auto"/>
        <w:jc w:val="both"/>
        <w:rPr>
          <w:rFonts w:ascii="Arial" w:eastAsia="Calibri" w:hAnsi="Arial" w:cs="Arial"/>
          <w:color w:val="000000" w:themeColor="text1"/>
          <w:lang w:val="es-ES_tradnl"/>
        </w:rPr>
      </w:pPr>
      <w:r w:rsidRPr="003726A7">
        <w:rPr>
          <w:rFonts w:ascii="Arial" w:eastAsia="Calibri" w:hAnsi="Arial" w:cs="Arial"/>
          <w:bCs/>
          <w:color w:val="000000" w:themeColor="text1"/>
          <w:lang w:val="es-ES_tradnl"/>
        </w:rPr>
        <w:t>El artículo 34 de la ley 2069 de 2020 –en adelante, también, Ley de Emprendimiento–</w:t>
      </w:r>
      <w:r w:rsidRPr="003726A7">
        <w:rPr>
          <w:rFonts w:ascii="Arial" w:eastAsia="Calibri" w:hAnsi="Arial" w:cs="Arial"/>
          <w:bCs/>
          <w:i/>
          <w:iCs/>
          <w:color w:val="000000" w:themeColor="text1"/>
          <w:lang w:val="es-ES_tradnl"/>
        </w:rPr>
        <w:t xml:space="preserve"> </w:t>
      </w:r>
      <w:r w:rsidRPr="003726A7">
        <w:rPr>
          <w:rFonts w:ascii="Arial" w:eastAsia="Calibri" w:hAnsi="Arial" w:cs="Arial"/>
          <w:bCs/>
          <w:color w:val="000000" w:themeColor="text1"/>
          <w:lang w:val="es-ES_tradnl"/>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3726A7">
        <w:rPr>
          <w:rFonts w:ascii="Arial" w:eastAsia="Calibri" w:hAnsi="Arial" w:cs="Arial"/>
          <w:color w:val="000000" w:themeColor="text1"/>
          <w:lang w:val="es-ES_tradnl"/>
        </w:rPr>
        <w:t xml:space="preserve"> En este sentido, frente al artículo 12 de la ley 1150 de 2007, se produjo el fenómeno de la subrogación</w:t>
      </w:r>
      <w:bookmarkEnd w:id="8"/>
      <w:r w:rsidRPr="003726A7">
        <w:rPr>
          <w:rFonts w:ascii="Arial" w:eastAsia="Calibri" w:hAnsi="Arial" w:cs="Arial"/>
          <w:color w:val="000000" w:themeColor="text1"/>
          <w:lang w:val="es-ES_tradnl"/>
        </w:rPr>
        <w:t xml:space="preserve">, el cual ha sido explicado por la Corte Constitucional en los siguientes términos: </w:t>
      </w:r>
    </w:p>
    <w:p w14:paraId="68E8ECBD" w14:textId="5A7A6CAB" w:rsidR="00A16AF5" w:rsidRPr="00A16AF5" w:rsidRDefault="00A16AF5" w:rsidP="00F954FB">
      <w:pPr>
        <w:spacing w:line="240" w:lineRule="auto"/>
        <w:ind w:left="709" w:right="709"/>
        <w:jc w:val="both"/>
        <w:rPr>
          <w:rFonts w:ascii="Arial" w:eastAsia="Calibri" w:hAnsi="Arial" w:cs="Arial"/>
          <w:color w:val="000000" w:themeColor="text1"/>
          <w:sz w:val="21"/>
          <w:szCs w:val="21"/>
          <w:lang w:val="es-ES_tradnl"/>
        </w:rPr>
      </w:pPr>
      <w:r w:rsidRPr="00A16AF5">
        <w:rPr>
          <w:rFonts w:ascii="Arial" w:eastAsia="Calibri" w:hAnsi="Arial" w:cs="Arial"/>
          <w:color w:val="000000" w:themeColor="text1"/>
          <w:sz w:val="21"/>
          <w:szCs w:val="21"/>
          <w:lang w:val="es-ES_tradnl"/>
        </w:rPr>
        <w:lastRenderedPageBreak/>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F954FB">
        <w:rPr>
          <w:rStyle w:val="Refdenotaalpie"/>
          <w:rFonts w:ascii="Arial" w:hAnsi="Arial" w:cs="Arial"/>
          <w:color w:val="000000" w:themeColor="text1"/>
          <w:sz w:val="21"/>
          <w:szCs w:val="21"/>
          <w:lang w:val="es-ES_tradnl"/>
        </w:rPr>
        <w:footnoteReference w:id="8"/>
      </w:r>
      <w:r w:rsidRPr="00A16AF5">
        <w:rPr>
          <w:rFonts w:ascii="Arial" w:eastAsia="Calibri" w:hAnsi="Arial" w:cs="Arial"/>
          <w:color w:val="000000" w:themeColor="text1"/>
          <w:sz w:val="21"/>
          <w:szCs w:val="21"/>
          <w:lang w:val="es-ES_tradnl"/>
        </w:rPr>
        <w:t>.</w:t>
      </w:r>
    </w:p>
    <w:p w14:paraId="018EA796" w14:textId="77777777" w:rsidR="00A16AF5" w:rsidRPr="003726A7" w:rsidRDefault="00A16AF5" w:rsidP="00A16AF5">
      <w:pPr>
        <w:spacing w:after="120" w:line="276" w:lineRule="auto"/>
        <w:ind w:firstLine="709"/>
        <w:jc w:val="both"/>
        <w:rPr>
          <w:rFonts w:ascii="Arial" w:eastAsia="Calibri" w:hAnsi="Arial" w:cs="Arial"/>
          <w:color w:val="000000" w:themeColor="text1"/>
          <w:lang w:val="es-ES_tradnl"/>
        </w:rPr>
      </w:pPr>
      <w:bookmarkStart w:id="9" w:name="_Hlk69144130"/>
      <w:r w:rsidRPr="003726A7">
        <w:rPr>
          <w:rFonts w:ascii="Arial" w:eastAsia="Calibri" w:hAnsi="Arial" w:cs="Arial"/>
          <w:color w:val="000000" w:themeColor="text1"/>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58BFD5D2" w14:textId="77777777" w:rsidR="00A16AF5" w:rsidRPr="003726A7" w:rsidRDefault="00A16AF5" w:rsidP="00A16AF5">
      <w:pPr>
        <w:tabs>
          <w:tab w:val="left" w:pos="709"/>
        </w:tabs>
        <w:spacing w:line="276" w:lineRule="auto"/>
        <w:jc w:val="both"/>
        <w:rPr>
          <w:rFonts w:ascii="Arial" w:eastAsia="Calibri" w:hAnsi="Arial" w:cs="Arial"/>
          <w:bCs/>
          <w:color w:val="000000" w:themeColor="text1"/>
          <w:lang w:val="es-ES_tradnl"/>
        </w:rPr>
      </w:pPr>
      <w:r w:rsidRPr="003726A7">
        <w:rPr>
          <w:rFonts w:ascii="Arial" w:eastAsia="Calibri" w:hAnsi="Arial" w:cs="Arial"/>
          <w:color w:val="000000" w:themeColor="text1"/>
          <w:lang w:val="es-ES_tradnl"/>
        </w:rPr>
        <w:tab/>
        <w:t>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«Modifíquese el artículo 12 de la Ley 1150 de 2007, el cual quedará así». Esto significa que la voluntad del legislador no estuvo dirigida a reformar el artículo 12 de la Ley 1150 de 2007, sino a modificarlo completamente, sustituyéndolo por uno nuevo</w:t>
      </w:r>
      <w:bookmarkEnd w:id="9"/>
      <w:r w:rsidRPr="003726A7">
        <w:rPr>
          <w:rFonts w:ascii="Arial" w:eastAsia="Calibri" w:hAnsi="Arial" w:cs="Arial"/>
          <w:color w:val="000000" w:themeColor="text1"/>
          <w:lang w:val="es-ES_tradnl"/>
        </w:rPr>
        <w:t>. Al respecto</w:t>
      </w:r>
      <w:r w:rsidRPr="003726A7">
        <w:rPr>
          <w:rFonts w:ascii="Arial" w:eastAsia="Calibri" w:hAnsi="Arial" w:cs="Arial"/>
          <w:bCs/>
          <w:color w:val="000000" w:themeColor="text1"/>
          <w:lang w:val="es-ES_tradnl"/>
        </w:rPr>
        <w:t xml:space="preserve">, la norma establece lo siguiente:   </w:t>
      </w:r>
    </w:p>
    <w:p w14:paraId="491FABA6" w14:textId="33C8EE6A" w:rsidR="00A16AF5" w:rsidRPr="00D83E63" w:rsidRDefault="00A16AF5" w:rsidP="00F954FB">
      <w:pPr>
        <w:tabs>
          <w:tab w:val="left" w:pos="1276"/>
        </w:tabs>
        <w:spacing w:after="120" w:line="240" w:lineRule="auto"/>
        <w:ind w:left="709" w:right="709"/>
        <w:jc w:val="both"/>
        <w:rPr>
          <w:rFonts w:ascii="Arial" w:eastAsia="Calibri" w:hAnsi="Arial" w:cs="Arial"/>
          <w:bCs/>
          <w:i/>
          <w:iCs/>
          <w:color w:val="000000" w:themeColor="text1"/>
          <w:sz w:val="21"/>
          <w:szCs w:val="21"/>
          <w:lang w:val="es-ES_tradnl"/>
        </w:rPr>
      </w:pPr>
      <w:r w:rsidRPr="00D83E63">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D83E63">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D83E63">
        <w:rPr>
          <w:rFonts w:ascii="Arial" w:eastAsia="Calibri" w:hAnsi="Arial" w:cs="Arial"/>
          <w:bCs/>
          <w:color w:val="000000" w:themeColor="text1"/>
          <w:sz w:val="21"/>
          <w:szCs w:val="21"/>
          <w:lang w:val="es-ES_tradnl"/>
        </w:rPr>
        <w:t xml:space="preserve"> adopten en beneficio de las </w:t>
      </w:r>
      <w:proofErr w:type="spellStart"/>
      <w:r w:rsidRPr="00D83E63">
        <w:rPr>
          <w:rFonts w:ascii="Arial" w:eastAsia="Calibri" w:hAnsi="Arial" w:cs="Arial"/>
          <w:bCs/>
          <w:color w:val="000000" w:themeColor="text1"/>
          <w:sz w:val="21"/>
          <w:szCs w:val="21"/>
          <w:lang w:val="es-ES_tradnl"/>
        </w:rPr>
        <w:t>Mipyme</w:t>
      </w:r>
      <w:proofErr w:type="spellEnd"/>
      <w:r w:rsidRPr="00D83E63">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D83E63">
        <w:rPr>
          <w:rFonts w:ascii="Arial" w:eastAsia="Calibri" w:hAnsi="Arial" w:cs="Arial"/>
          <w:bCs/>
          <w:i/>
          <w:iCs/>
          <w:color w:val="000000" w:themeColor="text1"/>
          <w:sz w:val="21"/>
          <w:szCs w:val="21"/>
          <w:lang w:val="es-ES_tradnl"/>
        </w:rPr>
        <w:t xml:space="preserve">de por lo menos dos (2) </w:t>
      </w:r>
      <w:proofErr w:type="spellStart"/>
      <w:r w:rsidRPr="00D83E63">
        <w:rPr>
          <w:rFonts w:ascii="Arial" w:eastAsia="Calibri" w:hAnsi="Arial" w:cs="Arial"/>
          <w:bCs/>
          <w:i/>
          <w:iCs/>
          <w:color w:val="000000" w:themeColor="text1"/>
          <w:sz w:val="21"/>
          <w:szCs w:val="21"/>
          <w:lang w:val="es-ES_tradnl"/>
        </w:rPr>
        <w:t>Mipyme</w:t>
      </w:r>
      <w:proofErr w:type="spellEnd"/>
      <w:r w:rsidRPr="00D83E63">
        <w:rPr>
          <w:rFonts w:ascii="Arial" w:eastAsia="Calibri" w:hAnsi="Arial" w:cs="Arial"/>
          <w:bCs/>
          <w:i/>
          <w:iCs/>
          <w:color w:val="000000" w:themeColor="text1"/>
          <w:sz w:val="21"/>
          <w:szCs w:val="21"/>
          <w:lang w:val="es-ES_tradnl"/>
        </w:rPr>
        <w:t>.</w:t>
      </w:r>
    </w:p>
    <w:p w14:paraId="5F08DC24" w14:textId="77777777" w:rsidR="00A16AF5" w:rsidRPr="00D83E63" w:rsidRDefault="00A16AF5" w:rsidP="00F954FB">
      <w:pPr>
        <w:tabs>
          <w:tab w:val="left" w:pos="1276"/>
        </w:tabs>
        <w:spacing w:after="120" w:line="240" w:lineRule="auto"/>
        <w:ind w:left="709" w:right="709"/>
        <w:jc w:val="both"/>
        <w:rPr>
          <w:rFonts w:ascii="Arial" w:eastAsia="Calibri" w:hAnsi="Arial" w:cs="Arial"/>
          <w:bCs/>
          <w:color w:val="000000" w:themeColor="text1"/>
          <w:sz w:val="21"/>
          <w:szCs w:val="21"/>
          <w:lang w:val="es-ES_tradnl"/>
        </w:rPr>
      </w:pPr>
      <w:proofErr w:type="gramStart"/>
      <w:r w:rsidRPr="00D83E63">
        <w:rPr>
          <w:rFonts w:ascii="Arial" w:eastAsia="Calibri" w:hAnsi="Arial" w:cs="Arial"/>
          <w:bCs/>
          <w:color w:val="000000" w:themeColor="text1"/>
          <w:sz w:val="21"/>
          <w:szCs w:val="21"/>
          <w:lang w:val="es-ES_tradnl"/>
        </w:rPr>
        <w:t>»</w:t>
      </w:r>
      <w:r w:rsidRPr="00D83E63">
        <w:rPr>
          <w:rFonts w:ascii="Arial" w:eastAsia="Calibri" w:hAnsi="Arial" w:cs="Arial"/>
          <w:bCs/>
          <w:i/>
          <w:iCs/>
          <w:color w:val="000000" w:themeColor="text1"/>
          <w:sz w:val="21"/>
          <w:szCs w:val="21"/>
          <w:lang w:val="es-ES_tradnl"/>
        </w:rPr>
        <w:t>Asimismo</w:t>
      </w:r>
      <w:proofErr w:type="gramEnd"/>
      <w:r w:rsidRPr="00D83E63">
        <w:rPr>
          <w:rFonts w:ascii="Arial" w:eastAsia="Calibri" w:hAnsi="Arial" w:cs="Arial"/>
          <w:bCs/>
          <w:i/>
          <w:iCs/>
          <w:color w:val="000000" w:themeColor="text1"/>
          <w:sz w:val="21"/>
          <w:szCs w:val="21"/>
          <w:lang w:val="es-ES_tradnl"/>
        </w:rPr>
        <w:t>, el</w:t>
      </w:r>
      <w:r w:rsidRPr="00D83E63">
        <w:rPr>
          <w:rFonts w:ascii="Arial" w:eastAsia="Calibri" w:hAnsi="Arial" w:cs="Arial"/>
          <w:bCs/>
          <w:color w:val="000000" w:themeColor="text1"/>
          <w:sz w:val="21"/>
          <w:szCs w:val="21"/>
          <w:lang w:val="es-ES_tradnl"/>
        </w:rPr>
        <w:t xml:space="preserve"> reglamento podrá establecer condiciones preferenciales en favor de la oferta de bienes y servicios producidos por las </w:t>
      </w:r>
      <w:proofErr w:type="spellStart"/>
      <w:r w:rsidRPr="00D83E63">
        <w:rPr>
          <w:rFonts w:ascii="Arial" w:eastAsia="Calibri" w:hAnsi="Arial" w:cs="Arial"/>
          <w:bCs/>
          <w:color w:val="000000" w:themeColor="text1"/>
          <w:sz w:val="21"/>
          <w:szCs w:val="21"/>
          <w:lang w:val="es-ES_tradnl"/>
        </w:rPr>
        <w:t>Mipyme</w:t>
      </w:r>
      <w:proofErr w:type="spellEnd"/>
      <w:r w:rsidRPr="00D83E63">
        <w:rPr>
          <w:rFonts w:ascii="Arial" w:eastAsia="Calibri" w:hAnsi="Arial" w:cs="Arial"/>
          <w:bCs/>
          <w:color w:val="000000" w:themeColor="text1"/>
          <w:sz w:val="21"/>
          <w:szCs w:val="21"/>
          <w:lang w:val="es-ES_tradnl"/>
        </w:rPr>
        <w:t>, respetando los montos y las condiciones contenidas en los compromisos internacionales vigentes</w:t>
      </w:r>
      <w:r w:rsidRPr="00D83E63">
        <w:rPr>
          <w:rFonts w:ascii="Arial" w:eastAsia="Calibri" w:hAnsi="Arial" w:cs="Arial"/>
          <w:bCs/>
          <w:i/>
          <w:iCs/>
          <w:color w:val="000000" w:themeColor="text1"/>
          <w:sz w:val="21"/>
          <w:szCs w:val="21"/>
          <w:lang w:val="es-ES_tradnl"/>
        </w:rPr>
        <w:t>, cuando sean aplicables</w:t>
      </w:r>
      <w:r w:rsidRPr="00D83E63">
        <w:rPr>
          <w:rFonts w:ascii="Arial" w:eastAsia="Calibri" w:hAnsi="Arial" w:cs="Arial"/>
          <w:bCs/>
          <w:color w:val="000000" w:themeColor="text1"/>
          <w:sz w:val="21"/>
          <w:szCs w:val="21"/>
          <w:lang w:val="es-ES_tradnl"/>
        </w:rPr>
        <w:t>.</w:t>
      </w:r>
    </w:p>
    <w:p w14:paraId="71F22CF0" w14:textId="77777777" w:rsidR="00A16AF5" w:rsidRPr="00D83E63" w:rsidRDefault="00A16AF5" w:rsidP="00F954FB">
      <w:pPr>
        <w:tabs>
          <w:tab w:val="left" w:pos="1276"/>
        </w:tabs>
        <w:spacing w:after="120" w:line="240" w:lineRule="auto"/>
        <w:ind w:left="709" w:right="709"/>
        <w:jc w:val="both"/>
        <w:rPr>
          <w:rFonts w:ascii="Arial" w:eastAsia="Calibri" w:hAnsi="Arial" w:cs="Arial"/>
          <w:bCs/>
          <w:i/>
          <w:iCs/>
          <w:color w:val="000000" w:themeColor="text1"/>
          <w:sz w:val="21"/>
          <w:szCs w:val="21"/>
          <w:lang w:val="es-ES_tradnl"/>
        </w:rPr>
      </w:pPr>
      <w:proofErr w:type="gramStart"/>
      <w:r w:rsidRPr="00D83E63">
        <w:rPr>
          <w:rFonts w:ascii="Arial" w:eastAsia="Calibri" w:hAnsi="Arial" w:cs="Arial"/>
          <w:bCs/>
          <w:color w:val="000000" w:themeColor="text1"/>
          <w:sz w:val="21"/>
          <w:szCs w:val="21"/>
          <w:lang w:val="es-ES_tradnl"/>
        </w:rPr>
        <w:lastRenderedPageBreak/>
        <w:t>»En</w:t>
      </w:r>
      <w:proofErr w:type="gramEnd"/>
      <w:r w:rsidRPr="00D83E63">
        <w:rPr>
          <w:rFonts w:ascii="Arial" w:eastAsia="Calibri" w:hAnsi="Arial" w:cs="Arial"/>
          <w:bCs/>
          <w:color w:val="000000" w:themeColor="text1"/>
          <w:sz w:val="21"/>
          <w:szCs w:val="21"/>
          <w:lang w:val="es-ES_tradnl"/>
        </w:rPr>
        <w:t xml:space="preserve"> todo caso, se deberá garantizar la satisfacción de las condiciones técnicas y económicas </w:t>
      </w:r>
      <w:r w:rsidRPr="00D83E63">
        <w:rPr>
          <w:rFonts w:ascii="Arial" w:eastAsia="Calibri" w:hAnsi="Arial" w:cs="Arial"/>
          <w:bCs/>
          <w:i/>
          <w:iCs/>
          <w:color w:val="000000" w:themeColor="text1"/>
          <w:sz w:val="21"/>
          <w:szCs w:val="21"/>
          <w:lang w:val="es-ES_tradnl"/>
        </w:rPr>
        <w:t>requeridas en el Proceso de Contratación</w:t>
      </w:r>
      <w:r w:rsidRPr="00F954FB">
        <w:rPr>
          <w:rStyle w:val="Refdenotaalpie"/>
          <w:rFonts w:ascii="Arial" w:hAnsi="Arial" w:cs="Arial"/>
          <w:color w:val="000000" w:themeColor="text1"/>
          <w:sz w:val="21"/>
          <w:szCs w:val="21"/>
          <w:lang w:val="es-ES_tradnl"/>
        </w:rPr>
        <w:footnoteReference w:id="9"/>
      </w:r>
      <w:r w:rsidRPr="00D83E63">
        <w:rPr>
          <w:rFonts w:ascii="Arial" w:eastAsia="Calibri" w:hAnsi="Arial" w:cs="Arial"/>
          <w:bCs/>
          <w:i/>
          <w:iCs/>
          <w:color w:val="000000" w:themeColor="text1"/>
          <w:sz w:val="21"/>
          <w:szCs w:val="21"/>
          <w:lang w:val="es-ES_tradnl"/>
        </w:rPr>
        <w:t>. (Énfasis fuera de texto)</w:t>
      </w:r>
    </w:p>
    <w:p w14:paraId="72B2E78C" w14:textId="6225D607" w:rsidR="00A16AF5" w:rsidRDefault="00A16AF5" w:rsidP="00D83E63">
      <w:pPr>
        <w:tabs>
          <w:tab w:val="left" w:pos="1276"/>
        </w:tabs>
        <w:spacing w:after="0" w:line="240" w:lineRule="auto"/>
        <w:ind w:left="709" w:right="709"/>
        <w:jc w:val="both"/>
        <w:rPr>
          <w:rFonts w:ascii="Arial" w:eastAsia="Calibri" w:hAnsi="Arial" w:cs="Arial"/>
          <w:color w:val="000000" w:themeColor="text1"/>
          <w:sz w:val="21"/>
          <w:szCs w:val="21"/>
          <w:lang w:val="es-ES_tradnl"/>
        </w:rPr>
      </w:pPr>
      <w:proofErr w:type="gramStart"/>
      <w:r w:rsidRPr="00D83E63">
        <w:rPr>
          <w:rFonts w:ascii="Arial" w:eastAsia="Calibri" w:hAnsi="Arial" w:cs="Arial"/>
          <w:bCs/>
          <w:color w:val="000000" w:themeColor="text1"/>
          <w:sz w:val="21"/>
          <w:szCs w:val="21"/>
          <w:lang w:val="es-ES_tradnl"/>
        </w:rPr>
        <w:t>»</w:t>
      </w:r>
      <w:r w:rsidRPr="00D83E63">
        <w:rPr>
          <w:rFonts w:ascii="Arial" w:eastAsia="Calibri" w:hAnsi="Arial" w:cs="Arial"/>
          <w:bCs/>
          <w:i/>
          <w:iCs/>
          <w:color w:val="000000" w:themeColor="text1"/>
          <w:sz w:val="21"/>
          <w:szCs w:val="21"/>
          <w:lang w:val="es-ES_tradnl"/>
        </w:rPr>
        <w:t>De</w:t>
      </w:r>
      <w:proofErr w:type="gramEnd"/>
      <w:r w:rsidRPr="00D83E63">
        <w:rPr>
          <w:rFonts w:ascii="Arial" w:eastAsia="Calibri" w:hAnsi="Arial" w:cs="Arial"/>
          <w:bCs/>
          <w:i/>
          <w:iCs/>
          <w:color w:val="000000" w:themeColor="text1"/>
          <w:sz w:val="21"/>
          <w:szCs w:val="21"/>
          <w:lang w:val="es-ES_tradnl"/>
        </w:rPr>
        <w:t xml:space="preserve"> igual forma</w:t>
      </w:r>
      <w:r w:rsidRPr="00D83E63">
        <w:rPr>
          <w:rFonts w:ascii="Arial" w:eastAsia="Calibri" w:hAnsi="Arial" w:cs="Arial"/>
          <w:color w:val="000000" w:themeColor="text1"/>
          <w:sz w:val="21"/>
          <w:szCs w:val="21"/>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w:t>
      </w:r>
      <w:r w:rsidRPr="003726A7">
        <w:rPr>
          <w:rFonts w:ascii="Arial" w:eastAsia="Calibri" w:hAnsi="Arial" w:cs="Arial"/>
          <w:color w:val="000000" w:themeColor="text1"/>
          <w:sz w:val="21"/>
          <w:szCs w:val="21"/>
          <w:lang w:val="es-ES_tradnl"/>
        </w:rPr>
        <w:t xml:space="preserve"> las condiciones de calidad y cumplimiento del objeto contractual.</w:t>
      </w:r>
    </w:p>
    <w:p w14:paraId="6090BD1B" w14:textId="77777777" w:rsidR="00D83E63" w:rsidRPr="003726A7" w:rsidRDefault="00D83E63" w:rsidP="00F954FB">
      <w:pPr>
        <w:tabs>
          <w:tab w:val="left" w:pos="1276"/>
        </w:tabs>
        <w:spacing w:after="0" w:line="240" w:lineRule="auto"/>
        <w:ind w:left="709" w:right="709"/>
        <w:jc w:val="both"/>
        <w:rPr>
          <w:rFonts w:ascii="Arial" w:eastAsia="Calibri" w:hAnsi="Arial" w:cs="Arial"/>
          <w:bCs/>
          <w:color w:val="000000" w:themeColor="text1"/>
          <w:sz w:val="21"/>
          <w:szCs w:val="21"/>
          <w:lang w:val="es-ES_tradnl"/>
        </w:rPr>
      </w:pPr>
    </w:p>
    <w:p w14:paraId="7E2FFF9B" w14:textId="77777777" w:rsidR="00A16AF5" w:rsidRPr="003726A7" w:rsidRDefault="00A16AF5" w:rsidP="00A16AF5">
      <w:pPr>
        <w:spacing w:after="120" w:line="276" w:lineRule="auto"/>
        <w:ind w:firstLine="709"/>
        <w:jc w:val="both"/>
        <w:rPr>
          <w:rFonts w:ascii="Arial" w:eastAsia="Calibri" w:hAnsi="Arial" w:cs="Arial"/>
          <w:color w:val="000000" w:themeColor="text1"/>
          <w:bdr w:val="none" w:sz="0" w:space="0" w:color="auto" w:frame="1"/>
          <w:lang w:val="es-ES_tradnl"/>
        </w:rPr>
      </w:pPr>
      <w:bookmarkStart w:id="11" w:name="_Hlk69144591"/>
      <w:r w:rsidRPr="003726A7">
        <w:rPr>
          <w:rFonts w:ascii="Arial" w:eastAsia="Calibri" w:hAnsi="Arial" w:cs="Arial"/>
          <w:color w:val="000000" w:themeColor="text1"/>
          <w:lang w:val="es-ES_tradnl"/>
        </w:rPr>
        <w:t>Así</w:t>
      </w:r>
      <w:r w:rsidRPr="003726A7">
        <w:rPr>
          <w:rFonts w:ascii="Arial" w:eastAsia="Calibri" w:hAnsi="Arial" w:cs="Arial"/>
          <w:color w:val="000000" w:themeColor="text1"/>
          <w:bdr w:val="none" w:sz="0" w:space="0" w:color="auto" w:frame="1"/>
          <w:lang w:val="es-ES_tradnl"/>
        </w:rPr>
        <w:t xml:space="preserve">, el artículo 34 de la Ley 2069 de 2020 cambia requisitos esenciales para que pueda haber convocatorias limitadas a </w:t>
      </w:r>
      <w:proofErr w:type="spellStart"/>
      <w:r w:rsidRPr="003726A7">
        <w:rPr>
          <w:rFonts w:ascii="Arial" w:eastAsia="Calibri" w:hAnsi="Arial" w:cs="Arial"/>
          <w:color w:val="000000" w:themeColor="text1"/>
          <w:bdr w:val="none" w:sz="0" w:space="0" w:color="auto" w:frame="1"/>
          <w:lang w:val="es-ES_tradnl"/>
        </w:rPr>
        <w:t>Mipymes</w:t>
      </w:r>
      <w:proofErr w:type="spellEnd"/>
      <w:r w:rsidRPr="003726A7">
        <w:rPr>
          <w:rFonts w:ascii="Arial" w:eastAsia="Calibri" w:hAnsi="Arial" w:cs="Arial"/>
          <w:color w:val="000000" w:themeColor="text1"/>
          <w:bdr w:val="none" w:sz="0" w:space="0" w:color="auto" w:frame="1"/>
          <w:lang w:val="es-ES_tradnl"/>
        </w:rPr>
        <w:t xml:space="preserve">, en relación con la regulación anterior. En tal sentido: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w:t>
      </w:r>
      <w:proofErr w:type="spellStart"/>
      <w:r w:rsidRPr="003726A7">
        <w:rPr>
          <w:rFonts w:ascii="Arial" w:eastAsia="Calibri" w:hAnsi="Arial" w:cs="Arial"/>
          <w:color w:val="000000" w:themeColor="text1"/>
          <w:bdr w:val="none" w:sz="0" w:space="0" w:color="auto" w:frame="1"/>
          <w:lang w:val="es-ES_tradnl"/>
        </w:rPr>
        <w:t>ii</w:t>
      </w:r>
      <w:proofErr w:type="spellEnd"/>
      <w:r w:rsidRPr="003726A7">
        <w:rPr>
          <w:rFonts w:ascii="Arial" w:eastAsia="Calibri" w:hAnsi="Arial" w:cs="Arial"/>
          <w:color w:val="000000" w:themeColor="text1"/>
          <w:bdr w:val="none" w:sz="0" w:space="0" w:color="auto" w:frame="1"/>
          <w:lang w:val="es-ES_tradnl"/>
        </w:rPr>
        <w:t xml:space="preserve">) señala que los patrimonios autónomos constituidos por entidades estatales y los particulares que ejecuten recursos públicos también son destinatarios de esta exigencia; </w:t>
      </w:r>
      <w:proofErr w:type="spellStart"/>
      <w:r w:rsidRPr="003726A7">
        <w:rPr>
          <w:rFonts w:ascii="Arial" w:eastAsia="Calibri" w:hAnsi="Arial" w:cs="Arial"/>
          <w:color w:val="000000" w:themeColor="text1"/>
          <w:bdr w:val="none" w:sz="0" w:space="0" w:color="auto" w:frame="1"/>
          <w:lang w:val="es-ES_tradnl"/>
        </w:rPr>
        <w:t>iii</w:t>
      </w:r>
      <w:proofErr w:type="spellEnd"/>
      <w:r w:rsidRPr="003726A7">
        <w:rPr>
          <w:rFonts w:ascii="Arial" w:eastAsia="Calibri" w:hAnsi="Arial" w:cs="Arial"/>
          <w:color w:val="000000" w:themeColor="text1"/>
          <w:bdr w:val="none" w:sz="0" w:space="0" w:color="auto" w:frame="1"/>
          <w:lang w:val="es-ES_tradnl"/>
        </w:rPr>
        <w:t xml:space="preserve">) indica que para que pueda haber convocatorias limitadas a </w:t>
      </w:r>
      <w:proofErr w:type="spellStart"/>
      <w:r w:rsidRPr="003726A7">
        <w:rPr>
          <w:rFonts w:ascii="Arial" w:eastAsia="Calibri" w:hAnsi="Arial" w:cs="Arial"/>
          <w:color w:val="000000" w:themeColor="text1"/>
          <w:bdr w:val="none" w:sz="0" w:space="0" w:color="auto" w:frame="1"/>
          <w:lang w:val="es-ES_tradnl"/>
        </w:rPr>
        <w:t>Mipymes</w:t>
      </w:r>
      <w:proofErr w:type="spellEnd"/>
      <w:r w:rsidRPr="003726A7">
        <w:rPr>
          <w:rFonts w:ascii="Arial" w:eastAsia="Calibri" w:hAnsi="Arial" w:cs="Arial"/>
          <w:color w:val="000000" w:themeColor="text1"/>
          <w:bdr w:val="none" w:sz="0" w:space="0" w:color="auto" w:frame="1"/>
          <w:lang w:val="es-ES_tradnl"/>
        </w:rPr>
        <w:t>, dos (2) de ellas deben manifestar su interés –mientras que el artículo 12 de la Ley 1150 de 2007 no establecía un número mínimo y el Decreto 1082 de 2015 exigía tres (3)–.</w:t>
      </w:r>
    </w:p>
    <w:p w14:paraId="126DE648" w14:textId="77777777" w:rsidR="00A16AF5" w:rsidRPr="003726A7" w:rsidRDefault="00A16AF5" w:rsidP="00A16AF5">
      <w:pPr>
        <w:tabs>
          <w:tab w:val="left" w:pos="709"/>
        </w:tabs>
        <w:spacing w:after="120" w:line="276" w:lineRule="auto"/>
        <w:jc w:val="both"/>
        <w:rPr>
          <w:rFonts w:ascii="Arial" w:eastAsia="Calibri" w:hAnsi="Arial" w:cs="Arial"/>
          <w:color w:val="000000" w:themeColor="text1"/>
          <w:lang w:val="es-ES_tradnl"/>
        </w:rPr>
      </w:pPr>
      <w:r w:rsidRPr="003726A7">
        <w:rPr>
          <w:rFonts w:ascii="Arial" w:eastAsia="Calibri" w:hAnsi="Arial" w:cs="Arial"/>
          <w:bCs/>
          <w:color w:val="000000" w:themeColor="text1"/>
          <w:lang w:val="es-ES_tradnl"/>
        </w:rPr>
        <w:tab/>
        <w:t xml:space="preserve">De igual forma, </w:t>
      </w:r>
      <w:r w:rsidRPr="003726A7">
        <w:rPr>
          <w:rFonts w:ascii="Arial" w:eastAsia="Calibri" w:hAnsi="Arial" w:cs="Arial"/>
          <w:color w:val="000000" w:themeColor="text1"/>
          <w:bdr w:val="none" w:sz="0" w:space="0" w:color="auto" w:frame="1"/>
          <w:lang w:val="es-ES_tradnl"/>
        </w:rPr>
        <w:t>el artículo 34 de la Ley 2069 de 2020</w:t>
      </w:r>
      <w:r w:rsidRPr="003726A7">
        <w:rPr>
          <w:rFonts w:ascii="Arial" w:eastAsia="Calibri" w:hAnsi="Arial" w:cs="Arial"/>
          <w:bCs/>
          <w:color w:val="000000" w:themeColor="text1"/>
          <w:lang w:val="es-ES_tradnl"/>
        </w:rPr>
        <w:t xml:space="preserve"> alud</w:t>
      </w:r>
      <w:r>
        <w:rPr>
          <w:rFonts w:ascii="Arial" w:eastAsia="Calibri" w:hAnsi="Arial" w:cs="Arial"/>
          <w:bCs/>
          <w:color w:val="000000" w:themeColor="text1"/>
          <w:lang w:val="es-ES_tradnl"/>
        </w:rPr>
        <w:t>ió</w:t>
      </w:r>
      <w:r w:rsidRPr="003726A7">
        <w:rPr>
          <w:rFonts w:ascii="Arial" w:eastAsia="Calibri" w:hAnsi="Arial" w:cs="Arial"/>
          <w:bCs/>
          <w:color w:val="000000" w:themeColor="text1"/>
          <w:lang w:val="es-ES_tradnl"/>
        </w:rPr>
        <w:t xml:space="preserve"> a la necesidad del desarrollo reglamentario posterior, por lo que </w:t>
      </w:r>
      <w:bookmarkEnd w:id="11"/>
      <w:r w:rsidRPr="003726A7">
        <w:rPr>
          <w:rFonts w:ascii="Arial" w:eastAsia="Calibri" w:hAnsi="Arial" w:cs="Arial"/>
          <w:bCs/>
          <w:color w:val="000000" w:themeColor="text1"/>
          <w:lang w:val="es-ES_tradnl"/>
        </w:rPr>
        <w:t xml:space="preserve">en cumplimiento de ello se expidió el Decreto 1860 de 2021 «por el cual se modifica y adiciona el Decreto 1082 de 2015, único reglamentario del Sector Administrativo de Planeación Nacional, con el fin de reglamentar </w:t>
      </w:r>
      <w:r w:rsidRPr="003726A7">
        <w:rPr>
          <w:rFonts w:ascii="Arial" w:eastAsia="Calibri" w:hAnsi="Arial" w:cs="Arial"/>
          <w:bCs/>
          <w:color w:val="000000" w:themeColor="text1"/>
          <w:lang w:val="es-ES_tradnl"/>
        </w:rPr>
        <w:lastRenderedPageBreak/>
        <w:t>los artículos 30, 31, 32, 34 y 35 de la Ley 2069 de 2020, en lo relativo al sistema de compras públicas y se dictan otras disposiciones</w:t>
      </w:r>
      <w:r w:rsidRPr="003726A7">
        <w:rPr>
          <w:rFonts w:ascii="Arial" w:eastAsia="Calibri" w:hAnsi="Arial" w:cs="Arial"/>
          <w:color w:val="000000" w:themeColor="text1"/>
          <w:lang w:val="es-ES_tradnl"/>
        </w:rPr>
        <w:t>». En este sentido, el artículo 5 del Decreto 1860 de 2021 modific</w:t>
      </w:r>
      <w:r>
        <w:rPr>
          <w:rFonts w:ascii="Arial" w:eastAsia="Calibri" w:hAnsi="Arial" w:cs="Arial"/>
          <w:color w:val="000000" w:themeColor="text1"/>
          <w:lang w:val="es-ES_tradnl"/>
        </w:rPr>
        <w:t>ó</w:t>
      </w:r>
      <w:r w:rsidRPr="003726A7">
        <w:rPr>
          <w:rFonts w:ascii="Arial" w:eastAsia="Calibri" w:hAnsi="Arial" w:cs="Arial"/>
          <w:color w:val="000000" w:themeColor="text1"/>
          <w:lang w:val="es-ES_tradnl"/>
        </w:rPr>
        <w:t xml:space="preserve"> el artículo 2.2.1.2.4.2.2 del Decreto 1082 de 2015, cuyo contenido quedó de la siguiente manera: </w:t>
      </w:r>
    </w:p>
    <w:p w14:paraId="1D280D22" w14:textId="59B796F7" w:rsidR="00A16AF5" w:rsidRPr="00D83E63" w:rsidRDefault="00A16AF5" w:rsidP="00F954FB">
      <w:pPr>
        <w:spacing w:line="240" w:lineRule="auto"/>
        <w:ind w:left="709" w:right="709"/>
        <w:jc w:val="both"/>
        <w:rPr>
          <w:rFonts w:ascii="Arial" w:hAnsi="Arial" w:cs="Arial"/>
          <w:color w:val="000000" w:themeColor="text1"/>
          <w:sz w:val="21"/>
          <w:szCs w:val="21"/>
          <w:lang w:val="es-ES_tradnl" w:eastAsia="es-MX"/>
        </w:rPr>
      </w:pPr>
      <w:r w:rsidRPr="00D83E63">
        <w:rPr>
          <w:rFonts w:ascii="Arial" w:hAnsi="Arial" w:cs="Arial"/>
          <w:i/>
          <w:iCs/>
          <w:color w:val="000000" w:themeColor="text1"/>
          <w:sz w:val="21"/>
          <w:szCs w:val="21"/>
          <w:lang w:val="es-ES_tradnl" w:eastAsia="es-MX"/>
        </w:rPr>
        <w:t xml:space="preserve">Artículo 2.2.1.2.4.2.2. Convocatorias limitadas a </w:t>
      </w:r>
      <w:proofErr w:type="spellStart"/>
      <w:r w:rsidRPr="00D83E63">
        <w:rPr>
          <w:rFonts w:ascii="Arial" w:hAnsi="Arial" w:cs="Arial"/>
          <w:i/>
          <w:iCs/>
          <w:color w:val="000000" w:themeColor="text1"/>
          <w:sz w:val="21"/>
          <w:szCs w:val="21"/>
          <w:lang w:val="es-ES_tradnl" w:eastAsia="es-MX"/>
        </w:rPr>
        <w:t>Mipyme</w:t>
      </w:r>
      <w:proofErr w:type="spellEnd"/>
      <w:r w:rsidRPr="00D83E63">
        <w:rPr>
          <w:rFonts w:ascii="Arial" w:hAnsi="Arial" w:cs="Arial"/>
          <w:i/>
          <w:iCs/>
          <w:color w:val="000000" w:themeColor="text1"/>
          <w:sz w:val="21"/>
          <w:szCs w:val="21"/>
          <w:lang w:val="es-ES_tradnl" w:eastAsia="es-MX"/>
        </w:rPr>
        <w:t>.</w:t>
      </w:r>
      <w:r w:rsidRPr="00D83E63">
        <w:rPr>
          <w:rFonts w:ascii="Arial" w:hAnsi="Arial" w:cs="Arial"/>
          <w:color w:val="000000" w:themeColor="text1"/>
          <w:sz w:val="21"/>
          <w:szCs w:val="21"/>
          <w:lang w:val="es-ES_tradnl" w:eastAsia="es-MX"/>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D83E63">
        <w:rPr>
          <w:rFonts w:ascii="Arial" w:hAnsi="Arial" w:cs="Arial"/>
          <w:i/>
          <w:iCs/>
          <w:color w:val="000000" w:themeColor="text1"/>
          <w:sz w:val="21"/>
          <w:szCs w:val="21"/>
          <w:lang w:val="es-ES_tradnl" w:eastAsia="es-MX"/>
        </w:rPr>
        <w:t>Mipyme</w:t>
      </w:r>
      <w:proofErr w:type="spellEnd"/>
      <w:r w:rsidRPr="00D83E63">
        <w:rPr>
          <w:rFonts w:ascii="Arial" w:hAnsi="Arial" w:cs="Arial"/>
          <w:i/>
          <w:iCs/>
          <w:color w:val="000000" w:themeColor="text1"/>
          <w:sz w:val="21"/>
          <w:szCs w:val="21"/>
          <w:lang w:val="es-ES_tradnl" w:eastAsia="es-MX"/>
        </w:rPr>
        <w:t xml:space="preserve"> colombianas</w:t>
      </w:r>
      <w:r w:rsidRPr="00D83E63">
        <w:rPr>
          <w:rFonts w:ascii="Arial" w:hAnsi="Arial" w:cs="Arial"/>
          <w:color w:val="000000" w:themeColor="text1"/>
          <w:sz w:val="21"/>
          <w:szCs w:val="21"/>
          <w:lang w:val="es-ES_tradnl" w:eastAsia="es-MX"/>
        </w:rPr>
        <w:t xml:space="preserve"> con mínimo un (1) año de existencia, cuando concurran los siguientes requisitos:</w:t>
      </w:r>
    </w:p>
    <w:p w14:paraId="248C94F0" w14:textId="0D0A50DB" w:rsidR="00A16AF5" w:rsidRPr="00D83E63" w:rsidRDefault="00A16AF5" w:rsidP="00F954FB">
      <w:pPr>
        <w:spacing w:before="120" w:after="150" w:line="240" w:lineRule="auto"/>
        <w:ind w:left="709" w:right="709"/>
        <w:jc w:val="both"/>
        <w:rPr>
          <w:rFonts w:ascii="Arial" w:hAnsi="Arial" w:cs="Arial"/>
          <w:color w:val="000000" w:themeColor="text1"/>
          <w:sz w:val="21"/>
          <w:szCs w:val="21"/>
          <w:lang w:val="es-ES_tradnl" w:eastAsia="es-MX"/>
        </w:rPr>
      </w:pPr>
      <w:r w:rsidRPr="00D83E63">
        <w:rPr>
          <w:rFonts w:ascii="Arial" w:hAnsi="Arial" w:cs="Arial"/>
          <w:color w:val="000000" w:themeColor="text1"/>
          <w:sz w:val="21"/>
          <w:szCs w:val="21"/>
          <w:lang w:val="es-ES_tradnl" w:eastAsia="es-MX"/>
        </w:rPr>
        <w:t>1. El valor del Proceso de Contratación sea menor a ciento veinticinco mil dólares de los Estados Unidos de América (US$125.000), liquidados con la tasa de cambio que para el efecto determina cada dos años el Ministerio de Comercio, Industria y Turismo.</w:t>
      </w:r>
    </w:p>
    <w:p w14:paraId="403A8EE2" w14:textId="3D1CA5B0" w:rsidR="00A16AF5" w:rsidRPr="00D83E63" w:rsidRDefault="00A16AF5" w:rsidP="00F954FB">
      <w:pPr>
        <w:spacing w:after="150" w:line="240" w:lineRule="auto"/>
        <w:ind w:left="709" w:right="709"/>
        <w:jc w:val="both"/>
        <w:rPr>
          <w:rFonts w:ascii="Arial" w:hAnsi="Arial" w:cs="Arial"/>
          <w:color w:val="000000" w:themeColor="text1"/>
          <w:sz w:val="21"/>
          <w:szCs w:val="21"/>
          <w:lang w:val="es-ES_tradnl" w:eastAsia="es-MX"/>
        </w:rPr>
      </w:pPr>
      <w:r w:rsidRPr="00D83E63">
        <w:rPr>
          <w:rFonts w:ascii="Arial" w:hAnsi="Arial" w:cs="Arial"/>
          <w:color w:val="000000" w:themeColor="text1"/>
          <w:sz w:val="21"/>
          <w:szCs w:val="21"/>
          <w:lang w:val="es-ES_tradnl" w:eastAsia="es-MX"/>
        </w:rPr>
        <w:t xml:space="preserve">2. Se hayan recibido solicitudes de por lo menos dos (2) </w:t>
      </w:r>
      <w:proofErr w:type="spellStart"/>
      <w:r w:rsidRPr="00D83E63">
        <w:rPr>
          <w:rFonts w:ascii="Arial" w:hAnsi="Arial" w:cs="Arial"/>
          <w:color w:val="000000" w:themeColor="text1"/>
          <w:sz w:val="21"/>
          <w:szCs w:val="21"/>
          <w:lang w:val="es-ES_tradnl" w:eastAsia="es-MX"/>
        </w:rPr>
        <w:t>Mipyme</w:t>
      </w:r>
      <w:proofErr w:type="spellEnd"/>
      <w:r w:rsidRPr="00D83E63">
        <w:rPr>
          <w:rFonts w:ascii="Arial" w:hAnsi="Arial" w:cs="Arial"/>
          <w:color w:val="000000" w:themeColor="text1"/>
          <w:sz w:val="21"/>
          <w:szCs w:val="21"/>
          <w:lang w:val="es-ES_tradnl" w:eastAsia="es-MX"/>
        </w:rPr>
        <w:t xml:space="preserve"> colombianas para limitar la convocatoria a </w:t>
      </w:r>
      <w:proofErr w:type="spellStart"/>
      <w:r w:rsidRPr="00D83E63">
        <w:rPr>
          <w:rFonts w:ascii="Arial" w:hAnsi="Arial" w:cs="Arial"/>
          <w:i/>
          <w:iCs/>
          <w:color w:val="000000" w:themeColor="text1"/>
          <w:sz w:val="21"/>
          <w:szCs w:val="21"/>
          <w:lang w:val="es-ES_tradnl" w:eastAsia="es-MX"/>
        </w:rPr>
        <w:t>Mipyme</w:t>
      </w:r>
      <w:proofErr w:type="spellEnd"/>
      <w:r w:rsidRPr="00D83E63">
        <w:rPr>
          <w:rFonts w:ascii="Arial" w:hAnsi="Arial" w:cs="Arial"/>
          <w:i/>
          <w:iCs/>
          <w:color w:val="000000" w:themeColor="text1"/>
          <w:sz w:val="21"/>
          <w:szCs w:val="21"/>
          <w:lang w:val="es-ES_tradnl" w:eastAsia="es-MX"/>
        </w:rPr>
        <w:t xml:space="preserve"> colombianas</w:t>
      </w:r>
      <w:r w:rsidRPr="00D83E63">
        <w:rPr>
          <w:rFonts w:ascii="Arial" w:hAnsi="Arial" w:cs="Arial"/>
          <w:color w:val="000000" w:themeColor="text1"/>
          <w:sz w:val="21"/>
          <w:szCs w:val="21"/>
          <w:lang w:val="es-ES_tradnl" w:eastAsia="es-MX"/>
        </w:rPr>
        <w:t>.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218849D2" w14:textId="3677582A" w:rsidR="00A16AF5" w:rsidRPr="00D83E63" w:rsidRDefault="00A16AF5" w:rsidP="00F954FB">
      <w:pPr>
        <w:spacing w:after="150" w:line="240" w:lineRule="auto"/>
        <w:ind w:left="709" w:right="709"/>
        <w:jc w:val="both"/>
        <w:rPr>
          <w:rFonts w:ascii="Arial" w:hAnsi="Arial" w:cs="Arial"/>
          <w:color w:val="000000" w:themeColor="text1"/>
          <w:sz w:val="21"/>
          <w:szCs w:val="21"/>
          <w:lang w:val="es-ES_tradnl" w:eastAsia="es-MX"/>
        </w:rPr>
      </w:pPr>
      <w:r w:rsidRPr="00D83E63">
        <w:rPr>
          <w:rFonts w:ascii="Arial" w:hAnsi="Arial" w:cs="Arial"/>
          <w:color w:val="000000" w:themeColor="text1"/>
          <w:sz w:val="21"/>
          <w:szCs w:val="21"/>
          <w:lang w:val="es-ES_tradnl" w:eastAsia="es-MX"/>
        </w:rPr>
        <w:t xml:space="preserve">Tratándose de personas jurídicas, las solicitudes solo las podrán realizar </w:t>
      </w:r>
      <w:proofErr w:type="spellStart"/>
      <w:r w:rsidRPr="00D83E63">
        <w:rPr>
          <w:rFonts w:ascii="Arial" w:hAnsi="Arial" w:cs="Arial"/>
          <w:color w:val="000000" w:themeColor="text1"/>
          <w:sz w:val="21"/>
          <w:szCs w:val="21"/>
          <w:lang w:val="es-ES_tradnl" w:eastAsia="es-MX"/>
        </w:rPr>
        <w:t>Mipyme</w:t>
      </w:r>
      <w:proofErr w:type="spellEnd"/>
      <w:r w:rsidRPr="00D83E63">
        <w:rPr>
          <w:rFonts w:ascii="Arial" w:hAnsi="Arial" w:cs="Arial"/>
          <w:color w:val="000000" w:themeColor="text1"/>
          <w:sz w:val="21"/>
          <w:szCs w:val="21"/>
          <w:lang w:val="es-ES_tradnl" w:eastAsia="es-MX"/>
        </w:rPr>
        <w:t>, cuyo objeto social les permita ejecutar el contrato relacionado con el proceso contractual.​</w:t>
      </w:r>
    </w:p>
    <w:p w14:paraId="0484CF57" w14:textId="1F0D5338" w:rsidR="00A16AF5" w:rsidRPr="00F954FB" w:rsidRDefault="00A16AF5" w:rsidP="00F954FB">
      <w:pPr>
        <w:spacing w:line="240" w:lineRule="auto"/>
        <w:ind w:left="709" w:right="709"/>
        <w:jc w:val="both"/>
        <w:rPr>
          <w:rFonts w:ascii="Arial" w:eastAsia="Calibri" w:hAnsi="Arial" w:cs="Arial"/>
          <w:color w:val="000000" w:themeColor="text1"/>
          <w:sz w:val="21"/>
          <w:szCs w:val="21"/>
          <w:lang w:val="es-ES_tradnl" w:eastAsia="es-MX"/>
        </w:rPr>
      </w:pPr>
      <w:r w:rsidRPr="00D83E63">
        <w:rPr>
          <w:rFonts w:ascii="Arial" w:hAnsi="Arial" w:cs="Arial"/>
          <w:color w:val="000000" w:themeColor="text1"/>
          <w:sz w:val="21"/>
          <w:szCs w:val="21"/>
          <w:lang w:val="es-ES_tradnl" w:eastAsia="es-MX"/>
        </w:rPr>
        <w:t xml:space="preserve">Parágrafo. Las cooperativas y demás entidades de economía solidaria, siempre que tengan la calidad de </w:t>
      </w:r>
      <w:proofErr w:type="spellStart"/>
      <w:r w:rsidRPr="00D83E63">
        <w:rPr>
          <w:rFonts w:ascii="Arial" w:hAnsi="Arial" w:cs="Arial"/>
          <w:color w:val="000000" w:themeColor="text1"/>
          <w:sz w:val="21"/>
          <w:szCs w:val="21"/>
          <w:lang w:val="es-ES_tradnl" w:eastAsia="es-MX"/>
        </w:rPr>
        <w:t>Mipyme</w:t>
      </w:r>
      <w:proofErr w:type="spellEnd"/>
      <w:r w:rsidRPr="00D83E63">
        <w:rPr>
          <w:rFonts w:ascii="Arial" w:hAnsi="Arial" w:cs="Arial"/>
          <w:color w:val="000000" w:themeColor="text1"/>
          <w:sz w:val="21"/>
          <w:szCs w:val="21"/>
          <w:lang w:val="es-ES_tradnl" w:eastAsia="es-MX"/>
        </w:rPr>
        <w:t>, podrán solicitar y participar en las convocatorias limitadas en las mismas condiciones dispuestas en el presente artículo</w:t>
      </w:r>
      <w:r w:rsidRPr="00F954FB">
        <w:rPr>
          <w:rFonts w:ascii="Arial" w:eastAsia="Calibri" w:hAnsi="Arial" w:cs="Arial"/>
          <w:color w:val="000000" w:themeColor="text1"/>
          <w:sz w:val="21"/>
          <w:szCs w:val="21"/>
          <w:lang w:val="es-ES_tradnl" w:eastAsia="es-MX"/>
        </w:rPr>
        <w:t>.</w:t>
      </w:r>
    </w:p>
    <w:p w14:paraId="4EF8CE28" w14:textId="77777777" w:rsidR="00A16AF5" w:rsidRPr="00EE341D" w:rsidRDefault="00A16AF5" w:rsidP="00A16AF5">
      <w:pPr>
        <w:spacing w:line="276" w:lineRule="auto"/>
        <w:ind w:firstLine="709"/>
        <w:jc w:val="both"/>
        <w:rPr>
          <w:rFonts w:ascii="Arial" w:eastAsia="Arial" w:hAnsi="Arial" w:cs="Arial"/>
          <w:color w:val="000000"/>
        </w:rPr>
      </w:pPr>
      <w:r w:rsidRPr="00EE341D">
        <w:rPr>
          <w:rFonts w:ascii="Arial" w:eastAsia="Arial" w:hAnsi="Arial" w:cs="Arial"/>
          <w:color w:val="000000"/>
        </w:rPr>
        <w:t xml:space="preserve">Según se evidencia, el numeral primero </w:t>
      </w:r>
      <w:r>
        <w:rPr>
          <w:rFonts w:ascii="Arial" w:eastAsia="Arial" w:hAnsi="Arial" w:cs="Arial"/>
          <w:color w:val="000000"/>
        </w:rPr>
        <w:t>fijó</w:t>
      </w:r>
      <w:r w:rsidRPr="00EE341D">
        <w:rPr>
          <w:rFonts w:ascii="Arial" w:eastAsia="Arial" w:hAnsi="Arial" w:cs="Arial"/>
          <w:color w:val="000000"/>
        </w:rPr>
        <w:t xml:space="preserve"> cuantitativamente los procesos contractuales </w:t>
      </w:r>
      <w:r>
        <w:rPr>
          <w:rFonts w:ascii="Arial" w:eastAsia="Arial" w:hAnsi="Arial" w:cs="Arial"/>
          <w:color w:val="000000"/>
        </w:rPr>
        <w:t>que son susceptibles de</w:t>
      </w:r>
      <w:r w:rsidRPr="00EE341D">
        <w:rPr>
          <w:rFonts w:ascii="Arial" w:eastAsia="Arial" w:hAnsi="Arial" w:cs="Arial"/>
          <w:color w:val="000000"/>
        </w:rPr>
        <w:t xml:space="preserve"> limita</w:t>
      </w:r>
      <w:r>
        <w:rPr>
          <w:rFonts w:ascii="Arial" w:eastAsia="Arial" w:hAnsi="Arial" w:cs="Arial"/>
          <w:color w:val="000000"/>
        </w:rPr>
        <w:t>rse</w:t>
      </w:r>
      <w:r w:rsidRPr="00EE341D">
        <w:rPr>
          <w:rFonts w:ascii="Arial" w:eastAsia="Arial" w:hAnsi="Arial" w:cs="Arial"/>
          <w:color w:val="000000"/>
        </w:rPr>
        <w:t xml:space="preserve"> a </w:t>
      </w:r>
      <w:proofErr w:type="spellStart"/>
      <w:r w:rsidRPr="00EE341D">
        <w:rPr>
          <w:rFonts w:ascii="Arial" w:eastAsia="Arial" w:hAnsi="Arial" w:cs="Arial"/>
          <w:color w:val="000000"/>
        </w:rPr>
        <w:t>Mipyme</w:t>
      </w:r>
      <w:r>
        <w:rPr>
          <w:rFonts w:ascii="Arial" w:eastAsia="Arial" w:hAnsi="Arial" w:cs="Arial"/>
          <w:color w:val="000000"/>
        </w:rPr>
        <w:t>s</w:t>
      </w:r>
      <w:proofErr w:type="spellEnd"/>
      <w:r w:rsidRPr="00EE341D">
        <w:rPr>
          <w:rFonts w:ascii="Arial" w:eastAsia="Arial" w:hAnsi="Arial" w:cs="Arial"/>
          <w:color w:val="000000"/>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EE341D">
        <w:rPr>
          <w:rStyle w:val="Refdenotaalpie"/>
          <w:rFonts w:ascii="Arial" w:eastAsia="Arial" w:hAnsi="Arial" w:cs="Arial"/>
          <w:color w:val="000000"/>
        </w:rPr>
        <w:footnoteReference w:id="10"/>
      </w:r>
      <w:r w:rsidRPr="00EE341D">
        <w:rPr>
          <w:rFonts w:ascii="Arial" w:eastAsia="Arial" w:hAnsi="Arial" w:cs="Arial"/>
          <w:color w:val="000000"/>
        </w:rPr>
        <w:t xml:space="preserve">. Por su parte, el numeral segundo establece dos exigencias: por un </w:t>
      </w:r>
      <w:r w:rsidRPr="00EE341D">
        <w:rPr>
          <w:rFonts w:ascii="Arial" w:eastAsia="Arial" w:hAnsi="Arial" w:cs="Arial"/>
          <w:color w:val="000000"/>
        </w:rPr>
        <w:lastRenderedPageBreak/>
        <w:t xml:space="preserve">lado, que al menos dos (2) </w:t>
      </w:r>
      <w:proofErr w:type="spellStart"/>
      <w:r w:rsidRPr="00EE341D">
        <w:rPr>
          <w:rFonts w:ascii="Arial" w:eastAsia="Arial" w:hAnsi="Arial" w:cs="Arial"/>
          <w:color w:val="000000"/>
        </w:rPr>
        <w:t>Mipymes</w:t>
      </w:r>
      <w:proofErr w:type="spellEnd"/>
      <w:r w:rsidRPr="00EE341D">
        <w:rPr>
          <w:rFonts w:ascii="Arial" w:eastAsia="Arial" w:hAnsi="Arial" w:cs="Arial"/>
          <w:color w:val="000000"/>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EE341D">
        <w:rPr>
          <w:rFonts w:ascii="Arial" w:eastAsia="Arial" w:hAnsi="Arial" w:cs="Arial"/>
          <w:color w:val="000000"/>
          <w:lang w:val="es-ES_tradnl"/>
        </w:rPr>
        <w:t xml:space="preserve">tratándose de personas jurídicas, las solicitudes solo las podrán realizar </w:t>
      </w:r>
      <w:proofErr w:type="spellStart"/>
      <w:r w:rsidRPr="00EE341D">
        <w:rPr>
          <w:rFonts w:ascii="Arial" w:eastAsia="Arial" w:hAnsi="Arial" w:cs="Arial"/>
          <w:color w:val="000000"/>
          <w:lang w:val="es-ES_tradnl"/>
        </w:rPr>
        <w:t>Mipyme</w:t>
      </w:r>
      <w:proofErr w:type="spellEnd"/>
      <w:r w:rsidRPr="00EE341D">
        <w:rPr>
          <w:rFonts w:ascii="Arial" w:eastAsia="Arial" w:hAnsi="Arial" w:cs="Arial"/>
          <w:color w:val="000000"/>
          <w:lang w:val="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EE341D">
        <w:rPr>
          <w:rFonts w:ascii="Arial" w:eastAsia="Arial" w:hAnsi="Arial" w:cs="Arial"/>
          <w:color w:val="000000"/>
          <w:lang w:val="es-ES_tradnl"/>
        </w:rPr>
        <w:t>Mipyme</w:t>
      </w:r>
      <w:proofErr w:type="spellEnd"/>
      <w:r w:rsidRPr="00EE341D">
        <w:rPr>
          <w:rFonts w:ascii="Arial" w:eastAsia="Arial" w:hAnsi="Arial" w:cs="Arial"/>
          <w:color w:val="000000"/>
          <w:lang w:val="es-ES_tradnl"/>
        </w:rPr>
        <w:t xml:space="preserve">, siempre que estas cumplan con las condiciones señaladas en el artículo. </w:t>
      </w:r>
    </w:p>
    <w:p w14:paraId="3A09A23C" w14:textId="77777777" w:rsidR="00A16AF5" w:rsidRPr="00EE341D" w:rsidRDefault="00A16AF5" w:rsidP="00A16AF5">
      <w:pPr>
        <w:spacing w:before="120" w:line="276" w:lineRule="auto"/>
        <w:ind w:firstLine="709"/>
        <w:jc w:val="both"/>
        <w:rPr>
          <w:rFonts w:ascii="Arial" w:eastAsia="Arial" w:hAnsi="Arial" w:cs="Arial"/>
          <w:color w:val="000000"/>
          <w:lang w:val="es-ES_tradnl"/>
        </w:rPr>
      </w:pPr>
      <w:r w:rsidRPr="00EE341D">
        <w:rPr>
          <w:rFonts w:ascii="Arial" w:eastAsia="Arial" w:hAnsi="Arial" w:cs="Arial"/>
          <w:color w:val="000000"/>
          <w:lang w:val="es-ES_tradnl"/>
        </w:rPr>
        <w:t>De esta manera, en todos los procesos de contratación, independientemente de la modalidad de selección, las entidades estatales, cualquiera que sea su régimen de contratación,</w:t>
      </w:r>
      <w:r w:rsidRPr="00EE341D">
        <w:rPr>
          <w:rFonts w:ascii="Arial" w:eastAsia="Arial" w:hAnsi="Arial" w:cs="Arial"/>
          <w:color w:val="000000"/>
        </w:rPr>
        <w:t xml:space="preserve"> los patrimonios autónomos constituidos por entidades estatales y los particulares que ejecuten recursos públicos, deberán limitar las convocatorias con pluralidad de oferentes a </w:t>
      </w:r>
      <w:proofErr w:type="spellStart"/>
      <w:r w:rsidRPr="00EE341D">
        <w:rPr>
          <w:rFonts w:ascii="Arial" w:eastAsia="Arial" w:hAnsi="Arial" w:cs="Arial"/>
          <w:color w:val="000000"/>
        </w:rPr>
        <w:t>Mipymes</w:t>
      </w:r>
      <w:proofErr w:type="spellEnd"/>
      <w:r w:rsidRPr="00EE341D">
        <w:rPr>
          <w:rFonts w:ascii="Arial" w:eastAsia="Arial" w:hAnsi="Arial" w:cs="Arial"/>
          <w:color w:val="000000"/>
        </w:rPr>
        <w:t xml:space="preserve"> colombianas, una vez concurran todos los requisitos señalados anteriormente y siempre que cuenten con mínimo un (1) año de existencia. </w:t>
      </w:r>
    </w:p>
    <w:p w14:paraId="1EA19923" w14:textId="77777777" w:rsidR="00A16AF5" w:rsidRPr="00D83E63" w:rsidRDefault="00A16AF5" w:rsidP="00F954FB">
      <w:pPr>
        <w:spacing w:after="0" w:line="276" w:lineRule="auto"/>
        <w:ind w:firstLine="709"/>
        <w:jc w:val="both"/>
        <w:rPr>
          <w:rFonts w:ascii="Arial" w:eastAsia="Calibri" w:hAnsi="Arial" w:cs="Arial"/>
          <w:lang w:val="es-ES_tradnl"/>
        </w:rPr>
      </w:pPr>
      <w:r w:rsidRPr="00D83E63">
        <w:rPr>
          <w:rFonts w:ascii="Arial" w:eastAsia="Calibri" w:hAnsi="Arial" w:cs="Arial"/>
          <w:lang w:val="es-ES_tradnl"/>
        </w:rPr>
        <w:t xml:space="preserve">De otro lado, en relación con la </w:t>
      </w:r>
      <w:r w:rsidRPr="00D83E63">
        <w:rPr>
          <w:rFonts w:ascii="Arial" w:hAnsi="Arial" w:cs="Arial"/>
          <w:bCs/>
          <w:lang w:eastAsia="es-ES"/>
        </w:rPr>
        <w:t>acreditación de requisitos para participar en convocatorias limitadas,</w:t>
      </w:r>
      <w:r w:rsidRPr="00D83E63">
        <w:rPr>
          <w:rFonts w:ascii="Arial" w:eastAsia="Calibri" w:hAnsi="Arial" w:cs="Arial"/>
          <w:lang w:val="es-ES_tradnl"/>
        </w:rPr>
        <w:t xml:space="preserve"> el artículo </w:t>
      </w:r>
      <w:r w:rsidRPr="00D83E63">
        <w:rPr>
          <w:rFonts w:ascii="Arial" w:hAnsi="Arial" w:cs="Arial"/>
          <w:bCs/>
          <w:lang w:eastAsia="es-ES"/>
        </w:rPr>
        <w:t xml:space="preserve">2.2.1.2.4.2.4. del Decreto 1082 de 2015 –modificado por el Decreto 1860 de 2021–, </w:t>
      </w:r>
      <w:r w:rsidRPr="00D83E63">
        <w:rPr>
          <w:rFonts w:ascii="Arial" w:eastAsia="Calibri" w:hAnsi="Arial" w:cs="Arial"/>
          <w:bCs/>
        </w:rPr>
        <w:t>establece lo siguiente:</w:t>
      </w:r>
    </w:p>
    <w:p w14:paraId="387C962D" w14:textId="77777777" w:rsidR="00A16AF5" w:rsidRPr="00F954FB" w:rsidRDefault="00A16AF5" w:rsidP="00F954FB">
      <w:pPr>
        <w:spacing w:after="0" w:line="240" w:lineRule="auto"/>
        <w:ind w:firstLine="709"/>
        <w:jc w:val="both"/>
        <w:rPr>
          <w:rFonts w:ascii="Arial" w:eastAsia="Calibri" w:hAnsi="Arial" w:cs="Arial"/>
          <w:bCs/>
          <w:sz w:val="21"/>
          <w:szCs w:val="21"/>
        </w:rPr>
      </w:pPr>
    </w:p>
    <w:p w14:paraId="1E9A1A9C"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bCs/>
          <w:sz w:val="21"/>
          <w:szCs w:val="21"/>
          <w:lang w:val="es-ES_tradnl"/>
        </w:rPr>
        <w:t>Artículo 2.2.1.2.4.2.4. Acreditación de requisitos para participar en convocatorias limitadas.</w:t>
      </w:r>
      <w:r w:rsidRPr="00D83E63">
        <w:rPr>
          <w:rFonts w:ascii="Arial" w:eastAsia="Calibri" w:hAnsi="Arial" w:cs="Arial"/>
          <w:sz w:val="21"/>
          <w:szCs w:val="21"/>
          <w:lang w:val="es-ES_tradnl"/>
        </w:rPr>
        <w:t xml:space="preserve"> La </w:t>
      </w:r>
      <w:proofErr w:type="spellStart"/>
      <w:r w:rsidRPr="00D83E63">
        <w:rPr>
          <w:rFonts w:ascii="Arial" w:eastAsia="Calibri" w:hAnsi="Arial" w:cs="Arial"/>
          <w:sz w:val="21"/>
          <w:szCs w:val="21"/>
          <w:lang w:val="es-ES_tradnl"/>
        </w:rPr>
        <w:t>Mipyme</w:t>
      </w:r>
      <w:proofErr w:type="spellEnd"/>
      <w:r w:rsidRPr="00D83E63">
        <w:rPr>
          <w:rFonts w:ascii="Arial" w:eastAsia="Calibri" w:hAnsi="Arial" w:cs="Arial"/>
          <w:sz w:val="21"/>
          <w:szCs w:val="21"/>
          <w:lang w:val="es-ES_tradnl"/>
        </w:rPr>
        <w:t xml:space="preserve"> colombianas deben acreditar que tiene el tamaño empresarial establecido por la ley de la siguiente manera: </w:t>
      </w:r>
    </w:p>
    <w:p w14:paraId="18FB997B"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p>
    <w:p w14:paraId="073BD01D"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 xml:space="preserve">1. Las personas naturales mediante certificación expedida por ellos y un contador público, adjuntando copia del registro mercantil. </w:t>
      </w:r>
    </w:p>
    <w:p w14:paraId="1CABA681"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p>
    <w:p w14:paraId="001F5EA9"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4E7F2AEC" w14:textId="77777777" w:rsidR="00A16AF5" w:rsidRPr="00D83E63" w:rsidRDefault="00A16AF5" w:rsidP="00F954FB">
      <w:pPr>
        <w:tabs>
          <w:tab w:val="left" w:pos="6660"/>
        </w:tabs>
        <w:spacing w:after="0" w:line="240" w:lineRule="auto"/>
        <w:ind w:left="709" w:right="709"/>
        <w:jc w:val="both"/>
        <w:rPr>
          <w:rFonts w:ascii="Arial" w:eastAsia="Calibri" w:hAnsi="Arial" w:cs="Arial"/>
          <w:b/>
          <w:bCs/>
          <w:sz w:val="21"/>
          <w:szCs w:val="21"/>
          <w:lang w:val="es-ES_tradnl"/>
        </w:rPr>
      </w:pPr>
      <w:r w:rsidRPr="00D83E63">
        <w:rPr>
          <w:rFonts w:ascii="Arial" w:eastAsia="Calibri" w:hAnsi="Arial" w:cs="Arial"/>
          <w:b/>
          <w:bCs/>
          <w:sz w:val="21"/>
          <w:szCs w:val="21"/>
          <w:lang w:val="es-ES_tradnl"/>
        </w:rPr>
        <w:tab/>
      </w:r>
    </w:p>
    <w:p w14:paraId="7F9E7C0B"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 xml:space="preserve">Parágrafo 1. En todo caso, las </w:t>
      </w:r>
      <w:proofErr w:type="spellStart"/>
      <w:r w:rsidRPr="00D83E63">
        <w:rPr>
          <w:rFonts w:ascii="Arial" w:eastAsia="Calibri" w:hAnsi="Arial" w:cs="Arial"/>
          <w:sz w:val="21"/>
          <w:szCs w:val="21"/>
          <w:lang w:val="es-ES_tradnl"/>
        </w:rPr>
        <w:t>Mipyme</w:t>
      </w:r>
      <w:proofErr w:type="spellEnd"/>
      <w:r w:rsidRPr="00D83E63">
        <w:rPr>
          <w:rFonts w:ascii="Arial" w:eastAsia="Calibri" w:hAnsi="Arial" w:cs="Arial"/>
          <w:sz w:val="21"/>
          <w:szCs w:val="21"/>
          <w:lang w:val="es-ES_tradnl"/>
        </w:rPr>
        <w:t xml:space="preserve"> también podrán acreditar esta condición con la copia del certificado del Registro Único de Proponentes, el cual deberá encontrarse vigente y en firme al momento de su presentación.</w:t>
      </w:r>
    </w:p>
    <w:p w14:paraId="7E09B830"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p>
    <w:p w14:paraId="55EC15ED"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 xml:space="preserve">Parágrafo 2. Para efectos de la limitación a </w:t>
      </w:r>
      <w:proofErr w:type="spellStart"/>
      <w:r w:rsidRPr="00D83E63">
        <w:rPr>
          <w:rFonts w:ascii="Arial" w:eastAsia="Calibri" w:hAnsi="Arial" w:cs="Arial"/>
          <w:sz w:val="21"/>
          <w:szCs w:val="21"/>
          <w:lang w:val="es-ES_tradnl"/>
        </w:rPr>
        <w:t>Mipyme</w:t>
      </w:r>
      <w:proofErr w:type="spellEnd"/>
      <w:r w:rsidRPr="00D83E63">
        <w:rPr>
          <w:rFonts w:ascii="Arial" w:eastAsia="Calibri" w:hAnsi="Arial" w:cs="Arial"/>
          <w:sz w:val="21"/>
          <w:szCs w:val="21"/>
          <w:lang w:val="es-ES_tradnl"/>
        </w:rPr>
        <w:t xml:space="preserve">, los proponentes aportarán la copia del registro mercantil, del certificado de existencia y representación legal o del Registro Único de Proponentes, según corresponda conforme a las </w:t>
      </w:r>
      <w:r w:rsidRPr="00D83E63">
        <w:rPr>
          <w:rFonts w:ascii="Arial" w:eastAsia="Calibri" w:hAnsi="Arial" w:cs="Arial"/>
          <w:sz w:val="21"/>
          <w:szCs w:val="21"/>
          <w:lang w:val="es-ES_tradnl"/>
        </w:rPr>
        <w:lastRenderedPageBreak/>
        <w:t xml:space="preserve">reglas precedentes, con una fecha de máximo sesenta (60) días calendario anteriores a la prevista en el cronograma del Proceso de Contratación para el inicio del plazo para solicitar la convocatoria limitada. </w:t>
      </w:r>
    </w:p>
    <w:p w14:paraId="5D12151D"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p>
    <w:p w14:paraId="19C0E895"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 xml:space="preserve">Parágrafo 3. </w:t>
      </w:r>
      <w:r w:rsidRPr="00D83E63">
        <w:rPr>
          <w:rFonts w:ascii="Arial" w:eastAsia="Calibri" w:hAnsi="Arial" w:cs="Arial"/>
          <w:i/>
          <w:iCs/>
          <w:sz w:val="21"/>
          <w:szCs w:val="21"/>
          <w:lang w:val="es-ES_tradnl"/>
        </w:rPr>
        <w:t xml:space="preserve">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D83E63">
        <w:rPr>
          <w:rFonts w:ascii="Arial" w:eastAsia="Calibri" w:hAnsi="Arial" w:cs="Arial"/>
          <w:i/>
          <w:iCs/>
          <w:sz w:val="21"/>
          <w:szCs w:val="21"/>
          <w:lang w:val="es-ES_tradnl"/>
        </w:rPr>
        <w:t>Mipyme</w:t>
      </w:r>
      <w:proofErr w:type="spellEnd"/>
      <w:r w:rsidRPr="00D83E63">
        <w:rPr>
          <w:rFonts w:ascii="Arial" w:eastAsia="Calibri" w:hAnsi="Arial" w:cs="Arial"/>
          <w:i/>
          <w:iCs/>
          <w:sz w:val="21"/>
          <w:szCs w:val="21"/>
          <w:lang w:val="es-ES_tradnl"/>
        </w:rPr>
        <w:t xml:space="preserve"> o de proponentes plurales integrados únicamente por </w:t>
      </w:r>
      <w:proofErr w:type="spellStart"/>
      <w:r w:rsidRPr="00D83E63">
        <w:rPr>
          <w:rFonts w:ascii="Arial" w:eastAsia="Calibri" w:hAnsi="Arial" w:cs="Arial"/>
          <w:i/>
          <w:iCs/>
          <w:sz w:val="21"/>
          <w:szCs w:val="21"/>
          <w:lang w:val="es-ES_tradnl"/>
        </w:rPr>
        <w:t>Mipyme</w:t>
      </w:r>
      <w:proofErr w:type="spellEnd"/>
      <w:r w:rsidRPr="00D83E63">
        <w:rPr>
          <w:rFonts w:ascii="Arial" w:eastAsia="Calibri" w:hAnsi="Arial" w:cs="Arial"/>
          <w:i/>
          <w:iCs/>
          <w:sz w:val="21"/>
          <w:szCs w:val="21"/>
          <w:lang w:val="es-ES_tradnl"/>
        </w:rPr>
        <w:t>.</w:t>
      </w:r>
    </w:p>
    <w:p w14:paraId="18A756F3"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p>
    <w:p w14:paraId="66BF724E" w14:textId="77777777" w:rsidR="00A16AF5" w:rsidRPr="00D83E63" w:rsidRDefault="00A16AF5" w:rsidP="00F954FB">
      <w:pPr>
        <w:spacing w:after="0" w:line="240" w:lineRule="auto"/>
        <w:ind w:left="709" w:right="709"/>
        <w:jc w:val="both"/>
        <w:rPr>
          <w:rFonts w:ascii="Arial" w:eastAsia="Calibri" w:hAnsi="Arial" w:cs="Arial"/>
          <w:sz w:val="21"/>
          <w:szCs w:val="21"/>
          <w:lang w:val="es-ES_tradnl"/>
        </w:rPr>
      </w:pPr>
      <w:r w:rsidRPr="00D83E63">
        <w:rPr>
          <w:rFonts w:ascii="Arial" w:eastAsia="Calibri" w:hAnsi="Arial"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 (Cursiva fuera del original).</w:t>
      </w:r>
    </w:p>
    <w:p w14:paraId="599105DB" w14:textId="77777777" w:rsidR="00A16AF5" w:rsidRPr="00EE341D" w:rsidRDefault="00A16AF5" w:rsidP="00F954FB">
      <w:pPr>
        <w:spacing w:after="0"/>
        <w:ind w:left="709" w:right="709"/>
        <w:jc w:val="both"/>
        <w:rPr>
          <w:rFonts w:ascii="Arial" w:eastAsia="Calibri" w:hAnsi="Arial" w:cs="Arial"/>
          <w:sz w:val="21"/>
          <w:szCs w:val="21"/>
          <w:lang w:val="es-ES_tradnl"/>
        </w:rPr>
      </w:pPr>
    </w:p>
    <w:p w14:paraId="2B9A9580" w14:textId="77777777" w:rsidR="00A16AF5" w:rsidRPr="00A7798F" w:rsidRDefault="00A16AF5" w:rsidP="00A16AF5">
      <w:pPr>
        <w:spacing w:line="276" w:lineRule="auto"/>
        <w:ind w:firstLine="709"/>
        <w:jc w:val="both"/>
        <w:rPr>
          <w:rFonts w:ascii="Arial" w:eastAsia="Calibri" w:hAnsi="Arial" w:cs="Arial"/>
          <w:bCs/>
        </w:rPr>
      </w:pPr>
      <w:r w:rsidRPr="00A7798F">
        <w:rPr>
          <w:rFonts w:ascii="Arial" w:eastAsia="Calibri" w:hAnsi="Arial" w:cs="Arial"/>
          <w:bCs/>
        </w:rPr>
        <w:t xml:space="preserve">Para analizar el alcance de esta norma, resulta de especial relevancia determinar la definición y clasificación de las </w:t>
      </w:r>
      <w:proofErr w:type="spellStart"/>
      <w:r w:rsidRPr="00A7798F">
        <w:rPr>
          <w:rFonts w:ascii="Arial" w:eastAsia="Calibri" w:hAnsi="Arial" w:cs="Arial"/>
          <w:bCs/>
        </w:rPr>
        <w:t>Mipyme</w:t>
      </w:r>
      <w:proofErr w:type="spellEnd"/>
      <w:r w:rsidRPr="00A7798F">
        <w:rPr>
          <w:rFonts w:ascii="Arial" w:eastAsia="Calibri" w:hAnsi="Arial" w:cs="Arial"/>
          <w:bCs/>
        </w:rPr>
        <w:t xml:space="preserve"> conforme al marco jurídico que lo regula. Así, </w:t>
      </w:r>
      <w:r w:rsidRPr="00A7798F">
        <w:rPr>
          <w:rFonts w:ascii="Arial" w:eastAsia="Calibri" w:hAnsi="Arial" w:cs="Arial"/>
          <w:bCs/>
          <w:lang w:val="es-ES_tradnl"/>
        </w:rPr>
        <w:t xml:space="preserve">de conformidad con </w:t>
      </w:r>
      <w:r w:rsidRPr="00A7798F">
        <w:rPr>
          <w:rFonts w:ascii="Arial" w:eastAsia="Calibri" w:hAnsi="Arial" w:cs="Arial"/>
          <w:bCs/>
        </w:rPr>
        <w:t>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r w:rsidRPr="00A7798F">
        <w:rPr>
          <w:rFonts w:ascii="Arial" w:eastAsia="Calibri" w:hAnsi="Arial" w:cs="Arial"/>
          <w:bCs/>
          <w:vertAlign w:val="superscript"/>
        </w:rPr>
        <w:footnoteReference w:id="11"/>
      </w:r>
      <w:r w:rsidRPr="00A7798F">
        <w:rPr>
          <w:rFonts w:ascii="Arial" w:eastAsia="Calibri" w:hAnsi="Arial" w:cs="Arial"/>
          <w:bCs/>
        </w:rPr>
        <w:t>.</w:t>
      </w:r>
    </w:p>
    <w:p w14:paraId="64661B67" w14:textId="77777777" w:rsidR="00A16AF5" w:rsidRPr="00A7798F" w:rsidRDefault="00A16AF5" w:rsidP="00A16AF5">
      <w:pPr>
        <w:spacing w:before="120" w:line="276" w:lineRule="auto"/>
        <w:ind w:firstLine="709"/>
        <w:jc w:val="both"/>
        <w:rPr>
          <w:rFonts w:ascii="Arial" w:eastAsia="Calibri" w:hAnsi="Arial" w:cs="Arial"/>
          <w:bCs/>
        </w:rPr>
      </w:pPr>
      <w:r w:rsidRPr="00A7798F">
        <w:rPr>
          <w:rFonts w:ascii="Arial" w:eastAsia="Calibri" w:hAnsi="Arial" w:cs="Arial"/>
          <w:bCs/>
        </w:rPr>
        <w:lastRenderedPageBreak/>
        <w:t xml:space="preserve">Para tales efectos, el </w:t>
      </w:r>
      <w:r w:rsidRPr="00A7798F">
        <w:rPr>
          <w:rFonts w:ascii="Arial" w:eastAsia="Arial" w:hAnsi="Arial" w:cs="Arial"/>
          <w:color w:val="000000"/>
        </w:rPr>
        <w:t>Decreto 957 de 2019, que adicionó al Decreto 1074 de 2015, reglamentó la clasificación de las micro, pequeñas, medianas y grandes empresas, teniendo en cuenta para ello como criterio exclusivo el de ventas brutas, asimilado al de ingresos por actividades ordinarias anuales</w:t>
      </w:r>
      <w:r w:rsidRPr="00A7798F">
        <w:rPr>
          <w:rStyle w:val="Refdenotaalpie"/>
          <w:rFonts w:ascii="Arial" w:eastAsia="Arial" w:hAnsi="Arial" w:cs="Arial"/>
          <w:color w:val="000000"/>
        </w:rPr>
        <w:footnoteReference w:id="12"/>
      </w:r>
      <w:r w:rsidRPr="00A7798F">
        <w:rPr>
          <w:rFonts w:ascii="Arial" w:eastAsia="Arial" w:hAnsi="Arial" w:cs="Arial"/>
          <w:color w:val="000000"/>
        </w:rPr>
        <w:t>. En tal sentido, el artículo 2.2.1.13.2.2 de este decreto definió rangos para determinar el valor de los ingresos por actividades ordinarias anuales de acuerdo con el sector económico que se trate</w:t>
      </w:r>
      <w:r w:rsidRPr="00A7798F">
        <w:rPr>
          <w:rStyle w:val="Refdenotaalpie"/>
          <w:rFonts w:ascii="Arial" w:eastAsia="Arial" w:hAnsi="Arial" w:cs="Arial"/>
          <w:color w:val="000000"/>
        </w:rPr>
        <w:footnoteReference w:id="13"/>
      </w:r>
      <w:r w:rsidRPr="00A7798F">
        <w:rPr>
          <w:rFonts w:ascii="Arial" w:eastAsia="Arial" w:hAnsi="Arial" w:cs="Arial"/>
          <w:color w:val="000000"/>
        </w:rPr>
        <w:t xml:space="preserve">. Para la aplicación de los </w:t>
      </w:r>
      <w:r w:rsidRPr="00A7798F">
        <w:rPr>
          <w:rFonts w:ascii="Arial" w:eastAsia="Arial" w:hAnsi="Arial" w:cs="Arial"/>
          <w:color w:val="000000"/>
        </w:rPr>
        <w:lastRenderedPageBreak/>
        <w:t xml:space="preserve">incentivos en el sistema de compras públicas, el parágrafo del artículo </w:t>
      </w:r>
      <w:bookmarkStart w:id="15" w:name="2.2.1.13.2.4"/>
      <w:r w:rsidRPr="00A7798F">
        <w:rPr>
          <w:rFonts w:ascii="Arial" w:eastAsia="Arial" w:hAnsi="Arial" w:cs="Arial"/>
          <w:color w:val="000000"/>
        </w:rPr>
        <w:t>2.2.1.13.2.4.</w:t>
      </w:r>
      <w:bookmarkEnd w:id="15"/>
      <w:r w:rsidRPr="00A7798F">
        <w:rPr>
          <w:rFonts w:ascii="Arial" w:eastAsia="Arial" w:hAnsi="Arial" w:cs="Arial"/>
          <w:color w:val="000000"/>
        </w:rPr>
        <w:t xml:space="preserve"> </w:t>
      </w:r>
      <w:r w:rsidRPr="00A7798F">
        <w:rPr>
          <w:rFonts w:ascii="Arial" w:eastAsia="Arial" w:hAnsi="Arial" w:cs="Arial"/>
          <w:i/>
          <w:iCs/>
          <w:color w:val="000000"/>
        </w:rPr>
        <w:t xml:space="preserve">ibidem </w:t>
      </w:r>
      <w:r w:rsidRPr="00A7798F">
        <w:rPr>
          <w:rFonts w:ascii="Arial" w:eastAsia="Arial" w:hAnsi="Arial" w:cs="Arial"/>
          <w:color w:val="000000" w:themeColor="text1"/>
        </w:rPr>
        <w:t>dispuso que la acreditación del tamaño empresarial se efectuará de acuerdo con lo previsto en el artículo </w:t>
      </w:r>
      <w:hyperlink r:id="rId13" w:anchor="2.2.1.2.4.2.4" w:history="1">
        <w:r w:rsidRPr="00A7798F">
          <w:rPr>
            <w:rStyle w:val="Hipervnculo"/>
            <w:rFonts w:ascii="Arial" w:eastAsia="Arial" w:hAnsi="Arial" w:cs="Arial"/>
            <w:color w:val="000000" w:themeColor="text1"/>
          </w:rPr>
          <w:t>2.2.1.2.4.2.4</w:t>
        </w:r>
      </w:hyperlink>
      <w:r w:rsidRPr="00A7798F">
        <w:rPr>
          <w:rFonts w:ascii="Arial" w:eastAsia="Arial" w:hAnsi="Arial" w:cs="Arial"/>
          <w:color w:val="000000" w:themeColor="text1"/>
        </w:rPr>
        <w:t> del Decreto 1082 de 2015 y demás normas que lo aclaren, modifiquen o adicionen.</w:t>
      </w:r>
    </w:p>
    <w:p w14:paraId="772C82D5" w14:textId="21E4466F" w:rsidR="002F16B5" w:rsidRPr="00A7798F" w:rsidRDefault="003D17D2" w:rsidP="002C39DE">
      <w:pPr>
        <w:pStyle w:val="Textoindependiente"/>
        <w:spacing w:after="120" w:line="276" w:lineRule="auto"/>
        <w:ind w:right="113"/>
        <w:jc w:val="both"/>
        <w:rPr>
          <w:rFonts w:eastAsia="Calibri"/>
          <w:lang w:val="es-ES_tradnl"/>
        </w:rPr>
      </w:pPr>
      <w:r w:rsidRPr="00A7798F">
        <w:rPr>
          <w:rFonts w:eastAsia="Calibri"/>
          <w:lang w:val="es-ES_tradnl"/>
        </w:rPr>
        <w:tab/>
        <w:t xml:space="preserve">Con todo, es preciso advertir que, </w:t>
      </w:r>
      <w:r w:rsidR="00FA7837" w:rsidRPr="00A7798F">
        <w:rPr>
          <w:rFonts w:eastAsia="Calibri"/>
          <w:lang w:val="es-ES_tradnl"/>
        </w:rPr>
        <w:t>dado el</w:t>
      </w:r>
      <w:r w:rsidR="00CB18C8" w:rsidRPr="00A7798F">
        <w:rPr>
          <w:rFonts w:eastAsia="Calibri"/>
          <w:lang w:val="es-ES_tradnl"/>
        </w:rPr>
        <w:t xml:space="preserve"> </w:t>
      </w:r>
      <w:r w:rsidR="00750D1A" w:rsidRPr="00A7798F">
        <w:rPr>
          <w:rFonts w:eastAsia="Calibri"/>
          <w:lang w:val="es-ES_tradnl"/>
        </w:rPr>
        <w:t xml:space="preserve">alcance </w:t>
      </w:r>
      <w:r w:rsidR="00FA7837" w:rsidRPr="00A7798F">
        <w:rPr>
          <w:rFonts w:eastAsia="Calibri"/>
          <w:lang w:val="es-ES_tradnl"/>
        </w:rPr>
        <w:t xml:space="preserve">de </w:t>
      </w:r>
      <w:r w:rsidR="00CB18C8" w:rsidRPr="00A7798F">
        <w:rPr>
          <w:rFonts w:eastAsia="Calibri"/>
          <w:lang w:val="es-ES_tradnl"/>
        </w:rPr>
        <w:t xml:space="preserve">la medida </w:t>
      </w:r>
      <w:r w:rsidR="00FA7837" w:rsidRPr="00A7798F">
        <w:rPr>
          <w:rFonts w:eastAsia="Calibri"/>
          <w:lang w:val="es-ES_tradnl"/>
        </w:rPr>
        <w:t xml:space="preserve">introducida en favor de las </w:t>
      </w:r>
      <w:proofErr w:type="spellStart"/>
      <w:r w:rsidR="00FA7837" w:rsidRPr="00A7798F">
        <w:rPr>
          <w:rFonts w:eastAsia="Calibri"/>
          <w:lang w:val="es-ES_tradnl"/>
        </w:rPr>
        <w:t>Mipymes</w:t>
      </w:r>
      <w:proofErr w:type="spellEnd"/>
      <w:r w:rsidR="00CB18C8" w:rsidRPr="00A7798F">
        <w:rPr>
          <w:rFonts w:eastAsia="Calibri"/>
          <w:lang w:val="es-ES_tradnl"/>
        </w:rPr>
        <w:t xml:space="preserve"> por el artículo 12 de la Ley 1150 de 2007</w:t>
      </w:r>
      <w:r w:rsidR="00307F9F" w:rsidRPr="00A7798F">
        <w:rPr>
          <w:rFonts w:eastAsia="Calibri"/>
          <w:lang w:val="es-ES_tradnl"/>
        </w:rPr>
        <w:t>, modificado por el artículo 34 de la Ley 2069 de 2020</w:t>
      </w:r>
      <w:r w:rsidR="00FA7837" w:rsidRPr="00A7798F">
        <w:rPr>
          <w:rFonts w:eastAsia="Calibri"/>
          <w:lang w:val="es-ES_tradnl"/>
        </w:rPr>
        <w:t>, y reglamentada por el Decreto 1860 de 2021 en los términos aquí explicados,</w:t>
      </w:r>
      <w:r w:rsidR="00404549" w:rsidRPr="00A7798F">
        <w:rPr>
          <w:rFonts w:eastAsia="Calibri"/>
          <w:lang w:val="es-ES_tradnl"/>
        </w:rPr>
        <w:t xml:space="preserve"> es claro que se trata de un incentivo en favor la</w:t>
      </w:r>
      <w:r w:rsidR="00AD5E67" w:rsidRPr="00A7798F">
        <w:rPr>
          <w:rFonts w:eastAsia="Calibri"/>
          <w:lang w:val="es-ES_tradnl"/>
        </w:rPr>
        <w:t xml:space="preserve"> vinculación de proveedores </w:t>
      </w:r>
      <w:r w:rsidR="00404549" w:rsidRPr="00A7798F">
        <w:rPr>
          <w:rFonts w:eastAsia="Calibri"/>
          <w:lang w:val="es-ES_tradnl"/>
        </w:rPr>
        <w:t>nacionales</w:t>
      </w:r>
      <w:r w:rsidR="00AD5E67" w:rsidRPr="00A7798F">
        <w:rPr>
          <w:rFonts w:eastAsia="Calibri"/>
          <w:lang w:val="es-ES_tradnl"/>
        </w:rPr>
        <w:t xml:space="preserve"> en la contratación pública, específicamente de las empresas clasificadas como micro, pequeñas y/o medianas</w:t>
      </w:r>
      <w:r w:rsidR="004E20AA" w:rsidRPr="00A7798F">
        <w:rPr>
          <w:rFonts w:eastAsia="Calibri"/>
          <w:lang w:val="es-ES_tradnl"/>
        </w:rPr>
        <w:t xml:space="preserve">. </w:t>
      </w:r>
      <w:r w:rsidR="00781C9D" w:rsidRPr="00A7798F">
        <w:rPr>
          <w:rFonts w:eastAsia="Calibri"/>
          <w:lang w:val="es-ES_tradnl"/>
        </w:rPr>
        <w:t xml:space="preserve">Sin embargo, su alcance no es </w:t>
      </w:r>
      <w:r w:rsidR="0075197B" w:rsidRPr="00A7798F">
        <w:rPr>
          <w:rFonts w:eastAsia="Calibri"/>
          <w:lang w:val="es-ES_tradnl"/>
        </w:rPr>
        <w:t xml:space="preserve">el </w:t>
      </w:r>
      <w:r w:rsidR="00781C9D" w:rsidRPr="00A7798F">
        <w:rPr>
          <w:rFonts w:eastAsia="Calibri"/>
          <w:lang w:val="es-ES_tradnl"/>
        </w:rPr>
        <w:t>de un criterio</w:t>
      </w:r>
      <w:r w:rsidR="00BE63EC" w:rsidRPr="00A7798F">
        <w:rPr>
          <w:rFonts w:eastAsia="Calibri"/>
          <w:lang w:val="es-ES_tradnl"/>
        </w:rPr>
        <w:t xml:space="preserve"> de calificación o un factor ponderable</w:t>
      </w:r>
      <w:r w:rsidR="0075197B" w:rsidRPr="00A7798F">
        <w:rPr>
          <w:rFonts w:eastAsia="Calibri"/>
          <w:lang w:val="es-ES_tradnl"/>
        </w:rPr>
        <w:t xml:space="preserve"> </w:t>
      </w:r>
      <w:r w:rsidR="00192E46" w:rsidRPr="00A7798F">
        <w:rPr>
          <w:rFonts w:eastAsia="Calibri"/>
          <w:lang w:val="es-ES_tradnl"/>
        </w:rPr>
        <w:t>determin</w:t>
      </w:r>
      <w:r w:rsidR="0075197B" w:rsidRPr="00A7798F">
        <w:rPr>
          <w:rFonts w:eastAsia="Calibri"/>
          <w:lang w:val="es-ES_tradnl"/>
        </w:rPr>
        <w:t>ante</w:t>
      </w:r>
      <w:r w:rsidR="00192E46" w:rsidRPr="00A7798F">
        <w:rPr>
          <w:rFonts w:eastAsia="Calibri"/>
          <w:lang w:val="es-ES_tradnl"/>
        </w:rPr>
        <w:t xml:space="preserve"> </w:t>
      </w:r>
      <w:r w:rsidR="0075197B" w:rsidRPr="00A7798F">
        <w:rPr>
          <w:rFonts w:eastAsia="Calibri"/>
          <w:lang w:val="es-ES_tradnl"/>
        </w:rPr>
        <w:t xml:space="preserve">para </w:t>
      </w:r>
      <w:r w:rsidR="00192E46" w:rsidRPr="00A7798F">
        <w:rPr>
          <w:rFonts w:eastAsia="Calibri"/>
          <w:lang w:val="es-ES_tradnl"/>
        </w:rPr>
        <w:t xml:space="preserve">la </w:t>
      </w:r>
      <w:r w:rsidR="0075197B" w:rsidRPr="00A7798F">
        <w:rPr>
          <w:rFonts w:eastAsia="Calibri"/>
          <w:lang w:val="es-ES_tradnl"/>
        </w:rPr>
        <w:t>comparación de ofertas, que su aplicación permite</w:t>
      </w:r>
      <w:r w:rsidR="00192E46" w:rsidRPr="00A7798F">
        <w:rPr>
          <w:rFonts w:eastAsia="Calibri"/>
          <w:lang w:val="es-ES_tradnl"/>
        </w:rPr>
        <w:t xml:space="preserve"> cerrar los procedimientos en los que se cumplan los requisitos </w:t>
      </w:r>
      <w:r w:rsidR="0075197B" w:rsidRPr="00A7798F">
        <w:rPr>
          <w:rFonts w:eastAsia="Calibri"/>
          <w:lang w:val="es-ES_tradnl"/>
        </w:rPr>
        <w:t>señalados en el artículo 2.2.1.2.4.2.2</w:t>
      </w:r>
      <w:r w:rsidR="004858E6" w:rsidRPr="00A7798F">
        <w:rPr>
          <w:rFonts w:eastAsia="Calibri"/>
          <w:lang w:val="es-ES_tradnl"/>
        </w:rPr>
        <w:t xml:space="preserve"> del Decreto 1082 de 2015, a la participación exclusiva </w:t>
      </w:r>
      <w:proofErr w:type="spellStart"/>
      <w:r w:rsidR="004858E6" w:rsidRPr="00A7798F">
        <w:rPr>
          <w:rFonts w:eastAsia="Calibri"/>
          <w:lang w:val="es-ES_tradnl"/>
        </w:rPr>
        <w:t>mipymes</w:t>
      </w:r>
      <w:proofErr w:type="spellEnd"/>
      <w:r w:rsidR="000A3F70" w:rsidRPr="00A7798F">
        <w:rPr>
          <w:rFonts w:eastAsia="Calibri"/>
          <w:lang w:val="es-ES_tradnl"/>
        </w:rPr>
        <w:t>. En</w:t>
      </w:r>
      <w:r w:rsidR="00285EF4" w:rsidRPr="00A7798F">
        <w:rPr>
          <w:rFonts w:eastAsia="Calibri"/>
          <w:lang w:val="es-ES_tradnl"/>
        </w:rPr>
        <w:t xml:space="preserve"> ese sentido, en estos</w:t>
      </w:r>
      <w:r w:rsidR="000A3F70" w:rsidRPr="00A7798F">
        <w:rPr>
          <w:rFonts w:eastAsia="Calibri"/>
          <w:lang w:val="es-ES_tradnl"/>
        </w:rPr>
        <w:t xml:space="preserve"> procesos las </w:t>
      </w:r>
      <w:proofErr w:type="spellStart"/>
      <w:r w:rsidR="000A3F70" w:rsidRPr="00A7798F">
        <w:rPr>
          <w:rFonts w:eastAsia="Calibri"/>
          <w:lang w:val="es-ES_tradnl"/>
        </w:rPr>
        <w:t>mipymes</w:t>
      </w:r>
      <w:proofErr w:type="spellEnd"/>
      <w:r w:rsidR="00285EF4" w:rsidRPr="00A7798F">
        <w:rPr>
          <w:rFonts w:eastAsia="Calibri"/>
          <w:lang w:val="es-ES_tradnl"/>
        </w:rPr>
        <w:t xml:space="preserve"> que participen</w:t>
      </w:r>
      <w:r w:rsidR="000A3F70" w:rsidRPr="00A7798F">
        <w:rPr>
          <w:rFonts w:eastAsia="Calibri"/>
          <w:lang w:val="es-ES_tradnl"/>
        </w:rPr>
        <w:t xml:space="preserve"> t</w:t>
      </w:r>
      <w:r w:rsidR="00285EF4" w:rsidRPr="00A7798F">
        <w:rPr>
          <w:rFonts w:eastAsia="Calibri"/>
          <w:lang w:val="es-ES_tradnl"/>
        </w:rPr>
        <w:t>ienen</w:t>
      </w:r>
      <w:r w:rsidR="000A3F70" w:rsidRPr="00A7798F">
        <w:rPr>
          <w:rFonts w:eastAsia="Calibri"/>
          <w:lang w:val="es-ES_tradnl"/>
        </w:rPr>
        <w:t xml:space="preserve"> la posibilidad de ser adjudicatarias </w:t>
      </w:r>
      <w:r w:rsidR="000A4FDF" w:rsidRPr="00A7798F">
        <w:rPr>
          <w:rFonts w:eastAsia="Calibri"/>
          <w:lang w:val="es-ES_tradnl"/>
        </w:rPr>
        <w:t xml:space="preserve">de conformidad con los factores de evaluación que </w:t>
      </w:r>
      <w:r w:rsidR="002F16B5" w:rsidRPr="00A7798F">
        <w:rPr>
          <w:rFonts w:eastAsia="Calibri"/>
          <w:lang w:val="es-ES_tradnl"/>
        </w:rPr>
        <w:t xml:space="preserve">con sujeción a </w:t>
      </w:r>
      <w:r w:rsidR="000A4FDF" w:rsidRPr="00A7798F">
        <w:rPr>
          <w:rFonts w:eastAsia="Calibri"/>
          <w:lang w:val="es-ES_tradnl"/>
        </w:rPr>
        <w:t>lo establecido en el artículo 5 de la Ley</w:t>
      </w:r>
      <w:r w:rsidR="002F16B5" w:rsidRPr="00A7798F">
        <w:rPr>
          <w:rFonts w:eastAsia="Calibri"/>
          <w:lang w:val="es-ES_tradnl"/>
        </w:rPr>
        <w:t xml:space="preserve"> 1150 de 2007 se hayan incluido en el pliego de condiciones. </w:t>
      </w:r>
    </w:p>
    <w:p w14:paraId="1C8381BA" w14:textId="50066299" w:rsidR="0043401A" w:rsidRPr="00A7798F" w:rsidRDefault="00285EF4" w:rsidP="002C39DE">
      <w:pPr>
        <w:pStyle w:val="Textoindependiente"/>
        <w:spacing w:after="120" w:line="276" w:lineRule="auto"/>
        <w:ind w:right="113"/>
        <w:jc w:val="both"/>
        <w:rPr>
          <w:rFonts w:eastAsia="Calibri"/>
          <w:lang w:val="es-ES_tradnl"/>
        </w:rPr>
      </w:pPr>
      <w:r w:rsidRPr="00A7798F">
        <w:rPr>
          <w:rFonts w:eastAsia="Calibri"/>
          <w:lang w:val="es-ES_tradnl"/>
        </w:rPr>
        <w:tab/>
        <w:t xml:space="preserve">Conforme a lo anterior, resulta claro que la limitación regulada por el artículo </w:t>
      </w:r>
      <w:r w:rsidR="00555F58" w:rsidRPr="00A7798F">
        <w:rPr>
          <w:rFonts w:eastAsia="Calibri"/>
          <w:lang w:val="es-ES_tradnl"/>
        </w:rPr>
        <w:t>2.2.1.2.4.2.2 del Decreto 1082 de 2015 no es un factor de calificación o de ponderación</w:t>
      </w:r>
      <w:r w:rsidR="0043401A" w:rsidRPr="00A7798F">
        <w:rPr>
          <w:rFonts w:eastAsia="Calibri"/>
          <w:lang w:val="es-ES_tradnl"/>
        </w:rPr>
        <w:t>.</w:t>
      </w:r>
      <w:r w:rsidR="00435FE1" w:rsidRPr="00A7798F">
        <w:rPr>
          <w:rFonts w:eastAsia="Calibri"/>
          <w:lang w:val="es-ES_tradnl"/>
        </w:rPr>
        <w:t xml:space="preserve"> Esto a diferencia de</w:t>
      </w:r>
      <w:r w:rsidR="00095070" w:rsidRPr="00A7798F">
        <w:rPr>
          <w:rFonts w:eastAsia="Calibri"/>
          <w:lang w:val="es-ES_tradnl"/>
        </w:rPr>
        <w:t xml:space="preserve"> </w:t>
      </w:r>
      <w:r w:rsidR="00435FE1" w:rsidRPr="00A7798F">
        <w:rPr>
          <w:rFonts w:eastAsia="Calibri"/>
          <w:lang w:val="es-ES_tradnl"/>
        </w:rPr>
        <w:t>l</w:t>
      </w:r>
      <w:r w:rsidR="00095070" w:rsidRPr="00A7798F">
        <w:rPr>
          <w:rFonts w:eastAsia="Calibri"/>
          <w:lang w:val="es-ES_tradnl"/>
        </w:rPr>
        <w:t>os</w:t>
      </w:r>
      <w:r w:rsidR="00435FE1" w:rsidRPr="00A7798F">
        <w:rPr>
          <w:rFonts w:eastAsia="Calibri"/>
          <w:lang w:val="es-ES_tradnl"/>
        </w:rPr>
        <w:t xml:space="preserve"> factor</w:t>
      </w:r>
      <w:r w:rsidR="00095070" w:rsidRPr="00A7798F">
        <w:rPr>
          <w:rFonts w:eastAsia="Calibri"/>
          <w:lang w:val="es-ES_tradnl"/>
        </w:rPr>
        <w:t>es</w:t>
      </w:r>
      <w:r w:rsidR="00435FE1" w:rsidRPr="00A7798F">
        <w:rPr>
          <w:rFonts w:eastAsia="Calibri"/>
          <w:lang w:val="es-ES_tradnl"/>
        </w:rPr>
        <w:t xml:space="preserve"> de evalu</w:t>
      </w:r>
      <w:r w:rsidR="006D1F20" w:rsidRPr="00A7798F">
        <w:rPr>
          <w:rFonts w:eastAsia="Calibri"/>
          <w:lang w:val="es-ES_tradnl"/>
        </w:rPr>
        <w:t xml:space="preserve">ación que, en desarrollo del </w:t>
      </w:r>
      <w:r w:rsidR="007F7F65" w:rsidRPr="00A7798F">
        <w:rPr>
          <w:rFonts w:eastAsia="Calibri"/>
          <w:lang w:val="es-ES_tradnl"/>
        </w:rPr>
        <w:t xml:space="preserve">artículo 2 de la Ley 816 de 2003, regula </w:t>
      </w:r>
      <w:r w:rsidR="00CC7700" w:rsidRPr="00A7798F">
        <w:rPr>
          <w:rFonts w:eastAsia="Calibri"/>
          <w:lang w:val="es-ES_tradnl"/>
        </w:rPr>
        <w:t>el artículo 2.2.1.2.4.2.9 del Decreto 1082 de 2015</w:t>
      </w:r>
      <w:r w:rsidR="00021D35" w:rsidRPr="00A7798F">
        <w:rPr>
          <w:rFonts w:eastAsia="Calibri"/>
          <w:lang w:val="es-ES_tradnl"/>
        </w:rPr>
        <w:t xml:space="preserve"> en favor de los proponentes que oferten Servicios </w:t>
      </w:r>
      <w:r w:rsidR="00AD2004" w:rsidRPr="00A7798F">
        <w:rPr>
          <w:rFonts w:eastAsia="Calibri"/>
          <w:lang w:val="es-ES_tradnl"/>
        </w:rPr>
        <w:t>Nacionales</w:t>
      </w:r>
      <w:r w:rsidR="0043401A" w:rsidRPr="00A7798F">
        <w:rPr>
          <w:rFonts w:eastAsia="Calibri"/>
          <w:lang w:val="es-ES_tradnl"/>
        </w:rPr>
        <w:t>, los cuales si otorgan puntajes de entre el 10% y el 20% del total de los puntos establecidos.</w:t>
      </w:r>
    </w:p>
    <w:p w14:paraId="17CC9119" w14:textId="58E7A8B0" w:rsidR="0008758D" w:rsidRPr="00A7798F" w:rsidRDefault="0043401A" w:rsidP="00F954FB">
      <w:pPr>
        <w:pStyle w:val="NormalWeb"/>
        <w:spacing w:after="120" w:line="276" w:lineRule="auto"/>
        <w:jc w:val="both"/>
        <w:rPr>
          <w:rFonts w:ascii="Arial" w:eastAsia="Calibri" w:hAnsi="Arial" w:cs="Arial"/>
          <w:sz w:val="22"/>
          <w:szCs w:val="22"/>
          <w:lang w:val="es-ES_tradnl"/>
        </w:rPr>
      </w:pPr>
      <w:r w:rsidRPr="00F954FB">
        <w:rPr>
          <w:rFonts w:ascii="Arial" w:eastAsia="Calibri" w:hAnsi="Arial" w:cs="Arial"/>
          <w:sz w:val="22"/>
          <w:szCs w:val="22"/>
          <w:lang w:val="es-ES_tradnl"/>
        </w:rPr>
        <w:tab/>
        <w:t xml:space="preserve"> </w:t>
      </w:r>
      <w:r w:rsidR="00435FE1" w:rsidRPr="00F954FB">
        <w:rPr>
          <w:rFonts w:ascii="Arial" w:eastAsia="Calibri" w:hAnsi="Arial" w:cs="Arial"/>
          <w:sz w:val="22"/>
          <w:szCs w:val="22"/>
          <w:lang w:val="es-ES_tradnl"/>
        </w:rPr>
        <w:t xml:space="preserve"> </w:t>
      </w:r>
      <w:r w:rsidRPr="00F954FB">
        <w:rPr>
          <w:rFonts w:ascii="Arial" w:eastAsia="Calibri" w:hAnsi="Arial" w:cs="Arial"/>
          <w:sz w:val="22"/>
          <w:szCs w:val="22"/>
          <w:lang w:val="es-ES_tradnl"/>
        </w:rPr>
        <w:t>Lo anterior resulta de particular relevancia para el objeto de la consulta dado que,</w:t>
      </w:r>
      <w:r w:rsidR="00BE42B5" w:rsidRPr="00F954FB">
        <w:rPr>
          <w:rFonts w:ascii="Arial" w:eastAsia="Calibri" w:hAnsi="Arial" w:cs="Arial"/>
          <w:sz w:val="22"/>
          <w:szCs w:val="22"/>
          <w:lang w:val="es-ES_tradnl"/>
        </w:rPr>
        <w:t xml:space="preserve"> cuando el inciso segundo del artículo 2.2.1.2.4.2.1 </w:t>
      </w:r>
      <w:r w:rsidR="007C53DF" w:rsidRPr="00F954FB">
        <w:rPr>
          <w:rFonts w:ascii="Arial" w:eastAsia="Calibri" w:hAnsi="Arial" w:cs="Arial"/>
          <w:sz w:val="22"/>
          <w:szCs w:val="22"/>
          <w:lang w:val="es-ES_tradnl"/>
        </w:rPr>
        <w:t xml:space="preserve">del Decreto 1082 de 2015 establece que el incentivo al cual se refiere </w:t>
      </w:r>
      <w:r w:rsidR="00F3073E" w:rsidRPr="00F954FB">
        <w:rPr>
          <w:rFonts w:ascii="Arial" w:eastAsia="Calibri" w:hAnsi="Arial" w:cs="Arial"/>
          <w:sz w:val="22"/>
          <w:szCs w:val="22"/>
          <w:lang w:val="es-ES_tradnl"/>
        </w:rPr>
        <w:t>«[…] no es aplicable en los procesos para la adquisición de Bienes y Servicios de Características Técnicas Uniformes»</w:t>
      </w:r>
      <w:r w:rsidR="00F8644B" w:rsidRPr="00F954FB">
        <w:rPr>
          <w:rFonts w:ascii="Arial" w:eastAsia="Calibri" w:hAnsi="Arial" w:cs="Arial"/>
          <w:sz w:val="22"/>
          <w:szCs w:val="22"/>
          <w:lang w:val="es-ES_tradnl"/>
        </w:rPr>
        <w:t>, lo hace con relación a lo mencionado en el inciso primero de dicha norma. Est</w:t>
      </w:r>
      <w:r w:rsidR="0027291A" w:rsidRPr="00F954FB">
        <w:rPr>
          <w:rFonts w:ascii="Arial" w:eastAsia="Calibri" w:hAnsi="Arial" w:cs="Arial"/>
          <w:sz w:val="22"/>
          <w:szCs w:val="22"/>
          <w:lang w:val="es-ES_tradnl"/>
        </w:rPr>
        <w:t xml:space="preserve">e primer inciso habla de </w:t>
      </w:r>
      <w:r w:rsidR="001D0096" w:rsidRPr="00F954FB">
        <w:rPr>
          <w:rFonts w:ascii="Arial" w:eastAsia="Calibri" w:hAnsi="Arial" w:cs="Arial"/>
          <w:sz w:val="22"/>
          <w:szCs w:val="22"/>
          <w:lang w:val="es-ES_tradnl"/>
        </w:rPr>
        <w:t>incluir en los</w:t>
      </w:r>
      <w:r w:rsidR="0027291A" w:rsidRPr="00F954FB">
        <w:rPr>
          <w:rFonts w:ascii="Arial" w:eastAsia="Calibri" w:hAnsi="Arial" w:cs="Arial"/>
          <w:sz w:val="22"/>
          <w:szCs w:val="22"/>
          <w:lang w:val="es-ES_tradnl"/>
        </w:rPr>
        <w:t xml:space="preserve"> «[…] criterios de calificación de las propuestas</w:t>
      </w:r>
      <w:r w:rsidR="0008758D" w:rsidRPr="00F954FB">
        <w:rPr>
          <w:rFonts w:ascii="Arial" w:eastAsia="Calibri" w:hAnsi="Arial" w:cs="Arial"/>
          <w:sz w:val="22"/>
          <w:szCs w:val="22"/>
          <w:lang w:val="es-ES_tradnl"/>
        </w:rPr>
        <w:t xml:space="preserve">, los </w:t>
      </w:r>
      <w:r w:rsidR="0008758D" w:rsidRPr="00F954FB">
        <w:rPr>
          <w:rFonts w:ascii="Arial" w:eastAsia="Times New Roman" w:hAnsi="Arial" w:cs="Arial"/>
          <w:color w:val="000000"/>
          <w:sz w:val="22"/>
          <w:szCs w:val="22"/>
          <w:lang w:eastAsia="es-CO"/>
        </w:rPr>
        <w:t xml:space="preserve">incentivos para los bienes, servicios y oferentes nacionales o aquellos considerados nacionales con ocasión de la existencia de </w:t>
      </w:r>
      <w:r w:rsidR="0008758D" w:rsidRPr="00F954FB">
        <w:rPr>
          <w:rFonts w:ascii="Arial" w:eastAsia="Times New Roman" w:hAnsi="Arial" w:cs="Arial"/>
          <w:color w:val="000000"/>
          <w:sz w:val="22"/>
          <w:szCs w:val="22"/>
          <w:lang w:eastAsia="es-CO"/>
        </w:rPr>
        <w:lastRenderedPageBreak/>
        <w:t xml:space="preserve">trato nacional». En ese orden, al referirse esta norma a criterios de calificación resulta claro que </w:t>
      </w:r>
      <w:r w:rsidR="00B85808" w:rsidRPr="00F954FB">
        <w:rPr>
          <w:rFonts w:ascii="Arial" w:eastAsia="Times New Roman" w:hAnsi="Arial" w:cs="Arial"/>
          <w:color w:val="000000"/>
          <w:sz w:val="22"/>
          <w:szCs w:val="22"/>
          <w:lang w:eastAsia="es-CO"/>
        </w:rPr>
        <w:t xml:space="preserve">el incentivo </w:t>
      </w:r>
      <w:r w:rsidR="00683E90" w:rsidRPr="00F954FB">
        <w:rPr>
          <w:rFonts w:ascii="Arial" w:eastAsia="Times New Roman" w:hAnsi="Arial" w:cs="Arial"/>
          <w:color w:val="000000"/>
          <w:sz w:val="22"/>
          <w:szCs w:val="22"/>
          <w:lang w:eastAsia="es-CO"/>
        </w:rPr>
        <w:t>regulad</w:t>
      </w:r>
      <w:r w:rsidR="00B85808" w:rsidRPr="00F954FB">
        <w:rPr>
          <w:rFonts w:ascii="Arial" w:eastAsia="Times New Roman" w:hAnsi="Arial" w:cs="Arial"/>
          <w:color w:val="000000"/>
          <w:sz w:val="22"/>
          <w:szCs w:val="22"/>
          <w:lang w:eastAsia="es-CO"/>
        </w:rPr>
        <w:t>o</w:t>
      </w:r>
      <w:r w:rsidR="00B172B8" w:rsidRPr="00F954FB">
        <w:rPr>
          <w:rFonts w:ascii="Arial" w:eastAsia="Times New Roman" w:hAnsi="Arial" w:cs="Arial"/>
          <w:color w:val="000000"/>
          <w:sz w:val="22"/>
          <w:szCs w:val="22"/>
          <w:lang w:eastAsia="es-CO"/>
        </w:rPr>
        <w:t xml:space="preserve"> en favor de las </w:t>
      </w:r>
      <w:proofErr w:type="spellStart"/>
      <w:r w:rsidR="00B172B8" w:rsidRPr="00F954FB">
        <w:rPr>
          <w:rFonts w:ascii="Arial" w:eastAsia="Times New Roman" w:hAnsi="Arial" w:cs="Arial"/>
          <w:color w:val="000000"/>
          <w:sz w:val="22"/>
          <w:szCs w:val="22"/>
          <w:lang w:eastAsia="es-CO"/>
        </w:rPr>
        <w:t>mipymes</w:t>
      </w:r>
      <w:proofErr w:type="spellEnd"/>
      <w:r w:rsidR="00B172B8" w:rsidRPr="00F954FB">
        <w:rPr>
          <w:rFonts w:ascii="Arial" w:eastAsia="Times New Roman" w:hAnsi="Arial" w:cs="Arial"/>
          <w:color w:val="000000"/>
          <w:sz w:val="22"/>
          <w:szCs w:val="22"/>
          <w:lang w:eastAsia="es-CO"/>
        </w:rPr>
        <w:t xml:space="preserve"> nacionales</w:t>
      </w:r>
      <w:r w:rsidR="00683E90" w:rsidRPr="00F954FB">
        <w:rPr>
          <w:rFonts w:ascii="Arial" w:eastAsia="Times New Roman" w:hAnsi="Arial" w:cs="Arial"/>
          <w:color w:val="000000"/>
          <w:sz w:val="22"/>
          <w:szCs w:val="22"/>
          <w:lang w:eastAsia="es-CO"/>
        </w:rPr>
        <w:t xml:space="preserve"> por el artículo </w:t>
      </w:r>
      <w:r w:rsidR="00683E90" w:rsidRPr="00F954FB">
        <w:rPr>
          <w:rFonts w:ascii="Arial" w:eastAsia="Calibri" w:hAnsi="Arial" w:cs="Arial"/>
          <w:sz w:val="22"/>
          <w:szCs w:val="22"/>
          <w:lang w:val="es-ES_tradnl"/>
        </w:rPr>
        <w:t>2.2.1.2.4.2.2</w:t>
      </w:r>
      <w:r w:rsidR="00B85808" w:rsidRPr="00F954FB">
        <w:rPr>
          <w:rFonts w:ascii="Arial" w:eastAsia="Calibri" w:hAnsi="Arial" w:cs="Arial"/>
          <w:sz w:val="22"/>
          <w:szCs w:val="22"/>
          <w:lang w:val="es-ES_tradnl"/>
        </w:rPr>
        <w:t xml:space="preserve"> del Decreto 1082 de 2015, al no estar tener </w:t>
      </w:r>
      <w:r w:rsidR="00895A66">
        <w:rPr>
          <w:rFonts w:ascii="Arial" w:eastAsia="Calibri" w:hAnsi="Arial" w:cs="Arial"/>
          <w:sz w:val="22"/>
          <w:szCs w:val="22"/>
          <w:lang w:val="es-ES_tradnl"/>
        </w:rPr>
        <w:t>e</w:t>
      </w:r>
      <w:r w:rsidR="00B85808" w:rsidRPr="00F954FB">
        <w:rPr>
          <w:rFonts w:ascii="Arial" w:eastAsia="Calibri" w:hAnsi="Arial" w:cs="Arial"/>
          <w:sz w:val="22"/>
          <w:szCs w:val="22"/>
          <w:lang w:val="es-ES_tradnl"/>
        </w:rPr>
        <w:t>l carácter de factor de evaluación, no se e</w:t>
      </w:r>
      <w:r w:rsidR="00B172B8" w:rsidRPr="00F954FB">
        <w:rPr>
          <w:rFonts w:ascii="Arial" w:eastAsia="Calibri" w:hAnsi="Arial" w:cs="Arial"/>
          <w:sz w:val="22"/>
          <w:szCs w:val="22"/>
          <w:lang w:val="es-ES_tradnl"/>
        </w:rPr>
        <w:t xml:space="preserve">ncuentra comprendido por la </w:t>
      </w:r>
      <w:r w:rsidR="002C39DE" w:rsidRPr="00F954FB">
        <w:rPr>
          <w:rFonts w:ascii="Arial" w:eastAsia="Calibri" w:hAnsi="Arial" w:cs="Arial"/>
          <w:sz w:val="22"/>
          <w:szCs w:val="22"/>
          <w:lang w:val="es-ES_tradnl"/>
        </w:rPr>
        <w:t xml:space="preserve">referencia </w:t>
      </w:r>
      <w:r w:rsidR="00B362E6">
        <w:rPr>
          <w:rFonts w:ascii="Arial" w:eastAsia="Calibri" w:hAnsi="Arial" w:cs="Arial"/>
          <w:sz w:val="22"/>
          <w:szCs w:val="22"/>
          <w:lang w:val="es-ES_tradnl"/>
        </w:rPr>
        <w:t>realizada</w:t>
      </w:r>
      <w:r w:rsidR="002C39DE" w:rsidRPr="00F954FB">
        <w:rPr>
          <w:rFonts w:ascii="Arial" w:eastAsia="Calibri" w:hAnsi="Arial" w:cs="Arial"/>
          <w:sz w:val="22"/>
          <w:szCs w:val="22"/>
          <w:lang w:val="es-ES_tradnl"/>
        </w:rPr>
        <w:t xml:space="preserve"> por esta norma.</w:t>
      </w:r>
      <w:r w:rsidR="00B85808" w:rsidRPr="00F954FB">
        <w:rPr>
          <w:rFonts w:ascii="Arial" w:eastAsia="Calibri" w:hAnsi="Arial" w:cs="Arial"/>
          <w:sz w:val="22"/>
          <w:szCs w:val="22"/>
          <w:lang w:val="es-ES_tradnl"/>
        </w:rPr>
        <w:t xml:space="preserve"> </w:t>
      </w:r>
    </w:p>
    <w:p w14:paraId="4B2FDA6A" w14:textId="77777777" w:rsidR="00A16AF5" w:rsidRDefault="00A16AF5" w:rsidP="006D0E8A">
      <w:pPr>
        <w:pStyle w:val="Textoindependiente"/>
        <w:spacing w:line="276" w:lineRule="auto"/>
        <w:ind w:right="116"/>
        <w:jc w:val="both"/>
        <w:rPr>
          <w:rFonts w:eastAsia="Calibri"/>
          <w:lang w:val="es-ES_tradnl"/>
        </w:rPr>
      </w:pPr>
    </w:p>
    <w:p w14:paraId="1DF065CA" w14:textId="73E9DEA2" w:rsidR="00137E23" w:rsidRDefault="00137E23" w:rsidP="00733A0B">
      <w:pPr>
        <w:pStyle w:val="Prrafodelista"/>
        <w:tabs>
          <w:tab w:val="left" w:pos="284"/>
        </w:tabs>
        <w:spacing w:line="276" w:lineRule="auto"/>
        <w:ind w:left="0"/>
        <w:jc w:val="both"/>
        <w:rPr>
          <w:rFonts w:ascii="Arial" w:eastAsia="Calibri" w:hAnsi="Arial" w:cs="Arial"/>
          <w:b/>
          <w:sz w:val="22"/>
          <w:lang w:val="es-CO"/>
        </w:rPr>
      </w:pPr>
      <w:r w:rsidRPr="00137E23">
        <w:rPr>
          <w:rFonts w:ascii="Arial" w:eastAsia="Calibri" w:hAnsi="Arial" w:cs="Arial"/>
          <w:b/>
          <w:sz w:val="22"/>
          <w:lang w:val="es-CO"/>
        </w:rPr>
        <w:t>3. Respuesta</w:t>
      </w:r>
    </w:p>
    <w:p w14:paraId="6E0ED1A1" w14:textId="77777777" w:rsidR="00733A0B" w:rsidRPr="00137E23" w:rsidRDefault="00733A0B" w:rsidP="0099583D">
      <w:pPr>
        <w:pStyle w:val="Prrafodelista"/>
        <w:tabs>
          <w:tab w:val="left" w:pos="284"/>
        </w:tabs>
        <w:ind w:left="0"/>
        <w:jc w:val="both"/>
        <w:rPr>
          <w:rFonts w:ascii="Arial" w:eastAsia="Calibri" w:hAnsi="Arial" w:cs="Arial"/>
          <w:sz w:val="22"/>
          <w:lang w:val="es-CO"/>
        </w:rPr>
      </w:pPr>
    </w:p>
    <w:p w14:paraId="7275DC2C" w14:textId="77777777" w:rsidR="00392B77" w:rsidRDefault="00392B77" w:rsidP="00392B77">
      <w:pPr>
        <w:spacing w:line="240" w:lineRule="auto"/>
        <w:ind w:left="709" w:right="709"/>
        <w:jc w:val="both"/>
        <w:rPr>
          <w:rFonts w:ascii="Arial" w:hAnsi="Arial" w:cs="Arial"/>
          <w:color w:val="1A1A1A" w:themeColor="background1" w:themeShade="1A"/>
          <w:sz w:val="21"/>
          <w:szCs w:val="21"/>
        </w:rPr>
      </w:pPr>
      <w:r w:rsidRPr="003A7A79">
        <w:rPr>
          <w:rFonts w:ascii="Arial" w:hAnsi="Arial" w:cs="Arial"/>
          <w:color w:val="1A1A1A" w:themeColor="background1" w:themeShade="1A"/>
          <w:sz w:val="21"/>
          <w:szCs w:val="21"/>
        </w:rPr>
        <w:t>«</w:t>
      </w:r>
      <w:r w:rsidRPr="00783852">
        <w:rPr>
          <w:rFonts w:ascii="Arial" w:hAnsi="Arial" w:cs="Arial"/>
          <w:color w:val="1A1A1A" w:themeColor="background1" w:themeShade="1A"/>
          <w:sz w:val="21"/>
          <w:szCs w:val="21"/>
        </w:rPr>
        <w:t xml:space="preserve">solicito se me aclara si las Convocatorias limitadas a </w:t>
      </w:r>
      <w:proofErr w:type="spellStart"/>
      <w:r w:rsidRPr="00783852">
        <w:rPr>
          <w:rFonts w:ascii="Arial" w:hAnsi="Arial" w:cs="Arial"/>
          <w:color w:val="1A1A1A" w:themeColor="background1" w:themeShade="1A"/>
          <w:sz w:val="21"/>
          <w:szCs w:val="21"/>
        </w:rPr>
        <w:t>Mipyme</w:t>
      </w:r>
      <w:proofErr w:type="spellEnd"/>
      <w:r>
        <w:rPr>
          <w:rFonts w:ascii="Arial" w:hAnsi="Arial" w:cs="Arial"/>
          <w:color w:val="1A1A1A" w:themeColor="background1" w:themeShade="1A"/>
          <w:sz w:val="21"/>
          <w:szCs w:val="21"/>
        </w:rPr>
        <w:t xml:space="preserve"> </w:t>
      </w:r>
      <w:r w:rsidRPr="00783852">
        <w:rPr>
          <w:rFonts w:ascii="Arial" w:hAnsi="Arial" w:cs="Arial"/>
          <w:color w:val="1A1A1A" w:themeColor="background1" w:themeShade="1A"/>
          <w:sz w:val="21"/>
          <w:szCs w:val="21"/>
        </w:rPr>
        <w:t xml:space="preserve">contenidas en el artículo </w:t>
      </w:r>
      <w:bookmarkStart w:id="16" w:name="_Hlk116982080"/>
      <w:r w:rsidRPr="00783852">
        <w:rPr>
          <w:rFonts w:ascii="Arial" w:hAnsi="Arial" w:cs="Arial"/>
          <w:color w:val="1A1A1A" w:themeColor="background1" w:themeShade="1A"/>
          <w:sz w:val="21"/>
          <w:szCs w:val="21"/>
        </w:rPr>
        <w:t xml:space="preserve">2.2.1.2.4.2.2. </w:t>
      </w:r>
      <w:bookmarkEnd w:id="16"/>
      <w:r w:rsidRPr="00783852">
        <w:rPr>
          <w:rFonts w:ascii="Arial" w:hAnsi="Arial" w:cs="Arial"/>
          <w:color w:val="1A1A1A" w:themeColor="background1" w:themeShade="1A"/>
          <w:sz w:val="21"/>
          <w:szCs w:val="21"/>
        </w:rPr>
        <w:t>del Decreto 1082 de 2015, es un incentivo en</w:t>
      </w:r>
      <w:r>
        <w:rPr>
          <w:rFonts w:ascii="Arial" w:hAnsi="Arial" w:cs="Arial"/>
          <w:color w:val="1A1A1A" w:themeColor="background1" w:themeShade="1A"/>
          <w:sz w:val="21"/>
          <w:szCs w:val="21"/>
        </w:rPr>
        <w:t xml:space="preserve"> </w:t>
      </w:r>
      <w:proofErr w:type="spellStart"/>
      <w:r w:rsidRPr="00783852">
        <w:rPr>
          <w:rFonts w:ascii="Arial" w:hAnsi="Arial" w:cs="Arial"/>
          <w:color w:val="1A1A1A" w:themeColor="background1" w:themeShade="1A"/>
          <w:sz w:val="21"/>
          <w:szCs w:val="21"/>
        </w:rPr>
        <w:t>en</w:t>
      </w:r>
      <w:proofErr w:type="spellEnd"/>
      <w:r w:rsidRPr="00783852">
        <w:rPr>
          <w:rFonts w:ascii="Arial" w:hAnsi="Arial" w:cs="Arial"/>
          <w:color w:val="1A1A1A" w:themeColor="background1" w:themeShade="1A"/>
          <w:sz w:val="21"/>
          <w:szCs w:val="21"/>
        </w:rPr>
        <w:t xml:space="preserve"> la contratación pública de los que trata el artículo 2.2.1.2.4.2.1. del Decreto </w:t>
      </w:r>
      <w:proofErr w:type="spellStart"/>
      <w:r w:rsidRPr="00783852">
        <w:rPr>
          <w:rFonts w:ascii="Arial" w:hAnsi="Arial" w:cs="Arial"/>
          <w:color w:val="1A1A1A" w:themeColor="background1" w:themeShade="1A"/>
          <w:sz w:val="21"/>
          <w:szCs w:val="21"/>
        </w:rPr>
        <w:t>íbidem</w:t>
      </w:r>
      <w:proofErr w:type="spellEnd"/>
      <w:r w:rsidRPr="00783852">
        <w:rPr>
          <w:rFonts w:ascii="Arial" w:hAnsi="Arial" w:cs="Arial"/>
          <w:color w:val="1A1A1A" w:themeColor="background1" w:themeShade="1A"/>
          <w:sz w:val="21"/>
          <w:szCs w:val="21"/>
        </w:rPr>
        <w:t>, y</w:t>
      </w:r>
      <w:r>
        <w:rPr>
          <w:rFonts w:ascii="Arial" w:hAnsi="Arial" w:cs="Arial"/>
          <w:color w:val="1A1A1A" w:themeColor="background1" w:themeShade="1A"/>
          <w:sz w:val="21"/>
          <w:szCs w:val="21"/>
        </w:rPr>
        <w:t xml:space="preserve"> </w:t>
      </w:r>
      <w:r w:rsidRPr="00783852">
        <w:rPr>
          <w:rFonts w:ascii="Arial" w:hAnsi="Arial" w:cs="Arial"/>
          <w:color w:val="1A1A1A" w:themeColor="background1" w:themeShade="1A"/>
          <w:sz w:val="21"/>
          <w:szCs w:val="21"/>
        </w:rPr>
        <w:t>por tanto no es aplicable en los procesos para la adquisición de Bienes y Servicios de</w:t>
      </w:r>
      <w:r>
        <w:rPr>
          <w:rFonts w:ascii="Arial" w:hAnsi="Arial" w:cs="Arial"/>
          <w:color w:val="1A1A1A" w:themeColor="background1" w:themeShade="1A"/>
          <w:sz w:val="21"/>
          <w:szCs w:val="21"/>
        </w:rPr>
        <w:t xml:space="preserve"> </w:t>
      </w:r>
      <w:r w:rsidRPr="00783852">
        <w:rPr>
          <w:rFonts w:ascii="Arial" w:hAnsi="Arial" w:cs="Arial"/>
          <w:color w:val="1A1A1A" w:themeColor="background1" w:themeShade="1A"/>
          <w:sz w:val="21"/>
          <w:szCs w:val="21"/>
        </w:rPr>
        <w:t>Características Técnicas Uniformes:</w:t>
      </w:r>
      <w:r w:rsidRPr="003A7A79">
        <w:rPr>
          <w:rFonts w:ascii="Arial" w:hAnsi="Arial" w:cs="Arial"/>
          <w:color w:val="1A1A1A" w:themeColor="background1" w:themeShade="1A"/>
          <w:sz w:val="21"/>
          <w:szCs w:val="21"/>
        </w:rPr>
        <w:t>»</w:t>
      </w:r>
      <w:r>
        <w:rPr>
          <w:rFonts w:ascii="Arial" w:hAnsi="Arial" w:cs="Arial"/>
          <w:color w:val="1A1A1A" w:themeColor="background1" w:themeShade="1A"/>
          <w:sz w:val="21"/>
          <w:szCs w:val="21"/>
        </w:rPr>
        <w:t xml:space="preserve"> (sic) </w:t>
      </w:r>
    </w:p>
    <w:p w14:paraId="19BE514C" w14:textId="71476797" w:rsidR="00D21D38" w:rsidRDefault="00D21D38" w:rsidP="00D21D38">
      <w:pPr>
        <w:spacing w:after="120" w:line="276" w:lineRule="auto"/>
        <w:jc w:val="both"/>
        <w:rPr>
          <w:rFonts w:ascii="Arial" w:eastAsia="Arial" w:hAnsi="Arial" w:cs="Arial"/>
          <w:color w:val="000000"/>
        </w:rPr>
      </w:pPr>
      <w:r>
        <w:rPr>
          <w:rFonts w:ascii="Arial" w:eastAsia="Calibri" w:hAnsi="Arial" w:cs="Arial"/>
          <w:color w:val="000000" w:themeColor="text1"/>
          <w:lang w:val="es-ES_tradnl"/>
        </w:rPr>
        <w:t>E</w:t>
      </w:r>
      <w:r w:rsidRPr="003726A7">
        <w:rPr>
          <w:rFonts w:ascii="Arial" w:eastAsia="Calibri" w:hAnsi="Arial" w:cs="Arial"/>
          <w:color w:val="000000" w:themeColor="text1"/>
          <w:lang w:val="es-ES_tradnl"/>
        </w:rPr>
        <w:t>l artículo 5 del Decreto 1860 de 2021</w:t>
      </w:r>
      <w:r>
        <w:rPr>
          <w:rFonts w:ascii="Arial" w:eastAsia="Calibri" w:hAnsi="Arial" w:cs="Arial"/>
          <w:color w:val="000000" w:themeColor="text1"/>
          <w:lang w:val="es-ES_tradnl"/>
        </w:rPr>
        <w:t>, que</w:t>
      </w:r>
      <w:r w:rsidRPr="003726A7">
        <w:rPr>
          <w:rFonts w:ascii="Arial" w:eastAsia="Calibri" w:hAnsi="Arial" w:cs="Arial"/>
          <w:color w:val="000000" w:themeColor="text1"/>
          <w:lang w:val="es-ES_tradnl"/>
        </w:rPr>
        <w:t xml:space="preserve"> modific</w:t>
      </w:r>
      <w:r>
        <w:rPr>
          <w:rFonts w:ascii="Arial" w:eastAsia="Calibri" w:hAnsi="Arial" w:cs="Arial"/>
          <w:color w:val="000000" w:themeColor="text1"/>
          <w:lang w:val="es-ES_tradnl"/>
        </w:rPr>
        <w:t>ó</w:t>
      </w:r>
      <w:r w:rsidRPr="003726A7">
        <w:rPr>
          <w:rFonts w:ascii="Arial" w:eastAsia="Calibri" w:hAnsi="Arial" w:cs="Arial"/>
          <w:color w:val="000000" w:themeColor="text1"/>
          <w:lang w:val="es-ES_tradnl"/>
        </w:rPr>
        <w:t xml:space="preserve"> el artículo 2.2.1.2.4.2.2 del Decreto 1082 de 2015</w:t>
      </w:r>
      <w:r>
        <w:rPr>
          <w:rFonts w:ascii="Arial" w:eastAsia="Calibri" w:hAnsi="Arial" w:cs="Arial"/>
          <w:color w:val="000000" w:themeColor="text1"/>
          <w:lang w:val="es-ES_tradnl"/>
        </w:rPr>
        <w:t xml:space="preserve">, reglamentó los requisitos para realizar convocatorias limitadas a </w:t>
      </w:r>
      <w:proofErr w:type="spellStart"/>
      <w:r>
        <w:rPr>
          <w:rFonts w:ascii="Arial" w:eastAsia="Calibri" w:hAnsi="Arial" w:cs="Arial"/>
          <w:color w:val="000000" w:themeColor="text1"/>
          <w:lang w:val="es-ES_tradnl"/>
        </w:rPr>
        <w:t>mipymes</w:t>
      </w:r>
      <w:proofErr w:type="spellEnd"/>
      <w:r>
        <w:rPr>
          <w:rFonts w:ascii="Arial" w:eastAsia="Calibri" w:hAnsi="Arial" w:cs="Arial"/>
          <w:color w:val="000000" w:themeColor="text1"/>
          <w:lang w:val="es-ES_tradnl"/>
        </w:rPr>
        <w:t xml:space="preserve"> nacionales que, por lo menos, tengan un año de existencia. El primer requisito </w:t>
      </w:r>
      <w:r>
        <w:rPr>
          <w:rFonts w:ascii="Arial" w:eastAsia="Arial" w:hAnsi="Arial" w:cs="Arial"/>
          <w:color w:val="000000"/>
          <w:lang w:val="es-ES_tradnl"/>
        </w:rPr>
        <w:t>fija un tope</w:t>
      </w:r>
      <w:r w:rsidRPr="00EE341D">
        <w:rPr>
          <w:rFonts w:ascii="Arial" w:eastAsia="Arial" w:hAnsi="Arial" w:cs="Arial"/>
          <w:color w:val="000000"/>
        </w:rPr>
        <w:t xml:space="preserve"> cuantitati</w:t>
      </w:r>
      <w:r>
        <w:rPr>
          <w:rFonts w:ascii="Arial" w:eastAsia="Arial" w:hAnsi="Arial" w:cs="Arial"/>
          <w:color w:val="000000"/>
        </w:rPr>
        <w:t>vo de</w:t>
      </w:r>
      <w:r w:rsidRPr="00EE341D">
        <w:rPr>
          <w:rFonts w:ascii="Arial" w:eastAsia="Arial" w:hAnsi="Arial" w:cs="Arial"/>
          <w:color w:val="000000"/>
        </w:rPr>
        <w:t xml:space="preserve"> los procesos contractuales </w:t>
      </w:r>
      <w:r>
        <w:rPr>
          <w:rFonts w:ascii="Arial" w:eastAsia="Arial" w:hAnsi="Arial" w:cs="Arial"/>
          <w:color w:val="000000"/>
        </w:rPr>
        <w:t>que son susceptibles de</w:t>
      </w:r>
      <w:r w:rsidRPr="00EE341D">
        <w:rPr>
          <w:rFonts w:ascii="Arial" w:eastAsia="Arial" w:hAnsi="Arial" w:cs="Arial"/>
          <w:color w:val="000000"/>
        </w:rPr>
        <w:t xml:space="preserve"> limita</w:t>
      </w:r>
      <w:r>
        <w:rPr>
          <w:rFonts w:ascii="Arial" w:eastAsia="Arial" w:hAnsi="Arial" w:cs="Arial"/>
          <w:color w:val="000000"/>
        </w:rPr>
        <w:t>rse</w:t>
      </w:r>
      <w:r w:rsidRPr="00EE341D">
        <w:rPr>
          <w:rFonts w:ascii="Arial" w:eastAsia="Arial" w:hAnsi="Arial" w:cs="Arial"/>
          <w:color w:val="000000"/>
        </w:rPr>
        <w:t xml:space="preserve"> a </w:t>
      </w:r>
      <w:proofErr w:type="spellStart"/>
      <w:r w:rsidRPr="00EE341D">
        <w:rPr>
          <w:rFonts w:ascii="Arial" w:eastAsia="Arial" w:hAnsi="Arial" w:cs="Arial"/>
          <w:color w:val="000000"/>
        </w:rPr>
        <w:t>Mipyme</w:t>
      </w:r>
      <w:r>
        <w:rPr>
          <w:rFonts w:ascii="Arial" w:eastAsia="Arial" w:hAnsi="Arial" w:cs="Arial"/>
          <w:color w:val="000000"/>
        </w:rPr>
        <w:t>s</w:t>
      </w:r>
      <w:proofErr w:type="spellEnd"/>
      <w:r w:rsidRPr="00EE341D">
        <w:rPr>
          <w:rFonts w:ascii="Arial" w:eastAsia="Arial" w:hAnsi="Arial" w:cs="Arial"/>
          <w:color w:val="000000"/>
        </w:rPr>
        <w:t xml:space="preserve">,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p>
    <w:p w14:paraId="73085315" w14:textId="77777777" w:rsidR="0088226A" w:rsidRDefault="00D21D38" w:rsidP="0088226A">
      <w:pPr>
        <w:spacing w:after="120" w:line="276" w:lineRule="auto"/>
        <w:ind w:firstLine="708"/>
        <w:jc w:val="both"/>
        <w:rPr>
          <w:rFonts w:ascii="Arial" w:eastAsia="Arial" w:hAnsi="Arial" w:cs="Arial"/>
          <w:color w:val="000000"/>
          <w:lang w:val="es-ES_tradnl"/>
        </w:rPr>
      </w:pPr>
      <w:r>
        <w:rPr>
          <w:rFonts w:ascii="Arial" w:eastAsia="Arial" w:hAnsi="Arial" w:cs="Arial"/>
          <w:color w:val="000000"/>
        </w:rPr>
        <w:t>El segundo requisito exige que</w:t>
      </w:r>
      <w:r w:rsidRPr="00EE341D">
        <w:rPr>
          <w:rFonts w:ascii="Arial" w:eastAsia="Arial" w:hAnsi="Arial" w:cs="Arial"/>
          <w:color w:val="000000"/>
        </w:rPr>
        <w:t xml:space="preserve"> al menos dos (2) </w:t>
      </w:r>
      <w:proofErr w:type="spellStart"/>
      <w:r w:rsidRPr="00EE341D">
        <w:rPr>
          <w:rFonts w:ascii="Arial" w:eastAsia="Arial" w:hAnsi="Arial" w:cs="Arial"/>
          <w:color w:val="000000"/>
        </w:rPr>
        <w:t>Mipymes</w:t>
      </w:r>
      <w:proofErr w:type="spellEnd"/>
      <w:r w:rsidRPr="00EE341D">
        <w:rPr>
          <w:rFonts w:ascii="Arial" w:eastAsia="Arial" w:hAnsi="Arial" w:cs="Arial"/>
          <w:color w:val="000000"/>
        </w:rPr>
        <w:t xml:space="preserve"> colombianas presenten a la entidad</w:t>
      </w:r>
      <w:r>
        <w:rPr>
          <w:rFonts w:ascii="Arial" w:eastAsia="Arial" w:hAnsi="Arial" w:cs="Arial"/>
          <w:color w:val="000000"/>
        </w:rPr>
        <w:t xml:space="preserve"> estatal</w:t>
      </w:r>
      <w:r w:rsidRPr="00EE341D">
        <w:rPr>
          <w:rFonts w:ascii="Arial" w:eastAsia="Arial" w:hAnsi="Arial" w:cs="Arial"/>
          <w:color w:val="000000"/>
        </w:rPr>
        <w:t xml:space="preserve"> la solicitud de limitar el proceso contractual; y, </w:t>
      </w:r>
      <w:r>
        <w:rPr>
          <w:rFonts w:ascii="Arial" w:eastAsia="Arial" w:hAnsi="Arial" w:cs="Arial"/>
          <w:color w:val="000000"/>
        </w:rPr>
        <w:t>el tercer requisito establece que se</w:t>
      </w:r>
      <w:r w:rsidRPr="00EE341D">
        <w:rPr>
          <w:rFonts w:ascii="Arial" w:eastAsia="Arial" w:hAnsi="Arial" w:cs="Arial"/>
          <w:color w:val="000000"/>
        </w:rPr>
        <w:t xml:space="preserve"> haga la solicitud por lo menos un día (1) hábil antes de la expedición del acto administrativo de apertura del proceso de contratación. Además, la norma señala que, </w:t>
      </w:r>
      <w:r w:rsidRPr="00EE341D">
        <w:rPr>
          <w:rFonts w:ascii="Arial" w:eastAsia="Arial" w:hAnsi="Arial" w:cs="Arial"/>
          <w:color w:val="000000"/>
          <w:lang w:val="es-ES_tradnl"/>
        </w:rPr>
        <w:t xml:space="preserve">tratándose de personas jurídicas, las solicitudes solo las podrán realizar </w:t>
      </w:r>
      <w:proofErr w:type="spellStart"/>
      <w:r w:rsidRPr="00EE341D">
        <w:rPr>
          <w:rFonts w:ascii="Arial" w:eastAsia="Arial" w:hAnsi="Arial" w:cs="Arial"/>
          <w:color w:val="000000"/>
          <w:lang w:val="es-ES_tradnl"/>
        </w:rPr>
        <w:t>Mipyme</w:t>
      </w:r>
      <w:r>
        <w:rPr>
          <w:rFonts w:ascii="Arial" w:eastAsia="Arial" w:hAnsi="Arial" w:cs="Arial"/>
          <w:color w:val="000000"/>
          <w:lang w:val="es-ES_tradnl"/>
        </w:rPr>
        <w:t>s</w:t>
      </w:r>
      <w:proofErr w:type="spellEnd"/>
      <w:r w:rsidRPr="00EE341D">
        <w:rPr>
          <w:rFonts w:ascii="Arial" w:eastAsia="Arial" w:hAnsi="Arial" w:cs="Arial"/>
          <w:color w:val="000000"/>
          <w:lang w:val="es-ES_tradnl"/>
        </w:rPr>
        <w:t xml:space="preserve"> cuyo objeto social les permita ejecutar el contrato relacionado con el proceso contractual.</w:t>
      </w:r>
    </w:p>
    <w:p w14:paraId="45C690DB" w14:textId="227C20DD" w:rsidR="00D21D38" w:rsidRDefault="0088226A" w:rsidP="0088226A">
      <w:pPr>
        <w:spacing w:after="120" w:line="276" w:lineRule="auto"/>
        <w:ind w:firstLine="708"/>
        <w:jc w:val="both"/>
        <w:rPr>
          <w:rFonts w:ascii="Arial" w:eastAsia="Arial" w:hAnsi="Arial" w:cs="Arial"/>
          <w:color w:val="000000"/>
          <w:lang w:val="es-ES_tradnl"/>
        </w:rPr>
      </w:pPr>
      <w:r>
        <w:rPr>
          <w:rFonts w:ascii="Arial" w:eastAsia="Arial" w:hAnsi="Arial" w:cs="Arial"/>
          <w:color w:val="000000"/>
          <w:lang w:val="es-ES_tradnl"/>
        </w:rPr>
        <w:t xml:space="preserve">Conforme a esto, el alcance de este incentivo es el de </w:t>
      </w:r>
      <w:r w:rsidR="00857300">
        <w:rPr>
          <w:rFonts w:ascii="Arial" w:eastAsia="Arial" w:hAnsi="Arial" w:cs="Arial"/>
          <w:color w:val="000000"/>
          <w:lang w:val="es-ES_tradnl"/>
        </w:rPr>
        <w:t xml:space="preserve">cerrar los procedimientos en que se cumplan los mencionados requisitos a la participación exclusiva de </w:t>
      </w:r>
      <w:proofErr w:type="spellStart"/>
      <w:r w:rsidR="00857300">
        <w:rPr>
          <w:rFonts w:ascii="Arial" w:eastAsia="Arial" w:hAnsi="Arial" w:cs="Arial"/>
          <w:color w:val="000000"/>
          <w:lang w:val="es-ES_tradnl"/>
        </w:rPr>
        <w:t>mpymes</w:t>
      </w:r>
      <w:proofErr w:type="spellEnd"/>
      <w:r w:rsidR="00857300">
        <w:rPr>
          <w:rFonts w:ascii="Arial" w:eastAsia="Arial" w:hAnsi="Arial" w:cs="Arial"/>
          <w:color w:val="000000"/>
          <w:lang w:val="es-ES_tradnl"/>
        </w:rPr>
        <w:t>, de tal manera que</w:t>
      </w:r>
      <w:r w:rsidR="0029095A">
        <w:rPr>
          <w:rFonts w:ascii="Arial" w:eastAsia="Arial" w:hAnsi="Arial" w:cs="Arial"/>
          <w:color w:val="000000"/>
          <w:lang w:val="es-ES_tradnl"/>
        </w:rPr>
        <w:t xml:space="preserve"> cuando se aplique la limitación la escogencia del contratista se haga </w:t>
      </w:r>
      <w:r w:rsidR="000567FA">
        <w:rPr>
          <w:rFonts w:ascii="Arial" w:eastAsia="Arial" w:hAnsi="Arial" w:cs="Arial"/>
          <w:color w:val="000000"/>
          <w:lang w:val="es-ES_tradnl"/>
        </w:rPr>
        <w:t xml:space="preserve">únicamente considerando las ofertas presentadas por oferentes que tengan la calidad de </w:t>
      </w:r>
      <w:proofErr w:type="spellStart"/>
      <w:r w:rsidR="000567FA">
        <w:rPr>
          <w:rFonts w:ascii="Arial" w:eastAsia="Arial" w:hAnsi="Arial" w:cs="Arial"/>
          <w:color w:val="000000"/>
          <w:lang w:val="es-ES_tradnl"/>
        </w:rPr>
        <w:t>mipyme</w:t>
      </w:r>
      <w:proofErr w:type="spellEnd"/>
      <w:r w:rsidR="000567FA">
        <w:rPr>
          <w:rFonts w:ascii="Arial" w:eastAsia="Arial" w:hAnsi="Arial" w:cs="Arial"/>
          <w:color w:val="000000"/>
          <w:lang w:val="es-ES_tradnl"/>
        </w:rPr>
        <w:t xml:space="preserve">. En ese orden, </w:t>
      </w:r>
      <w:r w:rsidR="00732C23">
        <w:rPr>
          <w:rFonts w:ascii="Arial" w:eastAsia="Arial" w:hAnsi="Arial" w:cs="Arial"/>
          <w:color w:val="000000"/>
          <w:lang w:val="es-ES_tradnl"/>
        </w:rPr>
        <w:t xml:space="preserve">la medida </w:t>
      </w:r>
      <w:r w:rsidR="000567FA">
        <w:rPr>
          <w:rFonts w:ascii="Arial" w:eastAsia="Arial" w:hAnsi="Arial" w:cs="Arial"/>
          <w:color w:val="000000"/>
          <w:lang w:val="es-ES_tradnl"/>
        </w:rPr>
        <w:t>regulad</w:t>
      </w:r>
      <w:r w:rsidR="00732C23">
        <w:rPr>
          <w:rFonts w:ascii="Arial" w:eastAsia="Arial" w:hAnsi="Arial" w:cs="Arial"/>
          <w:color w:val="000000"/>
          <w:lang w:val="es-ES_tradnl"/>
        </w:rPr>
        <w:t>a</w:t>
      </w:r>
      <w:r w:rsidR="000567FA">
        <w:rPr>
          <w:rFonts w:ascii="Arial" w:eastAsia="Arial" w:hAnsi="Arial" w:cs="Arial"/>
          <w:color w:val="000000"/>
          <w:lang w:val="es-ES_tradnl"/>
        </w:rPr>
        <w:t xml:space="preserve"> por el </w:t>
      </w:r>
      <w:r w:rsidR="000567FA" w:rsidRPr="000567FA">
        <w:rPr>
          <w:rFonts w:ascii="Arial" w:eastAsia="Arial" w:hAnsi="Arial" w:cs="Arial"/>
          <w:color w:val="000000"/>
          <w:lang w:val="es-ES_tradnl"/>
        </w:rPr>
        <w:t>artículo 2.2.1.2.4.2.2 del</w:t>
      </w:r>
      <w:r w:rsidR="000567FA">
        <w:rPr>
          <w:rFonts w:ascii="Arial" w:eastAsia="Arial" w:hAnsi="Arial" w:cs="Arial"/>
          <w:color w:val="000000"/>
          <w:lang w:val="es-ES_tradnl"/>
        </w:rPr>
        <w:t xml:space="preserve"> Decreto 1082 de 2015</w:t>
      </w:r>
      <w:r w:rsidR="008B5A1C">
        <w:rPr>
          <w:rFonts w:ascii="Arial" w:eastAsia="Arial" w:hAnsi="Arial" w:cs="Arial"/>
          <w:color w:val="000000"/>
          <w:lang w:val="es-ES_tradnl"/>
        </w:rPr>
        <w:t xml:space="preserve">, no tienen el carácter de requisito de calificación, en la medida que el mismo aplica sin perjuicio de los factores de </w:t>
      </w:r>
      <w:r w:rsidR="00543D8B">
        <w:rPr>
          <w:rFonts w:ascii="Arial" w:eastAsia="Arial" w:hAnsi="Arial" w:cs="Arial"/>
          <w:color w:val="000000"/>
          <w:lang w:val="es-ES_tradnl"/>
        </w:rPr>
        <w:t>ponderación de la oferta que con sujeción a lo establecido en el artículo 5 de la Ley 1150 de 2007</w:t>
      </w:r>
      <w:r w:rsidR="00732C23">
        <w:rPr>
          <w:rFonts w:ascii="Arial" w:eastAsia="Arial" w:hAnsi="Arial" w:cs="Arial"/>
          <w:color w:val="000000"/>
          <w:lang w:val="es-ES_tradnl"/>
        </w:rPr>
        <w:t xml:space="preserve"> </w:t>
      </w:r>
      <w:r w:rsidR="0098169D">
        <w:rPr>
          <w:rFonts w:ascii="Arial" w:eastAsia="Arial" w:hAnsi="Arial" w:cs="Arial"/>
          <w:color w:val="000000"/>
          <w:lang w:val="es-ES_tradnl"/>
        </w:rPr>
        <w:t xml:space="preserve">se incluyan en los pliegos de condiciones. </w:t>
      </w:r>
    </w:p>
    <w:p w14:paraId="76203095" w14:textId="74842B12" w:rsidR="00F72D89" w:rsidRDefault="0098169D" w:rsidP="00F954FB">
      <w:pPr>
        <w:autoSpaceDE w:val="0"/>
        <w:autoSpaceDN w:val="0"/>
        <w:adjustRightInd w:val="0"/>
        <w:spacing w:after="0" w:line="276" w:lineRule="auto"/>
        <w:ind w:firstLine="708"/>
        <w:jc w:val="both"/>
        <w:rPr>
          <w:rFonts w:ascii="Arial" w:hAnsi="Arial" w:cs="Arial"/>
          <w:lang w:val="es-MX"/>
        </w:rPr>
      </w:pPr>
      <w:r>
        <w:rPr>
          <w:rFonts w:ascii="Arial" w:eastAsia="Calibri" w:hAnsi="Arial" w:cs="Arial"/>
          <w:lang w:val="es-ES_tradnl"/>
        </w:rPr>
        <w:t xml:space="preserve">Dado lo anterior, </w:t>
      </w:r>
      <w:r w:rsidRPr="004B7059">
        <w:rPr>
          <w:rFonts w:ascii="Arial" w:eastAsia="Calibri" w:hAnsi="Arial" w:cs="Arial"/>
          <w:lang w:val="es-ES_tradnl"/>
        </w:rPr>
        <w:t xml:space="preserve">cuando el inciso segundo del artículo 2.2.1.2.4.2.1 del Decreto 1082 de 2015 establece que el incentivo al cual se refiere no es aplicable en los procesos para la adquisición de Bienes y Servicios de Características Técnicas Uniformes, </w:t>
      </w:r>
      <w:r w:rsidR="002347B5">
        <w:rPr>
          <w:rFonts w:ascii="Arial" w:eastAsia="Calibri" w:hAnsi="Arial" w:cs="Arial"/>
          <w:lang w:val="es-ES_tradnl"/>
        </w:rPr>
        <w:t xml:space="preserve">es claro </w:t>
      </w:r>
      <w:r w:rsidR="002347B5">
        <w:rPr>
          <w:rFonts w:ascii="Arial" w:eastAsia="Calibri" w:hAnsi="Arial" w:cs="Arial"/>
          <w:lang w:val="es-ES_tradnl"/>
        </w:rPr>
        <w:lastRenderedPageBreak/>
        <w:t xml:space="preserve">que no </w:t>
      </w:r>
      <w:r w:rsidR="0028017F">
        <w:rPr>
          <w:rFonts w:ascii="Arial" w:eastAsia="Calibri" w:hAnsi="Arial" w:cs="Arial"/>
          <w:lang w:val="es-ES_tradnl"/>
        </w:rPr>
        <w:t xml:space="preserve">alude </w:t>
      </w:r>
      <w:r w:rsidR="002347B5">
        <w:rPr>
          <w:rFonts w:ascii="Arial" w:eastAsia="Calibri" w:hAnsi="Arial" w:cs="Arial"/>
          <w:lang w:val="es-ES_tradnl"/>
        </w:rPr>
        <w:t xml:space="preserve">al </w:t>
      </w:r>
      <w:r w:rsidR="006601CA">
        <w:rPr>
          <w:rFonts w:ascii="Arial" w:eastAsia="Calibri" w:hAnsi="Arial" w:cs="Arial"/>
          <w:lang w:val="es-ES_tradnl"/>
        </w:rPr>
        <w:t>regulado por el</w:t>
      </w:r>
      <w:r w:rsidR="002347B5">
        <w:rPr>
          <w:rFonts w:ascii="Arial" w:eastAsia="Calibri" w:hAnsi="Arial" w:cs="Arial"/>
          <w:lang w:val="es-ES_tradnl"/>
        </w:rPr>
        <w:t xml:space="preserve"> </w:t>
      </w:r>
      <w:r w:rsidR="002347B5" w:rsidRPr="004B7059">
        <w:rPr>
          <w:rFonts w:ascii="Arial" w:eastAsia="Times New Roman" w:hAnsi="Arial" w:cs="Arial"/>
          <w:color w:val="000000"/>
          <w:lang w:eastAsia="es-CO"/>
        </w:rPr>
        <w:t xml:space="preserve">artículo </w:t>
      </w:r>
      <w:r w:rsidR="002347B5" w:rsidRPr="004B7059">
        <w:rPr>
          <w:rFonts w:ascii="Arial" w:eastAsia="Calibri" w:hAnsi="Arial" w:cs="Arial"/>
          <w:lang w:val="es-ES_tradnl"/>
        </w:rPr>
        <w:t>2.2.1.2.4.2.2 del Decreto 1082 de 2015</w:t>
      </w:r>
      <w:r w:rsidR="002347B5">
        <w:rPr>
          <w:rFonts w:ascii="Arial" w:eastAsia="Calibri" w:hAnsi="Arial" w:cs="Arial"/>
          <w:lang w:val="es-ES_tradnl"/>
        </w:rPr>
        <w:t xml:space="preserve">. </w:t>
      </w:r>
      <w:r w:rsidRPr="004B7059">
        <w:rPr>
          <w:rFonts w:ascii="Arial" w:eastAsia="Times New Roman" w:hAnsi="Arial" w:cs="Arial"/>
          <w:color w:val="000000"/>
          <w:lang w:eastAsia="es-CO"/>
        </w:rPr>
        <w:t>E</w:t>
      </w:r>
      <w:r w:rsidR="006601CA">
        <w:rPr>
          <w:rFonts w:ascii="Arial" w:eastAsia="Times New Roman" w:hAnsi="Arial" w:cs="Arial"/>
          <w:color w:val="000000"/>
          <w:lang w:eastAsia="es-CO"/>
        </w:rPr>
        <w:t>sto comoquiera que la norma se refiere únicamente a</w:t>
      </w:r>
      <w:r w:rsidRPr="004B7059">
        <w:rPr>
          <w:rFonts w:ascii="Arial" w:eastAsia="Times New Roman" w:hAnsi="Arial" w:cs="Arial"/>
          <w:color w:val="000000"/>
          <w:lang w:eastAsia="es-CO"/>
        </w:rPr>
        <w:t xml:space="preserve"> criterios de calificación </w:t>
      </w:r>
      <w:r w:rsidR="006601CA">
        <w:rPr>
          <w:rFonts w:ascii="Arial" w:eastAsia="Times New Roman" w:hAnsi="Arial" w:cs="Arial"/>
          <w:color w:val="000000"/>
          <w:lang w:eastAsia="es-CO"/>
        </w:rPr>
        <w:t xml:space="preserve">en favor de los proponentes que oferten Servicios Nacionales, </w:t>
      </w:r>
      <w:r w:rsidR="00EF0C29">
        <w:rPr>
          <w:rFonts w:ascii="Arial" w:eastAsia="Times New Roman" w:hAnsi="Arial" w:cs="Arial"/>
          <w:color w:val="000000"/>
          <w:lang w:eastAsia="es-CO"/>
        </w:rPr>
        <w:t>factor</w:t>
      </w:r>
      <w:r w:rsidR="00A7798F">
        <w:rPr>
          <w:rFonts w:ascii="Arial" w:eastAsia="Times New Roman" w:hAnsi="Arial" w:cs="Arial"/>
          <w:color w:val="000000"/>
          <w:lang w:eastAsia="es-CO"/>
        </w:rPr>
        <w:t>es</w:t>
      </w:r>
      <w:r w:rsidR="00EF0C29">
        <w:rPr>
          <w:rFonts w:ascii="Arial" w:eastAsia="Times New Roman" w:hAnsi="Arial" w:cs="Arial"/>
          <w:color w:val="000000"/>
          <w:lang w:eastAsia="es-CO"/>
        </w:rPr>
        <w:t xml:space="preserve"> de evaluación establecido</w:t>
      </w:r>
      <w:r w:rsidR="00A7798F">
        <w:rPr>
          <w:rFonts w:ascii="Arial" w:eastAsia="Times New Roman" w:hAnsi="Arial" w:cs="Arial"/>
          <w:color w:val="000000"/>
          <w:lang w:eastAsia="es-CO"/>
        </w:rPr>
        <w:t>s</w:t>
      </w:r>
      <w:r w:rsidR="00EF0C29">
        <w:rPr>
          <w:rFonts w:ascii="Arial" w:eastAsia="Times New Roman" w:hAnsi="Arial" w:cs="Arial"/>
          <w:color w:val="000000"/>
          <w:lang w:eastAsia="es-CO"/>
        </w:rPr>
        <w:t xml:space="preserve"> en virtud d</w:t>
      </w:r>
      <w:r w:rsidR="006601CA">
        <w:rPr>
          <w:rFonts w:ascii="Arial" w:eastAsia="Times New Roman" w:hAnsi="Arial" w:cs="Arial"/>
          <w:color w:val="000000"/>
          <w:lang w:eastAsia="es-CO"/>
        </w:rPr>
        <w:t>el artículo 2 de la Ley 816 de 2003</w:t>
      </w:r>
      <w:r w:rsidR="00EF0C29">
        <w:rPr>
          <w:rFonts w:ascii="Arial" w:eastAsia="Times New Roman" w:hAnsi="Arial" w:cs="Arial"/>
          <w:color w:val="000000"/>
          <w:lang w:eastAsia="es-CO"/>
        </w:rPr>
        <w:t xml:space="preserve"> y</w:t>
      </w:r>
      <w:r w:rsidR="006601CA">
        <w:rPr>
          <w:rFonts w:ascii="Arial" w:eastAsia="Times New Roman" w:hAnsi="Arial" w:cs="Arial"/>
          <w:color w:val="000000"/>
          <w:lang w:eastAsia="es-CO"/>
        </w:rPr>
        <w:t xml:space="preserve"> reglamentado</w:t>
      </w:r>
      <w:r w:rsidR="00A7798F">
        <w:rPr>
          <w:rFonts w:ascii="Arial" w:eastAsia="Times New Roman" w:hAnsi="Arial" w:cs="Arial"/>
          <w:color w:val="000000"/>
          <w:lang w:eastAsia="es-CO"/>
        </w:rPr>
        <w:t>s</w:t>
      </w:r>
      <w:r w:rsidR="006601CA">
        <w:rPr>
          <w:rFonts w:ascii="Arial" w:eastAsia="Times New Roman" w:hAnsi="Arial" w:cs="Arial"/>
          <w:color w:val="000000"/>
          <w:lang w:eastAsia="es-CO"/>
        </w:rPr>
        <w:t xml:space="preserve"> por el artículo </w:t>
      </w:r>
      <w:r w:rsidR="006601CA" w:rsidRPr="002C39DE">
        <w:rPr>
          <w:rFonts w:ascii="Arial" w:eastAsia="Calibri" w:hAnsi="Arial" w:cs="Arial"/>
          <w:lang w:val="es-ES_tradnl"/>
        </w:rPr>
        <w:t>2.2.1.2.4.2.9 del</w:t>
      </w:r>
      <w:r w:rsidR="006601CA">
        <w:rPr>
          <w:rFonts w:ascii="Arial" w:eastAsia="Calibri" w:hAnsi="Arial" w:cs="Arial"/>
          <w:lang w:val="es-ES_tradnl"/>
        </w:rPr>
        <w:t xml:space="preserve"> Decreto 1082 de 2015.</w:t>
      </w:r>
    </w:p>
    <w:p w14:paraId="5CF4DF45" w14:textId="77777777" w:rsidR="00992C25" w:rsidRDefault="00992C25" w:rsidP="00F954FB">
      <w:pPr>
        <w:spacing w:after="0" w:line="276" w:lineRule="auto"/>
        <w:jc w:val="both"/>
        <w:rPr>
          <w:rFonts w:ascii="Arial" w:hAnsi="Arial" w:cs="Arial"/>
          <w:lang w:val="es-MX"/>
        </w:rPr>
      </w:pPr>
    </w:p>
    <w:p w14:paraId="4553954C" w14:textId="3C2DCB56" w:rsidR="000446AF" w:rsidRDefault="00872709" w:rsidP="00872709">
      <w:pPr>
        <w:spacing w:after="120" w:line="276" w:lineRule="auto"/>
        <w:jc w:val="both"/>
        <w:rPr>
          <w:rFonts w:ascii="Arial" w:eastAsia="Calibri" w:hAnsi="Arial" w:cs="Arial"/>
        </w:rPr>
      </w:pPr>
      <w:r w:rsidRPr="003B354E">
        <w:rPr>
          <w:rFonts w:ascii="Arial" w:eastAsia="Calibri" w:hAnsi="Arial" w:cs="Arial"/>
        </w:rPr>
        <w:t>Este concepto tiene el alcance previsto en el artículo 28 del Código de Procedimiento Administrativo y de lo Contencioso Administrativo.</w:t>
      </w:r>
      <w:r w:rsidR="000446AF">
        <w:rPr>
          <w:rFonts w:ascii="Arial" w:eastAsia="Calibri" w:hAnsi="Arial" w:cs="Arial"/>
        </w:rPr>
        <w:t xml:space="preserve"> </w:t>
      </w:r>
    </w:p>
    <w:p w14:paraId="11483E9F" w14:textId="77777777" w:rsidR="00992C25" w:rsidRDefault="00992C25" w:rsidP="00872709">
      <w:pPr>
        <w:spacing w:after="120" w:line="276" w:lineRule="auto"/>
        <w:jc w:val="both"/>
        <w:rPr>
          <w:rFonts w:ascii="Arial" w:eastAsia="Calibri" w:hAnsi="Arial" w:cs="Arial"/>
        </w:rPr>
      </w:pPr>
    </w:p>
    <w:p w14:paraId="4E811CE0" w14:textId="74EBB33E" w:rsidR="00872709" w:rsidRPr="003B354E" w:rsidRDefault="000446AF" w:rsidP="00872709">
      <w:pPr>
        <w:spacing w:after="120" w:line="276" w:lineRule="auto"/>
        <w:jc w:val="both"/>
        <w:rPr>
          <w:rFonts w:ascii="Arial" w:eastAsia="Calibri" w:hAnsi="Arial" w:cs="Arial"/>
        </w:rPr>
      </w:pPr>
      <w:r>
        <w:rPr>
          <w:rFonts w:ascii="Arial" w:eastAsia="Calibri" w:hAnsi="Arial" w:cs="Arial"/>
        </w:rPr>
        <w:t xml:space="preserve">Atentamente, </w:t>
      </w:r>
    </w:p>
    <w:bookmarkEnd w:id="1"/>
    <w:p w14:paraId="3BF5126E" w14:textId="093CF05D" w:rsidR="00135FBD" w:rsidRPr="006D3523" w:rsidRDefault="009165AE" w:rsidP="006D3523">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drawing>
          <wp:inline distT="0" distB="0" distL="0" distR="0" wp14:anchorId="01DDE745" wp14:editId="38FE007C">
            <wp:extent cx="2533650" cy="981075"/>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91AAC" w14:paraId="2C00F86C" w14:textId="77777777" w:rsidTr="00135FBD">
        <w:trPr>
          <w:trHeight w:val="286"/>
        </w:trPr>
        <w:tc>
          <w:tcPr>
            <w:tcW w:w="817" w:type="dxa"/>
            <w:vAlign w:val="center"/>
          </w:tcPr>
          <w:p w14:paraId="18755AA2"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 xml:space="preserve">Diana Fabiola Herrera Hernández </w:t>
            </w:r>
          </w:p>
          <w:p w14:paraId="72792157"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Contratista de la Subdirección de Gestión Contractual</w:t>
            </w:r>
          </w:p>
        </w:tc>
      </w:tr>
      <w:tr w:rsidR="00035B29" w:rsidRPr="00691AAC" w14:paraId="5E0B62B1" w14:textId="77777777" w:rsidTr="00135FBD">
        <w:trPr>
          <w:trHeight w:val="286"/>
        </w:trPr>
        <w:tc>
          <w:tcPr>
            <w:tcW w:w="817" w:type="dxa"/>
            <w:vAlign w:val="center"/>
          </w:tcPr>
          <w:p w14:paraId="67EBD476" w14:textId="2D5463F7" w:rsidR="00035B29" w:rsidRPr="00691AAC" w:rsidRDefault="00035B29" w:rsidP="00135FBD">
            <w:pPr>
              <w:rPr>
                <w:rFonts w:ascii="Arial" w:hAnsi="Arial" w:cs="Arial"/>
                <w:sz w:val="16"/>
                <w:szCs w:val="16"/>
              </w:rPr>
            </w:pPr>
            <w:r w:rsidRPr="00691AAC">
              <w:rPr>
                <w:rFonts w:ascii="Arial" w:hAnsi="Arial" w:cs="Arial"/>
                <w:sz w:val="16"/>
                <w:szCs w:val="16"/>
              </w:rPr>
              <w:t>Revisó:</w:t>
            </w:r>
          </w:p>
        </w:tc>
        <w:tc>
          <w:tcPr>
            <w:tcW w:w="4445" w:type="dxa"/>
            <w:tcBorders>
              <w:bottom w:val="dotted" w:sz="4" w:space="0" w:color="7F7F7F"/>
            </w:tcBorders>
            <w:vAlign w:val="center"/>
          </w:tcPr>
          <w:p w14:paraId="67E255D9" w14:textId="6B19EB3E" w:rsidR="00035B29" w:rsidRDefault="009C2884" w:rsidP="00270E5E">
            <w:pPr>
              <w:spacing w:before="0"/>
              <w:rPr>
                <w:rFonts w:ascii="Arial" w:hAnsi="Arial" w:cs="Arial"/>
                <w:sz w:val="16"/>
                <w:szCs w:val="16"/>
              </w:rPr>
            </w:pPr>
            <w:r>
              <w:rPr>
                <w:rFonts w:ascii="Arial" w:hAnsi="Arial" w:cs="Arial"/>
                <w:sz w:val="16"/>
                <w:szCs w:val="16"/>
              </w:rPr>
              <w:t xml:space="preserve">Alejandro Sarmiento Cantillo </w:t>
            </w:r>
          </w:p>
          <w:p w14:paraId="5D4292EC" w14:textId="1D30EF5D" w:rsidR="0046733C" w:rsidRPr="00035B29" w:rsidRDefault="009C2884" w:rsidP="00270E5E">
            <w:pPr>
              <w:spacing w:before="0"/>
              <w:rPr>
                <w:rFonts w:ascii="Arial" w:hAnsi="Arial" w:cs="Arial"/>
                <w:sz w:val="16"/>
                <w:szCs w:val="16"/>
                <w:highlight w:val="yellow"/>
              </w:rPr>
            </w:pPr>
            <w:r w:rsidRPr="009C2884">
              <w:rPr>
                <w:rFonts w:ascii="Arial" w:hAnsi="Arial" w:cs="Arial"/>
                <w:sz w:val="16"/>
                <w:szCs w:val="16"/>
              </w:rPr>
              <w:t>Gestor T1-15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691AAC" w:rsidRDefault="00035B29" w:rsidP="00135FBD">
            <w:pPr>
              <w:spacing w:before="0"/>
              <w:rPr>
                <w:rFonts w:ascii="Arial" w:hAnsi="Arial" w:cs="Arial"/>
                <w:sz w:val="16"/>
                <w:szCs w:val="16"/>
              </w:rPr>
            </w:pPr>
            <w:r>
              <w:rPr>
                <w:rFonts w:ascii="Arial" w:hAnsi="Arial" w:cs="Arial"/>
                <w:sz w:val="16"/>
                <w:szCs w:val="16"/>
              </w:rPr>
              <w:t>Aprobó</w:t>
            </w:r>
            <w:r w:rsidR="00135FBD" w:rsidRPr="00691AAC">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691AAC" w:rsidRDefault="00361ADC" w:rsidP="00135FBD">
            <w:pPr>
              <w:spacing w:before="0"/>
              <w:rPr>
                <w:rFonts w:ascii="Arial" w:hAnsi="Arial" w:cs="Arial"/>
                <w:sz w:val="16"/>
                <w:szCs w:val="16"/>
              </w:rPr>
            </w:pPr>
            <w:r>
              <w:rPr>
                <w:rFonts w:ascii="Arial" w:hAnsi="Arial" w:cs="Arial"/>
                <w:sz w:val="16"/>
                <w:szCs w:val="16"/>
              </w:rPr>
              <w:t xml:space="preserve">Juan David </w:t>
            </w:r>
            <w:r w:rsidR="0012669F">
              <w:rPr>
                <w:rFonts w:ascii="Arial" w:hAnsi="Arial" w:cs="Arial"/>
                <w:sz w:val="16"/>
                <w:szCs w:val="16"/>
              </w:rPr>
              <w:t>Marín López</w:t>
            </w:r>
          </w:p>
          <w:p w14:paraId="452B589A" w14:textId="5666D5BE" w:rsidR="00135FBD" w:rsidRPr="00691AAC" w:rsidRDefault="00035B29" w:rsidP="00135FBD">
            <w:pPr>
              <w:spacing w:before="0"/>
              <w:rPr>
                <w:rFonts w:ascii="Arial" w:hAnsi="Arial" w:cs="Arial"/>
                <w:sz w:val="16"/>
                <w:szCs w:val="16"/>
              </w:rPr>
            </w:pPr>
            <w:r w:rsidRPr="006C2816">
              <w:rPr>
                <w:rFonts w:ascii="Arial" w:hAnsi="Arial" w:cs="Arial"/>
                <w:sz w:val="16"/>
                <w:szCs w:val="16"/>
              </w:rPr>
              <w:t xml:space="preserve">Subdirector de Gestión Contractual </w:t>
            </w:r>
            <w:r w:rsidR="006D3523">
              <w:rPr>
                <w:rFonts w:ascii="Arial" w:hAnsi="Arial" w:cs="Arial"/>
                <w:sz w:val="16"/>
                <w:szCs w:val="16"/>
              </w:rPr>
              <w:t xml:space="preserve">(E) </w:t>
            </w:r>
            <w:r w:rsidRPr="006C2816">
              <w:rPr>
                <w:rFonts w:ascii="Arial" w:hAnsi="Arial" w:cs="Arial"/>
                <w:sz w:val="16"/>
                <w:szCs w:val="16"/>
              </w:rPr>
              <w:t>ANCP – CCE</w:t>
            </w:r>
            <w:r>
              <w:rPr>
                <w:rFonts w:ascii="Arial" w:hAnsi="Arial" w:cs="Arial"/>
                <w:sz w:val="16"/>
                <w:szCs w:val="16"/>
              </w:rPr>
              <w:t xml:space="preserve"> </w:t>
            </w:r>
          </w:p>
        </w:tc>
      </w:tr>
    </w:tbl>
    <w:p w14:paraId="3E6BB58D" w14:textId="4520BAF0" w:rsidR="00135FBD" w:rsidRDefault="00135FBD"/>
    <w:p w14:paraId="13B0656D" w14:textId="77777777" w:rsidR="00135FBD" w:rsidRDefault="00135FBD"/>
    <w:sectPr w:rsidR="00135FBD" w:rsidSect="005A79FE">
      <w:headerReference w:type="default" r:id="rId15"/>
      <w:footerReference w:type="default" r:id="rId16"/>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A539" w14:textId="77777777" w:rsidR="00FB38EB" w:rsidRDefault="00FB38EB" w:rsidP="00137E23">
      <w:pPr>
        <w:spacing w:after="0" w:line="240" w:lineRule="auto"/>
      </w:pPr>
      <w:r>
        <w:separator/>
      </w:r>
    </w:p>
  </w:endnote>
  <w:endnote w:type="continuationSeparator" w:id="0">
    <w:p w14:paraId="4C605CA9" w14:textId="77777777" w:rsidR="00FB38EB" w:rsidRDefault="00FB38EB"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5C597A">
      <w:rPr>
        <w:rFonts w:ascii="Arial" w:hAnsi="Arial" w:cs="Arial"/>
        <w:b/>
        <w:bCs/>
        <w:noProof/>
        <w:color w:val="7F7F7F"/>
        <w:sz w:val="16"/>
        <w:szCs w:val="16"/>
      </w:rPr>
      <w:t>12</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5C597A">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2D5BEE4C" w14:textId="77777777" w:rsidR="00904AEE" w:rsidRDefault="00904AEE" w:rsidP="007B0854">
    <w:pPr>
      <w:pStyle w:val="Piedepgina"/>
      <w:jc w:val="center"/>
    </w:pPr>
    <w:r>
      <w:rPr>
        <w:noProof/>
      </w:rPr>
      <w:drawing>
        <wp:inline distT="0" distB="0" distL="0" distR="0" wp14:anchorId="719F7F69" wp14:editId="578D8011">
          <wp:extent cx="5581015" cy="867211"/>
          <wp:effectExtent l="0" t="0" r="635" b="952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211"/>
                  </a:xfrm>
                  <a:prstGeom prst="rect">
                    <a:avLst/>
                  </a:prstGeom>
                </pic:spPr>
              </pic:pic>
            </a:graphicData>
          </a:graphic>
        </wp:inline>
      </w:drawing>
    </w:r>
  </w:p>
  <w:tbl>
    <w:tblPr>
      <w:tblStyle w:val="Tablaconcuadrcula"/>
      <w:tblW w:w="86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3"/>
      <w:gridCol w:w="827"/>
      <w:gridCol w:w="1670"/>
      <w:gridCol w:w="710"/>
      <w:gridCol w:w="2587"/>
      <w:gridCol w:w="1432"/>
    </w:tblGrid>
    <w:tr w:rsidR="00904AEE" w:rsidRPr="00080DA3" w14:paraId="571E2687" w14:textId="77777777" w:rsidTr="00904AEE">
      <w:trPr>
        <w:trHeight w:val="291"/>
        <w:jc w:val="center"/>
      </w:trPr>
      <w:tc>
        <w:tcPr>
          <w:tcW w:w="811"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AD1A61D"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4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7DE6B79"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27"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CDB8A1"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672"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130D0C1" w14:textId="77777777" w:rsidR="00904AEE" w:rsidRPr="004B6B0E" w:rsidRDefault="00904AEE" w:rsidP="00904AE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1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8C554E7"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59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5570520" w14:textId="77777777" w:rsidR="00904AEE" w:rsidRPr="00080DA3" w:rsidRDefault="00904AEE" w:rsidP="00904AE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43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6C62FC" w14:textId="77777777" w:rsidR="00904AEE" w:rsidRPr="00080DA3" w:rsidRDefault="00904AEE" w:rsidP="00904AE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FF1EFC4" w14:textId="39DEA490" w:rsidR="000E0524" w:rsidRDefault="00000000" w:rsidP="007B0854">
    <w:pPr>
      <w:pStyle w:val="Piedepgina"/>
      <w:jc w:val="center"/>
    </w:pP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666E" w14:textId="77777777" w:rsidR="00FB38EB" w:rsidRDefault="00FB38EB" w:rsidP="00137E23">
      <w:pPr>
        <w:spacing w:after="0" w:line="240" w:lineRule="auto"/>
      </w:pPr>
      <w:r>
        <w:separator/>
      </w:r>
    </w:p>
  </w:footnote>
  <w:footnote w:type="continuationSeparator" w:id="0">
    <w:p w14:paraId="12898D9F" w14:textId="77777777" w:rsidR="00FB38EB" w:rsidRDefault="00FB38EB" w:rsidP="00137E23">
      <w:pPr>
        <w:spacing w:after="0" w:line="240" w:lineRule="auto"/>
      </w:pPr>
      <w:r>
        <w:continuationSeparator/>
      </w:r>
    </w:p>
  </w:footnote>
  <w:footnote w:id="1">
    <w:p w14:paraId="37E18609" w14:textId="77777777" w:rsidR="00B42724" w:rsidRPr="00787721" w:rsidRDefault="00B42724" w:rsidP="00992C25">
      <w:pPr>
        <w:pStyle w:val="Textonotapie"/>
        <w:ind w:firstLine="709"/>
        <w:jc w:val="both"/>
        <w:rPr>
          <w:rFonts w:ascii="Arial" w:hAnsi="Arial" w:cs="Arial"/>
          <w:color w:val="000000" w:themeColor="text1"/>
          <w:sz w:val="19"/>
          <w:szCs w:val="19"/>
        </w:rPr>
      </w:pPr>
      <w:r w:rsidRPr="00787721">
        <w:rPr>
          <w:rStyle w:val="Refdenotaalpie"/>
          <w:rFonts w:ascii="Arial" w:hAnsi="Arial" w:cs="Arial"/>
          <w:color w:val="000000" w:themeColor="text1"/>
          <w:sz w:val="19"/>
          <w:szCs w:val="19"/>
        </w:rPr>
        <w:footnoteRef/>
      </w:r>
      <w:r w:rsidRPr="00787721">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7721">
        <w:rPr>
          <w:rFonts w:ascii="Arial" w:hAnsi="Arial" w:cs="Arial"/>
          <w:i/>
          <w:iCs/>
          <w:color w:val="000000" w:themeColor="text1"/>
          <w:sz w:val="19"/>
          <w:szCs w:val="19"/>
        </w:rPr>
        <w:t xml:space="preserve">ibidem </w:t>
      </w:r>
      <w:r w:rsidRPr="00787721">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787721">
        <w:rPr>
          <w:rFonts w:ascii="Arial" w:hAnsi="Arial" w:cs="Arial"/>
          <w:color w:val="000000" w:themeColor="text1"/>
          <w:sz w:val="19"/>
          <w:szCs w:val="19"/>
        </w:rPr>
        <w:t>bsolver</w:t>
      </w:r>
      <w:proofErr w:type="spellEnd"/>
      <w:r w:rsidRPr="00787721">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87721">
        <w:rPr>
          <w:rFonts w:ascii="Arial" w:hAnsi="Arial" w:cs="Arial"/>
          <w:color w:val="000000" w:themeColor="text1"/>
          <w:sz w:val="19"/>
          <w:szCs w:val="19"/>
        </w:rPr>
        <w:t>bsolver</w:t>
      </w:r>
      <w:proofErr w:type="spellEnd"/>
      <w:r w:rsidRPr="00787721">
        <w:rPr>
          <w:rFonts w:ascii="Arial" w:hAnsi="Arial" w:cs="Arial"/>
          <w:color w:val="000000" w:themeColor="text1"/>
          <w:sz w:val="19"/>
          <w:szCs w:val="19"/>
        </w:rPr>
        <w:t xml:space="preserve"> consultas sobre la aplicación de normas de carácter general».</w:t>
      </w:r>
    </w:p>
  </w:footnote>
  <w:footnote w:id="2">
    <w:p w14:paraId="28BF0542" w14:textId="77777777" w:rsidR="00F007C7" w:rsidRPr="00787721" w:rsidRDefault="00F007C7" w:rsidP="00992C25">
      <w:pPr>
        <w:pStyle w:val="Textonotapie"/>
        <w:ind w:firstLine="720"/>
        <w:jc w:val="both"/>
        <w:rPr>
          <w:rFonts w:ascii="Arial" w:hAnsi="Arial" w:cs="Arial"/>
          <w:sz w:val="19"/>
          <w:szCs w:val="19"/>
        </w:rPr>
      </w:pPr>
      <w:r w:rsidRPr="00787721">
        <w:rPr>
          <w:rStyle w:val="Refdenotaalpie"/>
          <w:rFonts w:ascii="Arial" w:hAnsi="Arial" w:cs="Arial"/>
          <w:sz w:val="19"/>
          <w:szCs w:val="19"/>
        </w:rPr>
        <w:footnoteRef/>
      </w:r>
      <w:r w:rsidRPr="00787721">
        <w:rPr>
          <w:rFonts w:ascii="Arial" w:hAnsi="Arial" w:cs="Arial"/>
          <w:sz w:val="19"/>
          <w:szCs w:val="19"/>
        </w:rPr>
        <w:t xml:space="preserve"> SUÁREZ BELTRÁN, Gonzalo. Estudios de derecho contractual público. Pontificia Universidad Javeriana. Bogotá: Legis, 2014. p 71 y 72. Citado en: DÁVILA VINEZA, Luis Guillermo. Régimen Jurídico de la contratación estatal. 3ª ed. Legis: Bogotá, 2016. p. 466.</w:t>
      </w:r>
    </w:p>
  </w:footnote>
  <w:footnote w:id="3">
    <w:p w14:paraId="1D4A4319" w14:textId="4BC7345B" w:rsidR="0099169C" w:rsidRPr="00F954FB" w:rsidRDefault="0099169C" w:rsidP="00F954FB">
      <w:pPr>
        <w:pStyle w:val="Textonotapie"/>
        <w:ind w:firstLine="708"/>
        <w:jc w:val="both"/>
        <w:rPr>
          <w:rFonts w:ascii="Arial" w:hAnsi="Arial" w:cs="Arial"/>
          <w:sz w:val="19"/>
          <w:szCs w:val="19"/>
        </w:rPr>
      </w:pPr>
      <w:r w:rsidRPr="00F954FB">
        <w:rPr>
          <w:rStyle w:val="Refdenotaalpie"/>
          <w:rFonts w:ascii="Arial" w:hAnsi="Arial" w:cs="Arial"/>
          <w:sz w:val="19"/>
          <w:szCs w:val="19"/>
        </w:rPr>
        <w:footnoteRef/>
      </w:r>
      <w:r w:rsidRPr="00F954FB">
        <w:rPr>
          <w:rFonts w:ascii="Arial" w:hAnsi="Arial" w:cs="Arial"/>
          <w:sz w:val="19"/>
          <w:szCs w:val="19"/>
        </w:rPr>
        <w:t xml:space="preserve"> Decreto 1082 de 2015: «Artículo 2.2.1.2.1.2.9. 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 </w:t>
      </w:r>
    </w:p>
    <w:p w14:paraId="41D4CFD6" w14:textId="3055C0F4" w:rsidR="0099169C" w:rsidRPr="00F954FB" w:rsidRDefault="0099169C" w:rsidP="00F954FB">
      <w:pPr>
        <w:pStyle w:val="Textonotapie"/>
        <w:ind w:firstLine="708"/>
        <w:jc w:val="both"/>
        <w:rPr>
          <w:rFonts w:ascii="Arial" w:hAnsi="Arial" w:cs="Arial"/>
          <w:sz w:val="19"/>
          <w:szCs w:val="19"/>
        </w:rPr>
      </w:pPr>
      <w:proofErr w:type="gramStart"/>
      <w:r w:rsidRPr="00F954FB">
        <w:rPr>
          <w:rFonts w:ascii="Arial" w:hAnsi="Arial" w:cs="Arial"/>
          <w:sz w:val="19"/>
          <w:szCs w:val="19"/>
        </w:rPr>
        <w:t>»Si</w:t>
      </w:r>
      <w:proofErr w:type="gramEnd"/>
      <w:r w:rsidRPr="00F954FB">
        <w:rPr>
          <w:rFonts w:ascii="Arial" w:hAnsi="Arial" w:cs="Arial"/>
          <w:sz w:val="19"/>
          <w:szCs w:val="19"/>
        </w:rPr>
        <w:t xml:space="preserve"> el Catálogo para Acuerdos Marco de Precios contiene el bien o servicio requerido, la Entidad Estatal de que trata el inciso 1° del artículo 2.2.1.2.1.2.7 del presente decreto está obligada a suscribir el Acuerdo Marco de Precios, en la forma que Colombia Compra Eficiente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14:paraId="64D8199E" w14:textId="77777777" w:rsidR="0099169C" w:rsidRPr="00F954FB" w:rsidRDefault="0099169C" w:rsidP="00F954FB">
      <w:pPr>
        <w:pStyle w:val="Textonotapie"/>
        <w:ind w:firstLine="708"/>
        <w:rPr>
          <w:rFonts w:ascii="Arial" w:hAnsi="Arial" w:cs="Arial"/>
        </w:rPr>
      </w:pPr>
    </w:p>
  </w:footnote>
  <w:footnote w:id="4">
    <w:p w14:paraId="307A2856" w14:textId="74FC753F" w:rsidR="007D79D2" w:rsidRPr="00F954FB" w:rsidRDefault="007D79D2" w:rsidP="00F954FB">
      <w:pPr>
        <w:pStyle w:val="NormalWeb"/>
        <w:spacing w:after="0" w:line="240" w:lineRule="auto"/>
        <w:ind w:firstLine="708"/>
        <w:jc w:val="both"/>
        <w:rPr>
          <w:rFonts w:ascii="Arial" w:eastAsia="Times New Roman" w:hAnsi="Arial" w:cs="Arial"/>
          <w:color w:val="000000"/>
          <w:sz w:val="19"/>
          <w:szCs w:val="19"/>
          <w:lang w:eastAsia="es-CO"/>
        </w:rPr>
      </w:pPr>
      <w:r w:rsidRPr="00F954FB">
        <w:rPr>
          <w:rStyle w:val="Refdenotaalpie"/>
          <w:rFonts w:ascii="Arial" w:hAnsi="Arial" w:cs="Arial"/>
          <w:sz w:val="19"/>
          <w:szCs w:val="19"/>
        </w:rPr>
        <w:footnoteRef/>
      </w:r>
      <w:r w:rsidRPr="00F954FB">
        <w:rPr>
          <w:rFonts w:ascii="Arial" w:hAnsi="Arial" w:cs="Arial"/>
          <w:sz w:val="19"/>
          <w:szCs w:val="19"/>
        </w:rPr>
        <w:t xml:space="preserve"> «</w:t>
      </w:r>
      <w:r w:rsidRPr="00F954FB">
        <w:rPr>
          <w:rFonts w:ascii="Arial" w:eastAsia="Times New Roman" w:hAnsi="Arial" w:cs="Arial"/>
          <w:color w:val="000000"/>
          <w:sz w:val="19"/>
          <w:szCs w:val="19"/>
          <w:lang w:eastAsia="es-CO"/>
        </w:rPr>
        <w:t>Artículo 2.2.1.2.1.2.12. Planeación de una adquisición en la bolsa de productos. Cuando no exista un Acuerdo Marco de Precios para el bien o servicio requerido, las entidades estatales deben estudiar, comparar e identificar las ventajas de utilizar la bolsa de productos para la adquisición respectiva frente a la subasta inversa o a la promoción de un nuevo Acuerdo Marco de Precios con la Agencia Nacional de Contratación Pública -Colombia Compra Eficiente-para tales bienes o servicios, incluyendo el análisis del Proceso de Selección del comisionista, los costos asociados a la selección, el valor de la comisión y de las garantías.  </w:t>
      </w:r>
    </w:p>
    <w:p w14:paraId="596A3E30" w14:textId="2DF22BDF" w:rsidR="007D79D2" w:rsidRPr="00F954FB" w:rsidRDefault="007D79D2" w:rsidP="00F954FB">
      <w:pPr>
        <w:spacing w:after="0" w:line="240" w:lineRule="auto"/>
        <w:jc w:val="both"/>
        <w:rPr>
          <w:rFonts w:ascii="Arial" w:eastAsia="Times New Roman" w:hAnsi="Arial" w:cs="Arial"/>
          <w:color w:val="000000"/>
          <w:sz w:val="19"/>
          <w:szCs w:val="19"/>
          <w:lang w:eastAsia="es-CO"/>
        </w:rPr>
      </w:pPr>
      <w:r w:rsidRPr="00F954FB">
        <w:rPr>
          <w:rFonts w:ascii="Arial" w:eastAsia="Times New Roman" w:hAnsi="Arial" w:cs="Arial"/>
          <w:color w:val="000000"/>
          <w:sz w:val="19"/>
          <w:szCs w:val="19"/>
          <w:lang w:eastAsia="es-CO"/>
        </w:rPr>
        <w:t xml:space="preserve"> </w:t>
      </w:r>
      <w:r w:rsidRPr="00F954FB">
        <w:rPr>
          <w:rFonts w:ascii="Arial" w:eastAsia="Times New Roman" w:hAnsi="Arial" w:cs="Arial"/>
          <w:color w:val="000000"/>
          <w:sz w:val="19"/>
          <w:szCs w:val="19"/>
          <w:lang w:eastAsia="es-CO"/>
        </w:rPr>
        <w:tab/>
      </w:r>
      <w:proofErr w:type="gramStart"/>
      <w:r w:rsidRPr="00F954FB">
        <w:rPr>
          <w:rFonts w:ascii="Arial" w:eastAsia="Times New Roman" w:hAnsi="Arial" w:cs="Arial"/>
          <w:color w:val="000000"/>
          <w:sz w:val="19"/>
          <w:szCs w:val="19"/>
          <w:lang w:eastAsia="es-CO"/>
        </w:rPr>
        <w:t>»El</w:t>
      </w:r>
      <w:proofErr w:type="gramEnd"/>
      <w:r w:rsidRPr="00F954FB">
        <w:rPr>
          <w:rFonts w:ascii="Arial" w:eastAsia="Times New Roman" w:hAnsi="Arial" w:cs="Arial"/>
          <w:color w:val="000000"/>
          <w:sz w:val="19"/>
          <w:szCs w:val="19"/>
          <w:lang w:eastAsia="es-CO"/>
        </w:rPr>
        <w:t xml:space="preserve"> estudio mencionado deberá dar cuenta de la forma en que la Entidad Estatal garantiza los principios y objetivos del sistema de compras, contratación pública, los postulados de la función administrativa y de la gestión fiscal. Este estudio deberá consignarse expresamente en los documentos del Proceso de Selección y se deberá garantizar su oportuna publicidad a través del SECOP.  </w:t>
      </w:r>
    </w:p>
    <w:p w14:paraId="51A23D6C" w14:textId="7F27A4E0" w:rsidR="007D79D2" w:rsidRPr="00F954FB" w:rsidRDefault="007D79D2" w:rsidP="00F954FB">
      <w:pPr>
        <w:spacing w:after="0" w:line="240" w:lineRule="auto"/>
        <w:ind w:firstLine="708"/>
        <w:jc w:val="both"/>
        <w:rPr>
          <w:rFonts w:ascii="Arial" w:eastAsia="Times New Roman" w:hAnsi="Arial" w:cs="Arial"/>
          <w:color w:val="000000"/>
          <w:sz w:val="19"/>
          <w:szCs w:val="19"/>
          <w:lang w:eastAsia="es-CO"/>
        </w:rPr>
      </w:pPr>
      <w:r w:rsidRPr="00F954FB">
        <w:rPr>
          <w:rFonts w:ascii="Arial" w:eastAsia="Times New Roman" w:hAnsi="Arial" w:cs="Arial"/>
          <w:color w:val="000000"/>
          <w:sz w:val="19"/>
          <w:szCs w:val="19"/>
          <w:lang w:eastAsia="es-CO"/>
        </w:rPr>
        <w:t>»Aun existiendo un Acuerdo Marco de Precios, las entidades estatales podrán acudir a las bolsas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Eficiente-durante los últimos seis (6) meses, incluyendo los costos generados por concepto de comisionistas de bolsa y gastos de operación de qué trata el artículo  2.2.1.2.1.2.1.5 del presente Decreto, valores que deberán ser verificados por el respectivo ordenador del gasto en el último boletín de precios que, para el efecto, expida el órgano rector de la contratación estatal.  </w:t>
      </w:r>
    </w:p>
    <w:p w14:paraId="581B2A5B" w14:textId="7446F0CF" w:rsidR="007D79D2" w:rsidRPr="00F954FB" w:rsidRDefault="007D79D2" w:rsidP="00F954FB">
      <w:pPr>
        <w:spacing w:after="0" w:line="240" w:lineRule="auto"/>
        <w:ind w:firstLine="708"/>
        <w:jc w:val="both"/>
        <w:rPr>
          <w:rFonts w:ascii="Arial" w:eastAsia="Times New Roman" w:hAnsi="Arial" w:cs="Arial"/>
          <w:color w:val="000000"/>
          <w:sz w:val="19"/>
          <w:szCs w:val="19"/>
          <w:lang w:eastAsia="es-CO"/>
        </w:rPr>
      </w:pPr>
      <w:proofErr w:type="gramStart"/>
      <w:r w:rsidRPr="00F954FB">
        <w:rPr>
          <w:rFonts w:ascii="Arial" w:eastAsia="Times New Roman" w:hAnsi="Arial" w:cs="Arial"/>
          <w:color w:val="000000"/>
          <w:sz w:val="19"/>
          <w:szCs w:val="19"/>
          <w:lang w:eastAsia="es-CO"/>
        </w:rPr>
        <w:t>»Estas</w:t>
      </w:r>
      <w:proofErr w:type="gramEnd"/>
      <w:r w:rsidRPr="00F954FB">
        <w:rPr>
          <w:rFonts w:ascii="Arial" w:eastAsia="Times New Roman" w:hAnsi="Arial" w:cs="Arial"/>
          <w:color w:val="000000"/>
          <w:sz w:val="19"/>
          <w:szCs w:val="19"/>
          <w:lang w:eastAsia="es-CO"/>
        </w:rPr>
        <w:t xml:space="preserve"> adquisiciones, no podrán desmejorar las condiciones técnicas y de calidad definidas para los bienes y servicios que conforman los catálogos de los acuerdos marco de precios de la Agencia Nacional de Contratación Pública como ente rector en la materia o quien haga sus veces.  </w:t>
      </w:r>
    </w:p>
    <w:p w14:paraId="2534C1E6" w14:textId="082B2166" w:rsidR="007D79D2" w:rsidRPr="00F954FB" w:rsidRDefault="007D79D2" w:rsidP="00F954FB">
      <w:pPr>
        <w:spacing w:after="0" w:line="240" w:lineRule="auto"/>
        <w:ind w:firstLine="708"/>
        <w:jc w:val="both"/>
        <w:rPr>
          <w:rFonts w:ascii="Arial" w:eastAsia="Times New Roman" w:hAnsi="Arial" w:cs="Arial"/>
          <w:color w:val="000000"/>
          <w:sz w:val="19"/>
          <w:szCs w:val="19"/>
          <w:lang w:eastAsia="es-CO"/>
        </w:rPr>
      </w:pPr>
      <w:proofErr w:type="gramStart"/>
      <w:r w:rsidRPr="00F954FB">
        <w:rPr>
          <w:rFonts w:ascii="Arial" w:eastAsia="Times New Roman" w:hAnsi="Arial" w:cs="Arial"/>
          <w:color w:val="000000"/>
          <w:sz w:val="19"/>
          <w:szCs w:val="19"/>
          <w:lang w:eastAsia="es-CO"/>
        </w:rPr>
        <w:t>»Parágrafo</w:t>
      </w:r>
      <w:proofErr w:type="gramEnd"/>
      <w:r w:rsidRPr="00F954FB">
        <w:rPr>
          <w:rFonts w:ascii="Arial" w:eastAsia="Times New Roman" w:hAnsi="Arial" w:cs="Arial"/>
          <w:color w:val="000000"/>
          <w:sz w:val="19"/>
          <w:szCs w:val="19"/>
          <w:lang w:eastAsia="es-CO"/>
        </w:rPr>
        <w:t xml:space="preserve"> 1. La Agencia Nacional de contratación Pública -Colombia Compra Eficiente, a través de la circular de que trata el numeral 2 del parágrafo 1 del artículo 2.2: 1.2.1.2. 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73FF4A0D" w14:textId="273F8BA8" w:rsidR="007D79D2" w:rsidRPr="00F954FB" w:rsidRDefault="007D79D2" w:rsidP="00F954FB">
      <w:pPr>
        <w:spacing w:after="0" w:line="240" w:lineRule="auto"/>
        <w:ind w:firstLine="708"/>
        <w:jc w:val="both"/>
        <w:rPr>
          <w:rFonts w:ascii="Arial" w:eastAsia="Times New Roman" w:hAnsi="Arial" w:cs="Arial"/>
          <w:color w:val="000000"/>
          <w:sz w:val="19"/>
          <w:szCs w:val="19"/>
          <w:lang w:eastAsia="es-CO"/>
        </w:rPr>
      </w:pPr>
      <w:proofErr w:type="gramStart"/>
      <w:r w:rsidRPr="00F954FB">
        <w:rPr>
          <w:rFonts w:ascii="Arial" w:eastAsia="Times New Roman" w:hAnsi="Arial" w:cs="Arial"/>
          <w:color w:val="000000"/>
          <w:sz w:val="19"/>
          <w:szCs w:val="19"/>
          <w:lang w:eastAsia="es-CO"/>
        </w:rPr>
        <w:t>»Parágrafo</w:t>
      </w:r>
      <w:proofErr w:type="gramEnd"/>
      <w:r w:rsidRPr="00F954FB">
        <w:rPr>
          <w:rFonts w:ascii="Arial" w:eastAsia="Times New Roman" w:hAnsi="Arial" w:cs="Arial"/>
          <w:color w:val="000000"/>
          <w:sz w:val="19"/>
          <w:szCs w:val="19"/>
          <w:lang w:eastAsia="es-CO"/>
        </w:rPr>
        <w:t xml:space="preserve"> 2. Para los efectos de este Decreto, entiéndase por Bolsa de Productos, las sociedades vigiladas por la Superintendencia Financiera de Colombia y definidas en el artículo 2.11.1.1.1 del Decreto 2555 de 2010 o la norma que la modifique, adicione o sustituya.  </w:t>
      </w:r>
    </w:p>
    <w:p w14:paraId="23C8C917" w14:textId="5E2650B1" w:rsidR="007D79D2" w:rsidRPr="00F954FB" w:rsidRDefault="007D79D2" w:rsidP="00F954FB">
      <w:pPr>
        <w:spacing w:after="0" w:line="240" w:lineRule="auto"/>
        <w:ind w:firstLine="708"/>
        <w:jc w:val="both"/>
        <w:rPr>
          <w:rFonts w:ascii="Arial" w:eastAsia="Times New Roman" w:hAnsi="Arial" w:cs="Arial"/>
          <w:color w:val="000000"/>
          <w:sz w:val="19"/>
          <w:szCs w:val="19"/>
          <w:lang w:eastAsia="es-CO"/>
        </w:rPr>
      </w:pPr>
      <w:proofErr w:type="gramStart"/>
      <w:r w:rsidRPr="00F954FB">
        <w:rPr>
          <w:rFonts w:ascii="Arial" w:eastAsia="Times New Roman" w:hAnsi="Arial" w:cs="Arial"/>
          <w:b/>
          <w:bCs/>
          <w:color w:val="000000"/>
          <w:sz w:val="19"/>
          <w:szCs w:val="19"/>
          <w:lang w:eastAsia="es-CO"/>
        </w:rPr>
        <w:t>»</w:t>
      </w:r>
      <w:r w:rsidRPr="00F954FB">
        <w:rPr>
          <w:rFonts w:ascii="Arial" w:eastAsia="Times New Roman" w:hAnsi="Arial" w:cs="Arial"/>
          <w:color w:val="000000"/>
          <w:sz w:val="19"/>
          <w:szCs w:val="19"/>
          <w:lang w:eastAsia="es-CO"/>
        </w:rPr>
        <w:t>Parágrafo</w:t>
      </w:r>
      <w:proofErr w:type="gramEnd"/>
      <w:r w:rsidRPr="00F954FB">
        <w:rPr>
          <w:rFonts w:ascii="Arial" w:eastAsia="Times New Roman" w:hAnsi="Arial" w:cs="Arial"/>
          <w:color w:val="000000"/>
          <w:sz w:val="19"/>
          <w:szCs w:val="19"/>
          <w:lang w:eastAsia="es-CO"/>
        </w:rPr>
        <w:t xml:space="preserve"> 3. Lo previsto en el parágrafo 1 de este artículo no será aplicable a las Entidades Estatales de la Rama Ejecutiva del Poder Público del orden nacional, obligadas a aplicar la Ley 80 de 1993 y la Ley 1150 de 2007, o las normas que las modifiquen, aclaren, adicionen o sustituyan, las cuales en todo caso están obligadas a adquirir Bienes y Servicios de Características Técnicas Uniformes a través de los Acuerdos Marco de Precios vigentes estructurados por la Agencia Nacional de Contratación Pública -Colombia Compra Eficiente».</w:t>
      </w:r>
    </w:p>
    <w:p w14:paraId="6E909063" w14:textId="68D72E47" w:rsidR="007D79D2" w:rsidRPr="00F954FB" w:rsidRDefault="007D79D2" w:rsidP="00F954FB">
      <w:pPr>
        <w:pStyle w:val="Textonotapie"/>
        <w:ind w:firstLine="708"/>
        <w:rPr>
          <w:rFonts w:ascii="Arial" w:hAnsi="Arial" w:cs="Arial"/>
        </w:rPr>
      </w:pPr>
      <w:r w:rsidRPr="00F954FB">
        <w:rPr>
          <w:rFonts w:ascii="Arial" w:hAnsi="Arial" w:cs="Arial"/>
        </w:rPr>
        <w:t xml:space="preserve"> </w:t>
      </w:r>
    </w:p>
  </w:footnote>
  <w:footnote w:id="5">
    <w:p w14:paraId="5BCC15C9" w14:textId="77777777" w:rsidR="006510E6" w:rsidRDefault="006510E6" w:rsidP="00992C25">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p w14:paraId="3F6C9F8E" w14:textId="77777777" w:rsidR="006510E6" w:rsidRPr="004103EF" w:rsidRDefault="006510E6" w:rsidP="00992C25">
      <w:pPr>
        <w:pStyle w:val="Textonotapie"/>
        <w:ind w:firstLine="708"/>
        <w:jc w:val="both"/>
        <w:rPr>
          <w:rFonts w:ascii="Arial" w:hAnsi="Arial" w:cs="Arial"/>
          <w:sz w:val="19"/>
          <w:szCs w:val="19"/>
        </w:rPr>
      </w:pPr>
    </w:p>
  </w:footnote>
  <w:footnote w:id="6">
    <w:p w14:paraId="4531D4C4" w14:textId="77777777" w:rsidR="006510E6" w:rsidRPr="004103EF" w:rsidRDefault="006510E6" w:rsidP="00F954FB">
      <w:pPr>
        <w:pStyle w:val="NormalWeb"/>
        <w:shd w:val="clear" w:color="auto" w:fill="FFFFFF"/>
        <w:spacing w:after="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4" w:name="2.2.1.2.4.1.3"/>
      <w:bookmarkEnd w:id="4"/>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23BC364D" w14:textId="77777777" w:rsidR="006510E6" w:rsidRPr="004103EF" w:rsidRDefault="006510E6" w:rsidP="00F954FB">
      <w:pPr>
        <w:shd w:val="clear" w:color="auto" w:fill="FFFFFF"/>
        <w:spacing w:after="0"/>
        <w:ind w:firstLine="709"/>
        <w:jc w:val="both"/>
        <w:rPr>
          <w:rFonts w:ascii="Arial" w:hAnsi="Arial" w:cs="Arial"/>
          <w:sz w:val="19"/>
          <w:szCs w:val="19"/>
          <w:lang w:eastAsia="es-CO"/>
        </w:rPr>
      </w:pPr>
      <w:proofErr w:type="gramStart"/>
      <w:r w:rsidRPr="004103EF">
        <w:rPr>
          <w:rFonts w:ascii="Arial" w:hAnsi="Arial" w:cs="Arial"/>
          <w:sz w:val="19"/>
          <w:szCs w:val="19"/>
          <w:lang w:eastAsia="es-CO"/>
        </w:rPr>
        <w:t>»El</w:t>
      </w:r>
      <w:proofErr w:type="gramEnd"/>
      <w:r w:rsidRPr="004103EF">
        <w:rPr>
          <w:rFonts w:ascii="Arial" w:hAnsi="Arial" w:cs="Arial"/>
          <w:sz w:val="19"/>
          <w:szCs w:val="19"/>
          <w:lang w:eastAsia="es-CO"/>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067BEC50" w14:textId="77777777" w:rsidR="006510E6" w:rsidRPr="004103EF" w:rsidRDefault="006510E6" w:rsidP="00F954FB">
      <w:pPr>
        <w:shd w:val="clear" w:color="auto" w:fill="FFFFFF"/>
        <w:spacing w:after="0"/>
        <w:ind w:firstLine="708"/>
        <w:jc w:val="both"/>
        <w:rPr>
          <w:rFonts w:ascii="Arial" w:hAnsi="Arial" w:cs="Arial"/>
          <w:sz w:val="19"/>
          <w:szCs w:val="19"/>
          <w:lang w:eastAsia="es-CO"/>
        </w:rPr>
      </w:pPr>
      <w:proofErr w:type="gramStart"/>
      <w:r w:rsidRPr="004103EF">
        <w:rPr>
          <w:rFonts w:ascii="Arial" w:hAnsi="Arial" w:cs="Arial"/>
          <w:sz w:val="19"/>
          <w:szCs w:val="19"/>
          <w:lang w:eastAsia="es-CO"/>
        </w:rPr>
        <w:t>»Los</w:t>
      </w:r>
      <w:proofErr w:type="gramEnd"/>
      <w:r w:rsidRPr="004103EF">
        <w:rPr>
          <w:rFonts w:ascii="Arial" w:hAnsi="Arial" w:cs="Arial"/>
          <w:sz w:val="19"/>
          <w:szCs w:val="19"/>
          <w:lang w:eastAsia="es-CO"/>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5B255F59" w14:textId="77777777" w:rsidR="006510E6" w:rsidRPr="004103EF" w:rsidRDefault="006510E6" w:rsidP="00992C25">
      <w:pPr>
        <w:pStyle w:val="Textonotapie"/>
        <w:jc w:val="both"/>
        <w:rPr>
          <w:rFonts w:ascii="Arial" w:hAnsi="Arial" w:cs="Arial"/>
          <w:sz w:val="19"/>
          <w:szCs w:val="19"/>
          <w:lang w:val="es-CO"/>
        </w:rPr>
      </w:pPr>
    </w:p>
  </w:footnote>
  <w:footnote w:id="7">
    <w:p w14:paraId="43C7D291" w14:textId="77777777" w:rsidR="006510E6" w:rsidRPr="00203F1C" w:rsidRDefault="006510E6" w:rsidP="00F954FB">
      <w:pPr>
        <w:spacing w:after="0"/>
        <w:ind w:firstLine="708"/>
        <w:jc w:val="both"/>
        <w:rPr>
          <w:rFonts w:ascii="Arial"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hAnsi="Arial" w:cs="Arial"/>
          <w:b/>
          <w:bCs/>
          <w:color w:val="000000"/>
          <w:sz w:val="19"/>
          <w:szCs w:val="19"/>
          <w:lang w:eastAsia="es-CO"/>
        </w:rPr>
        <w:t>«</w:t>
      </w:r>
      <w:r w:rsidRPr="00203F1C">
        <w:rPr>
          <w:rFonts w:ascii="Arial" w:hAnsi="Arial" w:cs="Arial"/>
          <w:color w:val="000000"/>
          <w:sz w:val="19"/>
          <w:szCs w:val="19"/>
          <w:lang w:eastAsia="es-CO"/>
        </w:rPr>
        <w:t>Artículo 2.2.1.1.2.1.3. Pliegos de condiciones. Los pliegos de condiciones deben contener por lo menos la siguiente información: </w:t>
      </w:r>
    </w:p>
    <w:p w14:paraId="63E5DA78" w14:textId="77777777" w:rsidR="006510E6" w:rsidRPr="00203F1C" w:rsidRDefault="006510E6" w:rsidP="00F954FB">
      <w:pPr>
        <w:spacing w:after="0"/>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w:t>
      </w:r>
    </w:p>
    <w:p w14:paraId="03FB069D" w14:textId="77777777" w:rsidR="006510E6" w:rsidRPr="00203F1C" w:rsidRDefault="006510E6" w:rsidP="00F954FB">
      <w:pPr>
        <w:spacing w:after="0"/>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»3. Los criterios de selección, incluyendo los factores de desempate y los incentivos cuando a ello haya lugar. </w:t>
      </w:r>
    </w:p>
    <w:p w14:paraId="5039606B" w14:textId="77777777" w:rsidR="006510E6" w:rsidRPr="00203F1C" w:rsidRDefault="006510E6" w:rsidP="00F954FB">
      <w:pPr>
        <w:spacing w:after="0"/>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w:t>
      </w:r>
    </w:p>
    <w:p w14:paraId="4434C93B" w14:textId="77777777" w:rsidR="006510E6" w:rsidRPr="00203F1C" w:rsidRDefault="006510E6" w:rsidP="00F954FB">
      <w:pPr>
        <w:spacing w:after="0"/>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»5. Las reglas aplicables a la presentación de las ofertas, su evaluación y a la adjudicación del contrato […]».</w:t>
      </w:r>
    </w:p>
    <w:p w14:paraId="3818A68A" w14:textId="77777777" w:rsidR="006510E6" w:rsidRDefault="006510E6" w:rsidP="00992C25">
      <w:pPr>
        <w:pStyle w:val="Textonotapie"/>
      </w:pPr>
      <w:r>
        <w:t xml:space="preserve"> </w:t>
      </w:r>
    </w:p>
  </w:footnote>
  <w:footnote w:id="8">
    <w:p w14:paraId="27F10EB9" w14:textId="77777777" w:rsidR="00A16AF5" w:rsidRPr="003726A7" w:rsidRDefault="00A16AF5" w:rsidP="00F954FB">
      <w:pPr>
        <w:spacing w:after="0"/>
        <w:ind w:firstLine="709"/>
        <w:jc w:val="both"/>
        <w:rPr>
          <w:rFonts w:ascii="Arial" w:hAnsi="Arial" w:cs="Arial"/>
          <w:sz w:val="19"/>
          <w:szCs w:val="19"/>
          <w:lang w:val="es-ES"/>
        </w:rPr>
      </w:pPr>
      <w:r w:rsidRPr="003726A7">
        <w:rPr>
          <w:rStyle w:val="Refdenotaalpie"/>
          <w:rFonts w:ascii="Arial" w:hAnsi="Arial" w:cs="Arial"/>
          <w:sz w:val="19"/>
          <w:szCs w:val="19"/>
        </w:rPr>
        <w:footnoteRef/>
      </w:r>
      <w:r w:rsidRPr="003726A7">
        <w:rPr>
          <w:rFonts w:ascii="Arial" w:hAnsi="Arial" w:cs="Arial"/>
          <w:sz w:val="19"/>
          <w:szCs w:val="19"/>
        </w:rPr>
        <w:t xml:space="preserve"> </w:t>
      </w:r>
      <w:r w:rsidRPr="003726A7">
        <w:rPr>
          <w:rFonts w:ascii="Arial" w:hAnsi="Arial" w:cs="Arial"/>
          <w:sz w:val="19"/>
          <w:szCs w:val="19"/>
          <w:lang w:val="es-ES"/>
        </w:rPr>
        <w:t>Corte Constitucional. Sentencia C-502 de 2012. Magistrada Ponente: Adriana María Guillén Arango.</w:t>
      </w:r>
    </w:p>
    <w:p w14:paraId="65CE9BB5" w14:textId="77777777" w:rsidR="00A16AF5" w:rsidRPr="003726A7" w:rsidRDefault="00A16AF5" w:rsidP="00992C25">
      <w:pPr>
        <w:pStyle w:val="Textonotapie"/>
        <w:ind w:firstLine="709"/>
        <w:jc w:val="both"/>
        <w:rPr>
          <w:rFonts w:ascii="Arial" w:hAnsi="Arial" w:cs="Arial"/>
          <w:sz w:val="19"/>
          <w:szCs w:val="19"/>
          <w:lang w:val="es-ES"/>
        </w:rPr>
      </w:pPr>
      <w:r w:rsidRPr="003726A7">
        <w:rPr>
          <w:rFonts w:ascii="Arial" w:hAnsi="Arial" w:cs="Arial"/>
          <w:sz w:val="19"/>
          <w:szCs w:val="19"/>
          <w:lang w:val="es-ES"/>
        </w:rPr>
        <w:t xml:space="preserve"> </w:t>
      </w:r>
    </w:p>
  </w:footnote>
  <w:footnote w:id="9">
    <w:p w14:paraId="42385A0D" w14:textId="77777777" w:rsidR="00A16AF5" w:rsidRPr="003726A7" w:rsidRDefault="00A16AF5" w:rsidP="00992C25">
      <w:pPr>
        <w:pStyle w:val="Textonotapie"/>
        <w:ind w:firstLine="708"/>
        <w:jc w:val="both"/>
        <w:rPr>
          <w:rFonts w:ascii="Arial" w:hAnsi="Arial" w:cs="Arial"/>
          <w:sz w:val="19"/>
          <w:szCs w:val="19"/>
        </w:rPr>
      </w:pPr>
      <w:r w:rsidRPr="003726A7">
        <w:rPr>
          <w:rStyle w:val="Refdenotaalpie"/>
          <w:rFonts w:ascii="Arial" w:hAnsi="Arial" w:cs="Arial"/>
          <w:sz w:val="19"/>
          <w:szCs w:val="19"/>
        </w:rPr>
        <w:footnoteRef/>
      </w:r>
      <w:r w:rsidRPr="003726A7">
        <w:rPr>
          <w:rFonts w:ascii="Arial" w:hAnsi="Arial" w:cs="Arial"/>
          <w:sz w:val="19"/>
          <w:szCs w:val="19"/>
        </w:rPr>
        <w:t xml:space="preserve"> En los demás incisos, ambas normas tienen una redacción similar cuando prescriben que: «De igual forma, en los pliegos de condiciones </w:t>
      </w:r>
      <w:bookmarkStart w:id="10" w:name="_Hlk63844516"/>
      <w:r w:rsidRPr="003726A7">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0"/>
      <w:r w:rsidRPr="003726A7">
        <w:rPr>
          <w:rFonts w:ascii="Arial" w:hAnsi="Arial" w:cs="Arial"/>
          <w:sz w:val="19"/>
          <w:szCs w:val="19"/>
        </w:rPr>
        <w:t>; siempre que se garanticen las condiciones de calidad y cumplimiento del objeto contractual.</w:t>
      </w:r>
    </w:p>
    <w:p w14:paraId="06E382C3" w14:textId="77777777" w:rsidR="00A16AF5" w:rsidRPr="003726A7" w:rsidRDefault="00A16AF5" w:rsidP="00992C25">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1°. En los procesos de selección que se desarrollen con base en el primer inciso, las entidades podrán realizar las convocatorias limitadas que beneficien a las </w:t>
      </w:r>
      <w:proofErr w:type="spellStart"/>
      <w:r w:rsidRPr="003726A7">
        <w:rPr>
          <w:rFonts w:ascii="Arial" w:hAnsi="Arial" w:cs="Arial"/>
          <w:sz w:val="19"/>
          <w:szCs w:val="19"/>
        </w:rPr>
        <w:t>Mipymes</w:t>
      </w:r>
      <w:proofErr w:type="spellEnd"/>
      <w:r w:rsidRPr="003726A7">
        <w:rPr>
          <w:rFonts w:ascii="Arial" w:hAnsi="Arial" w:cs="Arial"/>
          <w:sz w:val="19"/>
          <w:szCs w:val="19"/>
        </w:rPr>
        <w:t xml:space="preserve"> del ámbito municipal o departamental correspondiente al de la ejecución del contrato.</w:t>
      </w:r>
    </w:p>
    <w:p w14:paraId="611C24BE" w14:textId="77777777" w:rsidR="00A16AF5" w:rsidRPr="003726A7" w:rsidRDefault="00A16AF5" w:rsidP="00992C25">
      <w:pPr>
        <w:pStyle w:val="Textonotapie"/>
        <w:ind w:firstLine="708"/>
        <w:jc w:val="both"/>
        <w:rPr>
          <w:rFonts w:ascii="Arial" w:hAnsi="Arial" w:cs="Arial"/>
          <w:sz w:val="19"/>
          <w:szCs w:val="19"/>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2°. Sin perjuicio de lo dispuesto en los artículos 5 y 6 de la Ley 1150 de 2007, para que las </w:t>
      </w:r>
      <w:proofErr w:type="spellStart"/>
      <w:r w:rsidRPr="003726A7">
        <w:rPr>
          <w:rFonts w:ascii="Arial" w:hAnsi="Arial" w:cs="Arial"/>
          <w:sz w:val="19"/>
          <w:szCs w:val="19"/>
        </w:rPr>
        <w:t>Mipymes</w:t>
      </w:r>
      <w:proofErr w:type="spellEnd"/>
      <w:r w:rsidRPr="003726A7">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FBA65D1" w14:textId="77777777" w:rsidR="00A16AF5" w:rsidRPr="003726A7" w:rsidRDefault="00A16AF5" w:rsidP="00992C25">
      <w:pPr>
        <w:pStyle w:val="Textonotapie"/>
        <w:ind w:firstLine="708"/>
        <w:jc w:val="both"/>
        <w:rPr>
          <w:rFonts w:ascii="Arial" w:hAnsi="Arial" w:cs="Arial"/>
          <w:sz w:val="19"/>
          <w:szCs w:val="19"/>
          <w:lang w:val="es-ES"/>
        </w:rPr>
      </w:pPr>
      <w:proofErr w:type="gramStart"/>
      <w:r w:rsidRPr="003726A7">
        <w:rPr>
          <w:rFonts w:ascii="Arial" w:hAnsi="Arial" w:cs="Arial"/>
          <w:sz w:val="19"/>
          <w:szCs w:val="19"/>
        </w:rPr>
        <w:t>»Parágrafo</w:t>
      </w:r>
      <w:proofErr w:type="gramEnd"/>
      <w:r w:rsidRPr="003726A7">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 </w:t>
      </w:r>
    </w:p>
  </w:footnote>
  <w:footnote w:id="10">
    <w:p w14:paraId="7CE0BFC4" w14:textId="77777777" w:rsidR="00A16AF5" w:rsidRPr="00FA2EC7" w:rsidRDefault="00A16AF5" w:rsidP="00992C25">
      <w:pPr>
        <w:pStyle w:val="Textonotapie"/>
        <w:ind w:firstLine="708"/>
        <w:jc w:val="both"/>
        <w:rPr>
          <w:rFonts w:ascii="Arial" w:hAnsi="Arial" w:cs="Arial"/>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footnote>
  <w:footnote w:id="11">
    <w:p w14:paraId="5529AEEC"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r w:rsidRPr="00FA2EC7">
        <w:rPr>
          <w:rFonts w:ascii="Arial" w:eastAsia="Arial" w:hAnsi="Arial" w:cs="Arial"/>
          <w:color w:val="000000"/>
          <w:sz w:val="19"/>
          <w:szCs w:val="19"/>
        </w:rPr>
        <w:t>«</w:t>
      </w:r>
      <w:bookmarkStart w:id="12" w:name="43"/>
      <w:r w:rsidRPr="00FA2EC7">
        <w:rPr>
          <w:rFonts w:ascii="Arial" w:eastAsia="Arial" w:hAnsi="Arial" w:cs="Arial"/>
          <w:color w:val="000000"/>
          <w:sz w:val="19"/>
          <w:szCs w:val="19"/>
        </w:rPr>
        <w:t>Artículo 43. Definiciones de Tamaño Empresarial.</w:t>
      </w:r>
      <w:bookmarkEnd w:id="12"/>
      <w:r w:rsidRPr="00FA2EC7">
        <w:rPr>
          <w:rFonts w:ascii="Arial" w:eastAsia="Arial" w:hAnsi="Arial" w:cs="Arial"/>
          <w:color w:val="000000"/>
          <w:sz w:val="19"/>
          <w:szCs w:val="19"/>
        </w:rPr>
        <w:t> El artículo </w:t>
      </w:r>
      <w:hyperlink r:id="rId2" w:anchor="2" w:history="1">
        <w:r w:rsidRPr="00FA2EC7">
          <w:rPr>
            <w:rStyle w:val="Hipervnculo"/>
            <w:rFonts w:ascii="Arial" w:eastAsia="Arial" w:hAnsi="Arial" w:cs="Arial"/>
            <w:color w:val="000000" w:themeColor="text1"/>
            <w:sz w:val="19"/>
            <w:szCs w:val="19"/>
          </w:rPr>
          <w:t>2</w:t>
        </w:r>
      </w:hyperlink>
      <w:r w:rsidRPr="00FA2EC7">
        <w:rPr>
          <w:rFonts w:ascii="Arial" w:eastAsia="Arial" w:hAnsi="Arial" w:cs="Arial"/>
          <w:color w:val="000000"/>
          <w:sz w:val="19"/>
          <w:szCs w:val="19"/>
        </w:rPr>
        <w:t>o de la Ley 590 de 2000, quedará así:</w:t>
      </w:r>
    </w:p>
    <w:p w14:paraId="3B288327"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proofErr w:type="gramStart"/>
      <w:r w:rsidRPr="00FA2EC7">
        <w:rPr>
          <w:rFonts w:ascii="Arial" w:hAnsi="Arial" w:cs="Arial"/>
          <w:sz w:val="19"/>
          <w:szCs w:val="19"/>
        </w:rPr>
        <w:t>»</w:t>
      </w:r>
      <w:r w:rsidRPr="00FA2EC7">
        <w:rPr>
          <w:rFonts w:ascii="Arial" w:eastAsia="Arial" w:hAnsi="Arial" w:cs="Arial"/>
          <w:i/>
          <w:iCs/>
          <w:color w:val="000000"/>
          <w:sz w:val="19"/>
          <w:szCs w:val="19"/>
        </w:rPr>
        <w:t>Artículo</w:t>
      </w:r>
      <w:proofErr w:type="gramEnd"/>
      <w:r w:rsidRPr="00FA2EC7">
        <w:rPr>
          <w:rFonts w:ascii="Arial" w:eastAsia="Arial" w:hAnsi="Arial" w:cs="Arial"/>
          <w:i/>
          <w:iCs/>
          <w:color w:val="000000" w:themeColor="text1"/>
          <w:sz w:val="19"/>
          <w:szCs w:val="19"/>
        </w:rPr>
        <w:t> </w:t>
      </w:r>
      <w:hyperlink r:id="rId3" w:anchor="2" w:history="1">
        <w:r w:rsidRPr="00FA2EC7">
          <w:rPr>
            <w:rStyle w:val="Hipervnculo"/>
            <w:rFonts w:ascii="Arial" w:eastAsia="Arial" w:hAnsi="Arial" w:cs="Arial"/>
            <w:i/>
            <w:iCs/>
            <w:color w:val="000000" w:themeColor="text1"/>
            <w:sz w:val="19"/>
            <w:szCs w:val="19"/>
          </w:rPr>
          <w:t>2</w:t>
        </w:r>
      </w:hyperlink>
      <w:r w:rsidRPr="00FA2EC7">
        <w:rPr>
          <w:rFonts w:ascii="Arial" w:eastAsia="Arial" w:hAnsi="Arial" w:cs="Arial"/>
          <w:i/>
          <w:iCs/>
          <w:color w:val="000000" w:themeColor="text1"/>
          <w:sz w:val="19"/>
          <w:szCs w:val="19"/>
        </w:rPr>
        <w:t>o</w:t>
      </w:r>
      <w:r w:rsidRPr="00FA2EC7">
        <w:rPr>
          <w:rFonts w:ascii="Arial" w:eastAsia="Arial" w:hAnsi="Arial" w:cs="Arial"/>
          <w:i/>
          <w:iCs/>
          <w:color w:val="000000"/>
          <w:sz w:val="19"/>
          <w:szCs w:val="19"/>
        </w:rPr>
        <w:t>. Definiciones de tamaño empresarial.</w:t>
      </w:r>
      <w:r w:rsidRPr="00FA2EC7">
        <w:rPr>
          <w:rFonts w:ascii="Arial" w:eastAsia="Arial" w:hAnsi="Arial" w:cs="Arial"/>
          <w:b/>
          <w:bCs/>
          <w:i/>
          <w:iCs/>
          <w:color w:val="000000"/>
          <w:sz w:val="19"/>
          <w:szCs w:val="19"/>
        </w:rPr>
        <w:t> </w:t>
      </w:r>
      <w:r w:rsidRPr="00FA2EC7">
        <w:rPr>
          <w:rFonts w:ascii="Arial" w:eastAsia="Arial" w:hAnsi="Arial" w:cs="Arial"/>
          <w:color w:val="000000"/>
          <w:sz w:val="19"/>
          <w:szCs w:val="19"/>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1C3C4CD5"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1. Número de trabajadores totales.</w:t>
      </w:r>
    </w:p>
    <w:p w14:paraId="505C3CCD"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2. Valor de ventas brutas anuales.</w:t>
      </w:r>
    </w:p>
    <w:p w14:paraId="7D9571DD"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r w:rsidRPr="00FA2EC7">
        <w:rPr>
          <w:rFonts w:ascii="Arial" w:hAnsi="Arial" w:cs="Arial"/>
          <w:sz w:val="19"/>
          <w:szCs w:val="19"/>
        </w:rPr>
        <w:t>»</w:t>
      </w:r>
      <w:r w:rsidRPr="00FA2EC7">
        <w:rPr>
          <w:rFonts w:ascii="Arial" w:eastAsia="Arial" w:hAnsi="Arial" w:cs="Arial"/>
          <w:color w:val="000000"/>
          <w:sz w:val="19"/>
          <w:szCs w:val="19"/>
        </w:rPr>
        <w:t xml:space="preserve">3. </w:t>
      </w:r>
      <w:proofErr w:type="gramStart"/>
      <w:r w:rsidRPr="00FA2EC7">
        <w:rPr>
          <w:rFonts w:ascii="Arial" w:eastAsia="Arial" w:hAnsi="Arial" w:cs="Arial"/>
          <w:color w:val="000000"/>
          <w:sz w:val="19"/>
          <w:szCs w:val="19"/>
        </w:rPr>
        <w:t>Valor activos</w:t>
      </w:r>
      <w:proofErr w:type="gramEnd"/>
      <w:r w:rsidRPr="00FA2EC7">
        <w:rPr>
          <w:rFonts w:ascii="Arial" w:eastAsia="Arial" w:hAnsi="Arial" w:cs="Arial"/>
          <w:color w:val="000000"/>
          <w:sz w:val="19"/>
          <w:szCs w:val="19"/>
        </w:rPr>
        <w:t xml:space="preserve"> totales.</w:t>
      </w:r>
    </w:p>
    <w:p w14:paraId="693E32FA"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proofErr w:type="gramStart"/>
      <w:r w:rsidRPr="00FA2EC7">
        <w:rPr>
          <w:rFonts w:ascii="Arial" w:hAnsi="Arial" w:cs="Arial"/>
          <w:sz w:val="19"/>
          <w:szCs w:val="19"/>
        </w:rPr>
        <w:t>»</w:t>
      </w:r>
      <w:r w:rsidRPr="00FA2EC7">
        <w:rPr>
          <w:rFonts w:ascii="Arial" w:eastAsia="Arial" w:hAnsi="Arial" w:cs="Arial"/>
          <w:color w:val="000000"/>
          <w:sz w:val="19"/>
          <w:szCs w:val="19"/>
        </w:rPr>
        <w:t>Para</w:t>
      </w:r>
      <w:proofErr w:type="gramEnd"/>
      <w:r w:rsidRPr="00FA2EC7">
        <w:rPr>
          <w:rFonts w:ascii="Arial" w:eastAsia="Arial" w:hAnsi="Arial" w:cs="Arial"/>
          <w:color w:val="000000"/>
          <w:sz w:val="19"/>
          <w:szCs w:val="19"/>
        </w:rPr>
        <w:t xml:space="preserve"> efectos de los beneficios otorgados por el Gobierno nacional a las micro, pequeñas y medianas empresas el criterio determinante será el valor de ventas brutas anuales.</w:t>
      </w:r>
    </w:p>
    <w:p w14:paraId="12369F3A"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proofErr w:type="gramStart"/>
      <w:r w:rsidRPr="00FA2EC7">
        <w:rPr>
          <w:rFonts w:ascii="Arial" w:hAnsi="Arial" w:cs="Arial"/>
          <w:sz w:val="19"/>
          <w:szCs w:val="19"/>
        </w:rPr>
        <w:t>»</w:t>
      </w:r>
      <w:r w:rsidRPr="00FA2EC7">
        <w:rPr>
          <w:rFonts w:ascii="Arial" w:eastAsia="Arial" w:hAnsi="Arial" w:cs="Arial"/>
          <w:color w:val="000000"/>
          <w:sz w:val="19"/>
          <w:szCs w:val="19"/>
        </w:rPr>
        <w:t>PARÁGRAFO</w:t>
      </w:r>
      <w:proofErr w:type="gramEnd"/>
      <w:r w:rsidRPr="00FA2EC7">
        <w:rPr>
          <w:rFonts w:ascii="Arial" w:eastAsia="Arial" w:hAnsi="Arial" w:cs="Arial"/>
          <w:color w:val="000000"/>
          <w:sz w:val="19"/>
          <w:szCs w:val="19"/>
        </w:rPr>
        <w:t xml:space="preserve"> 1o</w:t>
      </w:r>
      <w:r w:rsidRPr="00FA2EC7">
        <w:rPr>
          <w:rFonts w:ascii="Arial" w:eastAsia="Arial" w:hAnsi="Arial" w:cs="Arial"/>
          <w:b/>
          <w:bCs/>
          <w:color w:val="000000"/>
          <w:sz w:val="19"/>
          <w:szCs w:val="19"/>
        </w:rPr>
        <w:t>.</w:t>
      </w:r>
      <w:r w:rsidRPr="00FA2EC7">
        <w:rPr>
          <w:rFonts w:ascii="Arial" w:eastAsia="Arial" w:hAnsi="Arial" w:cs="Arial"/>
          <w:color w:val="000000"/>
          <w:sz w:val="19"/>
          <w:szCs w:val="19"/>
        </w:rPr>
        <w:t> El Gobierno Nacional reglamentará los rangos que aplicarán para los tres criterios e incluirá especificidades sectoriales en los casos que considere necesario.</w:t>
      </w:r>
    </w:p>
    <w:p w14:paraId="548737F4" w14:textId="77777777" w:rsidR="00A16AF5" w:rsidRPr="00FA2EC7" w:rsidRDefault="00A16AF5" w:rsidP="00F954FB">
      <w:pPr>
        <w:pBdr>
          <w:top w:val="nil"/>
          <w:left w:val="nil"/>
          <w:bottom w:val="nil"/>
          <w:right w:val="nil"/>
          <w:between w:val="nil"/>
        </w:pBdr>
        <w:spacing w:after="0"/>
        <w:ind w:firstLine="708"/>
        <w:jc w:val="both"/>
        <w:rPr>
          <w:rFonts w:ascii="Arial" w:hAnsi="Arial" w:cs="Arial"/>
          <w:sz w:val="19"/>
          <w:szCs w:val="19"/>
        </w:rPr>
      </w:pPr>
      <w:proofErr w:type="gramStart"/>
      <w:r w:rsidRPr="00FA2EC7">
        <w:rPr>
          <w:rFonts w:ascii="Arial" w:hAnsi="Arial" w:cs="Arial"/>
          <w:sz w:val="19"/>
          <w:szCs w:val="19"/>
        </w:rPr>
        <w:t>»</w:t>
      </w:r>
      <w:r w:rsidRPr="00FA2EC7">
        <w:rPr>
          <w:rFonts w:ascii="Arial" w:eastAsia="Arial" w:hAnsi="Arial" w:cs="Arial"/>
          <w:color w:val="000000"/>
          <w:sz w:val="19"/>
          <w:szCs w:val="19"/>
        </w:rPr>
        <w:t>PARÁGRAFO</w:t>
      </w:r>
      <w:proofErr w:type="gramEnd"/>
      <w:r w:rsidRPr="00FA2EC7">
        <w:rPr>
          <w:rFonts w:ascii="Arial" w:eastAsia="Arial" w:hAnsi="Arial" w:cs="Arial"/>
          <w:color w:val="000000"/>
          <w:sz w:val="19"/>
          <w:szCs w:val="19"/>
        </w:rPr>
        <w:t xml:space="preserve"> 2o</w:t>
      </w:r>
      <w:r w:rsidRPr="00FA2EC7">
        <w:rPr>
          <w:rFonts w:ascii="Arial" w:eastAsia="Arial" w:hAnsi="Arial" w:cs="Arial"/>
          <w:b/>
          <w:bCs/>
          <w:color w:val="000000"/>
          <w:sz w:val="19"/>
          <w:szCs w:val="19"/>
        </w:rPr>
        <w:t>.</w:t>
      </w:r>
      <w:r w:rsidRPr="00FA2EC7">
        <w:rPr>
          <w:rFonts w:ascii="Arial" w:eastAsia="Arial" w:hAnsi="Arial" w:cs="Arial"/>
          <w:color w:val="000000"/>
          <w:sz w:val="19"/>
          <w:szCs w:val="19"/>
        </w:rPr>
        <w:t xml:space="preserve"> Las definiciones contenidas en el </w:t>
      </w:r>
      <w:r w:rsidRPr="00FA2EC7">
        <w:rPr>
          <w:rFonts w:ascii="Arial" w:eastAsia="Arial" w:hAnsi="Arial" w:cs="Arial"/>
          <w:color w:val="000000" w:themeColor="text1"/>
          <w:sz w:val="19"/>
          <w:szCs w:val="19"/>
        </w:rPr>
        <w:t>artículo </w:t>
      </w:r>
      <w:hyperlink r:id="rId4" w:anchor="2" w:history="1">
        <w:r w:rsidRPr="00FA2EC7">
          <w:rPr>
            <w:rStyle w:val="Hipervnculo"/>
            <w:rFonts w:ascii="Arial" w:eastAsia="Arial" w:hAnsi="Arial" w:cs="Arial"/>
            <w:color w:val="000000" w:themeColor="text1"/>
            <w:sz w:val="19"/>
            <w:szCs w:val="19"/>
          </w:rPr>
          <w:t>2</w:t>
        </w:r>
      </w:hyperlink>
      <w:r w:rsidRPr="00FA2EC7">
        <w:rPr>
          <w:rFonts w:ascii="Arial" w:eastAsia="Arial" w:hAnsi="Arial" w:cs="Arial"/>
          <w:color w:val="000000"/>
          <w:sz w:val="19"/>
          <w:szCs w:val="19"/>
        </w:rPr>
        <w:t>o de la Ley 590 de 2000 continuarán vigentes hasta tanto entren a regir las normas reglamentarias que profiera el Gobierno Nacional en desarrollo de lo previsto en el presente artículo</w:t>
      </w:r>
      <w:r w:rsidRPr="00FA2EC7">
        <w:rPr>
          <w:rFonts w:ascii="Arial" w:hAnsi="Arial" w:cs="Arial"/>
          <w:sz w:val="19"/>
          <w:szCs w:val="19"/>
        </w:rPr>
        <w:t>».</w:t>
      </w:r>
    </w:p>
    <w:p w14:paraId="627A7B35"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p>
  </w:footnote>
  <w:footnote w:id="12">
    <w:p w14:paraId="0FD58BDB" w14:textId="77777777" w:rsidR="00A16AF5" w:rsidRPr="00FA2EC7" w:rsidRDefault="00A16AF5" w:rsidP="00992C25">
      <w:pPr>
        <w:pStyle w:val="Textonotapie"/>
        <w:ind w:firstLine="709"/>
        <w:jc w:val="both"/>
        <w:rPr>
          <w:rFonts w:ascii="Arial" w:hAnsi="Arial" w:cs="Arial"/>
          <w:sz w:val="19"/>
          <w:szCs w:val="19"/>
          <w:lang w:val="es-CO"/>
        </w:rPr>
      </w:pPr>
      <w:r w:rsidRPr="00FA2EC7">
        <w:rPr>
          <w:rStyle w:val="Refdenotaalpie"/>
          <w:rFonts w:ascii="Arial" w:hAnsi="Arial" w:cs="Arial"/>
          <w:sz w:val="19"/>
          <w:szCs w:val="19"/>
        </w:rPr>
        <w:footnoteRef/>
      </w:r>
      <w:r w:rsidRPr="00FA2EC7">
        <w:rPr>
          <w:rFonts w:ascii="Arial" w:hAnsi="Arial" w:cs="Arial"/>
          <w:sz w:val="19"/>
          <w:szCs w:val="19"/>
        </w:rPr>
        <w:t xml:space="preserve"> Decreto 1074 de 2015. </w:t>
      </w:r>
      <w:r w:rsidRPr="00FA2EC7">
        <w:rPr>
          <w:rFonts w:ascii="Arial" w:eastAsia="Arial" w:hAnsi="Arial" w:cs="Arial"/>
          <w:color w:val="000000"/>
          <w:sz w:val="19"/>
          <w:szCs w:val="19"/>
        </w:rPr>
        <w:t>«</w:t>
      </w:r>
      <w:r w:rsidRPr="00FA2EC7">
        <w:rPr>
          <w:rFonts w:ascii="Arial" w:hAnsi="Arial" w:cs="Arial"/>
          <w:sz w:val="19"/>
          <w:szCs w:val="19"/>
          <w:lang w:val="es-CO"/>
        </w:rPr>
        <w:t>Artículo </w:t>
      </w:r>
      <w:bookmarkStart w:id="13" w:name="2.2.1.13.2.1"/>
      <w:bookmarkEnd w:id="13"/>
      <w:r w:rsidRPr="00FA2EC7">
        <w:rPr>
          <w:rFonts w:ascii="Arial" w:hAnsi="Arial" w:cs="Arial"/>
          <w:sz w:val="19"/>
          <w:szCs w:val="19"/>
          <w:lang w:val="es-CO"/>
        </w:rPr>
        <w:t>2.2.1.13.2.1. Criterio para la clasificación del tamaño empresarial. Para efectos de la clasificación del tamaño empresarial se tendrá como criterio exclusivo los ingresos por actividades ordinarias anuales de la respectiva empresa.</w:t>
      </w:r>
    </w:p>
    <w:p w14:paraId="0E62FDBE" w14:textId="77777777" w:rsidR="00A16AF5" w:rsidRPr="00FA2EC7" w:rsidRDefault="00A16AF5" w:rsidP="00992C25">
      <w:pPr>
        <w:pStyle w:val="Textonotapie"/>
        <w:ind w:firstLine="709"/>
        <w:jc w:val="both"/>
        <w:rPr>
          <w:rFonts w:ascii="Arial" w:hAnsi="Arial" w:cs="Arial"/>
          <w:sz w:val="19"/>
          <w:szCs w:val="19"/>
          <w:lang w:val="es-CO"/>
        </w:rPr>
      </w:pPr>
      <w:proofErr w:type="gramStart"/>
      <w:r w:rsidRPr="00FA2EC7">
        <w:rPr>
          <w:rFonts w:ascii="Arial" w:hAnsi="Arial" w:cs="Arial"/>
          <w:sz w:val="19"/>
          <w:szCs w:val="19"/>
        </w:rPr>
        <w:t>»</w:t>
      </w:r>
      <w:r w:rsidRPr="00FA2EC7">
        <w:rPr>
          <w:rFonts w:ascii="Arial" w:hAnsi="Arial" w:cs="Arial"/>
          <w:sz w:val="19"/>
          <w:szCs w:val="19"/>
          <w:lang w:val="es-CO"/>
        </w:rPr>
        <w:t>El</w:t>
      </w:r>
      <w:proofErr w:type="gramEnd"/>
      <w:r w:rsidRPr="00FA2EC7">
        <w:rPr>
          <w:rFonts w:ascii="Arial" w:hAnsi="Arial" w:cs="Arial"/>
          <w:sz w:val="19"/>
          <w:szCs w:val="19"/>
          <w:lang w:val="es-CO"/>
        </w:rPr>
        <w:t xml:space="preserve"> nivel de ingresos por actividades ordinarias anuales con base en el cual se determina el tamaño empresarial variará dependiendo del sector económico en el cual la empresa desarrolle su actividad</w:t>
      </w:r>
      <w:r w:rsidRPr="00FA2EC7">
        <w:rPr>
          <w:rFonts w:ascii="Arial" w:hAnsi="Arial" w:cs="Arial"/>
          <w:sz w:val="19"/>
          <w:szCs w:val="19"/>
        </w:rPr>
        <w:t>»</w:t>
      </w:r>
      <w:r w:rsidRPr="00FA2EC7">
        <w:rPr>
          <w:rFonts w:ascii="Arial" w:hAnsi="Arial" w:cs="Arial"/>
          <w:sz w:val="19"/>
          <w:szCs w:val="19"/>
          <w:lang w:val="es-CO"/>
        </w:rPr>
        <w:t>.</w:t>
      </w:r>
    </w:p>
    <w:p w14:paraId="06AD29CF" w14:textId="77777777" w:rsidR="00A16AF5" w:rsidRPr="00FA2EC7" w:rsidRDefault="00A16AF5" w:rsidP="00992C25">
      <w:pPr>
        <w:pStyle w:val="Textonotapie"/>
        <w:jc w:val="both"/>
        <w:rPr>
          <w:rFonts w:ascii="Arial" w:hAnsi="Arial" w:cs="Arial"/>
          <w:sz w:val="19"/>
          <w:szCs w:val="19"/>
          <w:lang w:val="es-CO"/>
        </w:rPr>
      </w:pPr>
    </w:p>
  </w:footnote>
  <w:footnote w:id="13">
    <w:p w14:paraId="3C299E20" w14:textId="77777777" w:rsidR="00A16AF5" w:rsidRPr="00FA2EC7" w:rsidRDefault="00A16AF5" w:rsidP="00F954FB">
      <w:pPr>
        <w:pBdr>
          <w:top w:val="nil"/>
          <w:left w:val="nil"/>
          <w:bottom w:val="nil"/>
          <w:right w:val="nil"/>
          <w:between w:val="nil"/>
        </w:pBdr>
        <w:spacing w:after="0"/>
        <w:ind w:firstLine="708"/>
        <w:jc w:val="both"/>
        <w:rPr>
          <w:rFonts w:ascii="Arial" w:eastAsia="Arial" w:hAnsi="Arial" w:cs="Arial"/>
          <w:color w:val="000000"/>
          <w:sz w:val="19"/>
          <w:szCs w:val="19"/>
        </w:rPr>
      </w:pPr>
      <w:r w:rsidRPr="00FA2EC7">
        <w:rPr>
          <w:rStyle w:val="Refdenotaalpie"/>
          <w:rFonts w:ascii="Arial" w:hAnsi="Arial" w:cs="Arial"/>
          <w:sz w:val="19"/>
          <w:szCs w:val="19"/>
        </w:rPr>
        <w:footnoteRef/>
      </w:r>
      <w:r w:rsidRPr="00FA2EC7">
        <w:rPr>
          <w:rFonts w:ascii="Arial" w:hAnsi="Arial" w:cs="Arial"/>
          <w:sz w:val="19"/>
          <w:szCs w:val="19"/>
        </w:rPr>
        <w:t xml:space="preserve"> </w:t>
      </w:r>
      <w:bookmarkStart w:id="14" w:name="2.2.1.13.2.2"/>
      <w:r w:rsidRPr="00FA2EC7">
        <w:rPr>
          <w:rFonts w:ascii="Arial" w:eastAsia="Arial" w:hAnsi="Arial" w:cs="Arial"/>
          <w:color w:val="000000"/>
          <w:sz w:val="19"/>
          <w:szCs w:val="19"/>
        </w:rPr>
        <w:t>«</w:t>
      </w:r>
      <w:r w:rsidRPr="00FA2EC7">
        <w:rPr>
          <w:rFonts w:ascii="Arial" w:hAnsi="Arial" w:cs="Arial"/>
          <w:sz w:val="19"/>
          <w:szCs w:val="19"/>
        </w:rPr>
        <w:t>Artículo 2.2.1.13.2.2. Rangos para la Definición del Tamaño Empresarial.</w:t>
      </w:r>
      <w:bookmarkEnd w:id="14"/>
      <w:r w:rsidRPr="00FA2EC7">
        <w:rPr>
          <w:rFonts w:ascii="Arial" w:hAnsi="Arial" w:cs="Arial"/>
          <w:sz w:val="19"/>
          <w:szCs w:val="19"/>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23A406BF"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1. Para el sector manufacturero:</w:t>
      </w:r>
    </w:p>
    <w:p w14:paraId="66A38E0C"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veintitrés mil quinientos sesenta y tres Unidades de Valor Tributario (23.563 UVT).</w:t>
      </w:r>
    </w:p>
    <w:p w14:paraId="2B8D5932"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8A3B026"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6AA98B9A"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2. Para el sector servicios:</w:t>
      </w:r>
    </w:p>
    <w:p w14:paraId="055D7F12"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treinta y dos mil novecientos ochenta y ocho Unidades de Valor Tributario (32.988 UVT).</w:t>
      </w:r>
    </w:p>
    <w:p w14:paraId="6EE08D22"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37934903"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2864D514"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3. Para el sector de comercio:</w:t>
      </w:r>
    </w:p>
    <w:p w14:paraId="3F4F23B4"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Microempresa. Aquella cuyos ingresos por actividades ordinarias anuales sean inferiores o iguales a cuarenta y cuatro mil setecientos sesenta y nueve Unidades de Valor Tributario (44.769 UVT).</w:t>
      </w:r>
    </w:p>
    <w:p w14:paraId="5A197626"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1DD66DC4" w14:textId="77777777" w:rsidR="00A16AF5" w:rsidRPr="00FA2EC7" w:rsidRDefault="00A16AF5" w:rsidP="00992C25">
      <w:pPr>
        <w:pStyle w:val="Textonotapie"/>
        <w:ind w:firstLine="709"/>
        <w:jc w:val="both"/>
        <w:rPr>
          <w:rFonts w:ascii="Arial" w:hAnsi="Arial" w:cs="Arial"/>
          <w:sz w:val="19"/>
          <w:szCs w:val="19"/>
          <w:lang w:val="es-CO"/>
        </w:rPr>
      </w:pPr>
      <w:r w:rsidRPr="00FA2EC7">
        <w:rPr>
          <w:rFonts w:ascii="Arial" w:hAnsi="Arial" w:cs="Arial"/>
          <w:sz w:val="19"/>
          <w:szCs w:val="19"/>
        </w:rPr>
        <w:t>»</w:t>
      </w:r>
      <w:r w:rsidRPr="00FA2EC7">
        <w:rPr>
          <w:rFonts w:ascii="Arial" w:hAnsi="Arial" w:cs="Arial"/>
          <w:sz w:val="19"/>
          <w:szCs w:val="19"/>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proofErr w:type="gramStart"/>
      <w:r w:rsidRPr="00FA2EC7">
        <w:rPr>
          <w:rFonts w:ascii="Arial" w:hAnsi="Arial" w:cs="Arial"/>
          <w:sz w:val="19"/>
          <w:szCs w:val="19"/>
          <w:lang w:val="es-CO"/>
        </w:rPr>
        <w:t>)</w:t>
      </w:r>
      <w:r w:rsidRPr="00FA2EC7">
        <w:rPr>
          <w:rFonts w:ascii="Arial" w:hAnsi="Arial" w:cs="Arial"/>
          <w:sz w:val="19"/>
          <w:szCs w:val="19"/>
        </w:rPr>
        <w:t xml:space="preserve"> »</w:t>
      </w:r>
      <w:proofErr w:type="gramEnd"/>
      <w:r w:rsidRPr="00FA2EC7">
        <w:rPr>
          <w:rFonts w:ascii="Arial" w:hAnsi="Arial" w:cs="Arial"/>
          <w:sz w:val="19"/>
          <w:szCs w:val="19"/>
          <w:lang w:val="es-CO"/>
        </w:rPr>
        <w:t>.</w:t>
      </w:r>
    </w:p>
    <w:p w14:paraId="463DC980" w14:textId="77777777" w:rsidR="00A16AF5" w:rsidRPr="00FA2EC7" w:rsidRDefault="00A16AF5" w:rsidP="00992C25">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000000">
    <w:pPr>
      <w:pStyle w:val="Encabezado"/>
    </w:pPr>
  </w:p>
  <w:p w14:paraId="33B94E75" w14:textId="77777777" w:rsidR="000E0524" w:rsidRDefault="00000000">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000000">
    <w:pPr>
      <w:pStyle w:val="Encabezado"/>
    </w:pPr>
  </w:p>
  <w:p w14:paraId="644AAD15" w14:textId="77777777" w:rsidR="000E0524" w:rsidRDefault="00000000">
    <w:pPr>
      <w:pStyle w:val="Encabezado"/>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690CE7"/>
    <w:multiLevelType w:val="multilevel"/>
    <w:tmpl w:val="A5A669A6"/>
    <w:lvl w:ilvl="0">
      <w:start w:val="1"/>
      <w:numFmt w:val="decimal"/>
      <w:lvlText w:val="%1."/>
      <w:lvlJc w:val="left"/>
      <w:pPr>
        <w:ind w:left="4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ascii="Arial" w:eastAsia="Arial" w:hAnsi="Arial" w:cs="Arial" w:hint="default"/>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num w:numId="1" w16cid:durableId="908228469">
    <w:abstractNumId w:val="3"/>
  </w:num>
  <w:num w:numId="2" w16cid:durableId="5673483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539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451004">
    <w:abstractNumId w:val="1"/>
  </w:num>
  <w:num w:numId="5" w16cid:durableId="907958584">
    <w:abstractNumId w:val="2"/>
  </w:num>
  <w:num w:numId="6" w16cid:durableId="2030178307">
    <w:abstractNumId w:val="5"/>
  </w:num>
  <w:num w:numId="7" w16cid:durableId="1860505768">
    <w:abstractNumId w:val="4"/>
  </w:num>
  <w:num w:numId="8" w16cid:durableId="548763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168DB"/>
    <w:rsid w:val="00021D35"/>
    <w:rsid w:val="00035B29"/>
    <w:rsid w:val="000360FA"/>
    <w:rsid w:val="000446AF"/>
    <w:rsid w:val="00051707"/>
    <w:rsid w:val="000567FA"/>
    <w:rsid w:val="0006071F"/>
    <w:rsid w:val="00062600"/>
    <w:rsid w:val="00064152"/>
    <w:rsid w:val="000768FC"/>
    <w:rsid w:val="00080181"/>
    <w:rsid w:val="0008758D"/>
    <w:rsid w:val="000948A6"/>
    <w:rsid w:val="00095070"/>
    <w:rsid w:val="000A1E6B"/>
    <w:rsid w:val="000A3F70"/>
    <w:rsid w:val="000A4FDF"/>
    <w:rsid w:val="000B175F"/>
    <w:rsid w:val="000B17A0"/>
    <w:rsid w:val="000C7F7B"/>
    <w:rsid w:val="000D37CE"/>
    <w:rsid w:val="000E0118"/>
    <w:rsid w:val="000E07E6"/>
    <w:rsid w:val="000E694B"/>
    <w:rsid w:val="000F3464"/>
    <w:rsid w:val="000F494E"/>
    <w:rsid w:val="000F4974"/>
    <w:rsid w:val="00105A22"/>
    <w:rsid w:val="00105C88"/>
    <w:rsid w:val="00106E68"/>
    <w:rsid w:val="00110BEB"/>
    <w:rsid w:val="00112AE8"/>
    <w:rsid w:val="00113845"/>
    <w:rsid w:val="001138C2"/>
    <w:rsid w:val="001160D2"/>
    <w:rsid w:val="00125568"/>
    <w:rsid w:val="0012669F"/>
    <w:rsid w:val="001274E9"/>
    <w:rsid w:val="00135FBD"/>
    <w:rsid w:val="00137E23"/>
    <w:rsid w:val="00140435"/>
    <w:rsid w:val="00141896"/>
    <w:rsid w:val="00143096"/>
    <w:rsid w:val="00143AA6"/>
    <w:rsid w:val="00143E3B"/>
    <w:rsid w:val="00146ED0"/>
    <w:rsid w:val="00160946"/>
    <w:rsid w:val="00161488"/>
    <w:rsid w:val="00163D53"/>
    <w:rsid w:val="001654DD"/>
    <w:rsid w:val="001676FE"/>
    <w:rsid w:val="001738E7"/>
    <w:rsid w:val="00180F7C"/>
    <w:rsid w:val="001843A9"/>
    <w:rsid w:val="00192E46"/>
    <w:rsid w:val="001A695E"/>
    <w:rsid w:val="001B3684"/>
    <w:rsid w:val="001B3693"/>
    <w:rsid w:val="001B774D"/>
    <w:rsid w:val="001C44AE"/>
    <w:rsid w:val="001D0096"/>
    <w:rsid w:val="001D387D"/>
    <w:rsid w:val="001D3CAB"/>
    <w:rsid w:val="001E24B3"/>
    <w:rsid w:val="001F057D"/>
    <w:rsid w:val="0020568C"/>
    <w:rsid w:val="00205BBD"/>
    <w:rsid w:val="002213DA"/>
    <w:rsid w:val="002223F1"/>
    <w:rsid w:val="002249F9"/>
    <w:rsid w:val="002347B5"/>
    <w:rsid w:val="00244370"/>
    <w:rsid w:val="00245150"/>
    <w:rsid w:val="002500ED"/>
    <w:rsid w:val="00265F9F"/>
    <w:rsid w:val="00270570"/>
    <w:rsid w:val="00270E5E"/>
    <w:rsid w:val="0027291A"/>
    <w:rsid w:val="0028017F"/>
    <w:rsid w:val="00285EF4"/>
    <w:rsid w:val="0029095A"/>
    <w:rsid w:val="00296BF5"/>
    <w:rsid w:val="0029739D"/>
    <w:rsid w:val="002A4E3C"/>
    <w:rsid w:val="002A5E9A"/>
    <w:rsid w:val="002B19FB"/>
    <w:rsid w:val="002B7FA3"/>
    <w:rsid w:val="002C39DE"/>
    <w:rsid w:val="002D4402"/>
    <w:rsid w:val="002D45F2"/>
    <w:rsid w:val="002D72D7"/>
    <w:rsid w:val="002E0DA3"/>
    <w:rsid w:val="002E143C"/>
    <w:rsid w:val="002E2585"/>
    <w:rsid w:val="002E4537"/>
    <w:rsid w:val="002E7A7F"/>
    <w:rsid w:val="002F16B5"/>
    <w:rsid w:val="00305F12"/>
    <w:rsid w:val="00307F9F"/>
    <w:rsid w:val="003120AF"/>
    <w:rsid w:val="00313E5A"/>
    <w:rsid w:val="00321104"/>
    <w:rsid w:val="00321C0B"/>
    <w:rsid w:val="003255AD"/>
    <w:rsid w:val="00327A12"/>
    <w:rsid w:val="003303C6"/>
    <w:rsid w:val="0033086A"/>
    <w:rsid w:val="003312CF"/>
    <w:rsid w:val="00332A1E"/>
    <w:rsid w:val="00335DED"/>
    <w:rsid w:val="00342268"/>
    <w:rsid w:val="00342A1C"/>
    <w:rsid w:val="003602F7"/>
    <w:rsid w:val="00361ADC"/>
    <w:rsid w:val="00363469"/>
    <w:rsid w:val="0036494A"/>
    <w:rsid w:val="003753EA"/>
    <w:rsid w:val="0038155E"/>
    <w:rsid w:val="003816CD"/>
    <w:rsid w:val="00383906"/>
    <w:rsid w:val="0038763D"/>
    <w:rsid w:val="003916E5"/>
    <w:rsid w:val="00392B77"/>
    <w:rsid w:val="0039522B"/>
    <w:rsid w:val="0039589F"/>
    <w:rsid w:val="003A1172"/>
    <w:rsid w:val="003A1C61"/>
    <w:rsid w:val="003A7142"/>
    <w:rsid w:val="003A7A79"/>
    <w:rsid w:val="003B177A"/>
    <w:rsid w:val="003C1D98"/>
    <w:rsid w:val="003C4AA9"/>
    <w:rsid w:val="003C51B4"/>
    <w:rsid w:val="003D17D2"/>
    <w:rsid w:val="003D1AF4"/>
    <w:rsid w:val="003E65D8"/>
    <w:rsid w:val="00400976"/>
    <w:rsid w:val="00402AE8"/>
    <w:rsid w:val="00404549"/>
    <w:rsid w:val="004052CC"/>
    <w:rsid w:val="004141A3"/>
    <w:rsid w:val="00415314"/>
    <w:rsid w:val="00423644"/>
    <w:rsid w:val="00431DE3"/>
    <w:rsid w:val="0043401A"/>
    <w:rsid w:val="00435FE1"/>
    <w:rsid w:val="004460CB"/>
    <w:rsid w:val="004605CA"/>
    <w:rsid w:val="004634E5"/>
    <w:rsid w:val="00466A8F"/>
    <w:rsid w:val="0046733C"/>
    <w:rsid w:val="0048163B"/>
    <w:rsid w:val="004858CE"/>
    <w:rsid w:val="004858E6"/>
    <w:rsid w:val="00485BD5"/>
    <w:rsid w:val="004875A5"/>
    <w:rsid w:val="00491536"/>
    <w:rsid w:val="004C7B7A"/>
    <w:rsid w:val="004D4097"/>
    <w:rsid w:val="004E20AA"/>
    <w:rsid w:val="004F1523"/>
    <w:rsid w:val="004F5DD8"/>
    <w:rsid w:val="00513144"/>
    <w:rsid w:val="00513D68"/>
    <w:rsid w:val="00514F32"/>
    <w:rsid w:val="005209DB"/>
    <w:rsid w:val="00521A09"/>
    <w:rsid w:val="00521FF3"/>
    <w:rsid w:val="00525B40"/>
    <w:rsid w:val="00531FBC"/>
    <w:rsid w:val="00543D8B"/>
    <w:rsid w:val="005553B1"/>
    <w:rsid w:val="00555F58"/>
    <w:rsid w:val="00564B0A"/>
    <w:rsid w:val="00585CB4"/>
    <w:rsid w:val="00586358"/>
    <w:rsid w:val="00594B61"/>
    <w:rsid w:val="005A3F16"/>
    <w:rsid w:val="005B3920"/>
    <w:rsid w:val="005B55E5"/>
    <w:rsid w:val="005C597A"/>
    <w:rsid w:val="005C5E92"/>
    <w:rsid w:val="005D4C4F"/>
    <w:rsid w:val="005D6A81"/>
    <w:rsid w:val="005E5EC6"/>
    <w:rsid w:val="005F6209"/>
    <w:rsid w:val="005F79D5"/>
    <w:rsid w:val="00613AAD"/>
    <w:rsid w:val="00620A5D"/>
    <w:rsid w:val="00623ADD"/>
    <w:rsid w:val="006243B0"/>
    <w:rsid w:val="006300FE"/>
    <w:rsid w:val="006408BD"/>
    <w:rsid w:val="006510E6"/>
    <w:rsid w:val="00655206"/>
    <w:rsid w:val="006601CA"/>
    <w:rsid w:val="00661CDD"/>
    <w:rsid w:val="00662DF1"/>
    <w:rsid w:val="0066416F"/>
    <w:rsid w:val="00676652"/>
    <w:rsid w:val="00680F7A"/>
    <w:rsid w:val="00681ECF"/>
    <w:rsid w:val="00683E90"/>
    <w:rsid w:val="006A25E1"/>
    <w:rsid w:val="006B129B"/>
    <w:rsid w:val="006B3402"/>
    <w:rsid w:val="006D0E8A"/>
    <w:rsid w:val="006D1F20"/>
    <w:rsid w:val="006D21AA"/>
    <w:rsid w:val="006D3523"/>
    <w:rsid w:val="006D3709"/>
    <w:rsid w:val="006D569D"/>
    <w:rsid w:val="006D7717"/>
    <w:rsid w:val="006F3E39"/>
    <w:rsid w:val="006F417B"/>
    <w:rsid w:val="00700298"/>
    <w:rsid w:val="00705FC8"/>
    <w:rsid w:val="007139A5"/>
    <w:rsid w:val="00715A2E"/>
    <w:rsid w:val="007252E2"/>
    <w:rsid w:val="00732C23"/>
    <w:rsid w:val="00733A0B"/>
    <w:rsid w:val="0073635D"/>
    <w:rsid w:val="00741F1E"/>
    <w:rsid w:val="00742C24"/>
    <w:rsid w:val="00750D1A"/>
    <w:rsid w:val="0075197B"/>
    <w:rsid w:val="00753BE7"/>
    <w:rsid w:val="00772E6E"/>
    <w:rsid w:val="00773AD1"/>
    <w:rsid w:val="007768CE"/>
    <w:rsid w:val="00776BBD"/>
    <w:rsid w:val="007774C6"/>
    <w:rsid w:val="00777F97"/>
    <w:rsid w:val="00781C9D"/>
    <w:rsid w:val="00783852"/>
    <w:rsid w:val="00787721"/>
    <w:rsid w:val="00792318"/>
    <w:rsid w:val="00792CE5"/>
    <w:rsid w:val="00795527"/>
    <w:rsid w:val="007979A2"/>
    <w:rsid w:val="007A01C3"/>
    <w:rsid w:val="007B08AC"/>
    <w:rsid w:val="007B7C8D"/>
    <w:rsid w:val="007C00FA"/>
    <w:rsid w:val="007C1198"/>
    <w:rsid w:val="007C3193"/>
    <w:rsid w:val="007C53DF"/>
    <w:rsid w:val="007D1469"/>
    <w:rsid w:val="007D1E2B"/>
    <w:rsid w:val="007D79D2"/>
    <w:rsid w:val="007E085E"/>
    <w:rsid w:val="007E14A3"/>
    <w:rsid w:val="007E56D6"/>
    <w:rsid w:val="007E7770"/>
    <w:rsid w:val="007F742D"/>
    <w:rsid w:val="007F7F65"/>
    <w:rsid w:val="008013EC"/>
    <w:rsid w:val="00805E08"/>
    <w:rsid w:val="0080741E"/>
    <w:rsid w:val="00814DCC"/>
    <w:rsid w:val="00824AFA"/>
    <w:rsid w:val="0082522E"/>
    <w:rsid w:val="0082556C"/>
    <w:rsid w:val="00830AB8"/>
    <w:rsid w:val="00836CD3"/>
    <w:rsid w:val="00836DE6"/>
    <w:rsid w:val="00850FBA"/>
    <w:rsid w:val="00852371"/>
    <w:rsid w:val="0085280B"/>
    <w:rsid w:val="00857300"/>
    <w:rsid w:val="00872709"/>
    <w:rsid w:val="00873DF2"/>
    <w:rsid w:val="008766CF"/>
    <w:rsid w:val="00876B50"/>
    <w:rsid w:val="00881F9F"/>
    <w:rsid w:val="0088226A"/>
    <w:rsid w:val="00882AEB"/>
    <w:rsid w:val="00884ACD"/>
    <w:rsid w:val="00892F74"/>
    <w:rsid w:val="00895A66"/>
    <w:rsid w:val="008A05B7"/>
    <w:rsid w:val="008A3E73"/>
    <w:rsid w:val="008A40A9"/>
    <w:rsid w:val="008A6B58"/>
    <w:rsid w:val="008B1801"/>
    <w:rsid w:val="008B1F27"/>
    <w:rsid w:val="008B2FFE"/>
    <w:rsid w:val="008B3F0D"/>
    <w:rsid w:val="008B5A1C"/>
    <w:rsid w:val="008B69D4"/>
    <w:rsid w:val="008C0F06"/>
    <w:rsid w:val="008C23F3"/>
    <w:rsid w:val="008C26D8"/>
    <w:rsid w:val="008C522E"/>
    <w:rsid w:val="008D648B"/>
    <w:rsid w:val="008E0D51"/>
    <w:rsid w:val="008E3D3C"/>
    <w:rsid w:val="008E4793"/>
    <w:rsid w:val="008F22D0"/>
    <w:rsid w:val="008F2381"/>
    <w:rsid w:val="008F7C0F"/>
    <w:rsid w:val="00900F79"/>
    <w:rsid w:val="00904AEE"/>
    <w:rsid w:val="009062F8"/>
    <w:rsid w:val="009165AE"/>
    <w:rsid w:val="00922868"/>
    <w:rsid w:val="00926EB3"/>
    <w:rsid w:val="009271C4"/>
    <w:rsid w:val="00936811"/>
    <w:rsid w:val="00936877"/>
    <w:rsid w:val="00947102"/>
    <w:rsid w:val="00947741"/>
    <w:rsid w:val="009523D4"/>
    <w:rsid w:val="00953264"/>
    <w:rsid w:val="00953A6D"/>
    <w:rsid w:val="00954527"/>
    <w:rsid w:val="00962B14"/>
    <w:rsid w:val="0096395E"/>
    <w:rsid w:val="00963F50"/>
    <w:rsid w:val="0096530C"/>
    <w:rsid w:val="0096558F"/>
    <w:rsid w:val="00974DA1"/>
    <w:rsid w:val="009762BE"/>
    <w:rsid w:val="009800E4"/>
    <w:rsid w:val="0098169D"/>
    <w:rsid w:val="009820AE"/>
    <w:rsid w:val="009831D2"/>
    <w:rsid w:val="009842B7"/>
    <w:rsid w:val="0099169C"/>
    <w:rsid w:val="00992C25"/>
    <w:rsid w:val="00992F7F"/>
    <w:rsid w:val="0099583D"/>
    <w:rsid w:val="009978CE"/>
    <w:rsid w:val="009A2C90"/>
    <w:rsid w:val="009A7A85"/>
    <w:rsid w:val="009C2884"/>
    <w:rsid w:val="009D1F65"/>
    <w:rsid w:val="009F248A"/>
    <w:rsid w:val="00A03DF9"/>
    <w:rsid w:val="00A11454"/>
    <w:rsid w:val="00A16AF5"/>
    <w:rsid w:val="00A2414D"/>
    <w:rsid w:val="00A30642"/>
    <w:rsid w:val="00A312D2"/>
    <w:rsid w:val="00A330E4"/>
    <w:rsid w:val="00A46EE2"/>
    <w:rsid w:val="00A5043E"/>
    <w:rsid w:val="00A74067"/>
    <w:rsid w:val="00A76848"/>
    <w:rsid w:val="00A7798F"/>
    <w:rsid w:val="00A805AD"/>
    <w:rsid w:val="00A81D15"/>
    <w:rsid w:val="00A85245"/>
    <w:rsid w:val="00A90992"/>
    <w:rsid w:val="00A923B6"/>
    <w:rsid w:val="00A934FA"/>
    <w:rsid w:val="00AA29DB"/>
    <w:rsid w:val="00AA5A4A"/>
    <w:rsid w:val="00AA7580"/>
    <w:rsid w:val="00AB1B4B"/>
    <w:rsid w:val="00AB23EE"/>
    <w:rsid w:val="00AC141D"/>
    <w:rsid w:val="00AC4C63"/>
    <w:rsid w:val="00AD2004"/>
    <w:rsid w:val="00AD5E67"/>
    <w:rsid w:val="00AE5FD6"/>
    <w:rsid w:val="00AE7E21"/>
    <w:rsid w:val="00AF68E7"/>
    <w:rsid w:val="00B02CD8"/>
    <w:rsid w:val="00B054A5"/>
    <w:rsid w:val="00B12226"/>
    <w:rsid w:val="00B172B8"/>
    <w:rsid w:val="00B264E1"/>
    <w:rsid w:val="00B362E6"/>
    <w:rsid w:val="00B418AF"/>
    <w:rsid w:val="00B42724"/>
    <w:rsid w:val="00B46B01"/>
    <w:rsid w:val="00B51C4D"/>
    <w:rsid w:val="00B57B5E"/>
    <w:rsid w:val="00B6004F"/>
    <w:rsid w:val="00B83B50"/>
    <w:rsid w:val="00B85808"/>
    <w:rsid w:val="00B87D51"/>
    <w:rsid w:val="00B91DD0"/>
    <w:rsid w:val="00B93232"/>
    <w:rsid w:val="00BA3777"/>
    <w:rsid w:val="00BA44B8"/>
    <w:rsid w:val="00BB4497"/>
    <w:rsid w:val="00BB5EB1"/>
    <w:rsid w:val="00BD0EBE"/>
    <w:rsid w:val="00BE0307"/>
    <w:rsid w:val="00BE0A45"/>
    <w:rsid w:val="00BE42B5"/>
    <w:rsid w:val="00BE63EC"/>
    <w:rsid w:val="00BE697C"/>
    <w:rsid w:val="00C0361C"/>
    <w:rsid w:val="00C04236"/>
    <w:rsid w:val="00C04C53"/>
    <w:rsid w:val="00C06717"/>
    <w:rsid w:val="00C06B8F"/>
    <w:rsid w:val="00C1261C"/>
    <w:rsid w:val="00C220AF"/>
    <w:rsid w:val="00C35490"/>
    <w:rsid w:val="00C4741C"/>
    <w:rsid w:val="00C55971"/>
    <w:rsid w:val="00C56D96"/>
    <w:rsid w:val="00C773B6"/>
    <w:rsid w:val="00C77B67"/>
    <w:rsid w:val="00C8019E"/>
    <w:rsid w:val="00CA30F2"/>
    <w:rsid w:val="00CB18C8"/>
    <w:rsid w:val="00CB37C5"/>
    <w:rsid w:val="00CC4B5F"/>
    <w:rsid w:val="00CC59A5"/>
    <w:rsid w:val="00CC679B"/>
    <w:rsid w:val="00CC7700"/>
    <w:rsid w:val="00CD7957"/>
    <w:rsid w:val="00CE184B"/>
    <w:rsid w:val="00CF4FBA"/>
    <w:rsid w:val="00CF5444"/>
    <w:rsid w:val="00CF77FF"/>
    <w:rsid w:val="00D0322E"/>
    <w:rsid w:val="00D04709"/>
    <w:rsid w:val="00D06B09"/>
    <w:rsid w:val="00D11207"/>
    <w:rsid w:val="00D11432"/>
    <w:rsid w:val="00D21D38"/>
    <w:rsid w:val="00D22494"/>
    <w:rsid w:val="00D2300D"/>
    <w:rsid w:val="00D330CF"/>
    <w:rsid w:val="00D351D8"/>
    <w:rsid w:val="00D41307"/>
    <w:rsid w:val="00D420E1"/>
    <w:rsid w:val="00D427A7"/>
    <w:rsid w:val="00D52443"/>
    <w:rsid w:val="00D57D87"/>
    <w:rsid w:val="00D62CA4"/>
    <w:rsid w:val="00D6487A"/>
    <w:rsid w:val="00D65A59"/>
    <w:rsid w:val="00D702B8"/>
    <w:rsid w:val="00D74F81"/>
    <w:rsid w:val="00D812EF"/>
    <w:rsid w:val="00D83E63"/>
    <w:rsid w:val="00DA5C08"/>
    <w:rsid w:val="00DA60DA"/>
    <w:rsid w:val="00DA6F89"/>
    <w:rsid w:val="00DA79B0"/>
    <w:rsid w:val="00DC58FD"/>
    <w:rsid w:val="00DE40F7"/>
    <w:rsid w:val="00DE44C4"/>
    <w:rsid w:val="00DE6321"/>
    <w:rsid w:val="00DF0396"/>
    <w:rsid w:val="00DF1B3A"/>
    <w:rsid w:val="00DF392A"/>
    <w:rsid w:val="00E03DA8"/>
    <w:rsid w:val="00E064A1"/>
    <w:rsid w:val="00E079B8"/>
    <w:rsid w:val="00E27E6F"/>
    <w:rsid w:val="00E3734C"/>
    <w:rsid w:val="00E40767"/>
    <w:rsid w:val="00E4514D"/>
    <w:rsid w:val="00E520EC"/>
    <w:rsid w:val="00E562D9"/>
    <w:rsid w:val="00E62C8E"/>
    <w:rsid w:val="00E65F3C"/>
    <w:rsid w:val="00E6736E"/>
    <w:rsid w:val="00E7047D"/>
    <w:rsid w:val="00E74F5B"/>
    <w:rsid w:val="00E90BCF"/>
    <w:rsid w:val="00E97B3F"/>
    <w:rsid w:val="00EA19FB"/>
    <w:rsid w:val="00EA2421"/>
    <w:rsid w:val="00EA3810"/>
    <w:rsid w:val="00EA5464"/>
    <w:rsid w:val="00EB3817"/>
    <w:rsid w:val="00EB4D78"/>
    <w:rsid w:val="00EB68A8"/>
    <w:rsid w:val="00EC388B"/>
    <w:rsid w:val="00EC5890"/>
    <w:rsid w:val="00EC763B"/>
    <w:rsid w:val="00EE6ED7"/>
    <w:rsid w:val="00EF0C29"/>
    <w:rsid w:val="00EF2364"/>
    <w:rsid w:val="00F007C7"/>
    <w:rsid w:val="00F1084D"/>
    <w:rsid w:val="00F13B14"/>
    <w:rsid w:val="00F24C03"/>
    <w:rsid w:val="00F26993"/>
    <w:rsid w:val="00F27A05"/>
    <w:rsid w:val="00F3073E"/>
    <w:rsid w:val="00F342A3"/>
    <w:rsid w:val="00F41D76"/>
    <w:rsid w:val="00F438E1"/>
    <w:rsid w:val="00F47F0C"/>
    <w:rsid w:val="00F509EB"/>
    <w:rsid w:val="00F5367A"/>
    <w:rsid w:val="00F56980"/>
    <w:rsid w:val="00F628C3"/>
    <w:rsid w:val="00F632EF"/>
    <w:rsid w:val="00F717E0"/>
    <w:rsid w:val="00F72D89"/>
    <w:rsid w:val="00F737A7"/>
    <w:rsid w:val="00F8644B"/>
    <w:rsid w:val="00F93DF9"/>
    <w:rsid w:val="00F954FB"/>
    <w:rsid w:val="00FA6BB4"/>
    <w:rsid w:val="00FA7837"/>
    <w:rsid w:val="00FB38EB"/>
    <w:rsid w:val="00FB3E2C"/>
    <w:rsid w:val="00FB6BCC"/>
    <w:rsid w:val="00FC177E"/>
    <w:rsid w:val="00FC40FF"/>
    <w:rsid w:val="00FD1A31"/>
    <w:rsid w:val="00FD4380"/>
    <w:rsid w:val="00FE60FB"/>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3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styleId="Mencinsinresolver">
    <w:name w:val="Unresolved Mention"/>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locked/>
    <w:rsid w:val="00586358"/>
    <w:rPr>
      <w:rFonts w:ascii="Times New Roman" w:hAnsi="Times New Roman" w:cs="Times New Roman"/>
      <w:sz w:val="24"/>
      <w:szCs w:val="24"/>
    </w:rPr>
  </w:style>
  <w:style w:type="paragraph" w:customStyle="1" w:styleId="paragraph">
    <w:name w:val="paragraph"/>
    <w:basedOn w:val="Normal"/>
    <w:rsid w:val="005C5E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C5E92"/>
  </w:style>
  <w:style w:type="character" w:customStyle="1" w:styleId="eop">
    <w:name w:val="eop"/>
    <w:basedOn w:val="Fuentedeprrafopredeter"/>
    <w:rsid w:val="005C5E92"/>
  </w:style>
  <w:style w:type="character" w:styleId="Textoennegrita">
    <w:name w:val="Strong"/>
    <w:basedOn w:val="Fuentedeprrafopredeter"/>
    <w:uiPriority w:val="22"/>
    <w:qFormat/>
    <w:rsid w:val="005C5E92"/>
    <w:rPr>
      <w:b/>
      <w:bCs/>
    </w:rPr>
  </w:style>
  <w:style w:type="character" w:styleId="nfasis">
    <w:name w:val="Emphasis"/>
    <w:basedOn w:val="Fuentedeprrafopredeter"/>
    <w:uiPriority w:val="20"/>
    <w:qFormat/>
    <w:rsid w:val="005C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457">
      <w:bodyDiv w:val="1"/>
      <w:marLeft w:val="0"/>
      <w:marRight w:val="0"/>
      <w:marTop w:val="0"/>
      <w:marBottom w:val="0"/>
      <w:divBdr>
        <w:top w:val="none" w:sz="0" w:space="0" w:color="auto"/>
        <w:left w:val="none" w:sz="0" w:space="0" w:color="auto"/>
        <w:bottom w:val="none" w:sz="0" w:space="0" w:color="auto"/>
        <w:right w:val="none" w:sz="0" w:space="0" w:color="auto"/>
      </w:divBdr>
    </w:div>
    <w:div w:id="90321378">
      <w:bodyDiv w:val="1"/>
      <w:marLeft w:val="0"/>
      <w:marRight w:val="0"/>
      <w:marTop w:val="0"/>
      <w:marBottom w:val="0"/>
      <w:divBdr>
        <w:top w:val="none" w:sz="0" w:space="0" w:color="auto"/>
        <w:left w:val="none" w:sz="0" w:space="0" w:color="auto"/>
        <w:bottom w:val="none" w:sz="0" w:space="0" w:color="auto"/>
        <w:right w:val="none" w:sz="0" w:space="0" w:color="auto"/>
      </w:divBdr>
    </w:div>
    <w:div w:id="122307263">
      <w:bodyDiv w:val="1"/>
      <w:marLeft w:val="0"/>
      <w:marRight w:val="0"/>
      <w:marTop w:val="0"/>
      <w:marBottom w:val="0"/>
      <w:divBdr>
        <w:top w:val="none" w:sz="0" w:space="0" w:color="auto"/>
        <w:left w:val="none" w:sz="0" w:space="0" w:color="auto"/>
        <w:bottom w:val="none" w:sz="0" w:space="0" w:color="auto"/>
        <w:right w:val="none" w:sz="0" w:space="0" w:color="auto"/>
      </w:divBdr>
    </w:div>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84486765">
      <w:bodyDiv w:val="1"/>
      <w:marLeft w:val="0"/>
      <w:marRight w:val="0"/>
      <w:marTop w:val="0"/>
      <w:marBottom w:val="0"/>
      <w:divBdr>
        <w:top w:val="none" w:sz="0" w:space="0" w:color="auto"/>
        <w:left w:val="none" w:sz="0" w:space="0" w:color="auto"/>
        <w:bottom w:val="none" w:sz="0" w:space="0" w:color="auto"/>
        <w:right w:val="none" w:sz="0" w:space="0" w:color="auto"/>
      </w:divBdr>
    </w:div>
    <w:div w:id="561255331">
      <w:bodyDiv w:val="1"/>
      <w:marLeft w:val="0"/>
      <w:marRight w:val="0"/>
      <w:marTop w:val="0"/>
      <w:marBottom w:val="0"/>
      <w:divBdr>
        <w:top w:val="none" w:sz="0" w:space="0" w:color="auto"/>
        <w:left w:val="none" w:sz="0" w:space="0" w:color="auto"/>
        <w:bottom w:val="none" w:sz="0" w:space="0" w:color="auto"/>
        <w:right w:val="none" w:sz="0" w:space="0" w:color="auto"/>
      </w:divBdr>
    </w:div>
    <w:div w:id="868831530">
      <w:bodyDiv w:val="1"/>
      <w:marLeft w:val="0"/>
      <w:marRight w:val="0"/>
      <w:marTop w:val="0"/>
      <w:marBottom w:val="0"/>
      <w:divBdr>
        <w:top w:val="none" w:sz="0" w:space="0" w:color="auto"/>
        <w:left w:val="none" w:sz="0" w:space="0" w:color="auto"/>
        <w:bottom w:val="none" w:sz="0" w:space="0" w:color="auto"/>
        <w:right w:val="none" w:sz="0" w:space="0" w:color="auto"/>
      </w:divBdr>
    </w:div>
    <w:div w:id="870338991">
      <w:bodyDiv w:val="1"/>
      <w:marLeft w:val="0"/>
      <w:marRight w:val="0"/>
      <w:marTop w:val="0"/>
      <w:marBottom w:val="0"/>
      <w:divBdr>
        <w:top w:val="none" w:sz="0" w:space="0" w:color="auto"/>
        <w:left w:val="none" w:sz="0" w:space="0" w:color="auto"/>
        <w:bottom w:val="none" w:sz="0" w:space="0" w:color="auto"/>
        <w:right w:val="none" w:sz="0" w:space="0" w:color="auto"/>
      </w:divBdr>
    </w:div>
    <w:div w:id="984579576">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099763178">
      <w:bodyDiv w:val="1"/>
      <w:marLeft w:val="0"/>
      <w:marRight w:val="0"/>
      <w:marTop w:val="0"/>
      <w:marBottom w:val="0"/>
      <w:divBdr>
        <w:top w:val="none" w:sz="0" w:space="0" w:color="auto"/>
        <w:left w:val="none" w:sz="0" w:space="0" w:color="auto"/>
        <w:bottom w:val="none" w:sz="0" w:space="0" w:color="auto"/>
        <w:right w:val="none" w:sz="0" w:space="0" w:color="auto"/>
      </w:divBdr>
    </w:div>
    <w:div w:id="1151217549">
      <w:bodyDiv w:val="1"/>
      <w:marLeft w:val="0"/>
      <w:marRight w:val="0"/>
      <w:marTop w:val="0"/>
      <w:marBottom w:val="0"/>
      <w:divBdr>
        <w:top w:val="none" w:sz="0" w:space="0" w:color="auto"/>
        <w:left w:val="none" w:sz="0" w:space="0" w:color="auto"/>
        <w:bottom w:val="none" w:sz="0" w:space="0" w:color="auto"/>
        <w:right w:val="none" w:sz="0" w:space="0" w:color="auto"/>
      </w:divBdr>
    </w:div>
    <w:div w:id="1330868798">
      <w:bodyDiv w:val="1"/>
      <w:marLeft w:val="0"/>
      <w:marRight w:val="0"/>
      <w:marTop w:val="0"/>
      <w:marBottom w:val="0"/>
      <w:divBdr>
        <w:top w:val="none" w:sz="0" w:space="0" w:color="auto"/>
        <w:left w:val="none" w:sz="0" w:space="0" w:color="auto"/>
        <w:bottom w:val="none" w:sz="0" w:space="0" w:color="auto"/>
        <w:right w:val="none" w:sz="0" w:space="0" w:color="auto"/>
      </w:divBdr>
    </w:div>
    <w:div w:id="1333408857">
      <w:bodyDiv w:val="1"/>
      <w:marLeft w:val="0"/>
      <w:marRight w:val="0"/>
      <w:marTop w:val="0"/>
      <w:marBottom w:val="0"/>
      <w:divBdr>
        <w:top w:val="none" w:sz="0" w:space="0" w:color="auto"/>
        <w:left w:val="none" w:sz="0" w:space="0" w:color="auto"/>
        <w:bottom w:val="none" w:sz="0" w:space="0" w:color="auto"/>
        <w:right w:val="none" w:sz="0" w:space="0" w:color="auto"/>
      </w:divBdr>
    </w:div>
    <w:div w:id="1339193609">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664577367">
      <w:bodyDiv w:val="1"/>
      <w:marLeft w:val="0"/>
      <w:marRight w:val="0"/>
      <w:marTop w:val="0"/>
      <w:marBottom w:val="0"/>
      <w:divBdr>
        <w:top w:val="none" w:sz="0" w:space="0" w:color="auto"/>
        <w:left w:val="none" w:sz="0" w:space="0" w:color="auto"/>
        <w:bottom w:val="none" w:sz="0" w:space="0" w:color="auto"/>
        <w:right w:val="none" w:sz="0" w:space="0" w:color="auto"/>
      </w:divBdr>
    </w:div>
    <w:div w:id="1753090449">
      <w:bodyDiv w:val="1"/>
      <w:marLeft w:val="0"/>
      <w:marRight w:val="0"/>
      <w:marTop w:val="0"/>
      <w:marBottom w:val="0"/>
      <w:divBdr>
        <w:top w:val="none" w:sz="0" w:space="0" w:color="auto"/>
        <w:left w:val="none" w:sz="0" w:space="0" w:color="auto"/>
        <w:bottom w:val="none" w:sz="0" w:space="0" w:color="auto"/>
        <w:right w:val="none" w:sz="0" w:space="0" w:color="auto"/>
      </w:divBdr>
    </w:div>
    <w:div w:id="1879538935">
      <w:bodyDiv w:val="1"/>
      <w:marLeft w:val="0"/>
      <w:marRight w:val="0"/>
      <w:marTop w:val="0"/>
      <w:marBottom w:val="0"/>
      <w:divBdr>
        <w:top w:val="none" w:sz="0" w:space="0" w:color="auto"/>
        <w:left w:val="none" w:sz="0" w:space="0" w:color="auto"/>
        <w:bottom w:val="none" w:sz="0" w:space="0" w:color="auto"/>
        <w:right w:val="none" w:sz="0" w:space="0" w:color="auto"/>
      </w:divBdr>
    </w:div>
    <w:div w:id="1893080616">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1989825869">
      <w:bodyDiv w:val="1"/>
      <w:marLeft w:val="0"/>
      <w:marRight w:val="0"/>
      <w:marTop w:val="0"/>
      <w:marBottom w:val="0"/>
      <w:divBdr>
        <w:top w:val="none" w:sz="0" w:space="0" w:color="auto"/>
        <w:left w:val="none" w:sz="0" w:space="0" w:color="auto"/>
        <w:bottom w:val="none" w:sz="0" w:space="0" w:color="auto"/>
        <w:right w:val="none" w:sz="0" w:space="0" w:color="auto"/>
      </w:divBdr>
    </w:div>
    <w:div w:id="2004427188">
      <w:bodyDiv w:val="1"/>
      <w:marLeft w:val="0"/>
      <w:marRight w:val="0"/>
      <w:marTop w:val="0"/>
      <w:marBottom w:val="0"/>
      <w:divBdr>
        <w:top w:val="none" w:sz="0" w:space="0" w:color="auto"/>
        <w:left w:val="none" w:sz="0" w:space="0" w:color="auto"/>
        <w:bottom w:val="none" w:sz="0" w:space="0" w:color="auto"/>
        <w:right w:val="none" w:sz="0" w:space="0" w:color="auto"/>
      </w:divBdr>
    </w:div>
    <w:div w:id="2048605028">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 w:id="21108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decreto_1082_2015.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contratacion2018@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svrpubindc.imprenta.gov.co/senado/" TargetMode="External"/><Relationship Id="rId4"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2.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4F58364-E443-419F-B667-FFA35627912D}"/>
</file>

<file path=customXml/itemProps4.xml><?xml version="1.0" encoding="utf-8"?>
<ds:datastoreItem xmlns:ds="http://schemas.openxmlformats.org/officeDocument/2006/customXml" ds:itemID="{66850F84-7B21-4CB1-A081-FBBBAC77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9275</Words>
  <Characters>51014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3</cp:revision>
  <dcterms:created xsi:type="dcterms:W3CDTF">2022-10-22T20:14:00Z</dcterms:created>
  <dcterms:modified xsi:type="dcterms:W3CDTF">2022-10-22T20:20:00Z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