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CAF6" w14:textId="77777777" w:rsidR="004B29A8" w:rsidRPr="00047858" w:rsidRDefault="004B29A8" w:rsidP="004B29A8">
      <w:pPr>
        <w:jc w:val="right"/>
        <w:rPr>
          <w:rFonts w:ascii="Arial" w:eastAsia="Times New Roman" w:hAnsi="Arial" w:cs="Arial"/>
          <w:sz w:val="16"/>
          <w:szCs w:val="16"/>
          <w:lang w:eastAsia="es-ES"/>
        </w:rPr>
      </w:pPr>
      <w:r w:rsidRPr="00047858">
        <w:rPr>
          <w:rFonts w:ascii="Arial" w:eastAsia="Times New Roman" w:hAnsi="Arial" w:cs="Arial"/>
          <w:sz w:val="16"/>
          <w:szCs w:val="16"/>
          <w:lang w:eastAsia="es-ES"/>
        </w:rPr>
        <w:t>CCE-DES-FM-17</w:t>
      </w:r>
    </w:p>
    <w:p w14:paraId="6EFE8324" w14:textId="77777777" w:rsidR="00174DDB" w:rsidRPr="00047858" w:rsidRDefault="00174DDB" w:rsidP="00174DDB">
      <w:pPr>
        <w:jc w:val="both"/>
        <w:rPr>
          <w:rFonts w:ascii="Arial" w:eastAsia="Calibri" w:hAnsi="Arial" w:cs="Arial"/>
          <w:b/>
          <w:bCs/>
          <w:color w:val="000000" w:themeColor="text1"/>
          <w:sz w:val="22"/>
          <w:lang w:val="es-ES" w:eastAsia="es-ES"/>
        </w:rPr>
      </w:pPr>
    </w:p>
    <w:p w14:paraId="347B3E0E" w14:textId="77777777" w:rsidR="00174DDB" w:rsidRPr="00047858" w:rsidRDefault="00174DDB" w:rsidP="001501C1">
      <w:pPr>
        <w:jc w:val="both"/>
        <w:rPr>
          <w:rFonts w:ascii="Arial" w:eastAsia="Arial" w:hAnsi="Arial" w:cs="Arial"/>
          <w:b/>
          <w:bCs/>
          <w:sz w:val="20"/>
          <w:szCs w:val="20"/>
          <w:lang w:eastAsia="es-CO"/>
        </w:rPr>
      </w:pPr>
      <w:bookmarkStart w:id="0" w:name="_Hlk72942111"/>
    </w:p>
    <w:p w14:paraId="1EFC97B1" w14:textId="06F13775" w:rsidR="00E4412D" w:rsidRPr="00047858" w:rsidRDefault="00E4412D" w:rsidP="00E4412D">
      <w:pPr>
        <w:rPr>
          <w:rFonts w:ascii="Arial" w:eastAsia="Calibri" w:hAnsi="Arial" w:cs="Arial"/>
          <w:b/>
          <w:bCs/>
          <w:color w:val="000000" w:themeColor="text1"/>
          <w:sz w:val="22"/>
          <w:lang w:val="es-ES_tradnl"/>
        </w:rPr>
      </w:pPr>
      <w:r w:rsidRPr="00047858">
        <w:rPr>
          <w:rFonts w:ascii="Arial" w:eastAsia="Calibri" w:hAnsi="Arial" w:cs="Arial"/>
          <w:b/>
          <w:bCs/>
          <w:color w:val="000000" w:themeColor="text1"/>
          <w:sz w:val="22"/>
          <w:lang w:val="es-ES_tradnl"/>
        </w:rPr>
        <w:t xml:space="preserve">SEGURIDAD SOCIAL </w:t>
      </w:r>
      <w:r w:rsidR="00063EA6" w:rsidRPr="00047858">
        <w:rPr>
          <w:rFonts w:ascii="Arial" w:eastAsia="Calibri" w:hAnsi="Arial" w:cs="Arial"/>
          <w:b/>
          <w:bCs/>
          <w:color w:val="000000" w:themeColor="text1"/>
          <w:sz w:val="22"/>
          <w:lang w:val="es-ES_tradnl"/>
        </w:rPr>
        <w:t>CONTRATO DE PRESTACIÓN DE SERVICIOS</w:t>
      </w:r>
      <w:r w:rsidR="00063EA6" w:rsidRPr="00047858">
        <w:rPr>
          <w:rFonts w:ascii="Arial" w:eastAsia="Calibri" w:hAnsi="Arial" w:cs="Arial"/>
          <w:b/>
          <w:color w:val="000000" w:themeColor="text1"/>
          <w:sz w:val="22"/>
        </w:rPr>
        <w:t xml:space="preserve"> </w:t>
      </w:r>
      <w:r w:rsidRPr="00047858">
        <w:rPr>
          <w:rFonts w:ascii="Arial" w:eastAsia="Calibri" w:hAnsi="Arial" w:cs="Arial"/>
          <w:b/>
          <w:color w:val="000000" w:themeColor="text1"/>
          <w:sz w:val="22"/>
        </w:rPr>
        <w:t>–</w:t>
      </w:r>
      <w:r w:rsidRPr="00047858">
        <w:rPr>
          <w:rFonts w:ascii="Arial" w:eastAsia="Calibri" w:hAnsi="Arial" w:cs="Arial"/>
          <w:b/>
          <w:bCs/>
          <w:color w:val="000000" w:themeColor="text1"/>
          <w:sz w:val="22"/>
          <w:lang w:val="es-ES_tradnl"/>
        </w:rPr>
        <w:t xml:space="preserve"> Verificación </w:t>
      </w:r>
      <w:r w:rsidRPr="00047858">
        <w:rPr>
          <w:rFonts w:ascii="Arial" w:eastAsia="Calibri" w:hAnsi="Arial" w:cs="Arial"/>
          <w:b/>
          <w:color w:val="000000" w:themeColor="text1"/>
          <w:sz w:val="22"/>
        </w:rPr>
        <w:t>–</w:t>
      </w:r>
      <w:r w:rsidRPr="00047858">
        <w:rPr>
          <w:rFonts w:ascii="Arial" w:eastAsia="Calibri" w:hAnsi="Arial" w:cs="Arial"/>
          <w:b/>
          <w:bCs/>
          <w:color w:val="000000" w:themeColor="text1"/>
          <w:sz w:val="22"/>
          <w:lang w:val="es-ES_tradnl"/>
        </w:rPr>
        <w:t xml:space="preserve"> Pago</w:t>
      </w:r>
    </w:p>
    <w:p w14:paraId="5B5422A3" w14:textId="77777777" w:rsidR="00E4412D" w:rsidRPr="00047858" w:rsidRDefault="00E4412D" w:rsidP="00E4412D">
      <w:pPr>
        <w:rPr>
          <w:rFonts w:ascii="Arial" w:eastAsia="Calibri" w:hAnsi="Arial" w:cs="Arial"/>
          <w:b/>
          <w:bCs/>
          <w:color w:val="000000" w:themeColor="text1"/>
          <w:sz w:val="20"/>
          <w:szCs w:val="20"/>
          <w:lang w:val="es-ES_tradnl"/>
        </w:rPr>
      </w:pPr>
    </w:p>
    <w:p w14:paraId="1F7F37E7" w14:textId="4FBFC28B" w:rsidR="00063EA6" w:rsidRPr="00047858" w:rsidRDefault="00063EA6" w:rsidP="00063EA6">
      <w:pPr>
        <w:spacing w:after="240"/>
        <w:jc w:val="both"/>
        <w:rPr>
          <w:rFonts w:ascii="Arial" w:hAnsi="Arial" w:cs="Arial"/>
          <w:color w:val="000000" w:themeColor="text1"/>
          <w:sz w:val="20"/>
          <w:szCs w:val="20"/>
          <w:lang w:val="es-ES_tradnl"/>
        </w:rPr>
      </w:pPr>
      <w:r w:rsidRPr="00047858">
        <w:rPr>
          <w:rFonts w:ascii="Arial" w:hAnsi="Arial" w:cs="Arial"/>
          <w:color w:val="000000" w:themeColor="text1"/>
          <w:sz w:val="20"/>
          <w:szCs w:val="20"/>
          <w:lang w:val="es-ES_tradnl"/>
        </w:rPr>
        <w:t xml:space="preserve">De la lectura integral del artículo 23 de la Ley 1150 de 2007 se infiere que, si bien los proponentes y los contratistas deben estar al día en el pago al Sistema de Seguridad Social Integral, la verificación de este requisito, por parte de las entidades estatales, se efectuará cuando realicen los pagos del contrato, es decir, durante la ejecución. </w:t>
      </w:r>
    </w:p>
    <w:p w14:paraId="1E7091E3" w14:textId="45997751" w:rsidR="00063EA6" w:rsidRPr="00047858" w:rsidRDefault="003922F0" w:rsidP="00063EA6">
      <w:pPr>
        <w:spacing w:after="240"/>
        <w:jc w:val="both"/>
        <w:rPr>
          <w:rFonts w:ascii="Arial" w:hAnsi="Arial" w:cs="Arial"/>
          <w:color w:val="000000" w:themeColor="text1"/>
          <w:sz w:val="20"/>
          <w:szCs w:val="20"/>
          <w:lang w:val="es-ES_tradnl"/>
        </w:rPr>
      </w:pPr>
      <w:r w:rsidRPr="003922F0">
        <w:rPr>
          <w:rFonts w:ascii="Arial" w:hAnsi="Arial" w:cs="Arial"/>
          <w:color w:val="000000" w:themeColor="text1"/>
          <w:sz w:val="20"/>
          <w:szCs w:val="20"/>
          <w:lang w:val="es-ES_tradnl"/>
        </w:rPr>
        <w:t xml:space="preserve">En este sentido, la verificación del aporte Sistema de Seguridad Social Integral cambia, dependiendo si se trata de una persona natural o de una jurídica: i) si es una natural, la entidad estatal verificará el pago al Sistema de Seguridad Social Integral cuando se realicen los pagos del contrato, es decir, durante su ejecución y </w:t>
      </w:r>
      <w:proofErr w:type="spellStart"/>
      <w:r w:rsidRPr="003922F0">
        <w:rPr>
          <w:rFonts w:ascii="Arial" w:hAnsi="Arial" w:cs="Arial"/>
          <w:color w:val="000000" w:themeColor="text1"/>
          <w:sz w:val="20"/>
          <w:szCs w:val="20"/>
          <w:lang w:val="es-ES_tradnl"/>
        </w:rPr>
        <w:t>ii</w:t>
      </w:r>
      <w:proofErr w:type="spellEnd"/>
      <w:r w:rsidRPr="003922F0">
        <w:rPr>
          <w:rFonts w:ascii="Arial" w:hAnsi="Arial" w:cs="Arial"/>
          <w:color w:val="000000" w:themeColor="text1"/>
          <w:sz w:val="20"/>
          <w:szCs w:val="20"/>
          <w:lang w:val="es-ES_tradnl"/>
        </w:rPr>
        <w:t>) si se refiere a una persona jurídica, el comprobante de pago de los aportes al Sistema de Seguridad Social Integral de sus empleados se debe aportar con la presentación de la oferta, y este constituye un criterio de admisión de la oferta; De igual forma, durante la ejecución del contrato, deberán acreditar que se encuentran al día en el pago de aportes parafiscales relativos al Sistema de Seguridad Social Integral, así como los propios del Sena, ICBF y Cajas de Compensación Familiar, cuando corresponda para pagar las cuentas o facturas.</w:t>
      </w:r>
      <w:r w:rsidR="00063EA6" w:rsidRPr="00047858">
        <w:rPr>
          <w:rFonts w:ascii="Arial" w:hAnsi="Arial" w:cs="Arial"/>
          <w:color w:val="000000" w:themeColor="text1"/>
          <w:sz w:val="20"/>
          <w:szCs w:val="20"/>
          <w:lang w:val="es-ES_tradnl"/>
        </w:rPr>
        <w:t xml:space="preserve"> </w:t>
      </w:r>
    </w:p>
    <w:p w14:paraId="1857CC6F" w14:textId="5F9981B6" w:rsidR="00063EA6" w:rsidRPr="00047858" w:rsidRDefault="00063EA6" w:rsidP="00063EA6">
      <w:pPr>
        <w:spacing w:after="240"/>
        <w:jc w:val="both"/>
        <w:rPr>
          <w:rFonts w:ascii="Arial" w:hAnsi="Arial" w:cs="Arial"/>
          <w:color w:val="000000" w:themeColor="text1"/>
          <w:sz w:val="20"/>
          <w:szCs w:val="20"/>
          <w:lang w:val="es-ES_tradnl"/>
        </w:rPr>
      </w:pPr>
      <w:r w:rsidRPr="00047858">
        <w:rPr>
          <w:rFonts w:ascii="Arial" w:hAnsi="Arial" w:cs="Arial"/>
          <w:color w:val="000000" w:themeColor="text1"/>
          <w:sz w:val="20"/>
          <w:szCs w:val="20"/>
          <w:lang w:val="es-ES_tradnl"/>
        </w:rPr>
        <w:t>Finalmente,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w:t>
      </w:r>
    </w:p>
    <w:p w14:paraId="25381100" w14:textId="77777777" w:rsidR="00E4412D" w:rsidRPr="00047858" w:rsidRDefault="00E4412D" w:rsidP="00E4412D">
      <w:pPr>
        <w:jc w:val="both"/>
        <w:rPr>
          <w:rFonts w:ascii="Arial" w:hAnsi="Arial" w:cs="Arial"/>
          <w:b/>
          <w:bCs/>
          <w:color w:val="000000" w:themeColor="text1"/>
          <w:sz w:val="22"/>
          <w:lang w:val="es-ES_tradnl"/>
        </w:rPr>
      </w:pPr>
      <w:r w:rsidRPr="00047858">
        <w:rPr>
          <w:rFonts w:ascii="Arial" w:eastAsia="Calibri" w:hAnsi="Arial" w:cs="Arial"/>
          <w:b/>
          <w:bCs/>
          <w:color w:val="000000" w:themeColor="text1"/>
          <w:sz w:val="22"/>
          <w:lang w:val="es-ES_tradnl"/>
        </w:rPr>
        <w:t xml:space="preserve">CONTRATO DE PRESTACIÓN DE SERVICIOS </w:t>
      </w:r>
      <w:r w:rsidRPr="00047858">
        <w:rPr>
          <w:rFonts w:ascii="Arial" w:eastAsia="Calibri" w:hAnsi="Arial" w:cs="Arial"/>
          <w:b/>
          <w:color w:val="000000" w:themeColor="text1"/>
          <w:sz w:val="22"/>
        </w:rPr>
        <w:t>–</w:t>
      </w:r>
      <w:r w:rsidRPr="00047858">
        <w:rPr>
          <w:rFonts w:ascii="Arial" w:eastAsia="Calibri" w:hAnsi="Arial" w:cs="Arial"/>
          <w:b/>
          <w:bCs/>
          <w:color w:val="000000" w:themeColor="text1"/>
          <w:sz w:val="22"/>
          <w:lang w:val="es-ES_tradnl"/>
        </w:rPr>
        <w:t xml:space="preserve"> Pagos </w:t>
      </w:r>
      <w:r w:rsidRPr="00047858">
        <w:rPr>
          <w:rFonts w:ascii="Arial" w:eastAsia="Calibri" w:hAnsi="Arial" w:cs="Arial"/>
          <w:b/>
          <w:color w:val="000000" w:themeColor="text1"/>
          <w:sz w:val="22"/>
        </w:rPr>
        <w:t>–</w:t>
      </w:r>
      <w:r w:rsidRPr="00047858">
        <w:rPr>
          <w:rFonts w:ascii="Arial" w:eastAsia="Calibri" w:hAnsi="Arial" w:cs="Arial"/>
          <w:b/>
          <w:bCs/>
          <w:color w:val="000000" w:themeColor="text1"/>
          <w:sz w:val="22"/>
          <w:lang w:val="es-ES_tradnl"/>
        </w:rPr>
        <w:t xml:space="preserve"> Seguridad social </w:t>
      </w:r>
      <w:r w:rsidRPr="00047858">
        <w:rPr>
          <w:rFonts w:ascii="Arial" w:eastAsia="Calibri" w:hAnsi="Arial" w:cs="Arial"/>
          <w:b/>
          <w:color w:val="000000" w:themeColor="text1"/>
          <w:sz w:val="22"/>
        </w:rPr>
        <w:t>–</w:t>
      </w:r>
      <w:r w:rsidRPr="00047858">
        <w:rPr>
          <w:rFonts w:ascii="Arial" w:eastAsia="Calibri" w:hAnsi="Arial" w:cs="Arial"/>
          <w:b/>
          <w:bCs/>
          <w:color w:val="000000" w:themeColor="text1"/>
          <w:sz w:val="22"/>
          <w:lang w:val="es-ES_tradnl"/>
        </w:rPr>
        <w:t xml:space="preserve"> Mes vencido</w:t>
      </w:r>
    </w:p>
    <w:p w14:paraId="72F0F96D" w14:textId="77777777" w:rsidR="00E4412D" w:rsidRPr="00047858" w:rsidRDefault="00E4412D" w:rsidP="00E4412D">
      <w:pPr>
        <w:rPr>
          <w:rFonts w:ascii="Arial" w:hAnsi="Arial" w:cs="Arial"/>
          <w:color w:val="000000" w:themeColor="text1"/>
          <w:sz w:val="20"/>
          <w:szCs w:val="20"/>
          <w:lang w:val="es-ES_tradnl"/>
        </w:rPr>
      </w:pPr>
    </w:p>
    <w:p w14:paraId="4BD4846F" w14:textId="5BCCF8A2" w:rsidR="00BB12C4" w:rsidRPr="00047858" w:rsidRDefault="00BB12C4" w:rsidP="00BB12C4">
      <w:pPr>
        <w:spacing w:after="240"/>
        <w:jc w:val="both"/>
        <w:rPr>
          <w:rFonts w:ascii="Arial" w:hAnsi="Arial" w:cs="Arial"/>
          <w:color w:val="000000" w:themeColor="text1"/>
          <w:sz w:val="20"/>
          <w:szCs w:val="20"/>
          <w:lang w:val="es-ES_tradnl"/>
        </w:rPr>
      </w:pPr>
      <w:r w:rsidRPr="00047858">
        <w:rPr>
          <w:rFonts w:ascii="Arial" w:hAnsi="Arial" w:cs="Arial"/>
          <w:color w:val="000000" w:themeColor="text1"/>
          <w:sz w:val="20"/>
          <w:szCs w:val="20"/>
          <w:lang w:val="es-ES_tradnl"/>
        </w:rPr>
        <w:t>[…] actualmente, el pago al sistema de Seguridad Social Integral por parte de los trabajadores independientes con contratos de prestación de servicios, le aplican las siguientes reglas: i) la base mínima de cotización es el 40% del valor mensualizado de ingresos o del contrato</w:t>
      </w:r>
      <w:r w:rsidR="00783074">
        <w:rPr>
          <w:rFonts w:ascii="Arial" w:hAnsi="Arial" w:cs="Arial"/>
          <w:color w:val="000000" w:themeColor="text1"/>
          <w:sz w:val="20"/>
          <w:szCs w:val="20"/>
          <w:lang w:val="es-ES_tradnl"/>
        </w:rPr>
        <w:t xml:space="preserve"> y</w:t>
      </w:r>
      <w:r w:rsidRPr="00047858">
        <w:rPr>
          <w:rFonts w:ascii="Arial" w:hAnsi="Arial" w:cs="Arial"/>
          <w:color w:val="000000" w:themeColor="text1"/>
          <w:sz w:val="20"/>
          <w:szCs w:val="20"/>
          <w:lang w:val="es-ES_tradnl"/>
        </w:rPr>
        <w:t xml:space="preserve">, </w:t>
      </w:r>
      <w:proofErr w:type="spellStart"/>
      <w:r w:rsidRPr="00047858">
        <w:rPr>
          <w:rFonts w:ascii="Arial" w:hAnsi="Arial" w:cs="Arial"/>
          <w:color w:val="000000" w:themeColor="text1"/>
          <w:sz w:val="20"/>
          <w:szCs w:val="20"/>
          <w:lang w:val="es-ES_tradnl"/>
        </w:rPr>
        <w:t>ii</w:t>
      </w:r>
      <w:proofErr w:type="spellEnd"/>
      <w:r w:rsidRPr="00047858">
        <w:rPr>
          <w:rFonts w:ascii="Arial" w:hAnsi="Arial" w:cs="Arial"/>
          <w:color w:val="000000" w:themeColor="text1"/>
          <w:sz w:val="20"/>
          <w:szCs w:val="20"/>
          <w:lang w:val="es-ES_tradnl"/>
        </w:rPr>
        <w:t xml:space="preserve">) la cotización se realizará mes vencido. </w:t>
      </w:r>
    </w:p>
    <w:p w14:paraId="219DAEEE" w14:textId="2F210BF9" w:rsidR="00E4412D" w:rsidRPr="00047858" w:rsidRDefault="00BB12C4" w:rsidP="00BB12C4">
      <w:pPr>
        <w:jc w:val="both"/>
        <w:rPr>
          <w:rFonts w:ascii="Arial" w:hAnsi="Arial" w:cs="Arial"/>
          <w:color w:val="000000" w:themeColor="text1"/>
          <w:sz w:val="20"/>
          <w:szCs w:val="20"/>
          <w:lang w:val="es-ES_tradnl"/>
        </w:rPr>
      </w:pPr>
      <w:r w:rsidRPr="00047858">
        <w:rPr>
          <w:rFonts w:ascii="Arial" w:hAnsi="Arial" w:cs="Arial"/>
          <w:color w:val="000000" w:themeColor="text1"/>
          <w:sz w:val="20"/>
          <w:szCs w:val="20"/>
          <w:lang w:val="es-ES_tradnl"/>
        </w:rPr>
        <w:t xml:space="preserve">Respecto de la oportunidad para el pago de los aportes, conviene mencionar que las entidades estatales deben respetar el derecho del contratista </w:t>
      </w:r>
      <w:r w:rsidR="00783074">
        <w:rPr>
          <w:rFonts w:ascii="Arial" w:hAnsi="Arial" w:cs="Arial"/>
          <w:color w:val="000000" w:themeColor="text1"/>
          <w:sz w:val="20"/>
          <w:szCs w:val="20"/>
          <w:lang w:val="es-ES_tradnl"/>
        </w:rPr>
        <w:t>de</w:t>
      </w:r>
      <w:r w:rsidRPr="00047858">
        <w:rPr>
          <w:rFonts w:ascii="Arial" w:hAnsi="Arial" w:cs="Arial"/>
          <w:color w:val="000000" w:themeColor="text1"/>
          <w:sz w:val="20"/>
          <w:szCs w:val="20"/>
          <w:lang w:val="es-ES_tradnl"/>
        </w:rPr>
        <w:t xml:space="preserve"> hacer los aportes al Sistema de Seguridad Social Integral a más tardar en las fechas indicadas en el artículo 3.2.2.1. del Decreto 1990 de 2016. Por tanto, en el último mes, el supervisor debe verificar que el contratista haya hecho sus aportes por lo devengado en el mes inmediatamente anterior.</w:t>
      </w:r>
    </w:p>
    <w:p w14:paraId="0F95F506" w14:textId="77777777" w:rsidR="004B29A8" w:rsidRPr="00047858" w:rsidRDefault="004B29A8" w:rsidP="004B29A8">
      <w:pPr>
        <w:tabs>
          <w:tab w:val="left" w:pos="3374"/>
        </w:tabs>
        <w:rPr>
          <w:rFonts w:ascii="Arial" w:eastAsia="Calibri" w:hAnsi="Arial" w:cs="Arial"/>
        </w:rPr>
      </w:pPr>
    </w:p>
    <w:p w14:paraId="06E5926B" w14:textId="77777777" w:rsidR="004B29A8" w:rsidRPr="00047858" w:rsidRDefault="004B29A8" w:rsidP="004B29A8">
      <w:pPr>
        <w:tabs>
          <w:tab w:val="left" w:pos="3374"/>
        </w:tabs>
        <w:rPr>
          <w:rFonts w:ascii="Arial" w:eastAsia="Calibri" w:hAnsi="Arial" w:cs="Arial"/>
        </w:rPr>
      </w:pPr>
    </w:p>
    <w:p w14:paraId="53B3072E" w14:textId="77777777" w:rsidR="00E4412D" w:rsidRPr="00047858" w:rsidRDefault="00E4412D">
      <w:pPr>
        <w:spacing w:after="200" w:line="276" w:lineRule="auto"/>
        <w:rPr>
          <w:rFonts w:ascii="Arial" w:eastAsia="Calibri" w:hAnsi="Arial" w:cs="Arial"/>
        </w:rPr>
      </w:pPr>
      <w:r w:rsidRPr="00047858">
        <w:rPr>
          <w:rFonts w:ascii="Arial" w:eastAsia="Calibri" w:hAnsi="Arial" w:cs="Arial"/>
        </w:rPr>
        <w:br w:type="page"/>
      </w:r>
    </w:p>
    <w:p w14:paraId="1B8938E7" w14:textId="7417CC17" w:rsidR="00DE1E1A" w:rsidRPr="00A729FE" w:rsidRDefault="004E2290" w:rsidP="004B29A8">
      <w:pPr>
        <w:tabs>
          <w:tab w:val="left" w:pos="3374"/>
        </w:tabs>
        <w:rPr>
          <w:rFonts w:ascii="Arial" w:eastAsia="Calibri" w:hAnsi="Arial" w:cs="Arial"/>
          <w:sz w:val="22"/>
        </w:rPr>
      </w:pPr>
      <w:r w:rsidRPr="00A729FE">
        <w:rPr>
          <w:rFonts w:ascii="Arial" w:eastAsia="Calibri" w:hAnsi="Arial" w:cs="Arial"/>
          <w:sz w:val="22"/>
        </w:rPr>
        <w:lastRenderedPageBreak/>
        <w:t xml:space="preserve">Bogotá D.C., </w:t>
      </w:r>
      <w:r w:rsidR="00047858" w:rsidRPr="00A729FE">
        <w:rPr>
          <w:rFonts w:ascii="Arial" w:eastAsia="Calibri" w:hAnsi="Arial" w:cs="Arial"/>
          <w:sz w:val="22"/>
        </w:rPr>
        <w:t>14 de octubre</w:t>
      </w:r>
      <w:r w:rsidR="00181B60" w:rsidRPr="00A729FE">
        <w:rPr>
          <w:rFonts w:ascii="Arial" w:eastAsia="Calibri" w:hAnsi="Arial" w:cs="Arial"/>
          <w:sz w:val="22"/>
        </w:rPr>
        <w:t xml:space="preserve"> de 2022</w:t>
      </w:r>
    </w:p>
    <w:p w14:paraId="04484D65" w14:textId="77777777" w:rsidR="004E2290" w:rsidRPr="00047858" w:rsidRDefault="004E2290" w:rsidP="004B29A8">
      <w:pPr>
        <w:tabs>
          <w:tab w:val="left" w:pos="3374"/>
        </w:tabs>
        <w:rPr>
          <w:rFonts w:ascii="Arial" w:eastAsia="Calibri" w:hAnsi="Arial" w:cs="Arial"/>
        </w:rPr>
      </w:pPr>
    </w:p>
    <w:p w14:paraId="4964C2F6" w14:textId="77777777" w:rsidR="00047858" w:rsidRDefault="00047858" w:rsidP="004B29A8">
      <w:pPr>
        <w:tabs>
          <w:tab w:val="left" w:pos="3374"/>
        </w:tabs>
        <w:rPr>
          <w:rFonts w:ascii="Arial" w:eastAsia="Calibri" w:hAnsi="Arial" w:cs="Arial"/>
          <w:sz w:val="22"/>
        </w:rPr>
      </w:pPr>
    </w:p>
    <w:p w14:paraId="1D4E7F51" w14:textId="3C3D5581" w:rsidR="00047858" w:rsidRDefault="004A1F73" w:rsidP="004A1F73">
      <w:pPr>
        <w:tabs>
          <w:tab w:val="left" w:pos="3374"/>
        </w:tabs>
        <w:jc w:val="right"/>
        <w:rPr>
          <w:rFonts w:ascii="Arial" w:eastAsia="Calibri" w:hAnsi="Arial" w:cs="Arial"/>
          <w:sz w:val="22"/>
        </w:rPr>
      </w:pPr>
      <w:r>
        <w:rPr>
          <w:noProof/>
        </w:rPr>
        <w:drawing>
          <wp:inline distT="0" distB="0" distL="0" distR="0" wp14:anchorId="1806012B" wp14:editId="5C342649">
            <wp:extent cx="253365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841" t="61931" r="18762" b="17122"/>
                    <a:stretch/>
                  </pic:blipFill>
                  <pic:spPr bwMode="auto">
                    <a:xfrm>
                      <a:off x="0" y="0"/>
                      <a:ext cx="2533650" cy="657225"/>
                    </a:xfrm>
                    <a:prstGeom prst="rect">
                      <a:avLst/>
                    </a:prstGeom>
                    <a:ln>
                      <a:noFill/>
                    </a:ln>
                    <a:extLst>
                      <a:ext uri="{53640926-AAD7-44D8-BBD7-CCE9431645EC}">
                        <a14:shadowObscured xmlns:a14="http://schemas.microsoft.com/office/drawing/2010/main"/>
                      </a:ext>
                    </a:extLst>
                  </pic:spPr>
                </pic:pic>
              </a:graphicData>
            </a:graphic>
          </wp:inline>
        </w:drawing>
      </w:r>
    </w:p>
    <w:p w14:paraId="5ECD5181" w14:textId="77777777" w:rsidR="00047858" w:rsidRDefault="00047858" w:rsidP="004B29A8">
      <w:pPr>
        <w:tabs>
          <w:tab w:val="left" w:pos="3374"/>
        </w:tabs>
        <w:rPr>
          <w:rFonts w:ascii="Arial" w:eastAsia="Calibri" w:hAnsi="Arial" w:cs="Arial"/>
          <w:sz w:val="22"/>
        </w:rPr>
      </w:pPr>
    </w:p>
    <w:p w14:paraId="712C8E98" w14:textId="05BCB110" w:rsidR="004B29A8" w:rsidRPr="00047858" w:rsidRDefault="004B29A8" w:rsidP="004B29A8">
      <w:pPr>
        <w:tabs>
          <w:tab w:val="left" w:pos="3374"/>
        </w:tabs>
        <w:rPr>
          <w:rFonts w:ascii="Arial" w:eastAsia="Calibri" w:hAnsi="Arial" w:cs="Arial"/>
          <w:sz w:val="22"/>
        </w:rPr>
      </w:pPr>
      <w:r w:rsidRPr="00047858">
        <w:rPr>
          <w:rFonts w:ascii="Arial" w:eastAsia="Calibri" w:hAnsi="Arial" w:cs="Arial"/>
          <w:sz w:val="22"/>
        </w:rPr>
        <w:t>Señor</w:t>
      </w:r>
      <w:r w:rsidR="00E4412D" w:rsidRPr="00047858">
        <w:rPr>
          <w:rFonts w:ascii="Arial" w:eastAsia="Calibri" w:hAnsi="Arial" w:cs="Arial"/>
          <w:sz w:val="22"/>
        </w:rPr>
        <w:t>a</w:t>
      </w:r>
    </w:p>
    <w:p w14:paraId="164E2710" w14:textId="5077B78F" w:rsidR="006B3014" w:rsidRPr="00047858" w:rsidRDefault="00E4412D" w:rsidP="004B29A8">
      <w:pPr>
        <w:rPr>
          <w:rFonts w:ascii="Arial" w:hAnsi="Arial" w:cs="Arial"/>
          <w:b/>
          <w:bCs/>
          <w:sz w:val="22"/>
          <w:lang w:val="es-ES"/>
        </w:rPr>
      </w:pPr>
      <w:r w:rsidRPr="00047858">
        <w:rPr>
          <w:rFonts w:ascii="Arial" w:hAnsi="Arial" w:cs="Arial"/>
          <w:b/>
          <w:bCs/>
          <w:sz w:val="22"/>
          <w:lang w:val="es-ES"/>
        </w:rPr>
        <w:t>Claudia Milena Barrios Rueda</w:t>
      </w:r>
    </w:p>
    <w:p w14:paraId="787235AC" w14:textId="30C845C9" w:rsidR="004B29A8" w:rsidRPr="00047858" w:rsidRDefault="00E4412D" w:rsidP="004B29A8">
      <w:pPr>
        <w:rPr>
          <w:rFonts w:ascii="Arial" w:eastAsia="Calibri" w:hAnsi="Arial" w:cs="Arial"/>
          <w:sz w:val="22"/>
        </w:rPr>
      </w:pPr>
      <w:r w:rsidRPr="00047858">
        <w:rPr>
          <w:rFonts w:ascii="Arial" w:eastAsia="Calibri" w:hAnsi="Arial" w:cs="Arial"/>
          <w:sz w:val="22"/>
        </w:rPr>
        <w:t>El Playón - Santander</w:t>
      </w:r>
    </w:p>
    <w:p w14:paraId="5081FE9F" w14:textId="77777777" w:rsidR="004B29A8" w:rsidRPr="00047858" w:rsidRDefault="004B29A8" w:rsidP="004B29A8">
      <w:pPr>
        <w:ind w:left="2116" w:firstLine="708"/>
        <w:rPr>
          <w:rFonts w:ascii="Arial" w:eastAsia="Calibri" w:hAnsi="Arial" w:cs="Arial"/>
          <w:b/>
          <w:sz w:val="22"/>
          <w:lang w:val="es-ES"/>
        </w:rPr>
      </w:pPr>
    </w:p>
    <w:p w14:paraId="2611EC69" w14:textId="77777777" w:rsidR="004B29A8" w:rsidRPr="00047858" w:rsidRDefault="004B29A8" w:rsidP="004B29A8">
      <w:pPr>
        <w:ind w:left="2116" w:firstLine="708"/>
        <w:rPr>
          <w:rFonts w:ascii="Arial" w:eastAsia="Calibri" w:hAnsi="Arial" w:cs="Arial"/>
          <w:b/>
          <w:sz w:val="22"/>
        </w:rPr>
      </w:pPr>
    </w:p>
    <w:p w14:paraId="18A73909" w14:textId="2D78D866" w:rsidR="004B29A8" w:rsidRPr="00047858" w:rsidRDefault="004B29A8" w:rsidP="004B29A8">
      <w:pPr>
        <w:ind w:left="2116" w:firstLine="708"/>
        <w:rPr>
          <w:rFonts w:ascii="Arial" w:eastAsia="Calibri" w:hAnsi="Arial" w:cs="Arial"/>
          <w:b/>
          <w:sz w:val="22"/>
        </w:rPr>
      </w:pPr>
      <w:r w:rsidRPr="00047858">
        <w:rPr>
          <w:rFonts w:ascii="Arial" w:eastAsia="Calibri" w:hAnsi="Arial" w:cs="Arial"/>
          <w:b/>
          <w:sz w:val="22"/>
        </w:rPr>
        <w:t>Concepto C – 6</w:t>
      </w:r>
      <w:r w:rsidR="00E4412D" w:rsidRPr="00047858">
        <w:rPr>
          <w:rFonts w:ascii="Arial" w:eastAsia="Calibri" w:hAnsi="Arial" w:cs="Arial"/>
          <w:b/>
          <w:sz w:val="22"/>
        </w:rPr>
        <w:t>79</w:t>
      </w:r>
      <w:r w:rsidRPr="00047858">
        <w:rPr>
          <w:rFonts w:ascii="Arial" w:eastAsia="Calibri" w:hAnsi="Arial" w:cs="Arial"/>
          <w:b/>
          <w:sz w:val="22"/>
        </w:rPr>
        <w:t xml:space="preserve"> de 2022</w:t>
      </w:r>
    </w:p>
    <w:p w14:paraId="29BFC81F" w14:textId="77777777" w:rsidR="004B29A8" w:rsidRPr="00047858" w:rsidRDefault="004B29A8" w:rsidP="004B29A8">
      <w:pPr>
        <w:ind w:left="2116" w:firstLine="708"/>
        <w:rPr>
          <w:rFonts w:ascii="Arial" w:eastAsia="Calibri" w:hAnsi="Arial" w:cs="Arial"/>
          <w:b/>
          <w:sz w:val="22"/>
        </w:rPr>
      </w:pPr>
    </w:p>
    <w:p w14:paraId="15C21DA5" w14:textId="4DDD0997" w:rsidR="003A2CD8" w:rsidRPr="00047858" w:rsidRDefault="004B29A8" w:rsidP="003A2CD8">
      <w:pPr>
        <w:ind w:left="2824" w:hanging="2824"/>
        <w:jc w:val="both"/>
        <w:rPr>
          <w:rFonts w:ascii="Arial" w:eastAsia="Calibri" w:hAnsi="Arial" w:cs="Arial"/>
          <w:bCs/>
          <w:color w:val="161616" w:themeColor="background1" w:themeShade="1A"/>
          <w:sz w:val="22"/>
          <w:lang w:val="es-ES"/>
        </w:rPr>
      </w:pPr>
      <w:r w:rsidRPr="00047858">
        <w:rPr>
          <w:rFonts w:ascii="Arial" w:eastAsia="Calibri" w:hAnsi="Arial" w:cs="Arial"/>
          <w:b/>
          <w:noProof/>
          <w:color w:val="161616" w:themeColor="background1" w:themeShade="1A"/>
          <w:sz w:val="22"/>
          <w:lang w:val="es-ES_tradnl"/>
        </w:rPr>
        <w:t>Temas</w:t>
      </w:r>
      <w:r w:rsidRPr="00047858">
        <w:rPr>
          <w:rFonts w:ascii="Arial" w:eastAsia="Calibri" w:hAnsi="Arial" w:cs="Arial"/>
          <w:bCs/>
          <w:noProof/>
          <w:color w:val="161616" w:themeColor="background1" w:themeShade="1A"/>
          <w:sz w:val="22"/>
          <w:lang w:val="es-ES_tradnl"/>
        </w:rPr>
        <w:t xml:space="preserve">: </w:t>
      </w:r>
      <w:r w:rsidRPr="00047858">
        <w:rPr>
          <w:rFonts w:ascii="Arial" w:eastAsia="Calibri" w:hAnsi="Arial" w:cs="Arial"/>
          <w:bCs/>
          <w:noProof/>
          <w:color w:val="161616" w:themeColor="background1" w:themeShade="1A"/>
          <w:sz w:val="22"/>
          <w:lang w:val="es-ES_tradnl"/>
        </w:rPr>
        <w:tab/>
      </w:r>
      <w:r w:rsidR="002A7778" w:rsidRPr="00047858">
        <w:rPr>
          <w:rFonts w:ascii="Arial" w:eastAsia="Calibri" w:hAnsi="Arial" w:cs="Arial"/>
          <w:bCs/>
          <w:color w:val="161616" w:themeColor="background1" w:themeShade="1A"/>
          <w:sz w:val="22"/>
          <w:lang w:val="es-ES_tradnl"/>
        </w:rPr>
        <w:t>SEGURIDAD SOCIAL CONTRATO DE PRESTACIÓN DE SERVICIOS – Verificación – Pago / CONTRATO DE PRESTACIÓN DE SERVICIOS – Pagos – Seguridad social – Mes vencido</w:t>
      </w:r>
    </w:p>
    <w:p w14:paraId="6243CD48" w14:textId="1D7077A6" w:rsidR="004B29A8" w:rsidRPr="00047858" w:rsidRDefault="004B29A8" w:rsidP="004B29A8">
      <w:pPr>
        <w:ind w:left="2824" w:hanging="2818"/>
        <w:jc w:val="both"/>
        <w:rPr>
          <w:rFonts w:ascii="Arial" w:eastAsia="Calibri" w:hAnsi="Arial" w:cs="Arial"/>
          <w:bCs/>
          <w:color w:val="161616" w:themeColor="background1" w:themeShade="1A"/>
          <w:sz w:val="22"/>
          <w:lang w:val="es-ES_tradnl"/>
        </w:rPr>
      </w:pPr>
    </w:p>
    <w:p w14:paraId="5E273A24" w14:textId="46C9397F" w:rsidR="004B29A8" w:rsidRPr="00047858" w:rsidRDefault="004B29A8" w:rsidP="004B29A8">
      <w:pPr>
        <w:ind w:left="2824" w:hanging="2818"/>
        <w:jc w:val="both"/>
        <w:rPr>
          <w:rFonts w:ascii="Arial" w:eastAsia="Calibri" w:hAnsi="Arial" w:cs="Arial"/>
          <w:bCs/>
          <w:noProof/>
          <w:color w:val="161616" w:themeColor="background1" w:themeShade="1A"/>
          <w:sz w:val="22"/>
          <w:lang w:val="es-ES_tradnl"/>
        </w:rPr>
      </w:pPr>
      <w:r w:rsidRPr="00047858">
        <w:rPr>
          <w:rFonts w:ascii="Arial" w:eastAsia="Calibri" w:hAnsi="Arial" w:cs="Arial"/>
          <w:b/>
          <w:noProof/>
          <w:color w:val="161616" w:themeColor="background1" w:themeShade="1A"/>
          <w:sz w:val="22"/>
          <w:lang w:val="es-ES_tradnl"/>
        </w:rPr>
        <w:t>Radicación</w:t>
      </w:r>
      <w:r w:rsidRPr="00047858">
        <w:rPr>
          <w:rFonts w:ascii="Arial" w:eastAsia="Calibri" w:hAnsi="Arial" w:cs="Arial"/>
          <w:bCs/>
          <w:noProof/>
          <w:color w:val="161616" w:themeColor="background1" w:themeShade="1A"/>
          <w:sz w:val="22"/>
          <w:lang w:val="es-ES_tradnl"/>
        </w:rPr>
        <w:t>:</w:t>
      </w:r>
      <w:r w:rsidRPr="00047858">
        <w:rPr>
          <w:rFonts w:ascii="Arial" w:eastAsia="Calibri" w:hAnsi="Arial" w:cs="Arial"/>
          <w:bCs/>
          <w:noProof/>
          <w:color w:val="161616" w:themeColor="background1" w:themeShade="1A"/>
          <w:sz w:val="22"/>
          <w:lang w:val="es-ES_tradnl"/>
        </w:rPr>
        <w:tab/>
        <w:t xml:space="preserve">Respuesta a consulta </w:t>
      </w:r>
      <w:r w:rsidR="00E4412D" w:rsidRPr="00047858">
        <w:rPr>
          <w:rFonts w:ascii="Arial" w:eastAsia="Calibri" w:hAnsi="Arial" w:cs="Arial"/>
          <w:bCs/>
          <w:noProof/>
          <w:color w:val="161616" w:themeColor="background1" w:themeShade="1A"/>
          <w:sz w:val="22"/>
          <w:lang w:val="es-ES_tradnl"/>
        </w:rPr>
        <w:t>P20220905008857</w:t>
      </w:r>
      <w:r w:rsidR="006B3014" w:rsidRPr="00047858">
        <w:rPr>
          <w:rFonts w:ascii="Arial" w:eastAsia="Calibri" w:hAnsi="Arial" w:cs="Arial"/>
          <w:bCs/>
          <w:noProof/>
          <w:color w:val="161616" w:themeColor="background1" w:themeShade="1A"/>
          <w:sz w:val="22"/>
          <w:lang w:val="es-ES_tradnl"/>
        </w:rPr>
        <w:t xml:space="preserve">. </w:t>
      </w:r>
    </w:p>
    <w:p w14:paraId="21EE6201" w14:textId="0FE256F7" w:rsidR="004B29A8" w:rsidRPr="00047858" w:rsidRDefault="004B29A8" w:rsidP="004B29A8">
      <w:pPr>
        <w:ind w:left="2824" w:hanging="2818"/>
        <w:jc w:val="both"/>
        <w:rPr>
          <w:rFonts w:ascii="Arial" w:eastAsia="Calibri" w:hAnsi="Arial" w:cs="Arial"/>
          <w:sz w:val="22"/>
          <w:lang w:val="es-ES_tradnl"/>
        </w:rPr>
      </w:pPr>
    </w:p>
    <w:p w14:paraId="1BEF3540" w14:textId="5BFCE543" w:rsidR="009B398C" w:rsidRPr="00047858" w:rsidRDefault="009B398C" w:rsidP="004B29A8">
      <w:pPr>
        <w:tabs>
          <w:tab w:val="left" w:pos="3374"/>
        </w:tabs>
        <w:rPr>
          <w:rFonts w:ascii="Arial" w:eastAsia="Calibri" w:hAnsi="Arial" w:cs="Arial"/>
          <w:sz w:val="22"/>
        </w:rPr>
      </w:pPr>
    </w:p>
    <w:p w14:paraId="1D596512" w14:textId="77777777" w:rsidR="00973017" w:rsidRPr="00047858" w:rsidRDefault="00973017" w:rsidP="004B29A8">
      <w:pPr>
        <w:tabs>
          <w:tab w:val="left" w:pos="3374"/>
        </w:tabs>
        <w:rPr>
          <w:rFonts w:ascii="Arial" w:eastAsia="Calibri" w:hAnsi="Arial" w:cs="Arial"/>
          <w:sz w:val="22"/>
        </w:rPr>
      </w:pPr>
    </w:p>
    <w:p w14:paraId="51327B8E" w14:textId="34008B55" w:rsidR="004B29A8" w:rsidRPr="00047858" w:rsidRDefault="004B29A8" w:rsidP="004B29A8">
      <w:pPr>
        <w:tabs>
          <w:tab w:val="left" w:pos="3374"/>
        </w:tabs>
        <w:rPr>
          <w:rFonts w:ascii="Arial" w:eastAsia="Calibri" w:hAnsi="Arial" w:cs="Arial"/>
          <w:sz w:val="22"/>
        </w:rPr>
      </w:pPr>
      <w:r w:rsidRPr="00047858">
        <w:rPr>
          <w:rFonts w:ascii="Arial" w:eastAsia="Calibri" w:hAnsi="Arial" w:cs="Arial"/>
          <w:sz w:val="22"/>
        </w:rPr>
        <w:t>Estimad</w:t>
      </w:r>
      <w:r w:rsidR="00E4412D" w:rsidRPr="00047858">
        <w:rPr>
          <w:rFonts w:ascii="Arial" w:eastAsia="Calibri" w:hAnsi="Arial" w:cs="Arial"/>
          <w:sz w:val="22"/>
        </w:rPr>
        <w:t>a</w:t>
      </w:r>
      <w:r w:rsidR="006B3014" w:rsidRPr="00047858">
        <w:rPr>
          <w:rFonts w:ascii="Arial" w:eastAsia="Calibri" w:hAnsi="Arial" w:cs="Arial"/>
          <w:sz w:val="22"/>
        </w:rPr>
        <w:t xml:space="preserve"> </w:t>
      </w:r>
      <w:r w:rsidRPr="00047858">
        <w:rPr>
          <w:rFonts w:ascii="Arial" w:eastAsia="Calibri" w:hAnsi="Arial" w:cs="Arial"/>
          <w:sz w:val="22"/>
        </w:rPr>
        <w:t>señor</w:t>
      </w:r>
      <w:r w:rsidR="00E4412D" w:rsidRPr="00047858">
        <w:rPr>
          <w:rFonts w:ascii="Arial" w:eastAsia="Calibri" w:hAnsi="Arial" w:cs="Arial"/>
          <w:sz w:val="22"/>
        </w:rPr>
        <w:t>a</w:t>
      </w:r>
      <w:r w:rsidRPr="00047858">
        <w:rPr>
          <w:rFonts w:ascii="Arial" w:hAnsi="Arial" w:cs="Arial"/>
          <w:sz w:val="22"/>
        </w:rPr>
        <w:t xml:space="preserve"> </w:t>
      </w:r>
      <w:r w:rsidR="00E4412D" w:rsidRPr="00047858">
        <w:rPr>
          <w:rFonts w:ascii="Arial" w:hAnsi="Arial" w:cs="Arial"/>
          <w:sz w:val="22"/>
        </w:rPr>
        <w:t>Barrios</w:t>
      </w:r>
      <w:r w:rsidR="006B3014" w:rsidRPr="00047858">
        <w:rPr>
          <w:rFonts w:ascii="Arial" w:hAnsi="Arial" w:cs="Arial"/>
          <w:sz w:val="22"/>
        </w:rPr>
        <w:t xml:space="preserve">, </w:t>
      </w:r>
      <w:r w:rsidR="009B398C" w:rsidRPr="00047858">
        <w:rPr>
          <w:rFonts w:ascii="Arial" w:hAnsi="Arial" w:cs="Arial"/>
          <w:sz w:val="22"/>
        </w:rPr>
        <w:t xml:space="preserve"> </w:t>
      </w:r>
      <w:r w:rsidRPr="00047858">
        <w:rPr>
          <w:rFonts w:ascii="Arial" w:hAnsi="Arial" w:cs="Arial"/>
          <w:sz w:val="22"/>
        </w:rPr>
        <w:t xml:space="preserve">  </w:t>
      </w:r>
    </w:p>
    <w:p w14:paraId="18BAE376" w14:textId="77777777" w:rsidR="004B29A8" w:rsidRPr="00047858" w:rsidRDefault="004B29A8" w:rsidP="004B29A8">
      <w:pPr>
        <w:spacing w:line="276" w:lineRule="auto"/>
        <w:jc w:val="both"/>
        <w:rPr>
          <w:rFonts w:ascii="Arial" w:eastAsia="Calibri" w:hAnsi="Arial" w:cs="Arial"/>
          <w:sz w:val="22"/>
        </w:rPr>
      </w:pPr>
    </w:p>
    <w:p w14:paraId="54B4D66B" w14:textId="0CA8DA5B" w:rsidR="004B29A8" w:rsidRPr="00047858" w:rsidRDefault="004B29A8" w:rsidP="004B29A8">
      <w:pPr>
        <w:spacing w:line="276" w:lineRule="auto"/>
        <w:jc w:val="both"/>
        <w:rPr>
          <w:rFonts w:ascii="Arial" w:eastAsia="Calibri" w:hAnsi="Arial" w:cs="Arial"/>
          <w:sz w:val="22"/>
        </w:rPr>
      </w:pPr>
      <w:r w:rsidRPr="00047858">
        <w:rPr>
          <w:rFonts w:ascii="Arial" w:eastAsia="Calibri" w:hAnsi="Arial" w:cs="Arial"/>
          <w:sz w:val="22"/>
        </w:rPr>
        <w:t>En ejercicio de la competencia otorgada por el numeral 8 del artículo 11 y el numeral 5 del artículo 3 del Decreto Ley 4170 de 2011, la Agencia Nacional de Contratación Pública− Colombia Compra Eficiente responde su consulta de fecha</w:t>
      </w:r>
      <w:r w:rsidR="006B3014" w:rsidRPr="00047858">
        <w:rPr>
          <w:rFonts w:ascii="Arial" w:eastAsia="Calibri" w:hAnsi="Arial" w:cs="Arial"/>
          <w:sz w:val="22"/>
        </w:rPr>
        <w:t xml:space="preserve"> </w:t>
      </w:r>
      <w:r w:rsidR="00E4412D" w:rsidRPr="00047858">
        <w:rPr>
          <w:rFonts w:ascii="Arial" w:eastAsia="Calibri" w:hAnsi="Arial" w:cs="Arial"/>
          <w:sz w:val="22"/>
        </w:rPr>
        <w:t>31</w:t>
      </w:r>
      <w:r w:rsidR="006B3014" w:rsidRPr="00047858">
        <w:rPr>
          <w:rFonts w:ascii="Arial" w:eastAsia="Calibri" w:hAnsi="Arial" w:cs="Arial"/>
          <w:sz w:val="22"/>
        </w:rPr>
        <w:t xml:space="preserve"> </w:t>
      </w:r>
      <w:r w:rsidRPr="00047858">
        <w:rPr>
          <w:rFonts w:ascii="Arial" w:eastAsia="Calibri" w:hAnsi="Arial" w:cs="Arial"/>
          <w:sz w:val="22"/>
        </w:rPr>
        <w:t xml:space="preserve">de </w:t>
      </w:r>
      <w:r w:rsidR="006B3014" w:rsidRPr="00047858">
        <w:rPr>
          <w:rFonts w:ascii="Arial" w:eastAsia="Calibri" w:hAnsi="Arial" w:cs="Arial"/>
          <w:sz w:val="22"/>
        </w:rPr>
        <w:t xml:space="preserve">agosto </w:t>
      </w:r>
      <w:r w:rsidRPr="00047858">
        <w:rPr>
          <w:rFonts w:ascii="Arial" w:eastAsia="Calibri" w:hAnsi="Arial" w:cs="Arial"/>
          <w:sz w:val="22"/>
        </w:rPr>
        <w:t>de 2022</w:t>
      </w:r>
      <w:r w:rsidR="00E4412D" w:rsidRPr="00047858">
        <w:rPr>
          <w:rFonts w:ascii="Arial" w:eastAsia="Calibri" w:hAnsi="Arial" w:cs="Arial"/>
          <w:sz w:val="22"/>
        </w:rPr>
        <w:t xml:space="preserve"> ante el Departamento Administrativo de la Función Pública y trasladada por competencia a esta entidad el 2 de septiembre de 2022</w:t>
      </w:r>
      <w:r w:rsidRPr="00047858">
        <w:rPr>
          <w:rFonts w:ascii="Arial" w:eastAsia="Calibri" w:hAnsi="Arial" w:cs="Arial"/>
          <w:sz w:val="22"/>
        </w:rPr>
        <w:t>.</w:t>
      </w:r>
    </w:p>
    <w:p w14:paraId="3892BBAF" w14:textId="77777777" w:rsidR="004B29A8" w:rsidRPr="00047858" w:rsidRDefault="004B29A8" w:rsidP="004B29A8">
      <w:pPr>
        <w:spacing w:line="276" w:lineRule="auto"/>
        <w:jc w:val="both"/>
        <w:rPr>
          <w:rFonts w:ascii="Arial" w:hAnsi="Arial" w:cs="Arial"/>
          <w:sz w:val="22"/>
          <w:lang w:val="es-ES_tradnl"/>
        </w:rPr>
      </w:pPr>
    </w:p>
    <w:p w14:paraId="7037093B" w14:textId="77777777" w:rsidR="004B29A8" w:rsidRPr="00047858" w:rsidRDefault="004B29A8" w:rsidP="004B29A8">
      <w:pPr>
        <w:tabs>
          <w:tab w:val="left" w:pos="284"/>
        </w:tabs>
        <w:spacing w:line="276" w:lineRule="auto"/>
        <w:contextualSpacing/>
        <w:jc w:val="both"/>
        <w:rPr>
          <w:rFonts w:ascii="Arial" w:eastAsia="Calibri" w:hAnsi="Arial" w:cs="Arial"/>
          <w:b/>
          <w:sz w:val="22"/>
        </w:rPr>
      </w:pPr>
      <w:r w:rsidRPr="00047858">
        <w:rPr>
          <w:rFonts w:ascii="Arial" w:eastAsia="Calibri" w:hAnsi="Arial" w:cs="Arial"/>
          <w:b/>
          <w:sz w:val="22"/>
        </w:rPr>
        <w:t xml:space="preserve">1. Problema planteado </w:t>
      </w:r>
    </w:p>
    <w:p w14:paraId="0A6A026A" w14:textId="77777777" w:rsidR="004B29A8" w:rsidRPr="00047858" w:rsidRDefault="004B29A8" w:rsidP="004B29A8">
      <w:pPr>
        <w:tabs>
          <w:tab w:val="left" w:pos="426"/>
        </w:tabs>
        <w:spacing w:line="276" w:lineRule="auto"/>
        <w:jc w:val="both"/>
        <w:rPr>
          <w:rFonts w:ascii="Arial" w:eastAsia="Calibri" w:hAnsi="Arial" w:cs="Arial"/>
          <w:sz w:val="22"/>
        </w:rPr>
      </w:pPr>
    </w:p>
    <w:p w14:paraId="1FEB583A" w14:textId="08D22744" w:rsidR="004B29A8" w:rsidRPr="00047858" w:rsidRDefault="004B29A8" w:rsidP="004B29A8">
      <w:pPr>
        <w:jc w:val="both"/>
        <w:rPr>
          <w:rFonts w:ascii="Arial" w:hAnsi="Arial" w:cs="Arial"/>
          <w:color w:val="161616" w:themeColor="background1" w:themeShade="1A"/>
          <w:sz w:val="22"/>
          <w:lang w:val="es-ES_tradnl"/>
        </w:rPr>
      </w:pPr>
      <w:r w:rsidRPr="00047858">
        <w:rPr>
          <w:rFonts w:ascii="Arial" w:hAnsi="Arial" w:cs="Arial"/>
          <w:color w:val="161616" w:themeColor="background1" w:themeShade="1A"/>
          <w:sz w:val="22"/>
          <w:lang w:val="es-ES_tradnl"/>
        </w:rPr>
        <w:t xml:space="preserve">Usted formula la siguiente consulta: </w:t>
      </w:r>
    </w:p>
    <w:p w14:paraId="01391F5E" w14:textId="77777777" w:rsidR="009B398C" w:rsidRPr="00047858" w:rsidRDefault="009B398C" w:rsidP="004B29A8">
      <w:pPr>
        <w:jc w:val="both"/>
        <w:rPr>
          <w:rFonts w:ascii="Arial" w:hAnsi="Arial" w:cs="Arial"/>
          <w:color w:val="161616" w:themeColor="background1" w:themeShade="1A"/>
          <w:sz w:val="22"/>
          <w:lang w:val="es-ES_tradnl"/>
        </w:rPr>
      </w:pPr>
    </w:p>
    <w:p w14:paraId="4EAD434E" w14:textId="1AFA3BAC" w:rsidR="00E4412D" w:rsidRPr="00047858" w:rsidRDefault="004B29A8" w:rsidP="002A7C02">
      <w:pPr>
        <w:ind w:left="567" w:right="900"/>
        <w:jc w:val="both"/>
        <w:rPr>
          <w:rFonts w:ascii="Arial" w:hAnsi="Arial" w:cs="Arial"/>
          <w:i/>
          <w:iCs/>
          <w:color w:val="000000"/>
          <w:sz w:val="21"/>
          <w:szCs w:val="21"/>
        </w:rPr>
      </w:pPr>
      <w:bookmarkStart w:id="1" w:name="_Hlk106025682"/>
      <w:r w:rsidRPr="00047858">
        <w:rPr>
          <w:rFonts w:ascii="Arial" w:hAnsi="Arial" w:cs="Arial"/>
          <w:i/>
          <w:iCs/>
          <w:color w:val="161616" w:themeColor="background1" w:themeShade="1A"/>
          <w:sz w:val="21"/>
          <w:szCs w:val="21"/>
        </w:rPr>
        <w:t>«</w:t>
      </w:r>
      <w:r w:rsidR="009B298B" w:rsidRPr="00047858">
        <w:rPr>
          <w:rFonts w:ascii="Arial" w:eastAsia="Calibri" w:hAnsi="Arial" w:cs="Arial"/>
          <w:bCs/>
          <w:i/>
          <w:iCs/>
          <w:sz w:val="20"/>
          <w:lang w:val="es-ES_tradnl"/>
        </w:rPr>
        <w:t>[…</w:t>
      </w:r>
      <w:r w:rsidR="004C4714" w:rsidRPr="00047858">
        <w:rPr>
          <w:rFonts w:ascii="Arial" w:eastAsia="Calibri" w:hAnsi="Arial" w:cs="Arial"/>
          <w:bCs/>
          <w:i/>
          <w:iCs/>
          <w:sz w:val="20"/>
          <w:lang w:val="es-ES_tradnl"/>
        </w:rPr>
        <w:t>]</w:t>
      </w:r>
      <w:r w:rsidR="004C4714" w:rsidRPr="00047858">
        <w:rPr>
          <w:rFonts w:ascii="Arial" w:hAnsi="Arial" w:cs="Arial"/>
          <w:i/>
          <w:iCs/>
          <w:color w:val="000000"/>
          <w:sz w:val="21"/>
          <w:szCs w:val="21"/>
        </w:rPr>
        <w:t xml:space="preserve"> </w:t>
      </w:r>
      <w:bookmarkStart w:id="2" w:name="_Hlk95313578"/>
      <w:r w:rsidR="00E4412D" w:rsidRPr="00047858">
        <w:rPr>
          <w:rFonts w:ascii="Arial" w:hAnsi="Arial" w:cs="Arial"/>
          <w:i/>
          <w:iCs/>
          <w:color w:val="000000"/>
          <w:sz w:val="21"/>
          <w:szCs w:val="21"/>
        </w:rPr>
        <w:t xml:space="preserve">1. ¿Puede la entidad estatal aceptar una planilla liquidada y pagada con un IBC base de un salario mínimo legal mensual vigente cuando los ingresos relacionados en su primer cobro son superiores a 1 </w:t>
      </w:r>
      <w:proofErr w:type="spellStart"/>
      <w:r w:rsidR="00E4412D" w:rsidRPr="00047858">
        <w:rPr>
          <w:rFonts w:ascii="Arial" w:hAnsi="Arial" w:cs="Arial"/>
          <w:i/>
          <w:iCs/>
          <w:color w:val="000000"/>
          <w:sz w:val="21"/>
          <w:szCs w:val="21"/>
        </w:rPr>
        <w:t>smlmv</w:t>
      </w:r>
      <w:proofErr w:type="spellEnd"/>
      <w:r w:rsidR="00E4412D" w:rsidRPr="00047858">
        <w:rPr>
          <w:rFonts w:ascii="Arial" w:hAnsi="Arial" w:cs="Arial"/>
          <w:i/>
          <w:iCs/>
          <w:color w:val="000000"/>
          <w:sz w:val="21"/>
          <w:szCs w:val="21"/>
        </w:rPr>
        <w:t>?</w:t>
      </w:r>
    </w:p>
    <w:p w14:paraId="67FBE4C5" w14:textId="77777777" w:rsidR="00E4412D" w:rsidRPr="00047858" w:rsidRDefault="00E4412D" w:rsidP="002A7C02">
      <w:pPr>
        <w:pStyle w:val="Textoindependiente"/>
        <w:ind w:left="567" w:right="474"/>
        <w:rPr>
          <w:rFonts w:eastAsiaTheme="minorHAnsi"/>
          <w:i/>
          <w:iCs/>
          <w:color w:val="000000"/>
          <w:sz w:val="21"/>
          <w:szCs w:val="21"/>
          <w:lang w:val="es-MX" w:eastAsia="en-US" w:bidi="ar-SA"/>
        </w:rPr>
      </w:pPr>
    </w:p>
    <w:p w14:paraId="7B0FA590" w14:textId="77777777" w:rsidR="002A7C02" w:rsidRPr="00047858" w:rsidRDefault="00E4412D" w:rsidP="002A7C02">
      <w:pPr>
        <w:ind w:left="567" w:right="900"/>
        <w:jc w:val="both"/>
        <w:rPr>
          <w:rFonts w:ascii="Arial" w:hAnsi="Arial" w:cs="Arial"/>
          <w:i/>
          <w:iCs/>
          <w:color w:val="000000"/>
          <w:sz w:val="21"/>
          <w:szCs w:val="21"/>
        </w:rPr>
      </w:pPr>
      <w:r w:rsidRPr="00047858">
        <w:rPr>
          <w:rFonts w:ascii="Arial" w:hAnsi="Arial" w:cs="Arial"/>
          <w:i/>
          <w:iCs/>
          <w:color w:val="000000"/>
          <w:sz w:val="21"/>
          <w:szCs w:val="21"/>
        </w:rPr>
        <w:lastRenderedPageBreak/>
        <w:t>2. ¿Puede la entidad estatal aceptar la planilla liquidada y pagada del mes de junio, teniendo en cuenta que presentó su cuenta de cobro al supervisor luego del 05 día hábil o ya no tendría vigencia tal planilla y en su defecto debe realizar el pago del mes julio y presentarla con su primer cobro?</w:t>
      </w:r>
    </w:p>
    <w:p w14:paraId="5FBC2AF5" w14:textId="77777777" w:rsidR="002A7C02" w:rsidRPr="00047858" w:rsidRDefault="002A7C02" w:rsidP="002A7C02">
      <w:pPr>
        <w:ind w:left="567" w:right="900"/>
        <w:jc w:val="both"/>
        <w:rPr>
          <w:rFonts w:ascii="Arial" w:hAnsi="Arial" w:cs="Arial"/>
          <w:i/>
          <w:iCs/>
          <w:color w:val="000000"/>
          <w:sz w:val="21"/>
          <w:szCs w:val="21"/>
        </w:rPr>
      </w:pPr>
    </w:p>
    <w:p w14:paraId="748C8A94" w14:textId="3D74BA9A" w:rsidR="00E4412D" w:rsidRPr="00047858" w:rsidRDefault="002A7C02" w:rsidP="002A7C02">
      <w:pPr>
        <w:ind w:left="567" w:right="900"/>
        <w:jc w:val="both"/>
        <w:rPr>
          <w:rFonts w:ascii="Arial" w:hAnsi="Arial" w:cs="Arial"/>
          <w:i/>
          <w:iCs/>
          <w:color w:val="000000"/>
          <w:sz w:val="21"/>
          <w:szCs w:val="21"/>
        </w:rPr>
      </w:pPr>
      <w:r w:rsidRPr="00047858">
        <w:rPr>
          <w:rFonts w:ascii="Arial" w:hAnsi="Arial" w:cs="Arial"/>
          <w:i/>
          <w:iCs/>
          <w:color w:val="000000"/>
          <w:sz w:val="21"/>
          <w:szCs w:val="21"/>
        </w:rPr>
        <w:t>3. ¿Qué se entiende por mes vencido de seguridad social</w:t>
      </w:r>
      <w:r w:rsidR="00E4412D" w:rsidRPr="00047858">
        <w:rPr>
          <w:rFonts w:ascii="Arial" w:hAnsi="Arial" w:cs="Arial"/>
          <w:i/>
          <w:iCs/>
          <w:color w:val="000000"/>
          <w:sz w:val="21"/>
          <w:szCs w:val="21"/>
        </w:rPr>
        <w:t>»</w:t>
      </w:r>
      <w:bookmarkEnd w:id="2"/>
    </w:p>
    <w:p w14:paraId="3DBD00A5" w14:textId="77777777" w:rsidR="002A7C02" w:rsidRPr="00047858" w:rsidRDefault="002A7C02" w:rsidP="002A7C02">
      <w:pPr>
        <w:ind w:left="567" w:right="900"/>
        <w:jc w:val="both"/>
        <w:rPr>
          <w:rFonts w:ascii="Arial" w:hAnsi="Arial" w:cs="Arial"/>
          <w:color w:val="000000"/>
          <w:sz w:val="21"/>
          <w:szCs w:val="21"/>
        </w:rPr>
      </w:pPr>
    </w:p>
    <w:bookmarkEnd w:id="1"/>
    <w:p w14:paraId="1AE8E5B5" w14:textId="77777777" w:rsidR="004B29A8" w:rsidRPr="00047858" w:rsidRDefault="004B29A8" w:rsidP="00A3528B">
      <w:pPr>
        <w:tabs>
          <w:tab w:val="left" w:pos="426"/>
        </w:tabs>
        <w:spacing w:after="240" w:line="276" w:lineRule="auto"/>
        <w:jc w:val="both"/>
        <w:rPr>
          <w:rFonts w:ascii="Arial" w:eastAsia="Calibri" w:hAnsi="Arial" w:cs="Arial"/>
          <w:b/>
          <w:sz w:val="22"/>
        </w:rPr>
      </w:pPr>
      <w:r w:rsidRPr="00047858">
        <w:rPr>
          <w:rFonts w:ascii="Arial" w:eastAsia="Calibri" w:hAnsi="Arial" w:cs="Arial"/>
          <w:b/>
          <w:sz w:val="22"/>
        </w:rPr>
        <w:t>2. Consideraciones</w:t>
      </w:r>
    </w:p>
    <w:p w14:paraId="7AC07C49" w14:textId="77777777" w:rsidR="00E71A56" w:rsidRPr="00047858" w:rsidRDefault="00E71A56" w:rsidP="00A3528B">
      <w:pPr>
        <w:tabs>
          <w:tab w:val="left" w:pos="426"/>
        </w:tabs>
        <w:spacing w:after="240" w:line="276" w:lineRule="auto"/>
        <w:jc w:val="both"/>
        <w:rPr>
          <w:rFonts w:ascii="Arial" w:hAnsi="Arial" w:cs="Arial"/>
          <w:sz w:val="22"/>
        </w:rPr>
      </w:pPr>
      <w:r w:rsidRPr="00047858">
        <w:rPr>
          <w:rFonts w:ascii="Arial" w:hAnsi="Arial" w:cs="Arial"/>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456CF035" w14:textId="13730FDA" w:rsidR="00E71A56" w:rsidRPr="00047858" w:rsidRDefault="00E71A56" w:rsidP="00A3528B">
      <w:pPr>
        <w:tabs>
          <w:tab w:val="left" w:pos="426"/>
        </w:tabs>
        <w:spacing w:after="240" w:line="276" w:lineRule="auto"/>
        <w:jc w:val="both"/>
        <w:rPr>
          <w:rFonts w:ascii="Arial" w:hAnsi="Arial" w:cs="Arial"/>
          <w:sz w:val="22"/>
        </w:rPr>
      </w:pPr>
      <w:r w:rsidRPr="00047858">
        <w:rPr>
          <w:rFonts w:ascii="Arial" w:hAnsi="Arial" w:cs="Arial"/>
          <w:sz w:val="22"/>
        </w:rPr>
        <w:tab/>
      </w:r>
      <w:r w:rsidRPr="00047858">
        <w:rPr>
          <w:rFonts w:ascii="Arial" w:hAnsi="Arial" w:cs="Arial"/>
          <w:sz w:val="22"/>
        </w:rPr>
        <w:tab/>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w:t>
      </w:r>
      <w:r w:rsidR="002A7C02" w:rsidRPr="00047858">
        <w:rPr>
          <w:rFonts w:ascii="Arial" w:hAnsi="Arial" w:cs="Arial"/>
          <w:sz w:val="22"/>
        </w:rPr>
        <w:t>cada</w:t>
      </w:r>
      <w:r w:rsidRPr="00047858">
        <w:rPr>
          <w:rFonts w:ascii="Arial" w:hAnsi="Arial" w:cs="Arial"/>
          <w:sz w:val="22"/>
        </w:rPr>
        <w:t xml:space="preserve"> entidad y, en caso de conflicto, a las autoridades judiciales, fiscales y disciplinarias. </w:t>
      </w:r>
    </w:p>
    <w:p w14:paraId="0B15868E" w14:textId="27DF40F9" w:rsidR="00E71A56" w:rsidRPr="00047858" w:rsidRDefault="00E71A56" w:rsidP="00A3528B">
      <w:pPr>
        <w:tabs>
          <w:tab w:val="left" w:pos="426"/>
        </w:tabs>
        <w:spacing w:after="240" w:line="276" w:lineRule="auto"/>
        <w:ind w:firstLine="709"/>
        <w:jc w:val="both"/>
        <w:rPr>
          <w:rFonts w:ascii="Arial" w:eastAsia="Arial" w:hAnsi="Arial" w:cs="Arial"/>
          <w:color w:val="000000" w:themeColor="text1"/>
          <w:sz w:val="22"/>
          <w:lang w:val="es-ES_tradnl"/>
        </w:rPr>
      </w:pPr>
      <w:r w:rsidRPr="00047858">
        <w:rPr>
          <w:rFonts w:ascii="Arial" w:hAnsi="Arial" w:cs="Arial"/>
          <w:sz w:val="22"/>
        </w:rPr>
        <w:t xml:space="preserve">Sin perjuicio de lo anterior, la Subdirección </w:t>
      </w:r>
      <w:r w:rsidR="007832C3" w:rsidRPr="00047858">
        <w:rPr>
          <w:rFonts w:ascii="Arial" w:hAnsi="Arial" w:cs="Arial"/>
          <w:sz w:val="22"/>
        </w:rPr>
        <w:t xml:space="preserve">de </w:t>
      </w:r>
      <w:r w:rsidR="006A5630" w:rsidRPr="00047858">
        <w:rPr>
          <w:rFonts w:ascii="Arial" w:hAnsi="Arial" w:cs="Arial"/>
          <w:sz w:val="22"/>
        </w:rPr>
        <w:t>Gestión Contractual</w:t>
      </w:r>
      <w:r w:rsidR="007832C3" w:rsidRPr="00047858">
        <w:rPr>
          <w:rFonts w:ascii="Arial" w:hAnsi="Arial" w:cs="Arial"/>
          <w:sz w:val="22"/>
        </w:rPr>
        <w:t xml:space="preserve"> de la Agencia Nacional de Contratación Pública – Colombia Compra Eficiente,</w:t>
      </w:r>
      <w:r w:rsidR="006A5630" w:rsidRPr="00047858">
        <w:rPr>
          <w:rFonts w:ascii="Arial" w:hAnsi="Arial" w:cs="Arial"/>
          <w:sz w:val="22"/>
        </w:rPr>
        <w:t xml:space="preserve"> </w:t>
      </w:r>
      <w:r w:rsidRPr="00047858">
        <w:rPr>
          <w:rFonts w:ascii="Arial" w:hAnsi="Arial" w:cs="Arial"/>
          <w:sz w:val="22"/>
        </w:rPr>
        <w:t xml:space="preserve">dentro de los límites de sus atribuciones, esto es, haciendo abstracción del caso particular expuesto por el peticionario– resolverá la consulta conforme a las normas generales en materia de contratación estatal. </w:t>
      </w:r>
    </w:p>
    <w:p w14:paraId="4851D72E" w14:textId="7DE9DBC2" w:rsidR="002B7BD0" w:rsidRPr="00047858" w:rsidRDefault="00571663" w:rsidP="00A3528B">
      <w:pPr>
        <w:spacing w:after="240" w:line="276" w:lineRule="auto"/>
        <w:ind w:firstLine="708"/>
        <w:jc w:val="both"/>
        <w:rPr>
          <w:rFonts w:ascii="Arial" w:eastAsia="Arial" w:hAnsi="Arial" w:cs="Arial"/>
          <w:sz w:val="22"/>
        </w:rPr>
      </w:pPr>
      <w:r w:rsidRPr="00047858">
        <w:rPr>
          <w:rFonts w:ascii="Arial" w:hAnsi="Arial" w:cs="Arial"/>
          <w:sz w:val="22"/>
          <w:lang w:val="es-ES"/>
        </w:rPr>
        <w:t xml:space="preserve">La Agencia Nacional de Contratación Pública – Colombia Compra Eficiente </w:t>
      </w:r>
      <w:r w:rsidR="00540BD2" w:rsidRPr="00047858">
        <w:rPr>
          <w:rFonts w:ascii="Arial" w:hAnsi="Arial" w:cs="Arial"/>
          <w:sz w:val="22"/>
        </w:rPr>
        <w:t xml:space="preserve">se pronunció sobre el régimen de seguridad social en los conceptos radicados 42019130000005594 de 30 de septiembre de 2019, 4201913000006384 de 21 de octubre de 2019, 4201912000007492 de 17 de diciembre de 2019, C-040 de 5 de febrero de 2020 y, C-042 de 5 de febrero de 2020, C-205 del 07 de abril de 2020, C-134 del 07 de abril de </w:t>
      </w:r>
      <w:r w:rsidR="00540BD2" w:rsidRPr="00047858">
        <w:rPr>
          <w:rFonts w:ascii="Arial" w:hAnsi="Arial" w:cs="Arial"/>
          <w:sz w:val="22"/>
        </w:rPr>
        <w:lastRenderedPageBreak/>
        <w:t xml:space="preserve">2021 y C-181 del 7 de abril de 2022. </w:t>
      </w:r>
      <w:r w:rsidR="00540BD2" w:rsidRPr="00047858">
        <w:rPr>
          <w:rFonts w:ascii="Arial" w:eastAsia="Calibri" w:hAnsi="Arial" w:cs="Arial"/>
          <w:color w:val="000000" w:themeColor="text1"/>
          <w:sz w:val="22"/>
        </w:rPr>
        <w:t>Las tesis expuestas en estos conceptos se desarrollan y se complementan en lo pertinente a continuación</w:t>
      </w:r>
      <w:r w:rsidR="00EA405F" w:rsidRPr="00047858">
        <w:rPr>
          <w:rFonts w:ascii="Arial" w:eastAsia="Arial" w:hAnsi="Arial" w:cs="Arial"/>
          <w:sz w:val="22"/>
        </w:rPr>
        <w:t>.</w:t>
      </w:r>
    </w:p>
    <w:p w14:paraId="248A390E" w14:textId="79621614" w:rsidR="00A76554" w:rsidRPr="00047858" w:rsidRDefault="004B29A8" w:rsidP="00A3528B">
      <w:pPr>
        <w:spacing w:after="240" w:line="276" w:lineRule="auto"/>
        <w:jc w:val="both"/>
        <w:rPr>
          <w:rFonts w:ascii="Arial" w:hAnsi="Arial" w:cs="Arial"/>
          <w:b/>
          <w:color w:val="000000" w:themeColor="text1"/>
          <w:sz w:val="22"/>
        </w:rPr>
      </w:pPr>
      <w:r w:rsidRPr="00047858">
        <w:rPr>
          <w:rFonts w:ascii="Arial" w:hAnsi="Arial" w:cs="Arial"/>
          <w:b/>
          <w:bCs/>
          <w:sz w:val="22"/>
        </w:rPr>
        <w:t xml:space="preserve">2.1. </w:t>
      </w:r>
      <w:r w:rsidR="00A76554" w:rsidRPr="00047858">
        <w:rPr>
          <w:rFonts w:ascii="Arial" w:hAnsi="Arial" w:cs="Arial"/>
          <w:b/>
          <w:color w:val="000000" w:themeColor="text1"/>
          <w:sz w:val="22"/>
        </w:rPr>
        <w:t>Verificación del pago de la seguridad social en los contratos</w:t>
      </w:r>
      <w:r w:rsidR="001319FF" w:rsidRPr="00047858">
        <w:rPr>
          <w:rFonts w:ascii="Arial" w:hAnsi="Arial" w:cs="Arial"/>
          <w:b/>
          <w:color w:val="000000" w:themeColor="text1"/>
          <w:sz w:val="22"/>
        </w:rPr>
        <w:t xml:space="preserve"> estatales</w:t>
      </w:r>
      <w:r w:rsidR="00A76554" w:rsidRPr="00047858">
        <w:rPr>
          <w:rFonts w:ascii="Arial" w:hAnsi="Arial" w:cs="Arial"/>
          <w:b/>
          <w:color w:val="000000" w:themeColor="text1"/>
          <w:sz w:val="22"/>
        </w:rPr>
        <w:t xml:space="preserve"> </w:t>
      </w:r>
    </w:p>
    <w:p w14:paraId="6AAA6654" w14:textId="51F4B6DF" w:rsidR="00A76554" w:rsidRPr="00047858" w:rsidRDefault="00A76554" w:rsidP="00A3528B">
      <w:pPr>
        <w:spacing w:after="240" w:line="276" w:lineRule="auto"/>
        <w:jc w:val="both"/>
        <w:rPr>
          <w:rFonts w:ascii="Arial" w:hAnsi="Arial" w:cs="Arial"/>
          <w:color w:val="000000" w:themeColor="text1"/>
          <w:sz w:val="22"/>
          <w:lang w:val="es-ES_tradnl"/>
        </w:rPr>
      </w:pPr>
      <w:r w:rsidRPr="00047858">
        <w:rPr>
          <w:rFonts w:ascii="Arial" w:hAnsi="Arial" w:cs="Arial"/>
          <w:color w:val="000000" w:themeColor="text1"/>
          <w:sz w:val="22"/>
        </w:rPr>
        <w:t>Conviene mencionar que e</w:t>
      </w:r>
      <w:r w:rsidRPr="00047858">
        <w:rPr>
          <w:rFonts w:ascii="Arial" w:hAnsi="Arial" w:cs="Arial"/>
          <w:color w:val="000000" w:themeColor="text1"/>
          <w:sz w:val="22"/>
          <w:lang w:val="es-ES_tradnl"/>
        </w:rPr>
        <w:t>l artículo 50 de la Ley 789 de 2002 estableció, como obligación de quien quiera celebrar, renovar o liquidar contratos de cualquier naturaleza con entidades del sector público, cumplir con las obligaciones a los sistemas de salud, riesgos laborales, pensiones y aportes a la Caja de Compensación Familiar, Instituto Colombiano de Bienestar Familiar y Servicio Nacional de Aprendizaje. As</w:t>
      </w:r>
      <w:r w:rsidR="006567DB" w:rsidRPr="00047858">
        <w:rPr>
          <w:rFonts w:ascii="Arial" w:hAnsi="Arial" w:cs="Arial"/>
          <w:color w:val="000000" w:themeColor="text1"/>
          <w:sz w:val="22"/>
          <w:lang w:val="es-ES_tradnl"/>
        </w:rPr>
        <w:t xml:space="preserve">í </w:t>
      </w:r>
      <w:r w:rsidRPr="00047858">
        <w:rPr>
          <w:rFonts w:ascii="Arial" w:hAnsi="Arial" w:cs="Arial"/>
          <w:color w:val="000000" w:themeColor="text1"/>
          <w:sz w:val="22"/>
          <w:lang w:val="es-ES_tradnl"/>
        </w:rPr>
        <w:t>mismo, se facultó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r w:rsidRPr="00047858">
        <w:rPr>
          <w:rStyle w:val="Refdenotaalpie"/>
          <w:rFonts w:ascii="Arial" w:hAnsi="Arial" w:cs="Arial"/>
          <w:color w:val="000000" w:themeColor="text1"/>
          <w:sz w:val="22"/>
          <w:lang w:val="es-ES_tradnl"/>
        </w:rPr>
        <w:footnoteReference w:id="1"/>
      </w:r>
      <w:r w:rsidRPr="00047858">
        <w:rPr>
          <w:rFonts w:ascii="Arial" w:hAnsi="Arial" w:cs="Arial"/>
          <w:color w:val="000000" w:themeColor="text1"/>
          <w:sz w:val="22"/>
          <w:lang w:val="es-ES_tradnl"/>
        </w:rPr>
        <w:t xml:space="preserve">. </w:t>
      </w:r>
    </w:p>
    <w:p w14:paraId="262495A9" w14:textId="77777777" w:rsidR="00A76554" w:rsidRPr="00047858" w:rsidRDefault="00A76554" w:rsidP="00A3528B">
      <w:pPr>
        <w:spacing w:after="240" w:line="276" w:lineRule="auto"/>
        <w:ind w:firstLine="708"/>
        <w:jc w:val="both"/>
        <w:rPr>
          <w:rFonts w:ascii="Arial" w:hAnsi="Arial" w:cs="Arial"/>
          <w:color w:val="000000" w:themeColor="text1"/>
          <w:sz w:val="22"/>
          <w:lang w:val="es-ES_tradnl"/>
        </w:rPr>
      </w:pPr>
      <w:r w:rsidRPr="00047858">
        <w:rPr>
          <w:rFonts w:ascii="Arial" w:hAnsi="Arial" w:cs="Arial"/>
          <w:color w:val="000000" w:themeColor="text1"/>
          <w:sz w:val="22"/>
          <w:lang w:val="es-ES_tradnl"/>
        </w:rPr>
        <w:t xml:space="preserve">Además, aclara que las personas jurídicas que quieran celebrar contratos con las entidades estatales deben acreditar el pago al Sistema de Seguridad Social Integral de sus empleados, y que por eso deben presentar una certificación expedida por el revisor fiscal o por el representante legal, durante un lapso equivalente al que exija el respectivo régimen </w:t>
      </w:r>
      <w:r w:rsidRPr="00047858">
        <w:rPr>
          <w:rFonts w:ascii="Arial" w:hAnsi="Arial" w:cs="Arial"/>
          <w:color w:val="000000" w:themeColor="text1"/>
          <w:sz w:val="22"/>
          <w:lang w:val="es-ES_tradnl"/>
        </w:rPr>
        <w:lastRenderedPageBreak/>
        <w:t>de contratación para que se hubiera constituido la sociedad, el cual, en todo caso, no debe ser inferior a los seis [6] meses anteriores a la celebración del contrato. En este sentido, la ley señala que para presentar la oferta las personas jurídicas deben acreditar el requisito señalado anteriormente, es decir, el pago al sistema de seguridad social de sus empleados.</w:t>
      </w:r>
    </w:p>
    <w:p w14:paraId="648E3282" w14:textId="77777777" w:rsidR="00A76554" w:rsidRPr="00047858" w:rsidRDefault="00A76554" w:rsidP="00A3528B">
      <w:pPr>
        <w:spacing w:after="240" w:line="276" w:lineRule="auto"/>
        <w:ind w:firstLine="708"/>
        <w:jc w:val="both"/>
        <w:rPr>
          <w:rFonts w:ascii="Arial" w:hAnsi="Arial" w:cs="Arial"/>
          <w:color w:val="000000" w:themeColor="text1"/>
          <w:sz w:val="22"/>
          <w:lang w:val="es-ES_tradnl"/>
        </w:rPr>
      </w:pPr>
      <w:r w:rsidRPr="00047858">
        <w:rPr>
          <w:rFonts w:ascii="Arial" w:hAnsi="Arial" w:cs="Arial"/>
          <w:color w:val="000000" w:themeColor="text1"/>
          <w:sz w:val="22"/>
          <w:lang w:val="es-ES_tradnl"/>
        </w:rPr>
        <w:t>Esta norma fue analizada por el Consejo de Estado, quien consideró que el artículo 50 de la Ley 789 de 2002 tiene por objeto evitar la evasión por parte de los empleadores de las cotizaciones al Sistema de Seguridad Social Integral y de los aportes parafiscales; y que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w:t>
      </w:r>
      <w:r w:rsidRPr="00047858">
        <w:rPr>
          <w:rStyle w:val="Refdenotaalpie"/>
          <w:rFonts w:ascii="Arial" w:hAnsi="Arial" w:cs="Arial"/>
          <w:color w:val="000000" w:themeColor="text1"/>
          <w:sz w:val="22"/>
          <w:lang w:val="es-ES_tradnl"/>
        </w:rPr>
        <w:footnoteReference w:id="2"/>
      </w:r>
      <w:r w:rsidRPr="00047858">
        <w:rPr>
          <w:rFonts w:ascii="Arial" w:hAnsi="Arial" w:cs="Arial"/>
          <w:color w:val="000000" w:themeColor="text1"/>
          <w:sz w:val="22"/>
          <w:lang w:val="es-ES_tradnl"/>
        </w:rPr>
        <w:t xml:space="preserve">. Por lo tanto, la jurisprudencia reiteró la necesidad de que las entidades estatales, durante la ejecución del contrato, verifiquen el cumplimiento de las obligaciones del Sistema de Seguridad Social Integral por parte de los oferentes. </w:t>
      </w:r>
    </w:p>
    <w:p w14:paraId="3E349552" w14:textId="77777777" w:rsidR="00A76554" w:rsidRPr="00047858" w:rsidRDefault="00A76554" w:rsidP="00A3528B">
      <w:pPr>
        <w:spacing w:after="240" w:line="276" w:lineRule="auto"/>
        <w:ind w:firstLine="708"/>
        <w:jc w:val="both"/>
        <w:rPr>
          <w:rFonts w:ascii="Arial" w:hAnsi="Arial" w:cs="Arial"/>
          <w:color w:val="000000" w:themeColor="text1"/>
          <w:sz w:val="22"/>
          <w:lang w:val="es-ES_tradnl"/>
        </w:rPr>
      </w:pPr>
      <w:r w:rsidRPr="00047858">
        <w:rPr>
          <w:rFonts w:ascii="Arial" w:hAnsi="Arial" w:cs="Arial"/>
          <w:color w:val="000000" w:themeColor="text1"/>
          <w:sz w:val="22"/>
          <w:lang w:val="es-ES_tradnl"/>
        </w:rPr>
        <w:t>Luego, el artículo 23 de la Ley 1150 de 2007 modificó el inciso segundo del artículo 41 de la Ley 80 de 1993, incluyendo la obligación, para los proponentes y contratistas, de estar a paz y salvo con los aportes parafiscales al Sistema de Seguridad Social integral, al señalar:</w:t>
      </w:r>
    </w:p>
    <w:p w14:paraId="013BB7C1" w14:textId="48142841" w:rsidR="00A76554" w:rsidRPr="00047858" w:rsidRDefault="00636F4D" w:rsidP="00A3528B">
      <w:pPr>
        <w:pStyle w:val="NormalWeb"/>
        <w:spacing w:before="0" w:beforeAutospacing="0" w:after="240" w:afterAutospacing="0"/>
        <w:ind w:left="709" w:right="709"/>
        <w:jc w:val="both"/>
        <w:rPr>
          <w:rFonts w:ascii="Arial" w:hAnsi="Arial" w:cs="Arial"/>
          <w:i/>
          <w:iCs/>
          <w:color w:val="000000" w:themeColor="text1"/>
          <w:sz w:val="21"/>
          <w:szCs w:val="21"/>
          <w:lang w:val="es-ES_tradnl"/>
        </w:rPr>
      </w:pPr>
      <w:r w:rsidRPr="00047858">
        <w:rPr>
          <w:rFonts w:ascii="Arial" w:hAnsi="Arial" w:cs="Arial"/>
          <w:i/>
          <w:iCs/>
          <w:color w:val="000000" w:themeColor="text1"/>
          <w:sz w:val="21"/>
          <w:szCs w:val="21"/>
          <w:lang w:val="es-ES_tradnl"/>
        </w:rPr>
        <w:t>«</w:t>
      </w:r>
      <w:r w:rsidR="00A76554" w:rsidRPr="00047858">
        <w:rPr>
          <w:rFonts w:ascii="Arial" w:hAnsi="Arial" w:cs="Arial"/>
          <w:i/>
          <w:iCs/>
          <w:color w:val="000000" w:themeColor="text1"/>
          <w:sz w:val="21"/>
          <w:szCs w:val="21"/>
          <w:lang w:val="es-ES_tradnl"/>
        </w:rPr>
        <w:t>[…]</w:t>
      </w:r>
    </w:p>
    <w:p w14:paraId="3B89D62B" w14:textId="77777777" w:rsidR="00A76554" w:rsidRPr="00047858" w:rsidRDefault="00A76554" w:rsidP="00A3528B">
      <w:pPr>
        <w:pStyle w:val="NormalWeb"/>
        <w:tabs>
          <w:tab w:val="left" w:pos="7938"/>
          <w:tab w:val="left" w:pos="8080"/>
        </w:tabs>
        <w:spacing w:before="0" w:beforeAutospacing="0" w:after="240" w:afterAutospacing="0"/>
        <w:ind w:left="709" w:right="709"/>
        <w:jc w:val="both"/>
        <w:rPr>
          <w:rFonts w:ascii="Arial" w:hAnsi="Arial" w:cs="Arial"/>
          <w:i/>
          <w:iCs/>
          <w:color w:val="000000" w:themeColor="text1"/>
          <w:sz w:val="21"/>
          <w:szCs w:val="21"/>
          <w:lang w:val="es-ES_tradnl"/>
        </w:rPr>
      </w:pPr>
      <w:r w:rsidRPr="00047858">
        <w:rPr>
          <w:rFonts w:ascii="Arial" w:hAnsi="Arial" w:cs="Arial"/>
          <w:i/>
          <w:iCs/>
          <w:color w:val="000000" w:themeColor="text1"/>
          <w:sz w:val="21"/>
          <w:szCs w:val="21"/>
          <w:lang w:val="es-ES_tradnl"/>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76ED6E67" w14:textId="77777777" w:rsidR="00A76554" w:rsidRPr="00047858" w:rsidRDefault="00A76554" w:rsidP="00A3528B">
      <w:pPr>
        <w:pStyle w:val="NormalWeb"/>
        <w:spacing w:before="0" w:beforeAutospacing="0" w:after="240" w:afterAutospacing="0"/>
        <w:ind w:left="709" w:right="709"/>
        <w:jc w:val="both"/>
        <w:rPr>
          <w:rFonts w:ascii="Arial" w:hAnsi="Arial" w:cs="Arial"/>
          <w:i/>
          <w:iCs/>
          <w:color w:val="000000" w:themeColor="text1"/>
          <w:sz w:val="21"/>
          <w:szCs w:val="21"/>
          <w:lang w:val="es-ES_tradnl"/>
        </w:rPr>
      </w:pPr>
      <w:r w:rsidRPr="00047858">
        <w:rPr>
          <w:rStyle w:val="baj"/>
          <w:rFonts w:ascii="Arial" w:hAnsi="Arial" w:cs="Arial"/>
          <w:bCs/>
          <w:i/>
          <w:iCs/>
          <w:color w:val="000000" w:themeColor="text1"/>
          <w:sz w:val="21"/>
          <w:szCs w:val="21"/>
          <w:lang w:val="es-ES_tradnl"/>
        </w:rPr>
        <w:t>Parágrafo 1.</w:t>
      </w:r>
      <w:r w:rsidRPr="00047858">
        <w:rPr>
          <w:rFonts w:ascii="Arial" w:hAnsi="Arial" w:cs="Arial"/>
          <w:i/>
          <w:iCs/>
          <w:color w:val="000000" w:themeColor="text1"/>
          <w:sz w:val="21"/>
          <w:szCs w:val="21"/>
          <w:lang w:val="es-ES_tradnl"/>
        </w:rPr>
        <w:t> El requisito establecido en la parte final del inciso segundo de este artículo deberá acreditarse para la realización de cada pago derivado del contrato estatal.</w:t>
      </w:r>
    </w:p>
    <w:p w14:paraId="69329AE7" w14:textId="0E04544A" w:rsidR="00A76554" w:rsidRPr="00047858" w:rsidRDefault="00A76554" w:rsidP="00A3528B">
      <w:pPr>
        <w:pStyle w:val="NormalWeb"/>
        <w:spacing w:before="0" w:beforeAutospacing="0" w:after="240" w:afterAutospacing="0"/>
        <w:ind w:left="709" w:right="709"/>
        <w:jc w:val="both"/>
        <w:rPr>
          <w:rFonts w:ascii="Arial" w:hAnsi="Arial" w:cs="Arial"/>
          <w:i/>
          <w:iCs/>
          <w:color w:val="000000" w:themeColor="text1"/>
          <w:sz w:val="21"/>
          <w:szCs w:val="21"/>
          <w:lang w:val="es-ES_tradnl"/>
        </w:rPr>
      </w:pPr>
      <w:r w:rsidRPr="00047858">
        <w:rPr>
          <w:rFonts w:ascii="Arial" w:hAnsi="Arial" w:cs="Arial"/>
          <w:i/>
          <w:iCs/>
          <w:color w:val="000000" w:themeColor="text1"/>
          <w:sz w:val="21"/>
          <w:szCs w:val="21"/>
          <w:lang w:val="es-ES_tradnl"/>
        </w:rPr>
        <w:t>El servidor público que sin justa causa no verifique el pago de los aportes a que se refiere el presente artículo, incurrirá en causal de mala conducta, que será sancionada con arreglo al régimen disciplinario vigente.</w:t>
      </w:r>
      <w:r w:rsidR="00636F4D" w:rsidRPr="00047858">
        <w:rPr>
          <w:rFonts w:ascii="Arial" w:hAnsi="Arial" w:cs="Arial"/>
          <w:i/>
          <w:iCs/>
          <w:color w:val="000000" w:themeColor="text1"/>
          <w:sz w:val="21"/>
          <w:szCs w:val="21"/>
          <w:lang w:val="es-ES_tradnl"/>
        </w:rPr>
        <w:t>»</w:t>
      </w:r>
    </w:p>
    <w:p w14:paraId="663932B3" w14:textId="77777777" w:rsidR="00A76554" w:rsidRPr="00047858" w:rsidRDefault="00A76554" w:rsidP="00A3528B">
      <w:pPr>
        <w:spacing w:after="240" w:line="276" w:lineRule="auto"/>
        <w:ind w:firstLine="709"/>
        <w:jc w:val="both"/>
        <w:rPr>
          <w:rFonts w:ascii="Arial" w:hAnsi="Arial" w:cs="Arial"/>
          <w:color w:val="000000" w:themeColor="text1"/>
          <w:sz w:val="22"/>
          <w:lang w:val="es-ES_tradnl"/>
        </w:rPr>
      </w:pPr>
      <w:r w:rsidRPr="00047858">
        <w:rPr>
          <w:rFonts w:ascii="Arial" w:hAnsi="Arial" w:cs="Arial"/>
          <w:color w:val="000000" w:themeColor="text1"/>
          <w:sz w:val="22"/>
          <w:lang w:val="es-ES_tradnl"/>
        </w:rPr>
        <w:lastRenderedPageBreak/>
        <w:t xml:space="preserve">De la lectura integral del artículo 23 de la Ley 1150 de 2007 se infiere que, si bien los proponentes y los contratistas deben estar al día en el pago al Sistema de Seguridad Social Integral, la </w:t>
      </w:r>
      <w:r w:rsidRPr="00047858">
        <w:rPr>
          <w:rFonts w:ascii="Arial" w:hAnsi="Arial" w:cs="Arial"/>
          <w:i/>
          <w:color w:val="000000" w:themeColor="text1"/>
          <w:sz w:val="22"/>
          <w:lang w:val="es-ES_tradnl"/>
        </w:rPr>
        <w:t>verificación</w:t>
      </w:r>
      <w:r w:rsidRPr="00047858">
        <w:rPr>
          <w:rFonts w:ascii="Arial" w:hAnsi="Arial" w:cs="Arial"/>
          <w:color w:val="000000" w:themeColor="text1"/>
          <w:sz w:val="22"/>
          <w:lang w:val="es-ES_tradnl"/>
        </w:rPr>
        <w:t xml:space="preserve"> de este requisito, por parte de las entidades estatales, se efectuará cuando realicen los pagos del contrato, es decir, </w:t>
      </w:r>
      <w:r w:rsidRPr="00047858">
        <w:rPr>
          <w:rFonts w:ascii="Arial" w:hAnsi="Arial" w:cs="Arial"/>
          <w:i/>
          <w:color w:val="000000" w:themeColor="text1"/>
          <w:sz w:val="22"/>
          <w:lang w:val="es-ES_tradnl"/>
        </w:rPr>
        <w:t>durante la ejecución</w:t>
      </w:r>
      <w:r w:rsidRPr="00047858">
        <w:rPr>
          <w:rFonts w:ascii="Arial" w:hAnsi="Arial" w:cs="Arial"/>
          <w:color w:val="000000" w:themeColor="text1"/>
          <w:sz w:val="22"/>
          <w:lang w:val="es-ES_tradnl"/>
        </w:rPr>
        <w:t xml:space="preserve">. </w:t>
      </w:r>
    </w:p>
    <w:p w14:paraId="3B5AF42A" w14:textId="77777777" w:rsidR="00A76554" w:rsidRPr="00047858" w:rsidRDefault="00A76554" w:rsidP="00A3528B">
      <w:pPr>
        <w:spacing w:after="240" w:line="276" w:lineRule="auto"/>
        <w:ind w:firstLine="709"/>
        <w:jc w:val="both"/>
        <w:rPr>
          <w:rFonts w:ascii="Arial" w:hAnsi="Arial" w:cs="Arial"/>
          <w:color w:val="000000" w:themeColor="text1"/>
          <w:sz w:val="22"/>
          <w:lang w:val="es-ES_tradnl"/>
        </w:rPr>
      </w:pPr>
      <w:r w:rsidRPr="00047858">
        <w:rPr>
          <w:rFonts w:ascii="Arial" w:hAnsi="Arial" w:cs="Arial"/>
          <w:color w:val="000000" w:themeColor="text1"/>
          <w:sz w:val="22"/>
          <w:lang w:val="es-ES_tradnl"/>
        </w:rPr>
        <w:t>No obstante, el artículo 50 de la Ley 789 de 2002 previó una regla especial para las personas jurídicas que aspiran a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 Si bien este certificado no es un requisito para perfeccionar ni para ejecutar el contrato, sí lo es para presentar la oferta.</w:t>
      </w:r>
    </w:p>
    <w:p w14:paraId="2B55C1C1" w14:textId="6449FFFE" w:rsidR="00A76554" w:rsidRPr="00047858" w:rsidRDefault="00A76554" w:rsidP="00A3528B">
      <w:pPr>
        <w:spacing w:after="240" w:line="276" w:lineRule="auto"/>
        <w:ind w:firstLine="709"/>
        <w:jc w:val="both"/>
        <w:rPr>
          <w:rFonts w:ascii="Arial" w:hAnsi="Arial" w:cs="Arial"/>
          <w:color w:val="000000" w:themeColor="text1"/>
          <w:sz w:val="22"/>
          <w:lang w:val="es-ES_tradnl"/>
        </w:rPr>
      </w:pPr>
      <w:r w:rsidRPr="00047858">
        <w:rPr>
          <w:rFonts w:ascii="Arial" w:hAnsi="Arial" w:cs="Arial"/>
          <w:color w:val="000000" w:themeColor="text1"/>
          <w:sz w:val="22"/>
          <w:lang w:val="es-ES_tradnl"/>
        </w:rPr>
        <w:t xml:space="preserve">En este sentido, la verificación del aporte Sistema de Seguridad Social Integral cambia, dependiendo si se trata de una persona natural o de una jurídica: i) si es una </w:t>
      </w:r>
      <w:r w:rsidRPr="00047858">
        <w:rPr>
          <w:rFonts w:ascii="Arial" w:hAnsi="Arial" w:cs="Arial"/>
          <w:i/>
          <w:color w:val="000000" w:themeColor="text1"/>
          <w:sz w:val="22"/>
          <w:lang w:val="es-ES_tradnl"/>
        </w:rPr>
        <w:t>natural</w:t>
      </w:r>
      <w:r w:rsidRPr="00047858">
        <w:rPr>
          <w:rFonts w:ascii="Arial" w:hAnsi="Arial" w:cs="Arial"/>
          <w:color w:val="000000" w:themeColor="text1"/>
          <w:sz w:val="22"/>
          <w:lang w:val="es-ES_tradnl"/>
        </w:rPr>
        <w:t xml:space="preserve">, la entidad estatal verificará el pago al Sistema de Seguridad Social Integral cuando se realicen los pagos del contrato, es decir, durante su ejecución y </w:t>
      </w:r>
      <w:proofErr w:type="spellStart"/>
      <w:r w:rsidRPr="00047858">
        <w:rPr>
          <w:rFonts w:ascii="Arial" w:hAnsi="Arial" w:cs="Arial"/>
          <w:color w:val="000000" w:themeColor="text1"/>
          <w:sz w:val="22"/>
          <w:lang w:val="es-ES_tradnl"/>
        </w:rPr>
        <w:t>ii</w:t>
      </w:r>
      <w:proofErr w:type="spellEnd"/>
      <w:r w:rsidRPr="00047858">
        <w:rPr>
          <w:rFonts w:ascii="Arial" w:hAnsi="Arial" w:cs="Arial"/>
          <w:color w:val="000000" w:themeColor="text1"/>
          <w:sz w:val="22"/>
          <w:lang w:val="es-ES_tradnl"/>
        </w:rPr>
        <w:t xml:space="preserve">) si se refiere a una persona jurídica, el comprobante de pago de los aportes al Sistema de Seguridad Social Integral de sus empleados se debe aportar con la presentación de la oferta, y este constituye un criterio de admisión de la oferta; </w:t>
      </w:r>
      <w:r w:rsidR="00636F4D" w:rsidRPr="00047858">
        <w:rPr>
          <w:rFonts w:ascii="Arial" w:hAnsi="Arial" w:cs="Arial"/>
          <w:color w:val="000000" w:themeColor="text1"/>
          <w:sz w:val="22"/>
          <w:lang w:val="es-ES_tradnl"/>
        </w:rPr>
        <w:t xml:space="preserve">De igual forma, </w:t>
      </w:r>
      <w:r w:rsidRPr="00047858">
        <w:rPr>
          <w:rFonts w:ascii="Arial" w:hAnsi="Arial" w:cs="Arial"/>
          <w:color w:val="000000" w:themeColor="text1"/>
          <w:sz w:val="22"/>
          <w:lang w:val="es-ES_tradnl"/>
        </w:rPr>
        <w:t xml:space="preserve"> durante la ejecución del contrato</w:t>
      </w:r>
      <w:r w:rsidR="00636F4D" w:rsidRPr="00047858">
        <w:rPr>
          <w:rFonts w:ascii="Arial" w:hAnsi="Arial" w:cs="Arial"/>
          <w:color w:val="000000" w:themeColor="text1"/>
          <w:sz w:val="22"/>
          <w:lang w:val="es-ES_tradnl"/>
        </w:rPr>
        <w:t>, deberán acreditar que se encuentran al día en el pago de aportes parafiscales relativos al Sistema de Seguridad Social Integral, así como los propios del Sena, ICBF y Cajas de Compensación Familiar, cuando corresponda</w:t>
      </w:r>
      <w:r w:rsidRPr="00047858">
        <w:rPr>
          <w:rFonts w:ascii="Arial" w:hAnsi="Arial" w:cs="Arial"/>
          <w:color w:val="000000" w:themeColor="text1"/>
          <w:sz w:val="22"/>
          <w:lang w:val="es-ES_tradnl"/>
        </w:rPr>
        <w:t xml:space="preserve"> para pagar las cuentas o facturas. </w:t>
      </w:r>
    </w:p>
    <w:p w14:paraId="13F6E26E" w14:textId="77777777" w:rsidR="00A76554" w:rsidRPr="00047858" w:rsidRDefault="00A76554" w:rsidP="00A3528B">
      <w:pPr>
        <w:spacing w:after="240" w:line="276" w:lineRule="auto"/>
        <w:ind w:firstLine="709"/>
        <w:jc w:val="both"/>
        <w:rPr>
          <w:rFonts w:ascii="Arial" w:hAnsi="Arial" w:cs="Arial"/>
          <w:color w:val="000000" w:themeColor="text1"/>
          <w:sz w:val="22"/>
          <w:lang w:val="es-ES_tradnl"/>
        </w:rPr>
      </w:pPr>
      <w:r w:rsidRPr="00047858">
        <w:rPr>
          <w:rFonts w:ascii="Arial" w:hAnsi="Arial" w:cs="Arial"/>
          <w:color w:val="000000" w:themeColor="text1"/>
          <w:sz w:val="22"/>
          <w:lang w:val="es-ES_tradnl"/>
        </w:rPr>
        <w:t xml:space="preserve">Finalmente,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14:paraId="5C59FD37" w14:textId="4D71D65C" w:rsidR="00A76554" w:rsidRPr="00047858" w:rsidRDefault="00A76554" w:rsidP="00A3528B">
      <w:pPr>
        <w:spacing w:after="240" w:line="276" w:lineRule="auto"/>
        <w:jc w:val="both"/>
        <w:rPr>
          <w:rFonts w:ascii="Arial" w:hAnsi="Arial" w:cs="Arial"/>
          <w:b/>
          <w:color w:val="000000" w:themeColor="text1"/>
          <w:sz w:val="22"/>
          <w:lang w:val="es-ES_tradnl"/>
        </w:rPr>
      </w:pPr>
      <w:r w:rsidRPr="00047858">
        <w:rPr>
          <w:rFonts w:ascii="Arial" w:hAnsi="Arial" w:cs="Arial"/>
          <w:b/>
          <w:color w:val="000000" w:themeColor="text1"/>
          <w:sz w:val="22"/>
          <w:lang w:val="es-ES_tradnl"/>
        </w:rPr>
        <w:t>2.</w:t>
      </w:r>
      <w:r w:rsidR="001319FF" w:rsidRPr="00047858">
        <w:rPr>
          <w:rFonts w:ascii="Arial" w:hAnsi="Arial" w:cs="Arial"/>
          <w:b/>
          <w:color w:val="000000" w:themeColor="text1"/>
          <w:sz w:val="22"/>
          <w:lang w:val="es-ES_tradnl"/>
        </w:rPr>
        <w:t>2</w:t>
      </w:r>
      <w:r w:rsidRPr="00047858">
        <w:rPr>
          <w:rFonts w:ascii="Arial" w:hAnsi="Arial" w:cs="Arial"/>
          <w:b/>
          <w:color w:val="000000" w:themeColor="text1"/>
          <w:sz w:val="22"/>
          <w:lang w:val="es-ES_tradnl"/>
        </w:rPr>
        <w:t>. Pago mes vencido de los aportes al Sistema de Seguridad Social Integral</w:t>
      </w:r>
    </w:p>
    <w:p w14:paraId="51520B7F" w14:textId="467F8CCF" w:rsidR="00C07035" w:rsidRPr="00047858" w:rsidRDefault="00C07035" w:rsidP="00C07035">
      <w:pPr>
        <w:spacing w:line="276" w:lineRule="auto"/>
        <w:jc w:val="both"/>
        <w:rPr>
          <w:rFonts w:ascii="Arial" w:hAnsi="Arial" w:cs="Arial"/>
          <w:i/>
          <w:iCs/>
          <w:color w:val="000000" w:themeColor="text1"/>
          <w:sz w:val="22"/>
          <w:lang w:val="es-ES_tradnl"/>
        </w:rPr>
      </w:pPr>
      <w:r w:rsidRPr="00047858">
        <w:rPr>
          <w:rFonts w:ascii="Arial" w:hAnsi="Arial" w:cs="Arial"/>
          <w:color w:val="000000" w:themeColor="text1"/>
          <w:sz w:val="22"/>
          <w:lang w:val="es-ES_tradnl"/>
        </w:rPr>
        <w:t>La Ley 100 de 1993 consagró que la afiliación al sistema de Seguridad Social Integral es obligatoria debido al carácter de servicio público esencial y obligatorio que le otorgó la Constitución de 1991. A su vez el artículo 33 de la Ley 1393 de 2010 estableció que</w:t>
      </w:r>
      <w:r w:rsidRPr="00047858">
        <w:rPr>
          <w:rFonts w:ascii="Arial" w:hAnsi="Arial" w:cs="Arial"/>
          <w:i/>
          <w:iCs/>
          <w:color w:val="000000" w:themeColor="text1"/>
          <w:sz w:val="22"/>
          <w:lang w:val="es-ES_tradnl"/>
        </w:rPr>
        <w:t> </w:t>
      </w:r>
      <w:r w:rsidRPr="00047858">
        <w:rPr>
          <w:rFonts w:ascii="Arial" w:hAnsi="Arial" w:cs="Arial"/>
          <w:i/>
          <w:iCs/>
          <w:color w:val="161616" w:themeColor="background1" w:themeShade="1A"/>
          <w:sz w:val="21"/>
          <w:szCs w:val="21"/>
        </w:rPr>
        <w:t>«</w:t>
      </w:r>
      <w:r w:rsidRPr="00047858">
        <w:rPr>
          <w:rFonts w:ascii="Arial" w:hAnsi="Arial" w:cs="Arial"/>
          <w:i/>
          <w:iCs/>
          <w:color w:val="000000" w:themeColor="text1"/>
          <w:sz w:val="22"/>
          <w:lang w:val="es-ES_tradnl"/>
        </w:rPr>
        <w:t xml:space="preserve">Las </w:t>
      </w:r>
      <w:r w:rsidRPr="00047858">
        <w:rPr>
          <w:rFonts w:ascii="Arial" w:hAnsi="Arial" w:cs="Arial"/>
          <w:i/>
          <w:iCs/>
          <w:color w:val="000000" w:themeColor="text1"/>
          <w:sz w:val="22"/>
          <w:lang w:val="es-ES_tradnl"/>
        </w:rPr>
        <w:lastRenderedPageBreak/>
        <w:t xml:space="preserve">cotizaciones al Sistema General de Seguridad Social en Salud deben hacerse sobre la misma base de las cotizaciones efectuadas al Sistema de Riesgos Profesionales y de las realizadas al Sistema General de Pensiones. </w:t>
      </w:r>
      <w:r w:rsidRPr="00047858">
        <w:rPr>
          <w:rFonts w:ascii="Arial" w:eastAsia="Calibri" w:hAnsi="Arial" w:cs="Arial"/>
          <w:bCs/>
          <w:i/>
          <w:iCs/>
          <w:sz w:val="20"/>
          <w:lang w:val="es-ES_tradnl"/>
        </w:rPr>
        <w:t>[…]</w:t>
      </w:r>
      <w:r w:rsidRPr="00047858">
        <w:rPr>
          <w:rFonts w:ascii="Arial" w:hAnsi="Arial" w:cs="Arial"/>
          <w:i/>
          <w:iCs/>
          <w:color w:val="000000"/>
          <w:sz w:val="21"/>
          <w:szCs w:val="21"/>
        </w:rPr>
        <w:t>»</w:t>
      </w:r>
    </w:p>
    <w:p w14:paraId="02908B71" w14:textId="77777777" w:rsidR="00C07035" w:rsidRPr="00047858" w:rsidRDefault="00C07035" w:rsidP="00C07035">
      <w:pPr>
        <w:spacing w:line="276" w:lineRule="auto"/>
        <w:jc w:val="both"/>
        <w:rPr>
          <w:rFonts w:ascii="Arial" w:hAnsi="Arial" w:cs="Arial"/>
          <w:color w:val="000000" w:themeColor="text1"/>
          <w:sz w:val="22"/>
          <w:lang w:val="es-ES_tradnl"/>
        </w:rPr>
      </w:pPr>
    </w:p>
    <w:p w14:paraId="41EB05F5" w14:textId="5DCB981F" w:rsidR="00C07035" w:rsidRPr="00047858" w:rsidRDefault="00C07035" w:rsidP="00C07035">
      <w:pPr>
        <w:spacing w:after="240" w:line="276" w:lineRule="auto"/>
        <w:ind w:firstLine="709"/>
        <w:jc w:val="both"/>
        <w:rPr>
          <w:rFonts w:ascii="Arial" w:hAnsi="Arial" w:cs="Arial"/>
          <w:color w:val="000000" w:themeColor="text1"/>
          <w:sz w:val="22"/>
          <w:lang w:val="es-ES_tradnl"/>
        </w:rPr>
      </w:pPr>
      <w:r w:rsidRPr="00047858">
        <w:rPr>
          <w:rFonts w:ascii="Arial" w:hAnsi="Arial" w:cs="Arial"/>
          <w:color w:val="000000" w:themeColor="text1"/>
          <w:sz w:val="22"/>
          <w:lang w:val="es-ES_tradnl"/>
        </w:rPr>
        <w:t>En concordancia con lo anterior, el artículo 18 de la Ley 1122 de 2007 reguló lo pertinente a la base de cotización de los contratistas de prestación de servicios personales, señalando que cotizarán al Sistema General de Seguridad Social en Salud un porcentaje obligatorio sobre una base de cotización máxima de un 40% del valor mensualizado del contrato. No obstante, este artículo fue derogado por el artículo 267 de la Ley 1753 de 2015, como quiera que en su artículo 135 reguló el ingreso base de cotización de los independientes; norma que a su vez fue declarada inexequible de forma diferida hasta el vencimiento de las dos legislaturas ordinarias siguientes a la notificación de la sentencia C-219 de 2019.</w:t>
      </w:r>
    </w:p>
    <w:p w14:paraId="4C4DEBC8" w14:textId="2BE22F19" w:rsidR="00A76554" w:rsidRPr="00047858" w:rsidRDefault="00C07035" w:rsidP="00C07035">
      <w:pPr>
        <w:spacing w:after="240" w:line="276" w:lineRule="auto"/>
        <w:ind w:firstLine="709"/>
        <w:jc w:val="both"/>
        <w:rPr>
          <w:rFonts w:ascii="Arial" w:hAnsi="Arial" w:cs="Arial"/>
          <w:color w:val="000000" w:themeColor="text1"/>
          <w:sz w:val="22"/>
          <w:szCs w:val="20"/>
          <w:lang w:val="es-ES_tradnl"/>
        </w:rPr>
      </w:pPr>
      <w:r w:rsidRPr="00047858">
        <w:rPr>
          <w:rFonts w:ascii="Arial" w:hAnsi="Arial" w:cs="Arial"/>
          <w:color w:val="000000" w:themeColor="text1"/>
          <w:sz w:val="22"/>
          <w:szCs w:val="20"/>
          <w:lang w:val="es-ES_tradnl"/>
        </w:rPr>
        <w:t>Bajo este contexto, l</w:t>
      </w:r>
      <w:r w:rsidR="00A76554" w:rsidRPr="00047858">
        <w:rPr>
          <w:rFonts w:ascii="Arial" w:hAnsi="Arial" w:cs="Arial"/>
          <w:color w:val="000000" w:themeColor="text1"/>
          <w:sz w:val="22"/>
          <w:szCs w:val="20"/>
          <w:lang w:val="es-ES_tradnl"/>
        </w:rPr>
        <w:t>a Ley 1955 de 2019</w:t>
      </w:r>
      <w:r w:rsidR="00A76554" w:rsidRPr="00047858">
        <w:rPr>
          <w:rFonts w:ascii="Arial" w:hAnsi="Arial" w:cs="Arial"/>
          <w:color w:val="000000" w:themeColor="text1"/>
          <w:sz w:val="22"/>
          <w:lang w:val="es-ES_tradnl"/>
        </w:rPr>
        <w:t xml:space="preserve"> reguló el tema de las cotizaciones al sistema de seguridad social integral en el artículo 244, señalando </w:t>
      </w:r>
      <w:r w:rsidR="00A76554" w:rsidRPr="00047858">
        <w:rPr>
          <w:rFonts w:ascii="Arial" w:hAnsi="Arial" w:cs="Arial"/>
          <w:color w:val="000000" w:themeColor="text1"/>
          <w:sz w:val="22"/>
          <w:szCs w:val="20"/>
          <w:lang w:val="es-ES_tradnl"/>
        </w:rPr>
        <w:t xml:space="preserve">que los trabajadores independientes con ingresos superiores a 1 salario mínimo legal mensual vigente, que celebren contratos de prestación de servicios personales, cotizarán </w:t>
      </w:r>
      <w:r w:rsidR="00A76554" w:rsidRPr="00047858">
        <w:rPr>
          <w:rFonts w:ascii="Arial" w:hAnsi="Arial" w:cs="Arial"/>
          <w:i/>
          <w:color w:val="000000" w:themeColor="text1"/>
          <w:sz w:val="22"/>
          <w:szCs w:val="20"/>
          <w:lang w:val="es-ES_tradnl"/>
        </w:rPr>
        <w:t>mes vencido</w:t>
      </w:r>
      <w:r w:rsidR="00A76554" w:rsidRPr="00047858">
        <w:rPr>
          <w:rFonts w:ascii="Arial" w:hAnsi="Arial" w:cs="Arial"/>
          <w:color w:val="000000" w:themeColor="text1"/>
          <w:sz w:val="22"/>
          <w:szCs w:val="20"/>
          <w:lang w:val="es-ES_tradnl"/>
        </w:rPr>
        <w:t xml:space="preserve"> al Sistema de Seguridad Social Integral sobre una base mínima del 40% del valor mensualizado del contrato, sin incluir el valor del Impuesto al Valor Agregado [IVA]</w:t>
      </w:r>
      <w:r w:rsidR="00A76554" w:rsidRPr="00047858">
        <w:rPr>
          <w:rStyle w:val="Refdenotaalpie"/>
          <w:rFonts w:ascii="Arial" w:hAnsi="Arial" w:cs="Arial"/>
          <w:color w:val="000000" w:themeColor="text1"/>
          <w:sz w:val="22"/>
          <w:lang w:val="es-ES_tradnl"/>
        </w:rPr>
        <w:footnoteReference w:id="3"/>
      </w:r>
      <w:r w:rsidR="00A76554" w:rsidRPr="00047858">
        <w:rPr>
          <w:rFonts w:ascii="Arial" w:hAnsi="Arial" w:cs="Arial"/>
          <w:color w:val="000000" w:themeColor="text1"/>
          <w:sz w:val="22"/>
          <w:szCs w:val="20"/>
          <w:lang w:val="es-ES_tradnl"/>
        </w:rPr>
        <w:t>.</w:t>
      </w:r>
    </w:p>
    <w:p w14:paraId="4D571E22" w14:textId="77777777" w:rsidR="00E7756F" w:rsidRPr="00047858" w:rsidRDefault="00A76554" w:rsidP="00A3528B">
      <w:pPr>
        <w:spacing w:after="240" w:line="276" w:lineRule="auto"/>
        <w:ind w:firstLine="709"/>
        <w:jc w:val="both"/>
        <w:rPr>
          <w:rFonts w:ascii="Arial" w:hAnsi="Arial" w:cs="Arial"/>
          <w:color w:val="000000" w:themeColor="text1"/>
          <w:sz w:val="22"/>
          <w:szCs w:val="20"/>
          <w:lang w:val="es-ES_tradnl"/>
        </w:rPr>
      </w:pPr>
      <w:r w:rsidRPr="00047858">
        <w:rPr>
          <w:rFonts w:ascii="Arial" w:hAnsi="Arial" w:cs="Arial"/>
          <w:color w:val="000000" w:themeColor="text1"/>
          <w:sz w:val="22"/>
          <w:szCs w:val="20"/>
          <w:lang w:val="es-ES_tradnl"/>
        </w:rPr>
        <w:lastRenderedPageBreak/>
        <w:t>Dicha norma fue declara inexequible por la Corte Constitucional en la sentencia C-068 de 2020, por infringir el principio de unidad de materia, difirió los efectos de esta decisión hasta el vencimiento de las dos legislaturas posteriores a la notificación del fallo</w:t>
      </w:r>
      <w:r w:rsidRPr="00047858">
        <w:rPr>
          <w:rStyle w:val="Refdenotaalpie"/>
          <w:rFonts w:ascii="Arial" w:hAnsi="Arial" w:cs="Arial"/>
          <w:color w:val="000000" w:themeColor="text1"/>
          <w:sz w:val="22"/>
          <w:lang w:val="es-ES_tradnl"/>
        </w:rPr>
        <w:footnoteReference w:id="4"/>
      </w:r>
      <w:r w:rsidRPr="00047858">
        <w:rPr>
          <w:rFonts w:ascii="Arial" w:hAnsi="Arial" w:cs="Arial"/>
          <w:color w:val="000000" w:themeColor="text1"/>
          <w:sz w:val="22"/>
          <w:szCs w:val="20"/>
          <w:lang w:val="es-ES_tradnl"/>
        </w:rPr>
        <w:t xml:space="preserve">. </w:t>
      </w:r>
    </w:p>
    <w:p w14:paraId="6B1BF6CE" w14:textId="52EEBAAA" w:rsidR="00E7756F" w:rsidRPr="00047858" w:rsidRDefault="00E7756F" w:rsidP="00E7756F">
      <w:pPr>
        <w:spacing w:after="120" w:line="276" w:lineRule="auto"/>
        <w:ind w:firstLine="709"/>
        <w:jc w:val="both"/>
        <w:rPr>
          <w:rFonts w:ascii="Arial" w:hAnsi="Arial" w:cs="Arial"/>
          <w:color w:val="000000" w:themeColor="text1"/>
          <w:sz w:val="22"/>
          <w:lang w:val="es-ES_tradnl"/>
        </w:rPr>
      </w:pPr>
      <w:r w:rsidRPr="00047858">
        <w:rPr>
          <w:rFonts w:ascii="Arial" w:hAnsi="Arial" w:cs="Arial"/>
          <w:color w:val="000000" w:themeColor="text1"/>
          <w:sz w:val="22"/>
          <w:lang w:val="es-ES_tradnl"/>
        </w:rPr>
        <w:t xml:space="preserve">Así las cosas, en atención al vacío normativo generado con la declaratoria de </w:t>
      </w:r>
      <w:proofErr w:type="spellStart"/>
      <w:r w:rsidRPr="00047858">
        <w:rPr>
          <w:rFonts w:ascii="Arial" w:hAnsi="Arial" w:cs="Arial"/>
          <w:color w:val="000000" w:themeColor="text1"/>
          <w:sz w:val="22"/>
          <w:lang w:val="es-ES_tradnl"/>
        </w:rPr>
        <w:t>inexequibilidad</w:t>
      </w:r>
      <w:proofErr w:type="spellEnd"/>
      <w:r w:rsidRPr="00047858">
        <w:rPr>
          <w:rFonts w:ascii="Arial" w:hAnsi="Arial" w:cs="Arial"/>
          <w:color w:val="000000" w:themeColor="text1"/>
          <w:sz w:val="22"/>
          <w:lang w:val="es-ES_tradnl"/>
        </w:rPr>
        <w:t xml:space="preserve"> del artículo 244 de la Ley 1955 de 2019, los Ministerios de Hacienda y Crédito Público, del Trabajo, y de Salud y Protección Social, emitieron concepto unificado de fecha 2 de agosto de 2022 en el que se concluye que se cumplen los presupuesto para que opere la figura de la reviviscencia y en consecuencia la incorporación al ordenamiento jurídico del artículo 18 de la Ley 1122 de 2007, en cuanto establece la cotización máxima de los contratistas de prestación de servicios personales, así:</w:t>
      </w:r>
    </w:p>
    <w:p w14:paraId="4BF1605F" w14:textId="568FA4D7" w:rsidR="009A56E8" w:rsidRPr="00047858" w:rsidRDefault="00636F4D" w:rsidP="009A56E8">
      <w:pPr>
        <w:pStyle w:val="NormalWeb"/>
        <w:ind w:left="709" w:right="851"/>
        <w:jc w:val="both"/>
        <w:rPr>
          <w:rFonts w:ascii="Arial" w:eastAsiaTheme="minorHAnsi" w:hAnsi="Arial" w:cs="Arial"/>
          <w:i/>
          <w:iCs/>
          <w:color w:val="000000" w:themeColor="text1"/>
          <w:sz w:val="21"/>
          <w:szCs w:val="21"/>
          <w:lang w:val="es-ES_tradnl" w:eastAsia="en-US"/>
        </w:rPr>
      </w:pPr>
      <w:r w:rsidRPr="00047858">
        <w:rPr>
          <w:rFonts w:ascii="Arial" w:eastAsiaTheme="minorHAnsi" w:hAnsi="Arial" w:cs="Arial"/>
          <w:i/>
          <w:iCs/>
          <w:color w:val="000000" w:themeColor="text1"/>
          <w:sz w:val="21"/>
          <w:szCs w:val="21"/>
          <w:lang w:val="es-ES_tradnl" w:eastAsia="en-US"/>
        </w:rPr>
        <w:t>«</w:t>
      </w:r>
      <w:r w:rsidR="009A56E8" w:rsidRPr="00047858">
        <w:rPr>
          <w:rFonts w:ascii="Arial" w:eastAsiaTheme="minorHAnsi" w:hAnsi="Arial" w:cs="Arial"/>
          <w:i/>
          <w:iCs/>
          <w:color w:val="000000" w:themeColor="text1"/>
          <w:sz w:val="21"/>
          <w:szCs w:val="21"/>
          <w:lang w:val="es-ES_tradnl" w:eastAsia="en-US"/>
        </w:rPr>
        <w:t>Los independientes contratistas de prestación de servicios cotizarán al Sistema General de Seguridad Social en Salud el porcentaje obligatorio para salud sobre una base de la cotización máxima de un 40% del valor mensualizado del contrato. El contratista podrá autorizar a la entidad contratante el descuento y pago de la cotización sin que ello genere relación laboral.</w:t>
      </w:r>
    </w:p>
    <w:p w14:paraId="060AF408" w14:textId="77777777" w:rsidR="009A56E8" w:rsidRPr="00047858" w:rsidRDefault="009A56E8" w:rsidP="009A56E8">
      <w:pPr>
        <w:pStyle w:val="NormalWeb"/>
        <w:ind w:left="709" w:right="851"/>
        <w:jc w:val="both"/>
        <w:rPr>
          <w:rFonts w:ascii="Arial" w:eastAsiaTheme="minorHAnsi" w:hAnsi="Arial" w:cs="Arial"/>
          <w:i/>
          <w:iCs/>
          <w:color w:val="000000" w:themeColor="text1"/>
          <w:sz w:val="21"/>
          <w:szCs w:val="21"/>
          <w:lang w:val="es-ES_tradnl" w:eastAsia="en-US"/>
        </w:rPr>
      </w:pPr>
      <w:r w:rsidRPr="00047858">
        <w:rPr>
          <w:rFonts w:ascii="Arial" w:eastAsiaTheme="minorHAnsi" w:hAnsi="Arial" w:cs="Arial"/>
          <w:i/>
          <w:iCs/>
          <w:color w:val="000000" w:themeColor="text1"/>
          <w:sz w:val="21"/>
          <w:szCs w:val="21"/>
          <w:lang w:val="es-ES_tradnl" w:eastAsia="en-US"/>
        </w:rPr>
        <w:t xml:space="preserve">Para los demás contratos y tipos de ingresos el Gobierno Nacional reglamentará un sistema de presunción de ingresos con base en la </w:t>
      </w:r>
      <w:r w:rsidRPr="00047858">
        <w:rPr>
          <w:rFonts w:ascii="Arial" w:eastAsiaTheme="minorHAnsi" w:hAnsi="Arial" w:cs="Arial"/>
          <w:i/>
          <w:iCs/>
          <w:color w:val="000000" w:themeColor="text1"/>
          <w:sz w:val="21"/>
          <w:szCs w:val="21"/>
          <w:lang w:val="es-ES_tradnl" w:eastAsia="en-US"/>
        </w:rPr>
        <w:lastRenderedPageBreak/>
        <w:t>información sobre las actividades económicas, la región de operación, la estabilidad y estacionalidad del ingreso.</w:t>
      </w:r>
    </w:p>
    <w:p w14:paraId="6D409060" w14:textId="64565409" w:rsidR="009A56E8" w:rsidRPr="00047858" w:rsidRDefault="009A56E8" w:rsidP="009A56E8">
      <w:pPr>
        <w:pStyle w:val="NormalWeb"/>
        <w:ind w:left="709" w:right="851"/>
        <w:jc w:val="both"/>
        <w:rPr>
          <w:rFonts w:ascii="Arial" w:eastAsiaTheme="minorHAnsi" w:hAnsi="Arial" w:cs="Arial"/>
          <w:i/>
          <w:iCs/>
          <w:color w:val="000000" w:themeColor="text1"/>
          <w:sz w:val="21"/>
          <w:szCs w:val="21"/>
          <w:lang w:val="es-ES_tradnl" w:eastAsia="en-US"/>
        </w:rPr>
      </w:pPr>
      <w:r w:rsidRPr="00047858">
        <w:rPr>
          <w:rFonts w:ascii="Arial" w:eastAsiaTheme="minorHAnsi" w:hAnsi="Arial" w:cs="Arial"/>
          <w:i/>
          <w:iCs/>
          <w:color w:val="000000" w:themeColor="text1"/>
          <w:sz w:val="21"/>
          <w:szCs w:val="21"/>
          <w:lang w:val="es-ES_tradnl" w:eastAsia="en-US"/>
        </w:rPr>
        <w:t>PARÁGRAFO. Cuando el contratista pueda probar que ya está cotizando sobre el tope máximo de cotización, no le será aplicable lo dispuesto en el presente artículo.</w:t>
      </w:r>
      <w:r w:rsidR="00636F4D" w:rsidRPr="00047858">
        <w:rPr>
          <w:rFonts w:ascii="Arial" w:eastAsiaTheme="minorHAnsi" w:hAnsi="Arial" w:cs="Arial"/>
          <w:i/>
          <w:iCs/>
          <w:color w:val="000000" w:themeColor="text1"/>
          <w:sz w:val="21"/>
          <w:szCs w:val="21"/>
          <w:lang w:val="es-ES_tradnl" w:eastAsia="en-US"/>
        </w:rPr>
        <w:t>»</w:t>
      </w:r>
    </w:p>
    <w:p w14:paraId="725D1C8C" w14:textId="4D360ED7" w:rsidR="00F710AE" w:rsidRPr="00047858" w:rsidRDefault="009E4A28" w:rsidP="00E7756F">
      <w:pPr>
        <w:spacing w:after="120" w:line="276" w:lineRule="auto"/>
        <w:ind w:firstLine="709"/>
        <w:jc w:val="both"/>
        <w:rPr>
          <w:rFonts w:ascii="Arial" w:hAnsi="Arial" w:cs="Arial"/>
          <w:color w:val="000000" w:themeColor="text1"/>
          <w:sz w:val="22"/>
          <w:lang w:val="es-ES_tradnl"/>
        </w:rPr>
      </w:pPr>
      <w:r w:rsidRPr="00047858">
        <w:rPr>
          <w:rFonts w:ascii="Arial" w:hAnsi="Arial" w:cs="Arial"/>
          <w:color w:val="000000" w:themeColor="text1"/>
          <w:sz w:val="22"/>
          <w:lang w:val="es-ES_tradnl"/>
        </w:rPr>
        <w:t>De este modo</w:t>
      </w:r>
      <w:r w:rsidR="002D662E" w:rsidRPr="00047858">
        <w:rPr>
          <w:rFonts w:ascii="Arial" w:hAnsi="Arial" w:cs="Arial"/>
          <w:color w:val="000000" w:themeColor="text1"/>
          <w:sz w:val="22"/>
          <w:lang w:val="es-ES_tradnl"/>
        </w:rPr>
        <w:t xml:space="preserve">, en cuanto corresponde al monto de cotización para los </w:t>
      </w:r>
      <w:r w:rsidR="002D662E" w:rsidRPr="00047858">
        <w:rPr>
          <w:rFonts w:ascii="Arial" w:hAnsi="Arial" w:cs="Arial"/>
          <w:color w:val="000000" w:themeColor="text1"/>
          <w:sz w:val="21"/>
          <w:szCs w:val="21"/>
          <w:lang w:val="es-ES_tradnl"/>
        </w:rPr>
        <w:t>independientes contratistas de prestación de servicios al Sistema General de Seguridad Social en Salud</w:t>
      </w:r>
      <w:r w:rsidR="00F710AE" w:rsidRPr="00047858">
        <w:rPr>
          <w:rFonts w:ascii="Arial" w:hAnsi="Arial" w:cs="Arial"/>
          <w:color w:val="000000" w:themeColor="text1"/>
          <w:sz w:val="22"/>
          <w:lang w:val="es-ES_tradnl"/>
        </w:rPr>
        <w:t>, actualment</w:t>
      </w:r>
      <w:r w:rsidR="002D662E" w:rsidRPr="00047858">
        <w:rPr>
          <w:rFonts w:ascii="Arial" w:hAnsi="Arial" w:cs="Arial"/>
          <w:color w:val="000000" w:themeColor="text1"/>
          <w:sz w:val="22"/>
          <w:lang w:val="es-ES_tradnl"/>
        </w:rPr>
        <w:t xml:space="preserve">e </w:t>
      </w:r>
      <w:r w:rsidR="00F710AE" w:rsidRPr="00047858">
        <w:rPr>
          <w:rFonts w:ascii="Arial" w:hAnsi="Arial" w:cs="Arial"/>
          <w:color w:val="000000" w:themeColor="text1"/>
          <w:sz w:val="21"/>
          <w:szCs w:val="21"/>
          <w:lang w:val="es-ES_tradnl"/>
        </w:rPr>
        <w:t xml:space="preserve">se cotizará al Sistema General de Seguridad Social en Salud </w:t>
      </w:r>
      <w:r w:rsidR="00F710AE" w:rsidRPr="00047858">
        <w:rPr>
          <w:rFonts w:ascii="Arial" w:hAnsi="Arial" w:cs="Arial"/>
          <w:color w:val="000000" w:themeColor="text1"/>
          <w:sz w:val="22"/>
          <w:lang w:val="es-ES_tradnl"/>
        </w:rPr>
        <w:t>con una base mínima de cotización del 40% del valor mensualizado de ingresos o del contrato.</w:t>
      </w:r>
    </w:p>
    <w:p w14:paraId="2AD81B8C" w14:textId="203F24E3" w:rsidR="00E7756F" w:rsidRPr="00047858" w:rsidRDefault="009E4A28" w:rsidP="009E4A28">
      <w:pPr>
        <w:spacing w:after="120" w:line="276" w:lineRule="auto"/>
        <w:ind w:firstLine="709"/>
        <w:jc w:val="both"/>
        <w:rPr>
          <w:rFonts w:ascii="Arial" w:hAnsi="Arial" w:cs="Arial"/>
          <w:color w:val="000000" w:themeColor="text1"/>
          <w:sz w:val="22"/>
          <w:lang w:val="es-ES_tradnl"/>
        </w:rPr>
      </w:pPr>
      <w:r w:rsidRPr="00047858">
        <w:rPr>
          <w:rFonts w:ascii="Arial" w:hAnsi="Arial" w:cs="Arial"/>
          <w:color w:val="000000" w:themeColor="text1"/>
          <w:sz w:val="22"/>
          <w:lang w:val="es-ES_tradnl"/>
        </w:rPr>
        <w:t xml:space="preserve">Ahora bien, recientemente fue expedido </w:t>
      </w:r>
      <w:r w:rsidR="00E7756F" w:rsidRPr="00047858">
        <w:rPr>
          <w:rFonts w:ascii="Arial" w:hAnsi="Arial" w:cs="Arial"/>
          <w:color w:val="000000" w:themeColor="text1"/>
          <w:sz w:val="22"/>
          <w:lang w:val="es-ES_tradnl"/>
        </w:rPr>
        <w:t>el Decreto 1601 del 5 de agosto de 2022</w:t>
      </w:r>
      <w:r w:rsidRPr="00047858">
        <w:rPr>
          <w:rFonts w:ascii="Arial" w:hAnsi="Arial" w:cs="Arial"/>
          <w:color w:val="000000" w:themeColor="text1"/>
          <w:sz w:val="22"/>
          <w:lang w:val="es-ES_tradnl"/>
        </w:rPr>
        <w:t xml:space="preserve"> </w:t>
      </w:r>
      <w:r w:rsidRPr="00047858">
        <w:rPr>
          <w:rFonts w:ascii="Arial" w:hAnsi="Arial" w:cs="Arial"/>
          <w:color w:val="161616" w:themeColor="background1" w:themeShade="1A"/>
          <w:sz w:val="21"/>
          <w:szCs w:val="21"/>
        </w:rPr>
        <w:t>p</w:t>
      </w:r>
      <w:proofErr w:type="spellStart"/>
      <w:r w:rsidRPr="00047858">
        <w:rPr>
          <w:rFonts w:ascii="Arial" w:hAnsi="Arial" w:cs="Arial"/>
          <w:color w:val="000000" w:themeColor="text1"/>
          <w:sz w:val="22"/>
          <w:lang w:val="es-ES_tradnl"/>
        </w:rPr>
        <w:t>or</w:t>
      </w:r>
      <w:proofErr w:type="spellEnd"/>
      <w:r w:rsidRPr="00047858">
        <w:rPr>
          <w:rFonts w:ascii="Arial" w:hAnsi="Arial" w:cs="Arial"/>
          <w:color w:val="000000" w:themeColor="text1"/>
          <w:sz w:val="22"/>
          <w:lang w:val="es-ES_tradnl"/>
        </w:rPr>
        <w:t xml:space="preserve"> el cual se sustituye el Título </w:t>
      </w:r>
      <w:hyperlink r:id="rId12" w:anchor="3.2.7.1" w:tooltip="vinculo" w:history="1">
        <w:r w:rsidRPr="00047858">
          <w:rPr>
            <w:rFonts w:ascii="Arial" w:hAnsi="Arial" w:cs="Arial"/>
            <w:color w:val="000000" w:themeColor="text1"/>
            <w:sz w:val="22"/>
            <w:lang w:val="es-ES_tradnl"/>
          </w:rPr>
          <w:t>7</w:t>
        </w:r>
      </w:hyperlink>
      <w:r w:rsidRPr="00047858">
        <w:rPr>
          <w:rFonts w:ascii="Arial" w:hAnsi="Arial" w:cs="Arial"/>
          <w:color w:val="000000" w:themeColor="text1"/>
          <w:sz w:val="22"/>
          <w:lang w:val="es-ES_tradnl"/>
        </w:rPr>
        <w:t xml:space="preserve"> de la Parte 2 del Libro 3 del Decreto 780 de 2016, Decreto Único Reglamentario del Sector Salud y Protección Social en relación con el sistema de presunción de ingresos para los trabajadores independientes por cuenta propia o con contrato diferente a prestación de servicios, el cual entre otras cosas se ocupó en su artículo 3.2.7.6. </w:t>
      </w:r>
      <w:r w:rsidR="00E7756F" w:rsidRPr="00047858">
        <w:rPr>
          <w:rFonts w:ascii="Arial" w:hAnsi="Arial" w:cs="Arial"/>
          <w:color w:val="000000" w:themeColor="text1"/>
          <w:sz w:val="22"/>
          <w:lang w:val="es-ES_tradnl"/>
        </w:rPr>
        <w:t>de regular lo pertinente frente a la periodicidad del pago de los aportes al Sistema de Seguridad Social Integral de los trabajadores independientes cuenta propia, independientes con contratos de prestación de servicios y de los independientes con contratos diferentes a prestación de servicios, señalando que se efectuará mes vencido.</w:t>
      </w:r>
    </w:p>
    <w:p w14:paraId="1A9D9145" w14:textId="7CEDCE0C" w:rsidR="00A76554" w:rsidRPr="00047858" w:rsidRDefault="00E7756F" w:rsidP="009E4A28">
      <w:pPr>
        <w:spacing w:after="240" w:line="276" w:lineRule="auto"/>
        <w:ind w:firstLine="709"/>
        <w:jc w:val="both"/>
        <w:rPr>
          <w:rFonts w:ascii="Arial" w:hAnsi="Arial" w:cs="Arial"/>
          <w:color w:val="000000" w:themeColor="text1"/>
          <w:sz w:val="22"/>
          <w:lang w:val="es-ES_tradnl"/>
        </w:rPr>
      </w:pPr>
      <w:r w:rsidRPr="00047858">
        <w:rPr>
          <w:rFonts w:ascii="Arial" w:hAnsi="Arial" w:cs="Arial"/>
          <w:color w:val="000000" w:themeColor="text1"/>
          <w:sz w:val="22"/>
          <w:lang w:val="es-ES_tradnl"/>
        </w:rPr>
        <w:t xml:space="preserve">Conforme a lo anterior, actualmente, </w:t>
      </w:r>
      <w:r w:rsidR="009E4A28" w:rsidRPr="00047858">
        <w:rPr>
          <w:rFonts w:ascii="Arial" w:hAnsi="Arial" w:cs="Arial"/>
          <w:color w:val="000000" w:themeColor="text1"/>
          <w:sz w:val="22"/>
          <w:lang w:val="es-ES_tradnl"/>
        </w:rPr>
        <w:t>e</w:t>
      </w:r>
      <w:r w:rsidRPr="00047858">
        <w:rPr>
          <w:rFonts w:ascii="Arial" w:hAnsi="Arial" w:cs="Arial"/>
          <w:color w:val="000000" w:themeColor="text1"/>
          <w:sz w:val="22"/>
          <w:lang w:val="es-ES_tradnl"/>
        </w:rPr>
        <w:t>l pago al sistema de Seguridad Social Integral por parte de los trabajadores independientes con contratos de prestación de servicios, le aplican las siguientes reglas: i) la base mínima de cotización es el 40% del valor mensualizado de ingresos o del contrato</w:t>
      </w:r>
      <w:r w:rsidR="0082051A" w:rsidRPr="00047858">
        <w:rPr>
          <w:rFonts w:ascii="Arial" w:hAnsi="Arial" w:cs="Arial"/>
          <w:color w:val="000000" w:themeColor="text1"/>
          <w:sz w:val="22"/>
          <w:lang w:val="es-ES_tradnl"/>
        </w:rPr>
        <w:t xml:space="preserve"> y</w:t>
      </w:r>
      <w:r w:rsidRPr="00047858">
        <w:rPr>
          <w:rFonts w:ascii="Arial" w:hAnsi="Arial" w:cs="Arial"/>
          <w:color w:val="000000" w:themeColor="text1"/>
          <w:sz w:val="22"/>
          <w:lang w:val="es-ES_tradnl"/>
        </w:rPr>
        <w:t xml:space="preserve"> </w:t>
      </w:r>
      <w:proofErr w:type="spellStart"/>
      <w:r w:rsidRPr="00047858">
        <w:rPr>
          <w:rFonts w:ascii="Arial" w:hAnsi="Arial" w:cs="Arial"/>
          <w:color w:val="000000" w:themeColor="text1"/>
          <w:sz w:val="22"/>
          <w:lang w:val="es-ES_tradnl"/>
        </w:rPr>
        <w:t>ii</w:t>
      </w:r>
      <w:proofErr w:type="spellEnd"/>
      <w:r w:rsidRPr="00047858">
        <w:rPr>
          <w:rFonts w:ascii="Arial" w:hAnsi="Arial" w:cs="Arial"/>
          <w:color w:val="000000" w:themeColor="text1"/>
          <w:sz w:val="22"/>
          <w:lang w:val="es-ES_tradnl"/>
        </w:rPr>
        <w:t xml:space="preserve">) la cotización se realizará mes vencido, </w:t>
      </w:r>
    </w:p>
    <w:p w14:paraId="29DAC448" w14:textId="4A068F61" w:rsidR="00A76554" w:rsidRPr="00047858" w:rsidRDefault="00A76554" w:rsidP="00A3528B">
      <w:pPr>
        <w:spacing w:after="240" w:line="276" w:lineRule="auto"/>
        <w:ind w:firstLine="709"/>
        <w:jc w:val="both"/>
        <w:rPr>
          <w:rFonts w:ascii="Arial" w:hAnsi="Arial" w:cs="Arial"/>
          <w:color w:val="000000" w:themeColor="text1"/>
          <w:sz w:val="22"/>
        </w:rPr>
      </w:pPr>
      <w:r w:rsidRPr="00047858">
        <w:rPr>
          <w:rFonts w:ascii="Arial" w:hAnsi="Arial" w:cs="Arial"/>
          <w:color w:val="000000" w:themeColor="text1"/>
          <w:sz w:val="22"/>
          <w:lang w:val="es-ES_tradnl"/>
        </w:rPr>
        <w:t>Respecto de la oportunidad para el pago de los aportes, conviene mencionar que l</w:t>
      </w:r>
      <w:r w:rsidRPr="00047858">
        <w:rPr>
          <w:rFonts w:ascii="Arial" w:hAnsi="Arial" w:cs="Arial"/>
          <w:color w:val="000000" w:themeColor="text1"/>
          <w:sz w:val="22"/>
        </w:rPr>
        <w:t xml:space="preserve">as entidades estatales deben respetar el derecho del contratista </w:t>
      </w:r>
      <w:r w:rsidR="006A5630" w:rsidRPr="00047858">
        <w:rPr>
          <w:rFonts w:ascii="Arial" w:hAnsi="Arial" w:cs="Arial"/>
          <w:color w:val="000000" w:themeColor="text1"/>
          <w:sz w:val="22"/>
        </w:rPr>
        <w:t>de</w:t>
      </w:r>
      <w:r w:rsidRPr="00047858">
        <w:rPr>
          <w:rFonts w:ascii="Arial" w:hAnsi="Arial" w:cs="Arial"/>
          <w:color w:val="000000" w:themeColor="text1"/>
          <w:sz w:val="22"/>
        </w:rPr>
        <w:t xml:space="preserve"> hacer los aportes al Sistema de Seguridad Social Integral a más tardar en las fechas indicadas en el artículo 3.2.2.1. del Decreto 1990 de 2016. Por tanto, en el último mes, el supervisor debe verificar que el contratista haya hecho sus aportes por lo devengado en el mes inmediatamente anterior. </w:t>
      </w:r>
    </w:p>
    <w:p w14:paraId="13AB68E4" w14:textId="3A478B5B" w:rsidR="00F055FA" w:rsidRPr="00047858" w:rsidRDefault="00A76554" w:rsidP="00D851A1">
      <w:pPr>
        <w:pStyle w:val="Prrafodelista"/>
        <w:tabs>
          <w:tab w:val="left" w:pos="284"/>
        </w:tabs>
        <w:spacing w:after="240" w:line="276" w:lineRule="auto"/>
        <w:ind w:left="0" w:firstLine="709"/>
        <w:jc w:val="both"/>
        <w:rPr>
          <w:rFonts w:ascii="Arial" w:hAnsi="Arial" w:cs="Arial"/>
          <w:color w:val="000000"/>
          <w:sz w:val="22"/>
          <w:bdr w:val="none" w:sz="0" w:space="0" w:color="auto" w:frame="1"/>
        </w:rPr>
      </w:pPr>
      <w:r w:rsidRPr="00047858">
        <w:rPr>
          <w:rFonts w:ascii="Arial" w:hAnsi="Arial" w:cs="Arial"/>
          <w:color w:val="000000" w:themeColor="text1"/>
          <w:sz w:val="22"/>
        </w:rPr>
        <w:t xml:space="preserve">En ese orden de ideas, una vez celebrado </w:t>
      </w:r>
      <w:r w:rsidR="009E4A28" w:rsidRPr="00047858">
        <w:rPr>
          <w:rFonts w:ascii="Arial" w:hAnsi="Arial" w:cs="Arial"/>
          <w:color w:val="000000" w:themeColor="text1"/>
          <w:sz w:val="22"/>
        </w:rPr>
        <w:t>un</w:t>
      </w:r>
      <w:r w:rsidRPr="00047858">
        <w:rPr>
          <w:rFonts w:ascii="Arial" w:hAnsi="Arial" w:cs="Arial"/>
          <w:color w:val="000000" w:themeColor="text1"/>
          <w:sz w:val="22"/>
        </w:rPr>
        <w:t xml:space="preserve"> contrato</w:t>
      </w:r>
      <w:r w:rsidR="009E4A28" w:rsidRPr="00047858">
        <w:rPr>
          <w:rFonts w:ascii="Arial" w:hAnsi="Arial" w:cs="Arial"/>
          <w:color w:val="000000" w:themeColor="text1"/>
          <w:sz w:val="22"/>
        </w:rPr>
        <w:t xml:space="preserve"> de prestación de servicios</w:t>
      </w:r>
      <w:r w:rsidRPr="00047858">
        <w:rPr>
          <w:rFonts w:ascii="Arial" w:hAnsi="Arial" w:cs="Arial"/>
          <w:color w:val="000000" w:themeColor="text1"/>
          <w:sz w:val="22"/>
        </w:rPr>
        <w:t xml:space="preserve">, </w:t>
      </w:r>
      <w:r w:rsidR="009E4A28" w:rsidRPr="00047858">
        <w:rPr>
          <w:rFonts w:ascii="Arial" w:hAnsi="Arial" w:cs="Arial"/>
          <w:color w:val="000000" w:themeColor="text1"/>
          <w:sz w:val="22"/>
        </w:rPr>
        <w:t xml:space="preserve">el contratista </w:t>
      </w:r>
      <w:r w:rsidRPr="00047858">
        <w:rPr>
          <w:rFonts w:ascii="Arial" w:hAnsi="Arial" w:cs="Arial"/>
          <w:color w:val="000000" w:themeColor="text1"/>
          <w:sz w:val="22"/>
        </w:rPr>
        <w:t xml:space="preserve">debe efectuar el reporte de la novedad de afiliación como trabajador independiente a cada subsistema –salud, pensiones y riesgos laborales–, pues, es así como debe cotizar mes vencido, según </w:t>
      </w:r>
      <w:r w:rsidR="009E4A28" w:rsidRPr="00047858">
        <w:rPr>
          <w:rFonts w:ascii="Arial" w:hAnsi="Arial" w:cs="Arial"/>
          <w:color w:val="000000" w:themeColor="text1"/>
          <w:sz w:val="22"/>
        </w:rPr>
        <w:t>los fundamentos anteriormente mencionados</w:t>
      </w:r>
      <w:r w:rsidRPr="00047858">
        <w:rPr>
          <w:rFonts w:ascii="Arial" w:hAnsi="Arial" w:cs="Arial"/>
          <w:color w:val="000000" w:themeColor="text1"/>
          <w:sz w:val="22"/>
        </w:rPr>
        <w:t xml:space="preserve">.  De manera que, si la persona natural se encontraba afiliada como cotizante dependiente al régimen contributivo y celebra un contrato de prestación de servicios profesionales o de </w:t>
      </w:r>
      <w:r w:rsidRPr="00047858">
        <w:rPr>
          <w:rFonts w:ascii="Arial" w:hAnsi="Arial" w:cs="Arial"/>
          <w:color w:val="000000" w:themeColor="text1"/>
          <w:sz w:val="22"/>
        </w:rPr>
        <w:lastRenderedPageBreak/>
        <w:t>apoyo a la gestión con una entidad estatal, debe reportar la novedad de afiliación como independiente y cotizar en esta calidad, demostrando el cumplimiento de este deber, como requisito para el pago, en los términos del artículo 23 de la Ley 1150 de 2007.</w:t>
      </w:r>
      <w:r w:rsidR="00F055FA" w:rsidRPr="00047858">
        <w:rPr>
          <w:rFonts w:ascii="Arial" w:hAnsi="Arial" w:cs="Arial"/>
          <w:color w:val="000000"/>
          <w:sz w:val="22"/>
          <w:bdr w:val="none" w:sz="0" w:space="0" w:color="auto" w:frame="1"/>
        </w:rPr>
        <w:t> </w:t>
      </w:r>
    </w:p>
    <w:p w14:paraId="0E8E6312" w14:textId="77777777" w:rsidR="00A3528B" w:rsidRPr="00047858" w:rsidRDefault="00A3528B" w:rsidP="00A3528B">
      <w:pPr>
        <w:pStyle w:val="Prrafodelista"/>
        <w:tabs>
          <w:tab w:val="left" w:pos="284"/>
        </w:tabs>
        <w:spacing w:after="240" w:line="276" w:lineRule="auto"/>
        <w:ind w:left="0"/>
        <w:jc w:val="both"/>
        <w:rPr>
          <w:rFonts w:ascii="Arial" w:eastAsia="Calibri" w:hAnsi="Arial" w:cs="Arial"/>
          <w:b/>
          <w:sz w:val="22"/>
          <w:lang w:val="es-CO"/>
        </w:rPr>
      </w:pPr>
    </w:p>
    <w:p w14:paraId="758A3D97" w14:textId="077B5F44" w:rsidR="004B29A8" w:rsidRPr="00047858" w:rsidRDefault="004B29A8" w:rsidP="00A3528B">
      <w:pPr>
        <w:pStyle w:val="Prrafodelista"/>
        <w:tabs>
          <w:tab w:val="left" w:pos="284"/>
        </w:tabs>
        <w:spacing w:after="240" w:line="276" w:lineRule="auto"/>
        <w:ind w:left="0"/>
        <w:jc w:val="both"/>
        <w:rPr>
          <w:rFonts w:ascii="Arial" w:eastAsia="Calibri" w:hAnsi="Arial" w:cs="Arial"/>
          <w:b/>
          <w:sz w:val="22"/>
          <w:lang w:val="es-CO"/>
        </w:rPr>
      </w:pPr>
      <w:r w:rsidRPr="00047858">
        <w:rPr>
          <w:rFonts w:ascii="Arial" w:eastAsia="Calibri" w:hAnsi="Arial" w:cs="Arial"/>
          <w:b/>
          <w:sz w:val="22"/>
          <w:lang w:val="es-CO"/>
        </w:rPr>
        <w:t>3. Respuesta</w:t>
      </w:r>
    </w:p>
    <w:p w14:paraId="2AE60229" w14:textId="77777777" w:rsidR="0006542C" w:rsidRPr="00047858" w:rsidRDefault="0006542C" w:rsidP="0006542C">
      <w:pPr>
        <w:ind w:left="567" w:right="900"/>
        <w:jc w:val="both"/>
        <w:rPr>
          <w:rFonts w:ascii="Arial" w:hAnsi="Arial" w:cs="Arial"/>
          <w:i/>
          <w:iCs/>
          <w:color w:val="000000"/>
          <w:sz w:val="21"/>
          <w:szCs w:val="21"/>
        </w:rPr>
      </w:pPr>
      <w:r w:rsidRPr="00047858">
        <w:rPr>
          <w:rFonts w:ascii="Arial" w:hAnsi="Arial" w:cs="Arial"/>
          <w:i/>
          <w:iCs/>
          <w:color w:val="000000"/>
          <w:sz w:val="21"/>
          <w:szCs w:val="21"/>
        </w:rPr>
        <w:t xml:space="preserve">«[…] 1. ¿Puede la entidad estatal aceptar una planilla liquidada y pagada con un IBC base de un salario mínimo legal mensual vigente cuando los ingresos relacionados en su primer cobro son superiores a 1 </w:t>
      </w:r>
      <w:proofErr w:type="spellStart"/>
      <w:r w:rsidRPr="00047858">
        <w:rPr>
          <w:rFonts w:ascii="Arial" w:hAnsi="Arial" w:cs="Arial"/>
          <w:i/>
          <w:iCs/>
          <w:color w:val="000000"/>
          <w:sz w:val="21"/>
          <w:szCs w:val="21"/>
        </w:rPr>
        <w:t>smlmv</w:t>
      </w:r>
      <w:proofErr w:type="spellEnd"/>
      <w:r w:rsidRPr="00047858">
        <w:rPr>
          <w:rFonts w:ascii="Arial" w:hAnsi="Arial" w:cs="Arial"/>
          <w:i/>
          <w:iCs/>
          <w:color w:val="000000"/>
          <w:sz w:val="21"/>
          <w:szCs w:val="21"/>
        </w:rPr>
        <w:t>?</w:t>
      </w:r>
    </w:p>
    <w:p w14:paraId="54EDB73C" w14:textId="77777777" w:rsidR="0006542C" w:rsidRPr="00047858" w:rsidRDefault="0006542C" w:rsidP="0006542C">
      <w:pPr>
        <w:pStyle w:val="Textoindependiente"/>
        <w:ind w:left="567" w:right="474"/>
        <w:rPr>
          <w:rFonts w:eastAsiaTheme="minorHAnsi"/>
          <w:i/>
          <w:iCs/>
          <w:color w:val="000000"/>
          <w:sz w:val="21"/>
          <w:szCs w:val="21"/>
          <w:lang w:val="es-MX" w:eastAsia="en-US" w:bidi="ar-SA"/>
        </w:rPr>
      </w:pPr>
    </w:p>
    <w:p w14:paraId="3E9B588E" w14:textId="77777777" w:rsidR="0006542C" w:rsidRPr="00047858" w:rsidRDefault="0006542C" w:rsidP="0006542C">
      <w:pPr>
        <w:ind w:left="567" w:right="900"/>
        <w:jc w:val="both"/>
        <w:rPr>
          <w:rFonts w:ascii="Arial" w:hAnsi="Arial" w:cs="Arial"/>
          <w:i/>
          <w:iCs/>
          <w:color w:val="000000"/>
          <w:sz w:val="21"/>
          <w:szCs w:val="21"/>
        </w:rPr>
      </w:pPr>
      <w:r w:rsidRPr="00047858">
        <w:rPr>
          <w:rFonts w:ascii="Arial" w:hAnsi="Arial" w:cs="Arial"/>
          <w:i/>
          <w:iCs/>
          <w:color w:val="000000"/>
          <w:sz w:val="21"/>
          <w:szCs w:val="21"/>
        </w:rPr>
        <w:t>2. ¿Puede la entidad estatal aceptar la planilla liquidada y pagada del mes de junio, teniendo en cuenta que presentó su cuenta de cobro al supervisor luego del 05 día hábil o ya no tendría vigencia tal planilla y en su defecto debe realizar el pago del mes julio y presentarla con su primer cobro?</w:t>
      </w:r>
    </w:p>
    <w:p w14:paraId="68A11EAB" w14:textId="77777777" w:rsidR="0006542C" w:rsidRPr="00047858" w:rsidRDefault="0006542C" w:rsidP="0006542C">
      <w:pPr>
        <w:ind w:left="567" w:right="900"/>
        <w:jc w:val="both"/>
        <w:rPr>
          <w:rFonts w:ascii="Arial" w:hAnsi="Arial" w:cs="Arial"/>
          <w:i/>
          <w:iCs/>
          <w:color w:val="000000"/>
          <w:sz w:val="21"/>
          <w:szCs w:val="21"/>
        </w:rPr>
      </w:pPr>
    </w:p>
    <w:p w14:paraId="6249238F" w14:textId="08227338" w:rsidR="0006542C" w:rsidRPr="00047858" w:rsidRDefault="0006542C" w:rsidP="0006542C">
      <w:pPr>
        <w:spacing w:after="240"/>
        <w:ind w:left="567" w:right="900"/>
        <w:jc w:val="both"/>
        <w:rPr>
          <w:rFonts w:ascii="Arial" w:hAnsi="Arial" w:cs="Arial"/>
          <w:i/>
          <w:iCs/>
          <w:color w:val="000000"/>
          <w:sz w:val="21"/>
          <w:szCs w:val="21"/>
        </w:rPr>
      </w:pPr>
      <w:r w:rsidRPr="00047858">
        <w:rPr>
          <w:rFonts w:ascii="Arial" w:hAnsi="Arial" w:cs="Arial"/>
          <w:i/>
          <w:iCs/>
          <w:color w:val="000000"/>
          <w:sz w:val="21"/>
          <w:szCs w:val="21"/>
        </w:rPr>
        <w:t>3. ¿Qué se entiende por mes vencido de seguridad social»</w:t>
      </w:r>
    </w:p>
    <w:p w14:paraId="4C0DB104" w14:textId="402B346C" w:rsidR="00EA405F" w:rsidRPr="00047858" w:rsidRDefault="00EA405F" w:rsidP="003A5DF4">
      <w:pPr>
        <w:spacing w:after="240" w:line="276" w:lineRule="auto"/>
        <w:jc w:val="both"/>
        <w:rPr>
          <w:rFonts w:ascii="Arial" w:hAnsi="Arial" w:cs="Arial"/>
          <w:color w:val="000000" w:themeColor="text1"/>
          <w:sz w:val="22"/>
          <w:lang w:val="es-ES_tradnl"/>
        </w:rPr>
      </w:pPr>
      <w:r w:rsidRPr="00047858">
        <w:rPr>
          <w:rFonts w:ascii="Arial" w:hAnsi="Arial" w:cs="Arial"/>
          <w:color w:val="000000" w:themeColor="text1"/>
          <w:sz w:val="22"/>
          <w:lang w:val="es-ES_tradnl"/>
        </w:rPr>
        <w:t>En ejercicio de las competencias establecidas en los artículos 3.5 y 11.8 del Decreto 4170 de 2011, la Agencia Nacional de Contratación Pública – Colombia Compra Eficiente solo tiene competencia para responder solicitudes sobre la aplicación de normas de carácter general en materia de compras y contratación pública. En ese sentido, la Subdirección –dentro de los límites de sus atribuciones– solo resolverá la consulta elevada, conforme a las normas generales.</w:t>
      </w:r>
    </w:p>
    <w:p w14:paraId="1FE385AC" w14:textId="53DB4896" w:rsidR="003A5DF4" w:rsidRPr="00047858" w:rsidRDefault="003A5DF4" w:rsidP="003A5DF4">
      <w:pPr>
        <w:spacing w:after="240" w:line="276" w:lineRule="auto"/>
        <w:ind w:firstLine="709"/>
        <w:jc w:val="both"/>
        <w:rPr>
          <w:rFonts w:ascii="Arial" w:hAnsi="Arial" w:cs="Arial"/>
          <w:color w:val="000000" w:themeColor="text1"/>
          <w:sz w:val="22"/>
          <w:lang w:val="es-ES_tradnl"/>
        </w:rPr>
      </w:pPr>
      <w:r w:rsidRPr="00047858">
        <w:rPr>
          <w:rFonts w:ascii="Arial" w:hAnsi="Arial" w:cs="Arial"/>
          <w:color w:val="000000" w:themeColor="text1"/>
          <w:sz w:val="22"/>
          <w:lang w:val="es-ES_tradnl"/>
        </w:rPr>
        <w:t>Para efectos prácticos estas preguntas se agrupan por unidad de materia, y para su respuesta se precisa que, esta Agencia concluye que, conforme al artículo 23 de la Ley 1150 de 2007 se modificó el inciso segundo del artículo 41 de la Ley 80 de 1993, señalando que los contratistas deberán acreditar que se encuentran al día en el pago de aportes parafiscales relativos al Sistema de Seguridad Social Integral, así como los propios del Sena, ICBF y Cajas de Compensación Familiar, cuando corresponda, esto deberá acreditarse para la realización de cada pago derivado del contrato estatal. Por lo anterior, corresponde a la supervisión verificar que los contratistas están al día en el pago al Sistema de Seguridad Social Integral, cuando realicen los pagos del contrato, es decir, durante la ejecución.</w:t>
      </w:r>
    </w:p>
    <w:p w14:paraId="6CCAC777" w14:textId="2E177BCC" w:rsidR="003A5DF4" w:rsidRPr="00047858" w:rsidRDefault="003A5DF4" w:rsidP="003A5DF4">
      <w:pPr>
        <w:spacing w:after="240" w:line="276" w:lineRule="auto"/>
        <w:ind w:firstLine="709"/>
        <w:jc w:val="both"/>
        <w:rPr>
          <w:rFonts w:ascii="Arial" w:hAnsi="Arial" w:cs="Arial"/>
          <w:color w:val="000000" w:themeColor="text1"/>
          <w:sz w:val="22"/>
          <w:lang w:val="es-ES_tradnl"/>
        </w:rPr>
      </w:pPr>
      <w:r w:rsidRPr="00047858">
        <w:rPr>
          <w:rFonts w:ascii="Arial" w:hAnsi="Arial" w:cs="Arial"/>
          <w:color w:val="000000" w:themeColor="text1"/>
          <w:sz w:val="22"/>
          <w:lang w:val="es-ES_tradnl"/>
        </w:rPr>
        <w:t>Actualmente, el pago al sistema de Seguridad Social Integral por parte de los trabajadores independientes con contratos de prestación de servicios, le aplican las siguientes reglas: i) la base mínima de cotización es el 40% del valor mensualizado de ingresos o del contrato</w:t>
      </w:r>
      <w:r w:rsidR="0082051A" w:rsidRPr="00047858">
        <w:rPr>
          <w:rFonts w:ascii="Arial" w:hAnsi="Arial" w:cs="Arial"/>
          <w:color w:val="000000" w:themeColor="text1"/>
          <w:sz w:val="22"/>
          <w:lang w:val="es-ES_tradnl"/>
        </w:rPr>
        <w:t xml:space="preserve"> y</w:t>
      </w:r>
      <w:r w:rsidRPr="00047858">
        <w:rPr>
          <w:rFonts w:ascii="Arial" w:hAnsi="Arial" w:cs="Arial"/>
          <w:color w:val="000000" w:themeColor="text1"/>
          <w:sz w:val="22"/>
          <w:lang w:val="es-ES_tradnl"/>
        </w:rPr>
        <w:t xml:space="preserve"> </w:t>
      </w:r>
      <w:proofErr w:type="spellStart"/>
      <w:r w:rsidRPr="00047858">
        <w:rPr>
          <w:rFonts w:ascii="Arial" w:hAnsi="Arial" w:cs="Arial"/>
          <w:color w:val="000000" w:themeColor="text1"/>
          <w:sz w:val="22"/>
          <w:lang w:val="es-ES_tradnl"/>
        </w:rPr>
        <w:t>ii</w:t>
      </w:r>
      <w:proofErr w:type="spellEnd"/>
      <w:r w:rsidRPr="00047858">
        <w:rPr>
          <w:rFonts w:ascii="Arial" w:hAnsi="Arial" w:cs="Arial"/>
          <w:color w:val="000000" w:themeColor="text1"/>
          <w:sz w:val="22"/>
          <w:lang w:val="es-ES_tradnl"/>
        </w:rPr>
        <w:t>) la cotización se realizará mes vencido</w:t>
      </w:r>
      <w:r w:rsidR="0082051A" w:rsidRPr="00047858">
        <w:rPr>
          <w:rFonts w:ascii="Arial" w:hAnsi="Arial" w:cs="Arial"/>
          <w:color w:val="000000" w:themeColor="text1"/>
          <w:sz w:val="22"/>
          <w:lang w:val="es-ES_tradnl"/>
        </w:rPr>
        <w:t>.</w:t>
      </w:r>
    </w:p>
    <w:p w14:paraId="3A5321EF" w14:textId="359D38C1" w:rsidR="003A5DF4" w:rsidRPr="00047858" w:rsidRDefault="003A5DF4" w:rsidP="003A5DF4">
      <w:pPr>
        <w:pStyle w:val="Textoindependiente"/>
        <w:spacing w:after="240" w:line="276" w:lineRule="auto"/>
        <w:ind w:right="49" w:firstLine="709"/>
        <w:jc w:val="both"/>
        <w:rPr>
          <w:rFonts w:eastAsiaTheme="minorHAnsi"/>
          <w:color w:val="000000" w:themeColor="text1"/>
          <w:sz w:val="22"/>
          <w:szCs w:val="22"/>
          <w:lang w:val="es-ES_tradnl" w:eastAsia="en-US" w:bidi="ar-SA"/>
        </w:rPr>
      </w:pPr>
      <w:r w:rsidRPr="00047858">
        <w:rPr>
          <w:rFonts w:eastAsiaTheme="minorHAnsi"/>
          <w:color w:val="000000" w:themeColor="text1"/>
          <w:sz w:val="22"/>
          <w:szCs w:val="22"/>
          <w:lang w:val="es-ES_tradnl" w:eastAsia="en-US" w:bidi="ar-SA"/>
        </w:rPr>
        <w:lastRenderedPageBreak/>
        <w:t>En todo caso, las entidades estatales deben respetar el derecho del contratista a hacer los aportes al Sistema de Seguridad Social Integral a más tardar en las fechas indicadas en el artículo 3.2.2.1. del Decreto 1990 de 2016. Por tanto, en el último mes, el supervisor debe verificar que el contratista haya hecho sus aportes por lo devengado en el mes inmediatamente anterior.</w:t>
      </w:r>
    </w:p>
    <w:p w14:paraId="7B5F1CB5" w14:textId="77777777" w:rsidR="003A5DF4" w:rsidRPr="00047858" w:rsidRDefault="003A5DF4" w:rsidP="003A5DF4">
      <w:pPr>
        <w:pStyle w:val="Textoindependiente"/>
        <w:spacing w:after="240" w:line="276" w:lineRule="auto"/>
        <w:ind w:right="49" w:firstLine="709"/>
        <w:jc w:val="both"/>
        <w:rPr>
          <w:rFonts w:eastAsiaTheme="minorHAnsi"/>
          <w:color w:val="000000" w:themeColor="text1"/>
          <w:sz w:val="22"/>
          <w:szCs w:val="22"/>
          <w:lang w:val="es-ES_tradnl" w:eastAsia="en-US" w:bidi="ar-SA"/>
        </w:rPr>
      </w:pPr>
      <w:r w:rsidRPr="00047858">
        <w:rPr>
          <w:rFonts w:eastAsiaTheme="minorHAnsi"/>
          <w:color w:val="000000" w:themeColor="text1"/>
          <w:sz w:val="22"/>
          <w:szCs w:val="22"/>
          <w:lang w:val="es-ES_tradnl" w:eastAsia="en-US" w:bidi="ar-SA"/>
        </w:rPr>
        <w:t>Conforme a lo anterior, le corresponde a cada entidad estatal analizar la situación particular de cada pago del contrato, conforme a la fecha de presentación de la cuenta de cobro o factura, para determinar cuál será el mes del que se debe acreditar y verificar el pago los aportes al Sistema de Seguridad Social Integral, respetando en todo caso, tanto que la verificación debe ser del mes vencido, como el derecho del contratista a efectuar el pago en la fecha indicada en el artículo 3.2.2.1. del Decreto 1990 de 2016.</w:t>
      </w:r>
    </w:p>
    <w:p w14:paraId="68EB1608" w14:textId="17A20CBA" w:rsidR="003A5DF4" w:rsidRPr="00047858" w:rsidRDefault="003A5DF4" w:rsidP="003A5DF4">
      <w:pPr>
        <w:spacing w:after="240" w:line="276" w:lineRule="auto"/>
        <w:ind w:firstLine="709"/>
        <w:jc w:val="both"/>
        <w:rPr>
          <w:rFonts w:ascii="Arial" w:hAnsi="Arial" w:cs="Arial"/>
          <w:color w:val="000000" w:themeColor="text1"/>
          <w:sz w:val="22"/>
          <w:lang w:val="es-ES_tradnl"/>
        </w:rPr>
      </w:pPr>
      <w:r w:rsidRPr="00047858">
        <w:rPr>
          <w:rFonts w:ascii="Arial" w:hAnsi="Arial" w:cs="Arial"/>
          <w:color w:val="000000" w:themeColor="text1"/>
          <w:sz w:val="22"/>
          <w:lang w:val="es-ES_tradnl"/>
        </w:rPr>
        <w:t xml:space="preserve">Bajo este contexto, una vez determinado el periodo </w:t>
      </w:r>
      <w:r w:rsidR="00D6664E" w:rsidRPr="00047858">
        <w:rPr>
          <w:rFonts w:ascii="Arial" w:hAnsi="Arial" w:cs="Arial"/>
          <w:color w:val="000000" w:themeColor="text1"/>
          <w:sz w:val="22"/>
          <w:lang w:val="es-ES_tradnl"/>
        </w:rPr>
        <w:t xml:space="preserve">se podrá establecer </w:t>
      </w:r>
      <w:r w:rsidRPr="00047858">
        <w:rPr>
          <w:rFonts w:ascii="Arial" w:hAnsi="Arial" w:cs="Arial"/>
          <w:color w:val="000000" w:themeColor="text1"/>
          <w:sz w:val="22"/>
          <w:lang w:val="es-ES_tradnl"/>
        </w:rPr>
        <w:t xml:space="preserve">el monto </w:t>
      </w:r>
      <w:r w:rsidR="00D6664E" w:rsidRPr="00047858">
        <w:rPr>
          <w:rFonts w:ascii="Arial" w:hAnsi="Arial" w:cs="Arial"/>
          <w:color w:val="000000" w:themeColor="text1"/>
          <w:sz w:val="22"/>
          <w:lang w:val="es-ES_tradnl"/>
        </w:rPr>
        <w:t>que se deberá acreditar conforme a los ingresos obtenidos en dicho mes y la</w:t>
      </w:r>
      <w:r w:rsidRPr="00047858">
        <w:rPr>
          <w:rFonts w:ascii="Arial" w:hAnsi="Arial" w:cs="Arial"/>
          <w:color w:val="000000" w:themeColor="text1"/>
          <w:sz w:val="22"/>
          <w:lang w:val="es-ES_tradnl"/>
        </w:rPr>
        <w:t xml:space="preserve"> correspondiente base mínima de cotización</w:t>
      </w:r>
      <w:r w:rsidR="00D6664E" w:rsidRPr="00047858">
        <w:rPr>
          <w:rFonts w:ascii="Arial" w:hAnsi="Arial" w:cs="Arial"/>
          <w:color w:val="000000" w:themeColor="text1"/>
          <w:sz w:val="22"/>
          <w:lang w:val="es-ES_tradnl"/>
        </w:rPr>
        <w:t xml:space="preserve"> conforme a las normas descritas en el presente concepto</w:t>
      </w:r>
      <w:r w:rsidRPr="00047858">
        <w:rPr>
          <w:rFonts w:ascii="Arial" w:hAnsi="Arial" w:cs="Arial"/>
          <w:color w:val="000000" w:themeColor="text1"/>
          <w:sz w:val="22"/>
          <w:lang w:val="es-ES_tradnl"/>
        </w:rPr>
        <w:t>.</w:t>
      </w:r>
    </w:p>
    <w:p w14:paraId="073B8E8D" w14:textId="77777777" w:rsidR="004B29A8" w:rsidRPr="00047858" w:rsidRDefault="004B29A8" w:rsidP="00A3528B">
      <w:pPr>
        <w:spacing w:after="240" w:line="276" w:lineRule="auto"/>
        <w:jc w:val="both"/>
        <w:rPr>
          <w:rFonts w:ascii="Arial" w:eastAsia="Times New Roman" w:hAnsi="Arial" w:cs="Arial"/>
          <w:color w:val="000000"/>
          <w:sz w:val="22"/>
          <w:lang w:eastAsia="es-CO"/>
        </w:rPr>
      </w:pPr>
      <w:r w:rsidRPr="00047858">
        <w:rPr>
          <w:rFonts w:ascii="Arial" w:eastAsia="Times New Roman" w:hAnsi="Arial" w:cs="Arial"/>
          <w:color w:val="000000"/>
          <w:sz w:val="22"/>
          <w:lang w:eastAsia="es-CO"/>
        </w:rPr>
        <w:t>Este concepto tiene el alcance previsto en el artículo 28 del Código de Procedimiento Administrativo y de lo Contencioso Administrativo.</w:t>
      </w:r>
    </w:p>
    <w:p w14:paraId="12D865D5" w14:textId="4A1E5E2E" w:rsidR="004B29A8" w:rsidRPr="00047858" w:rsidRDefault="004B29A8" w:rsidP="00A3528B">
      <w:pPr>
        <w:spacing w:after="240" w:line="276" w:lineRule="auto"/>
        <w:jc w:val="both"/>
        <w:rPr>
          <w:rFonts w:ascii="Arial" w:eastAsia="Times New Roman" w:hAnsi="Arial" w:cs="Arial"/>
          <w:color w:val="000000"/>
          <w:sz w:val="22"/>
          <w:lang w:val="es-ES" w:eastAsia="es-CO"/>
        </w:rPr>
      </w:pPr>
      <w:r w:rsidRPr="00047858">
        <w:rPr>
          <w:rFonts w:ascii="Arial" w:eastAsia="Times New Roman" w:hAnsi="Arial" w:cs="Arial"/>
          <w:color w:val="000000"/>
          <w:sz w:val="22"/>
          <w:lang w:val="es-ES" w:eastAsia="es-CO"/>
        </w:rPr>
        <w:t>Atentamente,</w:t>
      </w:r>
    </w:p>
    <w:bookmarkEnd w:id="0"/>
    <w:p w14:paraId="29F88100" w14:textId="2D6454D8" w:rsidR="00A15359" w:rsidRPr="00047858" w:rsidRDefault="004A1F73" w:rsidP="00A15359">
      <w:pPr>
        <w:spacing w:after="120" w:line="276" w:lineRule="auto"/>
        <w:jc w:val="center"/>
        <w:rPr>
          <w:rFonts w:ascii="Calibri" w:eastAsia="Calibri" w:hAnsi="Calibri" w:cs="Times New Roman"/>
        </w:rPr>
      </w:pPr>
      <w:r>
        <w:rPr>
          <w:rFonts w:ascii="Arial" w:hAnsi="Arial" w:cs="Arial"/>
          <w:noProof/>
          <w:color w:val="161616" w:themeColor="background1" w:themeShade="1A"/>
          <w:lang w:eastAsia="es-CO"/>
        </w:rPr>
        <w:drawing>
          <wp:inline distT="0" distB="0" distL="0" distR="0" wp14:anchorId="7D17B782" wp14:editId="11E7FCA7">
            <wp:extent cx="2533650" cy="981075"/>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0664C5" w:rsidRPr="00047858" w14:paraId="2DA47E8B" w14:textId="77777777" w:rsidTr="00CF662B">
        <w:trPr>
          <w:trHeight w:val="286"/>
        </w:trPr>
        <w:tc>
          <w:tcPr>
            <w:tcW w:w="817" w:type="dxa"/>
            <w:vAlign w:val="center"/>
          </w:tcPr>
          <w:p w14:paraId="06EAE4B2" w14:textId="77777777" w:rsidR="000664C5" w:rsidRPr="00047858" w:rsidRDefault="000664C5" w:rsidP="000664C5">
            <w:pPr>
              <w:spacing w:before="0"/>
              <w:rPr>
                <w:rFonts w:ascii="Arial" w:hAnsi="Arial" w:cs="Arial"/>
                <w:sz w:val="16"/>
                <w:szCs w:val="16"/>
                <w:lang w:eastAsia="es-ES"/>
              </w:rPr>
            </w:pPr>
            <w:r w:rsidRPr="00047858">
              <w:rPr>
                <w:rFonts w:ascii="Arial" w:hAnsi="Arial" w:cs="Arial"/>
                <w:sz w:val="16"/>
                <w:szCs w:val="16"/>
                <w:lang w:eastAsia="es-ES"/>
              </w:rPr>
              <w:t>Elaboró:</w:t>
            </w:r>
          </w:p>
        </w:tc>
        <w:tc>
          <w:tcPr>
            <w:tcW w:w="4445" w:type="dxa"/>
            <w:tcBorders>
              <w:bottom w:val="dotted" w:sz="4" w:space="0" w:color="7F7F7F"/>
            </w:tcBorders>
            <w:vAlign w:val="center"/>
          </w:tcPr>
          <w:p w14:paraId="7C542DB1" w14:textId="77777777" w:rsidR="000664C5" w:rsidRPr="00047858" w:rsidRDefault="000664C5" w:rsidP="000664C5">
            <w:pPr>
              <w:spacing w:before="0"/>
              <w:rPr>
                <w:rFonts w:ascii="Arial" w:hAnsi="Arial" w:cs="Arial"/>
                <w:sz w:val="16"/>
                <w:szCs w:val="16"/>
                <w:lang w:eastAsia="es-ES"/>
              </w:rPr>
            </w:pPr>
            <w:r w:rsidRPr="00047858">
              <w:rPr>
                <w:rFonts w:ascii="Arial" w:hAnsi="Arial" w:cs="Arial"/>
                <w:sz w:val="16"/>
                <w:szCs w:val="16"/>
                <w:lang w:eastAsia="es-ES"/>
              </w:rPr>
              <w:t xml:space="preserve">Diana Fabiola Herrera Hernández </w:t>
            </w:r>
          </w:p>
          <w:p w14:paraId="4469E5DF" w14:textId="77777777" w:rsidR="000664C5" w:rsidRPr="00047858" w:rsidRDefault="000664C5" w:rsidP="000664C5">
            <w:pPr>
              <w:spacing w:before="0"/>
              <w:rPr>
                <w:rFonts w:ascii="Arial" w:hAnsi="Arial" w:cs="Arial"/>
                <w:sz w:val="16"/>
                <w:szCs w:val="16"/>
                <w:lang w:eastAsia="es-ES"/>
              </w:rPr>
            </w:pPr>
            <w:r w:rsidRPr="00047858">
              <w:rPr>
                <w:rFonts w:ascii="Arial" w:hAnsi="Arial" w:cs="Arial"/>
                <w:sz w:val="16"/>
                <w:szCs w:val="16"/>
                <w:lang w:eastAsia="es-ES"/>
              </w:rPr>
              <w:t>Contratista de la Subdirección de Gestión Contractual</w:t>
            </w:r>
          </w:p>
        </w:tc>
      </w:tr>
      <w:tr w:rsidR="000664C5" w:rsidRPr="00047858" w14:paraId="2824D27B" w14:textId="77777777" w:rsidTr="00CF662B">
        <w:trPr>
          <w:trHeight w:val="299"/>
        </w:trPr>
        <w:tc>
          <w:tcPr>
            <w:tcW w:w="817" w:type="dxa"/>
            <w:vAlign w:val="center"/>
          </w:tcPr>
          <w:p w14:paraId="1A976EDE" w14:textId="77777777" w:rsidR="000664C5" w:rsidRPr="00047858" w:rsidRDefault="000664C5" w:rsidP="000664C5">
            <w:pPr>
              <w:spacing w:before="0"/>
              <w:rPr>
                <w:rFonts w:ascii="Arial" w:hAnsi="Arial" w:cs="Arial"/>
                <w:sz w:val="16"/>
                <w:szCs w:val="16"/>
                <w:lang w:eastAsia="es-ES"/>
              </w:rPr>
            </w:pPr>
            <w:r w:rsidRPr="00047858">
              <w:rPr>
                <w:rFonts w:ascii="Arial" w:hAnsi="Arial" w:cs="Arial"/>
                <w:sz w:val="16"/>
                <w:szCs w:val="16"/>
                <w:lang w:eastAsia="es-ES"/>
              </w:rPr>
              <w:t>Revisó:</w:t>
            </w:r>
          </w:p>
        </w:tc>
        <w:tc>
          <w:tcPr>
            <w:tcW w:w="4445" w:type="dxa"/>
            <w:tcBorders>
              <w:top w:val="dotted" w:sz="4" w:space="0" w:color="7F7F7F"/>
              <w:bottom w:val="dotted" w:sz="4" w:space="0" w:color="7F7F7F"/>
            </w:tcBorders>
            <w:vAlign w:val="center"/>
          </w:tcPr>
          <w:p w14:paraId="3E85025B" w14:textId="782CB76B" w:rsidR="000664C5" w:rsidRPr="00047858" w:rsidRDefault="0082051A" w:rsidP="000664C5">
            <w:pPr>
              <w:spacing w:before="0"/>
              <w:rPr>
                <w:rFonts w:ascii="Arial" w:hAnsi="Arial" w:cs="Arial"/>
                <w:sz w:val="16"/>
                <w:szCs w:val="16"/>
                <w:lang w:eastAsia="es-ES"/>
              </w:rPr>
            </w:pPr>
            <w:proofErr w:type="spellStart"/>
            <w:r w:rsidRPr="00047858">
              <w:rPr>
                <w:rFonts w:ascii="Arial" w:hAnsi="Arial" w:cs="Arial"/>
                <w:sz w:val="16"/>
                <w:szCs w:val="16"/>
                <w:lang w:eastAsia="es-ES"/>
              </w:rPr>
              <w:t>Any</w:t>
            </w:r>
            <w:proofErr w:type="spellEnd"/>
            <w:r w:rsidRPr="00047858">
              <w:rPr>
                <w:rFonts w:ascii="Arial" w:hAnsi="Arial" w:cs="Arial"/>
                <w:sz w:val="16"/>
                <w:szCs w:val="16"/>
                <w:lang w:eastAsia="es-ES"/>
              </w:rPr>
              <w:t xml:space="preserve"> Alejandra Tovar Castillo</w:t>
            </w:r>
          </w:p>
          <w:p w14:paraId="0FB83062" w14:textId="77777777" w:rsidR="000664C5" w:rsidRPr="00047858" w:rsidRDefault="000664C5" w:rsidP="000664C5">
            <w:pPr>
              <w:spacing w:before="0"/>
              <w:rPr>
                <w:rFonts w:ascii="Arial" w:hAnsi="Arial" w:cs="Arial"/>
                <w:sz w:val="16"/>
                <w:szCs w:val="16"/>
                <w:lang w:eastAsia="es-ES"/>
              </w:rPr>
            </w:pPr>
            <w:r w:rsidRPr="00047858">
              <w:rPr>
                <w:rFonts w:ascii="Arial" w:hAnsi="Arial" w:cs="Arial"/>
                <w:sz w:val="16"/>
                <w:szCs w:val="16"/>
                <w:lang w:eastAsia="es-ES"/>
              </w:rPr>
              <w:t>Contratista de la Subdirección de Gestión Contractual</w:t>
            </w:r>
          </w:p>
        </w:tc>
      </w:tr>
      <w:tr w:rsidR="000664C5" w:rsidRPr="00776161" w14:paraId="4ECAF313" w14:textId="77777777" w:rsidTr="00CF662B">
        <w:trPr>
          <w:trHeight w:val="272"/>
        </w:trPr>
        <w:tc>
          <w:tcPr>
            <w:tcW w:w="817" w:type="dxa"/>
            <w:vAlign w:val="center"/>
          </w:tcPr>
          <w:p w14:paraId="27AB78F9" w14:textId="77777777" w:rsidR="000664C5" w:rsidRPr="00047858" w:rsidRDefault="000664C5" w:rsidP="000664C5">
            <w:pPr>
              <w:spacing w:before="0"/>
              <w:rPr>
                <w:rFonts w:ascii="Arial" w:hAnsi="Arial" w:cs="Arial"/>
                <w:sz w:val="16"/>
                <w:szCs w:val="16"/>
                <w:lang w:eastAsia="es-ES"/>
              </w:rPr>
            </w:pPr>
            <w:r w:rsidRPr="00047858">
              <w:rPr>
                <w:rFonts w:ascii="Arial" w:hAnsi="Arial" w:cs="Arial"/>
                <w:sz w:val="16"/>
                <w:szCs w:val="16"/>
                <w:lang w:eastAsia="es-ES"/>
              </w:rPr>
              <w:t>Aprobó:</w:t>
            </w:r>
          </w:p>
        </w:tc>
        <w:tc>
          <w:tcPr>
            <w:tcW w:w="4445" w:type="dxa"/>
            <w:tcBorders>
              <w:top w:val="dotted" w:sz="4" w:space="0" w:color="7F7F7F"/>
              <w:bottom w:val="dotted" w:sz="4" w:space="0" w:color="7F7F7F"/>
            </w:tcBorders>
            <w:vAlign w:val="center"/>
          </w:tcPr>
          <w:p w14:paraId="784CBC73" w14:textId="60D8DF5A" w:rsidR="000664C5" w:rsidRPr="00047858" w:rsidRDefault="000664C5" w:rsidP="000664C5">
            <w:pPr>
              <w:spacing w:before="0"/>
              <w:rPr>
                <w:rFonts w:ascii="Arial" w:hAnsi="Arial" w:cs="Arial"/>
                <w:sz w:val="16"/>
                <w:szCs w:val="16"/>
                <w:lang w:eastAsia="es-ES"/>
              </w:rPr>
            </w:pPr>
            <w:r w:rsidRPr="00047858">
              <w:rPr>
                <w:rFonts w:ascii="Arial" w:hAnsi="Arial" w:cs="Arial"/>
                <w:sz w:val="16"/>
                <w:szCs w:val="16"/>
                <w:lang w:eastAsia="es-ES"/>
              </w:rPr>
              <w:t>J</w:t>
            </w:r>
            <w:r w:rsidR="00BB12C4" w:rsidRPr="00047858">
              <w:rPr>
                <w:rFonts w:ascii="Arial" w:hAnsi="Arial" w:cs="Arial"/>
                <w:sz w:val="16"/>
                <w:szCs w:val="16"/>
                <w:lang w:eastAsia="es-ES"/>
              </w:rPr>
              <w:t xml:space="preserve">uan David Marín López </w:t>
            </w:r>
          </w:p>
          <w:p w14:paraId="32E6795F" w14:textId="6ADCD33C" w:rsidR="000664C5" w:rsidRPr="00AC19AC" w:rsidRDefault="000664C5" w:rsidP="000664C5">
            <w:pPr>
              <w:spacing w:before="0"/>
              <w:rPr>
                <w:rFonts w:ascii="Arial" w:hAnsi="Arial" w:cs="Arial"/>
                <w:sz w:val="16"/>
                <w:szCs w:val="16"/>
                <w:lang w:eastAsia="es-ES"/>
              </w:rPr>
            </w:pPr>
            <w:r w:rsidRPr="00047858">
              <w:rPr>
                <w:rFonts w:ascii="Arial" w:hAnsi="Arial" w:cs="Arial"/>
                <w:sz w:val="16"/>
                <w:szCs w:val="16"/>
                <w:lang w:eastAsia="es-ES"/>
              </w:rPr>
              <w:t>Subdirector de Gestión Contractual ANCP – CCE</w:t>
            </w:r>
            <w:r w:rsidR="00BB12C4" w:rsidRPr="00047858">
              <w:rPr>
                <w:rFonts w:ascii="Arial" w:hAnsi="Arial" w:cs="Arial"/>
                <w:sz w:val="16"/>
                <w:szCs w:val="16"/>
                <w:lang w:eastAsia="es-ES"/>
              </w:rPr>
              <w:t xml:space="preserve"> (E)</w:t>
            </w:r>
          </w:p>
        </w:tc>
      </w:tr>
    </w:tbl>
    <w:p w14:paraId="2B0777B6" w14:textId="7305C9A9" w:rsidR="000664C5" w:rsidRDefault="000664C5" w:rsidP="00A15359">
      <w:pPr>
        <w:spacing w:after="120" w:line="276" w:lineRule="auto"/>
        <w:jc w:val="center"/>
        <w:rPr>
          <w:rFonts w:ascii="Calibri" w:eastAsia="Calibri" w:hAnsi="Calibri" w:cs="Times New Roman"/>
        </w:rPr>
      </w:pPr>
    </w:p>
    <w:p w14:paraId="40165AB2" w14:textId="34A233B5" w:rsidR="000664C5" w:rsidRDefault="000664C5" w:rsidP="00A15359">
      <w:pPr>
        <w:spacing w:after="120" w:line="276" w:lineRule="auto"/>
        <w:jc w:val="center"/>
        <w:rPr>
          <w:rFonts w:ascii="Calibri" w:eastAsia="Calibri" w:hAnsi="Calibri" w:cs="Times New Roman"/>
        </w:rPr>
      </w:pPr>
    </w:p>
    <w:p w14:paraId="4DA686D0" w14:textId="088EAE29" w:rsidR="000664C5" w:rsidRDefault="000664C5" w:rsidP="00A15359">
      <w:pPr>
        <w:spacing w:after="120" w:line="276" w:lineRule="auto"/>
        <w:jc w:val="center"/>
        <w:rPr>
          <w:rFonts w:ascii="Calibri" w:eastAsia="Calibri" w:hAnsi="Calibri" w:cs="Times New Roman"/>
        </w:rPr>
      </w:pPr>
    </w:p>
    <w:sectPr w:rsidR="000664C5" w:rsidSect="00F65E96">
      <w:headerReference w:type="default" r:id="rId14"/>
      <w:footerReference w:type="default" r:id="rId15"/>
      <w:pgSz w:w="12240" w:h="15840"/>
      <w:pgMar w:top="1985"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D0A97" w14:textId="77777777" w:rsidR="008B21E5" w:rsidRDefault="008B21E5">
      <w:r>
        <w:separator/>
      </w:r>
    </w:p>
  </w:endnote>
  <w:endnote w:type="continuationSeparator" w:id="0">
    <w:p w14:paraId="65B55537" w14:textId="77777777" w:rsidR="008B21E5" w:rsidRDefault="008B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6D0FBFE0" w:rsidR="005F6462" w:rsidRPr="008217B7" w:rsidRDefault="005F6462"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263E9">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263E9">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218ACE78" w14:textId="7F9C1F3A" w:rsidR="005F6462" w:rsidRDefault="004B29A8" w:rsidP="00214878">
    <w:pPr>
      <w:pStyle w:val="Piedepgina"/>
      <w:jc w:val="center"/>
      <w:rPr>
        <w:lang w:val="es-ES"/>
      </w:rPr>
    </w:pPr>
    <w:r>
      <w:rPr>
        <w:noProof/>
        <w:lang w:val="es-CO" w:eastAsia="es-CO"/>
      </w:rPr>
      <w:drawing>
        <wp:inline distT="0" distB="0" distL="0" distR="0" wp14:anchorId="135D03D1" wp14:editId="271726CF">
          <wp:extent cx="5581015" cy="867021"/>
          <wp:effectExtent l="0" t="0" r="635" b="9525"/>
          <wp:docPr id="20" name="Imagen 20"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81015" cy="867021"/>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419"/>
      <w:gridCol w:w="838"/>
      <w:gridCol w:w="1954"/>
      <w:gridCol w:w="718"/>
      <w:gridCol w:w="2491"/>
      <w:gridCol w:w="1360"/>
    </w:tblGrid>
    <w:tr w:rsidR="004B29A8" w:rsidRPr="00080DA3" w14:paraId="22F50FF6" w14:textId="77777777" w:rsidTr="004B29A8">
      <w:trPr>
        <w:trHeight w:val="229"/>
        <w:jc w:val="center"/>
      </w:trPr>
      <w:tc>
        <w:tcPr>
          <w:tcW w:w="999"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2E21B16F"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19"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DA0C291"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3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B552D4F"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95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DB81A7A" w14:textId="77777777" w:rsidR="004B29A8" w:rsidRPr="00080DA3" w:rsidRDefault="004B29A8" w:rsidP="004B29A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1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6ADC67A6"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491"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24814763" w14:textId="77777777" w:rsidR="004B29A8" w:rsidRPr="00080DA3" w:rsidRDefault="004B29A8" w:rsidP="004B29A8">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360"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E9C7304" w14:textId="77777777" w:rsidR="004B29A8" w:rsidRPr="00080DA3" w:rsidRDefault="004B29A8" w:rsidP="004B29A8">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A263E9">
            <w:rPr>
              <w:rFonts w:ascii="Geomanist Light" w:hAnsi="Geomanist Light"/>
              <w:b/>
              <w:bCs/>
              <w:noProof/>
              <w:sz w:val="18"/>
              <w:szCs w:val="18"/>
            </w:rPr>
            <w:t>15</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A263E9">
            <w:rPr>
              <w:rFonts w:ascii="Geomanist Light" w:hAnsi="Geomanist Light"/>
              <w:b/>
              <w:bCs/>
              <w:noProof/>
              <w:sz w:val="18"/>
              <w:szCs w:val="18"/>
            </w:rPr>
            <w:t>15</w:t>
          </w:r>
          <w:r w:rsidRPr="00080DA3">
            <w:rPr>
              <w:rFonts w:ascii="Geomanist Light" w:hAnsi="Geomanist Light"/>
              <w:b/>
              <w:bCs/>
              <w:sz w:val="18"/>
              <w:szCs w:val="18"/>
            </w:rPr>
            <w:fldChar w:fldCharType="end"/>
          </w:r>
        </w:p>
      </w:tc>
    </w:tr>
  </w:tbl>
  <w:p w14:paraId="19C43223" w14:textId="77777777" w:rsidR="004B29A8" w:rsidRDefault="004B29A8" w:rsidP="00214878">
    <w:pPr>
      <w:pStyle w:val="Piedepgina"/>
      <w:jc w:val="center"/>
      <w:rPr>
        <w:lang w:val="es-ES"/>
      </w:rPr>
    </w:pPr>
  </w:p>
  <w:p w14:paraId="651FA18A" w14:textId="77777777" w:rsidR="005F6462" w:rsidRDefault="005F6462" w:rsidP="00214878">
    <w:pPr>
      <w:pStyle w:val="Piedepgina"/>
      <w:jc w:val="center"/>
      <w:rPr>
        <w:lang w:val="es-ES"/>
      </w:rPr>
    </w:pPr>
  </w:p>
  <w:p w14:paraId="6C0EFC49" w14:textId="77777777" w:rsidR="005F6462" w:rsidRPr="00214878" w:rsidRDefault="005F6462"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FAB4A" w14:textId="77777777" w:rsidR="008B21E5" w:rsidRDefault="008B21E5">
      <w:r>
        <w:separator/>
      </w:r>
    </w:p>
  </w:footnote>
  <w:footnote w:type="continuationSeparator" w:id="0">
    <w:p w14:paraId="3EBBD3AB" w14:textId="77777777" w:rsidR="008B21E5" w:rsidRDefault="008B21E5">
      <w:r>
        <w:continuationSeparator/>
      </w:r>
    </w:p>
  </w:footnote>
  <w:footnote w:id="1">
    <w:p w14:paraId="0E87996D" w14:textId="77777777" w:rsidR="00A76554" w:rsidRPr="009D50AE" w:rsidRDefault="00A76554" w:rsidP="00A76554">
      <w:pPr>
        <w:pStyle w:val="NormalWeb"/>
        <w:spacing w:before="0" w:beforeAutospacing="0" w:after="0" w:afterAutospacing="0"/>
        <w:ind w:firstLine="709"/>
        <w:jc w:val="both"/>
        <w:rPr>
          <w:rFonts w:ascii="Arial" w:hAnsi="Arial" w:cs="Arial"/>
          <w:color w:val="000000" w:themeColor="text1"/>
          <w:sz w:val="19"/>
          <w:szCs w:val="19"/>
          <w:lang w:eastAsia="en-US"/>
        </w:rPr>
      </w:pPr>
      <w:r w:rsidRPr="009D50AE">
        <w:rPr>
          <w:rStyle w:val="Refdenotaalpie"/>
          <w:rFonts w:ascii="Arial" w:hAnsi="Arial" w:cs="Arial"/>
          <w:color w:val="000000" w:themeColor="text1"/>
          <w:sz w:val="19"/>
          <w:szCs w:val="19"/>
        </w:rPr>
        <w:footnoteRef/>
      </w:r>
      <w:r w:rsidRPr="009D50AE">
        <w:rPr>
          <w:rFonts w:ascii="Arial" w:hAnsi="Arial" w:cs="Arial"/>
          <w:color w:val="000000" w:themeColor="text1"/>
          <w:sz w:val="19"/>
          <w:szCs w:val="19"/>
        </w:rPr>
        <w:t xml:space="preserve"> Ley 789 de 2002: «Artículo 50. Control a la evasión de los recursos parafiscales </w:t>
      </w:r>
      <w:r w:rsidRPr="009D50AE">
        <w:rPr>
          <w:rFonts w:ascii="Arial" w:hAnsi="Arial" w:cs="Arial"/>
          <w:color w:val="000000" w:themeColor="text1"/>
          <w:sz w:val="19"/>
          <w:szCs w:val="19"/>
          <w:lang w:eastAsia="en-US"/>
        </w:rPr>
        <w:t>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0315ABCA" w14:textId="77777777" w:rsidR="00A76554" w:rsidRPr="009D50AE" w:rsidRDefault="00A76554" w:rsidP="00A76554">
      <w:pPr>
        <w:ind w:firstLine="709"/>
        <w:jc w:val="both"/>
        <w:rPr>
          <w:rFonts w:ascii="Arial" w:hAnsi="Arial" w:cs="Arial"/>
          <w:color w:val="000000" w:themeColor="text1"/>
          <w:sz w:val="19"/>
          <w:szCs w:val="19"/>
        </w:rPr>
      </w:pPr>
      <w:r w:rsidRPr="009D50AE">
        <w:rPr>
          <w:rFonts w:ascii="Arial" w:hAnsi="Arial" w:cs="Arial"/>
          <w:color w:val="000000" w:themeColor="text1"/>
          <w:sz w:val="19"/>
          <w:szCs w:val="19"/>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716C18E8" w14:textId="77777777" w:rsidR="00A76554" w:rsidRPr="009D50AE" w:rsidRDefault="00A76554" w:rsidP="00A76554">
      <w:pPr>
        <w:ind w:firstLine="709"/>
        <w:jc w:val="both"/>
        <w:rPr>
          <w:rFonts w:ascii="Arial" w:hAnsi="Arial" w:cs="Arial"/>
          <w:color w:val="000000" w:themeColor="text1"/>
          <w:sz w:val="19"/>
          <w:szCs w:val="19"/>
        </w:rPr>
      </w:pPr>
      <w:r w:rsidRPr="009D50AE">
        <w:rPr>
          <w:rFonts w:ascii="Arial" w:hAnsi="Arial" w:cs="Arial"/>
          <w:color w:val="000000" w:themeColor="text1"/>
          <w:sz w:val="19"/>
          <w:szCs w:val="19"/>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mas de seis [6] meses de constituida, deberá acreditar los pagos a partir de la fecha de su constitución.</w:t>
      </w:r>
    </w:p>
    <w:p w14:paraId="5B0462C9" w14:textId="77777777" w:rsidR="00A76554" w:rsidRPr="009D50AE" w:rsidRDefault="00A76554" w:rsidP="00A76554">
      <w:pPr>
        <w:ind w:firstLine="709"/>
        <w:jc w:val="both"/>
        <w:rPr>
          <w:rFonts w:ascii="Arial" w:hAnsi="Arial" w:cs="Arial"/>
          <w:color w:val="000000" w:themeColor="text1"/>
          <w:sz w:val="19"/>
          <w:szCs w:val="19"/>
        </w:rPr>
      </w:pPr>
      <w:r w:rsidRPr="009D50AE">
        <w:rPr>
          <w:rFonts w:ascii="Arial" w:hAnsi="Arial" w:cs="Arial"/>
          <w:color w:val="000000" w:themeColor="text1"/>
          <w:sz w:val="19"/>
          <w:szCs w:val="19"/>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footnote>
  <w:footnote w:id="2">
    <w:p w14:paraId="524E9628" w14:textId="77777777" w:rsidR="00A76554" w:rsidRPr="009D50AE" w:rsidRDefault="00A76554" w:rsidP="00A76554">
      <w:pPr>
        <w:pStyle w:val="Textonotapie"/>
        <w:ind w:firstLine="709"/>
        <w:jc w:val="both"/>
        <w:rPr>
          <w:rFonts w:ascii="Arial" w:hAnsi="Arial" w:cs="Arial"/>
          <w:color w:val="000000" w:themeColor="text1"/>
          <w:sz w:val="19"/>
          <w:szCs w:val="19"/>
        </w:rPr>
      </w:pPr>
      <w:r w:rsidRPr="009D50AE">
        <w:rPr>
          <w:rStyle w:val="Refdenotaalpie"/>
          <w:rFonts w:ascii="Arial" w:hAnsi="Arial" w:cs="Arial"/>
          <w:color w:val="000000" w:themeColor="text1"/>
          <w:sz w:val="19"/>
          <w:szCs w:val="19"/>
        </w:rPr>
        <w:footnoteRef/>
      </w:r>
      <w:r w:rsidRPr="009D50AE">
        <w:rPr>
          <w:rFonts w:ascii="Arial" w:hAnsi="Arial" w:cs="Arial"/>
          <w:color w:val="000000" w:themeColor="text1"/>
          <w:sz w:val="19"/>
          <w:szCs w:val="19"/>
        </w:rPr>
        <w:t xml:space="preserve"> Consejo de Estado. Sección Tercera. Sentencia del 8 de junio de 2011. Rad. 20001-23-31-000-2005-00409-01[AP]. Consejero Ponente: Enrique Gil Botero.</w:t>
      </w:r>
    </w:p>
  </w:footnote>
  <w:footnote w:id="3">
    <w:p w14:paraId="2BE34DE8" w14:textId="77777777" w:rsidR="00A76554" w:rsidRPr="009D50AE" w:rsidRDefault="00A76554" w:rsidP="00A76554">
      <w:pPr>
        <w:pStyle w:val="Textonotapie"/>
        <w:ind w:firstLine="709"/>
        <w:jc w:val="both"/>
        <w:rPr>
          <w:rFonts w:ascii="Arial" w:hAnsi="Arial" w:cs="Arial"/>
          <w:iCs/>
          <w:color w:val="000000" w:themeColor="text1"/>
          <w:sz w:val="19"/>
          <w:szCs w:val="19"/>
        </w:rPr>
      </w:pPr>
      <w:r w:rsidRPr="009D50AE">
        <w:rPr>
          <w:rStyle w:val="Refdenotaalpie"/>
          <w:rFonts w:ascii="Arial" w:hAnsi="Arial" w:cs="Arial"/>
          <w:color w:val="000000" w:themeColor="text1"/>
          <w:sz w:val="19"/>
          <w:szCs w:val="19"/>
        </w:rPr>
        <w:footnoteRef/>
      </w:r>
      <w:r w:rsidRPr="009D50AE">
        <w:rPr>
          <w:rFonts w:ascii="Arial" w:hAnsi="Arial" w:cs="Arial"/>
          <w:color w:val="000000" w:themeColor="text1"/>
          <w:sz w:val="19"/>
          <w:szCs w:val="19"/>
        </w:rPr>
        <w:t xml:space="preserve">  </w:t>
      </w:r>
      <w:r w:rsidRPr="009D50AE">
        <w:rPr>
          <w:rFonts w:ascii="Arial" w:hAnsi="Arial" w:cs="Arial"/>
          <w:iCs/>
          <w:color w:val="000000" w:themeColor="text1"/>
          <w:sz w:val="19"/>
          <w:szCs w:val="19"/>
        </w:rPr>
        <w:t>Ley 1955 de 2019: «Artículo 244. Ingreso base de cotización [IBC] de los independientes.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4A307ACC" w14:textId="77777777" w:rsidR="00A76554" w:rsidRPr="009D50AE" w:rsidRDefault="00A76554" w:rsidP="00A76554">
      <w:pPr>
        <w:pStyle w:val="Textonotapie"/>
        <w:ind w:firstLine="709"/>
        <w:jc w:val="both"/>
        <w:rPr>
          <w:rFonts w:ascii="Arial" w:hAnsi="Arial" w:cs="Arial"/>
          <w:iCs/>
          <w:color w:val="000000" w:themeColor="text1"/>
          <w:sz w:val="19"/>
          <w:szCs w:val="19"/>
        </w:rPr>
      </w:pPr>
      <w:r w:rsidRPr="009D50AE">
        <w:rPr>
          <w:rFonts w:ascii="Arial" w:hAnsi="Arial" w:cs="Arial"/>
          <w:iCs/>
          <w:color w:val="000000" w:themeColor="text1"/>
          <w:sz w:val="19"/>
          <w:szCs w:val="19"/>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40E3C2D2" w14:textId="77777777" w:rsidR="00A76554" w:rsidRPr="009D50AE" w:rsidRDefault="00A76554" w:rsidP="00A76554">
      <w:pPr>
        <w:pStyle w:val="Textonotapie"/>
        <w:ind w:firstLine="709"/>
        <w:jc w:val="both"/>
        <w:rPr>
          <w:rFonts w:ascii="Arial" w:hAnsi="Arial" w:cs="Arial"/>
          <w:iCs/>
          <w:color w:val="000000" w:themeColor="text1"/>
          <w:sz w:val="19"/>
          <w:szCs w:val="19"/>
        </w:rPr>
      </w:pPr>
      <w:r w:rsidRPr="009D50AE">
        <w:rPr>
          <w:rFonts w:ascii="Arial" w:hAnsi="Arial" w:cs="Arial"/>
          <w:iCs/>
          <w:color w:val="000000" w:themeColor="text1"/>
          <w:sz w:val="19"/>
          <w:szCs w:val="19"/>
        </w:rPr>
        <w:t>»El Gobierno nacional reglamentará el mecanismo para realizar la mensualización de que trata el presente artículo.</w:t>
      </w:r>
    </w:p>
    <w:p w14:paraId="7CB5BC8A" w14:textId="77777777" w:rsidR="00A76554" w:rsidRPr="009D50AE" w:rsidRDefault="00A76554" w:rsidP="00A76554">
      <w:pPr>
        <w:pStyle w:val="Textonotapie"/>
        <w:ind w:firstLine="709"/>
        <w:jc w:val="both"/>
        <w:rPr>
          <w:rFonts w:ascii="Arial" w:hAnsi="Arial" w:cs="Arial"/>
          <w:iCs/>
          <w:color w:val="000000" w:themeColor="text1"/>
          <w:sz w:val="19"/>
          <w:szCs w:val="19"/>
        </w:rPr>
      </w:pPr>
      <w:r w:rsidRPr="009D50AE">
        <w:rPr>
          <w:rFonts w:ascii="Arial" w:hAnsi="Arial" w:cs="Arial"/>
          <w:iCs/>
          <w:color w:val="000000" w:themeColor="text1"/>
          <w:sz w:val="19"/>
          <w:szCs w:val="19"/>
        </w:rPr>
        <w:t>»Parágrafo. 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w:t>
      </w:r>
    </w:p>
    <w:p w14:paraId="630EFA8F" w14:textId="77777777" w:rsidR="00A76554" w:rsidRPr="009D50AE" w:rsidRDefault="00A76554" w:rsidP="00A76554">
      <w:pPr>
        <w:pStyle w:val="Textonotapie"/>
        <w:ind w:firstLine="709"/>
        <w:jc w:val="both"/>
        <w:rPr>
          <w:rFonts w:ascii="Arial" w:hAnsi="Arial" w:cs="Arial"/>
          <w:iCs/>
          <w:color w:val="000000" w:themeColor="text1"/>
          <w:sz w:val="19"/>
          <w:szCs w:val="19"/>
        </w:rPr>
      </w:pPr>
      <w:r w:rsidRPr="009D50AE">
        <w:rPr>
          <w:rFonts w:ascii="Arial" w:hAnsi="Arial" w:cs="Arial"/>
          <w:iCs/>
          <w:color w:val="000000" w:themeColor="text1"/>
          <w:sz w:val="19"/>
          <w:szCs w:val="19"/>
        </w:rPr>
        <w:t>»No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 documentos».</w:t>
      </w:r>
    </w:p>
    <w:p w14:paraId="50AF26AD" w14:textId="77777777" w:rsidR="00A76554" w:rsidRPr="009D50AE" w:rsidRDefault="00A76554" w:rsidP="00A76554">
      <w:pPr>
        <w:pStyle w:val="Textonotapie"/>
        <w:ind w:firstLine="709"/>
        <w:jc w:val="both"/>
        <w:rPr>
          <w:rFonts w:ascii="Arial" w:hAnsi="Arial" w:cs="Arial"/>
          <w:iCs/>
          <w:color w:val="000000" w:themeColor="text1"/>
          <w:sz w:val="19"/>
          <w:szCs w:val="19"/>
        </w:rPr>
      </w:pPr>
    </w:p>
  </w:footnote>
  <w:footnote w:id="4">
    <w:p w14:paraId="6A6B95CF" w14:textId="77777777" w:rsidR="00A76554" w:rsidRPr="00285194" w:rsidRDefault="00A76554" w:rsidP="00A76554">
      <w:pPr>
        <w:pStyle w:val="Textonotapie"/>
        <w:spacing w:after="120"/>
        <w:ind w:firstLine="709"/>
        <w:jc w:val="both"/>
        <w:rPr>
          <w:rFonts w:ascii="Arial" w:hAnsi="Arial" w:cs="Arial"/>
          <w:color w:val="000000" w:themeColor="text1"/>
          <w:sz w:val="19"/>
          <w:szCs w:val="19"/>
        </w:rPr>
      </w:pPr>
      <w:r w:rsidRPr="009D50AE">
        <w:rPr>
          <w:rStyle w:val="Refdenotaalpie"/>
          <w:rFonts w:ascii="Arial" w:hAnsi="Arial" w:cs="Arial"/>
          <w:color w:val="000000" w:themeColor="text1"/>
          <w:sz w:val="19"/>
          <w:szCs w:val="19"/>
        </w:rPr>
        <w:footnoteRef/>
      </w:r>
      <w:r w:rsidRPr="009D50AE">
        <w:rPr>
          <w:rFonts w:ascii="Arial" w:hAnsi="Arial" w:cs="Arial"/>
          <w:color w:val="000000" w:themeColor="text1"/>
          <w:sz w:val="19"/>
          <w:szCs w:val="19"/>
        </w:rPr>
        <w:t xml:space="preserve"> </w:t>
      </w:r>
      <w:r>
        <w:rPr>
          <w:rFonts w:ascii="Arial" w:hAnsi="Arial" w:cs="Arial"/>
          <w:color w:val="000000" w:themeColor="text1"/>
          <w:sz w:val="19"/>
          <w:szCs w:val="19"/>
        </w:rPr>
        <w:t xml:space="preserve"> La Corte expuso lo siguiente como síntesis de la decisión: «</w:t>
      </w:r>
      <w:r>
        <w:t>[…]</w:t>
      </w:r>
      <w:r w:rsidRPr="00285194">
        <w:rPr>
          <w:rFonts w:ascii="Arial" w:hAnsi="Arial" w:cs="Arial"/>
          <w:color w:val="000000" w:themeColor="text1"/>
          <w:sz w:val="19"/>
          <w:szCs w:val="19"/>
        </w:rPr>
        <w:t>164. Los demandantes propusieron la inconstitucionalidad del artículo 244 de la Ley 1955 de 2019, por desconocimiento del principio de unidad de materia. Luego de avalar la integración normativa y advertir la inexistencia de cosa juzgada, la Corte concluyó que era procedente adelantar el juicio de constitucionalidad.</w:t>
      </w:r>
    </w:p>
    <w:p w14:paraId="3C5F13AC" w14:textId="77777777" w:rsidR="00A76554" w:rsidRPr="009D50AE" w:rsidRDefault="00A76554" w:rsidP="00A76554">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w:t>
      </w:r>
      <w:r w:rsidRPr="00285194">
        <w:rPr>
          <w:rFonts w:ascii="Arial" w:hAnsi="Arial" w:cs="Arial"/>
          <w:color w:val="000000" w:themeColor="text1"/>
          <w:sz w:val="19"/>
          <w:szCs w:val="19"/>
        </w:rPr>
        <w:t>165. En tal sentido, la Sala concluyó que el artículo 244 de la Ley 1955 de 2019, adicionado por el artículo 139 de la Ley 2010 de 2019, desconoce el mandato constitucional de unidad de materia previsto en el artículo 158 del Texto Superior, toda vez que no existe una conexidad directa o inmediata entre la regulación del Ingreso Base de Cotización para los trabajadores independientes con contratos diferentes al de prestación de servicios y los objetivos, metas o estrategias previstos en el Plan Nacional de Desarrollo. Sin embargo, difiere los efectos de esta decisión a las dos próximas legislaturas a fin no afectar derechos y principios constitucionales relacionados con la base de cotización de trabajadores independientes al Sistema Integral de Seguridad Social</w:t>
      </w:r>
      <w:r>
        <w:rPr>
          <w:rFonts w:ascii="Arial" w:hAnsi="Arial" w:cs="Arial"/>
          <w:color w:val="000000" w:themeColor="text1"/>
          <w:sz w:val="19"/>
          <w:szCs w:val="19"/>
        </w:rPr>
        <w:t>»</w:t>
      </w:r>
      <w:r w:rsidRPr="00285194">
        <w:rPr>
          <w:rFonts w:ascii="Arial" w:hAnsi="Arial" w:cs="Arial"/>
          <w:color w:val="000000" w:themeColor="text1"/>
          <w:sz w:val="19"/>
          <w:szCs w:val="19"/>
        </w:rPr>
        <w:t>.</w:t>
      </w:r>
      <w:r>
        <w:rPr>
          <w:rFonts w:ascii="Arial" w:hAnsi="Arial" w:cs="Arial"/>
          <w:color w:val="000000" w:themeColor="text1"/>
          <w:sz w:val="19"/>
          <w:szCs w:val="19"/>
        </w:rPr>
        <w:t xml:space="preserve"> Corte Constitucional. Sentencia C-068 del 19 de febrero de 2020. M.P. </w:t>
      </w:r>
      <w:r w:rsidRPr="000C7090">
        <w:rPr>
          <w:rFonts w:ascii="Arial" w:hAnsi="Arial" w:cs="Arial"/>
          <w:color w:val="000000" w:themeColor="text1"/>
          <w:sz w:val="19"/>
          <w:szCs w:val="19"/>
        </w:rPr>
        <w:t>Diana Fajardo Rivera</w:t>
      </w:r>
      <w:r>
        <w:rPr>
          <w:rFonts w:ascii="Arial" w:hAnsi="Arial" w:cs="Arial"/>
          <w:color w:val="000000" w:themeColor="text1"/>
          <w:sz w:val="19"/>
          <w:szCs w:val="19"/>
        </w:rPr>
        <w:t>.</w:t>
      </w:r>
    </w:p>
    <w:p w14:paraId="26826F6C" w14:textId="77777777" w:rsidR="00A76554" w:rsidRPr="009D50AE" w:rsidRDefault="00A76554" w:rsidP="00A76554">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3ED8C382" w:rsidR="005F6462" w:rsidRDefault="005F6462" w:rsidP="00214878">
    <w:pPr>
      <w:pStyle w:val="Encabezado"/>
    </w:pPr>
  </w:p>
  <w:p w14:paraId="6520770B" w14:textId="1CD137AF" w:rsidR="005F6462" w:rsidRPr="00214878" w:rsidRDefault="004B29A8" w:rsidP="00214878">
    <w:pPr>
      <w:pStyle w:val="Encabezado"/>
    </w:pPr>
    <w:r>
      <w:rPr>
        <w:noProof/>
        <w:lang w:val="es-CO" w:eastAsia="es-CO"/>
      </w:rPr>
      <w:drawing>
        <wp:anchor distT="0" distB="0" distL="114300" distR="114300" simplePos="0" relativeHeight="251659264" behindDoc="0" locked="0" layoutInCell="1" allowOverlap="1" wp14:anchorId="60A4E309" wp14:editId="612736DE">
          <wp:simplePos x="0" y="0"/>
          <wp:positionH relativeFrom="margin">
            <wp:posOffset>4568190</wp:posOffset>
          </wp:positionH>
          <wp:positionV relativeFrom="paragraph">
            <wp:posOffset>36195</wp:posOffset>
          </wp:positionV>
          <wp:extent cx="1543050" cy="640616"/>
          <wp:effectExtent l="0" t="0" r="0" b="7620"/>
          <wp:wrapNone/>
          <wp:docPr id="19" name="Imagen 19"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050" cy="640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11A"/>
    <w:multiLevelType w:val="multilevel"/>
    <w:tmpl w:val="A754E2EC"/>
    <w:lvl w:ilvl="0">
      <w:start w:val="14"/>
      <w:numFmt w:val="decimal"/>
      <w:lvlText w:val="%1"/>
      <w:lvlJc w:val="left"/>
      <w:pPr>
        <w:ind w:left="810" w:hanging="550"/>
      </w:pPr>
    </w:lvl>
    <w:lvl w:ilvl="1">
      <w:start w:val="5"/>
      <w:numFmt w:val="decimal"/>
      <w:lvlText w:val="%1.%2."/>
      <w:lvlJc w:val="left"/>
      <w:pPr>
        <w:ind w:left="810" w:hanging="550"/>
      </w:pPr>
      <w:rPr>
        <w:rFonts w:ascii="Arial" w:eastAsia="Arial" w:hAnsi="Arial" w:cs="Arial"/>
        <w:color w:val="000000"/>
        <w:sz w:val="22"/>
        <w:szCs w:val="22"/>
      </w:rPr>
    </w:lvl>
    <w:lvl w:ilvl="2">
      <w:start w:val="1"/>
      <w:numFmt w:val="bullet"/>
      <w:lvlText w:val="•"/>
      <w:lvlJc w:val="left"/>
      <w:pPr>
        <w:ind w:left="2484" w:hanging="550"/>
      </w:pPr>
    </w:lvl>
    <w:lvl w:ilvl="3">
      <w:start w:val="1"/>
      <w:numFmt w:val="bullet"/>
      <w:lvlText w:val="•"/>
      <w:lvlJc w:val="left"/>
      <w:pPr>
        <w:ind w:left="3316" w:hanging="550"/>
      </w:pPr>
    </w:lvl>
    <w:lvl w:ilvl="4">
      <w:start w:val="1"/>
      <w:numFmt w:val="bullet"/>
      <w:lvlText w:val="•"/>
      <w:lvlJc w:val="left"/>
      <w:pPr>
        <w:ind w:left="4148" w:hanging="550"/>
      </w:pPr>
    </w:lvl>
    <w:lvl w:ilvl="5">
      <w:start w:val="1"/>
      <w:numFmt w:val="bullet"/>
      <w:lvlText w:val="•"/>
      <w:lvlJc w:val="left"/>
      <w:pPr>
        <w:ind w:left="4980" w:hanging="550"/>
      </w:pPr>
    </w:lvl>
    <w:lvl w:ilvl="6">
      <w:start w:val="1"/>
      <w:numFmt w:val="bullet"/>
      <w:lvlText w:val="•"/>
      <w:lvlJc w:val="left"/>
      <w:pPr>
        <w:ind w:left="5812" w:hanging="550"/>
      </w:pPr>
    </w:lvl>
    <w:lvl w:ilvl="7">
      <w:start w:val="1"/>
      <w:numFmt w:val="bullet"/>
      <w:lvlText w:val="•"/>
      <w:lvlJc w:val="left"/>
      <w:pPr>
        <w:ind w:left="6644" w:hanging="550"/>
      </w:pPr>
    </w:lvl>
    <w:lvl w:ilvl="8">
      <w:start w:val="1"/>
      <w:numFmt w:val="bullet"/>
      <w:lvlText w:val="•"/>
      <w:lvlJc w:val="left"/>
      <w:pPr>
        <w:ind w:left="7476" w:hanging="550"/>
      </w:pPr>
    </w:lvl>
  </w:abstractNum>
  <w:abstractNum w:abstractNumId="1"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6"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7"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041E8A"/>
    <w:multiLevelType w:val="multilevel"/>
    <w:tmpl w:val="A3FC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8"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5413EB"/>
    <w:multiLevelType w:val="hybridMultilevel"/>
    <w:tmpl w:val="58A4F990"/>
    <w:lvl w:ilvl="0" w:tplc="C3CAD0BC">
      <w:start w:val="1"/>
      <w:numFmt w:val="lowerRoman"/>
      <w:lvlText w:val="%1)"/>
      <w:lvlJc w:val="left"/>
      <w:pPr>
        <w:ind w:left="1430" w:hanging="720"/>
      </w:pPr>
    </w:lvl>
    <w:lvl w:ilvl="1" w:tplc="240A0019">
      <w:start w:val="1"/>
      <w:numFmt w:val="lowerLetter"/>
      <w:lvlText w:val="%2."/>
      <w:lvlJc w:val="left"/>
      <w:pPr>
        <w:ind w:left="1790" w:hanging="360"/>
      </w:pPr>
    </w:lvl>
    <w:lvl w:ilvl="2" w:tplc="240A001B">
      <w:start w:val="1"/>
      <w:numFmt w:val="lowerRoman"/>
      <w:lvlText w:val="%3."/>
      <w:lvlJc w:val="right"/>
      <w:pPr>
        <w:ind w:left="2510" w:hanging="180"/>
      </w:pPr>
    </w:lvl>
    <w:lvl w:ilvl="3" w:tplc="240A000F">
      <w:start w:val="1"/>
      <w:numFmt w:val="decimal"/>
      <w:lvlText w:val="%4."/>
      <w:lvlJc w:val="left"/>
      <w:pPr>
        <w:ind w:left="3230" w:hanging="360"/>
      </w:pPr>
    </w:lvl>
    <w:lvl w:ilvl="4" w:tplc="240A0019">
      <w:start w:val="1"/>
      <w:numFmt w:val="lowerLetter"/>
      <w:lvlText w:val="%5."/>
      <w:lvlJc w:val="left"/>
      <w:pPr>
        <w:ind w:left="3950" w:hanging="360"/>
      </w:pPr>
    </w:lvl>
    <w:lvl w:ilvl="5" w:tplc="240A001B">
      <w:start w:val="1"/>
      <w:numFmt w:val="lowerRoman"/>
      <w:lvlText w:val="%6."/>
      <w:lvlJc w:val="right"/>
      <w:pPr>
        <w:ind w:left="4670" w:hanging="180"/>
      </w:pPr>
    </w:lvl>
    <w:lvl w:ilvl="6" w:tplc="240A000F">
      <w:start w:val="1"/>
      <w:numFmt w:val="decimal"/>
      <w:lvlText w:val="%7."/>
      <w:lvlJc w:val="left"/>
      <w:pPr>
        <w:ind w:left="5390" w:hanging="360"/>
      </w:pPr>
    </w:lvl>
    <w:lvl w:ilvl="7" w:tplc="240A0019">
      <w:start w:val="1"/>
      <w:numFmt w:val="lowerLetter"/>
      <w:lvlText w:val="%8."/>
      <w:lvlJc w:val="left"/>
      <w:pPr>
        <w:ind w:left="6110" w:hanging="360"/>
      </w:pPr>
    </w:lvl>
    <w:lvl w:ilvl="8" w:tplc="240A001B">
      <w:start w:val="1"/>
      <w:numFmt w:val="lowerRoman"/>
      <w:lvlText w:val="%9."/>
      <w:lvlJc w:val="right"/>
      <w:pPr>
        <w:ind w:left="6830" w:hanging="180"/>
      </w:pPr>
    </w:lvl>
  </w:abstractNum>
  <w:abstractNum w:abstractNumId="20"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6"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0"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31"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5"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27500531">
    <w:abstractNumId w:val="13"/>
  </w:num>
  <w:num w:numId="2" w16cid:durableId="1473212880">
    <w:abstractNumId w:val="12"/>
  </w:num>
  <w:num w:numId="3" w16cid:durableId="1856647989">
    <w:abstractNumId w:val="21"/>
  </w:num>
  <w:num w:numId="4" w16cid:durableId="167716919">
    <w:abstractNumId w:val="28"/>
  </w:num>
  <w:num w:numId="5" w16cid:durableId="2042903022">
    <w:abstractNumId w:val="33"/>
  </w:num>
  <w:num w:numId="6" w16cid:durableId="158291066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9841590">
    <w:abstractNumId w:val="29"/>
  </w:num>
  <w:num w:numId="8" w16cid:durableId="289819829">
    <w:abstractNumId w:val="4"/>
  </w:num>
  <w:num w:numId="9" w16cid:durableId="1606227239">
    <w:abstractNumId w:val="32"/>
  </w:num>
  <w:num w:numId="10" w16cid:durableId="1406996002">
    <w:abstractNumId w:val="25"/>
  </w:num>
  <w:num w:numId="11" w16cid:durableId="239872649">
    <w:abstractNumId w:val="22"/>
  </w:num>
  <w:num w:numId="12" w16cid:durableId="1484810986">
    <w:abstractNumId w:val="2"/>
  </w:num>
  <w:num w:numId="13" w16cid:durableId="852379329">
    <w:abstractNumId w:val="23"/>
  </w:num>
  <w:num w:numId="14" w16cid:durableId="1697848363">
    <w:abstractNumId w:val="27"/>
  </w:num>
  <w:num w:numId="15" w16cid:durableId="1581521235">
    <w:abstractNumId w:val="24"/>
  </w:num>
  <w:num w:numId="16" w16cid:durableId="10240186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0209735">
    <w:abstractNumId w:val="9"/>
  </w:num>
  <w:num w:numId="18" w16cid:durableId="19241038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634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6716966">
    <w:abstractNumId w:val="5"/>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54947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6383469">
    <w:abstractNumId w:val="20"/>
  </w:num>
  <w:num w:numId="23" w16cid:durableId="364211693">
    <w:abstractNumId w:val="11"/>
  </w:num>
  <w:num w:numId="24" w16cid:durableId="1405948948">
    <w:abstractNumId w:val="35"/>
  </w:num>
  <w:num w:numId="25" w16cid:durableId="1337925349">
    <w:abstractNumId w:val="17"/>
  </w:num>
  <w:num w:numId="26" w16cid:durableId="961109866">
    <w:abstractNumId w:val="26"/>
  </w:num>
  <w:num w:numId="27" w16cid:durableId="1028868404">
    <w:abstractNumId w:val="8"/>
  </w:num>
  <w:num w:numId="28" w16cid:durableId="843515416">
    <w:abstractNumId w:val="7"/>
  </w:num>
  <w:num w:numId="29" w16cid:durableId="1110588540">
    <w:abstractNumId w:val="14"/>
  </w:num>
  <w:num w:numId="30" w16cid:durableId="137302509">
    <w:abstractNumId w:val="36"/>
  </w:num>
  <w:num w:numId="31" w16cid:durableId="945773534">
    <w:abstractNumId w:val="31"/>
  </w:num>
  <w:num w:numId="32" w16cid:durableId="468674101">
    <w:abstractNumId w:val="3"/>
  </w:num>
  <w:num w:numId="33" w16cid:durableId="2044405039">
    <w:abstractNumId w:val="15"/>
  </w:num>
  <w:num w:numId="34" w16cid:durableId="713165022">
    <w:abstractNumId w:val="19"/>
  </w:num>
  <w:num w:numId="35" w16cid:durableId="1624842691">
    <w:abstractNumId w:val="6"/>
  </w:num>
  <w:num w:numId="36" w16cid:durableId="263274156">
    <w:abstractNumId w:val="10"/>
  </w:num>
  <w:num w:numId="37" w16cid:durableId="38071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34"/>
    <w:rsid w:val="0000057D"/>
    <w:rsid w:val="00000CD3"/>
    <w:rsid w:val="00000DDB"/>
    <w:rsid w:val="00002386"/>
    <w:rsid w:val="00007845"/>
    <w:rsid w:val="00015DF9"/>
    <w:rsid w:val="00022430"/>
    <w:rsid w:val="00023BE4"/>
    <w:rsid w:val="00023C87"/>
    <w:rsid w:val="0002551F"/>
    <w:rsid w:val="000261BB"/>
    <w:rsid w:val="000268D8"/>
    <w:rsid w:val="0003099A"/>
    <w:rsid w:val="00031FC6"/>
    <w:rsid w:val="0003293F"/>
    <w:rsid w:val="00033B21"/>
    <w:rsid w:val="00033F9B"/>
    <w:rsid w:val="00035210"/>
    <w:rsid w:val="00036204"/>
    <w:rsid w:val="0004125C"/>
    <w:rsid w:val="00043688"/>
    <w:rsid w:val="0004523D"/>
    <w:rsid w:val="00045377"/>
    <w:rsid w:val="00047858"/>
    <w:rsid w:val="00051B4F"/>
    <w:rsid w:val="0005490A"/>
    <w:rsid w:val="00054A7B"/>
    <w:rsid w:val="00056788"/>
    <w:rsid w:val="00060398"/>
    <w:rsid w:val="00060721"/>
    <w:rsid w:val="000626DD"/>
    <w:rsid w:val="00063EA6"/>
    <w:rsid w:val="00064B28"/>
    <w:rsid w:val="00064E2F"/>
    <w:rsid w:val="0006542C"/>
    <w:rsid w:val="000664C5"/>
    <w:rsid w:val="000709B9"/>
    <w:rsid w:val="00071077"/>
    <w:rsid w:val="00071287"/>
    <w:rsid w:val="000738A4"/>
    <w:rsid w:val="00074108"/>
    <w:rsid w:val="000743F8"/>
    <w:rsid w:val="00075235"/>
    <w:rsid w:val="00077A71"/>
    <w:rsid w:val="000821B3"/>
    <w:rsid w:val="00084AF1"/>
    <w:rsid w:val="00086C1E"/>
    <w:rsid w:val="000902E3"/>
    <w:rsid w:val="0009126C"/>
    <w:rsid w:val="00091F03"/>
    <w:rsid w:val="00092172"/>
    <w:rsid w:val="00092C97"/>
    <w:rsid w:val="0009351A"/>
    <w:rsid w:val="000942EB"/>
    <w:rsid w:val="000950AA"/>
    <w:rsid w:val="00095F29"/>
    <w:rsid w:val="000A0382"/>
    <w:rsid w:val="000A1DB4"/>
    <w:rsid w:val="000A20ED"/>
    <w:rsid w:val="000A3D48"/>
    <w:rsid w:val="000A4AA5"/>
    <w:rsid w:val="000A6FC7"/>
    <w:rsid w:val="000A785D"/>
    <w:rsid w:val="000B103F"/>
    <w:rsid w:val="000B1F29"/>
    <w:rsid w:val="000B2127"/>
    <w:rsid w:val="000B3C08"/>
    <w:rsid w:val="000B5754"/>
    <w:rsid w:val="000B6AB4"/>
    <w:rsid w:val="000B742E"/>
    <w:rsid w:val="000B7E82"/>
    <w:rsid w:val="000C0959"/>
    <w:rsid w:val="000C0D2B"/>
    <w:rsid w:val="000C19E1"/>
    <w:rsid w:val="000C2F6D"/>
    <w:rsid w:val="000C3861"/>
    <w:rsid w:val="000C3872"/>
    <w:rsid w:val="000C400F"/>
    <w:rsid w:val="000C6F8D"/>
    <w:rsid w:val="000C7696"/>
    <w:rsid w:val="000C77F0"/>
    <w:rsid w:val="000D02B3"/>
    <w:rsid w:val="000D3A92"/>
    <w:rsid w:val="000D4A92"/>
    <w:rsid w:val="000E0550"/>
    <w:rsid w:val="000E1BF2"/>
    <w:rsid w:val="000E1FCB"/>
    <w:rsid w:val="000E2D78"/>
    <w:rsid w:val="000E4B5C"/>
    <w:rsid w:val="000E5799"/>
    <w:rsid w:val="000E699E"/>
    <w:rsid w:val="000E730C"/>
    <w:rsid w:val="000E7352"/>
    <w:rsid w:val="000E7F0F"/>
    <w:rsid w:val="000F14E8"/>
    <w:rsid w:val="000F18A6"/>
    <w:rsid w:val="000F22D6"/>
    <w:rsid w:val="000F4EAF"/>
    <w:rsid w:val="00101C4D"/>
    <w:rsid w:val="00103915"/>
    <w:rsid w:val="001055F3"/>
    <w:rsid w:val="001069A9"/>
    <w:rsid w:val="00110320"/>
    <w:rsid w:val="001103A2"/>
    <w:rsid w:val="00112839"/>
    <w:rsid w:val="00113958"/>
    <w:rsid w:val="00113AFB"/>
    <w:rsid w:val="00121CD3"/>
    <w:rsid w:val="00122B23"/>
    <w:rsid w:val="00123889"/>
    <w:rsid w:val="00124877"/>
    <w:rsid w:val="00125924"/>
    <w:rsid w:val="00125C5F"/>
    <w:rsid w:val="00127B34"/>
    <w:rsid w:val="00130EF4"/>
    <w:rsid w:val="001319FF"/>
    <w:rsid w:val="00132880"/>
    <w:rsid w:val="001353DC"/>
    <w:rsid w:val="0013568D"/>
    <w:rsid w:val="0013799F"/>
    <w:rsid w:val="00137FFA"/>
    <w:rsid w:val="00140570"/>
    <w:rsid w:val="001407F6"/>
    <w:rsid w:val="00140A32"/>
    <w:rsid w:val="00141FAC"/>
    <w:rsid w:val="001428A2"/>
    <w:rsid w:val="00145C2E"/>
    <w:rsid w:val="00146306"/>
    <w:rsid w:val="001501C1"/>
    <w:rsid w:val="00151923"/>
    <w:rsid w:val="00152AD5"/>
    <w:rsid w:val="001550A3"/>
    <w:rsid w:val="0015628A"/>
    <w:rsid w:val="00156A2A"/>
    <w:rsid w:val="00161B7E"/>
    <w:rsid w:val="00163902"/>
    <w:rsid w:val="00166598"/>
    <w:rsid w:val="00166B32"/>
    <w:rsid w:val="00172E61"/>
    <w:rsid w:val="001737C9"/>
    <w:rsid w:val="00174DDB"/>
    <w:rsid w:val="00175FDC"/>
    <w:rsid w:val="00176817"/>
    <w:rsid w:val="0018007B"/>
    <w:rsid w:val="00181B60"/>
    <w:rsid w:val="00181C27"/>
    <w:rsid w:val="001821C5"/>
    <w:rsid w:val="00185A27"/>
    <w:rsid w:val="001929F9"/>
    <w:rsid w:val="00193DFB"/>
    <w:rsid w:val="00193EFC"/>
    <w:rsid w:val="00195745"/>
    <w:rsid w:val="001973B7"/>
    <w:rsid w:val="001A1A18"/>
    <w:rsid w:val="001A2276"/>
    <w:rsid w:val="001A36B8"/>
    <w:rsid w:val="001A44EB"/>
    <w:rsid w:val="001A695E"/>
    <w:rsid w:val="001A6D50"/>
    <w:rsid w:val="001A7009"/>
    <w:rsid w:val="001B493A"/>
    <w:rsid w:val="001B5E28"/>
    <w:rsid w:val="001B6613"/>
    <w:rsid w:val="001B6E03"/>
    <w:rsid w:val="001C01AC"/>
    <w:rsid w:val="001C092E"/>
    <w:rsid w:val="001C611F"/>
    <w:rsid w:val="001C6B55"/>
    <w:rsid w:val="001D088A"/>
    <w:rsid w:val="001D1419"/>
    <w:rsid w:val="001D175D"/>
    <w:rsid w:val="001D5178"/>
    <w:rsid w:val="001D5C4D"/>
    <w:rsid w:val="001E0B25"/>
    <w:rsid w:val="001E0E4F"/>
    <w:rsid w:val="001E1DB9"/>
    <w:rsid w:val="001E62AF"/>
    <w:rsid w:val="001F07C0"/>
    <w:rsid w:val="001F2A9C"/>
    <w:rsid w:val="001F6CA5"/>
    <w:rsid w:val="001F7686"/>
    <w:rsid w:val="002002A3"/>
    <w:rsid w:val="00202A08"/>
    <w:rsid w:val="00202F2E"/>
    <w:rsid w:val="002109B6"/>
    <w:rsid w:val="0021312A"/>
    <w:rsid w:val="0021354E"/>
    <w:rsid w:val="00213765"/>
    <w:rsid w:val="00214878"/>
    <w:rsid w:val="00215E47"/>
    <w:rsid w:val="0022174A"/>
    <w:rsid w:val="00221DB1"/>
    <w:rsid w:val="00222E78"/>
    <w:rsid w:val="00223669"/>
    <w:rsid w:val="00224AFF"/>
    <w:rsid w:val="00233154"/>
    <w:rsid w:val="00233D41"/>
    <w:rsid w:val="002346FC"/>
    <w:rsid w:val="00234B84"/>
    <w:rsid w:val="00235A80"/>
    <w:rsid w:val="00237377"/>
    <w:rsid w:val="0024024C"/>
    <w:rsid w:val="00240C0E"/>
    <w:rsid w:val="002411E9"/>
    <w:rsid w:val="0024158B"/>
    <w:rsid w:val="0024213C"/>
    <w:rsid w:val="00242ED7"/>
    <w:rsid w:val="0024480D"/>
    <w:rsid w:val="002451C1"/>
    <w:rsid w:val="002454B3"/>
    <w:rsid w:val="002465CC"/>
    <w:rsid w:val="0024669C"/>
    <w:rsid w:val="002501E7"/>
    <w:rsid w:val="00250EB5"/>
    <w:rsid w:val="00252B8B"/>
    <w:rsid w:val="00252ED8"/>
    <w:rsid w:val="00253E65"/>
    <w:rsid w:val="00254CEF"/>
    <w:rsid w:val="0025799B"/>
    <w:rsid w:val="00260125"/>
    <w:rsid w:val="0026156A"/>
    <w:rsid w:val="0026186C"/>
    <w:rsid w:val="00261A2E"/>
    <w:rsid w:val="002630D9"/>
    <w:rsid w:val="00263252"/>
    <w:rsid w:val="002706B4"/>
    <w:rsid w:val="00271593"/>
    <w:rsid w:val="00274B3E"/>
    <w:rsid w:val="00275DB5"/>
    <w:rsid w:val="00277E34"/>
    <w:rsid w:val="00280E65"/>
    <w:rsid w:val="0028451A"/>
    <w:rsid w:val="00286EF9"/>
    <w:rsid w:val="00287A42"/>
    <w:rsid w:val="00291854"/>
    <w:rsid w:val="002918F7"/>
    <w:rsid w:val="00294025"/>
    <w:rsid w:val="00294A08"/>
    <w:rsid w:val="00294B09"/>
    <w:rsid w:val="00294E58"/>
    <w:rsid w:val="002A2CEC"/>
    <w:rsid w:val="002A31F8"/>
    <w:rsid w:val="002A36A9"/>
    <w:rsid w:val="002A3EC3"/>
    <w:rsid w:val="002A4D54"/>
    <w:rsid w:val="002A62A8"/>
    <w:rsid w:val="002A7778"/>
    <w:rsid w:val="002A7C02"/>
    <w:rsid w:val="002B0A90"/>
    <w:rsid w:val="002B207F"/>
    <w:rsid w:val="002B2BCE"/>
    <w:rsid w:val="002B3D4E"/>
    <w:rsid w:val="002B4EBC"/>
    <w:rsid w:val="002B575B"/>
    <w:rsid w:val="002B79DC"/>
    <w:rsid w:val="002B7BD0"/>
    <w:rsid w:val="002C45D9"/>
    <w:rsid w:val="002C71CA"/>
    <w:rsid w:val="002C7B84"/>
    <w:rsid w:val="002C7E55"/>
    <w:rsid w:val="002C7E5B"/>
    <w:rsid w:val="002D1AA6"/>
    <w:rsid w:val="002D662E"/>
    <w:rsid w:val="002D7A0C"/>
    <w:rsid w:val="002E000E"/>
    <w:rsid w:val="002E1753"/>
    <w:rsid w:val="002E5D84"/>
    <w:rsid w:val="002E709C"/>
    <w:rsid w:val="002E7375"/>
    <w:rsid w:val="002E7617"/>
    <w:rsid w:val="002E79A9"/>
    <w:rsid w:val="002F2195"/>
    <w:rsid w:val="002F3127"/>
    <w:rsid w:val="002F33C3"/>
    <w:rsid w:val="002F3B3F"/>
    <w:rsid w:val="002F4A45"/>
    <w:rsid w:val="002F723E"/>
    <w:rsid w:val="002F77A1"/>
    <w:rsid w:val="00300384"/>
    <w:rsid w:val="003011A3"/>
    <w:rsid w:val="00302E0A"/>
    <w:rsid w:val="00303001"/>
    <w:rsid w:val="003033BA"/>
    <w:rsid w:val="00305947"/>
    <w:rsid w:val="00306259"/>
    <w:rsid w:val="003067C4"/>
    <w:rsid w:val="00306FCD"/>
    <w:rsid w:val="0031354B"/>
    <w:rsid w:val="00313908"/>
    <w:rsid w:val="003159B5"/>
    <w:rsid w:val="00315C98"/>
    <w:rsid w:val="00316518"/>
    <w:rsid w:val="003177B8"/>
    <w:rsid w:val="00321084"/>
    <w:rsid w:val="00321A6D"/>
    <w:rsid w:val="00323084"/>
    <w:rsid w:val="00330E9B"/>
    <w:rsid w:val="0033352A"/>
    <w:rsid w:val="00333538"/>
    <w:rsid w:val="00333DA4"/>
    <w:rsid w:val="00333DBC"/>
    <w:rsid w:val="00334344"/>
    <w:rsid w:val="00342C0D"/>
    <w:rsid w:val="00345AC9"/>
    <w:rsid w:val="003463D9"/>
    <w:rsid w:val="0034680A"/>
    <w:rsid w:val="00346DA2"/>
    <w:rsid w:val="003471F9"/>
    <w:rsid w:val="00350DDF"/>
    <w:rsid w:val="00352311"/>
    <w:rsid w:val="0035408A"/>
    <w:rsid w:val="00354F7E"/>
    <w:rsid w:val="003559ED"/>
    <w:rsid w:val="003569FD"/>
    <w:rsid w:val="00356E6F"/>
    <w:rsid w:val="00356FAB"/>
    <w:rsid w:val="00361BB8"/>
    <w:rsid w:val="003644CA"/>
    <w:rsid w:val="003657FD"/>
    <w:rsid w:val="003664C6"/>
    <w:rsid w:val="00366E1B"/>
    <w:rsid w:val="00367DDB"/>
    <w:rsid w:val="0037000E"/>
    <w:rsid w:val="0037129B"/>
    <w:rsid w:val="003751BE"/>
    <w:rsid w:val="00382BB0"/>
    <w:rsid w:val="00386456"/>
    <w:rsid w:val="00387590"/>
    <w:rsid w:val="00391644"/>
    <w:rsid w:val="003922F0"/>
    <w:rsid w:val="003925E0"/>
    <w:rsid w:val="00392F03"/>
    <w:rsid w:val="00393C53"/>
    <w:rsid w:val="003945B8"/>
    <w:rsid w:val="003948FC"/>
    <w:rsid w:val="003A1AAE"/>
    <w:rsid w:val="003A299C"/>
    <w:rsid w:val="003A2CD8"/>
    <w:rsid w:val="003A581E"/>
    <w:rsid w:val="003A5DF4"/>
    <w:rsid w:val="003A6038"/>
    <w:rsid w:val="003B0B5A"/>
    <w:rsid w:val="003B0B8D"/>
    <w:rsid w:val="003B2D22"/>
    <w:rsid w:val="003B4F39"/>
    <w:rsid w:val="003B5BB8"/>
    <w:rsid w:val="003B743E"/>
    <w:rsid w:val="003B7F82"/>
    <w:rsid w:val="003C07D6"/>
    <w:rsid w:val="003C5438"/>
    <w:rsid w:val="003D14E8"/>
    <w:rsid w:val="003D456C"/>
    <w:rsid w:val="003D7759"/>
    <w:rsid w:val="003E2919"/>
    <w:rsid w:val="003E3083"/>
    <w:rsid w:val="003E54F9"/>
    <w:rsid w:val="003E6461"/>
    <w:rsid w:val="003F1231"/>
    <w:rsid w:val="003F2F99"/>
    <w:rsid w:val="003F5766"/>
    <w:rsid w:val="003F6F8C"/>
    <w:rsid w:val="00400DDE"/>
    <w:rsid w:val="00405662"/>
    <w:rsid w:val="00406008"/>
    <w:rsid w:val="00407293"/>
    <w:rsid w:val="00407636"/>
    <w:rsid w:val="00410870"/>
    <w:rsid w:val="00411B30"/>
    <w:rsid w:val="0041218E"/>
    <w:rsid w:val="0041247F"/>
    <w:rsid w:val="00412C58"/>
    <w:rsid w:val="00414A77"/>
    <w:rsid w:val="00415395"/>
    <w:rsid w:val="00416413"/>
    <w:rsid w:val="00416AC0"/>
    <w:rsid w:val="00416B88"/>
    <w:rsid w:val="00417402"/>
    <w:rsid w:val="00421001"/>
    <w:rsid w:val="0042114E"/>
    <w:rsid w:val="00425C7A"/>
    <w:rsid w:val="004268A3"/>
    <w:rsid w:val="00427E90"/>
    <w:rsid w:val="0043152C"/>
    <w:rsid w:val="00432163"/>
    <w:rsid w:val="00434829"/>
    <w:rsid w:val="004348F9"/>
    <w:rsid w:val="00434BC9"/>
    <w:rsid w:val="00440BFC"/>
    <w:rsid w:val="00441274"/>
    <w:rsid w:val="0044200A"/>
    <w:rsid w:val="004422D6"/>
    <w:rsid w:val="00443F10"/>
    <w:rsid w:val="00444865"/>
    <w:rsid w:val="00445186"/>
    <w:rsid w:val="00445F18"/>
    <w:rsid w:val="004513E8"/>
    <w:rsid w:val="004537E9"/>
    <w:rsid w:val="00454947"/>
    <w:rsid w:val="004552E9"/>
    <w:rsid w:val="00457177"/>
    <w:rsid w:val="00460793"/>
    <w:rsid w:val="004619B2"/>
    <w:rsid w:val="00462527"/>
    <w:rsid w:val="00463385"/>
    <w:rsid w:val="00466E78"/>
    <w:rsid w:val="00467950"/>
    <w:rsid w:val="00467F4F"/>
    <w:rsid w:val="00473A25"/>
    <w:rsid w:val="00474EFB"/>
    <w:rsid w:val="00475159"/>
    <w:rsid w:val="00477B6D"/>
    <w:rsid w:val="00477DEE"/>
    <w:rsid w:val="00481988"/>
    <w:rsid w:val="004823BF"/>
    <w:rsid w:val="00483490"/>
    <w:rsid w:val="00485AE3"/>
    <w:rsid w:val="00487048"/>
    <w:rsid w:val="0048775B"/>
    <w:rsid w:val="00490869"/>
    <w:rsid w:val="0049197E"/>
    <w:rsid w:val="004A1580"/>
    <w:rsid w:val="004A1F73"/>
    <w:rsid w:val="004A214E"/>
    <w:rsid w:val="004A34D2"/>
    <w:rsid w:val="004A51B7"/>
    <w:rsid w:val="004B0F82"/>
    <w:rsid w:val="004B1AFD"/>
    <w:rsid w:val="004B29A8"/>
    <w:rsid w:val="004B6213"/>
    <w:rsid w:val="004B62BE"/>
    <w:rsid w:val="004C035A"/>
    <w:rsid w:val="004C35C3"/>
    <w:rsid w:val="004C39C9"/>
    <w:rsid w:val="004C3E24"/>
    <w:rsid w:val="004C4714"/>
    <w:rsid w:val="004C56C4"/>
    <w:rsid w:val="004C64DF"/>
    <w:rsid w:val="004C6B9C"/>
    <w:rsid w:val="004D021E"/>
    <w:rsid w:val="004D076C"/>
    <w:rsid w:val="004D2202"/>
    <w:rsid w:val="004D2FE0"/>
    <w:rsid w:val="004D4D4E"/>
    <w:rsid w:val="004E2290"/>
    <w:rsid w:val="004E2DEA"/>
    <w:rsid w:val="004E420A"/>
    <w:rsid w:val="004E51E3"/>
    <w:rsid w:val="004E5772"/>
    <w:rsid w:val="004E6117"/>
    <w:rsid w:val="004F128E"/>
    <w:rsid w:val="004F1A74"/>
    <w:rsid w:val="004F2FA6"/>
    <w:rsid w:val="004F3CEB"/>
    <w:rsid w:val="004F3E22"/>
    <w:rsid w:val="004F4091"/>
    <w:rsid w:val="004F6E46"/>
    <w:rsid w:val="004F7336"/>
    <w:rsid w:val="00500C4E"/>
    <w:rsid w:val="0050193D"/>
    <w:rsid w:val="0050196E"/>
    <w:rsid w:val="00501AD2"/>
    <w:rsid w:val="00502A6F"/>
    <w:rsid w:val="00502A9D"/>
    <w:rsid w:val="0050434E"/>
    <w:rsid w:val="00504B90"/>
    <w:rsid w:val="0051074C"/>
    <w:rsid w:val="00510EAF"/>
    <w:rsid w:val="00511ACB"/>
    <w:rsid w:val="00512714"/>
    <w:rsid w:val="00513AF2"/>
    <w:rsid w:val="0051416A"/>
    <w:rsid w:val="00516EA3"/>
    <w:rsid w:val="00517425"/>
    <w:rsid w:val="005175F9"/>
    <w:rsid w:val="00517832"/>
    <w:rsid w:val="00524D16"/>
    <w:rsid w:val="00525C51"/>
    <w:rsid w:val="00526D46"/>
    <w:rsid w:val="00531345"/>
    <w:rsid w:val="005318F6"/>
    <w:rsid w:val="00531A19"/>
    <w:rsid w:val="0053303D"/>
    <w:rsid w:val="005356EA"/>
    <w:rsid w:val="00536637"/>
    <w:rsid w:val="0053681E"/>
    <w:rsid w:val="00537683"/>
    <w:rsid w:val="00540BD2"/>
    <w:rsid w:val="00541DD0"/>
    <w:rsid w:val="0054229C"/>
    <w:rsid w:val="00542514"/>
    <w:rsid w:val="005427CF"/>
    <w:rsid w:val="005428CA"/>
    <w:rsid w:val="0054315A"/>
    <w:rsid w:val="00543CC9"/>
    <w:rsid w:val="0054413A"/>
    <w:rsid w:val="0054602D"/>
    <w:rsid w:val="00546387"/>
    <w:rsid w:val="00546A8C"/>
    <w:rsid w:val="00546CA7"/>
    <w:rsid w:val="00550BD9"/>
    <w:rsid w:val="00550FD8"/>
    <w:rsid w:val="00551AEB"/>
    <w:rsid w:val="00553EAD"/>
    <w:rsid w:val="005546BF"/>
    <w:rsid w:val="005564CA"/>
    <w:rsid w:val="00557C64"/>
    <w:rsid w:val="005637B5"/>
    <w:rsid w:val="0057006A"/>
    <w:rsid w:val="00570241"/>
    <w:rsid w:val="00571663"/>
    <w:rsid w:val="00571EFF"/>
    <w:rsid w:val="00572EF9"/>
    <w:rsid w:val="005747F3"/>
    <w:rsid w:val="00574D76"/>
    <w:rsid w:val="00576A4A"/>
    <w:rsid w:val="00577104"/>
    <w:rsid w:val="00577185"/>
    <w:rsid w:val="00581EEC"/>
    <w:rsid w:val="00590087"/>
    <w:rsid w:val="005909E4"/>
    <w:rsid w:val="00590CFC"/>
    <w:rsid w:val="00592702"/>
    <w:rsid w:val="00592E79"/>
    <w:rsid w:val="00593652"/>
    <w:rsid w:val="005940FB"/>
    <w:rsid w:val="00595AF8"/>
    <w:rsid w:val="005A0AC1"/>
    <w:rsid w:val="005A1AE4"/>
    <w:rsid w:val="005A1E1D"/>
    <w:rsid w:val="005A3893"/>
    <w:rsid w:val="005A4AEC"/>
    <w:rsid w:val="005A7711"/>
    <w:rsid w:val="005B0CD4"/>
    <w:rsid w:val="005B11C6"/>
    <w:rsid w:val="005B20E7"/>
    <w:rsid w:val="005B27C3"/>
    <w:rsid w:val="005B2CF7"/>
    <w:rsid w:val="005B2F7D"/>
    <w:rsid w:val="005B37EA"/>
    <w:rsid w:val="005B57CE"/>
    <w:rsid w:val="005B5B7D"/>
    <w:rsid w:val="005C1FC3"/>
    <w:rsid w:val="005C3EA1"/>
    <w:rsid w:val="005C4103"/>
    <w:rsid w:val="005C4795"/>
    <w:rsid w:val="005C4E28"/>
    <w:rsid w:val="005C50CF"/>
    <w:rsid w:val="005C6805"/>
    <w:rsid w:val="005C6BD0"/>
    <w:rsid w:val="005C7609"/>
    <w:rsid w:val="005C7CDD"/>
    <w:rsid w:val="005D096F"/>
    <w:rsid w:val="005D1B45"/>
    <w:rsid w:val="005D25BD"/>
    <w:rsid w:val="005D2E6E"/>
    <w:rsid w:val="005D4405"/>
    <w:rsid w:val="005D4488"/>
    <w:rsid w:val="005E3FDC"/>
    <w:rsid w:val="005E5A01"/>
    <w:rsid w:val="005E5AD9"/>
    <w:rsid w:val="005E7B0B"/>
    <w:rsid w:val="005F05AC"/>
    <w:rsid w:val="005F3841"/>
    <w:rsid w:val="005F6462"/>
    <w:rsid w:val="00600AC5"/>
    <w:rsid w:val="00601EE4"/>
    <w:rsid w:val="00603487"/>
    <w:rsid w:val="006043A3"/>
    <w:rsid w:val="00604F33"/>
    <w:rsid w:val="00615A40"/>
    <w:rsid w:val="00616FE7"/>
    <w:rsid w:val="0062065E"/>
    <w:rsid w:val="0062127A"/>
    <w:rsid w:val="00621E35"/>
    <w:rsid w:val="0062303B"/>
    <w:rsid w:val="0062539B"/>
    <w:rsid w:val="00627D61"/>
    <w:rsid w:val="00630230"/>
    <w:rsid w:val="00631FCB"/>
    <w:rsid w:val="00632B90"/>
    <w:rsid w:val="00636072"/>
    <w:rsid w:val="00636F4D"/>
    <w:rsid w:val="0063778D"/>
    <w:rsid w:val="006378B6"/>
    <w:rsid w:val="00637AC0"/>
    <w:rsid w:val="00640226"/>
    <w:rsid w:val="006402FD"/>
    <w:rsid w:val="00642C9D"/>
    <w:rsid w:val="00643774"/>
    <w:rsid w:val="00644299"/>
    <w:rsid w:val="006442AE"/>
    <w:rsid w:val="00645D51"/>
    <w:rsid w:val="00647C7A"/>
    <w:rsid w:val="006535D1"/>
    <w:rsid w:val="00653A0D"/>
    <w:rsid w:val="00654AA6"/>
    <w:rsid w:val="006551DC"/>
    <w:rsid w:val="00655371"/>
    <w:rsid w:val="00656629"/>
    <w:rsid w:val="006567DB"/>
    <w:rsid w:val="00657AFA"/>
    <w:rsid w:val="0066034E"/>
    <w:rsid w:val="006608BE"/>
    <w:rsid w:val="00660E4B"/>
    <w:rsid w:val="00662A05"/>
    <w:rsid w:val="00663864"/>
    <w:rsid w:val="00672538"/>
    <w:rsid w:val="0067336C"/>
    <w:rsid w:val="006735A6"/>
    <w:rsid w:val="006754C6"/>
    <w:rsid w:val="00676504"/>
    <w:rsid w:val="00676EE8"/>
    <w:rsid w:val="0067722F"/>
    <w:rsid w:val="006778AF"/>
    <w:rsid w:val="006819F5"/>
    <w:rsid w:val="00684886"/>
    <w:rsid w:val="00685F97"/>
    <w:rsid w:val="0068601F"/>
    <w:rsid w:val="00687EC0"/>
    <w:rsid w:val="00690936"/>
    <w:rsid w:val="00691623"/>
    <w:rsid w:val="00695958"/>
    <w:rsid w:val="00697665"/>
    <w:rsid w:val="006A07D6"/>
    <w:rsid w:val="006A1F7F"/>
    <w:rsid w:val="006A5630"/>
    <w:rsid w:val="006A5A2E"/>
    <w:rsid w:val="006A61EC"/>
    <w:rsid w:val="006A71B0"/>
    <w:rsid w:val="006A7FD0"/>
    <w:rsid w:val="006B06BF"/>
    <w:rsid w:val="006B200D"/>
    <w:rsid w:val="006B2ADC"/>
    <w:rsid w:val="006B3014"/>
    <w:rsid w:val="006B6ED7"/>
    <w:rsid w:val="006C0B8D"/>
    <w:rsid w:val="006C1038"/>
    <w:rsid w:val="006C1231"/>
    <w:rsid w:val="006C5C94"/>
    <w:rsid w:val="006C6528"/>
    <w:rsid w:val="006C68E6"/>
    <w:rsid w:val="006C731D"/>
    <w:rsid w:val="006D1702"/>
    <w:rsid w:val="006D1878"/>
    <w:rsid w:val="006D1D47"/>
    <w:rsid w:val="006D25EE"/>
    <w:rsid w:val="006D32A2"/>
    <w:rsid w:val="006D7687"/>
    <w:rsid w:val="006D79C0"/>
    <w:rsid w:val="006E0572"/>
    <w:rsid w:val="006E0DD1"/>
    <w:rsid w:val="006E39EA"/>
    <w:rsid w:val="006E65A3"/>
    <w:rsid w:val="006E75A3"/>
    <w:rsid w:val="006F1F20"/>
    <w:rsid w:val="006F5CF0"/>
    <w:rsid w:val="006F5D44"/>
    <w:rsid w:val="006F6BD6"/>
    <w:rsid w:val="006F7B68"/>
    <w:rsid w:val="006F7C6D"/>
    <w:rsid w:val="006F7E30"/>
    <w:rsid w:val="00700D9E"/>
    <w:rsid w:val="00702D5D"/>
    <w:rsid w:val="00704381"/>
    <w:rsid w:val="00704921"/>
    <w:rsid w:val="00704B0B"/>
    <w:rsid w:val="00705631"/>
    <w:rsid w:val="00710F03"/>
    <w:rsid w:val="00711C6E"/>
    <w:rsid w:val="00712A6A"/>
    <w:rsid w:val="007147F4"/>
    <w:rsid w:val="00715C9E"/>
    <w:rsid w:val="00716B0A"/>
    <w:rsid w:val="0071707F"/>
    <w:rsid w:val="0072181F"/>
    <w:rsid w:val="00722B21"/>
    <w:rsid w:val="00722C4F"/>
    <w:rsid w:val="00724C38"/>
    <w:rsid w:val="00727074"/>
    <w:rsid w:val="00727946"/>
    <w:rsid w:val="00727C3C"/>
    <w:rsid w:val="00732D62"/>
    <w:rsid w:val="007343CE"/>
    <w:rsid w:val="00734B73"/>
    <w:rsid w:val="00734E1F"/>
    <w:rsid w:val="00735909"/>
    <w:rsid w:val="00737474"/>
    <w:rsid w:val="00737DB6"/>
    <w:rsid w:val="007403F4"/>
    <w:rsid w:val="007424A8"/>
    <w:rsid w:val="00742DD2"/>
    <w:rsid w:val="00744529"/>
    <w:rsid w:val="00744CB8"/>
    <w:rsid w:val="00744E2B"/>
    <w:rsid w:val="007452CF"/>
    <w:rsid w:val="00746C4F"/>
    <w:rsid w:val="00746D5B"/>
    <w:rsid w:val="0075010E"/>
    <w:rsid w:val="0075101C"/>
    <w:rsid w:val="00751CDD"/>
    <w:rsid w:val="0075639F"/>
    <w:rsid w:val="0075647A"/>
    <w:rsid w:val="00756A0C"/>
    <w:rsid w:val="00756B38"/>
    <w:rsid w:val="00756EC8"/>
    <w:rsid w:val="007575ED"/>
    <w:rsid w:val="007609E9"/>
    <w:rsid w:val="007618B2"/>
    <w:rsid w:val="00761CAA"/>
    <w:rsid w:val="007634AD"/>
    <w:rsid w:val="0076405F"/>
    <w:rsid w:val="00764F47"/>
    <w:rsid w:val="0076747D"/>
    <w:rsid w:val="00771882"/>
    <w:rsid w:val="00772A72"/>
    <w:rsid w:val="007774E3"/>
    <w:rsid w:val="0078122E"/>
    <w:rsid w:val="00781AA8"/>
    <w:rsid w:val="00783074"/>
    <w:rsid w:val="007832C3"/>
    <w:rsid w:val="0078365A"/>
    <w:rsid w:val="00783D11"/>
    <w:rsid w:val="007846C5"/>
    <w:rsid w:val="00787D3E"/>
    <w:rsid w:val="0079134A"/>
    <w:rsid w:val="0079377E"/>
    <w:rsid w:val="00795113"/>
    <w:rsid w:val="007A1954"/>
    <w:rsid w:val="007A6A34"/>
    <w:rsid w:val="007B0854"/>
    <w:rsid w:val="007B393C"/>
    <w:rsid w:val="007B45EA"/>
    <w:rsid w:val="007B7D62"/>
    <w:rsid w:val="007C0CCA"/>
    <w:rsid w:val="007C7CE4"/>
    <w:rsid w:val="007D1B79"/>
    <w:rsid w:val="007D3323"/>
    <w:rsid w:val="007D4021"/>
    <w:rsid w:val="007D4803"/>
    <w:rsid w:val="007D59CF"/>
    <w:rsid w:val="007E0B27"/>
    <w:rsid w:val="007E193F"/>
    <w:rsid w:val="007E24A0"/>
    <w:rsid w:val="007E331A"/>
    <w:rsid w:val="007E4092"/>
    <w:rsid w:val="007E6D71"/>
    <w:rsid w:val="007F182A"/>
    <w:rsid w:val="007F44E6"/>
    <w:rsid w:val="007F7255"/>
    <w:rsid w:val="007F72CB"/>
    <w:rsid w:val="00800317"/>
    <w:rsid w:val="00800AD9"/>
    <w:rsid w:val="00800DEA"/>
    <w:rsid w:val="00801F73"/>
    <w:rsid w:val="00802FF0"/>
    <w:rsid w:val="0080456B"/>
    <w:rsid w:val="008065A8"/>
    <w:rsid w:val="0080762F"/>
    <w:rsid w:val="00811EDD"/>
    <w:rsid w:val="00816B40"/>
    <w:rsid w:val="00817EA3"/>
    <w:rsid w:val="008201C7"/>
    <w:rsid w:val="0082051A"/>
    <w:rsid w:val="008229F3"/>
    <w:rsid w:val="00823406"/>
    <w:rsid w:val="008238DA"/>
    <w:rsid w:val="00824A6D"/>
    <w:rsid w:val="008259A3"/>
    <w:rsid w:val="0082768D"/>
    <w:rsid w:val="00830103"/>
    <w:rsid w:val="00830306"/>
    <w:rsid w:val="00830BF0"/>
    <w:rsid w:val="0083119B"/>
    <w:rsid w:val="00833A0B"/>
    <w:rsid w:val="00835C7D"/>
    <w:rsid w:val="008361D3"/>
    <w:rsid w:val="0083646A"/>
    <w:rsid w:val="00836EAB"/>
    <w:rsid w:val="00837C23"/>
    <w:rsid w:val="00845A51"/>
    <w:rsid w:val="008464E9"/>
    <w:rsid w:val="00847C80"/>
    <w:rsid w:val="008502A5"/>
    <w:rsid w:val="0085092D"/>
    <w:rsid w:val="00850EFF"/>
    <w:rsid w:val="008515EE"/>
    <w:rsid w:val="008537E9"/>
    <w:rsid w:val="00854B8E"/>
    <w:rsid w:val="008562D2"/>
    <w:rsid w:val="008574D1"/>
    <w:rsid w:val="008615FD"/>
    <w:rsid w:val="00862405"/>
    <w:rsid w:val="00862FD9"/>
    <w:rsid w:val="00864A61"/>
    <w:rsid w:val="008659FF"/>
    <w:rsid w:val="008662E2"/>
    <w:rsid w:val="00871A33"/>
    <w:rsid w:val="0087201C"/>
    <w:rsid w:val="008735F6"/>
    <w:rsid w:val="00874B3D"/>
    <w:rsid w:val="0087598F"/>
    <w:rsid w:val="0088027A"/>
    <w:rsid w:val="00884F75"/>
    <w:rsid w:val="008865C0"/>
    <w:rsid w:val="00886C7B"/>
    <w:rsid w:val="0088776A"/>
    <w:rsid w:val="008903AE"/>
    <w:rsid w:val="00892B83"/>
    <w:rsid w:val="00894063"/>
    <w:rsid w:val="008941DC"/>
    <w:rsid w:val="00894712"/>
    <w:rsid w:val="00896CE7"/>
    <w:rsid w:val="008A1444"/>
    <w:rsid w:val="008A1F4E"/>
    <w:rsid w:val="008A2F4B"/>
    <w:rsid w:val="008A4522"/>
    <w:rsid w:val="008A56B5"/>
    <w:rsid w:val="008A7BB3"/>
    <w:rsid w:val="008B0FC4"/>
    <w:rsid w:val="008B11C1"/>
    <w:rsid w:val="008B21E5"/>
    <w:rsid w:val="008B3DDE"/>
    <w:rsid w:val="008B48B6"/>
    <w:rsid w:val="008B58DD"/>
    <w:rsid w:val="008B79E0"/>
    <w:rsid w:val="008C449B"/>
    <w:rsid w:val="008C5872"/>
    <w:rsid w:val="008C5FE5"/>
    <w:rsid w:val="008D1C27"/>
    <w:rsid w:val="008D3488"/>
    <w:rsid w:val="008D4418"/>
    <w:rsid w:val="008D5921"/>
    <w:rsid w:val="008D7064"/>
    <w:rsid w:val="008E021A"/>
    <w:rsid w:val="008E1C15"/>
    <w:rsid w:val="008E25A3"/>
    <w:rsid w:val="008E65F4"/>
    <w:rsid w:val="008E7DD0"/>
    <w:rsid w:val="008F3AB1"/>
    <w:rsid w:val="008F53F4"/>
    <w:rsid w:val="00901339"/>
    <w:rsid w:val="00902872"/>
    <w:rsid w:val="009047C5"/>
    <w:rsid w:val="00906FED"/>
    <w:rsid w:val="009101AA"/>
    <w:rsid w:val="00911BF7"/>
    <w:rsid w:val="009123E9"/>
    <w:rsid w:val="009125D0"/>
    <w:rsid w:val="00913B77"/>
    <w:rsid w:val="00913C8E"/>
    <w:rsid w:val="00916DB5"/>
    <w:rsid w:val="009170FB"/>
    <w:rsid w:val="00921955"/>
    <w:rsid w:val="00921D40"/>
    <w:rsid w:val="00923BCA"/>
    <w:rsid w:val="00925BC4"/>
    <w:rsid w:val="009272AE"/>
    <w:rsid w:val="009329A4"/>
    <w:rsid w:val="009329BE"/>
    <w:rsid w:val="009344B3"/>
    <w:rsid w:val="0093661C"/>
    <w:rsid w:val="00936B57"/>
    <w:rsid w:val="00941B45"/>
    <w:rsid w:val="00945A85"/>
    <w:rsid w:val="00947197"/>
    <w:rsid w:val="00947945"/>
    <w:rsid w:val="00950AE6"/>
    <w:rsid w:val="009513A9"/>
    <w:rsid w:val="00951524"/>
    <w:rsid w:val="0095340A"/>
    <w:rsid w:val="0095385A"/>
    <w:rsid w:val="00954AC6"/>
    <w:rsid w:val="009603B4"/>
    <w:rsid w:val="00965006"/>
    <w:rsid w:val="00966595"/>
    <w:rsid w:val="00967D10"/>
    <w:rsid w:val="00967ED9"/>
    <w:rsid w:val="00971321"/>
    <w:rsid w:val="00973017"/>
    <w:rsid w:val="00973C2B"/>
    <w:rsid w:val="0097455B"/>
    <w:rsid w:val="00976CDB"/>
    <w:rsid w:val="00981254"/>
    <w:rsid w:val="00982F90"/>
    <w:rsid w:val="009839A9"/>
    <w:rsid w:val="009853D5"/>
    <w:rsid w:val="009859D4"/>
    <w:rsid w:val="00985F55"/>
    <w:rsid w:val="0098629E"/>
    <w:rsid w:val="00990443"/>
    <w:rsid w:val="0099187A"/>
    <w:rsid w:val="00995D22"/>
    <w:rsid w:val="00996AD7"/>
    <w:rsid w:val="009A035F"/>
    <w:rsid w:val="009A0487"/>
    <w:rsid w:val="009A56E8"/>
    <w:rsid w:val="009A5CA2"/>
    <w:rsid w:val="009A6978"/>
    <w:rsid w:val="009A7840"/>
    <w:rsid w:val="009A7EAF"/>
    <w:rsid w:val="009B298B"/>
    <w:rsid w:val="009B398C"/>
    <w:rsid w:val="009B751B"/>
    <w:rsid w:val="009C2F8F"/>
    <w:rsid w:val="009C4045"/>
    <w:rsid w:val="009C501C"/>
    <w:rsid w:val="009C50D0"/>
    <w:rsid w:val="009C7373"/>
    <w:rsid w:val="009D02F9"/>
    <w:rsid w:val="009E1FEB"/>
    <w:rsid w:val="009E27E2"/>
    <w:rsid w:val="009E49CC"/>
    <w:rsid w:val="009E4A28"/>
    <w:rsid w:val="009E4AF0"/>
    <w:rsid w:val="009E56BA"/>
    <w:rsid w:val="009E5FD4"/>
    <w:rsid w:val="009E6E5C"/>
    <w:rsid w:val="009F12D8"/>
    <w:rsid w:val="009F15A3"/>
    <w:rsid w:val="009F2412"/>
    <w:rsid w:val="009F4103"/>
    <w:rsid w:val="009F7D55"/>
    <w:rsid w:val="00A002DA"/>
    <w:rsid w:val="00A06772"/>
    <w:rsid w:val="00A074BF"/>
    <w:rsid w:val="00A0798E"/>
    <w:rsid w:val="00A12E39"/>
    <w:rsid w:val="00A13D9F"/>
    <w:rsid w:val="00A1500F"/>
    <w:rsid w:val="00A15359"/>
    <w:rsid w:val="00A15F44"/>
    <w:rsid w:val="00A17103"/>
    <w:rsid w:val="00A22A44"/>
    <w:rsid w:val="00A23EDF"/>
    <w:rsid w:val="00A241AD"/>
    <w:rsid w:val="00A24322"/>
    <w:rsid w:val="00A24560"/>
    <w:rsid w:val="00A24780"/>
    <w:rsid w:val="00A24FCF"/>
    <w:rsid w:val="00A257F1"/>
    <w:rsid w:val="00A25B79"/>
    <w:rsid w:val="00A263E9"/>
    <w:rsid w:val="00A27EBA"/>
    <w:rsid w:val="00A34538"/>
    <w:rsid w:val="00A348FB"/>
    <w:rsid w:val="00A3528B"/>
    <w:rsid w:val="00A408C7"/>
    <w:rsid w:val="00A413DA"/>
    <w:rsid w:val="00A4436B"/>
    <w:rsid w:val="00A504F9"/>
    <w:rsid w:val="00A50EA1"/>
    <w:rsid w:val="00A54843"/>
    <w:rsid w:val="00A5495C"/>
    <w:rsid w:val="00A54BEB"/>
    <w:rsid w:val="00A54C72"/>
    <w:rsid w:val="00A54FA1"/>
    <w:rsid w:val="00A56DCE"/>
    <w:rsid w:val="00A60147"/>
    <w:rsid w:val="00A60595"/>
    <w:rsid w:val="00A60725"/>
    <w:rsid w:val="00A620C8"/>
    <w:rsid w:val="00A62356"/>
    <w:rsid w:val="00A64ADC"/>
    <w:rsid w:val="00A72528"/>
    <w:rsid w:val="00A729FE"/>
    <w:rsid w:val="00A737CD"/>
    <w:rsid w:val="00A75A39"/>
    <w:rsid w:val="00A76494"/>
    <w:rsid w:val="00A76554"/>
    <w:rsid w:val="00A8084F"/>
    <w:rsid w:val="00A8663D"/>
    <w:rsid w:val="00A87CFC"/>
    <w:rsid w:val="00A9550C"/>
    <w:rsid w:val="00A95A3C"/>
    <w:rsid w:val="00A95E66"/>
    <w:rsid w:val="00AA442B"/>
    <w:rsid w:val="00AA6D04"/>
    <w:rsid w:val="00AA707B"/>
    <w:rsid w:val="00AB31E7"/>
    <w:rsid w:val="00AB41A9"/>
    <w:rsid w:val="00AB55A6"/>
    <w:rsid w:val="00AB7B09"/>
    <w:rsid w:val="00AC1C9A"/>
    <w:rsid w:val="00AC54C6"/>
    <w:rsid w:val="00AC654E"/>
    <w:rsid w:val="00AC7B70"/>
    <w:rsid w:val="00AD017C"/>
    <w:rsid w:val="00AD0BB9"/>
    <w:rsid w:val="00AD0C27"/>
    <w:rsid w:val="00AD0EDA"/>
    <w:rsid w:val="00AD64EA"/>
    <w:rsid w:val="00AE3229"/>
    <w:rsid w:val="00AE3C7C"/>
    <w:rsid w:val="00AF02E3"/>
    <w:rsid w:val="00AF1059"/>
    <w:rsid w:val="00AF1718"/>
    <w:rsid w:val="00AF2440"/>
    <w:rsid w:val="00AF4CF9"/>
    <w:rsid w:val="00AF693C"/>
    <w:rsid w:val="00AF798A"/>
    <w:rsid w:val="00B04223"/>
    <w:rsid w:val="00B05FD5"/>
    <w:rsid w:val="00B06DB4"/>
    <w:rsid w:val="00B114C0"/>
    <w:rsid w:val="00B11CB1"/>
    <w:rsid w:val="00B13059"/>
    <w:rsid w:val="00B13ABC"/>
    <w:rsid w:val="00B13F5E"/>
    <w:rsid w:val="00B15F4A"/>
    <w:rsid w:val="00B174B9"/>
    <w:rsid w:val="00B17644"/>
    <w:rsid w:val="00B17EC0"/>
    <w:rsid w:val="00B20EEE"/>
    <w:rsid w:val="00B2165B"/>
    <w:rsid w:val="00B221A3"/>
    <w:rsid w:val="00B22E22"/>
    <w:rsid w:val="00B23C3C"/>
    <w:rsid w:val="00B333CE"/>
    <w:rsid w:val="00B35AA5"/>
    <w:rsid w:val="00B36C98"/>
    <w:rsid w:val="00B37256"/>
    <w:rsid w:val="00B42559"/>
    <w:rsid w:val="00B444B2"/>
    <w:rsid w:val="00B46173"/>
    <w:rsid w:val="00B52462"/>
    <w:rsid w:val="00B525CB"/>
    <w:rsid w:val="00B53388"/>
    <w:rsid w:val="00B53816"/>
    <w:rsid w:val="00B54C59"/>
    <w:rsid w:val="00B55E9C"/>
    <w:rsid w:val="00B56418"/>
    <w:rsid w:val="00B5744B"/>
    <w:rsid w:val="00B61BDD"/>
    <w:rsid w:val="00B61FD8"/>
    <w:rsid w:val="00B624BF"/>
    <w:rsid w:val="00B6341B"/>
    <w:rsid w:val="00B63CB2"/>
    <w:rsid w:val="00B67F3A"/>
    <w:rsid w:val="00B722C9"/>
    <w:rsid w:val="00B72E99"/>
    <w:rsid w:val="00B74072"/>
    <w:rsid w:val="00B76167"/>
    <w:rsid w:val="00B761B6"/>
    <w:rsid w:val="00B775E8"/>
    <w:rsid w:val="00B800BA"/>
    <w:rsid w:val="00B81BD8"/>
    <w:rsid w:val="00B851DC"/>
    <w:rsid w:val="00B86854"/>
    <w:rsid w:val="00B91AD0"/>
    <w:rsid w:val="00B962FF"/>
    <w:rsid w:val="00BA52D6"/>
    <w:rsid w:val="00BA75AD"/>
    <w:rsid w:val="00BA7C60"/>
    <w:rsid w:val="00BB12C4"/>
    <w:rsid w:val="00BB2C01"/>
    <w:rsid w:val="00BB3E2C"/>
    <w:rsid w:val="00BB4773"/>
    <w:rsid w:val="00BB6F85"/>
    <w:rsid w:val="00BC1B41"/>
    <w:rsid w:val="00BC52A5"/>
    <w:rsid w:val="00BC6BDC"/>
    <w:rsid w:val="00BD0D6C"/>
    <w:rsid w:val="00BD1EF0"/>
    <w:rsid w:val="00BD367E"/>
    <w:rsid w:val="00BD422F"/>
    <w:rsid w:val="00BD5F69"/>
    <w:rsid w:val="00BD6ED0"/>
    <w:rsid w:val="00BD78FE"/>
    <w:rsid w:val="00BE03A7"/>
    <w:rsid w:val="00BE0EDB"/>
    <w:rsid w:val="00BE4A79"/>
    <w:rsid w:val="00BF00DE"/>
    <w:rsid w:val="00BF1906"/>
    <w:rsid w:val="00BF46F6"/>
    <w:rsid w:val="00BF4C56"/>
    <w:rsid w:val="00BF624E"/>
    <w:rsid w:val="00C03DC6"/>
    <w:rsid w:val="00C05841"/>
    <w:rsid w:val="00C0658B"/>
    <w:rsid w:val="00C0689F"/>
    <w:rsid w:val="00C07035"/>
    <w:rsid w:val="00C07469"/>
    <w:rsid w:val="00C074B4"/>
    <w:rsid w:val="00C07C55"/>
    <w:rsid w:val="00C172E8"/>
    <w:rsid w:val="00C17D54"/>
    <w:rsid w:val="00C217DB"/>
    <w:rsid w:val="00C22704"/>
    <w:rsid w:val="00C22B69"/>
    <w:rsid w:val="00C343AD"/>
    <w:rsid w:val="00C3521A"/>
    <w:rsid w:val="00C35F7C"/>
    <w:rsid w:val="00C36E40"/>
    <w:rsid w:val="00C371A6"/>
    <w:rsid w:val="00C429B4"/>
    <w:rsid w:val="00C474AC"/>
    <w:rsid w:val="00C5124A"/>
    <w:rsid w:val="00C5128E"/>
    <w:rsid w:val="00C523AA"/>
    <w:rsid w:val="00C5495E"/>
    <w:rsid w:val="00C55E36"/>
    <w:rsid w:val="00C56A09"/>
    <w:rsid w:val="00C56AE4"/>
    <w:rsid w:val="00C60F20"/>
    <w:rsid w:val="00C61A73"/>
    <w:rsid w:val="00C61ED9"/>
    <w:rsid w:val="00C64FD0"/>
    <w:rsid w:val="00C6675D"/>
    <w:rsid w:val="00C6768A"/>
    <w:rsid w:val="00C67FE4"/>
    <w:rsid w:val="00C7160E"/>
    <w:rsid w:val="00C71C51"/>
    <w:rsid w:val="00C77A9F"/>
    <w:rsid w:val="00C8061B"/>
    <w:rsid w:val="00C80C66"/>
    <w:rsid w:val="00C82793"/>
    <w:rsid w:val="00C83A28"/>
    <w:rsid w:val="00C85959"/>
    <w:rsid w:val="00C85EF8"/>
    <w:rsid w:val="00C8714B"/>
    <w:rsid w:val="00C8716A"/>
    <w:rsid w:val="00C914CD"/>
    <w:rsid w:val="00C93A8A"/>
    <w:rsid w:val="00C93E70"/>
    <w:rsid w:val="00C968EC"/>
    <w:rsid w:val="00C97A89"/>
    <w:rsid w:val="00CA14F9"/>
    <w:rsid w:val="00CA3F2F"/>
    <w:rsid w:val="00CA6816"/>
    <w:rsid w:val="00CA7D82"/>
    <w:rsid w:val="00CA7FEF"/>
    <w:rsid w:val="00CB1768"/>
    <w:rsid w:val="00CB1B6B"/>
    <w:rsid w:val="00CC00CD"/>
    <w:rsid w:val="00CC1FBB"/>
    <w:rsid w:val="00CC22E3"/>
    <w:rsid w:val="00CC79DE"/>
    <w:rsid w:val="00CC7FF4"/>
    <w:rsid w:val="00CD0562"/>
    <w:rsid w:val="00CD10EE"/>
    <w:rsid w:val="00CD3ACB"/>
    <w:rsid w:val="00CD5C88"/>
    <w:rsid w:val="00CD6009"/>
    <w:rsid w:val="00CE11B1"/>
    <w:rsid w:val="00CE14B9"/>
    <w:rsid w:val="00CE1F6E"/>
    <w:rsid w:val="00CE352A"/>
    <w:rsid w:val="00CE3995"/>
    <w:rsid w:val="00CE476B"/>
    <w:rsid w:val="00CE675D"/>
    <w:rsid w:val="00CF10C1"/>
    <w:rsid w:val="00CF2489"/>
    <w:rsid w:val="00CF2BDE"/>
    <w:rsid w:val="00CF2E86"/>
    <w:rsid w:val="00CF3EC4"/>
    <w:rsid w:val="00CF415E"/>
    <w:rsid w:val="00CF482F"/>
    <w:rsid w:val="00CF4890"/>
    <w:rsid w:val="00CF54E6"/>
    <w:rsid w:val="00CF62EA"/>
    <w:rsid w:val="00D00015"/>
    <w:rsid w:val="00D10740"/>
    <w:rsid w:val="00D10C4B"/>
    <w:rsid w:val="00D10C4C"/>
    <w:rsid w:val="00D10E69"/>
    <w:rsid w:val="00D117C5"/>
    <w:rsid w:val="00D1627F"/>
    <w:rsid w:val="00D16E39"/>
    <w:rsid w:val="00D22239"/>
    <w:rsid w:val="00D2531F"/>
    <w:rsid w:val="00D259D7"/>
    <w:rsid w:val="00D25C34"/>
    <w:rsid w:val="00D309A0"/>
    <w:rsid w:val="00D31956"/>
    <w:rsid w:val="00D32AF5"/>
    <w:rsid w:val="00D34176"/>
    <w:rsid w:val="00D40843"/>
    <w:rsid w:val="00D41357"/>
    <w:rsid w:val="00D433FD"/>
    <w:rsid w:val="00D44C1E"/>
    <w:rsid w:val="00D45789"/>
    <w:rsid w:val="00D50CDE"/>
    <w:rsid w:val="00D51773"/>
    <w:rsid w:val="00D52F10"/>
    <w:rsid w:val="00D531FA"/>
    <w:rsid w:val="00D55602"/>
    <w:rsid w:val="00D60615"/>
    <w:rsid w:val="00D61C8B"/>
    <w:rsid w:val="00D648B5"/>
    <w:rsid w:val="00D6664E"/>
    <w:rsid w:val="00D721FE"/>
    <w:rsid w:val="00D72E9D"/>
    <w:rsid w:val="00D73D97"/>
    <w:rsid w:val="00D73D9F"/>
    <w:rsid w:val="00D74CDA"/>
    <w:rsid w:val="00D75DF3"/>
    <w:rsid w:val="00D763D4"/>
    <w:rsid w:val="00D76F4F"/>
    <w:rsid w:val="00D77683"/>
    <w:rsid w:val="00D802C1"/>
    <w:rsid w:val="00D8119D"/>
    <w:rsid w:val="00D81907"/>
    <w:rsid w:val="00D82CE5"/>
    <w:rsid w:val="00D851A1"/>
    <w:rsid w:val="00D8775D"/>
    <w:rsid w:val="00D92575"/>
    <w:rsid w:val="00D97C64"/>
    <w:rsid w:val="00DA3E32"/>
    <w:rsid w:val="00DA4606"/>
    <w:rsid w:val="00DA5AB1"/>
    <w:rsid w:val="00DB36AB"/>
    <w:rsid w:val="00DB4C4A"/>
    <w:rsid w:val="00DB5657"/>
    <w:rsid w:val="00DC09FD"/>
    <w:rsid w:val="00DC2432"/>
    <w:rsid w:val="00DC5121"/>
    <w:rsid w:val="00DC5FAA"/>
    <w:rsid w:val="00DC62E5"/>
    <w:rsid w:val="00DD07F7"/>
    <w:rsid w:val="00DD1061"/>
    <w:rsid w:val="00DD20BA"/>
    <w:rsid w:val="00DD38D8"/>
    <w:rsid w:val="00DD4605"/>
    <w:rsid w:val="00DD735D"/>
    <w:rsid w:val="00DE1E1A"/>
    <w:rsid w:val="00DE208B"/>
    <w:rsid w:val="00DE3119"/>
    <w:rsid w:val="00DE60EA"/>
    <w:rsid w:val="00DE6CFD"/>
    <w:rsid w:val="00DF02DC"/>
    <w:rsid w:val="00DF05A6"/>
    <w:rsid w:val="00DF21D4"/>
    <w:rsid w:val="00DF236B"/>
    <w:rsid w:val="00DF248A"/>
    <w:rsid w:val="00DF2D13"/>
    <w:rsid w:val="00DF3046"/>
    <w:rsid w:val="00DF5076"/>
    <w:rsid w:val="00DF5488"/>
    <w:rsid w:val="00E03244"/>
    <w:rsid w:val="00E0587A"/>
    <w:rsid w:val="00E100EC"/>
    <w:rsid w:val="00E115B4"/>
    <w:rsid w:val="00E13AB8"/>
    <w:rsid w:val="00E17F6D"/>
    <w:rsid w:val="00E203DD"/>
    <w:rsid w:val="00E263C3"/>
    <w:rsid w:val="00E27716"/>
    <w:rsid w:val="00E27C85"/>
    <w:rsid w:val="00E315A2"/>
    <w:rsid w:val="00E318E0"/>
    <w:rsid w:val="00E33B62"/>
    <w:rsid w:val="00E357DC"/>
    <w:rsid w:val="00E412B7"/>
    <w:rsid w:val="00E429C9"/>
    <w:rsid w:val="00E4412D"/>
    <w:rsid w:val="00E44E00"/>
    <w:rsid w:val="00E461F1"/>
    <w:rsid w:val="00E46382"/>
    <w:rsid w:val="00E50C37"/>
    <w:rsid w:val="00E51329"/>
    <w:rsid w:val="00E51556"/>
    <w:rsid w:val="00E53964"/>
    <w:rsid w:val="00E554DC"/>
    <w:rsid w:val="00E57323"/>
    <w:rsid w:val="00E57B05"/>
    <w:rsid w:val="00E602F2"/>
    <w:rsid w:val="00E608C9"/>
    <w:rsid w:val="00E62A61"/>
    <w:rsid w:val="00E63AED"/>
    <w:rsid w:val="00E658C9"/>
    <w:rsid w:val="00E65F49"/>
    <w:rsid w:val="00E6610F"/>
    <w:rsid w:val="00E66F51"/>
    <w:rsid w:val="00E67BE3"/>
    <w:rsid w:val="00E7138C"/>
    <w:rsid w:val="00E71A56"/>
    <w:rsid w:val="00E73815"/>
    <w:rsid w:val="00E7595D"/>
    <w:rsid w:val="00E7756F"/>
    <w:rsid w:val="00E77706"/>
    <w:rsid w:val="00E80C82"/>
    <w:rsid w:val="00E82183"/>
    <w:rsid w:val="00E855D9"/>
    <w:rsid w:val="00E903AB"/>
    <w:rsid w:val="00E92199"/>
    <w:rsid w:val="00E93948"/>
    <w:rsid w:val="00E94241"/>
    <w:rsid w:val="00E9535F"/>
    <w:rsid w:val="00E95B00"/>
    <w:rsid w:val="00E96DEA"/>
    <w:rsid w:val="00E97CD5"/>
    <w:rsid w:val="00EA01D9"/>
    <w:rsid w:val="00EA0711"/>
    <w:rsid w:val="00EA1C4C"/>
    <w:rsid w:val="00EA2877"/>
    <w:rsid w:val="00EA405F"/>
    <w:rsid w:val="00EA4E7D"/>
    <w:rsid w:val="00EA6CBF"/>
    <w:rsid w:val="00EA728D"/>
    <w:rsid w:val="00EA76D7"/>
    <w:rsid w:val="00EB0BBE"/>
    <w:rsid w:val="00EB4B69"/>
    <w:rsid w:val="00EB5248"/>
    <w:rsid w:val="00EC5805"/>
    <w:rsid w:val="00EC7366"/>
    <w:rsid w:val="00EC7673"/>
    <w:rsid w:val="00ED1754"/>
    <w:rsid w:val="00ED305A"/>
    <w:rsid w:val="00ED438E"/>
    <w:rsid w:val="00ED676F"/>
    <w:rsid w:val="00ED718F"/>
    <w:rsid w:val="00ED7FE6"/>
    <w:rsid w:val="00EE2BD9"/>
    <w:rsid w:val="00EE7B12"/>
    <w:rsid w:val="00EF1C91"/>
    <w:rsid w:val="00EF5956"/>
    <w:rsid w:val="00EF7BAE"/>
    <w:rsid w:val="00F0190D"/>
    <w:rsid w:val="00F046A7"/>
    <w:rsid w:val="00F05293"/>
    <w:rsid w:val="00F055FA"/>
    <w:rsid w:val="00F06B82"/>
    <w:rsid w:val="00F070FE"/>
    <w:rsid w:val="00F10D45"/>
    <w:rsid w:val="00F13A3B"/>
    <w:rsid w:val="00F14031"/>
    <w:rsid w:val="00F157F7"/>
    <w:rsid w:val="00F163C8"/>
    <w:rsid w:val="00F22044"/>
    <w:rsid w:val="00F22827"/>
    <w:rsid w:val="00F30541"/>
    <w:rsid w:val="00F3057D"/>
    <w:rsid w:val="00F30772"/>
    <w:rsid w:val="00F3098F"/>
    <w:rsid w:val="00F30B95"/>
    <w:rsid w:val="00F33293"/>
    <w:rsid w:val="00F341A0"/>
    <w:rsid w:val="00F36A58"/>
    <w:rsid w:val="00F41499"/>
    <w:rsid w:val="00F4285A"/>
    <w:rsid w:val="00F444A4"/>
    <w:rsid w:val="00F45FE4"/>
    <w:rsid w:val="00F53A3E"/>
    <w:rsid w:val="00F55644"/>
    <w:rsid w:val="00F57426"/>
    <w:rsid w:val="00F6121F"/>
    <w:rsid w:val="00F61462"/>
    <w:rsid w:val="00F61483"/>
    <w:rsid w:val="00F617C8"/>
    <w:rsid w:val="00F61BBD"/>
    <w:rsid w:val="00F63CCC"/>
    <w:rsid w:val="00F64252"/>
    <w:rsid w:val="00F65E96"/>
    <w:rsid w:val="00F6642D"/>
    <w:rsid w:val="00F67D6E"/>
    <w:rsid w:val="00F70C89"/>
    <w:rsid w:val="00F710AE"/>
    <w:rsid w:val="00F74D1D"/>
    <w:rsid w:val="00F75297"/>
    <w:rsid w:val="00F77B02"/>
    <w:rsid w:val="00F80272"/>
    <w:rsid w:val="00F83681"/>
    <w:rsid w:val="00F8436F"/>
    <w:rsid w:val="00F84899"/>
    <w:rsid w:val="00F84C2E"/>
    <w:rsid w:val="00F859F0"/>
    <w:rsid w:val="00F9050C"/>
    <w:rsid w:val="00F908C1"/>
    <w:rsid w:val="00F913B5"/>
    <w:rsid w:val="00F96760"/>
    <w:rsid w:val="00F97396"/>
    <w:rsid w:val="00F974BA"/>
    <w:rsid w:val="00FA128B"/>
    <w:rsid w:val="00FA1EB2"/>
    <w:rsid w:val="00FA2D53"/>
    <w:rsid w:val="00FA4AE4"/>
    <w:rsid w:val="00FA4D0C"/>
    <w:rsid w:val="00FA6E00"/>
    <w:rsid w:val="00FA7208"/>
    <w:rsid w:val="00FA7689"/>
    <w:rsid w:val="00FA7D4C"/>
    <w:rsid w:val="00FB2490"/>
    <w:rsid w:val="00FB289E"/>
    <w:rsid w:val="00FB46F8"/>
    <w:rsid w:val="00FB4DBF"/>
    <w:rsid w:val="00FB52A0"/>
    <w:rsid w:val="00FC0CF3"/>
    <w:rsid w:val="00FC180A"/>
    <w:rsid w:val="00FC4013"/>
    <w:rsid w:val="00FC750B"/>
    <w:rsid w:val="00FD22AE"/>
    <w:rsid w:val="00FD4DE7"/>
    <w:rsid w:val="00FD6AF5"/>
    <w:rsid w:val="00FD71FF"/>
    <w:rsid w:val="00FE141E"/>
    <w:rsid w:val="00FE1991"/>
    <w:rsid w:val="00FE2E07"/>
    <w:rsid w:val="00FE5042"/>
    <w:rsid w:val="00FE6583"/>
    <w:rsid w:val="00FE6C03"/>
    <w:rsid w:val="00FF3E2C"/>
    <w:rsid w:val="00FF4936"/>
    <w:rsid w:val="00FF4BB8"/>
    <w:rsid w:val="00FF4FDD"/>
    <w:rsid w:val="00FF51FE"/>
    <w:rsid w:val="00FF5580"/>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Re"/>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541DD0"/>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DD38D8"/>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361BB8"/>
    <w:rPr>
      <w:rFonts w:ascii="Arial" w:eastAsia="Arial" w:hAnsi="Arial" w:cs="Arial"/>
      <w:b/>
      <w:bCs/>
      <w:lang w:val="es-ES"/>
    </w:rPr>
  </w:style>
  <w:style w:type="character" w:customStyle="1" w:styleId="normaltextrun">
    <w:name w:val="normaltextrun"/>
    <w:basedOn w:val="Fuentedeprrafopredeter"/>
    <w:rsid w:val="000B5754"/>
  </w:style>
  <w:style w:type="paragraph" w:customStyle="1" w:styleId="InviasNormal">
    <w:name w:val="Invias Normal"/>
    <w:basedOn w:val="Normal"/>
    <w:link w:val="InviasNormalCar"/>
    <w:qFormat/>
    <w:rsid w:val="00DF5076"/>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DF5076"/>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F97396"/>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F97396"/>
    <w:rPr>
      <w:rFonts w:ascii="Arial Narrow" w:eastAsia="Times New Roman" w:hAnsi="Arial Narrow" w:cs="Times New Roman"/>
      <w:sz w:val="24"/>
      <w:szCs w:val="24"/>
      <w:lang w:val="en-US" w:eastAsia="es-ES"/>
    </w:rPr>
  </w:style>
  <w:style w:type="paragraph" w:customStyle="1" w:styleId="Car1">
    <w:name w:val="Car1"/>
    <w:basedOn w:val="Normal"/>
    <w:next w:val="Textonotapie"/>
    <w:uiPriority w:val="99"/>
    <w:unhideWhenUsed/>
    <w:qFormat/>
    <w:rsid w:val="002B4EBC"/>
    <w:rPr>
      <w:noProof/>
      <w:sz w:val="20"/>
      <w:szCs w:val="20"/>
    </w:rPr>
  </w:style>
  <w:style w:type="paragraph" w:customStyle="1" w:styleId="xmsonospacing">
    <w:name w:val="x_msonospacing"/>
    <w:basedOn w:val="Normal"/>
    <w:rsid w:val="00D55602"/>
    <w:pPr>
      <w:spacing w:before="100" w:beforeAutospacing="1" w:after="100" w:afterAutospacing="1"/>
    </w:pPr>
    <w:rPr>
      <w:rFonts w:ascii="Times New Roman" w:eastAsia="Times New Roman" w:hAnsi="Times New Roman" w:cs="Times New Roman"/>
      <w:szCs w:val="24"/>
      <w:lang w:val="es-CO" w:eastAsia="es-MX"/>
    </w:rPr>
  </w:style>
  <w:style w:type="table" w:customStyle="1" w:styleId="Tablaconcuadrcula1">
    <w:name w:val="Tabla con cuadrícula1"/>
    <w:basedOn w:val="Tablanormal"/>
    <w:next w:val="Tablaconcuadrcula"/>
    <w:uiPriority w:val="59"/>
    <w:rsid w:val="004B29A8"/>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4B2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5127589">
      <w:bodyDiv w:val="1"/>
      <w:marLeft w:val="0"/>
      <w:marRight w:val="0"/>
      <w:marTop w:val="0"/>
      <w:marBottom w:val="0"/>
      <w:divBdr>
        <w:top w:val="none" w:sz="0" w:space="0" w:color="auto"/>
        <w:left w:val="none" w:sz="0" w:space="0" w:color="auto"/>
        <w:bottom w:val="none" w:sz="0" w:space="0" w:color="auto"/>
        <w:right w:val="none" w:sz="0" w:space="0" w:color="auto"/>
      </w:divBdr>
    </w:div>
    <w:div w:id="177039983">
      <w:bodyDiv w:val="1"/>
      <w:marLeft w:val="0"/>
      <w:marRight w:val="0"/>
      <w:marTop w:val="0"/>
      <w:marBottom w:val="0"/>
      <w:divBdr>
        <w:top w:val="none" w:sz="0" w:space="0" w:color="auto"/>
        <w:left w:val="none" w:sz="0" w:space="0" w:color="auto"/>
        <w:bottom w:val="none" w:sz="0" w:space="0" w:color="auto"/>
        <w:right w:val="none" w:sz="0" w:space="0" w:color="auto"/>
      </w:divBdr>
    </w:div>
    <w:div w:id="21019573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71923447">
      <w:bodyDiv w:val="1"/>
      <w:marLeft w:val="0"/>
      <w:marRight w:val="0"/>
      <w:marTop w:val="0"/>
      <w:marBottom w:val="0"/>
      <w:divBdr>
        <w:top w:val="none" w:sz="0" w:space="0" w:color="auto"/>
        <w:left w:val="none" w:sz="0" w:space="0" w:color="auto"/>
        <w:bottom w:val="none" w:sz="0" w:space="0" w:color="auto"/>
        <w:right w:val="none" w:sz="0" w:space="0" w:color="auto"/>
      </w:divBdr>
    </w:div>
    <w:div w:id="614336090">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847450371">
      <w:bodyDiv w:val="1"/>
      <w:marLeft w:val="0"/>
      <w:marRight w:val="0"/>
      <w:marTop w:val="0"/>
      <w:marBottom w:val="0"/>
      <w:divBdr>
        <w:top w:val="none" w:sz="0" w:space="0" w:color="auto"/>
        <w:left w:val="none" w:sz="0" w:space="0" w:color="auto"/>
        <w:bottom w:val="none" w:sz="0" w:space="0" w:color="auto"/>
        <w:right w:val="none" w:sz="0" w:space="0" w:color="auto"/>
      </w:divBdr>
    </w:div>
    <w:div w:id="1020203048">
      <w:bodyDiv w:val="1"/>
      <w:marLeft w:val="0"/>
      <w:marRight w:val="0"/>
      <w:marTop w:val="0"/>
      <w:marBottom w:val="0"/>
      <w:divBdr>
        <w:top w:val="none" w:sz="0" w:space="0" w:color="auto"/>
        <w:left w:val="none" w:sz="0" w:space="0" w:color="auto"/>
        <w:bottom w:val="none" w:sz="0" w:space="0" w:color="auto"/>
        <w:right w:val="none" w:sz="0" w:space="0" w:color="auto"/>
      </w:divBdr>
    </w:div>
    <w:div w:id="1089036503">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313217510">
      <w:bodyDiv w:val="1"/>
      <w:marLeft w:val="0"/>
      <w:marRight w:val="0"/>
      <w:marTop w:val="0"/>
      <w:marBottom w:val="0"/>
      <w:divBdr>
        <w:top w:val="none" w:sz="0" w:space="0" w:color="auto"/>
        <w:left w:val="none" w:sz="0" w:space="0" w:color="auto"/>
        <w:bottom w:val="none" w:sz="0" w:space="0" w:color="auto"/>
        <w:right w:val="none" w:sz="0" w:space="0" w:color="auto"/>
      </w:divBdr>
    </w:div>
    <w:div w:id="1425148738">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1715109066">
      <w:bodyDiv w:val="1"/>
      <w:marLeft w:val="0"/>
      <w:marRight w:val="0"/>
      <w:marTop w:val="0"/>
      <w:marBottom w:val="0"/>
      <w:divBdr>
        <w:top w:val="none" w:sz="0" w:space="0" w:color="auto"/>
        <w:left w:val="none" w:sz="0" w:space="0" w:color="auto"/>
        <w:bottom w:val="none" w:sz="0" w:space="0" w:color="auto"/>
        <w:right w:val="none" w:sz="0" w:space="0" w:color="auto"/>
      </w:divBdr>
    </w:div>
    <w:div w:id="1807821409">
      <w:bodyDiv w:val="1"/>
      <w:marLeft w:val="0"/>
      <w:marRight w:val="0"/>
      <w:marTop w:val="0"/>
      <w:marBottom w:val="0"/>
      <w:divBdr>
        <w:top w:val="none" w:sz="0" w:space="0" w:color="auto"/>
        <w:left w:val="none" w:sz="0" w:space="0" w:color="auto"/>
        <w:bottom w:val="none" w:sz="0" w:space="0" w:color="auto"/>
        <w:right w:val="none" w:sz="0" w:space="0" w:color="auto"/>
      </w:divBdr>
    </w:div>
    <w:div w:id="1824347581">
      <w:bodyDiv w:val="1"/>
      <w:marLeft w:val="0"/>
      <w:marRight w:val="0"/>
      <w:marTop w:val="0"/>
      <w:marBottom w:val="0"/>
      <w:divBdr>
        <w:top w:val="none" w:sz="0" w:space="0" w:color="auto"/>
        <w:left w:val="none" w:sz="0" w:space="0" w:color="auto"/>
        <w:bottom w:val="none" w:sz="0" w:space="0" w:color="auto"/>
        <w:right w:val="none" w:sz="0" w:space="0" w:color="auto"/>
      </w:divBdr>
    </w:div>
    <w:div w:id="1833525111">
      <w:bodyDiv w:val="1"/>
      <w:marLeft w:val="0"/>
      <w:marRight w:val="0"/>
      <w:marTop w:val="0"/>
      <w:marBottom w:val="0"/>
      <w:divBdr>
        <w:top w:val="none" w:sz="0" w:space="0" w:color="auto"/>
        <w:left w:val="none" w:sz="0" w:space="0" w:color="auto"/>
        <w:bottom w:val="none" w:sz="0" w:space="0" w:color="auto"/>
        <w:right w:val="none" w:sz="0" w:space="0" w:color="auto"/>
      </w:divBdr>
      <w:divsChild>
        <w:div w:id="186606538">
          <w:marLeft w:val="0"/>
          <w:marRight w:val="0"/>
          <w:marTop w:val="0"/>
          <w:marBottom w:val="0"/>
          <w:divBdr>
            <w:top w:val="none" w:sz="0" w:space="0" w:color="auto"/>
            <w:left w:val="none" w:sz="0" w:space="0" w:color="auto"/>
            <w:bottom w:val="none" w:sz="0" w:space="0" w:color="auto"/>
            <w:right w:val="none" w:sz="0" w:space="0" w:color="auto"/>
          </w:divBdr>
          <w:divsChild>
            <w:div w:id="1528372486">
              <w:marLeft w:val="0"/>
              <w:marRight w:val="0"/>
              <w:marTop w:val="0"/>
              <w:marBottom w:val="0"/>
              <w:divBdr>
                <w:top w:val="none" w:sz="0" w:space="0" w:color="auto"/>
                <w:left w:val="none" w:sz="0" w:space="0" w:color="auto"/>
                <w:bottom w:val="none" w:sz="0" w:space="0" w:color="auto"/>
                <w:right w:val="none" w:sz="0" w:space="0" w:color="auto"/>
              </w:divBdr>
              <w:divsChild>
                <w:div w:id="16120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3517">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9">
          <w:marLeft w:val="0"/>
          <w:marRight w:val="0"/>
          <w:marTop w:val="0"/>
          <w:marBottom w:val="0"/>
          <w:divBdr>
            <w:top w:val="none" w:sz="0" w:space="0" w:color="auto"/>
            <w:left w:val="none" w:sz="0" w:space="0" w:color="auto"/>
            <w:bottom w:val="none" w:sz="0" w:space="0" w:color="auto"/>
            <w:right w:val="none" w:sz="0" w:space="0" w:color="auto"/>
          </w:divBdr>
        </w:div>
        <w:div w:id="1168211000">
          <w:marLeft w:val="0"/>
          <w:marRight w:val="0"/>
          <w:marTop w:val="0"/>
          <w:marBottom w:val="0"/>
          <w:divBdr>
            <w:top w:val="none" w:sz="0" w:space="0" w:color="auto"/>
            <w:left w:val="none" w:sz="0" w:space="0" w:color="auto"/>
            <w:bottom w:val="none" w:sz="0" w:space="0" w:color="auto"/>
            <w:right w:val="none" w:sz="0" w:space="0" w:color="auto"/>
          </w:divBdr>
        </w:div>
        <w:div w:id="549194246">
          <w:marLeft w:val="0"/>
          <w:marRight w:val="0"/>
          <w:marTop w:val="0"/>
          <w:marBottom w:val="0"/>
          <w:divBdr>
            <w:top w:val="none" w:sz="0" w:space="0" w:color="auto"/>
            <w:left w:val="none" w:sz="0" w:space="0" w:color="auto"/>
            <w:bottom w:val="none" w:sz="0" w:space="0" w:color="auto"/>
            <w:right w:val="none" w:sz="0" w:space="0" w:color="auto"/>
          </w:divBdr>
        </w:div>
        <w:div w:id="150488438">
          <w:marLeft w:val="0"/>
          <w:marRight w:val="0"/>
          <w:marTop w:val="0"/>
          <w:marBottom w:val="0"/>
          <w:divBdr>
            <w:top w:val="none" w:sz="0" w:space="0" w:color="auto"/>
            <w:left w:val="none" w:sz="0" w:space="0" w:color="auto"/>
            <w:bottom w:val="none" w:sz="0" w:space="0" w:color="auto"/>
            <w:right w:val="none" w:sz="0" w:space="0" w:color="auto"/>
          </w:divBdr>
        </w:div>
        <w:div w:id="1853688882">
          <w:marLeft w:val="0"/>
          <w:marRight w:val="0"/>
          <w:marTop w:val="0"/>
          <w:marBottom w:val="0"/>
          <w:divBdr>
            <w:top w:val="none" w:sz="0" w:space="0" w:color="auto"/>
            <w:left w:val="none" w:sz="0" w:space="0" w:color="auto"/>
            <w:bottom w:val="none" w:sz="0" w:space="0" w:color="auto"/>
            <w:right w:val="none" w:sz="0" w:space="0" w:color="auto"/>
          </w:divBdr>
        </w:div>
        <w:div w:id="1569998106">
          <w:marLeft w:val="0"/>
          <w:marRight w:val="0"/>
          <w:marTop w:val="0"/>
          <w:marBottom w:val="0"/>
          <w:divBdr>
            <w:top w:val="none" w:sz="0" w:space="0" w:color="auto"/>
            <w:left w:val="none" w:sz="0" w:space="0" w:color="auto"/>
            <w:bottom w:val="none" w:sz="0" w:space="0" w:color="auto"/>
            <w:right w:val="none" w:sz="0" w:space="0" w:color="auto"/>
          </w:divBdr>
        </w:div>
        <w:div w:id="166868626">
          <w:marLeft w:val="0"/>
          <w:marRight w:val="0"/>
          <w:marTop w:val="0"/>
          <w:marBottom w:val="0"/>
          <w:divBdr>
            <w:top w:val="none" w:sz="0" w:space="0" w:color="auto"/>
            <w:left w:val="none" w:sz="0" w:space="0" w:color="auto"/>
            <w:bottom w:val="none" w:sz="0" w:space="0" w:color="auto"/>
            <w:right w:val="none" w:sz="0" w:space="0" w:color="auto"/>
          </w:divBdr>
        </w:div>
        <w:div w:id="678851948">
          <w:marLeft w:val="0"/>
          <w:marRight w:val="0"/>
          <w:marTop w:val="0"/>
          <w:marBottom w:val="0"/>
          <w:divBdr>
            <w:top w:val="none" w:sz="0" w:space="0" w:color="auto"/>
            <w:left w:val="none" w:sz="0" w:space="0" w:color="auto"/>
            <w:bottom w:val="none" w:sz="0" w:space="0" w:color="auto"/>
            <w:right w:val="none" w:sz="0" w:space="0" w:color="auto"/>
          </w:divBdr>
        </w:div>
        <w:div w:id="1313682877">
          <w:marLeft w:val="0"/>
          <w:marRight w:val="0"/>
          <w:marTop w:val="0"/>
          <w:marBottom w:val="0"/>
          <w:divBdr>
            <w:top w:val="none" w:sz="0" w:space="0" w:color="auto"/>
            <w:left w:val="none" w:sz="0" w:space="0" w:color="auto"/>
            <w:bottom w:val="none" w:sz="0" w:space="0" w:color="auto"/>
            <w:right w:val="none" w:sz="0" w:space="0" w:color="auto"/>
          </w:divBdr>
        </w:div>
        <w:div w:id="946545131">
          <w:marLeft w:val="0"/>
          <w:marRight w:val="0"/>
          <w:marTop w:val="0"/>
          <w:marBottom w:val="0"/>
          <w:divBdr>
            <w:top w:val="none" w:sz="0" w:space="0" w:color="auto"/>
            <w:left w:val="none" w:sz="0" w:space="0" w:color="auto"/>
            <w:bottom w:val="none" w:sz="0" w:space="0" w:color="auto"/>
            <w:right w:val="none" w:sz="0" w:space="0" w:color="auto"/>
          </w:divBdr>
        </w:div>
        <w:div w:id="1126511496">
          <w:marLeft w:val="0"/>
          <w:marRight w:val="0"/>
          <w:marTop w:val="0"/>
          <w:marBottom w:val="0"/>
          <w:divBdr>
            <w:top w:val="none" w:sz="0" w:space="0" w:color="auto"/>
            <w:left w:val="none" w:sz="0" w:space="0" w:color="auto"/>
            <w:bottom w:val="none" w:sz="0" w:space="0" w:color="auto"/>
            <w:right w:val="none" w:sz="0" w:space="0" w:color="auto"/>
          </w:divBdr>
        </w:div>
      </w:divsChild>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7781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5875836E-BC2C-4FEE-88D0-9711B02DB4B4}">
  <ds:schemaRefs>
    <ds:schemaRef ds:uri="http://schemas.openxmlformats.org/officeDocument/2006/bibliography"/>
  </ds:schemaRefs>
</ds:datastoreItem>
</file>

<file path=customXml/itemProps3.xml><?xml version="1.0" encoding="utf-8"?>
<ds:datastoreItem xmlns:ds="http://schemas.openxmlformats.org/officeDocument/2006/customXml" ds:itemID="{29F5BF1E-F4FB-4B6A-895C-E8402C622362}"/>
</file>

<file path=customXml/itemProps4.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10</TotalTime>
  <Pages>11</Pages>
  <Words>3453</Words>
  <Characters>18992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Diana Fabiola Herrera Hernandez</cp:lastModifiedBy>
  <cp:revision>3</cp:revision>
  <dcterms:created xsi:type="dcterms:W3CDTF">2022-10-22T20:31:00Z</dcterms:created>
  <dcterms:modified xsi:type="dcterms:W3CDTF">2022-10-22T20:40:00Z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