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87A1E" w:rsidR="00AF7AA9" w:rsidP="00AF7AA9" w:rsidRDefault="00AF7AA9" w14:paraId="03118393" w14:textId="77777777">
      <w:pPr>
        <w:jc w:val="both"/>
        <w:rPr>
          <w:rFonts w:ascii="Arial" w:hAnsi="Arial" w:eastAsia="Arial" w:cs="Arial"/>
          <w:b/>
          <w:sz w:val="20"/>
          <w:szCs w:val="20"/>
        </w:rPr>
      </w:pPr>
      <w:bookmarkStart w:name="_Hlk112087139" w:id="0"/>
      <w:bookmarkStart w:name="_Hlk70510939" w:id="1"/>
      <w:bookmarkStart w:name="_Hlk112426900" w:id="2"/>
      <w:r w:rsidRPr="00587A1E">
        <w:rPr>
          <w:rFonts w:ascii="Arial" w:hAnsi="Arial" w:eastAsia="Arial" w:cs="Arial"/>
          <w:b/>
          <w:sz w:val="20"/>
          <w:szCs w:val="20"/>
        </w:rPr>
        <w:t>COLOMBIA COMPRA EFICIENTE – Decreto Ley 4170 de 2011 – Naturaleza jurídica – Objeto</w:t>
      </w:r>
    </w:p>
    <w:p w:rsidRPr="00E96F17" w:rsidR="00AF7AA9" w:rsidP="00AF7AA9" w:rsidRDefault="00AF7AA9" w14:paraId="51F14391" w14:textId="77777777">
      <w:pPr>
        <w:jc w:val="both"/>
        <w:rPr>
          <w:rFonts w:ascii="Arial" w:hAnsi="Arial" w:eastAsia="Arial" w:cs="Arial"/>
          <w:sz w:val="20"/>
          <w:szCs w:val="20"/>
        </w:rPr>
      </w:pPr>
    </w:p>
    <w:p w:rsidRPr="00E96F17" w:rsidR="00AF7AA9" w:rsidP="00AF7AA9" w:rsidRDefault="00AF7AA9" w14:paraId="2FB9EF1D" w14:textId="69E62C47">
      <w:pPr>
        <w:jc w:val="both"/>
        <w:rPr>
          <w:rFonts w:ascii="Arial" w:hAnsi="Arial" w:eastAsia="Arial" w:cs="Arial"/>
          <w:sz w:val="20"/>
          <w:szCs w:val="20"/>
        </w:rPr>
      </w:pPr>
      <w:r w:rsidRPr="00E96F17">
        <w:rPr>
          <w:rFonts w:ascii="Arial" w:hAnsi="Arial" w:eastAsia="Arial" w:cs="Arial"/>
          <w:sz w:val="20"/>
          <w:szCs w:val="20"/>
        </w:rPr>
        <w:t xml:space="preserve">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w:t>
      </w:r>
      <w:r w:rsidR="00640339">
        <w:rPr>
          <w:rFonts w:ascii="Arial" w:hAnsi="Arial" w:eastAsia="Arial" w:cs="Arial"/>
          <w:sz w:val="20"/>
          <w:szCs w:val="20"/>
        </w:rPr>
        <w:t>P</w:t>
      </w:r>
      <w:r w:rsidRPr="00E96F17">
        <w:rPr>
          <w:rFonts w:ascii="Arial" w:hAnsi="Arial" w:eastAsia="Arial" w:cs="Arial"/>
          <w:sz w:val="20"/>
          <w:szCs w:val="20"/>
        </w:rPr>
        <w:t xml:space="preserve">rocesos de </w:t>
      </w:r>
      <w:r w:rsidR="00640339">
        <w:rPr>
          <w:rFonts w:ascii="Arial" w:hAnsi="Arial" w:eastAsia="Arial" w:cs="Arial"/>
          <w:sz w:val="20"/>
          <w:szCs w:val="20"/>
        </w:rPr>
        <w:t>C</w:t>
      </w:r>
      <w:r w:rsidRPr="00E96F17">
        <w:rPr>
          <w:rFonts w:ascii="Arial" w:hAnsi="Arial" w:eastAsia="Arial" w:cs="Arial"/>
          <w:sz w:val="20"/>
          <w:szCs w:val="20"/>
        </w:rPr>
        <w:t xml:space="preserve">ontratación estatal, facultando a la Agencia para «difundir las normas, reglas, procedimientos, medios tecnológicos y mejores prácticas para las compras y la contratación pública», de conformidad con el numeral 10 del artículo 3 del Decreto Ley 4170 de 2011. […] 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w:t>
      </w:r>
    </w:p>
    <w:p w:rsidRPr="00E96F17" w:rsidR="00AF7AA9" w:rsidP="00AF7AA9" w:rsidRDefault="00AF7AA9" w14:paraId="0B17096D" w14:textId="77777777">
      <w:pPr>
        <w:jc w:val="both"/>
        <w:rPr>
          <w:rFonts w:ascii="Arial" w:hAnsi="Arial" w:eastAsia="Arial" w:cs="Arial"/>
          <w:sz w:val="20"/>
          <w:szCs w:val="20"/>
        </w:rPr>
      </w:pPr>
    </w:p>
    <w:p w:rsidRPr="00587A1E" w:rsidR="00AF7AA9" w:rsidP="00AF7AA9" w:rsidRDefault="00AF7AA9" w14:paraId="0DD13E91" w14:textId="46932A47">
      <w:pPr>
        <w:jc w:val="both"/>
        <w:rPr>
          <w:rFonts w:ascii="Arial" w:hAnsi="Arial" w:eastAsia="Arial" w:cs="Arial"/>
          <w:b/>
          <w:sz w:val="20"/>
          <w:szCs w:val="20"/>
        </w:rPr>
      </w:pPr>
      <w:r w:rsidRPr="00587A1E">
        <w:rPr>
          <w:rFonts w:ascii="Arial" w:hAnsi="Arial" w:eastAsia="Arial" w:cs="Arial"/>
          <w:b/>
          <w:sz w:val="20"/>
          <w:szCs w:val="20"/>
        </w:rPr>
        <w:t xml:space="preserve">COLOMBIA COMPRA EFICIENTE – Funciones – Expedición – Guías – Manuales – Circulares – Obligatoriedad </w:t>
      </w:r>
    </w:p>
    <w:p w:rsidRPr="00E96F17" w:rsidR="00AF7AA9" w:rsidP="00AF7AA9" w:rsidRDefault="00AF7AA9" w14:paraId="2F59FB59" w14:textId="77777777">
      <w:pPr>
        <w:jc w:val="both"/>
        <w:rPr>
          <w:rFonts w:ascii="Arial" w:hAnsi="Arial" w:eastAsia="Arial" w:cs="Arial"/>
          <w:sz w:val="20"/>
          <w:szCs w:val="20"/>
        </w:rPr>
      </w:pPr>
    </w:p>
    <w:p w:rsidRPr="00E96F17" w:rsidR="00AF7AA9" w:rsidP="00AF7AA9" w:rsidRDefault="00AF7AA9" w14:paraId="2A0C416D" w14:textId="27880326">
      <w:pPr>
        <w:jc w:val="both"/>
        <w:rPr>
          <w:rFonts w:ascii="Arial" w:hAnsi="Arial" w:eastAsia="Arial" w:cs="Arial"/>
          <w:sz w:val="20"/>
          <w:szCs w:val="20"/>
        </w:rPr>
      </w:pPr>
      <w:r w:rsidRPr="00E96F17">
        <w:rPr>
          <w:rFonts w:ascii="Arial" w:hAnsi="Arial" w:eastAsia="Arial" w:cs="Arial"/>
          <w:sz w:val="20"/>
          <w:szCs w:val="20"/>
        </w:rPr>
        <w:t>En ejercicio de estas competencias conferidas por el Decreto Ley 4170 de 2011, Colombia Compra Eficiente ha expedido Guías, Manuales y Circulares, los cuales pueden ser calificados como herramientas de apoyo a los partícipes de la contratación pública.</w:t>
      </w:r>
    </w:p>
    <w:p w:rsidRPr="00E96F17" w:rsidR="00AF7AA9" w:rsidP="00AF7AA9" w:rsidRDefault="00AF7AA9" w14:paraId="27ED9B14" w14:textId="77777777">
      <w:pPr>
        <w:jc w:val="both"/>
        <w:rPr>
          <w:rFonts w:ascii="Arial" w:hAnsi="Arial" w:eastAsia="Arial" w:cs="Arial"/>
          <w:sz w:val="20"/>
          <w:szCs w:val="20"/>
        </w:rPr>
      </w:pPr>
    </w:p>
    <w:p w:rsidRPr="00E96F17" w:rsidR="00AF7AA9" w:rsidP="00AF7AA9" w:rsidRDefault="00AF7AA9" w14:paraId="76117E35" w14:textId="616312AC">
      <w:pPr>
        <w:jc w:val="both"/>
        <w:rPr>
          <w:rFonts w:ascii="Arial" w:hAnsi="Arial" w:eastAsia="Calibri" w:cs="Arial"/>
          <w:color w:val="000000"/>
          <w:sz w:val="20"/>
          <w:szCs w:val="20"/>
          <w:lang w:val="es-ES_tradnl" w:eastAsia="en-US"/>
        </w:rPr>
      </w:pPr>
      <w:r w:rsidRPr="00E96F17">
        <w:rPr>
          <w:rFonts w:ascii="Arial" w:hAnsi="Arial" w:eastAsia="Calibri" w:cs="Arial"/>
          <w:color w:val="000000"/>
          <w:sz w:val="20"/>
          <w:szCs w:val="20"/>
          <w:lang w:val="es-ES_tradnl" w:eastAsia="en-US"/>
        </w:rPr>
        <w:t>[…]</w:t>
      </w:r>
    </w:p>
    <w:p w:rsidRPr="00E96F17" w:rsidR="00AF7AA9" w:rsidP="00AF7AA9" w:rsidRDefault="00AF7AA9" w14:paraId="30D04A78" w14:textId="77777777">
      <w:pPr>
        <w:jc w:val="both"/>
        <w:rPr>
          <w:rFonts w:ascii="Arial" w:hAnsi="Arial" w:eastAsia="Arial" w:cs="Arial"/>
          <w:sz w:val="20"/>
          <w:szCs w:val="20"/>
        </w:rPr>
      </w:pPr>
    </w:p>
    <w:p w:rsidRPr="00E96F17" w:rsidR="00AF7AA9" w:rsidP="00AF7AA9" w:rsidRDefault="00AF7AA9" w14:paraId="5C19E7EE" w14:textId="490D913E">
      <w:pPr>
        <w:jc w:val="both"/>
        <w:rPr>
          <w:rFonts w:ascii="Arial" w:hAnsi="Arial" w:eastAsia="Arial" w:cs="Arial"/>
          <w:sz w:val="20"/>
          <w:szCs w:val="20"/>
        </w:rPr>
      </w:pPr>
      <w:r w:rsidRPr="00E96F17">
        <w:rPr>
          <w:rFonts w:ascii="Arial" w:hAnsi="Arial" w:eastAsia="Arial" w:cs="Arial"/>
          <w:sz w:val="20"/>
          <w:szCs w:val="20"/>
        </w:rPr>
        <w:t xml:space="preserve">De esta forma, los manuales, guías o circulares frente a los que existe un fundamento normativo de rango legal o reglamentario que da la competencia a Colombia Compra Eficiente para expedirlos fueron declarados ajustados al ordenamiento jurídico y, además, frente a ellos se puede concluir que se trata de </w:t>
      </w:r>
      <w:r w:rsidRPr="00587A1E">
        <w:rPr>
          <w:rFonts w:ascii="Arial" w:hAnsi="Arial" w:eastAsia="Arial" w:cs="Arial"/>
          <w:sz w:val="20"/>
          <w:szCs w:val="20"/>
        </w:rPr>
        <w:t>actos administrativos –incluso reglamentos– de obligatorio cumplimiento para los partícipes de la contratación pública,</w:t>
      </w:r>
      <w:r w:rsidRPr="00E96F17">
        <w:rPr>
          <w:rFonts w:ascii="Arial" w:hAnsi="Arial" w:eastAsia="Arial" w:cs="Arial"/>
          <w:sz w:val="20"/>
          <w:szCs w:val="20"/>
        </w:rPr>
        <w:t xml:space="preserve"> como el </w:t>
      </w:r>
      <w:r w:rsidRPr="002B7B79" w:rsidR="00F311B3">
        <w:rPr>
          <w:rFonts w:ascii="Arial" w:hAnsi="Arial" w:eastAsia="Arial" w:cs="Arial"/>
          <w:sz w:val="20"/>
          <w:szCs w:val="20"/>
        </w:rPr>
        <w:t>M</w:t>
      </w:r>
      <w:r w:rsidRPr="00E96F17">
        <w:rPr>
          <w:rFonts w:ascii="Arial" w:hAnsi="Arial" w:eastAsia="Arial" w:cs="Arial"/>
          <w:sz w:val="20"/>
          <w:szCs w:val="20"/>
        </w:rPr>
        <w:t xml:space="preserve">anual de uso de los </w:t>
      </w:r>
      <w:r w:rsidRPr="00E96F17" w:rsidR="00F311B3">
        <w:rPr>
          <w:rFonts w:ascii="Arial" w:hAnsi="Arial" w:eastAsia="Arial" w:cs="Arial"/>
          <w:sz w:val="20"/>
          <w:szCs w:val="20"/>
        </w:rPr>
        <w:t>A</w:t>
      </w:r>
      <w:r w:rsidRPr="00E96F17">
        <w:rPr>
          <w:rFonts w:ascii="Arial" w:hAnsi="Arial" w:eastAsia="Arial" w:cs="Arial"/>
          <w:sz w:val="20"/>
          <w:szCs w:val="20"/>
        </w:rPr>
        <w:t xml:space="preserve">cuerdos </w:t>
      </w:r>
      <w:r w:rsidRPr="00E96F17" w:rsidR="00F311B3">
        <w:rPr>
          <w:rFonts w:ascii="Arial" w:hAnsi="Arial" w:eastAsia="Arial" w:cs="Arial"/>
          <w:sz w:val="20"/>
          <w:szCs w:val="20"/>
        </w:rPr>
        <w:t>M</w:t>
      </w:r>
      <w:r w:rsidRPr="00E96F17">
        <w:rPr>
          <w:rFonts w:ascii="Arial" w:hAnsi="Arial" w:eastAsia="Arial" w:cs="Arial"/>
          <w:sz w:val="20"/>
          <w:szCs w:val="20"/>
        </w:rPr>
        <w:t xml:space="preserve">arco de </w:t>
      </w:r>
      <w:r w:rsidRPr="00E96F17" w:rsidR="00F94E90">
        <w:rPr>
          <w:rFonts w:ascii="Arial" w:hAnsi="Arial" w:eastAsia="Arial" w:cs="Arial"/>
          <w:sz w:val="20"/>
          <w:szCs w:val="20"/>
        </w:rPr>
        <w:t>P</w:t>
      </w:r>
      <w:r w:rsidRPr="00E96F17">
        <w:rPr>
          <w:rFonts w:ascii="Arial" w:hAnsi="Arial" w:eastAsia="Arial" w:cs="Arial"/>
          <w:sz w:val="20"/>
          <w:szCs w:val="20"/>
        </w:rPr>
        <w:t>recios</w:t>
      </w:r>
      <w:r w:rsidRPr="00587A1E" w:rsidR="00F311B3">
        <w:rPr>
          <w:rFonts w:ascii="Arial" w:hAnsi="Arial" w:eastAsia="Arial" w:cs="Arial"/>
          <w:sz w:val="20"/>
          <w:szCs w:val="20"/>
        </w:rPr>
        <w:t xml:space="preserve"> o </w:t>
      </w:r>
      <w:r w:rsidRPr="00E96F17" w:rsidR="00F311B3">
        <w:rPr>
          <w:rFonts w:ascii="Arial" w:hAnsi="Arial" w:eastAsia="Arial" w:cs="Arial"/>
          <w:sz w:val="20"/>
          <w:szCs w:val="20"/>
        </w:rPr>
        <w:t xml:space="preserve">la </w:t>
      </w:r>
      <w:r w:rsidRPr="00E96F17" w:rsidR="00F94E90">
        <w:rPr>
          <w:rFonts w:ascii="Arial" w:hAnsi="Arial" w:eastAsia="Arial" w:cs="Arial"/>
          <w:sz w:val="20"/>
          <w:szCs w:val="20"/>
        </w:rPr>
        <w:t>G</w:t>
      </w:r>
      <w:r w:rsidRPr="00E96F17" w:rsidR="00F311B3">
        <w:rPr>
          <w:rFonts w:ascii="Arial" w:hAnsi="Arial" w:eastAsia="Arial" w:cs="Arial"/>
          <w:sz w:val="20"/>
          <w:szCs w:val="20"/>
        </w:rPr>
        <w:t xml:space="preserve">uía </w:t>
      </w:r>
      <w:r w:rsidRPr="00E96F17" w:rsidR="00F94E90">
        <w:rPr>
          <w:rFonts w:ascii="Arial" w:hAnsi="Arial" w:eastAsia="Arial" w:cs="Arial"/>
          <w:sz w:val="20"/>
          <w:szCs w:val="20"/>
        </w:rPr>
        <w:t xml:space="preserve">para </w:t>
      </w:r>
      <w:r w:rsidRPr="00E96F17" w:rsidR="00F311B3">
        <w:rPr>
          <w:rFonts w:ascii="Arial" w:hAnsi="Arial" w:eastAsia="Arial" w:cs="Arial"/>
          <w:sz w:val="20"/>
          <w:szCs w:val="20"/>
        </w:rPr>
        <w:t>determi</w:t>
      </w:r>
      <w:r w:rsidRPr="00E96F17" w:rsidR="00F94E90">
        <w:rPr>
          <w:rFonts w:ascii="Arial" w:hAnsi="Arial" w:eastAsia="Arial" w:cs="Arial"/>
          <w:sz w:val="20"/>
          <w:szCs w:val="20"/>
        </w:rPr>
        <w:t xml:space="preserve">nar </w:t>
      </w:r>
      <w:r w:rsidRPr="00E96F17" w:rsidR="00F311B3">
        <w:rPr>
          <w:rFonts w:ascii="Arial" w:hAnsi="Arial" w:eastAsia="Arial" w:cs="Arial"/>
          <w:sz w:val="20"/>
          <w:szCs w:val="20"/>
        </w:rPr>
        <w:t xml:space="preserve">la Capacidad Residual para los contratos de </w:t>
      </w:r>
      <w:r w:rsidRPr="00E96F17" w:rsidR="00F94E90">
        <w:rPr>
          <w:rFonts w:ascii="Arial" w:hAnsi="Arial" w:eastAsia="Arial" w:cs="Arial"/>
          <w:sz w:val="20"/>
          <w:szCs w:val="20"/>
        </w:rPr>
        <w:t>o</w:t>
      </w:r>
      <w:r w:rsidRPr="00E96F17" w:rsidR="00F311B3">
        <w:rPr>
          <w:rFonts w:ascii="Arial" w:hAnsi="Arial" w:eastAsia="Arial" w:cs="Arial"/>
          <w:sz w:val="20"/>
          <w:szCs w:val="20"/>
        </w:rPr>
        <w:t>bra pública</w:t>
      </w:r>
      <w:r w:rsidRPr="00E96F17" w:rsidR="00F94E90">
        <w:rPr>
          <w:rFonts w:ascii="Arial" w:hAnsi="Arial" w:eastAsia="Arial" w:cs="Arial"/>
          <w:sz w:val="20"/>
          <w:szCs w:val="20"/>
        </w:rPr>
        <w:t>.</w:t>
      </w:r>
      <w:r w:rsidRPr="00E96F17">
        <w:rPr>
          <w:rFonts w:ascii="Arial" w:hAnsi="Arial" w:eastAsia="Arial" w:cs="Arial"/>
          <w:sz w:val="20"/>
          <w:szCs w:val="20"/>
        </w:rPr>
        <w:t xml:space="preserve"> Lo contrario ocurre con los manuales, guías o circulares, o contenidos de estos que se expiden sin una competencia legal o reglamentaria, diferente de la genérica contenida en el Decreto Ley 4170 de 2011, que defiera a esta entidad su adopción. Estos instrumentos o herramientas quedan en el ámbito de normas de apoyo y de buenas prácticas para los partícipes del Sistema de Compra Pública, de donde no se puede derivar obligatoriedad.</w:t>
      </w:r>
    </w:p>
    <w:p w:rsidRPr="00587A1E" w:rsidR="00F7557C" w:rsidP="00F7557C" w:rsidRDefault="00F7557C" w14:paraId="423F137B" w14:textId="77777777">
      <w:pPr>
        <w:jc w:val="both"/>
        <w:rPr>
          <w:rFonts w:ascii="Arial" w:hAnsi="Arial" w:eastAsia="Calibri" w:cs="Arial"/>
          <w:b/>
          <w:bCs/>
          <w:sz w:val="20"/>
          <w:szCs w:val="20"/>
          <w:lang w:val="es-ES" w:eastAsia="en-US"/>
        </w:rPr>
      </w:pPr>
    </w:p>
    <w:p w:rsidRPr="00587A1E" w:rsidR="00F7557C" w:rsidP="00F7557C" w:rsidRDefault="00F7557C" w14:paraId="08DB1CA5" w14:textId="4195EA81">
      <w:pPr>
        <w:jc w:val="both"/>
        <w:rPr>
          <w:rFonts w:ascii="Arial" w:hAnsi="Arial" w:eastAsia="Calibri" w:cs="Arial"/>
          <w:b/>
          <w:bCs/>
          <w:sz w:val="20"/>
          <w:szCs w:val="20"/>
          <w:lang w:val="es-ES" w:eastAsia="en-US"/>
        </w:rPr>
      </w:pPr>
      <w:r w:rsidRPr="00587A1E">
        <w:rPr>
          <w:rFonts w:ascii="Arial" w:hAnsi="Arial" w:eastAsia="Calibri" w:cs="Arial"/>
          <w:b/>
          <w:bCs/>
          <w:sz w:val="20"/>
          <w:szCs w:val="20"/>
          <w:lang w:val="es-ES" w:eastAsia="en-US"/>
        </w:rPr>
        <w:t>CAPACIDAD FINANCIERA</w:t>
      </w:r>
      <w:r w:rsidRPr="00587A1E" w:rsidR="00AF7AA9">
        <w:rPr>
          <w:rFonts w:ascii="Arial" w:hAnsi="Arial" w:eastAsia="Calibri" w:cs="Arial"/>
          <w:b/>
          <w:bCs/>
          <w:sz w:val="20"/>
          <w:szCs w:val="20"/>
          <w:lang w:val="es-ES" w:eastAsia="en-US"/>
        </w:rPr>
        <w:t xml:space="preserve"> Y</w:t>
      </w:r>
      <w:r w:rsidRPr="00587A1E">
        <w:rPr>
          <w:rFonts w:ascii="Arial" w:hAnsi="Arial" w:eastAsia="Calibri" w:cs="Arial"/>
          <w:b/>
          <w:bCs/>
          <w:sz w:val="20"/>
          <w:szCs w:val="20"/>
          <w:lang w:val="es-ES" w:eastAsia="en-US"/>
        </w:rPr>
        <w:t xml:space="preserve"> ORGANIZACIONAL – Conceptos – Requisitos habilitantes</w:t>
      </w:r>
    </w:p>
    <w:p w:rsidRPr="00E96F17" w:rsidR="00F7557C" w:rsidP="00F7557C" w:rsidRDefault="00F7557C" w14:paraId="58E699F1" w14:textId="77777777">
      <w:pPr>
        <w:jc w:val="both"/>
        <w:rPr>
          <w:rFonts w:ascii="Arial" w:hAnsi="Arial" w:eastAsia="Calibri" w:cs="Arial"/>
          <w:sz w:val="20"/>
          <w:szCs w:val="20"/>
          <w:lang w:val="es-ES_tradnl" w:eastAsia="en-US"/>
        </w:rPr>
      </w:pPr>
    </w:p>
    <w:p w:rsidRPr="00E96F17" w:rsidR="00F7557C" w:rsidP="00F7557C" w:rsidRDefault="00F7557C" w14:paraId="21AC8EA4" w14:textId="77777777">
      <w:pPr>
        <w:jc w:val="both"/>
        <w:rPr>
          <w:rFonts w:ascii="Arial" w:hAnsi="Arial" w:eastAsia="Calibri" w:cs="Arial"/>
          <w:i/>
          <w:iCs/>
          <w:color w:val="000000"/>
          <w:sz w:val="20"/>
          <w:szCs w:val="20"/>
          <w:lang w:val="es-ES_tradnl" w:eastAsia="en-US"/>
        </w:rPr>
      </w:pPr>
      <w:r w:rsidRPr="00E96F17">
        <w:rPr>
          <w:rFonts w:ascii="Arial" w:hAnsi="Arial" w:eastAsia="Calibri" w:cs="Arial"/>
          <w:color w:val="000000"/>
          <w:sz w:val="20"/>
          <w:szCs w:val="20"/>
          <w:lang w:val="es-MX" w:eastAsia="en-US"/>
        </w:rPr>
        <w:t xml:space="preserve">La capacidad financiera se deriva del comportamiento contable de la empresa, su liquidez y endeudamiento, para determinar que sus recursos y solidez financiera le permita cumplir los compromisos que adquiera. </w:t>
      </w:r>
      <w:r w:rsidRPr="00E96F17">
        <w:rPr>
          <w:rFonts w:ascii="Arial" w:hAnsi="Arial" w:eastAsia="Calibri" w:cs="Arial"/>
          <w:color w:val="000000"/>
          <w:sz w:val="20"/>
          <w:szCs w:val="20"/>
          <w:lang w:val="es-ES_tradnl" w:eastAsia="en-US"/>
        </w:rPr>
        <w:t>Como explica la Agencia Nacional de Contratación Pública – Colombia Compra Eficiente en el «</w:t>
      </w:r>
      <w:r w:rsidRPr="00E96F17">
        <w:rPr>
          <w:rFonts w:ascii="Arial" w:hAnsi="Arial" w:eastAsia="Calibri" w:cs="Arial"/>
          <w:i/>
          <w:iCs/>
          <w:color w:val="000000"/>
          <w:sz w:val="20"/>
          <w:szCs w:val="20"/>
          <w:lang w:val="es-ES_tradnl" w:eastAsia="en-US"/>
        </w:rPr>
        <w:t>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E96F17">
        <w:rPr>
          <w:rFonts w:ascii="Arial" w:hAnsi="Arial" w:eastAsia="Calibri" w:cs="Arial"/>
          <w:color w:val="000000"/>
          <w:sz w:val="20"/>
          <w:szCs w:val="20"/>
          <w:lang w:val="es-ES_tradnl" w:eastAsia="en-US"/>
        </w:rPr>
        <w:t xml:space="preserve"> La capacidad organizacional, por su parte, </w:t>
      </w:r>
      <w:r w:rsidRPr="00E96F17">
        <w:rPr>
          <w:rFonts w:ascii="Arial" w:hAnsi="Arial" w:eastAsia="Calibri" w:cs="Arial"/>
          <w:i/>
          <w:iCs/>
          <w:color w:val="000000"/>
          <w:sz w:val="20"/>
          <w:szCs w:val="20"/>
          <w:lang w:val="es-ES_tradnl" w:eastAsia="en-US"/>
        </w:rPr>
        <w:t xml:space="preserve">«[…] es la aptitud de un proponente para cumplir oportuna y cabalmente el objeto del contrato en función de su </w:t>
      </w:r>
      <w:r w:rsidRPr="00E96F17">
        <w:rPr>
          <w:rFonts w:ascii="Arial" w:hAnsi="Arial" w:eastAsia="Calibri" w:cs="Arial"/>
          <w:i/>
          <w:iCs/>
          <w:color w:val="000000"/>
          <w:sz w:val="20"/>
          <w:szCs w:val="20"/>
          <w:lang w:val="es-ES_tradnl" w:eastAsia="en-US"/>
        </w:rPr>
        <w:lastRenderedPageBreak/>
        <w:t>organización interna. El Decreto 1082 de 2015 definió los indicadores de rentabilidad para medir la capacidad organizacional de un proponente teniendo en cuenta que está bien organizado cuando es rentable».</w:t>
      </w:r>
    </w:p>
    <w:p w:rsidRPr="00E96F17" w:rsidR="00F7557C" w:rsidP="00F7557C" w:rsidRDefault="00F7557C" w14:paraId="73E8E61E" w14:textId="77777777">
      <w:pPr>
        <w:jc w:val="both"/>
        <w:rPr>
          <w:rFonts w:ascii="Arial" w:hAnsi="Arial" w:eastAsia="Calibri" w:cs="Arial"/>
          <w:b/>
          <w:sz w:val="20"/>
          <w:szCs w:val="20"/>
          <w:lang w:val="es-ES_tradnl" w:eastAsia="en-US"/>
        </w:rPr>
      </w:pPr>
    </w:p>
    <w:p w:rsidRPr="00587A1E" w:rsidR="00A00C1F" w:rsidP="00A00C1F" w:rsidRDefault="00AF7AA9" w14:paraId="2DA1F1D5" w14:textId="2ACFD58E">
      <w:pPr>
        <w:jc w:val="both"/>
        <w:rPr>
          <w:rFonts w:ascii="Arial" w:hAnsi="Arial" w:eastAsia="Calibri" w:cs="Arial"/>
          <w:b/>
          <w:color w:val="000000"/>
          <w:sz w:val="20"/>
          <w:szCs w:val="20"/>
          <w:lang w:val="es-ES_tradnl" w:eastAsia="en-US"/>
        </w:rPr>
      </w:pPr>
      <w:r w:rsidRPr="00587A1E">
        <w:rPr>
          <w:rFonts w:ascii="Arial" w:hAnsi="Arial" w:eastAsia="Calibri" w:cs="Arial"/>
          <w:b/>
          <w:color w:val="000000"/>
          <w:sz w:val="20"/>
          <w:szCs w:val="20"/>
          <w:lang w:val="es-ES_tradnl" w:eastAsia="en-US"/>
        </w:rPr>
        <w:t xml:space="preserve">MANUAL PARA DETERMINAR REQUISITOS HABILITANTES </w:t>
      </w:r>
      <w:r w:rsidRPr="00587A1E">
        <w:rPr>
          <w:rFonts w:ascii="Arial" w:hAnsi="Arial" w:eastAsia="Calibri" w:cs="Arial"/>
          <w:b/>
          <w:bCs/>
          <w:sz w:val="20"/>
          <w:szCs w:val="20"/>
          <w:lang w:val="es-ES" w:eastAsia="en-US"/>
        </w:rPr>
        <w:t xml:space="preserve">– Capacidad financiera y organizacional </w:t>
      </w:r>
    </w:p>
    <w:p w:rsidRPr="00587A1E" w:rsidR="00AF7AA9" w:rsidP="00A00C1F" w:rsidRDefault="00AF7AA9" w14:paraId="322605D3" w14:textId="77BA46B7">
      <w:pPr>
        <w:jc w:val="both"/>
        <w:rPr>
          <w:rFonts w:ascii="Arial" w:hAnsi="Arial" w:eastAsia="Calibri" w:cs="Arial"/>
          <w:b/>
          <w:color w:val="000000"/>
          <w:sz w:val="20"/>
          <w:szCs w:val="20"/>
          <w:lang w:val="es-ES_tradnl" w:eastAsia="en-US"/>
        </w:rPr>
      </w:pPr>
    </w:p>
    <w:p w:rsidRPr="00E96F17" w:rsidR="00AF7AA9" w:rsidP="00AF7AA9" w:rsidRDefault="00AF7AA9" w14:paraId="1609E009" w14:textId="3915135E">
      <w:pPr>
        <w:jc w:val="both"/>
        <w:rPr>
          <w:rFonts w:ascii="Arial" w:hAnsi="Arial" w:eastAsia="Calibri" w:cs="Arial"/>
          <w:color w:val="000000"/>
          <w:sz w:val="20"/>
          <w:szCs w:val="20"/>
          <w:lang w:val="es-ES_tradnl" w:eastAsia="en-US"/>
        </w:rPr>
      </w:pPr>
      <w:r w:rsidRPr="00E96F17">
        <w:rPr>
          <w:rFonts w:ascii="Arial" w:hAnsi="Arial" w:eastAsia="Calibri" w:cs="Arial"/>
          <w:color w:val="000000"/>
          <w:sz w:val="20"/>
          <w:szCs w:val="20"/>
          <w:lang w:val="es-ES_tradnl" w:eastAsia="en-US"/>
        </w:rPr>
        <w:t xml:space="preserve">Sobre la capacidad financiera, como requisito habilitante, el Manual señala que sus indicadores deben establecerse de acuerdo con el estudio del sector que le permitió a la entidad conocer cómo se debe ejecutar el objeto contractual, y que es necesario analizar cada fórmula para que la interpretación no sea operativa, sino que su aplicación se base en el entendimiento del resultado y sus implicaciones para el procedimiento contractual. Igualmente, la capacidad organizacional se mide mediante los siguientes indicadores: i) rentabilidad del patrimonio y ii) rentabilidad del activo. Sus resultados deben interpretarse observando el riesgo que un indicador alto o bajo representa para el procedimiento. Por ende, la entidad debe establecer unos límites dentro de los cuales se garantice que el proponente pueda cumplir el contrato en caso de celebrarlo. No obstante, las </w:t>
      </w:r>
      <w:r w:rsidR="00333E77">
        <w:rPr>
          <w:rFonts w:ascii="Arial" w:hAnsi="Arial" w:eastAsia="Calibri" w:cs="Arial"/>
          <w:color w:val="000000"/>
          <w:sz w:val="20"/>
          <w:szCs w:val="20"/>
          <w:lang w:val="es-ES_tradnl" w:eastAsia="en-US"/>
        </w:rPr>
        <w:t>E</w:t>
      </w:r>
      <w:r w:rsidRPr="00E96F17">
        <w:rPr>
          <w:rFonts w:ascii="Arial" w:hAnsi="Arial" w:eastAsia="Calibri" w:cs="Arial"/>
          <w:color w:val="000000"/>
          <w:sz w:val="20"/>
          <w:szCs w:val="20"/>
          <w:lang w:val="es-ES_tradnl" w:eastAsia="en-US"/>
        </w:rPr>
        <w:t xml:space="preserve">ntidades </w:t>
      </w:r>
      <w:r w:rsidR="00333E77">
        <w:rPr>
          <w:rFonts w:ascii="Arial" w:hAnsi="Arial" w:eastAsia="Calibri" w:cs="Arial"/>
          <w:color w:val="000000"/>
          <w:sz w:val="20"/>
          <w:szCs w:val="20"/>
          <w:lang w:val="es-ES_tradnl" w:eastAsia="en-US"/>
        </w:rPr>
        <w:t>E</w:t>
      </w:r>
      <w:r w:rsidRPr="00E96F17">
        <w:rPr>
          <w:rFonts w:ascii="Arial" w:hAnsi="Arial" w:eastAsia="Calibri" w:cs="Arial"/>
          <w:color w:val="000000"/>
          <w:sz w:val="20"/>
          <w:szCs w:val="20"/>
          <w:lang w:val="es-ES_tradnl" w:eastAsia="en-US"/>
        </w:rPr>
        <w:t>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p>
    <w:p w:rsidRPr="00587A1E" w:rsidR="00AF7AA9" w:rsidP="00A00C1F" w:rsidRDefault="00AF7AA9" w14:paraId="2CDD4494" w14:textId="024072B2">
      <w:pPr>
        <w:jc w:val="both"/>
        <w:rPr>
          <w:rFonts w:ascii="Arial" w:hAnsi="Arial" w:eastAsia="Calibri" w:cs="Arial"/>
          <w:bCs/>
          <w:color w:val="000000"/>
          <w:sz w:val="20"/>
          <w:szCs w:val="20"/>
          <w:lang w:eastAsia="en-US"/>
        </w:rPr>
      </w:pPr>
    </w:p>
    <w:p w:rsidRPr="00587A1E" w:rsidR="00AF7AA9" w:rsidP="00AF7AA9" w:rsidRDefault="00AF7AA9" w14:paraId="72A851D7" w14:textId="22CE599E">
      <w:pPr>
        <w:jc w:val="both"/>
        <w:rPr>
          <w:rFonts w:ascii="Arial" w:hAnsi="Arial" w:eastAsia="Calibri" w:cs="Arial"/>
          <w:b/>
          <w:color w:val="000000"/>
          <w:sz w:val="20"/>
          <w:szCs w:val="20"/>
          <w:lang w:val="es-ES_tradnl" w:eastAsia="en-US"/>
        </w:rPr>
      </w:pPr>
      <w:r w:rsidRPr="00587A1E">
        <w:rPr>
          <w:rFonts w:ascii="Arial" w:hAnsi="Arial" w:eastAsia="Calibri" w:cs="Arial"/>
          <w:b/>
          <w:color w:val="000000"/>
          <w:sz w:val="20"/>
          <w:szCs w:val="20"/>
          <w:lang w:val="es-ES_tradnl" w:eastAsia="en-US"/>
        </w:rPr>
        <w:t xml:space="preserve">PROPONENTES PLURALES </w:t>
      </w:r>
      <w:r w:rsidRPr="00587A1E">
        <w:rPr>
          <w:rFonts w:ascii="Arial" w:hAnsi="Arial" w:eastAsia="Calibri" w:cs="Arial"/>
          <w:b/>
          <w:bCs/>
          <w:sz w:val="20"/>
          <w:szCs w:val="20"/>
          <w:lang w:val="es-ES" w:eastAsia="en-US"/>
        </w:rPr>
        <w:t>– Capacidad financiera y organizacional – C</w:t>
      </w:r>
      <w:r w:rsidRPr="00587A1E" w:rsidR="00DD68E7">
        <w:rPr>
          <w:rFonts w:ascii="Arial" w:hAnsi="Arial" w:eastAsia="Calibri" w:cs="Arial"/>
          <w:b/>
          <w:bCs/>
          <w:sz w:val="20"/>
          <w:szCs w:val="20"/>
          <w:lang w:val="es-ES" w:eastAsia="en-US"/>
        </w:rPr>
        <w:t>á</w:t>
      </w:r>
      <w:r w:rsidRPr="00587A1E">
        <w:rPr>
          <w:rFonts w:ascii="Arial" w:hAnsi="Arial" w:eastAsia="Calibri" w:cs="Arial"/>
          <w:b/>
          <w:bCs/>
          <w:sz w:val="20"/>
          <w:szCs w:val="20"/>
          <w:lang w:val="es-ES" w:eastAsia="en-US"/>
        </w:rPr>
        <w:t xml:space="preserve">lculo – </w:t>
      </w:r>
      <w:r w:rsidRPr="00587A1E" w:rsidR="00DD68E7">
        <w:rPr>
          <w:rFonts w:ascii="Arial" w:hAnsi="Arial" w:eastAsia="Calibri" w:cs="Arial"/>
          <w:b/>
          <w:bCs/>
          <w:sz w:val="20"/>
          <w:szCs w:val="20"/>
          <w:lang w:val="es-ES" w:eastAsia="en-US"/>
        </w:rPr>
        <w:t>Opciones – Manual</w:t>
      </w:r>
    </w:p>
    <w:p w:rsidRPr="00587A1E" w:rsidR="00AF7AA9" w:rsidP="00A00C1F" w:rsidRDefault="00AF7AA9" w14:paraId="2E923C27" w14:textId="77777777">
      <w:pPr>
        <w:jc w:val="both"/>
        <w:rPr>
          <w:rFonts w:ascii="Arial" w:hAnsi="Arial" w:eastAsia="Calibri" w:cs="Arial"/>
          <w:b/>
          <w:color w:val="000000"/>
          <w:sz w:val="20"/>
          <w:szCs w:val="20"/>
          <w:lang w:val="es-ES_tradnl" w:eastAsia="en-US"/>
        </w:rPr>
      </w:pPr>
    </w:p>
    <w:p w:rsidRPr="00E96F17" w:rsidR="00EE792F" w:rsidP="002A460E" w:rsidRDefault="00AF7AA9" w14:paraId="2313B82C" w14:textId="0975F871">
      <w:pPr>
        <w:jc w:val="both"/>
        <w:rPr>
          <w:rFonts w:ascii="Arial" w:hAnsi="Arial" w:eastAsia="Calibri" w:cs="Arial"/>
          <w:color w:val="000000"/>
          <w:sz w:val="20"/>
          <w:szCs w:val="20"/>
          <w:lang w:val="es-ES_tradnl" w:eastAsia="en-US"/>
        </w:rPr>
      </w:pPr>
      <w:r w:rsidRPr="00E96F17">
        <w:rPr>
          <w:rFonts w:ascii="Arial" w:hAnsi="Arial" w:eastAsia="Calibri" w:cs="Arial"/>
          <w:color w:val="000000"/>
          <w:sz w:val="20"/>
          <w:szCs w:val="20"/>
          <w:lang w:val="es-ES_tradnl" w:eastAsia="en-US"/>
        </w:rPr>
        <w:t>En relación con los proponentes plurales, la sección VII del Manual señala que la entidad debe determinar en los documentos del proceso la metodología para calcular los indicadores de los proponentes plurales a partir de la información de cada uno de sus integrantes. De esta manera, es deber de la entidad establecer en los pliegos de condiciones la forma en la cual se calcularán los indicadores de capacidad financiera y organizacional de los proponentes plurales. Para estos efectos, el Manual expone varias opciones que las entidades podrán implementar para el cálculo de dichos indicadores, sin perjuicio de utilizar opciones distintas, pues como se indicó, este Manual es un instrumento de orientación y no es vinculante.</w:t>
      </w:r>
      <w:r w:rsidRPr="00E96F17" w:rsidR="00DD68E7">
        <w:rPr>
          <w:rFonts w:ascii="Arial" w:hAnsi="Arial" w:eastAsia="Calibri" w:cs="Arial"/>
          <w:color w:val="000000"/>
          <w:sz w:val="20"/>
          <w:szCs w:val="20"/>
          <w:lang w:val="es-ES_tradnl" w:eastAsia="en-US"/>
        </w:rPr>
        <w:t xml:space="preserve"> […]</w:t>
      </w:r>
      <w:r w:rsidRPr="00E96F17">
        <w:rPr>
          <w:rFonts w:ascii="Arial" w:hAnsi="Arial" w:eastAsia="Calibri" w:cs="Arial"/>
          <w:color w:val="000000"/>
          <w:sz w:val="20"/>
          <w:szCs w:val="20"/>
          <w:lang w:val="es-ES_tradnl" w:eastAsia="en-US"/>
        </w:rPr>
        <w:t xml:space="preserve"> </w:t>
      </w:r>
      <w:r w:rsidRPr="00E96F17" w:rsidR="00DD68E7">
        <w:rPr>
          <w:rFonts w:ascii="Arial" w:hAnsi="Arial" w:eastAsia="Calibri" w:cs="Arial"/>
          <w:color w:val="000000"/>
          <w:sz w:val="20"/>
          <w:szCs w:val="20"/>
          <w:lang w:eastAsia="en-US"/>
        </w:rPr>
        <w:t xml:space="preserve">los ejemplos empleados en el Manual ilustran el cálculo de los indicadores de capacidad financiera de un oferente plural siguiendo las recomendaciones expuestas de acuerdo con las opciones señaladas en dicho Manual. Sin embargo, la aplicación de estas fórmulas no puede </w:t>
      </w:r>
      <w:r w:rsidRPr="00E96F17" w:rsidR="00DD68E7">
        <w:rPr>
          <w:rFonts w:ascii="Arial" w:hAnsi="Arial" w:eastAsia="Calibri" w:cs="Arial"/>
          <w:color w:val="000000"/>
          <w:sz w:val="20"/>
          <w:szCs w:val="20"/>
          <w:lang w:val="es-ES_tradnl" w:eastAsia="en-US"/>
        </w:rPr>
        <w:t>hacerse de manera mecánica</w:t>
      </w:r>
      <w:r w:rsidRPr="00E96F17" w:rsidR="00DD68E7">
        <w:rPr>
          <w:rFonts w:ascii="Arial" w:hAnsi="Arial" w:eastAsia="Calibri" w:cs="Arial"/>
          <w:color w:val="000000"/>
          <w:sz w:val="20"/>
          <w:szCs w:val="20"/>
          <w:lang w:eastAsia="en-US"/>
        </w:rPr>
        <w:t xml:space="preserve"> sino que su implementación debe basarse en el entendimiento del resultado y sus implicaciones para el procedimiento contractual conforme con las particularidades de cada caso. Además, se reitera que este Manual no es de obligatoria aplicación por la entidades, las cuales son autónomas para requerir la capacidad financiera y la capacidad organizacional necesaria de acuerdo con el objeto contractual que se pretende satisfacer y están el libertad de determinar la forma en la cual se calculará estos requisitos para los proponente plurales. </w:t>
      </w:r>
      <w:bookmarkEnd w:id="0"/>
    </w:p>
    <w:p w:rsidR="00EE792F" w:rsidP="00EE792F" w:rsidRDefault="00EE792F" w14:paraId="51287E17" w14:textId="71130B19">
      <w:pPr>
        <w:jc w:val="both"/>
        <w:rPr>
          <w:rFonts w:ascii="Arial" w:hAnsi="Arial" w:eastAsia="Calibri" w:cs="Arial"/>
          <w:color w:val="000000"/>
          <w:sz w:val="22"/>
          <w:szCs w:val="22"/>
          <w:lang w:val="es-ES_tradnl" w:eastAsia="es-ES_tradnl"/>
        </w:rPr>
      </w:pPr>
    </w:p>
    <w:p w:rsidR="00E96F17" w:rsidP="00EE792F" w:rsidRDefault="00E96F17" w14:paraId="029DA317" w14:textId="4ADEFD13">
      <w:pPr>
        <w:jc w:val="both"/>
        <w:rPr>
          <w:rFonts w:ascii="Arial" w:hAnsi="Arial" w:eastAsia="Calibri" w:cs="Arial"/>
          <w:color w:val="000000"/>
          <w:sz w:val="22"/>
          <w:szCs w:val="22"/>
          <w:lang w:val="es-ES_tradnl" w:eastAsia="es-ES_tradnl"/>
        </w:rPr>
      </w:pPr>
    </w:p>
    <w:p w:rsidR="00E96F17" w:rsidP="00EE792F" w:rsidRDefault="00E96F17" w14:paraId="679FA9D3" w14:textId="76DAAC5C">
      <w:pPr>
        <w:jc w:val="both"/>
        <w:rPr>
          <w:rFonts w:ascii="Arial" w:hAnsi="Arial" w:eastAsia="Calibri" w:cs="Arial"/>
          <w:color w:val="000000"/>
          <w:sz w:val="22"/>
          <w:szCs w:val="22"/>
          <w:lang w:val="es-ES_tradnl" w:eastAsia="es-ES_tradnl"/>
        </w:rPr>
      </w:pPr>
    </w:p>
    <w:p w:rsidR="00587A1E" w:rsidP="00EE792F" w:rsidRDefault="00587A1E" w14:paraId="3E1335D1" w14:textId="02046F2B">
      <w:pPr>
        <w:jc w:val="both"/>
        <w:rPr>
          <w:rFonts w:ascii="Arial" w:hAnsi="Arial" w:eastAsia="Calibri" w:cs="Arial"/>
          <w:color w:val="000000"/>
          <w:sz w:val="22"/>
          <w:szCs w:val="22"/>
          <w:lang w:val="es-ES_tradnl" w:eastAsia="es-ES_tradnl"/>
        </w:rPr>
      </w:pPr>
    </w:p>
    <w:p w:rsidR="00587A1E" w:rsidP="00EE792F" w:rsidRDefault="00587A1E" w14:paraId="7F2968BC" w14:textId="77777777">
      <w:pPr>
        <w:jc w:val="both"/>
        <w:rPr>
          <w:rFonts w:ascii="Arial" w:hAnsi="Arial" w:eastAsia="Calibri" w:cs="Arial"/>
          <w:color w:val="000000"/>
          <w:sz w:val="22"/>
          <w:szCs w:val="22"/>
          <w:lang w:val="es-ES_tradnl" w:eastAsia="es-ES_tradnl"/>
        </w:rPr>
      </w:pPr>
    </w:p>
    <w:p w:rsidRPr="00587A1E" w:rsidR="00E96F17" w:rsidP="00EE792F" w:rsidRDefault="00E96F17" w14:paraId="7D6DEB79" w14:textId="77777777">
      <w:pPr>
        <w:jc w:val="both"/>
        <w:rPr>
          <w:rFonts w:ascii="Arial" w:hAnsi="Arial" w:eastAsia="Calibri" w:cs="Arial"/>
          <w:color w:val="000000"/>
          <w:sz w:val="22"/>
          <w:szCs w:val="22"/>
          <w:lang w:val="es-ES_tradnl" w:eastAsia="es-ES_tradnl"/>
        </w:rPr>
      </w:pPr>
    </w:p>
    <w:p w:rsidR="00A96E2D" w:rsidP="00A96E2D" w:rsidRDefault="00A96E2D" w14:paraId="29A137D3" w14:textId="56576126">
      <w:pPr>
        <w:spacing w:line="276" w:lineRule="auto"/>
        <w:jc w:val="right"/>
        <w:rPr>
          <w:rFonts w:ascii="Arial" w:hAnsi="Arial" w:cs="Arial"/>
          <w:noProof/>
          <w:color w:val="000000" w:themeColor="text1"/>
          <w:sz w:val="22"/>
          <w:szCs w:val="22"/>
        </w:rPr>
      </w:pPr>
      <w:r w:rsidRPr="00A96E2D">
        <w:rPr>
          <w:rFonts w:ascii="Arial" w:hAnsi="Arial" w:cs="Arial"/>
          <w:noProof/>
          <w:color w:val="000000" w:themeColor="text1"/>
          <w:sz w:val="22"/>
          <w:szCs w:val="22"/>
        </w:rPr>
        <w:drawing>
          <wp:inline distT="0" distB="0" distL="0" distR="0" wp14:anchorId="6EA8B661" wp14:editId="4F7CCB35">
            <wp:extent cx="2590800" cy="8477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847725"/>
                    </a:xfrm>
                    <a:prstGeom prst="rect">
                      <a:avLst/>
                    </a:prstGeom>
                    <a:noFill/>
                    <a:ln>
                      <a:noFill/>
                    </a:ln>
                  </pic:spPr>
                </pic:pic>
              </a:graphicData>
            </a:graphic>
          </wp:inline>
        </w:drawing>
      </w:r>
    </w:p>
    <w:p w:rsidR="00A96E2D" w:rsidP="00EE792F" w:rsidRDefault="00A96E2D" w14:paraId="2327AF6C" w14:textId="77777777">
      <w:pPr>
        <w:spacing w:line="276" w:lineRule="auto"/>
        <w:jc w:val="both"/>
        <w:rPr>
          <w:rFonts w:ascii="Arial" w:hAnsi="Arial" w:cs="Arial"/>
          <w:noProof/>
          <w:color w:val="000000" w:themeColor="text1"/>
          <w:sz w:val="22"/>
          <w:szCs w:val="22"/>
        </w:rPr>
      </w:pPr>
    </w:p>
    <w:p w:rsidRPr="00E96F17" w:rsidR="00EE792F" w:rsidP="00EE792F" w:rsidRDefault="00EE792F" w14:paraId="197A1425" w14:textId="0136820C">
      <w:pPr>
        <w:spacing w:line="276" w:lineRule="auto"/>
        <w:jc w:val="both"/>
        <w:rPr>
          <w:rFonts w:ascii="Arial" w:hAnsi="Arial" w:cs="Arial" w:eastAsiaTheme="minorHAnsi"/>
          <w:b/>
          <w:color w:val="000000" w:themeColor="text1"/>
          <w:sz w:val="22"/>
          <w:szCs w:val="22"/>
        </w:rPr>
      </w:pPr>
      <w:r w:rsidRPr="00E96F17">
        <w:rPr>
          <w:rFonts w:ascii="Arial" w:hAnsi="Arial" w:cs="Arial"/>
          <w:noProof/>
          <w:color w:val="000000" w:themeColor="text1"/>
          <w:sz w:val="22"/>
          <w:szCs w:val="22"/>
        </w:rPr>
        <w:t xml:space="preserve">Bogotá D.C., </w:t>
      </w:r>
      <w:r w:rsidR="00A96E2D">
        <w:rPr>
          <w:rFonts w:ascii="Arial" w:hAnsi="Arial" w:cs="Arial"/>
          <w:b/>
          <w:color w:val="000000" w:themeColor="text1"/>
          <w:sz w:val="22"/>
          <w:szCs w:val="22"/>
        </w:rPr>
        <w:t>19 de octubre de 2022</w:t>
      </w:r>
    </w:p>
    <w:p w:rsidRPr="00E96F17" w:rsidR="00EE792F" w:rsidP="002A460E" w:rsidRDefault="00EE792F" w14:paraId="3D156D56" w14:textId="77777777">
      <w:pPr>
        <w:jc w:val="both"/>
        <w:rPr>
          <w:rFonts w:ascii="Arial" w:hAnsi="Arial" w:cs="Arial"/>
          <w:color w:val="161616" w:themeColor="background1" w:themeShade="1A"/>
          <w:sz w:val="22"/>
          <w:szCs w:val="22"/>
          <w:lang w:val="es-ES"/>
        </w:rPr>
      </w:pPr>
    </w:p>
    <w:p w:rsidRPr="00E96F17" w:rsidR="00FD42C8" w:rsidP="002A460E" w:rsidRDefault="00FD42C8" w14:paraId="03F03ECD" w14:textId="77777777">
      <w:pPr>
        <w:jc w:val="both"/>
        <w:rPr>
          <w:rFonts w:ascii="Arial" w:hAnsi="Arial" w:cs="Arial"/>
          <w:color w:val="161616" w:themeColor="background1" w:themeShade="1A"/>
          <w:sz w:val="22"/>
          <w:szCs w:val="22"/>
          <w:lang w:val="es-ES"/>
        </w:rPr>
      </w:pPr>
    </w:p>
    <w:p w:rsidRPr="00587A1E" w:rsidR="00B92052" w:rsidP="00B0182C" w:rsidRDefault="00E54365" w14:paraId="37F8CC19" w14:textId="41157C3E">
      <w:pPr>
        <w:jc w:val="both"/>
        <w:rPr>
          <w:rFonts w:ascii="Arial" w:hAnsi="Arial" w:cs="Arial"/>
          <w:i/>
          <w:iCs/>
          <w:sz w:val="22"/>
          <w:szCs w:val="22"/>
        </w:rPr>
      </w:pPr>
      <w:r w:rsidRPr="00E96F17">
        <w:rPr>
          <w:rFonts w:ascii="Arial" w:hAnsi="Arial" w:cs="Arial"/>
          <w:color w:val="161616" w:themeColor="background1" w:themeShade="1A"/>
          <w:sz w:val="22"/>
          <w:szCs w:val="22"/>
          <w:lang w:val="es-ES"/>
        </w:rPr>
        <w:t>Señor</w:t>
      </w:r>
    </w:p>
    <w:p w:rsidRPr="00E96F17" w:rsidR="00EE792F" w:rsidP="00B0182C" w:rsidRDefault="004C70AA" w14:paraId="5A47427D" w14:textId="0A7A6FE3">
      <w:pPr>
        <w:jc w:val="both"/>
        <w:rPr>
          <w:rFonts w:ascii="Arial" w:hAnsi="Arial" w:cs="Arial"/>
          <w:color w:val="000000" w:themeColor="text1"/>
          <w:sz w:val="22"/>
          <w:szCs w:val="22"/>
        </w:rPr>
      </w:pPr>
      <w:r w:rsidRPr="00E96F17">
        <w:rPr>
          <w:rFonts w:ascii="Arial" w:hAnsi="Arial" w:cs="Arial"/>
          <w:b/>
          <w:bCs/>
          <w:color w:val="000000" w:themeColor="text1"/>
          <w:sz w:val="22"/>
          <w:szCs w:val="22"/>
        </w:rPr>
        <w:t>Hugo A. Mariño Romero</w:t>
      </w:r>
      <w:r w:rsidRPr="00E96F17" w:rsidR="006A4C67">
        <w:rPr>
          <w:rFonts w:ascii="Arial" w:hAnsi="Arial" w:cs="Arial"/>
          <w:b/>
          <w:bCs/>
          <w:color w:val="000000" w:themeColor="text1"/>
          <w:sz w:val="22"/>
          <w:szCs w:val="22"/>
        </w:rPr>
        <w:t xml:space="preserve"> </w:t>
      </w:r>
      <w:r w:rsidRPr="00E96F17" w:rsidR="00A1571D">
        <w:rPr>
          <w:rFonts w:ascii="Arial" w:hAnsi="Arial" w:cs="Arial"/>
          <w:b/>
          <w:bCs/>
          <w:color w:val="000000" w:themeColor="text1"/>
          <w:sz w:val="22"/>
          <w:szCs w:val="22"/>
        </w:rPr>
        <w:t xml:space="preserve"> </w:t>
      </w:r>
    </w:p>
    <w:p w:rsidRPr="00E96F17" w:rsidR="00EE792F" w:rsidP="00B0182C" w:rsidRDefault="00EE792F" w14:paraId="2E73FCC8" w14:textId="5AC0979D">
      <w:pPr>
        <w:jc w:val="both"/>
        <w:rPr>
          <w:rFonts w:ascii="Arial" w:hAnsi="Arial" w:cs="Arial"/>
          <w:color w:val="000000" w:themeColor="text1"/>
          <w:sz w:val="22"/>
          <w:szCs w:val="22"/>
        </w:rPr>
      </w:pPr>
      <w:r w:rsidRPr="00E96F17">
        <w:rPr>
          <w:rFonts w:ascii="Arial" w:hAnsi="Arial" w:cs="Arial"/>
          <w:color w:val="000000" w:themeColor="text1"/>
          <w:sz w:val="22"/>
          <w:szCs w:val="22"/>
        </w:rPr>
        <w:t>Bogotá</w:t>
      </w:r>
      <w:r w:rsidRPr="00E96F17" w:rsidR="00692654">
        <w:rPr>
          <w:rFonts w:ascii="Arial" w:hAnsi="Arial" w:cs="Arial"/>
          <w:color w:val="000000" w:themeColor="text1"/>
          <w:sz w:val="22"/>
          <w:szCs w:val="22"/>
        </w:rPr>
        <w:t xml:space="preserve"> D.C</w:t>
      </w:r>
    </w:p>
    <w:p w:rsidRPr="00E96F17" w:rsidR="00692654" w:rsidP="0081103C" w:rsidRDefault="00692654" w14:paraId="153B79B4" w14:textId="77777777">
      <w:pPr>
        <w:rPr>
          <w:rFonts w:ascii="Arial" w:hAnsi="Arial" w:cs="Arial"/>
          <w:b/>
          <w:bCs/>
          <w:color w:val="161616" w:themeColor="background1" w:themeShade="1A"/>
          <w:sz w:val="22"/>
          <w:szCs w:val="22"/>
          <w:lang w:val="es-ES_tradnl"/>
        </w:rPr>
      </w:pPr>
    </w:p>
    <w:p w:rsidRPr="00E96F17" w:rsidR="00A1571D" w:rsidP="00F06A29" w:rsidRDefault="00A1571D" w14:paraId="74D2A0C7" w14:textId="77777777">
      <w:pPr>
        <w:ind w:left="2124" w:firstLine="708"/>
        <w:rPr>
          <w:rFonts w:ascii="Arial" w:hAnsi="Arial" w:cs="Arial"/>
          <w:b/>
          <w:bCs/>
          <w:color w:val="161616" w:themeColor="background1" w:themeShade="1A"/>
          <w:sz w:val="22"/>
          <w:szCs w:val="22"/>
          <w:lang w:val="es-ES_tradnl"/>
        </w:rPr>
      </w:pPr>
    </w:p>
    <w:p w:rsidRPr="00E96F17" w:rsidR="00E54365" w:rsidP="00F06A29" w:rsidRDefault="00E54365" w14:paraId="17BA6817" w14:textId="051DA2D9">
      <w:pPr>
        <w:ind w:left="2124" w:firstLine="708"/>
        <w:rPr>
          <w:rFonts w:ascii="Arial" w:hAnsi="Arial" w:cs="Arial"/>
          <w:b/>
          <w:bCs/>
          <w:color w:val="161616" w:themeColor="background1" w:themeShade="1A"/>
          <w:sz w:val="22"/>
          <w:szCs w:val="22"/>
          <w:lang w:val="es-ES_tradnl"/>
        </w:rPr>
      </w:pPr>
      <w:r w:rsidRPr="00E96F17">
        <w:rPr>
          <w:rFonts w:ascii="Arial" w:hAnsi="Arial" w:cs="Arial"/>
          <w:b/>
          <w:bCs/>
          <w:color w:val="161616" w:themeColor="background1" w:themeShade="1A"/>
          <w:sz w:val="22"/>
          <w:szCs w:val="22"/>
          <w:lang w:val="es-ES_tradnl"/>
        </w:rPr>
        <w:t>Concepto</w:t>
      </w:r>
      <w:r w:rsidRPr="00E96F17" w:rsidR="006559E3">
        <w:rPr>
          <w:rFonts w:ascii="Arial" w:hAnsi="Arial" w:cs="Arial"/>
          <w:b/>
          <w:bCs/>
          <w:color w:val="161616" w:themeColor="background1" w:themeShade="1A"/>
          <w:sz w:val="22"/>
          <w:szCs w:val="22"/>
          <w:lang w:val="es-ES_tradnl"/>
        </w:rPr>
        <w:t xml:space="preserve"> </w:t>
      </w:r>
      <w:r w:rsidRPr="00E96F17">
        <w:rPr>
          <w:rFonts w:ascii="Arial" w:hAnsi="Arial" w:cs="Arial"/>
          <w:b/>
          <w:bCs/>
          <w:color w:val="161616" w:themeColor="background1" w:themeShade="1A"/>
          <w:sz w:val="22"/>
          <w:szCs w:val="22"/>
          <w:lang w:val="es-ES_tradnl"/>
        </w:rPr>
        <w:t>C</w:t>
      </w:r>
      <w:r w:rsidRPr="00E96F17" w:rsidR="00766A70">
        <w:rPr>
          <w:rFonts w:ascii="Arial" w:hAnsi="Arial" w:cs="Arial"/>
          <w:b/>
          <w:bCs/>
          <w:color w:val="161616" w:themeColor="background1" w:themeShade="1A"/>
          <w:sz w:val="22"/>
          <w:szCs w:val="22"/>
          <w:lang w:val="es-ES_tradnl"/>
        </w:rPr>
        <w:t xml:space="preserve"> </w:t>
      </w:r>
      <w:r w:rsidRPr="00E96F17" w:rsidR="00F301AD">
        <w:rPr>
          <w:rFonts w:ascii="Arial" w:hAnsi="Arial" w:cs="Arial"/>
          <w:b/>
          <w:bCs/>
          <w:color w:val="161616" w:themeColor="background1" w:themeShade="1A"/>
          <w:sz w:val="22"/>
          <w:szCs w:val="22"/>
          <w:lang w:val="es-ES_tradnl"/>
        </w:rPr>
        <w:t>–</w:t>
      </w:r>
      <w:r w:rsidRPr="00E96F17" w:rsidR="00766A70">
        <w:rPr>
          <w:rFonts w:ascii="Arial" w:hAnsi="Arial" w:cs="Arial"/>
          <w:b/>
          <w:bCs/>
          <w:color w:val="161616" w:themeColor="background1" w:themeShade="1A"/>
          <w:sz w:val="22"/>
          <w:szCs w:val="22"/>
          <w:lang w:val="es-ES_tradnl"/>
        </w:rPr>
        <w:t xml:space="preserve"> </w:t>
      </w:r>
      <w:r w:rsidRPr="00E96F17" w:rsidR="007F30C5">
        <w:rPr>
          <w:rFonts w:ascii="Arial" w:hAnsi="Arial" w:cs="Arial"/>
          <w:b/>
          <w:bCs/>
          <w:color w:val="161616" w:themeColor="background1" w:themeShade="1A"/>
          <w:sz w:val="22"/>
          <w:szCs w:val="22"/>
          <w:lang w:val="es-ES_tradnl"/>
        </w:rPr>
        <w:t>6</w:t>
      </w:r>
      <w:r w:rsidRPr="00E96F17" w:rsidR="004C70AA">
        <w:rPr>
          <w:rFonts w:ascii="Arial" w:hAnsi="Arial" w:cs="Arial"/>
          <w:b/>
          <w:bCs/>
          <w:color w:val="161616" w:themeColor="background1" w:themeShade="1A"/>
          <w:sz w:val="22"/>
          <w:szCs w:val="22"/>
          <w:lang w:val="es-ES_tradnl"/>
        </w:rPr>
        <w:t>73</w:t>
      </w:r>
      <w:r w:rsidRPr="00E96F17" w:rsidR="00455438">
        <w:rPr>
          <w:rFonts w:ascii="Arial" w:hAnsi="Arial" w:cs="Arial"/>
          <w:b/>
          <w:bCs/>
          <w:color w:val="161616" w:themeColor="background1" w:themeShade="1A"/>
          <w:sz w:val="22"/>
          <w:szCs w:val="22"/>
          <w:lang w:val="es-ES_tradnl"/>
        </w:rPr>
        <w:t xml:space="preserve"> </w:t>
      </w:r>
      <w:r w:rsidRPr="00E96F17">
        <w:rPr>
          <w:rFonts w:ascii="Arial" w:hAnsi="Arial" w:cs="Arial"/>
          <w:b/>
          <w:bCs/>
          <w:color w:val="161616" w:themeColor="background1" w:themeShade="1A"/>
          <w:sz w:val="22"/>
          <w:szCs w:val="22"/>
          <w:lang w:val="es-ES_tradnl"/>
        </w:rPr>
        <w:t>de 202</w:t>
      </w:r>
      <w:r w:rsidRPr="00E96F17" w:rsidR="00DC02B2">
        <w:rPr>
          <w:rFonts w:ascii="Arial" w:hAnsi="Arial" w:cs="Arial"/>
          <w:b/>
          <w:bCs/>
          <w:color w:val="161616" w:themeColor="background1" w:themeShade="1A"/>
          <w:sz w:val="22"/>
          <w:szCs w:val="22"/>
          <w:lang w:val="es-ES_tradnl"/>
        </w:rPr>
        <w:t>2</w:t>
      </w:r>
    </w:p>
    <w:p w:rsidRPr="00E96F17" w:rsidR="00FE4C26" w:rsidP="00F06A29" w:rsidRDefault="00FE4C26" w14:paraId="3C57C781" w14:textId="77777777">
      <w:pPr>
        <w:ind w:left="2824" w:hanging="2818"/>
        <w:jc w:val="both"/>
        <w:rPr>
          <w:rFonts w:ascii="Arial" w:hAnsi="Arial" w:eastAsia="Calibri" w:cs="Arial"/>
          <w:b/>
          <w:noProof/>
          <w:color w:val="161616" w:themeColor="background1" w:themeShade="1A"/>
          <w:sz w:val="22"/>
          <w:szCs w:val="22"/>
          <w:lang w:val="es-ES_tradnl" w:eastAsia="en-US"/>
        </w:rPr>
      </w:pPr>
    </w:p>
    <w:p w:rsidRPr="00E96F17" w:rsidR="000E561B" w:rsidP="00DD68E7" w:rsidRDefault="00E54365" w14:paraId="6059F3C0" w14:textId="0471EC76">
      <w:pPr>
        <w:ind w:left="2824" w:hanging="2818"/>
        <w:jc w:val="both"/>
        <w:rPr>
          <w:rFonts w:ascii="Arial" w:hAnsi="Arial" w:eastAsia="Calibri" w:cs="Arial"/>
          <w:bCs/>
          <w:noProof/>
          <w:color w:val="161616" w:themeColor="background1" w:themeShade="1A"/>
          <w:sz w:val="22"/>
          <w:szCs w:val="22"/>
          <w:lang w:val="es-ES_tradnl" w:eastAsia="en-US"/>
        </w:rPr>
      </w:pPr>
      <w:r w:rsidRPr="00E96F17">
        <w:rPr>
          <w:rFonts w:ascii="Arial" w:hAnsi="Arial" w:eastAsia="Calibri" w:cs="Arial"/>
          <w:b/>
          <w:noProof/>
          <w:color w:val="161616" w:themeColor="background1" w:themeShade="1A"/>
          <w:sz w:val="22"/>
          <w:szCs w:val="22"/>
          <w:lang w:val="es-ES_tradnl" w:eastAsia="en-US"/>
        </w:rPr>
        <w:t>Temas</w:t>
      </w:r>
      <w:r w:rsidRPr="00E96F17">
        <w:rPr>
          <w:rFonts w:ascii="Arial" w:hAnsi="Arial" w:eastAsia="Calibri" w:cs="Arial"/>
          <w:bCs/>
          <w:noProof/>
          <w:color w:val="161616" w:themeColor="background1" w:themeShade="1A"/>
          <w:sz w:val="22"/>
          <w:szCs w:val="22"/>
          <w:lang w:val="es-ES_tradnl" w:eastAsia="en-US"/>
        </w:rPr>
        <w:t xml:space="preserve">: </w:t>
      </w:r>
      <w:r w:rsidRPr="00E96F17">
        <w:rPr>
          <w:rFonts w:ascii="Arial" w:hAnsi="Arial" w:eastAsia="Calibri" w:cs="Arial"/>
          <w:bCs/>
          <w:noProof/>
          <w:color w:val="161616" w:themeColor="background1" w:themeShade="1A"/>
          <w:sz w:val="22"/>
          <w:szCs w:val="22"/>
          <w:lang w:val="es-ES_tradnl" w:eastAsia="en-US"/>
        </w:rPr>
        <w:tab/>
      </w:r>
      <w:r w:rsidRPr="00E96F17" w:rsidR="00DD68E7">
        <w:rPr>
          <w:rFonts w:ascii="Arial" w:hAnsi="Arial" w:eastAsia="Calibri" w:cs="Arial"/>
          <w:bCs/>
          <w:noProof/>
          <w:color w:val="161616" w:themeColor="background1" w:themeShade="1A"/>
          <w:sz w:val="22"/>
          <w:szCs w:val="22"/>
          <w:lang w:val="es-ES_tradnl" w:eastAsia="en-US"/>
        </w:rPr>
        <w:t>COLOMBIA COMPRA EFICIENTE – Decreto Ley 4170 de 2011 – Naturaleza jurídica – Objeto / COLOMBIA COMPRA EFICIENTE – Funciones – Expedición – Guías – Manuales – Circulares – Obligatoriedad / CAPACIDAD FINANCIERA Y ORGANIZACIONAL – Conceptos – Requisitos habilitantes /</w:t>
      </w:r>
      <w:r w:rsidRPr="00587A1E" w:rsidR="00DD68E7">
        <w:rPr>
          <w:rFonts w:ascii="Arial" w:hAnsi="Arial" w:cs="Arial"/>
          <w:sz w:val="22"/>
          <w:szCs w:val="22"/>
        </w:rPr>
        <w:t xml:space="preserve"> </w:t>
      </w:r>
      <w:r w:rsidRPr="00E96F17" w:rsidR="00DD68E7">
        <w:rPr>
          <w:rFonts w:ascii="Arial" w:hAnsi="Arial" w:eastAsia="Calibri" w:cs="Arial"/>
          <w:bCs/>
          <w:noProof/>
          <w:color w:val="161616" w:themeColor="background1" w:themeShade="1A"/>
          <w:sz w:val="22"/>
          <w:szCs w:val="22"/>
          <w:lang w:val="es-ES_tradnl" w:eastAsia="en-US"/>
        </w:rPr>
        <w:t xml:space="preserve">MANUAL PARA DETERMINAR REQUISITOS HABILITANTES – Capacidad financiera y organizacional / PROPONENTES PLURALES – Capacidad financiera y organizacional – Cálculo – Opciones – Manual  </w:t>
      </w:r>
    </w:p>
    <w:p w:rsidRPr="00E96F17" w:rsidR="0081103C" w:rsidP="0081103C" w:rsidRDefault="0081103C" w14:paraId="0D4EBF52" w14:textId="77777777">
      <w:pPr>
        <w:ind w:left="2824" w:hanging="2818"/>
        <w:jc w:val="both"/>
        <w:rPr>
          <w:rFonts w:ascii="Arial" w:hAnsi="Arial" w:eastAsia="Calibri" w:cs="Arial"/>
          <w:bCs/>
          <w:color w:val="161616" w:themeColor="background1" w:themeShade="1A"/>
          <w:sz w:val="22"/>
          <w:szCs w:val="22"/>
          <w:lang w:val="es-MX"/>
        </w:rPr>
      </w:pPr>
    </w:p>
    <w:p w:rsidRPr="00E96F17" w:rsidR="00E54365" w:rsidP="00F06A29" w:rsidRDefault="00E54365" w14:paraId="49699107" w14:textId="0501BF2E">
      <w:pPr>
        <w:ind w:left="2835" w:hanging="2835"/>
        <w:jc w:val="both"/>
        <w:rPr>
          <w:rFonts w:ascii="Arial" w:hAnsi="Arial" w:cs="Arial"/>
          <w:color w:val="161616" w:themeColor="background1" w:themeShade="1A"/>
          <w:sz w:val="22"/>
          <w:szCs w:val="22"/>
          <w:lang w:val="es-ES_tradnl"/>
        </w:rPr>
      </w:pPr>
      <w:r w:rsidRPr="00E96F17">
        <w:rPr>
          <w:rFonts w:ascii="Arial" w:hAnsi="Arial" w:eastAsia="Calibri" w:cs="Arial"/>
          <w:b/>
          <w:noProof/>
          <w:color w:val="161616" w:themeColor="background1" w:themeShade="1A"/>
          <w:sz w:val="22"/>
          <w:szCs w:val="22"/>
          <w:lang w:val="es-ES_tradnl" w:eastAsia="en-US"/>
        </w:rPr>
        <w:t>Radicación</w:t>
      </w:r>
      <w:r w:rsidRPr="00E96F17">
        <w:rPr>
          <w:rFonts w:ascii="Arial" w:hAnsi="Arial" w:eastAsia="Calibri" w:cs="Arial"/>
          <w:bCs/>
          <w:noProof/>
          <w:color w:val="161616" w:themeColor="background1" w:themeShade="1A"/>
          <w:sz w:val="22"/>
          <w:szCs w:val="22"/>
          <w:lang w:val="es-ES_tradnl" w:eastAsia="en-US"/>
        </w:rPr>
        <w:t>:</w:t>
      </w:r>
      <w:r w:rsidRPr="00E96F17">
        <w:rPr>
          <w:rFonts w:ascii="Arial" w:hAnsi="Arial" w:eastAsia="Calibri" w:cs="Arial"/>
          <w:bCs/>
          <w:noProof/>
          <w:color w:val="161616" w:themeColor="background1" w:themeShade="1A"/>
          <w:sz w:val="22"/>
          <w:szCs w:val="22"/>
          <w:lang w:val="es-ES_tradnl" w:eastAsia="en-US"/>
        </w:rPr>
        <w:tab/>
      </w:r>
      <w:r w:rsidRPr="00E96F17">
        <w:rPr>
          <w:rFonts w:ascii="Arial" w:hAnsi="Arial" w:eastAsia="Calibri" w:cs="Arial"/>
          <w:bCs/>
          <w:noProof/>
          <w:color w:val="161616" w:themeColor="background1" w:themeShade="1A"/>
          <w:sz w:val="22"/>
          <w:szCs w:val="22"/>
          <w:lang w:val="es-ES_tradnl" w:eastAsia="en-US"/>
        </w:rPr>
        <w:t>Respuesta a consulta</w:t>
      </w:r>
      <w:r w:rsidRPr="00587A1E" w:rsidR="006A4C67">
        <w:rPr>
          <w:rFonts w:ascii="Arial" w:hAnsi="Arial" w:cs="Arial"/>
          <w:sz w:val="22"/>
          <w:szCs w:val="22"/>
        </w:rPr>
        <w:t xml:space="preserve"> </w:t>
      </w:r>
      <w:r w:rsidRPr="00E96F17" w:rsidR="004C70AA">
        <w:rPr>
          <w:rFonts w:ascii="Arial" w:hAnsi="Arial" w:cs="Arial"/>
          <w:sz w:val="22"/>
          <w:szCs w:val="22"/>
        </w:rPr>
        <w:t>P20220907008995</w:t>
      </w:r>
    </w:p>
    <w:p w:rsidRPr="00E96F17" w:rsidR="0063440E" w:rsidP="00F06A29" w:rsidRDefault="0063440E" w14:paraId="5EF97382" w14:textId="77777777">
      <w:pPr>
        <w:rPr>
          <w:rFonts w:ascii="Arial" w:hAnsi="Arial" w:cs="Arial"/>
          <w:color w:val="161616" w:themeColor="background1" w:themeShade="1A"/>
          <w:sz w:val="22"/>
          <w:szCs w:val="22"/>
          <w:lang w:val="es-ES_tradnl"/>
        </w:rPr>
      </w:pPr>
    </w:p>
    <w:p w:rsidRPr="00E96F17" w:rsidR="00E54365" w:rsidP="00870412" w:rsidRDefault="00E54365" w14:paraId="71ED9EB2" w14:textId="5A0859CA">
      <w:pPr>
        <w:spacing w:before="240" w:line="276" w:lineRule="auto"/>
        <w:rPr>
          <w:rFonts w:ascii="Arial" w:hAnsi="Arial" w:cs="Arial"/>
          <w:color w:val="161616" w:themeColor="background1" w:themeShade="1A"/>
          <w:sz w:val="22"/>
          <w:szCs w:val="22"/>
          <w:lang w:val="es-ES_tradnl"/>
        </w:rPr>
      </w:pPr>
      <w:r w:rsidRPr="00E96F17">
        <w:rPr>
          <w:rFonts w:ascii="Arial" w:hAnsi="Arial" w:cs="Arial"/>
          <w:color w:val="161616" w:themeColor="background1" w:themeShade="1A"/>
          <w:sz w:val="22"/>
          <w:szCs w:val="22"/>
          <w:lang w:val="es-ES_tradnl"/>
        </w:rPr>
        <w:t>Estimad</w:t>
      </w:r>
      <w:r w:rsidRPr="00E96F17" w:rsidR="001419D7">
        <w:rPr>
          <w:rFonts w:ascii="Arial" w:hAnsi="Arial" w:cs="Arial"/>
          <w:color w:val="161616" w:themeColor="background1" w:themeShade="1A"/>
          <w:sz w:val="22"/>
          <w:szCs w:val="22"/>
          <w:lang w:val="es-ES_tradnl"/>
        </w:rPr>
        <w:t>o</w:t>
      </w:r>
      <w:r w:rsidRPr="00E96F17" w:rsidR="007168C5">
        <w:rPr>
          <w:rFonts w:ascii="Arial" w:hAnsi="Arial" w:cs="Arial"/>
          <w:color w:val="161616" w:themeColor="background1" w:themeShade="1A"/>
          <w:sz w:val="22"/>
          <w:szCs w:val="22"/>
          <w:lang w:val="es-ES_tradnl"/>
        </w:rPr>
        <w:t xml:space="preserve"> Señor</w:t>
      </w:r>
      <w:r w:rsidRPr="00E96F17" w:rsidR="00EE792F">
        <w:rPr>
          <w:rFonts w:ascii="Arial" w:hAnsi="Arial" w:cs="Arial"/>
          <w:color w:val="161616" w:themeColor="background1" w:themeShade="1A"/>
          <w:sz w:val="22"/>
          <w:szCs w:val="22"/>
          <w:lang w:val="es-ES_tradnl"/>
        </w:rPr>
        <w:t xml:space="preserve"> </w:t>
      </w:r>
      <w:r w:rsidRPr="00E96F17" w:rsidR="004C70AA">
        <w:rPr>
          <w:rFonts w:ascii="Arial" w:hAnsi="Arial" w:cs="Arial"/>
          <w:color w:val="161616" w:themeColor="background1" w:themeShade="1A"/>
          <w:sz w:val="22"/>
          <w:szCs w:val="22"/>
          <w:lang w:val="es-ES_tradnl"/>
        </w:rPr>
        <w:t>Mariño</w:t>
      </w:r>
      <w:r w:rsidRPr="00E96F17" w:rsidR="007168C5">
        <w:rPr>
          <w:rFonts w:ascii="Arial" w:hAnsi="Arial" w:cs="Arial"/>
          <w:color w:val="161616" w:themeColor="background1" w:themeShade="1A"/>
          <w:sz w:val="22"/>
          <w:szCs w:val="22"/>
          <w:lang w:val="es-ES_tradnl"/>
        </w:rPr>
        <w:t xml:space="preserve">, </w:t>
      </w:r>
      <w:r w:rsidRPr="00E96F17" w:rsidR="006D2519">
        <w:rPr>
          <w:rFonts w:ascii="Arial" w:hAnsi="Arial" w:cs="Arial"/>
          <w:color w:val="161616" w:themeColor="background1" w:themeShade="1A"/>
          <w:sz w:val="22"/>
          <w:szCs w:val="22"/>
          <w:lang w:val="es-ES_tradnl"/>
        </w:rPr>
        <w:t xml:space="preserve"> </w:t>
      </w:r>
      <w:r w:rsidRPr="00E96F17">
        <w:rPr>
          <w:rFonts w:ascii="Arial" w:hAnsi="Arial" w:cs="Arial"/>
          <w:color w:val="161616" w:themeColor="background1" w:themeShade="1A"/>
          <w:sz w:val="22"/>
          <w:szCs w:val="22"/>
          <w:lang w:val="es-ES_tradnl"/>
        </w:rPr>
        <w:t xml:space="preserve"> </w:t>
      </w:r>
    </w:p>
    <w:p w:rsidRPr="00E96F17" w:rsidR="00B32DB2" w:rsidP="00870412" w:rsidRDefault="00E54365" w14:paraId="59F550C5" w14:textId="50A2D29C">
      <w:pPr>
        <w:spacing w:before="240" w:line="276" w:lineRule="auto"/>
        <w:jc w:val="both"/>
        <w:rPr>
          <w:rFonts w:ascii="Arial" w:hAnsi="Arial" w:cs="Arial"/>
          <w:color w:val="161616" w:themeColor="background1" w:themeShade="1A"/>
          <w:sz w:val="22"/>
          <w:szCs w:val="22"/>
          <w:lang w:val="es-ES_tradnl"/>
        </w:rPr>
      </w:pPr>
      <w:r w:rsidRPr="00E96F17">
        <w:rPr>
          <w:rFonts w:ascii="Arial" w:hAnsi="Arial" w:cs="Arial"/>
          <w:color w:val="161616" w:themeColor="background1" w:themeShade="1A"/>
          <w:sz w:val="22"/>
          <w:szCs w:val="22"/>
          <w:lang w:val="es-ES_tradnl"/>
        </w:rPr>
        <w:t xml:space="preserve">En ejercicio de la competencia otorgada por el numeral 8 del artículo 11 y el numeral 5 del artículo 3 del Decreto Ley 4170 de 2011, la Agencia Nacional de Contratación Pública− Colombia Compra Eficiente responde su consulta </w:t>
      </w:r>
      <w:r w:rsidRPr="00E96F17" w:rsidR="00584D9E">
        <w:rPr>
          <w:rFonts w:ascii="Arial" w:hAnsi="Arial" w:cs="Arial"/>
          <w:color w:val="161616" w:themeColor="background1" w:themeShade="1A"/>
          <w:sz w:val="22"/>
          <w:szCs w:val="22"/>
          <w:lang w:val="es-ES_tradnl"/>
        </w:rPr>
        <w:t>r</w:t>
      </w:r>
      <w:r w:rsidRPr="00E96F17" w:rsidR="007D6134">
        <w:rPr>
          <w:rFonts w:ascii="Arial" w:hAnsi="Arial" w:cs="Arial"/>
          <w:color w:val="161616" w:themeColor="background1" w:themeShade="1A"/>
          <w:sz w:val="22"/>
          <w:szCs w:val="22"/>
          <w:lang w:val="es-ES_tradnl"/>
        </w:rPr>
        <w:t>adicada</w:t>
      </w:r>
      <w:r w:rsidRPr="00E96F17" w:rsidR="00584D9E">
        <w:rPr>
          <w:rFonts w:ascii="Arial" w:hAnsi="Arial" w:cs="Arial"/>
          <w:color w:val="161616" w:themeColor="background1" w:themeShade="1A"/>
          <w:sz w:val="22"/>
          <w:szCs w:val="22"/>
          <w:lang w:val="es-ES_tradnl"/>
        </w:rPr>
        <w:t xml:space="preserve"> el </w:t>
      </w:r>
      <w:r w:rsidR="003D6C2B">
        <w:rPr>
          <w:rFonts w:ascii="Arial" w:hAnsi="Arial" w:cs="Arial"/>
          <w:color w:val="161616" w:themeColor="background1" w:themeShade="1A"/>
          <w:sz w:val="22"/>
          <w:szCs w:val="22"/>
          <w:lang w:val="es-ES_tradnl"/>
        </w:rPr>
        <w:t xml:space="preserve">6 </w:t>
      </w:r>
      <w:r w:rsidRPr="00E96F17" w:rsidR="00EA2015">
        <w:rPr>
          <w:rFonts w:ascii="Arial" w:hAnsi="Arial" w:cs="Arial"/>
          <w:color w:val="161616" w:themeColor="background1" w:themeShade="1A"/>
          <w:sz w:val="22"/>
          <w:szCs w:val="22"/>
          <w:lang w:val="es-ES_tradnl"/>
        </w:rPr>
        <w:t xml:space="preserve">de </w:t>
      </w:r>
      <w:r w:rsidR="003D6C2B">
        <w:rPr>
          <w:rFonts w:ascii="Arial" w:hAnsi="Arial" w:cs="Arial"/>
          <w:color w:val="161616" w:themeColor="background1" w:themeShade="1A"/>
          <w:sz w:val="22"/>
          <w:szCs w:val="22"/>
          <w:lang w:val="es-ES_tradnl"/>
        </w:rPr>
        <w:t xml:space="preserve">septiembre </w:t>
      </w:r>
      <w:r w:rsidRPr="00E96F17" w:rsidR="00EA2015">
        <w:rPr>
          <w:rFonts w:ascii="Arial" w:hAnsi="Arial" w:cs="Arial"/>
          <w:color w:val="161616" w:themeColor="background1" w:themeShade="1A"/>
          <w:sz w:val="22"/>
          <w:szCs w:val="22"/>
          <w:lang w:val="es-ES_tradnl"/>
        </w:rPr>
        <w:t>de 2022</w:t>
      </w:r>
      <w:r w:rsidRPr="00E96F17" w:rsidR="002E257B">
        <w:rPr>
          <w:rFonts w:ascii="Arial" w:hAnsi="Arial" w:cs="Arial"/>
          <w:color w:val="161616" w:themeColor="background1" w:themeShade="1A"/>
          <w:sz w:val="22"/>
          <w:szCs w:val="22"/>
          <w:lang w:val="es-ES_tradnl"/>
        </w:rPr>
        <w:t xml:space="preserve">. </w:t>
      </w:r>
    </w:p>
    <w:p w:rsidRPr="00E96F17" w:rsidR="00FB5E3B" w:rsidP="00870412" w:rsidRDefault="00E54365" w14:paraId="4CDB27A1" w14:textId="23AF4B73">
      <w:pPr>
        <w:spacing w:before="240" w:line="276" w:lineRule="auto"/>
        <w:rPr>
          <w:rFonts w:ascii="Arial" w:hAnsi="Arial" w:cs="Arial"/>
          <w:b/>
          <w:color w:val="161616" w:themeColor="background1" w:themeShade="1A"/>
          <w:sz w:val="22"/>
          <w:szCs w:val="22"/>
          <w:lang w:val="es-ES_tradnl"/>
        </w:rPr>
      </w:pPr>
      <w:r w:rsidRPr="00E96F17">
        <w:rPr>
          <w:rFonts w:ascii="Arial" w:hAnsi="Arial" w:cs="Arial"/>
          <w:b/>
          <w:color w:val="161616" w:themeColor="background1" w:themeShade="1A"/>
          <w:sz w:val="22"/>
          <w:szCs w:val="22"/>
          <w:lang w:val="es-ES_tradnl"/>
        </w:rPr>
        <w:t xml:space="preserve">1. Problema planteado </w:t>
      </w:r>
    </w:p>
    <w:p w:rsidRPr="00E96F17" w:rsidR="00A8294C" w:rsidP="00870412" w:rsidRDefault="004C70AA" w14:paraId="18E0D975" w14:textId="6338EC94">
      <w:pPr>
        <w:spacing w:before="240" w:line="276" w:lineRule="auto"/>
        <w:jc w:val="both"/>
        <w:rPr>
          <w:rFonts w:ascii="Arial" w:hAnsi="Arial" w:cs="Arial"/>
          <w:color w:val="161616" w:themeColor="background1" w:themeShade="1A"/>
          <w:sz w:val="22"/>
          <w:szCs w:val="22"/>
          <w:lang w:val="es-ES_tradnl"/>
        </w:rPr>
      </w:pPr>
      <w:r w:rsidRPr="00E96F17">
        <w:rPr>
          <w:rFonts w:ascii="Arial" w:hAnsi="Arial" w:eastAsia="Arial" w:cs="Arial"/>
          <w:color w:val="000000"/>
          <w:sz w:val="22"/>
          <w:szCs w:val="22"/>
        </w:rPr>
        <w:t xml:space="preserve">En su consulta, usted trae a colación el Manual para determinar y verificar los requisitos habilitantes, ante lo cual, plantea los siguientes interrogantes, </w:t>
      </w:r>
      <w:r w:rsidRPr="00E96F17">
        <w:rPr>
          <w:rFonts w:ascii="Arial" w:hAnsi="Arial" w:cs="Arial"/>
          <w:color w:val="161616" w:themeColor="background1" w:themeShade="1A"/>
          <w:sz w:val="22"/>
          <w:szCs w:val="22"/>
          <w:lang w:val="es-ES_tradnl"/>
        </w:rPr>
        <w:t>en relación con l</w:t>
      </w:r>
      <w:r w:rsidRPr="00E96F17" w:rsidR="003E4398">
        <w:rPr>
          <w:rFonts w:ascii="Arial" w:hAnsi="Arial" w:cs="Arial"/>
          <w:color w:val="161616" w:themeColor="background1" w:themeShade="1A"/>
          <w:sz w:val="22"/>
          <w:szCs w:val="22"/>
          <w:lang w:val="es-ES_tradnl"/>
        </w:rPr>
        <w:t>a fijación de la capacidad financiera y organizacional de los proponentes plurales</w:t>
      </w:r>
      <w:r w:rsidRPr="00E96F17" w:rsidR="00EE792F">
        <w:rPr>
          <w:rFonts w:ascii="Arial" w:hAnsi="Arial" w:cs="Arial"/>
          <w:color w:val="161616" w:themeColor="background1" w:themeShade="1A"/>
          <w:sz w:val="22"/>
          <w:szCs w:val="22"/>
          <w:lang w:val="es-ES_tradnl"/>
        </w:rPr>
        <w:t xml:space="preserve">: </w:t>
      </w:r>
    </w:p>
    <w:p w:rsidRPr="00E96F17" w:rsidR="006040A5" w:rsidP="006040A5" w:rsidRDefault="006040A5" w14:paraId="4D868F43" w14:textId="77777777">
      <w:pPr>
        <w:spacing w:line="276" w:lineRule="auto"/>
        <w:jc w:val="both"/>
        <w:rPr>
          <w:rFonts w:ascii="Arial" w:hAnsi="Arial" w:eastAsia="Arial" w:cs="Arial"/>
          <w:color w:val="000000"/>
          <w:sz w:val="22"/>
          <w:szCs w:val="22"/>
        </w:rPr>
      </w:pPr>
    </w:p>
    <w:p w:rsidRPr="00587A1E" w:rsidR="003E4398" w:rsidP="003E4398" w:rsidRDefault="00B94548" w14:paraId="030C84C0" w14:textId="0760E353">
      <w:pPr>
        <w:ind w:left="709" w:right="474"/>
        <w:jc w:val="both"/>
        <w:rPr>
          <w:rFonts w:ascii="Arial" w:hAnsi="Arial" w:eastAsia="Calibri" w:cs="Arial"/>
          <w:bCs/>
          <w:i/>
          <w:iCs/>
          <w:sz w:val="22"/>
          <w:szCs w:val="22"/>
        </w:rPr>
      </w:pPr>
      <w:r w:rsidRPr="00587A1E">
        <w:rPr>
          <w:rFonts w:ascii="Arial" w:hAnsi="Arial" w:cs="Arial"/>
          <w:i/>
          <w:iCs/>
          <w:color w:val="161616" w:themeColor="background1" w:themeShade="1A"/>
          <w:sz w:val="22"/>
          <w:szCs w:val="22"/>
          <w:lang w:val="es-ES_tradnl"/>
        </w:rPr>
        <w:t>«</w:t>
      </w:r>
      <w:r w:rsidRPr="00587A1E" w:rsidR="003E4398">
        <w:rPr>
          <w:rFonts w:ascii="Arial" w:hAnsi="Arial" w:eastAsia="Calibri" w:cs="Arial"/>
          <w:i/>
          <w:iCs/>
          <w:sz w:val="22"/>
          <w:szCs w:val="22"/>
        </w:rPr>
        <w:t>1.</w:t>
      </w:r>
      <w:r w:rsidRPr="00587A1E" w:rsidR="003E4398">
        <w:rPr>
          <w:rFonts w:ascii="Arial" w:hAnsi="Arial" w:eastAsia="Calibri" w:cs="Arial"/>
          <w:b/>
          <w:bCs/>
          <w:i/>
          <w:iCs/>
          <w:sz w:val="22"/>
          <w:szCs w:val="22"/>
        </w:rPr>
        <w:t xml:space="preserve"> </w:t>
      </w:r>
      <w:r w:rsidRPr="00587A1E" w:rsidR="003E4398">
        <w:rPr>
          <w:rFonts w:ascii="Arial" w:hAnsi="Arial" w:eastAsia="Calibri" w:cs="Arial"/>
          <w:bCs/>
          <w:i/>
          <w:iCs/>
          <w:sz w:val="22"/>
          <w:szCs w:val="22"/>
        </w:rPr>
        <w:t xml:space="preserve">Tomando como ejemplo las cifras previstas en el ejemplo del considerando No. 4, las cuales, se reitera, son idénticas a las señaladas en el “Manual para determinar y verificar requisitos habilitantes en los procesos de contratación pública”, se pregunta: </w:t>
      </w:r>
    </w:p>
    <w:p w:rsidRPr="00587A1E" w:rsidR="003E4398" w:rsidP="003E4398" w:rsidRDefault="003E4398" w14:paraId="2AFDA7AB" w14:textId="77777777">
      <w:pPr>
        <w:ind w:left="709" w:right="474"/>
        <w:jc w:val="both"/>
        <w:rPr>
          <w:rFonts w:ascii="Arial" w:hAnsi="Arial" w:eastAsia="Calibri" w:cs="Arial"/>
          <w:bCs/>
          <w:i/>
          <w:iCs/>
          <w:sz w:val="22"/>
          <w:szCs w:val="22"/>
          <w:lang w:val="es-ES_tradnl"/>
        </w:rPr>
      </w:pPr>
    </w:p>
    <w:p w:rsidRPr="00587A1E" w:rsidR="003E4398" w:rsidP="003E4398" w:rsidRDefault="003E4398" w14:paraId="124D6D4E" w14:textId="60160DA8">
      <w:pPr>
        <w:ind w:left="709" w:right="474"/>
        <w:jc w:val="both"/>
        <w:rPr>
          <w:rFonts w:ascii="Arial" w:hAnsi="Arial" w:eastAsia="Calibri" w:cs="Arial"/>
          <w:bCs/>
          <w:i/>
          <w:iCs/>
          <w:sz w:val="22"/>
          <w:szCs w:val="22"/>
        </w:rPr>
      </w:pPr>
      <w:r w:rsidRPr="00587A1E">
        <w:rPr>
          <w:rFonts w:ascii="Arial" w:hAnsi="Arial" w:eastAsia="Calibri" w:cs="Arial"/>
          <w:bCs/>
          <w:i/>
          <w:iCs/>
          <w:sz w:val="22"/>
          <w:szCs w:val="22"/>
        </w:rPr>
        <w:t>¿Cuál es la razón por la cual existe una amplia diferencia en el cálculo de los indicadores financieros para uniones temporales, consorcios o promesas de sociedad futura, tanto en la Opción No. 1 y No. 2</w:t>
      </w:r>
    </w:p>
    <w:p w:rsidRPr="00587A1E" w:rsidR="003E4398" w:rsidP="003E4398" w:rsidRDefault="003E4398" w14:paraId="4916CB42" w14:textId="77777777">
      <w:pPr>
        <w:ind w:left="709" w:right="474"/>
        <w:jc w:val="both"/>
        <w:rPr>
          <w:rFonts w:ascii="Arial" w:hAnsi="Arial" w:eastAsia="Calibri" w:cs="Arial"/>
          <w:bCs/>
          <w:i/>
          <w:iCs/>
          <w:sz w:val="22"/>
          <w:szCs w:val="22"/>
        </w:rPr>
      </w:pPr>
    </w:p>
    <w:p w:rsidRPr="00587A1E" w:rsidR="003E4398" w:rsidP="003E4398" w:rsidRDefault="003E4398" w14:paraId="3F66FB9E" w14:textId="48ABA200">
      <w:pPr>
        <w:ind w:left="709" w:right="474"/>
        <w:jc w:val="both"/>
        <w:rPr>
          <w:rFonts w:ascii="Arial" w:hAnsi="Arial" w:eastAsia="Calibri" w:cs="Arial"/>
          <w:bCs/>
          <w:i/>
          <w:iCs/>
          <w:sz w:val="22"/>
          <w:szCs w:val="22"/>
        </w:rPr>
      </w:pPr>
      <w:r w:rsidRPr="00587A1E">
        <w:rPr>
          <w:rFonts w:ascii="Arial" w:hAnsi="Arial" w:eastAsia="Calibri" w:cs="Arial"/>
          <w:i/>
          <w:iCs/>
          <w:sz w:val="22"/>
          <w:szCs w:val="22"/>
        </w:rPr>
        <w:t>2.</w:t>
      </w:r>
      <w:r w:rsidRPr="00587A1E">
        <w:rPr>
          <w:rFonts w:ascii="Arial" w:hAnsi="Arial" w:eastAsia="Calibri" w:cs="Arial"/>
          <w:bCs/>
          <w:i/>
          <w:iCs/>
          <w:sz w:val="22"/>
          <w:szCs w:val="22"/>
        </w:rPr>
        <w:t xml:space="preserve"> Teniendo en cuenta que existen Entidades Públicas que al abrir sus procesos de contratación no precisan si emplearan o no la Opción No. 1 o No. 2 para el cálculo de los indicadores financieros de figuras asociativas, conforme el manual de</w:t>
      </w:r>
      <w:r w:rsidRPr="00587A1E" w:rsidR="00BB2041">
        <w:rPr>
          <w:rFonts w:ascii="Arial" w:hAnsi="Arial" w:eastAsia="Calibri" w:cs="Arial"/>
          <w:bCs/>
          <w:i/>
          <w:iCs/>
          <w:sz w:val="22"/>
          <w:szCs w:val="22"/>
        </w:rPr>
        <w:t xml:space="preserve"> (sic) </w:t>
      </w:r>
      <w:r w:rsidRPr="00587A1E">
        <w:rPr>
          <w:rFonts w:ascii="Arial" w:hAnsi="Arial" w:eastAsia="Calibri" w:cs="Arial"/>
          <w:bCs/>
          <w:i/>
          <w:iCs/>
          <w:sz w:val="22"/>
          <w:szCs w:val="22"/>
        </w:rPr>
        <w:t xml:space="preserve">para determinar y verificar requisitos habilitantes en los procesos de contratación pública, se pregunta: </w:t>
      </w:r>
    </w:p>
    <w:p w:rsidRPr="00587A1E" w:rsidR="003E13E6" w:rsidP="003E4398" w:rsidRDefault="003E13E6" w14:paraId="0D7E3CB1" w14:textId="77777777">
      <w:pPr>
        <w:ind w:left="709" w:right="474"/>
        <w:jc w:val="both"/>
        <w:rPr>
          <w:rFonts w:ascii="Arial" w:hAnsi="Arial" w:eastAsia="Calibri" w:cs="Arial"/>
          <w:bCs/>
          <w:i/>
          <w:iCs/>
          <w:sz w:val="22"/>
          <w:szCs w:val="22"/>
        </w:rPr>
      </w:pPr>
    </w:p>
    <w:p w:rsidRPr="00587A1E" w:rsidR="003E4398" w:rsidP="003E4398" w:rsidRDefault="003E4398" w14:paraId="6CCFA24E" w14:textId="3EEB106B">
      <w:pPr>
        <w:ind w:left="709" w:right="474"/>
        <w:jc w:val="both"/>
        <w:rPr>
          <w:rFonts w:ascii="Arial" w:hAnsi="Arial" w:eastAsia="Calibri" w:cs="Arial"/>
          <w:bCs/>
          <w:i/>
          <w:iCs/>
          <w:sz w:val="22"/>
          <w:szCs w:val="22"/>
        </w:rPr>
      </w:pPr>
      <w:r w:rsidRPr="00587A1E">
        <w:rPr>
          <w:rFonts w:ascii="Arial" w:hAnsi="Arial" w:eastAsia="Calibri" w:cs="Arial"/>
          <w:bCs/>
          <w:i/>
          <w:iCs/>
          <w:sz w:val="22"/>
          <w:szCs w:val="22"/>
        </w:rPr>
        <w:t xml:space="preserve">¿Es posible que Colombia Compra Eficiente, en atención a su función de brindar apoyo a los oferentes para facilitar y mejorar su participación, expida un Comunicado y/o Circular o documento de interés general mediante el cual reitere y recomiende a las Entidades Públicas que, en el caso que opten por acoger el cálculo de indicadores financieros previstos en el aludido manual, se sirvan precisar cuál será la opción que deberán acreditar los proponentes plurales, esto es: </w:t>
      </w:r>
    </w:p>
    <w:p w:rsidRPr="00587A1E" w:rsidR="003E13E6" w:rsidP="003E4398" w:rsidRDefault="003E13E6" w14:paraId="5AE1A299" w14:textId="77777777">
      <w:pPr>
        <w:ind w:left="709" w:right="474"/>
        <w:jc w:val="both"/>
        <w:rPr>
          <w:rFonts w:ascii="Arial" w:hAnsi="Arial" w:eastAsia="Calibri" w:cs="Arial"/>
          <w:bCs/>
          <w:i/>
          <w:iCs/>
          <w:sz w:val="22"/>
          <w:szCs w:val="22"/>
        </w:rPr>
      </w:pPr>
    </w:p>
    <w:p w:rsidRPr="00587A1E" w:rsidR="00B32DB2" w:rsidP="003E4398" w:rsidRDefault="003E4398" w14:paraId="0144AA5A" w14:textId="5F16110B">
      <w:pPr>
        <w:ind w:left="709" w:right="474"/>
        <w:jc w:val="both"/>
        <w:rPr>
          <w:rFonts w:ascii="Arial" w:hAnsi="Arial" w:eastAsia="Calibri" w:cs="Arial"/>
          <w:bCs/>
          <w:i/>
          <w:iCs/>
          <w:sz w:val="22"/>
          <w:szCs w:val="22"/>
        </w:rPr>
      </w:pPr>
      <w:r w:rsidRPr="00587A1E">
        <w:rPr>
          <w:rFonts w:ascii="Arial" w:hAnsi="Arial" w:eastAsia="Calibri" w:cs="Arial"/>
          <w:bCs/>
          <w:i/>
          <w:iCs/>
          <w:sz w:val="22"/>
          <w:szCs w:val="22"/>
        </w:rPr>
        <w:t>“Ponderación de los componentes de los indicadores” o “Suma de los componentes de los indicadores”?</w:t>
      </w:r>
      <w:r w:rsidRPr="00587A1E" w:rsidR="00EA04BE">
        <w:rPr>
          <w:rFonts w:ascii="Arial" w:hAnsi="Arial" w:cs="Arial"/>
          <w:bCs/>
          <w:i/>
          <w:iCs/>
          <w:sz w:val="22"/>
          <w:szCs w:val="22"/>
          <w:lang w:val="es-MX" w:eastAsia="x-none"/>
        </w:rPr>
        <w:t>»</w:t>
      </w:r>
      <w:r w:rsidRPr="00587A1E" w:rsidR="00A65DB0">
        <w:rPr>
          <w:rFonts w:ascii="Arial" w:hAnsi="Arial" w:cs="Arial"/>
          <w:bCs/>
          <w:i/>
          <w:iCs/>
          <w:sz w:val="22"/>
          <w:szCs w:val="22"/>
          <w:lang w:val="es-MX" w:eastAsia="x-none"/>
        </w:rPr>
        <w:t xml:space="preserve"> </w:t>
      </w:r>
    </w:p>
    <w:p w:rsidRPr="00587A1E" w:rsidR="00B40E3C" w:rsidP="00B40E3C" w:rsidRDefault="00B40E3C" w14:paraId="255974D0" w14:textId="77777777">
      <w:pPr>
        <w:spacing w:line="276" w:lineRule="auto"/>
        <w:ind w:left="708" w:right="709"/>
        <w:jc w:val="both"/>
        <w:rPr>
          <w:rFonts w:ascii="Arial" w:hAnsi="Arial" w:cs="Arial"/>
          <w:color w:val="161616" w:themeColor="background1" w:themeShade="1A"/>
          <w:sz w:val="22"/>
          <w:szCs w:val="22"/>
          <w:lang w:val="es-ES_tradnl"/>
        </w:rPr>
      </w:pPr>
    </w:p>
    <w:p w:rsidRPr="00E96F17" w:rsidR="00AA171A" w:rsidP="00B40E3C" w:rsidRDefault="00E54365" w14:paraId="0F58A986" w14:textId="041060E5">
      <w:pPr>
        <w:spacing w:line="276" w:lineRule="auto"/>
        <w:rPr>
          <w:rFonts w:ascii="Arial" w:hAnsi="Arial" w:cs="Arial"/>
          <w:b/>
          <w:color w:val="161616" w:themeColor="background1" w:themeShade="1A"/>
          <w:sz w:val="22"/>
          <w:szCs w:val="22"/>
          <w:lang w:val="es-ES_tradnl"/>
        </w:rPr>
      </w:pPr>
      <w:r w:rsidRPr="00E96F17">
        <w:rPr>
          <w:rFonts w:ascii="Arial" w:hAnsi="Arial" w:cs="Arial"/>
          <w:b/>
          <w:color w:val="161616" w:themeColor="background1" w:themeShade="1A"/>
          <w:sz w:val="22"/>
          <w:szCs w:val="22"/>
          <w:lang w:val="es-ES_tradnl"/>
        </w:rPr>
        <w:t xml:space="preserve">2. Consideraciones </w:t>
      </w:r>
    </w:p>
    <w:p w:rsidRPr="00E96F17" w:rsidR="00F158B5" w:rsidP="006A2924" w:rsidRDefault="00F158B5" w14:paraId="02D43E7E" w14:textId="77777777">
      <w:pPr>
        <w:spacing w:line="276" w:lineRule="auto"/>
        <w:jc w:val="both"/>
        <w:rPr>
          <w:rFonts w:ascii="Arial" w:hAnsi="Arial" w:cs="Arial"/>
          <w:bCs/>
          <w:sz w:val="22"/>
          <w:szCs w:val="22"/>
          <w:lang w:val="es-MX"/>
        </w:rPr>
      </w:pPr>
    </w:p>
    <w:p w:rsidRPr="00E96F17" w:rsidR="002851E1" w:rsidP="002851E1" w:rsidRDefault="002851E1" w14:paraId="441F40EF" w14:textId="31AA9375">
      <w:pPr>
        <w:spacing w:line="276" w:lineRule="auto"/>
        <w:jc w:val="both"/>
        <w:rPr>
          <w:rFonts w:ascii="Arial" w:hAnsi="Arial" w:eastAsia="Calibri" w:cs="Arial"/>
          <w:color w:val="000000" w:themeColor="text1"/>
          <w:sz w:val="22"/>
          <w:szCs w:val="22"/>
          <w:lang w:eastAsia="es-ES_tradnl"/>
        </w:rPr>
      </w:pPr>
      <w:r w:rsidRPr="00E96F17">
        <w:rPr>
          <w:rFonts w:ascii="Arial" w:hAnsi="Arial" w:cs="Arial"/>
          <w:sz w:val="22"/>
          <w:szCs w:val="22"/>
        </w:rPr>
        <w:t xml:space="preserve">Para absolver la consulta planteada se abordarán los siguientes temas: i) carácter vinculante de las guías, manuales y circulares expedidas por Colombia Compra Eficiente y ii) requisitos habilitantes de la capacidad financiera y organizacional. </w:t>
      </w:r>
    </w:p>
    <w:p w:rsidRPr="00E96F17" w:rsidR="003C16E4" w:rsidP="00B47CE9" w:rsidRDefault="00B47CE9" w14:paraId="7DA915B9" w14:textId="2547E1AE">
      <w:pPr>
        <w:spacing w:before="120" w:line="276" w:lineRule="auto"/>
        <w:ind w:firstLine="709"/>
        <w:jc w:val="both"/>
        <w:rPr>
          <w:rFonts w:ascii="Arial" w:hAnsi="Arial" w:eastAsia="Calibri" w:cs="Arial"/>
          <w:sz w:val="22"/>
          <w:szCs w:val="22"/>
          <w:lang w:val="es-ES"/>
        </w:rPr>
      </w:pPr>
      <w:r w:rsidRPr="00E96F17">
        <w:rPr>
          <w:rFonts w:ascii="Arial" w:hAnsi="Arial" w:eastAsia="Calibri" w:cs="Arial"/>
          <w:sz w:val="22"/>
          <w:szCs w:val="22"/>
          <w:lang w:val="es-ES"/>
        </w:rPr>
        <w:t xml:space="preserve">La Agencia Nacional de Contratación Pública – Colombia Compra Eficiente, se pronunció </w:t>
      </w:r>
      <w:r w:rsidRPr="00E96F17">
        <w:rPr>
          <w:rStyle w:val="normaltextrun"/>
          <w:rFonts w:ascii="Arial" w:hAnsi="Arial" w:cs="Arial"/>
          <w:sz w:val="22"/>
          <w:szCs w:val="22"/>
          <w:shd w:val="clear" w:color="auto" w:fill="FFFFFF"/>
          <w:lang w:val="es-ES"/>
        </w:rPr>
        <w:t xml:space="preserve">sobre </w:t>
      </w:r>
      <w:r w:rsidRPr="00E96F17">
        <w:rPr>
          <w:rFonts w:ascii="Arial" w:hAnsi="Arial" w:cs="Arial"/>
          <w:sz w:val="22"/>
          <w:szCs w:val="22"/>
          <w:lang w:val="es-ES"/>
        </w:rPr>
        <w:t xml:space="preserve">la acreditación de los indicadores de la capacidad financiera y organizacional, entre otros, </w:t>
      </w:r>
      <w:r w:rsidRPr="00E96F17">
        <w:rPr>
          <w:rFonts w:ascii="Arial" w:hAnsi="Arial" w:eastAsia="Calibri" w:cs="Arial"/>
          <w:sz w:val="22"/>
          <w:szCs w:val="22"/>
          <w:lang w:val="es-ES"/>
        </w:rPr>
        <w:t>en los conceptos No. 4201912000006798 del 24 de octubre de 2019, C-002 del 12 de febrero de 2020, C-089 del 4 de marzo de 2020, C-099 del 06 de abril de 2020, C-166 del 14 de abril de 2020, C-233 del 16 de abril de 2020, C-326 del 9 de junio de 2020</w:t>
      </w:r>
      <w:r w:rsidRPr="00E96F17" w:rsidR="00DF2C63">
        <w:rPr>
          <w:rFonts w:ascii="Arial" w:hAnsi="Arial" w:eastAsia="Calibri" w:cs="Arial"/>
          <w:sz w:val="22"/>
          <w:szCs w:val="22"/>
          <w:lang w:val="es-ES"/>
        </w:rPr>
        <w:t xml:space="preserve">, </w:t>
      </w:r>
      <w:r w:rsidRPr="00E96F17">
        <w:rPr>
          <w:rFonts w:ascii="Arial" w:hAnsi="Arial" w:eastAsia="Calibri" w:cs="Arial"/>
          <w:sz w:val="22"/>
          <w:szCs w:val="22"/>
          <w:lang w:val="es-ES"/>
        </w:rPr>
        <w:t>C-140 del 9 de abril de 2021</w:t>
      </w:r>
      <w:r w:rsidRPr="00E96F17" w:rsidR="00DF2C63">
        <w:rPr>
          <w:rFonts w:ascii="Arial" w:hAnsi="Arial" w:eastAsia="Calibri" w:cs="Arial"/>
          <w:sz w:val="22"/>
          <w:szCs w:val="22"/>
          <w:lang w:val="es-ES"/>
        </w:rPr>
        <w:t xml:space="preserve"> y C-439 del </w:t>
      </w:r>
      <w:r w:rsidRPr="00E96F17" w:rsidR="00DF2C63">
        <w:rPr>
          <w:rFonts w:ascii="Arial" w:hAnsi="Arial" w:eastAsia="Calibri" w:cs="Arial"/>
          <w:color w:val="000000" w:themeColor="text1"/>
          <w:sz w:val="22"/>
          <w:szCs w:val="22"/>
          <w:lang w:val="es-ES_tradnl"/>
        </w:rPr>
        <w:t>5 de julio de 2022</w:t>
      </w:r>
      <w:r w:rsidRPr="00E96F17">
        <w:rPr>
          <w:rFonts w:ascii="Arial" w:hAnsi="Arial" w:eastAsia="Calibri" w:cs="Arial"/>
          <w:sz w:val="22"/>
          <w:szCs w:val="22"/>
          <w:lang w:val="es-ES"/>
        </w:rPr>
        <w:t xml:space="preserve">. </w:t>
      </w:r>
      <w:r w:rsidRPr="00E96F17" w:rsidR="002851E1">
        <w:rPr>
          <w:rFonts w:ascii="Arial" w:hAnsi="Arial" w:eastAsia="Calibri" w:cs="Arial"/>
          <w:color w:val="000000" w:themeColor="text1"/>
          <w:sz w:val="22"/>
          <w:szCs w:val="22"/>
          <w:lang w:val="es-ES_tradnl"/>
        </w:rPr>
        <w:t xml:space="preserve">La Agencia también se ha pronunciado sobre la naturaleza de las guías, manuales y circulares expedidas por Colombia Compra Eficiente en los conceptos C-451 del 31 de agosto de </w:t>
      </w:r>
      <w:r w:rsidRPr="00E96F17" w:rsidR="002851E1">
        <w:rPr>
          <w:rFonts w:ascii="Arial" w:hAnsi="Arial" w:eastAsia="Calibri" w:cs="Arial"/>
          <w:color w:val="000000" w:themeColor="text1"/>
          <w:sz w:val="22"/>
          <w:szCs w:val="22"/>
          <w:lang w:val="es-ES_tradnl"/>
        </w:rPr>
        <w:lastRenderedPageBreak/>
        <w:t>2021, C-519 del 23 de septiembre de 2021, C-61</w:t>
      </w:r>
      <w:bookmarkStart w:name="_Hlk115799651" w:id="3"/>
      <w:r w:rsidRPr="00E96F17" w:rsidR="002851E1">
        <w:rPr>
          <w:rFonts w:ascii="Arial" w:hAnsi="Arial" w:eastAsia="Calibri" w:cs="Arial"/>
          <w:color w:val="000000" w:themeColor="text1"/>
          <w:sz w:val="22"/>
          <w:szCs w:val="22"/>
          <w:lang w:val="es-ES_tradnl"/>
        </w:rPr>
        <w:t>5</w:t>
      </w:r>
      <w:bookmarkEnd w:id="3"/>
      <w:r w:rsidRPr="00E96F17" w:rsidR="002851E1">
        <w:rPr>
          <w:rFonts w:ascii="Arial" w:hAnsi="Arial" w:eastAsia="Calibri" w:cs="Arial"/>
          <w:color w:val="000000" w:themeColor="text1"/>
          <w:sz w:val="22"/>
          <w:szCs w:val="22"/>
          <w:lang w:val="es-ES_tradnl"/>
        </w:rPr>
        <w:t xml:space="preserve"> del 22 de diciembre de 2021</w:t>
      </w:r>
      <w:r w:rsidRPr="00E96F17">
        <w:rPr>
          <w:rFonts w:ascii="Arial" w:hAnsi="Arial" w:eastAsia="Calibri" w:cs="Arial"/>
          <w:color w:val="000000" w:themeColor="text1"/>
          <w:sz w:val="22"/>
          <w:szCs w:val="22"/>
          <w:lang w:val="es-ES_tradnl"/>
        </w:rPr>
        <w:t>,</w:t>
      </w:r>
      <w:r w:rsidRPr="00E96F17" w:rsidR="002851E1">
        <w:rPr>
          <w:rFonts w:ascii="Arial" w:hAnsi="Arial" w:eastAsia="Calibri" w:cs="Arial"/>
          <w:color w:val="000000" w:themeColor="text1"/>
          <w:sz w:val="22"/>
          <w:szCs w:val="22"/>
          <w:lang w:val="es-ES_tradnl"/>
        </w:rPr>
        <w:t xml:space="preserve"> C-149 del 05 de abril de 2022</w:t>
      </w:r>
      <w:r w:rsidRPr="00E96F17" w:rsidR="00DF2C63">
        <w:rPr>
          <w:rFonts w:ascii="Arial" w:hAnsi="Arial" w:eastAsia="Calibri" w:cs="Arial"/>
          <w:color w:val="000000" w:themeColor="text1"/>
          <w:sz w:val="22"/>
          <w:szCs w:val="22"/>
          <w:lang w:val="es-ES_tradnl"/>
        </w:rPr>
        <w:t>,</w:t>
      </w:r>
      <w:r w:rsidRPr="00E96F17">
        <w:rPr>
          <w:rFonts w:ascii="Arial" w:hAnsi="Arial" w:eastAsia="Calibri" w:cs="Arial"/>
          <w:color w:val="000000" w:themeColor="text1"/>
          <w:sz w:val="22"/>
          <w:szCs w:val="22"/>
          <w:lang w:val="es-ES_tradnl"/>
        </w:rPr>
        <w:t xml:space="preserve"> C-456 del 14 de julio de 2022</w:t>
      </w:r>
      <w:r w:rsidRPr="00E96F17" w:rsidR="00DF2C63">
        <w:rPr>
          <w:rFonts w:ascii="Arial" w:hAnsi="Arial" w:eastAsia="Calibri" w:cs="Arial"/>
          <w:color w:val="000000" w:themeColor="text1"/>
          <w:sz w:val="22"/>
          <w:szCs w:val="22"/>
          <w:lang w:val="es-ES_tradnl"/>
        </w:rPr>
        <w:t xml:space="preserve"> y</w:t>
      </w:r>
      <w:r w:rsidRPr="00E96F17" w:rsidR="002851E1">
        <w:rPr>
          <w:rFonts w:ascii="Arial" w:hAnsi="Arial" w:eastAsia="Calibri" w:cs="Arial"/>
          <w:color w:val="000000" w:themeColor="text1"/>
          <w:sz w:val="22"/>
          <w:szCs w:val="22"/>
          <w:lang w:val="es-ES_tradnl"/>
        </w:rPr>
        <w:t xml:space="preserve"> </w:t>
      </w:r>
      <w:r w:rsidRPr="00E96F17" w:rsidR="00DF2C63">
        <w:rPr>
          <w:rFonts w:ascii="Arial" w:hAnsi="Arial" w:eastAsia="Calibri" w:cs="Arial"/>
          <w:color w:val="000000" w:themeColor="text1"/>
          <w:sz w:val="22"/>
          <w:szCs w:val="22"/>
          <w:lang w:val="es-ES_tradnl"/>
        </w:rPr>
        <w:t xml:space="preserve">C-511 del 3 de agosto de 2022, </w:t>
      </w:r>
      <w:r w:rsidRPr="00E96F17" w:rsidR="002851E1">
        <w:rPr>
          <w:rFonts w:ascii="Arial" w:hAnsi="Arial" w:eastAsia="Calibri" w:cs="Arial"/>
          <w:color w:val="000000" w:themeColor="text1"/>
          <w:sz w:val="22"/>
          <w:szCs w:val="22"/>
          <w:lang w:val="es-ES_tradnl"/>
        </w:rPr>
        <w:t>entre otros</w:t>
      </w:r>
      <w:r w:rsidRPr="00E96F17" w:rsidR="005A50F7">
        <w:rPr>
          <w:rStyle w:val="Refdenotaalpie"/>
          <w:rFonts w:ascii="Arial" w:hAnsi="Arial" w:eastAsia="Calibri" w:cs="Arial"/>
          <w:color w:val="000000" w:themeColor="text1"/>
          <w:sz w:val="22"/>
          <w:szCs w:val="22"/>
          <w:lang w:val="es-ES_tradnl"/>
        </w:rPr>
        <w:footnoteReference w:id="1"/>
      </w:r>
      <w:r w:rsidRPr="00E96F17" w:rsidR="002851E1">
        <w:rPr>
          <w:rFonts w:ascii="Arial" w:hAnsi="Arial" w:eastAsia="Calibri" w:cs="Arial"/>
          <w:color w:val="000000" w:themeColor="text1"/>
          <w:sz w:val="22"/>
          <w:szCs w:val="22"/>
          <w:lang w:val="es-ES_tradnl"/>
        </w:rPr>
        <w:t xml:space="preserve">. </w:t>
      </w:r>
      <w:r w:rsidRPr="00E96F17" w:rsidR="003C16E4">
        <w:rPr>
          <w:rFonts w:ascii="Arial" w:hAnsi="Arial" w:cs="Arial"/>
          <w:bCs/>
          <w:color w:val="161616" w:themeColor="background1" w:themeShade="1A"/>
          <w:sz w:val="22"/>
          <w:szCs w:val="22"/>
        </w:rPr>
        <w:t>La tesis expuesta en estos conceptos se reitera y, en lo pertinente, se complementa a continuación:</w:t>
      </w:r>
    </w:p>
    <w:p w:rsidRPr="00E96F17" w:rsidR="0059449B" w:rsidP="00B47CE9" w:rsidRDefault="0059449B" w14:paraId="15BC3398" w14:textId="77777777">
      <w:pPr>
        <w:spacing w:line="276" w:lineRule="auto"/>
        <w:jc w:val="both"/>
        <w:rPr>
          <w:rFonts w:ascii="Arial" w:hAnsi="Arial" w:eastAsia="Calibri" w:cs="Arial"/>
          <w:b/>
          <w:bCs/>
          <w:sz w:val="22"/>
          <w:szCs w:val="22"/>
        </w:rPr>
      </w:pPr>
    </w:p>
    <w:p w:rsidRPr="00E96F17" w:rsidR="00B47CE9" w:rsidP="00B47CE9" w:rsidRDefault="00F158B5" w14:paraId="21F1D434" w14:textId="2827B0F3">
      <w:pPr>
        <w:spacing w:line="276" w:lineRule="auto"/>
        <w:jc w:val="both"/>
        <w:rPr>
          <w:rFonts w:ascii="Arial" w:hAnsi="Arial" w:eastAsia="Arial" w:cs="Arial"/>
          <w:b/>
          <w:bCs/>
          <w:color w:val="000000"/>
          <w:sz w:val="22"/>
          <w:szCs w:val="22"/>
          <w:lang w:val="es-ES_tradnl" w:eastAsia="es-MX"/>
        </w:rPr>
      </w:pPr>
      <w:r w:rsidRPr="00E96F17">
        <w:rPr>
          <w:rFonts w:ascii="Arial" w:hAnsi="Arial" w:eastAsia="Calibri" w:cs="Arial"/>
          <w:b/>
          <w:bCs/>
          <w:sz w:val="22"/>
          <w:szCs w:val="22"/>
        </w:rPr>
        <w:t xml:space="preserve">2.1. </w:t>
      </w:r>
      <w:r w:rsidRPr="00E96F17" w:rsidR="00740E5C">
        <w:rPr>
          <w:rFonts w:ascii="Arial" w:hAnsi="Arial" w:eastAsia="Calibri" w:cs="Arial"/>
          <w:b/>
          <w:bCs/>
          <w:color w:val="000000"/>
          <w:sz w:val="22"/>
          <w:szCs w:val="22"/>
        </w:rPr>
        <w:t xml:space="preserve"> </w:t>
      </w:r>
      <w:r w:rsidRPr="00E96F17" w:rsidR="00B47CE9">
        <w:rPr>
          <w:rFonts w:ascii="Arial" w:hAnsi="Arial" w:eastAsia="Calibri" w:cs="Arial"/>
          <w:b/>
          <w:bCs/>
          <w:sz w:val="22"/>
          <w:szCs w:val="22"/>
          <w:lang w:val="es-ES" w:eastAsia="es-MX"/>
        </w:rPr>
        <w:t xml:space="preserve">Carácter vinculante de las </w:t>
      </w:r>
      <w:r w:rsidRPr="00E96F17" w:rsidR="00B47CE9">
        <w:rPr>
          <w:rFonts w:ascii="Arial" w:hAnsi="Arial" w:eastAsia="Arial" w:cs="Arial"/>
          <w:b/>
          <w:bCs/>
          <w:color w:val="000000"/>
          <w:sz w:val="22"/>
          <w:szCs w:val="22"/>
          <w:lang w:val="es-ES_tradnl" w:eastAsia="es-MX"/>
        </w:rPr>
        <w:t xml:space="preserve">guías, manuales y circulares expedidas por Colombia Compra Eficiente </w:t>
      </w:r>
    </w:p>
    <w:p w:rsidRPr="00E96F17" w:rsidR="00B47CE9" w:rsidP="00B47CE9" w:rsidRDefault="00B47CE9" w14:paraId="5566879C" w14:textId="77777777">
      <w:pPr>
        <w:spacing w:line="276" w:lineRule="auto"/>
        <w:jc w:val="both"/>
        <w:rPr>
          <w:rFonts w:ascii="Arial" w:hAnsi="Arial" w:eastAsia="MS Mincho" w:cs="Arial"/>
          <w:sz w:val="22"/>
          <w:szCs w:val="22"/>
          <w:lang w:eastAsia="es-CO"/>
        </w:rPr>
      </w:pPr>
    </w:p>
    <w:p w:rsidRPr="00E96F17" w:rsidR="00B47CE9" w:rsidP="00B47CE9" w:rsidRDefault="00B47CE9" w14:paraId="596D58C4" w14:textId="1F61E117">
      <w:pPr>
        <w:spacing w:after="120" w:line="276" w:lineRule="auto"/>
        <w:jc w:val="both"/>
        <w:rPr>
          <w:rFonts w:ascii="Arial" w:hAnsi="Arial" w:eastAsia="MS Mincho" w:cs="Arial"/>
          <w:sz w:val="22"/>
          <w:szCs w:val="22"/>
          <w:lang w:eastAsia="es-CO"/>
        </w:rPr>
      </w:pPr>
      <w:r w:rsidRPr="748FBA9E" w:rsidR="00B47CE9">
        <w:rPr>
          <w:rFonts w:ascii="Arial" w:hAnsi="Arial" w:eastAsia="MS Mincho" w:cs="Arial"/>
          <w:sz w:val="22"/>
          <w:szCs w:val="22"/>
          <w:lang w:eastAsia="es-CO"/>
        </w:rPr>
        <w:t xml:space="preserve">La Agencia Nacional de Contratación Pública – Colombia Compra Eficiente fue creada por el Decreto Ley 4170 de 2011, como una Unidad Administrativa Especial, descentralizada de la Rama Ejecutiva del orden nacional, adscrita al Departamento Nacional de Planeación. </w:t>
      </w:r>
    </w:p>
    <w:p w:rsidRPr="00E96F17" w:rsidR="00B47CE9" w:rsidP="00B47CE9" w:rsidRDefault="00B47CE9" w14:paraId="52F34306" w14:textId="45E0638E">
      <w:pPr>
        <w:spacing w:after="120" w:line="276" w:lineRule="auto"/>
        <w:ind w:firstLine="708"/>
        <w:jc w:val="both"/>
        <w:rPr>
          <w:rFonts w:ascii="Arial" w:hAnsi="Arial" w:eastAsia="MS Mincho" w:cs="Arial"/>
          <w:sz w:val="22"/>
          <w:szCs w:val="22"/>
          <w:lang w:eastAsia="es-CO"/>
        </w:rPr>
      </w:pPr>
      <w:r w:rsidRPr="00E96F17">
        <w:rPr>
          <w:rFonts w:ascii="Arial" w:hAnsi="Arial" w:eastAsia="MS Mincho" w:cs="Arial"/>
          <w:sz w:val="22"/>
          <w:szCs w:val="22"/>
          <w:lang w:eastAsia="es-CO"/>
        </w:rPr>
        <w:t xml:space="preserve">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w:t>
      </w:r>
      <w:r w:rsidR="00640339">
        <w:rPr>
          <w:rFonts w:ascii="Arial" w:hAnsi="Arial" w:eastAsia="MS Mincho" w:cs="Arial"/>
          <w:sz w:val="22"/>
          <w:szCs w:val="22"/>
          <w:lang w:eastAsia="es-CO"/>
        </w:rPr>
        <w:t>P</w:t>
      </w:r>
      <w:r w:rsidRPr="00E96F17">
        <w:rPr>
          <w:rFonts w:ascii="Arial" w:hAnsi="Arial" w:eastAsia="MS Mincho" w:cs="Arial"/>
          <w:sz w:val="22"/>
          <w:szCs w:val="22"/>
          <w:lang w:eastAsia="es-CO"/>
        </w:rPr>
        <w:t xml:space="preserve">rocesos de </w:t>
      </w:r>
      <w:r w:rsidR="00640339">
        <w:rPr>
          <w:rFonts w:ascii="Arial" w:hAnsi="Arial" w:eastAsia="MS Mincho" w:cs="Arial"/>
          <w:sz w:val="22"/>
          <w:szCs w:val="22"/>
          <w:lang w:eastAsia="es-CO"/>
        </w:rPr>
        <w:t>C</w:t>
      </w:r>
      <w:r w:rsidRPr="00E96F17">
        <w:rPr>
          <w:rFonts w:ascii="Arial" w:hAnsi="Arial" w:eastAsia="MS Mincho" w:cs="Arial"/>
          <w:sz w:val="22"/>
          <w:szCs w:val="22"/>
          <w:lang w:eastAsia="es-CO"/>
        </w:rPr>
        <w:t xml:space="preserve">ontratación estatal, facultando a la Agencia para </w:t>
      </w:r>
      <w:r w:rsidRPr="00E96F17">
        <w:rPr>
          <w:rFonts w:ascii="Arial" w:hAnsi="Arial" w:eastAsia="MS Mincho" w:cs="Arial"/>
          <w:i/>
          <w:iCs/>
          <w:sz w:val="22"/>
          <w:szCs w:val="22"/>
          <w:lang w:eastAsia="es-CO"/>
        </w:rPr>
        <w:t>«difundir las normas, reglas, procedimientos, medios tecnológicos y mejores prácticas para las compras y la contratación pública»</w:t>
      </w:r>
      <w:r w:rsidRPr="00E96F17">
        <w:rPr>
          <w:rFonts w:ascii="Arial" w:hAnsi="Arial" w:eastAsia="MS Mincho" w:cs="Arial"/>
          <w:sz w:val="22"/>
          <w:szCs w:val="22"/>
          <w:lang w:eastAsia="es-CO"/>
        </w:rPr>
        <w:t xml:space="preserve">, de conformidad con el numeral 10 del artículo 3 del Decreto Ley 4170 de 2011. </w:t>
      </w:r>
    </w:p>
    <w:p w:rsidRPr="00E96F17" w:rsidR="00B47CE9" w:rsidP="00B47CE9" w:rsidRDefault="00B47CE9" w14:paraId="595F25A1" w14:textId="77777777">
      <w:pPr>
        <w:spacing w:after="120" w:line="276" w:lineRule="auto"/>
        <w:ind w:firstLine="708"/>
        <w:jc w:val="both"/>
        <w:rPr>
          <w:rFonts w:ascii="Arial" w:hAnsi="Arial" w:eastAsia="MS Mincho" w:cs="Arial"/>
          <w:sz w:val="22"/>
          <w:szCs w:val="22"/>
          <w:lang w:eastAsia="es-CO"/>
        </w:rPr>
      </w:pPr>
      <w:r w:rsidRPr="00E96F17">
        <w:rPr>
          <w:rFonts w:ascii="Arial" w:hAnsi="Arial" w:eastAsia="MS Mincho" w:cs="Arial"/>
          <w:sz w:val="22"/>
          <w:szCs w:val="22"/>
          <w:lang w:eastAsia="es-CO"/>
        </w:rPr>
        <w:t xml:space="preserve">En este contexto, concretamente el numeral 2 del artículo 3 del Decreto Ley 4170 de 2011 señala que una de las funciones de la Agencia Nacional de Contratación Pública es </w:t>
      </w:r>
      <w:r w:rsidRPr="00E96F17">
        <w:rPr>
          <w:rFonts w:ascii="Arial" w:hAnsi="Arial" w:eastAsia="MS Mincho" w:cs="Arial"/>
          <w:i/>
          <w:iCs/>
          <w:sz w:val="22"/>
          <w:szCs w:val="22"/>
          <w:lang w:eastAsia="es-CO"/>
        </w:rPr>
        <w:t>«desarrollar,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w:t>
      </w:r>
      <w:r w:rsidRPr="00E96F17">
        <w:rPr>
          <w:rFonts w:ascii="Arial" w:hAnsi="Arial" w:eastAsia="MS Mincho" w:cs="Arial"/>
          <w:sz w:val="22"/>
          <w:szCs w:val="22"/>
          <w:lang w:eastAsia="es-CO"/>
        </w:rPr>
        <w:t xml:space="preserve"> Asimismo, el numeral 5 del mismo artículo otorga la facultad para expedir circulares externas en materia de compras y contratación pública.</w:t>
      </w:r>
    </w:p>
    <w:p w:rsidRPr="00E96F17" w:rsidR="00B47CE9" w:rsidP="00B47CE9" w:rsidRDefault="00B47CE9" w14:paraId="32337345" w14:textId="77777777">
      <w:pPr>
        <w:spacing w:after="120" w:line="276" w:lineRule="auto"/>
        <w:ind w:firstLine="708"/>
        <w:jc w:val="both"/>
        <w:rPr>
          <w:rFonts w:ascii="Arial" w:hAnsi="Arial" w:eastAsia="MS Mincho" w:cs="Arial"/>
          <w:sz w:val="22"/>
          <w:szCs w:val="22"/>
          <w:lang w:eastAsia="es-CO"/>
        </w:rPr>
      </w:pPr>
      <w:bookmarkStart w:name="_Hlk69117524" w:id="4"/>
      <w:r w:rsidRPr="00E96F17">
        <w:rPr>
          <w:rFonts w:ascii="Arial" w:hAnsi="Arial" w:eastAsia="MS Mincho" w:cs="Arial"/>
          <w:sz w:val="22"/>
          <w:szCs w:val="22"/>
          <w:lang w:eastAsia="es-CO"/>
        </w:rPr>
        <w:t>En ejercicio de estas competencias conferidas por el Decreto Ley 4170 de 2011, Colombia Compra Eficiente ha expedido Guías, Manuales y Circulares, los cuales pueden ser calificados como herramientas de apoyo a los partícipes de la contratación pública.</w:t>
      </w:r>
    </w:p>
    <w:bookmarkEnd w:id="4"/>
    <w:p w:rsidRPr="00E96F17" w:rsidR="00B47CE9" w:rsidP="00B47CE9" w:rsidRDefault="00B47CE9" w14:paraId="7AD9F97A" w14:textId="77777777">
      <w:pPr>
        <w:spacing w:after="120" w:line="276" w:lineRule="auto"/>
        <w:ind w:firstLine="708"/>
        <w:jc w:val="both"/>
        <w:rPr>
          <w:rFonts w:ascii="Arial" w:hAnsi="Arial" w:eastAsia="MS Mincho" w:cs="Arial"/>
          <w:sz w:val="22"/>
          <w:szCs w:val="22"/>
          <w:lang w:eastAsia="es-CO"/>
        </w:rPr>
      </w:pPr>
      <w:r w:rsidRPr="00E96F17">
        <w:rPr>
          <w:rFonts w:ascii="Arial" w:hAnsi="Arial" w:eastAsia="MS Mincho" w:cs="Arial"/>
          <w:sz w:val="22"/>
          <w:szCs w:val="22"/>
          <w:lang w:eastAsia="es-CO"/>
        </w:rPr>
        <w:t xml:space="preserve">A pesar de que el Decreto Ley 4170 de 2011 no contiene de manera expresa los vocablos guía o manual, Colombia Compra Eficiente, a partir del 2013, los ha expedido </w:t>
      </w:r>
      <w:r w:rsidRPr="00E96F17">
        <w:rPr>
          <w:rFonts w:ascii="Arial" w:hAnsi="Arial" w:eastAsia="MS Mincho" w:cs="Arial"/>
          <w:sz w:val="22"/>
          <w:szCs w:val="22"/>
          <w:lang w:eastAsia="es-CO"/>
        </w:rPr>
        <w:lastRenderedPageBreak/>
        <w:t>como instrumentos y herramientas que facilitan las compras y la contratación pública y promueven las mejores prácticas, la eficiencia, transparencia y competitividad. El Decreto 1510 de 2013, por el cual se reglamentó el sistema de compras y contratación pública, compilado por el Decreto 1082 de 2015, a pesar de que se refiere de forma expresa a los Manuales y Guías, no distingue o precisa el concepto de cada uno.</w:t>
      </w:r>
    </w:p>
    <w:p w:rsidRPr="00E96F17" w:rsidR="00B47CE9" w:rsidP="00B47CE9" w:rsidRDefault="00B47CE9" w14:paraId="1744AE3D" w14:textId="77777777">
      <w:pPr>
        <w:spacing w:after="120" w:line="276" w:lineRule="auto"/>
        <w:ind w:firstLine="708"/>
        <w:jc w:val="both"/>
        <w:rPr>
          <w:rFonts w:ascii="Arial" w:hAnsi="Arial" w:eastAsia="MS Mincho" w:cs="Arial"/>
          <w:sz w:val="22"/>
          <w:szCs w:val="22"/>
          <w:lang w:eastAsia="es-CO"/>
        </w:rPr>
      </w:pPr>
      <w:r w:rsidRPr="00E96F17">
        <w:rPr>
          <w:rFonts w:ascii="Arial" w:hAnsi="Arial" w:eastAsia="MS Mincho" w:cs="Arial"/>
          <w:sz w:val="22"/>
          <w:szCs w:val="22"/>
          <w:lang w:eastAsia="es-CO"/>
        </w:rPr>
        <w:t>Bajo las denominaciones de guías, manuales, instructivos y protocolos muchas entidades del Estado han adoptado herramientas e instrumentos para definir criterios técnicos, fijar procedimientos, estandarizar procesos y establecer metodologías, aunque no existe un significado unívoco que defina cada herramienta</w:t>
      </w:r>
      <w:r w:rsidRPr="00E96F17">
        <w:rPr>
          <w:rFonts w:ascii="Arial" w:hAnsi="Arial" w:eastAsia="MS Mincho" w:cs="Arial"/>
          <w:sz w:val="22"/>
          <w:szCs w:val="22"/>
          <w:vertAlign w:val="superscript"/>
          <w:lang w:eastAsia="es-CO"/>
        </w:rPr>
        <w:footnoteReference w:id="2"/>
      </w:r>
      <w:r w:rsidRPr="00E96F17">
        <w:rPr>
          <w:rFonts w:ascii="Arial" w:hAnsi="Arial" w:eastAsia="MS Mincho" w:cs="Arial"/>
          <w:sz w:val="22"/>
          <w:szCs w:val="22"/>
          <w:lang w:eastAsia="es-CO"/>
        </w:rPr>
        <w:t>.</w:t>
      </w:r>
    </w:p>
    <w:p w:rsidRPr="00E96F17" w:rsidR="00B47CE9" w:rsidP="00B47CE9" w:rsidRDefault="00B47CE9" w14:paraId="40DD29CF" w14:textId="6AD908CB">
      <w:pPr>
        <w:spacing w:after="120" w:line="276" w:lineRule="auto"/>
        <w:ind w:firstLine="708"/>
        <w:jc w:val="both"/>
        <w:rPr>
          <w:rFonts w:ascii="Arial" w:hAnsi="Arial" w:eastAsia="MS Mincho" w:cs="Arial"/>
          <w:sz w:val="22"/>
          <w:szCs w:val="22"/>
          <w:lang w:eastAsia="es-CO"/>
        </w:rPr>
      </w:pPr>
      <w:r w:rsidRPr="00E96F17">
        <w:rPr>
          <w:rFonts w:ascii="Arial" w:hAnsi="Arial" w:eastAsia="MS Mincho" w:cs="Arial"/>
          <w:sz w:val="22"/>
          <w:szCs w:val="22"/>
          <w:lang w:eastAsia="es-CO"/>
        </w:rPr>
        <w:t xml:space="preserve">Dentro del funcionamiento interno de esta entidad, los manuales han sido entendidos como documentos que tratan de manera general aspectos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w:t>
      </w:r>
      <w:r w:rsidR="00640339">
        <w:rPr>
          <w:rFonts w:ascii="Arial" w:hAnsi="Arial" w:eastAsia="MS Mincho" w:cs="Arial"/>
          <w:sz w:val="22"/>
          <w:szCs w:val="22"/>
          <w:lang w:eastAsia="es-CO"/>
        </w:rPr>
        <w:t>P</w:t>
      </w:r>
      <w:r w:rsidRPr="00E96F17">
        <w:rPr>
          <w:rFonts w:ascii="Arial" w:hAnsi="Arial" w:eastAsia="MS Mincho" w:cs="Arial"/>
          <w:sz w:val="22"/>
          <w:szCs w:val="22"/>
          <w:lang w:eastAsia="es-CO"/>
        </w:rPr>
        <w:t xml:space="preserve">rocesos de </w:t>
      </w:r>
      <w:r w:rsidR="00640339">
        <w:rPr>
          <w:rFonts w:ascii="Arial" w:hAnsi="Arial" w:eastAsia="MS Mincho" w:cs="Arial"/>
          <w:sz w:val="22"/>
          <w:szCs w:val="22"/>
          <w:lang w:eastAsia="es-CO"/>
        </w:rPr>
        <w:t>C</w:t>
      </w:r>
      <w:r w:rsidRPr="00E96F17">
        <w:rPr>
          <w:rFonts w:ascii="Arial" w:hAnsi="Arial" w:eastAsia="MS Mincho" w:cs="Arial"/>
          <w:sz w:val="22"/>
          <w:szCs w:val="22"/>
          <w:lang w:eastAsia="es-CO"/>
        </w:rPr>
        <w:t>ontratación.</w:t>
      </w:r>
    </w:p>
    <w:p w:rsidRPr="00E96F17" w:rsidR="00B47CE9" w:rsidP="00B47CE9" w:rsidRDefault="00B47CE9" w14:paraId="7F99C742" w14:textId="77777777">
      <w:pPr>
        <w:spacing w:line="276" w:lineRule="auto"/>
        <w:ind w:firstLine="708"/>
        <w:jc w:val="both"/>
        <w:rPr>
          <w:rFonts w:ascii="Arial" w:hAnsi="Arial" w:eastAsia="MS Mincho" w:cs="Arial"/>
          <w:sz w:val="22"/>
          <w:szCs w:val="22"/>
          <w:lang w:eastAsia="es-CO"/>
        </w:rPr>
      </w:pPr>
      <w:r w:rsidRPr="00E96F17">
        <w:rPr>
          <w:rFonts w:ascii="Arial" w:hAnsi="Arial" w:eastAsia="MS Mincho" w:cs="Arial"/>
          <w:sz w:val="22"/>
          <w:szCs w:val="22"/>
          <w:lang w:eastAsia="es-CO"/>
        </w:rPr>
        <w:t xml:space="preserve">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guía para la liquidación de los contratos estatales, la cual fija un procedimiento para el efecto. </w:t>
      </w:r>
    </w:p>
    <w:p w:rsidRPr="00E96F17" w:rsidR="00B47CE9" w:rsidP="00B47CE9" w:rsidRDefault="00B47CE9" w14:paraId="497E1FBE" w14:textId="77777777">
      <w:pPr>
        <w:spacing w:line="276" w:lineRule="auto"/>
        <w:ind w:right="40"/>
        <w:jc w:val="both"/>
        <w:rPr>
          <w:rFonts w:ascii="Arial" w:hAnsi="Arial" w:eastAsia="MS Mincho" w:cs="Arial"/>
          <w:b/>
          <w:bCs/>
          <w:sz w:val="22"/>
          <w:szCs w:val="22"/>
          <w:lang w:eastAsia="es-CO"/>
        </w:rPr>
      </w:pPr>
    </w:p>
    <w:p w:rsidRPr="00E96F17" w:rsidR="00B47CE9" w:rsidP="00B47CE9" w:rsidRDefault="00B47CE9" w14:paraId="0694A41A" w14:textId="008E458C">
      <w:pPr>
        <w:spacing w:line="276" w:lineRule="auto"/>
        <w:ind w:right="40"/>
        <w:jc w:val="both"/>
        <w:rPr>
          <w:rFonts w:ascii="Arial" w:hAnsi="Arial" w:eastAsia="MS Mincho" w:cs="Arial"/>
          <w:b/>
          <w:bCs/>
          <w:sz w:val="22"/>
          <w:szCs w:val="22"/>
          <w:lang w:eastAsia="es-CO"/>
        </w:rPr>
      </w:pPr>
      <w:r w:rsidRPr="00E96F17">
        <w:rPr>
          <w:rFonts w:ascii="Arial" w:hAnsi="Arial" w:eastAsia="MS Mincho" w:cs="Arial"/>
          <w:b/>
          <w:bCs/>
          <w:sz w:val="22"/>
          <w:szCs w:val="22"/>
          <w:lang w:eastAsia="es-CO"/>
        </w:rPr>
        <w:t>2.1.1 Obligatoriedad de los instrumentos y herramientas expedidas por Colombia Compra</w:t>
      </w:r>
      <w:r w:rsidRPr="00E96F17">
        <w:rPr>
          <w:rFonts w:ascii="Arial" w:hAnsi="Arial" w:eastAsia="MS Mincho" w:cs="Arial"/>
          <w:b/>
          <w:bCs/>
          <w:spacing w:val="-2"/>
          <w:sz w:val="22"/>
          <w:szCs w:val="22"/>
          <w:lang w:eastAsia="es-CO"/>
        </w:rPr>
        <w:t xml:space="preserve"> </w:t>
      </w:r>
      <w:r w:rsidRPr="00E96F17">
        <w:rPr>
          <w:rFonts w:ascii="Arial" w:hAnsi="Arial" w:eastAsia="MS Mincho" w:cs="Arial"/>
          <w:b/>
          <w:bCs/>
          <w:sz w:val="22"/>
          <w:szCs w:val="22"/>
          <w:lang w:eastAsia="es-CO"/>
        </w:rPr>
        <w:t>Eficiente</w:t>
      </w:r>
    </w:p>
    <w:p w:rsidRPr="00E96F17" w:rsidR="00B47CE9" w:rsidP="00B47CE9" w:rsidRDefault="00B47CE9" w14:paraId="0F683863" w14:textId="77777777">
      <w:pPr>
        <w:spacing w:line="276" w:lineRule="auto"/>
        <w:ind w:right="42"/>
        <w:jc w:val="both"/>
        <w:rPr>
          <w:rFonts w:ascii="Arial" w:hAnsi="Arial" w:eastAsia="MS Mincho" w:cs="Arial"/>
          <w:sz w:val="22"/>
          <w:szCs w:val="22"/>
          <w:lang w:eastAsia="es-CO"/>
        </w:rPr>
      </w:pPr>
    </w:p>
    <w:p w:rsidRPr="00E96F17" w:rsidR="00B47CE9" w:rsidP="00B47CE9" w:rsidRDefault="00B47CE9" w14:paraId="2C47F79F" w14:textId="7E5FDA1D">
      <w:pPr>
        <w:spacing w:after="120" w:line="276" w:lineRule="auto"/>
        <w:ind w:right="42"/>
        <w:jc w:val="both"/>
        <w:rPr>
          <w:rFonts w:ascii="Arial" w:hAnsi="Arial" w:eastAsia="MS Mincho" w:cs="Arial"/>
          <w:sz w:val="22"/>
          <w:szCs w:val="22"/>
          <w:lang w:eastAsia="es-CO"/>
        </w:rPr>
      </w:pPr>
      <w:r w:rsidRPr="00E96F17">
        <w:rPr>
          <w:rFonts w:ascii="Arial" w:hAnsi="Arial" w:eastAsia="MS Mincho" w:cs="Arial"/>
          <w:sz w:val="22"/>
          <w:szCs w:val="22"/>
          <w:lang w:eastAsia="es-CO"/>
        </w:rPr>
        <w:lastRenderedPageBreak/>
        <w:t xml:space="preserve">Para el año 2016, frente a los documentos indicados se sostuvo que los Manuales y Guías, como instrumentos o herramientas de buenas prácticas y facilitadores de la comprensión de la normativa del Sistema de Compra Pública, solo eran obligatorios cuando se acogían a través de una circular, de manera que si las </w:t>
      </w:r>
      <w:r w:rsidR="00333E77">
        <w:rPr>
          <w:rFonts w:ascii="Arial" w:hAnsi="Arial" w:eastAsia="MS Mincho" w:cs="Arial"/>
          <w:sz w:val="22"/>
          <w:szCs w:val="22"/>
          <w:lang w:eastAsia="es-CO"/>
        </w:rPr>
        <w:t>E</w:t>
      </w:r>
      <w:r w:rsidRPr="00E96F17">
        <w:rPr>
          <w:rFonts w:ascii="Arial" w:hAnsi="Arial" w:eastAsia="MS Mincho" w:cs="Arial"/>
          <w:sz w:val="22"/>
          <w:szCs w:val="22"/>
          <w:lang w:eastAsia="es-CO"/>
        </w:rPr>
        <w:t xml:space="preserve">ntidades </w:t>
      </w:r>
      <w:r w:rsidR="00333E77">
        <w:rPr>
          <w:rFonts w:ascii="Arial" w:hAnsi="Arial" w:eastAsia="MS Mincho" w:cs="Arial"/>
          <w:sz w:val="22"/>
          <w:szCs w:val="22"/>
          <w:lang w:eastAsia="es-CO"/>
        </w:rPr>
        <w:t>E</w:t>
      </w:r>
      <w:r w:rsidRPr="00E96F17">
        <w:rPr>
          <w:rFonts w:ascii="Arial" w:hAnsi="Arial" w:eastAsia="MS Mincho" w:cs="Arial"/>
          <w:sz w:val="22"/>
          <w:szCs w:val="22"/>
          <w:lang w:eastAsia="es-CO"/>
        </w:rPr>
        <w:t>statales se apartaban de esas buenas prácticas tenían una carga de argumentación que debía quedar consignada de manera expresa en los documentos del</w:t>
      </w:r>
      <w:r w:rsidRPr="00E96F17">
        <w:rPr>
          <w:rFonts w:ascii="Arial" w:hAnsi="Arial" w:eastAsia="MS Mincho" w:cs="Arial"/>
          <w:spacing w:val="-8"/>
          <w:sz w:val="22"/>
          <w:szCs w:val="22"/>
          <w:lang w:eastAsia="es-CO"/>
        </w:rPr>
        <w:t xml:space="preserve"> </w:t>
      </w:r>
      <w:r w:rsidRPr="00E96F17">
        <w:rPr>
          <w:rFonts w:ascii="Arial" w:hAnsi="Arial" w:eastAsia="MS Mincho" w:cs="Arial"/>
          <w:sz w:val="22"/>
          <w:szCs w:val="22"/>
          <w:lang w:eastAsia="es-CO"/>
        </w:rPr>
        <w:t>proceso.</w:t>
      </w:r>
    </w:p>
    <w:p w:rsidRPr="00E96F17" w:rsidR="00B47CE9" w:rsidP="00B47CE9" w:rsidRDefault="00B47CE9" w14:paraId="5FF35771" w14:textId="77777777">
      <w:pPr>
        <w:spacing w:after="120" w:line="276" w:lineRule="auto"/>
        <w:ind w:right="42" w:firstLine="708"/>
        <w:jc w:val="both"/>
        <w:rPr>
          <w:rFonts w:ascii="Arial" w:hAnsi="Arial" w:eastAsia="MS Mincho" w:cs="Arial"/>
          <w:sz w:val="22"/>
          <w:szCs w:val="22"/>
          <w:lang w:eastAsia="es-CO"/>
        </w:rPr>
      </w:pPr>
      <w:r w:rsidRPr="00E96F17">
        <w:rPr>
          <w:rFonts w:ascii="Arial" w:hAnsi="Arial" w:eastAsia="MS Mincho" w:cs="Arial"/>
          <w:sz w:val="22"/>
          <w:szCs w:val="22"/>
          <w:lang w:eastAsia="es-CO"/>
        </w:rPr>
        <w:t>Las circulares externas, al ser actos administrativos generales, eran obligatorias siempre que se hubieran publicado en el Diario Oficial, en este sentido, las directrices, manuales, guías o lineamientos que se adopten por circular o cualquier otro acto administrativo vinculante eran obligatorias para los partícipes del Sistema de Compra Pública</w:t>
      </w:r>
      <w:r w:rsidRPr="00E96F17">
        <w:rPr>
          <w:rFonts w:ascii="Arial" w:hAnsi="Arial" w:eastAsia="MS Mincho" w:cs="Arial"/>
          <w:sz w:val="22"/>
          <w:szCs w:val="22"/>
          <w:vertAlign w:val="superscript"/>
          <w:lang w:eastAsia="es-CO"/>
        </w:rPr>
        <w:footnoteReference w:id="3"/>
      </w:r>
      <w:r w:rsidRPr="00E96F17">
        <w:rPr>
          <w:rFonts w:ascii="Arial" w:hAnsi="Arial" w:eastAsia="MS Mincho" w:cs="Arial"/>
          <w:sz w:val="22"/>
          <w:szCs w:val="22"/>
          <w:lang w:eastAsia="es-CO"/>
        </w:rPr>
        <w:t>.</w:t>
      </w:r>
    </w:p>
    <w:p w:rsidRPr="00E96F17" w:rsidR="00B47CE9" w:rsidP="00B47CE9" w:rsidRDefault="00B47CE9" w14:paraId="156E6B3C" w14:textId="77777777">
      <w:pPr>
        <w:spacing w:after="120" w:line="276" w:lineRule="auto"/>
        <w:ind w:right="42" w:firstLine="708"/>
        <w:jc w:val="both"/>
        <w:rPr>
          <w:rFonts w:ascii="Arial" w:hAnsi="Arial" w:eastAsia="MS Mincho" w:cs="Arial"/>
          <w:sz w:val="22"/>
          <w:szCs w:val="22"/>
          <w:lang w:eastAsia="es-CO"/>
        </w:rPr>
      </w:pPr>
      <w:r w:rsidRPr="00E96F17">
        <w:rPr>
          <w:rFonts w:ascii="Arial" w:hAnsi="Arial" w:eastAsia="MS Mincho" w:cs="Arial"/>
          <w:sz w:val="22"/>
          <w:szCs w:val="22"/>
          <w:lang w:eastAsia="es-CO"/>
        </w:rPr>
        <w:t>Así pues, el enfoque que se tuvo sobre la obligatoriedad o vinculatoriedad de las normas proferidas por la Agencia Nacional de Contratación Pública, en ejercicio de sus funciones, le daba prevalencia a la forma mediante la cual se adoptaba la pauta o directriz, esto es, si se trataba de Circulares Externas se estaba en presencia de una norma de obligatorio cumplimiento; mientras que si la directriz se adoptaba bajo la forma de una Guía o Manual su aplicación era facultativa, y por tanto su rango normativo no pasaba de ser una recomendación de buenas prácticas administrativas.</w:t>
      </w:r>
    </w:p>
    <w:p w:rsidRPr="00E96F17" w:rsidR="00B47CE9" w:rsidP="00B47CE9" w:rsidRDefault="00B47CE9" w14:paraId="4814A6D3" w14:textId="77777777">
      <w:pPr>
        <w:spacing w:after="120" w:line="276" w:lineRule="auto"/>
        <w:ind w:right="42" w:firstLine="708"/>
        <w:jc w:val="both"/>
        <w:rPr>
          <w:rFonts w:ascii="Arial" w:hAnsi="Arial" w:eastAsia="MS Mincho" w:cs="Arial"/>
          <w:sz w:val="22"/>
          <w:szCs w:val="22"/>
          <w:lang w:eastAsia="es-CO"/>
        </w:rPr>
      </w:pPr>
      <w:r w:rsidRPr="00E96F17">
        <w:rPr>
          <w:rFonts w:ascii="Arial" w:hAnsi="Arial" w:eastAsia="MS Mincho" w:cs="Arial"/>
          <w:sz w:val="22"/>
          <w:szCs w:val="22"/>
          <w:lang w:eastAsia="es-CO"/>
        </w:rPr>
        <w:t>Ahora bien, en el 2017 la Subdirección de Gestión Contractual acogió un enfoque sustantivo sobre el carácter obligatorio de los actos expedidos por la entidad. Esto quiere decir que con</w:t>
      </w:r>
      <w:r w:rsidRPr="00E96F17">
        <w:rPr>
          <w:rFonts w:ascii="Arial" w:hAnsi="Arial" w:eastAsia="MS Mincho" w:cs="Arial"/>
          <w:spacing w:val="1"/>
          <w:sz w:val="22"/>
          <w:szCs w:val="22"/>
          <w:lang w:eastAsia="es-CO"/>
        </w:rPr>
        <w:t xml:space="preserve"> </w:t>
      </w:r>
      <w:r w:rsidRPr="00E96F17">
        <w:rPr>
          <w:rFonts w:ascii="Arial" w:hAnsi="Arial" w:eastAsia="MS Mincho" w:cs="Arial"/>
          <w:sz w:val="22"/>
          <w:szCs w:val="22"/>
          <w:lang w:eastAsia="es-CO"/>
        </w:rPr>
        <w:t>independencia de la forma que adopte la directriz, su carácter obligatorio o no está determinado por la existencia de una competencia legal o reglamentaria para regular el asunto en concreto.</w:t>
      </w:r>
    </w:p>
    <w:p w:rsidRPr="00E96F17" w:rsidR="00B47CE9" w:rsidP="00B47CE9" w:rsidRDefault="00B47CE9" w14:paraId="5B50D82C" w14:textId="3911C509">
      <w:pPr>
        <w:spacing w:after="120" w:line="276" w:lineRule="auto"/>
        <w:ind w:right="42" w:firstLine="708"/>
        <w:jc w:val="both"/>
        <w:rPr>
          <w:rFonts w:ascii="Arial" w:hAnsi="Arial" w:eastAsia="MS Mincho" w:cs="Arial"/>
          <w:sz w:val="22"/>
          <w:szCs w:val="22"/>
          <w:lang w:eastAsia="es-CO"/>
        </w:rPr>
      </w:pPr>
      <w:r w:rsidRPr="00E96F17">
        <w:rPr>
          <w:rFonts w:ascii="Arial" w:hAnsi="Arial" w:eastAsia="MS Mincho" w:cs="Arial"/>
          <w:sz w:val="22"/>
          <w:szCs w:val="22"/>
          <w:lang w:eastAsia="es-CO"/>
        </w:rPr>
        <w:t xml:space="preserve">En otras palabras, lo que define la obligatoriedad de determinado acto que expida la entidad no es que se adopte mediante circular externa, sino que el contenido sea de aquellos cuya regulación ha sido encargada por el legislador o el </w:t>
      </w:r>
      <w:r w:rsidRPr="00E96F17" w:rsidR="006E5CA4">
        <w:rPr>
          <w:rFonts w:ascii="Arial" w:hAnsi="Arial" w:eastAsia="MS Mincho" w:cs="Arial"/>
          <w:sz w:val="22"/>
          <w:szCs w:val="22"/>
          <w:lang w:eastAsia="es-CO"/>
        </w:rPr>
        <w:t>presidente</w:t>
      </w:r>
      <w:r w:rsidRPr="00E96F17">
        <w:rPr>
          <w:rFonts w:ascii="Arial" w:hAnsi="Arial" w:eastAsia="MS Mincho" w:cs="Arial"/>
          <w:sz w:val="22"/>
          <w:szCs w:val="22"/>
          <w:lang w:eastAsia="es-CO"/>
        </w:rPr>
        <w:t xml:space="preserve"> de la República a la Agencia Nacional de Contratación Pública. Lo anterior hace referencia a la competencia, como uno de los elementos que caracteriza a los actos administrativos.</w:t>
      </w:r>
    </w:p>
    <w:p w:rsidRPr="00E96F17" w:rsidR="00B47CE9" w:rsidP="00B47CE9" w:rsidRDefault="00B47CE9" w14:paraId="478202ED" w14:textId="77777777">
      <w:pPr>
        <w:spacing w:after="120" w:line="276" w:lineRule="auto"/>
        <w:ind w:right="42" w:firstLine="708"/>
        <w:jc w:val="both"/>
        <w:rPr>
          <w:rFonts w:ascii="Arial" w:hAnsi="Arial" w:eastAsia="MS Mincho" w:cs="Arial"/>
          <w:sz w:val="22"/>
          <w:szCs w:val="22"/>
          <w:lang w:eastAsia="es-CO"/>
        </w:rPr>
      </w:pPr>
      <w:r w:rsidRPr="00E96F17">
        <w:rPr>
          <w:rFonts w:ascii="Arial" w:hAnsi="Arial" w:eastAsia="MS Mincho" w:cs="Arial"/>
          <w:sz w:val="22"/>
          <w:szCs w:val="22"/>
          <w:lang w:eastAsia="es-CO"/>
        </w:rPr>
        <w:t xml:space="preserve">Además, para que un acto expedido por esta entidad sea obligatorio, debe reunir todos los demás elementos de un acto administrativo, entendido este, desde su </w:t>
      </w:r>
      <w:r w:rsidRPr="00E96F17">
        <w:rPr>
          <w:rFonts w:ascii="Arial" w:hAnsi="Arial" w:eastAsia="MS Mincho" w:cs="Arial"/>
          <w:sz w:val="22"/>
          <w:szCs w:val="22"/>
          <w:lang w:eastAsia="es-CO"/>
        </w:rPr>
        <w:lastRenderedPageBreak/>
        <w:t>concepción clásica, como la manifestación unilateral de voluntad de la Administración, en ejercicio de la función administrativa, con la potencialidad de producir efectos jurídicos.</w:t>
      </w:r>
    </w:p>
    <w:p w:rsidRPr="00E96F17" w:rsidR="00B47CE9" w:rsidP="00B47CE9" w:rsidRDefault="00B47CE9" w14:paraId="61B70A00" w14:textId="3E3F881E">
      <w:pPr>
        <w:spacing w:line="276" w:lineRule="auto"/>
        <w:ind w:right="42" w:firstLine="708"/>
        <w:jc w:val="both"/>
        <w:rPr>
          <w:rFonts w:ascii="Arial" w:hAnsi="Arial" w:eastAsia="MS Mincho" w:cs="Arial"/>
          <w:sz w:val="22"/>
          <w:szCs w:val="22"/>
          <w:lang w:eastAsia="es-CO"/>
        </w:rPr>
      </w:pPr>
      <w:r w:rsidRPr="00E96F17">
        <w:rPr>
          <w:rFonts w:ascii="Arial" w:hAnsi="Arial" w:eastAsia="MS Mincho" w:cs="Arial"/>
          <w:sz w:val="22"/>
          <w:szCs w:val="22"/>
          <w:lang w:eastAsia="es-CO"/>
        </w:rPr>
        <w:t xml:space="preserve">Este enfoque sustantivo o material en relación con la obligatoriedad de las circulares, guías o </w:t>
      </w:r>
      <w:proofErr w:type="gramStart"/>
      <w:r w:rsidRPr="00E96F17">
        <w:rPr>
          <w:rFonts w:ascii="Arial" w:hAnsi="Arial" w:eastAsia="MS Mincho" w:cs="Arial"/>
          <w:sz w:val="22"/>
          <w:szCs w:val="22"/>
          <w:lang w:eastAsia="es-CO"/>
        </w:rPr>
        <w:t>manuales  corresponde</w:t>
      </w:r>
      <w:proofErr w:type="gramEnd"/>
      <w:r w:rsidRPr="00E96F17">
        <w:rPr>
          <w:rFonts w:ascii="Arial" w:hAnsi="Arial" w:eastAsia="MS Mincho" w:cs="Arial"/>
          <w:sz w:val="22"/>
          <w:szCs w:val="22"/>
          <w:lang w:eastAsia="es-CO"/>
        </w:rPr>
        <w:t xml:space="preserve"> al entendimiento que la jurisprudencia del Consejo de Estado ha tenido para determinar si se está ante un acto de la administración controlable por la jurisdicción contencioso administrativa, esto es, si se está en presencia de un acto administrativo. </w:t>
      </w:r>
    </w:p>
    <w:p w:rsidRPr="00E96F17" w:rsidR="00B47CE9" w:rsidP="00B47CE9" w:rsidRDefault="00B47CE9" w14:paraId="46077BEA" w14:textId="77777777">
      <w:pPr>
        <w:ind w:right="51"/>
        <w:jc w:val="both"/>
        <w:rPr>
          <w:rFonts w:ascii="Arial" w:hAnsi="Arial" w:cs="Arial"/>
          <w:b/>
          <w:bCs/>
          <w:sz w:val="22"/>
          <w:szCs w:val="22"/>
          <w:lang w:eastAsia="es-ES_tradnl"/>
        </w:rPr>
      </w:pPr>
    </w:p>
    <w:p w:rsidRPr="00E96F17" w:rsidR="00B47CE9" w:rsidP="00B47CE9" w:rsidRDefault="00B47CE9" w14:paraId="282998A6" w14:textId="6AD78C04">
      <w:pPr>
        <w:ind w:right="51"/>
        <w:jc w:val="both"/>
        <w:rPr>
          <w:rFonts w:ascii="Arial" w:hAnsi="Arial" w:cs="Arial"/>
          <w:sz w:val="22"/>
          <w:szCs w:val="22"/>
          <w:lang w:eastAsia="es-ES_tradnl"/>
        </w:rPr>
      </w:pPr>
      <w:r w:rsidRPr="00E96F17">
        <w:rPr>
          <w:rFonts w:ascii="Arial" w:hAnsi="Arial" w:cs="Arial"/>
          <w:b/>
          <w:bCs/>
          <w:sz w:val="22"/>
          <w:szCs w:val="22"/>
          <w:lang w:eastAsia="es-ES_tradnl"/>
        </w:rPr>
        <w:t>2.1.2. Posición del Consejo de Estado en torno a la obligatoriedad de los instrumentos y herramientas expedidas por Colombia Compra</w:t>
      </w:r>
      <w:r w:rsidRPr="00E96F17">
        <w:rPr>
          <w:rFonts w:ascii="Arial" w:hAnsi="Arial" w:cs="Arial"/>
          <w:b/>
          <w:bCs/>
          <w:spacing w:val="-11"/>
          <w:sz w:val="22"/>
          <w:szCs w:val="22"/>
          <w:lang w:eastAsia="es-ES_tradnl"/>
        </w:rPr>
        <w:t xml:space="preserve"> </w:t>
      </w:r>
      <w:r w:rsidRPr="00E96F17">
        <w:rPr>
          <w:rFonts w:ascii="Arial" w:hAnsi="Arial" w:cs="Arial"/>
          <w:b/>
          <w:bCs/>
          <w:sz w:val="22"/>
          <w:szCs w:val="22"/>
          <w:lang w:eastAsia="es-ES_tradnl"/>
        </w:rPr>
        <w:t xml:space="preserve">Eficiente </w:t>
      </w:r>
    </w:p>
    <w:p w:rsidRPr="00E96F17" w:rsidR="00B47CE9" w:rsidP="00B47CE9" w:rsidRDefault="00B47CE9" w14:paraId="5ED1ED92" w14:textId="77777777">
      <w:pPr>
        <w:spacing w:line="276" w:lineRule="auto"/>
        <w:ind w:right="49"/>
        <w:jc w:val="both"/>
        <w:rPr>
          <w:rFonts w:ascii="Arial" w:hAnsi="Arial" w:eastAsia="MS Mincho" w:cs="Arial"/>
          <w:sz w:val="22"/>
          <w:szCs w:val="22"/>
          <w:lang w:eastAsia="es-CO"/>
        </w:rPr>
      </w:pPr>
    </w:p>
    <w:p w:rsidRPr="00E96F17" w:rsidR="00B47CE9" w:rsidP="00B47CE9" w:rsidRDefault="00B47CE9" w14:paraId="3693EF01" w14:textId="7657C70B">
      <w:pPr>
        <w:spacing w:after="120" w:line="276" w:lineRule="auto"/>
        <w:jc w:val="both"/>
        <w:rPr>
          <w:rFonts w:ascii="Arial" w:hAnsi="Arial" w:eastAsia="MS Mincho" w:cs="Arial"/>
          <w:sz w:val="22"/>
          <w:szCs w:val="22"/>
          <w:lang w:eastAsia="es-CO"/>
        </w:rPr>
      </w:pPr>
      <w:r w:rsidRPr="00E96F17">
        <w:rPr>
          <w:rFonts w:ascii="Arial" w:hAnsi="Arial" w:eastAsia="MS Mincho" w:cs="Arial"/>
          <w:sz w:val="22"/>
          <w:szCs w:val="22"/>
          <w:lang w:eastAsia="es-CO"/>
        </w:rPr>
        <w:t>El Consejo de Estado</w:t>
      </w:r>
      <w:r w:rsidRPr="00E96F17" w:rsidR="00E96F17">
        <w:rPr>
          <w:rStyle w:val="Refdenotaalpie"/>
          <w:rFonts w:ascii="Arial" w:hAnsi="Arial" w:eastAsia="MS Mincho" w:cs="Arial"/>
          <w:sz w:val="22"/>
          <w:szCs w:val="22"/>
          <w:lang w:eastAsia="es-CO"/>
        </w:rPr>
        <w:footnoteReference w:id="4"/>
      </w:r>
      <w:r w:rsidRPr="00E96F17">
        <w:rPr>
          <w:rFonts w:ascii="Arial" w:hAnsi="Arial" w:eastAsia="MS Mincho" w:cs="Arial"/>
          <w:sz w:val="22"/>
          <w:szCs w:val="22"/>
          <w:lang w:eastAsia="es-CO"/>
        </w:rPr>
        <w:t xml:space="preserve"> estudió la naturaleza jurídica de los manuales y guías expedidos por Colombia Compra Eficiente. Señaló que se trata de normas de carácter general, impersonal y abstracto, cuya finalidad es dar un mayor nivel de detalle a todas las normas a las que están subordinadas, de forma que sea posible su aplicación. Sostuvo que normas como los manuales y las guías son conocidas como </w:t>
      </w:r>
      <w:r w:rsidRPr="00587A1E">
        <w:rPr>
          <w:rFonts w:ascii="Arial" w:hAnsi="Arial" w:eastAsia="MS Mincho" w:cs="Arial"/>
          <w:i/>
          <w:iCs/>
          <w:sz w:val="22"/>
          <w:szCs w:val="22"/>
          <w:lang w:eastAsia="es-CO"/>
        </w:rPr>
        <w:t>«normas reglamentarias de segundo o de tercer grado»</w:t>
      </w:r>
      <w:r w:rsidRPr="00E96F17">
        <w:rPr>
          <w:rFonts w:ascii="Arial" w:hAnsi="Arial" w:eastAsia="MS Mincho" w:cs="Arial"/>
          <w:sz w:val="22"/>
          <w:szCs w:val="22"/>
          <w:lang w:eastAsia="es-CO"/>
        </w:rPr>
        <w:t xml:space="preserve">, entendiendo las de primer grado como las expedidas por el </w:t>
      </w:r>
      <w:r w:rsidRPr="00E96F17" w:rsidR="006E5CA4">
        <w:rPr>
          <w:rFonts w:ascii="Arial" w:hAnsi="Arial" w:eastAsia="MS Mincho" w:cs="Arial"/>
          <w:sz w:val="22"/>
          <w:szCs w:val="22"/>
          <w:lang w:eastAsia="es-CO"/>
        </w:rPr>
        <w:t>presidente</w:t>
      </w:r>
      <w:r w:rsidRPr="00E96F17">
        <w:rPr>
          <w:rFonts w:ascii="Arial" w:hAnsi="Arial" w:eastAsia="MS Mincho" w:cs="Arial"/>
          <w:sz w:val="22"/>
          <w:szCs w:val="22"/>
          <w:lang w:eastAsia="es-CO"/>
        </w:rPr>
        <w:t xml:space="preserve"> de la República en ejercicio de la potestad reglamentaria del numeral 11 del artículo 189 de la Constitución</w:t>
      </w:r>
      <w:r w:rsidRPr="00E96F17">
        <w:rPr>
          <w:rFonts w:ascii="Arial" w:hAnsi="Arial" w:eastAsia="MS Mincho" w:cs="Arial"/>
          <w:spacing w:val="-6"/>
          <w:sz w:val="22"/>
          <w:szCs w:val="22"/>
          <w:lang w:eastAsia="es-CO"/>
        </w:rPr>
        <w:t xml:space="preserve"> </w:t>
      </w:r>
      <w:r w:rsidRPr="00E96F17">
        <w:rPr>
          <w:rFonts w:ascii="Arial" w:hAnsi="Arial" w:eastAsia="MS Mincho" w:cs="Arial"/>
          <w:sz w:val="22"/>
          <w:szCs w:val="22"/>
          <w:lang w:eastAsia="es-CO"/>
        </w:rPr>
        <w:t>Política.</w:t>
      </w:r>
    </w:p>
    <w:p w:rsidRPr="00E96F17" w:rsidR="00B47CE9" w:rsidP="00B47CE9" w:rsidRDefault="00B47CE9" w14:paraId="6444C198" w14:textId="77777777">
      <w:pPr>
        <w:spacing w:after="120" w:line="276" w:lineRule="auto"/>
        <w:ind w:firstLine="708"/>
        <w:jc w:val="both"/>
        <w:rPr>
          <w:rFonts w:ascii="Arial" w:hAnsi="Arial" w:eastAsia="MS Mincho" w:cs="Arial"/>
          <w:sz w:val="22"/>
          <w:szCs w:val="22"/>
          <w:lang w:eastAsia="es-CO"/>
        </w:rPr>
      </w:pPr>
      <w:r w:rsidRPr="00E96F17">
        <w:rPr>
          <w:rFonts w:ascii="Arial" w:hAnsi="Arial" w:eastAsia="MS Mincho" w:cs="Arial"/>
          <w:sz w:val="22"/>
          <w:szCs w:val="22"/>
          <w:lang w:eastAsia="es-CO"/>
        </w:rPr>
        <w:t>El Consejo de Estado, en consonancia con el criterio sustantivo o material de identificación de los actos administrativos arriba expuesto, reiteró que estos pueden estar revestidos de distintas formas, como decretos, resoluciones, reglamentos, acuerdos, manuales o circulares, en consecuencia, no es el nombre otorgado lo que genera que tenga naturaleza de acto administrativo, sino su contenido reglamentario o normativo de obligatoria aplicación, y ello es predicable, incluso, de los manuales expedidos por las distintas</w:t>
      </w:r>
      <w:r w:rsidRPr="00E96F17">
        <w:rPr>
          <w:rFonts w:ascii="Arial" w:hAnsi="Arial" w:eastAsia="MS Mincho" w:cs="Arial"/>
          <w:spacing w:val="-34"/>
          <w:sz w:val="22"/>
          <w:szCs w:val="22"/>
          <w:lang w:eastAsia="es-CO"/>
        </w:rPr>
        <w:t xml:space="preserve"> </w:t>
      </w:r>
      <w:r w:rsidRPr="00E96F17">
        <w:rPr>
          <w:rFonts w:ascii="Arial" w:hAnsi="Arial" w:eastAsia="MS Mincho" w:cs="Arial"/>
          <w:sz w:val="22"/>
          <w:szCs w:val="22"/>
          <w:lang w:eastAsia="es-CO"/>
        </w:rPr>
        <w:t>autoridades.</w:t>
      </w:r>
    </w:p>
    <w:p w:rsidRPr="00E96F17" w:rsidR="00B47CE9" w:rsidP="00B47CE9" w:rsidRDefault="00B47CE9" w14:paraId="3CC3C1F4" w14:textId="0BF683D7">
      <w:pPr>
        <w:spacing w:after="120" w:line="276" w:lineRule="auto"/>
        <w:ind w:firstLine="708"/>
        <w:jc w:val="both"/>
        <w:rPr>
          <w:rFonts w:ascii="Arial" w:hAnsi="Arial" w:eastAsia="MS Mincho" w:cs="Arial"/>
          <w:sz w:val="22"/>
          <w:szCs w:val="22"/>
          <w:lang w:eastAsia="es-CO"/>
        </w:rPr>
      </w:pPr>
      <w:r w:rsidRPr="00E96F17">
        <w:rPr>
          <w:rFonts w:ascii="Arial" w:hAnsi="Arial" w:eastAsia="MS Mincho" w:cs="Arial"/>
          <w:sz w:val="22"/>
          <w:szCs w:val="22"/>
          <w:lang w:eastAsia="es-CO"/>
        </w:rPr>
        <w:t>De esta forma, los manuales, guías o circulares frente a los que existe un fundamento normativo de rango legal o reglamentario que da la competencia a</w:t>
      </w:r>
      <w:r w:rsidRPr="00E96F17" w:rsidR="006E5CA4">
        <w:rPr>
          <w:rFonts w:ascii="Arial" w:hAnsi="Arial" w:eastAsia="MS Mincho" w:cs="Arial"/>
          <w:sz w:val="22"/>
          <w:szCs w:val="22"/>
          <w:lang w:eastAsia="es-CO"/>
        </w:rPr>
        <w:t xml:space="preserve"> la</w:t>
      </w:r>
      <w:r w:rsidRPr="00E96F17">
        <w:rPr>
          <w:rFonts w:ascii="Arial" w:hAnsi="Arial" w:eastAsia="MS Mincho" w:cs="Arial"/>
          <w:sz w:val="22"/>
          <w:szCs w:val="22"/>
          <w:lang w:eastAsia="es-CO"/>
        </w:rPr>
        <w:t xml:space="preserve"> </w:t>
      </w:r>
      <w:r w:rsidRPr="00E96F17" w:rsidR="006E5CA4">
        <w:rPr>
          <w:rFonts w:ascii="Arial" w:hAnsi="Arial" w:eastAsia="Calibri" w:cs="Arial"/>
          <w:sz w:val="22"/>
          <w:szCs w:val="22"/>
          <w:lang w:val="es-ES"/>
        </w:rPr>
        <w:t xml:space="preserve">Agencia Nacional de Contratación Pública – </w:t>
      </w:r>
      <w:r w:rsidRPr="00E96F17">
        <w:rPr>
          <w:rFonts w:ascii="Arial" w:hAnsi="Arial" w:eastAsia="MS Mincho" w:cs="Arial"/>
          <w:sz w:val="22"/>
          <w:szCs w:val="22"/>
          <w:lang w:eastAsia="es-CO"/>
        </w:rPr>
        <w:t xml:space="preserve">Colombia Compra Eficiente para expedirlos fueron declarados ajustados al ordenamiento jurídico y, además, frente a ellos se puede concluir que se trata de actos administrativos –incluso reglamentos– de obligatorio cumplimiento para los partícipes de la contratación pública, como el </w:t>
      </w:r>
      <w:r w:rsidRPr="00E96F17" w:rsidR="00E96F17">
        <w:rPr>
          <w:rFonts w:ascii="Arial" w:hAnsi="Arial" w:eastAsia="MS Mincho" w:cs="Arial"/>
          <w:sz w:val="22"/>
          <w:szCs w:val="22"/>
          <w:lang w:eastAsia="es-CO"/>
        </w:rPr>
        <w:t>M</w:t>
      </w:r>
      <w:r w:rsidRPr="00E96F17">
        <w:rPr>
          <w:rFonts w:ascii="Arial" w:hAnsi="Arial" w:eastAsia="MS Mincho" w:cs="Arial"/>
          <w:sz w:val="22"/>
          <w:szCs w:val="22"/>
          <w:lang w:eastAsia="es-CO"/>
        </w:rPr>
        <w:t xml:space="preserve">anual de uso de los </w:t>
      </w:r>
      <w:r w:rsidRPr="00E96F17" w:rsidR="00E96F17">
        <w:rPr>
          <w:rFonts w:ascii="Arial" w:hAnsi="Arial" w:eastAsia="MS Mincho" w:cs="Arial"/>
          <w:sz w:val="22"/>
          <w:szCs w:val="22"/>
          <w:lang w:eastAsia="es-CO"/>
        </w:rPr>
        <w:t>A</w:t>
      </w:r>
      <w:r w:rsidRPr="00E96F17">
        <w:rPr>
          <w:rFonts w:ascii="Arial" w:hAnsi="Arial" w:eastAsia="MS Mincho" w:cs="Arial"/>
          <w:sz w:val="22"/>
          <w:szCs w:val="22"/>
          <w:lang w:eastAsia="es-CO"/>
        </w:rPr>
        <w:t xml:space="preserve">cuerdos </w:t>
      </w:r>
      <w:r w:rsidRPr="00E96F17" w:rsidR="00E96F17">
        <w:rPr>
          <w:rFonts w:ascii="Arial" w:hAnsi="Arial" w:eastAsia="MS Mincho" w:cs="Arial"/>
          <w:sz w:val="22"/>
          <w:szCs w:val="22"/>
          <w:lang w:eastAsia="es-CO"/>
        </w:rPr>
        <w:lastRenderedPageBreak/>
        <w:t>M</w:t>
      </w:r>
      <w:r w:rsidRPr="00E96F17">
        <w:rPr>
          <w:rFonts w:ascii="Arial" w:hAnsi="Arial" w:eastAsia="MS Mincho" w:cs="Arial"/>
          <w:sz w:val="22"/>
          <w:szCs w:val="22"/>
          <w:lang w:eastAsia="es-CO"/>
        </w:rPr>
        <w:t xml:space="preserve">arco de </w:t>
      </w:r>
      <w:r w:rsidRPr="00E96F17" w:rsidR="00E96F17">
        <w:rPr>
          <w:rFonts w:ascii="Arial" w:hAnsi="Arial" w:eastAsia="MS Mincho" w:cs="Arial"/>
          <w:sz w:val="22"/>
          <w:szCs w:val="22"/>
          <w:lang w:eastAsia="es-CO"/>
        </w:rPr>
        <w:t>P</w:t>
      </w:r>
      <w:r w:rsidRPr="00E96F17">
        <w:rPr>
          <w:rFonts w:ascii="Arial" w:hAnsi="Arial" w:eastAsia="MS Mincho" w:cs="Arial"/>
          <w:sz w:val="22"/>
          <w:szCs w:val="22"/>
          <w:lang w:eastAsia="es-CO"/>
        </w:rPr>
        <w:t>recios</w:t>
      </w:r>
      <w:r w:rsidRPr="00E96F17" w:rsidR="00E96F17">
        <w:rPr>
          <w:rFonts w:ascii="Arial" w:hAnsi="Arial" w:eastAsia="MS Mincho" w:cs="Arial"/>
          <w:sz w:val="22"/>
          <w:szCs w:val="22"/>
          <w:lang w:eastAsia="es-CO"/>
        </w:rPr>
        <w:t xml:space="preserve"> o la </w:t>
      </w:r>
      <w:r w:rsidRPr="00587A1E" w:rsidR="00E96F17">
        <w:rPr>
          <w:rFonts w:ascii="Arial" w:hAnsi="Arial" w:eastAsia="Arial" w:cs="Arial"/>
          <w:sz w:val="22"/>
          <w:szCs w:val="22"/>
        </w:rPr>
        <w:t>Guía para determinar la Capacidad Residual para los contratos de obra pública</w:t>
      </w:r>
      <w:r w:rsidRPr="00E96F17" w:rsidR="00E96F17">
        <w:rPr>
          <w:rFonts w:ascii="Arial" w:hAnsi="Arial" w:eastAsia="MS Mincho" w:cs="Arial"/>
          <w:sz w:val="22"/>
          <w:szCs w:val="22"/>
          <w:lang w:eastAsia="es-CO"/>
        </w:rPr>
        <w:t xml:space="preserve"> </w:t>
      </w:r>
      <w:r w:rsidRPr="00E96F17">
        <w:rPr>
          <w:rFonts w:ascii="Arial" w:hAnsi="Arial" w:eastAsia="MS Mincho" w:cs="Arial"/>
          <w:sz w:val="22"/>
          <w:szCs w:val="22"/>
          <w:lang w:eastAsia="es-CO"/>
        </w:rPr>
        <w:t>.</w:t>
      </w:r>
    </w:p>
    <w:p w:rsidRPr="00E96F17" w:rsidR="00B47CE9" w:rsidP="00B47CE9" w:rsidRDefault="00B47CE9" w14:paraId="3CF49066" w14:textId="77777777">
      <w:pPr>
        <w:spacing w:after="120" w:line="276" w:lineRule="auto"/>
        <w:ind w:firstLine="708"/>
        <w:jc w:val="both"/>
        <w:rPr>
          <w:rFonts w:ascii="Arial" w:hAnsi="Arial" w:eastAsia="MS Mincho" w:cs="Arial"/>
          <w:sz w:val="22"/>
          <w:szCs w:val="22"/>
          <w:lang w:eastAsia="es-CO"/>
        </w:rPr>
      </w:pPr>
      <w:r w:rsidRPr="00E96F17">
        <w:rPr>
          <w:rFonts w:ascii="Arial" w:hAnsi="Arial" w:eastAsia="MS Mincho" w:cs="Arial"/>
          <w:sz w:val="22"/>
          <w:szCs w:val="22"/>
          <w:lang w:eastAsia="es-CO"/>
        </w:rPr>
        <w:t>Lo contrario ocurre con los manuales, guías o circulares, o contenidos de estos que se expiden sin una competencia legal o reglamentaria, diferente de la genérica contenida en el Decreto Ley 4170 de 2011, que defiera a esta entidad su adopción. Estos instrumentos o herramientas quedan en el ámbito de normas de apoyo y de buenas prácticas para los partícipes del Sistema de Compra Pública, de donde no se puede derivar obligatoriedad.</w:t>
      </w:r>
    </w:p>
    <w:p w:rsidRPr="00E96F17" w:rsidR="00B47CE9" w:rsidP="00B47CE9" w:rsidRDefault="00B47CE9" w14:paraId="0D545BF8" w14:textId="77777777">
      <w:pPr>
        <w:spacing w:after="120" w:line="276" w:lineRule="auto"/>
        <w:ind w:firstLine="708"/>
        <w:jc w:val="both"/>
        <w:rPr>
          <w:rFonts w:ascii="Arial" w:hAnsi="Arial" w:eastAsia="MS Mincho" w:cs="Arial"/>
          <w:sz w:val="22"/>
          <w:szCs w:val="22"/>
          <w:lang w:eastAsia="es-CO"/>
        </w:rPr>
      </w:pPr>
      <w:r w:rsidRPr="00E96F17">
        <w:rPr>
          <w:rFonts w:ascii="Arial" w:hAnsi="Arial" w:eastAsia="MS Mincho" w:cs="Arial"/>
          <w:sz w:val="22"/>
          <w:szCs w:val="22"/>
          <w:lang w:eastAsia="es-CO"/>
        </w:rPr>
        <w:t>Así las cosas, la obligatoriedad de los instrumentos expedidos por Colombia Compra Eficiente no depende de la forma mediante la cual se adopten, pues guías, manuales o circulares podrán ser de obligatoria observancia o de mera pauta para fomentar buenas prácticas administrativas, dependiendo de si existe una norma de rango legal o de reglamentario, diferente de la general del Decreto 4170 de 2011, que confiera la competencia para regular determinado aspecto de la contratación estatal. Si la competencia no proviene de la ley o el reglamento, sin importar que se trate de una guía, un manual o una circular externa, no será vinculante y su función estará limitada a dar orientaciones o a reproducir normas, esto es, no tendrá fuerza obligatoria y, en consecuencia, no será vinculante para sus destinatarios, con independencia del nombre que</w:t>
      </w:r>
      <w:r w:rsidRPr="00E96F17">
        <w:rPr>
          <w:rFonts w:ascii="Arial" w:hAnsi="Arial" w:eastAsia="MS Mincho" w:cs="Arial"/>
          <w:spacing w:val="-2"/>
          <w:sz w:val="22"/>
          <w:szCs w:val="22"/>
          <w:lang w:eastAsia="es-CO"/>
        </w:rPr>
        <w:t xml:space="preserve"> </w:t>
      </w:r>
      <w:r w:rsidRPr="00E96F17">
        <w:rPr>
          <w:rFonts w:ascii="Arial" w:hAnsi="Arial" w:eastAsia="MS Mincho" w:cs="Arial"/>
          <w:sz w:val="22"/>
          <w:szCs w:val="22"/>
          <w:lang w:eastAsia="es-CO"/>
        </w:rPr>
        <w:t>tenga.</w:t>
      </w:r>
    </w:p>
    <w:p w:rsidRPr="00E96F17" w:rsidR="00952E8B" w:rsidP="006623C0" w:rsidRDefault="00315297" w14:paraId="6DE971F4" w14:textId="096EDCCC">
      <w:pPr>
        <w:tabs>
          <w:tab w:val="left" w:pos="426"/>
        </w:tabs>
        <w:spacing w:before="120" w:line="276" w:lineRule="auto"/>
        <w:ind w:firstLine="709"/>
        <w:jc w:val="both"/>
        <w:rPr>
          <w:rFonts w:ascii="Arial" w:hAnsi="Arial" w:eastAsia="Arial" w:cs="Arial"/>
          <w:color w:val="000000"/>
          <w:sz w:val="22"/>
          <w:szCs w:val="22"/>
        </w:rPr>
      </w:pPr>
      <w:r w:rsidRPr="00E96F17">
        <w:rPr>
          <w:rFonts w:ascii="Arial" w:hAnsi="Arial" w:eastAsia="Arial" w:cs="Arial"/>
          <w:color w:val="000000"/>
          <w:sz w:val="22"/>
          <w:szCs w:val="22"/>
        </w:rPr>
        <w:t>Ahora bien, tratándose del</w:t>
      </w:r>
      <w:r w:rsidRPr="00E96F17">
        <w:rPr>
          <w:rFonts w:ascii="Arial" w:hAnsi="Arial" w:eastAsia="Arial" w:cs="Arial"/>
          <w:i/>
          <w:iCs/>
          <w:color w:val="000000"/>
          <w:sz w:val="22"/>
          <w:szCs w:val="22"/>
        </w:rPr>
        <w:t xml:space="preserve"> Manual para </w:t>
      </w:r>
      <w:r w:rsidRPr="00E96F17" w:rsidR="00C079E8">
        <w:rPr>
          <w:rFonts w:ascii="Arial" w:hAnsi="Arial" w:eastAsia="Arial" w:cs="Arial"/>
          <w:i/>
          <w:iCs/>
          <w:color w:val="000000"/>
          <w:sz w:val="22"/>
          <w:szCs w:val="22"/>
        </w:rPr>
        <w:t xml:space="preserve">determinar y verificar los requisitos habilitantes en los </w:t>
      </w:r>
      <w:r w:rsidR="00640339">
        <w:rPr>
          <w:rFonts w:ascii="Arial" w:hAnsi="Arial" w:eastAsia="Arial" w:cs="Arial"/>
          <w:i/>
          <w:iCs/>
          <w:color w:val="000000"/>
          <w:sz w:val="22"/>
          <w:szCs w:val="22"/>
        </w:rPr>
        <w:t>P</w:t>
      </w:r>
      <w:r w:rsidRPr="00E96F17" w:rsidR="00C079E8">
        <w:rPr>
          <w:rFonts w:ascii="Arial" w:hAnsi="Arial" w:eastAsia="Arial" w:cs="Arial"/>
          <w:i/>
          <w:iCs/>
          <w:color w:val="000000"/>
          <w:sz w:val="22"/>
          <w:szCs w:val="22"/>
        </w:rPr>
        <w:t xml:space="preserve">rocesos de </w:t>
      </w:r>
      <w:r w:rsidR="00640339">
        <w:rPr>
          <w:rFonts w:ascii="Arial" w:hAnsi="Arial" w:eastAsia="Arial" w:cs="Arial"/>
          <w:i/>
          <w:iCs/>
          <w:color w:val="000000"/>
          <w:sz w:val="22"/>
          <w:szCs w:val="22"/>
        </w:rPr>
        <w:t>C</w:t>
      </w:r>
      <w:r w:rsidRPr="00E96F17" w:rsidR="00C079E8">
        <w:rPr>
          <w:rFonts w:ascii="Arial" w:hAnsi="Arial" w:eastAsia="Arial" w:cs="Arial"/>
          <w:i/>
          <w:iCs/>
          <w:color w:val="000000"/>
          <w:sz w:val="22"/>
          <w:szCs w:val="22"/>
        </w:rPr>
        <w:t>ontratación</w:t>
      </w:r>
      <w:r w:rsidRPr="00E96F17" w:rsidR="00CA365B">
        <w:rPr>
          <w:rFonts w:ascii="Arial" w:hAnsi="Arial" w:eastAsia="Arial" w:cs="Arial"/>
          <w:color w:val="000000"/>
          <w:sz w:val="22"/>
          <w:szCs w:val="22"/>
        </w:rPr>
        <w:t xml:space="preserve"> adoptado por esta Agencia</w:t>
      </w:r>
      <w:r w:rsidRPr="00E96F17" w:rsidR="00C079E8">
        <w:rPr>
          <w:rFonts w:ascii="Arial" w:hAnsi="Arial" w:eastAsia="Arial" w:cs="Arial"/>
          <w:color w:val="000000"/>
          <w:sz w:val="22"/>
          <w:szCs w:val="22"/>
        </w:rPr>
        <w:t>, se precisa que</w:t>
      </w:r>
      <w:r w:rsidRPr="00E96F17" w:rsidR="00952E8B">
        <w:rPr>
          <w:rFonts w:ascii="Arial" w:hAnsi="Arial" w:eastAsia="Arial" w:cs="Arial"/>
          <w:color w:val="000000"/>
          <w:sz w:val="22"/>
          <w:szCs w:val="22"/>
        </w:rPr>
        <w:t xml:space="preserve"> </w:t>
      </w:r>
      <w:r w:rsidRPr="00E96F17" w:rsidR="00CA365B">
        <w:rPr>
          <w:rFonts w:ascii="Arial" w:hAnsi="Arial" w:eastAsia="Arial" w:cs="Arial"/>
          <w:color w:val="000000"/>
          <w:sz w:val="22"/>
          <w:szCs w:val="22"/>
        </w:rPr>
        <w:t>este contiene recomendaciones para determinar los requisitos habilitantes y</w:t>
      </w:r>
      <w:r w:rsidR="00A61DDC">
        <w:rPr>
          <w:rFonts w:ascii="Arial" w:hAnsi="Arial" w:eastAsia="Arial" w:cs="Arial"/>
          <w:color w:val="000000"/>
          <w:sz w:val="22"/>
          <w:szCs w:val="22"/>
        </w:rPr>
        <w:t>,</w:t>
      </w:r>
      <w:r w:rsidRPr="00E96F17" w:rsidR="00CA365B">
        <w:rPr>
          <w:rFonts w:ascii="Arial" w:hAnsi="Arial" w:eastAsia="Arial" w:cs="Arial"/>
          <w:color w:val="000000"/>
          <w:sz w:val="22"/>
          <w:szCs w:val="22"/>
        </w:rPr>
        <w:t xml:space="preserve"> por ende, su contenido </w:t>
      </w:r>
      <w:r w:rsidRPr="00587A1E" w:rsidR="00CA365B">
        <w:rPr>
          <w:rFonts w:ascii="Arial" w:hAnsi="Arial" w:eastAsia="Arial" w:cs="Arial"/>
          <w:b/>
          <w:bCs/>
          <w:color w:val="000000"/>
          <w:sz w:val="22"/>
          <w:szCs w:val="22"/>
          <w:u w:val="single"/>
        </w:rPr>
        <w:t>no es de obligatorio</w:t>
      </w:r>
      <w:r w:rsidRPr="00E96F17" w:rsidR="00CA365B">
        <w:rPr>
          <w:rFonts w:ascii="Arial" w:hAnsi="Arial" w:eastAsia="Arial" w:cs="Arial"/>
          <w:color w:val="000000"/>
          <w:sz w:val="22"/>
          <w:szCs w:val="22"/>
        </w:rPr>
        <w:t xml:space="preserve"> cumplimiento por parte de las </w:t>
      </w:r>
      <w:r w:rsidR="00333E77">
        <w:rPr>
          <w:rFonts w:ascii="Arial" w:hAnsi="Arial" w:eastAsia="Arial" w:cs="Arial"/>
          <w:color w:val="000000"/>
          <w:sz w:val="22"/>
          <w:szCs w:val="22"/>
        </w:rPr>
        <w:t>E</w:t>
      </w:r>
      <w:r w:rsidRPr="00E96F17" w:rsidR="00CA365B">
        <w:rPr>
          <w:rFonts w:ascii="Arial" w:hAnsi="Arial" w:eastAsia="Arial" w:cs="Arial"/>
          <w:color w:val="000000"/>
          <w:sz w:val="22"/>
          <w:szCs w:val="22"/>
        </w:rPr>
        <w:t xml:space="preserve">ntidades </w:t>
      </w:r>
      <w:r w:rsidR="00333E77">
        <w:rPr>
          <w:rFonts w:ascii="Arial" w:hAnsi="Arial" w:eastAsia="Arial" w:cs="Arial"/>
          <w:color w:val="000000"/>
          <w:sz w:val="22"/>
          <w:szCs w:val="22"/>
        </w:rPr>
        <w:t>E</w:t>
      </w:r>
      <w:r w:rsidRPr="00E96F17" w:rsidR="00CA365B">
        <w:rPr>
          <w:rFonts w:ascii="Arial" w:hAnsi="Arial" w:eastAsia="Arial" w:cs="Arial"/>
          <w:color w:val="000000"/>
          <w:sz w:val="22"/>
          <w:szCs w:val="22"/>
        </w:rPr>
        <w:t>statales</w:t>
      </w:r>
      <w:r w:rsidRPr="00E96F17" w:rsidR="00952E8B">
        <w:rPr>
          <w:rStyle w:val="Refdenotaalpie"/>
          <w:rFonts w:ascii="Arial" w:hAnsi="Arial" w:eastAsia="Arial" w:cs="Arial"/>
          <w:color w:val="000000"/>
          <w:sz w:val="22"/>
          <w:szCs w:val="22"/>
        </w:rPr>
        <w:footnoteReference w:id="5"/>
      </w:r>
      <w:r w:rsidRPr="00E96F17" w:rsidR="00952E8B">
        <w:rPr>
          <w:rFonts w:ascii="Arial" w:hAnsi="Arial" w:eastAsia="Arial" w:cs="Arial"/>
          <w:color w:val="000000"/>
          <w:sz w:val="22"/>
          <w:szCs w:val="22"/>
        </w:rPr>
        <w:t>.</w:t>
      </w:r>
      <w:r w:rsidRPr="00E96F17" w:rsidR="00EA3139">
        <w:rPr>
          <w:rFonts w:ascii="Arial" w:hAnsi="Arial" w:eastAsia="Arial" w:cs="Arial"/>
          <w:color w:val="000000"/>
          <w:sz w:val="22"/>
          <w:szCs w:val="22"/>
        </w:rPr>
        <w:t xml:space="preserve"> </w:t>
      </w:r>
      <w:r w:rsidRPr="00E96F17" w:rsidR="00EA3139">
        <w:rPr>
          <w:rFonts w:ascii="Arial" w:hAnsi="Arial" w:eastAsia="Arial" w:cs="Arial"/>
          <w:color w:val="000000"/>
          <w:sz w:val="22"/>
          <w:szCs w:val="22"/>
          <w:lang w:val="es-ES_tradnl"/>
        </w:rPr>
        <w:t>De esta manera</w:t>
      </w:r>
      <w:r w:rsidRPr="00E96F17" w:rsidR="00952E8B">
        <w:rPr>
          <w:rFonts w:ascii="Arial" w:hAnsi="Arial" w:eastAsia="Arial" w:cs="Arial"/>
          <w:color w:val="000000"/>
          <w:sz w:val="22"/>
          <w:szCs w:val="22"/>
          <w:lang w:val="es-ES_tradnl"/>
        </w:rPr>
        <w:t xml:space="preserve">, les corresponde a las entidades, durante la etapa de planeación del contrato estatal, estudiar y </w:t>
      </w:r>
      <w:r w:rsidRPr="00E96F17" w:rsidR="00952E8B">
        <w:rPr>
          <w:rFonts w:ascii="Arial" w:hAnsi="Arial" w:eastAsia="Arial" w:cs="Arial"/>
          <w:iCs/>
          <w:color w:val="000000"/>
          <w:sz w:val="22"/>
          <w:szCs w:val="22"/>
          <w:lang w:val="es-ES_tradnl"/>
        </w:rPr>
        <w:t>determinar</w:t>
      </w:r>
      <w:r w:rsidRPr="00E96F17" w:rsidR="00952E8B">
        <w:rPr>
          <w:rFonts w:ascii="Arial" w:hAnsi="Arial" w:eastAsia="Arial" w:cs="Arial"/>
          <w:color w:val="000000"/>
          <w:sz w:val="22"/>
          <w:szCs w:val="22"/>
          <w:lang w:val="es-ES_tradnl"/>
        </w:rPr>
        <w:t xml:space="preserve"> los requisitos habilitantes que establecerán en los pliegos de condiciones, los cuales deben fijarse de forma adecuada y proporcional, para lo cual podrán tener en cuenta el </w:t>
      </w:r>
      <w:r w:rsidRPr="00E96F17" w:rsidR="00952E8B">
        <w:rPr>
          <w:rFonts w:ascii="Arial" w:hAnsi="Arial" w:eastAsia="Arial" w:cs="Arial"/>
          <w:i/>
          <w:iCs/>
          <w:color w:val="000000"/>
          <w:sz w:val="22"/>
          <w:szCs w:val="22"/>
        </w:rPr>
        <w:t>Manual para determinar y verificar los requisitos habilitantes en los procesos de contratación</w:t>
      </w:r>
      <w:r w:rsidRPr="00E96F17" w:rsidR="00952E8B">
        <w:rPr>
          <w:rFonts w:ascii="Arial" w:hAnsi="Arial" w:eastAsia="Arial" w:cs="Arial"/>
          <w:color w:val="000000"/>
          <w:sz w:val="22"/>
          <w:szCs w:val="22"/>
        </w:rPr>
        <w:t xml:space="preserve"> expedido por Colombia Compra Eficiente</w:t>
      </w:r>
      <w:r w:rsidRPr="00E96F17" w:rsidR="00952E8B">
        <w:rPr>
          <w:rFonts w:ascii="Arial" w:hAnsi="Arial" w:eastAsia="Arial" w:cs="Arial"/>
          <w:color w:val="000000"/>
          <w:sz w:val="22"/>
          <w:szCs w:val="22"/>
          <w:lang w:val="es-ES_tradnl"/>
        </w:rPr>
        <w:t xml:space="preserve">. Estos requisitos deben fijarse de acuerdo con la naturaleza, el valor del contrato, la forma de pago, los riesgos asociados al contrato, el plazo y la complejidad de ejecución del objeto. Todo porque la facultad de establecer los requisitos habilitantes no puede ejercerse de forma arbitraria, caprichosa y, mucho menos, con el ánimo de direccionar el proceso de contratación o favorecer a alguno de los proponentes. </w:t>
      </w:r>
    </w:p>
    <w:p w:rsidRPr="00E96F17" w:rsidR="00B47CE9" w:rsidP="001F7F46" w:rsidRDefault="00B47CE9" w14:paraId="232FFC38" w14:textId="07A64123">
      <w:pPr>
        <w:rPr>
          <w:rFonts w:ascii="Arial" w:hAnsi="Arial" w:eastAsia="Calibri" w:cs="Arial"/>
          <w:b/>
          <w:bCs/>
          <w:color w:val="000000"/>
          <w:sz w:val="22"/>
          <w:szCs w:val="22"/>
        </w:rPr>
      </w:pPr>
    </w:p>
    <w:p w:rsidRPr="00E96F17" w:rsidR="00B47CE9" w:rsidP="00B47CE9" w:rsidRDefault="00B47CE9" w14:paraId="6A235EE0" w14:textId="5813BA8A">
      <w:pPr>
        <w:tabs>
          <w:tab w:val="left" w:pos="426"/>
          <w:tab w:val="left" w:pos="851"/>
        </w:tabs>
        <w:spacing w:line="276" w:lineRule="auto"/>
        <w:contextualSpacing/>
        <w:jc w:val="both"/>
        <w:rPr>
          <w:rFonts w:ascii="Arial" w:hAnsi="Arial" w:cs="Arial"/>
          <w:b/>
          <w:bCs/>
          <w:sz w:val="22"/>
          <w:szCs w:val="22"/>
          <w:lang w:val="es-ES"/>
        </w:rPr>
      </w:pPr>
      <w:r w:rsidRPr="00E96F17">
        <w:rPr>
          <w:rFonts w:ascii="Arial" w:hAnsi="Arial" w:eastAsia="Calibri" w:cs="Arial"/>
          <w:b/>
          <w:sz w:val="22"/>
          <w:szCs w:val="22"/>
        </w:rPr>
        <w:lastRenderedPageBreak/>
        <w:t xml:space="preserve">2.2. </w:t>
      </w:r>
      <w:r w:rsidRPr="00E96F17">
        <w:rPr>
          <w:rFonts w:ascii="Arial" w:hAnsi="Arial" w:cs="Arial"/>
          <w:b/>
          <w:bCs/>
          <w:sz w:val="22"/>
          <w:szCs w:val="22"/>
          <w:lang w:val="es-ES"/>
        </w:rPr>
        <w:t xml:space="preserve">Requisitos habilitantes </w:t>
      </w:r>
      <w:r w:rsidRPr="00E96F17" w:rsidR="002B6F02">
        <w:rPr>
          <w:rFonts w:ascii="Arial" w:hAnsi="Arial" w:cs="Arial"/>
          <w:b/>
          <w:bCs/>
          <w:sz w:val="22"/>
          <w:szCs w:val="22"/>
          <w:lang w:val="es-ES"/>
        </w:rPr>
        <w:t xml:space="preserve">de </w:t>
      </w:r>
      <w:r w:rsidRPr="00E96F17">
        <w:rPr>
          <w:rFonts w:ascii="Arial" w:hAnsi="Arial" w:cs="Arial"/>
          <w:b/>
          <w:bCs/>
          <w:sz w:val="22"/>
          <w:szCs w:val="22"/>
          <w:lang w:val="es-ES"/>
        </w:rPr>
        <w:t>la capacidad financiera y organizacional</w:t>
      </w:r>
    </w:p>
    <w:p w:rsidRPr="00E96F17" w:rsidR="00B47CE9" w:rsidP="00B47CE9" w:rsidRDefault="00B47CE9" w14:paraId="69FBA717" w14:textId="77777777">
      <w:pPr>
        <w:tabs>
          <w:tab w:val="left" w:pos="426"/>
        </w:tabs>
        <w:spacing w:line="276" w:lineRule="auto"/>
        <w:contextualSpacing/>
        <w:jc w:val="both"/>
        <w:rPr>
          <w:rFonts w:ascii="Arial" w:hAnsi="Arial" w:eastAsia="Calibri" w:cs="Arial"/>
          <w:b/>
          <w:sz w:val="22"/>
          <w:szCs w:val="22"/>
        </w:rPr>
      </w:pPr>
    </w:p>
    <w:p w:rsidRPr="00E96F17" w:rsidR="00C1387A" w:rsidP="00C1387A" w:rsidRDefault="00C1387A" w14:paraId="777F9C7F" w14:textId="3E438BF0">
      <w:pPr>
        <w:spacing w:after="120" w:line="276" w:lineRule="auto"/>
        <w:jc w:val="both"/>
        <w:rPr>
          <w:rFonts w:ascii="Arial" w:hAnsi="Arial" w:eastAsia="Calibri" w:cs="Arial"/>
          <w:color w:val="000000" w:themeColor="text1"/>
          <w:sz w:val="22"/>
          <w:szCs w:val="22"/>
          <w:lang w:val="es-ES_tradnl" w:eastAsia="en-US"/>
        </w:rPr>
      </w:pPr>
      <w:r w:rsidRPr="00E96F17">
        <w:rPr>
          <w:rFonts w:ascii="Arial" w:hAnsi="Arial" w:eastAsia="Calibri" w:cs="Arial"/>
          <w:color w:val="000000" w:themeColor="text1"/>
          <w:sz w:val="22"/>
          <w:szCs w:val="22"/>
          <w:lang w:val="es-ES_tradnl"/>
        </w:rPr>
        <w:t xml:space="preserve">Los </w:t>
      </w:r>
      <w:r w:rsidRPr="00E96F17">
        <w:rPr>
          <w:rFonts w:ascii="Arial" w:hAnsi="Arial" w:eastAsia="Calibri" w:cs="Arial"/>
          <w:i/>
          <w:iCs/>
          <w:color w:val="000000" w:themeColor="text1"/>
          <w:sz w:val="22"/>
          <w:szCs w:val="22"/>
          <w:lang w:val="es-ES_tradnl"/>
        </w:rPr>
        <w:t>requisitos habilitantes</w:t>
      </w:r>
      <w:r w:rsidRPr="00E96F17">
        <w:rPr>
          <w:rFonts w:ascii="Arial" w:hAnsi="Arial" w:eastAsia="Calibri" w:cs="Arial"/>
          <w:color w:val="000000" w:themeColor="text1"/>
          <w:sz w:val="22"/>
          <w:szCs w:val="22"/>
          <w:lang w:val="es-ES_tradnl"/>
        </w:rPr>
        <w:t xml:space="preserve"> se definen como exigencias de participación en los procedimientos de selección, establecidos en disposiciones normativas, de carácter legal o reglamentario, o contenidas en el acto administrativo que regula las reglas de la convocatoria, es decir, en el pliego de condiciones o el documento equivalente a este. Se diferencian de los </w:t>
      </w:r>
      <w:r w:rsidRPr="00E96F17">
        <w:rPr>
          <w:rFonts w:ascii="Arial" w:hAnsi="Arial" w:eastAsia="Calibri" w:cs="Arial"/>
          <w:i/>
          <w:iCs/>
          <w:color w:val="000000" w:themeColor="text1"/>
          <w:sz w:val="22"/>
          <w:szCs w:val="22"/>
          <w:lang w:val="es-ES_tradnl"/>
        </w:rPr>
        <w:t>criterios de evaluación</w:t>
      </w:r>
      <w:r w:rsidRPr="00E96F17">
        <w:rPr>
          <w:rFonts w:ascii="Arial" w:hAnsi="Arial" w:eastAsia="Calibri" w:cs="Arial"/>
          <w:color w:val="000000" w:themeColor="text1"/>
          <w:sz w:val="22"/>
          <w:szCs w:val="22"/>
          <w:lang w:val="es-ES_tradnl"/>
        </w:rPr>
        <w:t xml:space="preserve"> –también conocidos como </w:t>
      </w:r>
      <w:r w:rsidRPr="00E96F17">
        <w:rPr>
          <w:rFonts w:ascii="Arial" w:hAnsi="Arial" w:eastAsia="Calibri" w:cs="Arial"/>
          <w:i/>
          <w:iCs/>
          <w:color w:val="000000" w:themeColor="text1"/>
          <w:sz w:val="22"/>
          <w:szCs w:val="22"/>
          <w:lang w:val="es-ES_tradnl"/>
        </w:rPr>
        <w:t>criterios de calificación</w:t>
      </w:r>
      <w:r w:rsidRPr="00E96F17">
        <w:rPr>
          <w:rFonts w:ascii="Arial" w:hAnsi="Arial" w:eastAsia="Calibri" w:cs="Arial"/>
          <w:color w:val="000000" w:themeColor="text1"/>
          <w:sz w:val="22"/>
          <w:szCs w:val="22"/>
          <w:lang w:val="es-ES_tradnl"/>
        </w:rPr>
        <w:t xml:space="preserve">– en que estos son los factores definidos por la </w:t>
      </w:r>
      <w:r w:rsidR="0088149F">
        <w:rPr>
          <w:rFonts w:ascii="Arial" w:hAnsi="Arial" w:eastAsia="Calibri" w:cs="Arial"/>
          <w:color w:val="000000" w:themeColor="text1"/>
          <w:sz w:val="22"/>
          <w:szCs w:val="22"/>
          <w:lang w:val="es-ES_tradnl"/>
        </w:rPr>
        <w:t>E</w:t>
      </w:r>
      <w:r w:rsidRPr="00E96F17">
        <w:rPr>
          <w:rFonts w:ascii="Arial" w:hAnsi="Arial" w:eastAsia="Calibri" w:cs="Arial"/>
          <w:color w:val="000000" w:themeColor="text1"/>
          <w:sz w:val="22"/>
          <w:szCs w:val="22"/>
          <w:lang w:val="es-ES_tradnl"/>
        </w:rPr>
        <w:t xml:space="preserve">ntidad </w:t>
      </w:r>
      <w:r w:rsidR="0088149F">
        <w:rPr>
          <w:rFonts w:ascii="Arial" w:hAnsi="Arial" w:eastAsia="Calibri" w:cs="Arial"/>
          <w:color w:val="000000" w:themeColor="text1"/>
          <w:sz w:val="22"/>
          <w:szCs w:val="22"/>
          <w:lang w:val="es-ES_tradnl"/>
        </w:rPr>
        <w:t>E</w:t>
      </w:r>
      <w:r w:rsidRPr="00E96F17">
        <w:rPr>
          <w:rFonts w:ascii="Arial" w:hAnsi="Arial" w:eastAsia="Calibri" w:cs="Arial"/>
          <w:color w:val="000000" w:themeColor="text1"/>
          <w:sz w:val="22"/>
          <w:szCs w:val="22"/>
          <w:lang w:val="es-ES_tradnl"/>
        </w:rPr>
        <w:t xml:space="preserve">statal para la asignación de puntaje en el momento de la comparación de las ofertas, y que, a partir de su ponderación, permiten establecer el orden de elegibilidad y, por ende, la propuesta ganadora. </w:t>
      </w:r>
    </w:p>
    <w:p w:rsidRPr="00E96F17" w:rsidR="00C1387A" w:rsidP="00C1387A" w:rsidRDefault="00C1387A" w14:paraId="75A3B0E4" w14:textId="77777777">
      <w:pPr>
        <w:spacing w:after="120" w:line="276" w:lineRule="auto"/>
        <w:ind w:firstLine="708"/>
        <w:jc w:val="both"/>
        <w:rPr>
          <w:rFonts w:ascii="Arial" w:hAnsi="Arial" w:eastAsia="Calibri" w:cs="Arial"/>
          <w:color w:val="000000" w:themeColor="text1"/>
          <w:sz w:val="22"/>
          <w:szCs w:val="22"/>
          <w:lang w:val="es-ES_tradnl"/>
        </w:rPr>
      </w:pPr>
      <w:r w:rsidRPr="00E96F17">
        <w:rPr>
          <w:rFonts w:ascii="Arial" w:hAnsi="Arial" w:eastAsia="Calibri" w:cs="Arial"/>
          <w:color w:val="000000" w:themeColor="text1"/>
          <w:sz w:val="22"/>
          <w:szCs w:val="22"/>
          <w:lang w:val="es-ES_tradnl"/>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rsidRPr="00E96F17" w:rsidR="00C1387A" w:rsidP="00C1387A" w:rsidRDefault="00C1387A" w14:paraId="23C6054E" w14:textId="77777777">
      <w:pPr>
        <w:spacing w:line="276" w:lineRule="auto"/>
        <w:ind w:firstLine="708"/>
        <w:jc w:val="both"/>
        <w:rPr>
          <w:rFonts w:ascii="Arial" w:hAnsi="Arial" w:eastAsia="Calibri" w:cs="Arial"/>
          <w:color w:val="000000" w:themeColor="text1"/>
          <w:sz w:val="22"/>
          <w:szCs w:val="22"/>
          <w:lang w:val="es-ES_tradnl"/>
        </w:rPr>
      </w:pPr>
      <w:r w:rsidRPr="00E96F17">
        <w:rPr>
          <w:rFonts w:ascii="Arial" w:hAnsi="Arial" w:eastAsia="Calibri" w:cs="Arial"/>
          <w:color w:val="000000" w:themeColor="text1"/>
          <w:sz w:val="22"/>
          <w:szCs w:val="22"/>
          <w:lang w:val="es-ES_tradnl"/>
        </w:rPr>
        <w:t>El mencionado artículo dispone que se considera «</w:t>
      </w:r>
      <w:r w:rsidRPr="00587A1E">
        <w:rPr>
          <w:rFonts w:ascii="Arial" w:hAnsi="Arial" w:eastAsia="Calibri" w:cs="Arial"/>
          <w:i/>
          <w:iCs/>
          <w:color w:val="000000" w:themeColor="text1"/>
          <w:sz w:val="22"/>
          <w:szCs w:val="22"/>
          <w:lang w:val="es-ES_tradnl"/>
        </w:rPr>
        <w:t>objetiva la selección en la cual la escogencia se haga al ofrecimiento más favorable a la entidad y a los fines que ella busca, sin tener en consideración factores de afecto o de interés y, en general, cualquier clase de motivación subjetiva».</w:t>
      </w:r>
      <w:r w:rsidRPr="00E96F17">
        <w:rPr>
          <w:rFonts w:ascii="Arial" w:hAnsi="Arial" w:eastAsia="Calibri" w:cs="Arial"/>
          <w:color w:val="000000" w:themeColor="text1"/>
          <w:sz w:val="22"/>
          <w:szCs w:val="22"/>
          <w:lang w:val="es-ES_tradnl"/>
        </w:rPr>
        <w:t xml:space="preserve"> En ese contexto, los factores de escogencia y calificación que establezcan las entidades en los pliegos de condiciones o sus documentos equivalentes deberán tener en cuenta, entre otras cuestiones, los criterios establecidos en dicha disposición. Específicamente, el numeral 1º del artículo referido establece que en los procesos de selección de contratistas serán objeto de verificación, como requisitos habilitantes, </w:t>
      </w:r>
      <w:r w:rsidRPr="00E96F17">
        <w:rPr>
          <w:rFonts w:ascii="Arial" w:hAnsi="Arial" w:eastAsia="Calibri" w:cs="Arial"/>
          <w:i/>
          <w:iCs/>
          <w:color w:val="000000" w:themeColor="text1"/>
          <w:sz w:val="22"/>
          <w:szCs w:val="22"/>
          <w:lang w:val="es-ES_tradnl"/>
        </w:rPr>
        <w:t>entre otros</w:t>
      </w:r>
      <w:r w:rsidRPr="00E96F17">
        <w:rPr>
          <w:rFonts w:ascii="Arial" w:hAnsi="Arial" w:eastAsia="Calibri" w:cs="Arial"/>
          <w:color w:val="000000" w:themeColor="text1"/>
          <w:sz w:val="22"/>
          <w:szCs w:val="22"/>
          <w:lang w:val="es-ES_tradnl"/>
        </w:rPr>
        <w:t xml:space="preserve">, los siguientes: i) la capacidad jurídica; ii) la experiencia; iii) la capacidad financiera y iv) la capacidad de organización. En efecto, la normativa citada prescribe lo siguiente: </w:t>
      </w:r>
    </w:p>
    <w:p w:rsidRPr="00E96F17" w:rsidR="00C1387A" w:rsidP="00C1387A" w:rsidRDefault="00C1387A" w14:paraId="7EC63927" w14:textId="77777777">
      <w:pPr>
        <w:jc w:val="both"/>
        <w:rPr>
          <w:rFonts w:ascii="Arial" w:hAnsi="Arial" w:eastAsia="Calibri" w:cs="Arial"/>
          <w:color w:val="000000" w:themeColor="text1"/>
          <w:sz w:val="22"/>
          <w:szCs w:val="22"/>
          <w:lang w:val="es-ES_tradnl"/>
        </w:rPr>
      </w:pPr>
    </w:p>
    <w:p w:rsidRPr="00587A1E" w:rsidR="00C1387A" w:rsidP="00C1387A" w:rsidRDefault="00A61DDC" w14:paraId="158B99BD" w14:textId="67A654FB">
      <w:pPr>
        <w:ind w:left="709" w:right="709"/>
        <w:jc w:val="both"/>
        <w:rPr>
          <w:rFonts w:ascii="Arial" w:hAnsi="Arial" w:eastAsia="Calibri" w:cs="Arial"/>
          <w:i/>
          <w:iCs/>
          <w:color w:val="000000" w:themeColor="text1"/>
          <w:sz w:val="22"/>
          <w:szCs w:val="22"/>
          <w:lang w:val="es-ES_tradnl"/>
        </w:rPr>
      </w:pPr>
      <w:r w:rsidRPr="00587A1E">
        <w:rPr>
          <w:rFonts w:ascii="Arial" w:hAnsi="Arial" w:eastAsia="Calibri" w:cs="Arial"/>
          <w:i/>
          <w:iCs/>
          <w:color w:val="000000" w:themeColor="text1"/>
          <w:sz w:val="22"/>
          <w:szCs w:val="22"/>
          <w:lang w:val="es-ES_tradnl"/>
        </w:rPr>
        <w:t>«</w:t>
      </w:r>
      <w:r w:rsidRPr="00587A1E" w:rsidR="00C1387A">
        <w:rPr>
          <w:rFonts w:ascii="Arial" w:hAnsi="Arial" w:eastAsia="Calibri" w:cs="Arial"/>
          <w:i/>
          <w:iCs/>
          <w:color w:val="000000" w:themeColor="text1"/>
          <w:sz w:val="22"/>
          <w:szCs w:val="22"/>
          <w:lang w:val="es-ES_tradnl"/>
        </w:rPr>
        <w:t xml:space="preserve">Artículo 5. De la Selección Objetiva. </w:t>
      </w:r>
    </w:p>
    <w:p w:rsidRPr="00587A1E" w:rsidR="00C1387A" w:rsidP="00C1387A" w:rsidRDefault="00C1387A" w14:paraId="279591D9" w14:textId="77777777">
      <w:pPr>
        <w:spacing w:after="120"/>
        <w:ind w:left="709" w:right="709"/>
        <w:jc w:val="both"/>
        <w:rPr>
          <w:rFonts w:ascii="Arial" w:hAnsi="Arial" w:eastAsia="Calibri" w:cs="Arial"/>
          <w:i/>
          <w:iCs/>
          <w:color w:val="000000" w:themeColor="text1"/>
          <w:sz w:val="22"/>
          <w:szCs w:val="22"/>
          <w:lang w:val="es-ES_tradnl"/>
        </w:rPr>
      </w:pPr>
      <w:r w:rsidRPr="00587A1E">
        <w:rPr>
          <w:rFonts w:ascii="Arial" w:hAnsi="Arial" w:eastAsia="Calibri" w:cs="Arial"/>
          <w:i/>
          <w:iCs/>
          <w:color w:val="000000" w:themeColor="text1"/>
          <w:sz w:val="22"/>
          <w:szCs w:val="22"/>
          <w:lang w:val="es-ES_tradnl"/>
        </w:rPr>
        <w:t>[…]</w:t>
      </w:r>
    </w:p>
    <w:p w:rsidRPr="00587A1E" w:rsidR="00C1387A" w:rsidP="00C1387A" w:rsidRDefault="00C1387A" w14:paraId="3008EF6D" w14:textId="7FB556BB">
      <w:pPr>
        <w:pStyle w:val="Prrafodelista"/>
        <w:ind w:left="709" w:right="709"/>
        <w:rPr>
          <w:rFonts w:ascii="Arial" w:hAnsi="Arial" w:eastAsia="Calibri" w:cs="Arial"/>
          <w:i/>
          <w:iCs/>
          <w:color w:val="000000" w:themeColor="text1"/>
          <w:sz w:val="22"/>
          <w:lang w:val="es-ES_tradnl"/>
        </w:rPr>
      </w:pPr>
      <w:r w:rsidRPr="00587A1E">
        <w:rPr>
          <w:rFonts w:ascii="Arial" w:hAnsi="Arial" w:eastAsia="Calibri" w:cs="Arial"/>
          <w:i/>
          <w:iCs/>
          <w:color w:val="000000" w:themeColor="text1"/>
          <w:sz w:val="22"/>
          <w:lang w:val="es-ES_tradnl"/>
        </w:rPr>
        <w:t xml:space="preserve">1. La capacidad jurídica y las condiciones de experiencia, capacidad financiera y de organización de los proponentes serán objeto de verificación de cumplimiento como requisitos habilitantes para la participación en el </w:t>
      </w:r>
      <w:r w:rsidRPr="00587A1E">
        <w:rPr>
          <w:rFonts w:ascii="Arial" w:hAnsi="Arial" w:eastAsia="Calibri" w:cs="Arial"/>
          <w:i/>
          <w:iCs/>
          <w:color w:val="000000" w:themeColor="text1"/>
          <w:sz w:val="22"/>
          <w:lang w:val="es-ES_tradnl"/>
        </w:rPr>
        <w:lastRenderedPageBreak/>
        <w:t>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r w:rsidRPr="00612FBE" w:rsidR="00A61DDC">
        <w:rPr>
          <w:rFonts w:ascii="Arial" w:hAnsi="Arial" w:eastAsia="Calibri" w:cs="Arial"/>
          <w:i/>
          <w:iCs/>
          <w:color w:val="000000" w:themeColor="text1"/>
          <w:sz w:val="22"/>
          <w:lang w:val="es-ES_tradnl"/>
        </w:rPr>
        <w:t>»</w:t>
      </w:r>
    </w:p>
    <w:p w:rsidRPr="00E96F17" w:rsidR="00C1387A" w:rsidP="00C1387A" w:rsidRDefault="00C1387A" w14:paraId="61D5E7E9" w14:textId="77777777">
      <w:pPr>
        <w:spacing w:line="276" w:lineRule="auto"/>
        <w:ind w:right="709"/>
        <w:jc w:val="both"/>
        <w:rPr>
          <w:rFonts w:ascii="Arial" w:hAnsi="Arial" w:eastAsia="Calibri" w:cs="Arial"/>
          <w:color w:val="000000" w:themeColor="text1"/>
          <w:sz w:val="22"/>
          <w:szCs w:val="22"/>
          <w:lang w:val="es-ES_tradnl"/>
        </w:rPr>
      </w:pPr>
    </w:p>
    <w:p w:rsidRPr="00E96F17" w:rsidR="00C1387A" w:rsidP="00C1387A" w:rsidRDefault="00C1387A" w14:paraId="662EC224" w14:textId="4FD0DC7F">
      <w:pPr>
        <w:spacing w:after="120" w:line="276" w:lineRule="auto"/>
        <w:ind w:firstLine="708"/>
        <w:jc w:val="both"/>
        <w:rPr>
          <w:rFonts w:ascii="Arial" w:hAnsi="Arial" w:cs="Arial"/>
          <w:b/>
          <w:bCs/>
          <w:color w:val="000000"/>
          <w:sz w:val="22"/>
          <w:szCs w:val="22"/>
          <w:bdr w:val="none" w:color="auto" w:sz="0" w:space="0" w:frame="1"/>
          <w:lang w:eastAsia="es-MX"/>
        </w:rPr>
      </w:pPr>
      <w:r w:rsidRPr="00E96F17">
        <w:rPr>
          <w:rFonts w:ascii="Arial" w:hAnsi="Arial" w:cs="Arial"/>
          <w:color w:val="000000" w:themeColor="text1"/>
          <w:sz w:val="22"/>
          <w:szCs w:val="22"/>
          <w:lang w:val="es-ES_tradnl"/>
        </w:rPr>
        <w:t xml:space="preserve">Una vez fijados los requisitos habilitantes por la </w:t>
      </w:r>
      <w:r w:rsidR="0088149F">
        <w:rPr>
          <w:rFonts w:ascii="Arial" w:hAnsi="Arial" w:cs="Arial"/>
          <w:color w:val="000000" w:themeColor="text1"/>
          <w:sz w:val="22"/>
          <w:szCs w:val="22"/>
          <w:lang w:val="es-ES_tradnl"/>
        </w:rPr>
        <w:t>E</w:t>
      </w:r>
      <w:r w:rsidRPr="00E96F17">
        <w:rPr>
          <w:rFonts w:ascii="Arial" w:hAnsi="Arial" w:cs="Arial"/>
          <w:color w:val="000000" w:themeColor="text1"/>
          <w:sz w:val="22"/>
          <w:szCs w:val="22"/>
          <w:lang w:val="es-ES_tradnl"/>
        </w:rPr>
        <w:t xml:space="preserve">ntidad </w:t>
      </w:r>
      <w:r w:rsidR="0088149F">
        <w:rPr>
          <w:rFonts w:ascii="Arial" w:hAnsi="Arial" w:cs="Arial"/>
          <w:color w:val="000000" w:themeColor="text1"/>
          <w:sz w:val="22"/>
          <w:szCs w:val="22"/>
          <w:lang w:val="es-ES_tradnl"/>
        </w:rPr>
        <w:t>E</w:t>
      </w:r>
      <w:r w:rsidRPr="00E96F17">
        <w:rPr>
          <w:rFonts w:ascii="Arial" w:hAnsi="Arial" w:cs="Arial"/>
          <w:color w:val="000000" w:themeColor="text1"/>
          <w:sz w:val="22"/>
          <w:szCs w:val="22"/>
          <w:lang w:val="es-ES_tradnl"/>
        </w:rPr>
        <w:t xml:space="preserve">statal, quienes presenten ofertas deben </w:t>
      </w:r>
      <w:r w:rsidRPr="00E96F17">
        <w:rPr>
          <w:rFonts w:ascii="Arial" w:hAnsi="Arial" w:cs="Arial"/>
          <w:bCs/>
          <w:i/>
          <w:iCs/>
          <w:color w:val="000000" w:themeColor="text1"/>
          <w:sz w:val="22"/>
          <w:szCs w:val="22"/>
          <w:lang w:val="es-ES_tradnl"/>
        </w:rPr>
        <w:t>acreditar</w:t>
      </w:r>
      <w:r w:rsidRPr="00E96F17">
        <w:rPr>
          <w:rFonts w:ascii="Arial" w:hAnsi="Arial" w:cs="Arial"/>
          <w:color w:val="000000" w:themeColor="text1"/>
          <w:sz w:val="22"/>
          <w:szCs w:val="22"/>
          <w:lang w:val="es-ES_tradnl"/>
        </w:rPr>
        <w:t xml:space="preserve"> que cumplen con los mismos, so pena de rechazo. </w:t>
      </w:r>
      <w:r w:rsidRPr="00E96F17">
        <w:rPr>
          <w:rFonts w:ascii="Arial" w:hAnsi="Arial" w:eastAsia="Calibri" w:cs="Arial"/>
          <w:color w:val="000000" w:themeColor="text1"/>
          <w:sz w:val="22"/>
          <w:szCs w:val="22"/>
          <w:lang w:val="es-ES_tradnl"/>
        </w:rPr>
        <w:t>El ente encargado de verificar el cumplimiento por parte de los proponentes sobre los requisitos que haya considerado la entidad como habilitantes será la Cámara de Comercio, esto en la medida en que, mediante el Registro Único de Proponentes –RUP–, se pondrá de presente toda la información relacionada con la experiencia, capacidad jurídica, capacidad financiera y organizacional, así como la clasificación del proponente</w:t>
      </w:r>
      <w:r w:rsidRPr="00E96F17">
        <w:rPr>
          <w:rStyle w:val="Refdenotaalpie"/>
          <w:rFonts w:ascii="Arial" w:hAnsi="Arial" w:eastAsia="Calibri" w:cs="Arial"/>
          <w:color w:val="000000" w:themeColor="text1"/>
          <w:sz w:val="22"/>
          <w:szCs w:val="22"/>
          <w:lang w:val="es-ES_tradnl"/>
        </w:rPr>
        <w:footnoteReference w:id="6"/>
      </w:r>
      <w:r w:rsidRPr="00E96F17">
        <w:rPr>
          <w:rFonts w:ascii="Arial" w:hAnsi="Arial" w:eastAsia="Calibri" w:cs="Arial"/>
          <w:color w:val="000000" w:themeColor="text1"/>
          <w:sz w:val="22"/>
          <w:szCs w:val="22"/>
          <w:lang w:val="es-ES_tradnl"/>
        </w:rPr>
        <w:t>. De la misma manera es pertinente mencionar que existen determinados procesos donde se excepciona el mencionado registro y la clasificación del proponente, siendo estos los siguientes: contratación directa, contratos para la prestación de servicios de salud</w:t>
      </w:r>
      <w:r w:rsidR="0088149F">
        <w:rPr>
          <w:rFonts w:ascii="Arial" w:hAnsi="Arial" w:eastAsia="Calibri" w:cs="Arial"/>
          <w:color w:val="000000" w:themeColor="text1"/>
          <w:sz w:val="22"/>
          <w:szCs w:val="22"/>
          <w:lang w:val="es-ES_tradnl"/>
        </w:rPr>
        <w:t>,</w:t>
      </w:r>
      <w:r w:rsidRPr="00E96F17">
        <w:rPr>
          <w:rFonts w:ascii="Arial" w:hAnsi="Arial" w:eastAsia="Calibri" w:cs="Arial"/>
          <w:color w:val="000000" w:themeColor="text1"/>
          <w:sz w:val="22"/>
          <w:szCs w:val="22"/>
          <w:lang w:val="es-ES_tradnl"/>
        </w:rPr>
        <w:t xml:space="preserve"> entre otros, conforme al artículo 6 de la Ley 1150 de 2007</w:t>
      </w:r>
      <w:r w:rsidRPr="00E96F17">
        <w:rPr>
          <w:rStyle w:val="Refdenotaalpie"/>
          <w:rFonts w:ascii="Arial" w:hAnsi="Arial" w:eastAsia="Calibri" w:cs="Arial"/>
          <w:color w:val="000000" w:themeColor="text1"/>
          <w:sz w:val="22"/>
          <w:szCs w:val="22"/>
          <w:lang w:val="es-ES_tradnl"/>
        </w:rPr>
        <w:footnoteReference w:id="7"/>
      </w:r>
      <w:r w:rsidRPr="00E96F17">
        <w:rPr>
          <w:rFonts w:ascii="Arial" w:hAnsi="Arial" w:eastAsia="Calibri" w:cs="Arial"/>
          <w:color w:val="000000" w:themeColor="text1"/>
          <w:sz w:val="22"/>
          <w:szCs w:val="22"/>
          <w:lang w:val="es-ES_tradnl"/>
        </w:rPr>
        <w:t xml:space="preserve">. </w:t>
      </w:r>
    </w:p>
    <w:p w:rsidRPr="00E96F17" w:rsidR="00C1387A" w:rsidP="00C1387A" w:rsidRDefault="00C1387A" w14:paraId="2ADAB985" w14:textId="77777777">
      <w:pPr>
        <w:spacing w:before="120" w:after="120" w:line="276" w:lineRule="auto"/>
        <w:ind w:firstLine="567"/>
        <w:jc w:val="both"/>
        <w:rPr>
          <w:rFonts w:ascii="Arial" w:hAnsi="Arial" w:eastAsia="Calibri" w:cs="Arial"/>
          <w:color w:val="000000"/>
          <w:sz w:val="22"/>
          <w:szCs w:val="22"/>
          <w:highlight w:val="yellow"/>
          <w:lang w:val="es-MX" w:eastAsia="es-ES_tradnl"/>
        </w:rPr>
      </w:pPr>
      <w:r w:rsidRPr="00E96F17">
        <w:rPr>
          <w:rFonts w:ascii="Arial" w:hAnsi="Arial" w:eastAsia="Calibri" w:cs="Arial"/>
          <w:color w:val="000000"/>
          <w:sz w:val="22"/>
          <w:szCs w:val="22"/>
        </w:rPr>
        <w:lastRenderedPageBreak/>
        <w:t>Dentro de los requisitos habilitantes se destaca la capacidad financiera y organizacional del proponente. Al respecto, la entidad, como responsable de la estructuración de su procedimiento de selección, es autónoma para requerir la capacidad financiera y la capacidad organizacional necesaria de acuerdo con el objeto contractual que se pretende satisfacer. Según el artículo 2.2.1.1.1.6.2 del Decreto 1082 de 2015, la entidad debe tener en cuenta, para la determinación de la capacidad financiera y organizacional, el estudio del sector y sus componentes como la identificación de riesgos y el mercado y precio del bien, obra o servicio a contratar</w:t>
      </w:r>
      <w:r w:rsidRPr="00E96F17">
        <w:rPr>
          <w:rFonts w:ascii="Arial" w:hAnsi="Arial" w:eastAsia="Calibri" w:cs="Arial"/>
          <w:color w:val="000000"/>
          <w:sz w:val="22"/>
          <w:szCs w:val="22"/>
          <w:vertAlign w:val="superscript"/>
        </w:rPr>
        <w:footnoteReference w:id="8"/>
      </w:r>
      <w:r w:rsidRPr="00E96F17">
        <w:rPr>
          <w:rFonts w:ascii="Arial" w:hAnsi="Arial" w:eastAsia="Calibri" w:cs="Arial"/>
          <w:color w:val="000000"/>
          <w:sz w:val="22"/>
          <w:szCs w:val="22"/>
        </w:rPr>
        <w:t>.</w:t>
      </w:r>
    </w:p>
    <w:p w:rsidRPr="00587A1E" w:rsidR="00C1387A" w:rsidP="00C1387A" w:rsidRDefault="00C1387A" w14:paraId="240BE003" w14:textId="3EA2E5F0">
      <w:pPr>
        <w:spacing w:before="120" w:after="120" w:line="276" w:lineRule="auto"/>
        <w:ind w:firstLine="708"/>
        <w:jc w:val="both"/>
        <w:rPr>
          <w:rFonts w:ascii="Arial" w:hAnsi="Arial" w:eastAsia="Calibri" w:cs="Arial"/>
          <w:i/>
          <w:iCs/>
          <w:color w:val="000000"/>
          <w:sz w:val="22"/>
          <w:szCs w:val="22"/>
          <w:lang w:val="es-ES_tradnl" w:eastAsia="en-US"/>
        </w:rPr>
      </w:pPr>
      <w:r w:rsidRPr="00E96F17">
        <w:rPr>
          <w:rFonts w:ascii="Arial" w:hAnsi="Arial" w:eastAsia="Calibri" w:cs="Arial"/>
          <w:color w:val="000000"/>
          <w:sz w:val="22"/>
          <w:szCs w:val="22"/>
        </w:rPr>
        <w:t xml:space="preserve">La capacidad financiera se deriva del comportamiento contable de la empresa, su liquidez y endeudamiento, para determinar que sus recursos y solidez financiera le permita cumplir los compromisos que adquiera. </w:t>
      </w:r>
      <w:r w:rsidRPr="00E96F17">
        <w:rPr>
          <w:rFonts w:ascii="Arial" w:hAnsi="Arial" w:eastAsia="Calibri" w:cs="Arial"/>
          <w:color w:val="000000"/>
          <w:sz w:val="22"/>
          <w:szCs w:val="22"/>
          <w:lang w:val="es-ES_tradnl"/>
        </w:rPr>
        <w:t xml:space="preserve">Como explica la Agencia Nacional de Contratación Pública – Colombia Compra Eficiente en el </w:t>
      </w:r>
      <w:r w:rsidRPr="00587A1E">
        <w:rPr>
          <w:rFonts w:ascii="Arial" w:hAnsi="Arial" w:eastAsia="Calibri" w:cs="Arial"/>
          <w:i/>
          <w:iCs/>
          <w:color w:val="000000"/>
          <w:sz w:val="22"/>
          <w:szCs w:val="22"/>
          <w:lang w:val="es-ES_tradnl"/>
        </w:rPr>
        <w:t xml:space="preserve">Manual para determinar y verificar los requisitos habilitantes en los </w:t>
      </w:r>
      <w:r w:rsidR="00640339">
        <w:rPr>
          <w:rFonts w:ascii="Arial" w:hAnsi="Arial" w:eastAsia="Calibri" w:cs="Arial"/>
          <w:i/>
          <w:iCs/>
          <w:color w:val="000000"/>
          <w:sz w:val="22"/>
          <w:szCs w:val="22"/>
          <w:lang w:val="es-ES_tradnl"/>
        </w:rPr>
        <w:t>P</w:t>
      </w:r>
      <w:r w:rsidRPr="00587A1E">
        <w:rPr>
          <w:rFonts w:ascii="Arial" w:hAnsi="Arial" w:eastAsia="Calibri" w:cs="Arial"/>
          <w:i/>
          <w:iCs/>
          <w:color w:val="000000"/>
          <w:sz w:val="22"/>
          <w:szCs w:val="22"/>
          <w:lang w:val="es-ES_tradnl"/>
        </w:rPr>
        <w:t xml:space="preserve">rocesos de </w:t>
      </w:r>
      <w:r w:rsidR="00640339">
        <w:rPr>
          <w:rFonts w:ascii="Arial" w:hAnsi="Arial" w:eastAsia="Calibri" w:cs="Arial"/>
          <w:i/>
          <w:iCs/>
          <w:color w:val="000000"/>
          <w:sz w:val="22"/>
          <w:szCs w:val="22"/>
          <w:lang w:val="es-ES_tradnl"/>
        </w:rPr>
        <w:t>C</w:t>
      </w:r>
      <w:r w:rsidRPr="00587A1E">
        <w:rPr>
          <w:rFonts w:ascii="Arial" w:hAnsi="Arial" w:eastAsia="Calibri" w:cs="Arial"/>
          <w:i/>
          <w:iCs/>
          <w:color w:val="000000"/>
          <w:sz w:val="22"/>
          <w:szCs w:val="22"/>
          <w:lang w:val="es-ES_tradnl"/>
        </w:rPr>
        <w:t>ontratación</w:t>
      </w:r>
      <w:r w:rsidRPr="00E96F17">
        <w:rPr>
          <w:rFonts w:ascii="Arial" w:hAnsi="Arial" w:eastAsia="Calibri" w:cs="Arial"/>
          <w:color w:val="000000"/>
          <w:sz w:val="22"/>
          <w:szCs w:val="22"/>
          <w:lang w:val="es-ES_tradnl"/>
        </w:rPr>
        <w:t xml:space="preserve">, </w:t>
      </w:r>
      <w:r w:rsidRPr="00587A1E">
        <w:rPr>
          <w:rFonts w:ascii="Arial" w:hAnsi="Arial" w:eastAsia="Calibri" w:cs="Arial"/>
          <w:i/>
          <w:iCs/>
          <w:color w:val="000000"/>
          <w:sz w:val="22"/>
          <w:szCs w:val="22"/>
          <w:lang w:val="es-ES_tradnl"/>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587A1E">
        <w:rPr>
          <w:rFonts w:ascii="Arial" w:hAnsi="Arial" w:eastAsia="Calibri" w:cs="Arial"/>
          <w:i/>
          <w:iCs/>
          <w:color w:val="000000"/>
          <w:sz w:val="22"/>
          <w:szCs w:val="22"/>
          <w:vertAlign w:val="superscript"/>
          <w:lang w:val="es-ES_tradnl"/>
        </w:rPr>
        <w:footnoteReference w:id="9"/>
      </w:r>
      <w:r w:rsidRPr="00587A1E">
        <w:rPr>
          <w:rFonts w:ascii="Arial" w:hAnsi="Arial" w:eastAsia="Calibri" w:cs="Arial"/>
          <w:i/>
          <w:iCs/>
          <w:color w:val="000000"/>
          <w:sz w:val="22"/>
          <w:szCs w:val="22"/>
          <w:lang w:val="es-ES_tradnl"/>
        </w:rPr>
        <w:t>.</w:t>
      </w:r>
      <w:r w:rsidRPr="00E96F17">
        <w:rPr>
          <w:rFonts w:ascii="Arial" w:hAnsi="Arial" w:eastAsia="Calibri" w:cs="Arial"/>
          <w:color w:val="000000"/>
          <w:sz w:val="22"/>
          <w:szCs w:val="22"/>
          <w:lang w:val="es-ES_tradnl"/>
        </w:rPr>
        <w:t xml:space="preserve"> La capacidad organizacional, por su parte, </w:t>
      </w:r>
      <w:r w:rsidRPr="00587A1E">
        <w:rPr>
          <w:rFonts w:ascii="Arial" w:hAnsi="Arial" w:eastAsia="Calibri" w:cs="Arial"/>
          <w:i/>
          <w:iCs/>
          <w:color w:val="000000"/>
          <w:sz w:val="22"/>
          <w:szCs w:val="22"/>
          <w:lang w:val="es-ES_tradnl"/>
        </w:rPr>
        <w:t>«[…]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sidRPr="00587A1E">
        <w:rPr>
          <w:rFonts w:ascii="Arial" w:hAnsi="Arial" w:eastAsia="Calibri" w:cs="Arial"/>
          <w:i/>
          <w:iCs/>
          <w:color w:val="000000"/>
          <w:sz w:val="22"/>
          <w:szCs w:val="22"/>
          <w:vertAlign w:val="superscript"/>
          <w:lang w:val="es-ES_tradnl"/>
        </w:rPr>
        <w:footnoteReference w:id="10"/>
      </w:r>
      <w:r w:rsidRPr="00587A1E">
        <w:rPr>
          <w:rFonts w:ascii="Arial" w:hAnsi="Arial" w:eastAsia="Calibri" w:cs="Arial"/>
          <w:i/>
          <w:iCs/>
          <w:color w:val="000000"/>
          <w:sz w:val="22"/>
          <w:szCs w:val="22"/>
          <w:lang w:val="es-ES_tradnl"/>
        </w:rPr>
        <w:t xml:space="preserve">. </w:t>
      </w:r>
    </w:p>
    <w:p w:rsidRPr="00E96F17" w:rsidR="00C1387A" w:rsidP="00C1387A" w:rsidRDefault="00C1387A" w14:paraId="769D8B82" w14:textId="77777777">
      <w:pPr>
        <w:spacing w:before="120" w:after="120" w:line="276" w:lineRule="auto"/>
        <w:ind w:firstLine="709"/>
        <w:jc w:val="both"/>
        <w:rPr>
          <w:rFonts w:ascii="Arial" w:hAnsi="Arial" w:eastAsia="Calibri" w:cs="Arial"/>
          <w:color w:val="000000"/>
          <w:sz w:val="22"/>
          <w:szCs w:val="22"/>
          <w:lang w:val="es-ES_tradnl"/>
        </w:rPr>
      </w:pPr>
      <w:r w:rsidRPr="00E96F17">
        <w:rPr>
          <w:rFonts w:ascii="Arial" w:hAnsi="Arial" w:eastAsia="Calibri" w:cs="Arial"/>
          <w:color w:val="000000"/>
          <w:sz w:val="22"/>
          <w:szCs w:val="22"/>
          <w:lang w:val="es-ES_tradnl"/>
        </w:rPr>
        <w:t xml:space="preserve">Respecto a la capacidad financiera, esta debe acreditarse en el RUP con los estados financieros del proponente, suscritos por el representante legal y el revisor fiscal, si cuenta con tales documentos. De este modo, lo que se verifica con el registro es que el proponente tenga los indicadores financieros solicitados por la entidad, que le permitan satisfacer la necesidad que se contratará una vez desarrollado el procedimiento de </w:t>
      </w:r>
      <w:r w:rsidRPr="00E96F17">
        <w:rPr>
          <w:rFonts w:ascii="Arial" w:hAnsi="Arial" w:eastAsia="Calibri" w:cs="Arial"/>
          <w:color w:val="000000"/>
          <w:sz w:val="22"/>
          <w:szCs w:val="22"/>
          <w:lang w:val="es-ES_tradnl"/>
        </w:rPr>
        <w:lastRenderedPageBreak/>
        <w:t>selección. Por otro lado, la capacidad organizacional evalúa la rentabilidad de la empresa, que es directamente proporcional a su organización interna, y también se verifica con el RUP de acuerdo con los indicadores del artículo 2.2.1.1.1.5.3 del Decreto 1082 de 2015.</w:t>
      </w:r>
    </w:p>
    <w:p w:rsidRPr="00E96F17" w:rsidR="00C1387A" w:rsidP="00C1387A" w:rsidRDefault="00C1387A" w14:paraId="14FDF1D1" w14:textId="3E840AFA">
      <w:pPr>
        <w:spacing w:before="120" w:after="120" w:line="276" w:lineRule="auto"/>
        <w:ind w:firstLine="708"/>
        <w:jc w:val="both"/>
        <w:rPr>
          <w:rFonts w:ascii="Arial" w:hAnsi="Arial" w:eastAsia="Calibri" w:cs="Arial"/>
          <w:color w:val="000000"/>
          <w:sz w:val="22"/>
          <w:szCs w:val="22"/>
          <w:lang w:val="es-ES_tradnl"/>
        </w:rPr>
      </w:pPr>
      <w:r w:rsidRPr="00E96F17">
        <w:rPr>
          <w:rFonts w:ascii="Arial" w:hAnsi="Arial" w:eastAsia="Calibri" w:cs="Arial"/>
          <w:color w:val="000000"/>
          <w:sz w:val="22"/>
          <w:szCs w:val="22"/>
          <w:lang w:val="es-ES_tradnl"/>
        </w:rPr>
        <w:t xml:space="preserve">La Agencia Nacional de Contratación Pública – Colombia Compra Eficiente puso a disposición de los interesados el «Manual para determinar y verificar los requisitos habilitantes en los </w:t>
      </w:r>
      <w:r w:rsidR="00640339">
        <w:rPr>
          <w:rFonts w:ascii="Arial" w:hAnsi="Arial" w:eastAsia="Calibri" w:cs="Arial"/>
          <w:color w:val="000000"/>
          <w:sz w:val="22"/>
          <w:szCs w:val="22"/>
          <w:lang w:val="es-ES_tradnl"/>
        </w:rPr>
        <w:t>P</w:t>
      </w:r>
      <w:r w:rsidRPr="00E96F17">
        <w:rPr>
          <w:rFonts w:ascii="Arial" w:hAnsi="Arial" w:eastAsia="Calibri" w:cs="Arial"/>
          <w:color w:val="000000"/>
          <w:sz w:val="22"/>
          <w:szCs w:val="22"/>
          <w:lang w:val="es-ES_tradnl"/>
        </w:rPr>
        <w:t xml:space="preserve">rocesos de </w:t>
      </w:r>
      <w:r w:rsidR="00640339">
        <w:rPr>
          <w:rFonts w:ascii="Arial" w:hAnsi="Arial" w:eastAsia="Calibri" w:cs="Arial"/>
          <w:color w:val="000000"/>
          <w:sz w:val="22"/>
          <w:szCs w:val="22"/>
          <w:lang w:val="es-ES_tradnl"/>
        </w:rPr>
        <w:t>C</w:t>
      </w:r>
      <w:r w:rsidRPr="00E96F17">
        <w:rPr>
          <w:rFonts w:ascii="Arial" w:hAnsi="Arial" w:eastAsia="Calibri" w:cs="Arial"/>
          <w:color w:val="000000"/>
          <w:sz w:val="22"/>
          <w:szCs w:val="22"/>
          <w:lang w:val="es-ES_tradnl"/>
        </w:rPr>
        <w:t>ontratación»</w:t>
      </w:r>
      <w:r w:rsidR="0088149F">
        <w:rPr>
          <w:rFonts w:ascii="Arial" w:hAnsi="Arial" w:eastAsia="Calibri" w:cs="Arial"/>
          <w:color w:val="000000"/>
          <w:sz w:val="22"/>
          <w:szCs w:val="22"/>
          <w:lang w:val="es-ES_tradnl"/>
        </w:rPr>
        <w:t xml:space="preserve"> que </w:t>
      </w:r>
      <w:r w:rsidRPr="00E96F17">
        <w:rPr>
          <w:rFonts w:ascii="Arial" w:hAnsi="Arial" w:eastAsia="Calibri" w:cs="Arial"/>
          <w:color w:val="000000"/>
          <w:sz w:val="22"/>
          <w:szCs w:val="22"/>
          <w:lang w:val="es-ES_tradnl"/>
        </w:rPr>
        <w:t xml:space="preserve">plantea definiciones para cada requisito habilitante </w:t>
      </w:r>
      <w:r w:rsidR="0088149F">
        <w:rPr>
          <w:rFonts w:ascii="Arial" w:hAnsi="Arial" w:eastAsia="Calibri" w:cs="Arial"/>
          <w:color w:val="000000"/>
          <w:sz w:val="22"/>
          <w:szCs w:val="22"/>
          <w:lang w:val="es-ES_tradnl"/>
        </w:rPr>
        <w:t xml:space="preserve">e </w:t>
      </w:r>
      <w:r w:rsidRPr="00E96F17">
        <w:rPr>
          <w:rFonts w:ascii="Arial" w:hAnsi="Arial" w:eastAsia="Calibri" w:cs="Arial"/>
          <w:color w:val="000000"/>
          <w:sz w:val="22"/>
          <w:szCs w:val="22"/>
          <w:lang w:val="es-ES_tradnl"/>
        </w:rPr>
        <w:t>indica lineamientos orientadores que las entidades pueden considerar para establecerlos, en este caso, para exigir la capacidad financiera y la capacidad organizacional. En ese sentido, la capacidad financiera que la entidad requiera para un proceso de contratación debe ser adecuada y proporcional a la naturaleza y al valor del contrato. Además, los requisitos de capacidad financiera deben ser establecidos con fundamento en los Estudios del Sector.</w:t>
      </w:r>
    </w:p>
    <w:p w:rsidRPr="00E96F17" w:rsidR="00C1387A" w:rsidP="00C1387A" w:rsidRDefault="00C1387A" w14:paraId="6D328E81" w14:textId="77777777">
      <w:pPr>
        <w:spacing w:before="120" w:after="120" w:line="276" w:lineRule="auto"/>
        <w:ind w:firstLine="709"/>
        <w:jc w:val="both"/>
        <w:rPr>
          <w:rFonts w:ascii="Arial" w:hAnsi="Arial" w:eastAsia="Calibri" w:cs="Arial"/>
          <w:color w:val="000000"/>
          <w:sz w:val="22"/>
          <w:szCs w:val="22"/>
          <w:lang w:val="es-ES_tradnl"/>
        </w:rPr>
      </w:pPr>
      <w:r w:rsidRPr="00E96F17">
        <w:rPr>
          <w:rFonts w:ascii="Arial" w:hAnsi="Arial" w:eastAsia="Calibri" w:cs="Arial"/>
          <w:color w:val="000000"/>
          <w:sz w:val="22"/>
          <w:szCs w:val="22"/>
          <w:lang w:val="es-ES_tradnl"/>
        </w:rPr>
        <w:t xml:space="preserve">En atención a la naturaleza del contrato a suscribir y su valor, plazo y forma de pago, la entidad debe usar los indicadores que considere adecuados respecto del objeto del proceso de contratación, para lo cual no es suficiente la aplicación mecánica de fórmulas financieras, pues deben conocer cada indicador, sus fórmulas de cálculo y su interpretación. Según el artículo 2.2.1.1.1.5.3. del Decreto 1082 de 2015, son indicadores de la capacidad financiera los siguientes: i) el </w:t>
      </w:r>
      <w:r w:rsidRPr="00E96F17">
        <w:rPr>
          <w:rFonts w:ascii="Arial" w:hAnsi="Arial" w:eastAsia="Calibri" w:cs="Arial"/>
          <w:i/>
          <w:iCs/>
          <w:color w:val="000000"/>
          <w:sz w:val="22"/>
          <w:szCs w:val="22"/>
          <w:lang w:val="es-ES_tradnl"/>
        </w:rPr>
        <w:t>índice de liquidez</w:t>
      </w:r>
      <w:r w:rsidRPr="00E96F17">
        <w:rPr>
          <w:rFonts w:ascii="Arial" w:hAnsi="Arial" w:eastAsia="Calibri" w:cs="Arial"/>
          <w:color w:val="000000"/>
          <w:sz w:val="22"/>
          <w:szCs w:val="22"/>
          <w:lang w:val="es-ES_tradnl"/>
        </w:rPr>
        <w:t xml:space="preserve">, que corresponde a la división entre el activo corriente y el pasivo corriente, y que determina la capacidad que tiene el proponente para cumplir con sus obligaciones de corto plazo; ii) el </w:t>
      </w:r>
      <w:r w:rsidRPr="00E96F17">
        <w:rPr>
          <w:rFonts w:ascii="Arial" w:hAnsi="Arial" w:eastAsia="Calibri" w:cs="Arial"/>
          <w:i/>
          <w:iCs/>
          <w:color w:val="000000"/>
          <w:sz w:val="22"/>
          <w:szCs w:val="22"/>
          <w:lang w:val="es-ES_tradnl"/>
        </w:rPr>
        <w:t>índice de endeudamiento</w:t>
      </w:r>
      <w:r w:rsidRPr="00E96F17">
        <w:rPr>
          <w:rFonts w:ascii="Arial" w:hAnsi="Arial" w:eastAsia="Calibri" w:cs="Arial"/>
          <w:color w:val="000000"/>
          <w:sz w:val="22"/>
          <w:szCs w:val="22"/>
          <w:lang w:val="es-ES_tradnl"/>
        </w:rPr>
        <w:t xml:space="preserve">, que se calcula dividiendo el pasivo total por el activo total, el cual determina el grado de endeudamiento en la estructura de financiación del proponente; y iii) la </w:t>
      </w:r>
      <w:r w:rsidRPr="00E96F17">
        <w:rPr>
          <w:rFonts w:ascii="Arial" w:hAnsi="Arial" w:eastAsia="Calibri" w:cs="Arial"/>
          <w:i/>
          <w:iCs/>
          <w:color w:val="000000"/>
          <w:sz w:val="22"/>
          <w:szCs w:val="22"/>
          <w:lang w:val="es-ES_tradnl"/>
        </w:rPr>
        <w:t>razón de cobertura de intereses</w:t>
      </w:r>
      <w:r w:rsidRPr="00E96F17">
        <w:rPr>
          <w:rFonts w:ascii="Arial" w:hAnsi="Arial" w:eastAsia="Calibri" w:cs="Arial"/>
          <w:color w:val="000000"/>
          <w:sz w:val="22"/>
          <w:szCs w:val="22"/>
          <w:lang w:val="es-ES_tradnl"/>
        </w:rPr>
        <w:t xml:space="preserve">, que es igual a la utilidad operacional, sobre los gastos de intereses, y que refleja la capacidad del proponente para cumplir con sus obligaciones financieras. Adicionalmente, la Agencia Nacional de Contratación Pública – Colombia Compra Eficiente recomienda valorar otro tipo de indicadores como el </w:t>
      </w:r>
      <w:r w:rsidRPr="00E96F17">
        <w:rPr>
          <w:rFonts w:ascii="Arial" w:hAnsi="Arial" w:eastAsia="Calibri" w:cs="Arial"/>
          <w:i/>
          <w:iCs/>
          <w:color w:val="000000"/>
          <w:sz w:val="22"/>
          <w:szCs w:val="22"/>
          <w:lang w:val="es-ES_tradnl"/>
        </w:rPr>
        <w:t>capital de trabajo</w:t>
      </w:r>
      <w:r w:rsidRPr="00E96F17">
        <w:rPr>
          <w:rFonts w:ascii="Arial" w:hAnsi="Arial" w:eastAsia="Calibri" w:cs="Arial"/>
          <w:color w:val="000000"/>
          <w:sz w:val="22"/>
          <w:szCs w:val="22"/>
          <w:lang w:val="es-ES_tradnl"/>
        </w:rPr>
        <w:t xml:space="preserve">, la </w:t>
      </w:r>
      <w:r w:rsidRPr="00E96F17">
        <w:rPr>
          <w:rFonts w:ascii="Arial" w:hAnsi="Arial" w:eastAsia="Calibri" w:cs="Arial"/>
          <w:i/>
          <w:iCs/>
          <w:color w:val="000000"/>
          <w:sz w:val="22"/>
          <w:szCs w:val="22"/>
          <w:lang w:val="es-ES_tradnl"/>
        </w:rPr>
        <w:t>razón de efectivo</w:t>
      </w:r>
      <w:r w:rsidRPr="00E96F17">
        <w:rPr>
          <w:rFonts w:ascii="Arial" w:hAnsi="Arial" w:eastAsia="Calibri" w:cs="Arial"/>
          <w:color w:val="000000"/>
          <w:sz w:val="22"/>
          <w:szCs w:val="22"/>
          <w:lang w:val="es-ES_tradnl"/>
        </w:rPr>
        <w:t xml:space="preserve">, la denominada </w:t>
      </w:r>
      <w:r w:rsidRPr="00E96F17">
        <w:rPr>
          <w:rFonts w:ascii="Arial" w:hAnsi="Arial" w:eastAsia="Calibri" w:cs="Arial"/>
          <w:i/>
          <w:iCs/>
          <w:color w:val="000000"/>
          <w:sz w:val="22"/>
          <w:szCs w:val="22"/>
          <w:lang w:val="es-ES_tradnl"/>
        </w:rPr>
        <w:t>prueba ácida</w:t>
      </w:r>
      <w:r w:rsidRPr="00E96F17">
        <w:rPr>
          <w:rFonts w:ascii="Arial" w:hAnsi="Arial" w:eastAsia="Calibri" w:cs="Arial"/>
          <w:color w:val="000000"/>
          <w:sz w:val="22"/>
          <w:szCs w:val="22"/>
          <w:vertAlign w:val="superscript"/>
          <w:lang w:val="es-ES_tradnl"/>
        </w:rPr>
        <w:footnoteReference w:id="11"/>
      </w:r>
      <w:r w:rsidRPr="00E96F17">
        <w:rPr>
          <w:rFonts w:ascii="Arial" w:hAnsi="Arial" w:eastAsia="Calibri" w:cs="Arial"/>
          <w:color w:val="000000"/>
          <w:sz w:val="22"/>
          <w:szCs w:val="22"/>
          <w:lang w:val="es-ES_tradnl"/>
        </w:rPr>
        <w:t xml:space="preserve">, la </w:t>
      </w:r>
      <w:r w:rsidRPr="00E96F17">
        <w:rPr>
          <w:rFonts w:ascii="Arial" w:hAnsi="Arial" w:eastAsia="Calibri" w:cs="Arial"/>
          <w:i/>
          <w:iCs/>
          <w:color w:val="000000"/>
          <w:sz w:val="22"/>
          <w:szCs w:val="22"/>
          <w:lang w:val="es-ES_tradnl"/>
        </w:rPr>
        <w:t xml:space="preserve">concentración de endeudamiento a corto </w:t>
      </w:r>
      <w:r w:rsidRPr="00E96F17">
        <w:rPr>
          <w:rFonts w:ascii="Arial" w:hAnsi="Arial" w:eastAsia="Calibri" w:cs="Arial"/>
          <w:color w:val="000000"/>
          <w:sz w:val="22"/>
          <w:szCs w:val="22"/>
          <w:lang w:val="es-ES_tradnl"/>
        </w:rPr>
        <w:t>y</w:t>
      </w:r>
      <w:r w:rsidRPr="00E96F17">
        <w:rPr>
          <w:rFonts w:ascii="Arial" w:hAnsi="Arial" w:eastAsia="Calibri" w:cs="Arial"/>
          <w:i/>
          <w:iCs/>
          <w:color w:val="000000"/>
          <w:sz w:val="22"/>
          <w:szCs w:val="22"/>
          <w:lang w:val="es-ES_tradnl"/>
        </w:rPr>
        <w:t xml:space="preserve"> a largo plazo</w:t>
      </w:r>
      <w:r w:rsidRPr="00E96F17">
        <w:rPr>
          <w:rFonts w:ascii="Arial" w:hAnsi="Arial" w:eastAsia="Calibri" w:cs="Arial"/>
          <w:color w:val="000000"/>
          <w:sz w:val="22"/>
          <w:szCs w:val="22"/>
          <w:lang w:val="es-ES_tradnl"/>
        </w:rPr>
        <w:t xml:space="preserve"> y el </w:t>
      </w:r>
      <w:r w:rsidRPr="00E96F17">
        <w:rPr>
          <w:rFonts w:ascii="Arial" w:hAnsi="Arial" w:eastAsia="Calibri" w:cs="Arial"/>
          <w:i/>
          <w:iCs/>
          <w:color w:val="000000"/>
          <w:sz w:val="22"/>
          <w:szCs w:val="22"/>
          <w:lang w:val="es-ES_tradnl"/>
        </w:rPr>
        <w:t>patrimonio</w:t>
      </w:r>
      <w:r w:rsidRPr="00E96F17">
        <w:rPr>
          <w:rStyle w:val="Refdenotaalpie"/>
          <w:rFonts w:ascii="Arial" w:hAnsi="Arial" w:eastAsia="Calibri" w:cs="Arial"/>
          <w:i/>
          <w:iCs/>
          <w:color w:val="000000"/>
          <w:sz w:val="22"/>
          <w:szCs w:val="22"/>
          <w:lang w:val="es-ES_tradnl"/>
        </w:rPr>
        <w:footnoteReference w:id="12"/>
      </w:r>
      <w:r w:rsidRPr="00E96F17">
        <w:rPr>
          <w:rFonts w:ascii="Arial" w:hAnsi="Arial" w:eastAsia="Calibri" w:cs="Arial"/>
          <w:color w:val="000000"/>
          <w:sz w:val="22"/>
          <w:szCs w:val="22"/>
          <w:lang w:val="es-ES_tradnl"/>
        </w:rPr>
        <w:t>.</w:t>
      </w:r>
    </w:p>
    <w:p w:rsidR="00333E77" w:rsidP="00C1387A" w:rsidRDefault="00C1387A" w14:paraId="65A1F20A" w14:textId="77777777">
      <w:pPr>
        <w:spacing w:before="120" w:after="120" w:line="276" w:lineRule="auto"/>
        <w:ind w:firstLine="709"/>
        <w:jc w:val="both"/>
        <w:rPr>
          <w:rFonts w:ascii="Arial" w:hAnsi="Arial" w:eastAsia="Calibri" w:cs="Arial"/>
          <w:color w:val="000000"/>
          <w:sz w:val="22"/>
          <w:szCs w:val="22"/>
          <w:lang w:val="es-ES_tradnl"/>
        </w:rPr>
      </w:pPr>
      <w:r w:rsidRPr="00E96F17">
        <w:rPr>
          <w:rFonts w:ascii="Arial" w:hAnsi="Arial" w:eastAsia="Calibri" w:cs="Arial"/>
          <w:color w:val="000000"/>
          <w:sz w:val="22"/>
          <w:szCs w:val="22"/>
          <w:lang w:val="es-ES_tradnl"/>
        </w:rPr>
        <w:lastRenderedPageBreak/>
        <w:t xml:space="preserve">La </w:t>
      </w:r>
      <w:r w:rsidRPr="00E96F17">
        <w:rPr>
          <w:rFonts w:ascii="Arial" w:hAnsi="Arial" w:eastAsia="Calibri" w:cs="Arial"/>
          <w:bCs/>
          <w:i/>
          <w:iCs/>
          <w:color w:val="000000"/>
          <w:sz w:val="22"/>
          <w:szCs w:val="22"/>
          <w:lang w:val="es-ES_tradnl"/>
        </w:rPr>
        <w:t>capacidad de organización</w:t>
      </w:r>
      <w:r w:rsidRPr="00E96F17">
        <w:rPr>
          <w:rFonts w:ascii="Arial" w:hAnsi="Arial" w:eastAsia="Calibri" w:cs="Arial"/>
          <w:color w:val="000000"/>
          <w:sz w:val="22"/>
          <w:szCs w:val="22"/>
          <w:lang w:val="es-ES_tradnl"/>
        </w:rPr>
        <w:t xml:space="preserve">, según el </w:t>
      </w:r>
      <w:r w:rsidRPr="00587A1E">
        <w:rPr>
          <w:rFonts w:ascii="Arial" w:hAnsi="Arial" w:eastAsia="Calibri" w:cs="Arial"/>
          <w:i/>
          <w:iCs/>
          <w:color w:val="000000"/>
          <w:sz w:val="22"/>
          <w:szCs w:val="22"/>
          <w:lang w:val="es-ES_tradnl"/>
        </w:rPr>
        <w:t>«Manual para determinar y verificar los requisitos habilitantes en los Procesos de Contratación»,</w:t>
      </w:r>
      <w:r w:rsidRPr="00E96F17">
        <w:rPr>
          <w:rFonts w:ascii="Arial" w:hAnsi="Arial" w:eastAsia="Calibri" w:cs="Arial"/>
          <w:color w:val="000000"/>
          <w:sz w:val="22"/>
          <w:szCs w:val="22"/>
          <w:lang w:val="es-ES_tradnl"/>
        </w:rPr>
        <w:t xml:space="preserve"> elaborado por esta Agencia, es «</w:t>
      </w:r>
      <w:r w:rsidRPr="00587A1E">
        <w:rPr>
          <w:rFonts w:ascii="Arial" w:hAnsi="Arial" w:eastAsia="Calibri" w:cs="Arial"/>
          <w:i/>
          <w:iCs/>
          <w:color w:val="000000"/>
          <w:sz w:val="22"/>
          <w:szCs w:val="22"/>
          <w:lang w:val="es-ES_tradnl"/>
        </w:rPr>
        <w:t>la aptitud de un proponente para cumplir oportuna y cabalmente el objeto del contrato en función de su organización interna».</w:t>
      </w:r>
      <w:r w:rsidRPr="00E96F17">
        <w:rPr>
          <w:rFonts w:ascii="Arial" w:hAnsi="Arial" w:eastAsia="Calibri" w:cs="Arial"/>
          <w:color w:val="000000"/>
          <w:sz w:val="22"/>
          <w:szCs w:val="22"/>
          <w:lang w:val="es-ES_tradnl"/>
        </w:rPr>
        <w:t xml:space="preserve"> Según el artículo 2.2.1.1.1.5.3., numeral 4, del Decreto 1082 de 2015, los indicadores para medir la capacidad organizacional de un proponente son: por un lado, la </w:t>
      </w:r>
      <w:r w:rsidRPr="00E96F17">
        <w:rPr>
          <w:rFonts w:ascii="Arial" w:hAnsi="Arial" w:eastAsia="Calibri" w:cs="Arial"/>
          <w:i/>
          <w:iCs/>
          <w:color w:val="000000"/>
          <w:sz w:val="22"/>
          <w:szCs w:val="22"/>
          <w:lang w:val="es-ES_tradnl"/>
        </w:rPr>
        <w:t>rentabilidad del patrimonio</w:t>
      </w:r>
      <w:r w:rsidRPr="00E96F17">
        <w:rPr>
          <w:rFonts w:ascii="Arial" w:hAnsi="Arial" w:eastAsia="Calibri" w:cs="Arial"/>
          <w:color w:val="000000"/>
          <w:sz w:val="22"/>
          <w:szCs w:val="22"/>
          <w:lang w:val="es-ES_tradnl"/>
        </w:rPr>
        <w:t xml:space="preserve">,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w:t>
      </w:r>
    </w:p>
    <w:p w:rsidRPr="00E96F17" w:rsidR="00C1387A" w:rsidP="00C1387A" w:rsidRDefault="00C1387A" w14:paraId="4791D1D1" w14:textId="0C9FB2FB">
      <w:pPr>
        <w:spacing w:before="120" w:after="120" w:line="276" w:lineRule="auto"/>
        <w:ind w:firstLine="709"/>
        <w:jc w:val="both"/>
        <w:rPr>
          <w:rFonts w:ascii="Arial" w:hAnsi="Arial" w:eastAsia="Calibri" w:cs="Arial"/>
          <w:color w:val="000000"/>
          <w:sz w:val="22"/>
          <w:szCs w:val="22"/>
          <w:lang w:val="es-ES_tradnl"/>
        </w:rPr>
      </w:pPr>
      <w:r w:rsidRPr="00E96F17">
        <w:rPr>
          <w:rFonts w:ascii="Arial" w:hAnsi="Arial" w:eastAsia="Calibri" w:cs="Arial"/>
          <w:color w:val="000000"/>
          <w:sz w:val="22"/>
          <w:szCs w:val="22"/>
          <w:lang w:val="es-ES_tradnl"/>
        </w:rPr>
        <w:t xml:space="preserve">Por el otro, la </w:t>
      </w:r>
      <w:r w:rsidRPr="00E96F17">
        <w:rPr>
          <w:rFonts w:ascii="Arial" w:hAnsi="Arial" w:eastAsia="Calibri" w:cs="Arial"/>
          <w:i/>
          <w:iCs/>
          <w:color w:val="000000"/>
          <w:sz w:val="22"/>
          <w:szCs w:val="22"/>
          <w:lang w:val="es-ES_tradnl"/>
        </w:rPr>
        <w:t>rentabilidad del activo</w:t>
      </w:r>
      <w:r w:rsidRPr="00E96F17">
        <w:rPr>
          <w:rFonts w:ascii="Arial" w:hAnsi="Arial" w:eastAsia="Calibri" w:cs="Arial"/>
          <w:color w:val="000000"/>
          <w:sz w:val="22"/>
          <w:szCs w:val="22"/>
          <w:lang w:val="es-ES_tradnl"/>
        </w:rPr>
        <w:t>,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rsidRPr="00E96F17" w:rsidR="00C1387A" w:rsidP="00C1387A" w:rsidRDefault="00C1387A" w14:paraId="402B0895" w14:textId="77777777">
      <w:pPr>
        <w:spacing w:before="120" w:after="120" w:line="276" w:lineRule="auto"/>
        <w:ind w:firstLine="709"/>
        <w:jc w:val="both"/>
        <w:rPr>
          <w:rFonts w:ascii="Arial" w:hAnsi="Arial" w:eastAsia="Calibri" w:cs="Arial"/>
          <w:color w:val="000000"/>
          <w:sz w:val="22"/>
          <w:szCs w:val="22"/>
          <w:lang w:val="es-ES_tradnl"/>
        </w:rPr>
      </w:pPr>
      <w:r w:rsidRPr="00E96F17">
        <w:rPr>
          <w:rFonts w:ascii="Arial" w:hAnsi="Arial" w:eastAsia="Calibri" w:cs="Arial"/>
          <w:color w:val="000000"/>
          <w:sz w:val="22"/>
          <w:szCs w:val="22"/>
          <w:lang w:val="es-ES_tradnl"/>
        </w:rPr>
        <w:t>A juicio de esta Agencia, también son relevantes los siguientes indicadores, pero únicamente en aquellos casos en los que, por las características del objeto a contratar, la naturaleza o la complejidad del proceso de contratación, se requieran: i) margen bruto; ii) margen operacional; iii) margen neto; iv) retorno sobre capital invertido; v) rotación de activos totales; vi) rotación de activos fijos; y vii) rotación de inventarios</w:t>
      </w:r>
      <w:r w:rsidRPr="00E96F17">
        <w:rPr>
          <w:rStyle w:val="Refdenotaalpie"/>
          <w:rFonts w:ascii="Arial" w:hAnsi="Arial" w:eastAsia="Calibri" w:cs="Arial"/>
          <w:color w:val="000000"/>
          <w:sz w:val="22"/>
          <w:szCs w:val="22"/>
          <w:lang w:val="es-ES_tradnl"/>
        </w:rPr>
        <w:footnoteReference w:id="13"/>
      </w:r>
      <w:r w:rsidRPr="00E96F17">
        <w:rPr>
          <w:rFonts w:ascii="Arial" w:hAnsi="Arial" w:eastAsia="Calibri" w:cs="Arial"/>
          <w:color w:val="000000"/>
          <w:sz w:val="22"/>
          <w:szCs w:val="22"/>
          <w:lang w:val="es-ES_tradnl"/>
        </w:rPr>
        <w:t>.</w:t>
      </w:r>
    </w:p>
    <w:p w:rsidRPr="00E96F17" w:rsidR="00C1387A" w:rsidP="00C1387A" w:rsidRDefault="00C1387A" w14:paraId="6F5CECA0" w14:textId="1A9C60F2">
      <w:pPr>
        <w:spacing w:before="120" w:line="276" w:lineRule="auto"/>
        <w:ind w:firstLine="708"/>
        <w:jc w:val="both"/>
        <w:rPr>
          <w:rFonts w:ascii="Arial" w:hAnsi="Arial" w:eastAsia="Calibri" w:cs="Arial"/>
          <w:color w:val="000000"/>
          <w:sz w:val="22"/>
          <w:szCs w:val="22"/>
          <w:lang w:val="es-ES_tradnl"/>
        </w:rPr>
      </w:pPr>
      <w:r w:rsidRPr="00E96F17">
        <w:rPr>
          <w:rFonts w:ascii="Arial" w:hAnsi="Arial" w:eastAsia="Calibri" w:cs="Arial"/>
          <w:color w:val="000000"/>
          <w:sz w:val="22"/>
          <w:szCs w:val="22"/>
          <w:lang w:val="es-ES_tradnl"/>
        </w:rPr>
        <w:t>Sobre la capacidad financiera, como requisito habilitante, el Manual señala que sus indicadores deben establecerse de acuerdo con el estudio del sector que le permitió a la entidad conocer cómo se debe ejecutar el objeto contractual, y que es necesario analizar cada fórmula para que la interpretación no sea operativa, sino que su aplicación se base en el entendimiento del resultado y sus implicaciones para el procedimiento contractual</w:t>
      </w:r>
      <w:r w:rsidRPr="00E96F17">
        <w:rPr>
          <w:rFonts w:ascii="Arial" w:hAnsi="Arial" w:eastAsia="Calibri" w:cs="Arial"/>
          <w:color w:val="000000"/>
          <w:sz w:val="22"/>
          <w:szCs w:val="22"/>
          <w:vertAlign w:val="superscript"/>
          <w:lang w:val="es-ES_tradnl"/>
        </w:rPr>
        <w:footnoteReference w:id="14"/>
      </w:r>
      <w:r w:rsidRPr="00E96F17">
        <w:rPr>
          <w:rFonts w:ascii="Arial" w:hAnsi="Arial" w:eastAsia="Calibri" w:cs="Arial"/>
          <w:color w:val="000000"/>
          <w:sz w:val="22"/>
          <w:szCs w:val="22"/>
          <w:lang w:val="es-ES_tradnl"/>
        </w:rPr>
        <w:t xml:space="preserve">. Igualmente, la capacidad organizacional se mide mediante los siguientes indicadores: i) rentabilidad del patrimonio y ii) rentabilidad del activo. Sus resultados deben interpretarse observando el riesgo que un indicador alto o bajo representa para el procedimiento. Por </w:t>
      </w:r>
      <w:r w:rsidRPr="00E96F17">
        <w:rPr>
          <w:rFonts w:ascii="Arial" w:hAnsi="Arial" w:eastAsia="Calibri" w:cs="Arial"/>
          <w:color w:val="000000"/>
          <w:sz w:val="22"/>
          <w:szCs w:val="22"/>
          <w:lang w:val="es-ES_tradnl"/>
        </w:rPr>
        <w:lastRenderedPageBreak/>
        <w:t>ende, la entidad debe establecer unos límites dentro de los cuales se garantice que el proponente pueda cumplir el contrato en caso de celebrarlo</w:t>
      </w:r>
      <w:r w:rsidRPr="00E96F17">
        <w:rPr>
          <w:rFonts w:ascii="Arial" w:hAnsi="Arial" w:eastAsia="Calibri" w:cs="Arial"/>
          <w:color w:val="000000"/>
          <w:sz w:val="22"/>
          <w:szCs w:val="22"/>
          <w:vertAlign w:val="superscript"/>
          <w:lang w:val="es-ES_tradnl"/>
        </w:rPr>
        <w:footnoteReference w:id="15"/>
      </w:r>
      <w:r w:rsidRPr="00E96F17">
        <w:rPr>
          <w:rFonts w:ascii="Arial" w:hAnsi="Arial" w:eastAsia="Calibri" w:cs="Arial"/>
          <w:color w:val="000000"/>
          <w:sz w:val="22"/>
          <w:szCs w:val="22"/>
          <w:lang w:val="es-ES_tradnl"/>
        </w:rPr>
        <w:t xml:space="preserve">. No obstante, las </w:t>
      </w:r>
      <w:r w:rsidR="0088149F">
        <w:rPr>
          <w:rFonts w:ascii="Arial" w:hAnsi="Arial" w:eastAsia="Calibri" w:cs="Arial"/>
          <w:color w:val="000000"/>
          <w:sz w:val="22"/>
          <w:szCs w:val="22"/>
          <w:lang w:val="es-ES_tradnl"/>
        </w:rPr>
        <w:t>E</w:t>
      </w:r>
      <w:r w:rsidRPr="00E96F17">
        <w:rPr>
          <w:rFonts w:ascii="Arial" w:hAnsi="Arial" w:eastAsia="Calibri" w:cs="Arial"/>
          <w:color w:val="000000"/>
          <w:sz w:val="22"/>
          <w:szCs w:val="22"/>
          <w:lang w:val="es-ES_tradnl"/>
        </w:rPr>
        <w:t xml:space="preserve">ntidades </w:t>
      </w:r>
      <w:r w:rsidR="0088149F">
        <w:rPr>
          <w:rFonts w:ascii="Arial" w:hAnsi="Arial" w:eastAsia="Calibri" w:cs="Arial"/>
          <w:color w:val="000000"/>
          <w:sz w:val="22"/>
          <w:szCs w:val="22"/>
          <w:lang w:val="es-ES_tradnl"/>
        </w:rPr>
        <w:t>E</w:t>
      </w:r>
      <w:r w:rsidRPr="00E96F17">
        <w:rPr>
          <w:rFonts w:ascii="Arial" w:hAnsi="Arial" w:eastAsia="Calibri" w:cs="Arial"/>
          <w:color w:val="000000"/>
          <w:sz w:val="22"/>
          <w:szCs w:val="22"/>
          <w:lang w:val="es-ES_tradnl"/>
        </w:rPr>
        <w:t>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p>
    <w:p w:rsidRPr="00E96F17" w:rsidR="006F4245" w:rsidP="00C1387A" w:rsidRDefault="004826D9" w14:paraId="2B30CBD9" w14:textId="3A44F156">
      <w:pPr>
        <w:spacing w:before="120" w:line="276" w:lineRule="auto"/>
        <w:ind w:firstLine="708"/>
        <w:jc w:val="both"/>
        <w:rPr>
          <w:rFonts w:ascii="Arial" w:hAnsi="Arial" w:eastAsia="Calibri" w:cs="Arial"/>
          <w:color w:val="000000"/>
          <w:sz w:val="22"/>
          <w:szCs w:val="22"/>
          <w:lang w:val="es-ES_tradnl"/>
        </w:rPr>
      </w:pPr>
      <w:bookmarkStart w:name="_Hlk115871885" w:id="5"/>
      <w:r w:rsidRPr="00E96F17">
        <w:rPr>
          <w:rFonts w:ascii="Arial" w:hAnsi="Arial" w:eastAsia="Calibri" w:cs="Arial"/>
          <w:sz w:val="22"/>
          <w:szCs w:val="22"/>
        </w:rPr>
        <w:t>P</w:t>
      </w:r>
      <w:r w:rsidRPr="00E96F17" w:rsidR="003F28AB">
        <w:rPr>
          <w:rFonts w:ascii="Arial" w:hAnsi="Arial" w:eastAsia="Calibri" w:cs="Arial"/>
          <w:sz w:val="22"/>
          <w:szCs w:val="22"/>
        </w:rPr>
        <w:t xml:space="preserve">ara efectos de fijar los indicadores de capacidad financiera y organizacional, </w:t>
      </w:r>
      <w:r w:rsidRPr="00E96F17" w:rsidR="003A7BD6">
        <w:rPr>
          <w:rFonts w:ascii="Arial" w:hAnsi="Arial" w:eastAsia="Calibri" w:cs="Arial"/>
          <w:sz w:val="22"/>
          <w:szCs w:val="22"/>
        </w:rPr>
        <w:t>la sección VI del</w:t>
      </w:r>
      <w:r w:rsidRPr="00E96F17" w:rsidR="00894B76">
        <w:rPr>
          <w:rFonts w:ascii="Arial" w:hAnsi="Arial" w:eastAsia="Calibri" w:cs="Arial"/>
          <w:sz w:val="22"/>
          <w:szCs w:val="22"/>
        </w:rPr>
        <w:t xml:space="preserve"> Manual </w:t>
      </w:r>
      <w:r w:rsidRPr="00E96F17" w:rsidR="003F28AB">
        <w:rPr>
          <w:rFonts w:ascii="Arial" w:hAnsi="Arial" w:eastAsia="Calibri" w:cs="Arial"/>
          <w:sz w:val="22"/>
          <w:szCs w:val="22"/>
        </w:rPr>
        <w:t xml:space="preserve">indica que </w:t>
      </w:r>
      <w:r w:rsidRPr="00E96F17" w:rsidR="00894B76">
        <w:rPr>
          <w:rFonts w:ascii="Arial" w:hAnsi="Arial" w:eastAsia="Calibri" w:cs="Arial"/>
          <w:sz w:val="22"/>
          <w:szCs w:val="22"/>
        </w:rPr>
        <w:t xml:space="preserve">la </w:t>
      </w:r>
      <w:r w:rsidR="0088149F">
        <w:rPr>
          <w:rFonts w:ascii="Arial" w:hAnsi="Arial" w:eastAsia="Calibri" w:cs="Arial"/>
          <w:sz w:val="22"/>
          <w:szCs w:val="22"/>
        </w:rPr>
        <w:t>E</w:t>
      </w:r>
      <w:r w:rsidRPr="00E96F17" w:rsidR="00894B76">
        <w:rPr>
          <w:rFonts w:ascii="Arial" w:hAnsi="Arial" w:eastAsia="Calibri" w:cs="Arial"/>
          <w:sz w:val="22"/>
          <w:szCs w:val="22"/>
        </w:rPr>
        <w:t xml:space="preserve">ntidad </w:t>
      </w:r>
      <w:r w:rsidR="0088149F">
        <w:rPr>
          <w:rFonts w:ascii="Arial" w:hAnsi="Arial" w:eastAsia="Calibri" w:cs="Arial"/>
          <w:sz w:val="22"/>
          <w:szCs w:val="22"/>
        </w:rPr>
        <w:t>E</w:t>
      </w:r>
      <w:r w:rsidRPr="00E96F17" w:rsidR="003F28AB">
        <w:rPr>
          <w:rFonts w:ascii="Arial" w:hAnsi="Arial" w:eastAsia="Calibri" w:cs="Arial"/>
          <w:sz w:val="22"/>
          <w:szCs w:val="22"/>
        </w:rPr>
        <w:t>statal «</w:t>
      </w:r>
      <w:r w:rsidRPr="00E96F17" w:rsidR="00894B76">
        <w:rPr>
          <w:rFonts w:ascii="Arial" w:hAnsi="Arial" w:eastAsia="Calibri" w:cs="Arial"/>
          <w:sz w:val="22"/>
          <w:szCs w:val="22"/>
          <w:lang w:val="es-ES_tradnl"/>
        </w:rPr>
        <w:t xml:space="preserve">debe establecer el límite para los indicadores de capacidad financiera y organizacional como resultado del análisis de los criterios previstos en la sección </w:t>
      </w:r>
      <w:r w:rsidRPr="00E96F17" w:rsidR="003F28AB">
        <w:rPr>
          <w:rFonts w:ascii="Arial" w:hAnsi="Arial" w:eastAsia="Calibri" w:cs="Arial"/>
          <w:sz w:val="22"/>
          <w:szCs w:val="22"/>
          <w:lang w:val="es-ES_tradnl"/>
        </w:rPr>
        <w:t>I.B</w:t>
      </w:r>
      <w:r w:rsidRPr="00E96F17" w:rsidR="00894B76">
        <w:rPr>
          <w:rFonts w:ascii="Arial" w:hAnsi="Arial" w:eastAsia="Calibri" w:cs="Arial"/>
          <w:sz w:val="22"/>
          <w:szCs w:val="22"/>
          <w:lang w:val="es-ES_tradnl"/>
        </w:rPr>
        <w:t>. y evitar hacerlo de manera mecánica, pues cada Proceso de Contratación tiene una naturaleza distinta y está asociado a Riesgos particulares</w:t>
      </w:r>
      <w:r w:rsidRPr="00E96F17" w:rsidR="003F28AB">
        <w:rPr>
          <w:rFonts w:ascii="Arial" w:hAnsi="Arial" w:eastAsia="Calibri" w:cs="Arial"/>
          <w:sz w:val="22"/>
          <w:szCs w:val="22"/>
        </w:rPr>
        <w:t>»</w:t>
      </w:r>
      <w:r w:rsidRPr="00E96F17" w:rsidR="00894B76">
        <w:rPr>
          <w:rFonts w:ascii="Arial" w:hAnsi="Arial" w:eastAsia="Calibri" w:cs="Arial"/>
          <w:sz w:val="22"/>
          <w:szCs w:val="22"/>
          <w:lang w:val="es-ES_tradnl"/>
        </w:rPr>
        <w:t>.</w:t>
      </w:r>
      <w:bookmarkEnd w:id="5"/>
      <w:r w:rsidRPr="00E96F17">
        <w:rPr>
          <w:rFonts w:ascii="Arial" w:hAnsi="Arial" w:eastAsia="Calibri" w:cs="Arial"/>
          <w:sz w:val="22"/>
          <w:szCs w:val="22"/>
          <w:lang w:val="es-ES_tradnl"/>
        </w:rPr>
        <w:t xml:space="preserve"> En tal sentido, </w:t>
      </w:r>
      <w:r w:rsidRPr="00E96F17">
        <w:rPr>
          <w:rFonts w:ascii="Arial" w:hAnsi="Arial" w:eastAsia="Calibri" w:cs="Arial"/>
          <w:sz w:val="22"/>
          <w:szCs w:val="22"/>
        </w:rPr>
        <w:t>la entidad debe determinar los indicadores de capacidad financiera y organizacional, así como la relación de dependencia entre cada indicador y la ejecución del contrato, de manera que entre más fuerte sea este nexo, con mayor rigurosidad debe ser el análisis de los datos para establecer los límites de los requisitos habilitantes y los indicadores previstos deben ser más exigentes.</w:t>
      </w:r>
    </w:p>
    <w:p w:rsidRPr="00E96F17" w:rsidR="00894B76" w:rsidP="00894B76" w:rsidRDefault="00894B76" w14:paraId="14372D1F" w14:textId="5352EC11">
      <w:pPr>
        <w:spacing w:before="120" w:line="276" w:lineRule="auto"/>
        <w:ind w:firstLine="708"/>
        <w:jc w:val="both"/>
        <w:rPr>
          <w:rFonts w:ascii="Arial" w:hAnsi="Arial" w:eastAsia="Calibri" w:cs="Arial"/>
          <w:sz w:val="22"/>
          <w:szCs w:val="22"/>
        </w:rPr>
      </w:pPr>
      <w:r w:rsidRPr="00E96F17">
        <w:rPr>
          <w:rFonts w:ascii="Arial" w:hAnsi="Arial" w:eastAsia="Calibri" w:cs="Arial"/>
          <w:sz w:val="22"/>
          <w:szCs w:val="22"/>
          <w:lang w:val="es-ES_tradnl"/>
        </w:rPr>
        <w:t xml:space="preserve"> En relación con los proponentes plurales, </w:t>
      </w:r>
      <w:r w:rsidRPr="00E96F17" w:rsidR="003A7BD6">
        <w:rPr>
          <w:rFonts w:ascii="Arial" w:hAnsi="Arial" w:eastAsia="Calibri" w:cs="Arial"/>
          <w:sz w:val="22"/>
          <w:szCs w:val="22"/>
          <w:lang w:val="es-ES_tradnl"/>
        </w:rPr>
        <w:t>la sección VII d</w:t>
      </w:r>
      <w:r w:rsidRPr="00E96F17">
        <w:rPr>
          <w:rFonts w:ascii="Arial" w:hAnsi="Arial" w:eastAsia="Calibri" w:cs="Arial"/>
          <w:sz w:val="22"/>
          <w:szCs w:val="22"/>
          <w:lang w:val="es-ES_tradnl"/>
        </w:rPr>
        <w:t xml:space="preserve">el Manual </w:t>
      </w:r>
      <w:r w:rsidRPr="00E96F17" w:rsidR="003A7BD6">
        <w:rPr>
          <w:rFonts w:ascii="Arial" w:hAnsi="Arial" w:eastAsia="Calibri" w:cs="Arial"/>
          <w:sz w:val="22"/>
          <w:szCs w:val="22"/>
          <w:lang w:val="es-ES_tradnl"/>
        </w:rPr>
        <w:t>señala</w:t>
      </w:r>
      <w:r w:rsidRPr="00E96F17">
        <w:rPr>
          <w:rFonts w:ascii="Arial" w:hAnsi="Arial" w:eastAsia="Calibri" w:cs="Arial"/>
          <w:sz w:val="22"/>
          <w:szCs w:val="22"/>
          <w:lang w:val="es-ES_tradnl"/>
        </w:rPr>
        <w:t xml:space="preserve"> que la entidad debe determinar en los documentos del proceso la metodología para calcular los indicadores de los proponentes plurales a partir de la información de cada uno de sus integrantes. De esta manera, es deber de la entidad establecer en los pliegos de condiciones la forma en la cual se calcularán los indicadores de capacidad financiera y organizacional de los proponentes plurales. Para estos efectos, el Manual expone varias opciones que las entidades podrán implementar para el cálculo de dichos indicadores, sin perjuicio de utilizar opciones distintas, pues como se indicó, este Manual es un instrumento de orientación y no es vinculante. </w:t>
      </w:r>
    </w:p>
    <w:p w:rsidRPr="00E96F17" w:rsidR="00894B76" w:rsidP="00894B76" w:rsidRDefault="00894B76" w14:paraId="312507F6" w14:textId="627D4FB4">
      <w:pPr>
        <w:spacing w:before="120" w:line="276" w:lineRule="auto"/>
        <w:ind w:firstLine="708"/>
        <w:jc w:val="both"/>
        <w:rPr>
          <w:rFonts w:ascii="Arial" w:hAnsi="Arial" w:eastAsia="Calibri" w:cs="Arial"/>
          <w:sz w:val="22"/>
          <w:szCs w:val="22"/>
        </w:rPr>
      </w:pPr>
      <w:r w:rsidRPr="00E96F17">
        <w:rPr>
          <w:rFonts w:ascii="Arial" w:hAnsi="Arial" w:eastAsia="Calibri" w:cs="Arial"/>
          <w:sz w:val="22"/>
          <w:szCs w:val="22"/>
        </w:rPr>
        <w:t>Así, para calcular los indicadores expresados</w:t>
      </w:r>
      <w:r w:rsidRPr="00E96F17">
        <w:rPr>
          <w:rFonts w:ascii="Arial" w:hAnsi="Arial" w:eastAsia="Calibri" w:cs="Arial"/>
          <w:sz w:val="22"/>
          <w:szCs w:val="22"/>
          <w:lang w:val="es-ES_tradnl"/>
        </w:rPr>
        <w:t xml:space="preserve"> </w:t>
      </w:r>
      <w:r w:rsidRPr="00E96F17" w:rsidR="003F28AB">
        <w:rPr>
          <w:rFonts w:ascii="Arial" w:hAnsi="Arial" w:eastAsia="Calibri" w:cs="Arial"/>
          <w:sz w:val="22"/>
          <w:szCs w:val="22"/>
          <w:lang w:val="es-ES_tradnl"/>
        </w:rPr>
        <w:t xml:space="preserve">en </w:t>
      </w:r>
      <w:r w:rsidRPr="00E96F17">
        <w:rPr>
          <w:rFonts w:ascii="Arial" w:hAnsi="Arial" w:eastAsia="Calibri" w:cs="Arial"/>
          <w:sz w:val="22"/>
          <w:szCs w:val="22"/>
          <w:lang w:val="es-ES_tradnl"/>
        </w:rPr>
        <w:t>valores absolutos, como el capital de trabajo, las entidades podrán aplicar la siguiente fórmula:</w:t>
      </w:r>
    </w:p>
    <w:p w:rsidRPr="00587A1E" w:rsidR="00894B76" w:rsidP="006F4245" w:rsidRDefault="00894B76" w14:paraId="74AF2774" w14:textId="77777777">
      <w:pPr>
        <w:tabs>
          <w:tab w:val="left" w:pos="709"/>
        </w:tabs>
        <w:spacing w:line="276" w:lineRule="auto"/>
        <w:ind w:left="709" w:right="644"/>
        <w:contextualSpacing/>
        <w:jc w:val="both"/>
        <w:rPr>
          <w:rFonts w:ascii="Arial" w:hAnsi="Arial" w:eastAsia="Calibri" w:cs="Arial"/>
          <w:sz w:val="22"/>
          <w:szCs w:val="22"/>
          <w:lang w:val="es-ES_tradnl"/>
        </w:rPr>
      </w:pPr>
    </w:p>
    <w:p w:rsidRPr="00587A1E" w:rsidR="00894B76" w:rsidP="006C4E71" w:rsidRDefault="00894B76" w14:paraId="7E898B17" w14:textId="77777777">
      <w:pPr>
        <w:numPr>
          <w:ilvl w:val="0"/>
          <w:numId w:val="36"/>
        </w:numPr>
        <w:tabs>
          <w:tab w:val="left" w:pos="709"/>
          <w:tab w:val="left" w:pos="993"/>
        </w:tabs>
        <w:ind w:left="709" w:right="644" w:firstLine="0"/>
        <w:contextualSpacing/>
        <w:jc w:val="both"/>
        <w:rPr>
          <w:rFonts w:ascii="Arial" w:hAnsi="Arial" w:eastAsia="Calibri" w:cs="Arial"/>
          <w:sz w:val="22"/>
          <w:szCs w:val="22"/>
          <w:lang w:val="es-ES_tradnl" w:eastAsia="en-US"/>
        </w:rPr>
      </w:pPr>
      <w:r w:rsidRPr="00587A1E">
        <w:rPr>
          <w:rFonts w:ascii="Arial" w:hAnsi="Arial" w:eastAsia="Calibri" w:cs="Arial"/>
          <w:sz w:val="22"/>
          <w:szCs w:val="22"/>
          <w:lang w:val="es-ES_tradnl" w:eastAsia="en-US"/>
        </w:rPr>
        <w:t xml:space="preserve">Sumatoria </w:t>
      </w:r>
    </w:p>
    <w:p w:rsidRPr="00587A1E" w:rsidR="00894B76" w:rsidP="006F4245" w:rsidRDefault="00894B76" w14:paraId="7DA9FE98" w14:textId="77777777">
      <w:pPr>
        <w:tabs>
          <w:tab w:val="left" w:pos="709"/>
        </w:tabs>
        <w:ind w:left="709" w:right="644"/>
        <w:contextualSpacing/>
        <w:jc w:val="both"/>
        <w:rPr>
          <w:rFonts w:ascii="Arial" w:hAnsi="Arial" w:eastAsia="Calibri" w:cs="Arial"/>
          <w:sz w:val="22"/>
          <w:szCs w:val="22"/>
          <w:lang w:val="es-ES_tradnl" w:eastAsia="en-US"/>
        </w:rPr>
      </w:pPr>
    </w:p>
    <w:p w:rsidRPr="00587A1E" w:rsidR="00894B76" w:rsidP="002E71D7" w:rsidRDefault="002E71D7" w14:paraId="7D98F631" w14:textId="2E22A598">
      <w:pPr>
        <w:tabs>
          <w:tab w:val="left" w:pos="709"/>
        </w:tabs>
        <w:ind w:left="709" w:right="644"/>
        <w:contextualSpacing/>
        <w:jc w:val="center"/>
        <w:rPr>
          <w:rFonts w:ascii="Arial" w:hAnsi="Arial" w:eastAsia="Calibri" w:cs="Arial"/>
          <w:sz w:val="22"/>
          <w:szCs w:val="22"/>
          <w:lang w:val="es-ES_tradnl" w:eastAsia="en-US"/>
        </w:rPr>
      </w:pPr>
      <w:r w:rsidRPr="00587A1E">
        <w:rPr>
          <w:rFonts w:ascii="Arial" w:hAnsi="Arial" w:eastAsia="Calibri" w:cs="Arial"/>
          <w:noProof/>
          <w:sz w:val="22"/>
          <w:szCs w:val="22"/>
          <w:lang w:val="es-ES_tradnl" w:eastAsia="en-US"/>
        </w:rPr>
        <w:drawing>
          <wp:inline distT="0" distB="0" distL="0" distR="0" wp14:anchorId="2557A4B9" wp14:editId="54D9F572">
            <wp:extent cx="4238625" cy="371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8625" cy="371475"/>
                    </a:xfrm>
                    <a:prstGeom prst="rect">
                      <a:avLst/>
                    </a:prstGeom>
                    <a:noFill/>
                    <a:ln>
                      <a:noFill/>
                    </a:ln>
                  </pic:spPr>
                </pic:pic>
              </a:graphicData>
            </a:graphic>
          </wp:inline>
        </w:drawing>
      </w:r>
    </w:p>
    <w:p w:rsidRPr="00587A1E" w:rsidR="00894B76" w:rsidP="006F4245" w:rsidRDefault="00894B76" w14:paraId="7029A212" w14:textId="77777777">
      <w:pPr>
        <w:ind w:firstLine="709"/>
        <w:contextualSpacing/>
        <w:jc w:val="both"/>
        <w:rPr>
          <w:rFonts w:ascii="Arial" w:hAnsi="Arial" w:eastAsia="Calibri" w:cs="Arial"/>
          <w:sz w:val="22"/>
          <w:szCs w:val="22"/>
          <w:lang w:val="es-ES_tradnl" w:eastAsia="en-US"/>
        </w:rPr>
      </w:pPr>
    </w:p>
    <w:p w:rsidRPr="00587A1E" w:rsidR="00894B76" w:rsidP="006C4E71" w:rsidRDefault="00894B76" w14:paraId="6C8B09B0" w14:textId="534B63F0">
      <w:pPr>
        <w:ind w:left="709" w:right="646"/>
        <w:contextualSpacing/>
        <w:jc w:val="both"/>
        <w:rPr>
          <w:rFonts w:ascii="Arial" w:hAnsi="Arial" w:eastAsia="Calibri" w:cs="Arial"/>
          <w:sz w:val="22"/>
          <w:szCs w:val="22"/>
          <w:lang w:val="es-ES_tradnl" w:eastAsia="en-US"/>
        </w:rPr>
      </w:pPr>
      <w:r w:rsidRPr="00587A1E">
        <w:rPr>
          <w:rFonts w:ascii="Arial" w:hAnsi="Arial" w:eastAsia="Calibri" w:cs="Arial"/>
          <w:sz w:val="22"/>
          <w:szCs w:val="22"/>
          <w:lang w:val="es-ES_tradnl" w:eastAsia="en-US"/>
        </w:rPr>
        <w:t xml:space="preserve">Donde n es el número de integrantes del oferente plural (unión temporal, consorcio o promesa de sociedad futura). </w:t>
      </w:r>
    </w:p>
    <w:p w:rsidRPr="00587A1E" w:rsidR="006F4245" w:rsidP="006C4E71" w:rsidRDefault="006F4245" w14:paraId="0E45C4BC" w14:textId="77777777">
      <w:pPr>
        <w:spacing w:line="264" w:lineRule="auto"/>
        <w:ind w:left="709" w:right="646"/>
        <w:contextualSpacing/>
        <w:jc w:val="both"/>
        <w:rPr>
          <w:rFonts w:ascii="Arial" w:hAnsi="Arial" w:eastAsia="Calibri" w:cs="Arial"/>
          <w:sz w:val="22"/>
          <w:szCs w:val="22"/>
          <w:lang w:val="es-ES_tradnl" w:eastAsia="en-US"/>
        </w:rPr>
      </w:pPr>
    </w:p>
    <w:p w:rsidRPr="00E96F17" w:rsidR="00894B76" w:rsidP="006F4245" w:rsidRDefault="00894B76" w14:paraId="61AF3E74" w14:textId="421FDDBA">
      <w:pPr>
        <w:spacing w:before="120" w:line="276" w:lineRule="auto"/>
        <w:ind w:right="79" w:firstLine="709"/>
        <w:jc w:val="both"/>
        <w:rPr>
          <w:rFonts w:ascii="Arial" w:hAnsi="Arial" w:eastAsia="Calibri" w:cs="Arial"/>
          <w:sz w:val="22"/>
          <w:szCs w:val="22"/>
          <w:lang w:val="es-ES_tradnl" w:eastAsia="en-US"/>
        </w:rPr>
      </w:pPr>
      <w:r w:rsidRPr="00E96F17">
        <w:rPr>
          <w:rFonts w:ascii="Arial" w:hAnsi="Arial" w:eastAsia="Calibri" w:cs="Arial"/>
          <w:sz w:val="22"/>
          <w:szCs w:val="22"/>
          <w:lang w:val="es-ES_tradnl" w:eastAsia="en-US"/>
        </w:rPr>
        <w:t xml:space="preserve">Por su parte, para los indicadores que provienen de la división de cuentas de los estados financieros, el Manual sugiere dos opciones: </w:t>
      </w:r>
    </w:p>
    <w:p w:rsidRPr="00E96F17" w:rsidR="006F4245" w:rsidP="006F4245" w:rsidRDefault="006F4245" w14:paraId="5B8A0B8D" w14:textId="77777777">
      <w:pPr>
        <w:spacing w:line="276" w:lineRule="auto"/>
        <w:ind w:right="79" w:firstLine="709"/>
        <w:jc w:val="both"/>
        <w:rPr>
          <w:rFonts w:ascii="Arial" w:hAnsi="Arial" w:eastAsia="Calibri" w:cs="Arial"/>
          <w:sz w:val="22"/>
          <w:szCs w:val="22"/>
          <w:lang w:val="es-ES_tradnl" w:eastAsia="en-US"/>
        </w:rPr>
      </w:pPr>
    </w:p>
    <w:p w:rsidRPr="00587A1E" w:rsidR="00CF261A" w:rsidP="006C4E71" w:rsidRDefault="00894B76" w14:paraId="5B2DAB9C" w14:textId="4C0B629C">
      <w:pPr>
        <w:pStyle w:val="Prrafodelista"/>
        <w:numPr>
          <w:ilvl w:val="0"/>
          <w:numId w:val="36"/>
        </w:numPr>
        <w:tabs>
          <w:tab w:val="left" w:pos="993"/>
        </w:tabs>
        <w:spacing w:before="0" w:after="0" w:line="240" w:lineRule="auto"/>
        <w:ind w:right="646" w:hanging="56"/>
        <w:rPr>
          <w:rFonts w:ascii="Arial" w:hAnsi="Arial" w:eastAsia="Calibri" w:cs="Arial"/>
          <w:sz w:val="22"/>
          <w:lang w:val="es-ES_tradnl"/>
        </w:rPr>
      </w:pPr>
      <w:r w:rsidRPr="00587A1E">
        <w:rPr>
          <w:rFonts w:ascii="Arial" w:hAnsi="Arial" w:eastAsia="Calibri" w:cs="Arial"/>
          <w:sz w:val="22"/>
          <w:lang w:val="es-ES_tradnl"/>
        </w:rPr>
        <w:t>La ponderación de los componentes de los indicadores: opción en la que cada uno de los integrantes del oferente aporta al valor total del componente del indicador de acuerdo con su participación en la figura, esto es, unión temporal, consorcio o promesa de sociedad futura</w:t>
      </w:r>
      <w:r w:rsidRPr="00587A1E" w:rsidR="00CF261A">
        <w:rPr>
          <w:rFonts w:ascii="Arial" w:hAnsi="Arial" w:eastAsia="Calibri" w:cs="Arial"/>
          <w:sz w:val="22"/>
          <w:lang w:val="es-ES_tradnl"/>
        </w:rPr>
        <w:t>.</w:t>
      </w:r>
      <w:r w:rsidRPr="00587A1E">
        <w:rPr>
          <w:rFonts w:ascii="Arial" w:hAnsi="Arial" w:eastAsia="Calibri" w:cs="Arial"/>
          <w:sz w:val="22"/>
          <w:lang w:val="es-ES_tradnl"/>
        </w:rPr>
        <w:t xml:space="preserve"> </w:t>
      </w:r>
    </w:p>
    <w:p w:rsidRPr="00587A1E" w:rsidR="00CF261A" w:rsidP="00B03D33" w:rsidRDefault="00CF261A" w14:paraId="6BD2CE5D" w14:textId="77777777">
      <w:pPr>
        <w:pStyle w:val="Prrafodelista"/>
        <w:spacing w:before="0" w:after="0" w:line="240" w:lineRule="auto"/>
        <w:ind w:left="765" w:right="646"/>
        <w:rPr>
          <w:rFonts w:ascii="Arial" w:hAnsi="Arial" w:eastAsia="Calibri" w:cs="Arial"/>
          <w:sz w:val="22"/>
          <w:lang w:val="es-ES_tradnl"/>
        </w:rPr>
      </w:pPr>
    </w:p>
    <w:p w:rsidRPr="00587A1E" w:rsidR="00894B76" w:rsidP="00B03D33" w:rsidRDefault="00CF261A" w14:paraId="1AFBD264" w14:textId="68915B8E">
      <w:pPr>
        <w:pStyle w:val="Prrafodelista"/>
        <w:spacing w:before="0" w:after="0" w:line="240" w:lineRule="auto"/>
        <w:ind w:left="765" w:right="646"/>
        <w:rPr>
          <w:rFonts w:ascii="Arial" w:hAnsi="Arial" w:eastAsia="Calibri" w:cs="Arial"/>
          <w:sz w:val="22"/>
          <w:lang w:val="es-ES_tradnl"/>
        </w:rPr>
      </w:pPr>
      <w:r w:rsidRPr="00587A1E">
        <w:rPr>
          <w:rFonts w:ascii="Arial" w:hAnsi="Arial" w:eastAsia="Calibri" w:cs="Arial"/>
          <w:sz w:val="22"/>
          <w:lang w:val="es-ES_tradnl"/>
        </w:rPr>
        <w:t>L</w:t>
      </w:r>
      <w:r w:rsidRPr="00587A1E" w:rsidR="00894B76">
        <w:rPr>
          <w:rFonts w:ascii="Arial" w:hAnsi="Arial" w:eastAsia="Calibri" w:cs="Arial"/>
          <w:sz w:val="22"/>
          <w:lang w:val="es-ES_tradnl"/>
        </w:rPr>
        <w:t xml:space="preserve">a siguiente </w:t>
      </w:r>
      <w:r w:rsidRPr="00587A1E">
        <w:rPr>
          <w:rFonts w:ascii="Arial" w:hAnsi="Arial" w:eastAsia="Calibri" w:cs="Arial"/>
          <w:sz w:val="22"/>
          <w:lang w:val="es-ES_tradnl"/>
        </w:rPr>
        <w:t xml:space="preserve">es la </w:t>
      </w:r>
      <w:r w:rsidRPr="00587A1E" w:rsidR="00894B76">
        <w:rPr>
          <w:rFonts w:ascii="Arial" w:hAnsi="Arial" w:eastAsia="Calibri" w:cs="Arial"/>
          <w:sz w:val="22"/>
          <w:lang w:val="es-ES_tradnl"/>
        </w:rPr>
        <w:t>f</w:t>
      </w:r>
      <w:r w:rsidRPr="00587A1E">
        <w:rPr>
          <w:rFonts w:ascii="Arial" w:hAnsi="Arial" w:eastAsia="Calibri" w:cs="Arial"/>
          <w:sz w:val="22"/>
          <w:lang w:val="es-ES_tradnl"/>
        </w:rPr>
        <w:t>ó</w:t>
      </w:r>
      <w:r w:rsidRPr="00587A1E" w:rsidR="00894B76">
        <w:rPr>
          <w:rFonts w:ascii="Arial" w:hAnsi="Arial" w:eastAsia="Calibri" w:cs="Arial"/>
          <w:sz w:val="22"/>
          <w:lang w:val="es-ES_tradnl"/>
        </w:rPr>
        <w:t>rmula</w:t>
      </w:r>
      <w:r w:rsidRPr="00587A1E">
        <w:rPr>
          <w:rFonts w:ascii="Arial" w:hAnsi="Arial" w:eastAsia="Calibri" w:cs="Arial"/>
          <w:sz w:val="22"/>
          <w:lang w:val="es-ES_tradnl"/>
        </w:rPr>
        <w:t xml:space="preserve"> aplicable</w:t>
      </w:r>
      <w:r w:rsidRPr="00587A1E" w:rsidR="00894B76">
        <w:rPr>
          <w:rFonts w:ascii="Arial" w:hAnsi="Arial" w:eastAsia="Calibri" w:cs="Arial"/>
          <w:sz w:val="22"/>
          <w:lang w:val="es-ES_tradnl"/>
        </w:rPr>
        <w:t xml:space="preserve">: </w:t>
      </w:r>
    </w:p>
    <w:p w:rsidRPr="00587A1E" w:rsidR="002E71D7" w:rsidP="00B03D33" w:rsidRDefault="002E71D7" w14:paraId="2B723C1E" w14:textId="77777777">
      <w:pPr>
        <w:pStyle w:val="Prrafodelista"/>
        <w:spacing w:before="0" w:after="0" w:line="240" w:lineRule="auto"/>
        <w:ind w:left="765" w:right="646"/>
        <w:rPr>
          <w:rFonts w:ascii="Arial" w:hAnsi="Arial" w:eastAsia="Calibri" w:cs="Arial"/>
          <w:sz w:val="22"/>
          <w:lang w:val="es-ES_tradnl"/>
        </w:rPr>
      </w:pPr>
    </w:p>
    <w:p w:rsidRPr="00587A1E" w:rsidR="00894B76" w:rsidP="002E71D7" w:rsidRDefault="002E71D7" w14:paraId="5B37C000" w14:textId="53437F0A">
      <w:pPr>
        <w:ind w:left="709" w:right="644"/>
        <w:jc w:val="center"/>
        <w:rPr>
          <w:rFonts w:ascii="Arial" w:hAnsi="Arial" w:eastAsia="Calibri" w:cs="Arial"/>
          <w:noProof/>
          <w:sz w:val="22"/>
          <w:szCs w:val="22"/>
        </w:rPr>
      </w:pPr>
      <w:r w:rsidRPr="00587A1E">
        <w:rPr>
          <w:rFonts w:ascii="Arial" w:hAnsi="Arial" w:eastAsia="Calibri" w:cs="Arial"/>
          <w:noProof/>
          <w:sz w:val="22"/>
          <w:szCs w:val="22"/>
        </w:rPr>
        <w:drawing>
          <wp:inline distT="0" distB="0" distL="0" distR="0" wp14:anchorId="5C8AB726" wp14:editId="510C8684">
            <wp:extent cx="4391025" cy="685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1025" cy="685800"/>
                    </a:xfrm>
                    <a:prstGeom prst="rect">
                      <a:avLst/>
                    </a:prstGeom>
                    <a:noFill/>
                    <a:ln>
                      <a:noFill/>
                    </a:ln>
                  </pic:spPr>
                </pic:pic>
              </a:graphicData>
            </a:graphic>
          </wp:inline>
        </w:drawing>
      </w:r>
    </w:p>
    <w:p w:rsidRPr="00587A1E" w:rsidR="002E71D7" w:rsidP="00B03D33" w:rsidRDefault="002E71D7" w14:paraId="6CCEC0AD" w14:textId="77777777">
      <w:pPr>
        <w:ind w:left="709" w:right="644"/>
        <w:jc w:val="both"/>
        <w:rPr>
          <w:rFonts w:ascii="Arial" w:hAnsi="Arial" w:eastAsia="Calibri" w:cs="Arial"/>
          <w:sz w:val="22"/>
          <w:szCs w:val="22"/>
        </w:rPr>
      </w:pPr>
    </w:p>
    <w:p w:rsidRPr="00587A1E" w:rsidR="00CF261A" w:rsidP="00B03D33" w:rsidRDefault="00CF261A" w14:paraId="52F0E49D" w14:textId="055F8386">
      <w:pPr>
        <w:ind w:left="709" w:right="644"/>
        <w:jc w:val="both"/>
        <w:rPr>
          <w:rFonts w:ascii="Arial" w:hAnsi="Arial" w:eastAsia="Calibri" w:cs="Arial"/>
          <w:sz w:val="22"/>
          <w:szCs w:val="22"/>
          <w:lang w:val="es-ES_tradnl" w:eastAsia="en-US"/>
        </w:rPr>
      </w:pPr>
      <w:r w:rsidRPr="00587A1E">
        <w:rPr>
          <w:rFonts w:ascii="Arial" w:hAnsi="Arial" w:eastAsia="Calibri" w:cs="Arial"/>
          <w:sz w:val="22"/>
          <w:szCs w:val="22"/>
          <w:lang w:val="es-ES_tradnl" w:eastAsia="en-US"/>
        </w:rPr>
        <w:t>Donde n es el número de integrantes del oferente plural (unión temporal, consorcio o promesa de sociedad futura).</w:t>
      </w:r>
    </w:p>
    <w:p w:rsidRPr="00587A1E" w:rsidR="00CF261A" w:rsidP="006F4245" w:rsidRDefault="00CF261A" w14:paraId="3C454E99" w14:textId="08B85585">
      <w:pPr>
        <w:spacing w:before="120" w:after="120" w:line="276" w:lineRule="auto"/>
        <w:ind w:left="709" w:right="644"/>
        <w:jc w:val="both"/>
        <w:rPr>
          <w:rFonts w:ascii="Arial" w:hAnsi="Arial" w:eastAsia="Calibri" w:cs="Arial"/>
          <w:sz w:val="22"/>
          <w:szCs w:val="22"/>
          <w:lang w:val="es-ES_tradnl" w:eastAsia="en-US"/>
        </w:rPr>
      </w:pPr>
      <w:r w:rsidRPr="00587A1E">
        <w:rPr>
          <w:rFonts w:ascii="Arial" w:hAnsi="Arial" w:eastAsia="Calibri" w:cs="Arial"/>
          <w:sz w:val="22"/>
          <w:szCs w:val="22"/>
          <w:lang w:val="es-ES_tradnl" w:eastAsia="en-US"/>
        </w:rPr>
        <w:t>Esta opción incentiva que el integrante del proponente plural con los mejores indicadores tenga una mayor participación en dicho proponente plural.</w:t>
      </w:r>
    </w:p>
    <w:p w:rsidRPr="00587A1E" w:rsidR="00894B76" w:rsidP="00B03D33" w:rsidRDefault="00894B76" w14:paraId="04CDB9EA" w14:textId="77777777">
      <w:pPr>
        <w:ind w:left="709" w:right="646"/>
        <w:jc w:val="both"/>
        <w:rPr>
          <w:rFonts w:ascii="Arial" w:hAnsi="Arial" w:eastAsia="Calibri" w:cs="Arial"/>
          <w:sz w:val="22"/>
          <w:szCs w:val="22"/>
          <w:lang w:val="es-ES_tradnl" w:eastAsia="en-US"/>
        </w:rPr>
      </w:pPr>
      <w:r w:rsidRPr="00587A1E">
        <w:rPr>
          <w:rFonts w:ascii="Arial" w:hAnsi="Arial" w:eastAsia="Calibri" w:cs="Arial"/>
          <w:sz w:val="22"/>
          <w:szCs w:val="22"/>
          <w:lang w:val="es-ES_tradnl" w:eastAsia="en-US"/>
        </w:rPr>
        <w:t xml:space="preserve">3. La suma de los componentes de los indicadores, opción en la que cada uno de los integrantes del oferente aporta al valor total de cada componente del indicador. </w:t>
      </w:r>
    </w:p>
    <w:p w:rsidRPr="00587A1E" w:rsidR="00894B76" w:rsidP="00B03D33" w:rsidRDefault="00894B76" w14:paraId="6361E76D" w14:textId="77777777">
      <w:pPr>
        <w:ind w:left="709" w:right="644"/>
        <w:contextualSpacing/>
        <w:jc w:val="both"/>
        <w:rPr>
          <w:rFonts w:ascii="Arial" w:hAnsi="Arial" w:eastAsia="Calibri" w:cs="Arial"/>
          <w:sz w:val="22"/>
          <w:szCs w:val="22"/>
          <w:lang w:val="es-ES_tradnl"/>
        </w:rPr>
      </w:pPr>
    </w:p>
    <w:p w:rsidRPr="00E96F17" w:rsidR="00894B76" w:rsidP="00B03D33" w:rsidRDefault="002E71D7" w14:paraId="3DF81AE3" w14:textId="421788B2">
      <w:pPr>
        <w:ind w:firstLine="709"/>
        <w:contextualSpacing/>
        <w:jc w:val="both"/>
        <w:rPr>
          <w:rFonts w:ascii="Arial" w:hAnsi="Arial" w:eastAsia="Calibri" w:cs="Arial"/>
          <w:sz w:val="22"/>
          <w:szCs w:val="22"/>
          <w:lang w:val="es-ES_tradnl"/>
        </w:rPr>
      </w:pPr>
      <w:r w:rsidRPr="00E96F17">
        <w:rPr>
          <w:rFonts w:ascii="Arial" w:hAnsi="Arial" w:eastAsia="Calibri" w:cs="Arial"/>
          <w:sz w:val="22"/>
          <w:szCs w:val="22"/>
          <w:lang w:val="es-ES_tradnl"/>
        </w:rPr>
        <w:t xml:space="preserve">  </w:t>
      </w:r>
      <w:r w:rsidRPr="00E96F17">
        <w:rPr>
          <w:rFonts w:ascii="Arial" w:hAnsi="Arial" w:eastAsia="Calibri" w:cs="Arial"/>
          <w:noProof/>
          <w:sz w:val="22"/>
          <w:szCs w:val="22"/>
          <w:lang w:val="es-ES_tradnl"/>
        </w:rPr>
        <w:drawing>
          <wp:inline distT="0" distB="0" distL="0" distR="0" wp14:anchorId="27099B65" wp14:editId="77FA755C">
            <wp:extent cx="4533900" cy="542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33900" cy="542925"/>
                    </a:xfrm>
                    <a:prstGeom prst="rect">
                      <a:avLst/>
                    </a:prstGeom>
                    <a:noFill/>
                    <a:ln>
                      <a:noFill/>
                    </a:ln>
                  </pic:spPr>
                </pic:pic>
              </a:graphicData>
            </a:graphic>
          </wp:inline>
        </w:drawing>
      </w:r>
    </w:p>
    <w:p w:rsidRPr="00587A1E" w:rsidR="00B03D33" w:rsidP="00B03D33" w:rsidRDefault="00B03D33" w14:paraId="295A3791" w14:textId="77777777">
      <w:pPr>
        <w:ind w:left="709" w:right="644"/>
        <w:jc w:val="both"/>
        <w:rPr>
          <w:rFonts w:ascii="Arial" w:hAnsi="Arial" w:eastAsia="Calibri" w:cs="Arial"/>
          <w:sz w:val="22"/>
          <w:szCs w:val="22"/>
          <w:lang w:val="es-ES_tradnl" w:eastAsia="en-US"/>
        </w:rPr>
      </w:pPr>
    </w:p>
    <w:p w:rsidRPr="00587A1E" w:rsidR="006F4245" w:rsidP="00B03D33" w:rsidRDefault="00CF261A" w14:paraId="3577B691" w14:textId="32776493">
      <w:pPr>
        <w:ind w:left="709" w:right="644"/>
        <w:jc w:val="both"/>
        <w:rPr>
          <w:rFonts w:ascii="Arial" w:hAnsi="Arial" w:eastAsia="Calibri" w:cs="Arial"/>
          <w:sz w:val="22"/>
          <w:szCs w:val="22"/>
          <w:lang w:val="es-ES_tradnl" w:eastAsia="en-US"/>
        </w:rPr>
      </w:pPr>
      <w:r w:rsidRPr="00587A1E">
        <w:rPr>
          <w:rFonts w:ascii="Arial" w:hAnsi="Arial" w:eastAsia="Calibri" w:cs="Arial"/>
          <w:sz w:val="22"/>
          <w:szCs w:val="22"/>
          <w:lang w:val="es-ES_tradnl" w:eastAsia="en-US"/>
        </w:rPr>
        <w:t>Donde n es el número de integrantes del oferente plural (unión temporal, consorcio o promesa de sociedad futura). En esta opción el indicador es el mismo independientemente de la participación de los integrantes del oferente plural.</w:t>
      </w:r>
    </w:p>
    <w:p w:rsidRPr="00E96F17" w:rsidR="00CF261A" w:rsidP="006C4E71" w:rsidRDefault="00CF261A" w14:paraId="10195763" w14:textId="77777777">
      <w:pPr>
        <w:spacing w:line="276" w:lineRule="auto"/>
        <w:ind w:firstLine="709"/>
        <w:jc w:val="both"/>
        <w:rPr>
          <w:rFonts w:ascii="Arial" w:hAnsi="Arial" w:eastAsia="Calibri" w:cs="Arial"/>
          <w:sz w:val="22"/>
          <w:szCs w:val="22"/>
        </w:rPr>
      </w:pPr>
    </w:p>
    <w:p w:rsidRPr="00E96F17" w:rsidR="006C4E71" w:rsidP="006C4E71" w:rsidRDefault="00894B76" w14:paraId="759FF358" w14:textId="59EDFF70">
      <w:pPr>
        <w:spacing w:line="276" w:lineRule="auto"/>
        <w:ind w:firstLine="709"/>
        <w:jc w:val="both"/>
        <w:rPr>
          <w:rFonts w:ascii="Arial" w:hAnsi="Arial" w:eastAsia="Calibri" w:cs="Arial"/>
          <w:sz w:val="22"/>
          <w:szCs w:val="22"/>
        </w:rPr>
      </w:pPr>
      <w:bookmarkStart w:name="_Hlk115872058" w:id="6"/>
      <w:r w:rsidRPr="00E96F17">
        <w:rPr>
          <w:rFonts w:ascii="Arial" w:hAnsi="Arial" w:eastAsia="Calibri" w:cs="Arial"/>
          <w:sz w:val="22"/>
          <w:szCs w:val="22"/>
        </w:rPr>
        <w:t xml:space="preserve">De esta manera, el Manual </w:t>
      </w:r>
      <w:r w:rsidRPr="00E96F17" w:rsidR="00CF261A">
        <w:rPr>
          <w:rFonts w:ascii="Arial" w:hAnsi="Arial" w:eastAsia="Calibri" w:cs="Arial"/>
          <w:sz w:val="22"/>
          <w:szCs w:val="22"/>
        </w:rPr>
        <w:t>propone</w:t>
      </w:r>
      <w:r w:rsidRPr="00E96F17">
        <w:rPr>
          <w:rFonts w:ascii="Arial" w:hAnsi="Arial" w:eastAsia="Calibri" w:cs="Arial"/>
          <w:sz w:val="22"/>
          <w:szCs w:val="22"/>
        </w:rPr>
        <w:t xml:space="preserve"> tres fórmulas diferentes: la primera opción denominada </w:t>
      </w:r>
      <w:r w:rsidRPr="00E96F17" w:rsidR="00CF261A">
        <w:rPr>
          <w:rFonts w:ascii="Arial" w:hAnsi="Arial" w:eastAsia="Calibri" w:cs="Arial"/>
          <w:sz w:val="22"/>
          <w:szCs w:val="22"/>
        </w:rPr>
        <w:t>«</w:t>
      </w:r>
      <w:r w:rsidRPr="00E96F17">
        <w:rPr>
          <w:rFonts w:ascii="Arial" w:hAnsi="Arial" w:eastAsia="Calibri" w:cs="Arial"/>
          <w:sz w:val="22"/>
          <w:szCs w:val="22"/>
        </w:rPr>
        <w:t>Sumatoria</w:t>
      </w:r>
      <w:r w:rsidRPr="00E96F17" w:rsidR="00CF261A">
        <w:rPr>
          <w:rFonts w:ascii="Arial" w:hAnsi="Arial" w:eastAsia="Calibri" w:cs="Arial"/>
          <w:sz w:val="22"/>
          <w:szCs w:val="22"/>
        </w:rPr>
        <w:t>»</w:t>
      </w:r>
      <w:r w:rsidRPr="00E96F17">
        <w:rPr>
          <w:rFonts w:ascii="Arial" w:hAnsi="Arial" w:eastAsia="Calibri" w:cs="Arial"/>
          <w:sz w:val="22"/>
          <w:szCs w:val="22"/>
        </w:rPr>
        <w:t xml:space="preserve"> para los valores absolutos como el capital de trabajo y la opciones</w:t>
      </w:r>
      <w:r w:rsidRPr="00E96F17" w:rsidR="00B03D33">
        <w:rPr>
          <w:rFonts w:ascii="Arial" w:hAnsi="Arial" w:eastAsia="Calibri" w:cs="Arial"/>
          <w:sz w:val="22"/>
          <w:szCs w:val="22"/>
        </w:rPr>
        <w:t xml:space="preserve"> dos</w:t>
      </w:r>
      <w:r w:rsidRPr="00E96F17">
        <w:rPr>
          <w:rFonts w:ascii="Arial" w:hAnsi="Arial" w:eastAsia="Calibri" w:cs="Arial"/>
          <w:sz w:val="22"/>
          <w:szCs w:val="22"/>
        </w:rPr>
        <w:t xml:space="preserve"> </w:t>
      </w:r>
      <w:r w:rsidRPr="00E96F17" w:rsidR="00B03D33">
        <w:rPr>
          <w:rFonts w:ascii="Arial" w:hAnsi="Arial" w:eastAsia="Calibri" w:cs="Arial"/>
          <w:sz w:val="22"/>
          <w:szCs w:val="22"/>
        </w:rPr>
        <w:t>(</w:t>
      </w:r>
      <w:r w:rsidRPr="00E96F17">
        <w:rPr>
          <w:rFonts w:ascii="Arial" w:hAnsi="Arial" w:eastAsia="Calibri" w:cs="Arial"/>
          <w:sz w:val="22"/>
          <w:szCs w:val="22"/>
        </w:rPr>
        <w:t>2</w:t>
      </w:r>
      <w:r w:rsidRPr="00E96F17" w:rsidR="00B03D33">
        <w:rPr>
          <w:rFonts w:ascii="Arial" w:hAnsi="Arial" w:eastAsia="Calibri" w:cs="Arial"/>
          <w:sz w:val="22"/>
          <w:szCs w:val="22"/>
        </w:rPr>
        <w:t>)</w:t>
      </w:r>
      <w:r w:rsidRPr="00E96F17">
        <w:rPr>
          <w:rFonts w:ascii="Arial" w:hAnsi="Arial" w:eastAsia="Calibri" w:cs="Arial"/>
          <w:sz w:val="22"/>
          <w:szCs w:val="22"/>
        </w:rPr>
        <w:t xml:space="preserve"> y </w:t>
      </w:r>
      <w:r w:rsidRPr="00E96F17" w:rsidR="00B03D33">
        <w:rPr>
          <w:rFonts w:ascii="Arial" w:hAnsi="Arial" w:eastAsia="Calibri" w:cs="Arial"/>
          <w:sz w:val="22"/>
          <w:szCs w:val="22"/>
        </w:rPr>
        <w:t>tres (</w:t>
      </w:r>
      <w:r w:rsidRPr="00E96F17">
        <w:rPr>
          <w:rFonts w:ascii="Arial" w:hAnsi="Arial" w:eastAsia="Calibri" w:cs="Arial"/>
          <w:sz w:val="22"/>
          <w:szCs w:val="22"/>
        </w:rPr>
        <w:t>3</w:t>
      </w:r>
      <w:r w:rsidRPr="00E96F17" w:rsidR="00B03D33">
        <w:rPr>
          <w:rFonts w:ascii="Arial" w:hAnsi="Arial" w:eastAsia="Calibri" w:cs="Arial"/>
          <w:sz w:val="22"/>
          <w:szCs w:val="22"/>
        </w:rPr>
        <w:t>)</w:t>
      </w:r>
      <w:r w:rsidRPr="00E96F17">
        <w:rPr>
          <w:rFonts w:ascii="Arial" w:hAnsi="Arial" w:eastAsia="Calibri" w:cs="Arial"/>
          <w:sz w:val="22"/>
          <w:szCs w:val="22"/>
        </w:rPr>
        <w:t xml:space="preserve"> de </w:t>
      </w:r>
      <w:r w:rsidRPr="00E96F17" w:rsidR="00CF261A">
        <w:rPr>
          <w:rFonts w:ascii="Arial" w:hAnsi="Arial" w:eastAsia="Calibri" w:cs="Arial"/>
          <w:sz w:val="22"/>
          <w:szCs w:val="22"/>
        </w:rPr>
        <w:t>«P</w:t>
      </w:r>
      <w:r w:rsidRPr="00E96F17">
        <w:rPr>
          <w:rFonts w:ascii="Arial" w:hAnsi="Arial" w:eastAsia="Calibri" w:cs="Arial"/>
          <w:sz w:val="22"/>
          <w:szCs w:val="22"/>
        </w:rPr>
        <w:t>onderación de los componentes de los indicadores</w:t>
      </w:r>
      <w:r w:rsidRPr="00E96F17" w:rsidR="00CF261A">
        <w:rPr>
          <w:rFonts w:ascii="Arial" w:hAnsi="Arial" w:eastAsia="Calibri" w:cs="Arial"/>
          <w:sz w:val="22"/>
          <w:szCs w:val="22"/>
        </w:rPr>
        <w:t>»</w:t>
      </w:r>
      <w:r w:rsidRPr="00E96F17">
        <w:rPr>
          <w:rFonts w:ascii="Arial" w:hAnsi="Arial" w:eastAsia="Calibri" w:cs="Arial"/>
          <w:sz w:val="22"/>
          <w:szCs w:val="22"/>
        </w:rPr>
        <w:t xml:space="preserve"> y </w:t>
      </w:r>
      <w:r w:rsidRPr="00E96F17" w:rsidR="00CF261A">
        <w:rPr>
          <w:rFonts w:ascii="Arial" w:hAnsi="Arial" w:eastAsia="Calibri" w:cs="Arial"/>
          <w:sz w:val="22"/>
          <w:szCs w:val="22"/>
        </w:rPr>
        <w:lastRenderedPageBreak/>
        <w:t>«S</w:t>
      </w:r>
      <w:r w:rsidRPr="00E96F17">
        <w:rPr>
          <w:rFonts w:ascii="Arial" w:hAnsi="Arial" w:eastAsia="Calibri" w:cs="Arial"/>
          <w:sz w:val="22"/>
          <w:szCs w:val="22"/>
        </w:rPr>
        <w:t>uma de los componentes de los indicadores</w:t>
      </w:r>
      <w:r w:rsidRPr="00E96F17" w:rsidR="00CF261A">
        <w:rPr>
          <w:rFonts w:ascii="Arial" w:hAnsi="Arial" w:eastAsia="Calibri" w:cs="Arial"/>
          <w:sz w:val="22"/>
          <w:szCs w:val="22"/>
        </w:rPr>
        <w:t>»</w:t>
      </w:r>
      <w:r w:rsidRPr="00E96F17">
        <w:rPr>
          <w:rFonts w:ascii="Arial" w:hAnsi="Arial" w:eastAsia="Calibri" w:cs="Arial"/>
          <w:sz w:val="22"/>
          <w:szCs w:val="22"/>
        </w:rPr>
        <w:t xml:space="preserve"> para los indicadores que provienen de la división de cuentas de los estados financieros. La anterior claridad es importante para el objeto de la consulta</w:t>
      </w:r>
      <w:r w:rsidRPr="00E96F17" w:rsidR="006C4E71">
        <w:rPr>
          <w:rFonts w:ascii="Arial" w:hAnsi="Arial" w:eastAsia="Calibri" w:cs="Arial"/>
          <w:sz w:val="22"/>
          <w:szCs w:val="22"/>
        </w:rPr>
        <w:t>, puesto que las fórmulas propuestas tendrán que aplicarse en cada caso en concreto teniendo en cuenta si se trata de valores absolutos o</w:t>
      </w:r>
      <w:r w:rsidRPr="00E96F17" w:rsidR="0097301C">
        <w:rPr>
          <w:rFonts w:ascii="Arial" w:hAnsi="Arial" w:eastAsia="Calibri" w:cs="Arial"/>
          <w:sz w:val="22"/>
          <w:szCs w:val="22"/>
        </w:rPr>
        <w:t xml:space="preserve"> de indicadores de</w:t>
      </w:r>
      <w:r w:rsidRPr="00E96F17" w:rsidR="006C4E71">
        <w:rPr>
          <w:rFonts w:ascii="Arial" w:hAnsi="Arial" w:eastAsia="Calibri" w:cs="Arial"/>
          <w:sz w:val="22"/>
          <w:szCs w:val="22"/>
        </w:rPr>
        <w:t xml:space="preserve"> división de cuenta.</w:t>
      </w:r>
    </w:p>
    <w:bookmarkEnd w:id="6"/>
    <w:p w:rsidRPr="00E96F17" w:rsidR="00E90584" w:rsidP="00E90584" w:rsidRDefault="00894B76" w14:paraId="3D664D1E" w14:textId="289473D0">
      <w:pPr>
        <w:spacing w:before="120" w:line="276" w:lineRule="auto"/>
        <w:ind w:firstLine="709"/>
        <w:jc w:val="both"/>
        <w:rPr>
          <w:rFonts w:ascii="Arial" w:hAnsi="Arial" w:eastAsia="Calibri" w:cs="Arial"/>
          <w:sz w:val="22"/>
          <w:szCs w:val="22"/>
        </w:rPr>
      </w:pPr>
      <w:r w:rsidRPr="00E96F17">
        <w:rPr>
          <w:rFonts w:ascii="Arial" w:hAnsi="Arial" w:eastAsia="Calibri" w:cs="Arial"/>
          <w:sz w:val="22"/>
          <w:szCs w:val="22"/>
        </w:rPr>
        <w:t xml:space="preserve">Para tales efectos, el Manual </w:t>
      </w:r>
      <w:r w:rsidRPr="00E96F17" w:rsidR="00B9340C">
        <w:rPr>
          <w:rFonts w:ascii="Arial" w:hAnsi="Arial" w:eastAsia="Calibri" w:cs="Arial"/>
          <w:sz w:val="22"/>
          <w:szCs w:val="22"/>
        </w:rPr>
        <w:t>plantea</w:t>
      </w:r>
      <w:r w:rsidRPr="00E96F17">
        <w:rPr>
          <w:rFonts w:ascii="Arial" w:hAnsi="Arial" w:eastAsia="Calibri" w:cs="Arial"/>
          <w:sz w:val="22"/>
          <w:szCs w:val="22"/>
        </w:rPr>
        <w:t xml:space="preserve"> un ejemplo con información financiera de cada uno de los integrantes del oferente plural y el cálculo individual de los indicadores</w:t>
      </w:r>
      <w:r w:rsidRPr="00E96F17" w:rsidR="00B03D33">
        <w:rPr>
          <w:rFonts w:ascii="Arial" w:hAnsi="Arial" w:eastAsia="Calibri" w:cs="Arial"/>
          <w:sz w:val="22"/>
          <w:szCs w:val="22"/>
        </w:rPr>
        <w:t xml:space="preserve"> de capacidad financiera y organizacional</w:t>
      </w:r>
      <w:r w:rsidRPr="00E96F17">
        <w:rPr>
          <w:rFonts w:ascii="Arial" w:hAnsi="Arial" w:eastAsia="Calibri" w:cs="Arial"/>
          <w:sz w:val="22"/>
          <w:szCs w:val="22"/>
        </w:rPr>
        <w:t xml:space="preserve">. Conforme el ejemplo </w:t>
      </w:r>
      <w:r w:rsidRPr="00E96F17" w:rsidR="00B9340C">
        <w:rPr>
          <w:rFonts w:ascii="Arial" w:hAnsi="Arial" w:eastAsia="Calibri" w:cs="Arial"/>
          <w:sz w:val="22"/>
          <w:szCs w:val="22"/>
        </w:rPr>
        <w:t>señalado</w:t>
      </w:r>
      <w:r w:rsidRPr="00E96F17">
        <w:rPr>
          <w:rFonts w:ascii="Arial" w:hAnsi="Arial" w:eastAsia="Calibri" w:cs="Arial"/>
          <w:sz w:val="22"/>
          <w:szCs w:val="22"/>
        </w:rPr>
        <w:t xml:space="preserve"> en la opción </w:t>
      </w:r>
      <w:r w:rsidRPr="00E96F17" w:rsidR="00E90584">
        <w:rPr>
          <w:rFonts w:ascii="Arial" w:hAnsi="Arial" w:eastAsia="Calibri" w:cs="Arial"/>
          <w:sz w:val="22"/>
          <w:szCs w:val="22"/>
        </w:rPr>
        <w:t>uno (</w:t>
      </w:r>
      <w:r w:rsidRPr="00E96F17">
        <w:rPr>
          <w:rFonts w:ascii="Arial" w:hAnsi="Arial" w:eastAsia="Calibri" w:cs="Arial"/>
          <w:sz w:val="22"/>
          <w:szCs w:val="22"/>
        </w:rPr>
        <w:t>1</w:t>
      </w:r>
      <w:r w:rsidRPr="00E96F17" w:rsidR="00E90584">
        <w:rPr>
          <w:rFonts w:ascii="Arial" w:hAnsi="Arial" w:eastAsia="Calibri" w:cs="Arial"/>
          <w:sz w:val="22"/>
          <w:szCs w:val="22"/>
        </w:rPr>
        <w:t>)</w:t>
      </w:r>
      <w:r w:rsidRPr="00E96F17">
        <w:rPr>
          <w:rFonts w:ascii="Arial" w:hAnsi="Arial" w:eastAsia="Calibri" w:cs="Arial"/>
          <w:sz w:val="22"/>
          <w:szCs w:val="22"/>
        </w:rPr>
        <w:t xml:space="preserve"> se calcula el capital de trabajo con la fórmula de la </w:t>
      </w:r>
      <w:r w:rsidRPr="00E96F17" w:rsidR="006C4E71">
        <w:rPr>
          <w:rFonts w:ascii="Arial" w:hAnsi="Arial" w:eastAsia="Calibri" w:cs="Arial"/>
          <w:sz w:val="22"/>
          <w:szCs w:val="22"/>
        </w:rPr>
        <w:t>primera opción «</w:t>
      </w:r>
      <w:r w:rsidRPr="00E96F17">
        <w:rPr>
          <w:rFonts w:ascii="Arial" w:hAnsi="Arial" w:eastAsia="Calibri" w:cs="Arial"/>
          <w:sz w:val="22"/>
          <w:szCs w:val="22"/>
        </w:rPr>
        <w:t>Sumatoria</w:t>
      </w:r>
      <w:r w:rsidRPr="00E96F17" w:rsidR="006C4E71">
        <w:rPr>
          <w:rFonts w:ascii="Arial" w:hAnsi="Arial" w:eastAsia="Calibri" w:cs="Arial"/>
          <w:sz w:val="22"/>
          <w:szCs w:val="22"/>
        </w:rPr>
        <w:t>»</w:t>
      </w:r>
      <w:r w:rsidRPr="00E96F17">
        <w:rPr>
          <w:rFonts w:ascii="Arial" w:hAnsi="Arial" w:eastAsia="Calibri" w:cs="Arial"/>
          <w:sz w:val="22"/>
          <w:szCs w:val="22"/>
        </w:rPr>
        <w:t xml:space="preserve"> </w:t>
      </w:r>
      <w:r w:rsidRPr="00E96F17" w:rsidR="006C4E71">
        <w:rPr>
          <w:rFonts w:ascii="Arial" w:hAnsi="Arial" w:eastAsia="Calibri" w:cs="Arial"/>
          <w:sz w:val="22"/>
          <w:szCs w:val="22"/>
        </w:rPr>
        <w:t>determinada</w:t>
      </w:r>
      <w:r w:rsidRPr="00E96F17">
        <w:rPr>
          <w:rFonts w:ascii="Arial" w:hAnsi="Arial" w:eastAsia="Calibri" w:cs="Arial"/>
          <w:sz w:val="22"/>
          <w:szCs w:val="22"/>
        </w:rPr>
        <w:t xml:space="preserve"> para valores absolutos. Por su parte, </w:t>
      </w:r>
      <w:r w:rsidRPr="00E96F17" w:rsidR="0097301C">
        <w:rPr>
          <w:rFonts w:ascii="Arial" w:hAnsi="Arial" w:eastAsia="Calibri" w:cs="Arial"/>
          <w:sz w:val="22"/>
          <w:szCs w:val="22"/>
        </w:rPr>
        <w:t xml:space="preserve">para calcular el índice de liquidez, el índice de endeudamiento y la razón de cobertura de intereses se emplean </w:t>
      </w:r>
      <w:r w:rsidRPr="00E96F17">
        <w:rPr>
          <w:rFonts w:ascii="Arial" w:hAnsi="Arial" w:eastAsia="Calibri" w:cs="Arial"/>
          <w:sz w:val="22"/>
          <w:szCs w:val="22"/>
        </w:rPr>
        <w:t xml:space="preserve">la opción dos (2) </w:t>
      </w:r>
      <w:r w:rsidRPr="00E96F17" w:rsidR="006C4E71">
        <w:rPr>
          <w:rFonts w:ascii="Arial" w:hAnsi="Arial" w:eastAsia="Calibri" w:cs="Arial"/>
          <w:sz w:val="22"/>
          <w:szCs w:val="22"/>
        </w:rPr>
        <w:t xml:space="preserve">«Ponderación de los componentes de los indicadores» </w:t>
      </w:r>
      <w:r w:rsidRPr="00E96F17">
        <w:rPr>
          <w:rFonts w:ascii="Arial" w:hAnsi="Arial" w:eastAsia="Calibri" w:cs="Arial"/>
          <w:sz w:val="22"/>
          <w:szCs w:val="22"/>
        </w:rPr>
        <w:t xml:space="preserve">y la opción tres (3) </w:t>
      </w:r>
      <w:r w:rsidRPr="00E96F17" w:rsidR="006C4E71">
        <w:rPr>
          <w:rFonts w:ascii="Arial" w:hAnsi="Arial" w:eastAsia="Calibri" w:cs="Arial"/>
          <w:sz w:val="22"/>
          <w:szCs w:val="22"/>
        </w:rPr>
        <w:t xml:space="preserve">«Suma de los componentes de los indicadores». </w:t>
      </w:r>
      <w:r w:rsidRPr="00E96F17">
        <w:rPr>
          <w:rFonts w:ascii="Arial" w:hAnsi="Arial" w:eastAsia="Calibri" w:cs="Arial"/>
          <w:sz w:val="22"/>
          <w:szCs w:val="22"/>
        </w:rPr>
        <w:t xml:space="preserve">Según se evidencia, </w:t>
      </w:r>
      <w:r w:rsidRPr="00E96F17" w:rsidR="00E90584">
        <w:rPr>
          <w:rFonts w:ascii="Arial" w:hAnsi="Arial" w:eastAsia="Calibri" w:cs="Arial"/>
          <w:sz w:val="22"/>
          <w:szCs w:val="22"/>
        </w:rPr>
        <w:t xml:space="preserve">en la opción uno (1) se calcula un indicador distinto a las señalados en las opciones dos (2) y tres (3), por lo que el resultado </w:t>
      </w:r>
      <w:r w:rsidRPr="00E96F17" w:rsidR="0097301C">
        <w:rPr>
          <w:rFonts w:ascii="Arial" w:hAnsi="Arial" w:eastAsia="Calibri" w:cs="Arial"/>
          <w:sz w:val="22"/>
          <w:szCs w:val="22"/>
        </w:rPr>
        <w:t xml:space="preserve">de aplicar dichas fórmulas </w:t>
      </w:r>
      <w:r w:rsidRPr="00E96F17" w:rsidR="00E90584">
        <w:rPr>
          <w:rFonts w:ascii="Arial" w:hAnsi="Arial" w:eastAsia="Calibri" w:cs="Arial"/>
          <w:sz w:val="22"/>
          <w:szCs w:val="22"/>
        </w:rPr>
        <w:t>en cada caso es diferente, como se muestra a continuación:</w:t>
      </w:r>
    </w:p>
    <w:p w:rsidRPr="00587A1E" w:rsidR="00B03D33" w:rsidP="00B03D33" w:rsidRDefault="00B03D33" w14:paraId="5EFB7FB1" w14:textId="77777777">
      <w:pPr>
        <w:ind w:left="709"/>
        <w:rPr>
          <w:rFonts w:ascii="Arial" w:hAnsi="Arial" w:eastAsia="Arial MT" w:cs="Arial"/>
          <w:b/>
          <w:sz w:val="22"/>
          <w:szCs w:val="22"/>
          <w:lang w:val="es-ES" w:eastAsia="en-US"/>
        </w:rPr>
      </w:pPr>
    </w:p>
    <w:p w:rsidRPr="00587A1E" w:rsidR="001E2D60" w:rsidP="00B03D33" w:rsidRDefault="0097301C" w14:paraId="5C2B1AFF" w14:textId="20AE6F96">
      <w:pPr>
        <w:ind w:left="709"/>
        <w:rPr>
          <w:rFonts w:ascii="Arial" w:hAnsi="Arial" w:eastAsia="Calibri" w:cs="Arial"/>
          <w:b/>
          <w:bCs/>
          <w:sz w:val="22"/>
          <w:szCs w:val="22"/>
          <w:lang w:val="es-ES_tradnl" w:eastAsia="en-US"/>
        </w:rPr>
      </w:pPr>
      <w:r w:rsidRPr="00587A1E">
        <w:rPr>
          <w:rFonts w:ascii="Arial" w:hAnsi="Arial" w:eastAsia="Calibri" w:cs="Arial"/>
          <w:b/>
          <w:bCs/>
          <w:sz w:val="22"/>
          <w:szCs w:val="22"/>
          <w:lang w:val="es-ES_tradnl" w:eastAsia="en-US"/>
        </w:rPr>
        <w:t>Opción 1:</w:t>
      </w:r>
    </w:p>
    <w:p w:rsidRPr="00587A1E" w:rsidR="001E2D60" w:rsidP="002E71D7" w:rsidRDefault="002E71D7" w14:paraId="12AC125D" w14:textId="634D2ADC">
      <w:pPr>
        <w:spacing w:before="240" w:after="240"/>
        <w:ind w:right="644" w:firstLine="709"/>
        <w:jc w:val="center"/>
        <w:rPr>
          <w:rFonts w:ascii="Arial" w:hAnsi="Arial" w:eastAsia="Arial MT" w:cs="Arial"/>
          <w:b/>
          <w:sz w:val="22"/>
          <w:szCs w:val="22"/>
          <w:lang w:val="es-ES" w:eastAsia="en-US"/>
        </w:rPr>
      </w:pPr>
      <w:r w:rsidRPr="00587A1E">
        <w:rPr>
          <w:rFonts w:ascii="Arial" w:hAnsi="Arial" w:eastAsia="Arial MT" w:cs="Arial"/>
          <w:b/>
          <w:noProof/>
          <w:sz w:val="22"/>
          <w:szCs w:val="22"/>
          <w:lang w:val="es-ES" w:eastAsia="en-US"/>
        </w:rPr>
        <w:drawing>
          <wp:inline distT="0" distB="0" distL="0" distR="0" wp14:anchorId="6A075771" wp14:editId="6B645F26">
            <wp:extent cx="3686175" cy="4476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6175" cy="447675"/>
                    </a:xfrm>
                    <a:prstGeom prst="rect">
                      <a:avLst/>
                    </a:prstGeom>
                    <a:noFill/>
                    <a:ln>
                      <a:noFill/>
                    </a:ln>
                  </pic:spPr>
                </pic:pic>
              </a:graphicData>
            </a:graphic>
          </wp:inline>
        </w:drawing>
      </w:r>
    </w:p>
    <w:p w:rsidRPr="00587A1E" w:rsidR="0097301C" w:rsidP="001E2D60" w:rsidRDefault="0097301C" w14:paraId="47059E8E" w14:textId="2F2A4B68">
      <w:pPr>
        <w:spacing w:before="240" w:after="240" w:line="276" w:lineRule="auto"/>
        <w:ind w:left="709" w:right="644"/>
        <w:jc w:val="both"/>
        <w:rPr>
          <w:rFonts w:ascii="Arial" w:hAnsi="Arial" w:eastAsia="Calibri" w:cs="Arial"/>
          <w:b/>
          <w:bCs/>
          <w:sz w:val="22"/>
          <w:szCs w:val="22"/>
          <w:lang w:val="es-ES_tradnl" w:eastAsia="en-US"/>
        </w:rPr>
      </w:pPr>
      <w:r w:rsidRPr="00587A1E">
        <w:rPr>
          <w:rFonts w:ascii="Arial" w:hAnsi="Arial" w:eastAsia="Calibri" w:cs="Arial"/>
          <w:b/>
          <w:bCs/>
          <w:sz w:val="22"/>
          <w:szCs w:val="22"/>
          <w:lang w:val="es-ES_tradnl" w:eastAsia="en-US"/>
        </w:rPr>
        <w:t>Opción 2:</w:t>
      </w:r>
    </w:p>
    <w:p w:rsidRPr="00587A1E" w:rsidR="00B03D33" w:rsidP="002E71D7" w:rsidRDefault="002E71D7" w14:paraId="54F1D541" w14:textId="0EDDD809">
      <w:pPr>
        <w:spacing w:before="240" w:after="240" w:line="276" w:lineRule="auto"/>
        <w:ind w:left="709" w:right="644"/>
        <w:jc w:val="center"/>
        <w:rPr>
          <w:rFonts w:ascii="Arial" w:hAnsi="Arial" w:eastAsia="Arial MT" w:cs="Arial"/>
          <w:b/>
          <w:sz w:val="22"/>
          <w:szCs w:val="22"/>
          <w:lang w:val="es-ES" w:eastAsia="en-US"/>
        </w:rPr>
      </w:pPr>
      <w:r w:rsidRPr="00587A1E">
        <w:rPr>
          <w:rFonts w:ascii="Arial" w:hAnsi="Arial" w:eastAsia="Arial MT" w:cs="Arial"/>
          <w:b/>
          <w:noProof/>
          <w:sz w:val="22"/>
          <w:szCs w:val="22"/>
          <w:lang w:val="es-ES" w:eastAsia="en-US"/>
        </w:rPr>
        <w:drawing>
          <wp:inline distT="0" distB="0" distL="0" distR="0" wp14:anchorId="6B32758D" wp14:editId="00DF2067">
            <wp:extent cx="3952875" cy="18002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2875" cy="1800225"/>
                    </a:xfrm>
                    <a:prstGeom prst="rect">
                      <a:avLst/>
                    </a:prstGeom>
                    <a:noFill/>
                    <a:ln>
                      <a:noFill/>
                    </a:ln>
                  </pic:spPr>
                </pic:pic>
              </a:graphicData>
            </a:graphic>
          </wp:inline>
        </w:drawing>
      </w:r>
    </w:p>
    <w:p w:rsidRPr="00587A1E" w:rsidR="00B03D33" w:rsidP="00B03D33" w:rsidRDefault="0097301C" w14:paraId="7655593C" w14:textId="5DFBE4EB">
      <w:pPr>
        <w:spacing w:before="240" w:after="240" w:line="276" w:lineRule="auto"/>
        <w:ind w:left="709" w:right="644"/>
        <w:jc w:val="both"/>
        <w:rPr>
          <w:rFonts w:ascii="Arial" w:hAnsi="Arial" w:eastAsia="Calibri" w:cs="Arial"/>
          <w:b/>
          <w:bCs/>
          <w:sz w:val="22"/>
          <w:szCs w:val="22"/>
          <w:lang w:val="es-ES_tradnl" w:eastAsia="en-US"/>
        </w:rPr>
      </w:pPr>
      <w:r w:rsidRPr="00587A1E">
        <w:rPr>
          <w:rFonts w:ascii="Arial" w:hAnsi="Arial" w:eastAsia="Calibri" w:cs="Arial"/>
          <w:b/>
          <w:bCs/>
          <w:sz w:val="22"/>
          <w:szCs w:val="22"/>
          <w:lang w:val="es-ES_tradnl" w:eastAsia="en-US"/>
        </w:rPr>
        <w:t>Opción 3:</w:t>
      </w:r>
    </w:p>
    <w:p w:rsidRPr="00587A1E" w:rsidR="00BA2923" w:rsidP="00BA2923" w:rsidRDefault="002E71D7" w14:paraId="296A554B" w14:textId="77777777">
      <w:pPr>
        <w:rPr>
          <w:rFonts w:ascii="Arial" w:hAnsi="Arial" w:eastAsia="Arial MT" w:cs="Arial"/>
          <w:b/>
          <w:sz w:val="22"/>
          <w:szCs w:val="22"/>
          <w:lang w:val="es-ES" w:eastAsia="en-US"/>
        </w:rPr>
      </w:pPr>
      <w:r w:rsidRPr="00587A1E">
        <w:rPr>
          <w:rFonts w:ascii="Arial" w:hAnsi="Arial" w:eastAsia="Arial MT" w:cs="Arial"/>
          <w:b/>
          <w:sz w:val="22"/>
          <w:szCs w:val="22"/>
          <w:lang w:val="es-ES" w:eastAsia="en-US"/>
        </w:rPr>
        <w:lastRenderedPageBreak/>
        <w:t xml:space="preserve">                        </w:t>
      </w:r>
      <w:r w:rsidRPr="00587A1E">
        <w:rPr>
          <w:rFonts w:ascii="Arial" w:hAnsi="Arial" w:eastAsia="Arial MT" w:cs="Arial"/>
          <w:b/>
          <w:noProof/>
          <w:sz w:val="22"/>
          <w:szCs w:val="22"/>
          <w:lang w:val="es-ES" w:eastAsia="en-US"/>
        </w:rPr>
        <w:drawing>
          <wp:inline distT="0" distB="0" distL="0" distR="0" wp14:anchorId="48B974DD" wp14:editId="7B54F3C2">
            <wp:extent cx="3800475" cy="16192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0475" cy="1619250"/>
                    </a:xfrm>
                    <a:prstGeom prst="rect">
                      <a:avLst/>
                    </a:prstGeom>
                    <a:noFill/>
                    <a:ln>
                      <a:noFill/>
                    </a:ln>
                  </pic:spPr>
                </pic:pic>
              </a:graphicData>
            </a:graphic>
          </wp:inline>
        </w:drawing>
      </w:r>
      <w:r w:rsidRPr="00587A1E" w:rsidR="00BA2923">
        <w:rPr>
          <w:rFonts w:ascii="Arial" w:hAnsi="Arial" w:eastAsia="Arial MT" w:cs="Arial"/>
          <w:b/>
          <w:sz w:val="22"/>
          <w:szCs w:val="22"/>
          <w:lang w:val="es-ES" w:eastAsia="en-US"/>
        </w:rPr>
        <w:t xml:space="preserve"> </w:t>
      </w:r>
    </w:p>
    <w:p w:rsidRPr="00E96F17" w:rsidR="00DD68E7" w:rsidP="00BA2923" w:rsidRDefault="00DD68E7" w14:paraId="6DE535DF" w14:textId="77777777">
      <w:pPr>
        <w:spacing w:line="276" w:lineRule="auto"/>
        <w:ind w:firstLine="709"/>
        <w:jc w:val="both"/>
        <w:rPr>
          <w:rFonts w:ascii="Arial" w:hAnsi="Arial" w:eastAsia="Calibri" w:cs="Arial"/>
          <w:sz w:val="22"/>
          <w:szCs w:val="22"/>
        </w:rPr>
      </w:pPr>
    </w:p>
    <w:p w:rsidRPr="00587A1E" w:rsidR="00E90584" w:rsidP="00BA2923" w:rsidRDefault="00B03D33" w14:paraId="2A77BF57" w14:textId="4E299CFC">
      <w:pPr>
        <w:spacing w:line="276" w:lineRule="auto"/>
        <w:ind w:firstLine="709"/>
        <w:jc w:val="both"/>
        <w:rPr>
          <w:rFonts w:ascii="Arial" w:hAnsi="Arial" w:eastAsia="Arial MT" w:cs="Arial"/>
          <w:b/>
          <w:sz w:val="22"/>
          <w:szCs w:val="22"/>
          <w:lang w:val="es-ES" w:eastAsia="en-US"/>
        </w:rPr>
      </w:pPr>
      <w:r w:rsidRPr="00E96F17">
        <w:rPr>
          <w:rFonts w:ascii="Arial" w:hAnsi="Arial" w:eastAsia="Calibri" w:cs="Arial"/>
          <w:sz w:val="22"/>
          <w:szCs w:val="22"/>
        </w:rPr>
        <w:t>C</w:t>
      </w:r>
      <w:r w:rsidRPr="00E96F17" w:rsidR="00894B76">
        <w:rPr>
          <w:rFonts w:ascii="Arial" w:hAnsi="Arial" w:eastAsia="Calibri" w:cs="Arial"/>
          <w:sz w:val="22"/>
          <w:szCs w:val="22"/>
        </w:rPr>
        <w:t>omparando los indicadores de las</w:t>
      </w:r>
      <w:r w:rsidRPr="00E96F17" w:rsidR="00E90584">
        <w:rPr>
          <w:rFonts w:ascii="Arial" w:hAnsi="Arial" w:eastAsia="Calibri" w:cs="Arial"/>
          <w:sz w:val="22"/>
          <w:szCs w:val="22"/>
        </w:rPr>
        <w:t xml:space="preserve"> fórmulas de las</w:t>
      </w:r>
      <w:r w:rsidRPr="00E96F17" w:rsidR="00894B76">
        <w:rPr>
          <w:rFonts w:ascii="Arial" w:hAnsi="Arial" w:eastAsia="Calibri" w:cs="Arial"/>
          <w:sz w:val="22"/>
          <w:szCs w:val="22"/>
        </w:rPr>
        <w:t xml:space="preserve"> opciones</w:t>
      </w:r>
      <w:r w:rsidRPr="00E96F17" w:rsidR="00E90584">
        <w:rPr>
          <w:rFonts w:ascii="Arial" w:hAnsi="Arial" w:eastAsia="Calibri" w:cs="Arial"/>
          <w:sz w:val="22"/>
          <w:szCs w:val="22"/>
        </w:rPr>
        <w:t xml:space="preserve"> dos</w:t>
      </w:r>
      <w:r w:rsidRPr="00E96F17" w:rsidR="00894B76">
        <w:rPr>
          <w:rFonts w:ascii="Arial" w:hAnsi="Arial" w:eastAsia="Calibri" w:cs="Arial"/>
          <w:sz w:val="22"/>
          <w:szCs w:val="22"/>
        </w:rPr>
        <w:t xml:space="preserve"> </w:t>
      </w:r>
      <w:r w:rsidRPr="00E96F17" w:rsidR="00E90584">
        <w:rPr>
          <w:rFonts w:ascii="Arial" w:hAnsi="Arial" w:eastAsia="Calibri" w:cs="Arial"/>
          <w:sz w:val="22"/>
          <w:szCs w:val="22"/>
        </w:rPr>
        <w:t>(</w:t>
      </w:r>
      <w:r w:rsidRPr="00E96F17" w:rsidR="00894B76">
        <w:rPr>
          <w:rFonts w:ascii="Arial" w:hAnsi="Arial" w:eastAsia="Calibri" w:cs="Arial"/>
          <w:sz w:val="22"/>
          <w:szCs w:val="22"/>
        </w:rPr>
        <w:t>2</w:t>
      </w:r>
      <w:r w:rsidRPr="00E96F17" w:rsidR="00E90584">
        <w:rPr>
          <w:rFonts w:ascii="Arial" w:hAnsi="Arial" w:eastAsia="Calibri" w:cs="Arial"/>
          <w:sz w:val="22"/>
          <w:szCs w:val="22"/>
        </w:rPr>
        <w:t>)</w:t>
      </w:r>
      <w:r w:rsidRPr="00E96F17" w:rsidR="00894B76">
        <w:rPr>
          <w:rFonts w:ascii="Arial" w:hAnsi="Arial" w:eastAsia="Calibri" w:cs="Arial"/>
          <w:sz w:val="22"/>
          <w:szCs w:val="22"/>
        </w:rPr>
        <w:t xml:space="preserve"> y </w:t>
      </w:r>
      <w:r w:rsidRPr="00E96F17" w:rsidR="00E90584">
        <w:rPr>
          <w:rFonts w:ascii="Arial" w:hAnsi="Arial" w:eastAsia="Calibri" w:cs="Arial"/>
          <w:sz w:val="22"/>
          <w:szCs w:val="22"/>
        </w:rPr>
        <w:t>(</w:t>
      </w:r>
      <w:r w:rsidRPr="00E96F17" w:rsidR="00894B76">
        <w:rPr>
          <w:rFonts w:ascii="Arial" w:hAnsi="Arial" w:eastAsia="Calibri" w:cs="Arial"/>
          <w:sz w:val="22"/>
          <w:szCs w:val="22"/>
        </w:rPr>
        <w:t>3</w:t>
      </w:r>
      <w:r w:rsidRPr="00E96F17" w:rsidR="00E90584">
        <w:rPr>
          <w:rFonts w:ascii="Arial" w:hAnsi="Arial" w:eastAsia="Calibri" w:cs="Arial"/>
          <w:sz w:val="22"/>
          <w:szCs w:val="22"/>
        </w:rPr>
        <w:t>)</w:t>
      </w:r>
      <w:r w:rsidRPr="00E96F17" w:rsidR="00894B76">
        <w:rPr>
          <w:rFonts w:ascii="Arial" w:hAnsi="Arial" w:eastAsia="Calibri" w:cs="Arial"/>
          <w:sz w:val="22"/>
          <w:szCs w:val="22"/>
        </w:rPr>
        <w:t xml:space="preserve"> no se </w:t>
      </w:r>
      <w:r w:rsidRPr="00E96F17" w:rsidR="00E90584">
        <w:rPr>
          <w:rFonts w:ascii="Arial" w:hAnsi="Arial" w:eastAsia="Calibri" w:cs="Arial"/>
          <w:sz w:val="22"/>
          <w:szCs w:val="22"/>
        </w:rPr>
        <w:t xml:space="preserve">evidencia </w:t>
      </w:r>
      <w:r w:rsidRPr="00E96F17" w:rsidR="00894B76">
        <w:rPr>
          <w:rFonts w:ascii="Arial" w:hAnsi="Arial" w:eastAsia="Calibri" w:cs="Arial"/>
          <w:sz w:val="22"/>
          <w:szCs w:val="22"/>
        </w:rPr>
        <w:t>un amplio margen de diferencia</w:t>
      </w:r>
      <w:r w:rsidRPr="00E96F17" w:rsidR="00E90584">
        <w:rPr>
          <w:rFonts w:ascii="Arial" w:hAnsi="Arial" w:eastAsia="Calibri" w:cs="Arial"/>
          <w:sz w:val="22"/>
          <w:szCs w:val="22"/>
        </w:rPr>
        <w:t xml:space="preserve"> entre ellos</w:t>
      </w:r>
      <w:r w:rsidRPr="00E96F17">
        <w:rPr>
          <w:rFonts w:ascii="Arial" w:hAnsi="Arial" w:eastAsia="Calibri" w:cs="Arial"/>
          <w:sz w:val="22"/>
          <w:szCs w:val="22"/>
        </w:rPr>
        <w:t xml:space="preserve">. </w:t>
      </w:r>
      <w:r w:rsidRPr="00E96F17" w:rsidR="00894B76">
        <w:rPr>
          <w:rFonts w:ascii="Arial" w:hAnsi="Arial" w:eastAsia="Calibri" w:cs="Arial"/>
          <w:sz w:val="22"/>
          <w:szCs w:val="22"/>
        </w:rPr>
        <w:t>Por ejemplo, el indicador de índice de liquidez en la opción 2 es de 3.8 y en la opción 3 es de 3.14. Igualmente</w:t>
      </w:r>
      <w:r w:rsidR="00640339">
        <w:rPr>
          <w:rFonts w:ascii="Arial" w:hAnsi="Arial" w:eastAsia="Calibri" w:cs="Arial"/>
          <w:sz w:val="22"/>
          <w:szCs w:val="22"/>
        </w:rPr>
        <w:t>,</w:t>
      </w:r>
      <w:r w:rsidRPr="00E96F17" w:rsidR="00894B76">
        <w:rPr>
          <w:rFonts w:ascii="Arial" w:hAnsi="Arial" w:eastAsia="Calibri" w:cs="Arial"/>
          <w:sz w:val="22"/>
          <w:szCs w:val="22"/>
        </w:rPr>
        <w:t xml:space="preserve"> el índice de endeudamiento en la opción 2 es del 68% mientras que en la opción 3 es de 70%</w:t>
      </w:r>
      <w:r w:rsidRPr="00E96F17" w:rsidR="00E90584">
        <w:rPr>
          <w:rFonts w:ascii="Arial" w:hAnsi="Arial" w:eastAsia="Calibri" w:cs="Arial"/>
          <w:sz w:val="22"/>
          <w:szCs w:val="22"/>
        </w:rPr>
        <w:t xml:space="preserve">. </w:t>
      </w:r>
      <w:r w:rsidRPr="00E96F17" w:rsidR="00930AB6">
        <w:rPr>
          <w:rFonts w:ascii="Arial" w:hAnsi="Arial" w:eastAsia="Calibri" w:cs="Arial"/>
          <w:sz w:val="22"/>
          <w:szCs w:val="22"/>
        </w:rPr>
        <w:t>Recuérdese que</w:t>
      </w:r>
      <w:r w:rsidRPr="00E96F17" w:rsidR="00EC1C61">
        <w:rPr>
          <w:rFonts w:ascii="Arial" w:hAnsi="Arial" w:eastAsia="Calibri" w:cs="Arial"/>
          <w:sz w:val="22"/>
          <w:szCs w:val="22"/>
        </w:rPr>
        <w:t xml:space="preserve">, para efectos del ejemplo planteado en el Manual, </w:t>
      </w:r>
      <w:r w:rsidRPr="00E96F17" w:rsidR="00930AB6">
        <w:rPr>
          <w:rFonts w:ascii="Arial" w:hAnsi="Arial" w:eastAsia="Calibri" w:cs="Arial"/>
          <w:sz w:val="22"/>
          <w:szCs w:val="22"/>
        </w:rPr>
        <w:t xml:space="preserve">estos indicadores se calculan con las fórmulas propuestas para la división de cuentas de los estados financieros y no para los valores absolutos. </w:t>
      </w:r>
    </w:p>
    <w:p w:rsidRPr="00E96F17" w:rsidR="00894B76" w:rsidP="00930AB6" w:rsidRDefault="00894B76" w14:paraId="13A24C83" w14:textId="529FDD4D">
      <w:pPr>
        <w:spacing w:before="120" w:line="276" w:lineRule="auto"/>
        <w:ind w:firstLine="709"/>
        <w:jc w:val="both"/>
        <w:rPr>
          <w:rFonts w:ascii="Arial" w:hAnsi="Arial" w:eastAsia="Calibri" w:cs="Arial"/>
          <w:sz w:val="22"/>
          <w:szCs w:val="22"/>
        </w:rPr>
      </w:pPr>
      <w:r w:rsidRPr="00E96F17">
        <w:rPr>
          <w:rFonts w:ascii="Arial" w:hAnsi="Arial" w:eastAsia="Calibri" w:cs="Arial"/>
          <w:sz w:val="22"/>
          <w:szCs w:val="22"/>
        </w:rPr>
        <w:t xml:space="preserve">En este sentido, los ejemplos empleados en el Manual ilustran el cálculo de los indicadores de capacidad financiera de un oferente plural siguiendo las recomendaciones expuestas de acuerdo con las opciones señaladas en dicho Manual. Sin embargo, </w:t>
      </w:r>
      <w:r w:rsidRPr="00E96F17" w:rsidR="00E90584">
        <w:rPr>
          <w:rFonts w:ascii="Arial" w:hAnsi="Arial" w:eastAsia="Calibri" w:cs="Arial"/>
          <w:sz w:val="22"/>
          <w:szCs w:val="22"/>
        </w:rPr>
        <w:t xml:space="preserve">la aplicación de estas fórmulas no puede </w:t>
      </w:r>
      <w:r w:rsidRPr="00E96F17" w:rsidR="00E90584">
        <w:rPr>
          <w:rFonts w:ascii="Arial" w:hAnsi="Arial" w:eastAsia="Calibri" w:cs="Arial"/>
          <w:sz w:val="22"/>
          <w:szCs w:val="22"/>
          <w:lang w:val="es-ES_tradnl"/>
        </w:rPr>
        <w:t>hacerse de manera mecánica</w:t>
      </w:r>
      <w:r w:rsidR="00640339">
        <w:rPr>
          <w:rFonts w:ascii="Arial" w:hAnsi="Arial" w:eastAsia="Calibri" w:cs="Arial"/>
          <w:sz w:val="22"/>
          <w:szCs w:val="22"/>
          <w:lang w:val="es-ES_tradnl"/>
        </w:rPr>
        <w:t>,</w:t>
      </w:r>
      <w:r w:rsidRPr="00E96F17" w:rsidR="00930AB6">
        <w:rPr>
          <w:rFonts w:ascii="Arial" w:hAnsi="Arial" w:eastAsia="Calibri" w:cs="Arial"/>
          <w:sz w:val="22"/>
          <w:szCs w:val="22"/>
        </w:rPr>
        <w:t xml:space="preserve"> sino que su implementación debe basarse en el entendimiento de</w:t>
      </w:r>
      <w:r w:rsidR="00640339">
        <w:rPr>
          <w:rFonts w:ascii="Arial" w:hAnsi="Arial" w:eastAsia="Calibri" w:cs="Arial"/>
          <w:sz w:val="22"/>
          <w:szCs w:val="22"/>
        </w:rPr>
        <w:t xml:space="preserve"> </w:t>
      </w:r>
      <w:r w:rsidRPr="00E96F17" w:rsidR="00930AB6">
        <w:rPr>
          <w:rFonts w:ascii="Arial" w:hAnsi="Arial" w:eastAsia="Calibri" w:cs="Arial"/>
          <w:sz w:val="22"/>
          <w:szCs w:val="22"/>
        </w:rPr>
        <w:t>l</w:t>
      </w:r>
      <w:r w:rsidR="00640339">
        <w:rPr>
          <w:rFonts w:ascii="Arial" w:hAnsi="Arial" w:eastAsia="Calibri" w:cs="Arial"/>
          <w:sz w:val="22"/>
          <w:szCs w:val="22"/>
        </w:rPr>
        <w:t>as fórmulas recomendadas, su</w:t>
      </w:r>
      <w:r w:rsidRPr="00E96F17" w:rsidR="00930AB6">
        <w:rPr>
          <w:rFonts w:ascii="Arial" w:hAnsi="Arial" w:eastAsia="Calibri" w:cs="Arial"/>
          <w:sz w:val="22"/>
          <w:szCs w:val="22"/>
        </w:rPr>
        <w:t xml:space="preserve"> resultado y sus implicaciones para el procedimiento contractual conforme con las particularidades de cada caso. Además, se reitera</w:t>
      </w:r>
      <w:r w:rsidRPr="00E96F17">
        <w:rPr>
          <w:rFonts w:ascii="Arial" w:hAnsi="Arial" w:eastAsia="Calibri" w:cs="Arial"/>
          <w:sz w:val="22"/>
          <w:szCs w:val="22"/>
        </w:rPr>
        <w:t xml:space="preserve"> que este Manual </w:t>
      </w:r>
      <w:r w:rsidRPr="00587A1E">
        <w:rPr>
          <w:rFonts w:ascii="Arial" w:hAnsi="Arial" w:eastAsia="Calibri" w:cs="Arial"/>
          <w:b/>
          <w:bCs/>
          <w:sz w:val="22"/>
          <w:szCs w:val="22"/>
          <w:u w:val="single"/>
        </w:rPr>
        <w:t>no es de obligatoria aplicación por la entidades,</w:t>
      </w:r>
      <w:r w:rsidRPr="00587A1E">
        <w:rPr>
          <w:rFonts w:ascii="Arial" w:hAnsi="Arial" w:eastAsia="Calibri" w:cs="Arial"/>
          <w:sz w:val="22"/>
          <w:szCs w:val="22"/>
        </w:rPr>
        <w:t xml:space="preserve"> las</w:t>
      </w:r>
      <w:r w:rsidRPr="00E96F17">
        <w:rPr>
          <w:rFonts w:ascii="Arial" w:hAnsi="Arial" w:eastAsia="Calibri" w:cs="Arial"/>
          <w:sz w:val="22"/>
          <w:szCs w:val="22"/>
        </w:rPr>
        <w:t xml:space="preserve"> cuales son autónomas para requerir la capacidad financiera y la capacidad organizacional necesaria de acuerdo con el objeto contractual que se pretende satisfacer y están el libertad de determinar la forma en la cual se calculará estos requisitos para los proponente plurales.</w:t>
      </w:r>
      <w:r w:rsidRPr="00587A1E" w:rsidR="00930AB6">
        <w:rPr>
          <w:rFonts w:ascii="Arial" w:hAnsi="Arial" w:cs="Arial"/>
          <w:sz w:val="22"/>
          <w:szCs w:val="22"/>
          <w:lang w:eastAsia="es-CO"/>
        </w:rPr>
        <w:t xml:space="preserve"> </w:t>
      </w:r>
      <w:r w:rsidRPr="00E96F17" w:rsidR="00930AB6">
        <w:rPr>
          <w:rFonts w:ascii="Arial" w:hAnsi="Arial" w:eastAsia="Calibri" w:cs="Arial"/>
          <w:sz w:val="22"/>
          <w:szCs w:val="22"/>
        </w:rPr>
        <w:t xml:space="preserve">En todo caso, las </w:t>
      </w:r>
      <w:r w:rsidR="0088149F">
        <w:rPr>
          <w:rFonts w:ascii="Arial" w:hAnsi="Arial" w:eastAsia="Calibri" w:cs="Arial"/>
          <w:sz w:val="22"/>
          <w:szCs w:val="22"/>
        </w:rPr>
        <w:t>E</w:t>
      </w:r>
      <w:r w:rsidRPr="00E96F17" w:rsidR="00930AB6">
        <w:rPr>
          <w:rFonts w:ascii="Arial" w:hAnsi="Arial" w:eastAsia="Calibri" w:cs="Arial"/>
          <w:sz w:val="22"/>
          <w:szCs w:val="22"/>
        </w:rPr>
        <w:t xml:space="preserve">ntidades </w:t>
      </w:r>
      <w:r w:rsidR="0088149F">
        <w:rPr>
          <w:rFonts w:ascii="Arial" w:hAnsi="Arial" w:eastAsia="Calibri" w:cs="Arial"/>
          <w:sz w:val="22"/>
          <w:szCs w:val="22"/>
        </w:rPr>
        <w:t>E</w:t>
      </w:r>
      <w:r w:rsidRPr="00E96F17" w:rsidR="00930AB6">
        <w:rPr>
          <w:rFonts w:ascii="Arial" w:hAnsi="Arial" w:eastAsia="Calibri" w:cs="Arial"/>
          <w:sz w:val="22"/>
          <w:szCs w:val="22"/>
        </w:rPr>
        <w:t>statales en los pliegos de condiciones deberán establecer una regulación específica dirigida a determinar la evaluación de la capacidad financiera y organizacional de los consorcios y uniones temporales, de manera que no quede un vacío en el pliego de condiciones respecto a este importante contenido.</w:t>
      </w:r>
    </w:p>
    <w:p w:rsidRPr="00E96F17" w:rsidR="002D4575" w:rsidP="00EC1C61" w:rsidRDefault="00930AB6" w14:paraId="6ED685CF" w14:textId="633C552F">
      <w:pPr>
        <w:spacing w:before="120" w:line="276" w:lineRule="auto"/>
        <w:ind w:firstLine="709"/>
        <w:jc w:val="both"/>
        <w:rPr>
          <w:rFonts w:ascii="Arial" w:hAnsi="Arial" w:eastAsia="Calibri" w:cs="Arial"/>
          <w:sz w:val="22"/>
          <w:szCs w:val="22"/>
        </w:rPr>
      </w:pPr>
      <w:r w:rsidRPr="00E96F17">
        <w:rPr>
          <w:rFonts w:ascii="Arial" w:hAnsi="Arial" w:eastAsia="Calibri" w:cs="Arial"/>
          <w:sz w:val="22"/>
          <w:szCs w:val="22"/>
        </w:rPr>
        <w:t>Así las cosas,</w:t>
      </w:r>
      <w:r w:rsidRPr="00E96F17" w:rsidR="00894B76">
        <w:rPr>
          <w:rFonts w:ascii="Arial" w:hAnsi="Arial" w:eastAsia="Calibri" w:cs="Arial"/>
          <w:sz w:val="22"/>
          <w:szCs w:val="22"/>
        </w:rPr>
        <w:t xml:space="preserve"> la entidad deberá incluir en el pliego de condiciones el método que se empleará para </w:t>
      </w:r>
      <w:r w:rsidRPr="00E96F17" w:rsidR="00AF40F5">
        <w:rPr>
          <w:rFonts w:ascii="Arial" w:hAnsi="Arial" w:eastAsia="Calibri" w:cs="Arial"/>
          <w:sz w:val="22"/>
          <w:szCs w:val="22"/>
          <w:lang w:val="es-ES_tradnl"/>
        </w:rPr>
        <w:t>calcular los indicadores de los proponentes plurales a partir de la información de cada uno de sus integrantes</w:t>
      </w:r>
      <w:r w:rsidRPr="00E96F17" w:rsidR="00894B76">
        <w:rPr>
          <w:rFonts w:ascii="Arial" w:hAnsi="Arial" w:eastAsia="Calibri" w:cs="Arial"/>
          <w:sz w:val="22"/>
          <w:szCs w:val="22"/>
        </w:rPr>
        <w:t xml:space="preserve"> y no podrá hacerlo de manera mecánica, pues cada Proceso de Contratación tiene una naturaleza distinta y está asociado a </w:t>
      </w:r>
      <w:r w:rsidRPr="00E96F17" w:rsidR="00DD6960">
        <w:rPr>
          <w:rFonts w:ascii="Arial" w:hAnsi="Arial" w:eastAsia="Calibri" w:cs="Arial"/>
          <w:sz w:val="22"/>
          <w:szCs w:val="22"/>
        </w:rPr>
        <w:t>r</w:t>
      </w:r>
      <w:r w:rsidRPr="00E96F17" w:rsidR="00894B76">
        <w:rPr>
          <w:rFonts w:ascii="Arial" w:hAnsi="Arial" w:eastAsia="Calibri" w:cs="Arial"/>
          <w:sz w:val="22"/>
          <w:szCs w:val="22"/>
        </w:rPr>
        <w:t xml:space="preserve">iesgos particulares. Por ello, para determinar el cálculo de indicadores que provienen de la </w:t>
      </w:r>
      <w:r w:rsidRPr="00E96F17" w:rsidR="00894B76">
        <w:rPr>
          <w:rFonts w:ascii="Arial" w:hAnsi="Arial" w:eastAsia="Calibri" w:cs="Arial"/>
          <w:sz w:val="22"/>
          <w:szCs w:val="22"/>
        </w:rPr>
        <w:lastRenderedPageBreak/>
        <w:t>división de cuentas de los estados financieros la entidad podrá escoger entre las opciones</w:t>
      </w:r>
      <w:r w:rsidRPr="00E96F17" w:rsidR="00DD6960">
        <w:rPr>
          <w:rFonts w:ascii="Arial" w:hAnsi="Arial" w:eastAsia="Calibri" w:cs="Arial"/>
          <w:sz w:val="22"/>
          <w:szCs w:val="22"/>
        </w:rPr>
        <w:t xml:space="preserve"> de</w:t>
      </w:r>
      <w:r w:rsidRPr="00E96F17" w:rsidR="00894B76">
        <w:rPr>
          <w:rFonts w:ascii="Arial" w:hAnsi="Arial" w:eastAsia="Calibri" w:cs="Arial"/>
          <w:sz w:val="22"/>
          <w:szCs w:val="22"/>
        </w:rPr>
        <w:t xml:space="preserve"> </w:t>
      </w:r>
      <w:r w:rsidRPr="00E96F17" w:rsidR="00DD6960">
        <w:rPr>
          <w:rFonts w:ascii="Arial" w:hAnsi="Arial" w:eastAsia="Calibri" w:cs="Arial"/>
          <w:sz w:val="22"/>
          <w:szCs w:val="22"/>
        </w:rPr>
        <w:t xml:space="preserve">«Ponderación de los componentes de los indicadores» o «Suma de los componentes de los indicadores» </w:t>
      </w:r>
      <w:r w:rsidRPr="00E96F17" w:rsidR="00AF40F5">
        <w:rPr>
          <w:rFonts w:ascii="Arial" w:hAnsi="Arial" w:eastAsia="Calibri" w:cs="Arial"/>
          <w:sz w:val="22"/>
          <w:szCs w:val="22"/>
        </w:rPr>
        <w:t xml:space="preserve">señaladas en el </w:t>
      </w:r>
      <w:r w:rsidRPr="00E96F17" w:rsidR="00AF40F5">
        <w:rPr>
          <w:rFonts w:ascii="Arial" w:hAnsi="Arial" w:eastAsia="Calibri" w:cs="Arial"/>
          <w:color w:val="000000"/>
          <w:sz w:val="22"/>
          <w:szCs w:val="22"/>
          <w:lang w:val="es-ES_tradnl"/>
        </w:rPr>
        <w:t xml:space="preserve">«Manual para determinar y verificar los requisitos habilitantes en los Procesos de Contratación» </w:t>
      </w:r>
      <w:r w:rsidRPr="00E96F17" w:rsidR="00894B76">
        <w:rPr>
          <w:rFonts w:ascii="Arial" w:hAnsi="Arial" w:eastAsia="Calibri" w:cs="Arial"/>
          <w:sz w:val="22"/>
          <w:szCs w:val="22"/>
        </w:rPr>
        <w:t xml:space="preserve">o </w:t>
      </w:r>
      <w:r w:rsidRPr="00E96F17" w:rsidR="00DD6960">
        <w:rPr>
          <w:rFonts w:ascii="Arial" w:hAnsi="Arial" w:eastAsia="Calibri" w:cs="Arial"/>
          <w:sz w:val="22"/>
          <w:szCs w:val="22"/>
        </w:rPr>
        <w:t xml:space="preserve">aplicar </w:t>
      </w:r>
      <w:r w:rsidRPr="00E96F17" w:rsidR="00894B76">
        <w:rPr>
          <w:rFonts w:ascii="Arial" w:hAnsi="Arial" w:eastAsia="Calibri" w:cs="Arial"/>
          <w:sz w:val="22"/>
          <w:szCs w:val="22"/>
        </w:rPr>
        <w:t>cualquier otra fórmula que considere adecuada</w:t>
      </w:r>
      <w:r w:rsidRPr="00E96F17" w:rsidR="00DD6960">
        <w:rPr>
          <w:rFonts w:ascii="Arial" w:hAnsi="Arial" w:eastAsia="Calibri" w:cs="Arial"/>
          <w:sz w:val="22"/>
          <w:szCs w:val="22"/>
        </w:rPr>
        <w:t>, lo cual</w:t>
      </w:r>
      <w:r w:rsidRPr="00E96F17" w:rsidR="00894B76">
        <w:rPr>
          <w:rFonts w:ascii="Arial" w:hAnsi="Arial" w:eastAsia="Calibri" w:cs="Arial"/>
          <w:sz w:val="22"/>
          <w:szCs w:val="22"/>
        </w:rPr>
        <w:t xml:space="preserve"> deberá </w:t>
      </w:r>
      <w:r w:rsidRPr="00E96F17" w:rsidR="00DD6960">
        <w:rPr>
          <w:rFonts w:ascii="Arial" w:hAnsi="Arial" w:eastAsia="Calibri" w:cs="Arial"/>
          <w:sz w:val="22"/>
          <w:szCs w:val="22"/>
        </w:rPr>
        <w:t xml:space="preserve">encontrarse contemplado </w:t>
      </w:r>
      <w:r w:rsidRPr="00E96F17" w:rsidR="00894B76">
        <w:rPr>
          <w:rFonts w:ascii="Arial" w:hAnsi="Arial" w:eastAsia="Calibri" w:cs="Arial"/>
          <w:sz w:val="22"/>
          <w:szCs w:val="22"/>
        </w:rPr>
        <w:t xml:space="preserve">en el pliego de condiciones, estableciendo claramente cuál es la metodología que se utilizará. </w:t>
      </w:r>
      <w:bookmarkStart w:name="_1y810tw" w:colFirst="0" w:colLast="0" w:id="7"/>
      <w:bookmarkStart w:name="_2xcytpi" w:colFirst="0" w:colLast="0" w:id="8"/>
      <w:bookmarkStart w:name="_1ci93xb" w:colFirst="0" w:colLast="0" w:id="9"/>
      <w:bookmarkStart w:name="_3whwml4" w:colFirst="0" w:colLast="0" w:id="10"/>
      <w:bookmarkEnd w:id="7"/>
      <w:bookmarkEnd w:id="8"/>
      <w:bookmarkEnd w:id="9"/>
      <w:bookmarkEnd w:id="10"/>
    </w:p>
    <w:p w:rsidRPr="00E96F17" w:rsidR="00AF40F5" w:rsidP="00AF40F5" w:rsidRDefault="00AF40F5" w14:paraId="6CEF4B93" w14:textId="77777777">
      <w:pPr>
        <w:spacing w:line="276" w:lineRule="auto"/>
        <w:ind w:firstLine="709"/>
        <w:jc w:val="both"/>
        <w:rPr>
          <w:rFonts w:ascii="Arial" w:hAnsi="Arial" w:eastAsia="Calibri" w:cs="Arial"/>
          <w:sz w:val="22"/>
          <w:szCs w:val="22"/>
        </w:rPr>
      </w:pPr>
    </w:p>
    <w:p w:rsidRPr="00E96F17" w:rsidR="00113E35" w:rsidP="0044422B" w:rsidRDefault="00E54365" w14:paraId="354A6E78" w14:textId="69975CF8">
      <w:pPr>
        <w:spacing w:line="276" w:lineRule="auto"/>
        <w:ind w:right="79"/>
        <w:jc w:val="both"/>
        <w:rPr>
          <w:rFonts w:ascii="Arial" w:hAnsi="Arial" w:eastAsia="Calibri" w:cs="Arial"/>
          <w:b/>
          <w:noProof/>
          <w:color w:val="161616" w:themeColor="background1" w:themeShade="1A"/>
          <w:sz w:val="22"/>
          <w:szCs w:val="22"/>
          <w:lang w:val="es-ES_tradnl"/>
        </w:rPr>
      </w:pPr>
      <w:r w:rsidRPr="00E96F17">
        <w:rPr>
          <w:rFonts w:ascii="Arial" w:hAnsi="Arial" w:eastAsia="Calibri" w:cs="Arial"/>
          <w:b/>
          <w:noProof/>
          <w:color w:val="161616" w:themeColor="background1" w:themeShade="1A"/>
          <w:sz w:val="22"/>
          <w:szCs w:val="22"/>
          <w:lang w:val="es-ES_tradnl"/>
        </w:rPr>
        <w:t>3. Respuesta</w:t>
      </w:r>
      <w:r w:rsidRPr="00E96F17" w:rsidR="00DC7191">
        <w:rPr>
          <w:rFonts w:ascii="Arial" w:hAnsi="Arial" w:eastAsia="Calibri" w:cs="Arial"/>
          <w:b/>
          <w:noProof/>
          <w:color w:val="161616" w:themeColor="background1" w:themeShade="1A"/>
          <w:sz w:val="22"/>
          <w:szCs w:val="22"/>
          <w:lang w:val="es-ES_tradnl"/>
        </w:rPr>
        <w:t>s</w:t>
      </w:r>
    </w:p>
    <w:p w:rsidRPr="00E96F17" w:rsidR="00785927" w:rsidP="00785927" w:rsidRDefault="00785927" w14:paraId="63B943FA" w14:textId="77777777">
      <w:pPr>
        <w:spacing w:line="276" w:lineRule="auto"/>
        <w:ind w:right="79"/>
        <w:jc w:val="both"/>
        <w:rPr>
          <w:rFonts w:ascii="Arial" w:hAnsi="Arial" w:eastAsia="Calibri" w:cs="Arial"/>
          <w:b/>
          <w:noProof/>
          <w:color w:val="161616" w:themeColor="background1" w:themeShade="1A"/>
          <w:sz w:val="22"/>
          <w:szCs w:val="22"/>
          <w:lang w:val="es-ES_tradnl"/>
        </w:rPr>
      </w:pPr>
    </w:p>
    <w:p w:rsidRPr="00587A1E" w:rsidR="00164D95" w:rsidP="00164D95" w:rsidRDefault="00164D95" w14:paraId="50CD3E0B" w14:textId="77777777">
      <w:pPr>
        <w:ind w:left="709" w:right="474"/>
        <w:jc w:val="both"/>
        <w:rPr>
          <w:rFonts w:ascii="Arial" w:hAnsi="Arial" w:eastAsia="Calibri" w:cs="Arial"/>
          <w:bCs/>
          <w:i/>
          <w:iCs/>
          <w:sz w:val="22"/>
          <w:szCs w:val="22"/>
        </w:rPr>
      </w:pPr>
      <w:r w:rsidRPr="00587A1E">
        <w:rPr>
          <w:rFonts w:ascii="Arial" w:hAnsi="Arial" w:cs="Arial"/>
          <w:i/>
          <w:iCs/>
          <w:color w:val="161616" w:themeColor="background1" w:themeShade="1A"/>
          <w:sz w:val="22"/>
          <w:szCs w:val="22"/>
          <w:lang w:val="es-ES_tradnl"/>
        </w:rPr>
        <w:t>«</w:t>
      </w:r>
      <w:r w:rsidRPr="00587A1E">
        <w:rPr>
          <w:rFonts w:ascii="Arial" w:hAnsi="Arial" w:eastAsia="Calibri" w:cs="Arial"/>
          <w:i/>
          <w:iCs/>
          <w:sz w:val="22"/>
          <w:szCs w:val="22"/>
        </w:rPr>
        <w:t>1.</w:t>
      </w:r>
      <w:r w:rsidRPr="00587A1E">
        <w:rPr>
          <w:rFonts w:ascii="Arial" w:hAnsi="Arial" w:eastAsia="Calibri" w:cs="Arial"/>
          <w:b/>
          <w:bCs/>
          <w:i/>
          <w:iCs/>
          <w:sz w:val="22"/>
          <w:szCs w:val="22"/>
        </w:rPr>
        <w:t xml:space="preserve"> </w:t>
      </w:r>
      <w:r w:rsidRPr="00587A1E">
        <w:rPr>
          <w:rFonts w:ascii="Arial" w:hAnsi="Arial" w:eastAsia="Calibri" w:cs="Arial"/>
          <w:bCs/>
          <w:i/>
          <w:iCs/>
          <w:sz w:val="22"/>
          <w:szCs w:val="22"/>
        </w:rPr>
        <w:t xml:space="preserve">Tomando como ejemplo las cifras previstas en el ejemplo del considerando No. 4, las cuales, se reitera, son idénticas a las señaladas en el “Manual para determinar y verificar requisitos habilitantes en los procesos de contratación pública”, se pregunta: </w:t>
      </w:r>
    </w:p>
    <w:p w:rsidRPr="00587A1E" w:rsidR="00164D95" w:rsidP="00164D95" w:rsidRDefault="00164D95" w14:paraId="6CD219FD" w14:textId="77777777">
      <w:pPr>
        <w:ind w:left="709" w:right="474"/>
        <w:jc w:val="both"/>
        <w:rPr>
          <w:rFonts w:ascii="Arial" w:hAnsi="Arial" w:eastAsia="Calibri" w:cs="Arial"/>
          <w:bCs/>
          <w:i/>
          <w:iCs/>
          <w:sz w:val="22"/>
          <w:szCs w:val="22"/>
          <w:lang w:val="es-ES_tradnl"/>
        </w:rPr>
      </w:pPr>
    </w:p>
    <w:p w:rsidRPr="00587A1E" w:rsidR="00164D95" w:rsidP="00164D95" w:rsidRDefault="00164D95" w14:paraId="533BF1A0" w14:textId="77777777">
      <w:pPr>
        <w:ind w:left="709" w:right="474"/>
        <w:jc w:val="both"/>
        <w:rPr>
          <w:rFonts w:ascii="Arial" w:hAnsi="Arial" w:eastAsia="Calibri" w:cs="Arial"/>
          <w:bCs/>
          <w:i/>
          <w:iCs/>
          <w:sz w:val="22"/>
          <w:szCs w:val="22"/>
        </w:rPr>
      </w:pPr>
      <w:r w:rsidRPr="00587A1E">
        <w:rPr>
          <w:rFonts w:ascii="Arial" w:hAnsi="Arial" w:eastAsia="Calibri" w:cs="Arial"/>
          <w:bCs/>
          <w:i/>
          <w:iCs/>
          <w:sz w:val="22"/>
          <w:szCs w:val="22"/>
        </w:rPr>
        <w:t>¿Cuál es la razón por la cual existe una amplia diferencia en el cálculo de los indicadores financieros para uniones temporales, consorcios o promesas de sociedad futura, tanto en la Opción No. 1 y No. 2</w:t>
      </w:r>
    </w:p>
    <w:p w:rsidRPr="00587A1E" w:rsidR="00164D95" w:rsidP="00164D95" w:rsidRDefault="00164D95" w14:paraId="3DB16490" w14:textId="77777777">
      <w:pPr>
        <w:ind w:left="709" w:right="474"/>
        <w:jc w:val="both"/>
        <w:rPr>
          <w:rFonts w:ascii="Arial" w:hAnsi="Arial" w:eastAsia="Calibri" w:cs="Arial"/>
          <w:bCs/>
          <w:i/>
          <w:iCs/>
          <w:sz w:val="22"/>
          <w:szCs w:val="22"/>
        </w:rPr>
      </w:pPr>
    </w:p>
    <w:p w:rsidRPr="00587A1E" w:rsidR="00164D95" w:rsidP="00164D95" w:rsidRDefault="00164D95" w14:paraId="596BAF32" w14:textId="181F67CF">
      <w:pPr>
        <w:ind w:left="709" w:right="474"/>
        <w:jc w:val="both"/>
        <w:rPr>
          <w:rFonts w:ascii="Arial" w:hAnsi="Arial" w:eastAsia="Calibri" w:cs="Arial"/>
          <w:bCs/>
          <w:i/>
          <w:iCs/>
          <w:sz w:val="22"/>
          <w:szCs w:val="22"/>
        </w:rPr>
      </w:pPr>
      <w:r w:rsidRPr="00587A1E">
        <w:rPr>
          <w:rFonts w:ascii="Arial" w:hAnsi="Arial" w:eastAsia="Calibri" w:cs="Arial"/>
          <w:i/>
          <w:iCs/>
          <w:sz w:val="22"/>
          <w:szCs w:val="22"/>
        </w:rPr>
        <w:t>2.</w:t>
      </w:r>
      <w:r w:rsidRPr="00587A1E">
        <w:rPr>
          <w:rFonts w:ascii="Arial" w:hAnsi="Arial" w:eastAsia="Calibri" w:cs="Arial"/>
          <w:bCs/>
          <w:i/>
          <w:iCs/>
          <w:sz w:val="22"/>
          <w:szCs w:val="22"/>
        </w:rPr>
        <w:t xml:space="preserve"> Teniendo en cuenta que existen Entidades Públicas que al abrir sus procesos de contratación no precisan si emplearan o no la Opción No. 1 o No. 2 para el cálculo de los indicadores financieros de figuras asociativas, conforme el manual de </w:t>
      </w:r>
      <w:r w:rsidRPr="00587A1E" w:rsidR="00BB2041">
        <w:rPr>
          <w:rFonts w:ascii="Arial" w:hAnsi="Arial" w:eastAsia="Calibri" w:cs="Arial"/>
          <w:bCs/>
          <w:i/>
          <w:iCs/>
          <w:sz w:val="22"/>
          <w:szCs w:val="22"/>
        </w:rPr>
        <w:t xml:space="preserve">(sic) </w:t>
      </w:r>
      <w:r w:rsidRPr="00587A1E">
        <w:rPr>
          <w:rFonts w:ascii="Arial" w:hAnsi="Arial" w:eastAsia="Calibri" w:cs="Arial"/>
          <w:bCs/>
          <w:i/>
          <w:iCs/>
          <w:sz w:val="22"/>
          <w:szCs w:val="22"/>
        </w:rPr>
        <w:t xml:space="preserve">para determinar y verificar requisitos habilitantes en los procesos de contratación pública, se pregunta: </w:t>
      </w:r>
    </w:p>
    <w:p w:rsidRPr="00587A1E" w:rsidR="00164D95" w:rsidP="00164D95" w:rsidRDefault="00164D95" w14:paraId="132CE490" w14:textId="77777777">
      <w:pPr>
        <w:ind w:left="709" w:right="474"/>
        <w:jc w:val="both"/>
        <w:rPr>
          <w:rFonts w:ascii="Arial" w:hAnsi="Arial" w:eastAsia="Calibri" w:cs="Arial"/>
          <w:bCs/>
          <w:i/>
          <w:iCs/>
          <w:sz w:val="22"/>
          <w:szCs w:val="22"/>
        </w:rPr>
      </w:pPr>
    </w:p>
    <w:p w:rsidRPr="00587A1E" w:rsidR="00164D95" w:rsidP="00164D95" w:rsidRDefault="00164D95" w14:paraId="3C492228" w14:textId="77777777">
      <w:pPr>
        <w:ind w:left="709" w:right="474"/>
        <w:jc w:val="both"/>
        <w:rPr>
          <w:rFonts w:ascii="Arial" w:hAnsi="Arial" w:eastAsia="Calibri" w:cs="Arial"/>
          <w:bCs/>
          <w:i/>
          <w:iCs/>
          <w:sz w:val="22"/>
          <w:szCs w:val="22"/>
        </w:rPr>
      </w:pPr>
      <w:r w:rsidRPr="00587A1E">
        <w:rPr>
          <w:rFonts w:ascii="Arial" w:hAnsi="Arial" w:eastAsia="Calibri" w:cs="Arial"/>
          <w:bCs/>
          <w:i/>
          <w:iCs/>
          <w:sz w:val="22"/>
          <w:szCs w:val="22"/>
        </w:rPr>
        <w:t xml:space="preserve">¿Es posible que Colombia Compra Eficiente, en atención a su función de brindar apoyo a los oferentes para facilitar y mejorar su participación, expida un Comunicado y/o Circular o documento de interés general mediante el cual reitere y recomiende a las Entidades Públicas que, en el caso que opten por acoger el cálculo de indicadores financieros previstos en el aludido manual, se sirvan precisar cuál será la opción que deberán acreditar los proponentes plurales, esto es: </w:t>
      </w:r>
    </w:p>
    <w:p w:rsidRPr="00587A1E" w:rsidR="00164D95" w:rsidP="00164D95" w:rsidRDefault="00164D95" w14:paraId="5CB03B0F" w14:textId="77777777">
      <w:pPr>
        <w:ind w:left="709" w:right="474"/>
        <w:jc w:val="both"/>
        <w:rPr>
          <w:rFonts w:ascii="Arial" w:hAnsi="Arial" w:eastAsia="Calibri" w:cs="Arial"/>
          <w:bCs/>
          <w:i/>
          <w:iCs/>
          <w:sz w:val="22"/>
          <w:szCs w:val="22"/>
        </w:rPr>
      </w:pPr>
    </w:p>
    <w:p w:rsidRPr="00587A1E" w:rsidR="00164D95" w:rsidP="00164D95" w:rsidRDefault="00164D95" w14:paraId="6FD6A92E" w14:textId="77777777">
      <w:pPr>
        <w:ind w:left="709" w:right="474"/>
        <w:jc w:val="both"/>
        <w:rPr>
          <w:rFonts w:ascii="Arial" w:hAnsi="Arial" w:eastAsia="Calibri" w:cs="Arial"/>
          <w:bCs/>
          <w:i/>
          <w:iCs/>
          <w:sz w:val="22"/>
          <w:szCs w:val="22"/>
        </w:rPr>
      </w:pPr>
      <w:r w:rsidRPr="00587A1E">
        <w:rPr>
          <w:rFonts w:ascii="Arial" w:hAnsi="Arial" w:eastAsia="Calibri" w:cs="Arial"/>
          <w:bCs/>
          <w:i/>
          <w:iCs/>
          <w:sz w:val="22"/>
          <w:szCs w:val="22"/>
        </w:rPr>
        <w:t>“Ponderación de los componentes de los indicadores” o “Suma de los componentes de los indicadores”?</w:t>
      </w:r>
      <w:r w:rsidRPr="00587A1E">
        <w:rPr>
          <w:rFonts w:ascii="Arial" w:hAnsi="Arial" w:cs="Arial"/>
          <w:bCs/>
          <w:i/>
          <w:iCs/>
          <w:sz w:val="22"/>
          <w:szCs w:val="22"/>
          <w:lang w:val="es-MX" w:eastAsia="x-none"/>
        </w:rPr>
        <w:t xml:space="preserve">» </w:t>
      </w:r>
    </w:p>
    <w:p w:rsidRPr="00587A1E" w:rsidR="00B1038A" w:rsidP="00B1038A" w:rsidRDefault="00B1038A" w14:paraId="307999C0" w14:textId="440C2F0B">
      <w:pPr>
        <w:spacing w:line="276" w:lineRule="auto"/>
        <w:ind w:right="709"/>
        <w:jc w:val="both"/>
        <w:rPr>
          <w:rFonts w:ascii="Arial" w:hAnsi="Arial" w:cs="Arial"/>
          <w:color w:val="161616" w:themeColor="background1" w:themeShade="1A"/>
          <w:sz w:val="22"/>
          <w:szCs w:val="22"/>
          <w:lang w:val="es-ES_tradnl"/>
        </w:rPr>
      </w:pPr>
    </w:p>
    <w:p w:rsidRPr="00E96F17" w:rsidR="00AF40F5" w:rsidP="009C4C85" w:rsidRDefault="002651BE" w14:paraId="1E8AE9B5" w14:textId="78571A33">
      <w:pPr>
        <w:tabs>
          <w:tab w:val="left" w:pos="426"/>
        </w:tabs>
        <w:spacing w:line="276" w:lineRule="auto"/>
        <w:jc w:val="both"/>
        <w:rPr>
          <w:rFonts w:ascii="Arial" w:hAnsi="Arial" w:eastAsia="Arial" w:cs="Arial"/>
          <w:color w:val="000000"/>
          <w:sz w:val="22"/>
          <w:szCs w:val="22"/>
          <w:lang w:val="es-ES_tradnl"/>
        </w:rPr>
      </w:pPr>
      <w:r w:rsidRPr="00E96F17">
        <w:rPr>
          <w:rFonts w:ascii="Arial" w:hAnsi="Arial" w:cs="Arial"/>
          <w:sz w:val="22"/>
          <w:szCs w:val="22"/>
        </w:rPr>
        <w:t xml:space="preserve">De conformidad con la consideraciones expuestas, </w:t>
      </w:r>
      <w:r w:rsidRPr="00E96F17" w:rsidR="00AF40F5">
        <w:rPr>
          <w:rFonts w:ascii="Arial" w:hAnsi="Arial" w:cs="Arial"/>
          <w:sz w:val="22"/>
          <w:szCs w:val="22"/>
        </w:rPr>
        <w:t>es preciso señalar que el</w:t>
      </w:r>
      <w:r w:rsidRPr="00587A1E" w:rsidR="00AF40F5">
        <w:rPr>
          <w:rFonts w:ascii="Arial" w:hAnsi="Arial" w:cs="Arial"/>
          <w:i/>
          <w:iCs/>
          <w:sz w:val="22"/>
          <w:szCs w:val="22"/>
        </w:rPr>
        <w:t xml:space="preserve"> </w:t>
      </w:r>
      <w:r w:rsidRPr="00587A1E" w:rsidR="00AF40F5">
        <w:rPr>
          <w:rFonts w:ascii="Arial" w:hAnsi="Arial" w:eastAsia="Arial" w:cs="Arial"/>
          <w:i/>
          <w:iCs/>
          <w:color w:val="000000"/>
          <w:sz w:val="22"/>
          <w:szCs w:val="22"/>
        </w:rPr>
        <w:t xml:space="preserve">Manual para determinar y verificar los requisitos habilitantes </w:t>
      </w:r>
      <w:r w:rsidRPr="00E96F17" w:rsidR="00AF40F5">
        <w:rPr>
          <w:rFonts w:ascii="Arial" w:hAnsi="Arial" w:eastAsia="Arial" w:cs="Arial"/>
          <w:color w:val="000000"/>
          <w:sz w:val="22"/>
          <w:szCs w:val="22"/>
        </w:rPr>
        <w:t xml:space="preserve">en los </w:t>
      </w:r>
      <w:r w:rsidR="00640339">
        <w:rPr>
          <w:rFonts w:ascii="Arial" w:hAnsi="Arial" w:eastAsia="Arial" w:cs="Arial"/>
          <w:color w:val="000000"/>
          <w:sz w:val="22"/>
          <w:szCs w:val="22"/>
        </w:rPr>
        <w:t>P</w:t>
      </w:r>
      <w:r w:rsidRPr="00E96F17" w:rsidR="00AF40F5">
        <w:rPr>
          <w:rFonts w:ascii="Arial" w:hAnsi="Arial" w:eastAsia="Arial" w:cs="Arial"/>
          <w:color w:val="000000"/>
          <w:sz w:val="22"/>
          <w:szCs w:val="22"/>
        </w:rPr>
        <w:t xml:space="preserve">rocesos de </w:t>
      </w:r>
      <w:r w:rsidR="00640339">
        <w:rPr>
          <w:rFonts w:ascii="Arial" w:hAnsi="Arial" w:eastAsia="Arial" w:cs="Arial"/>
          <w:color w:val="000000"/>
          <w:sz w:val="22"/>
          <w:szCs w:val="22"/>
        </w:rPr>
        <w:t>C</w:t>
      </w:r>
      <w:r w:rsidRPr="00E96F17" w:rsidR="00AF40F5">
        <w:rPr>
          <w:rFonts w:ascii="Arial" w:hAnsi="Arial" w:eastAsia="Arial" w:cs="Arial"/>
          <w:color w:val="000000"/>
          <w:sz w:val="22"/>
          <w:szCs w:val="22"/>
        </w:rPr>
        <w:t xml:space="preserve">ontratación adoptado por esta Agencia, contiene recomendaciones para determinar los requisitos habilitantes en los </w:t>
      </w:r>
      <w:r w:rsidRPr="00E96F17" w:rsidR="009C4C85">
        <w:rPr>
          <w:rFonts w:ascii="Arial" w:hAnsi="Arial" w:eastAsia="Arial" w:cs="Arial"/>
          <w:color w:val="000000"/>
          <w:sz w:val="22"/>
          <w:szCs w:val="22"/>
        </w:rPr>
        <w:t>P</w:t>
      </w:r>
      <w:r w:rsidRPr="00E96F17" w:rsidR="00AF40F5">
        <w:rPr>
          <w:rFonts w:ascii="Arial" w:hAnsi="Arial" w:eastAsia="Arial" w:cs="Arial"/>
          <w:color w:val="000000"/>
          <w:sz w:val="22"/>
          <w:szCs w:val="22"/>
        </w:rPr>
        <w:t xml:space="preserve">rocesos de </w:t>
      </w:r>
      <w:r w:rsidRPr="00E96F17" w:rsidR="009C4C85">
        <w:rPr>
          <w:rFonts w:ascii="Arial" w:hAnsi="Arial" w:eastAsia="Arial" w:cs="Arial"/>
          <w:color w:val="000000"/>
          <w:sz w:val="22"/>
          <w:szCs w:val="22"/>
        </w:rPr>
        <w:t>C</w:t>
      </w:r>
      <w:r w:rsidRPr="00E96F17" w:rsidR="00AF40F5">
        <w:rPr>
          <w:rFonts w:ascii="Arial" w:hAnsi="Arial" w:eastAsia="Arial" w:cs="Arial"/>
          <w:color w:val="000000"/>
          <w:sz w:val="22"/>
          <w:szCs w:val="22"/>
        </w:rPr>
        <w:t xml:space="preserve">ontratación y por ende, su contenido no es de obligatorio cumplimiento. </w:t>
      </w:r>
      <w:r w:rsidRPr="00E96F17" w:rsidR="00AF40F5">
        <w:rPr>
          <w:rFonts w:ascii="Arial" w:hAnsi="Arial" w:eastAsia="Arial" w:cs="Arial"/>
          <w:color w:val="000000"/>
          <w:sz w:val="22"/>
          <w:szCs w:val="22"/>
          <w:lang w:val="es-ES_tradnl"/>
        </w:rPr>
        <w:t xml:space="preserve">De esta manera, les corresponde a las </w:t>
      </w:r>
      <w:r w:rsidR="00333E77">
        <w:rPr>
          <w:rFonts w:ascii="Arial" w:hAnsi="Arial" w:eastAsia="Arial" w:cs="Arial"/>
          <w:color w:val="000000"/>
          <w:sz w:val="22"/>
          <w:szCs w:val="22"/>
          <w:lang w:val="es-ES_tradnl"/>
        </w:rPr>
        <w:t>E</w:t>
      </w:r>
      <w:r w:rsidRPr="00E96F17" w:rsidR="00AF40F5">
        <w:rPr>
          <w:rFonts w:ascii="Arial" w:hAnsi="Arial" w:eastAsia="Arial" w:cs="Arial"/>
          <w:color w:val="000000"/>
          <w:sz w:val="22"/>
          <w:szCs w:val="22"/>
          <w:lang w:val="es-ES_tradnl"/>
        </w:rPr>
        <w:t xml:space="preserve">ntidades </w:t>
      </w:r>
      <w:r w:rsidR="00333E77">
        <w:rPr>
          <w:rFonts w:ascii="Arial" w:hAnsi="Arial" w:eastAsia="Arial" w:cs="Arial"/>
          <w:color w:val="000000"/>
          <w:sz w:val="22"/>
          <w:szCs w:val="22"/>
          <w:lang w:val="es-ES_tradnl"/>
        </w:rPr>
        <w:t>E</w:t>
      </w:r>
      <w:r w:rsidRPr="00E96F17" w:rsidR="00AF40F5">
        <w:rPr>
          <w:rFonts w:ascii="Arial" w:hAnsi="Arial" w:eastAsia="Arial" w:cs="Arial"/>
          <w:color w:val="000000"/>
          <w:sz w:val="22"/>
          <w:szCs w:val="22"/>
          <w:lang w:val="es-ES_tradnl"/>
        </w:rPr>
        <w:t xml:space="preserve">statales, durante la </w:t>
      </w:r>
      <w:r w:rsidRPr="00E96F17" w:rsidR="00AF40F5">
        <w:rPr>
          <w:rFonts w:ascii="Arial" w:hAnsi="Arial" w:eastAsia="Arial" w:cs="Arial"/>
          <w:color w:val="000000"/>
          <w:sz w:val="22"/>
          <w:szCs w:val="22"/>
          <w:lang w:val="es-ES_tradnl"/>
        </w:rPr>
        <w:lastRenderedPageBreak/>
        <w:t xml:space="preserve">etapa de planeación del contrato estatal, estudiar y </w:t>
      </w:r>
      <w:r w:rsidRPr="00E96F17" w:rsidR="00AF40F5">
        <w:rPr>
          <w:rFonts w:ascii="Arial" w:hAnsi="Arial" w:eastAsia="Arial" w:cs="Arial"/>
          <w:iCs/>
          <w:color w:val="000000"/>
          <w:sz w:val="22"/>
          <w:szCs w:val="22"/>
          <w:lang w:val="es-ES_tradnl"/>
        </w:rPr>
        <w:t>determinar</w:t>
      </w:r>
      <w:r w:rsidRPr="00E96F17" w:rsidR="00AF40F5">
        <w:rPr>
          <w:rFonts w:ascii="Arial" w:hAnsi="Arial" w:eastAsia="Arial" w:cs="Arial"/>
          <w:color w:val="000000"/>
          <w:sz w:val="22"/>
          <w:szCs w:val="22"/>
          <w:lang w:val="es-ES_tradnl"/>
        </w:rPr>
        <w:t xml:space="preserve"> los requisitos habilitantes que establecerán en los pliegos de condiciones, los cuales deben fijarse de forma adecuada y proporcional, para lo cual podrán tener en cuenta </w:t>
      </w:r>
      <w:r w:rsidRPr="00E96F17" w:rsidR="00BB2041">
        <w:rPr>
          <w:rFonts w:ascii="Arial" w:hAnsi="Arial" w:eastAsia="Arial" w:cs="Arial"/>
          <w:color w:val="000000"/>
          <w:sz w:val="22"/>
          <w:szCs w:val="22"/>
          <w:lang w:val="es-ES_tradnl"/>
        </w:rPr>
        <w:t>dicho</w:t>
      </w:r>
      <w:r w:rsidRPr="00E96F17" w:rsidR="00EC1C61">
        <w:rPr>
          <w:rFonts w:ascii="Arial" w:hAnsi="Arial" w:eastAsia="Arial" w:cs="Arial"/>
          <w:color w:val="000000"/>
          <w:sz w:val="22"/>
          <w:szCs w:val="22"/>
          <w:lang w:val="es-ES_tradnl"/>
        </w:rPr>
        <w:t xml:space="preserve"> lo previsto en el Manual</w:t>
      </w:r>
      <w:r w:rsidRPr="00E96F17" w:rsidR="00AF40F5">
        <w:rPr>
          <w:rFonts w:ascii="Arial" w:hAnsi="Arial" w:eastAsia="Arial" w:cs="Arial"/>
          <w:color w:val="000000"/>
          <w:sz w:val="22"/>
          <w:szCs w:val="22"/>
          <w:lang w:val="es-ES_tradnl"/>
        </w:rPr>
        <w:t xml:space="preserve">. Estos requisitos deben fijarse de acuerdo con la naturaleza, el valor del contrato, la forma de pago, los riesgos asociados al contrato, el plazo y la complejidad de ejecución del objeto. </w:t>
      </w:r>
    </w:p>
    <w:p w:rsidRPr="00E96F17" w:rsidR="00AD1C68" w:rsidP="00AD1C68" w:rsidRDefault="00AD1C68" w14:paraId="56E852FC" w14:textId="30C9EA60">
      <w:pPr>
        <w:spacing w:before="120" w:line="276" w:lineRule="auto"/>
        <w:ind w:firstLine="708"/>
        <w:jc w:val="both"/>
        <w:rPr>
          <w:rFonts w:ascii="Arial" w:hAnsi="Arial" w:eastAsia="Calibri" w:cs="Arial"/>
          <w:sz w:val="22"/>
          <w:szCs w:val="22"/>
        </w:rPr>
      </w:pPr>
      <w:r w:rsidRPr="00E96F17">
        <w:rPr>
          <w:rFonts w:ascii="Arial" w:hAnsi="Arial" w:eastAsia="Calibri" w:cs="Arial"/>
          <w:sz w:val="22"/>
          <w:szCs w:val="22"/>
        </w:rPr>
        <w:t xml:space="preserve">Para efectos de fijar los indicadores de capacidad financiera y organizacional, la sección VI del Manual indica que la </w:t>
      </w:r>
      <w:r w:rsidR="0088149F">
        <w:rPr>
          <w:rFonts w:ascii="Arial" w:hAnsi="Arial" w:eastAsia="Calibri" w:cs="Arial"/>
          <w:sz w:val="22"/>
          <w:szCs w:val="22"/>
        </w:rPr>
        <w:t>E</w:t>
      </w:r>
      <w:r w:rsidRPr="00E96F17">
        <w:rPr>
          <w:rFonts w:ascii="Arial" w:hAnsi="Arial" w:eastAsia="Calibri" w:cs="Arial"/>
          <w:sz w:val="22"/>
          <w:szCs w:val="22"/>
        </w:rPr>
        <w:t xml:space="preserve">ntidad </w:t>
      </w:r>
      <w:r w:rsidR="0088149F">
        <w:rPr>
          <w:rFonts w:ascii="Arial" w:hAnsi="Arial" w:eastAsia="Calibri" w:cs="Arial"/>
          <w:sz w:val="22"/>
          <w:szCs w:val="22"/>
        </w:rPr>
        <w:t>E</w:t>
      </w:r>
      <w:r w:rsidRPr="00E96F17">
        <w:rPr>
          <w:rFonts w:ascii="Arial" w:hAnsi="Arial" w:eastAsia="Calibri" w:cs="Arial"/>
          <w:sz w:val="22"/>
          <w:szCs w:val="22"/>
        </w:rPr>
        <w:t xml:space="preserve">statal </w:t>
      </w:r>
      <w:r w:rsidRPr="00587A1E">
        <w:rPr>
          <w:rFonts w:ascii="Arial" w:hAnsi="Arial" w:eastAsia="Calibri" w:cs="Arial"/>
          <w:i/>
          <w:iCs/>
          <w:sz w:val="22"/>
          <w:szCs w:val="22"/>
        </w:rPr>
        <w:t>«</w:t>
      </w:r>
      <w:r w:rsidRPr="00587A1E">
        <w:rPr>
          <w:rFonts w:ascii="Arial" w:hAnsi="Arial" w:eastAsia="Calibri" w:cs="Arial"/>
          <w:i/>
          <w:iCs/>
          <w:sz w:val="22"/>
          <w:szCs w:val="22"/>
          <w:lang w:val="es-ES_tradnl"/>
        </w:rPr>
        <w:t>debe establecer el límite para los indicadores de capacidad financiera y organizacional como resultado del análisis de los criterios previstos en la sección I.B. y evitar hacerlo de manera mecánica, pues cada Proceso de Contratación tiene una naturaleza distinta y está asociado a Riesgos particulares</w:t>
      </w:r>
      <w:r w:rsidRPr="00587A1E">
        <w:rPr>
          <w:rFonts w:ascii="Arial" w:hAnsi="Arial" w:eastAsia="Calibri" w:cs="Arial"/>
          <w:i/>
          <w:iCs/>
          <w:sz w:val="22"/>
          <w:szCs w:val="22"/>
        </w:rPr>
        <w:t>»</w:t>
      </w:r>
      <w:r w:rsidRPr="00E96F17">
        <w:rPr>
          <w:rFonts w:ascii="Arial" w:hAnsi="Arial" w:eastAsia="Calibri" w:cs="Arial"/>
          <w:sz w:val="22"/>
          <w:szCs w:val="22"/>
          <w:lang w:val="es-ES_tradnl"/>
        </w:rPr>
        <w:t xml:space="preserve">. En relación con los proponentes plurales, la sección VII del Manual señala que la entidad debe determinar en los documentos del proceso la metodología para calcular los indicadores de los proponentes plurales a partir de la información de cada uno de sus integrantes. De esta manera, es deber de la entidad establecer en los pliegos de condiciones la forma en la cual se calcularán los indicadores de capacidad financiera y organizacional de los proponentes plurales. Para estos efectos, el Manual expone varias opciones que las entidades podrán implementar para el cálculo de dichos indicadores, sin perjuicio de utilizar opciones distintas, pues como se indicó, este Manual es un instrumento de orientación y no es vinculante. </w:t>
      </w:r>
    </w:p>
    <w:p w:rsidRPr="00E96F17" w:rsidR="00AD1C68" w:rsidP="00AD1C68" w:rsidRDefault="00AD1C68" w14:paraId="65B0B0FB" w14:textId="77777777">
      <w:pPr>
        <w:spacing w:before="120" w:line="276" w:lineRule="auto"/>
        <w:ind w:firstLine="709"/>
        <w:jc w:val="both"/>
        <w:rPr>
          <w:rFonts w:ascii="Arial" w:hAnsi="Arial" w:eastAsia="Calibri" w:cs="Arial"/>
          <w:sz w:val="22"/>
          <w:szCs w:val="22"/>
        </w:rPr>
      </w:pPr>
      <w:r w:rsidRPr="00E96F17">
        <w:rPr>
          <w:rFonts w:ascii="Arial" w:hAnsi="Arial" w:eastAsia="Calibri" w:cs="Arial"/>
          <w:sz w:val="22"/>
          <w:szCs w:val="22"/>
        </w:rPr>
        <w:t>De esta manera, el Manual propone tres fórmulas diferentes: la primera opción denominada «Sumatoria» para los valores absolutos como el capital de trabajo y la opciones dos (2) y tres (3) de «Ponderación de los componentes de los indicadores» y «Suma de los componentes de los indicadores» para los indicadores que provienen de la división de cuentas de los estados financieros. La anterior claridad es importante para el objeto de la consulta, puesto que las fórmulas propuestas tendrán que aplicarse en cada caso en concreto teniendo en cuenta si se trata de valores absolutos o de indicadores de división de cuenta.</w:t>
      </w:r>
    </w:p>
    <w:p w:rsidRPr="00587A1E" w:rsidR="00AD1C68" w:rsidP="00AD1C68" w:rsidRDefault="00AD1C68" w14:paraId="1B87BC6C" w14:textId="718E0EB3">
      <w:pPr>
        <w:spacing w:before="120" w:line="276" w:lineRule="auto"/>
        <w:ind w:firstLine="709"/>
        <w:jc w:val="both"/>
        <w:rPr>
          <w:rFonts w:ascii="Arial" w:hAnsi="Arial" w:eastAsia="Arial MT" w:cs="Arial"/>
          <w:b/>
          <w:sz w:val="22"/>
          <w:szCs w:val="22"/>
          <w:lang w:val="es-ES" w:eastAsia="en-US"/>
        </w:rPr>
      </w:pPr>
      <w:r w:rsidRPr="00E96F17">
        <w:rPr>
          <w:rFonts w:ascii="Arial" w:hAnsi="Arial" w:eastAsia="Calibri" w:cs="Arial"/>
          <w:sz w:val="22"/>
          <w:szCs w:val="22"/>
        </w:rPr>
        <w:t>Comparando los indicadores de las fórmulas de cada una de las opciones de acuerdo con el ejemplo propuesto en el Manu</w:t>
      </w:r>
      <w:r w:rsidR="00FF70EF">
        <w:rPr>
          <w:rFonts w:ascii="Arial" w:hAnsi="Arial" w:eastAsia="Calibri" w:cs="Arial"/>
          <w:sz w:val="22"/>
          <w:szCs w:val="22"/>
        </w:rPr>
        <w:t>a</w:t>
      </w:r>
      <w:r w:rsidRPr="00E96F17">
        <w:rPr>
          <w:rFonts w:ascii="Arial" w:hAnsi="Arial" w:eastAsia="Calibri" w:cs="Arial"/>
          <w:sz w:val="22"/>
          <w:szCs w:val="22"/>
        </w:rPr>
        <w:t xml:space="preserve">l, no se evidencia un amplio margen de diferencia entre ellos. Por ejemplo, el indicador de índice de liquidez en la opción 2 es de 3.8 y en la opción 3 es de 3.14. </w:t>
      </w:r>
      <w:r w:rsidRPr="00E96F17" w:rsidR="00FF70EF">
        <w:rPr>
          <w:rFonts w:ascii="Arial" w:hAnsi="Arial" w:eastAsia="Calibri" w:cs="Arial"/>
          <w:sz w:val="22"/>
          <w:szCs w:val="22"/>
        </w:rPr>
        <w:t>Igualmente,</w:t>
      </w:r>
      <w:r w:rsidRPr="00E96F17">
        <w:rPr>
          <w:rFonts w:ascii="Arial" w:hAnsi="Arial" w:eastAsia="Calibri" w:cs="Arial"/>
          <w:sz w:val="22"/>
          <w:szCs w:val="22"/>
        </w:rPr>
        <w:t xml:space="preserve"> el índice de endeudamiento en la opción 2 es del 68% mientras que en la opción 3 es de 70%. Recuérdese que</w:t>
      </w:r>
      <w:r w:rsidRPr="00E96F17" w:rsidR="00EC1C61">
        <w:rPr>
          <w:rFonts w:ascii="Arial" w:hAnsi="Arial" w:eastAsia="Calibri" w:cs="Arial"/>
          <w:sz w:val="22"/>
          <w:szCs w:val="22"/>
        </w:rPr>
        <w:t>, para efectos del ejemplo planteado en el Manual,</w:t>
      </w:r>
      <w:r w:rsidRPr="00E96F17">
        <w:rPr>
          <w:rFonts w:ascii="Arial" w:hAnsi="Arial" w:eastAsia="Calibri" w:cs="Arial"/>
          <w:sz w:val="22"/>
          <w:szCs w:val="22"/>
        </w:rPr>
        <w:t xml:space="preserve"> estos indicadores se calculan con las fórmulas propuestas para la división de cuentas de los estados financieros y no para los valores absolutos. </w:t>
      </w:r>
    </w:p>
    <w:p w:rsidRPr="00E96F17" w:rsidR="00BB2041" w:rsidP="00AD1C68" w:rsidRDefault="00AD1C68" w14:paraId="07FC3483" w14:textId="5612401B">
      <w:pPr>
        <w:tabs>
          <w:tab w:val="left" w:pos="426"/>
        </w:tabs>
        <w:spacing w:before="120" w:line="276" w:lineRule="auto"/>
        <w:ind w:firstLine="709"/>
        <w:jc w:val="both"/>
        <w:rPr>
          <w:rFonts w:ascii="Arial" w:hAnsi="Arial" w:eastAsia="Arial" w:cs="Arial"/>
          <w:color w:val="000000"/>
          <w:sz w:val="22"/>
          <w:szCs w:val="22"/>
        </w:rPr>
      </w:pPr>
      <w:r w:rsidRPr="00E96F17">
        <w:rPr>
          <w:rFonts w:ascii="Arial" w:hAnsi="Arial" w:eastAsia="Calibri" w:cs="Arial"/>
          <w:sz w:val="22"/>
          <w:szCs w:val="22"/>
        </w:rPr>
        <w:lastRenderedPageBreak/>
        <w:t xml:space="preserve">En este sentido, los ejemplos empleados en el Manual ilustran el cálculo de los indicadores de capacidad financiera de un oferente plural siguiendo las recomendaciones expuestas de acuerdo con las opciones señaladas en dicho Manual. Sin embargo, la aplicación de estas fórmulas no puede </w:t>
      </w:r>
      <w:r w:rsidRPr="00E96F17">
        <w:rPr>
          <w:rFonts w:ascii="Arial" w:hAnsi="Arial" w:eastAsia="Calibri" w:cs="Arial"/>
          <w:sz w:val="22"/>
          <w:szCs w:val="22"/>
          <w:lang w:val="es-ES_tradnl"/>
        </w:rPr>
        <w:t>hacerse de manera mecánica</w:t>
      </w:r>
      <w:r w:rsidR="00FF70EF">
        <w:rPr>
          <w:rFonts w:ascii="Arial" w:hAnsi="Arial" w:eastAsia="Calibri" w:cs="Arial"/>
          <w:sz w:val="22"/>
          <w:szCs w:val="22"/>
          <w:lang w:val="es-ES_tradnl"/>
        </w:rPr>
        <w:t>,</w:t>
      </w:r>
      <w:r w:rsidRPr="00E96F17">
        <w:rPr>
          <w:rFonts w:ascii="Arial" w:hAnsi="Arial" w:eastAsia="Calibri" w:cs="Arial"/>
          <w:sz w:val="22"/>
          <w:szCs w:val="22"/>
        </w:rPr>
        <w:t xml:space="preserve"> sino que su implementación debe basarse en el entendimiento del resultado y sus implicaciones para el procedimiento contractual conforme con las particularidades de cada caso.</w:t>
      </w:r>
      <w:r w:rsidRPr="00E96F17" w:rsidR="009C4C85">
        <w:rPr>
          <w:rFonts w:ascii="Arial" w:hAnsi="Arial" w:eastAsia="Calibri" w:cs="Arial"/>
          <w:sz w:val="22"/>
          <w:szCs w:val="22"/>
        </w:rPr>
        <w:t xml:space="preserve"> Además, se reitera que la </w:t>
      </w:r>
      <w:r w:rsidR="00FF70EF">
        <w:rPr>
          <w:rFonts w:ascii="Arial" w:hAnsi="Arial" w:eastAsia="Calibri" w:cs="Arial"/>
          <w:sz w:val="22"/>
          <w:szCs w:val="22"/>
        </w:rPr>
        <w:t>E</w:t>
      </w:r>
      <w:r w:rsidRPr="00E96F17" w:rsidR="009C4C85">
        <w:rPr>
          <w:rFonts w:ascii="Arial" w:hAnsi="Arial" w:eastAsia="Calibri" w:cs="Arial"/>
          <w:sz w:val="22"/>
          <w:szCs w:val="22"/>
        </w:rPr>
        <w:t>ntidades</w:t>
      </w:r>
      <w:r w:rsidR="00FF70EF">
        <w:rPr>
          <w:rFonts w:ascii="Arial" w:hAnsi="Arial" w:eastAsia="Calibri" w:cs="Arial"/>
          <w:sz w:val="22"/>
          <w:szCs w:val="22"/>
        </w:rPr>
        <w:t xml:space="preserve"> Estatales </w:t>
      </w:r>
      <w:r w:rsidRPr="00E96F17" w:rsidR="009C4C85">
        <w:rPr>
          <w:rFonts w:ascii="Arial" w:hAnsi="Arial" w:eastAsia="Calibri" w:cs="Arial"/>
          <w:sz w:val="22"/>
          <w:szCs w:val="22"/>
        </w:rPr>
        <w:t xml:space="preserve">son autónomas para requerir la capacidad financiera y la capacidad organizacional necesaria de acuerdo con el objeto contractual que se pretende satisfacer y están el libertad de determinar la forma en la cual se calculará estos requisitos para los proponente plurales. En todo caso, las </w:t>
      </w:r>
      <w:r w:rsidR="00333E77">
        <w:rPr>
          <w:rFonts w:ascii="Arial" w:hAnsi="Arial" w:eastAsia="Calibri" w:cs="Arial"/>
          <w:sz w:val="22"/>
          <w:szCs w:val="22"/>
        </w:rPr>
        <w:t>E</w:t>
      </w:r>
      <w:r w:rsidRPr="00E96F17" w:rsidR="009C4C85">
        <w:rPr>
          <w:rFonts w:ascii="Arial" w:hAnsi="Arial" w:eastAsia="Calibri" w:cs="Arial"/>
          <w:sz w:val="22"/>
          <w:szCs w:val="22"/>
        </w:rPr>
        <w:t xml:space="preserve">ntidades </w:t>
      </w:r>
      <w:r w:rsidR="00333E77">
        <w:rPr>
          <w:rFonts w:ascii="Arial" w:hAnsi="Arial" w:eastAsia="Calibri" w:cs="Arial"/>
          <w:sz w:val="22"/>
          <w:szCs w:val="22"/>
        </w:rPr>
        <w:t>E</w:t>
      </w:r>
      <w:r w:rsidRPr="00E96F17" w:rsidR="009C4C85">
        <w:rPr>
          <w:rFonts w:ascii="Arial" w:hAnsi="Arial" w:eastAsia="Calibri" w:cs="Arial"/>
          <w:sz w:val="22"/>
          <w:szCs w:val="22"/>
        </w:rPr>
        <w:t>statales en los pliegos de condiciones deberán establecer una regulación específica dirigida a determinar la evaluación de la capacidad financiera y organizacional de los consorcios y uniones temporales, de manera que no quede un vacío en el pliego de condiciones respecto a este importante contenido.</w:t>
      </w:r>
    </w:p>
    <w:p w:rsidRPr="00E96F17" w:rsidR="002651BE" w:rsidP="00DE48E2" w:rsidRDefault="002651BE" w14:paraId="2FC3FE61" w14:textId="77777777">
      <w:pPr>
        <w:spacing w:before="120" w:line="276" w:lineRule="auto"/>
        <w:ind w:right="79"/>
        <w:jc w:val="both"/>
        <w:rPr>
          <w:rFonts w:ascii="Arial" w:hAnsi="Arial" w:cs="Arial"/>
          <w:sz w:val="22"/>
          <w:szCs w:val="22"/>
        </w:rPr>
      </w:pPr>
    </w:p>
    <w:p w:rsidRPr="00E96F17" w:rsidR="00695B70" w:rsidP="00DC0DA0" w:rsidRDefault="00695B70" w14:paraId="64BE30C1" w14:textId="6066E4F5">
      <w:pPr>
        <w:spacing w:line="276" w:lineRule="auto"/>
        <w:jc w:val="both"/>
        <w:rPr>
          <w:rFonts w:ascii="Arial" w:hAnsi="Arial" w:eastAsia="Calibri" w:cs="Arial"/>
          <w:color w:val="161616" w:themeColor="background1" w:themeShade="1A"/>
          <w:sz w:val="22"/>
          <w:szCs w:val="22"/>
          <w:lang w:val="es-ES_tradnl"/>
        </w:rPr>
      </w:pPr>
      <w:r w:rsidRPr="00E96F17">
        <w:rPr>
          <w:rFonts w:ascii="Arial" w:hAnsi="Arial" w:eastAsia="Calibri" w:cs="Arial"/>
          <w:color w:val="161616" w:themeColor="background1" w:themeShade="1A"/>
          <w:sz w:val="22"/>
          <w:szCs w:val="22"/>
          <w:lang w:val="es-ES_tradnl"/>
        </w:rPr>
        <w:t>Este concepto tiene el alcance previsto en el artículo 28 del Código de Procedimiento Administrativo y de lo Contencioso Administrativo.</w:t>
      </w:r>
    </w:p>
    <w:p w:rsidRPr="00E96F17" w:rsidR="00103D05" w:rsidP="00EA1918" w:rsidRDefault="00EE6A82" w14:paraId="4D1C4C79" w14:textId="508B9E0F">
      <w:pPr>
        <w:spacing w:before="240" w:line="276" w:lineRule="auto"/>
        <w:jc w:val="both"/>
        <w:rPr>
          <w:rFonts w:ascii="Arial" w:hAnsi="Arial" w:cs="Arial"/>
          <w:color w:val="161616" w:themeColor="background1" w:themeShade="1A"/>
          <w:sz w:val="22"/>
          <w:szCs w:val="22"/>
          <w:lang w:val="es-ES_tradnl" w:eastAsia="es-CO"/>
        </w:rPr>
      </w:pPr>
      <w:bookmarkStart w:name="_Hlk50986665" w:id="11"/>
      <w:bookmarkStart w:name="_Hlk52766744" w:id="12"/>
      <w:r w:rsidRPr="00E96F17">
        <w:rPr>
          <w:rFonts w:ascii="Arial" w:hAnsi="Arial" w:cs="Arial"/>
          <w:color w:val="161616" w:themeColor="background1" w:themeShade="1A"/>
          <w:sz w:val="22"/>
          <w:szCs w:val="22"/>
          <w:lang w:val="es-ES_tradnl" w:eastAsia="es-CO"/>
        </w:rPr>
        <w:t>Atentamente</w:t>
      </w:r>
      <w:bookmarkEnd w:id="1"/>
      <w:bookmarkEnd w:id="11"/>
      <w:bookmarkEnd w:id="12"/>
      <w:r w:rsidRPr="00E96F17" w:rsidR="00EA1918">
        <w:rPr>
          <w:rFonts w:ascii="Arial" w:hAnsi="Arial" w:cs="Arial"/>
          <w:color w:val="161616" w:themeColor="background1" w:themeShade="1A"/>
          <w:sz w:val="22"/>
          <w:szCs w:val="22"/>
          <w:lang w:val="es-ES_tradnl" w:eastAsia="es-CO"/>
        </w:rPr>
        <w:t>,</w:t>
      </w:r>
    </w:p>
    <w:p w:rsidRPr="00E96F17" w:rsidR="00746E08" w:rsidP="00EA1918" w:rsidRDefault="0047516E" w14:paraId="35B56F46" w14:textId="6E028B14">
      <w:pPr>
        <w:spacing w:before="240"/>
        <w:jc w:val="center"/>
        <w:rPr>
          <w:rFonts w:ascii="Arial" w:hAnsi="Arial" w:cs="Arial"/>
          <w:color w:val="161616" w:themeColor="background1" w:themeShade="1A"/>
          <w:sz w:val="22"/>
          <w:szCs w:val="22"/>
          <w:lang w:val="es-ES_tradnl" w:eastAsia="es-CO"/>
        </w:rPr>
      </w:pPr>
      <w:r>
        <w:rPr>
          <w:rFonts w:ascii="Arial" w:hAnsi="Arial" w:cs="Arial"/>
          <w:noProof/>
          <w:color w:val="000000" w:themeColor="text1"/>
          <w:sz w:val="22"/>
          <w:szCs w:val="22"/>
          <w:lang w:val="es-ES_tradnl"/>
        </w:rPr>
        <w:drawing>
          <wp:inline distT="0" distB="0" distL="0" distR="0" wp14:anchorId="729E825D" wp14:editId="45FC0C9E">
            <wp:extent cx="2993390" cy="116459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tbl>
      <w:tblPr>
        <w:tblStyle w:val="Tablaconcuadrcula1"/>
        <w:tblpPr w:leftFromText="141" w:rightFromText="141" w:vertAnchor="text" w:horzAnchor="margin" w:tblpY="26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445"/>
      </w:tblGrid>
      <w:tr w:rsidRPr="00587A1E" w:rsidR="008423BA" w:rsidTr="00EA4372" w14:paraId="47EE0A9C" w14:textId="77777777">
        <w:trPr>
          <w:trHeight w:val="286"/>
        </w:trPr>
        <w:tc>
          <w:tcPr>
            <w:tcW w:w="817" w:type="dxa"/>
            <w:vAlign w:val="center"/>
          </w:tcPr>
          <w:p w:rsidRPr="00587A1E" w:rsidR="008423BA" w:rsidP="00EA4372" w:rsidRDefault="008423BA" w14:paraId="05579E3A" w14:textId="77777777">
            <w:pPr>
              <w:rPr>
                <w:rFonts w:ascii="Arial" w:hAnsi="Arial" w:cs="Arial"/>
                <w:sz w:val="16"/>
                <w:szCs w:val="16"/>
                <w:lang w:eastAsia="es-ES"/>
              </w:rPr>
            </w:pPr>
            <w:bookmarkStart w:name="_Hlk112426922" w:id="13"/>
            <w:bookmarkStart w:name="_Hlk111816337" w:id="14"/>
            <w:r w:rsidRPr="00587A1E">
              <w:rPr>
                <w:rFonts w:ascii="Arial" w:hAnsi="Arial" w:cs="Arial"/>
                <w:sz w:val="16"/>
                <w:szCs w:val="16"/>
                <w:lang w:eastAsia="es-ES"/>
              </w:rPr>
              <w:t>Elaboró:</w:t>
            </w:r>
          </w:p>
        </w:tc>
        <w:tc>
          <w:tcPr>
            <w:tcW w:w="4445" w:type="dxa"/>
            <w:tcBorders>
              <w:bottom w:val="dotted" w:color="7F7F7F" w:sz="4" w:space="0"/>
            </w:tcBorders>
            <w:vAlign w:val="center"/>
          </w:tcPr>
          <w:p w:rsidRPr="00587A1E" w:rsidR="008423BA" w:rsidP="00EA4372" w:rsidRDefault="00785927" w14:paraId="0D5DC54E" w14:textId="04DE6738">
            <w:pPr>
              <w:rPr>
                <w:rFonts w:ascii="Arial" w:hAnsi="Arial" w:cs="Arial"/>
                <w:sz w:val="16"/>
                <w:szCs w:val="16"/>
                <w:lang w:eastAsia="es-ES"/>
              </w:rPr>
            </w:pPr>
            <w:r w:rsidRPr="00587A1E">
              <w:rPr>
                <w:rFonts w:ascii="Arial" w:hAnsi="Arial" w:cs="Arial"/>
                <w:sz w:val="16"/>
                <w:szCs w:val="16"/>
                <w:lang w:eastAsia="es-ES"/>
              </w:rPr>
              <w:t xml:space="preserve">Tatiana Baquero Iguarán </w:t>
            </w:r>
          </w:p>
          <w:p w:rsidRPr="00587A1E" w:rsidR="008423BA" w:rsidP="00EA4372" w:rsidRDefault="008423BA" w14:paraId="61670314" w14:textId="77777777">
            <w:pPr>
              <w:rPr>
                <w:rFonts w:ascii="Arial" w:hAnsi="Arial" w:cs="Arial"/>
                <w:sz w:val="16"/>
                <w:szCs w:val="16"/>
                <w:lang w:eastAsia="es-ES"/>
              </w:rPr>
            </w:pPr>
            <w:r w:rsidRPr="00587A1E">
              <w:rPr>
                <w:rFonts w:ascii="Arial" w:hAnsi="Arial" w:cs="Arial"/>
                <w:sz w:val="16"/>
                <w:szCs w:val="16"/>
                <w:lang w:eastAsia="es-ES"/>
              </w:rPr>
              <w:t>Contratista de la Subdirección de Gestión Contractual</w:t>
            </w:r>
          </w:p>
        </w:tc>
      </w:tr>
      <w:tr w:rsidRPr="00587A1E" w:rsidR="008423BA" w:rsidTr="00EA4372" w14:paraId="2D328240" w14:textId="77777777">
        <w:trPr>
          <w:trHeight w:val="299"/>
        </w:trPr>
        <w:tc>
          <w:tcPr>
            <w:tcW w:w="817" w:type="dxa"/>
            <w:vAlign w:val="center"/>
          </w:tcPr>
          <w:p w:rsidRPr="00587A1E" w:rsidR="008423BA" w:rsidP="00EA4372" w:rsidRDefault="008423BA" w14:paraId="1219E7C1" w14:textId="77777777">
            <w:pPr>
              <w:rPr>
                <w:rFonts w:ascii="Arial" w:hAnsi="Arial" w:cs="Arial"/>
                <w:sz w:val="16"/>
                <w:szCs w:val="16"/>
                <w:lang w:eastAsia="es-ES"/>
              </w:rPr>
            </w:pPr>
            <w:r w:rsidRPr="00587A1E">
              <w:rPr>
                <w:rFonts w:ascii="Arial" w:hAnsi="Arial" w:cs="Arial"/>
                <w:sz w:val="16"/>
                <w:szCs w:val="16"/>
                <w:lang w:eastAsia="es-ES"/>
              </w:rPr>
              <w:t>Revisó:</w:t>
            </w:r>
          </w:p>
        </w:tc>
        <w:tc>
          <w:tcPr>
            <w:tcW w:w="4445" w:type="dxa"/>
            <w:tcBorders>
              <w:top w:val="dotted" w:color="7F7F7F" w:sz="4" w:space="0"/>
              <w:bottom w:val="dotted" w:color="7F7F7F" w:sz="4" w:space="0"/>
            </w:tcBorders>
            <w:vAlign w:val="center"/>
          </w:tcPr>
          <w:p w:rsidRPr="00587A1E" w:rsidR="008423BA" w:rsidP="00EA4372" w:rsidRDefault="009C4C85" w14:paraId="37A4E093" w14:textId="43FF1120">
            <w:pPr>
              <w:rPr>
                <w:rFonts w:ascii="Arial" w:hAnsi="Arial" w:cs="Arial"/>
                <w:sz w:val="16"/>
                <w:szCs w:val="16"/>
                <w:lang w:eastAsia="es-ES"/>
              </w:rPr>
            </w:pPr>
            <w:r w:rsidRPr="00587A1E">
              <w:rPr>
                <w:rFonts w:ascii="Arial" w:hAnsi="Arial" w:cs="Arial"/>
                <w:sz w:val="16"/>
                <w:szCs w:val="16"/>
                <w:lang w:eastAsia="es-ES"/>
              </w:rPr>
              <w:t>Any Alejandra Tovar</w:t>
            </w:r>
            <w:r w:rsidRPr="00587A1E" w:rsidR="00FF70EF">
              <w:rPr>
                <w:rFonts w:ascii="Arial" w:hAnsi="Arial" w:cs="Arial"/>
                <w:sz w:val="16"/>
                <w:szCs w:val="16"/>
                <w:lang w:eastAsia="es-ES"/>
              </w:rPr>
              <w:t xml:space="preserve"> Castillo</w:t>
            </w:r>
          </w:p>
          <w:p w:rsidRPr="00587A1E" w:rsidR="008423BA" w:rsidP="00EA4372" w:rsidRDefault="0020112B" w14:paraId="4B483BFF" w14:textId="539A444B">
            <w:pPr>
              <w:rPr>
                <w:rFonts w:ascii="Arial" w:hAnsi="Arial" w:cs="Arial"/>
                <w:sz w:val="16"/>
                <w:szCs w:val="16"/>
                <w:lang w:eastAsia="es-ES"/>
              </w:rPr>
            </w:pPr>
            <w:r w:rsidRPr="00587A1E">
              <w:rPr>
                <w:rFonts w:ascii="Arial" w:hAnsi="Arial" w:cs="Arial"/>
                <w:sz w:val="16"/>
                <w:szCs w:val="16"/>
                <w:lang w:eastAsia="es-ES"/>
              </w:rPr>
              <w:t>Contratista</w:t>
            </w:r>
            <w:r w:rsidRPr="00587A1E" w:rsidR="008423BA">
              <w:rPr>
                <w:rFonts w:ascii="Arial" w:hAnsi="Arial" w:cs="Arial"/>
                <w:sz w:val="16"/>
                <w:szCs w:val="16"/>
                <w:lang w:eastAsia="es-ES"/>
              </w:rPr>
              <w:t xml:space="preserve"> de la Subdirección de Gestión Contractual</w:t>
            </w:r>
          </w:p>
        </w:tc>
      </w:tr>
      <w:tr w:rsidRPr="00587A1E" w:rsidR="008423BA" w:rsidTr="00EA4372" w14:paraId="695797F3" w14:textId="77777777">
        <w:trPr>
          <w:trHeight w:val="272"/>
        </w:trPr>
        <w:tc>
          <w:tcPr>
            <w:tcW w:w="817" w:type="dxa"/>
            <w:vAlign w:val="center"/>
          </w:tcPr>
          <w:p w:rsidRPr="00587A1E" w:rsidR="008423BA" w:rsidP="00EA4372" w:rsidRDefault="008423BA" w14:paraId="05BB9836" w14:textId="77777777">
            <w:pPr>
              <w:rPr>
                <w:rFonts w:ascii="Arial" w:hAnsi="Arial" w:cs="Arial"/>
                <w:sz w:val="16"/>
                <w:szCs w:val="16"/>
                <w:lang w:eastAsia="es-ES"/>
              </w:rPr>
            </w:pPr>
            <w:r w:rsidRPr="00587A1E">
              <w:rPr>
                <w:rFonts w:ascii="Arial" w:hAnsi="Arial" w:cs="Arial"/>
                <w:sz w:val="16"/>
                <w:szCs w:val="16"/>
                <w:lang w:eastAsia="es-ES"/>
              </w:rPr>
              <w:t>Aprobó:</w:t>
            </w:r>
          </w:p>
        </w:tc>
        <w:tc>
          <w:tcPr>
            <w:tcW w:w="4445" w:type="dxa"/>
            <w:tcBorders>
              <w:top w:val="dotted" w:color="7F7F7F" w:sz="4" w:space="0"/>
              <w:bottom w:val="dotted" w:color="7F7F7F" w:sz="4" w:space="0"/>
            </w:tcBorders>
            <w:vAlign w:val="center"/>
          </w:tcPr>
          <w:p w:rsidRPr="00587A1E" w:rsidR="008423BA" w:rsidP="00EA4372" w:rsidRDefault="0020112B" w14:paraId="08CB039F" w14:textId="5BC61F25">
            <w:pPr>
              <w:rPr>
                <w:rFonts w:ascii="Arial" w:hAnsi="Arial" w:cs="Arial"/>
                <w:sz w:val="16"/>
                <w:szCs w:val="16"/>
                <w:lang w:eastAsia="es-ES"/>
              </w:rPr>
            </w:pPr>
            <w:r w:rsidRPr="00587A1E">
              <w:rPr>
                <w:rFonts w:ascii="Arial" w:hAnsi="Arial" w:cs="Arial"/>
                <w:sz w:val="16"/>
                <w:szCs w:val="16"/>
                <w:lang w:eastAsia="es-ES"/>
              </w:rPr>
              <w:t>Juan David Marín López</w:t>
            </w:r>
          </w:p>
          <w:p w:rsidRPr="00587A1E" w:rsidR="008423BA" w:rsidP="00EA4372" w:rsidRDefault="008423BA" w14:paraId="6F56A07C" w14:textId="103C6A10">
            <w:pPr>
              <w:rPr>
                <w:rFonts w:ascii="Arial" w:hAnsi="Arial" w:cs="Arial"/>
                <w:sz w:val="16"/>
                <w:szCs w:val="16"/>
                <w:lang w:eastAsia="es-ES"/>
              </w:rPr>
            </w:pPr>
            <w:r w:rsidRPr="00587A1E">
              <w:rPr>
                <w:rFonts w:ascii="Arial" w:hAnsi="Arial" w:cs="Arial"/>
                <w:sz w:val="16"/>
                <w:szCs w:val="16"/>
                <w:lang w:eastAsia="es-ES"/>
              </w:rPr>
              <w:t xml:space="preserve">Subdirector de Gestión Contractual </w:t>
            </w:r>
            <w:r w:rsidRPr="00587A1E" w:rsidR="00285744">
              <w:rPr>
                <w:rFonts w:ascii="Arial" w:hAnsi="Arial" w:cs="Arial"/>
                <w:sz w:val="16"/>
                <w:szCs w:val="16"/>
                <w:lang w:eastAsia="es-ES"/>
              </w:rPr>
              <w:t>(E)</w:t>
            </w:r>
          </w:p>
        </w:tc>
      </w:tr>
      <w:bookmarkEnd w:id="13"/>
    </w:tbl>
    <w:p w:rsidRPr="00587A1E" w:rsidR="008423BA" w:rsidP="00B32DB2" w:rsidRDefault="008423BA" w14:paraId="23EAD1F9" w14:textId="1D1C6BDB">
      <w:pPr>
        <w:spacing w:before="240"/>
        <w:jc w:val="center"/>
        <w:rPr>
          <w:rFonts w:ascii="Arial" w:hAnsi="Arial" w:cs="Arial"/>
          <w:color w:val="161616" w:themeColor="background1" w:themeShade="1A"/>
          <w:sz w:val="16"/>
          <w:szCs w:val="16"/>
          <w:lang w:val="es-ES_tradnl" w:eastAsia="es-CO"/>
        </w:rPr>
      </w:pPr>
    </w:p>
    <w:bookmarkEnd w:id="2"/>
    <w:bookmarkEnd w:id="14"/>
    <w:p w:rsidRPr="00587A1E" w:rsidR="00123BE2" w:rsidP="00B32DB2" w:rsidRDefault="00123BE2" w14:paraId="46A2D6C9" w14:textId="77777777">
      <w:pPr>
        <w:spacing w:before="240"/>
        <w:rPr>
          <w:rFonts w:ascii="Arial" w:hAnsi="Arial" w:cs="Arial"/>
          <w:color w:val="161616" w:themeColor="background1" w:themeShade="1A"/>
          <w:sz w:val="22"/>
          <w:szCs w:val="22"/>
          <w:lang w:val="es-ES_tradnl"/>
        </w:rPr>
      </w:pPr>
    </w:p>
    <w:sectPr w:rsidRPr="00587A1E" w:rsidR="00123BE2" w:rsidSect="00D650B5">
      <w:headerReference w:type="default" r:id="rId19"/>
      <w:footerReference w:type="default" r:id="rId20"/>
      <w:pgSz w:w="12240" w:h="15840" w:orient="portrait"/>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390F" w:rsidRDefault="008A390F" w14:paraId="4F54E56E" w14:textId="77777777">
      <w:r>
        <w:separator/>
      </w:r>
    </w:p>
  </w:endnote>
  <w:endnote w:type="continuationSeparator" w:id="0">
    <w:p w:rsidR="008A390F" w:rsidRDefault="008A390F" w14:paraId="2440B4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F64D8" w:rsidP="00304B85" w:rsidRDefault="00DD68E7" w14:paraId="48FC6A04" w14:textId="7532F4A3">
    <w:pPr>
      <w:pStyle w:val="Piedepgina"/>
      <w:rPr>
        <w:lang w:val="es-ES"/>
      </w:rPr>
    </w:pPr>
    <w:r>
      <w:rPr>
        <w:noProof/>
      </w:rPr>
      <w:drawing>
        <wp:inline distT="0" distB="0" distL="0" distR="0" wp14:anchorId="3EE00DD2" wp14:editId="7C4D1C56">
          <wp:extent cx="5539740" cy="864060"/>
          <wp:effectExtent l="0" t="0" r="381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39740" cy="864060"/>
                  </a:xfrm>
                  <a:prstGeom prst="rect">
                    <a:avLst/>
                  </a:prstGeom>
                </pic:spPr>
              </pic:pic>
            </a:graphicData>
          </a:graphic>
        </wp:inline>
      </w:drawing>
    </w:r>
  </w:p>
  <w:tbl>
    <w:tblPr>
      <w:tblStyle w:val="Tablaconcuadrcula3"/>
      <w:tblW w:w="86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20"/>
      <w:gridCol w:w="642"/>
      <w:gridCol w:w="835"/>
      <w:gridCol w:w="1659"/>
      <w:gridCol w:w="717"/>
      <w:gridCol w:w="2551"/>
      <w:gridCol w:w="1423"/>
    </w:tblGrid>
    <w:tr w:rsidRPr="00DD68E7" w:rsidR="00DD68E7" w:rsidTr="00DD68E7" w14:paraId="65EC6F45" w14:textId="77777777">
      <w:trPr>
        <w:trHeight w:val="268"/>
        <w:jc w:val="center"/>
      </w:trPr>
      <w:tc>
        <w:tcPr>
          <w:tcW w:w="276" w:type="dxa"/>
          <w:tcBorders>
            <w:top w:val="dotted" w:color="6D6D6D" w:themeColor="background1" w:themeShade="80" w:sz="4" w:space="0"/>
            <w:left w:val="dotted" w:color="6D6D6D" w:themeColor="background1" w:themeShade="80" w:sz="4" w:space="0"/>
            <w:bottom w:val="dotted" w:color="6D6D6D" w:themeColor="background1" w:themeShade="80" w:sz="4" w:space="0"/>
          </w:tcBorders>
          <w:shd w:val="clear" w:color="auto" w:fill="auto"/>
        </w:tcPr>
        <w:p w:rsidRPr="00DD68E7" w:rsidR="00DD68E7" w:rsidP="00DD68E7" w:rsidRDefault="00DD68E7" w14:paraId="23405D54" w14:textId="77777777">
          <w:pPr>
            <w:tabs>
              <w:tab w:val="center" w:pos="4419"/>
              <w:tab w:val="right" w:pos="8838"/>
            </w:tabs>
            <w:jc w:val="center"/>
            <w:rPr>
              <w:rFonts w:ascii="Geomanist Light" w:hAnsi="Geomanist Light" w:eastAsiaTheme="minorHAnsi" w:cstheme="minorBidi"/>
              <w:sz w:val="18"/>
              <w:szCs w:val="18"/>
              <w:lang w:val="es-MX" w:eastAsia="en-US"/>
            </w:rPr>
          </w:pPr>
          <w:r w:rsidRPr="00DD68E7">
            <w:rPr>
              <w:rFonts w:ascii="Geomanist Light" w:hAnsi="Geomanist Light" w:eastAsiaTheme="minorHAnsi" w:cstheme="minorBidi"/>
              <w:sz w:val="18"/>
              <w:szCs w:val="18"/>
              <w:lang w:val="es-MX" w:eastAsia="en-US"/>
            </w:rPr>
            <w:t>Versión:</w:t>
          </w:r>
        </w:p>
      </w:tc>
      <w:tc>
        <w:tcPr>
          <w:tcW w:w="678" w:type="dxa"/>
          <w:tcBorders>
            <w:top w:val="dotted" w:color="6D6D6D" w:themeColor="background1" w:themeShade="80" w:sz="4" w:space="0"/>
            <w:bottom w:val="dotted" w:color="6D6D6D" w:themeColor="background1" w:themeShade="80" w:sz="4" w:space="0"/>
            <w:right w:val="dotted" w:color="6D6D6D" w:themeColor="background1" w:themeShade="80" w:sz="4" w:space="0"/>
          </w:tcBorders>
          <w:shd w:val="clear" w:color="auto" w:fill="auto"/>
        </w:tcPr>
        <w:p w:rsidRPr="00DD68E7" w:rsidR="00DD68E7" w:rsidP="00DD68E7" w:rsidRDefault="00DD68E7" w14:paraId="77491D1B" w14:textId="77777777">
          <w:pPr>
            <w:tabs>
              <w:tab w:val="center" w:pos="4419"/>
              <w:tab w:val="right" w:pos="8838"/>
            </w:tabs>
            <w:jc w:val="center"/>
            <w:rPr>
              <w:rFonts w:ascii="Geomanist Light" w:hAnsi="Geomanist Light" w:eastAsiaTheme="minorHAnsi" w:cstheme="minorBidi"/>
              <w:sz w:val="18"/>
              <w:szCs w:val="18"/>
              <w:lang w:val="es-MX" w:eastAsia="en-US"/>
            </w:rPr>
          </w:pPr>
          <w:r w:rsidRPr="00DD68E7">
            <w:rPr>
              <w:rFonts w:ascii="Geomanist Light" w:hAnsi="Geomanist Light" w:eastAsiaTheme="minorHAnsi" w:cstheme="minorBidi"/>
              <w:sz w:val="18"/>
              <w:szCs w:val="18"/>
              <w:lang w:val="es-MX" w:eastAsia="en-US"/>
            </w:rPr>
            <w:t>01</w:t>
          </w:r>
        </w:p>
      </w:tc>
      <w:tc>
        <w:tcPr>
          <w:tcW w:w="844" w:type="dxa"/>
          <w:tcBorders>
            <w:top w:val="dotted" w:color="6D6D6D" w:themeColor="background1" w:themeShade="80" w:sz="4" w:space="0"/>
            <w:left w:val="dotted" w:color="6D6D6D" w:themeColor="background1" w:themeShade="80" w:sz="4" w:space="0"/>
            <w:bottom w:val="dotted" w:color="6D6D6D" w:themeColor="background1" w:themeShade="80" w:sz="4" w:space="0"/>
          </w:tcBorders>
          <w:shd w:val="clear" w:color="auto" w:fill="auto"/>
        </w:tcPr>
        <w:p w:rsidRPr="00DD68E7" w:rsidR="00DD68E7" w:rsidP="00DD68E7" w:rsidRDefault="00DD68E7" w14:paraId="4AEE7A7C" w14:textId="77777777">
          <w:pPr>
            <w:tabs>
              <w:tab w:val="center" w:pos="4419"/>
              <w:tab w:val="right" w:pos="8838"/>
            </w:tabs>
            <w:jc w:val="center"/>
            <w:rPr>
              <w:rFonts w:ascii="Geomanist Light" w:hAnsi="Geomanist Light" w:eastAsiaTheme="minorHAnsi" w:cstheme="minorBidi"/>
              <w:sz w:val="18"/>
              <w:szCs w:val="18"/>
              <w:lang w:val="es-MX" w:eastAsia="en-US"/>
            </w:rPr>
          </w:pPr>
          <w:r w:rsidRPr="00DD68E7">
            <w:rPr>
              <w:rFonts w:ascii="Geomanist Light" w:hAnsi="Geomanist Light" w:eastAsiaTheme="minorHAnsi" w:cstheme="minorBidi"/>
              <w:sz w:val="18"/>
              <w:szCs w:val="18"/>
              <w:lang w:val="es-MX" w:eastAsia="en-US"/>
            </w:rPr>
            <w:t>Código:</w:t>
          </w:r>
        </w:p>
      </w:tc>
      <w:tc>
        <w:tcPr>
          <w:tcW w:w="1784" w:type="dxa"/>
          <w:tcBorders>
            <w:top w:val="dotted" w:color="6D6D6D" w:themeColor="background1" w:themeShade="80" w:sz="4" w:space="0"/>
            <w:bottom w:val="dotted" w:color="6D6D6D" w:themeColor="background1" w:themeShade="80" w:sz="4" w:space="0"/>
            <w:right w:val="dotted" w:color="6D6D6D" w:themeColor="background1" w:themeShade="80" w:sz="4" w:space="0"/>
          </w:tcBorders>
          <w:shd w:val="clear" w:color="auto" w:fill="auto"/>
          <w:vAlign w:val="center"/>
        </w:tcPr>
        <w:p w:rsidRPr="00DD68E7" w:rsidR="00DD68E7" w:rsidP="00DD68E7" w:rsidRDefault="00DD68E7" w14:paraId="39DDD39E" w14:textId="77777777">
          <w:pPr>
            <w:pBdr>
              <w:top w:val="nil"/>
              <w:left w:val="nil"/>
              <w:bottom w:val="nil"/>
              <w:right w:val="nil"/>
              <w:between w:val="nil"/>
            </w:pBdr>
            <w:tabs>
              <w:tab w:val="center" w:pos="4419"/>
              <w:tab w:val="right" w:pos="8838"/>
              <w:tab w:val="center" w:pos="5400"/>
            </w:tabs>
            <w:spacing w:after="160" w:line="256" w:lineRule="auto"/>
            <w:jc w:val="center"/>
            <w:rPr>
              <w:rFonts w:ascii="Geomanist Bold" w:hAnsi="Geomanist Bold" w:eastAsia="Geo" w:cs="Geo"/>
              <w:b/>
              <w:color w:val="002060"/>
              <w:sz w:val="22"/>
              <w:szCs w:val="22"/>
              <w:lang w:eastAsia="es-CO"/>
            </w:rPr>
          </w:pPr>
          <w:r w:rsidRPr="00DD68E7">
            <w:rPr>
              <w:rFonts w:ascii="Geomanist Light" w:hAnsi="Geomanist Light" w:eastAsia="Geo" w:cs="Geo"/>
              <w:b/>
              <w:color w:val="000000"/>
              <w:sz w:val="18"/>
              <w:szCs w:val="18"/>
              <w:lang w:eastAsia="es-CO"/>
            </w:rPr>
            <w:t>CCE-PQRSD-FM-08</w:t>
          </w:r>
        </w:p>
      </w:tc>
      <w:tc>
        <w:tcPr>
          <w:tcW w:w="720" w:type="dxa"/>
          <w:tcBorders>
            <w:top w:val="dotted" w:color="6D6D6D" w:themeColor="background1" w:themeShade="80" w:sz="4" w:space="0"/>
            <w:left w:val="dotted" w:color="6D6D6D" w:themeColor="background1" w:themeShade="80" w:sz="4" w:space="0"/>
            <w:bottom w:val="dotted" w:color="6D6D6D" w:themeColor="background1" w:themeShade="80" w:sz="4" w:space="0"/>
          </w:tcBorders>
          <w:shd w:val="clear" w:color="auto" w:fill="auto"/>
        </w:tcPr>
        <w:p w:rsidRPr="00DD68E7" w:rsidR="00DD68E7" w:rsidP="00DD68E7" w:rsidRDefault="00DD68E7" w14:paraId="0E0C35CF" w14:textId="77777777">
          <w:pPr>
            <w:tabs>
              <w:tab w:val="center" w:pos="4419"/>
              <w:tab w:val="right" w:pos="8838"/>
            </w:tabs>
            <w:jc w:val="center"/>
            <w:rPr>
              <w:rFonts w:ascii="Geomanist Light" w:hAnsi="Geomanist Light" w:eastAsiaTheme="minorHAnsi" w:cstheme="minorBidi"/>
              <w:sz w:val="18"/>
              <w:szCs w:val="18"/>
              <w:lang w:val="es-MX" w:eastAsia="en-US"/>
            </w:rPr>
          </w:pPr>
          <w:r w:rsidRPr="00DD68E7">
            <w:rPr>
              <w:rFonts w:ascii="Geomanist Light" w:hAnsi="Geomanist Light" w:eastAsiaTheme="minorHAnsi" w:cstheme="minorBidi"/>
              <w:sz w:val="18"/>
              <w:szCs w:val="18"/>
              <w:lang w:val="es-MX" w:eastAsia="en-US"/>
            </w:rPr>
            <w:t>Fecha:</w:t>
          </w:r>
        </w:p>
      </w:tc>
      <w:tc>
        <w:tcPr>
          <w:tcW w:w="2818" w:type="dxa"/>
          <w:tcBorders>
            <w:top w:val="dotted" w:color="6D6D6D" w:themeColor="background1" w:themeShade="80" w:sz="4" w:space="0"/>
            <w:bottom w:val="dotted" w:color="6D6D6D" w:themeColor="background1" w:themeShade="80" w:sz="4" w:space="0"/>
            <w:right w:val="dotted" w:color="6D6D6D" w:themeColor="background1" w:themeShade="80" w:sz="4" w:space="0"/>
          </w:tcBorders>
          <w:shd w:val="clear" w:color="auto" w:fill="auto"/>
        </w:tcPr>
        <w:p w:rsidRPr="00DD68E7" w:rsidR="00DD68E7" w:rsidP="00DD68E7" w:rsidRDefault="00DD68E7" w14:paraId="0578FEC6" w14:textId="77777777">
          <w:pPr>
            <w:tabs>
              <w:tab w:val="center" w:pos="4419"/>
              <w:tab w:val="right" w:pos="8838"/>
            </w:tabs>
            <w:jc w:val="center"/>
            <w:rPr>
              <w:rFonts w:ascii="Geomanist Light" w:hAnsi="Geomanist Light" w:eastAsiaTheme="minorHAnsi" w:cstheme="minorBidi"/>
              <w:sz w:val="18"/>
              <w:szCs w:val="18"/>
              <w:lang w:val="es-MX" w:eastAsia="en-US"/>
            </w:rPr>
          </w:pPr>
          <w:r w:rsidRPr="00DD68E7">
            <w:rPr>
              <w:rFonts w:ascii="Geomanist Light" w:hAnsi="Geomanist Light" w:eastAsiaTheme="minorHAnsi" w:cstheme="minorBidi"/>
              <w:sz w:val="18"/>
              <w:szCs w:val="18"/>
              <w:lang w:val="es-MX" w:eastAsia="en-US"/>
            </w:rPr>
            <w:t>30 de agosto de 2022</w:t>
          </w:r>
        </w:p>
      </w:tc>
      <w:tc>
        <w:tcPr>
          <w:tcW w:w="1527" w:type="dxa"/>
          <w:tcBorders>
            <w:top w:val="dotted" w:color="6D6D6D" w:themeColor="background1" w:themeShade="80" w:sz="4" w:space="0"/>
            <w:left w:val="dotted" w:color="6D6D6D" w:themeColor="background1" w:themeShade="80" w:sz="4" w:space="0"/>
            <w:bottom w:val="dotted" w:color="6D6D6D" w:themeColor="background1" w:themeShade="80" w:sz="4" w:space="0"/>
            <w:right w:val="dotted" w:color="6D6D6D" w:themeColor="background1" w:themeShade="80" w:sz="4" w:space="0"/>
          </w:tcBorders>
          <w:shd w:val="clear" w:color="auto" w:fill="auto"/>
        </w:tcPr>
        <w:p w:rsidRPr="00DD68E7" w:rsidR="00DD68E7" w:rsidP="00DD68E7" w:rsidRDefault="00DD68E7" w14:paraId="0DD2AABB" w14:textId="77777777">
          <w:pPr>
            <w:tabs>
              <w:tab w:val="center" w:pos="4419"/>
              <w:tab w:val="right" w:pos="8838"/>
            </w:tabs>
            <w:jc w:val="center"/>
            <w:rPr>
              <w:rFonts w:ascii="Geomanist Light" w:hAnsi="Geomanist Light" w:eastAsiaTheme="minorHAnsi" w:cstheme="minorBidi"/>
              <w:sz w:val="18"/>
              <w:szCs w:val="18"/>
              <w:lang w:val="es-MX" w:eastAsia="en-US"/>
            </w:rPr>
          </w:pPr>
          <w:r w:rsidRPr="00DD68E7">
            <w:rPr>
              <w:rFonts w:ascii="Geomanist Light" w:hAnsi="Geomanist Light" w:eastAsiaTheme="minorHAnsi" w:cstheme="minorBidi"/>
              <w:sz w:val="18"/>
              <w:szCs w:val="18"/>
              <w:lang w:val="es-MX" w:eastAsia="en-US"/>
            </w:rPr>
            <w:t xml:space="preserve">Página </w:t>
          </w:r>
          <w:r w:rsidRPr="00DD68E7">
            <w:rPr>
              <w:rFonts w:ascii="Geomanist Light" w:hAnsi="Geomanist Light" w:eastAsiaTheme="minorHAnsi" w:cstheme="minorBidi"/>
              <w:b/>
              <w:bCs/>
              <w:sz w:val="18"/>
              <w:szCs w:val="18"/>
              <w:lang w:val="es-MX" w:eastAsia="en-US"/>
            </w:rPr>
            <w:fldChar w:fldCharType="begin"/>
          </w:r>
          <w:r w:rsidRPr="00DD68E7">
            <w:rPr>
              <w:rFonts w:ascii="Geomanist Light" w:hAnsi="Geomanist Light" w:eastAsiaTheme="minorHAnsi" w:cstheme="minorBidi"/>
              <w:b/>
              <w:bCs/>
              <w:sz w:val="18"/>
              <w:szCs w:val="18"/>
              <w:lang w:val="es-MX" w:eastAsia="en-US"/>
            </w:rPr>
            <w:instrText>PAGE  \* Arabic  \* MERGEFORMAT</w:instrText>
          </w:r>
          <w:r w:rsidRPr="00DD68E7">
            <w:rPr>
              <w:rFonts w:ascii="Geomanist Light" w:hAnsi="Geomanist Light" w:eastAsiaTheme="minorHAnsi" w:cstheme="minorBidi"/>
              <w:b/>
              <w:bCs/>
              <w:sz w:val="18"/>
              <w:szCs w:val="18"/>
              <w:lang w:val="es-MX" w:eastAsia="en-US"/>
            </w:rPr>
            <w:fldChar w:fldCharType="separate"/>
          </w:r>
          <w:r w:rsidRPr="00DD68E7">
            <w:rPr>
              <w:rFonts w:ascii="Geomanist Light" w:hAnsi="Geomanist Light" w:eastAsiaTheme="minorHAnsi" w:cstheme="minorBidi"/>
              <w:b/>
              <w:bCs/>
              <w:sz w:val="18"/>
              <w:szCs w:val="18"/>
              <w:lang w:val="es-MX" w:eastAsia="en-US"/>
            </w:rPr>
            <w:t>1</w:t>
          </w:r>
          <w:r w:rsidRPr="00DD68E7">
            <w:rPr>
              <w:rFonts w:ascii="Geomanist Light" w:hAnsi="Geomanist Light" w:eastAsiaTheme="minorHAnsi" w:cstheme="minorBidi"/>
              <w:b/>
              <w:bCs/>
              <w:sz w:val="18"/>
              <w:szCs w:val="18"/>
              <w:lang w:val="es-MX" w:eastAsia="en-US"/>
            </w:rPr>
            <w:fldChar w:fldCharType="end"/>
          </w:r>
          <w:r w:rsidRPr="00DD68E7">
            <w:rPr>
              <w:rFonts w:ascii="Geomanist Light" w:hAnsi="Geomanist Light" w:eastAsiaTheme="minorHAnsi" w:cstheme="minorBidi"/>
              <w:sz w:val="18"/>
              <w:szCs w:val="18"/>
              <w:lang w:val="es-MX" w:eastAsia="en-US"/>
            </w:rPr>
            <w:t xml:space="preserve"> de </w:t>
          </w:r>
          <w:r w:rsidRPr="00DD68E7">
            <w:rPr>
              <w:rFonts w:ascii="Geomanist Light" w:hAnsi="Geomanist Light" w:eastAsiaTheme="minorHAnsi" w:cstheme="minorBidi"/>
              <w:b/>
              <w:bCs/>
              <w:sz w:val="18"/>
              <w:szCs w:val="18"/>
              <w:lang w:val="es-MX" w:eastAsia="en-US"/>
            </w:rPr>
            <w:fldChar w:fldCharType="begin"/>
          </w:r>
          <w:r w:rsidRPr="00DD68E7">
            <w:rPr>
              <w:rFonts w:ascii="Geomanist Light" w:hAnsi="Geomanist Light" w:eastAsiaTheme="minorHAnsi" w:cstheme="minorBidi"/>
              <w:b/>
              <w:bCs/>
              <w:sz w:val="18"/>
              <w:szCs w:val="18"/>
              <w:lang w:val="es-MX" w:eastAsia="en-US"/>
            </w:rPr>
            <w:instrText>NUMPAGES  \* Arabic  \* MERGEFORMAT</w:instrText>
          </w:r>
          <w:r w:rsidRPr="00DD68E7">
            <w:rPr>
              <w:rFonts w:ascii="Geomanist Light" w:hAnsi="Geomanist Light" w:eastAsiaTheme="minorHAnsi" w:cstheme="minorBidi"/>
              <w:b/>
              <w:bCs/>
              <w:sz w:val="18"/>
              <w:szCs w:val="18"/>
              <w:lang w:val="es-MX" w:eastAsia="en-US"/>
            </w:rPr>
            <w:fldChar w:fldCharType="separate"/>
          </w:r>
          <w:r w:rsidRPr="00DD68E7">
            <w:rPr>
              <w:rFonts w:ascii="Geomanist Light" w:hAnsi="Geomanist Light" w:eastAsiaTheme="minorHAnsi" w:cstheme="minorBidi"/>
              <w:b/>
              <w:bCs/>
              <w:sz w:val="18"/>
              <w:szCs w:val="18"/>
              <w:lang w:val="es-MX" w:eastAsia="en-US"/>
            </w:rPr>
            <w:t>2</w:t>
          </w:r>
          <w:r w:rsidRPr="00DD68E7">
            <w:rPr>
              <w:rFonts w:ascii="Geomanist Light" w:hAnsi="Geomanist Light" w:eastAsiaTheme="minorHAnsi" w:cstheme="minorBidi"/>
              <w:b/>
              <w:bCs/>
              <w:sz w:val="18"/>
              <w:szCs w:val="18"/>
              <w:lang w:val="es-MX" w:eastAsia="en-US"/>
            </w:rPr>
            <w:fldChar w:fldCharType="end"/>
          </w:r>
        </w:p>
      </w:tc>
    </w:tr>
  </w:tbl>
  <w:p w:rsidRPr="007B0854" w:rsidR="00EF64D8" w:rsidP="00304B85" w:rsidRDefault="00EF64D8" w14:paraId="6C0EFC49" w14:textId="77777777">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390F" w:rsidRDefault="008A390F" w14:paraId="26F9DEDB" w14:textId="77777777">
      <w:r>
        <w:separator/>
      </w:r>
    </w:p>
  </w:footnote>
  <w:footnote w:type="continuationSeparator" w:id="0">
    <w:p w:rsidR="008A390F" w:rsidRDefault="008A390F" w14:paraId="73C66EC8" w14:textId="77777777">
      <w:r>
        <w:continuationSeparator/>
      </w:r>
    </w:p>
  </w:footnote>
  <w:footnote w:id="1">
    <w:p w:rsidRPr="00587A1E" w:rsidR="005A50F7" w:rsidP="00C1387A" w:rsidRDefault="005A50F7" w14:paraId="5E470543" w14:textId="31D284F7">
      <w:pPr>
        <w:pStyle w:val="Textonotapie"/>
        <w:spacing w:before="0" w:after="0" w:line="240" w:lineRule="auto"/>
        <w:ind w:firstLine="709"/>
        <w:rPr>
          <w:rFonts w:ascii="Arial" w:hAnsi="Arial" w:cs="Arial"/>
          <w:sz w:val="18"/>
          <w:szCs w:val="18"/>
          <w:lang w:val="es-CO"/>
        </w:rPr>
      </w:pPr>
      <w:r w:rsidRPr="00587A1E">
        <w:rPr>
          <w:rStyle w:val="Refdenotaalpie"/>
          <w:rFonts w:ascii="Arial" w:hAnsi="Arial" w:cs="Arial"/>
          <w:sz w:val="18"/>
          <w:szCs w:val="18"/>
        </w:rPr>
        <w:footnoteRef/>
      </w:r>
      <w:r w:rsidRPr="00587A1E">
        <w:rPr>
          <w:rFonts w:ascii="Arial" w:hAnsi="Arial" w:cs="Arial"/>
          <w:sz w:val="18"/>
          <w:szCs w:val="18"/>
        </w:rPr>
        <w:t xml:space="preserve"> </w:t>
      </w:r>
      <w:r w:rsidRPr="00A61DDC">
        <w:rPr>
          <w:rFonts w:ascii="Arial" w:hAnsi="Arial" w:cs="Arial"/>
          <w:sz w:val="18"/>
          <w:szCs w:val="18"/>
          <w:lang w:val="es-CO"/>
        </w:rPr>
        <w:t>Estos conceptos pueden ser consultados en la Relatoría de esta Agencia en el siguiente Link: https://relatoria.colombiacompra.gov.co/busqueda/conceptos</w:t>
      </w:r>
    </w:p>
  </w:footnote>
  <w:footnote w:id="2">
    <w:p w:rsidRPr="00587A1E" w:rsidR="00B47CE9" w:rsidP="00C1387A" w:rsidRDefault="00B47CE9" w14:paraId="101D841B" w14:textId="77777777">
      <w:pPr>
        <w:tabs>
          <w:tab w:val="left" w:pos="426"/>
          <w:tab w:val="left" w:pos="2087"/>
          <w:tab w:val="left" w:pos="3424"/>
          <w:tab w:val="left" w:pos="4701"/>
          <w:tab w:val="left" w:pos="5341"/>
          <w:tab w:val="left" w:pos="5920"/>
          <w:tab w:val="left" w:pos="7487"/>
          <w:tab w:val="left" w:pos="8037"/>
          <w:tab w:val="left" w:pos="8524"/>
        </w:tabs>
        <w:ind w:firstLine="709"/>
        <w:jc w:val="both"/>
        <w:rPr>
          <w:rFonts w:ascii="Arial" w:hAnsi="Arial" w:cs="Arial"/>
          <w:sz w:val="18"/>
          <w:szCs w:val="18"/>
        </w:rPr>
      </w:pPr>
      <w:r w:rsidRPr="00587A1E">
        <w:rPr>
          <w:rStyle w:val="Refdenotaalpie"/>
          <w:rFonts w:ascii="Arial" w:hAnsi="Arial" w:cs="Arial"/>
          <w:sz w:val="18"/>
          <w:szCs w:val="18"/>
        </w:rPr>
        <w:footnoteRef/>
      </w:r>
      <w:r w:rsidRPr="00587A1E">
        <w:rPr>
          <w:rFonts w:ascii="Arial" w:hAnsi="Arial" w:cs="Arial"/>
          <w:sz w:val="18"/>
          <w:szCs w:val="18"/>
        </w:rPr>
        <w:t xml:space="preserve"> Por ejemplo, para Colciencias los manuales «son instrumentos administrativos que se elaboran para determinar en forma explícita, ordenada y sistemática información sobre objetivos, políticas, atribuciones, organización y procedimientos de los órganos de una institución. Se caracterizan por desarrollar criterios generales sobre un tema estratégico y en su mayoría, referencian procedimientos, guías, instructivos, modelos y formatos». Mientras que las guías son «documentos que contienen orientaciones acerca de la forma como se desarrolla una metodología</w:t>
      </w:r>
      <w:r w:rsidRPr="00587A1E">
        <w:rPr>
          <w:rFonts w:ascii="Arial" w:hAnsi="Arial" w:cs="Arial"/>
          <w:sz w:val="18"/>
          <w:szCs w:val="18"/>
        </w:rPr>
        <w:tab/>
      </w:r>
      <w:r w:rsidRPr="00587A1E">
        <w:rPr>
          <w:rFonts w:ascii="Arial" w:hAnsi="Arial" w:cs="Arial"/>
          <w:sz w:val="18"/>
          <w:szCs w:val="18"/>
        </w:rPr>
        <w:t>relacionada con los procedimientos de la entidad»: https://www.colciencias.gov.co/sites/default/files/ckeditor_files/G102PR01-procedimiento-elaboracion- control.pdf</w:t>
      </w:r>
    </w:p>
    <w:p w:rsidRPr="00587A1E" w:rsidR="00B47CE9" w:rsidP="006623C0" w:rsidRDefault="00B47CE9" w14:paraId="599AEF87" w14:textId="461D02EC">
      <w:pPr>
        <w:ind w:firstLine="408"/>
        <w:jc w:val="both"/>
        <w:rPr>
          <w:rFonts w:ascii="Arial" w:hAnsi="Arial" w:cs="Arial"/>
          <w:sz w:val="18"/>
          <w:szCs w:val="18"/>
        </w:rPr>
      </w:pPr>
      <w:r w:rsidRPr="00587A1E">
        <w:rPr>
          <w:rFonts w:ascii="Arial" w:hAnsi="Arial" w:eastAsia="MS Mincho" w:cs="Arial"/>
          <w:sz w:val="18"/>
          <w:szCs w:val="18"/>
          <w:lang w:eastAsia="es-CO"/>
        </w:rPr>
        <w:tab/>
      </w:r>
      <w:r w:rsidRPr="00587A1E">
        <w:rPr>
          <w:rFonts w:ascii="Arial" w:hAnsi="Arial" w:cs="Arial"/>
          <w:sz w:val="18"/>
          <w:szCs w:val="18"/>
        </w:rPr>
        <w:t xml:space="preserve">Para la Autoridad Nacional de Licencias Ambientales los manuales y guías </w:t>
      </w:r>
      <w:r w:rsidRPr="00587A1E">
        <w:rPr>
          <w:rFonts w:ascii="Arial" w:hAnsi="Arial" w:cs="Arial"/>
          <w:sz w:val="18"/>
          <w:szCs w:val="18"/>
          <w:lang w:val="es-MX"/>
        </w:rPr>
        <w:t>«</w:t>
      </w:r>
      <w:r w:rsidRPr="00587A1E">
        <w:rPr>
          <w:rFonts w:ascii="Arial" w:hAnsi="Arial" w:cs="Arial"/>
          <w:sz w:val="18"/>
          <w:szCs w:val="18"/>
        </w:rPr>
        <w:t xml:space="preserve">son documentos técnicos a través de los cuales se estandarizan y se definen criterios y procedimientos de una actividad específica. A través de ellos se indican enfoques, lineamientos, se definen instructivos y se detallan los pasos que deben seguir quienes desarrollan una actividad determinada. El propósito de esta herramienta es el de permitir que las autoridades o a cualquier otro organismo equivalente haga más efectiva su gestión y documente sistemáticamente los criterios considerados durante los procesos de toma de decisiones»: </w:t>
      </w:r>
      <w:hyperlink w:history="1" r:id="rId1">
        <w:r w:rsidRPr="00587A1E">
          <w:rPr>
            <w:rStyle w:val="Hipervnculo"/>
            <w:rFonts w:ascii="Arial" w:hAnsi="Arial" w:cs="Arial"/>
            <w:color w:val="auto"/>
            <w:sz w:val="18"/>
            <w:szCs w:val="18"/>
          </w:rPr>
          <w:t>http://portal.anla.gov.co/manuales-y-guias</w:t>
        </w:r>
      </w:hyperlink>
    </w:p>
  </w:footnote>
  <w:footnote w:id="3">
    <w:p w:rsidRPr="00587A1E" w:rsidR="00E609DE" w:rsidP="00E609DE" w:rsidRDefault="00B47CE9" w14:paraId="224F90AE" w14:textId="4F0FAA87">
      <w:pPr>
        <w:tabs>
          <w:tab w:val="left" w:pos="4805"/>
          <w:tab w:val="left" w:pos="8980"/>
        </w:tabs>
        <w:ind w:firstLine="707"/>
        <w:jc w:val="both"/>
        <w:rPr>
          <w:rFonts w:ascii="Arial" w:hAnsi="Arial" w:cs="Arial"/>
          <w:sz w:val="18"/>
          <w:szCs w:val="18"/>
        </w:rPr>
      </w:pPr>
      <w:r w:rsidRPr="00587A1E">
        <w:rPr>
          <w:rStyle w:val="Refdenotaalpie"/>
          <w:rFonts w:ascii="Arial" w:hAnsi="Arial" w:cs="Arial"/>
          <w:sz w:val="18"/>
          <w:szCs w:val="18"/>
        </w:rPr>
        <w:footnoteRef/>
      </w:r>
      <w:r w:rsidRPr="00587A1E">
        <w:rPr>
          <w:rFonts w:ascii="Arial" w:hAnsi="Arial" w:cs="Arial"/>
          <w:sz w:val="18"/>
          <w:szCs w:val="18"/>
        </w:rPr>
        <w:t xml:space="preserve"> La Circular Externa Única de Colombia Compra Eficiente señala</w:t>
      </w:r>
      <w:r w:rsidRPr="00587A1E" w:rsidR="00E609DE">
        <w:rPr>
          <w:rFonts w:ascii="Arial" w:hAnsi="Arial" w:cs="Arial"/>
          <w:sz w:val="18"/>
          <w:szCs w:val="18"/>
        </w:rPr>
        <w:t>ba que</w:t>
      </w:r>
      <w:r w:rsidRPr="00587A1E">
        <w:rPr>
          <w:rFonts w:ascii="Arial" w:hAnsi="Arial" w:cs="Arial"/>
          <w:sz w:val="18"/>
          <w:szCs w:val="18"/>
        </w:rPr>
        <w:t>: «Las circulares externas proferidas por Colombia Compra Eficiente son actos administrativos que contienen mandatos, orientaciones e instrucciones que van dirigidas a las Entidades Estatales y al público en general y son de obligatorio cumplimiento»</w:t>
      </w:r>
      <w:r w:rsidRPr="00587A1E" w:rsidR="006623C0">
        <w:rPr>
          <w:rFonts w:ascii="Arial" w:hAnsi="Arial" w:cs="Arial"/>
          <w:sz w:val="18"/>
          <w:szCs w:val="18"/>
        </w:rPr>
        <w:t xml:space="preserve">. </w:t>
      </w:r>
    </w:p>
    <w:p w:rsidRPr="00587A1E" w:rsidR="00B47CE9" w:rsidP="00C1387A" w:rsidRDefault="00B47CE9" w14:paraId="6EB66A16" w14:textId="77777777">
      <w:pPr>
        <w:pStyle w:val="Textonotapie"/>
        <w:spacing w:before="0" w:after="0" w:line="240" w:lineRule="auto"/>
        <w:rPr>
          <w:rFonts w:ascii="Arial" w:hAnsi="Arial" w:cs="Arial"/>
          <w:sz w:val="18"/>
          <w:szCs w:val="18"/>
        </w:rPr>
      </w:pPr>
    </w:p>
  </w:footnote>
  <w:footnote w:id="4">
    <w:p w:rsidRPr="00587A1E" w:rsidR="00E96F17" w:rsidRDefault="00E96F17" w14:paraId="739B29B2" w14:textId="3855A34C">
      <w:pPr>
        <w:pStyle w:val="Textonotapie"/>
        <w:rPr>
          <w:rFonts w:ascii="Arial" w:hAnsi="Arial" w:cs="Arial"/>
          <w:sz w:val="18"/>
          <w:szCs w:val="18"/>
        </w:rPr>
      </w:pPr>
      <w:r w:rsidRPr="00587A1E">
        <w:rPr>
          <w:rStyle w:val="Refdenotaalpie"/>
          <w:rFonts w:ascii="Arial" w:hAnsi="Arial" w:cs="Arial"/>
          <w:sz w:val="18"/>
          <w:szCs w:val="18"/>
        </w:rPr>
        <w:footnoteRef/>
      </w:r>
      <w:r w:rsidRPr="00587A1E">
        <w:rPr>
          <w:rFonts w:ascii="Arial" w:hAnsi="Arial" w:cs="Arial"/>
          <w:sz w:val="18"/>
          <w:szCs w:val="18"/>
        </w:rPr>
        <w:t xml:space="preserve"> Consejo de Estado en sentencia del 11 de abril de 2019 (</w:t>
      </w:r>
      <w:r w:rsidRPr="00587A1E">
        <w:rPr>
          <w:rFonts w:ascii="Arial" w:hAnsi="Arial" w:cs="Arial"/>
          <w:sz w:val="18"/>
          <w:szCs w:val="18"/>
        </w:rPr>
        <w:t>exp. 52.055)</w:t>
      </w:r>
      <w:r w:rsidRPr="00A61DDC">
        <w:rPr>
          <w:rFonts w:ascii="Arial" w:hAnsi="Arial" w:cs="Arial"/>
          <w:sz w:val="18"/>
          <w:szCs w:val="18"/>
        </w:rPr>
        <w:t>.</w:t>
      </w:r>
      <w:r w:rsidRPr="00587A1E">
        <w:rPr>
          <w:rStyle w:val="Textoennegrita"/>
          <w:rFonts w:ascii="Arial" w:hAnsi="Arial" w:cs="Arial"/>
          <w:sz w:val="18"/>
          <w:szCs w:val="18"/>
        </w:rPr>
        <w:t xml:space="preserve"> </w:t>
      </w:r>
      <w:r w:rsidRPr="00587A1E">
        <w:rPr>
          <w:rFonts w:ascii="Arial" w:hAnsi="Arial" w:cs="Arial"/>
          <w:sz w:val="18"/>
          <w:szCs w:val="18"/>
        </w:rPr>
        <w:t>Consejera Ponente:  </w:t>
      </w:r>
      <w:r w:rsidRPr="00A61DDC">
        <w:rPr>
          <w:rFonts w:ascii="Arial" w:hAnsi="Arial" w:cs="Arial"/>
          <w:sz w:val="18"/>
          <w:szCs w:val="18"/>
        </w:rPr>
        <w:t>María Adriana Marín.</w:t>
      </w:r>
    </w:p>
  </w:footnote>
  <w:footnote w:id="5">
    <w:p w:rsidRPr="00587A1E" w:rsidR="00952E8B" w:rsidP="00C1387A" w:rsidRDefault="00952E8B" w14:paraId="615EB0DD" w14:textId="7E1EFACE">
      <w:pPr>
        <w:pStyle w:val="Textonotapie"/>
        <w:spacing w:before="0" w:after="0" w:line="240" w:lineRule="auto"/>
        <w:ind w:firstLine="709"/>
        <w:rPr>
          <w:rFonts w:ascii="Arial" w:hAnsi="Arial" w:cs="Arial"/>
          <w:sz w:val="18"/>
          <w:szCs w:val="18"/>
          <w:lang w:val="es-CO"/>
        </w:rPr>
      </w:pPr>
      <w:r w:rsidRPr="00587A1E">
        <w:rPr>
          <w:rStyle w:val="Refdenotaalpie"/>
          <w:rFonts w:ascii="Arial" w:hAnsi="Arial" w:cs="Arial"/>
          <w:sz w:val="18"/>
          <w:szCs w:val="18"/>
        </w:rPr>
        <w:footnoteRef/>
      </w:r>
      <w:r w:rsidRPr="00587A1E">
        <w:rPr>
          <w:rFonts w:ascii="Arial" w:hAnsi="Arial" w:cs="Arial"/>
          <w:sz w:val="18"/>
          <w:szCs w:val="18"/>
        </w:rPr>
        <w:t xml:space="preserve"> </w:t>
      </w:r>
      <w:r w:rsidRPr="00587A1E" w:rsidR="00CA365B">
        <w:rPr>
          <w:rFonts w:ascii="Arial" w:hAnsi="Arial" w:cs="Arial"/>
          <w:sz w:val="18"/>
          <w:szCs w:val="18"/>
          <w:lang w:val="es-CO"/>
        </w:rPr>
        <w:t xml:space="preserve">Disponible en: </w:t>
      </w:r>
      <w:hyperlink w:history="1" r:id="rId2">
        <w:r w:rsidRPr="00587A1E" w:rsidR="006623C0">
          <w:rPr>
            <w:rStyle w:val="Hipervnculo"/>
            <w:rFonts w:ascii="Arial" w:hAnsi="Arial" w:cs="Arial"/>
            <w:color w:val="auto"/>
            <w:sz w:val="18"/>
            <w:szCs w:val="18"/>
            <w:u w:val="none"/>
            <w:lang w:val="es-CO"/>
          </w:rPr>
          <w:t>https://colombiacompra.gov.co/manuales-guias-y-pliegos-tipo/manuales-y-guias/manual-para-determinar-y-verificar-los-requisitos</w:t>
        </w:r>
      </w:hyperlink>
      <w:r w:rsidRPr="00587A1E" w:rsidR="006623C0">
        <w:rPr>
          <w:rFonts w:ascii="Arial" w:hAnsi="Arial" w:cs="Arial"/>
          <w:sz w:val="18"/>
          <w:szCs w:val="18"/>
          <w:lang w:val="es-CO"/>
        </w:rPr>
        <w:t xml:space="preserve"> </w:t>
      </w:r>
    </w:p>
  </w:footnote>
  <w:footnote w:id="6">
    <w:p w:rsidRPr="00587A1E" w:rsidR="00C1387A" w:rsidP="00C1387A" w:rsidRDefault="00C1387A" w14:paraId="4BC65A61" w14:textId="455FE4D9">
      <w:pPr>
        <w:pStyle w:val="NormalWeb"/>
        <w:spacing w:before="0" w:beforeAutospacing="0" w:after="0" w:afterAutospacing="0" w:line="240" w:lineRule="auto"/>
        <w:ind w:firstLine="708"/>
        <w:rPr>
          <w:rFonts w:ascii="Arial" w:hAnsi="Arial" w:cs="Arial"/>
          <w:sz w:val="18"/>
          <w:szCs w:val="18"/>
        </w:rPr>
      </w:pPr>
      <w:r w:rsidRPr="00587A1E">
        <w:rPr>
          <w:rStyle w:val="Refdenotaalpie"/>
          <w:rFonts w:ascii="Arial" w:hAnsi="Arial" w:cs="Arial"/>
          <w:sz w:val="18"/>
          <w:szCs w:val="18"/>
        </w:rPr>
        <w:footnoteRef/>
      </w:r>
      <w:r w:rsidRPr="00587A1E">
        <w:rPr>
          <w:rFonts w:ascii="Arial" w:hAnsi="Arial" w:cs="Arial"/>
          <w:sz w:val="18"/>
          <w:szCs w:val="18"/>
        </w:rPr>
        <w:t xml:space="preserve"> </w:t>
      </w:r>
      <w:r w:rsidRPr="00587A1E">
        <w:rPr>
          <w:rFonts w:ascii="Arial" w:hAnsi="Arial" w:cs="Arial"/>
          <w:sz w:val="18"/>
          <w:szCs w:val="18"/>
          <w:lang w:val="es-ES"/>
        </w:rPr>
        <w:t xml:space="preserve">Art 6 Ley 1150 de 2007 </w:t>
      </w:r>
      <w:r w:rsidRPr="00587A1E" w:rsidR="00B9340C">
        <w:rPr>
          <w:rFonts w:ascii="Arial" w:hAnsi="Arial" w:cs="Arial"/>
          <w:sz w:val="18"/>
          <w:szCs w:val="18"/>
        </w:rPr>
        <w:t>«</w:t>
      </w:r>
      <w:r w:rsidRPr="00587A1E">
        <w:rPr>
          <w:rFonts w:ascii="Arial" w:hAnsi="Arial" w:cs="Arial"/>
          <w:sz w:val="18"/>
          <w:szCs w:val="18"/>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587A1E" w:rsidR="00C1387A" w:rsidP="00C1387A" w:rsidRDefault="00B9340C" w14:paraId="13862BA2" w14:textId="0ADB26D6">
      <w:pPr>
        <w:pStyle w:val="NormalWeb"/>
        <w:spacing w:before="0" w:beforeAutospacing="0" w:after="0" w:afterAutospacing="0" w:line="240" w:lineRule="auto"/>
        <w:ind w:firstLine="708"/>
        <w:rPr>
          <w:rFonts w:ascii="Arial" w:hAnsi="Arial" w:cs="Arial"/>
          <w:sz w:val="18"/>
          <w:szCs w:val="18"/>
        </w:rPr>
      </w:pPr>
      <w:r w:rsidRPr="00587A1E">
        <w:rPr>
          <w:rFonts w:ascii="Arial" w:hAnsi="Arial" w:cs="Arial"/>
          <w:sz w:val="18"/>
          <w:szCs w:val="18"/>
        </w:rPr>
        <w:t>«</w:t>
      </w:r>
      <w:r w:rsidRPr="00587A1E" w:rsidR="00C1387A">
        <w:rPr>
          <w:rFonts w:ascii="Arial" w:hAnsi="Arial" w:cs="Arial"/>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rsidRPr="00587A1E" w:rsidR="00C1387A" w:rsidP="00C1387A" w:rsidRDefault="00B9340C" w14:paraId="1D44AB03" w14:textId="3380B637">
      <w:pPr>
        <w:pStyle w:val="NormalWeb"/>
        <w:spacing w:before="0" w:beforeAutospacing="0" w:after="0" w:afterAutospacing="0" w:line="240" w:lineRule="auto"/>
        <w:ind w:firstLine="708"/>
        <w:rPr>
          <w:rFonts w:ascii="Arial" w:hAnsi="Arial" w:cs="Arial"/>
          <w:sz w:val="18"/>
          <w:szCs w:val="18"/>
        </w:rPr>
      </w:pPr>
      <w:r w:rsidRPr="00587A1E">
        <w:rPr>
          <w:rFonts w:ascii="Arial" w:hAnsi="Arial" w:cs="Arial"/>
          <w:sz w:val="18"/>
          <w:szCs w:val="18"/>
        </w:rPr>
        <w:t>«</w:t>
      </w:r>
      <w:r w:rsidRPr="00587A1E" w:rsidR="00C1387A">
        <w:rPr>
          <w:rFonts w:ascii="Arial" w:hAnsi="Arial" w:cs="Arial"/>
          <w:sz w:val="18"/>
          <w:szCs w:val="18"/>
        </w:rPr>
        <w:t>En dicho registro constará la información relacionada con la experiencia, capacidad jurídica, financiera y de organización del proponente y su clasificación</w:t>
      </w:r>
      <w:r w:rsidRPr="00587A1E">
        <w:rPr>
          <w:rFonts w:ascii="Arial" w:hAnsi="Arial" w:cs="Arial"/>
          <w:sz w:val="18"/>
          <w:szCs w:val="18"/>
        </w:rPr>
        <w:t>»</w:t>
      </w:r>
      <w:r w:rsidRPr="00587A1E" w:rsidR="00C1387A">
        <w:rPr>
          <w:rFonts w:ascii="Arial" w:hAnsi="Arial" w:cs="Arial"/>
          <w:sz w:val="18"/>
          <w:szCs w:val="18"/>
        </w:rPr>
        <w:t>.</w:t>
      </w:r>
    </w:p>
    <w:p w:rsidRPr="00587A1E" w:rsidR="00C1387A" w:rsidP="00C1387A" w:rsidRDefault="00C1387A" w14:paraId="6E615EAA" w14:textId="77777777">
      <w:pPr>
        <w:pStyle w:val="NormalWeb"/>
        <w:spacing w:before="0" w:beforeAutospacing="0" w:after="0" w:afterAutospacing="0" w:line="240" w:lineRule="auto"/>
        <w:ind w:firstLine="708"/>
        <w:rPr>
          <w:rFonts w:ascii="Arial" w:hAnsi="Arial" w:cs="Arial"/>
          <w:sz w:val="18"/>
          <w:szCs w:val="18"/>
        </w:rPr>
      </w:pPr>
    </w:p>
  </w:footnote>
  <w:footnote w:id="7">
    <w:p w:rsidRPr="00587A1E" w:rsidR="00C1387A" w:rsidP="00C1387A" w:rsidRDefault="00C1387A" w14:paraId="28799206" w14:textId="571CA78F">
      <w:pPr>
        <w:ind w:firstLine="708"/>
        <w:jc w:val="both"/>
        <w:rPr>
          <w:rFonts w:ascii="Arial" w:hAnsi="Arial" w:cs="Arial"/>
          <w:sz w:val="18"/>
          <w:szCs w:val="18"/>
        </w:rPr>
      </w:pPr>
      <w:r w:rsidRPr="00587A1E">
        <w:rPr>
          <w:rStyle w:val="Refdenotaalpie"/>
          <w:rFonts w:ascii="Arial" w:hAnsi="Arial" w:cs="Arial"/>
          <w:sz w:val="18"/>
          <w:szCs w:val="18"/>
        </w:rPr>
        <w:footnoteRef/>
      </w:r>
      <w:r w:rsidRPr="00587A1E">
        <w:rPr>
          <w:rFonts w:ascii="Arial" w:hAnsi="Arial" w:cs="Arial"/>
          <w:sz w:val="18"/>
          <w:szCs w:val="18"/>
        </w:rPr>
        <w:t xml:space="preserve"> </w:t>
      </w:r>
      <w:r w:rsidRPr="00587A1E" w:rsidR="00B9340C">
        <w:rPr>
          <w:rFonts w:ascii="Arial" w:hAnsi="Arial" w:cs="Arial"/>
          <w:sz w:val="18"/>
          <w:szCs w:val="18"/>
        </w:rPr>
        <w:t>«</w:t>
      </w:r>
      <w:r w:rsidRPr="00587A1E">
        <w:rPr>
          <w:rFonts w:ascii="Arial" w:hAnsi="Arial" w:cs="Arial"/>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sidRPr="00587A1E" w:rsidR="00B9340C">
        <w:rPr>
          <w:rFonts w:ascii="Arial" w:hAnsi="Arial" w:cs="Arial"/>
          <w:sz w:val="18"/>
          <w:szCs w:val="18"/>
        </w:rPr>
        <w:t>».</w:t>
      </w:r>
      <w:r w:rsidRPr="00587A1E">
        <w:rPr>
          <w:rFonts w:ascii="Arial" w:hAnsi="Arial" w:cs="Arial"/>
          <w:sz w:val="18"/>
          <w:szCs w:val="18"/>
        </w:rPr>
        <w:t xml:space="preserve"> </w:t>
      </w:r>
    </w:p>
    <w:p w:rsidRPr="00587A1E" w:rsidR="00C1387A" w:rsidP="00C1387A" w:rsidRDefault="00C1387A" w14:paraId="5AE3CA2B" w14:textId="77777777">
      <w:pPr>
        <w:pStyle w:val="Textonotapie"/>
        <w:spacing w:before="0" w:after="0" w:line="240" w:lineRule="auto"/>
        <w:rPr>
          <w:rFonts w:ascii="Arial" w:hAnsi="Arial" w:cs="Arial"/>
          <w:sz w:val="18"/>
          <w:szCs w:val="18"/>
          <w:lang w:val="es-ES"/>
        </w:rPr>
      </w:pPr>
    </w:p>
  </w:footnote>
  <w:footnote w:id="8">
    <w:p w:rsidRPr="00587A1E" w:rsidR="00C1387A" w:rsidP="00C1387A" w:rsidRDefault="00C1387A" w14:paraId="6FCFB33A" w14:textId="77777777">
      <w:pPr>
        <w:pStyle w:val="Textonotapie"/>
        <w:spacing w:before="0" w:after="0" w:line="240" w:lineRule="auto"/>
        <w:ind w:firstLine="708"/>
        <w:rPr>
          <w:rFonts w:ascii="Arial" w:hAnsi="Arial" w:cs="Arial"/>
          <w:sz w:val="18"/>
          <w:szCs w:val="18"/>
        </w:rPr>
      </w:pPr>
      <w:r w:rsidRPr="00587A1E">
        <w:rPr>
          <w:rStyle w:val="Refdenotaalpie"/>
          <w:rFonts w:ascii="Arial" w:hAnsi="Arial" w:cs="Arial"/>
          <w:sz w:val="18"/>
          <w:szCs w:val="18"/>
        </w:rPr>
        <w:footnoteRef/>
      </w:r>
      <w:r w:rsidRPr="00587A1E">
        <w:rPr>
          <w:rFonts w:ascii="Arial" w:hAnsi="Arial" w:cs="Arial"/>
          <w:sz w:val="18"/>
          <w:szCs w:val="18"/>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rsidRPr="00587A1E" w:rsidR="00C1387A" w:rsidP="00C1387A" w:rsidRDefault="00C1387A" w14:paraId="0E1BAF96" w14:textId="77777777">
      <w:pPr>
        <w:pStyle w:val="Textonotapie"/>
        <w:spacing w:before="0" w:after="0" w:line="240" w:lineRule="auto"/>
        <w:ind w:firstLine="708"/>
        <w:rPr>
          <w:rFonts w:ascii="Arial" w:hAnsi="Arial" w:cs="Arial"/>
          <w:sz w:val="18"/>
          <w:szCs w:val="18"/>
          <w:lang w:val="es-ES"/>
        </w:rPr>
      </w:pPr>
    </w:p>
  </w:footnote>
  <w:footnote w:id="9">
    <w:p w:rsidRPr="00587A1E" w:rsidR="00C1387A" w:rsidP="00B9340C" w:rsidRDefault="00C1387A" w14:paraId="42F8CE63" w14:textId="6DC06A42">
      <w:pPr>
        <w:pStyle w:val="Textonotapie"/>
        <w:spacing w:before="0" w:after="0" w:line="240" w:lineRule="auto"/>
        <w:ind w:firstLine="709"/>
        <w:rPr>
          <w:rFonts w:ascii="Arial" w:hAnsi="Arial" w:cs="Arial"/>
          <w:sz w:val="18"/>
          <w:szCs w:val="18"/>
          <w:lang w:val="es-ES"/>
        </w:rPr>
      </w:pPr>
      <w:r w:rsidRPr="00587A1E">
        <w:rPr>
          <w:rStyle w:val="Refdenotaalpie"/>
          <w:rFonts w:ascii="Arial" w:hAnsi="Arial" w:cs="Arial"/>
          <w:sz w:val="18"/>
          <w:szCs w:val="18"/>
        </w:rPr>
        <w:footnoteRef/>
      </w:r>
      <w:r w:rsidRPr="00587A1E">
        <w:rPr>
          <w:rFonts w:ascii="Arial" w:hAnsi="Arial" w:cs="Arial"/>
          <w:sz w:val="18"/>
          <w:szCs w:val="18"/>
        </w:rPr>
        <w:t xml:space="preserve"> </w:t>
      </w:r>
      <w:r w:rsidRPr="00587A1E">
        <w:rPr>
          <w:rFonts w:ascii="Arial" w:hAnsi="Arial" w:cs="Arial"/>
          <w:sz w:val="18"/>
          <w:szCs w:val="18"/>
          <w:lang w:val="es-ES"/>
        </w:rPr>
        <w:t>Disponible en:</w:t>
      </w:r>
      <w:r w:rsidRPr="00587A1E" w:rsidR="00B9340C">
        <w:rPr>
          <w:rFonts w:ascii="Arial" w:hAnsi="Arial" w:cs="Arial"/>
          <w:sz w:val="18"/>
          <w:szCs w:val="18"/>
          <w:lang w:val="es-ES"/>
        </w:rPr>
        <w:t xml:space="preserve"> </w:t>
      </w:r>
      <w:hyperlink w:history="1" r:id="rId3">
        <w:r w:rsidRPr="00587A1E" w:rsidR="00B9340C">
          <w:rPr>
            <w:rStyle w:val="Hipervnculo"/>
            <w:rFonts w:ascii="Arial" w:hAnsi="Arial" w:cs="Arial"/>
            <w:color w:val="auto"/>
            <w:sz w:val="18"/>
            <w:szCs w:val="18"/>
            <w:lang w:val="es-ES"/>
          </w:rPr>
          <w:t>https://www.colombiacompra.gov.co/sites/cce_public/files/cce_documents/cce_manual_requisitos_habilitantes.pdf</w:t>
        </w:r>
      </w:hyperlink>
      <w:r w:rsidRPr="00587A1E">
        <w:rPr>
          <w:rFonts w:ascii="Arial" w:hAnsi="Arial" w:cs="Arial"/>
          <w:sz w:val="18"/>
          <w:szCs w:val="18"/>
          <w:lang w:val="es-ES"/>
        </w:rPr>
        <w:t xml:space="preserve">. </w:t>
      </w:r>
    </w:p>
  </w:footnote>
  <w:footnote w:id="10">
    <w:p w:rsidRPr="00587A1E" w:rsidR="00C1387A" w:rsidP="00C1387A" w:rsidRDefault="00C1387A" w14:paraId="5E129756" w14:textId="77777777">
      <w:pPr>
        <w:pStyle w:val="Textonotapie"/>
        <w:spacing w:before="0" w:after="0" w:line="240" w:lineRule="auto"/>
        <w:ind w:firstLine="709"/>
        <w:rPr>
          <w:rFonts w:ascii="Arial" w:hAnsi="Arial" w:cs="Arial"/>
          <w:sz w:val="18"/>
          <w:szCs w:val="18"/>
        </w:rPr>
      </w:pPr>
    </w:p>
    <w:p w:rsidRPr="00587A1E" w:rsidR="00C1387A" w:rsidP="00C1387A" w:rsidRDefault="00C1387A" w14:paraId="0A44A340" w14:textId="71468901">
      <w:pPr>
        <w:pStyle w:val="Textonotapie"/>
        <w:spacing w:before="0" w:after="0" w:line="240" w:lineRule="auto"/>
        <w:ind w:firstLine="709"/>
        <w:rPr>
          <w:rFonts w:ascii="Arial" w:hAnsi="Arial" w:cs="Arial"/>
          <w:sz w:val="18"/>
          <w:szCs w:val="18"/>
          <w:lang w:val="es-ES"/>
        </w:rPr>
      </w:pPr>
      <w:r w:rsidRPr="00587A1E">
        <w:rPr>
          <w:rStyle w:val="Refdenotaalpie"/>
          <w:rFonts w:ascii="Arial" w:hAnsi="Arial" w:cs="Arial"/>
          <w:sz w:val="18"/>
          <w:szCs w:val="18"/>
        </w:rPr>
        <w:footnoteRef/>
      </w:r>
      <w:r w:rsidRPr="00587A1E">
        <w:rPr>
          <w:rFonts w:ascii="Arial" w:hAnsi="Arial" w:cs="Arial"/>
          <w:sz w:val="18"/>
          <w:szCs w:val="18"/>
        </w:rPr>
        <w:t xml:space="preserve"> </w:t>
      </w:r>
      <w:r w:rsidRPr="00A61DDC" w:rsidR="00A61DDC">
        <w:rPr>
          <w:rFonts w:ascii="Arial" w:hAnsi="Arial" w:cs="Arial"/>
          <w:sz w:val="18"/>
          <w:szCs w:val="18"/>
          <w:lang w:val="es-ES"/>
        </w:rPr>
        <w:t>Ibid</w:t>
      </w:r>
      <w:r w:rsidR="00A61DDC">
        <w:rPr>
          <w:rFonts w:ascii="Arial" w:hAnsi="Arial" w:cs="Arial"/>
          <w:sz w:val="18"/>
          <w:szCs w:val="18"/>
          <w:lang w:val="es-ES"/>
        </w:rPr>
        <w:t>em</w:t>
      </w:r>
      <w:r w:rsidRPr="00587A1E">
        <w:rPr>
          <w:rFonts w:ascii="Arial" w:hAnsi="Arial" w:cs="Arial"/>
          <w:sz w:val="18"/>
          <w:szCs w:val="18"/>
          <w:lang w:val="es-ES"/>
        </w:rPr>
        <w:t>.</w:t>
      </w:r>
    </w:p>
  </w:footnote>
  <w:footnote w:id="11">
    <w:p w:rsidRPr="00587A1E" w:rsidR="00C1387A" w:rsidP="00C1387A" w:rsidRDefault="00C1387A" w14:paraId="06377C09" w14:textId="77777777">
      <w:pPr>
        <w:pStyle w:val="Textonotapie"/>
        <w:spacing w:before="0" w:after="0" w:line="240" w:lineRule="auto"/>
        <w:ind w:firstLine="708"/>
        <w:rPr>
          <w:rFonts w:ascii="Arial" w:hAnsi="Arial" w:cs="Arial"/>
          <w:sz w:val="18"/>
          <w:szCs w:val="18"/>
        </w:rPr>
      </w:pPr>
      <w:r w:rsidRPr="00587A1E">
        <w:rPr>
          <w:rStyle w:val="Refdenotaalpie"/>
          <w:rFonts w:ascii="Arial" w:hAnsi="Arial" w:cs="Arial"/>
          <w:sz w:val="18"/>
          <w:szCs w:val="18"/>
        </w:rPr>
        <w:footnoteRef/>
      </w:r>
      <w:r w:rsidRPr="00587A1E">
        <w:rPr>
          <w:rFonts w:ascii="Arial" w:hAnsi="Arial" w:cs="Arial"/>
          <w:sz w:val="18"/>
          <w:szCs w:val="18"/>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p w:rsidRPr="00587A1E" w:rsidR="00C1387A" w:rsidP="00C1387A" w:rsidRDefault="00C1387A" w14:paraId="199E1813" w14:textId="77777777">
      <w:pPr>
        <w:pStyle w:val="Textonotapie"/>
        <w:spacing w:before="0" w:after="0" w:line="240" w:lineRule="auto"/>
        <w:ind w:firstLine="708"/>
        <w:rPr>
          <w:rFonts w:ascii="Arial" w:hAnsi="Arial" w:cs="Arial"/>
          <w:sz w:val="18"/>
          <w:szCs w:val="18"/>
          <w:lang w:val="es-ES"/>
        </w:rPr>
      </w:pPr>
    </w:p>
  </w:footnote>
  <w:footnote w:id="12">
    <w:p w:rsidRPr="00587A1E" w:rsidR="00C1387A" w:rsidP="00C1387A" w:rsidRDefault="00C1387A" w14:paraId="610E4A39" w14:textId="77777777">
      <w:pPr>
        <w:pStyle w:val="Textonotapie"/>
        <w:spacing w:before="0" w:after="0" w:line="240" w:lineRule="auto"/>
        <w:ind w:firstLine="708"/>
        <w:rPr>
          <w:rFonts w:ascii="Arial" w:hAnsi="Arial" w:cs="Arial"/>
          <w:sz w:val="18"/>
          <w:szCs w:val="18"/>
          <w:lang w:val="es-ES"/>
        </w:rPr>
      </w:pPr>
      <w:r w:rsidRPr="00587A1E">
        <w:rPr>
          <w:rStyle w:val="Refdenotaalpie"/>
          <w:rFonts w:ascii="Arial" w:hAnsi="Arial" w:cs="Arial"/>
          <w:sz w:val="18"/>
          <w:szCs w:val="18"/>
        </w:rPr>
        <w:footnoteRef/>
      </w:r>
      <w:r w:rsidRPr="00587A1E">
        <w:rPr>
          <w:rFonts w:ascii="Arial" w:hAnsi="Arial" w:cs="Arial"/>
          <w:sz w:val="18"/>
          <w:szCs w:val="18"/>
        </w:rPr>
        <w:t xml:space="preserve"> </w:t>
      </w:r>
      <w:r w:rsidRPr="00587A1E">
        <w:rPr>
          <w:rFonts w:ascii="Arial" w:hAnsi="Arial" w:cs="Arial"/>
          <w:sz w:val="18"/>
          <w:szCs w:val="18"/>
          <w:lang w:val="es-ES"/>
        </w:rPr>
        <w:t xml:space="preserve">Agencia Nacional de Contratación Pública – Colombia Compra Eficiente, Manual para determinar y verificar los requisitos habilitantes en los Procesos de Contratación. El citado Manual puede ser consultado en el siguiente en lace: </w:t>
      </w:r>
      <w:hyperlink w:history="1" r:id="rId4">
        <w:r w:rsidRPr="00587A1E">
          <w:rPr>
            <w:rStyle w:val="Hipervnculo"/>
            <w:rFonts w:ascii="Arial" w:hAnsi="Arial" w:cs="Arial"/>
            <w:color w:val="auto"/>
            <w:sz w:val="18"/>
            <w:szCs w:val="18"/>
            <w:u w:val="none"/>
            <w:lang w:val="es-ES"/>
          </w:rPr>
          <w:t>https://colombiacompra.gov.co/sites/default/files/manuales/20140901_manual_requisitos_habilitantes_4_web.pdf</w:t>
        </w:r>
      </w:hyperlink>
      <w:r w:rsidRPr="00587A1E">
        <w:rPr>
          <w:rFonts w:ascii="Arial" w:hAnsi="Arial" w:cs="Arial"/>
          <w:sz w:val="18"/>
          <w:szCs w:val="18"/>
          <w:lang w:val="es-ES"/>
        </w:rPr>
        <w:t xml:space="preserve">. </w:t>
      </w:r>
    </w:p>
    <w:p w:rsidRPr="00587A1E" w:rsidR="00C1387A" w:rsidP="00C1387A" w:rsidRDefault="00C1387A" w14:paraId="7C4244D2" w14:textId="77777777">
      <w:pPr>
        <w:pStyle w:val="Textonotapie"/>
        <w:spacing w:before="0" w:after="0" w:line="240" w:lineRule="auto"/>
        <w:ind w:firstLine="567"/>
        <w:rPr>
          <w:rFonts w:ascii="Arial" w:hAnsi="Arial" w:cs="Arial"/>
          <w:sz w:val="18"/>
          <w:szCs w:val="18"/>
          <w:lang w:val="es-ES"/>
        </w:rPr>
      </w:pPr>
    </w:p>
  </w:footnote>
  <w:footnote w:id="13">
    <w:p w:rsidRPr="00587A1E" w:rsidR="00C1387A" w:rsidP="00C1387A" w:rsidRDefault="00C1387A" w14:paraId="15571D82" w14:textId="77777777">
      <w:pPr>
        <w:pStyle w:val="Textonotapie"/>
        <w:spacing w:before="0" w:after="0" w:line="240" w:lineRule="auto"/>
        <w:ind w:firstLine="709"/>
        <w:rPr>
          <w:rFonts w:ascii="Arial" w:hAnsi="Arial" w:cs="Arial"/>
          <w:sz w:val="18"/>
          <w:szCs w:val="18"/>
          <w:lang w:val="es-ES"/>
        </w:rPr>
      </w:pPr>
      <w:r w:rsidRPr="00587A1E">
        <w:rPr>
          <w:rStyle w:val="Refdenotaalpie"/>
          <w:rFonts w:ascii="Arial" w:hAnsi="Arial" w:cs="Arial"/>
          <w:sz w:val="18"/>
          <w:szCs w:val="18"/>
        </w:rPr>
        <w:footnoteRef/>
      </w:r>
      <w:r w:rsidRPr="00587A1E">
        <w:rPr>
          <w:rFonts w:ascii="Arial" w:hAnsi="Arial" w:cs="Arial"/>
          <w:sz w:val="18"/>
          <w:szCs w:val="18"/>
        </w:rPr>
        <w:t xml:space="preserve"> </w:t>
      </w:r>
      <w:r w:rsidRPr="00587A1E">
        <w:rPr>
          <w:rFonts w:ascii="Arial" w:hAnsi="Arial" w:cs="Arial"/>
          <w:sz w:val="18"/>
          <w:szCs w:val="18"/>
        </w:rPr>
        <w:t>Ibídem.</w:t>
      </w:r>
    </w:p>
  </w:footnote>
  <w:footnote w:id="14">
    <w:p w:rsidRPr="00587A1E" w:rsidR="00C1387A" w:rsidP="00C1387A" w:rsidRDefault="00C1387A" w14:paraId="7421A78A" w14:textId="77777777">
      <w:pPr>
        <w:pStyle w:val="Textonotapie"/>
        <w:spacing w:before="0" w:after="0" w:line="240" w:lineRule="auto"/>
        <w:ind w:firstLine="709"/>
        <w:rPr>
          <w:rFonts w:ascii="Arial" w:hAnsi="Arial" w:cs="Arial"/>
          <w:sz w:val="18"/>
          <w:szCs w:val="18"/>
        </w:rPr>
      </w:pPr>
      <w:r w:rsidRPr="00587A1E">
        <w:rPr>
          <w:rStyle w:val="Refdenotaalpie"/>
          <w:rFonts w:ascii="Arial" w:hAnsi="Arial" w:cs="Arial"/>
          <w:sz w:val="18"/>
          <w:szCs w:val="18"/>
        </w:rPr>
        <w:footnoteRef/>
      </w:r>
      <w:r w:rsidRPr="00587A1E">
        <w:rPr>
          <w:rFonts w:ascii="Arial" w:hAnsi="Arial" w:cs="Arial"/>
          <w:sz w:val="18"/>
          <w:szCs w:val="18"/>
        </w:rPr>
        <w:t xml:space="preserve"> Dice el Manual que: «[...] En atención a la naturaleza del contrato a suscribir y de su valor, plazo y forma de pago, la Entidad Estatal debe hacer uso de los indicadores que considere adecuados respecto al objeto del Proceso de Contratación.</w:t>
      </w:r>
    </w:p>
    <w:p w:rsidRPr="00587A1E" w:rsidR="00C1387A" w:rsidP="00C1387A" w:rsidRDefault="00C1387A" w14:paraId="4A254B66" w14:textId="77777777">
      <w:pPr>
        <w:pStyle w:val="Textonotapie"/>
        <w:spacing w:before="0" w:after="0" w:line="240" w:lineRule="auto"/>
        <w:ind w:firstLine="709"/>
        <w:rPr>
          <w:rFonts w:ascii="Arial" w:hAnsi="Arial" w:cs="Arial"/>
          <w:sz w:val="18"/>
          <w:szCs w:val="18"/>
        </w:rPr>
      </w:pPr>
      <w:r w:rsidRPr="00587A1E">
        <w:rPr>
          <w:rFonts w:ascii="Arial" w:hAnsi="Arial" w:cs="Arial"/>
          <w:sz w:val="18"/>
          <w:szCs w:val="18"/>
        </w:rPr>
        <w:t>«Las Entidades Estatales no deben limitarse a determinar y aplicar de forma mecánica fórmulas financieras para determinar los indicadores. Deben conocer cada indicador, sus fórmulas de cálculo y su interpretación».</w:t>
      </w:r>
    </w:p>
  </w:footnote>
  <w:footnote w:id="15">
    <w:p w:rsidRPr="00587A1E" w:rsidR="00C1387A" w:rsidP="00C1387A" w:rsidRDefault="00C1387A" w14:paraId="56201F9B" w14:textId="77777777">
      <w:pPr>
        <w:pStyle w:val="Textonotapie"/>
        <w:spacing w:before="0" w:after="0" w:line="240" w:lineRule="auto"/>
        <w:ind w:firstLine="709"/>
        <w:rPr>
          <w:rFonts w:ascii="Arial" w:hAnsi="Arial" w:cs="Arial"/>
          <w:sz w:val="18"/>
          <w:szCs w:val="18"/>
          <w:lang w:val="es-ES"/>
        </w:rPr>
      </w:pPr>
      <w:r w:rsidRPr="00587A1E">
        <w:rPr>
          <w:rStyle w:val="Refdenotaalpie"/>
          <w:rFonts w:ascii="Arial" w:hAnsi="Arial" w:cs="Arial"/>
          <w:sz w:val="18"/>
          <w:szCs w:val="18"/>
        </w:rPr>
        <w:footnoteRef/>
      </w:r>
      <w:r w:rsidRPr="00587A1E">
        <w:rPr>
          <w:rFonts w:ascii="Arial" w:hAnsi="Arial" w:cs="Arial"/>
          <w:sz w:val="18"/>
          <w:szCs w:val="18"/>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D68E7" w:rsidR="00DD68E7" w:rsidP="00DD68E7" w:rsidRDefault="00DD68E7" w14:paraId="1C4694AD" w14:textId="77777777">
    <w:pPr>
      <w:rPr>
        <w:rFonts w:ascii="Calibri" w:hAnsi="Calibri" w:eastAsia="Calibri"/>
        <w:sz w:val="22"/>
        <w:szCs w:val="22"/>
        <w:lang w:eastAsia="en-US"/>
      </w:rPr>
    </w:pPr>
  </w:p>
  <w:p w:rsidRPr="00DD68E7" w:rsidR="00DD68E7" w:rsidP="00DD68E7" w:rsidRDefault="00DD68E7" w14:paraId="5AC27C13" w14:textId="77777777">
    <w:pPr>
      <w:rPr>
        <w:rFonts w:ascii="Geomanist Bold" w:hAnsi="Geomanist Bold" w:eastAsia="Calibri"/>
        <w:color w:val="002060"/>
        <w:sz w:val="22"/>
        <w:szCs w:val="22"/>
        <w:lang w:eastAsia="en-US"/>
      </w:rPr>
    </w:pPr>
    <w:r w:rsidRPr="00DD68E7">
      <w:rPr>
        <w:rFonts w:ascii="Calibri" w:hAnsi="Calibri" w:eastAsia="Calibri"/>
        <w:noProof/>
        <w:sz w:val="22"/>
        <w:szCs w:val="22"/>
        <w:lang w:eastAsia="en-US"/>
      </w:rPr>
      <w:drawing>
        <wp:anchor distT="0" distB="0" distL="0" distR="0" simplePos="0" relativeHeight="251659264" behindDoc="1" locked="0" layoutInCell="1" allowOverlap="1" wp14:anchorId="3D02D494" wp14:editId="30A1F859">
          <wp:simplePos x="0" y="0"/>
          <wp:positionH relativeFrom="margin">
            <wp:align>right</wp:align>
          </wp:positionH>
          <wp:positionV relativeFrom="paragraph">
            <wp:posOffset>6985</wp:posOffset>
          </wp:positionV>
          <wp:extent cx="1657350" cy="676275"/>
          <wp:effectExtent l="0" t="0" r="0" b="9525"/>
          <wp:wrapNone/>
          <wp:docPr id="11" name="Imagen 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pic:spPr>
              </pic:pic>
            </a:graphicData>
          </a:graphic>
          <wp14:sizeRelH relativeFrom="margin">
            <wp14:pctWidth>0</wp14:pctWidth>
          </wp14:sizeRelH>
          <wp14:sizeRelV relativeFrom="margin">
            <wp14:pctHeight>0</wp14:pctHeight>
          </wp14:sizeRelV>
        </wp:anchor>
      </w:drawing>
    </w:r>
    <w:r w:rsidRPr="00DD68E7">
      <w:rPr>
        <w:rFonts w:ascii="Geomanist Bold" w:hAnsi="Geomanist Bold" w:eastAsia="Calibri"/>
        <w:color w:val="002060"/>
        <w:sz w:val="22"/>
        <w:szCs w:val="22"/>
        <w:lang w:eastAsia="en-US"/>
      </w:rPr>
      <w:t xml:space="preserve">FORMATO PQRSD </w:t>
    </w:r>
  </w:p>
  <w:tbl>
    <w:tblPr>
      <w:tblW w:w="9405" w:type="dxa"/>
      <w:tblBorders>
        <w:insideH w:val="nil"/>
        <w:insideV w:val="nil"/>
      </w:tblBorders>
      <w:tblLayout w:type="fixed"/>
      <w:tblLook w:val="0400" w:firstRow="0" w:lastRow="0" w:firstColumn="0" w:lastColumn="0" w:noHBand="0" w:noVBand="1"/>
    </w:tblPr>
    <w:tblGrid>
      <w:gridCol w:w="6757"/>
      <w:gridCol w:w="1324"/>
      <w:gridCol w:w="1324"/>
    </w:tblGrid>
    <w:tr w:rsidRPr="00DD68E7" w:rsidR="00DD68E7" w:rsidTr="004F23A5" w14:paraId="6B9776F7" w14:textId="77777777">
      <w:tc>
        <w:tcPr>
          <w:tcW w:w="6757" w:type="dxa"/>
          <w:tcBorders>
            <w:top w:val="nil"/>
            <w:left w:val="nil"/>
            <w:bottom w:val="nil"/>
            <w:right w:val="nil"/>
          </w:tcBorders>
          <w:hideMark/>
        </w:tcPr>
        <w:p w:rsidRPr="00DD68E7" w:rsidR="00DD68E7" w:rsidP="00DD68E7" w:rsidRDefault="00DD68E7" w14:paraId="721ECCD3" w14:textId="77777777">
          <w:pPr>
            <w:tabs>
              <w:tab w:val="center" w:pos="4419"/>
              <w:tab w:val="center" w:pos="5400"/>
              <w:tab w:val="right" w:pos="8838"/>
            </w:tabs>
            <w:rPr>
              <w:rFonts w:ascii="Geomanist Bold" w:hAnsi="Geomanist Bold" w:eastAsia="Geo" w:cs="Geo"/>
              <w:b/>
              <w:color w:val="002060"/>
              <w:sz w:val="22"/>
              <w:szCs w:val="22"/>
              <w:lang w:eastAsia="es-CO"/>
            </w:rPr>
          </w:pPr>
          <w:r w:rsidRPr="00DD68E7">
            <w:rPr>
              <w:rFonts w:ascii="Geomanist Bold" w:hAnsi="Geomanist Bold" w:eastAsia="Geo" w:cs="Geo"/>
              <w:b/>
              <w:color w:val="000000"/>
              <w:sz w:val="20"/>
              <w:szCs w:val="20"/>
              <w:lang w:eastAsia="es-CO"/>
            </w:rPr>
            <w:t xml:space="preserve">Código: </w:t>
          </w:r>
          <w:r w:rsidRPr="00DD68E7">
            <w:rPr>
              <w:rFonts w:ascii="Geomanist Light" w:hAnsi="Geomanist Light" w:eastAsia="Geo" w:cs="Geo"/>
              <w:b/>
              <w:color w:val="000000"/>
              <w:sz w:val="18"/>
              <w:szCs w:val="18"/>
              <w:lang w:eastAsia="es-CO"/>
            </w:rPr>
            <w:t>CCE-PQRSD-FM-08</w:t>
          </w:r>
        </w:p>
        <w:p w:rsidRPr="00DD68E7" w:rsidR="00DD68E7" w:rsidP="00DD68E7" w:rsidRDefault="00DD68E7" w14:paraId="22A4B862" w14:textId="77777777">
          <w:pPr>
            <w:tabs>
              <w:tab w:val="center" w:pos="4419"/>
              <w:tab w:val="center" w:pos="5400"/>
              <w:tab w:val="right" w:pos="8838"/>
            </w:tabs>
            <w:rPr>
              <w:rFonts w:eastAsia="Arial Nova" w:cs="Arial Nova" w:asciiTheme="minorHAnsi" w:hAnsiTheme="minorHAnsi"/>
              <w:color w:val="000000"/>
              <w:sz w:val="18"/>
              <w:szCs w:val="18"/>
              <w:lang w:eastAsia="es-CO"/>
            </w:rPr>
          </w:pPr>
          <w:r w:rsidRPr="00DD68E7">
            <w:rPr>
              <w:rFonts w:ascii="Geomanist Bold" w:hAnsi="Geomanist Bold" w:eastAsia="Geo" w:cs="Geo"/>
              <w:b/>
              <w:color w:val="000000"/>
              <w:sz w:val="20"/>
              <w:szCs w:val="20"/>
              <w:lang w:eastAsia="es-CO"/>
            </w:rPr>
            <w:t>Versión</w:t>
          </w:r>
          <w:r w:rsidRPr="00DD68E7">
            <w:rPr>
              <w:rFonts w:ascii="Geomanist Bold" w:hAnsi="Geomanist Bold" w:eastAsia="Arial Nova" w:cs="Arial Nova"/>
              <w:b/>
              <w:color w:val="000000"/>
              <w:sz w:val="20"/>
              <w:szCs w:val="20"/>
              <w:lang w:eastAsia="es-CO"/>
            </w:rPr>
            <w:t xml:space="preserve">: </w:t>
          </w:r>
          <w:r w:rsidRPr="00DD68E7">
            <w:rPr>
              <w:rFonts w:ascii="Geomanist Light" w:hAnsi="Geomanist Light" w:eastAsia="Geo" w:cs="Geo"/>
              <w:sz w:val="18"/>
              <w:szCs w:val="18"/>
              <w:lang w:eastAsia="es-CO"/>
            </w:rPr>
            <w:t>01 DEL 30 DE AGOSTO DE 2022</w:t>
          </w:r>
        </w:p>
      </w:tc>
      <w:tc>
        <w:tcPr>
          <w:tcW w:w="1324" w:type="dxa"/>
          <w:tcBorders>
            <w:top w:val="nil"/>
            <w:left w:val="nil"/>
            <w:bottom w:val="nil"/>
            <w:right w:val="nil"/>
          </w:tcBorders>
        </w:tcPr>
        <w:p w:rsidRPr="00DD68E7" w:rsidR="00DD68E7" w:rsidP="00DD68E7" w:rsidRDefault="00DD68E7" w14:paraId="244259A6" w14:textId="77777777">
          <w:pPr>
            <w:jc w:val="right"/>
            <w:rPr>
              <w:rFonts w:ascii="Calibri" w:hAnsi="Calibri" w:eastAsia="Arial Nova" w:cs="Arial Nova"/>
              <w:sz w:val="22"/>
              <w:szCs w:val="22"/>
              <w:lang w:eastAsia="es-CO"/>
            </w:rPr>
          </w:pPr>
        </w:p>
      </w:tc>
      <w:tc>
        <w:tcPr>
          <w:tcW w:w="1324" w:type="dxa"/>
          <w:tcBorders>
            <w:top w:val="nil"/>
            <w:left w:val="nil"/>
            <w:bottom w:val="nil"/>
            <w:right w:val="nil"/>
          </w:tcBorders>
        </w:tcPr>
        <w:p w:rsidRPr="00DD68E7" w:rsidR="00DD68E7" w:rsidP="00DD68E7" w:rsidRDefault="00DD68E7" w14:paraId="20760B2D" w14:textId="77777777">
          <w:pPr>
            <w:jc w:val="right"/>
            <w:rPr>
              <w:rFonts w:ascii="Calibri" w:hAnsi="Calibri" w:eastAsia="Arial Nova" w:cs="Arial Nova"/>
              <w:sz w:val="22"/>
              <w:szCs w:val="22"/>
              <w:lang w:eastAsia="es-CO"/>
            </w:rPr>
          </w:pPr>
        </w:p>
      </w:tc>
    </w:tr>
  </w:tbl>
  <w:p w:rsidRPr="00DD68E7" w:rsidR="00EF64D8" w:rsidP="00DD68E7" w:rsidRDefault="00DD68E7" w14:paraId="6520770B" w14:textId="7595CDCD">
    <w:pPr>
      <w:spacing w:after="160" w:line="256" w:lineRule="auto"/>
      <w:rPr>
        <w:rFonts w:ascii="Calibri" w:hAnsi="Calibri" w:eastAsia="Calibri"/>
        <w:sz w:val="22"/>
        <w:szCs w:val="22"/>
        <w:lang w:eastAsia="en-US"/>
      </w:rPr>
    </w:pPr>
    <w:r w:rsidRPr="00DD68E7">
      <w:rPr>
        <w:rFonts w:ascii="Calibri" w:hAnsi="Calibri" w:eastAsia="Calibri"/>
        <w:noProof/>
        <w:sz w:val="22"/>
        <w:szCs w:val="22"/>
        <w:lang w:eastAsia="en-US"/>
      </w:rPr>
      <w:drawing>
        <wp:inline distT="0" distB="0" distL="0" distR="0" wp14:anchorId="50C14C37" wp14:editId="2295CAAD">
          <wp:extent cx="3238500" cy="762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8B8E9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CEA10B4"/>
    <w:multiLevelType w:val="hybridMultilevel"/>
    <w:tmpl w:val="166C8A8E"/>
    <w:lvl w:ilvl="0" w:tplc="3370B248">
      <w:start w:val="1"/>
      <w:numFmt w:val="decimal"/>
      <w:lvlText w:val="%1."/>
      <w:lvlJc w:val="left"/>
      <w:pPr>
        <w:ind w:left="765" w:hanging="360"/>
      </w:pPr>
      <w:rPr>
        <w:rFonts w:hint="default"/>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3"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F946BB"/>
    <w:multiLevelType w:val="hybridMultilevel"/>
    <w:tmpl w:val="8D08E1AA"/>
    <w:lvl w:ilvl="0" w:tplc="FFFFFFFF">
      <w:numFmt w:val="decimal"/>
      <w:lvlText w:val=""/>
      <w:lvlJc w:val="left"/>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1D0511"/>
    <w:multiLevelType w:val="hybridMultilevel"/>
    <w:tmpl w:val="3894FBD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1CED79AB"/>
    <w:multiLevelType w:val="hybridMultilevel"/>
    <w:tmpl w:val="A9AE1E4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1DE64258"/>
    <w:multiLevelType w:val="hybridMultilevel"/>
    <w:tmpl w:val="8D08E1AA"/>
    <w:lvl w:ilvl="0" w:tplc="FFFFFFFF">
      <w:numFmt w:val="decimal"/>
      <w:lvlText w:val=""/>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123D43"/>
    <w:multiLevelType w:val="hybridMultilevel"/>
    <w:tmpl w:val="9EB626E0"/>
    <w:lvl w:ilvl="0" w:tplc="B508891C">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410AA5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380B19"/>
    <w:multiLevelType w:val="hybridMultilevel"/>
    <w:tmpl w:val="1F66EDE8"/>
    <w:lvl w:ilvl="0" w:tplc="60226B48">
      <w:start w:val="1"/>
      <w:numFmt w:val="decimal"/>
      <w:lvlText w:val="%1."/>
      <w:lvlJc w:val="left"/>
      <w:pPr>
        <w:ind w:left="1069" w:hanging="360"/>
      </w:pPr>
      <w:rPr>
        <w:rFonts w:hint="default" w:eastAsia="Arial"/>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CF3319"/>
    <w:multiLevelType w:val="hybridMultilevel"/>
    <w:tmpl w:val="D42C505A"/>
    <w:lvl w:ilvl="0" w:tplc="FC5637A6">
      <w:start w:val="1"/>
      <w:numFmt w:val="decimal"/>
      <w:lvlText w:val="%1."/>
      <w:lvlJc w:val="left"/>
      <w:pPr>
        <w:ind w:left="720" w:hanging="360"/>
      </w:pPr>
      <w:rPr>
        <w:rFonts w:hint="default" w:ascii="Calibri" w:hAnsi="Calibri" w:cs="Calibri"/>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3B1499"/>
    <w:multiLevelType w:val="hybridMultilevel"/>
    <w:tmpl w:val="B5BA0E08"/>
    <w:lvl w:ilvl="0" w:tplc="EC46EAB4">
      <w:start w:val="1"/>
      <w:numFmt w:val="lowerRoman"/>
      <w:lvlText w:val="%1)"/>
      <w:lvlJc w:val="left"/>
      <w:pPr>
        <w:ind w:left="1429" w:hanging="720"/>
      </w:pPr>
      <w:rPr>
        <w:rFonts w:hint="default" w:eastAsia="Arial"/>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15:restartNumberingAfterBreak="0">
    <w:nsid w:val="3642528B"/>
    <w:multiLevelType w:val="hybridMultilevel"/>
    <w:tmpl w:val="D408B580"/>
    <w:lvl w:ilvl="0" w:tplc="15DE398A">
      <w:start w:val="1"/>
      <w:numFmt w:val="lowerLetter"/>
      <w:lvlText w:val="%1)"/>
      <w:lvlJc w:val="left"/>
      <w:pPr>
        <w:ind w:left="1069" w:hanging="360"/>
      </w:pPr>
      <w:rPr>
        <w:rFonts w:hint="default" w:eastAsia="Arial"/>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3DF77F05"/>
    <w:multiLevelType w:val="hybridMultilevel"/>
    <w:tmpl w:val="0E90E834"/>
    <w:lvl w:ilvl="0" w:tplc="073E4240">
      <w:start w:val="1"/>
      <w:numFmt w:val="lowerRoman"/>
      <w:lvlText w:val="%1)"/>
      <w:lvlJc w:val="left"/>
      <w:pPr>
        <w:ind w:left="1429" w:hanging="720"/>
      </w:pPr>
      <w:rPr>
        <w:rFonts w:hint="default" w:eastAsia="Arial"/>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0090DB1"/>
    <w:multiLevelType w:val="hybridMultilevel"/>
    <w:tmpl w:val="078E2E72"/>
    <w:lvl w:ilvl="0" w:tplc="30687C90">
      <w:start w:val="1"/>
      <w:numFmt w:val="lowerRoman"/>
      <w:lvlText w:val="%1)"/>
      <w:lvlJc w:val="left"/>
      <w:pPr>
        <w:ind w:left="1427" w:hanging="720"/>
      </w:pPr>
    </w:lvl>
    <w:lvl w:ilvl="1" w:tplc="080A0019">
      <w:start w:val="1"/>
      <w:numFmt w:val="lowerLetter"/>
      <w:lvlText w:val="%2."/>
      <w:lvlJc w:val="left"/>
      <w:pPr>
        <w:ind w:left="1787" w:hanging="360"/>
      </w:pPr>
    </w:lvl>
    <w:lvl w:ilvl="2" w:tplc="080A001B">
      <w:start w:val="1"/>
      <w:numFmt w:val="lowerRoman"/>
      <w:lvlText w:val="%3."/>
      <w:lvlJc w:val="right"/>
      <w:pPr>
        <w:ind w:left="2507" w:hanging="180"/>
      </w:pPr>
    </w:lvl>
    <w:lvl w:ilvl="3" w:tplc="080A000F">
      <w:start w:val="1"/>
      <w:numFmt w:val="decimal"/>
      <w:lvlText w:val="%4."/>
      <w:lvlJc w:val="left"/>
      <w:pPr>
        <w:ind w:left="3227" w:hanging="360"/>
      </w:pPr>
    </w:lvl>
    <w:lvl w:ilvl="4" w:tplc="080A0019">
      <w:start w:val="1"/>
      <w:numFmt w:val="lowerLetter"/>
      <w:lvlText w:val="%5."/>
      <w:lvlJc w:val="left"/>
      <w:pPr>
        <w:ind w:left="3947" w:hanging="360"/>
      </w:pPr>
    </w:lvl>
    <w:lvl w:ilvl="5" w:tplc="080A001B">
      <w:start w:val="1"/>
      <w:numFmt w:val="lowerRoman"/>
      <w:lvlText w:val="%6."/>
      <w:lvlJc w:val="right"/>
      <w:pPr>
        <w:ind w:left="4667" w:hanging="180"/>
      </w:pPr>
    </w:lvl>
    <w:lvl w:ilvl="6" w:tplc="080A000F">
      <w:start w:val="1"/>
      <w:numFmt w:val="decimal"/>
      <w:lvlText w:val="%7."/>
      <w:lvlJc w:val="left"/>
      <w:pPr>
        <w:ind w:left="5387" w:hanging="360"/>
      </w:pPr>
    </w:lvl>
    <w:lvl w:ilvl="7" w:tplc="080A0019">
      <w:start w:val="1"/>
      <w:numFmt w:val="lowerLetter"/>
      <w:lvlText w:val="%8."/>
      <w:lvlJc w:val="left"/>
      <w:pPr>
        <w:ind w:left="6107" w:hanging="360"/>
      </w:pPr>
    </w:lvl>
    <w:lvl w:ilvl="8" w:tplc="080A001B">
      <w:start w:val="1"/>
      <w:numFmt w:val="lowerRoman"/>
      <w:lvlText w:val="%9."/>
      <w:lvlJc w:val="right"/>
      <w:pPr>
        <w:ind w:left="6827" w:hanging="180"/>
      </w:pPr>
    </w:lvl>
  </w:abstractNum>
  <w:abstractNum w:abstractNumId="27" w15:restartNumberingAfterBreak="0">
    <w:nsid w:val="632B27AF"/>
    <w:multiLevelType w:val="hybridMultilevel"/>
    <w:tmpl w:val="BA34E780"/>
    <w:lvl w:ilvl="0" w:tplc="56241FF8">
      <w:start w:val="1"/>
      <w:numFmt w:val="lowerLetter"/>
      <w:lvlText w:val="%1)"/>
      <w:lvlJc w:val="left"/>
      <w:pPr>
        <w:ind w:left="1069" w:hanging="360"/>
      </w:pPr>
      <w:rPr>
        <w:rFonts w:hint="default" w:eastAsia="Arial"/>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664F4046"/>
    <w:multiLevelType w:val="hybridMultilevel"/>
    <w:tmpl w:val="F8D6EBAE"/>
    <w:lvl w:ilvl="0" w:tplc="BB58B3E6">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67032B02"/>
    <w:multiLevelType w:val="hybridMultilevel"/>
    <w:tmpl w:val="593E1724"/>
    <w:lvl w:ilvl="0" w:tplc="080A0001">
      <w:start w:val="1"/>
      <w:numFmt w:val="bullet"/>
      <w:lvlText w:val=""/>
      <w:lvlJc w:val="left"/>
      <w:pPr>
        <w:ind w:left="1429" w:hanging="360"/>
      </w:pPr>
      <w:rPr>
        <w:rFonts w:hint="default" w:ascii="Symbol" w:hAnsi="Symbol"/>
      </w:rPr>
    </w:lvl>
    <w:lvl w:ilvl="1" w:tplc="080A0003">
      <w:start w:val="1"/>
      <w:numFmt w:val="bullet"/>
      <w:lvlText w:val="o"/>
      <w:lvlJc w:val="left"/>
      <w:pPr>
        <w:ind w:left="2149" w:hanging="360"/>
      </w:pPr>
      <w:rPr>
        <w:rFonts w:hint="default" w:ascii="Courier New" w:hAnsi="Courier New" w:cs="Courier New"/>
      </w:rPr>
    </w:lvl>
    <w:lvl w:ilvl="2" w:tplc="080A0005">
      <w:start w:val="1"/>
      <w:numFmt w:val="bullet"/>
      <w:lvlText w:val=""/>
      <w:lvlJc w:val="left"/>
      <w:pPr>
        <w:ind w:left="2869" w:hanging="360"/>
      </w:pPr>
      <w:rPr>
        <w:rFonts w:hint="default" w:ascii="Wingdings" w:hAnsi="Wingdings"/>
      </w:rPr>
    </w:lvl>
    <w:lvl w:ilvl="3" w:tplc="080A0001">
      <w:start w:val="1"/>
      <w:numFmt w:val="bullet"/>
      <w:lvlText w:val=""/>
      <w:lvlJc w:val="left"/>
      <w:pPr>
        <w:ind w:left="3589" w:hanging="360"/>
      </w:pPr>
      <w:rPr>
        <w:rFonts w:hint="default" w:ascii="Symbol" w:hAnsi="Symbol"/>
      </w:rPr>
    </w:lvl>
    <w:lvl w:ilvl="4" w:tplc="080A0003">
      <w:start w:val="1"/>
      <w:numFmt w:val="bullet"/>
      <w:lvlText w:val="o"/>
      <w:lvlJc w:val="left"/>
      <w:pPr>
        <w:ind w:left="4309" w:hanging="360"/>
      </w:pPr>
      <w:rPr>
        <w:rFonts w:hint="default" w:ascii="Courier New" w:hAnsi="Courier New" w:cs="Courier New"/>
      </w:rPr>
    </w:lvl>
    <w:lvl w:ilvl="5" w:tplc="080A0005">
      <w:start w:val="1"/>
      <w:numFmt w:val="bullet"/>
      <w:lvlText w:val=""/>
      <w:lvlJc w:val="left"/>
      <w:pPr>
        <w:ind w:left="5029" w:hanging="360"/>
      </w:pPr>
      <w:rPr>
        <w:rFonts w:hint="default" w:ascii="Wingdings" w:hAnsi="Wingdings"/>
      </w:rPr>
    </w:lvl>
    <w:lvl w:ilvl="6" w:tplc="080A0001">
      <w:start w:val="1"/>
      <w:numFmt w:val="bullet"/>
      <w:lvlText w:val=""/>
      <w:lvlJc w:val="left"/>
      <w:pPr>
        <w:ind w:left="5749" w:hanging="360"/>
      </w:pPr>
      <w:rPr>
        <w:rFonts w:hint="default" w:ascii="Symbol" w:hAnsi="Symbol"/>
      </w:rPr>
    </w:lvl>
    <w:lvl w:ilvl="7" w:tplc="080A0003">
      <w:start w:val="1"/>
      <w:numFmt w:val="bullet"/>
      <w:lvlText w:val="o"/>
      <w:lvlJc w:val="left"/>
      <w:pPr>
        <w:ind w:left="6469" w:hanging="360"/>
      </w:pPr>
      <w:rPr>
        <w:rFonts w:hint="default" w:ascii="Courier New" w:hAnsi="Courier New" w:cs="Courier New"/>
      </w:rPr>
    </w:lvl>
    <w:lvl w:ilvl="8" w:tplc="080A0005">
      <w:start w:val="1"/>
      <w:numFmt w:val="bullet"/>
      <w:lvlText w:val=""/>
      <w:lvlJc w:val="left"/>
      <w:pPr>
        <w:ind w:left="7189" w:hanging="360"/>
      </w:pPr>
      <w:rPr>
        <w:rFonts w:hint="default" w:ascii="Wingdings" w:hAnsi="Wingdings"/>
      </w:rPr>
    </w:lvl>
  </w:abstractNum>
  <w:abstractNum w:abstractNumId="30"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FE85EE2"/>
    <w:multiLevelType w:val="hybridMultilevel"/>
    <w:tmpl w:val="FA0417B4"/>
    <w:lvl w:ilvl="0" w:tplc="77B0351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3"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5"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47258809">
    <w:abstractNumId w:val="18"/>
  </w:num>
  <w:num w:numId="2" w16cid:durableId="1929848231">
    <w:abstractNumId w:val="16"/>
  </w:num>
  <w:num w:numId="3" w16cid:durableId="1863585604">
    <w:abstractNumId w:val="23"/>
  </w:num>
  <w:num w:numId="4" w16cid:durableId="432092555">
    <w:abstractNumId w:val="24"/>
  </w:num>
  <w:num w:numId="5" w16cid:durableId="1473058159">
    <w:abstractNumId w:val="31"/>
  </w:num>
  <w:num w:numId="6" w16cid:durableId="85014083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728112">
    <w:abstractNumId w:val="25"/>
  </w:num>
  <w:num w:numId="8" w16cid:durableId="174541266">
    <w:abstractNumId w:val="13"/>
  </w:num>
  <w:num w:numId="9" w16cid:durableId="1975721018">
    <w:abstractNumId w:val="3"/>
  </w:num>
  <w:num w:numId="10" w16cid:durableId="164057260">
    <w:abstractNumId w:val="14"/>
  </w:num>
  <w:num w:numId="11" w16cid:durableId="1954090647">
    <w:abstractNumId w:val="6"/>
  </w:num>
  <w:num w:numId="12" w16cid:durableId="813447557">
    <w:abstractNumId w:val="17"/>
  </w:num>
  <w:num w:numId="13" w16cid:durableId="1826701661">
    <w:abstractNumId w:val="7"/>
  </w:num>
  <w:num w:numId="14" w16cid:durableId="771314303">
    <w:abstractNumId w:val="27"/>
  </w:num>
  <w:num w:numId="15" w16cid:durableId="285081967">
    <w:abstractNumId w:val="22"/>
  </w:num>
  <w:num w:numId="16" w16cid:durableId="1838886472">
    <w:abstractNumId w:val="20"/>
  </w:num>
  <w:num w:numId="17" w16cid:durableId="1634560719">
    <w:abstractNumId w:val="34"/>
  </w:num>
  <w:num w:numId="18" w16cid:durableId="1872650766">
    <w:abstractNumId w:val="12"/>
  </w:num>
  <w:num w:numId="19" w16cid:durableId="1757508530">
    <w:abstractNumId w:val="19"/>
  </w:num>
  <w:num w:numId="20" w16cid:durableId="453791486">
    <w:abstractNumId w:val="21"/>
  </w:num>
  <w:num w:numId="21" w16cid:durableId="591278473">
    <w:abstractNumId w:val="30"/>
  </w:num>
  <w:num w:numId="22" w16cid:durableId="105123696">
    <w:abstractNumId w:val="15"/>
  </w:num>
  <w:num w:numId="23" w16cid:durableId="1239513320">
    <w:abstractNumId w:val="35"/>
  </w:num>
  <w:num w:numId="24" w16cid:durableId="1943106736">
    <w:abstractNumId w:val="33"/>
  </w:num>
  <w:num w:numId="25" w16cid:durableId="1233472052">
    <w:abstractNumId w:val="29"/>
  </w:num>
  <w:num w:numId="26" w16cid:durableId="8467949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6660975">
    <w:abstractNumId w:val="8"/>
  </w:num>
  <w:num w:numId="28" w16cid:durableId="117729137">
    <w:abstractNumId w:val="0"/>
  </w:num>
  <w:num w:numId="29" w16cid:durableId="1728795353">
    <w:abstractNumId w:val="4"/>
  </w:num>
  <w:num w:numId="30" w16cid:durableId="1556891661">
    <w:abstractNumId w:val="9"/>
  </w:num>
  <w:num w:numId="31" w16cid:durableId="1053843491">
    <w:abstractNumId w:val="10"/>
  </w:num>
  <w:num w:numId="32" w16cid:durableId="1187719175">
    <w:abstractNumId w:val="28"/>
  </w:num>
  <w:num w:numId="33" w16cid:durableId="1687713047">
    <w:abstractNumId w:val="11"/>
  </w:num>
  <w:num w:numId="34" w16cid:durableId="2095742712">
    <w:abstractNumId w:val="32"/>
  </w:num>
  <w:num w:numId="35" w16cid:durableId="557278528">
    <w:abstractNumId w:val="5"/>
  </w:num>
  <w:num w:numId="36" w16cid:durableId="184208826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0B16"/>
    <w:rsid w:val="0000126D"/>
    <w:rsid w:val="0000147C"/>
    <w:rsid w:val="000019A6"/>
    <w:rsid w:val="00001A1D"/>
    <w:rsid w:val="000025E0"/>
    <w:rsid w:val="000034EE"/>
    <w:rsid w:val="00003617"/>
    <w:rsid w:val="000070A8"/>
    <w:rsid w:val="00011754"/>
    <w:rsid w:val="0001231C"/>
    <w:rsid w:val="00012B22"/>
    <w:rsid w:val="000135A1"/>
    <w:rsid w:val="00013F7C"/>
    <w:rsid w:val="00015BF3"/>
    <w:rsid w:val="00015E80"/>
    <w:rsid w:val="00015F78"/>
    <w:rsid w:val="000169A0"/>
    <w:rsid w:val="00016D26"/>
    <w:rsid w:val="00016D2E"/>
    <w:rsid w:val="00017245"/>
    <w:rsid w:val="00017253"/>
    <w:rsid w:val="00017460"/>
    <w:rsid w:val="00017C1D"/>
    <w:rsid w:val="000205F1"/>
    <w:rsid w:val="000210DF"/>
    <w:rsid w:val="00021758"/>
    <w:rsid w:val="000217A2"/>
    <w:rsid w:val="0002264C"/>
    <w:rsid w:val="0002271C"/>
    <w:rsid w:val="000229A9"/>
    <w:rsid w:val="00023CD9"/>
    <w:rsid w:val="00024653"/>
    <w:rsid w:val="0002510B"/>
    <w:rsid w:val="000268E2"/>
    <w:rsid w:val="0002739B"/>
    <w:rsid w:val="000300C6"/>
    <w:rsid w:val="00030271"/>
    <w:rsid w:val="00032989"/>
    <w:rsid w:val="00032A51"/>
    <w:rsid w:val="00033802"/>
    <w:rsid w:val="00033C14"/>
    <w:rsid w:val="00033D8C"/>
    <w:rsid w:val="00033E1C"/>
    <w:rsid w:val="00034398"/>
    <w:rsid w:val="00034663"/>
    <w:rsid w:val="000352A2"/>
    <w:rsid w:val="000360E0"/>
    <w:rsid w:val="000379E3"/>
    <w:rsid w:val="00040044"/>
    <w:rsid w:val="000410E5"/>
    <w:rsid w:val="000414BE"/>
    <w:rsid w:val="00041517"/>
    <w:rsid w:val="00042041"/>
    <w:rsid w:val="00042FD0"/>
    <w:rsid w:val="000432DF"/>
    <w:rsid w:val="00044D8C"/>
    <w:rsid w:val="00045791"/>
    <w:rsid w:val="00045854"/>
    <w:rsid w:val="00046647"/>
    <w:rsid w:val="00050C64"/>
    <w:rsid w:val="0005181E"/>
    <w:rsid w:val="000520BA"/>
    <w:rsid w:val="00053136"/>
    <w:rsid w:val="000540E1"/>
    <w:rsid w:val="00054158"/>
    <w:rsid w:val="000545C6"/>
    <w:rsid w:val="00054817"/>
    <w:rsid w:val="00055065"/>
    <w:rsid w:val="0006140B"/>
    <w:rsid w:val="00062812"/>
    <w:rsid w:val="000641A8"/>
    <w:rsid w:val="0006467C"/>
    <w:rsid w:val="0006474E"/>
    <w:rsid w:val="00065205"/>
    <w:rsid w:val="00066517"/>
    <w:rsid w:val="00067A22"/>
    <w:rsid w:val="00071132"/>
    <w:rsid w:val="00071351"/>
    <w:rsid w:val="000716B2"/>
    <w:rsid w:val="000718D6"/>
    <w:rsid w:val="00073FE3"/>
    <w:rsid w:val="0007405A"/>
    <w:rsid w:val="00074774"/>
    <w:rsid w:val="00074BEE"/>
    <w:rsid w:val="00074D1E"/>
    <w:rsid w:val="00075C19"/>
    <w:rsid w:val="00075D07"/>
    <w:rsid w:val="00076B31"/>
    <w:rsid w:val="00076DB1"/>
    <w:rsid w:val="000770DB"/>
    <w:rsid w:val="00080542"/>
    <w:rsid w:val="0008228E"/>
    <w:rsid w:val="000822A6"/>
    <w:rsid w:val="0008274C"/>
    <w:rsid w:val="00082CE0"/>
    <w:rsid w:val="00084B97"/>
    <w:rsid w:val="00086501"/>
    <w:rsid w:val="00086D8D"/>
    <w:rsid w:val="000876EC"/>
    <w:rsid w:val="000877B5"/>
    <w:rsid w:val="000902BC"/>
    <w:rsid w:val="00091AC6"/>
    <w:rsid w:val="00092617"/>
    <w:rsid w:val="00092B6A"/>
    <w:rsid w:val="000942EB"/>
    <w:rsid w:val="000943FC"/>
    <w:rsid w:val="00095B25"/>
    <w:rsid w:val="00096C01"/>
    <w:rsid w:val="0009763D"/>
    <w:rsid w:val="00097C52"/>
    <w:rsid w:val="000A1B61"/>
    <w:rsid w:val="000A3281"/>
    <w:rsid w:val="000A46D2"/>
    <w:rsid w:val="000A4DD7"/>
    <w:rsid w:val="000A5915"/>
    <w:rsid w:val="000A6A14"/>
    <w:rsid w:val="000A6BA6"/>
    <w:rsid w:val="000B042A"/>
    <w:rsid w:val="000B076C"/>
    <w:rsid w:val="000B0E61"/>
    <w:rsid w:val="000B103F"/>
    <w:rsid w:val="000B14BA"/>
    <w:rsid w:val="000B2D9A"/>
    <w:rsid w:val="000B4246"/>
    <w:rsid w:val="000B5C13"/>
    <w:rsid w:val="000C00A2"/>
    <w:rsid w:val="000C02C2"/>
    <w:rsid w:val="000C0769"/>
    <w:rsid w:val="000C1515"/>
    <w:rsid w:val="000C1CBB"/>
    <w:rsid w:val="000C1D9A"/>
    <w:rsid w:val="000C3232"/>
    <w:rsid w:val="000C394F"/>
    <w:rsid w:val="000C3F9B"/>
    <w:rsid w:val="000C4E3E"/>
    <w:rsid w:val="000C5512"/>
    <w:rsid w:val="000C5D99"/>
    <w:rsid w:val="000D0BD1"/>
    <w:rsid w:val="000D1837"/>
    <w:rsid w:val="000D186A"/>
    <w:rsid w:val="000D25BC"/>
    <w:rsid w:val="000D5214"/>
    <w:rsid w:val="000D57AA"/>
    <w:rsid w:val="000D7953"/>
    <w:rsid w:val="000D7A0F"/>
    <w:rsid w:val="000E0DED"/>
    <w:rsid w:val="000E2239"/>
    <w:rsid w:val="000E25D7"/>
    <w:rsid w:val="000E3909"/>
    <w:rsid w:val="000E561B"/>
    <w:rsid w:val="000E6563"/>
    <w:rsid w:val="000E739D"/>
    <w:rsid w:val="000F091C"/>
    <w:rsid w:val="000F14E8"/>
    <w:rsid w:val="000F2AA2"/>
    <w:rsid w:val="000F2EE1"/>
    <w:rsid w:val="000F4695"/>
    <w:rsid w:val="000F7AAC"/>
    <w:rsid w:val="000F7FC3"/>
    <w:rsid w:val="00100D69"/>
    <w:rsid w:val="00101018"/>
    <w:rsid w:val="00103915"/>
    <w:rsid w:val="00103D05"/>
    <w:rsid w:val="001041A9"/>
    <w:rsid w:val="00105AAA"/>
    <w:rsid w:val="00106BF7"/>
    <w:rsid w:val="001072DB"/>
    <w:rsid w:val="001078AA"/>
    <w:rsid w:val="00110CE1"/>
    <w:rsid w:val="001112FD"/>
    <w:rsid w:val="0011178C"/>
    <w:rsid w:val="00111CDF"/>
    <w:rsid w:val="001124EB"/>
    <w:rsid w:val="00113157"/>
    <w:rsid w:val="00113E35"/>
    <w:rsid w:val="00114327"/>
    <w:rsid w:val="00114900"/>
    <w:rsid w:val="00114EE9"/>
    <w:rsid w:val="0011520A"/>
    <w:rsid w:val="00115328"/>
    <w:rsid w:val="001155B8"/>
    <w:rsid w:val="00116C84"/>
    <w:rsid w:val="0011766B"/>
    <w:rsid w:val="00120D67"/>
    <w:rsid w:val="001214BC"/>
    <w:rsid w:val="00122B23"/>
    <w:rsid w:val="00122B9A"/>
    <w:rsid w:val="00123BE2"/>
    <w:rsid w:val="0012416B"/>
    <w:rsid w:val="00124A82"/>
    <w:rsid w:val="001300F3"/>
    <w:rsid w:val="00130457"/>
    <w:rsid w:val="001336B2"/>
    <w:rsid w:val="00133F8F"/>
    <w:rsid w:val="00134D65"/>
    <w:rsid w:val="00137368"/>
    <w:rsid w:val="0013770F"/>
    <w:rsid w:val="001377EC"/>
    <w:rsid w:val="00137E66"/>
    <w:rsid w:val="00137FFA"/>
    <w:rsid w:val="0014071F"/>
    <w:rsid w:val="001419D7"/>
    <w:rsid w:val="00141B41"/>
    <w:rsid w:val="00141CCA"/>
    <w:rsid w:val="00141E25"/>
    <w:rsid w:val="0014214B"/>
    <w:rsid w:val="00142560"/>
    <w:rsid w:val="001429C2"/>
    <w:rsid w:val="00143D03"/>
    <w:rsid w:val="00144D68"/>
    <w:rsid w:val="00150CB3"/>
    <w:rsid w:val="00151129"/>
    <w:rsid w:val="00151936"/>
    <w:rsid w:val="00151D08"/>
    <w:rsid w:val="00152A7E"/>
    <w:rsid w:val="00152FDA"/>
    <w:rsid w:val="00154785"/>
    <w:rsid w:val="00155B3D"/>
    <w:rsid w:val="00155C13"/>
    <w:rsid w:val="00156216"/>
    <w:rsid w:val="0015738F"/>
    <w:rsid w:val="00160CB0"/>
    <w:rsid w:val="001610A7"/>
    <w:rsid w:val="001611CA"/>
    <w:rsid w:val="00161A37"/>
    <w:rsid w:val="0016213D"/>
    <w:rsid w:val="001643A4"/>
    <w:rsid w:val="00164D95"/>
    <w:rsid w:val="00165347"/>
    <w:rsid w:val="00165995"/>
    <w:rsid w:val="00166510"/>
    <w:rsid w:val="00171685"/>
    <w:rsid w:val="00172F4D"/>
    <w:rsid w:val="0017335A"/>
    <w:rsid w:val="0017350A"/>
    <w:rsid w:val="00173B85"/>
    <w:rsid w:val="00173DE5"/>
    <w:rsid w:val="00174747"/>
    <w:rsid w:val="00174AD4"/>
    <w:rsid w:val="00174BEC"/>
    <w:rsid w:val="00176A9A"/>
    <w:rsid w:val="00180188"/>
    <w:rsid w:val="001824DD"/>
    <w:rsid w:val="001827CB"/>
    <w:rsid w:val="00182A86"/>
    <w:rsid w:val="00182EEE"/>
    <w:rsid w:val="0018335C"/>
    <w:rsid w:val="00185A59"/>
    <w:rsid w:val="0018635C"/>
    <w:rsid w:val="00186DDB"/>
    <w:rsid w:val="001878F3"/>
    <w:rsid w:val="00190961"/>
    <w:rsid w:val="00191C4D"/>
    <w:rsid w:val="00192CDC"/>
    <w:rsid w:val="00192CE0"/>
    <w:rsid w:val="001961C8"/>
    <w:rsid w:val="00197BB3"/>
    <w:rsid w:val="001A0A19"/>
    <w:rsid w:val="001A0E7A"/>
    <w:rsid w:val="001A1753"/>
    <w:rsid w:val="001A1C0F"/>
    <w:rsid w:val="001A1FB1"/>
    <w:rsid w:val="001A217F"/>
    <w:rsid w:val="001A2EBE"/>
    <w:rsid w:val="001A40A1"/>
    <w:rsid w:val="001A4E88"/>
    <w:rsid w:val="001A78DE"/>
    <w:rsid w:val="001A7FD7"/>
    <w:rsid w:val="001B0444"/>
    <w:rsid w:val="001B0BE3"/>
    <w:rsid w:val="001B2F08"/>
    <w:rsid w:val="001B39FA"/>
    <w:rsid w:val="001B5217"/>
    <w:rsid w:val="001B5D90"/>
    <w:rsid w:val="001B6E10"/>
    <w:rsid w:val="001B789E"/>
    <w:rsid w:val="001C0044"/>
    <w:rsid w:val="001C01AF"/>
    <w:rsid w:val="001C24BF"/>
    <w:rsid w:val="001C2ED7"/>
    <w:rsid w:val="001C47C8"/>
    <w:rsid w:val="001C50AE"/>
    <w:rsid w:val="001C5143"/>
    <w:rsid w:val="001C5405"/>
    <w:rsid w:val="001C6F95"/>
    <w:rsid w:val="001C763E"/>
    <w:rsid w:val="001D0C03"/>
    <w:rsid w:val="001D1560"/>
    <w:rsid w:val="001D17C2"/>
    <w:rsid w:val="001D2F93"/>
    <w:rsid w:val="001D2FC9"/>
    <w:rsid w:val="001D30D8"/>
    <w:rsid w:val="001D3178"/>
    <w:rsid w:val="001D33DD"/>
    <w:rsid w:val="001D3585"/>
    <w:rsid w:val="001D4EA4"/>
    <w:rsid w:val="001D5434"/>
    <w:rsid w:val="001D567B"/>
    <w:rsid w:val="001D612F"/>
    <w:rsid w:val="001D745B"/>
    <w:rsid w:val="001E01F9"/>
    <w:rsid w:val="001E074F"/>
    <w:rsid w:val="001E0CFB"/>
    <w:rsid w:val="001E1959"/>
    <w:rsid w:val="001E1EEE"/>
    <w:rsid w:val="001E2866"/>
    <w:rsid w:val="001E2A7A"/>
    <w:rsid w:val="001E2D60"/>
    <w:rsid w:val="001E4B0D"/>
    <w:rsid w:val="001E507B"/>
    <w:rsid w:val="001E6679"/>
    <w:rsid w:val="001E6C8C"/>
    <w:rsid w:val="001E7D79"/>
    <w:rsid w:val="001F1130"/>
    <w:rsid w:val="001F4619"/>
    <w:rsid w:val="001F4D43"/>
    <w:rsid w:val="001F4F5C"/>
    <w:rsid w:val="001F5388"/>
    <w:rsid w:val="001F5745"/>
    <w:rsid w:val="001F6290"/>
    <w:rsid w:val="001F6378"/>
    <w:rsid w:val="001F7341"/>
    <w:rsid w:val="001F774C"/>
    <w:rsid w:val="001F7F46"/>
    <w:rsid w:val="0020001F"/>
    <w:rsid w:val="0020059F"/>
    <w:rsid w:val="00200651"/>
    <w:rsid w:val="00200E03"/>
    <w:rsid w:val="0020112B"/>
    <w:rsid w:val="002025CC"/>
    <w:rsid w:val="0020324E"/>
    <w:rsid w:val="002033B1"/>
    <w:rsid w:val="00203979"/>
    <w:rsid w:val="00203E16"/>
    <w:rsid w:val="00204675"/>
    <w:rsid w:val="00205185"/>
    <w:rsid w:val="00205753"/>
    <w:rsid w:val="00205CAE"/>
    <w:rsid w:val="0020632A"/>
    <w:rsid w:val="002075B6"/>
    <w:rsid w:val="002076CC"/>
    <w:rsid w:val="00210A2D"/>
    <w:rsid w:val="00210DF2"/>
    <w:rsid w:val="002110EB"/>
    <w:rsid w:val="00211338"/>
    <w:rsid w:val="00212401"/>
    <w:rsid w:val="00212433"/>
    <w:rsid w:val="00213541"/>
    <w:rsid w:val="0021518A"/>
    <w:rsid w:val="0021543E"/>
    <w:rsid w:val="00215618"/>
    <w:rsid w:val="00215B97"/>
    <w:rsid w:val="00216AEE"/>
    <w:rsid w:val="00216E64"/>
    <w:rsid w:val="002177D9"/>
    <w:rsid w:val="00217988"/>
    <w:rsid w:val="00217C7F"/>
    <w:rsid w:val="00220120"/>
    <w:rsid w:val="002203DA"/>
    <w:rsid w:val="00220DB7"/>
    <w:rsid w:val="00220E20"/>
    <w:rsid w:val="0022167B"/>
    <w:rsid w:val="002232F5"/>
    <w:rsid w:val="00223C19"/>
    <w:rsid w:val="002246A7"/>
    <w:rsid w:val="002249BC"/>
    <w:rsid w:val="002255EF"/>
    <w:rsid w:val="002270C0"/>
    <w:rsid w:val="002309D1"/>
    <w:rsid w:val="00230F89"/>
    <w:rsid w:val="00233909"/>
    <w:rsid w:val="002339D3"/>
    <w:rsid w:val="00234113"/>
    <w:rsid w:val="00234B84"/>
    <w:rsid w:val="00234C1A"/>
    <w:rsid w:val="002364D4"/>
    <w:rsid w:val="0023691B"/>
    <w:rsid w:val="002379B1"/>
    <w:rsid w:val="002409B6"/>
    <w:rsid w:val="002439AD"/>
    <w:rsid w:val="00243EE8"/>
    <w:rsid w:val="0024424D"/>
    <w:rsid w:val="00244FCA"/>
    <w:rsid w:val="002456B1"/>
    <w:rsid w:val="002456DB"/>
    <w:rsid w:val="00246944"/>
    <w:rsid w:val="00247C35"/>
    <w:rsid w:val="0025069C"/>
    <w:rsid w:val="00250C39"/>
    <w:rsid w:val="0025151A"/>
    <w:rsid w:val="002534F1"/>
    <w:rsid w:val="002538B5"/>
    <w:rsid w:val="00253AF8"/>
    <w:rsid w:val="00254711"/>
    <w:rsid w:val="00255215"/>
    <w:rsid w:val="00255D2C"/>
    <w:rsid w:val="002560F8"/>
    <w:rsid w:val="00256CE7"/>
    <w:rsid w:val="002576FD"/>
    <w:rsid w:val="00257918"/>
    <w:rsid w:val="00261136"/>
    <w:rsid w:val="002627A8"/>
    <w:rsid w:val="00262E30"/>
    <w:rsid w:val="0026362F"/>
    <w:rsid w:val="00263755"/>
    <w:rsid w:val="0026403D"/>
    <w:rsid w:val="002647F7"/>
    <w:rsid w:val="00264E94"/>
    <w:rsid w:val="002651BE"/>
    <w:rsid w:val="002654C1"/>
    <w:rsid w:val="0026616C"/>
    <w:rsid w:val="00266851"/>
    <w:rsid w:val="00267A47"/>
    <w:rsid w:val="00267C90"/>
    <w:rsid w:val="00267DDA"/>
    <w:rsid w:val="002708A2"/>
    <w:rsid w:val="00271043"/>
    <w:rsid w:val="002725EE"/>
    <w:rsid w:val="00272858"/>
    <w:rsid w:val="00272FBF"/>
    <w:rsid w:val="002737FD"/>
    <w:rsid w:val="00273E83"/>
    <w:rsid w:val="00274DDF"/>
    <w:rsid w:val="00275C49"/>
    <w:rsid w:val="00275E86"/>
    <w:rsid w:val="00276310"/>
    <w:rsid w:val="00277969"/>
    <w:rsid w:val="002801C7"/>
    <w:rsid w:val="002841E3"/>
    <w:rsid w:val="00284D31"/>
    <w:rsid w:val="002851E1"/>
    <w:rsid w:val="00285503"/>
    <w:rsid w:val="00285744"/>
    <w:rsid w:val="00285AC8"/>
    <w:rsid w:val="00285AC9"/>
    <w:rsid w:val="00286089"/>
    <w:rsid w:val="00286153"/>
    <w:rsid w:val="00287343"/>
    <w:rsid w:val="00287741"/>
    <w:rsid w:val="00290E9F"/>
    <w:rsid w:val="00290FA5"/>
    <w:rsid w:val="002914E1"/>
    <w:rsid w:val="00291C4F"/>
    <w:rsid w:val="00291EB5"/>
    <w:rsid w:val="00291FE3"/>
    <w:rsid w:val="002938BD"/>
    <w:rsid w:val="00293BBD"/>
    <w:rsid w:val="002941C6"/>
    <w:rsid w:val="00296B40"/>
    <w:rsid w:val="002A2E12"/>
    <w:rsid w:val="002A3452"/>
    <w:rsid w:val="002A3C30"/>
    <w:rsid w:val="002A3C35"/>
    <w:rsid w:val="002A460E"/>
    <w:rsid w:val="002A4F9E"/>
    <w:rsid w:val="002A5245"/>
    <w:rsid w:val="002A5498"/>
    <w:rsid w:val="002A5F87"/>
    <w:rsid w:val="002A695B"/>
    <w:rsid w:val="002A72EF"/>
    <w:rsid w:val="002B0B56"/>
    <w:rsid w:val="002B2AE7"/>
    <w:rsid w:val="002B3433"/>
    <w:rsid w:val="002B411A"/>
    <w:rsid w:val="002B417C"/>
    <w:rsid w:val="002B41FB"/>
    <w:rsid w:val="002B4390"/>
    <w:rsid w:val="002B55C7"/>
    <w:rsid w:val="002B6B8F"/>
    <w:rsid w:val="002B6F02"/>
    <w:rsid w:val="002C088B"/>
    <w:rsid w:val="002C1F83"/>
    <w:rsid w:val="002C216A"/>
    <w:rsid w:val="002C28E1"/>
    <w:rsid w:val="002C2B56"/>
    <w:rsid w:val="002C2D1E"/>
    <w:rsid w:val="002C32E1"/>
    <w:rsid w:val="002C3C5C"/>
    <w:rsid w:val="002C40FB"/>
    <w:rsid w:val="002C4C0C"/>
    <w:rsid w:val="002C5565"/>
    <w:rsid w:val="002C57C8"/>
    <w:rsid w:val="002C6821"/>
    <w:rsid w:val="002C68A6"/>
    <w:rsid w:val="002D08FE"/>
    <w:rsid w:val="002D155C"/>
    <w:rsid w:val="002D1FC4"/>
    <w:rsid w:val="002D2CD0"/>
    <w:rsid w:val="002D3589"/>
    <w:rsid w:val="002D4575"/>
    <w:rsid w:val="002D481A"/>
    <w:rsid w:val="002D65E2"/>
    <w:rsid w:val="002D7275"/>
    <w:rsid w:val="002E06A1"/>
    <w:rsid w:val="002E257B"/>
    <w:rsid w:val="002E71D7"/>
    <w:rsid w:val="002E7580"/>
    <w:rsid w:val="002E78D5"/>
    <w:rsid w:val="002E7979"/>
    <w:rsid w:val="002F2F05"/>
    <w:rsid w:val="002F334B"/>
    <w:rsid w:val="002F4470"/>
    <w:rsid w:val="002F7935"/>
    <w:rsid w:val="002F7BD7"/>
    <w:rsid w:val="00301546"/>
    <w:rsid w:val="003016E2"/>
    <w:rsid w:val="003033BA"/>
    <w:rsid w:val="00304249"/>
    <w:rsid w:val="00304580"/>
    <w:rsid w:val="00304B38"/>
    <w:rsid w:val="00304B85"/>
    <w:rsid w:val="0030589C"/>
    <w:rsid w:val="003062F3"/>
    <w:rsid w:val="00306C30"/>
    <w:rsid w:val="00307067"/>
    <w:rsid w:val="003073C0"/>
    <w:rsid w:val="00307855"/>
    <w:rsid w:val="003078D7"/>
    <w:rsid w:val="003108EF"/>
    <w:rsid w:val="0031206F"/>
    <w:rsid w:val="00312204"/>
    <w:rsid w:val="00312ADC"/>
    <w:rsid w:val="00312D89"/>
    <w:rsid w:val="00314C7D"/>
    <w:rsid w:val="00315297"/>
    <w:rsid w:val="00315FA4"/>
    <w:rsid w:val="00316214"/>
    <w:rsid w:val="003162C8"/>
    <w:rsid w:val="00316B16"/>
    <w:rsid w:val="00320075"/>
    <w:rsid w:val="00321018"/>
    <w:rsid w:val="00322937"/>
    <w:rsid w:val="0032350A"/>
    <w:rsid w:val="003238A9"/>
    <w:rsid w:val="00324011"/>
    <w:rsid w:val="0032590F"/>
    <w:rsid w:val="00327549"/>
    <w:rsid w:val="00327CEB"/>
    <w:rsid w:val="00330722"/>
    <w:rsid w:val="00331030"/>
    <w:rsid w:val="00333E77"/>
    <w:rsid w:val="00334638"/>
    <w:rsid w:val="00335C15"/>
    <w:rsid w:val="003404C6"/>
    <w:rsid w:val="0034096E"/>
    <w:rsid w:val="00340C19"/>
    <w:rsid w:val="0034177C"/>
    <w:rsid w:val="00341D52"/>
    <w:rsid w:val="00341F89"/>
    <w:rsid w:val="003429F6"/>
    <w:rsid w:val="00343547"/>
    <w:rsid w:val="00344B03"/>
    <w:rsid w:val="00344E6C"/>
    <w:rsid w:val="003456A7"/>
    <w:rsid w:val="00345705"/>
    <w:rsid w:val="0034680A"/>
    <w:rsid w:val="00347024"/>
    <w:rsid w:val="00350AA9"/>
    <w:rsid w:val="00350DA7"/>
    <w:rsid w:val="0035105B"/>
    <w:rsid w:val="00352AD1"/>
    <w:rsid w:val="00353653"/>
    <w:rsid w:val="00353DD5"/>
    <w:rsid w:val="00353EE8"/>
    <w:rsid w:val="00355084"/>
    <w:rsid w:val="00355E8C"/>
    <w:rsid w:val="00357167"/>
    <w:rsid w:val="00361495"/>
    <w:rsid w:val="003618CD"/>
    <w:rsid w:val="00361BA8"/>
    <w:rsid w:val="00361F13"/>
    <w:rsid w:val="00363A7C"/>
    <w:rsid w:val="00364EF6"/>
    <w:rsid w:val="003652E7"/>
    <w:rsid w:val="00366283"/>
    <w:rsid w:val="00366693"/>
    <w:rsid w:val="00367828"/>
    <w:rsid w:val="00371F43"/>
    <w:rsid w:val="00372E26"/>
    <w:rsid w:val="003754D2"/>
    <w:rsid w:val="003757C2"/>
    <w:rsid w:val="00376930"/>
    <w:rsid w:val="00380FAE"/>
    <w:rsid w:val="003814CA"/>
    <w:rsid w:val="00381C32"/>
    <w:rsid w:val="00381F36"/>
    <w:rsid w:val="003834F8"/>
    <w:rsid w:val="00384C43"/>
    <w:rsid w:val="00385CF3"/>
    <w:rsid w:val="00386456"/>
    <w:rsid w:val="00390018"/>
    <w:rsid w:val="003901B3"/>
    <w:rsid w:val="003903B0"/>
    <w:rsid w:val="00390C02"/>
    <w:rsid w:val="003912A3"/>
    <w:rsid w:val="0039143D"/>
    <w:rsid w:val="003923F8"/>
    <w:rsid w:val="003949EE"/>
    <w:rsid w:val="003964D5"/>
    <w:rsid w:val="00396918"/>
    <w:rsid w:val="003A0878"/>
    <w:rsid w:val="003A0EBE"/>
    <w:rsid w:val="003A2797"/>
    <w:rsid w:val="003A30B4"/>
    <w:rsid w:val="003A3529"/>
    <w:rsid w:val="003A48FA"/>
    <w:rsid w:val="003A4CA4"/>
    <w:rsid w:val="003A581E"/>
    <w:rsid w:val="003A5E90"/>
    <w:rsid w:val="003A6751"/>
    <w:rsid w:val="003A7BD6"/>
    <w:rsid w:val="003A7F89"/>
    <w:rsid w:val="003B027A"/>
    <w:rsid w:val="003B2341"/>
    <w:rsid w:val="003B267F"/>
    <w:rsid w:val="003B3044"/>
    <w:rsid w:val="003B43DB"/>
    <w:rsid w:val="003B49DA"/>
    <w:rsid w:val="003B68EA"/>
    <w:rsid w:val="003B73DE"/>
    <w:rsid w:val="003C004D"/>
    <w:rsid w:val="003C01B1"/>
    <w:rsid w:val="003C0588"/>
    <w:rsid w:val="003C0D86"/>
    <w:rsid w:val="003C144E"/>
    <w:rsid w:val="003C16E4"/>
    <w:rsid w:val="003C4BE5"/>
    <w:rsid w:val="003C6CB0"/>
    <w:rsid w:val="003C6CBA"/>
    <w:rsid w:val="003C75FC"/>
    <w:rsid w:val="003D1BE9"/>
    <w:rsid w:val="003D33FF"/>
    <w:rsid w:val="003D3D29"/>
    <w:rsid w:val="003D3D9D"/>
    <w:rsid w:val="003D43B0"/>
    <w:rsid w:val="003D45AC"/>
    <w:rsid w:val="003D527E"/>
    <w:rsid w:val="003D5CB6"/>
    <w:rsid w:val="003D5E06"/>
    <w:rsid w:val="003D6C03"/>
    <w:rsid w:val="003D6C2B"/>
    <w:rsid w:val="003D6EB5"/>
    <w:rsid w:val="003D7E29"/>
    <w:rsid w:val="003E04EE"/>
    <w:rsid w:val="003E0D9E"/>
    <w:rsid w:val="003E13E6"/>
    <w:rsid w:val="003E1992"/>
    <w:rsid w:val="003E1DFC"/>
    <w:rsid w:val="003E317D"/>
    <w:rsid w:val="003E4398"/>
    <w:rsid w:val="003E43A6"/>
    <w:rsid w:val="003E4A30"/>
    <w:rsid w:val="003E6423"/>
    <w:rsid w:val="003E6884"/>
    <w:rsid w:val="003E71FC"/>
    <w:rsid w:val="003E7AA5"/>
    <w:rsid w:val="003F00C3"/>
    <w:rsid w:val="003F0161"/>
    <w:rsid w:val="003F18DE"/>
    <w:rsid w:val="003F1D3C"/>
    <w:rsid w:val="003F28AB"/>
    <w:rsid w:val="003F4E89"/>
    <w:rsid w:val="004020BC"/>
    <w:rsid w:val="0040246E"/>
    <w:rsid w:val="004030F2"/>
    <w:rsid w:val="00405913"/>
    <w:rsid w:val="00406251"/>
    <w:rsid w:val="00406A1A"/>
    <w:rsid w:val="0040737C"/>
    <w:rsid w:val="00407705"/>
    <w:rsid w:val="0040799E"/>
    <w:rsid w:val="004129BB"/>
    <w:rsid w:val="00412A43"/>
    <w:rsid w:val="00413C8D"/>
    <w:rsid w:val="00413E61"/>
    <w:rsid w:val="00414152"/>
    <w:rsid w:val="00414BC9"/>
    <w:rsid w:val="00415DDE"/>
    <w:rsid w:val="00416308"/>
    <w:rsid w:val="00416996"/>
    <w:rsid w:val="00417025"/>
    <w:rsid w:val="00417355"/>
    <w:rsid w:val="00417425"/>
    <w:rsid w:val="00420A6C"/>
    <w:rsid w:val="00421624"/>
    <w:rsid w:val="00421DF6"/>
    <w:rsid w:val="004228D3"/>
    <w:rsid w:val="00423F66"/>
    <w:rsid w:val="00423F9F"/>
    <w:rsid w:val="00425FD7"/>
    <w:rsid w:val="00426486"/>
    <w:rsid w:val="00426DD1"/>
    <w:rsid w:val="00427C7E"/>
    <w:rsid w:val="00427F2F"/>
    <w:rsid w:val="00430D86"/>
    <w:rsid w:val="00432AD1"/>
    <w:rsid w:val="00432B52"/>
    <w:rsid w:val="00433494"/>
    <w:rsid w:val="00434140"/>
    <w:rsid w:val="00435826"/>
    <w:rsid w:val="0043612C"/>
    <w:rsid w:val="004376B9"/>
    <w:rsid w:val="00437B69"/>
    <w:rsid w:val="00437BA7"/>
    <w:rsid w:val="00440848"/>
    <w:rsid w:val="00440B8D"/>
    <w:rsid w:val="00441DC6"/>
    <w:rsid w:val="00441EE4"/>
    <w:rsid w:val="004422D6"/>
    <w:rsid w:val="0044422B"/>
    <w:rsid w:val="0044490E"/>
    <w:rsid w:val="00446E21"/>
    <w:rsid w:val="00447165"/>
    <w:rsid w:val="00447729"/>
    <w:rsid w:val="004511B1"/>
    <w:rsid w:val="00451E5C"/>
    <w:rsid w:val="00451E90"/>
    <w:rsid w:val="00452F9A"/>
    <w:rsid w:val="00454101"/>
    <w:rsid w:val="00455438"/>
    <w:rsid w:val="00455EAA"/>
    <w:rsid w:val="00456AC2"/>
    <w:rsid w:val="00457110"/>
    <w:rsid w:val="00460D1C"/>
    <w:rsid w:val="00461E70"/>
    <w:rsid w:val="00464311"/>
    <w:rsid w:val="00466026"/>
    <w:rsid w:val="0046603E"/>
    <w:rsid w:val="00466082"/>
    <w:rsid w:val="004661DA"/>
    <w:rsid w:val="0046653B"/>
    <w:rsid w:val="0046694E"/>
    <w:rsid w:val="00472B78"/>
    <w:rsid w:val="00472BBB"/>
    <w:rsid w:val="0047380F"/>
    <w:rsid w:val="0047426F"/>
    <w:rsid w:val="0047453E"/>
    <w:rsid w:val="004746AD"/>
    <w:rsid w:val="00474E3B"/>
    <w:rsid w:val="0047516E"/>
    <w:rsid w:val="00475F18"/>
    <w:rsid w:val="00477207"/>
    <w:rsid w:val="00477498"/>
    <w:rsid w:val="00477514"/>
    <w:rsid w:val="004779F8"/>
    <w:rsid w:val="00480824"/>
    <w:rsid w:val="00480D03"/>
    <w:rsid w:val="00480ECA"/>
    <w:rsid w:val="004826D9"/>
    <w:rsid w:val="00482900"/>
    <w:rsid w:val="0048327C"/>
    <w:rsid w:val="00483F80"/>
    <w:rsid w:val="00485814"/>
    <w:rsid w:val="004861E4"/>
    <w:rsid w:val="0048674D"/>
    <w:rsid w:val="004870BB"/>
    <w:rsid w:val="004872D8"/>
    <w:rsid w:val="0048754A"/>
    <w:rsid w:val="00487BC0"/>
    <w:rsid w:val="00487C10"/>
    <w:rsid w:val="00490A62"/>
    <w:rsid w:val="00491E49"/>
    <w:rsid w:val="0049241A"/>
    <w:rsid w:val="00494A15"/>
    <w:rsid w:val="004956F3"/>
    <w:rsid w:val="00496FA4"/>
    <w:rsid w:val="004974CD"/>
    <w:rsid w:val="004A0085"/>
    <w:rsid w:val="004A0106"/>
    <w:rsid w:val="004A0F49"/>
    <w:rsid w:val="004A114E"/>
    <w:rsid w:val="004A34D2"/>
    <w:rsid w:val="004A4F76"/>
    <w:rsid w:val="004A677C"/>
    <w:rsid w:val="004A67A9"/>
    <w:rsid w:val="004A6841"/>
    <w:rsid w:val="004A7B59"/>
    <w:rsid w:val="004B0B42"/>
    <w:rsid w:val="004B1292"/>
    <w:rsid w:val="004B1C70"/>
    <w:rsid w:val="004B3186"/>
    <w:rsid w:val="004B3457"/>
    <w:rsid w:val="004B353C"/>
    <w:rsid w:val="004B3D4D"/>
    <w:rsid w:val="004B45A7"/>
    <w:rsid w:val="004B580E"/>
    <w:rsid w:val="004B6500"/>
    <w:rsid w:val="004B6E7D"/>
    <w:rsid w:val="004B7763"/>
    <w:rsid w:val="004B7D5F"/>
    <w:rsid w:val="004C246A"/>
    <w:rsid w:val="004C31AF"/>
    <w:rsid w:val="004C3ADF"/>
    <w:rsid w:val="004C3BA4"/>
    <w:rsid w:val="004C49B9"/>
    <w:rsid w:val="004C59F7"/>
    <w:rsid w:val="004C60C5"/>
    <w:rsid w:val="004C70AA"/>
    <w:rsid w:val="004C755C"/>
    <w:rsid w:val="004C7603"/>
    <w:rsid w:val="004D087D"/>
    <w:rsid w:val="004D0F00"/>
    <w:rsid w:val="004D1E02"/>
    <w:rsid w:val="004D22DE"/>
    <w:rsid w:val="004D4A87"/>
    <w:rsid w:val="004D4FE3"/>
    <w:rsid w:val="004D52FA"/>
    <w:rsid w:val="004D53FA"/>
    <w:rsid w:val="004D5756"/>
    <w:rsid w:val="004D5D13"/>
    <w:rsid w:val="004D63F7"/>
    <w:rsid w:val="004D65AC"/>
    <w:rsid w:val="004D702B"/>
    <w:rsid w:val="004D7944"/>
    <w:rsid w:val="004D7D21"/>
    <w:rsid w:val="004D7FB4"/>
    <w:rsid w:val="004E05CC"/>
    <w:rsid w:val="004E07A4"/>
    <w:rsid w:val="004E1B4F"/>
    <w:rsid w:val="004E3C7A"/>
    <w:rsid w:val="004E4907"/>
    <w:rsid w:val="004E4C6D"/>
    <w:rsid w:val="004E5463"/>
    <w:rsid w:val="004E5A0D"/>
    <w:rsid w:val="004E6770"/>
    <w:rsid w:val="004F0804"/>
    <w:rsid w:val="004F1425"/>
    <w:rsid w:val="004F16DB"/>
    <w:rsid w:val="004F30F8"/>
    <w:rsid w:val="004F3492"/>
    <w:rsid w:val="004F3517"/>
    <w:rsid w:val="004F3CDF"/>
    <w:rsid w:val="004F49DE"/>
    <w:rsid w:val="004F510B"/>
    <w:rsid w:val="004F5B24"/>
    <w:rsid w:val="004F6048"/>
    <w:rsid w:val="00501473"/>
    <w:rsid w:val="00504D71"/>
    <w:rsid w:val="00504E1A"/>
    <w:rsid w:val="005051F8"/>
    <w:rsid w:val="0051074C"/>
    <w:rsid w:val="00510CF8"/>
    <w:rsid w:val="005112E4"/>
    <w:rsid w:val="00511922"/>
    <w:rsid w:val="00513AF2"/>
    <w:rsid w:val="00514439"/>
    <w:rsid w:val="0051464B"/>
    <w:rsid w:val="00514D99"/>
    <w:rsid w:val="00514E3C"/>
    <w:rsid w:val="00515D32"/>
    <w:rsid w:val="0051759B"/>
    <w:rsid w:val="005216C1"/>
    <w:rsid w:val="0052340E"/>
    <w:rsid w:val="00523703"/>
    <w:rsid w:val="00525997"/>
    <w:rsid w:val="00525FE7"/>
    <w:rsid w:val="005265E4"/>
    <w:rsid w:val="00526943"/>
    <w:rsid w:val="00527E3C"/>
    <w:rsid w:val="0053038B"/>
    <w:rsid w:val="0053170C"/>
    <w:rsid w:val="00531D5C"/>
    <w:rsid w:val="00532B96"/>
    <w:rsid w:val="00535106"/>
    <w:rsid w:val="005355D8"/>
    <w:rsid w:val="00535A34"/>
    <w:rsid w:val="0054155D"/>
    <w:rsid w:val="00542B62"/>
    <w:rsid w:val="00542BA7"/>
    <w:rsid w:val="0054413A"/>
    <w:rsid w:val="00545305"/>
    <w:rsid w:val="0054713D"/>
    <w:rsid w:val="005472F5"/>
    <w:rsid w:val="00550567"/>
    <w:rsid w:val="00550D93"/>
    <w:rsid w:val="005514ED"/>
    <w:rsid w:val="0055168B"/>
    <w:rsid w:val="00551FE1"/>
    <w:rsid w:val="005526A0"/>
    <w:rsid w:val="00552754"/>
    <w:rsid w:val="00553DE0"/>
    <w:rsid w:val="00554A77"/>
    <w:rsid w:val="005564CA"/>
    <w:rsid w:val="005601A8"/>
    <w:rsid w:val="00561506"/>
    <w:rsid w:val="0056182B"/>
    <w:rsid w:val="005622EB"/>
    <w:rsid w:val="00562332"/>
    <w:rsid w:val="0056311D"/>
    <w:rsid w:val="00566827"/>
    <w:rsid w:val="0056728F"/>
    <w:rsid w:val="00567F3B"/>
    <w:rsid w:val="00570798"/>
    <w:rsid w:val="00570F08"/>
    <w:rsid w:val="0057142B"/>
    <w:rsid w:val="005721B3"/>
    <w:rsid w:val="00572262"/>
    <w:rsid w:val="00573F4F"/>
    <w:rsid w:val="005756AA"/>
    <w:rsid w:val="0057591C"/>
    <w:rsid w:val="00575A1C"/>
    <w:rsid w:val="0057646F"/>
    <w:rsid w:val="00577148"/>
    <w:rsid w:val="005771B5"/>
    <w:rsid w:val="00577CFC"/>
    <w:rsid w:val="005829DE"/>
    <w:rsid w:val="00582AE3"/>
    <w:rsid w:val="00583D79"/>
    <w:rsid w:val="00584054"/>
    <w:rsid w:val="0058410E"/>
    <w:rsid w:val="00584D9E"/>
    <w:rsid w:val="0058679D"/>
    <w:rsid w:val="005867AE"/>
    <w:rsid w:val="00586BDB"/>
    <w:rsid w:val="00587458"/>
    <w:rsid w:val="005879CA"/>
    <w:rsid w:val="00587A1E"/>
    <w:rsid w:val="00587E63"/>
    <w:rsid w:val="00590380"/>
    <w:rsid w:val="005930B1"/>
    <w:rsid w:val="0059377A"/>
    <w:rsid w:val="005938D3"/>
    <w:rsid w:val="0059449B"/>
    <w:rsid w:val="0059502B"/>
    <w:rsid w:val="00596896"/>
    <w:rsid w:val="00597412"/>
    <w:rsid w:val="005A0414"/>
    <w:rsid w:val="005A04AB"/>
    <w:rsid w:val="005A119F"/>
    <w:rsid w:val="005A1645"/>
    <w:rsid w:val="005A2130"/>
    <w:rsid w:val="005A4FC5"/>
    <w:rsid w:val="005A50F7"/>
    <w:rsid w:val="005A5914"/>
    <w:rsid w:val="005A6AB9"/>
    <w:rsid w:val="005A7DBD"/>
    <w:rsid w:val="005B1144"/>
    <w:rsid w:val="005B1772"/>
    <w:rsid w:val="005B1817"/>
    <w:rsid w:val="005B4267"/>
    <w:rsid w:val="005B59E8"/>
    <w:rsid w:val="005B5BE2"/>
    <w:rsid w:val="005B753A"/>
    <w:rsid w:val="005C00FA"/>
    <w:rsid w:val="005C0251"/>
    <w:rsid w:val="005C04BF"/>
    <w:rsid w:val="005C12C8"/>
    <w:rsid w:val="005C2A3B"/>
    <w:rsid w:val="005C343C"/>
    <w:rsid w:val="005C3BE4"/>
    <w:rsid w:val="005C5C9A"/>
    <w:rsid w:val="005C6A48"/>
    <w:rsid w:val="005C6C85"/>
    <w:rsid w:val="005C7184"/>
    <w:rsid w:val="005C7D40"/>
    <w:rsid w:val="005C7FC4"/>
    <w:rsid w:val="005D0467"/>
    <w:rsid w:val="005D1BC0"/>
    <w:rsid w:val="005D3155"/>
    <w:rsid w:val="005D35B6"/>
    <w:rsid w:val="005D36B1"/>
    <w:rsid w:val="005D47FD"/>
    <w:rsid w:val="005D483D"/>
    <w:rsid w:val="005D4AEF"/>
    <w:rsid w:val="005D4E8A"/>
    <w:rsid w:val="005D50CE"/>
    <w:rsid w:val="005D51FA"/>
    <w:rsid w:val="005D5B90"/>
    <w:rsid w:val="005D791B"/>
    <w:rsid w:val="005E01CE"/>
    <w:rsid w:val="005E09A6"/>
    <w:rsid w:val="005E139E"/>
    <w:rsid w:val="005E1974"/>
    <w:rsid w:val="005E1E22"/>
    <w:rsid w:val="005E2C01"/>
    <w:rsid w:val="005E363E"/>
    <w:rsid w:val="005E3B5B"/>
    <w:rsid w:val="005E42CD"/>
    <w:rsid w:val="005E4765"/>
    <w:rsid w:val="005E5651"/>
    <w:rsid w:val="005E5697"/>
    <w:rsid w:val="005E5B1E"/>
    <w:rsid w:val="005F055F"/>
    <w:rsid w:val="005F1B0F"/>
    <w:rsid w:val="005F22F9"/>
    <w:rsid w:val="005F317C"/>
    <w:rsid w:val="005F37CD"/>
    <w:rsid w:val="005F3CD0"/>
    <w:rsid w:val="005F51FB"/>
    <w:rsid w:val="005F53B6"/>
    <w:rsid w:val="005F599B"/>
    <w:rsid w:val="005F650A"/>
    <w:rsid w:val="005F68F7"/>
    <w:rsid w:val="005F761B"/>
    <w:rsid w:val="005F788C"/>
    <w:rsid w:val="0060070B"/>
    <w:rsid w:val="006009A3"/>
    <w:rsid w:val="00602708"/>
    <w:rsid w:val="006031AA"/>
    <w:rsid w:val="00603E4D"/>
    <w:rsid w:val="00603FBE"/>
    <w:rsid w:val="006040A5"/>
    <w:rsid w:val="00604384"/>
    <w:rsid w:val="00604893"/>
    <w:rsid w:val="00604B04"/>
    <w:rsid w:val="006058F6"/>
    <w:rsid w:val="006067D6"/>
    <w:rsid w:val="00611ED9"/>
    <w:rsid w:val="00612C51"/>
    <w:rsid w:val="00613FDA"/>
    <w:rsid w:val="006146F1"/>
    <w:rsid w:val="00614817"/>
    <w:rsid w:val="00616E1F"/>
    <w:rsid w:val="00620C5F"/>
    <w:rsid w:val="00620FE8"/>
    <w:rsid w:val="00621021"/>
    <w:rsid w:val="00621A1E"/>
    <w:rsid w:val="00623D2C"/>
    <w:rsid w:val="00624498"/>
    <w:rsid w:val="00625EEF"/>
    <w:rsid w:val="0062724E"/>
    <w:rsid w:val="00627605"/>
    <w:rsid w:val="00630D7C"/>
    <w:rsid w:val="006318E7"/>
    <w:rsid w:val="0063224F"/>
    <w:rsid w:val="0063269D"/>
    <w:rsid w:val="00633DBF"/>
    <w:rsid w:val="006341BB"/>
    <w:rsid w:val="006343EE"/>
    <w:rsid w:val="0063440E"/>
    <w:rsid w:val="00634A50"/>
    <w:rsid w:val="00635DED"/>
    <w:rsid w:val="0063667E"/>
    <w:rsid w:val="00636963"/>
    <w:rsid w:val="00636F90"/>
    <w:rsid w:val="0063754D"/>
    <w:rsid w:val="006379EA"/>
    <w:rsid w:val="00640339"/>
    <w:rsid w:val="00640FF5"/>
    <w:rsid w:val="006417A4"/>
    <w:rsid w:val="00643B51"/>
    <w:rsid w:val="006441CE"/>
    <w:rsid w:val="006447B9"/>
    <w:rsid w:val="00644D7F"/>
    <w:rsid w:val="0064514E"/>
    <w:rsid w:val="006470CD"/>
    <w:rsid w:val="00647384"/>
    <w:rsid w:val="00650FE8"/>
    <w:rsid w:val="00651335"/>
    <w:rsid w:val="006518DC"/>
    <w:rsid w:val="00651D7C"/>
    <w:rsid w:val="00652A13"/>
    <w:rsid w:val="00652BAA"/>
    <w:rsid w:val="00653CA3"/>
    <w:rsid w:val="00654069"/>
    <w:rsid w:val="0065480B"/>
    <w:rsid w:val="00655371"/>
    <w:rsid w:val="006559E3"/>
    <w:rsid w:val="00656EB7"/>
    <w:rsid w:val="00657259"/>
    <w:rsid w:val="00657446"/>
    <w:rsid w:val="00660D51"/>
    <w:rsid w:val="006623C0"/>
    <w:rsid w:val="00662C7E"/>
    <w:rsid w:val="0066325D"/>
    <w:rsid w:val="00667768"/>
    <w:rsid w:val="006678A3"/>
    <w:rsid w:val="00667E0E"/>
    <w:rsid w:val="00670466"/>
    <w:rsid w:val="006709A7"/>
    <w:rsid w:val="00670BB1"/>
    <w:rsid w:val="0067148D"/>
    <w:rsid w:val="0067157B"/>
    <w:rsid w:val="00672272"/>
    <w:rsid w:val="00672725"/>
    <w:rsid w:val="006728A0"/>
    <w:rsid w:val="006734E6"/>
    <w:rsid w:val="006748E0"/>
    <w:rsid w:val="00674F99"/>
    <w:rsid w:val="00677097"/>
    <w:rsid w:val="006807C6"/>
    <w:rsid w:val="00680B58"/>
    <w:rsid w:val="00681EED"/>
    <w:rsid w:val="00682E7B"/>
    <w:rsid w:val="006852F3"/>
    <w:rsid w:val="006906D4"/>
    <w:rsid w:val="0069141C"/>
    <w:rsid w:val="006919EA"/>
    <w:rsid w:val="00692654"/>
    <w:rsid w:val="00692992"/>
    <w:rsid w:val="00692F57"/>
    <w:rsid w:val="006954E4"/>
    <w:rsid w:val="00695B70"/>
    <w:rsid w:val="00695D8C"/>
    <w:rsid w:val="00697665"/>
    <w:rsid w:val="00697742"/>
    <w:rsid w:val="00697C55"/>
    <w:rsid w:val="00697DD0"/>
    <w:rsid w:val="006A0EB7"/>
    <w:rsid w:val="006A2924"/>
    <w:rsid w:val="006A3A3C"/>
    <w:rsid w:val="006A4637"/>
    <w:rsid w:val="006A4C67"/>
    <w:rsid w:val="006A54F2"/>
    <w:rsid w:val="006A6ACB"/>
    <w:rsid w:val="006A7BB4"/>
    <w:rsid w:val="006A7CB5"/>
    <w:rsid w:val="006A7FD0"/>
    <w:rsid w:val="006B064B"/>
    <w:rsid w:val="006B08EC"/>
    <w:rsid w:val="006B0C4E"/>
    <w:rsid w:val="006B0D3D"/>
    <w:rsid w:val="006B1779"/>
    <w:rsid w:val="006B2398"/>
    <w:rsid w:val="006B24DE"/>
    <w:rsid w:val="006B26D2"/>
    <w:rsid w:val="006B2D45"/>
    <w:rsid w:val="006B318A"/>
    <w:rsid w:val="006B38D1"/>
    <w:rsid w:val="006B39D4"/>
    <w:rsid w:val="006B5019"/>
    <w:rsid w:val="006B5051"/>
    <w:rsid w:val="006B5FA9"/>
    <w:rsid w:val="006B6E0A"/>
    <w:rsid w:val="006B7ACA"/>
    <w:rsid w:val="006C06E6"/>
    <w:rsid w:val="006C116D"/>
    <w:rsid w:val="006C132E"/>
    <w:rsid w:val="006C1463"/>
    <w:rsid w:val="006C18C1"/>
    <w:rsid w:val="006C1A72"/>
    <w:rsid w:val="006C2A51"/>
    <w:rsid w:val="006C2B00"/>
    <w:rsid w:val="006C34C5"/>
    <w:rsid w:val="006C3B52"/>
    <w:rsid w:val="006C4E71"/>
    <w:rsid w:val="006C4F62"/>
    <w:rsid w:val="006C53B1"/>
    <w:rsid w:val="006C61D6"/>
    <w:rsid w:val="006C6EE9"/>
    <w:rsid w:val="006C771B"/>
    <w:rsid w:val="006C7CD4"/>
    <w:rsid w:val="006C7EC1"/>
    <w:rsid w:val="006C7F3D"/>
    <w:rsid w:val="006D0BAE"/>
    <w:rsid w:val="006D2519"/>
    <w:rsid w:val="006D2B93"/>
    <w:rsid w:val="006D3E59"/>
    <w:rsid w:val="006D5552"/>
    <w:rsid w:val="006D5B2B"/>
    <w:rsid w:val="006D6079"/>
    <w:rsid w:val="006D7687"/>
    <w:rsid w:val="006D78DC"/>
    <w:rsid w:val="006D7CF6"/>
    <w:rsid w:val="006E034F"/>
    <w:rsid w:val="006E0572"/>
    <w:rsid w:val="006E0932"/>
    <w:rsid w:val="006E131E"/>
    <w:rsid w:val="006E170C"/>
    <w:rsid w:val="006E19D3"/>
    <w:rsid w:val="006E1E98"/>
    <w:rsid w:val="006E2BF3"/>
    <w:rsid w:val="006E37FA"/>
    <w:rsid w:val="006E508D"/>
    <w:rsid w:val="006E59A1"/>
    <w:rsid w:val="006E5CA4"/>
    <w:rsid w:val="006E66D9"/>
    <w:rsid w:val="006F3617"/>
    <w:rsid w:val="006F3767"/>
    <w:rsid w:val="006F4245"/>
    <w:rsid w:val="006F4EB3"/>
    <w:rsid w:val="006F56C4"/>
    <w:rsid w:val="006F6168"/>
    <w:rsid w:val="006F6B04"/>
    <w:rsid w:val="006F7679"/>
    <w:rsid w:val="006F781F"/>
    <w:rsid w:val="00700370"/>
    <w:rsid w:val="00700B57"/>
    <w:rsid w:val="00700BFB"/>
    <w:rsid w:val="0070141F"/>
    <w:rsid w:val="007014F8"/>
    <w:rsid w:val="007029F1"/>
    <w:rsid w:val="00705403"/>
    <w:rsid w:val="00705631"/>
    <w:rsid w:val="00706C8B"/>
    <w:rsid w:val="00707531"/>
    <w:rsid w:val="00710134"/>
    <w:rsid w:val="00710DF4"/>
    <w:rsid w:val="00711205"/>
    <w:rsid w:val="00711F32"/>
    <w:rsid w:val="007136AC"/>
    <w:rsid w:val="00713BDB"/>
    <w:rsid w:val="00715437"/>
    <w:rsid w:val="00715A10"/>
    <w:rsid w:val="00715EAA"/>
    <w:rsid w:val="0071643A"/>
    <w:rsid w:val="007168C5"/>
    <w:rsid w:val="00716B63"/>
    <w:rsid w:val="00716CC3"/>
    <w:rsid w:val="00720050"/>
    <w:rsid w:val="007213F0"/>
    <w:rsid w:val="00722293"/>
    <w:rsid w:val="00723A5D"/>
    <w:rsid w:val="00723B38"/>
    <w:rsid w:val="00724D11"/>
    <w:rsid w:val="00726952"/>
    <w:rsid w:val="00726F60"/>
    <w:rsid w:val="00730CAD"/>
    <w:rsid w:val="00730EC0"/>
    <w:rsid w:val="00733984"/>
    <w:rsid w:val="00733BCA"/>
    <w:rsid w:val="0073441F"/>
    <w:rsid w:val="0073589B"/>
    <w:rsid w:val="00735AEF"/>
    <w:rsid w:val="00735C0B"/>
    <w:rsid w:val="00736AB2"/>
    <w:rsid w:val="00737D33"/>
    <w:rsid w:val="00740A3E"/>
    <w:rsid w:val="00740E5C"/>
    <w:rsid w:val="007412B8"/>
    <w:rsid w:val="00741A9E"/>
    <w:rsid w:val="00742281"/>
    <w:rsid w:val="00742DD2"/>
    <w:rsid w:val="007435BC"/>
    <w:rsid w:val="007450B9"/>
    <w:rsid w:val="00746E08"/>
    <w:rsid w:val="007472F0"/>
    <w:rsid w:val="00747C96"/>
    <w:rsid w:val="007503E9"/>
    <w:rsid w:val="0075094E"/>
    <w:rsid w:val="00751BB9"/>
    <w:rsid w:val="007522E8"/>
    <w:rsid w:val="00755CC4"/>
    <w:rsid w:val="0075647A"/>
    <w:rsid w:val="007572F9"/>
    <w:rsid w:val="00760166"/>
    <w:rsid w:val="007605E1"/>
    <w:rsid w:val="00760D29"/>
    <w:rsid w:val="00762507"/>
    <w:rsid w:val="00762948"/>
    <w:rsid w:val="00762F48"/>
    <w:rsid w:val="007634AD"/>
    <w:rsid w:val="00763845"/>
    <w:rsid w:val="00764011"/>
    <w:rsid w:val="007641A5"/>
    <w:rsid w:val="0076432E"/>
    <w:rsid w:val="007668D9"/>
    <w:rsid w:val="00766A70"/>
    <w:rsid w:val="00766E39"/>
    <w:rsid w:val="0077013B"/>
    <w:rsid w:val="00770282"/>
    <w:rsid w:val="0077057C"/>
    <w:rsid w:val="007707A7"/>
    <w:rsid w:val="00770A41"/>
    <w:rsid w:val="00770B28"/>
    <w:rsid w:val="00771DF3"/>
    <w:rsid w:val="00773CB2"/>
    <w:rsid w:val="00775563"/>
    <w:rsid w:val="00776689"/>
    <w:rsid w:val="007767FE"/>
    <w:rsid w:val="00776838"/>
    <w:rsid w:val="0078122E"/>
    <w:rsid w:val="007833ED"/>
    <w:rsid w:val="00783A83"/>
    <w:rsid w:val="00785927"/>
    <w:rsid w:val="00786FF8"/>
    <w:rsid w:val="00787DC2"/>
    <w:rsid w:val="00790C3D"/>
    <w:rsid w:val="00792E66"/>
    <w:rsid w:val="00792F13"/>
    <w:rsid w:val="007930A5"/>
    <w:rsid w:val="00793E57"/>
    <w:rsid w:val="00794007"/>
    <w:rsid w:val="00794803"/>
    <w:rsid w:val="00794D3D"/>
    <w:rsid w:val="00795647"/>
    <w:rsid w:val="007970CB"/>
    <w:rsid w:val="007973B1"/>
    <w:rsid w:val="007973D0"/>
    <w:rsid w:val="007A04A7"/>
    <w:rsid w:val="007A174B"/>
    <w:rsid w:val="007A3611"/>
    <w:rsid w:val="007A5737"/>
    <w:rsid w:val="007A5FD3"/>
    <w:rsid w:val="007A6125"/>
    <w:rsid w:val="007A7594"/>
    <w:rsid w:val="007A76FC"/>
    <w:rsid w:val="007B0854"/>
    <w:rsid w:val="007B1A29"/>
    <w:rsid w:val="007B1ACE"/>
    <w:rsid w:val="007B1D86"/>
    <w:rsid w:val="007B27D7"/>
    <w:rsid w:val="007B2D7A"/>
    <w:rsid w:val="007B3789"/>
    <w:rsid w:val="007B4F45"/>
    <w:rsid w:val="007B4F4C"/>
    <w:rsid w:val="007B660A"/>
    <w:rsid w:val="007C0AB3"/>
    <w:rsid w:val="007C1528"/>
    <w:rsid w:val="007C15C8"/>
    <w:rsid w:val="007C209F"/>
    <w:rsid w:val="007C22B6"/>
    <w:rsid w:val="007C2357"/>
    <w:rsid w:val="007C2D7E"/>
    <w:rsid w:val="007C2F6F"/>
    <w:rsid w:val="007C33A6"/>
    <w:rsid w:val="007C4A1C"/>
    <w:rsid w:val="007C4BE5"/>
    <w:rsid w:val="007C58BD"/>
    <w:rsid w:val="007C5C1C"/>
    <w:rsid w:val="007C691F"/>
    <w:rsid w:val="007C7528"/>
    <w:rsid w:val="007D00BD"/>
    <w:rsid w:val="007D01F0"/>
    <w:rsid w:val="007D0B72"/>
    <w:rsid w:val="007D2169"/>
    <w:rsid w:val="007D3671"/>
    <w:rsid w:val="007D4919"/>
    <w:rsid w:val="007D4DBE"/>
    <w:rsid w:val="007D4F06"/>
    <w:rsid w:val="007D4FD1"/>
    <w:rsid w:val="007D5C3E"/>
    <w:rsid w:val="007D6134"/>
    <w:rsid w:val="007D6C71"/>
    <w:rsid w:val="007D7901"/>
    <w:rsid w:val="007D7DD8"/>
    <w:rsid w:val="007E02AE"/>
    <w:rsid w:val="007E0C58"/>
    <w:rsid w:val="007E1312"/>
    <w:rsid w:val="007E14C4"/>
    <w:rsid w:val="007E2102"/>
    <w:rsid w:val="007E25A3"/>
    <w:rsid w:val="007E3ACA"/>
    <w:rsid w:val="007E5C16"/>
    <w:rsid w:val="007E676C"/>
    <w:rsid w:val="007E7A93"/>
    <w:rsid w:val="007F159A"/>
    <w:rsid w:val="007F15AE"/>
    <w:rsid w:val="007F1C69"/>
    <w:rsid w:val="007F2A37"/>
    <w:rsid w:val="007F30C5"/>
    <w:rsid w:val="007F4032"/>
    <w:rsid w:val="007F4118"/>
    <w:rsid w:val="007F41CF"/>
    <w:rsid w:val="007F51B0"/>
    <w:rsid w:val="007F54FB"/>
    <w:rsid w:val="007F5623"/>
    <w:rsid w:val="007F573F"/>
    <w:rsid w:val="007F6A64"/>
    <w:rsid w:val="007F6B46"/>
    <w:rsid w:val="007F6D80"/>
    <w:rsid w:val="007F72CB"/>
    <w:rsid w:val="00800C47"/>
    <w:rsid w:val="0080224B"/>
    <w:rsid w:val="00803335"/>
    <w:rsid w:val="0080370F"/>
    <w:rsid w:val="0080514C"/>
    <w:rsid w:val="00806850"/>
    <w:rsid w:val="00806AD5"/>
    <w:rsid w:val="0081103C"/>
    <w:rsid w:val="008132FA"/>
    <w:rsid w:val="00813644"/>
    <w:rsid w:val="00813988"/>
    <w:rsid w:val="00814E0D"/>
    <w:rsid w:val="0081553B"/>
    <w:rsid w:val="00815BCC"/>
    <w:rsid w:val="008160B2"/>
    <w:rsid w:val="0081691B"/>
    <w:rsid w:val="00817744"/>
    <w:rsid w:val="008178A8"/>
    <w:rsid w:val="00817C29"/>
    <w:rsid w:val="0082065D"/>
    <w:rsid w:val="00820A37"/>
    <w:rsid w:val="008217B7"/>
    <w:rsid w:val="00822950"/>
    <w:rsid w:val="0082422A"/>
    <w:rsid w:val="00824BF9"/>
    <w:rsid w:val="008275CF"/>
    <w:rsid w:val="00830018"/>
    <w:rsid w:val="00830303"/>
    <w:rsid w:val="0083119B"/>
    <w:rsid w:val="00833039"/>
    <w:rsid w:val="0083379D"/>
    <w:rsid w:val="00835917"/>
    <w:rsid w:val="00836EAB"/>
    <w:rsid w:val="00836EDC"/>
    <w:rsid w:val="0083782B"/>
    <w:rsid w:val="00837845"/>
    <w:rsid w:val="00840960"/>
    <w:rsid w:val="008420C6"/>
    <w:rsid w:val="008423BA"/>
    <w:rsid w:val="008434F1"/>
    <w:rsid w:val="008445AD"/>
    <w:rsid w:val="00844864"/>
    <w:rsid w:val="00845AF5"/>
    <w:rsid w:val="00845FC4"/>
    <w:rsid w:val="00846235"/>
    <w:rsid w:val="00846B3D"/>
    <w:rsid w:val="0085092D"/>
    <w:rsid w:val="00850A54"/>
    <w:rsid w:val="00850F79"/>
    <w:rsid w:val="00851723"/>
    <w:rsid w:val="00851D62"/>
    <w:rsid w:val="00852EBF"/>
    <w:rsid w:val="00853074"/>
    <w:rsid w:val="00853AE0"/>
    <w:rsid w:val="00853AF8"/>
    <w:rsid w:val="00854D44"/>
    <w:rsid w:val="00854DB7"/>
    <w:rsid w:val="00857EEA"/>
    <w:rsid w:val="00860F20"/>
    <w:rsid w:val="00861D0A"/>
    <w:rsid w:val="00861F54"/>
    <w:rsid w:val="0086218A"/>
    <w:rsid w:val="008632AF"/>
    <w:rsid w:val="008636DE"/>
    <w:rsid w:val="00864821"/>
    <w:rsid w:val="008654BA"/>
    <w:rsid w:val="00867434"/>
    <w:rsid w:val="00870412"/>
    <w:rsid w:val="00870AF9"/>
    <w:rsid w:val="00871990"/>
    <w:rsid w:val="00872A2E"/>
    <w:rsid w:val="008749A9"/>
    <w:rsid w:val="0087510C"/>
    <w:rsid w:val="00875300"/>
    <w:rsid w:val="00876146"/>
    <w:rsid w:val="0087668B"/>
    <w:rsid w:val="00876868"/>
    <w:rsid w:val="008770F7"/>
    <w:rsid w:val="00880339"/>
    <w:rsid w:val="00880378"/>
    <w:rsid w:val="00880D11"/>
    <w:rsid w:val="0088149F"/>
    <w:rsid w:val="00881812"/>
    <w:rsid w:val="00881A23"/>
    <w:rsid w:val="00882C43"/>
    <w:rsid w:val="00882F5E"/>
    <w:rsid w:val="0088409B"/>
    <w:rsid w:val="0088434E"/>
    <w:rsid w:val="00884CD8"/>
    <w:rsid w:val="0088605D"/>
    <w:rsid w:val="00886168"/>
    <w:rsid w:val="00886E97"/>
    <w:rsid w:val="008870F3"/>
    <w:rsid w:val="00887C57"/>
    <w:rsid w:val="00890D42"/>
    <w:rsid w:val="008915B7"/>
    <w:rsid w:val="00891FB0"/>
    <w:rsid w:val="008927F9"/>
    <w:rsid w:val="0089306D"/>
    <w:rsid w:val="00893E62"/>
    <w:rsid w:val="00894211"/>
    <w:rsid w:val="00894B76"/>
    <w:rsid w:val="00894D5C"/>
    <w:rsid w:val="008975B8"/>
    <w:rsid w:val="0089774F"/>
    <w:rsid w:val="008A18EE"/>
    <w:rsid w:val="008A1936"/>
    <w:rsid w:val="008A1C35"/>
    <w:rsid w:val="008A1C99"/>
    <w:rsid w:val="008A1E91"/>
    <w:rsid w:val="008A2550"/>
    <w:rsid w:val="008A2823"/>
    <w:rsid w:val="008A3153"/>
    <w:rsid w:val="008A383B"/>
    <w:rsid w:val="008A390F"/>
    <w:rsid w:val="008A4934"/>
    <w:rsid w:val="008A519B"/>
    <w:rsid w:val="008A53E8"/>
    <w:rsid w:val="008A5929"/>
    <w:rsid w:val="008A7430"/>
    <w:rsid w:val="008B0FE7"/>
    <w:rsid w:val="008B1829"/>
    <w:rsid w:val="008B29AC"/>
    <w:rsid w:val="008B2C6A"/>
    <w:rsid w:val="008B2CA0"/>
    <w:rsid w:val="008B3AED"/>
    <w:rsid w:val="008B6265"/>
    <w:rsid w:val="008B6B7E"/>
    <w:rsid w:val="008C01A4"/>
    <w:rsid w:val="008C0E2B"/>
    <w:rsid w:val="008C20AC"/>
    <w:rsid w:val="008C2E55"/>
    <w:rsid w:val="008C30C7"/>
    <w:rsid w:val="008C34B5"/>
    <w:rsid w:val="008C3736"/>
    <w:rsid w:val="008C4741"/>
    <w:rsid w:val="008C59B0"/>
    <w:rsid w:val="008C5D2B"/>
    <w:rsid w:val="008C6F87"/>
    <w:rsid w:val="008C732A"/>
    <w:rsid w:val="008C7425"/>
    <w:rsid w:val="008C7C2E"/>
    <w:rsid w:val="008D1EFE"/>
    <w:rsid w:val="008D271F"/>
    <w:rsid w:val="008D2971"/>
    <w:rsid w:val="008D46D3"/>
    <w:rsid w:val="008D56BF"/>
    <w:rsid w:val="008D572E"/>
    <w:rsid w:val="008D6907"/>
    <w:rsid w:val="008D711B"/>
    <w:rsid w:val="008D79F4"/>
    <w:rsid w:val="008D7EE7"/>
    <w:rsid w:val="008E1C15"/>
    <w:rsid w:val="008E345C"/>
    <w:rsid w:val="008E35DC"/>
    <w:rsid w:val="008E3C08"/>
    <w:rsid w:val="008E4723"/>
    <w:rsid w:val="008E4E6A"/>
    <w:rsid w:val="008E5687"/>
    <w:rsid w:val="008E5B74"/>
    <w:rsid w:val="008E7DBB"/>
    <w:rsid w:val="008F0B5E"/>
    <w:rsid w:val="008F0C40"/>
    <w:rsid w:val="008F2683"/>
    <w:rsid w:val="008F2D5F"/>
    <w:rsid w:val="008F39C7"/>
    <w:rsid w:val="008F4973"/>
    <w:rsid w:val="008F538E"/>
    <w:rsid w:val="008F5551"/>
    <w:rsid w:val="008F6CB0"/>
    <w:rsid w:val="008F7712"/>
    <w:rsid w:val="00900304"/>
    <w:rsid w:val="00900817"/>
    <w:rsid w:val="009008CF"/>
    <w:rsid w:val="00900F40"/>
    <w:rsid w:val="0090222E"/>
    <w:rsid w:val="00903497"/>
    <w:rsid w:val="009037EE"/>
    <w:rsid w:val="00904534"/>
    <w:rsid w:val="00904785"/>
    <w:rsid w:val="009047C5"/>
    <w:rsid w:val="009065BE"/>
    <w:rsid w:val="00906A56"/>
    <w:rsid w:val="0091187A"/>
    <w:rsid w:val="00911E6D"/>
    <w:rsid w:val="009139FF"/>
    <w:rsid w:val="00913DEE"/>
    <w:rsid w:val="00914DA0"/>
    <w:rsid w:val="00914F6A"/>
    <w:rsid w:val="00915799"/>
    <w:rsid w:val="00915933"/>
    <w:rsid w:val="00915B66"/>
    <w:rsid w:val="00915D2F"/>
    <w:rsid w:val="00916BB1"/>
    <w:rsid w:val="00916D58"/>
    <w:rsid w:val="009173EE"/>
    <w:rsid w:val="0091758D"/>
    <w:rsid w:val="00917D8E"/>
    <w:rsid w:val="00920A32"/>
    <w:rsid w:val="00921674"/>
    <w:rsid w:val="009224E5"/>
    <w:rsid w:val="00922597"/>
    <w:rsid w:val="00922786"/>
    <w:rsid w:val="009234B9"/>
    <w:rsid w:val="00923802"/>
    <w:rsid w:val="00923BB6"/>
    <w:rsid w:val="009246D0"/>
    <w:rsid w:val="00924C63"/>
    <w:rsid w:val="00927D00"/>
    <w:rsid w:val="00930AB6"/>
    <w:rsid w:val="009350C1"/>
    <w:rsid w:val="009368B9"/>
    <w:rsid w:val="00937020"/>
    <w:rsid w:val="00940DB9"/>
    <w:rsid w:val="0094219D"/>
    <w:rsid w:val="00942374"/>
    <w:rsid w:val="0094567D"/>
    <w:rsid w:val="009458F0"/>
    <w:rsid w:val="00945AAE"/>
    <w:rsid w:val="00945FCA"/>
    <w:rsid w:val="009471A0"/>
    <w:rsid w:val="00947622"/>
    <w:rsid w:val="00951621"/>
    <w:rsid w:val="00951845"/>
    <w:rsid w:val="00951B07"/>
    <w:rsid w:val="00952E8B"/>
    <w:rsid w:val="00952E98"/>
    <w:rsid w:val="0095385A"/>
    <w:rsid w:val="009548D4"/>
    <w:rsid w:val="00955202"/>
    <w:rsid w:val="00955B44"/>
    <w:rsid w:val="00956821"/>
    <w:rsid w:val="00964425"/>
    <w:rsid w:val="00964942"/>
    <w:rsid w:val="009658C0"/>
    <w:rsid w:val="00967268"/>
    <w:rsid w:val="00967CD8"/>
    <w:rsid w:val="00970437"/>
    <w:rsid w:val="00970E5E"/>
    <w:rsid w:val="00971F9D"/>
    <w:rsid w:val="00971FAB"/>
    <w:rsid w:val="009726BB"/>
    <w:rsid w:val="0097301C"/>
    <w:rsid w:val="0097606C"/>
    <w:rsid w:val="00976295"/>
    <w:rsid w:val="00981216"/>
    <w:rsid w:val="00981A2F"/>
    <w:rsid w:val="00982027"/>
    <w:rsid w:val="009820DB"/>
    <w:rsid w:val="0098238F"/>
    <w:rsid w:val="00983695"/>
    <w:rsid w:val="00983F3D"/>
    <w:rsid w:val="0098489D"/>
    <w:rsid w:val="00984AB9"/>
    <w:rsid w:val="00985595"/>
    <w:rsid w:val="00985901"/>
    <w:rsid w:val="00985A2F"/>
    <w:rsid w:val="009862D4"/>
    <w:rsid w:val="009875AF"/>
    <w:rsid w:val="009900DC"/>
    <w:rsid w:val="009906BE"/>
    <w:rsid w:val="0099095D"/>
    <w:rsid w:val="009916A7"/>
    <w:rsid w:val="0099193E"/>
    <w:rsid w:val="00992127"/>
    <w:rsid w:val="009922C8"/>
    <w:rsid w:val="0099237F"/>
    <w:rsid w:val="0099262B"/>
    <w:rsid w:val="009949DF"/>
    <w:rsid w:val="00994DF5"/>
    <w:rsid w:val="00994E2D"/>
    <w:rsid w:val="009976EE"/>
    <w:rsid w:val="009A0F94"/>
    <w:rsid w:val="009A20CC"/>
    <w:rsid w:val="009A23CE"/>
    <w:rsid w:val="009A2B57"/>
    <w:rsid w:val="009A3569"/>
    <w:rsid w:val="009A4826"/>
    <w:rsid w:val="009A60FC"/>
    <w:rsid w:val="009A758C"/>
    <w:rsid w:val="009B4776"/>
    <w:rsid w:val="009B512E"/>
    <w:rsid w:val="009B5190"/>
    <w:rsid w:val="009B5DE1"/>
    <w:rsid w:val="009B61A4"/>
    <w:rsid w:val="009C0D78"/>
    <w:rsid w:val="009C2B44"/>
    <w:rsid w:val="009C2DCC"/>
    <w:rsid w:val="009C31BE"/>
    <w:rsid w:val="009C37DC"/>
    <w:rsid w:val="009C38F7"/>
    <w:rsid w:val="009C4C85"/>
    <w:rsid w:val="009C57EF"/>
    <w:rsid w:val="009C6959"/>
    <w:rsid w:val="009C713B"/>
    <w:rsid w:val="009D2E56"/>
    <w:rsid w:val="009D3BBA"/>
    <w:rsid w:val="009D3CF6"/>
    <w:rsid w:val="009D4945"/>
    <w:rsid w:val="009D4B2F"/>
    <w:rsid w:val="009D52BB"/>
    <w:rsid w:val="009D5C7D"/>
    <w:rsid w:val="009D6E69"/>
    <w:rsid w:val="009E043B"/>
    <w:rsid w:val="009E2846"/>
    <w:rsid w:val="009E30D4"/>
    <w:rsid w:val="009E3C43"/>
    <w:rsid w:val="009E54F2"/>
    <w:rsid w:val="009E5853"/>
    <w:rsid w:val="009E5D6E"/>
    <w:rsid w:val="009E64D5"/>
    <w:rsid w:val="009F1040"/>
    <w:rsid w:val="009F261D"/>
    <w:rsid w:val="009F3602"/>
    <w:rsid w:val="009F5096"/>
    <w:rsid w:val="009F59C2"/>
    <w:rsid w:val="009F6158"/>
    <w:rsid w:val="009F778E"/>
    <w:rsid w:val="009F78A0"/>
    <w:rsid w:val="00A00C1F"/>
    <w:rsid w:val="00A00CEA"/>
    <w:rsid w:val="00A0103E"/>
    <w:rsid w:val="00A010FC"/>
    <w:rsid w:val="00A02213"/>
    <w:rsid w:val="00A03425"/>
    <w:rsid w:val="00A03867"/>
    <w:rsid w:val="00A04977"/>
    <w:rsid w:val="00A04B5C"/>
    <w:rsid w:val="00A05140"/>
    <w:rsid w:val="00A0528D"/>
    <w:rsid w:val="00A05B7A"/>
    <w:rsid w:val="00A066BD"/>
    <w:rsid w:val="00A071E0"/>
    <w:rsid w:val="00A10053"/>
    <w:rsid w:val="00A11895"/>
    <w:rsid w:val="00A12B18"/>
    <w:rsid w:val="00A13886"/>
    <w:rsid w:val="00A13AE3"/>
    <w:rsid w:val="00A14415"/>
    <w:rsid w:val="00A1461C"/>
    <w:rsid w:val="00A146B7"/>
    <w:rsid w:val="00A1571D"/>
    <w:rsid w:val="00A1653D"/>
    <w:rsid w:val="00A16FAB"/>
    <w:rsid w:val="00A1798B"/>
    <w:rsid w:val="00A2084E"/>
    <w:rsid w:val="00A20C9F"/>
    <w:rsid w:val="00A21B32"/>
    <w:rsid w:val="00A228C5"/>
    <w:rsid w:val="00A22FB9"/>
    <w:rsid w:val="00A23693"/>
    <w:rsid w:val="00A23CE5"/>
    <w:rsid w:val="00A2433B"/>
    <w:rsid w:val="00A2439B"/>
    <w:rsid w:val="00A24560"/>
    <w:rsid w:val="00A24834"/>
    <w:rsid w:val="00A27708"/>
    <w:rsid w:val="00A32B79"/>
    <w:rsid w:val="00A33311"/>
    <w:rsid w:val="00A3420B"/>
    <w:rsid w:val="00A34538"/>
    <w:rsid w:val="00A350AF"/>
    <w:rsid w:val="00A35AD8"/>
    <w:rsid w:val="00A371DE"/>
    <w:rsid w:val="00A37C18"/>
    <w:rsid w:val="00A37FB6"/>
    <w:rsid w:val="00A40A28"/>
    <w:rsid w:val="00A42365"/>
    <w:rsid w:val="00A426EC"/>
    <w:rsid w:val="00A43AC7"/>
    <w:rsid w:val="00A44260"/>
    <w:rsid w:val="00A462AB"/>
    <w:rsid w:val="00A46DD4"/>
    <w:rsid w:val="00A500EF"/>
    <w:rsid w:val="00A505A0"/>
    <w:rsid w:val="00A509BC"/>
    <w:rsid w:val="00A51659"/>
    <w:rsid w:val="00A5208D"/>
    <w:rsid w:val="00A529CB"/>
    <w:rsid w:val="00A531A5"/>
    <w:rsid w:val="00A5350E"/>
    <w:rsid w:val="00A5539A"/>
    <w:rsid w:val="00A568F6"/>
    <w:rsid w:val="00A57160"/>
    <w:rsid w:val="00A579E9"/>
    <w:rsid w:val="00A60441"/>
    <w:rsid w:val="00A6066F"/>
    <w:rsid w:val="00A60D5F"/>
    <w:rsid w:val="00A61297"/>
    <w:rsid w:val="00A612F6"/>
    <w:rsid w:val="00A61DDC"/>
    <w:rsid w:val="00A62322"/>
    <w:rsid w:val="00A65AD5"/>
    <w:rsid w:val="00A65DB0"/>
    <w:rsid w:val="00A66BF9"/>
    <w:rsid w:val="00A7090A"/>
    <w:rsid w:val="00A7157E"/>
    <w:rsid w:val="00A715D2"/>
    <w:rsid w:val="00A734C1"/>
    <w:rsid w:val="00A73C6F"/>
    <w:rsid w:val="00A74544"/>
    <w:rsid w:val="00A74E6C"/>
    <w:rsid w:val="00A757E2"/>
    <w:rsid w:val="00A771A5"/>
    <w:rsid w:val="00A82473"/>
    <w:rsid w:val="00A8294C"/>
    <w:rsid w:val="00A83087"/>
    <w:rsid w:val="00A83B9A"/>
    <w:rsid w:val="00A83E55"/>
    <w:rsid w:val="00A83F78"/>
    <w:rsid w:val="00A8570E"/>
    <w:rsid w:val="00A878F0"/>
    <w:rsid w:val="00A87ECD"/>
    <w:rsid w:val="00A87FDE"/>
    <w:rsid w:val="00A91699"/>
    <w:rsid w:val="00A91BEA"/>
    <w:rsid w:val="00A926BE"/>
    <w:rsid w:val="00A944C2"/>
    <w:rsid w:val="00A9502E"/>
    <w:rsid w:val="00A95095"/>
    <w:rsid w:val="00A95142"/>
    <w:rsid w:val="00A9533C"/>
    <w:rsid w:val="00A957B9"/>
    <w:rsid w:val="00A9641E"/>
    <w:rsid w:val="00A96E2D"/>
    <w:rsid w:val="00A97125"/>
    <w:rsid w:val="00A97234"/>
    <w:rsid w:val="00AA08E7"/>
    <w:rsid w:val="00AA0B78"/>
    <w:rsid w:val="00AA0BE1"/>
    <w:rsid w:val="00AA171A"/>
    <w:rsid w:val="00AA2094"/>
    <w:rsid w:val="00AA442B"/>
    <w:rsid w:val="00AA669D"/>
    <w:rsid w:val="00AA7403"/>
    <w:rsid w:val="00AA7503"/>
    <w:rsid w:val="00AA7923"/>
    <w:rsid w:val="00AB0518"/>
    <w:rsid w:val="00AB0808"/>
    <w:rsid w:val="00AB08B2"/>
    <w:rsid w:val="00AB2664"/>
    <w:rsid w:val="00AB3212"/>
    <w:rsid w:val="00AB3581"/>
    <w:rsid w:val="00AB35A6"/>
    <w:rsid w:val="00AB5852"/>
    <w:rsid w:val="00AB5969"/>
    <w:rsid w:val="00AB5A0B"/>
    <w:rsid w:val="00AB5C7F"/>
    <w:rsid w:val="00AB628F"/>
    <w:rsid w:val="00AB6591"/>
    <w:rsid w:val="00AB6875"/>
    <w:rsid w:val="00AC0DF1"/>
    <w:rsid w:val="00AC146A"/>
    <w:rsid w:val="00AC27E8"/>
    <w:rsid w:val="00AC4829"/>
    <w:rsid w:val="00AC4E34"/>
    <w:rsid w:val="00AC514C"/>
    <w:rsid w:val="00AC5690"/>
    <w:rsid w:val="00AC57DD"/>
    <w:rsid w:val="00AC5F3A"/>
    <w:rsid w:val="00AD1A73"/>
    <w:rsid w:val="00AD1C68"/>
    <w:rsid w:val="00AD45E3"/>
    <w:rsid w:val="00AD4D49"/>
    <w:rsid w:val="00AD52AD"/>
    <w:rsid w:val="00AD5839"/>
    <w:rsid w:val="00AE08F9"/>
    <w:rsid w:val="00AE1539"/>
    <w:rsid w:val="00AE2495"/>
    <w:rsid w:val="00AE29D0"/>
    <w:rsid w:val="00AE2D2E"/>
    <w:rsid w:val="00AE32F2"/>
    <w:rsid w:val="00AE3618"/>
    <w:rsid w:val="00AE4B35"/>
    <w:rsid w:val="00AE4C20"/>
    <w:rsid w:val="00AE5ABF"/>
    <w:rsid w:val="00AE61E1"/>
    <w:rsid w:val="00AE6434"/>
    <w:rsid w:val="00AE69A5"/>
    <w:rsid w:val="00AE6C09"/>
    <w:rsid w:val="00AE7779"/>
    <w:rsid w:val="00AE7EE8"/>
    <w:rsid w:val="00AF07FB"/>
    <w:rsid w:val="00AF0BEC"/>
    <w:rsid w:val="00AF373E"/>
    <w:rsid w:val="00AF40F5"/>
    <w:rsid w:val="00AF561D"/>
    <w:rsid w:val="00AF7AA9"/>
    <w:rsid w:val="00B000D8"/>
    <w:rsid w:val="00B012D7"/>
    <w:rsid w:val="00B0182C"/>
    <w:rsid w:val="00B02774"/>
    <w:rsid w:val="00B02AD1"/>
    <w:rsid w:val="00B03CFE"/>
    <w:rsid w:val="00B03D33"/>
    <w:rsid w:val="00B04012"/>
    <w:rsid w:val="00B04087"/>
    <w:rsid w:val="00B04E6F"/>
    <w:rsid w:val="00B04FEA"/>
    <w:rsid w:val="00B050B8"/>
    <w:rsid w:val="00B05411"/>
    <w:rsid w:val="00B074DD"/>
    <w:rsid w:val="00B0753B"/>
    <w:rsid w:val="00B1038A"/>
    <w:rsid w:val="00B10566"/>
    <w:rsid w:val="00B12F06"/>
    <w:rsid w:val="00B13EC0"/>
    <w:rsid w:val="00B15011"/>
    <w:rsid w:val="00B16829"/>
    <w:rsid w:val="00B179C1"/>
    <w:rsid w:val="00B20525"/>
    <w:rsid w:val="00B21442"/>
    <w:rsid w:val="00B22E22"/>
    <w:rsid w:val="00B235C4"/>
    <w:rsid w:val="00B2423F"/>
    <w:rsid w:val="00B2513E"/>
    <w:rsid w:val="00B2548B"/>
    <w:rsid w:val="00B25E66"/>
    <w:rsid w:val="00B27AD4"/>
    <w:rsid w:val="00B30086"/>
    <w:rsid w:val="00B31325"/>
    <w:rsid w:val="00B31F22"/>
    <w:rsid w:val="00B32783"/>
    <w:rsid w:val="00B32BCD"/>
    <w:rsid w:val="00B32DB2"/>
    <w:rsid w:val="00B35625"/>
    <w:rsid w:val="00B359ED"/>
    <w:rsid w:val="00B36260"/>
    <w:rsid w:val="00B3774D"/>
    <w:rsid w:val="00B37C00"/>
    <w:rsid w:val="00B40E3C"/>
    <w:rsid w:val="00B426AA"/>
    <w:rsid w:val="00B44270"/>
    <w:rsid w:val="00B44AD6"/>
    <w:rsid w:val="00B44E8E"/>
    <w:rsid w:val="00B46C42"/>
    <w:rsid w:val="00B47CE9"/>
    <w:rsid w:val="00B5061E"/>
    <w:rsid w:val="00B51003"/>
    <w:rsid w:val="00B512FD"/>
    <w:rsid w:val="00B525CB"/>
    <w:rsid w:val="00B5487A"/>
    <w:rsid w:val="00B552B6"/>
    <w:rsid w:val="00B5546E"/>
    <w:rsid w:val="00B5566E"/>
    <w:rsid w:val="00B55851"/>
    <w:rsid w:val="00B560D5"/>
    <w:rsid w:val="00B5756C"/>
    <w:rsid w:val="00B5758A"/>
    <w:rsid w:val="00B57B27"/>
    <w:rsid w:val="00B60461"/>
    <w:rsid w:val="00B61B4F"/>
    <w:rsid w:val="00B629FE"/>
    <w:rsid w:val="00B62A61"/>
    <w:rsid w:val="00B62F95"/>
    <w:rsid w:val="00B633F9"/>
    <w:rsid w:val="00B63872"/>
    <w:rsid w:val="00B63CB2"/>
    <w:rsid w:val="00B641D9"/>
    <w:rsid w:val="00B64EDB"/>
    <w:rsid w:val="00B654E7"/>
    <w:rsid w:val="00B66578"/>
    <w:rsid w:val="00B71C79"/>
    <w:rsid w:val="00B7315F"/>
    <w:rsid w:val="00B750D9"/>
    <w:rsid w:val="00B76540"/>
    <w:rsid w:val="00B76967"/>
    <w:rsid w:val="00B77A85"/>
    <w:rsid w:val="00B77F95"/>
    <w:rsid w:val="00B80E58"/>
    <w:rsid w:val="00B81F6E"/>
    <w:rsid w:val="00B8265D"/>
    <w:rsid w:val="00B84416"/>
    <w:rsid w:val="00B84BA7"/>
    <w:rsid w:val="00B85186"/>
    <w:rsid w:val="00B90316"/>
    <w:rsid w:val="00B91AF0"/>
    <w:rsid w:val="00B91B8E"/>
    <w:rsid w:val="00B92052"/>
    <w:rsid w:val="00B9340C"/>
    <w:rsid w:val="00B9384C"/>
    <w:rsid w:val="00B93C9A"/>
    <w:rsid w:val="00B94548"/>
    <w:rsid w:val="00B955AB"/>
    <w:rsid w:val="00B95AC8"/>
    <w:rsid w:val="00B9618B"/>
    <w:rsid w:val="00B96AA5"/>
    <w:rsid w:val="00B97E63"/>
    <w:rsid w:val="00BA19D8"/>
    <w:rsid w:val="00BA2325"/>
    <w:rsid w:val="00BA2821"/>
    <w:rsid w:val="00BA2923"/>
    <w:rsid w:val="00BA326A"/>
    <w:rsid w:val="00BA3286"/>
    <w:rsid w:val="00BA3871"/>
    <w:rsid w:val="00BA4D28"/>
    <w:rsid w:val="00BA4E77"/>
    <w:rsid w:val="00BA60E7"/>
    <w:rsid w:val="00BA730B"/>
    <w:rsid w:val="00BB00BC"/>
    <w:rsid w:val="00BB2041"/>
    <w:rsid w:val="00BB341A"/>
    <w:rsid w:val="00BB3681"/>
    <w:rsid w:val="00BB3B04"/>
    <w:rsid w:val="00BB3EE8"/>
    <w:rsid w:val="00BB4C74"/>
    <w:rsid w:val="00BB584D"/>
    <w:rsid w:val="00BB7084"/>
    <w:rsid w:val="00BB7E79"/>
    <w:rsid w:val="00BC2704"/>
    <w:rsid w:val="00BC3EC6"/>
    <w:rsid w:val="00BC4869"/>
    <w:rsid w:val="00BC5FD8"/>
    <w:rsid w:val="00BC7280"/>
    <w:rsid w:val="00BD120E"/>
    <w:rsid w:val="00BD15FA"/>
    <w:rsid w:val="00BD1F87"/>
    <w:rsid w:val="00BD2036"/>
    <w:rsid w:val="00BD2700"/>
    <w:rsid w:val="00BD71A6"/>
    <w:rsid w:val="00BD78FE"/>
    <w:rsid w:val="00BE0AD3"/>
    <w:rsid w:val="00BE0EC8"/>
    <w:rsid w:val="00BE15DA"/>
    <w:rsid w:val="00BE16E8"/>
    <w:rsid w:val="00BE1CEA"/>
    <w:rsid w:val="00BE2879"/>
    <w:rsid w:val="00BE2BCB"/>
    <w:rsid w:val="00BE3443"/>
    <w:rsid w:val="00BE4C34"/>
    <w:rsid w:val="00BE642B"/>
    <w:rsid w:val="00BE67A9"/>
    <w:rsid w:val="00BE72D6"/>
    <w:rsid w:val="00BE7DEE"/>
    <w:rsid w:val="00BE7E91"/>
    <w:rsid w:val="00BF31BA"/>
    <w:rsid w:val="00BF3C4C"/>
    <w:rsid w:val="00BF3EC5"/>
    <w:rsid w:val="00BF447C"/>
    <w:rsid w:val="00BF55EF"/>
    <w:rsid w:val="00BF5E9C"/>
    <w:rsid w:val="00BF618F"/>
    <w:rsid w:val="00BF653A"/>
    <w:rsid w:val="00BF68F6"/>
    <w:rsid w:val="00BF6D9D"/>
    <w:rsid w:val="00BF7724"/>
    <w:rsid w:val="00C00202"/>
    <w:rsid w:val="00C00B9C"/>
    <w:rsid w:val="00C014AB"/>
    <w:rsid w:val="00C0241E"/>
    <w:rsid w:val="00C02CA7"/>
    <w:rsid w:val="00C0362B"/>
    <w:rsid w:val="00C03773"/>
    <w:rsid w:val="00C0469E"/>
    <w:rsid w:val="00C055D5"/>
    <w:rsid w:val="00C06A57"/>
    <w:rsid w:val="00C06B30"/>
    <w:rsid w:val="00C06FBB"/>
    <w:rsid w:val="00C079E8"/>
    <w:rsid w:val="00C07B9B"/>
    <w:rsid w:val="00C126E0"/>
    <w:rsid w:val="00C1387A"/>
    <w:rsid w:val="00C1486D"/>
    <w:rsid w:val="00C170AF"/>
    <w:rsid w:val="00C17177"/>
    <w:rsid w:val="00C17D83"/>
    <w:rsid w:val="00C17E35"/>
    <w:rsid w:val="00C20738"/>
    <w:rsid w:val="00C20AB9"/>
    <w:rsid w:val="00C21162"/>
    <w:rsid w:val="00C220CE"/>
    <w:rsid w:val="00C225E9"/>
    <w:rsid w:val="00C22AF4"/>
    <w:rsid w:val="00C22BB6"/>
    <w:rsid w:val="00C24150"/>
    <w:rsid w:val="00C245B6"/>
    <w:rsid w:val="00C24D7E"/>
    <w:rsid w:val="00C2524E"/>
    <w:rsid w:val="00C25DEC"/>
    <w:rsid w:val="00C269AB"/>
    <w:rsid w:val="00C26A13"/>
    <w:rsid w:val="00C27711"/>
    <w:rsid w:val="00C3033B"/>
    <w:rsid w:val="00C309CE"/>
    <w:rsid w:val="00C32018"/>
    <w:rsid w:val="00C32119"/>
    <w:rsid w:val="00C324CD"/>
    <w:rsid w:val="00C34208"/>
    <w:rsid w:val="00C34AAC"/>
    <w:rsid w:val="00C3555C"/>
    <w:rsid w:val="00C366C4"/>
    <w:rsid w:val="00C36C8E"/>
    <w:rsid w:val="00C373C2"/>
    <w:rsid w:val="00C374F0"/>
    <w:rsid w:val="00C375CB"/>
    <w:rsid w:val="00C37B92"/>
    <w:rsid w:val="00C40461"/>
    <w:rsid w:val="00C404E4"/>
    <w:rsid w:val="00C41AE9"/>
    <w:rsid w:val="00C41CB9"/>
    <w:rsid w:val="00C424B1"/>
    <w:rsid w:val="00C42508"/>
    <w:rsid w:val="00C42C10"/>
    <w:rsid w:val="00C42D9F"/>
    <w:rsid w:val="00C4437C"/>
    <w:rsid w:val="00C444D0"/>
    <w:rsid w:val="00C45725"/>
    <w:rsid w:val="00C472D7"/>
    <w:rsid w:val="00C50170"/>
    <w:rsid w:val="00C50A4B"/>
    <w:rsid w:val="00C51715"/>
    <w:rsid w:val="00C534F4"/>
    <w:rsid w:val="00C53514"/>
    <w:rsid w:val="00C5372F"/>
    <w:rsid w:val="00C53D2D"/>
    <w:rsid w:val="00C53DF9"/>
    <w:rsid w:val="00C54978"/>
    <w:rsid w:val="00C54BAF"/>
    <w:rsid w:val="00C60DBA"/>
    <w:rsid w:val="00C62699"/>
    <w:rsid w:val="00C6465E"/>
    <w:rsid w:val="00C647E9"/>
    <w:rsid w:val="00C64A86"/>
    <w:rsid w:val="00C64E43"/>
    <w:rsid w:val="00C6552A"/>
    <w:rsid w:val="00C65533"/>
    <w:rsid w:val="00C668B5"/>
    <w:rsid w:val="00C66DA8"/>
    <w:rsid w:val="00C70B9D"/>
    <w:rsid w:val="00C70CB7"/>
    <w:rsid w:val="00C72702"/>
    <w:rsid w:val="00C75629"/>
    <w:rsid w:val="00C758C6"/>
    <w:rsid w:val="00C758D8"/>
    <w:rsid w:val="00C76212"/>
    <w:rsid w:val="00C76AD9"/>
    <w:rsid w:val="00C77041"/>
    <w:rsid w:val="00C77849"/>
    <w:rsid w:val="00C77F03"/>
    <w:rsid w:val="00C818AF"/>
    <w:rsid w:val="00C81ADC"/>
    <w:rsid w:val="00C81F3D"/>
    <w:rsid w:val="00C8217C"/>
    <w:rsid w:val="00C822C2"/>
    <w:rsid w:val="00C837D5"/>
    <w:rsid w:val="00C841DD"/>
    <w:rsid w:val="00C8458D"/>
    <w:rsid w:val="00C85D2E"/>
    <w:rsid w:val="00C85EA2"/>
    <w:rsid w:val="00C8725E"/>
    <w:rsid w:val="00C90701"/>
    <w:rsid w:val="00C9106A"/>
    <w:rsid w:val="00C91242"/>
    <w:rsid w:val="00C91E8D"/>
    <w:rsid w:val="00C92E3E"/>
    <w:rsid w:val="00C93279"/>
    <w:rsid w:val="00C9585F"/>
    <w:rsid w:val="00C96C1B"/>
    <w:rsid w:val="00C97AAA"/>
    <w:rsid w:val="00CA059D"/>
    <w:rsid w:val="00CA0CB1"/>
    <w:rsid w:val="00CA0D53"/>
    <w:rsid w:val="00CA1571"/>
    <w:rsid w:val="00CA2C72"/>
    <w:rsid w:val="00CA365B"/>
    <w:rsid w:val="00CA3C23"/>
    <w:rsid w:val="00CA60BE"/>
    <w:rsid w:val="00CA6FB7"/>
    <w:rsid w:val="00CA7385"/>
    <w:rsid w:val="00CB0765"/>
    <w:rsid w:val="00CB2B36"/>
    <w:rsid w:val="00CB2C0F"/>
    <w:rsid w:val="00CB3E09"/>
    <w:rsid w:val="00CB3E91"/>
    <w:rsid w:val="00CB42FC"/>
    <w:rsid w:val="00CB5943"/>
    <w:rsid w:val="00CB619A"/>
    <w:rsid w:val="00CB63B3"/>
    <w:rsid w:val="00CB67C1"/>
    <w:rsid w:val="00CB772B"/>
    <w:rsid w:val="00CC00CD"/>
    <w:rsid w:val="00CC0339"/>
    <w:rsid w:val="00CC0B3D"/>
    <w:rsid w:val="00CC0E85"/>
    <w:rsid w:val="00CC1F51"/>
    <w:rsid w:val="00CC4DF1"/>
    <w:rsid w:val="00CC748E"/>
    <w:rsid w:val="00CD02E0"/>
    <w:rsid w:val="00CD2B8C"/>
    <w:rsid w:val="00CD305E"/>
    <w:rsid w:val="00CD4A86"/>
    <w:rsid w:val="00CD4D77"/>
    <w:rsid w:val="00CD5576"/>
    <w:rsid w:val="00CD67EE"/>
    <w:rsid w:val="00CD7005"/>
    <w:rsid w:val="00CD7E27"/>
    <w:rsid w:val="00CE12E2"/>
    <w:rsid w:val="00CE15B5"/>
    <w:rsid w:val="00CE2805"/>
    <w:rsid w:val="00CE2F3A"/>
    <w:rsid w:val="00CE4E6E"/>
    <w:rsid w:val="00CE7A1A"/>
    <w:rsid w:val="00CF02E0"/>
    <w:rsid w:val="00CF0701"/>
    <w:rsid w:val="00CF09CC"/>
    <w:rsid w:val="00CF1B01"/>
    <w:rsid w:val="00CF261A"/>
    <w:rsid w:val="00CF2633"/>
    <w:rsid w:val="00CF267E"/>
    <w:rsid w:val="00CF2CB7"/>
    <w:rsid w:val="00CF4E65"/>
    <w:rsid w:val="00CF600D"/>
    <w:rsid w:val="00CF71ED"/>
    <w:rsid w:val="00CF7275"/>
    <w:rsid w:val="00CF7A13"/>
    <w:rsid w:val="00D01760"/>
    <w:rsid w:val="00D01848"/>
    <w:rsid w:val="00D01EBF"/>
    <w:rsid w:val="00D04503"/>
    <w:rsid w:val="00D06596"/>
    <w:rsid w:val="00D077EB"/>
    <w:rsid w:val="00D078B8"/>
    <w:rsid w:val="00D10800"/>
    <w:rsid w:val="00D12085"/>
    <w:rsid w:val="00D129EB"/>
    <w:rsid w:val="00D13D5F"/>
    <w:rsid w:val="00D15433"/>
    <w:rsid w:val="00D15B95"/>
    <w:rsid w:val="00D16E39"/>
    <w:rsid w:val="00D170B9"/>
    <w:rsid w:val="00D1729C"/>
    <w:rsid w:val="00D17379"/>
    <w:rsid w:val="00D1798A"/>
    <w:rsid w:val="00D21C43"/>
    <w:rsid w:val="00D220D3"/>
    <w:rsid w:val="00D2214A"/>
    <w:rsid w:val="00D223B6"/>
    <w:rsid w:val="00D22BEB"/>
    <w:rsid w:val="00D23AD8"/>
    <w:rsid w:val="00D2423E"/>
    <w:rsid w:val="00D25DC9"/>
    <w:rsid w:val="00D261E8"/>
    <w:rsid w:val="00D2686C"/>
    <w:rsid w:val="00D26B57"/>
    <w:rsid w:val="00D26E1A"/>
    <w:rsid w:val="00D27442"/>
    <w:rsid w:val="00D27E69"/>
    <w:rsid w:val="00D30F01"/>
    <w:rsid w:val="00D32A50"/>
    <w:rsid w:val="00D350DE"/>
    <w:rsid w:val="00D35FC1"/>
    <w:rsid w:val="00D41655"/>
    <w:rsid w:val="00D41EE1"/>
    <w:rsid w:val="00D42298"/>
    <w:rsid w:val="00D42E4F"/>
    <w:rsid w:val="00D4320D"/>
    <w:rsid w:val="00D44E97"/>
    <w:rsid w:val="00D460D9"/>
    <w:rsid w:val="00D46FDB"/>
    <w:rsid w:val="00D47709"/>
    <w:rsid w:val="00D506C0"/>
    <w:rsid w:val="00D517B4"/>
    <w:rsid w:val="00D51C8D"/>
    <w:rsid w:val="00D52475"/>
    <w:rsid w:val="00D53894"/>
    <w:rsid w:val="00D53C6C"/>
    <w:rsid w:val="00D54876"/>
    <w:rsid w:val="00D54C45"/>
    <w:rsid w:val="00D54D4B"/>
    <w:rsid w:val="00D55893"/>
    <w:rsid w:val="00D56EC9"/>
    <w:rsid w:val="00D56F1D"/>
    <w:rsid w:val="00D60327"/>
    <w:rsid w:val="00D612BB"/>
    <w:rsid w:val="00D6378F"/>
    <w:rsid w:val="00D641C3"/>
    <w:rsid w:val="00D64981"/>
    <w:rsid w:val="00D650B5"/>
    <w:rsid w:val="00D65318"/>
    <w:rsid w:val="00D654E9"/>
    <w:rsid w:val="00D66C4F"/>
    <w:rsid w:val="00D670E1"/>
    <w:rsid w:val="00D672B1"/>
    <w:rsid w:val="00D679D8"/>
    <w:rsid w:val="00D7075B"/>
    <w:rsid w:val="00D710B9"/>
    <w:rsid w:val="00D71D22"/>
    <w:rsid w:val="00D72126"/>
    <w:rsid w:val="00D72E9D"/>
    <w:rsid w:val="00D73FA7"/>
    <w:rsid w:val="00D74765"/>
    <w:rsid w:val="00D7568C"/>
    <w:rsid w:val="00D757E1"/>
    <w:rsid w:val="00D7727A"/>
    <w:rsid w:val="00D81339"/>
    <w:rsid w:val="00D82CE5"/>
    <w:rsid w:val="00D84FE0"/>
    <w:rsid w:val="00D85A25"/>
    <w:rsid w:val="00D85C8F"/>
    <w:rsid w:val="00D86474"/>
    <w:rsid w:val="00D86E0F"/>
    <w:rsid w:val="00D87181"/>
    <w:rsid w:val="00D8736E"/>
    <w:rsid w:val="00D90EFA"/>
    <w:rsid w:val="00D914DB"/>
    <w:rsid w:val="00D92770"/>
    <w:rsid w:val="00D9294B"/>
    <w:rsid w:val="00D93287"/>
    <w:rsid w:val="00D94D04"/>
    <w:rsid w:val="00D95BD9"/>
    <w:rsid w:val="00D970D3"/>
    <w:rsid w:val="00D978B4"/>
    <w:rsid w:val="00D97DDD"/>
    <w:rsid w:val="00DA191E"/>
    <w:rsid w:val="00DA272F"/>
    <w:rsid w:val="00DA2A78"/>
    <w:rsid w:val="00DA41EF"/>
    <w:rsid w:val="00DA583D"/>
    <w:rsid w:val="00DA5AB1"/>
    <w:rsid w:val="00DA5D62"/>
    <w:rsid w:val="00DA77EC"/>
    <w:rsid w:val="00DA7A0D"/>
    <w:rsid w:val="00DA7B6E"/>
    <w:rsid w:val="00DA7CCA"/>
    <w:rsid w:val="00DB0DFA"/>
    <w:rsid w:val="00DB1542"/>
    <w:rsid w:val="00DB28B8"/>
    <w:rsid w:val="00DB3D31"/>
    <w:rsid w:val="00DB52CC"/>
    <w:rsid w:val="00DB6234"/>
    <w:rsid w:val="00DB68F9"/>
    <w:rsid w:val="00DB7404"/>
    <w:rsid w:val="00DC02B2"/>
    <w:rsid w:val="00DC0DA0"/>
    <w:rsid w:val="00DC1562"/>
    <w:rsid w:val="00DC2AFD"/>
    <w:rsid w:val="00DC3544"/>
    <w:rsid w:val="00DC3A87"/>
    <w:rsid w:val="00DC4E41"/>
    <w:rsid w:val="00DC62E5"/>
    <w:rsid w:val="00DC7191"/>
    <w:rsid w:val="00DC743F"/>
    <w:rsid w:val="00DC78DC"/>
    <w:rsid w:val="00DD0BB0"/>
    <w:rsid w:val="00DD293E"/>
    <w:rsid w:val="00DD2DAB"/>
    <w:rsid w:val="00DD32A0"/>
    <w:rsid w:val="00DD3E02"/>
    <w:rsid w:val="00DD3E55"/>
    <w:rsid w:val="00DD451F"/>
    <w:rsid w:val="00DD47A2"/>
    <w:rsid w:val="00DD49C4"/>
    <w:rsid w:val="00DD5376"/>
    <w:rsid w:val="00DD54ED"/>
    <w:rsid w:val="00DD63F6"/>
    <w:rsid w:val="00DD652D"/>
    <w:rsid w:val="00DD6845"/>
    <w:rsid w:val="00DD6847"/>
    <w:rsid w:val="00DD68E7"/>
    <w:rsid w:val="00DD6960"/>
    <w:rsid w:val="00DD735D"/>
    <w:rsid w:val="00DD7FA8"/>
    <w:rsid w:val="00DE07A5"/>
    <w:rsid w:val="00DE247F"/>
    <w:rsid w:val="00DE308A"/>
    <w:rsid w:val="00DE3119"/>
    <w:rsid w:val="00DE3139"/>
    <w:rsid w:val="00DE3BBA"/>
    <w:rsid w:val="00DE48E2"/>
    <w:rsid w:val="00DE5BCA"/>
    <w:rsid w:val="00DE6872"/>
    <w:rsid w:val="00DE7D5E"/>
    <w:rsid w:val="00DF0650"/>
    <w:rsid w:val="00DF20FB"/>
    <w:rsid w:val="00DF2128"/>
    <w:rsid w:val="00DF236B"/>
    <w:rsid w:val="00DF2804"/>
    <w:rsid w:val="00DF28C7"/>
    <w:rsid w:val="00DF2C63"/>
    <w:rsid w:val="00DF3553"/>
    <w:rsid w:val="00DF3F8D"/>
    <w:rsid w:val="00DF64F5"/>
    <w:rsid w:val="00DF6792"/>
    <w:rsid w:val="00DF6AA5"/>
    <w:rsid w:val="00DF7086"/>
    <w:rsid w:val="00DF7F9E"/>
    <w:rsid w:val="00E00221"/>
    <w:rsid w:val="00E002A0"/>
    <w:rsid w:val="00E0048D"/>
    <w:rsid w:val="00E00F1D"/>
    <w:rsid w:val="00E018F9"/>
    <w:rsid w:val="00E019EA"/>
    <w:rsid w:val="00E02842"/>
    <w:rsid w:val="00E02B70"/>
    <w:rsid w:val="00E02E2E"/>
    <w:rsid w:val="00E04A52"/>
    <w:rsid w:val="00E057C5"/>
    <w:rsid w:val="00E0677C"/>
    <w:rsid w:val="00E06A8D"/>
    <w:rsid w:val="00E07E85"/>
    <w:rsid w:val="00E10879"/>
    <w:rsid w:val="00E111EA"/>
    <w:rsid w:val="00E11408"/>
    <w:rsid w:val="00E13AB8"/>
    <w:rsid w:val="00E13D3F"/>
    <w:rsid w:val="00E1640E"/>
    <w:rsid w:val="00E16924"/>
    <w:rsid w:val="00E222D4"/>
    <w:rsid w:val="00E228D6"/>
    <w:rsid w:val="00E234D7"/>
    <w:rsid w:val="00E23C70"/>
    <w:rsid w:val="00E25CB3"/>
    <w:rsid w:val="00E276AC"/>
    <w:rsid w:val="00E27E15"/>
    <w:rsid w:val="00E3074B"/>
    <w:rsid w:val="00E31A47"/>
    <w:rsid w:val="00E32361"/>
    <w:rsid w:val="00E32A49"/>
    <w:rsid w:val="00E33B62"/>
    <w:rsid w:val="00E34106"/>
    <w:rsid w:val="00E34DEB"/>
    <w:rsid w:val="00E354CF"/>
    <w:rsid w:val="00E356D7"/>
    <w:rsid w:val="00E359EB"/>
    <w:rsid w:val="00E36139"/>
    <w:rsid w:val="00E40D14"/>
    <w:rsid w:val="00E4143A"/>
    <w:rsid w:val="00E41823"/>
    <w:rsid w:val="00E41943"/>
    <w:rsid w:val="00E42461"/>
    <w:rsid w:val="00E426F5"/>
    <w:rsid w:val="00E42761"/>
    <w:rsid w:val="00E43624"/>
    <w:rsid w:val="00E44610"/>
    <w:rsid w:val="00E46137"/>
    <w:rsid w:val="00E50774"/>
    <w:rsid w:val="00E510C7"/>
    <w:rsid w:val="00E5199E"/>
    <w:rsid w:val="00E51CF8"/>
    <w:rsid w:val="00E52E0F"/>
    <w:rsid w:val="00E53B77"/>
    <w:rsid w:val="00E54365"/>
    <w:rsid w:val="00E5462E"/>
    <w:rsid w:val="00E56338"/>
    <w:rsid w:val="00E56EC0"/>
    <w:rsid w:val="00E57652"/>
    <w:rsid w:val="00E609DE"/>
    <w:rsid w:val="00E62C10"/>
    <w:rsid w:val="00E631C7"/>
    <w:rsid w:val="00E65BDD"/>
    <w:rsid w:val="00E66455"/>
    <w:rsid w:val="00E66F90"/>
    <w:rsid w:val="00E70C4B"/>
    <w:rsid w:val="00E73728"/>
    <w:rsid w:val="00E73C2F"/>
    <w:rsid w:val="00E73F9E"/>
    <w:rsid w:val="00E742E7"/>
    <w:rsid w:val="00E76013"/>
    <w:rsid w:val="00E76D64"/>
    <w:rsid w:val="00E76DD0"/>
    <w:rsid w:val="00E76F4B"/>
    <w:rsid w:val="00E8102A"/>
    <w:rsid w:val="00E81300"/>
    <w:rsid w:val="00E81CD9"/>
    <w:rsid w:val="00E81FD0"/>
    <w:rsid w:val="00E82724"/>
    <w:rsid w:val="00E84BEA"/>
    <w:rsid w:val="00E87FB5"/>
    <w:rsid w:val="00E90584"/>
    <w:rsid w:val="00E90617"/>
    <w:rsid w:val="00E90847"/>
    <w:rsid w:val="00E90D3F"/>
    <w:rsid w:val="00E91B88"/>
    <w:rsid w:val="00E94FCE"/>
    <w:rsid w:val="00E9622C"/>
    <w:rsid w:val="00E96F17"/>
    <w:rsid w:val="00E96F1A"/>
    <w:rsid w:val="00EA04BE"/>
    <w:rsid w:val="00EA0C86"/>
    <w:rsid w:val="00EA1918"/>
    <w:rsid w:val="00EA1DB5"/>
    <w:rsid w:val="00EA2015"/>
    <w:rsid w:val="00EA2E7A"/>
    <w:rsid w:val="00EA3139"/>
    <w:rsid w:val="00EA32C7"/>
    <w:rsid w:val="00EA3761"/>
    <w:rsid w:val="00EA37AD"/>
    <w:rsid w:val="00EA3916"/>
    <w:rsid w:val="00EA3B8E"/>
    <w:rsid w:val="00EA4951"/>
    <w:rsid w:val="00EA620F"/>
    <w:rsid w:val="00EB03A0"/>
    <w:rsid w:val="00EB0D38"/>
    <w:rsid w:val="00EB23D0"/>
    <w:rsid w:val="00EB2CBD"/>
    <w:rsid w:val="00EB5263"/>
    <w:rsid w:val="00EB5408"/>
    <w:rsid w:val="00EB55EE"/>
    <w:rsid w:val="00EB5A79"/>
    <w:rsid w:val="00EB5E41"/>
    <w:rsid w:val="00EC1C61"/>
    <w:rsid w:val="00EC21AF"/>
    <w:rsid w:val="00EC2339"/>
    <w:rsid w:val="00EC5592"/>
    <w:rsid w:val="00EC5B1B"/>
    <w:rsid w:val="00EC64F9"/>
    <w:rsid w:val="00EC77E0"/>
    <w:rsid w:val="00ED0181"/>
    <w:rsid w:val="00ED05A8"/>
    <w:rsid w:val="00ED0D83"/>
    <w:rsid w:val="00ED18C9"/>
    <w:rsid w:val="00ED1921"/>
    <w:rsid w:val="00ED1A5E"/>
    <w:rsid w:val="00ED21E1"/>
    <w:rsid w:val="00ED2C7A"/>
    <w:rsid w:val="00ED3136"/>
    <w:rsid w:val="00ED34C2"/>
    <w:rsid w:val="00ED5E7E"/>
    <w:rsid w:val="00ED6D48"/>
    <w:rsid w:val="00ED716D"/>
    <w:rsid w:val="00EE084F"/>
    <w:rsid w:val="00EE2C9C"/>
    <w:rsid w:val="00EE336A"/>
    <w:rsid w:val="00EE3508"/>
    <w:rsid w:val="00EE4DB1"/>
    <w:rsid w:val="00EE506E"/>
    <w:rsid w:val="00EE55BB"/>
    <w:rsid w:val="00EE59B5"/>
    <w:rsid w:val="00EE64FF"/>
    <w:rsid w:val="00EE6A82"/>
    <w:rsid w:val="00EE6D6F"/>
    <w:rsid w:val="00EE75CC"/>
    <w:rsid w:val="00EE792F"/>
    <w:rsid w:val="00EE7C1A"/>
    <w:rsid w:val="00EF0420"/>
    <w:rsid w:val="00EF169E"/>
    <w:rsid w:val="00EF1F7B"/>
    <w:rsid w:val="00EF28A9"/>
    <w:rsid w:val="00EF2D58"/>
    <w:rsid w:val="00EF3258"/>
    <w:rsid w:val="00EF34F4"/>
    <w:rsid w:val="00EF3F42"/>
    <w:rsid w:val="00EF4E3B"/>
    <w:rsid w:val="00EF5547"/>
    <w:rsid w:val="00EF5E27"/>
    <w:rsid w:val="00EF64D8"/>
    <w:rsid w:val="00EF6FEA"/>
    <w:rsid w:val="00F0076F"/>
    <w:rsid w:val="00F01990"/>
    <w:rsid w:val="00F025D4"/>
    <w:rsid w:val="00F033A6"/>
    <w:rsid w:val="00F03E63"/>
    <w:rsid w:val="00F04156"/>
    <w:rsid w:val="00F04D40"/>
    <w:rsid w:val="00F05E5B"/>
    <w:rsid w:val="00F0608C"/>
    <w:rsid w:val="00F06296"/>
    <w:rsid w:val="00F06A29"/>
    <w:rsid w:val="00F07285"/>
    <w:rsid w:val="00F074DD"/>
    <w:rsid w:val="00F0774D"/>
    <w:rsid w:val="00F077AE"/>
    <w:rsid w:val="00F10954"/>
    <w:rsid w:val="00F1155E"/>
    <w:rsid w:val="00F11955"/>
    <w:rsid w:val="00F11D29"/>
    <w:rsid w:val="00F128BC"/>
    <w:rsid w:val="00F13B57"/>
    <w:rsid w:val="00F158B5"/>
    <w:rsid w:val="00F16AE2"/>
    <w:rsid w:val="00F172E0"/>
    <w:rsid w:val="00F2035B"/>
    <w:rsid w:val="00F2107D"/>
    <w:rsid w:val="00F21519"/>
    <w:rsid w:val="00F2195A"/>
    <w:rsid w:val="00F21B2C"/>
    <w:rsid w:val="00F21BA2"/>
    <w:rsid w:val="00F21D09"/>
    <w:rsid w:val="00F2274F"/>
    <w:rsid w:val="00F24230"/>
    <w:rsid w:val="00F25C0B"/>
    <w:rsid w:val="00F26F3C"/>
    <w:rsid w:val="00F26F4E"/>
    <w:rsid w:val="00F301AD"/>
    <w:rsid w:val="00F3110C"/>
    <w:rsid w:val="00F311B3"/>
    <w:rsid w:val="00F33364"/>
    <w:rsid w:val="00F34431"/>
    <w:rsid w:val="00F34C8E"/>
    <w:rsid w:val="00F34CBA"/>
    <w:rsid w:val="00F3533F"/>
    <w:rsid w:val="00F3791E"/>
    <w:rsid w:val="00F42CA4"/>
    <w:rsid w:val="00F4315D"/>
    <w:rsid w:val="00F43A17"/>
    <w:rsid w:val="00F43A68"/>
    <w:rsid w:val="00F476A9"/>
    <w:rsid w:val="00F47A21"/>
    <w:rsid w:val="00F5101F"/>
    <w:rsid w:val="00F5123F"/>
    <w:rsid w:val="00F51E02"/>
    <w:rsid w:val="00F520D5"/>
    <w:rsid w:val="00F536CD"/>
    <w:rsid w:val="00F539C8"/>
    <w:rsid w:val="00F55F3A"/>
    <w:rsid w:val="00F5632F"/>
    <w:rsid w:val="00F574CC"/>
    <w:rsid w:val="00F6029C"/>
    <w:rsid w:val="00F6064F"/>
    <w:rsid w:val="00F6143F"/>
    <w:rsid w:val="00F61B1D"/>
    <w:rsid w:val="00F61C41"/>
    <w:rsid w:val="00F61F32"/>
    <w:rsid w:val="00F62963"/>
    <w:rsid w:val="00F6355B"/>
    <w:rsid w:val="00F64812"/>
    <w:rsid w:val="00F64BC2"/>
    <w:rsid w:val="00F65EC5"/>
    <w:rsid w:val="00F65FD5"/>
    <w:rsid w:val="00F66CBD"/>
    <w:rsid w:val="00F6751F"/>
    <w:rsid w:val="00F71533"/>
    <w:rsid w:val="00F73D70"/>
    <w:rsid w:val="00F7557C"/>
    <w:rsid w:val="00F75800"/>
    <w:rsid w:val="00F75BAD"/>
    <w:rsid w:val="00F764CE"/>
    <w:rsid w:val="00F767FF"/>
    <w:rsid w:val="00F77855"/>
    <w:rsid w:val="00F77E79"/>
    <w:rsid w:val="00F80D0F"/>
    <w:rsid w:val="00F80E8A"/>
    <w:rsid w:val="00F84899"/>
    <w:rsid w:val="00F84F4F"/>
    <w:rsid w:val="00F859F0"/>
    <w:rsid w:val="00F90DB0"/>
    <w:rsid w:val="00F91287"/>
    <w:rsid w:val="00F91CA1"/>
    <w:rsid w:val="00F92D53"/>
    <w:rsid w:val="00F93250"/>
    <w:rsid w:val="00F94805"/>
    <w:rsid w:val="00F94B44"/>
    <w:rsid w:val="00F94E90"/>
    <w:rsid w:val="00F9511B"/>
    <w:rsid w:val="00F95598"/>
    <w:rsid w:val="00F95FAB"/>
    <w:rsid w:val="00F97544"/>
    <w:rsid w:val="00FA0BE5"/>
    <w:rsid w:val="00FA1420"/>
    <w:rsid w:val="00FA15DA"/>
    <w:rsid w:val="00FA1947"/>
    <w:rsid w:val="00FA1B41"/>
    <w:rsid w:val="00FA28BF"/>
    <w:rsid w:val="00FA3221"/>
    <w:rsid w:val="00FA63A7"/>
    <w:rsid w:val="00FA6B54"/>
    <w:rsid w:val="00FB010A"/>
    <w:rsid w:val="00FB324F"/>
    <w:rsid w:val="00FB48C5"/>
    <w:rsid w:val="00FB5E3B"/>
    <w:rsid w:val="00FB5F23"/>
    <w:rsid w:val="00FC08AD"/>
    <w:rsid w:val="00FC16AE"/>
    <w:rsid w:val="00FC3DDD"/>
    <w:rsid w:val="00FC4AF7"/>
    <w:rsid w:val="00FC5EB6"/>
    <w:rsid w:val="00FD1C4A"/>
    <w:rsid w:val="00FD2088"/>
    <w:rsid w:val="00FD2829"/>
    <w:rsid w:val="00FD2EA3"/>
    <w:rsid w:val="00FD3F65"/>
    <w:rsid w:val="00FD42C8"/>
    <w:rsid w:val="00FD461D"/>
    <w:rsid w:val="00FD46B4"/>
    <w:rsid w:val="00FD4AA4"/>
    <w:rsid w:val="00FD5F1B"/>
    <w:rsid w:val="00FD7084"/>
    <w:rsid w:val="00FD7993"/>
    <w:rsid w:val="00FD7D17"/>
    <w:rsid w:val="00FE07B7"/>
    <w:rsid w:val="00FE094E"/>
    <w:rsid w:val="00FE0B32"/>
    <w:rsid w:val="00FE141E"/>
    <w:rsid w:val="00FE1C75"/>
    <w:rsid w:val="00FE1C7D"/>
    <w:rsid w:val="00FE1E34"/>
    <w:rsid w:val="00FE38FF"/>
    <w:rsid w:val="00FE3D48"/>
    <w:rsid w:val="00FE42ED"/>
    <w:rsid w:val="00FE4C26"/>
    <w:rsid w:val="00FE4EF2"/>
    <w:rsid w:val="00FE63C7"/>
    <w:rsid w:val="00FE6445"/>
    <w:rsid w:val="00FE759E"/>
    <w:rsid w:val="00FE7664"/>
    <w:rsid w:val="00FF0C9E"/>
    <w:rsid w:val="00FF1C68"/>
    <w:rsid w:val="00FF1C7D"/>
    <w:rsid w:val="00FF2199"/>
    <w:rsid w:val="00FF4164"/>
    <w:rsid w:val="00FF485B"/>
    <w:rsid w:val="00FF4CB9"/>
    <w:rsid w:val="00FF70EF"/>
    <w:rsid w:val="00FF7E3F"/>
    <w:rsid w:val="19D94649"/>
    <w:rsid w:val="3B1BF6E6"/>
    <w:rsid w:val="434D2F1C"/>
    <w:rsid w:val="489DAED3"/>
    <w:rsid w:val="748FBA9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3F80"/>
    <w:pPr>
      <w:spacing w:before="0" w:after="0" w:line="240" w:lineRule="auto"/>
      <w:jc w:val="left"/>
    </w:pPr>
    <w:rPr>
      <w:rFonts w:ascii="Times New Roman" w:hAnsi="Times New Roman" w:eastAsia="Times New Roman" w:cs="Times New Roman"/>
      <w:sz w:val="24"/>
      <w:szCs w:val="24"/>
      <w:lang w:eastAsia="en-GB"/>
    </w:rPr>
  </w:style>
  <w:style w:type="paragraph" w:styleId="Ttulo2">
    <w:name w:val="heading 2"/>
    <w:basedOn w:val="Normal"/>
    <w:next w:val="Normal"/>
    <w:link w:val="Ttulo2Car"/>
    <w:uiPriority w:val="9"/>
    <w:semiHidden/>
    <w:unhideWhenUsed/>
    <w:qFormat/>
    <w:rsid w:val="001E0CFB"/>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spacing w:before="120" w:after="120" w:line="276" w:lineRule="auto"/>
      <w:ind w:left="720"/>
      <w:contextualSpacing/>
      <w:jc w:val="both"/>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styleId="Appelnotedebasde" w:customStyle="1">
    <w:name w:val="Appel note de bas de..."/>
    <w:basedOn w:val="Normal"/>
    <w:link w:val="Refdenotaalpie"/>
    <w:uiPriority w:val="99"/>
    <w:rsid w:val="00E54365"/>
    <w:pPr>
      <w:spacing w:after="160" w:line="240" w:lineRule="exact"/>
    </w:pPr>
    <w:rPr>
      <w:rFonts w:asciiTheme="minorHAnsi" w:hAnsiTheme="minorHAnsi" w:eastAsiaTheme="minorHAnsi" w:cstheme="minorBidi"/>
      <w:sz w:val="22"/>
      <w:szCs w:val="22"/>
      <w:vertAlign w:val="superscript"/>
      <w:lang w:eastAsia="en-US"/>
    </w:rPr>
  </w:style>
  <w:style w:type="character" w:styleId="NormalWebCar" w:customStyle="1">
    <w:name w:val="Normal (Web) Car"/>
    <w:link w:val="NormalWeb"/>
    <w:uiPriority w:val="99"/>
    <w:rsid w:val="00A957B9"/>
    <w:rPr>
      <w:rFonts w:ascii="Times New Roman" w:hAnsi="Times New Roman" w:eastAsia="Times New Roman" w:cs="Times New Roman"/>
      <w:sz w:val="24"/>
      <w:szCs w:val="24"/>
      <w:lang w:eastAsia="es-CO"/>
    </w:rPr>
  </w:style>
  <w:style w:type="character" w:styleId="Mencinsinresolver1" w:customStyle="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styleId="TextoindependienteCar" w:customStyle="1">
    <w:name w:val="Texto independiente Car"/>
    <w:basedOn w:val="Fuentedeprrafopredeter"/>
    <w:link w:val="Textoindependiente"/>
    <w:uiPriority w:val="99"/>
    <w:semiHidden/>
    <w:rsid w:val="00A16FAB"/>
    <w:rPr>
      <w:rFonts w:ascii="Times New Roman" w:hAnsi="Times New Roman" w:eastAsia="Times New Roman" w:cs="Times New Roman"/>
      <w:sz w:val="24"/>
      <w:szCs w:val="24"/>
      <w:lang w:eastAsia="es-CO"/>
    </w:rPr>
  </w:style>
  <w:style w:type="character" w:styleId="Mencinsinresolver2" w:customStyle="1">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hAnsi="Times New Roman" w:eastAsia="Times New Roman" w:cs="Times New Roman"/>
      <w:sz w:val="24"/>
      <w:szCs w:val="24"/>
      <w:lang w:eastAsia="en-GB"/>
    </w:rPr>
  </w:style>
  <w:style w:type="character" w:styleId="Mencinsinresolver3" w:customStyle="1">
    <w:name w:val="Mención sin resolver3"/>
    <w:basedOn w:val="Fuentedeprrafopredeter"/>
    <w:uiPriority w:val="99"/>
    <w:semiHidden/>
    <w:unhideWhenUsed/>
    <w:rsid w:val="00B552B6"/>
    <w:rPr>
      <w:color w:val="605E5C"/>
      <w:shd w:val="clear" w:color="auto" w:fill="E1DFDD"/>
    </w:rPr>
  </w:style>
  <w:style w:type="character" w:styleId="normaltextrun" w:customStyle="1">
    <w:name w:val="normaltextrun"/>
    <w:basedOn w:val="Fuentedeprrafopredeter"/>
    <w:rsid w:val="00F2274F"/>
  </w:style>
  <w:style w:type="table" w:styleId="Tablaconcuadrcula2" w:customStyle="1">
    <w:name w:val="Tabla con cuadrícula2"/>
    <w:basedOn w:val="Tablanormal"/>
    <w:next w:val="Tablaconcuadrcula"/>
    <w:uiPriority w:val="39"/>
    <w:rsid w:val="00304B85"/>
    <w:pPr>
      <w:spacing w:before="0" w:after="0"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2Car" w:customStyle="1">
    <w:name w:val="Título 2 Car"/>
    <w:basedOn w:val="Fuentedeprrafopredeter"/>
    <w:link w:val="Ttulo2"/>
    <w:uiPriority w:val="9"/>
    <w:semiHidden/>
    <w:rsid w:val="001E0CFB"/>
    <w:rPr>
      <w:rFonts w:asciiTheme="majorHAnsi" w:hAnsiTheme="majorHAnsi" w:eastAsiaTheme="majorEastAsia" w:cstheme="majorBidi"/>
      <w:color w:val="365F91" w:themeColor="accent1" w:themeShade="BF"/>
      <w:sz w:val="26"/>
      <w:szCs w:val="26"/>
      <w:lang w:eastAsia="en-GB"/>
    </w:rPr>
  </w:style>
  <w:style w:type="character" w:styleId="Mencinsinresolver">
    <w:name w:val="Unresolved Mention"/>
    <w:basedOn w:val="Fuentedeprrafopredeter"/>
    <w:uiPriority w:val="99"/>
    <w:semiHidden/>
    <w:unhideWhenUsed/>
    <w:rsid w:val="00EA37AD"/>
    <w:rPr>
      <w:color w:val="605E5C"/>
      <w:shd w:val="clear" w:color="auto" w:fill="E1DFDD"/>
    </w:rPr>
  </w:style>
  <w:style w:type="character" w:styleId="Hipervnculovisitado">
    <w:name w:val="FollowedHyperlink"/>
    <w:basedOn w:val="Fuentedeprrafopredeter"/>
    <w:uiPriority w:val="99"/>
    <w:semiHidden/>
    <w:unhideWhenUsed/>
    <w:rsid w:val="00390018"/>
    <w:rPr>
      <w:color w:val="F2F2F2" w:themeColor="followedHyperlink"/>
      <w:u w:val="single"/>
    </w:rPr>
  </w:style>
  <w:style w:type="character" w:styleId="SinespaciadoCar" w:customStyle="1">
    <w:name w:val="Sin espaciado Car"/>
    <w:aliases w:val="No Indent Car"/>
    <w:link w:val="Sinespaciado"/>
    <w:uiPriority w:val="3"/>
    <w:locked/>
    <w:rsid w:val="001F7F46"/>
    <w:rPr>
      <w:sz w:val="24"/>
      <w:lang w:val="es-MX"/>
    </w:rPr>
  </w:style>
  <w:style w:type="character" w:styleId="apple-converted-space" w:customStyle="1">
    <w:name w:val="apple-converted-space"/>
    <w:basedOn w:val="Fuentedeprrafopredeter"/>
    <w:rsid w:val="001F7F46"/>
  </w:style>
  <w:style w:type="table" w:styleId="Tablaconcuadrcula3" w:customStyle="1">
    <w:name w:val="Tabla con cuadrícula3"/>
    <w:basedOn w:val="Tablanormal"/>
    <w:next w:val="Tablaconcuadrcula"/>
    <w:uiPriority w:val="39"/>
    <w:rsid w:val="00DD68E7"/>
    <w:pPr>
      <w:spacing w:before="0" w:after="0"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4686247">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16556769">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3216244">
      <w:bodyDiv w:val="1"/>
      <w:marLeft w:val="0"/>
      <w:marRight w:val="0"/>
      <w:marTop w:val="0"/>
      <w:marBottom w:val="0"/>
      <w:divBdr>
        <w:top w:val="none" w:sz="0" w:space="0" w:color="auto"/>
        <w:left w:val="none" w:sz="0" w:space="0" w:color="auto"/>
        <w:bottom w:val="none" w:sz="0" w:space="0" w:color="auto"/>
        <w:right w:val="none" w:sz="0" w:space="0" w:color="auto"/>
      </w:divBdr>
    </w:div>
    <w:div w:id="29565004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09284185">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40421138">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499346589">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5329">
      <w:bodyDiv w:val="1"/>
      <w:marLeft w:val="0"/>
      <w:marRight w:val="0"/>
      <w:marTop w:val="0"/>
      <w:marBottom w:val="0"/>
      <w:divBdr>
        <w:top w:val="none" w:sz="0" w:space="0" w:color="auto"/>
        <w:left w:val="none" w:sz="0" w:space="0" w:color="auto"/>
        <w:bottom w:val="none" w:sz="0" w:space="0" w:color="auto"/>
        <w:right w:val="none" w:sz="0" w:space="0" w:color="auto"/>
      </w:divBdr>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357188">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44299666">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59957569">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799808717">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832525952">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2709783">
      <w:bodyDiv w:val="1"/>
      <w:marLeft w:val="0"/>
      <w:marRight w:val="0"/>
      <w:marTop w:val="0"/>
      <w:marBottom w:val="0"/>
      <w:divBdr>
        <w:top w:val="none" w:sz="0" w:space="0" w:color="auto"/>
        <w:left w:val="none" w:sz="0" w:space="0" w:color="auto"/>
        <w:bottom w:val="none" w:sz="0" w:space="0" w:color="auto"/>
        <w:right w:val="none" w:sz="0" w:space="0" w:color="auto"/>
      </w:divBdr>
      <w:divsChild>
        <w:div w:id="461777059">
          <w:marLeft w:val="0"/>
          <w:marRight w:val="0"/>
          <w:marTop w:val="0"/>
          <w:marBottom w:val="0"/>
          <w:divBdr>
            <w:top w:val="single" w:sz="6" w:space="3" w:color="808080"/>
            <w:left w:val="single" w:sz="6" w:space="15" w:color="808080"/>
            <w:bottom w:val="single" w:sz="6" w:space="8" w:color="808080"/>
            <w:right w:val="single" w:sz="6" w:space="15" w:color="808080"/>
          </w:divBdr>
          <w:divsChild>
            <w:div w:id="972712197">
              <w:marLeft w:val="0"/>
              <w:marRight w:val="0"/>
              <w:marTop w:val="0"/>
              <w:marBottom w:val="0"/>
              <w:divBdr>
                <w:top w:val="none" w:sz="0" w:space="0" w:color="auto"/>
                <w:left w:val="none" w:sz="0" w:space="0" w:color="auto"/>
                <w:bottom w:val="none" w:sz="0" w:space="0" w:color="auto"/>
                <w:right w:val="none" w:sz="0" w:space="0" w:color="auto"/>
              </w:divBdr>
            </w:div>
          </w:divsChild>
        </w:div>
        <w:div w:id="389116476">
          <w:marLeft w:val="0"/>
          <w:marRight w:val="0"/>
          <w:marTop w:val="0"/>
          <w:marBottom w:val="0"/>
          <w:divBdr>
            <w:top w:val="none" w:sz="0" w:space="0" w:color="auto"/>
            <w:left w:val="none" w:sz="0" w:space="0" w:color="auto"/>
            <w:bottom w:val="none" w:sz="0" w:space="0" w:color="auto"/>
            <w:right w:val="none" w:sz="0" w:space="0" w:color="auto"/>
          </w:divBdr>
        </w:div>
        <w:div w:id="462700327">
          <w:marLeft w:val="0"/>
          <w:marRight w:val="0"/>
          <w:marTop w:val="0"/>
          <w:marBottom w:val="0"/>
          <w:divBdr>
            <w:top w:val="none" w:sz="0" w:space="0" w:color="auto"/>
            <w:left w:val="none" w:sz="0" w:space="0" w:color="auto"/>
            <w:bottom w:val="none" w:sz="0" w:space="0" w:color="auto"/>
            <w:right w:val="none" w:sz="0" w:space="0" w:color="auto"/>
          </w:divBdr>
        </w:div>
        <w:div w:id="279649496">
          <w:marLeft w:val="0"/>
          <w:marRight w:val="0"/>
          <w:marTop w:val="0"/>
          <w:marBottom w:val="0"/>
          <w:divBdr>
            <w:top w:val="none" w:sz="0" w:space="0" w:color="auto"/>
            <w:left w:val="none" w:sz="0" w:space="0" w:color="auto"/>
            <w:bottom w:val="none" w:sz="0" w:space="0" w:color="auto"/>
            <w:right w:val="none" w:sz="0" w:space="0" w:color="auto"/>
          </w:divBdr>
        </w:div>
        <w:div w:id="745297567">
          <w:marLeft w:val="0"/>
          <w:marRight w:val="0"/>
          <w:marTop w:val="0"/>
          <w:marBottom w:val="0"/>
          <w:divBdr>
            <w:top w:val="none" w:sz="0" w:space="0" w:color="auto"/>
            <w:left w:val="none" w:sz="0" w:space="0" w:color="auto"/>
            <w:bottom w:val="none" w:sz="0" w:space="0" w:color="auto"/>
            <w:right w:val="none" w:sz="0" w:space="0" w:color="auto"/>
          </w:divBdr>
        </w:div>
        <w:div w:id="568610627">
          <w:marLeft w:val="0"/>
          <w:marRight w:val="0"/>
          <w:marTop w:val="0"/>
          <w:marBottom w:val="0"/>
          <w:divBdr>
            <w:top w:val="none" w:sz="0" w:space="0" w:color="auto"/>
            <w:left w:val="none" w:sz="0" w:space="0" w:color="auto"/>
            <w:bottom w:val="none" w:sz="0" w:space="0" w:color="auto"/>
            <w:right w:val="none" w:sz="0" w:space="0" w:color="auto"/>
          </w:divBdr>
        </w:div>
        <w:div w:id="1062633326">
          <w:marLeft w:val="0"/>
          <w:marRight w:val="0"/>
          <w:marTop w:val="0"/>
          <w:marBottom w:val="0"/>
          <w:divBdr>
            <w:top w:val="none" w:sz="0" w:space="0" w:color="auto"/>
            <w:left w:val="none" w:sz="0" w:space="0" w:color="auto"/>
            <w:bottom w:val="none" w:sz="0" w:space="0" w:color="auto"/>
            <w:right w:val="none" w:sz="0" w:space="0" w:color="auto"/>
          </w:divBdr>
        </w:div>
        <w:div w:id="287519120">
          <w:marLeft w:val="0"/>
          <w:marRight w:val="0"/>
          <w:marTop w:val="0"/>
          <w:marBottom w:val="0"/>
          <w:divBdr>
            <w:top w:val="none" w:sz="0" w:space="0" w:color="auto"/>
            <w:left w:val="none" w:sz="0" w:space="0" w:color="auto"/>
            <w:bottom w:val="none" w:sz="0" w:space="0" w:color="auto"/>
            <w:right w:val="none" w:sz="0" w:space="0" w:color="auto"/>
          </w:divBdr>
        </w:div>
        <w:div w:id="1668970562">
          <w:marLeft w:val="0"/>
          <w:marRight w:val="0"/>
          <w:marTop w:val="0"/>
          <w:marBottom w:val="0"/>
          <w:divBdr>
            <w:top w:val="none" w:sz="0" w:space="0" w:color="auto"/>
            <w:left w:val="none" w:sz="0" w:space="0" w:color="auto"/>
            <w:bottom w:val="none" w:sz="0" w:space="0" w:color="auto"/>
            <w:right w:val="none" w:sz="0" w:space="0" w:color="auto"/>
          </w:divBdr>
        </w:div>
        <w:div w:id="1431393610">
          <w:marLeft w:val="0"/>
          <w:marRight w:val="0"/>
          <w:marTop w:val="0"/>
          <w:marBottom w:val="0"/>
          <w:divBdr>
            <w:top w:val="none" w:sz="0" w:space="0" w:color="auto"/>
            <w:left w:val="none" w:sz="0" w:space="0" w:color="auto"/>
            <w:bottom w:val="none" w:sz="0" w:space="0" w:color="auto"/>
            <w:right w:val="none" w:sz="0" w:space="0" w:color="auto"/>
          </w:divBdr>
        </w:div>
        <w:div w:id="1831214264">
          <w:marLeft w:val="0"/>
          <w:marRight w:val="0"/>
          <w:marTop w:val="0"/>
          <w:marBottom w:val="0"/>
          <w:divBdr>
            <w:top w:val="none" w:sz="0" w:space="0" w:color="auto"/>
            <w:left w:val="none" w:sz="0" w:space="0" w:color="auto"/>
            <w:bottom w:val="none" w:sz="0" w:space="0" w:color="auto"/>
            <w:right w:val="none" w:sz="0" w:space="0" w:color="auto"/>
          </w:divBdr>
        </w:div>
        <w:div w:id="1091201520">
          <w:marLeft w:val="0"/>
          <w:marRight w:val="0"/>
          <w:marTop w:val="0"/>
          <w:marBottom w:val="0"/>
          <w:divBdr>
            <w:top w:val="none" w:sz="0" w:space="0" w:color="auto"/>
            <w:left w:val="none" w:sz="0" w:space="0" w:color="auto"/>
            <w:bottom w:val="none" w:sz="0" w:space="0" w:color="auto"/>
            <w:right w:val="none" w:sz="0" w:space="0" w:color="auto"/>
          </w:divBdr>
        </w:div>
        <w:div w:id="1557080543">
          <w:marLeft w:val="0"/>
          <w:marRight w:val="0"/>
          <w:marTop w:val="0"/>
          <w:marBottom w:val="0"/>
          <w:divBdr>
            <w:top w:val="none" w:sz="0" w:space="0" w:color="auto"/>
            <w:left w:val="none" w:sz="0" w:space="0" w:color="auto"/>
            <w:bottom w:val="none" w:sz="0" w:space="0" w:color="auto"/>
            <w:right w:val="none" w:sz="0" w:space="0" w:color="auto"/>
          </w:divBdr>
        </w:div>
      </w:divsChild>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58267825">
      <w:bodyDiv w:val="1"/>
      <w:marLeft w:val="0"/>
      <w:marRight w:val="0"/>
      <w:marTop w:val="0"/>
      <w:marBottom w:val="0"/>
      <w:divBdr>
        <w:top w:val="none" w:sz="0" w:space="0" w:color="auto"/>
        <w:left w:val="none" w:sz="0" w:space="0" w:color="auto"/>
        <w:bottom w:val="none" w:sz="0" w:space="0" w:color="auto"/>
        <w:right w:val="none" w:sz="0" w:space="0" w:color="auto"/>
      </w:divBdr>
    </w:div>
    <w:div w:id="969702650">
      <w:bodyDiv w:val="1"/>
      <w:marLeft w:val="0"/>
      <w:marRight w:val="0"/>
      <w:marTop w:val="0"/>
      <w:marBottom w:val="0"/>
      <w:divBdr>
        <w:top w:val="none" w:sz="0" w:space="0" w:color="auto"/>
        <w:left w:val="none" w:sz="0" w:space="0" w:color="auto"/>
        <w:bottom w:val="none" w:sz="0" w:space="0" w:color="auto"/>
        <w:right w:val="none" w:sz="0" w:space="0" w:color="auto"/>
      </w:divBdr>
    </w:div>
    <w:div w:id="974527350">
      <w:bodyDiv w:val="1"/>
      <w:marLeft w:val="0"/>
      <w:marRight w:val="0"/>
      <w:marTop w:val="0"/>
      <w:marBottom w:val="0"/>
      <w:divBdr>
        <w:top w:val="none" w:sz="0" w:space="0" w:color="auto"/>
        <w:left w:val="none" w:sz="0" w:space="0" w:color="auto"/>
        <w:bottom w:val="none" w:sz="0" w:space="0" w:color="auto"/>
        <w:right w:val="none" w:sz="0" w:space="0" w:color="auto"/>
      </w:divBdr>
    </w:div>
    <w:div w:id="992298205">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4987543">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88667">
      <w:bodyDiv w:val="1"/>
      <w:marLeft w:val="0"/>
      <w:marRight w:val="0"/>
      <w:marTop w:val="0"/>
      <w:marBottom w:val="0"/>
      <w:divBdr>
        <w:top w:val="none" w:sz="0" w:space="0" w:color="auto"/>
        <w:left w:val="none" w:sz="0" w:space="0" w:color="auto"/>
        <w:bottom w:val="none" w:sz="0" w:space="0" w:color="auto"/>
        <w:right w:val="none" w:sz="0" w:space="0" w:color="auto"/>
      </w:divBdr>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72965863">
      <w:bodyDiv w:val="1"/>
      <w:marLeft w:val="0"/>
      <w:marRight w:val="0"/>
      <w:marTop w:val="0"/>
      <w:marBottom w:val="0"/>
      <w:divBdr>
        <w:top w:val="none" w:sz="0" w:space="0" w:color="auto"/>
        <w:left w:val="none" w:sz="0" w:space="0" w:color="auto"/>
        <w:bottom w:val="none" w:sz="0" w:space="0" w:color="auto"/>
        <w:right w:val="none" w:sz="0" w:space="0" w:color="auto"/>
      </w:divBdr>
    </w:div>
    <w:div w:id="1086733079">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1532073">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57264985">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17830413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07139070">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0252316">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17289661">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25941">
      <w:bodyDiv w:val="1"/>
      <w:marLeft w:val="0"/>
      <w:marRight w:val="0"/>
      <w:marTop w:val="0"/>
      <w:marBottom w:val="0"/>
      <w:divBdr>
        <w:top w:val="none" w:sz="0" w:space="0" w:color="auto"/>
        <w:left w:val="none" w:sz="0" w:space="0" w:color="auto"/>
        <w:bottom w:val="none" w:sz="0" w:space="0" w:color="auto"/>
        <w:right w:val="none" w:sz="0" w:space="0" w:color="auto"/>
      </w:divBdr>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09334319">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43857165">
      <w:bodyDiv w:val="1"/>
      <w:marLeft w:val="0"/>
      <w:marRight w:val="0"/>
      <w:marTop w:val="0"/>
      <w:marBottom w:val="0"/>
      <w:divBdr>
        <w:top w:val="none" w:sz="0" w:space="0" w:color="auto"/>
        <w:left w:val="none" w:sz="0" w:space="0" w:color="auto"/>
        <w:bottom w:val="none" w:sz="0" w:space="0" w:color="auto"/>
        <w:right w:val="none" w:sz="0" w:space="0" w:color="auto"/>
      </w:divBdr>
    </w:div>
    <w:div w:id="1849363079">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21401915">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5726958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22069399">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emf" Id="rId13" /><Relationship Type="http://schemas.openxmlformats.org/officeDocument/2006/relationships/image" Target="media/image8.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image" Target="media/image7.emf" Id="rId17" /><Relationship Type="http://schemas.openxmlformats.org/officeDocument/2006/relationships/customXml" Target="../customXml/item2.xml" Id="rId2" /><Relationship Type="http://schemas.openxmlformats.org/officeDocument/2006/relationships/image" Target="media/image6.emf"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image" Target="media/image5.emf"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emf"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documents/cce_manual_requisitos_habilitantes.pdf" TargetMode="External"/><Relationship Id="rId2" Type="http://schemas.openxmlformats.org/officeDocument/2006/relationships/hyperlink" Target="https://colombiacompra.gov.co/manuales-guias-y-pliegos-tipo/manuales-y-guias/manual-para-determinar-y-verificar-los-requisitos" TargetMode="External"/><Relationship Id="rId1" Type="http://schemas.openxmlformats.org/officeDocument/2006/relationships/hyperlink" Target="http://portal.anla.gov.co/manuales-y-guias" TargetMode="External"/><Relationship Id="rId4" Type="http://schemas.openxmlformats.org/officeDocument/2006/relationships/hyperlink" Target="https://colombiacompra.gov.co/sites/default/files/manuales/20140901_manual_requisitos_habilitantes_4_web.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BD75A-A4CA-4FCC-AD53-A62EFC8174EA}">
  <ds:schemaRefs>
    <ds:schemaRef ds:uri="http://schemas.openxmlformats.org/officeDocument/2006/bibliography"/>
  </ds:schemaRefs>
</ds:datastoreItem>
</file>

<file path=customXml/itemProps2.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0B4C10EF-6D79-4B66-967C-A10EBDC6F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Tatiana Baquero Iguaran</lastModifiedBy>
  <revision>5</revision>
  <lastPrinted>2020-01-30T15:05:00.0000000Z</lastPrinted>
  <dcterms:created xsi:type="dcterms:W3CDTF">2022-10-20T19:34:00.0000000Z</dcterms:created>
  <dcterms:modified xsi:type="dcterms:W3CDTF">2022-10-20T19:47:13.4739580Z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