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532A" w14:textId="77777777" w:rsidR="007639FF" w:rsidRDefault="007639FF" w:rsidP="007639FF">
      <w:pPr>
        <w:jc w:val="both"/>
        <w:rPr>
          <w:rFonts w:ascii="Arial" w:eastAsia="Calibri" w:hAnsi="Arial" w:cs="Arial"/>
          <w:b/>
          <w:sz w:val="22"/>
          <w:lang w:val="es-ES_tradnl"/>
        </w:rPr>
      </w:pPr>
      <w:bookmarkStart w:id="0" w:name="_Hlk103947551"/>
      <w:r>
        <w:rPr>
          <w:rFonts w:ascii="Arial" w:eastAsia="Calibri" w:hAnsi="Arial" w:cs="Arial"/>
          <w:b/>
          <w:sz w:val="22"/>
          <w:lang w:val="es-ES_tradnl"/>
        </w:rPr>
        <w:t xml:space="preserve">PRINCIPIO DE PLANEACIÓN – Estudios previos </w:t>
      </w:r>
    </w:p>
    <w:p w14:paraId="257B37B8" w14:textId="77777777" w:rsidR="007639FF" w:rsidRPr="0033016F" w:rsidRDefault="007639FF" w:rsidP="007639FF">
      <w:pPr>
        <w:jc w:val="both"/>
        <w:rPr>
          <w:rFonts w:ascii="Arial" w:eastAsia="Calibri" w:hAnsi="Arial" w:cs="Arial"/>
          <w:sz w:val="20"/>
          <w:szCs w:val="20"/>
          <w:lang w:val="es-ES_tradnl"/>
        </w:rPr>
      </w:pPr>
    </w:p>
    <w:p w14:paraId="58E50FF8" w14:textId="77777777" w:rsidR="008C078D" w:rsidRDefault="008C078D" w:rsidP="007639FF">
      <w:pPr>
        <w:spacing w:after="120"/>
        <w:jc w:val="both"/>
        <w:rPr>
          <w:rFonts w:ascii="Arial" w:eastAsia="Calibri" w:hAnsi="Arial" w:cs="Arial"/>
          <w:bCs/>
          <w:sz w:val="20"/>
          <w:szCs w:val="20"/>
          <w:lang w:val="es-MX"/>
        </w:rPr>
      </w:pPr>
      <w:r w:rsidRPr="008C078D">
        <w:rPr>
          <w:rFonts w:ascii="Arial" w:eastAsia="Calibri" w:hAnsi="Arial" w:cs="Arial"/>
          <w:bCs/>
          <w:sz w:val="20"/>
          <w:szCs w:val="20"/>
          <w:lang w:val="es-MX"/>
        </w:rPr>
        <w:t>El Estatuto General de Contratación de la Administración Pública contiene disposiciones que exigen a las entidades estatales el deber de realizar actividades de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13AAEC55" w14:textId="77777777" w:rsidR="008C078D" w:rsidRDefault="007639FF" w:rsidP="007639FF">
      <w:pPr>
        <w:spacing w:after="120"/>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008C078D" w:rsidRPr="008C078D">
        <w:rPr>
          <w:rFonts w:ascii="Arial" w:eastAsia="Calibri" w:hAnsi="Arial" w:cs="Arial"/>
          <w:sz w:val="20"/>
          <w:szCs w:val="20"/>
          <w:lang w:val="es-ES_tradnl"/>
        </w:rPr>
        <w:t xml:space="preserve">antes de iniciar un procedimiento de selección, la entidad estatal podrá determinar con los estudios previos: i) la verdadera necesidad de la celebración del contrato; </w:t>
      </w:r>
      <w:proofErr w:type="spellStart"/>
      <w:r w:rsidR="008C078D" w:rsidRPr="008C078D">
        <w:rPr>
          <w:rFonts w:ascii="Arial" w:eastAsia="Calibri" w:hAnsi="Arial" w:cs="Arial"/>
          <w:sz w:val="20"/>
          <w:szCs w:val="20"/>
          <w:lang w:val="es-ES_tradnl"/>
        </w:rPr>
        <w:t>ii</w:t>
      </w:r>
      <w:proofErr w:type="spellEnd"/>
      <w:r w:rsidR="008C078D" w:rsidRPr="008C078D">
        <w:rPr>
          <w:rFonts w:ascii="Arial" w:eastAsia="Calibri" w:hAnsi="Arial" w:cs="Arial"/>
          <w:sz w:val="20"/>
          <w:szCs w:val="20"/>
          <w:lang w:val="es-ES_tradnl"/>
        </w:rPr>
        <w:t xml:space="preserve">) las modalidades existentes para satisfacer esa necesidad y las razones que justifiquen la modalidad o tipo contractual que se escoja; </w:t>
      </w:r>
      <w:proofErr w:type="spellStart"/>
      <w:r w:rsidR="008C078D" w:rsidRPr="008C078D">
        <w:rPr>
          <w:rFonts w:ascii="Arial" w:eastAsia="Calibri" w:hAnsi="Arial" w:cs="Arial"/>
          <w:sz w:val="20"/>
          <w:szCs w:val="20"/>
          <w:lang w:val="es-ES_tradnl"/>
        </w:rPr>
        <w:t>iii</w:t>
      </w:r>
      <w:proofErr w:type="spellEnd"/>
      <w:r w:rsidR="008C078D" w:rsidRPr="008C078D">
        <w:rPr>
          <w:rFonts w:ascii="Arial" w:eastAsia="Calibri" w:hAnsi="Arial" w:cs="Arial"/>
          <w:sz w:val="20"/>
          <w:szCs w:val="20"/>
          <w:lang w:val="es-ES_tradnl"/>
        </w:rPr>
        <w:t xml:space="preserve">) las calidades, especificaciones, cantidades y demás características que puedan o deban reunir los bienes, las obras o los servicios cuya contratación se haya determinado necesaria, </w:t>
      </w:r>
      <w:proofErr w:type="spellStart"/>
      <w:r w:rsidR="008C078D" w:rsidRPr="008C078D">
        <w:rPr>
          <w:rFonts w:ascii="Arial" w:eastAsia="Calibri" w:hAnsi="Arial" w:cs="Arial"/>
          <w:sz w:val="20"/>
          <w:szCs w:val="20"/>
          <w:lang w:val="es-ES_tradnl"/>
        </w:rPr>
        <w:t>iv</w:t>
      </w:r>
      <w:proofErr w:type="spellEnd"/>
      <w:r w:rsidR="008C078D" w:rsidRPr="008C078D">
        <w:rPr>
          <w:rFonts w:ascii="Arial" w:eastAsia="Calibri" w:hAnsi="Arial" w:cs="Arial"/>
          <w:sz w:val="20"/>
          <w:szCs w:val="20"/>
          <w:lang w:val="es-ES_tradnl"/>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008C078D" w:rsidRPr="008C078D">
        <w:rPr>
          <w:rFonts w:ascii="Arial" w:eastAsia="Calibri" w:hAnsi="Arial" w:cs="Arial"/>
          <w:sz w:val="20"/>
          <w:szCs w:val="20"/>
          <w:lang w:val="es-ES_tradnl"/>
        </w:rPr>
        <w:t>vii</w:t>
      </w:r>
      <w:proofErr w:type="spellEnd"/>
      <w:r w:rsidR="008C078D" w:rsidRPr="008C078D">
        <w:rPr>
          <w:rFonts w:ascii="Arial" w:eastAsia="Calibri" w:hAnsi="Arial" w:cs="Arial"/>
          <w:sz w:val="20"/>
          <w:szCs w:val="20"/>
          <w:lang w:val="es-ES_tradnl"/>
        </w:rPr>
        <w:t>) los procedimientos, trámites y requisitos que deban satisfacerse, reunirse u obtenerse para llevar a cabo la selección del respectivo contratista y la celebración del contrato que se pretenda celebrar.</w:t>
      </w:r>
    </w:p>
    <w:p w14:paraId="394A3146" w14:textId="77777777" w:rsidR="007639FF" w:rsidRPr="00046063" w:rsidRDefault="007639FF" w:rsidP="007639FF">
      <w:pPr>
        <w:jc w:val="both"/>
        <w:rPr>
          <w:rFonts w:ascii="Arial" w:eastAsia="Calibri" w:hAnsi="Arial" w:cs="Arial"/>
          <w:sz w:val="20"/>
          <w:szCs w:val="20"/>
          <w:lang w:val="es-ES_tradnl"/>
        </w:rPr>
      </w:pPr>
    </w:p>
    <w:p w14:paraId="452D25E5" w14:textId="7453708A" w:rsidR="007639FF" w:rsidRPr="0033016F" w:rsidRDefault="007639FF" w:rsidP="00CA375F">
      <w:pPr>
        <w:tabs>
          <w:tab w:val="center" w:pos="4394"/>
        </w:tabs>
        <w:jc w:val="both"/>
        <w:rPr>
          <w:rFonts w:ascii="Arial" w:eastAsia="Calibri" w:hAnsi="Arial" w:cs="Arial"/>
          <w:b/>
          <w:bCs/>
          <w:sz w:val="22"/>
          <w:lang w:val="es-ES_tradnl"/>
        </w:rPr>
      </w:pPr>
      <w:r w:rsidRPr="004C1FC2">
        <w:rPr>
          <w:rFonts w:ascii="Arial" w:eastAsia="Calibri" w:hAnsi="Arial" w:cs="Arial"/>
          <w:b/>
          <w:sz w:val="22"/>
          <w:lang w:val="es-ES_tradnl"/>
        </w:rPr>
        <w:t>A</w:t>
      </w:r>
      <w:r w:rsidRPr="00611FE8">
        <w:rPr>
          <w:rFonts w:ascii="Arial" w:eastAsia="Calibri" w:hAnsi="Arial" w:cs="Arial"/>
          <w:b/>
          <w:sz w:val="22"/>
          <w:lang w:val="es-ES_tradnl"/>
        </w:rPr>
        <w:t xml:space="preserve">NÁLISIS DEL SECTOR </w:t>
      </w:r>
      <w:r>
        <w:rPr>
          <w:rFonts w:ascii="Arial" w:eastAsia="Calibri" w:hAnsi="Arial" w:cs="Arial"/>
          <w:b/>
          <w:sz w:val="22"/>
          <w:lang w:val="es-ES_tradnl"/>
        </w:rPr>
        <w:t>–</w:t>
      </w:r>
      <w:r w:rsidR="00963A7E">
        <w:rPr>
          <w:rFonts w:ascii="Arial" w:eastAsia="Calibri" w:hAnsi="Arial" w:cs="Arial"/>
          <w:b/>
          <w:sz w:val="22"/>
          <w:lang w:val="es-ES_tradnl"/>
        </w:rPr>
        <w:t xml:space="preserve"> </w:t>
      </w:r>
      <w:r w:rsidR="00CA375F">
        <w:rPr>
          <w:rFonts w:ascii="Arial" w:eastAsia="Calibri" w:hAnsi="Arial" w:cs="Arial"/>
          <w:b/>
          <w:sz w:val="22"/>
          <w:lang w:val="es-ES_tradnl"/>
        </w:rPr>
        <w:t>Perspectiva multidisciplinaria</w:t>
      </w:r>
      <w:r w:rsidR="007013FF">
        <w:rPr>
          <w:rFonts w:ascii="Arial" w:eastAsia="Calibri" w:hAnsi="Arial" w:cs="Arial"/>
          <w:b/>
          <w:sz w:val="22"/>
          <w:lang w:val="es-ES_tradnl"/>
        </w:rPr>
        <w:t xml:space="preserve"> – Estudio de la oferta – Estudio del mercado</w:t>
      </w:r>
      <w:r w:rsidR="00CA375F">
        <w:rPr>
          <w:rFonts w:ascii="Arial" w:eastAsia="Calibri" w:hAnsi="Arial" w:cs="Arial"/>
          <w:b/>
          <w:sz w:val="22"/>
          <w:lang w:val="es-ES_tradnl"/>
        </w:rPr>
        <w:tab/>
      </w:r>
    </w:p>
    <w:p w14:paraId="7013991B" w14:textId="77777777" w:rsidR="007639FF" w:rsidRPr="0033016F" w:rsidRDefault="007639FF" w:rsidP="007639FF">
      <w:pPr>
        <w:jc w:val="both"/>
        <w:rPr>
          <w:rFonts w:ascii="Arial" w:eastAsia="Calibri" w:hAnsi="Arial" w:cs="Arial"/>
          <w:b/>
          <w:bCs/>
          <w:sz w:val="20"/>
          <w:szCs w:val="20"/>
          <w:lang w:val="es-ES_tradnl"/>
        </w:rPr>
      </w:pPr>
    </w:p>
    <w:p w14:paraId="45DB1589" w14:textId="4554FE54" w:rsidR="008C078D" w:rsidRDefault="008C078D" w:rsidP="007639FF">
      <w:pPr>
        <w:jc w:val="both"/>
        <w:rPr>
          <w:rFonts w:ascii="Arial" w:eastAsia="Calibri" w:hAnsi="Arial" w:cs="Arial"/>
          <w:bCs/>
          <w:sz w:val="20"/>
          <w:szCs w:val="20"/>
          <w:lang w:val="es-ES_tradnl"/>
        </w:rPr>
      </w:pPr>
      <w:r w:rsidRPr="008C078D">
        <w:rPr>
          <w:rFonts w:ascii="Arial" w:eastAsia="Calibri" w:hAnsi="Arial" w:cs="Arial"/>
          <w:bCs/>
          <w:sz w:val="20"/>
          <w:szCs w:val="20"/>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68ADB7DA" w14:textId="77777777" w:rsidR="008C078D" w:rsidRDefault="008C078D" w:rsidP="007639FF">
      <w:pPr>
        <w:jc w:val="both"/>
        <w:rPr>
          <w:rFonts w:ascii="Arial" w:eastAsia="Calibri" w:hAnsi="Arial" w:cs="Arial"/>
          <w:bCs/>
          <w:sz w:val="20"/>
          <w:szCs w:val="20"/>
          <w:lang w:val="es-ES_tradnl"/>
        </w:rPr>
      </w:pPr>
    </w:p>
    <w:p w14:paraId="437AA984" w14:textId="77777777" w:rsidR="008C078D" w:rsidRPr="008C078D" w:rsidRDefault="002B16B7" w:rsidP="008C078D">
      <w:pPr>
        <w:jc w:val="both"/>
        <w:rPr>
          <w:rFonts w:ascii="Arial" w:eastAsia="Calibri" w:hAnsi="Arial" w:cs="Arial"/>
          <w:bCs/>
          <w:sz w:val="20"/>
          <w:szCs w:val="20"/>
          <w:lang w:val="es-ES_tradnl"/>
        </w:rPr>
      </w:pPr>
      <w:r>
        <w:rPr>
          <w:rFonts w:ascii="Arial" w:eastAsia="Calibri" w:hAnsi="Arial" w:cs="Arial"/>
          <w:sz w:val="20"/>
          <w:szCs w:val="20"/>
          <w:lang w:val="es-ES_tradnl"/>
        </w:rPr>
        <w:t>[…]</w:t>
      </w:r>
      <w:r w:rsidR="008C078D" w:rsidRPr="008C078D">
        <w:rPr>
          <w:rFonts w:ascii="Arial" w:eastAsia="Calibri" w:hAnsi="Arial" w:cs="Arial"/>
          <w:bCs/>
          <w:sz w:val="20"/>
          <w:szCs w:val="20"/>
          <w:lang w:val="es-ES_tradnl"/>
        </w:rPr>
        <w:t xml:space="preserve">el análisis del sector parte de un estudio desde una perspectiva multidisciplinaria, que implica los aspectos generales del mercado, el análisis de la demanda y de la oferta, así como el estudio del mercado que le permite a la entidad entender el mercado del bien, obra o servicio que pretenden adquirir, así como identificar los factores que inciden en el valor del contrato, tales como el análisis de precios, las cargas tributarias, la tasa de cambio, las garantías, los gastos de transporte, etc. Este análisis se </w:t>
      </w:r>
      <w:r w:rsidR="008C078D" w:rsidRPr="008C078D">
        <w:rPr>
          <w:rFonts w:ascii="Arial" w:eastAsia="Calibri" w:hAnsi="Arial" w:cs="Arial"/>
          <w:sz w:val="20"/>
          <w:szCs w:val="20"/>
          <w:lang w:val="es-ES"/>
        </w:rPr>
        <w:t xml:space="preserve">debe consignar en los </w:t>
      </w:r>
      <w:r w:rsidR="008C078D" w:rsidRPr="008C078D">
        <w:rPr>
          <w:rFonts w:ascii="Arial" w:eastAsia="Calibri" w:hAnsi="Arial" w:cs="Arial"/>
          <w:i/>
          <w:iCs/>
          <w:sz w:val="20"/>
          <w:szCs w:val="20"/>
          <w:lang w:val="es-ES"/>
        </w:rPr>
        <w:t>Documentos del Proceso</w:t>
      </w:r>
      <w:r w:rsidR="008C078D" w:rsidRPr="008C078D">
        <w:rPr>
          <w:rFonts w:ascii="Arial" w:eastAsia="Calibri" w:hAnsi="Arial" w:cs="Arial"/>
          <w:sz w:val="20"/>
          <w:szCs w:val="20"/>
          <w:lang w:val="es-ES"/>
        </w:rPr>
        <w:t xml:space="preserve">, bien sea en los estudios previos o en la información soporte de </w:t>
      </w:r>
      <w:proofErr w:type="gramStart"/>
      <w:r w:rsidR="008C078D" w:rsidRPr="008C078D">
        <w:rPr>
          <w:rFonts w:ascii="Arial" w:eastAsia="Calibri" w:hAnsi="Arial" w:cs="Arial"/>
          <w:sz w:val="20"/>
          <w:szCs w:val="20"/>
          <w:lang w:val="es-ES"/>
        </w:rPr>
        <w:t>los mismos</w:t>
      </w:r>
      <w:proofErr w:type="gramEnd"/>
      <w:r w:rsidR="008C078D" w:rsidRPr="008C078D">
        <w:rPr>
          <w:rFonts w:ascii="Arial" w:eastAsia="Calibri" w:hAnsi="Arial" w:cs="Arial"/>
          <w:sz w:val="20"/>
          <w:szCs w:val="20"/>
          <w:lang w:val="es-ES"/>
        </w:rPr>
        <w:t xml:space="preserve">. </w:t>
      </w:r>
    </w:p>
    <w:p w14:paraId="6009778A" w14:textId="77777777" w:rsidR="008C078D" w:rsidRDefault="008C078D" w:rsidP="00C118DB">
      <w:pPr>
        <w:spacing w:line="276" w:lineRule="auto"/>
        <w:jc w:val="both"/>
        <w:rPr>
          <w:rFonts w:ascii="Arial" w:hAnsi="Arial" w:cs="Arial"/>
          <w:noProof/>
          <w:color w:val="000000" w:themeColor="text1"/>
          <w:sz w:val="20"/>
          <w:szCs w:val="20"/>
        </w:rPr>
      </w:pPr>
    </w:p>
    <w:p w14:paraId="20291FCF" w14:textId="77777777" w:rsidR="008C078D" w:rsidRDefault="008C078D" w:rsidP="00C118DB">
      <w:pPr>
        <w:spacing w:line="276" w:lineRule="auto"/>
        <w:jc w:val="both"/>
        <w:rPr>
          <w:rFonts w:ascii="Arial" w:hAnsi="Arial" w:cs="Arial"/>
          <w:noProof/>
          <w:color w:val="000000" w:themeColor="text1"/>
          <w:sz w:val="20"/>
          <w:szCs w:val="20"/>
        </w:rPr>
      </w:pPr>
    </w:p>
    <w:p w14:paraId="372E2EDF" w14:textId="77777777" w:rsidR="008C078D" w:rsidRDefault="008C078D" w:rsidP="00C118DB">
      <w:pPr>
        <w:spacing w:line="276" w:lineRule="auto"/>
        <w:jc w:val="both"/>
        <w:rPr>
          <w:rFonts w:ascii="Arial" w:hAnsi="Arial" w:cs="Arial"/>
          <w:noProof/>
          <w:color w:val="000000" w:themeColor="text1"/>
          <w:sz w:val="20"/>
          <w:szCs w:val="20"/>
        </w:rPr>
      </w:pPr>
    </w:p>
    <w:p w14:paraId="13978E0A" w14:textId="77777777" w:rsidR="008C078D" w:rsidRDefault="008C078D" w:rsidP="00C118DB">
      <w:pPr>
        <w:spacing w:line="276" w:lineRule="auto"/>
        <w:jc w:val="both"/>
        <w:rPr>
          <w:rFonts w:ascii="Arial" w:hAnsi="Arial" w:cs="Arial"/>
          <w:noProof/>
          <w:color w:val="000000" w:themeColor="text1"/>
          <w:sz w:val="20"/>
          <w:szCs w:val="20"/>
        </w:rPr>
      </w:pPr>
    </w:p>
    <w:p w14:paraId="41EB07FF" w14:textId="77777777" w:rsidR="008C078D" w:rsidRDefault="008C078D" w:rsidP="00C118DB">
      <w:pPr>
        <w:spacing w:line="276" w:lineRule="auto"/>
        <w:jc w:val="both"/>
        <w:rPr>
          <w:rFonts w:ascii="Arial" w:hAnsi="Arial" w:cs="Arial"/>
          <w:noProof/>
          <w:color w:val="000000" w:themeColor="text1"/>
          <w:sz w:val="20"/>
          <w:szCs w:val="20"/>
        </w:rPr>
      </w:pPr>
    </w:p>
    <w:p w14:paraId="31D4DDF3" w14:textId="0C1116E6" w:rsidR="00352139" w:rsidRDefault="00352139" w:rsidP="00352139">
      <w:pPr>
        <w:spacing w:line="276" w:lineRule="auto"/>
        <w:jc w:val="right"/>
        <w:rPr>
          <w:rFonts w:ascii="Arial" w:hAnsi="Arial" w:cs="Arial"/>
          <w:noProof/>
          <w:color w:val="000000" w:themeColor="text1"/>
          <w:sz w:val="22"/>
        </w:rPr>
      </w:pPr>
      <w:r w:rsidRPr="00352139">
        <w:rPr>
          <w:rFonts w:ascii="Arial" w:hAnsi="Arial" w:cs="Arial"/>
          <w:noProof/>
          <w:color w:val="000000" w:themeColor="text1"/>
          <w:sz w:val="22"/>
        </w:rPr>
        <w:lastRenderedPageBreak/>
        <w:drawing>
          <wp:inline distT="0" distB="0" distL="0" distR="0" wp14:anchorId="212D6AC2" wp14:editId="73E5BD74">
            <wp:extent cx="2162175" cy="74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742950"/>
                    </a:xfrm>
                    <a:prstGeom prst="rect">
                      <a:avLst/>
                    </a:prstGeom>
                    <a:noFill/>
                    <a:ln>
                      <a:noFill/>
                    </a:ln>
                  </pic:spPr>
                </pic:pic>
              </a:graphicData>
            </a:graphic>
          </wp:inline>
        </w:drawing>
      </w:r>
    </w:p>
    <w:p w14:paraId="0E0C90E1" w14:textId="77777777" w:rsidR="00352139" w:rsidRDefault="00352139" w:rsidP="00C118DB">
      <w:pPr>
        <w:spacing w:line="276" w:lineRule="auto"/>
        <w:jc w:val="both"/>
        <w:rPr>
          <w:rFonts w:ascii="Arial" w:hAnsi="Arial" w:cs="Arial"/>
          <w:noProof/>
          <w:color w:val="000000" w:themeColor="text1"/>
          <w:sz w:val="22"/>
        </w:rPr>
      </w:pPr>
    </w:p>
    <w:p w14:paraId="7DD48F49" w14:textId="157D96BD" w:rsidR="00B95C30" w:rsidRPr="00A51520" w:rsidRDefault="00B95C30" w:rsidP="00C118DB">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352139">
        <w:rPr>
          <w:rFonts w:ascii="Arial" w:hAnsi="Arial" w:cs="Arial"/>
          <w:b/>
          <w:color w:val="000000" w:themeColor="text1"/>
          <w:sz w:val="22"/>
        </w:rPr>
        <w:t>19 de septiembre de 2022</w:t>
      </w:r>
    </w:p>
    <w:p w14:paraId="5FDF9495" w14:textId="504EB174" w:rsidR="00631A31" w:rsidRDefault="00631A31" w:rsidP="00B95C30">
      <w:pPr>
        <w:jc w:val="both"/>
        <w:rPr>
          <w:rFonts w:ascii="Arial" w:hAnsi="Arial" w:cs="Arial"/>
          <w:b/>
          <w:color w:val="000000" w:themeColor="text1"/>
          <w:sz w:val="22"/>
          <w:lang w:val="pt-BR"/>
        </w:rPr>
      </w:pPr>
    </w:p>
    <w:p w14:paraId="75FA9737" w14:textId="77777777" w:rsidR="00A5491E" w:rsidRPr="00A51520" w:rsidRDefault="00A5491E" w:rsidP="00B95C30">
      <w:pPr>
        <w:jc w:val="both"/>
        <w:rPr>
          <w:rFonts w:ascii="Arial" w:hAnsi="Arial" w:cs="Arial"/>
          <w:b/>
          <w:color w:val="000000" w:themeColor="text1"/>
          <w:sz w:val="22"/>
          <w:lang w:val="pt-BR"/>
        </w:rPr>
      </w:pPr>
    </w:p>
    <w:p w14:paraId="5F5AE9EF" w14:textId="788BCA4E" w:rsidR="00B95C30" w:rsidRPr="00A51520" w:rsidRDefault="00B95C30" w:rsidP="00B95C30">
      <w:pPr>
        <w:jc w:val="both"/>
        <w:rPr>
          <w:rFonts w:ascii="Arial" w:eastAsia="Calibri" w:hAnsi="Arial" w:cs="Arial"/>
          <w:color w:val="000000" w:themeColor="text1"/>
          <w:sz w:val="22"/>
        </w:rPr>
      </w:pPr>
      <w:bookmarkStart w:id="1" w:name="_Hlk100051121"/>
      <w:r w:rsidRPr="00A51520">
        <w:rPr>
          <w:rFonts w:ascii="Arial" w:eastAsia="Calibri" w:hAnsi="Arial" w:cs="Arial"/>
          <w:color w:val="000000" w:themeColor="text1"/>
          <w:sz w:val="22"/>
        </w:rPr>
        <w:t>Señor</w:t>
      </w:r>
      <w:r w:rsidR="001F5CC2">
        <w:rPr>
          <w:rFonts w:ascii="Arial" w:eastAsia="Calibri" w:hAnsi="Arial" w:cs="Arial"/>
          <w:color w:val="000000" w:themeColor="text1"/>
          <w:sz w:val="22"/>
        </w:rPr>
        <w:t>a</w:t>
      </w:r>
    </w:p>
    <w:p w14:paraId="7FC8DB2D" w14:textId="77777777" w:rsidR="001F5CC2" w:rsidRDefault="001F5CC2"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 xml:space="preserve">Carolina Vargas Villamil </w:t>
      </w:r>
      <w:r w:rsidR="00BA1D64">
        <w:rPr>
          <w:rFonts w:ascii="Arial" w:eastAsia="Calibri" w:hAnsi="Arial" w:cs="Arial"/>
          <w:b/>
          <w:color w:val="000000" w:themeColor="text1"/>
          <w:sz w:val="22"/>
        </w:rPr>
        <w:t xml:space="preserve"> </w:t>
      </w:r>
    </w:p>
    <w:p w14:paraId="3E0299A0" w14:textId="77777777" w:rsidR="001F5CC2" w:rsidRPr="001F5CC2" w:rsidRDefault="001F5CC2" w:rsidP="00F650A2">
      <w:pPr>
        <w:tabs>
          <w:tab w:val="center" w:pos="4394"/>
        </w:tabs>
        <w:jc w:val="both"/>
        <w:rPr>
          <w:rFonts w:ascii="Arial" w:eastAsia="Calibri" w:hAnsi="Arial" w:cs="Arial"/>
          <w:bCs/>
          <w:color w:val="000000" w:themeColor="text1"/>
          <w:sz w:val="22"/>
        </w:rPr>
      </w:pPr>
      <w:r w:rsidRPr="001F5CC2">
        <w:rPr>
          <w:rFonts w:ascii="Arial" w:eastAsia="Calibri" w:hAnsi="Arial" w:cs="Arial"/>
          <w:bCs/>
          <w:color w:val="000000" w:themeColor="text1"/>
          <w:sz w:val="22"/>
        </w:rPr>
        <w:t xml:space="preserve">Investigadora asignada </w:t>
      </w:r>
    </w:p>
    <w:p w14:paraId="798A20AC" w14:textId="6FEDE13A" w:rsidR="005F5F37" w:rsidRPr="001F5CC2" w:rsidRDefault="001F5CC2" w:rsidP="00F650A2">
      <w:pPr>
        <w:tabs>
          <w:tab w:val="center" w:pos="4394"/>
        </w:tabs>
        <w:jc w:val="both"/>
        <w:rPr>
          <w:rFonts w:ascii="Arial" w:eastAsia="Calibri" w:hAnsi="Arial" w:cs="Arial"/>
          <w:bCs/>
          <w:color w:val="000000" w:themeColor="text1"/>
          <w:sz w:val="22"/>
        </w:rPr>
      </w:pPr>
      <w:r w:rsidRPr="001F5CC2">
        <w:rPr>
          <w:rFonts w:ascii="Arial" w:eastAsia="Calibri" w:hAnsi="Arial" w:cs="Arial"/>
          <w:bCs/>
          <w:color w:val="000000" w:themeColor="text1"/>
          <w:sz w:val="22"/>
        </w:rPr>
        <w:t xml:space="preserve">Fiscalía 12 Delegada ante la Corte Suprema de Justicia </w:t>
      </w:r>
      <w:r w:rsidR="00F650A2" w:rsidRPr="001F5CC2">
        <w:rPr>
          <w:rFonts w:ascii="Arial" w:eastAsia="Calibri" w:hAnsi="Arial" w:cs="Arial"/>
          <w:bCs/>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1F721BE9"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1F5CC2">
        <w:rPr>
          <w:rFonts w:ascii="Arial" w:eastAsia="Calibri" w:hAnsi="Arial" w:cs="Arial"/>
          <w:b/>
          <w:bCs/>
          <w:color w:val="000000" w:themeColor="text1"/>
          <w:sz w:val="22"/>
          <w:lang w:val="pt-BR"/>
        </w:rPr>
        <w:t>680</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C06955">
        <w:trPr>
          <w:trHeight w:val="884"/>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46EC6062" w:rsidR="00A71E4C" w:rsidRPr="002B16B7" w:rsidRDefault="002B16B7" w:rsidP="002B16B7">
            <w:pPr>
              <w:jc w:val="both"/>
              <w:rPr>
                <w:rFonts w:ascii="Arial" w:eastAsia="Calibri" w:hAnsi="Arial" w:cs="Arial"/>
                <w:bCs/>
                <w:sz w:val="22"/>
                <w:lang w:val="es-ES_tradnl"/>
              </w:rPr>
            </w:pPr>
            <w:r w:rsidRPr="002B16B7">
              <w:rPr>
                <w:rFonts w:ascii="Arial" w:eastAsia="Calibri" w:hAnsi="Arial" w:cs="Arial"/>
                <w:bCs/>
                <w:sz w:val="22"/>
                <w:lang w:val="es-ES_tradnl"/>
              </w:rPr>
              <w:t xml:space="preserve">PRINCIPIO DE PLANEACIÓN – Estudios previos </w:t>
            </w:r>
            <w:r w:rsidR="00C06955" w:rsidRPr="002B16B7">
              <w:rPr>
                <w:rFonts w:ascii="Arial" w:eastAsia="Calibri" w:hAnsi="Arial" w:cs="Arial"/>
                <w:bCs/>
                <w:sz w:val="22"/>
              </w:rPr>
              <w:t xml:space="preserve">/ </w:t>
            </w:r>
            <w:r w:rsidRPr="002B16B7">
              <w:rPr>
                <w:rFonts w:ascii="Arial" w:eastAsia="Calibri" w:hAnsi="Arial" w:cs="Arial"/>
                <w:bCs/>
                <w:sz w:val="22"/>
                <w:lang w:val="es-ES_tradnl"/>
              </w:rPr>
              <w:t>ANÁLISIS DEL SECTOR – Perspectiva multidisciplinaria – Estudio de la oferta – Estudio del mercado</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13E66895"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0D0CC7" w:rsidRPr="000D0CC7">
              <w:rPr>
                <w:rFonts w:ascii="Arial" w:eastAsia="Calibri" w:hAnsi="Arial" w:cs="Arial"/>
                <w:color w:val="000000" w:themeColor="text1"/>
                <w:sz w:val="22"/>
                <w:lang w:val="es-ES_tradnl"/>
              </w:rPr>
              <w:t xml:space="preserve"> </w:t>
            </w:r>
            <w:r w:rsidR="001F5CC2" w:rsidRPr="001F5CC2">
              <w:rPr>
                <w:rFonts w:ascii="Arial" w:eastAsia="Calibri" w:hAnsi="Arial" w:cs="Arial"/>
                <w:color w:val="000000" w:themeColor="text1"/>
                <w:sz w:val="22"/>
                <w:lang w:val="es-ES_tradnl"/>
              </w:rPr>
              <w:t>P20220905008868</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1FB700D5"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1F5CC2">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1F5CC2">
        <w:rPr>
          <w:rFonts w:ascii="Arial" w:eastAsia="Calibri" w:hAnsi="Arial" w:cs="Arial"/>
          <w:color w:val="000000" w:themeColor="text1"/>
          <w:sz w:val="22"/>
          <w:lang w:val="es-ES_tradnl"/>
        </w:rPr>
        <w:t>a</w:t>
      </w:r>
      <w:r w:rsidR="000D0CC7">
        <w:rPr>
          <w:rFonts w:ascii="Arial" w:eastAsia="Calibri" w:hAnsi="Arial" w:cs="Arial"/>
          <w:color w:val="000000" w:themeColor="text1"/>
          <w:sz w:val="22"/>
          <w:lang w:val="es-ES_tradnl"/>
        </w:rPr>
        <w:t xml:space="preserve"> </w:t>
      </w:r>
      <w:r w:rsidR="001F5CC2">
        <w:rPr>
          <w:rFonts w:ascii="Arial" w:eastAsia="Calibri" w:hAnsi="Arial" w:cs="Arial"/>
          <w:color w:val="000000" w:themeColor="text1"/>
          <w:sz w:val="22"/>
          <w:lang w:val="es-ES_tradnl"/>
        </w:rPr>
        <w:t>Vargas</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72016B93"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w:t>
      </w:r>
      <w:r w:rsidR="00150A17">
        <w:rPr>
          <w:rFonts w:ascii="Arial" w:eastAsia="Calibri" w:hAnsi="Arial" w:cs="Arial"/>
          <w:color w:val="000000" w:themeColor="text1"/>
          <w:sz w:val="22"/>
          <w:lang w:val="es-ES_tradnl"/>
        </w:rPr>
        <w:t xml:space="preserve"> </w:t>
      </w:r>
      <w:r w:rsidR="000D0CC7">
        <w:rPr>
          <w:rFonts w:ascii="Arial" w:eastAsia="Calibri" w:hAnsi="Arial" w:cs="Arial"/>
          <w:color w:val="000000" w:themeColor="text1"/>
          <w:sz w:val="22"/>
          <w:lang w:val="es-ES_tradnl"/>
        </w:rPr>
        <w:t>d</w:t>
      </w:r>
      <w:r w:rsidR="00F14618">
        <w:rPr>
          <w:rFonts w:ascii="Arial" w:eastAsia="Calibri" w:hAnsi="Arial" w:cs="Arial"/>
          <w:color w:val="000000" w:themeColor="text1"/>
          <w:sz w:val="22"/>
          <w:lang w:val="es-ES_tradnl"/>
        </w:rPr>
        <w:t xml:space="preserve">el </w:t>
      </w:r>
      <w:r w:rsidR="001F5CC2">
        <w:rPr>
          <w:rFonts w:ascii="Arial" w:eastAsia="Calibri" w:hAnsi="Arial" w:cs="Arial"/>
          <w:color w:val="000000" w:themeColor="text1"/>
          <w:sz w:val="22"/>
          <w:lang w:val="es-ES_tradnl"/>
        </w:rPr>
        <w:t xml:space="preserve">5 </w:t>
      </w:r>
      <w:r w:rsidR="00F14618">
        <w:rPr>
          <w:rFonts w:ascii="Arial" w:eastAsia="Calibri" w:hAnsi="Arial" w:cs="Arial"/>
          <w:color w:val="000000" w:themeColor="text1"/>
          <w:sz w:val="22"/>
          <w:lang w:val="es-ES_tradnl"/>
        </w:rPr>
        <w:t xml:space="preserve">de </w:t>
      </w:r>
      <w:r w:rsidR="001F5CC2">
        <w:rPr>
          <w:rFonts w:ascii="Arial" w:eastAsia="Calibri" w:hAnsi="Arial" w:cs="Arial"/>
          <w:color w:val="000000" w:themeColor="text1"/>
          <w:sz w:val="22"/>
          <w:lang w:val="es-ES_tradnl"/>
        </w:rPr>
        <w:t>septiembre</w:t>
      </w:r>
      <w:r w:rsidR="00F14618">
        <w:rPr>
          <w:rFonts w:ascii="Arial" w:eastAsia="Calibri" w:hAnsi="Arial" w:cs="Arial"/>
          <w:color w:val="000000" w:themeColor="text1"/>
          <w:sz w:val="22"/>
          <w:lang w:val="es-ES_tradnl"/>
        </w:rPr>
        <w:t xml:space="preserve"> de 202</w:t>
      </w:r>
      <w:r w:rsidR="00782354">
        <w:rPr>
          <w:rFonts w:ascii="Arial" w:eastAsia="Calibri" w:hAnsi="Arial" w:cs="Arial"/>
          <w:color w:val="000000" w:themeColor="text1"/>
          <w:sz w:val="22"/>
          <w:lang w:val="es-ES_tradnl"/>
        </w:rPr>
        <w:t>2</w:t>
      </w:r>
      <w:r w:rsidR="00F14618">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23DC0BDF"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845D8EE" w14:textId="2DDBB2C1" w:rsidR="000D0CC7" w:rsidRDefault="000D0CC7" w:rsidP="00447021">
      <w:pPr>
        <w:spacing w:line="276" w:lineRule="auto"/>
        <w:jc w:val="both"/>
        <w:rPr>
          <w:rFonts w:ascii="Arial" w:hAnsi="Arial" w:cs="Arial"/>
          <w:bCs/>
          <w:sz w:val="22"/>
          <w:szCs w:val="22"/>
        </w:rPr>
      </w:pPr>
      <w:r>
        <w:rPr>
          <w:rFonts w:ascii="Arial" w:hAnsi="Arial" w:cs="Arial"/>
          <w:bCs/>
          <w:sz w:val="22"/>
          <w:szCs w:val="22"/>
        </w:rPr>
        <w:t xml:space="preserve">Usted realiza las siguientes preguntas: </w:t>
      </w:r>
    </w:p>
    <w:p w14:paraId="70C18DEA" w14:textId="77777777" w:rsidR="000D0CC7" w:rsidRDefault="000D0CC7" w:rsidP="00447021">
      <w:pPr>
        <w:spacing w:line="276" w:lineRule="auto"/>
        <w:jc w:val="both"/>
        <w:rPr>
          <w:rFonts w:ascii="Arial" w:hAnsi="Arial" w:cs="Arial"/>
          <w:bCs/>
          <w:sz w:val="22"/>
          <w:szCs w:val="22"/>
        </w:rPr>
      </w:pPr>
    </w:p>
    <w:p w14:paraId="346F0F1A" w14:textId="66B0F609" w:rsidR="00810C5B" w:rsidRDefault="00447021" w:rsidP="00810C5B">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w:t>
      </w:r>
      <w:r w:rsidR="00810C5B" w:rsidRPr="00810C5B">
        <w:rPr>
          <w:rFonts w:ascii="Arial" w:hAnsi="Arial" w:cs="Arial"/>
          <w:sz w:val="21"/>
          <w:szCs w:val="21"/>
        </w:rPr>
        <w:t xml:space="preserve">A la luz de lo contemplado en la Ley 80 de 1993, Ley 1150 de 2007; el </w:t>
      </w:r>
      <w:r w:rsidR="00810C5B" w:rsidRPr="00810C5B">
        <w:rPr>
          <w:rFonts w:ascii="Arial" w:hAnsi="Arial" w:cs="Arial"/>
          <w:b/>
          <w:bCs/>
          <w:sz w:val="21"/>
          <w:szCs w:val="21"/>
        </w:rPr>
        <w:t xml:space="preserve">Decreto 4170 de 2011 </w:t>
      </w:r>
      <w:r w:rsidR="00810C5B" w:rsidRPr="00810C5B">
        <w:rPr>
          <w:rFonts w:ascii="Arial" w:hAnsi="Arial" w:cs="Arial"/>
          <w:sz w:val="21"/>
          <w:szCs w:val="21"/>
        </w:rPr>
        <w:t xml:space="preserve">y demás normas concordantes, en el marco de la elaboración de un estudio previo para la celebración de un contrato estatal: </w:t>
      </w:r>
    </w:p>
    <w:p w14:paraId="0EE61CC8" w14:textId="77777777" w:rsidR="00810C5B" w:rsidRPr="00810C5B" w:rsidRDefault="00810C5B" w:rsidP="00810C5B">
      <w:pPr>
        <w:autoSpaceDE w:val="0"/>
        <w:autoSpaceDN w:val="0"/>
        <w:adjustRightInd w:val="0"/>
        <w:ind w:left="709" w:right="709"/>
        <w:jc w:val="both"/>
        <w:rPr>
          <w:rFonts w:ascii="Arial" w:hAnsi="Arial" w:cs="Arial"/>
          <w:sz w:val="21"/>
          <w:szCs w:val="21"/>
        </w:rPr>
      </w:pPr>
    </w:p>
    <w:p w14:paraId="43C7AEFB" w14:textId="1CD7E726" w:rsidR="00810C5B" w:rsidRPr="00810C5B" w:rsidRDefault="00810C5B" w:rsidP="005D7312">
      <w:pPr>
        <w:autoSpaceDE w:val="0"/>
        <w:autoSpaceDN w:val="0"/>
        <w:adjustRightInd w:val="0"/>
        <w:ind w:left="709" w:right="709"/>
        <w:jc w:val="both"/>
        <w:rPr>
          <w:rFonts w:ascii="Arial" w:hAnsi="Arial" w:cs="Arial"/>
          <w:sz w:val="21"/>
          <w:szCs w:val="21"/>
        </w:rPr>
      </w:pPr>
      <w:r w:rsidRPr="00810C5B">
        <w:rPr>
          <w:rFonts w:ascii="Arial" w:hAnsi="Arial" w:cs="Arial"/>
          <w:sz w:val="21"/>
          <w:szCs w:val="21"/>
        </w:rPr>
        <w:t xml:space="preserve">1.) ¿Cuál es el procedimiento establecido para adelantar un estudio de mercado? </w:t>
      </w:r>
    </w:p>
    <w:p w14:paraId="4BFB0C4A" w14:textId="13EFBC7F" w:rsidR="008741EE" w:rsidRPr="008741EE" w:rsidRDefault="00810C5B" w:rsidP="005D7312">
      <w:pPr>
        <w:autoSpaceDE w:val="0"/>
        <w:autoSpaceDN w:val="0"/>
        <w:adjustRightInd w:val="0"/>
        <w:ind w:left="709" w:right="709"/>
        <w:jc w:val="both"/>
        <w:rPr>
          <w:rFonts w:ascii="Arial" w:hAnsi="Arial" w:cs="Arial"/>
          <w:sz w:val="21"/>
          <w:szCs w:val="21"/>
        </w:rPr>
      </w:pPr>
      <w:r w:rsidRPr="00810C5B">
        <w:rPr>
          <w:rFonts w:ascii="Arial" w:hAnsi="Arial" w:cs="Arial"/>
          <w:sz w:val="21"/>
          <w:szCs w:val="21"/>
        </w:rPr>
        <w:t xml:space="preserve">2.) ¿Qué requisitos establecidos por Ley deben cumplir las cotizaciones presentadas para que sean tenidas en cuenta en un estudio de mercado? </w:t>
      </w:r>
    </w:p>
    <w:p w14:paraId="3EFBD46B" w14:textId="1850B739" w:rsidR="008741EE" w:rsidRPr="008741EE" w:rsidRDefault="008741EE" w:rsidP="005D7312">
      <w:pPr>
        <w:autoSpaceDE w:val="0"/>
        <w:autoSpaceDN w:val="0"/>
        <w:adjustRightInd w:val="0"/>
        <w:ind w:left="709" w:right="709"/>
        <w:jc w:val="both"/>
        <w:rPr>
          <w:rFonts w:ascii="Arial" w:hAnsi="Arial" w:cs="Arial"/>
          <w:sz w:val="21"/>
          <w:szCs w:val="21"/>
        </w:rPr>
      </w:pPr>
      <w:r w:rsidRPr="008741EE">
        <w:rPr>
          <w:rFonts w:ascii="Arial" w:hAnsi="Arial" w:cs="Arial"/>
          <w:sz w:val="21"/>
          <w:szCs w:val="21"/>
        </w:rPr>
        <w:t xml:space="preserve">3.) ¿Cuál es la diferencia entre análisis del sector y estudio de mercado? </w:t>
      </w:r>
    </w:p>
    <w:p w14:paraId="0D698519" w14:textId="33C34EC0" w:rsidR="000D0CC7" w:rsidRPr="000D0CC7" w:rsidRDefault="008741EE" w:rsidP="008741EE">
      <w:pPr>
        <w:autoSpaceDE w:val="0"/>
        <w:autoSpaceDN w:val="0"/>
        <w:adjustRightInd w:val="0"/>
        <w:ind w:left="709" w:right="709"/>
        <w:jc w:val="both"/>
        <w:rPr>
          <w:rFonts w:ascii="Arial" w:hAnsi="Arial" w:cs="Arial"/>
          <w:sz w:val="21"/>
          <w:szCs w:val="21"/>
        </w:rPr>
      </w:pPr>
      <w:r w:rsidRPr="008741EE">
        <w:rPr>
          <w:rFonts w:ascii="Arial" w:hAnsi="Arial" w:cs="Arial"/>
          <w:sz w:val="21"/>
          <w:szCs w:val="21"/>
        </w:rPr>
        <w:t>4.) ¿El análisis del sector puede remplazar un estudio de mercado?</w:t>
      </w:r>
      <w:r w:rsidR="000D0CC7" w:rsidRPr="000D0CC7">
        <w:rPr>
          <w:rFonts w:ascii="Arial" w:hAnsi="Arial" w:cs="Arial"/>
          <w:sz w:val="21"/>
          <w:szCs w:val="21"/>
        </w:rPr>
        <w:t xml:space="preserve">»  </w:t>
      </w:r>
    </w:p>
    <w:p w14:paraId="5A9E4F83" w14:textId="77777777" w:rsidR="00991805" w:rsidRPr="00A51520" w:rsidRDefault="00991805" w:rsidP="00447021">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lastRenderedPageBreak/>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4F8E7AAB" w14:textId="77777777" w:rsidR="006E7824" w:rsidRPr="0060580F" w:rsidRDefault="006E7824" w:rsidP="005D7312">
      <w:pPr>
        <w:spacing w:line="276" w:lineRule="auto"/>
        <w:jc w:val="both"/>
        <w:rPr>
          <w:rFonts w:ascii="Arial" w:hAnsi="Arial" w:cs="Arial"/>
          <w:sz w:val="22"/>
          <w:szCs w:val="22"/>
          <w:lang w:val="es-ES"/>
        </w:rPr>
      </w:pPr>
      <w:r w:rsidRPr="0060580F">
        <w:rPr>
          <w:rFonts w:ascii="Arial" w:hAnsi="Arial" w:cs="Arial"/>
          <w:bCs/>
          <w:sz w:val="22"/>
          <w:szCs w:val="22"/>
        </w:rPr>
        <w:t xml:space="preserve">En ejercicio de las competencias establecidas en los artículos 3.5 y 11.8 del Decreto 4170 de 2011, la Agencia Nacional de Contratación Pública – Colombia Compra Eficiente resuelve consultas sobre </w:t>
      </w:r>
      <w:r w:rsidRPr="0060580F">
        <w:rPr>
          <w:rFonts w:ascii="Arial" w:hAnsi="Arial" w:cs="Arial"/>
          <w:sz w:val="22"/>
          <w:szCs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60580F">
        <w:rPr>
          <w:rFonts w:ascii="Arial" w:hAnsi="Arial" w:cs="Arial"/>
          <w:bCs/>
          <w:sz w:val="22"/>
          <w:szCs w:val="22"/>
        </w:rPr>
        <w:t xml:space="preserve"> de todos los partícipes de la contratación estatal ni para interpretar el alcance de cualquier norma vigente en el ordenamiento jurídico.</w:t>
      </w:r>
    </w:p>
    <w:p w14:paraId="2804D75A" w14:textId="69579C5B" w:rsidR="006E7824" w:rsidRPr="0060580F" w:rsidRDefault="006E7824" w:rsidP="005D7312">
      <w:pPr>
        <w:spacing w:before="120" w:line="276" w:lineRule="auto"/>
        <w:ind w:firstLine="708"/>
        <w:jc w:val="both"/>
        <w:rPr>
          <w:rFonts w:ascii="Arial" w:hAnsi="Arial" w:cs="Arial"/>
          <w:sz w:val="22"/>
          <w:szCs w:val="22"/>
          <w:lang w:val="es-ES"/>
        </w:rPr>
      </w:pPr>
      <w:r w:rsidRPr="0060580F">
        <w:rPr>
          <w:rFonts w:ascii="Arial"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0580F">
        <w:rPr>
          <w:rFonts w:ascii="Arial" w:hAnsi="Arial" w:cs="Arial"/>
          <w:sz w:val="22"/>
          <w:szCs w:val="22"/>
          <w:vertAlign w:val="superscript"/>
          <w:lang w:val="es-ES"/>
        </w:rPr>
        <w:footnoteReference w:id="2"/>
      </w:r>
      <w:r w:rsidRPr="0060580F">
        <w:rPr>
          <w:rFonts w:ascii="Arial" w:hAnsi="Arial" w:cs="Arial"/>
          <w:sz w:val="22"/>
          <w:szCs w:val="22"/>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77C19C30" w14:textId="0651B82B" w:rsidR="008741EE" w:rsidRDefault="006E7824" w:rsidP="005D7312">
      <w:pPr>
        <w:spacing w:before="120" w:line="276" w:lineRule="auto"/>
        <w:ind w:firstLine="708"/>
        <w:jc w:val="both"/>
        <w:rPr>
          <w:rFonts w:ascii="Arial" w:hAnsi="Arial" w:cs="Arial"/>
          <w:sz w:val="22"/>
          <w:lang w:val="es-ES_tradnl"/>
        </w:rPr>
      </w:pPr>
      <w:r w:rsidRPr="0060580F">
        <w:rPr>
          <w:rFonts w:ascii="Arial" w:hAnsi="Arial" w:cs="Arial"/>
          <w:sz w:val="22"/>
          <w:szCs w:val="22"/>
          <w:lang w:val="es-ES"/>
        </w:rPr>
        <w:t xml:space="preserve">En este contexto, </w:t>
      </w:r>
      <w:r w:rsidR="00A71E4C">
        <w:rPr>
          <w:rFonts w:ascii="Arial" w:hAnsi="Arial" w:cs="Arial"/>
          <w:sz w:val="22"/>
          <w:szCs w:val="22"/>
          <w:lang w:val="es-ES"/>
        </w:rPr>
        <w:t>l</w:t>
      </w:r>
      <w:r w:rsidR="00832FDC" w:rsidRPr="00B7032A">
        <w:rPr>
          <w:rFonts w:ascii="Arial" w:eastAsia="Calibri" w:hAnsi="Arial" w:cs="Arial"/>
          <w:color w:val="000000" w:themeColor="text1"/>
          <w:sz w:val="22"/>
          <w:lang w:val="es-ES"/>
        </w:rPr>
        <w:t>a Subdirección –dentro de los límites de sus atribuciones</w:t>
      </w:r>
      <w:r w:rsidR="00D56724">
        <w:rPr>
          <w:rFonts w:ascii="Arial" w:eastAsia="Calibri" w:hAnsi="Arial" w:cs="Arial"/>
          <w:color w:val="000000" w:themeColor="text1"/>
          <w:sz w:val="22"/>
          <w:lang w:val="es-ES"/>
        </w:rPr>
        <w:t>–</w:t>
      </w:r>
      <w:r w:rsidR="00832FDC" w:rsidRPr="00B7032A">
        <w:rPr>
          <w:rFonts w:ascii="Arial" w:eastAsia="Calibri" w:hAnsi="Arial" w:cs="Arial"/>
          <w:color w:val="000000" w:themeColor="text1"/>
          <w:sz w:val="22"/>
          <w:lang w:val="es-ES"/>
        </w:rPr>
        <w:t>, resolverá la consulta conforme a las normas generales en materia de contratación estatal</w:t>
      </w:r>
      <w:r w:rsidR="00BF3356">
        <w:rPr>
          <w:rFonts w:ascii="Arial" w:eastAsia="Calibri" w:hAnsi="Arial" w:cs="Arial"/>
          <w:bCs/>
          <w:color w:val="000000" w:themeColor="text1"/>
          <w:sz w:val="22"/>
          <w:lang w:val="es-ES"/>
        </w:rPr>
        <w:t xml:space="preserve">. </w:t>
      </w:r>
      <w:r w:rsidRPr="00621981">
        <w:rPr>
          <w:rFonts w:ascii="Arial" w:eastAsia="Calibri" w:hAnsi="Arial" w:cs="Arial"/>
          <w:bCs/>
          <w:color w:val="000000" w:themeColor="text1"/>
          <w:sz w:val="22"/>
        </w:rPr>
        <w:t xml:space="preserve">Para estos efectos, </w:t>
      </w:r>
      <w:r w:rsidRPr="00621981">
        <w:rPr>
          <w:rFonts w:ascii="Arial" w:eastAsia="Calibri" w:hAnsi="Arial" w:cs="Arial"/>
          <w:bCs/>
          <w:color w:val="000000" w:themeColor="text1"/>
          <w:sz w:val="22"/>
          <w:lang w:val="es-ES"/>
        </w:rPr>
        <w:t xml:space="preserve">se analizará </w:t>
      </w:r>
      <w:r w:rsidR="00E051ED">
        <w:rPr>
          <w:rFonts w:ascii="Arial" w:eastAsia="Calibri" w:hAnsi="Arial" w:cs="Arial"/>
          <w:bCs/>
          <w:color w:val="000000" w:themeColor="text1"/>
          <w:sz w:val="22"/>
          <w:lang w:val="es-ES"/>
        </w:rPr>
        <w:t xml:space="preserve">el principio de planeación </w:t>
      </w:r>
      <w:r w:rsidR="00D45FED">
        <w:rPr>
          <w:rFonts w:ascii="Arial" w:eastAsia="Calibri" w:hAnsi="Arial" w:cs="Arial"/>
          <w:bCs/>
          <w:color w:val="000000" w:themeColor="text1"/>
          <w:sz w:val="22"/>
          <w:lang w:val="es-ES"/>
        </w:rPr>
        <w:t>y el análisis del sector</w:t>
      </w:r>
      <w:r w:rsidR="00731200">
        <w:rPr>
          <w:rFonts w:ascii="Arial" w:eastAsia="Calibri" w:hAnsi="Arial" w:cs="Arial"/>
          <w:bCs/>
          <w:color w:val="000000" w:themeColor="text1"/>
          <w:sz w:val="22"/>
          <w:lang w:val="es-ES"/>
        </w:rPr>
        <w:t xml:space="preserve"> en el </w:t>
      </w:r>
      <w:r w:rsidR="00731200">
        <w:rPr>
          <w:rFonts w:ascii="Arial" w:eastAsia="Calibri" w:hAnsi="Arial" w:cs="Arial"/>
          <w:sz w:val="22"/>
          <w:lang w:val="es-ES_tradnl"/>
        </w:rPr>
        <w:t>Estatuto General de Contratación</w:t>
      </w:r>
      <w:r w:rsidR="00D56724">
        <w:rPr>
          <w:rFonts w:ascii="Arial" w:eastAsia="Calibri" w:hAnsi="Arial" w:cs="Arial"/>
          <w:sz w:val="22"/>
          <w:lang w:val="es-ES_tradnl"/>
        </w:rPr>
        <w:t xml:space="preserve"> de la Administración Pública</w:t>
      </w:r>
      <w:r w:rsidR="00731200">
        <w:rPr>
          <w:rFonts w:ascii="Arial" w:eastAsia="Calibri" w:hAnsi="Arial" w:cs="Arial"/>
          <w:sz w:val="22"/>
          <w:lang w:val="es-ES_tradnl"/>
        </w:rPr>
        <w:t>.</w:t>
      </w:r>
    </w:p>
    <w:p w14:paraId="2E6D3C3A" w14:textId="1510F23F" w:rsidR="00E051ED" w:rsidRPr="00611FE8" w:rsidRDefault="00E051ED" w:rsidP="005D7312">
      <w:pPr>
        <w:spacing w:before="120" w:line="276" w:lineRule="auto"/>
        <w:ind w:firstLine="709"/>
        <w:jc w:val="both"/>
        <w:rPr>
          <w:rFonts w:ascii="Arial" w:eastAsia="Calibri" w:hAnsi="Arial" w:cs="Arial"/>
          <w:color w:val="000000"/>
          <w:sz w:val="22"/>
          <w:szCs w:val="22"/>
          <w:lang w:val="es-ES_tradnl"/>
        </w:rPr>
      </w:pPr>
      <w:r>
        <w:rPr>
          <w:rFonts w:ascii="Arial" w:eastAsia="Calibri" w:hAnsi="Arial" w:cs="Arial"/>
          <w:color w:val="000000"/>
          <w:sz w:val="22"/>
          <w:szCs w:val="22"/>
          <w:lang w:val="es-ES_tradnl"/>
        </w:rPr>
        <w:t>L</w:t>
      </w:r>
      <w:r w:rsidRPr="00611FE8">
        <w:rPr>
          <w:rFonts w:ascii="Arial" w:eastAsia="Calibri" w:hAnsi="Arial" w:cs="Arial"/>
          <w:color w:val="000000"/>
          <w:sz w:val="22"/>
          <w:szCs w:val="22"/>
          <w:lang w:val="es-ES_tradnl"/>
        </w:rPr>
        <w:t xml:space="preserve">a Agencia Nacional de Contratación Pública – Colombia Compra Eficiente se pronunció, en términos generales, sobre el deber de elaborar </w:t>
      </w:r>
      <w:r w:rsidR="00DC7CE5">
        <w:rPr>
          <w:rFonts w:ascii="Arial" w:eastAsia="Calibri" w:hAnsi="Arial" w:cs="Arial"/>
          <w:color w:val="000000"/>
          <w:sz w:val="22"/>
          <w:szCs w:val="22"/>
          <w:lang w:val="es-ES_tradnl"/>
        </w:rPr>
        <w:t xml:space="preserve">el </w:t>
      </w:r>
      <w:r w:rsidRPr="00611FE8">
        <w:rPr>
          <w:rFonts w:ascii="Arial" w:eastAsia="Calibri" w:hAnsi="Arial" w:cs="Arial"/>
          <w:color w:val="000000"/>
          <w:sz w:val="22"/>
          <w:szCs w:val="22"/>
          <w:lang w:val="es-ES_tradnl"/>
        </w:rPr>
        <w:t xml:space="preserve">análisis del sector frente a </w:t>
      </w:r>
      <w:r>
        <w:rPr>
          <w:rFonts w:ascii="Arial" w:eastAsia="Calibri" w:hAnsi="Arial" w:cs="Arial"/>
          <w:color w:val="000000"/>
          <w:sz w:val="22"/>
          <w:szCs w:val="22"/>
          <w:lang w:val="es-ES_tradnl"/>
        </w:rPr>
        <w:t xml:space="preserve">los </w:t>
      </w:r>
      <w:r w:rsidRPr="00611FE8">
        <w:rPr>
          <w:rFonts w:ascii="Arial" w:eastAsia="Calibri" w:hAnsi="Arial" w:cs="Arial"/>
          <w:color w:val="000000"/>
          <w:sz w:val="22"/>
          <w:szCs w:val="22"/>
          <w:lang w:val="es-ES_tradnl"/>
        </w:rPr>
        <w:t xml:space="preserve">procesos de contratación en los </w:t>
      </w:r>
      <w:r w:rsidRPr="00611FE8">
        <w:rPr>
          <w:rFonts w:ascii="Arial" w:eastAsia="Calibri" w:hAnsi="Arial" w:cs="Arial"/>
          <w:sz w:val="22"/>
          <w:lang w:val="es-ES_tradnl"/>
        </w:rPr>
        <w:t xml:space="preserve">Conceptos 2202013000000037 del 7 de enero de 2020 y C-223 del 29 de abril de 2020 –radicado No. 2202013000003261– y C–148 de 2021. Igualmente, </w:t>
      </w:r>
      <w:r>
        <w:rPr>
          <w:rFonts w:ascii="Arial" w:eastAsia="Calibri" w:hAnsi="Arial" w:cs="Arial"/>
          <w:sz w:val="22"/>
          <w:lang w:val="es-ES_tradnl"/>
        </w:rPr>
        <w:t xml:space="preserve">en </w:t>
      </w:r>
      <w:r w:rsidRPr="00611FE8">
        <w:rPr>
          <w:rFonts w:ascii="Arial" w:eastAsia="Calibri" w:hAnsi="Arial" w:cs="Arial"/>
          <w:sz w:val="22"/>
          <w:lang w:val="es-ES_tradnl"/>
        </w:rPr>
        <w:t xml:space="preserve">los Conceptos C-387 del 23 de junio de 2020 –radicado No. 2202013000005289–, </w:t>
      </w:r>
      <w:r w:rsidRPr="00611FE8">
        <w:rPr>
          <w:rFonts w:ascii="Arial" w:eastAsia="Calibri" w:hAnsi="Arial" w:cs="Arial"/>
          <w:color w:val="0B1107"/>
          <w:sz w:val="22"/>
        </w:rPr>
        <w:t xml:space="preserve">C-415 del 7 de julio </w:t>
      </w:r>
      <w:r w:rsidRPr="00611FE8">
        <w:rPr>
          <w:rFonts w:ascii="Arial" w:eastAsia="Calibri" w:hAnsi="Arial" w:cs="Arial"/>
          <w:sz w:val="22"/>
          <w:lang w:val="es-ES_tradnl"/>
        </w:rPr>
        <w:t xml:space="preserve">–radicado No. </w:t>
      </w:r>
      <w:r w:rsidRPr="00611FE8">
        <w:rPr>
          <w:rFonts w:ascii="Arial" w:hAnsi="Arial" w:cs="Arial"/>
          <w:color w:val="000000"/>
          <w:sz w:val="22"/>
        </w:rPr>
        <w:t>2202013000005931–</w:t>
      </w:r>
      <w:r w:rsidRPr="00611FE8">
        <w:rPr>
          <w:rFonts w:ascii="Arial" w:eastAsia="Calibri" w:hAnsi="Arial" w:cs="Arial"/>
          <w:color w:val="0B1107"/>
          <w:sz w:val="22"/>
        </w:rPr>
        <w:t xml:space="preserve">, </w:t>
      </w:r>
      <w:r w:rsidRPr="00611FE8">
        <w:rPr>
          <w:rFonts w:ascii="Arial" w:eastAsia="Calibri" w:hAnsi="Arial" w:cs="Arial"/>
          <w:sz w:val="22"/>
        </w:rPr>
        <w:t>C-443 del 7 de julio de 2020 –</w:t>
      </w:r>
      <w:r w:rsidRPr="00611FE8">
        <w:rPr>
          <w:rFonts w:ascii="Arial" w:eastAsia="Calibri" w:hAnsi="Arial" w:cs="Arial"/>
          <w:sz w:val="22"/>
          <w:lang w:val="es-ES_tradnl"/>
        </w:rPr>
        <w:t>radicado No.</w:t>
      </w:r>
      <w:r w:rsidRPr="00611FE8">
        <w:rPr>
          <w:rFonts w:ascii="Arial" w:hAnsi="Arial" w:cs="Arial"/>
          <w:color w:val="000000"/>
          <w:sz w:val="22"/>
        </w:rPr>
        <w:t xml:space="preserve"> 2202013000005933–</w:t>
      </w:r>
      <w:r>
        <w:rPr>
          <w:rFonts w:ascii="Arial" w:hAnsi="Arial" w:cs="Arial"/>
          <w:color w:val="000000"/>
          <w:sz w:val="22"/>
        </w:rPr>
        <w:t>,</w:t>
      </w:r>
      <w:r w:rsidRPr="00611FE8">
        <w:rPr>
          <w:rFonts w:ascii="Arial" w:hAnsi="Arial" w:cs="Arial"/>
          <w:color w:val="000000"/>
          <w:sz w:val="22"/>
        </w:rPr>
        <w:t xml:space="preserve"> C-387 del 23 de junio de 2020 –radicado No. </w:t>
      </w:r>
      <w:r w:rsidRPr="00611FE8">
        <w:rPr>
          <w:rFonts w:ascii="Arial" w:hAnsi="Arial" w:cs="Arial"/>
          <w:color w:val="000000"/>
          <w:sz w:val="22"/>
          <w:shd w:val="clear" w:color="auto" w:fill="FFFFFF"/>
        </w:rPr>
        <w:t xml:space="preserve">4202013000004275–, </w:t>
      </w:r>
      <w:r w:rsidRPr="00611FE8">
        <w:rPr>
          <w:rFonts w:ascii="Arial" w:eastAsia="Calibri" w:hAnsi="Arial" w:cs="Arial"/>
          <w:sz w:val="22"/>
          <w:lang w:val="es-ES_tradnl"/>
        </w:rPr>
        <w:t>2202013000000037 del 7 de enero de 2020</w:t>
      </w:r>
      <w:r>
        <w:rPr>
          <w:rFonts w:ascii="Arial" w:eastAsia="Calibri" w:hAnsi="Arial" w:cs="Arial"/>
          <w:sz w:val="22"/>
          <w:lang w:val="es-ES_tradnl"/>
        </w:rPr>
        <w:t>,</w:t>
      </w:r>
      <w:r w:rsidRPr="00611FE8">
        <w:rPr>
          <w:rFonts w:ascii="Arial" w:eastAsia="Calibri" w:hAnsi="Arial" w:cs="Arial"/>
          <w:sz w:val="22"/>
          <w:lang w:val="es-ES_tradnl"/>
        </w:rPr>
        <w:t xml:space="preserve"> C-223 del 29 de abril de 2020</w:t>
      </w:r>
      <w:r>
        <w:rPr>
          <w:rFonts w:ascii="Arial" w:eastAsia="Calibri" w:hAnsi="Arial" w:cs="Arial"/>
          <w:sz w:val="22"/>
          <w:lang w:val="es-ES_tradnl"/>
        </w:rPr>
        <w:t>,</w:t>
      </w:r>
      <w:r w:rsidRPr="00611FE8">
        <w:rPr>
          <w:rFonts w:ascii="Arial" w:eastAsia="Calibri" w:hAnsi="Arial" w:cs="Arial"/>
          <w:sz w:val="22"/>
          <w:lang w:val="es-ES_tradnl"/>
        </w:rPr>
        <w:t xml:space="preserve"> </w:t>
      </w:r>
      <w:r w:rsidRPr="00611FE8">
        <w:rPr>
          <w:rFonts w:ascii="Arial" w:eastAsia="Calibri" w:hAnsi="Arial" w:cs="Arial"/>
          <w:color w:val="000000"/>
          <w:sz w:val="22"/>
          <w:szCs w:val="22"/>
          <w:lang w:val="es-ES_tradnl"/>
        </w:rPr>
        <w:t>C-671 de 2020 de 23 de noviembre de 2020</w:t>
      </w:r>
      <w:r>
        <w:rPr>
          <w:rFonts w:ascii="Arial" w:eastAsia="Calibri" w:hAnsi="Arial" w:cs="Arial"/>
          <w:color w:val="000000"/>
          <w:sz w:val="22"/>
          <w:szCs w:val="22"/>
          <w:lang w:val="es-ES_tradnl"/>
        </w:rPr>
        <w:t>,</w:t>
      </w:r>
      <w:r w:rsidRPr="00611FE8">
        <w:rPr>
          <w:rFonts w:ascii="Arial" w:eastAsia="Calibri" w:hAnsi="Arial" w:cs="Arial"/>
          <w:color w:val="000000"/>
          <w:sz w:val="22"/>
          <w:szCs w:val="22"/>
          <w:lang w:val="es-ES_tradnl"/>
        </w:rPr>
        <w:t xml:space="preserve"> C-215 del 12 de mayo de </w:t>
      </w:r>
      <w:r w:rsidRPr="00611FE8">
        <w:rPr>
          <w:rFonts w:ascii="Arial" w:eastAsia="Calibri" w:hAnsi="Arial" w:cs="Arial"/>
          <w:color w:val="000000"/>
          <w:sz w:val="22"/>
          <w:szCs w:val="22"/>
          <w:lang w:val="es-ES_tradnl"/>
        </w:rPr>
        <w:lastRenderedPageBreak/>
        <w:t>2021</w:t>
      </w:r>
      <w:r w:rsidR="00731200">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C-742 de 27 de diciembre de 202</w:t>
      </w:r>
      <w:r w:rsidR="00731200">
        <w:rPr>
          <w:rFonts w:ascii="Arial" w:eastAsia="Calibri" w:hAnsi="Arial" w:cs="Arial"/>
          <w:color w:val="000000"/>
          <w:sz w:val="22"/>
          <w:szCs w:val="22"/>
          <w:lang w:val="es-ES_tradnl"/>
        </w:rPr>
        <w:t xml:space="preserve"> y C-017 del 22 de febrero de 2022</w:t>
      </w:r>
      <w:r>
        <w:rPr>
          <w:rFonts w:ascii="Arial" w:eastAsia="Calibri" w:hAnsi="Arial" w:cs="Arial"/>
          <w:color w:val="000000"/>
          <w:sz w:val="22"/>
          <w:szCs w:val="22"/>
          <w:lang w:val="es-ES_tradnl"/>
        </w:rPr>
        <w:t xml:space="preserve">, se pronunció </w:t>
      </w:r>
      <w:r w:rsidRPr="00611FE8">
        <w:rPr>
          <w:rFonts w:ascii="Arial" w:eastAsia="Calibri" w:hAnsi="Arial" w:cs="Arial"/>
          <w:color w:val="000000"/>
          <w:sz w:val="22"/>
          <w:szCs w:val="22"/>
          <w:lang w:val="es-ES_tradnl"/>
        </w:rPr>
        <w:t xml:space="preserve"> </w:t>
      </w:r>
      <w:r w:rsidRPr="00611FE8">
        <w:rPr>
          <w:rFonts w:ascii="Arial" w:eastAsia="Calibri" w:hAnsi="Arial" w:cs="Arial"/>
          <w:sz w:val="22"/>
          <w:lang w:val="es-ES_tradnl"/>
        </w:rPr>
        <w:t>sobre</w:t>
      </w:r>
      <w:r w:rsidR="00DC7CE5">
        <w:rPr>
          <w:rFonts w:ascii="Arial" w:eastAsia="Calibri" w:hAnsi="Arial" w:cs="Arial"/>
          <w:sz w:val="22"/>
          <w:lang w:val="es-ES_tradnl"/>
        </w:rPr>
        <w:t xml:space="preserve"> la</w:t>
      </w:r>
      <w:r w:rsidRPr="00611FE8">
        <w:rPr>
          <w:rFonts w:ascii="Arial" w:eastAsia="Calibri" w:hAnsi="Arial" w:cs="Arial"/>
          <w:sz w:val="22"/>
          <w:lang w:val="es-ES_tradnl"/>
        </w:rPr>
        <w:t xml:space="preserve"> </w:t>
      </w:r>
      <w:r>
        <w:rPr>
          <w:rFonts w:ascii="Arial" w:eastAsia="Calibri" w:hAnsi="Arial" w:cs="Arial"/>
          <w:sz w:val="22"/>
          <w:lang w:val="es-ES_tradnl"/>
        </w:rPr>
        <w:t>planeación y</w:t>
      </w:r>
      <w:r w:rsidR="00DC7CE5">
        <w:rPr>
          <w:rFonts w:ascii="Arial" w:eastAsia="Calibri" w:hAnsi="Arial" w:cs="Arial"/>
          <w:sz w:val="22"/>
          <w:lang w:val="es-ES_tradnl"/>
        </w:rPr>
        <w:t xml:space="preserve"> los</w:t>
      </w:r>
      <w:r>
        <w:rPr>
          <w:rFonts w:ascii="Arial" w:eastAsia="Calibri" w:hAnsi="Arial" w:cs="Arial"/>
          <w:sz w:val="22"/>
          <w:lang w:val="es-ES_tradnl"/>
        </w:rPr>
        <w:t xml:space="preserve"> estudios previos </w:t>
      </w:r>
      <w:r w:rsidRPr="00611FE8">
        <w:rPr>
          <w:rFonts w:ascii="Arial" w:eastAsia="Calibri" w:hAnsi="Arial" w:cs="Arial"/>
          <w:sz w:val="22"/>
          <w:lang w:val="es-ES_tradnl"/>
        </w:rPr>
        <w:t>en el Estatuto General de Contratación de la Administración Pública</w:t>
      </w:r>
      <w:r w:rsidR="00731200">
        <w:rPr>
          <w:rStyle w:val="Refdenotaalpie"/>
          <w:rFonts w:ascii="Arial" w:eastAsia="Calibri" w:hAnsi="Arial" w:cs="Arial"/>
          <w:sz w:val="22"/>
          <w:lang w:val="es-ES_tradnl"/>
        </w:rPr>
        <w:footnoteReference w:id="3"/>
      </w:r>
      <w:r w:rsidRPr="00611FE8">
        <w:rPr>
          <w:rFonts w:ascii="Arial" w:eastAsia="Calibri" w:hAnsi="Arial" w:cs="Arial"/>
          <w:color w:val="000000"/>
          <w:sz w:val="22"/>
          <w:szCs w:val="22"/>
          <w:lang w:val="es-ES_tradnl"/>
        </w:rPr>
        <w:t xml:space="preserve">. </w:t>
      </w:r>
      <w:r>
        <w:rPr>
          <w:rFonts w:ascii="Arial" w:eastAsia="Calibri" w:hAnsi="Arial" w:cs="Arial"/>
          <w:color w:val="000000"/>
          <w:sz w:val="22"/>
          <w:szCs w:val="22"/>
          <w:lang w:val="es-ES_tradnl"/>
        </w:rPr>
        <w:t xml:space="preserve">Las tesis expuestas se reiteran en lo pertinente. </w:t>
      </w:r>
      <w:bookmarkStart w:id="2" w:name="_Hlk54011258"/>
    </w:p>
    <w:p w14:paraId="2FAC4A8C" w14:textId="77777777" w:rsidR="00E051ED" w:rsidRPr="00611FE8" w:rsidRDefault="00E051ED" w:rsidP="005D7312">
      <w:pPr>
        <w:spacing w:before="120" w:line="276" w:lineRule="auto"/>
        <w:ind w:firstLine="708"/>
        <w:jc w:val="both"/>
      </w:pPr>
      <w:r w:rsidRPr="00611FE8">
        <w:rPr>
          <w:rFonts w:ascii="Arial" w:eastAsia="Calibri" w:hAnsi="Arial" w:cs="Arial"/>
          <w:bCs/>
          <w:sz w:val="22"/>
          <w:lang w:val="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bookmarkEnd w:id="2"/>
      <w:r w:rsidRPr="00611FE8">
        <w:rPr>
          <w:rFonts w:ascii="Arial" w:eastAsia="Calibri" w:hAnsi="Arial" w:cs="Arial"/>
          <w:bCs/>
          <w:sz w:val="21"/>
          <w:szCs w:val="21"/>
          <w:lang w:val="es-ES_tradnl"/>
        </w:rPr>
        <w:t>.</w:t>
      </w:r>
    </w:p>
    <w:p w14:paraId="7FB4AFA7" w14:textId="694E1EE2" w:rsidR="00E051ED" w:rsidRPr="00611FE8" w:rsidRDefault="00E051ED" w:rsidP="00E051ED">
      <w:pPr>
        <w:spacing w:before="120" w:line="276" w:lineRule="auto"/>
        <w:ind w:firstLine="708"/>
        <w:jc w:val="both"/>
        <w:rPr>
          <w:rFonts w:ascii="Arial" w:eastAsia="Calibri" w:hAnsi="Arial" w:cs="Arial"/>
          <w:bCs/>
          <w:sz w:val="22"/>
          <w:szCs w:val="22"/>
          <w:lang w:val="es-ES" w:eastAsia="en-US"/>
        </w:rPr>
      </w:pPr>
      <w:r w:rsidRPr="00611FE8">
        <w:rPr>
          <w:rFonts w:ascii="Arial" w:eastAsia="Calibri" w:hAnsi="Arial" w:cs="Arial"/>
          <w:bCs/>
          <w:sz w:val="22"/>
          <w:szCs w:val="22"/>
          <w:lang w:val="es-MX" w:eastAsia="en-US"/>
        </w:rPr>
        <w:t xml:space="preserve">El Estatuto General de Contratación de la Administración Pública contiene disposiciones que exigen a las entidades estatales el deber de realizar </w:t>
      </w:r>
      <w:r w:rsidR="00DC7CE5">
        <w:rPr>
          <w:rFonts w:ascii="Arial" w:eastAsia="Calibri" w:hAnsi="Arial" w:cs="Arial"/>
          <w:bCs/>
          <w:sz w:val="22"/>
          <w:szCs w:val="22"/>
          <w:lang w:val="es-MX" w:eastAsia="en-US"/>
        </w:rPr>
        <w:t xml:space="preserve">actividades de </w:t>
      </w:r>
      <w:r w:rsidRPr="00611FE8">
        <w:rPr>
          <w:rFonts w:ascii="Arial" w:eastAsia="Calibri" w:hAnsi="Arial" w:cs="Arial"/>
          <w:bCs/>
          <w:sz w:val="22"/>
          <w:szCs w:val="22"/>
          <w:lang w:val="es-MX" w:eastAsia="en-US"/>
        </w:rPr>
        <w:t xml:space="preserve">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51C38EDB" w14:textId="77777777" w:rsidR="00E051ED" w:rsidRPr="00611FE8" w:rsidRDefault="00E051ED" w:rsidP="00E051ED">
      <w:pPr>
        <w:spacing w:line="276" w:lineRule="auto"/>
        <w:ind w:firstLine="708"/>
        <w:jc w:val="both"/>
        <w:rPr>
          <w:rFonts w:ascii="Arial" w:eastAsia="Calibri" w:hAnsi="Arial" w:cs="Arial"/>
          <w:bCs/>
          <w:sz w:val="22"/>
          <w:szCs w:val="22"/>
          <w:lang w:val="es-ES" w:eastAsia="en-US"/>
        </w:rPr>
      </w:pPr>
    </w:p>
    <w:p w14:paraId="564C44B2" w14:textId="77777777" w:rsidR="00E051ED" w:rsidRPr="00611FE8" w:rsidRDefault="00E051ED" w:rsidP="00E051ED">
      <w:pPr>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7o. La conveniencia o inconveniencia del objeto a contratar y las autorizaciones y aprobaciones para ello, se analizarán o impartirán con antelación al inicio del proceso de selección del contratista o al de la firma del contrato, según el caso.</w:t>
      </w:r>
    </w:p>
    <w:p w14:paraId="46F43209" w14:textId="77777777" w:rsidR="00E051ED" w:rsidRPr="00611FE8" w:rsidRDefault="00E051ED" w:rsidP="00E051ED">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w:t>
      </w:r>
    </w:p>
    <w:p w14:paraId="21306727" w14:textId="77777777" w:rsidR="00E051ED" w:rsidRPr="00611FE8" w:rsidRDefault="00E051ED" w:rsidP="00E051ED">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8F1FB83" w14:textId="77777777" w:rsidR="00E051ED" w:rsidRPr="00611FE8" w:rsidRDefault="00E051ED" w:rsidP="00E051ED">
      <w:pPr>
        <w:spacing w:after="120"/>
        <w:ind w:left="709" w:right="709"/>
        <w:jc w:val="both"/>
        <w:rPr>
          <w:rFonts w:ascii="Arial" w:eastAsia="Calibri" w:hAnsi="Arial" w:cs="Arial"/>
          <w:sz w:val="21"/>
          <w:szCs w:val="21"/>
          <w:lang w:val="es-MX" w:eastAsia="en-US"/>
        </w:rPr>
      </w:pPr>
      <w:r w:rsidRPr="00611FE8">
        <w:rPr>
          <w:rFonts w:ascii="Arial" w:eastAsia="Calibri" w:hAnsi="Arial" w:cs="Arial"/>
          <w:sz w:val="21"/>
          <w:szCs w:val="21"/>
          <w:lang w:val="es-MX" w:eastAsia="en-US"/>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64AC135"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0CE2E852" w14:textId="77777777" w:rsidR="00E051ED" w:rsidRPr="00611FE8" w:rsidRDefault="00E051ED" w:rsidP="00E051ED">
      <w:pPr>
        <w:ind w:left="709" w:right="709"/>
        <w:jc w:val="both"/>
        <w:rPr>
          <w:rFonts w:ascii="Arial" w:hAnsi="Arial" w:cs="Arial"/>
          <w:sz w:val="21"/>
          <w:szCs w:val="21"/>
        </w:rPr>
      </w:pPr>
      <w:r w:rsidRPr="00611FE8">
        <w:rPr>
          <w:rFonts w:ascii="Arial" w:hAnsi="Arial" w:cs="Arial"/>
          <w:sz w:val="21"/>
          <w:szCs w:val="21"/>
        </w:rPr>
        <w:lastRenderedPageBreak/>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77F75200" w14:textId="77777777" w:rsidR="00E051ED" w:rsidRPr="00611FE8" w:rsidRDefault="00E051ED" w:rsidP="00E051ED">
      <w:pPr>
        <w:spacing w:line="276" w:lineRule="auto"/>
        <w:ind w:left="709" w:right="709"/>
        <w:jc w:val="both"/>
        <w:rPr>
          <w:rFonts w:ascii="Arial" w:hAnsi="Arial" w:cs="Arial"/>
          <w:sz w:val="22"/>
        </w:rPr>
      </w:pPr>
    </w:p>
    <w:p w14:paraId="6611BD63" w14:textId="77777777" w:rsidR="00E051ED" w:rsidRPr="00611FE8" w:rsidRDefault="00E051ED" w:rsidP="00E051ED">
      <w:pPr>
        <w:spacing w:line="276" w:lineRule="auto"/>
        <w:ind w:firstLine="709"/>
        <w:jc w:val="both"/>
        <w:rPr>
          <w:rFonts w:ascii="Arial" w:hAnsi="Arial" w:cs="Arial"/>
          <w:sz w:val="22"/>
        </w:rPr>
      </w:pPr>
      <w:r w:rsidRPr="00611FE8">
        <w:rPr>
          <w:rFonts w:ascii="Arial" w:hAnsi="Arial" w:cs="Arial"/>
          <w:sz w:val="22"/>
        </w:rPr>
        <w:t>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sidRPr="00611FE8">
        <w:rPr>
          <w:rFonts w:ascii="Arial" w:hAnsi="Arial" w:cs="Arial"/>
          <w:sz w:val="22"/>
          <w:vertAlign w:val="superscript"/>
        </w:rPr>
        <w:footnoteReference w:id="4"/>
      </w:r>
      <w:r w:rsidRPr="00611FE8">
        <w:rPr>
          <w:rFonts w:ascii="Arial" w:hAnsi="Arial" w:cs="Arial"/>
          <w:sz w:val="22"/>
        </w:rPr>
        <w:t>. En congruencia con el artículo 25 de la Ley 80 de 1993, el Decreto Único Reglamentario del Sector Administrativo de Planeación Nacional –Decreto 1082 de 2015–, dispone en el artículo 2.2.1.1.2.1.1 el contenido mínimo de los estudios y documentos previos:</w:t>
      </w:r>
    </w:p>
    <w:p w14:paraId="519B74AD" w14:textId="77777777" w:rsidR="00E051ED" w:rsidRPr="00611FE8" w:rsidRDefault="00E051ED" w:rsidP="00E051ED">
      <w:pPr>
        <w:spacing w:line="276" w:lineRule="auto"/>
        <w:ind w:left="709" w:right="709"/>
        <w:rPr>
          <w:rFonts w:ascii="Calibri" w:hAnsi="Calibri"/>
          <w:sz w:val="22"/>
          <w:szCs w:val="22"/>
          <w:lang w:eastAsia="es-CO"/>
        </w:rPr>
      </w:pPr>
    </w:p>
    <w:p w14:paraId="53D7F866"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1F613BF2"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1. La descripción de la necesidad que la Entidad Estatal pretende satisfacer con el Proceso de Contratación. ​</w:t>
      </w:r>
    </w:p>
    <w:p w14:paraId="7045730D"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335BA625"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3. La modalidad de selección del contratista y su justificación, incluyendo los fundamentos jurídicos. </w:t>
      </w:r>
    </w:p>
    <w:p w14:paraId="5E01ACFC"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01562DB2"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5. Los criterios para seleccionar la oferta más favorable. </w:t>
      </w:r>
    </w:p>
    <w:p w14:paraId="6223B996"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6. El análisis de Riesgo y la forma de mitigarlo. </w:t>
      </w:r>
    </w:p>
    <w:p w14:paraId="0F93AAFA"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lastRenderedPageBreak/>
        <w:t xml:space="preserve">7. Las garantías que la Entidad Estatal contempla exigir en el proceso de contratación. </w:t>
      </w:r>
    </w:p>
    <w:p w14:paraId="2F1304F3" w14:textId="77777777" w:rsidR="00E051ED" w:rsidRPr="00611FE8" w:rsidRDefault="00E051ED" w:rsidP="00E051ED">
      <w:pPr>
        <w:spacing w:after="120"/>
        <w:ind w:left="709" w:right="709"/>
        <w:jc w:val="both"/>
        <w:rPr>
          <w:rFonts w:ascii="Arial" w:hAnsi="Arial" w:cs="Arial"/>
          <w:sz w:val="21"/>
          <w:szCs w:val="21"/>
        </w:rPr>
      </w:pPr>
      <w:r w:rsidRPr="00611FE8">
        <w:rPr>
          <w:rFonts w:ascii="Arial" w:hAnsi="Arial" w:cs="Arial"/>
          <w:sz w:val="21"/>
          <w:szCs w:val="21"/>
        </w:rPr>
        <w:t xml:space="preserve">8. La indicación de si el proceso de contratación está cobijado por un acuerdo comercial. </w:t>
      </w:r>
    </w:p>
    <w:p w14:paraId="07B1A6BD" w14:textId="77777777" w:rsidR="00E051ED" w:rsidRPr="00611FE8" w:rsidRDefault="00E051ED" w:rsidP="00E051ED">
      <w:pPr>
        <w:ind w:left="709" w:right="709"/>
        <w:jc w:val="both"/>
        <w:rPr>
          <w:rFonts w:ascii="Arial" w:hAnsi="Arial" w:cs="Arial"/>
          <w:sz w:val="21"/>
          <w:szCs w:val="21"/>
        </w:rPr>
      </w:pPr>
      <w:r w:rsidRPr="00611FE8">
        <w:rPr>
          <w:rFonts w:ascii="Arial" w:hAnsi="Arial" w:cs="Arial"/>
          <w:sz w:val="21"/>
          <w:szCs w:val="21"/>
        </w:rPr>
        <w:t>El presente artículo no es aplicable a la contratación por mínima cuantía.</w:t>
      </w:r>
    </w:p>
    <w:p w14:paraId="45564693" w14:textId="77777777" w:rsidR="00E051ED" w:rsidRPr="00611FE8" w:rsidRDefault="00E051ED" w:rsidP="00E051ED">
      <w:pPr>
        <w:widowControl w:val="0"/>
        <w:tabs>
          <w:tab w:val="left" w:pos="1305"/>
        </w:tabs>
        <w:autoSpaceDE w:val="0"/>
        <w:autoSpaceDN w:val="0"/>
        <w:spacing w:line="276" w:lineRule="auto"/>
        <w:ind w:left="828" w:right="822"/>
        <w:rPr>
          <w:rFonts w:ascii="Arial" w:eastAsia="Calibri" w:hAnsi="Arial" w:cs="Arial"/>
          <w:sz w:val="22"/>
          <w:szCs w:val="22"/>
          <w:lang w:val="es-MX" w:eastAsia="en-US"/>
        </w:rPr>
      </w:pPr>
    </w:p>
    <w:p w14:paraId="19DE4BCC" w14:textId="59FD229D" w:rsidR="00E051ED" w:rsidRPr="00611FE8" w:rsidRDefault="00E051ED" w:rsidP="005D7312">
      <w:pPr>
        <w:spacing w:line="276" w:lineRule="auto"/>
        <w:ind w:firstLine="709"/>
        <w:jc w:val="both"/>
        <w:rPr>
          <w:rFonts w:ascii="Arial" w:hAnsi="Arial" w:cs="Arial"/>
          <w:sz w:val="22"/>
        </w:rPr>
      </w:pPr>
      <w:bookmarkStart w:id="3" w:name="_Hlk54011351"/>
      <w:r w:rsidRPr="00611FE8">
        <w:rPr>
          <w:rFonts w:ascii="Arial" w:hAnsi="Arial" w:cs="Arial"/>
          <w:sz w:val="22"/>
        </w:rPr>
        <w:t>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w:t>
      </w:r>
      <w:r>
        <w:rPr>
          <w:rFonts w:ascii="Arial" w:hAnsi="Arial" w:cs="Arial"/>
          <w:sz w:val="22"/>
        </w:rPr>
        <w:t xml:space="preserve"> o</w:t>
      </w:r>
      <w:r w:rsidRPr="00611FE8">
        <w:rPr>
          <w:rFonts w:ascii="Arial" w:hAnsi="Arial" w:cs="Arial"/>
          <w:sz w:val="22"/>
        </w:rPr>
        <w:t xml:space="preserve"> los servicios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3"/>
    <w:p w14:paraId="000E9526" w14:textId="77777777" w:rsidR="00E051ED" w:rsidRPr="00611FE8" w:rsidRDefault="00E051ED" w:rsidP="005D7312">
      <w:pPr>
        <w:spacing w:before="120" w:line="276" w:lineRule="auto"/>
        <w:ind w:firstLine="709"/>
        <w:jc w:val="both"/>
        <w:rPr>
          <w:rFonts w:ascii="Arial" w:hAnsi="Arial" w:cs="Arial"/>
          <w:sz w:val="22"/>
        </w:rPr>
      </w:pPr>
      <w:r>
        <w:rPr>
          <w:rFonts w:ascii="Arial" w:hAnsi="Arial" w:cs="Arial"/>
          <w:sz w:val="22"/>
        </w:rPr>
        <w:t xml:space="preserve">Por ello, el hecho que </w:t>
      </w:r>
      <w:r w:rsidRPr="00611FE8">
        <w:rPr>
          <w:rFonts w:ascii="Arial" w:hAnsi="Arial" w:cs="Arial"/>
          <w:sz w:val="22"/>
        </w:rPr>
        <w:t>las entidades cumpl</w:t>
      </w:r>
      <w:r>
        <w:rPr>
          <w:rFonts w:ascii="Arial" w:hAnsi="Arial" w:cs="Arial"/>
          <w:sz w:val="22"/>
        </w:rPr>
        <w:t>a</w:t>
      </w:r>
      <w:r w:rsidRPr="00611FE8">
        <w:rPr>
          <w:rFonts w:ascii="Arial" w:hAnsi="Arial" w:cs="Arial"/>
          <w:sz w:val="22"/>
        </w:rPr>
        <w:t xml:space="preserve">n con los elementos mínimos establecidos en la norma y aquellos adicionales que identifiquen en la etapa de planeación de los </w:t>
      </w:r>
      <w:r w:rsidRPr="00611FE8">
        <w:rPr>
          <w:rFonts w:ascii="Arial" w:eastAsia="Calibri" w:hAnsi="Arial" w:cs="Arial"/>
          <w:bCs/>
          <w:sz w:val="22"/>
          <w:lang w:val="es-ES_tradnl"/>
        </w:rPr>
        <w:t xml:space="preserve">procedimientos de contratación, permite que los contratos resultantes cuenten con el sustento técnico, económico y jurídico que incidirá </w:t>
      </w:r>
      <w:r w:rsidRPr="00611FE8">
        <w:rPr>
          <w:rFonts w:ascii="Arial" w:hAnsi="Arial" w:cs="Arial"/>
          <w:sz w:val="22"/>
        </w:rPr>
        <w:t>en una adecuada ejecución.</w:t>
      </w:r>
    </w:p>
    <w:p w14:paraId="4A7C8395" w14:textId="77777777" w:rsidR="00E051ED" w:rsidRPr="00611FE8" w:rsidRDefault="00E051ED" w:rsidP="005D7312">
      <w:pPr>
        <w:spacing w:before="120" w:line="276" w:lineRule="auto"/>
        <w:ind w:right="103" w:firstLine="708"/>
        <w:jc w:val="both"/>
        <w:rPr>
          <w:rFonts w:ascii="Arial" w:hAnsi="Arial" w:cs="Arial"/>
          <w:sz w:val="22"/>
        </w:rPr>
      </w:pPr>
      <w:r w:rsidRPr="00611FE8">
        <w:rPr>
          <w:rFonts w:ascii="Arial" w:hAnsi="Arial" w:cs="Arial"/>
          <w:sz w:val="22"/>
        </w:rPr>
        <w:t>Mas allá del cumplimiento de la normativa, «los estudios y documentos previos son el soporte para elaborar el proyecto de pliegos, los pliegos de condiciones, y el contrato»</w:t>
      </w:r>
      <w:r w:rsidRPr="00611FE8">
        <w:rPr>
          <w:rFonts w:ascii="Arial" w:hAnsi="Arial" w:cs="Arial"/>
          <w:sz w:val="22"/>
          <w:vertAlign w:val="superscript"/>
        </w:rPr>
        <w:footnoteReference w:id="5"/>
      </w:r>
      <w:r w:rsidRPr="00611FE8">
        <w:rPr>
          <w:rFonts w:ascii="Arial" w:hAnsi="Arial"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25D0CE7D" w14:textId="77777777" w:rsidR="00E051ED" w:rsidRPr="00611FE8" w:rsidRDefault="00E051ED" w:rsidP="005D7312">
      <w:pPr>
        <w:spacing w:before="120" w:line="276" w:lineRule="auto"/>
        <w:ind w:right="105" w:firstLine="709"/>
        <w:jc w:val="both"/>
        <w:rPr>
          <w:rFonts w:ascii="Arial" w:hAnsi="Arial" w:cs="Arial"/>
          <w:sz w:val="22"/>
        </w:rPr>
      </w:pPr>
      <w:bookmarkStart w:id="5" w:name="_Hlk54011438"/>
      <w:r w:rsidRPr="00611FE8">
        <w:rPr>
          <w:rFonts w:ascii="Arial" w:hAnsi="Arial" w:cs="Arial"/>
          <w:sz w:val="22"/>
        </w:rPr>
        <w:t xml:space="preserve">De lo explicado se desprende que los estudios y documentos previos son necesarios antes de la celebración del contrato, pues fundamentan las condiciones que la entidad estatal exige en su proceso de contratación. Sin embargo, luego de la suscripción </w:t>
      </w:r>
      <w:r w:rsidRPr="00611FE8">
        <w:rPr>
          <w:rFonts w:ascii="Arial" w:hAnsi="Arial" w:cs="Arial"/>
          <w:sz w:val="22"/>
        </w:rPr>
        <w:lastRenderedPageBreak/>
        <w:t>del contrato la entidad no debe actuar unilateralmente, sino que debe respetar la buena fe contractual y proceder de acuerdo con lo pactado</w:t>
      </w:r>
      <w:bookmarkEnd w:id="5"/>
      <w:r w:rsidRPr="00611FE8">
        <w:rPr>
          <w:rFonts w:ascii="Arial" w:hAnsi="Arial" w:cs="Arial"/>
          <w:sz w:val="22"/>
          <w:vertAlign w:val="superscript"/>
        </w:rPr>
        <w:footnoteReference w:id="6"/>
      </w:r>
      <w:r w:rsidRPr="00611FE8">
        <w:rPr>
          <w:rFonts w:ascii="Arial" w:hAnsi="Arial" w:cs="Arial"/>
          <w:sz w:val="22"/>
        </w:rPr>
        <w:t>.</w:t>
      </w:r>
    </w:p>
    <w:p w14:paraId="568E4CFA" w14:textId="77777777" w:rsidR="00E051ED" w:rsidRPr="00611FE8" w:rsidRDefault="00E051ED" w:rsidP="005D7312">
      <w:pPr>
        <w:spacing w:before="120" w:line="276" w:lineRule="auto"/>
        <w:ind w:right="104" w:firstLine="709"/>
        <w:jc w:val="both"/>
        <w:rPr>
          <w:rFonts w:ascii="Arial" w:hAnsi="Arial" w:cs="Arial"/>
          <w:sz w:val="22"/>
        </w:rPr>
      </w:pPr>
      <w:r w:rsidRPr="00611FE8">
        <w:rPr>
          <w:rFonts w:ascii="Arial" w:hAnsi="Arial" w:cs="Arial"/>
          <w:sz w:val="22"/>
        </w:rPr>
        <w:t xml:space="preserve">El numeral </w:t>
      </w:r>
      <w:r>
        <w:rPr>
          <w:rFonts w:ascii="Arial" w:hAnsi="Arial" w:cs="Arial"/>
          <w:sz w:val="22"/>
        </w:rPr>
        <w:t>12</w:t>
      </w:r>
      <w:r w:rsidRPr="00611FE8">
        <w:rPr>
          <w:rFonts w:ascii="Arial" w:hAnsi="Arial" w:cs="Arial"/>
          <w:sz w:val="22"/>
        </w:rPr>
        <w:t xml:space="preserve"> del artículo 25 de la Ley 80 de 1993, antes citado, establece el deber de las entidades de realizar estudios previos en dos momentos específicos: i) previo a la apertura de un proceso de selección y </w:t>
      </w:r>
      <w:proofErr w:type="spellStart"/>
      <w:r w:rsidRPr="00611FE8">
        <w:rPr>
          <w:rFonts w:ascii="Arial" w:hAnsi="Arial" w:cs="Arial"/>
          <w:sz w:val="22"/>
        </w:rPr>
        <w:t>ii</w:t>
      </w:r>
      <w:proofErr w:type="spellEnd"/>
      <w:r w:rsidRPr="00611FE8">
        <w:rPr>
          <w:rFonts w:ascii="Arial" w:hAnsi="Arial" w:cs="Arial"/>
          <w:sz w:val="22"/>
        </w:rPr>
        <w:t xml:space="preserve">) previo a la firma del contrato en el caso en que la modalidad de selección sea contratación directa. </w:t>
      </w:r>
    </w:p>
    <w:p w14:paraId="2E75E64C" w14:textId="6E501734" w:rsidR="00E051ED" w:rsidRPr="00611FE8" w:rsidRDefault="00E051ED" w:rsidP="005D7312">
      <w:pPr>
        <w:spacing w:before="120" w:line="276" w:lineRule="auto"/>
        <w:ind w:firstLine="708"/>
        <w:jc w:val="both"/>
        <w:rPr>
          <w:rFonts w:ascii="Arial" w:eastAsia="Calibri" w:hAnsi="Arial" w:cs="Arial"/>
          <w:bCs/>
          <w:sz w:val="22"/>
          <w:lang w:val="es-ES_tradnl"/>
        </w:rPr>
      </w:pPr>
      <w:r w:rsidRPr="00611FE8">
        <w:rPr>
          <w:rFonts w:ascii="Arial" w:hAnsi="Arial" w:cs="Arial"/>
          <w:sz w:val="22"/>
        </w:rPr>
        <w:t>Por otra parte, los numerales 2 y 4 del artículo 2.2.1.1.2.1.1 del Decreto 1082 de 2015 exige</w:t>
      </w:r>
      <w:r>
        <w:rPr>
          <w:rFonts w:ascii="Arial" w:hAnsi="Arial" w:cs="Arial"/>
          <w:sz w:val="22"/>
        </w:rPr>
        <w:t>n</w:t>
      </w:r>
      <w:r w:rsidRPr="00611FE8">
        <w:rPr>
          <w:rFonts w:ascii="Arial" w:hAnsi="Arial" w:cs="Arial"/>
          <w:sz w:val="22"/>
        </w:rPr>
        <w:t xml:space="preserve"> </w:t>
      </w:r>
      <w:r w:rsidR="003479E0">
        <w:rPr>
          <w:rFonts w:ascii="Arial" w:hAnsi="Arial" w:cs="Arial"/>
          <w:sz w:val="22"/>
        </w:rPr>
        <w:t>que en los estudios previos se</w:t>
      </w:r>
      <w:r w:rsidR="003479E0" w:rsidRPr="00611FE8">
        <w:rPr>
          <w:rFonts w:ascii="Arial" w:hAnsi="Arial" w:cs="Arial"/>
          <w:sz w:val="22"/>
        </w:rPr>
        <w:t xml:space="preserve"> determine el objeto a contratar con sus especificaciones</w:t>
      </w:r>
      <w:r w:rsidR="003479E0">
        <w:rPr>
          <w:rFonts w:ascii="Arial" w:hAnsi="Arial" w:cs="Arial"/>
          <w:sz w:val="22"/>
        </w:rPr>
        <w:t>,</w:t>
      </w:r>
      <w:r w:rsidR="003479E0" w:rsidRPr="00611FE8">
        <w:rPr>
          <w:rFonts w:ascii="Arial" w:hAnsi="Arial" w:cs="Arial"/>
          <w:sz w:val="22"/>
        </w:rPr>
        <w:t xml:space="preserve"> y se </w:t>
      </w:r>
      <w:r w:rsidR="003479E0">
        <w:rPr>
          <w:rFonts w:ascii="Arial" w:hAnsi="Arial" w:cs="Arial"/>
          <w:sz w:val="22"/>
        </w:rPr>
        <w:t xml:space="preserve">señale el valor estimado del contrato y la justificación </w:t>
      </w:r>
      <w:proofErr w:type="gramStart"/>
      <w:r w:rsidR="003479E0">
        <w:rPr>
          <w:rFonts w:ascii="Arial" w:hAnsi="Arial" w:cs="Arial"/>
          <w:sz w:val="22"/>
        </w:rPr>
        <w:t>del mismo</w:t>
      </w:r>
      <w:proofErr w:type="gramEnd"/>
      <w:r w:rsidRPr="00611FE8">
        <w:rPr>
          <w:rFonts w:ascii="Arial" w:hAnsi="Arial" w:cs="Arial"/>
          <w:sz w:val="22"/>
        </w:rPr>
        <w:t xml:space="preserve">. </w:t>
      </w:r>
      <w:r w:rsidRPr="00611FE8">
        <w:rPr>
          <w:rFonts w:ascii="Arial" w:eastAsia="Calibri" w:hAnsi="Arial" w:cs="Arial"/>
          <w:bCs/>
          <w:sz w:val="22"/>
          <w:lang w:val="es-ES_tradnl"/>
        </w:rPr>
        <w:t xml:space="preserve">Para cumplir este objetivo es necesario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6" w:name="_Hlk36117416"/>
      <w:r w:rsidRPr="00611FE8">
        <w:rPr>
          <w:rFonts w:ascii="Arial" w:eastAsia="Calibri" w:hAnsi="Arial" w:cs="Arial"/>
          <w:bCs/>
          <w:sz w:val="22"/>
          <w:lang w:val="es-ES_tradnl"/>
        </w:rPr>
        <w:t>2.2.1.1.1.6.1 del Decreto 1082 de 2015</w:t>
      </w:r>
      <w:bookmarkEnd w:id="6"/>
      <w:r w:rsidRPr="00611FE8">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7C10C1EE" w14:textId="77777777" w:rsidR="00E051ED" w:rsidRPr="00611FE8" w:rsidRDefault="00E051ED" w:rsidP="005D7312">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 xml:space="preserve">De acuerdo con la norma citada, </w:t>
      </w:r>
      <w:bookmarkStart w:id="7" w:name="_Hlk36140682"/>
      <w:r w:rsidRPr="00611FE8">
        <w:rPr>
          <w:rFonts w:ascii="Arial" w:eastAsia="Calibri" w:hAnsi="Arial" w:cs="Arial"/>
          <w:bCs/>
          <w:sz w:val="22"/>
          <w:lang w:val="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29ECBCE0" w14:textId="77777777" w:rsidR="00E051ED" w:rsidRPr="00611FE8" w:rsidRDefault="00E051ED" w:rsidP="005D7312">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Para negociar de manera adecuada, es necesario conocer la estructura de los posibles contratistas, pues permite identificar la forma en la que suplirá</w:t>
      </w:r>
      <w:r>
        <w:rPr>
          <w:rFonts w:ascii="Arial" w:eastAsia="Calibri" w:hAnsi="Arial" w:cs="Arial"/>
          <w:bCs/>
          <w:sz w:val="22"/>
          <w:lang w:val="es-ES_tradnl"/>
        </w:rPr>
        <w:t>n</w:t>
      </w:r>
      <w:r w:rsidRPr="00611FE8">
        <w:rPr>
          <w:rFonts w:ascii="Arial" w:eastAsia="Calibri" w:hAnsi="Arial" w:cs="Arial"/>
          <w:bCs/>
          <w:sz w:val="22"/>
          <w:lang w:val="es-ES_tradnl"/>
        </w:rPr>
        <w:t xml:space="preserve"> los requerimientos </w:t>
      </w:r>
      <w:r w:rsidRPr="00611FE8">
        <w:rPr>
          <w:rFonts w:ascii="Arial" w:eastAsia="Calibri" w:hAnsi="Arial" w:cs="Arial"/>
          <w:bCs/>
          <w:sz w:val="22"/>
          <w:lang w:val="es-ES_tradnl"/>
        </w:rPr>
        <w:lastRenderedPageBreak/>
        <w:t>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7A16A920" w14:textId="6AD128F1" w:rsidR="00E051ED" w:rsidRDefault="00E051ED" w:rsidP="00E051ED">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w:t>
      </w:r>
      <w:r w:rsidR="007E4AD4">
        <w:rPr>
          <w:rFonts w:ascii="Arial" w:eastAsia="Calibri" w:hAnsi="Arial" w:cs="Arial"/>
          <w:bCs/>
          <w:sz w:val="22"/>
          <w:lang w:val="es-ES_tradnl"/>
        </w:rPr>
        <w:t>De igual manera</w:t>
      </w:r>
      <w:r w:rsidRPr="00611FE8">
        <w:rPr>
          <w:rFonts w:ascii="Arial" w:eastAsia="Calibri" w:hAnsi="Arial" w:cs="Arial"/>
          <w:bCs/>
          <w:sz w:val="22"/>
          <w:lang w:val="es-ES_tradnl"/>
        </w:rPr>
        <w:t xml:space="preserve">, podrá estudiar la demanda para determinar las entidades estatales y los particulares </w:t>
      </w:r>
      <w:r w:rsidR="005836F4" w:rsidRPr="00611FE8">
        <w:rPr>
          <w:rFonts w:ascii="Arial" w:eastAsia="Calibri" w:hAnsi="Arial" w:cs="Arial"/>
          <w:bCs/>
          <w:sz w:val="22"/>
          <w:lang w:val="es-ES_tradnl"/>
        </w:rPr>
        <w:t xml:space="preserve">cómo </w:t>
      </w:r>
      <w:r w:rsidRPr="00611FE8">
        <w:rPr>
          <w:rFonts w:ascii="Arial" w:eastAsia="Calibri" w:hAnsi="Arial" w:cs="Arial"/>
          <w:bCs/>
          <w:sz w:val="22"/>
          <w:lang w:val="es-ES_tradnl"/>
        </w:rPr>
        <w:t>adquieren esos bienes, obras o servicios para extraer las mejores prácticas e información para el proceso de contratación</w:t>
      </w:r>
      <w:r>
        <w:rPr>
          <w:rFonts w:ascii="Arial" w:eastAsia="Calibri" w:hAnsi="Arial" w:cs="Arial"/>
          <w:bCs/>
          <w:sz w:val="22"/>
          <w:lang w:val="es-ES_tradnl"/>
        </w:rPr>
        <w:t xml:space="preserve"> y así estructurar de mejor manera el tipo contractual a utilizar y las condiciones y características que se podrán pactar para cumplir el objeto del contrato y para la realización de las prestaciones derivadas de las obligaciones que serán pactadas, tanto para la entidad contratante como para el contratista que proveerá el bien, obra o servicio</w:t>
      </w:r>
      <w:r w:rsidRPr="00611FE8">
        <w:rPr>
          <w:rFonts w:ascii="Arial" w:eastAsia="Calibri" w:hAnsi="Arial" w:cs="Arial"/>
          <w:bCs/>
          <w:sz w:val="22"/>
          <w:lang w:val="es-ES_tradnl"/>
        </w:rPr>
        <w:t xml:space="preserve">. </w:t>
      </w:r>
    </w:p>
    <w:p w14:paraId="54B33F6D" w14:textId="08CB2F2C" w:rsidR="007E4AD4" w:rsidRPr="00611FE8" w:rsidRDefault="00FD02B5" w:rsidP="00FD02B5">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Si bien la normativa en materia de contratación estatal </w:t>
      </w:r>
      <w:r w:rsidR="007E4AD4">
        <w:rPr>
          <w:rFonts w:ascii="Arial" w:eastAsia="Calibri" w:hAnsi="Arial" w:cs="Arial"/>
          <w:bCs/>
          <w:sz w:val="22"/>
          <w:lang w:val="es-ES_tradnl"/>
        </w:rPr>
        <w:t>establece la obligatoriedad de</w:t>
      </w:r>
      <w:r>
        <w:rPr>
          <w:rFonts w:ascii="Arial" w:eastAsia="Calibri" w:hAnsi="Arial" w:cs="Arial"/>
          <w:bCs/>
          <w:sz w:val="22"/>
          <w:lang w:val="es-ES_tradnl"/>
        </w:rPr>
        <w:t xml:space="preserve"> realizar </w:t>
      </w:r>
      <w:r w:rsidRPr="00611FE8">
        <w:rPr>
          <w:rFonts w:ascii="Arial" w:eastAsia="Calibri" w:hAnsi="Arial" w:cs="Arial"/>
          <w:bCs/>
          <w:sz w:val="22"/>
          <w:lang w:val="es-ES_tradnl"/>
        </w:rPr>
        <w:t>el análisis necesario para conocer el sector relativo al objeto del proceso de contratación,</w:t>
      </w:r>
      <w:r w:rsidR="007E4AD4">
        <w:rPr>
          <w:rFonts w:ascii="Arial" w:eastAsia="Calibri" w:hAnsi="Arial" w:cs="Arial"/>
          <w:bCs/>
          <w:sz w:val="22"/>
          <w:lang w:val="es-ES_tradnl"/>
        </w:rPr>
        <w:t xml:space="preserve"> no determinan un procedimiento específico para </w:t>
      </w:r>
      <w:r>
        <w:rPr>
          <w:rFonts w:ascii="Arial" w:eastAsia="Calibri" w:hAnsi="Arial" w:cs="Arial"/>
          <w:bCs/>
          <w:sz w:val="22"/>
          <w:lang w:val="es-ES_tradnl"/>
        </w:rPr>
        <w:t xml:space="preserve">efectuar </w:t>
      </w:r>
      <w:r w:rsidR="00161AC6">
        <w:rPr>
          <w:rFonts w:ascii="Arial" w:eastAsia="Calibri" w:hAnsi="Arial" w:cs="Arial"/>
          <w:bCs/>
          <w:sz w:val="22"/>
          <w:lang w:val="es-ES_tradnl"/>
        </w:rPr>
        <w:t>dicho a</w:t>
      </w:r>
      <w:r w:rsidR="007E4AD4">
        <w:rPr>
          <w:rFonts w:ascii="Arial" w:eastAsia="Calibri" w:hAnsi="Arial" w:cs="Arial"/>
          <w:bCs/>
          <w:sz w:val="22"/>
          <w:lang w:val="es-ES_tradnl"/>
        </w:rPr>
        <w:t xml:space="preserve">nálisis </w:t>
      </w:r>
      <w:r w:rsidR="00924B2F">
        <w:rPr>
          <w:rFonts w:ascii="Arial" w:eastAsia="Calibri" w:hAnsi="Arial" w:cs="Arial"/>
          <w:bCs/>
          <w:sz w:val="22"/>
          <w:lang w:val="es-ES_tradnl"/>
        </w:rPr>
        <w:t xml:space="preserve">por lo que las entidades </w:t>
      </w:r>
      <w:r w:rsidR="00924B2F" w:rsidRPr="00611FE8">
        <w:rPr>
          <w:rFonts w:ascii="Arial" w:hAnsi="Arial" w:cs="Arial"/>
          <w:sz w:val="22"/>
          <w:szCs w:val="22"/>
          <w:lang w:eastAsia="es-CO"/>
        </w:rPr>
        <w:t>son autónomas para estructurar</w:t>
      </w:r>
      <w:r w:rsidR="00924B2F">
        <w:rPr>
          <w:rFonts w:ascii="Arial" w:hAnsi="Arial" w:cs="Arial"/>
          <w:sz w:val="22"/>
          <w:szCs w:val="22"/>
          <w:lang w:eastAsia="es-CO"/>
        </w:rPr>
        <w:t>lo</w:t>
      </w:r>
      <w:r w:rsidR="00161AC6">
        <w:rPr>
          <w:rFonts w:ascii="Arial" w:hAnsi="Arial" w:cs="Arial"/>
          <w:sz w:val="22"/>
          <w:szCs w:val="22"/>
          <w:lang w:eastAsia="es-CO"/>
        </w:rPr>
        <w:t xml:space="preserve">, para lo cual deberán cumplir </w:t>
      </w:r>
      <w:r w:rsidR="006F18B8">
        <w:rPr>
          <w:rFonts w:ascii="Arial" w:hAnsi="Arial" w:cs="Arial"/>
          <w:sz w:val="22"/>
          <w:szCs w:val="22"/>
          <w:lang w:eastAsia="es-CO"/>
        </w:rPr>
        <w:t>lo</w:t>
      </w:r>
      <w:r w:rsidR="00D00DF4">
        <w:rPr>
          <w:rFonts w:ascii="Arial" w:hAnsi="Arial" w:cs="Arial"/>
          <w:sz w:val="22"/>
          <w:szCs w:val="22"/>
          <w:lang w:eastAsia="es-CO"/>
        </w:rPr>
        <w:t xml:space="preserve"> dispuesto en </w:t>
      </w:r>
      <w:r w:rsidR="006F18B8">
        <w:rPr>
          <w:rFonts w:ascii="Arial" w:hAnsi="Arial" w:cs="Arial"/>
          <w:sz w:val="22"/>
          <w:szCs w:val="22"/>
          <w:lang w:eastAsia="es-CO"/>
        </w:rPr>
        <w:t xml:space="preserve">el artículo </w:t>
      </w:r>
      <w:r w:rsidR="006F18B8" w:rsidRPr="00611FE8">
        <w:rPr>
          <w:rFonts w:ascii="Arial" w:eastAsia="Calibri" w:hAnsi="Arial" w:cs="Arial"/>
          <w:bCs/>
          <w:sz w:val="22"/>
          <w:lang w:val="es-ES_tradnl"/>
        </w:rPr>
        <w:t>2.2.1.1.1.6.1 del Decreto 1082 de 2015</w:t>
      </w:r>
      <w:r w:rsidR="006F18B8">
        <w:rPr>
          <w:rFonts w:ascii="Arial" w:eastAsia="Calibri" w:hAnsi="Arial" w:cs="Arial"/>
          <w:bCs/>
          <w:sz w:val="22"/>
          <w:lang w:val="es-ES_tradnl"/>
        </w:rPr>
        <w:t xml:space="preserve"> y </w:t>
      </w:r>
      <w:r w:rsidR="00161AC6">
        <w:rPr>
          <w:rFonts w:ascii="Arial" w:eastAsia="Calibri" w:hAnsi="Arial" w:cs="Arial"/>
          <w:bCs/>
          <w:sz w:val="22"/>
          <w:lang w:val="es-ES_tradnl"/>
        </w:rPr>
        <w:t xml:space="preserve">realizar </w:t>
      </w:r>
      <w:r w:rsidR="006F18B8">
        <w:rPr>
          <w:rFonts w:ascii="Arial" w:eastAsia="Calibri" w:hAnsi="Arial" w:cs="Arial"/>
          <w:bCs/>
          <w:sz w:val="22"/>
          <w:lang w:val="es-ES_tradnl"/>
        </w:rPr>
        <w:t>un análisis integral</w:t>
      </w:r>
      <w:r w:rsidR="00161AC6">
        <w:rPr>
          <w:rFonts w:ascii="Arial" w:eastAsia="Calibri" w:hAnsi="Arial" w:cs="Arial"/>
          <w:bCs/>
          <w:sz w:val="22"/>
          <w:lang w:val="es-ES_tradnl"/>
        </w:rPr>
        <w:t xml:space="preserve"> de planeación que </w:t>
      </w:r>
      <w:r w:rsidR="00161AC6" w:rsidRPr="008F238D">
        <w:rPr>
          <w:rFonts w:ascii="Arial" w:hAnsi="Arial" w:cs="Arial"/>
          <w:sz w:val="22"/>
        </w:rPr>
        <w:t>sirv</w:t>
      </w:r>
      <w:r w:rsidR="00161AC6">
        <w:rPr>
          <w:rFonts w:ascii="Arial" w:hAnsi="Arial" w:cs="Arial"/>
          <w:sz w:val="22"/>
        </w:rPr>
        <w:t xml:space="preserve">a </w:t>
      </w:r>
      <w:r w:rsidR="00161AC6" w:rsidRPr="008F238D">
        <w:rPr>
          <w:rFonts w:ascii="Arial" w:hAnsi="Arial" w:cs="Arial"/>
          <w:sz w:val="22"/>
        </w:rPr>
        <w:t xml:space="preserve">de sustento a la decisión de </w:t>
      </w:r>
      <w:r w:rsidR="00161AC6" w:rsidRPr="009220A5">
        <w:rPr>
          <w:rFonts w:ascii="Arial" w:hAnsi="Arial" w:cs="Arial"/>
          <w:bCs/>
          <w:sz w:val="22"/>
          <w:lang w:val="es-ES_tradnl"/>
        </w:rPr>
        <w:t>realizar un proceso de contratación</w:t>
      </w:r>
      <w:r w:rsidR="00161AC6">
        <w:rPr>
          <w:rFonts w:ascii="Arial" w:hAnsi="Arial" w:cs="Arial"/>
          <w:bCs/>
          <w:sz w:val="22"/>
          <w:lang w:val="es-ES_tradnl"/>
        </w:rPr>
        <w:t>.</w:t>
      </w:r>
    </w:p>
    <w:bookmarkEnd w:id="7"/>
    <w:p w14:paraId="378152B4" w14:textId="5B82C015" w:rsidR="00445DE5" w:rsidRPr="00673563" w:rsidRDefault="00924B2F" w:rsidP="005D7312">
      <w:pPr>
        <w:spacing w:before="120" w:line="276" w:lineRule="auto"/>
        <w:ind w:firstLine="709"/>
        <w:jc w:val="both"/>
        <w:rPr>
          <w:rFonts w:ascii="Arial" w:eastAsia="Calibri" w:hAnsi="Arial" w:cs="Arial"/>
          <w:bCs/>
          <w:sz w:val="22"/>
          <w:lang w:val="es-ES"/>
        </w:rPr>
      </w:pPr>
      <w:r>
        <w:rPr>
          <w:rFonts w:ascii="Arial" w:eastAsia="Calibri" w:hAnsi="Arial" w:cs="Arial"/>
          <w:bCs/>
          <w:sz w:val="22"/>
          <w:lang w:val="es-ES_tradnl"/>
        </w:rPr>
        <w:t xml:space="preserve">La Agencia Nacional de Contratación Pública - </w:t>
      </w:r>
      <w:r w:rsidR="00E051ED" w:rsidRPr="00611FE8">
        <w:rPr>
          <w:rFonts w:ascii="Arial" w:eastAsia="Calibri" w:hAnsi="Arial" w:cs="Arial"/>
          <w:bCs/>
          <w:sz w:val="22"/>
          <w:lang w:val="es-ES_tradnl"/>
        </w:rPr>
        <w:t>Colombia Compra Eficiente dispone de</w:t>
      </w:r>
      <w:r w:rsidR="00673563">
        <w:rPr>
          <w:rFonts w:ascii="Arial" w:eastAsia="Calibri" w:hAnsi="Arial" w:cs="Arial"/>
          <w:bCs/>
          <w:sz w:val="22"/>
          <w:lang w:val="es-ES_tradnl"/>
        </w:rPr>
        <w:t xml:space="preserve"> la</w:t>
      </w:r>
      <w:r w:rsidR="00E051ED" w:rsidRPr="00611FE8">
        <w:rPr>
          <w:rFonts w:ascii="Arial" w:eastAsia="Calibri" w:hAnsi="Arial" w:cs="Arial"/>
          <w:bCs/>
          <w:sz w:val="22"/>
          <w:lang w:val="es-ES_tradnl"/>
        </w:rPr>
        <w:t xml:space="preserve"> «Guía </w:t>
      </w:r>
      <w:r w:rsidR="00AD197A">
        <w:rPr>
          <w:rFonts w:ascii="Arial" w:eastAsia="Calibri" w:hAnsi="Arial" w:cs="Arial"/>
          <w:bCs/>
          <w:sz w:val="22"/>
          <w:lang w:val="es-ES_tradnl"/>
        </w:rPr>
        <w:t xml:space="preserve">de </w:t>
      </w:r>
      <w:r w:rsidR="00E051ED" w:rsidRPr="00611FE8">
        <w:rPr>
          <w:rFonts w:ascii="Arial" w:eastAsia="Calibri" w:hAnsi="Arial" w:cs="Arial"/>
          <w:bCs/>
          <w:sz w:val="22"/>
          <w:lang w:val="es-ES_tradnl"/>
        </w:rPr>
        <w:t>Elaboración de</w:t>
      </w:r>
      <w:r w:rsidR="00C50636">
        <w:rPr>
          <w:rFonts w:ascii="Arial" w:eastAsia="Calibri" w:hAnsi="Arial" w:cs="Arial"/>
          <w:bCs/>
          <w:sz w:val="22"/>
          <w:lang w:val="es-ES_tradnl"/>
        </w:rPr>
        <w:t>l</w:t>
      </w:r>
      <w:r w:rsidR="00E051ED" w:rsidRPr="00611FE8">
        <w:rPr>
          <w:rFonts w:ascii="Arial" w:eastAsia="Calibri" w:hAnsi="Arial" w:cs="Arial"/>
          <w:bCs/>
          <w:sz w:val="22"/>
          <w:lang w:val="es-ES_tradnl"/>
        </w:rPr>
        <w:t xml:space="preserve"> Estudio del Sector»</w:t>
      </w:r>
      <w:r w:rsidR="00295563">
        <w:rPr>
          <w:rFonts w:ascii="Arial" w:eastAsia="Calibri" w:hAnsi="Arial" w:cs="Arial"/>
          <w:bCs/>
          <w:sz w:val="22"/>
          <w:lang w:val="es-ES_tradnl"/>
        </w:rPr>
        <w:t>,</w:t>
      </w:r>
      <w:r w:rsidR="00DB75B2">
        <w:rPr>
          <w:rFonts w:ascii="Arial" w:eastAsia="Calibri" w:hAnsi="Arial" w:cs="Arial"/>
          <w:bCs/>
          <w:sz w:val="22"/>
          <w:lang w:val="es-ES_tradnl"/>
        </w:rPr>
        <w:t xml:space="preserve"> recientemente actualizada,</w:t>
      </w:r>
      <w:r w:rsidR="00E051ED" w:rsidRPr="00611FE8">
        <w:rPr>
          <w:rFonts w:ascii="Arial" w:eastAsia="Calibri" w:hAnsi="Arial" w:cs="Arial"/>
          <w:bCs/>
          <w:sz w:val="22"/>
          <w:lang w:val="es-ES_tradnl"/>
        </w:rPr>
        <w:t xml:space="preserve"> instrumento que sirve de apoyo para entender el mercado del bien, obra o servicio que la entidad estatal pretende adquirir </w:t>
      </w:r>
      <w:r w:rsidR="00445DE5">
        <w:rPr>
          <w:rFonts w:ascii="Arial" w:eastAsia="Calibri" w:hAnsi="Arial" w:cs="Arial"/>
          <w:bCs/>
          <w:sz w:val="22"/>
          <w:lang w:val="es-ES_tradnl"/>
        </w:rPr>
        <w:t>y</w:t>
      </w:r>
      <w:r w:rsidR="00E051ED" w:rsidRPr="00611FE8">
        <w:rPr>
          <w:rFonts w:ascii="Arial" w:eastAsia="Calibri" w:hAnsi="Arial" w:cs="Arial"/>
          <w:bCs/>
          <w:sz w:val="22"/>
          <w:lang w:val="es-ES_tradnl"/>
        </w:rPr>
        <w:t xml:space="preserve"> diseñar el proceso de contratación con la información necesaria para alcanzar los objetivos de eficacia, eficiencia, economía, promoción de la competencia y manejo del riesgo</w:t>
      </w:r>
      <w:r w:rsidR="007E4AD4">
        <w:rPr>
          <w:rStyle w:val="Refdenotaalpie"/>
          <w:rFonts w:ascii="Arial" w:eastAsia="Calibri" w:hAnsi="Arial" w:cs="Arial"/>
          <w:bCs/>
          <w:sz w:val="22"/>
          <w:lang w:val="es-ES_tradnl"/>
        </w:rPr>
        <w:footnoteReference w:id="7"/>
      </w:r>
      <w:r w:rsidR="00E051ED" w:rsidRPr="00611FE8">
        <w:rPr>
          <w:rFonts w:ascii="Arial" w:eastAsia="Calibri" w:hAnsi="Arial" w:cs="Arial"/>
          <w:bCs/>
          <w:sz w:val="22"/>
          <w:lang w:val="es-ES_tradnl"/>
        </w:rPr>
        <w:t xml:space="preserve">. </w:t>
      </w:r>
      <w:r w:rsidR="007E4AD4">
        <w:rPr>
          <w:rFonts w:ascii="Arial" w:eastAsia="Calibri" w:hAnsi="Arial" w:cs="Arial"/>
          <w:bCs/>
          <w:sz w:val="22"/>
          <w:lang w:val="es-ES_tradnl"/>
        </w:rPr>
        <w:t>Esta Guía es</w:t>
      </w:r>
      <w:r w:rsidR="007E4AD4" w:rsidRPr="007E4AD4">
        <w:rPr>
          <w:rFonts w:ascii="Arial" w:eastAsia="Calibri" w:hAnsi="Arial" w:cs="Arial"/>
          <w:bCs/>
          <w:sz w:val="22"/>
          <w:lang w:val="es-ES_tradnl"/>
        </w:rPr>
        <w:t xml:space="preserve"> un insumo para realizar el estudio del sector relativo al Proceso de Contratación, ya que comprende pautas sobre los aspectos generales del mercado, el análisis de la demanda y de la oferta</w:t>
      </w:r>
      <w:r w:rsidR="007E4AD4">
        <w:rPr>
          <w:rFonts w:ascii="Arial" w:eastAsia="Calibri" w:hAnsi="Arial" w:cs="Arial"/>
          <w:bCs/>
          <w:sz w:val="22"/>
          <w:lang w:val="es-ES_tradnl"/>
        </w:rPr>
        <w:t xml:space="preserve"> y </w:t>
      </w:r>
      <w:r w:rsidR="007E4AD4" w:rsidRPr="007E4AD4">
        <w:rPr>
          <w:rFonts w:ascii="Arial" w:eastAsia="Calibri" w:hAnsi="Arial" w:cs="Arial"/>
          <w:bCs/>
          <w:sz w:val="22"/>
          <w:lang w:val="es-ES_tradnl"/>
        </w:rPr>
        <w:t xml:space="preserve">constituye un instrumento de orientación, por lo que –al carecer de fuerza vinculante– su aplicación no exime a las </w:t>
      </w:r>
      <w:r w:rsidR="00161AC6">
        <w:rPr>
          <w:rFonts w:ascii="Arial" w:eastAsia="Calibri" w:hAnsi="Arial" w:cs="Arial"/>
          <w:bCs/>
          <w:sz w:val="22"/>
          <w:lang w:val="es-ES_tradnl"/>
        </w:rPr>
        <w:t>e</w:t>
      </w:r>
      <w:r w:rsidR="007E4AD4" w:rsidRPr="007E4AD4">
        <w:rPr>
          <w:rFonts w:ascii="Arial" w:eastAsia="Calibri" w:hAnsi="Arial" w:cs="Arial"/>
          <w:bCs/>
          <w:sz w:val="22"/>
          <w:lang w:val="es-ES_tradnl"/>
        </w:rPr>
        <w:t>ntidades de acatar las normas vigentes</w:t>
      </w:r>
      <w:r w:rsidR="007E4AD4">
        <w:rPr>
          <w:rFonts w:ascii="Arial" w:eastAsia="Calibri" w:hAnsi="Arial" w:cs="Arial"/>
          <w:bCs/>
          <w:sz w:val="22"/>
          <w:lang w:val="es-ES_tradnl"/>
        </w:rPr>
        <w:t xml:space="preserve">. </w:t>
      </w:r>
      <w:r w:rsidR="007A5962">
        <w:rPr>
          <w:rFonts w:ascii="Arial" w:eastAsia="Calibri" w:hAnsi="Arial" w:cs="Arial"/>
          <w:bCs/>
          <w:sz w:val="22"/>
          <w:lang w:val="es-ES_tradnl"/>
        </w:rPr>
        <w:t>De est</w:t>
      </w:r>
      <w:r w:rsidR="007064F0">
        <w:rPr>
          <w:rFonts w:ascii="Arial" w:eastAsia="Calibri" w:hAnsi="Arial" w:cs="Arial"/>
          <w:bCs/>
          <w:sz w:val="22"/>
          <w:lang w:val="es-ES_tradnl"/>
        </w:rPr>
        <w:t>e</w:t>
      </w:r>
      <w:r w:rsidR="007A5962">
        <w:rPr>
          <w:rFonts w:ascii="Arial" w:eastAsia="Calibri" w:hAnsi="Arial" w:cs="Arial"/>
          <w:bCs/>
          <w:sz w:val="22"/>
          <w:lang w:val="es-ES_tradnl"/>
        </w:rPr>
        <w:t xml:space="preserve"> modo, la Guía contiene</w:t>
      </w:r>
      <w:r w:rsidR="007A5962" w:rsidRPr="007A5962">
        <w:rPr>
          <w:rFonts w:ascii="Arial" w:eastAsia="Calibri" w:hAnsi="Arial" w:cs="Arial"/>
          <w:bCs/>
          <w:sz w:val="22"/>
          <w:lang w:val="es-ES"/>
        </w:rPr>
        <w:t xml:space="preserve"> recomendaciones generales por lo que no debe aplicarse de manera mecánica</w:t>
      </w:r>
      <w:r w:rsidR="00673563">
        <w:rPr>
          <w:rFonts w:ascii="Arial" w:eastAsia="Calibri" w:hAnsi="Arial" w:cs="Arial"/>
          <w:bCs/>
          <w:sz w:val="22"/>
          <w:lang w:val="es-ES"/>
        </w:rPr>
        <w:t>, pues l</w:t>
      </w:r>
      <w:r w:rsidR="007A5962" w:rsidRPr="007A5962">
        <w:rPr>
          <w:rFonts w:ascii="Arial" w:eastAsia="Calibri" w:hAnsi="Arial" w:cs="Arial"/>
          <w:bCs/>
          <w:sz w:val="22"/>
          <w:lang w:val="es-ES"/>
        </w:rPr>
        <w:t xml:space="preserve">a profundidad del estudio del sector depende de la complejidad </w:t>
      </w:r>
      <w:r w:rsidR="007064F0">
        <w:rPr>
          <w:rFonts w:ascii="Arial" w:eastAsia="Calibri" w:hAnsi="Arial" w:cs="Arial"/>
          <w:bCs/>
          <w:sz w:val="22"/>
          <w:lang w:val="es-ES"/>
        </w:rPr>
        <w:t xml:space="preserve">y particularidades </w:t>
      </w:r>
      <w:r w:rsidR="007A5962" w:rsidRPr="007A5962">
        <w:rPr>
          <w:rFonts w:ascii="Arial" w:eastAsia="Calibri" w:hAnsi="Arial" w:cs="Arial"/>
          <w:bCs/>
          <w:sz w:val="22"/>
          <w:lang w:val="es-ES"/>
        </w:rPr>
        <w:t>de</w:t>
      </w:r>
      <w:r w:rsidR="00673563">
        <w:rPr>
          <w:rFonts w:ascii="Arial" w:eastAsia="Calibri" w:hAnsi="Arial" w:cs="Arial"/>
          <w:bCs/>
          <w:sz w:val="22"/>
          <w:lang w:val="es-ES"/>
        </w:rPr>
        <w:t xml:space="preserve"> cada </w:t>
      </w:r>
      <w:r w:rsidR="007A5962" w:rsidRPr="007A5962">
        <w:rPr>
          <w:rFonts w:ascii="Arial" w:eastAsia="Calibri" w:hAnsi="Arial" w:cs="Arial"/>
          <w:bCs/>
          <w:sz w:val="22"/>
          <w:lang w:val="es-ES"/>
        </w:rPr>
        <w:t xml:space="preserve">Proceso de Contratación. </w:t>
      </w:r>
    </w:p>
    <w:p w14:paraId="5BE8468F" w14:textId="75DD6234" w:rsidR="007E4AD4" w:rsidRDefault="00E051ED" w:rsidP="005D7312">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lastRenderedPageBreak/>
        <w:t>En este instrumento se recomienda un análisis integral sobre varios aspectos del mercado –económico, técnico, regulatorio, etc.</w:t>
      </w:r>
      <w:r>
        <w:rPr>
          <w:rFonts w:ascii="Arial" w:eastAsia="Calibri" w:hAnsi="Arial" w:cs="Arial"/>
          <w:bCs/>
          <w:sz w:val="22"/>
          <w:lang w:val="es-ES_tradnl"/>
        </w:rPr>
        <w:t>–</w:t>
      </w:r>
      <w:r w:rsidRPr="00611FE8">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490D6013" w14:textId="35BC4108" w:rsidR="00D00DF4" w:rsidRDefault="00F325CA" w:rsidP="005D7312">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Así mismo</w:t>
      </w:r>
      <w:r w:rsidR="00450C87">
        <w:rPr>
          <w:rFonts w:ascii="Arial" w:eastAsia="Calibri" w:hAnsi="Arial" w:cs="Arial"/>
          <w:bCs/>
          <w:sz w:val="22"/>
          <w:lang w:val="es-ES_tradnl"/>
        </w:rPr>
        <w:t>,</w:t>
      </w:r>
      <w:r>
        <w:rPr>
          <w:rFonts w:ascii="Arial" w:eastAsia="Calibri" w:hAnsi="Arial" w:cs="Arial"/>
          <w:bCs/>
          <w:sz w:val="22"/>
          <w:lang w:val="es-ES_tradnl"/>
        </w:rPr>
        <w:t xml:space="preserve"> </w:t>
      </w:r>
      <w:r w:rsidR="00D14F2C">
        <w:rPr>
          <w:rFonts w:ascii="Arial" w:eastAsia="Calibri" w:hAnsi="Arial" w:cs="Arial"/>
          <w:bCs/>
          <w:sz w:val="22"/>
          <w:lang w:val="es-ES_tradnl"/>
        </w:rPr>
        <w:t xml:space="preserve">en la Guía se indica que </w:t>
      </w:r>
      <w:r>
        <w:rPr>
          <w:rFonts w:ascii="Arial" w:eastAsia="Calibri" w:hAnsi="Arial" w:cs="Arial"/>
          <w:bCs/>
          <w:sz w:val="22"/>
          <w:lang w:val="es-ES_tradnl"/>
        </w:rPr>
        <w:t>c</w:t>
      </w:r>
      <w:r w:rsidR="00673563">
        <w:rPr>
          <w:rFonts w:ascii="Arial" w:eastAsia="Calibri" w:hAnsi="Arial" w:cs="Arial"/>
          <w:bCs/>
          <w:sz w:val="22"/>
          <w:lang w:val="es-ES_tradnl"/>
        </w:rPr>
        <w:t xml:space="preserve">omo parte de la estructura del estudio del sector se </w:t>
      </w:r>
      <w:r w:rsidR="00D14F2C">
        <w:rPr>
          <w:rFonts w:ascii="Arial" w:eastAsia="Calibri" w:hAnsi="Arial" w:cs="Arial"/>
          <w:bCs/>
          <w:sz w:val="22"/>
          <w:lang w:val="es-ES_tradnl"/>
        </w:rPr>
        <w:t>debe realizar un análisis d</w:t>
      </w:r>
      <w:r w:rsidR="002B21AC">
        <w:rPr>
          <w:rFonts w:ascii="Arial" w:eastAsia="Calibri" w:hAnsi="Arial" w:cs="Arial"/>
          <w:bCs/>
          <w:sz w:val="22"/>
          <w:lang w:val="es-ES_tradnl"/>
        </w:rPr>
        <w:t xml:space="preserve">el comportamiento del gasto histórico, el estudio de la oferta y el estudio del mercado. </w:t>
      </w:r>
      <w:r w:rsidR="00450C87">
        <w:rPr>
          <w:rFonts w:ascii="Arial" w:eastAsia="Calibri" w:hAnsi="Arial" w:cs="Arial"/>
          <w:bCs/>
          <w:sz w:val="22"/>
          <w:lang w:val="es-ES_tradnl"/>
        </w:rPr>
        <w:t xml:space="preserve">En </w:t>
      </w:r>
      <w:r>
        <w:rPr>
          <w:rFonts w:ascii="Arial" w:eastAsia="Calibri" w:hAnsi="Arial" w:cs="Arial"/>
          <w:bCs/>
          <w:sz w:val="22"/>
          <w:lang w:val="es-ES"/>
        </w:rPr>
        <w:t>el</w:t>
      </w:r>
      <w:r w:rsidR="00450C87">
        <w:rPr>
          <w:rFonts w:ascii="Arial" w:eastAsia="Calibri" w:hAnsi="Arial" w:cs="Arial"/>
          <w:bCs/>
          <w:sz w:val="22"/>
          <w:lang w:val="es-ES"/>
        </w:rPr>
        <w:t xml:space="preserve"> marco del</w:t>
      </w:r>
      <w:r>
        <w:rPr>
          <w:rFonts w:ascii="Arial" w:eastAsia="Calibri" w:hAnsi="Arial" w:cs="Arial"/>
          <w:bCs/>
          <w:sz w:val="22"/>
          <w:lang w:val="es-ES"/>
        </w:rPr>
        <w:t xml:space="preserve"> comportamiento del gasto histórico</w:t>
      </w:r>
      <w:r w:rsidR="00FE31B2">
        <w:rPr>
          <w:rFonts w:ascii="Arial" w:eastAsia="Calibri" w:hAnsi="Arial" w:cs="Arial"/>
          <w:bCs/>
          <w:sz w:val="22"/>
          <w:lang w:val="es-ES"/>
        </w:rPr>
        <w:t xml:space="preserve"> se recomienda que</w:t>
      </w:r>
      <w:r>
        <w:rPr>
          <w:rFonts w:ascii="Arial" w:eastAsia="Calibri" w:hAnsi="Arial" w:cs="Arial"/>
          <w:bCs/>
          <w:sz w:val="22"/>
          <w:lang w:val="es-ES"/>
        </w:rPr>
        <w:t xml:space="preserve"> </w:t>
      </w:r>
      <w:r w:rsidR="00450C87">
        <w:rPr>
          <w:rFonts w:ascii="Arial" w:eastAsia="Calibri" w:hAnsi="Arial" w:cs="Arial"/>
          <w:bCs/>
          <w:sz w:val="22"/>
          <w:lang w:val="es-ES"/>
        </w:rPr>
        <w:t>la entidad anali</w:t>
      </w:r>
      <w:r w:rsidR="00FE31B2">
        <w:rPr>
          <w:rFonts w:ascii="Arial" w:eastAsia="Calibri" w:hAnsi="Arial" w:cs="Arial"/>
          <w:bCs/>
          <w:sz w:val="22"/>
          <w:lang w:val="es-ES"/>
        </w:rPr>
        <w:t>ce</w:t>
      </w:r>
      <w:r w:rsidR="00450C87">
        <w:rPr>
          <w:rFonts w:ascii="Arial" w:eastAsia="Calibri" w:hAnsi="Arial" w:cs="Arial"/>
          <w:bCs/>
          <w:sz w:val="22"/>
          <w:lang w:val="es-ES"/>
        </w:rPr>
        <w:t xml:space="preserve"> el comportamiento de sus adquisiciones anteriores del bien, obra o servicio teniendo en cuenta distintas variables como la modalidad de selección, el objeto del contrato, el presupuesto, entre otros. </w:t>
      </w:r>
      <w:r w:rsidR="000A1BA0">
        <w:rPr>
          <w:rFonts w:ascii="Arial" w:eastAsia="Calibri" w:hAnsi="Arial" w:cs="Arial"/>
          <w:bCs/>
          <w:sz w:val="22"/>
          <w:lang w:val="es-ES"/>
        </w:rPr>
        <w:t>También</w:t>
      </w:r>
      <w:r w:rsidR="00450C87">
        <w:rPr>
          <w:rFonts w:ascii="Arial" w:eastAsia="Calibri" w:hAnsi="Arial" w:cs="Arial"/>
          <w:bCs/>
          <w:sz w:val="22"/>
          <w:lang w:val="es-ES"/>
        </w:rPr>
        <w:t xml:space="preserve"> es importante que se analice la forma en la cual otras entidades</w:t>
      </w:r>
      <w:r w:rsidR="00295563">
        <w:rPr>
          <w:rFonts w:ascii="Arial" w:eastAsia="Calibri" w:hAnsi="Arial" w:cs="Arial"/>
          <w:bCs/>
          <w:sz w:val="22"/>
          <w:lang w:val="es-ES"/>
        </w:rPr>
        <w:t xml:space="preserve"> o particulares</w:t>
      </w:r>
      <w:r w:rsidR="00450C87">
        <w:rPr>
          <w:rFonts w:ascii="Arial" w:eastAsia="Calibri" w:hAnsi="Arial" w:cs="Arial"/>
          <w:bCs/>
          <w:sz w:val="22"/>
          <w:lang w:val="es-ES"/>
        </w:rPr>
        <w:t xml:space="preserve"> han adquirido bienes y servicios iguales o comparables similares</w:t>
      </w:r>
      <w:r w:rsidR="000A1BA0">
        <w:rPr>
          <w:rFonts w:ascii="Arial" w:eastAsia="Calibri" w:hAnsi="Arial" w:cs="Arial"/>
          <w:bCs/>
          <w:sz w:val="22"/>
          <w:lang w:val="es-ES"/>
        </w:rPr>
        <w:t xml:space="preserve"> mediante plataformas de información como datos abiertos o las herramientas de visualización </w:t>
      </w:r>
      <w:r w:rsidR="000A1BA0" w:rsidRPr="000A1BA0">
        <w:rPr>
          <w:rFonts w:ascii="Arial" w:eastAsia="Arial MT" w:hAnsi="Arial" w:cs="Arial"/>
          <w:sz w:val="22"/>
          <w:lang w:val="es-ES" w:eastAsia="en-US"/>
        </w:rPr>
        <w:t xml:space="preserve">desarrolladas por </w:t>
      </w:r>
      <w:r w:rsidR="007064F0">
        <w:rPr>
          <w:rFonts w:ascii="Arial" w:eastAsia="Arial MT" w:hAnsi="Arial" w:cs="Arial"/>
          <w:sz w:val="22"/>
          <w:lang w:val="es-ES" w:eastAsia="en-US"/>
        </w:rPr>
        <w:t>esta Agencia</w:t>
      </w:r>
      <w:r w:rsidR="000A1BA0">
        <w:rPr>
          <w:rFonts w:ascii="Arial" w:eastAsia="Arial MT" w:hAnsi="Arial" w:cs="Arial"/>
          <w:sz w:val="22"/>
          <w:lang w:val="es-ES" w:eastAsia="en-US"/>
        </w:rPr>
        <w:t xml:space="preserve"> </w:t>
      </w:r>
      <w:r w:rsidR="000A1BA0" w:rsidRPr="000A1BA0">
        <w:rPr>
          <w:rFonts w:ascii="Arial" w:eastAsia="Arial MT" w:hAnsi="Arial" w:cs="Arial"/>
          <w:sz w:val="22"/>
          <w:lang w:val="es-ES" w:eastAsia="en-US"/>
        </w:rPr>
        <w:t>en el marco del modelo de abastecimiento estratégico</w:t>
      </w:r>
      <w:r w:rsidR="00FE31B2">
        <w:rPr>
          <w:rStyle w:val="Refdenotaalpie"/>
          <w:rFonts w:ascii="Arial" w:eastAsia="Arial MT" w:hAnsi="Arial" w:cs="Arial"/>
          <w:sz w:val="22"/>
          <w:lang w:val="es-ES" w:eastAsia="en-US"/>
        </w:rPr>
        <w:footnoteReference w:id="8"/>
      </w:r>
      <w:r w:rsidR="000A1BA0">
        <w:rPr>
          <w:rFonts w:ascii="Arial" w:eastAsia="Arial MT" w:hAnsi="Arial" w:cs="Arial"/>
          <w:sz w:val="22"/>
          <w:lang w:val="es-ES" w:eastAsia="en-US"/>
        </w:rPr>
        <w:t xml:space="preserve">. </w:t>
      </w:r>
    </w:p>
    <w:p w14:paraId="7996250B" w14:textId="3F86BC09" w:rsidR="002B21AC" w:rsidRDefault="00FE31B2" w:rsidP="00D67883">
      <w:pPr>
        <w:spacing w:before="120"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Por su parte, según la Guía</w:t>
      </w:r>
      <w:r w:rsidR="007064F0">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el </w:t>
      </w:r>
      <w:r w:rsidRPr="00785888">
        <w:rPr>
          <w:rFonts w:ascii="Arial" w:eastAsia="Calibri" w:hAnsi="Arial" w:cs="Arial"/>
          <w:i/>
          <w:iCs/>
          <w:color w:val="000000" w:themeColor="text1"/>
          <w:sz w:val="22"/>
          <w:szCs w:val="22"/>
          <w:lang w:val="es-ES"/>
        </w:rPr>
        <w:t>estudio de la oferta</w:t>
      </w:r>
      <w:r>
        <w:rPr>
          <w:rFonts w:ascii="Arial" w:eastAsia="Calibri" w:hAnsi="Arial" w:cs="Arial"/>
          <w:color w:val="000000" w:themeColor="text1"/>
          <w:sz w:val="22"/>
          <w:szCs w:val="22"/>
          <w:lang w:val="es-ES"/>
        </w:rPr>
        <w:t xml:space="preserve"> tiene como objetivo </w:t>
      </w:r>
      <w:r w:rsidR="00EB228E" w:rsidRPr="00EB228E">
        <w:rPr>
          <w:rFonts w:ascii="Arial" w:eastAsia="Calibri" w:hAnsi="Arial" w:cs="Arial"/>
          <w:color w:val="000000" w:themeColor="text1"/>
          <w:sz w:val="22"/>
          <w:szCs w:val="22"/>
        </w:rPr>
        <w:t>identificar las opciones de suministro para las categorías de compra definidas, y los posibles proveedores que pueden suministrar los bienes, obras o servicios que requiere para satisfacer su necesidad</w:t>
      </w:r>
      <w:r w:rsidR="00EB228E">
        <w:rPr>
          <w:rFonts w:ascii="Arial" w:eastAsia="Calibri" w:hAnsi="Arial" w:cs="Arial"/>
          <w:color w:val="000000" w:themeColor="text1"/>
          <w:sz w:val="22"/>
          <w:szCs w:val="22"/>
          <w:lang w:val="es-ES"/>
        </w:rPr>
        <w:t>. E</w:t>
      </w:r>
      <w:r w:rsidR="002B21AC" w:rsidRPr="0044497F">
        <w:rPr>
          <w:rFonts w:ascii="Arial" w:eastAsia="Calibri" w:hAnsi="Arial" w:cs="Arial"/>
          <w:color w:val="000000" w:themeColor="text1"/>
          <w:sz w:val="22"/>
          <w:szCs w:val="22"/>
          <w:lang w:val="es-ES"/>
        </w:rPr>
        <w:t>n esta actividad las entidades estatales deben realizar un estudio de la oferta, que responda, entre otras, las siguientes preguntas: i)</w:t>
      </w:r>
      <w:r w:rsidR="00EB228E">
        <w:rPr>
          <w:rFonts w:ascii="Arial" w:eastAsia="Calibri" w:hAnsi="Arial" w:cs="Arial"/>
          <w:color w:val="000000" w:themeColor="text1"/>
          <w:sz w:val="22"/>
          <w:szCs w:val="22"/>
          <w:lang w:val="es-ES"/>
        </w:rPr>
        <w:t xml:space="preserve"> </w:t>
      </w:r>
      <w:r w:rsidR="002B21AC" w:rsidRPr="0044497F">
        <w:rPr>
          <w:rFonts w:ascii="Arial" w:eastAsia="Calibri" w:hAnsi="Arial" w:cs="Arial"/>
          <w:color w:val="000000" w:themeColor="text1"/>
          <w:sz w:val="22"/>
          <w:szCs w:val="22"/>
          <w:lang w:val="es-ES"/>
        </w:rPr>
        <w:t>«¿Cuál es la dinámica de producción, distribución y entrega de bienes, obras o servicios?» –teniendo en cuenta elementos como la producción, la distribución</w:t>
      </w:r>
      <w:r w:rsidR="00B400CC">
        <w:rPr>
          <w:rFonts w:ascii="Arial" w:eastAsia="Calibri" w:hAnsi="Arial" w:cs="Arial"/>
          <w:color w:val="000000" w:themeColor="text1"/>
          <w:sz w:val="22"/>
          <w:szCs w:val="22"/>
          <w:lang w:val="es-ES"/>
        </w:rPr>
        <w:t>, transporte etc.</w:t>
      </w:r>
      <w:r w:rsidR="002B21AC" w:rsidRPr="0044497F">
        <w:rPr>
          <w:rFonts w:ascii="Arial" w:eastAsia="Calibri" w:hAnsi="Arial" w:cs="Arial"/>
          <w:color w:val="000000" w:themeColor="text1"/>
          <w:sz w:val="22"/>
          <w:szCs w:val="22"/>
          <w:lang w:val="es-ES"/>
        </w:rPr>
        <w:t>–</w:t>
      </w:r>
      <w:r w:rsidR="00EB228E">
        <w:rPr>
          <w:rFonts w:ascii="Arial" w:eastAsia="Calibri" w:hAnsi="Arial" w:cs="Arial"/>
          <w:color w:val="000000" w:themeColor="text1"/>
          <w:sz w:val="22"/>
          <w:szCs w:val="22"/>
          <w:lang w:val="es-ES"/>
        </w:rPr>
        <w:t xml:space="preserve"> y ii) </w:t>
      </w:r>
      <w:r w:rsidR="00EB228E" w:rsidRPr="0044497F">
        <w:rPr>
          <w:rFonts w:ascii="Arial" w:eastAsia="Calibri" w:hAnsi="Arial" w:cs="Arial"/>
          <w:color w:val="000000" w:themeColor="text1"/>
          <w:sz w:val="22"/>
          <w:szCs w:val="22"/>
          <w:lang w:val="es-ES"/>
        </w:rPr>
        <w:t>«</w:t>
      </w:r>
      <w:r w:rsidR="00B400CC">
        <w:rPr>
          <w:rFonts w:ascii="Arial" w:eastAsia="Calibri" w:hAnsi="Arial" w:cs="Arial"/>
          <w:color w:val="000000" w:themeColor="text1"/>
          <w:sz w:val="22"/>
          <w:szCs w:val="22"/>
          <w:lang w:val="es-ES"/>
        </w:rPr>
        <w:t>¿A quién se va a compra</w:t>
      </w:r>
      <w:r w:rsidR="00CE0731">
        <w:rPr>
          <w:rFonts w:ascii="Arial" w:eastAsia="Calibri" w:hAnsi="Arial" w:cs="Arial"/>
          <w:color w:val="000000" w:themeColor="text1"/>
          <w:sz w:val="22"/>
          <w:szCs w:val="22"/>
          <w:lang w:val="es-ES"/>
        </w:rPr>
        <w:t>r</w:t>
      </w:r>
      <w:r w:rsidR="00B400CC">
        <w:rPr>
          <w:rFonts w:ascii="Arial" w:eastAsia="Calibri" w:hAnsi="Arial" w:cs="Arial"/>
          <w:color w:val="000000" w:themeColor="text1"/>
          <w:sz w:val="22"/>
          <w:szCs w:val="22"/>
          <w:lang w:val="es-ES"/>
        </w:rPr>
        <w:t>?</w:t>
      </w:r>
      <w:r w:rsidR="00EB228E" w:rsidRPr="00EB228E">
        <w:rPr>
          <w:rFonts w:ascii="Arial" w:eastAsia="Calibri" w:hAnsi="Arial" w:cs="Arial"/>
          <w:color w:val="000000" w:themeColor="text1"/>
          <w:sz w:val="22"/>
          <w:szCs w:val="22"/>
          <w:lang w:val="es-ES"/>
        </w:rPr>
        <w:t>»</w:t>
      </w:r>
      <w:r w:rsidR="00EB228E">
        <w:rPr>
          <w:rFonts w:ascii="Arial" w:eastAsia="Calibri" w:hAnsi="Arial" w:cs="Arial"/>
          <w:color w:val="000000" w:themeColor="text1"/>
          <w:sz w:val="22"/>
          <w:szCs w:val="22"/>
          <w:lang w:val="es-ES"/>
        </w:rPr>
        <w:t xml:space="preserve">. </w:t>
      </w:r>
      <w:r w:rsidR="002B21AC" w:rsidRPr="0044497F">
        <w:rPr>
          <w:rFonts w:ascii="Arial" w:eastAsia="Calibri" w:hAnsi="Arial" w:cs="Arial"/>
          <w:color w:val="000000" w:themeColor="text1"/>
          <w:sz w:val="22"/>
          <w:szCs w:val="22"/>
          <w:lang w:val="es-ES"/>
        </w:rPr>
        <w:t>En relación con la primera pregunta, la Guía señala que</w:t>
      </w:r>
      <w:r w:rsidR="00D94C96">
        <w:rPr>
          <w:rFonts w:ascii="Arial" w:eastAsia="Calibri" w:hAnsi="Arial" w:cs="Arial"/>
          <w:color w:val="000000" w:themeColor="text1"/>
          <w:sz w:val="22"/>
          <w:szCs w:val="22"/>
          <w:lang w:val="es-ES"/>
        </w:rPr>
        <w:t xml:space="preserve"> </w:t>
      </w:r>
      <w:r w:rsidR="00D94C96" w:rsidRPr="0044497F">
        <w:rPr>
          <w:rFonts w:ascii="Arial" w:eastAsia="Calibri" w:hAnsi="Arial" w:cs="Arial"/>
          <w:color w:val="000000" w:themeColor="text1"/>
          <w:sz w:val="22"/>
          <w:szCs w:val="22"/>
          <w:lang w:val="es-ES"/>
        </w:rPr>
        <w:t>«</w:t>
      </w:r>
      <w:r w:rsidR="00D94C96">
        <w:rPr>
          <w:rFonts w:ascii="Arial" w:eastAsia="Calibri" w:hAnsi="Arial" w:cs="Arial"/>
          <w:color w:val="000000" w:themeColor="text1"/>
          <w:sz w:val="22"/>
          <w:szCs w:val="22"/>
          <w:lang w:val="es-ES"/>
        </w:rPr>
        <w:t xml:space="preserve">para la Entidad Estatal es </w:t>
      </w:r>
      <w:r w:rsidR="00EB228E" w:rsidRPr="00EB228E">
        <w:rPr>
          <w:rFonts w:ascii="Arial" w:eastAsia="Calibri" w:hAnsi="Arial" w:cs="Arial"/>
          <w:color w:val="000000" w:themeColor="text1"/>
          <w:sz w:val="22"/>
          <w:szCs w:val="22"/>
          <w:lang w:val="es-ES"/>
        </w:rPr>
        <w:t>importante conocer, entre otras, el proceso de producción, distribución y entrega de los bienes o servicios que pretende adquirir, así como los costos asociados a tales procesos, cuáles son las formas de distribución y entrega de los bienes o suministros del servicio, y demás criterios que apliquen</w:t>
      </w:r>
      <w:r w:rsidR="00D94C96" w:rsidRPr="0044497F">
        <w:rPr>
          <w:rFonts w:ascii="Arial" w:eastAsia="Calibri" w:hAnsi="Arial" w:cs="Arial"/>
          <w:color w:val="000000" w:themeColor="text1"/>
          <w:sz w:val="22"/>
          <w:szCs w:val="22"/>
          <w:lang w:val="es-ES"/>
        </w:rPr>
        <w:t>»</w:t>
      </w:r>
      <w:r w:rsidR="00D94C96">
        <w:rPr>
          <w:rFonts w:ascii="Arial" w:eastAsia="Calibri" w:hAnsi="Arial" w:cs="Arial"/>
          <w:color w:val="000000" w:themeColor="text1"/>
          <w:sz w:val="22"/>
          <w:szCs w:val="22"/>
          <w:lang w:val="es-ES"/>
        </w:rPr>
        <w:t xml:space="preserve">. Para estos efectos, se </w:t>
      </w:r>
      <w:r w:rsidR="00D94C96" w:rsidRPr="00D94C96">
        <w:rPr>
          <w:rFonts w:ascii="Arial" w:eastAsia="Calibri" w:hAnsi="Arial" w:cs="Arial"/>
          <w:color w:val="000000" w:themeColor="text1"/>
          <w:sz w:val="22"/>
          <w:szCs w:val="22"/>
          <w:lang w:val="es-ES"/>
        </w:rPr>
        <w:t xml:space="preserve">recomienda a la </w:t>
      </w:r>
      <w:r w:rsidR="00D94C96">
        <w:rPr>
          <w:rFonts w:ascii="Arial" w:eastAsia="Calibri" w:hAnsi="Arial" w:cs="Arial"/>
          <w:color w:val="000000" w:themeColor="text1"/>
          <w:sz w:val="22"/>
          <w:szCs w:val="22"/>
          <w:lang w:val="es-ES"/>
        </w:rPr>
        <w:t>e</w:t>
      </w:r>
      <w:r w:rsidR="00D94C96" w:rsidRPr="00D94C96">
        <w:rPr>
          <w:rFonts w:ascii="Arial" w:eastAsia="Calibri" w:hAnsi="Arial" w:cs="Arial"/>
          <w:color w:val="000000" w:themeColor="text1"/>
          <w:sz w:val="22"/>
          <w:szCs w:val="22"/>
          <w:lang w:val="es-ES"/>
        </w:rPr>
        <w:t>ntidad diseñar e implementar escenarios y procedimientos de consulta de información abiertos e incluyentes con el mercado, en los cuales se defina qué información, cuándo, por qué medio y a quienes se solicitará</w:t>
      </w:r>
      <w:r w:rsidR="002B21AC" w:rsidRPr="0044497F">
        <w:rPr>
          <w:rFonts w:ascii="Arial" w:eastAsia="Calibri" w:hAnsi="Arial" w:cs="Arial"/>
          <w:color w:val="000000" w:themeColor="text1"/>
          <w:sz w:val="22"/>
          <w:szCs w:val="22"/>
          <w:lang w:val="es-ES"/>
        </w:rPr>
        <w:t>.</w:t>
      </w:r>
      <w:bookmarkStart w:id="8" w:name="_Hlk78204338"/>
      <w:r w:rsidR="002B21AC">
        <w:rPr>
          <w:rFonts w:ascii="Arial" w:eastAsia="Calibri" w:hAnsi="Arial" w:cs="Arial"/>
          <w:color w:val="000000" w:themeColor="text1"/>
          <w:sz w:val="22"/>
          <w:szCs w:val="22"/>
          <w:lang w:val="es-ES"/>
        </w:rPr>
        <w:t xml:space="preserve"> En relación con la segunda pregunta, la Guía</w:t>
      </w:r>
      <w:r w:rsidR="002B21AC">
        <w:rPr>
          <w:rFonts w:ascii="Arial" w:eastAsia="Calibri" w:hAnsi="Arial" w:cs="Arial"/>
          <w:color w:val="000000" w:themeColor="text1"/>
          <w:sz w:val="22"/>
          <w:szCs w:val="22"/>
        </w:rPr>
        <w:t xml:space="preserve"> indica que </w:t>
      </w:r>
      <w:r w:rsidR="002B21AC" w:rsidRPr="0044497F">
        <w:rPr>
          <w:rFonts w:ascii="Arial" w:eastAsia="Calibri" w:hAnsi="Arial" w:cs="Arial"/>
          <w:color w:val="000000" w:themeColor="text1"/>
          <w:sz w:val="22"/>
          <w:szCs w:val="22"/>
          <w:lang w:val="es-ES"/>
        </w:rPr>
        <w:t>«</w:t>
      </w:r>
      <w:r w:rsidR="00D94C96" w:rsidRPr="00D94C96">
        <w:rPr>
          <w:rFonts w:ascii="Arial" w:eastAsia="Calibri" w:hAnsi="Arial" w:cs="Arial"/>
          <w:color w:val="000000" w:themeColor="text1"/>
          <w:sz w:val="22"/>
          <w:szCs w:val="22"/>
          <w:lang w:val="es-ES"/>
        </w:rPr>
        <w:t xml:space="preserve">la Entidad Estatal debe identificar los proveedores en el mercado del bien o servicio, así como sus principales características como tamaño empresarial, ubicación, esquemas de producción y </w:t>
      </w:r>
      <w:r w:rsidR="00D94C96" w:rsidRPr="00D94C96">
        <w:rPr>
          <w:rFonts w:ascii="Arial" w:eastAsia="Calibri" w:hAnsi="Arial" w:cs="Arial"/>
          <w:color w:val="000000" w:themeColor="text1"/>
          <w:sz w:val="22"/>
          <w:szCs w:val="22"/>
          <w:lang w:val="es-ES"/>
        </w:rPr>
        <w:lastRenderedPageBreak/>
        <w:t>comportamiento financiero</w:t>
      </w:r>
      <w:r w:rsidR="002B21AC" w:rsidRPr="0044497F">
        <w:rPr>
          <w:rFonts w:ascii="Arial" w:eastAsia="Calibri" w:hAnsi="Arial" w:cs="Arial"/>
          <w:color w:val="000000" w:themeColor="text1"/>
          <w:sz w:val="22"/>
          <w:szCs w:val="22"/>
          <w:lang w:val="es-ES"/>
        </w:rPr>
        <w:t>»</w:t>
      </w:r>
      <w:r w:rsidR="002B21AC" w:rsidRPr="00A330F5">
        <w:rPr>
          <w:rFonts w:ascii="Arial" w:eastAsia="Calibri" w:hAnsi="Arial" w:cs="Arial"/>
          <w:color w:val="000000" w:themeColor="text1"/>
          <w:sz w:val="22"/>
          <w:szCs w:val="22"/>
        </w:rPr>
        <w:t>.</w:t>
      </w:r>
      <w:bookmarkEnd w:id="8"/>
      <w:r w:rsidR="00CE0731">
        <w:rPr>
          <w:rFonts w:ascii="Arial" w:eastAsia="Calibri" w:hAnsi="Arial" w:cs="Arial"/>
          <w:color w:val="000000" w:themeColor="text1"/>
          <w:sz w:val="22"/>
          <w:szCs w:val="22"/>
        </w:rPr>
        <w:t xml:space="preserve"> Para la identificación de los proveedores se propone analizar el listado de los proveedores que participaron en los procesos de contratación iguales </w:t>
      </w:r>
      <w:r w:rsidR="0029018A">
        <w:rPr>
          <w:rFonts w:ascii="Arial" w:eastAsia="Calibri" w:hAnsi="Arial" w:cs="Arial"/>
          <w:color w:val="000000" w:themeColor="text1"/>
          <w:sz w:val="22"/>
          <w:szCs w:val="22"/>
        </w:rPr>
        <w:t xml:space="preserve">o similares </w:t>
      </w:r>
      <w:r w:rsidR="00CE0731">
        <w:rPr>
          <w:rFonts w:ascii="Arial" w:eastAsia="Calibri" w:hAnsi="Arial" w:cs="Arial"/>
          <w:color w:val="000000" w:themeColor="text1"/>
          <w:sz w:val="22"/>
          <w:szCs w:val="22"/>
        </w:rPr>
        <w:t>que haya realizado la entidad y los que hayan realizado otras entidades con objetos comparables.</w:t>
      </w:r>
    </w:p>
    <w:p w14:paraId="2C1A988D" w14:textId="77777777" w:rsidR="006221F4" w:rsidRDefault="00D67883" w:rsidP="009B127F">
      <w:pPr>
        <w:spacing w:before="120"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Por último, el estudio del mercado </w:t>
      </w:r>
      <w:r w:rsidRPr="00D67883">
        <w:rPr>
          <w:rFonts w:ascii="Arial" w:eastAsia="Calibri" w:hAnsi="Arial" w:cs="Arial"/>
          <w:color w:val="000000" w:themeColor="text1"/>
          <w:sz w:val="22"/>
          <w:szCs w:val="22"/>
          <w:lang w:val="es-ES"/>
        </w:rPr>
        <w:t>permite comprender la dinámica de los precios y establecer el presupuesto oficial de la contratación</w:t>
      </w:r>
      <w:r>
        <w:rPr>
          <w:rFonts w:ascii="Arial" w:eastAsia="Calibri" w:hAnsi="Arial" w:cs="Arial"/>
          <w:color w:val="000000" w:themeColor="text1"/>
          <w:sz w:val="22"/>
          <w:szCs w:val="22"/>
          <w:lang w:val="es-ES"/>
        </w:rPr>
        <w:t xml:space="preserve">, el cual </w:t>
      </w:r>
      <w:r w:rsidRPr="00D67883">
        <w:rPr>
          <w:rFonts w:ascii="Arial" w:eastAsia="Calibri" w:hAnsi="Arial" w:cs="Arial"/>
          <w:color w:val="000000" w:themeColor="text1"/>
          <w:sz w:val="22"/>
          <w:szCs w:val="22"/>
          <w:lang w:val="es-ES"/>
        </w:rPr>
        <w:t>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w:t>
      </w:r>
      <w:r w:rsidR="007151E1">
        <w:rPr>
          <w:rFonts w:ascii="Arial" w:eastAsia="Calibri" w:hAnsi="Arial" w:cs="Arial"/>
          <w:color w:val="000000" w:themeColor="text1"/>
          <w:sz w:val="22"/>
          <w:szCs w:val="22"/>
          <w:lang w:val="es-ES"/>
        </w:rPr>
        <w:t xml:space="preserve">. </w:t>
      </w:r>
      <w:r w:rsidR="006221F4">
        <w:rPr>
          <w:rFonts w:ascii="Arial" w:eastAsia="Calibri" w:hAnsi="Arial" w:cs="Arial"/>
          <w:color w:val="000000" w:themeColor="text1"/>
          <w:sz w:val="22"/>
          <w:szCs w:val="22"/>
          <w:lang w:val="es-ES"/>
        </w:rPr>
        <w:t xml:space="preserve">Este estudio de mercado debe responder claramente cuáles son las dinámicas de precio y, de esta manera, establecer el presupuesto oficial del proceso de contratación. </w:t>
      </w:r>
    </w:p>
    <w:p w14:paraId="6DC26948" w14:textId="084076CF" w:rsidR="009B127F" w:rsidRDefault="007151E1" w:rsidP="009B127F">
      <w:pPr>
        <w:spacing w:before="120" w:line="276" w:lineRule="auto"/>
        <w:ind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 xml:space="preserve">En relación con la revisión de precios por solicitud de cotizaciones, la Guía recomienda </w:t>
      </w:r>
      <w:r w:rsidRPr="007151E1">
        <w:rPr>
          <w:rFonts w:ascii="Arial" w:eastAsia="Calibri" w:hAnsi="Arial" w:cs="Arial"/>
          <w:color w:val="000000" w:themeColor="text1"/>
          <w:sz w:val="22"/>
          <w:szCs w:val="22"/>
          <w:lang w:val="es-ES"/>
        </w:rPr>
        <w:t xml:space="preserve">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w:t>
      </w:r>
      <w:r w:rsidR="009B127F">
        <w:rPr>
          <w:rFonts w:ascii="Arial" w:eastAsia="Calibri" w:hAnsi="Arial" w:cs="Arial"/>
          <w:color w:val="000000" w:themeColor="text1"/>
          <w:sz w:val="22"/>
          <w:szCs w:val="22"/>
          <w:lang w:val="es-ES"/>
        </w:rPr>
        <w:t>e</w:t>
      </w:r>
      <w:r w:rsidRPr="007151E1">
        <w:rPr>
          <w:rFonts w:ascii="Arial" w:eastAsia="Calibri" w:hAnsi="Arial" w:cs="Arial"/>
          <w:color w:val="000000" w:themeColor="text1"/>
          <w:sz w:val="22"/>
          <w:szCs w:val="22"/>
          <w:lang w:val="es-ES"/>
        </w:rPr>
        <w:t xml:space="preserve">ntidad, como, por ejemplo, especificaciones técnicas del bien o servicio a contratar, plazo del contrato, así como toda aquella información relevante que incida en el precio del bien o servicio. </w:t>
      </w:r>
      <w:r w:rsidR="009B127F">
        <w:rPr>
          <w:rFonts w:ascii="Arial" w:eastAsia="Calibri" w:hAnsi="Arial" w:cs="Arial"/>
          <w:color w:val="000000" w:themeColor="text1"/>
          <w:sz w:val="22"/>
          <w:szCs w:val="22"/>
          <w:lang w:val="es-ES"/>
        </w:rPr>
        <w:t>Asimismo, se indica que a</w:t>
      </w:r>
      <w:r w:rsidRPr="007151E1">
        <w:rPr>
          <w:rFonts w:ascii="Arial" w:eastAsia="Calibri" w:hAnsi="Arial" w:cs="Arial"/>
          <w:color w:val="000000" w:themeColor="text1"/>
          <w:sz w:val="22"/>
          <w:szCs w:val="22"/>
          <w:lang w:val="es-ES"/>
        </w:rPr>
        <w:t>l recibir las cotizaciones, debe verificarse la ocurrencia de circunstancias que eventualmente pueden distorsionar los precios del mercado, como ofertas especiales de almacenes de cadena, fenómenos de escasez o abundancia del producto, entre otros aspectos.</w:t>
      </w:r>
      <w:r w:rsidR="00495A37">
        <w:rPr>
          <w:rFonts w:ascii="Arial" w:eastAsia="Calibri" w:hAnsi="Arial" w:cs="Arial"/>
          <w:color w:val="000000" w:themeColor="text1"/>
          <w:sz w:val="22"/>
          <w:szCs w:val="22"/>
          <w:lang w:val="es-ES"/>
        </w:rPr>
        <w:t xml:space="preserve"> </w:t>
      </w:r>
    </w:p>
    <w:p w14:paraId="087AB3FC" w14:textId="414644CB" w:rsidR="009B127F" w:rsidRDefault="009B127F" w:rsidP="009B127F">
      <w:pPr>
        <w:spacing w:before="120" w:line="276" w:lineRule="auto"/>
        <w:ind w:firstLine="709"/>
        <w:jc w:val="both"/>
        <w:rPr>
          <w:rFonts w:ascii="Arial" w:eastAsia="Calibri" w:hAnsi="Arial" w:cs="Arial"/>
          <w:bCs/>
          <w:sz w:val="22"/>
          <w:lang w:val="es-ES_tradnl"/>
        </w:rPr>
      </w:pPr>
      <w:r>
        <w:rPr>
          <w:rFonts w:ascii="Arial" w:eastAsia="Calibri" w:hAnsi="Arial" w:cs="Arial"/>
          <w:color w:val="000000" w:themeColor="text1"/>
          <w:sz w:val="22"/>
          <w:szCs w:val="22"/>
          <w:lang w:val="es-ES"/>
        </w:rPr>
        <w:t>Al respecto, es p</w:t>
      </w:r>
      <w:r w:rsidR="00B40C0B">
        <w:rPr>
          <w:rFonts w:ascii="Arial" w:eastAsia="Calibri" w:hAnsi="Arial" w:cs="Arial"/>
          <w:color w:val="000000" w:themeColor="text1"/>
          <w:sz w:val="22"/>
          <w:szCs w:val="22"/>
          <w:lang w:val="es-ES"/>
        </w:rPr>
        <w:t>ertinente precisar</w:t>
      </w:r>
      <w:r>
        <w:rPr>
          <w:rFonts w:ascii="Arial" w:eastAsia="Calibri" w:hAnsi="Arial" w:cs="Arial"/>
          <w:color w:val="000000" w:themeColor="text1"/>
          <w:sz w:val="22"/>
          <w:szCs w:val="22"/>
          <w:lang w:val="es-ES"/>
        </w:rPr>
        <w:t xml:space="preserve"> que </w:t>
      </w:r>
      <w:r w:rsidR="00B40C0B">
        <w:rPr>
          <w:rFonts w:ascii="Arial" w:eastAsia="Calibri" w:hAnsi="Arial" w:cs="Arial"/>
          <w:color w:val="000000" w:themeColor="text1"/>
          <w:sz w:val="22"/>
          <w:szCs w:val="22"/>
          <w:lang w:val="es-ES"/>
        </w:rPr>
        <w:t xml:space="preserve">los mecanismos señalados para realizar el estudio del mercado no están determinados por </w:t>
      </w:r>
      <w:r w:rsidR="0029018A">
        <w:rPr>
          <w:rFonts w:ascii="Arial" w:eastAsia="Calibri" w:hAnsi="Arial" w:cs="Arial"/>
          <w:color w:val="000000" w:themeColor="text1"/>
          <w:sz w:val="22"/>
          <w:szCs w:val="22"/>
          <w:lang w:val="es-ES"/>
        </w:rPr>
        <w:t xml:space="preserve">la </w:t>
      </w:r>
      <w:r w:rsidR="00B40C0B">
        <w:rPr>
          <w:rFonts w:ascii="Arial" w:eastAsia="Calibri" w:hAnsi="Arial" w:cs="Arial"/>
          <w:color w:val="000000" w:themeColor="text1"/>
          <w:sz w:val="22"/>
          <w:szCs w:val="22"/>
          <w:lang w:val="es-ES"/>
        </w:rPr>
        <w:t>ley</w:t>
      </w:r>
      <w:r w:rsidR="0029018A">
        <w:rPr>
          <w:rFonts w:ascii="Arial" w:eastAsia="Calibri" w:hAnsi="Arial" w:cs="Arial"/>
          <w:color w:val="000000" w:themeColor="text1"/>
          <w:sz w:val="22"/>
          <w:szCs w:val="22"/>
          <w:lang w:val="es-ES"/>
        </w:rPr>
        <w:t xml:space="preserve"> o el reglamento</w:t>
      </w:r>
      <w:r w:rsidR="00B40C0B">
        <w:rPr>
          <w:rFonts w:ascii="Arial" w:eastAsia="Calibri" w:hAnsi="Arial" w:cs="Arial"/>
          <w:color w:val="000000" w:themeColor="text1"/>
          <w:sz w:val="22"/>
          <w:szCs w:val="22"/>
          <w:lang w:val="es-ES"/>
        </w:rPr>
        <w:t xml:space="preserve">, por lo que no existen lineamientos obligatorios para su estructuración. De esta manera, </w:t>
      </w:r>
      <w:r w:rsidR="00B40C0B">
        <w:rPr>
          <w:rFonts w:ascii="Arial" w:eastAsia="Calibri" w:hAnsi="Arial" w:cs="Arial"/>
          <w:bCs/>
          <w:sz w:val="22"/>
          <w:lang w:val="es-ES_tradnl"/>
        </w:rPr>
        <w:t xml:space="preserve">las entidades </w:t>
      </w:r>
      <w:r w:rsidR="00B40C0B" w:rsidRPr="00611FE8">
        <w:rPr>
          <w:rFonts w:ascii="Arial" w:hAnsi="Arial" w:cs="Arial"/>
          <w:sz w:val="22"/>
          <w:szCs w:val="22"/>
          <w:lang w:eastAsia="es-CO"/>
        </w:rPr>
        <w:t xml:space="preserve">son autónomas para </w:t>
      </w:r>
      <w:r w:rsidR="00B40C0B">
        <w:rPr>
          <w:rFonts w:ascii="Arial" w:hAnsi="Arial" w:cs="Arial"/>
          <w:sz w:val="22"/>
          <w:szCs w:val="22"/>
          <w:lang w:eastAsia="es-CO"/>
        </w:rPr>
        <w:t>establecer la forma en la cual se r</w:t>
      </w:r>
      <w:r w:rsidR="00C50636">
        <w:rPr>
          <w:rFonts w:ascii="Arial" w:hAnsi="Arial" w:cs="Arial"/>
          <w:sz w:val="22"/>
          <w:szCs w:val="22"/>
          <w:lang w:eastAsia="es-CO"/>
        </w:rPr>
        <w:t>ecopilará la información que sustente el análisis del sector</w:t>
      </w:r>
      <w:r w:rsidR="003840E0">
        <w:rPr>
          <w:rFonts w:ascii="Arial" w:hAnsi="Arial" w:cs="Arial"/>
          <w:sz w:val="22"/>
          <w:szCs w:val="22"/>
          <w:lang w:eastAsia="es-CO"/>
        </w:rPr>
        <w:t>, así como lo referente a la solicitud de cotizaciones</w:t>
      </w:r>
      <w:r w:rsidR="00C50636">
        <w:rPr>
          <w:rFonts w:ascii="Arial" w:hAnsi="Arial" w:cs="Arial"/>
          <w:sz w:val="22"/>
          <w:szCs w:val="22"/>
          <w:lang w:eastAsia="es-CO"/>
        </w:rPr>
        <w:t xml:space="preserve">. Como se mencionó, la </w:t>
      </w:r>
      <w:r w:rsidR="006D1E32" w:rsidRPr="00611FE8">
        <w:rPr>
          <w:rFonts w:ascii="Arial" w:eastAsia="Calibri" w:hAnsi="Arial" w:cs="Arial"/>
          <w:bCs/>
          <w:sz w:val="22"/>
          <w:lang w:val="es-ES_tradnl"/>
        </w:rPr>
        <w:t xml:space="preserve">«Guía </w:t>
      </w:r>
      <w:r w:rsidR="006D1E32">
        <w:rPr>
          <w:rFonts w:ascii="Arial" w:eastAsia="Calibri" w:hAnsi="Arial" w:cs="Arial"/>
          <w:bCs/>
          <w:sz w:val="22"/>
          <w:lang w:val="es-ES_tradnl"/>
        </w:rPr>
        <w:t xml:space="preserve">de </w:t>
      </w:r>
      <w:r w:rsidR="006D1E32" w:rsidRPr="00611FE8">
        <w:rPr>
          <w:rFonts w:ascii="Arial" w:eastAsia="Calibri" w:hAnsi="Arial" w:cs="Arial"/>
          <w:bCs/>
          <w:sz w:val="22"/>
          <w:lang w:val="es-ES_tradnl"/>
        </w:rPr>
        <w:t>Elaboración de</w:t>
      </w:r>
      <w:r w:rsidR="006D1E32">
        <w:rPr>
          <w:rFonts w:ascii="Arial" w:eastAsia="Calibri" w:hAnsi="Arial" w:cs="Arial"/>
          <w:bCs/>
          <w:sz w:val="22"/>
          <w:lang w:val="es-ES_tradnl"/>
        </w:rPr>
        <w:t>l</w:t>
      </w:r>
      <w:r w:rsidR="006D1E32" w:rsidRPr="00611FE8">
        <w:rPr>
          <w:rFonts w:ascii="Arial" w:eastAsia="Calibri" w:hAnsi="Arial" w:cs="Arial"/>
          <w:bCs/>
          <w:sz w:val="22"/>
          <w:lang w:val="es-ES_tradnl"/>
        </w:rPr>
        <w:t xml:space="preserve"> Estudio del Sector»</w:t>
      </w:r>
      <w:r w:rsidR="006D1E32">
        <w:rPr>
          <w:rFonts w:ascii="Arial" w:eastAsia="Calibri" w:hAnsi="Arial" w:cs="Arial"/>
          <w:bCs/>
          <w:sz w:val="22"/>
          <w:lang w:val="es-ES_tradnl"/>
        </w:rPr>
        <w:t xml:space="preserve"> </w:t>
      </w:r>
      <w:r w:rsidR="00C50636" w:rsidRPr="00C50636">
        <w:rPr>
          <w:rFonts w:ascii="Arial" w:eastAsia="Calibri" w:hAnsi="Arial" w:cs="Arial"/>
          <w:bCs/>
          <w:sz w:val="22"/>
          <w:lang w:val="es-ES_tradnl"/>
        </w:rPr>
        <w:t xml:space="preserve">desarrolla recomendaciones y buenas prácticas que servirán a las </w:t>
      </w:r>
      <w:r w:rsidR="00C50636">
        <w:rPr>
          <w:rFonts w:ascii="Arial" w:eastAsia="Calibri" w:hAnsi="Arial" w:cs="Arial"/>
          <w:bCs/>
          <w:sz w:val="22"/>
          <w:lang w:val="es-ES_tradnl"/>
        </w:rPr>
        <w:t>e</w:t>
      </w:r>
      <w:r w:rsidR="00C50636" w:rsidRPr="00C50636">
        <w:rPr>
          <w:rFonts w:ascii="Arial" w:eastAsia="Calibri" w:hAnsi="Arial" w:cs="Arial"/>
          <w:bCs/>
          <w:sz w:val="22"/>
          <w:lang w:val="es-ES_tradnl"/>
        </w:rPr>
        <w:t>ntidades para entender el mercado del bien, obra o servicio que pretende adquirir</w:t>
      </w:r>
      <w:r w:rsidR="00C50636">
        <w:rPr>
          <w:rFonts w:ascii="Arial" w:eastAsia="Calibri" w:hAnsi="Arial" w:cs="Arial"/>
          <w:bCs/>
          <w:sz w:val="22"/>
          <w:lang w:val="es-ES_tradnl"/>
        </w:rPr>
        <w:t xml:space="preserve">, pero no es un instrumento vinculante </w:t>
      </w:r>
      <w:r w:rsidR="0074612E">
        <w:rPr>
          <w:rFonts w:ascii="Arial" w:eastAsia="Calibri" w:hAnsi="Arial" w:cs="Arial"/>
          <w:bCs/>
          <w:sz w:val="22"/>
          <w:lang w:val="es-ES_tradnl"/>
        </w:rPr>
        <w:t xml:space="preserve">para la entidad. </w:t>
      </w:r>
    </w:p>
    <w:p w14:paraId="467D6DF1" w14:textId="274642CA" w:rsidR="006221F4" w:rsidRDefault="006221F4" w:rsidP="006221F4">
      <w:pPr>
        <w:pStyle w:val="paragraph"/>
        <w:spacing w:before="12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szCs w:val="22"/>
          <w:lang w:val="es-ES"/>
        </w:rPr>
        <w:t xml:space="preserve">El Consejo de Estado, se pronunció sobre la relación existente entre el estudio del sector y la estimación del valor del contrato, indicando que se deben tener en cuenta las diferentes variables del mercado como los costos de la cadena de producción. Pero, con independencia de esto, la entidad debe obtener el menor precio o uno razonable. En todo caso, el valor debe estar justificado para que no corresponda a sobrecostos ni a precios artificialmente bajos, y que con ello la entidad pague un valor adecuado. Esto se logra con </w:t>
      </w:r>
      <w:r>
        <w:rPr>
          <w:rStyle w:val="normaltextrun"/>
          <w:rFonts w:ascii="Arial" w:hAnsi="Arial" w:cs="Arial"/>
          <w:sz w:val="22"/>
          <w:szCs w:val="22"/>
          <w:lang w:val="es-ES"/>
        </w:rPr>
        <w:lastRenderedPageBreak/>
        <w:t>el estudio del mercado y sus costos, el cual debe estar a disposición de los participantes del procedimiento contractual</w:t>
      </w:r>
      <w:r>
        <w:rPr>
          <w:rStyle w:val="Refdenotaalpie"/>
          <w:rFonts w:ascii="Arial" w:hAnsi="Arial" w:cs="Arial"/>
          <w:sz w:val="22"/>
          <w:szCs w:val="22"/>
          <w:lang w:val="es-ES"/>
        </w:rPr>
        <w:footnoteReference w:id="9"/>
      </w:r>
      <w:r>
        <w:rPr>
          <w:rStyle w:val="normaltextrun"/>
          <w:rFonts w:ascii="Arial" w:hAnsi="Arial" w:cs="Arial"/>
          <w:sz w:val="22"/>
          <w:szCs w:val="22"/>
          <w:lang w:val="es-ES"/>
        </w:rPr>
        <w:t>.</w:t>
      </w:r>
    </w:p>
    <w:p w14:paraId="109886F0" w14:textId="58ABC081" w:rsidR="006221F4" w:rsidRPr="006221F4" w:rsidRDefault="006221F4" w:rsidP="006221F4">
      <w:pPr>
        <w:pStyle w:val="paragraph"/>
        <w:spacing w:before="12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szCs w:val="22"/>
          <w:lang w:val="es-ES"/>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40047D5D" w14:textId="3A76198B" w:rsidR="00DB7CF6" w:rsidRDefault="003840E0" w:rsidP="0029018A">
      <w:pPr>
        <w:spacing w:before="120" w:line="276" w:lineRule="auto"/>
        <w:ind w:firstLine="709"/>
        <w:jc w:val="both"/>
        <w:rPr>
          <w:rFonts w:ascii="Arial" w:eastAsiaTheme="minorHAnsi" w:hAnsi="Arial" w:cs="Arial"/>
          <w:bCs/>
          <w:sz w:val="22"/>
          <w:szCs w:val="22"/>
          <w:lang w:val="es-ES_tradnl" w:eastAsia="en-US"/>
        </w:rPr>
      </w:pPr>
      <w:r>
        <w:rPr>
          <w:rFonts w:ascii="Arial" w:eastAsia="Calibri" w:hAnsi="Arial" w:cs="Arial"/>
          <w:bCs/>
          <w:sz w:val="22"/>
          <w:lang w:val="es-ES_tradnl"/>
        </w:rPr>
        <w:t xml:space="preserve">En este contexto, el análisis del sector </w:t>
      </w:r>
      <w:r w:rsidR="00987A38" w:rsidRPr="006F18B8">
        <w:rPr>
          <w:rFonts w:ascii="Arial" w:eastAsiaTheme="minorHAnsi" w:hAnsi="Arial" w:cs="Arial"/>
          <w:bCs/>
          <w:sz w:val="22"/>
          <w:szCs w:val="22"/>
          <w:lang w:val="es-ES_tradnl" w:eastAsia="en-US"/>
        </w:rPr>
        <w:t>parte de un estudio</w:t>
      </w:r>
      <w:r w:rsidR="00987A38">
        <w:rPr>
          <w:rFonts w:ascii="Arial" w:eastAsiaTheme="minorHAnsi" w:hAnsi="Arial" w:cs="Arial"/>
          <w:bCs/>
          <w:sz w:val="22"/>
          <w:szCs w:val="22"/>
          <w:lang w:val="es-ES_tradnl" w:eastAsia="en-US"/>
        </w:rPr>
        <w:t xml:space="preserve"> </w:t>
      </w:r>
      <w:r w:rsidR="00987A38" w:rsidRPr="006F18B8">
        <w:rPr>
          <w:rFonts w:ascii="Arial" w:eastAsiaTheme="minorHAnsi" w:hAnsi="Arial" w:cs="Arial"/>
          <w:bCs/>
          <w:sz w:val="22"/>
          <w:szCs w:val="22"/>
          <w:lang w:val="es-ES_tradnl" w:eastAsia="en-US"/>
        </w:rPr>
        <w:t>desde una perspectiva multidisciplinaria, que implica</w:t>
      </w:r>
      <w:r w:rsidR="00987A38">
        <w:rPr>
          <w:rFonts w:ascii="Arial" w:eastAsiaTheme="minorHAnsi" w:hAnsi="Arial" w:cs="Arial"/>
          <w:bCs/>
          <w:sz w:val="22"/>
          <w:szCs w:val="22"/>
          <w:lang w:val="es-ES_tradnl" w:eastAsia="en-US"/>
        </w:rPr>
        <w:t xml:space="preserve"> los aspectos generales del mercado, el análisis de la demanda y</w:t>
      </w:r>
      <w:r w:rsidR="00987A38" w:rsidRPr="006F18B8">
        <w:rPr>
          <w:rFonts w:ascii="Arial" w:eastAsiaTheme="minorHAnsi" w:hAnsi="Arial" w:cs="Arial"/>
          <w:bCs/>
          <w:sz w:val="22"/>
          <w:szCs w:val="22"/>
          <w:lang w:val="es-ES_tradnl" w:eastAsia="en-US"/>
        </w:rPr>
        <w:t xml:space="preserve"> de la oferta</w:t>
      </w:r>
      <w:r w:rsidR="00987A38">
        <w:rPr>
          <w:rFonts w:ascii="Arial" w:eastAsiaTheme="minorHAnsi" w:hAnsi="Arial" w:cs="Arial"/>
          <w:bCs/>
          <w:sz w:val="22"/>
          <w:szCs w:val="22"/>
          <w:lang w:val="es-ES_tradnl" w:eastAsia="en-US"/>
        </w:rPr>
        <w:t xml:space="preserve">, así como el estudio del mercado </w:t>
      </w:r>
      <w:r w:rsidR="00987A38" w:rsidRPr="006F18B8">
        <w:rPr>
          <w:rFonts w:ascii="Arial" w:eastAsiaTheme="minorHAnsi" w:hAnsi="Arial" w:cs="Arial"/>
          <w:bCs/>
          <w:sz w:val="22"/>
          <w:szCs w:val="22"/>
          <w:lang w:val="es-ES_tradnl" w:eastAsia="en-US"/>
        </w:rPr>
        <w:t>que</w:t>
      </w:r>
      <w:r w:rsidR="00987A38">
        <w:rPr>
          <w:rFonts w:ascii="Arial" w:eastAsiaTheme="minorHAnsi" w:hAnsi="Arial" w:cs="Arial"/>
          <w:bCs/>
          <w:sz w:val="22"/>
          <w:szCs w:val="22"/>
          <w:lang w:val="es-ES_tradnl" w:eastAsia="en-US"/>
        </w:rPr>
        <w:t xml:space="preserve"> le permite a la entidad</w:t>
      </w:r>
      <w:r w:rsidR="00987A38" w:rsidRPr="00987A38">
        <w:rPr>
          <w:rFonts w:ascii="Arial" w:eastAsiaTheme="minorHAnsi" w:hAnsi="Arial" w:cs="Arial"/>
          <w:bCs/>
          <w:sz w:val="22"/>
          <w:szCs w:val="22"/>
          <w:lang w:val="es-ES_tradnl" w:eastAsia="en-US"/>
        </w:rPr>
        <w:t xml:space="preserve"> </w:t>
      </w:r>
      <w:r w:rsidR="00987A38" w:rsidRPr="006F18B8">
        <w:rPr>
          <w:rFonts w:ascii="Arial" w:eastAsiaTheme="minorHAnsi" w:hAnsi="Arial" w:cs="Arial"/>
          <w:bCs/>
          <w:sz w:val="22"/>
          <w:szCs w:val="22"/>
          <w:lang w:val="es-ES_tradnl" w:eastAsia="en-US"/>
        </w:rPr>
        <w:t>entender el mercado del bien, obra o servicio que pretenden adquirir,</w:t>
      </w:r>
      <w:r w:rsidR="00987A38">
        <w:rPr>
          <w:rFonts w:ascii="Arial" w:eastAsiaTheme="minorHAnsi" w:hAnsi="Arial" w:cs="Arial"/>
          <w:bCs/>
          <w:sz w:val="22"/>
          <w:szCs w:val="22"/>
          <w:lang w:val="es-ES_tradnl" w:eastAsia="en-US"/>
        </w:rPr>
        <w:t xml:space="preserve"> así como </w:t>
      </w:r>
      <w:r w:rsidR="00987A38" w:rsidRPr="006F18B8">
        <w:rPr>
          <w:rFonts w:ascii="Arial" w:eastAsiaTheme="minorHAnsi" w:hAnsi="Arial" w:cs="Arial"/>
          <w:bCs/>
          <w:sz w:val="22"/>
          <w:szCs w:val="22"/>
          <w:lang w:val="es-ES_tradnl" w:eastAsia="en-US"/>
        </w:rPr>
        <w:t>identificar los factores que inciden en el valor del contrato, tales como el análisis de precios, las cargas tributarias, la tasa de cambio, las garantías, los gastos de transporte, etc</w:t>
      </w:r>
      <w:r w:rsidR="00987A38">
        <w:rPr>
          <w:rFonts w:ascii="Arial" w:eastAsiaTheme="minorHAnsi" w:hAnsi="Arial" w:cs="Arial"/>
          <w:bCs/>
          <w:sz w:val="22"/>
          <w:szCs w:val="22"/>
          <w:lang w:val="es-ES_tradnl" w:eastAsia="en-US"/>
        </w:rPr>
        <w:t>.</w:t>
      </w:r>
      <w:r w:rsidR="00DB7CF6">
        <w:rPr>
          <w:rFonts w:ascii="Arial" w:eastAsiaTheme="minorHAnsi" w:hAnsi="Arial" w:cs="Arial"/>
          <w:bCs/>
          <w:sz w:val="22"/>
          <w:szCs w:val="22"/>
          <w:lang w:val="es-ES_tradnl" w:eastAsia="en-US"/>
        </w:rPr>
        <w:t xml:space="preserve"> Este análisis</w:t>
      </w:r>
      <w:r w:rsidR="0029018A">
        <w:rPr>
          <w:rFonts w:ascii="Arial" w:eastAsiaTheme="minorHAnsi" w:hAnsi="Arial" w:cs="Arial"/>
          <w:bCs/>
          <w:sz w:val="22"/>
          <w:szCs w:val="22"/>
          <w:lang w:val="es-ES_tradnl" w:eastAsia="en-US"/>
        </w:rPr>
        <w:t xml:space="preserve"> se</w:t>
      </w:r>
      <w:r w:rsidR="00DB7CF6">
        <w:rPr>
          <w:rFonts w:ascii="Arial" w:eastAsiaTheme="minorHAnsi" w:hAnsi="Arial" w:cs="Arial"/>
          <w:bCs/>
          <w:sz w:val="22"/>
          <w:szCs w:val="22"/>
          <w:lang w:val="es-ES_tradnl" w:eastAsia="en-US"/>
        </w:rPr>
        <w:t xml:space="preserve"> </w:t>
      </w:r>
      <w:r w:rsidR="00DB7CF6">
        <w:rPr>
          <w:rStyle w:val="normaltextrun"/>
          <w:rFonts w:ascii="Arial" w:hAnsi="Arial" w:cs="Arial"/>
          <w:sz w:val="22"/>
          <w:szCs w:val="22"/>
          <w:lang w:val="es-ES"/>
        </w:rPr>
        <w:t xml:space="preserve">debe consignar en los </w:t>
      </w:r>
      <w:r w:rsidR="00DB7CF6">
        <w:rPr>
          <w:rStyle w:val="normaltextrun"/>
          <w:rFonts w:ascii="Arial" w:hAnsi="Arial" w:cs="Arial"/>
          <w:i/>
          <w:iCs/>
          <w:sz w:val="22"/>
          <w:szCs w:val="22"/>
          <w:lang w:val="es-ES"/>
        </w:rPr>
        <w:t>Documentos del Proceso</w:t>
      </w:r>
      <w:r w:rsidR="00DB7CF6">
        <w:rPr>
          <w:rStyle w:val="normaltextrun"/>
          <w:rFonts w:ascii="Arial" w:hAnsi="Arial" w:cs="Arial"/>
          <w:sz w:val="22"/>
          <w:szCs w:val="22"/>
          <w:lang w:val="es-ES"/>
        </w:rPr>
        <w:t xml:space="preserve">, bien sea en los estudios previos o en la información soporte de </w:t>
      </w:r>
      <w:proofErr w:type="gramStart"/>
      <w:r w:rsidR="00DB7CF6">
        <w:rPr>
          <w:rStyle w:val="normaltextrun"/>
          <w:rFonts w:ascii="Arial" w:hAnsi="Arial" w:cs="Arial"/>
          <w:sz w:val="22"/>
          <w:szCs w:val="22"/>
          <w:lang w:val="es-ES"/>
        </w:rPr>
        <w:t>los mismos</w:t>
      </w:r>
      <w:proofErr w:type="gramEnd"/>
      <w:r w:rsidR="00DB7CF6">
        <w:rPr>
          <w:rStyle w:val="normaltextrun"/>
          <w:rFonts w:ascii="Arial" w:hAnsi="Arial" w:cs="Arial"/>
          <w:sz w:val="22"/>
          <w:szCs w:val="22"/>
          <w:lang w:val="es-ES"/>
        </w:rPr>
        <w:t xml:space="preserve">. </w:t>
      </w:r>
    </w:p>
    <w:p w14:paraId="40413EC3" w14:textId="045DE212" w:rsidR="00E051ED" w:rsidRPr="00611FE8" w:rsidRDefault="00E051ED" w:rsidP="0074612E">
      <w:pPr>
        <w:spacing w:before="120" w:line="276" w:lineRule="auto"/>
        <w:ind w:firstLine="709"/>
        <w:jc w:val="both"/>
        <w:rPr>
          <w:rFonts w:ascii="Arial" w:eastAsia="Calibri" w:hAnsi="Arial" w:cs="Arial"/>
          <w:bCs/>
          <w:sz w:val="22"/>
          <w:lang w:val="es-ES_tradnl"/>
        </w:rPr>
      </w:pPr>
      <w:r w:rsidRPr="00611FE8">
        <w:rPr>
          <w:rFonts w:ascii="Arial" w:eastAsia="Calibri" w:hAnsi="Arial" w:cs="Arial"/>
          <w:bCs/>
          <w:sz w:val="22"/>
          <w:lang w:val="es-ES_tradnl"/>
        </w:rPr>
        <w:t xml:space="preserve">Adicionalmente, </w:t>
      </w:r>
      <w:r w:rsidR="003F0F26">
        <w:rPr>
          <w:rFonts w:ascii="Arial" w:eastAsia="Calibri" w:hAnsi="Arial" w:cs="Arial"/>
          <w:bCs/>
          <w:sz w:val="22"/>
          <w:lang w:val="es-ES_tradnl"/>
        </w:rPr>
        <w:t xml:space="preserve">vale anotar que </w:t>
      </w:r>
      <w:r w:rsidRPr="00611FE8">
        <w:rPr>
          <w:rFonts w:ascii="Arial" w:eastAsia="Calibri" w:hAnsi="Arial" w:cs="Arial"/>
          <w:bCs/>
          <w:sz w:val="22"/>
          <w:lang w:val="es-ES_tradnl"/>
        </w:rPr>
        <w:t xml:space="preserve">si bien los estudios del sector son de gran relevancia en los procesos de contratación donde existe pluralidad de oferentes, nada obsta para que se elaboren allí donde no existiría competencia. Para estos efectos, la </w:t>
      </w:r>
      <w:r w:rsidR="006D1E32">
        <w:rPr>
          <w:rFonts w:ascii="Arial" w:eastAsia="Calibri" w:hAnsi="Arial" w:cs="Arial"/>
          <w:bCs/>
          <w:sz w:val="22"/>
          <w:lang w:val="es-ES_tradnl"/>
        </w:rPr>
        <w:t>G</w:t>
      </w:r>
      <w:r w:rsidRPr="00611FE8">
        <w:rPr>
          <w:rFonts w:ascii="Arial" w:eastAsia="Calibri" w:hAnsi="Arial" w:cs="Arial"/>
          <w:bCs/>
          <w:sz w:val="22"/>
          <w:lang w:val="es-ES_tradnl"/>
        </w:rPr>
        <w:t>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w:t>
      </w:r>
      <w:r>
        <w:rPr>
          <w:rFonts w:ascii="Arial" w:eastAsia="Calibri" w:hAnsi="Arial" w:cs="Arial"/>
          <w:bCs/>
          <w:sz w:val="22"/>
          <w:lang w:val="es-ES_tradnl"/>
        </w:rPr>
        <w:t xml:space="preserve"> </w:t>
      </w:r>
      <w:r w:rsidRPr="00611FE8">
        <w:rPr>
          <w:rFonts w:ascii="Arial" w:eastAsia="Calibri" w:hAnsi="Arial" w:cs="Arial"/>
          <w:bCs/>
          <w:sz w:val="22"/>
          <w:lang w:val="es-ES_tradnl"/>
        </w:rPr>
        <w:t xml:space="preserve">La Entidad Estatal </w:t>
      </w:r>
      <w:r w:rsidR="00385128">
        <w:rPr>
          <w:rFonts w:ascii="Arial" w:eastAsia="Calibri" w:hAnsi="Arial" w:cs="Arial"/>
          <w:bCs/>
          <w:sz w:val="22"/>
          <w:lang w:val="es-ES_tradnl"/>
        </w:rPr>
        <w:t xml:space="preserve">debe consignar </w:t>
      </w:r>
      <w:r w:rsidRPr="00611FE8">
        <w:rPr>
          <w:rFonts w:ascii="Arial" w:eastAsia="Calibri" w:hAnsi="Arial" w:cs="Arial"/>
          <w:bCs/>
          <w:sz w:val="22"/>
          <w:lang w:val="es-ES_tradnl"/>
        </w:rPr>
        <w:t xml:space="preserve">en los </w:t>
      </w:r>
      <w:r w:rsidRPr="00385128">
        <w:rPr>
          <w:rFonts w:ascii="Arial" w:eastAsia="Calibri" w:hAnsi="Arial" w:cs="Arial"/>
          <w:bCs/>
          <w:sz w:val="22"/>
          <w:lang w:val="es-ES_tradnl"/>
        </w:rPr>
        <w:t>Documentos del Proceso</w:t>
      </w:r>
      <w:r w:rsidRPr="00611FE8">
        <w:rPr>
          <w:rFonts w:ascii="Arial" w:eastAsia="Calibri" w:hAnsi="Arial" w:cs="Arial"/>
          <w:bCs/>
          <w:sz w:val="22"/>
          <w:lang w:val="es-ES_tradnl"/>
        </w:rPr>
        <w:t>, bien sea en los estudios previos o en la información de soporte de estos, los aspectos de que trata el artículo 2.2.1.1.1.6.1 del Decreto 1082 de 2015</w:t>
      </w:r>
      <w:r w:rsidR="0074612E" w:rsidRPr="0074612E">
        <w:t xml:space="preserve"> </w:t>
      </w:r>
      <w:r w:rsidR="0074612E" w:rsidRPr="0074612E">
        <w:rPr>
          <w:rFonts w:ascii="Arial" w:eastAsia="Calibri" w:hAnsi="Arial" w:cs="Arial"/>
          <w:bCs/>
          <w:sz w:val="22"/>
          <w:lang w:val="es-ES_tradnl"/>
        </w:rPr>
        <w:t>esto es, el análisis desde la perspectiva legal, comercial, financiera, organizacional, técnica, y de análisis de riesgo</w:t>
      </w:r>
      <w:r>
        <w:rPr>
          <w:rFonts w:ascii="Arial" w:eastAsia="Calibri" w:hAnsi="Arial" w:cs="Arial"/>
          <w:bCs/>
          <w:sz w:val="22"/>
          <w:lang w:val="es-ES_tradnl"/>
        </w:rPr>
        <w:t>»</w:t>
      </w:r>
      <w:r w:rsidRPr="00611FE8">
        <w:rPr>
          <w:rFonts w:ascii="Arial" w:eastAsia="Calibri" w:hAnsi="Arial" w:cs="Arial"/>
          <w:bCs/>
          <w:sz w:val="22"/>
          <w:lang w:val="es-ES_tradnl"/>
        </w:rPr>
        <w:t>.</w:t>
      </w:r>
      <w:bookmarkStart w:id="9" w:name="_Hlk91231640"/>
    </w:p>
    <w:p w14:paraId="56CAEA17" w14:textId="4C239071" w:rsidR="00AA1FDA" w:rsidRDefault="006D1E32" w:rsidP="0074612E">
      <w:pPr>
        <w:pStyle w:val="paragraph"/>
        <w:spacing w:before="12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sz w:val="22"/>
          <w:szCs w:val="22"/>
          <w:lang w:val="es-ES"/>
        </w:rPr>
        <w:t>De esta manera</w:t>
      </w:r>
      <w:r w:rsidR="00AA1FDA">
        <w:rPr>
          <w:rStyle w:val="normaltextrun"/>
          <w:rFonts w:ascii="Arial" w:hAnsi="Arial" w:cs="Arial"/>
          <w:sz w:val="22"/>
          <w:szCs w:val="22"/>
          <w:lang w:val="es-ES"/>
        </w:rPr>
        <w:t>, en la contratación directa también deben existir unos estudios previos para fijar los criterios de escogencia del contratista. Dichos criterios tienen fundamento en el análisis del mercado, en el cual</w:t>
      </w:r>
      <w:r w:rsidR="0074612E">
        <w:rPr>
          <w:rStyle w:val="normaltextrun"/>
          <w:rFonts w:ascii="Arial" w:hAnsi="Arial" w:cs="Arial"/>
          <w:sz w:val="22"/>
          <w:szCs w:val="22"/>
          <w:lang w:val="es-ES"/>
        </w:rPr>
        <w:t xml:space="preserve">, aunque no es obligatorio, </w:t>
      </w:r>
      <w:r w:rsidR="00AA1FDA">
        <w:rPr>
          <w:rStyle w:val="normaltextrun"/>
          <w:rFonts w:ascii="Arial" w:hAnsi="Arial" w:cs="Arial"/>
          <w:sz w:val="22"/>
          <w:szCs w:val="22"/>
          <w:lang w:val="es-ES"/>
        </w:rPr>
        <w:t>nada obsta para que la entidad identifique a varios proveedores en condiciones de cumplir el objeto del contrato.</w:t>
      </w:r>
      <w:r w:rsidR="00AA1FDA">
        <w:rPr>
          <w:rStyle w:val="eop"/>
          <w:rFonts w:ascii="Arial" w:hAnsi="Arial" w:cs="Arial"/>
          <w:sz w:val="22"/>
          <w:szCs w:val="22"/>
        </w:rPr>
        <w:t> </w:t>
      </w:r>
    </w:p>
    <w:p w14:paraId="51672792" w14:textId="5CD812E0" w:rsidR="006F18B8" w:rsidRPr="006F18B8" w:rsidRDefault="006F18B8" w:rsidP="006F18B8">
      <w:pPr>
        <w:spacing w:before="120" w:after="120" w:line="276" w:lineRule="auto"/>
        <w:ind w:firstLine="708"/>
        <w:jc w:val="both"/>
        <w:rPr>
          <w:rFonts w:ascii="Arial" w:eastAsiaTheme="minorHAnsi" w:hAnsi="Arial" w:cs="Arial"/>
          <w:sz w:val="22"/>
          <w:szCs w:val="22"/>
          <w:lang w:val="es-MX" w:eastAsia="en-US"/>
        </w:rPr>
      </w:pPr>
      <w:r w:rsidRPr="006F18B8">
        <w:rPr>
          <w:rFonts w:ascii="Arial" w:eastAsiaTheme="minorHAnsi" w:hAnsi="Arial" w:cs="Arial"/>
          <w:sz w:val="22"/>
          <w:szCs w:val="22"/>
          <w:lang w:eastAsia="en-US"/>
        </w:rPr>
        <w:t xml:space="preserve">En conclusión, el análisis del sector debe ser visto desde una perspectiva funcional, como una labor enfocada a situar la adquisición de bienes y servicios por parte de entidades </w:t>
      </w:r>
      <w:r w:rsidRPr="006F18B8">
        <w:rPr>
          <w:rFonts w:ascii="Arial" w:eastAsiaTheme="minorHAnsi" w:hAnsi="Arial" w:cs="Arial"/>
          <w:sz w:val="22"/>
          <w:szCs w:val="22"/>
          <w:lang w:eastAsia="en-US"/>
        </w:rPr>
        <w:lastRenderedPageBreak/>
        <w:t xml:space="preserve">estatales dentro de las condiciones del mercado o del sector en el que serán adquiridos, </w:t>
      </w:r>
      <w:r w:rsidR="00381F51">
        <w:rPr>
          <w:rFonts w:ascii="Arial" w:eastAsiaTheme="minorHAnsi" w:hAnsi="Arial" w:cs="Arial"/>
          <w:sz w:val="22"/>
          <w:szCs w:val="22"/>
          <w:lang w:eastAsia="en-US"/>
        </w:rPr>
        <w:t>el</w:t>
      </w:r>
      <w:r w:rsidR="00381F51" w:rsidRPr="006F18B8">
        <w:rPr>
          <w:rFonts w:ascii="Arial" w:eastAsiaTheme="minorHAnsi" w:hAnsi="Arial" w:cs="Arial"/>
          <w:sz w:val="22"/>
          <w:szCs w:val="22"/>
          <w:lang w:eastAsia="en-US"/>
        </w:rPr>
        <w:t xml:space="preserve"> </w:t>
      </w:r>
      <w:r w:rsidRPr="006F18B8">
        <w:rPr>
          <w:rFonts w:ascii="Arial" w:eastAsiaTheme="minorHAnsi" w:hAnsi="Arial" w:cs="Arial"/>
          <w:sz w:val="22"/>
          <w:szCs w:val="22"/>
          <w:lang w:eastAsia="en-US"/>
        </w:rPr>
        <w:t xml:space="preserve">cual constituye una </w:t>
      </w:r>
      <w:r w:rsidR="00381F51">
        <w:rPr>
          <w:rFonts w:ascii="Arial" w:eastAsiaTheme="minorHAnsi" w:hAnsi="Arial" w:cs="Arial"/>
          <w:sz w:val="22"/>
          <w:szCs w:val="22"/>
          <w:lang w:eastAsia="en-US"/>
        </w:rPr>
        <w:t>manifestación</w:t>
      </w:r>
      <w:r w:rsidR="00381F51" w:rsidRPr="006F18B8">
        <w:rPr>
          <w:rFonts w:ascii="Arial" w:eastAsiaTheme="minorHAnsi" w:hAnsi="Arial" w:cs="Arial"/>
          <w:sz w:val="22"/>
          <w:szCs w:val="22"/>
          <w:lang w:eastAsia="en-US"/>
        </w:rPr>
        <w:t xml:space="preserve"> </w:t>
      </w:r>
      <w:r w:rsidRPr="006F18B8">
        <w:rPr>
          <w:rFonts w:ascii="Arial" w:eastAsiaTheme="minorHAnsi" w:hAnsi="Arial" w:cs="Arial"/>
          <w:sz w:val="22"/>
          <w:szCs w:val="22"/>
          <w:lang w:eastAsia="en-US"/>
        </w:rPr>
        <w:t xml:space="preserve">de los principios de planeación y economía. Dicha labor debe evidenciarse de manera palpable en los </w:t>
      </w:r>
      <w:r w:rsidRPr="006F18B8">
        <w:rPr>
          <w:rFonts w:ascii="Arial" w:eastAsiaTheme="minorHAnsi" w:hAnsi="Arial" w:cs="Arial"/>
          <w:i/>
          <w:iCs/>
          <w:sz w:val="22"/>
          <w:szCs w:val="22"/>
          <w:lang w:eastAsia="en-US"/>
        </w:rPr>
        <w:t>Documentos del Proceso</w:t>
      </w:r>
      <w:r w:rsidRPr="006F18B8">
        <w:rPr>
          <w:rFonts w:ascii="Arial" w:eastAsiaTheme="minorHAnsi" w:hAnsi="Arial" w:cs="Arial"/>
          <w:sz w:val="22"/>
          <w:szCs w:val="22"/>
          <w:lang w:eastAsia="en-US"/>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6F18B8">
        <w:rPr>
          <w:rFonts w:ascii="Arial" w:eastAsiaTheme="minorHAnsi" w:hAnsi="Arial" w:cs="Arial"/>
          <w:sz w:val="22"/>
          <w:szCs w:val="22"/>
          <w:lang w:val="es-MX" w:eastAsia="en-US"/>
        </w:rPr>
        <w:t>2.2.1.1.1.6.1 del Decreto 1082 del 2015.</w:t>
      </w:r>
    </w:p>
    <w:bookmarkEnd w:id="9"/>
    <w:p w14:paraId="4C055FC7" w14:textId="710899C4" w:rsidR="00DE3B48" w:rsidRPr="004633CF" w:rsidRDefault="00571301" w:rsidP="009B1D4D">
      <w:pPr>
        <w:tabs>
          <w:tab w:val="left" w:pos="0"/>
          <w:tab w:val="left" w:pos="2190"/>
          <w:tab w:val="left" w:pos="6645"/>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9B1D4D">
        <w:rPr>
          <w:rFonts w:ascii="Arial" w:eastAsia="Calibri" w:hAnsi="Arial" w:cs="Arial"/>
          <w:bCs/>
          <w:sz w:val="22"/>
          <w:lang w:val="es-ES_tradnl"/>
        </w:rPr>
        <w:tab/>
      </w:r>
    </w:p>
    <w:p w14:paraId="49375CFA" w14:textId="3DF1F5E6" w:rsidR="00D633AC" w:rsidRPr="008F293D" w:rsidRDefault="004177A6" w:rsidP="008F293D">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01C0F502" w14:textId="77777777" w:rsidR="00F9574A" w:rsidRDefault="00F9574A" w:rsidP="00F9574A">
      <w:pPr>
        <w:spacing w:line="276" w:lineRule="auto"/>
        <w:jc w:val="both"/>
        <w:rPr>
          <w:rFonts w:ascii="Arial" w:hAnsi="Arial" w:cs="Arial"/>
          <w:bCs/>
          <w:sz w:val="22"/>
          <w:szCs w:val="22"/>
        </w:rPr>
      </w:pPr>
    </w:p>
    <w:p w14:paraId="7005206E" w14:textId="77777777" w:rsidR="008741EE" w:rsidRDefault="008741EE" w:rsidP="008741EE">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w:t>
      </w:r>
      <w:r w:rsidRPr="00810C5B">
        <w:rPr>
          <w:rFonts w:ascii="Arial" w:hAnsi="Arial" w:cs="Arial"/>
          <w:sz w:val="21"/>
          <w:szCs w:val="21"/>
        </w:rPr>
        <w:t xml:space="preserve">A la luz de lo contemplado en la Ley 80 de 1993, Ley 1150 de 2007; el </w:t>
      </w:r>
      <w:r w:rsidRPr="00810C5B">
        <w:rPr>
          <w:rFonts w:ascii="Arial" w:hAnsi="Arial" w:cs="Arial"/>
          <w:b/>
          <w:bCs/>
          <w:sz w:val="21"/>
          <w:szCs w:val="21"/>
        </w:rPr>
        <w:t xml:space="preserve">Decreto 4170 de 2011 </w:t>
      </w:r>
      <w:r w:rsidRPr="00810C5B">
        <w:rPr>
          <w:rFonts w:ascii="Arial" w:hAnsi="Arial" w:cs="Arial"/>
          <w:sz w:val="21"/>
          <w:szCs w:val="21"/>
        </w:rPr>
        <w:t xml:space="preserve">y demás normas concordantes, en el marco de la elaboración de un estudio previo para la celebración de un contrato estatal: </w:t>
      </w:r>
    </w:p>
    <w:p w14:paraId="0FBA1CB1" w14:textId="77777777" w:rsidR="008741EE" w:rsidRPr="00810C5B" w:rsidRDefault="008741EE" w:rsidP="008741EE">
      <w:pPr>
        <w:autoSpaceDE w:val="0"/>
        <w:autoSpaceDN w:val="0"/>
        <w:adjustRightInd w:val="0"/>
        <w:ind w:left="709" w:right="709"/>
        <w:jc w:val="both"/>
        <w:rPr>
          <w:rFonts w:ascii="Arial" w:hAnsi="Arial" w:cs="Arial"/>
          <w:sz w:val="21"/>
          <w:szCs w:val="21"/>
        </w:rPr>
      </w:pPr>
    </w:p>
    <w:p w14:paraId="71EB682C" w14:textId="77777777" w:rsidR="008741EE" w:rsidRPr="00810C5B" w:rsidRDefault="008741EE" w:rsidP="008741EE">
      <w:pPr>
        <w:autoSpaceDE w:val="0"/>
        <w:autoSpaceDN w:val="0"/>
        <w:adjustRightInd w:val="0"/>
        <w:ind w:left="709" w:right="709"/>
        <w:jc w:val="both"/>
        <w:rPr>
          <w:rFonts w:ascii="Arial" w:hAnsi="Arial" w:cs="Arial"/>
          <w:sz w:val="21"/>
          <w:szCs w:val="21"/>
        </w:rPr>
      </w:pPr>
      <w:r w:rsidRPr="00810C5B">
        <w:rPr>
          <w:rFonts w:ascii="Arial" w:hAnsi="Arial" w:cs="Arial"/>
          <w:sz w:val="21"/>
          <w:szCs w:val="21"/>
        </w:rPr>
        <w:t xml:space="preserve">1.) ¿Cuál es el procedimiento establecido para adelantar un estudio de mercado? </w:t>
      </w:r>
    </w:p>
    <w:p w14:paraId="6540ADA2" w14:textId="7D5204B4" w:rsidR="008741EE" w:rsidRDefault="008741EE" w:rsidP="006B1025">
      <w:pPr>
        <w:autoSpaceDE w:val="0"/>
        <w:autoSpaceDN w:val="0"/>
        <w:adjustRightInd w:val="0"/>
        <w:spacing w:line="276" w:lineRule="auto"/>
        <w:ind w:right="709"/>
        <w:jc w:val="both"/>
        <w:rPr>
          <w:rFonts w:ascii="Arial" w:hAnsi="Arial" w:cs="Arial"/>
          <w:sz w:val="21"/>
          <w:szCs w:val="21"/>
        </w:rPr>
      </w:pPr>
    </w:p>
    <w:p w14:paraId="31628534" w14:textId="0184F181" w:rsidR="009D6AF8" w:rsidRDefault="00785888" w:rsidP="006B1025">
      <w:pPr>
        <w:spacing w:line="276" w:lineRule="auto"/>
        <w:jc w:val="both"/>
        <w:rPr>
          <w:rFonts w:ascii="Arial" w:eastAsia="Calibri" w:hAnsi="Arial" w:cs="Arial"/>
          <w:bCs/>
          <w:sz w:val="22"/>
          <w:lang w:val="es-ES_tradnl"/>
        </w:rPr>
      </w:pPr>
      <w:r>
        <w:rPr>
          <w:rFonts w:ascii="Arial" w:hAnsi="Arial" w:cs="Arial"/>
          <w:sz w:val="22"/>
        </w:rPr>
        <w:t>D</w:t>
      </w:r>
      <w:r w:rsidR="003479E0">
        <w:rPr>
          <w:rFonts w:ascii="Arial" w:hAnsi="Arial" w:cs="Arial"/>
          <w:sz w:val="22"/>
        </w:rPr>
        <w:t>e acuerdo con las consideraciones de este concepto, l</w:t>
      </w:r>
      <w:r w:rsidR="00B86E5D" w:rsidRPr="00611FE8">
        <w:rPr>
          <w:rFonts w:ascii="Arial" w:hAnsi="Arial" w:cs="Arial"/>
          <w:sz w:val="22"/>
        </w:rPr>
        <w:t>os numerales 2 y 4 del artículo 2.2.1.1.2.1.1 del Decreto 1082 de 2015 exige</w:t>
      </w:r>
      <w:r w:rsidR="00B86E5D">
        <w:rPr>
          <w:rFonts w:ascii="Arial" w:hAnsi="Arial" w:cs="Arial"/>
          <w:sz w:val="22"/>
        </w:rPr>
        <w:t>n</w:t>
      </w:r>
      <w:r w:rsidR="00B86E5D" w:rsidRPr="00611FE8">
        <w:rPr>
          <w:rFonts w:ascii="Arial" w:hAnsi="Arial" w:cs="Arial"/>
          <w:sz w:val="22"/>
        </w:rPr>
        <w:t xml:space="preserve"> </w:t>
      </w:r>
      <w:r w:rsidR="0096566C">
        <w:rPr>
          <w:rFonts w:ascii="Arial" w:hAnsi="Arial" w:cs="Arial"/>
          <w:sz w:val="22"/>
        </w:rPr>
        <w:t xml:space="preserve">que en los estudios previos </w:t>
      </w:r>
      <w:r w:rsidR="00B86E5D" w:rsidRPr="00611FE8">
        <w:rPr>
          <w:rFonts w:ascii="Arial" w:hAnsi="Arial" w:cs="Arial"/>
          <w:sz w:val="22"/>
        </w:rPr>
        <w:t>se determine el objeto a contratar con sus especificaciones</w:t>
      </w:r>
      <w:r w:rsidR="0096566C">
        <w:rPr>
          <w:rFonts w:ascii="Arial" w:hAnsi="Arial" w:cs="Arial"/>
          <w:sz w:val="22"/>
        </w:rPr>
        <w:t>,</w:t>
      </w:r>
      <w:r w:rsidR="00B86E5D" w:rsidRPr="00611FE8">
        <w:rPr>
          <w:rFonts w:ascii="Arial" w:hAnsi="Arial" w:cs="Arial"/>
          <w:sz w:val="22"/>
        </w:rPr>
        <w:t xml:space="preserve"> y se </w:t>
      </w:r>
      <w:r w:rsidR="003479E0">
        <w:rPr>
          <w:rFonts w:ascii="Arial" w:hAnsi="Arial" w:cs="Arial"/>
          <w:sz w:val="22"/>
        </w:rPr>
        <w:t xml:space="preserve">señale el valor estimado del contrato y la justificación </w:t>
      </w:r>
      <w:proofErr w:type="gramStart"/>
      <w:r w:rsidR="003479E0">
        <w:rPr>
          <w:rFonts w:ascii="Arial" w:hAnsi="Arial" w:cs="Arial"/>
          <w:sz w:val="22"/>
        </w:rPr>
        <w:t>del mismo</w:t>
      </w:r>
      <w:proofErr w:type="gramEnd"/>
      <w:r w:rsidR="003479E0">
        <w:rPr>
          <w:rFonts w:ascii="Arial" w:hAnsi="Arial" w:cs="Arial"/>
          <w:sz w:val="22"/>
        </w:rPr>
        <w:t>.</w:t>
      </w:r>
      <w:r w:rsidR="00B86E5D">
        <w:rPr>
          <w:rFonts w:ascii="Arial" w:hAnsi="Arial" w:cs="Arial"/>
          <w:sz w:val="22"/>
        </w:rPr>
        <w:t xml:space="preserve"> En concordancia, e</w:t>
      </w:r>
      <w:r w:rsidR="006B1025" w:rsidRPr="00611FE8">
        <w:rPr>
          <w:rFonts w:ascii="Arial" w:eastAsia="Calibri" w:hAnsi="Arial" w:cs="Arial"/>
          <w:bCs/>
          <w:sz w:val="22"/>
          <w:lang w:val="es-ES_tradnl"/>
        </w:rPr>
        <w:t xml:space="preserve">l artículo 2.2.1.1.1.6.1 del Decreto 1082 de 2015 </w:t>
      </w:r>
      <w:r w:rsidR="00843498">
        <w:rPr>
          <w:rFonts w:ascii="Arial" w:eastAsia="Calibri" w:hAnsi="Arial" w:cs="Arial"/>
          <w:bCs/>
          <w:sz w:val="22"/>
          <w:lang w:val="es-ES_tradnl"/>
        </w:rPr>
        <w:t>establece el deber de las</w:t>
      </w:r>
      <w:r w:rsidR="006B1025" w:rsidRPr="00611FE8">
        <w:rPr>
          <w:rFonts w:ascii="Arial" w:eastAsia="Calibri" w:hAnsi="Arial" w:cs="Arial"/>
          <w:bCs/>
          <w:sz w:val="22"/>
          <w:lang w:val="es-ES_tradnl"/>
        </w:rPr>
        <w:t xml:space="preserve"> </w:t>
      </w:r>
      <w:r w:rsidR="00843498">
        <w:rPr>
          <w:rFonts w:ascii="Arial" w:eastAsia="Calibri" w:hAnsi="Arial" w:cs="Arial"/>
          <w:bCs/>
          <w:sz w:val="22"/>
          <w:lang w:val="es-ES_tradnl"/>
        </w:rPr>
        <w:t>entidades</w:t>
      </w:r>
      <w:r w:rsidR="006B1025" w:rsidRPr="00611FE8">
        <w:rPr>
          <w:rFonts w:ascii="Arial" w:eastAsia="Calibri" w:hAnsi="Arial" w:cs="Arial"/>
          <w:bCs/>
          <w:sz w:val="22"/>
          <w:lang w:val="es-ES_tradnl"/>
        </w:rPr>
        <w:t xml:space="preserve"> </w:t>
      </w:r>
      <w:r w:rsidR="00843498">
        <w:rPr>
          <w:rFonts w:ascii="Arial" w:eastAsia="Calibri" w:hAnsi="Arial" w:cs="Arial"/>
          <w:bCs/>
          <w:sz w:val="22"/>
          <w:lang w:val="es-ES_tradnl"/>
        </w:rPr>
        <w:t xml:space="preserve">de realizar, </w:t>
      </w:r>
      <w:r w:rsidR="006B1025" w:rsidRPr="00611FE8">
        <w:rPr>
          <w:rFonts w:ascii="Arial" w:eastAsia="Calibri" w:hAnsi="Arial" w:cs="Arial"/>
          <w:bCs/>
          <w:sz w:val="22"/>
          <w:lang w:val="es-ES_tradnl"/>
        </w:rPr>
        <w:t xml:space="preserve">durante la etapa de planeación, el análisis necesario para conocer el sector relativo al objeto del Proceso de Contratación desde la perspectiva legal, comercial, financiera, organizacional, técnica, y de análisis de Riesgo. La </w:t>
      </w:r>
      <w:r w:rsidR="003679D0">
        <w:rPr>
          <w:rFonts w:ascii="Arial" w:eastAsia="Calibri" w:hAnsi="Arial" w:cs="Arial"/>
          <w:bCs/>
          <w:sz w:val="22"/>
          <w:lang w:val="es-ES_tradnl"/>
        </w:rPr>
        <w:t xml:space="preserve">entidad </w:t>
      </w:r>
      <w:r w:rsidR="006B1025" w:rsidRPr="00611FE8">
        <w:rPr>
          <w:rFonts w:ascii="Arial" w:eastAsia="Calibri" w:hAnsi="Arial" w:cs="Arial"/>
          <w:bCs/>
          <w:sz w:val="22"/>
          <w:lang w:val="es-ES_tradnl"/>
        </w:rPr>
        <w:t>debe dejar constancia de este análisis en los Documentos del Proceso</w:t>
      </w:r>
      <w:r w:rsidR="006B1025">
        <w:rPr>
          <w:rFonts w:ascii="Arial" w:eastAsia="Calibri" w:hAnsi="Arial" w:cs="Arial"/>
          <w:bCs/>
          <w:sz w:val="22"/>
          <w:lang w:val="es-ES_tradnl"/>
        </w:rPr>
        <w:t xml:space="preserve">. </w:t>
      </w:r>
    </w:p>
    <w:p w14:paraId="12C29893" w14:textId="6431A226" w:rsidR="006B1025" w:rsidRDefault="006B1025" w:rsidP="006B1025">
      <w:pPr>
        <w:spacing w:before="120" w:line="276" w:lineRule="auto"/>
        <w:ind w:firstLine="709"/>
        <w:jc w:val="both"/>
        <w:rPr>
          <w:rFonts w:ascii="Arial" w:hAnsi="Arial" w:cs="Arial"/>
          <w:bCs/>
          <w:sz w:val="22"/>
          <w:lang w:val="es-ES_tradnl"/>
        </w:rPr>
      </w:pPr>
      <w:r>
        <w:rPr>
          <w:rFonts w:ascii="Arial" w:eastAsia="Calibri" w:hAnsi="Arial" w:cs="Arial"/>
          <w:bCs/>
          <w:sz w:val="22"/>
          <w:lang w:val="es-ES_tradnl"/>
        </w:rPr>
        <w:t xml:space="preserve">Si bien la normativa en materia de contratación estatal establece la obligatoriedad de realizar </w:t>
      </w:r>
      <w:r w:rsidRPr="00611FE8">
        <w:rPr>
          <w:rFonts w:ascii="Arial" w:eastAsia="Calibri" w:hAnsi="Arial" w:cs="Arial"/>
          <w:bCs/>
          <w:sz w:val="22"/>
          <w:lang w:val="es-ES_tradnl"/>
        </w:rPr>
        <w:t>el análisis necesario para conocer el sector relativo al objeto del proceso de contratación,</w:t>
      </w:r>
      <w:r>
        <w:rPr>
          <w:rFonts w:ascii="Arial" w:eastAsia="Calibri" w:hAnsi="Arial" w:cs="Arial"/>
          <w:bCs/>
          <w:sz w:val="22"/>
          <w:lang w:val="es-ES_tradnl"/>
        </w:rPr>
        <w:t xml:space="preserve"> no determinan un procedimiento específico para efectuar dicho análisis</w:t>
      </w:r>
      <w:r w:rsidR="003479E0">
        <w:rPr>
          <w:rFonts w:ascii="Arial" w:eastAsia="Calibri" w:hAnsi="Arial" w:cs="Arial"/>
          <w:bCs/>
          <w:sz w:val="22"/>
          <w:lang w:val="es-ES_tradnl"/>
        </w:rPr>
        <w:t>,</w:t>
      </w:r>
      <w:r>
        <w:rPr>
          <w:rFonts w:ascii="Arial" w:eastAsia="Calibri" w:hAnsi="Arial" w:cs="Arial"/>
          <w:bCs/>
          <w:sz w:val="22"/>
          <w:lang w:val="es-ES_tradnl"/>
        </w:rPr>
        <w:t xml:space="preserve"> por lo que las entidades </w:t>
      </w:r>
      <w:r w:rsidRPr="00611FE8">
        <w:rPr>
          <w:rFonts w:ascii="Arial" w:hAnsi="Arial" w:cs="Arial"/>
          <w:sz w:val="22"/>
          <w:szCs w:val="22"/>
          <w:lang w:eastAsia="es-CO"/>
        </w:rPr>
        <w:t>son autónomas para estructurar</w:t>
      </w:r>
      <w:r>
        <w:rPr>
          <w:rFonts w:ascii="Arial" w:hAnsi="Arial" w:cs="Arial"/>
          <w:sz w:val="22"/>
          <w:szCs w:val="22"/>
          <w:lang w:eastAsia="es-CO"/>
        </w:rPr>
        <w:t xml:space="preserve">lo, para lo cual deberán cumplir lo </w:t>
      </w:r>
      <w:r w:rsidR="003479E0">
        <w:rPr>
          <w:rFonts w:ascii="Arial" w:hAnsi="Arial" w:cs="Arial"/>
          <w:sz w:val="22"/>
          <w:szCs w:val="22"/>
          <w:lang w:eastAsia="es-CO"/>
        </w:rPr>
        <w:t xml:space="preserve">establecido </w:t>
      </w:r>
      <w:r>
        <w:rPr>
          <w:rFonts w:ascii="Arial" w:hAnsi="Arial" w:cs="Arial"/>
          <w:sz w:val="22"/>
          <w:szCs w:val="22"/>
          <w:lang w:eastAsia="es-CO"/>
        </w:rPr>
        <w:t xml:space="preserve">en el artículo </w:t>
      </w:r>
      <w:r w:rsidRPr="00611FE8">
        <w:rPr>
          <w:rFonts w:ascii="Arial" w:eastAsia="Calibri" w:hAnsi="Arial" w:cs="Arial"/>
          <w:bCs/>
          <w:sz w:val="22"/>
          <w:lang w:val="es-ES_tradnl"/>
        </w:rPr>
        <w:t>2.2.1.1.1.6.1 del Decreto 1082 de 2015</w:t>
      </w:r>
      <w:r>
        <w:rPr>
          <w:rFonts w:ascii="Arial" w:eastAsia="Calibri" w:hAnsi="Arial" w:cs="Arial"/>
          <w:bCs/>
          <w:sz w:val="22"/>
          <w:lang w:val="es-ES_tradnl"/>
        </w:rPr>
        <w:t xml:space="preserve"> y realizar un análisis integral de planeación que </w:t>
      </w:r>
      <w:r w:rsidRPr="008F238D">
        <w:rPr>
          <w:rFonts w:ascii="Arial" w:hAnsi="Arial" w:cs="Arial"/>
          <w:sz w:val="22"/>
        </w:rPr>
        <w:t>sirv</w:t>
      </w:r>
      <w:r>
        <w:rPr>
          <w:rFonts w:ascii="Arial" w:hAnsi="Arial" w:cs="Arial"/>
          <w:sz w:val="22"/>
        </w:rPr>
        <w:t xml:space="preserve">a </w:t>
      </w:r>
      <w:r w:rsidRPr="008F238D">
        <w:rPr>
          <w:rFonts w:ascii="Arial" w:hAnsi="Arial" w:cs="Arial"/>
          <w:sz w:val="22"/>
        </w:rPr>
        <w:t xml:space="preserve">de sustento a la decisión de </w:t>
      </w:r>
      <w:r w:rsidRPr="009220A5">
        <w:rPr>
          <w:rFonts w:ascii="Arial" w:hAnsi="Arial" w:cs="Arial"/>
          <w:bCs/>
          <w:sz w:val="22"/>
          <w:lang w:val="es-ES_tradnl"/>
        </w:rPr>
        <w:t>realizar un proceso de contratación</w:t>
      </w:r>
      <w:r>
        <w:rPr>
          <w:rFonts w:ascii="Arial" w:hAnsi="Arial" w:cs="Arial"/>
          <w:bCs/>
          <w:sz w:val="22"/>
          <w:lang w:val="es-ES_tradnl"/>
        </w:rPr>
        <w:t>.</w:t>
      </w:r>
    </w:p>
    <w:p w14:paraId="2AC1A1B2" w14:textId="68377D2F" w:rsidR="00CB0A07" w:rsidRDefault="00A33D6C" w:rsidP="005D7312">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La </w:t>
      </w:r>
      <w:r w:rsidR="000B0B7D">
        <w:rPr>
          <w:rFonts w:ascii="Arial" w:eastAsia="Calibri" w:hAnsi="Arial" w:cs="Arial"/>
          <w:bCs/>
          <w:sz w:val="22"/>
          <w:lang w:val="es-ES_tradnl"/>
        </w:rPr>
        <w:t xml:space="preserve">Agencia Nacional de Contratación Pública </w:t>
      </w:r>
      <w:r w:rsidR="003479E0">
        <w:rPr>
          <w:rFonts w:ascii="Arial" w:eastAsia="Calibri" w:hAnsi="Arial" w:cs="Arial"/>
          <w:bCs/>
          <w:sz w:val="22"/>
          <w:lang w:val="es-ES_tradnl"/>
        </w:rPr>
        <w:t>–</w:t>
      </w:r>
      <w:r w:rsidR="000B0B7D">
        <w:rPr>
          <w:rFonts w:ascii="Arial" w:eastAsia="Calibri" w:hAnsi="Arial" w:cs="Arial"/>
          <w:bCs/>
          <w:sz w:val="22"/>
          <w:lang w:val="es-ES_tradnl"/>
        </w:rPr>
        <w:t xml:space="preserve"> </w:t>
      </w:r>
      <w:r w:rsidR="000B0B7D" w:rsidRPr="00611FE8">
        <w:rPr>
          <w:rFonts w:ascii="Arial" w:eastAsia="Calibri" w:hAnsi="Arial" w:cs="Arial"/>
          <w:bCs/>
          <w:sz w:val="22"/>
          <w:lang w:val="es-ES_tradnl"/>
        </w:rPr>
        <w:t>Colombia Compra Eficiente dispone de</w:t>
      </w:r>
      <w:r w:rsidR="000B0B7D">
        <w:rPr>
          <w:rFonts w:ascii="Arial" w:eastAsia="Calibri" w:hAnsi="Arial" w:cs="Arial"/>
          <w:bCs/>
          <w:sz w:val="22"/>
          <w:lang w:val="es-ES_tradnl"/>
        </w:rPr>
        <w:t xml:space="preserve"> la</w:t>
      </w:r>
      <w:r w:rsidR="000B0B7D" w:rsidRPr="00611FE8">
        <w:rPr>
          <w:rFonts w:ascii="Arial" w:eastAsia="Calibri" w:hAnsi="Arial" w:cs="Arial"/>
          <w:bCs/>
          <w:sz w:val="22"/>
          <w:lang w:val="es-ES_tradnl"/>
        </w:rPr>
        <w:t xml:space="preserve"> «Guía </w:t>
      </w:r>
      <w:r w:rsidR="000B0B7D">
        <w:rPr>
          <w:rFonts w:ascii="Arial" w:eastAsia="Calibri" w:hAnsi="Arial" w:cs="Arial"/>
          <w:bCs/>
          <w:sz w:val="22"/>
          <w:lang w:val="es-ES_tradnl"/>
        </w:rPr>
        <w:t xml:space="preserve">de </w:t>
      </w:r>
      <w:r w:rsidR="000B0B7D" w:rsidRPr="00611FE8">
        <w:rPr>
          <w:rFonts w:ascii="Arial" w:eastAsia="Calibri" w:hAnsi="Arial" w:cs="Arial"/>
          <w:bCs/>
          <w:sz w:val="22"/>
          <w:lang w:val="es-ES_tradnl"/>
        </w:rPr>
        <w:t>Elaboración de</w:t>
      </w:r>
      <w:r w:rsidR="000B0B7D">
        <w:rPr>
          <w:rFonts w:ascii="Arial" w:eastAsia="Calibri" w:hAnsi="Arial" w:cs="Arial"/>
          <w:bCs/>
          <w:sz w:val="22"/>
          <w:lang w:val="es-ES_tradnl"/>
        </w:rPr>
        <w:t>l</w:t>
      </w:r>
      <w:r w:rsidR="000B0B7D" w:rsidRPr="00611FE8">
        <w:rPr>
          <w:rFonts w:ascii="Arial" w:eastAsia="Calibri" w:hAnsi="Arial" w:cs="Arial"/>
          <w:bCs/>
          <w:sz w:val="22"/>
          <w:lang w:val="es-ES_tradnl"/>
        </w:rPr>
        <w:t xml:space="preserve"> Estudio del Sector»</w:t>
      </w:r>
      <w:r w:rsidR="003479E0">
        <w:rPr>
          <w:rFonts w:ascii="Arial" w:eastAsia="Calibri" w:hAnsi="Arial" w:cs="Arial"/>
          <w:bCs/>
          <w:sz w:val="22"/>
          <w:lang w:val="es-ES_tradnl"/>
        </w:rPr>
        <w:t>,</w:t>
      </w:r>
      <w:r w:rsidR="000B0B7D">
        <w:rPr>
          <w:rFonts w:ascii="Arial" w:eastAsia="Calibri" w:hAnsi="Arial" w:cs="Arial"/>
          <w:bCs/>
          <w:sz w:val="22"/>
          <w:lang w:val="es-ES_tradnl"/>
        </w:rPr>
        <w:t xml:space="preserve"> </w:t>
      </w:r>
      <w:r w:rsidR="000B0B7D" w:rsidRPr="00611FE8">
        <w:rPr>
          <w:rFonts w:ascii="Arial" w:eastAsia="Calibri" w:hAnsi="Arial" w:cs="Arial"/>
          <w:bCs/>
          <w:sz w:val="22"/>
          <w:lang w:val="es-ES_tradnl"/>
        </w:rPr>
        <w:t xml:space="preserve">instrumento que sirve de apoyo para entender el mercado del bien, obra o servicio que la entidad estatal pretende adquirir </w:t>
      </w:r>
      <w:r w:rsidR="000B0B7D">
        <w:rPr>
          <w:rFonts w:ascii="Arial" w:eastAsia="Calibri" w:hAnsi="Arial" w:cs="Arial"/>
          <w:bCs/>
          <w:sz w:val="22"/>
          <w:lang w:val="es-ES_tradnl"/>
        </w:rPr>
        <w:t>y</w:t>
      </w:r>
      <w:r w:rsidR="000B0B7D" w:rsidRPr="00611FE8">
        <w:rPr>
          <w:rFonts w:ascii="Arial" w:eastAsia="Calibri" w:hAnsi="Arial" w:cs="Arial"/>
          <w:bCs/>
          <w:sz w:val="22"/>
          <w:lang w:val="es-ES_tradnl"/>
        </w:rPr>
        <w:t xml:space="preserve"> diseñar el proceso de contratación con la información necesaria para alcanzar los objetivos de eficacia, eficiencia, economía, promoción de la competencia y manejo del riesgo</w:t>
      </w:r>
      <w:r w:rsidR="00843498">
        <w:rPr>
          <w:rFonts w:ascii="Arial" w:eastAsia="Calibri" w:hAnsi="Arial" w:cs="Arial"/>
          <w:bCs/>
          <w:sz w:val="22"/>
          <w:lang w:val="es-ES_tradnl"/>
        </w:rPr>
        <w:t xml:space="preserve">. </w:t>
      </w:r>
      <w:r w:rsidR="001E5A7D">
        <w:rPr>
          <w:rFonts w:ascii="Arial" w:eastAsia="Calibri" w:hAnsi="Arial" w:cs="Arial"/>
          <w:bCs/>
          <w:sz w:val="22"/>
          <w:lang w:val="es-ES_tradnl"/>
        </w:rPr>
        <w:t>E</w:t>
      </w:r>
      <w:r w:rsidR="00CB0A07">
        <w:rPr>
          <w:rFonts w:ascii="Arial" w:eastAsia="Calibri" w:hAnsi="Arial" w:cs="Arial"/>
          <w:bCs/>
          <w:sz w:val="22"/>
          <w:lang w:val="es-ES_tradnl"/>
        </w:rPr>
        <w:t>sta Guía es</w:t>
      </w:r>
      <w:r w:rsidR="00CB0A07" w:rsidRPr="007E4AD4">
        <w:rPr>
          <w:rFonts w:ascii="Arial" w:eastAsia="Calibri" w:hAnsi="Arial" w:cs="Arial"/>
          <w:bCs/>
          <w:sz w:val="22"/>
          <w:lang w:val="es-ES_tradnl"/>
        </w:rPr>
        <w:t xml:space="preserve"> un insumo para realizar el estudio del sector relativo al </w:t>
      </w:r>
      <w:r w:rsidR="003479E0">
        <w:rPr>
          <w:rFonts w:ascii="Arial" w:eastAsia="Calibri" w:hAnsi="Arial" w:cs="Arial"/>
          <w:bCs/>
          <w:sz w:val="22"/>
          <w:lang w:val="es-ES_tradnl"/>
        </w:rPr>
        <w:t>p</w:t>
      </w:r>
      <w:r w:rsidR="00CB0A07" w:rsidRPr="007E4AD4">
        <w:rPr>
          <w:rFonts w:ascii="Arial" w:eastAsia="Calibri" w:hAnsi="Arial" w:cs="Arial"/>
          <w:bCs/>
          <w:sz w:val="22"/>
          <w:lang w:val="es-ES_tradnl"/>
        </w:rPr>
        <w:t xml:space="preserve">roceso de </w:t>
      </w:r>
      <w:r w:rsidR="003479E0">
        <w:rPr>
          <w:rFonts w:ascii="Arial" w:eastAsia="Calibri" w:hAnsi="Arial" w:cs="Arial"/>
          <w:bCs/>
          <w:sz w:val="22"/>
          <w:lang w:val="es-ES_tradnl"/>
        </w:rPr>
        <w:t>c</w:t>
      </w:r>
      <w:r w:rsidR="00CB0A07" w:rsidRPr="007E4AD4">
        <w:rPr>
          <w:rFonts w:ascii="Arial" w:eastAsia="Calibri" w:hAnsi="Arial" w:cs="Arial"/>
          <w:bCs/>
          <w:sz w:val="22"/>
          <w:lang w:val="es-ES_tradnl"/>
        </w:rPr>
        <w:t>ontratación,</w:t>
      </w:r>
      <w:r w:rsidR="00CB0A07">
        <w:rPr>
          <w:rFonts w:ascii="Arial" w:eastAsia="Calibri" w:hAnsi="Arial" w:cs="Arial"/>
          <w:bCs/>
          <w:sz w:val="22"/>
          <w:lang w:val="es-ES_tradnl"/>
        </w:rPr>
        <w:t xml:space="preserve"> pero carece de fuerza vinculante por lo que </w:t>
      </w:r>
      <w:r w:rsidR="00CB0A07" w:rsidRPr="007E4AD4">
        <w:rPr>
          <w:rFonts w:ascii="Arial" w:eastAsia="Calibri" w:hAnsi="Arial" w:cs="Arial"/>
          <w:bCs/>
          <w:sz w:val="22"/>
          <w:lang w:val="es-ES_tradnl"/>
        </w:rPr>
        <w:t xml:space="preserve">su aplicación no exime a las </w:t>
      </w:r>
      <w:r w:rsidR="00CB0A07">
        <w:rPr>
          <w:rFonts w:ascii="Arial" w:eastAsia="Calibri" w:hAnsi="Arial" w:cs="Arial"/>
          <w:bCs/>
          <w:sz w:val="22"/>
          <w:lang w:val="es-ES_tradnl"/>
        </w:rPr>
        <w:t>e</w:t>
      </w:r>
      <w:r w:rsidR="00CB0A07" w:rsidRPr="007E4AD4">
        <w:rPr>
          <w:rFonts w:ascii="Arial" w:eastAsia="Calibri" w:hAnsi="Arial" w:cs="Arial"/>
          <w:bCs/>
          <w:sz w:val="22"/>
          <w:lang w:val="es-ES_tradnl"/>
        </w:rPr>
        <w:t>ntidades de acatar las normas vigentes</w:t>
      </w:r>
      <w:r w:rsidR="00CB0A07">
        <w:rPr>
          <w:rFonts w:ascii="Arial" w:eastAsia="Calibri" w:hAnsi="Arial" w:cs="Arial"/>
          <w:bCs/>
          <w:sz w:val="22"/>
          <w:lang w:val="es-ES_tradnl"/>
        </w:rPr>
        <w:t>.</w:t>
      </w:r>
    </w:p>
    <w:p w14:paraId="4766D528" w14:textId="33CA6119" w:rsidR="000954CA" w:rsidRDefault="00843498" w:rsidP="005D7312">
      <w:pPr>
        <w:spacing w:before="120" w:after="120" w:line="276" w:lineRule="auto"/>
        <w:ind w:firstLine="709"/>
        <w:jc w:val="both"/>
        <w:rPr>
          <w:rFonts w:ascii="Arial" w:eastAsia="Calibri" w:hAnsi="Arial" w:cs="Arial"/>
          <w:bCs/>
          <w:sz w:val="22"/>
          <w:lang w:val="es-ES"/>
        </w:rPr>
      </w:pPr>
      <w:r w:rsidRPr="00611FE8">
        <w:rPr>
          <w:rFonts w:ascii="Arial" w:eastAsia="Calibri" w:hAnsi="Arial" w:cs="Arial"/>
          <w:bCs/>
          <w:sz w:val="22"/>
          <w:lang w:val="es-ES_tradnl"/>
        </w:rPr>
        <w:lastRenderedPageBreak/>
        <w:t>En este instrumento se recomienda un análisis integral sobre varios aspectos del mercado –económico, técnico, regulatorio, etc.</w:t>
      </w:r>
      <w:r>
        <w:rPr>
          <w:rFonts w:ascii="Arial" w:eastAsia="Calibri" w:hAnsi="Arial" w:cs="Arial"/>
          <w:bCs/>
          <w:sz w:val="22"/>
          <w:lang w:val="es-ES_tradnl"/>
        </w:rPr>
        <w:t>–</w:t>
      </w:r>
      <w:r w:rsidRPr="00611FE8">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6A06D7E4" w14:textId="75FBBA92" w:rsidR="00FF5B23" w:rsidRDefault="00B02BE0" w:rsidP="005D7312">
      <w:pPr>
        <w:spacing w:before="120" w:line="276" w:lineRule="auto"/>
        <w:ind w:firstLine="709"/>
        <w:jc w:val="both"/>
        <w:rPr>
          <w:rFonts w:ascii="Arial" w:eastAsia="Calibri" w:hAnsi="Arial" w:cs="Arial"/>
          <w:bCs/>
          <w:sz w:val="22"/>
          <w:lang w:val="es-ES_tradnl"/>
        </w:rPr>
      </w:pPr>
      <w:r>
        <w:rPr>
          <w:rFonts w:ascii="Arial" w:eastAsia="Calibri" w:hAnsi="Arial" w:cs="Arial"/>
          <w:bCs/>
          <w:sz w:val="22"/>
          <w:lang w:val="es-ES_tradnl"/>
        </w:rPr>
        <w:t xml:space="preserve">Asimismo, en la Guía se indica que como parte de la estructura del estudio del sector se debe realizar un análisis del comportamiento del gasto histórico, el estudio de la oferta y el estudio del mercado. Este último </w:t>
      </w:r>
      <w:r w:rsidRPr="00D67883">
        <w:rPr>
          <w:rFonts w:ascii="Arial" w:eastAsia="Calibri" w:hAnsi="Arial" w:cs="Arial"/>
          <w:color w:val="000000" w:themeColor="text1"/>
          <w:sz w:val="22"/>
          <w:szCs w:val="22"/>
          <w:lang w:val="es-ES"/>
        </w:rPr>
        <w:t>permite comprender la dinámica de los precios y establecer el presupuesto oficial de la contratación</w:t>
      </w:r>
      <w:r>
        <w:rPr>
          <w:rFonts w:ascii="Arial" w:eastAsia="Calibri" w:hAnsi="Arial" w:cs="Arial"/>
          <w:color w:val="000000" w:themeColor="text1"/>
          <w:sz w:val="22"/>
          <w:szCs w:val="22"/>
          <w:lang w:val="es-ES"/>
        </w:rPr>
        <w:t xml:space="preserve">, el cual </w:t>
      </w:r>
      <w:r w:rsidRPr="00D67883">
        <w:rPr>
          <w:rFonts w:ascii="Arial" w:eastAsia="Calibri" w:hAnsi="Arial" w:cs="Arial"/>
          <w:color w:val="000000" w:themeColor="text1"/>
          <w:sz w:val="22"/>
          <w:szCs w:val="22"/>
          <w:lang w:val="es-ES"/>
        </w:rPr>
        <w:t>comprende la realización de un análisis de los diferentes precios de los bienes o servicios a contratar que se registran en el mercado, los cuales pueden consultarse a través de mecanismos como la solicitud de cotizaciones, la consulta de bases de datos especializadas y el análisis de precios históricos</w:t>
      </w:r>
      <w:r>
        <w:rPr>
          <w:rFonts w:ascii="Arial" w:eastAsia="Calibri" w:hAnsi="Arial" w:cs="Arial"/>
          <w:color w:val="000000" w:themeColor="text1"/>
          <w:sz w:val="22"/>
          <w:szCs w:val="22"/>
          <w:lang w:val="es-ES"/>
        </w:rPr>
        <w:t xml:space="preserve">. </w:t>
      </w:r>
      <w:r w:rsidR="00F6206F">
        <w:rPr>
          <w:rFonts w:ascii="Arial" w:eastAsia="Calibri" w:hAnsi="Arial" w:cs="Arial"/>
          <w:color w:val="000000" w:themeColor="text1"/>
          <w:sz w:val="22"/>
          <w:szCs w:val="22"/>
          <w:lang w:val="es-ES"/>
        </w:rPr>
        <w:t xml:space="preserve">Este estudio de mercado debe responder claramente cuáles son las dinámicas de precio y, de esta manera, </w:t>
      </w:r>
      <w:r w:rsidR="00220FBE">
        <w:rPr>
          <w:rFonts w:ascii="Arial" w:eastAsia="Calibri" w:hAnsi="Arial" w:cs="Arial"/>
          <w:color w:val="000000" w:themeColor="text1"/>
          <w:sz w:val="22"/>
          <w:szCs w:val="22"/>
          <w:lang w:val="es-ES"/>
        </w:rPr>
        <w:t xml:space="preserve">servir de insumo para establecer </w:t>
      </w:r>
      <w:r w:rsidR="00F6206F">
        <w:rPr>
          <w:rFonts w:ascii="Arial" w:eastAsia="Calibri" w:hAnsi="Arial" w:cs="Arial"/>
          <w:color w:val="000000" w:themeColor="text1"/>
          <w:sz w:val="22"/>
          <w:szCs w:val="22"/>
          <w:lang w:val="es-ES"/>
        </w:rPr>
        <w:t>el presupuesto oficial del proceso de contratación.</w:t>
      </w:r>
    </w:p>
    <w:p w14:paraId="410DE60F" w14:textId="77777777" w:rsidR="00B02BE0" w:rsidRPr="00FF5B23" w:rsidRDefault="00B02BE0" w:rsidP="00FF5B23">
      <w:pPr>
        <w:spacing w:line="276" w:lineRule="auto"/>
        <w:ind w:firstLine="709"/>
        <w:jc w:val="both"/>
        <w:rPr>
          <w:rFonts w:ascii="Arial" w:eastAsia="Calibri" w:hAnsi="Arial" w:cs="Arial"/>
          <w:bCs/>
          <w:sz w:val="22"/>
          <w:lang w:val="es-ES"/>
        </w:rPr>
      </w:pPr>
    </w:p>
    <w:p w14:paraId="13AFD201" w14:textId="264D91ED" w:rsidR="000B0B7D" w:rsidRDefault="00CB0A07" w:rsidP="000B0B7D">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w:t>
      </w:r>
      <w:r w:rsidR="000B0B7D" w:rsidRPr="00810C5B">
        <w:rPr>
          <w:rFonts w:ascii="Arial" w:hAnsi="Arial" w:cs="Arial"/>
          <w:sz w:val="21"/>
          <w:szCs w:val="21"/>
        </w:rPr>
        <w:t>2.) ¿Qué requisitos establecidos por Ley deben cumplir las cotizaciones presentadas para que sean tenidas en cuenta en un estudio de mercado?</w:t>
      </w:r>
      <w:r w:rsidRPr="000D0CC7">
        <w:rPr>
          <w:rFonts w:ascii="Arial" w:hAnsi="Arial" w:cs="Arial"/>
          <w:sz w:val="21"/>
          <w:szCs w:val="21"/>
        </w:rPr>
        <w:t>»</w:t>
      </w:r>
      <w:r w:rsidR="000B0B7D" w:rsidRPr="00810C5B">
        <w:rPr>
          <w:rFonts w:ascii="Arial" w:hAnsi="Arial" w:cs="Arial"/>
          <w:sz w:val="21"/>
          <w:szCs w:val="21"/>
        </w:rPr>
        <w:t xml:space="preserve"> </w:t>
      </w:r>
    </w:p>
    <w:p w14:paraId="5B28F67F" w14:textId="77777777" w:rsidR="00FF5B23" w:rsidRDefault="00FF5B23" w:rsidP="00FF5B23">
      <w:pPr>
        <w:autoSpaceDE w:val="0"/>
        <w:autoSpaceDN w:val="0"/>
        <w:adjustRightInd w:val="0"/>
        <w:spacing w:line="276" w:lineRule="auto"/>
        <w:ind w:left="709" w:right="709"/>
        <w:jc w:val="both"/>
        <w:rPr>
          <w:rFonts w:ascii="Arial" w:hAnsi="Arial" w:cs="Arial"/>
          <w:sz w:val="21"/>
          <w:szCs w:val="21"/>
        </w:rPr>
      </w:pPr>
    </w:p>
    <w:p w14:paraId="7C2F0CCC" w14:textId="26600DA3" w:rsidR="0069378B" w:rsidRDefault="00CB0A07" w:rsidP="0069378B">
      <w:pPr>
        <w:tabs>
          <w:tab w:val="left" w:pos="1155"/>
        </w:tabs>
        <w:autoSpaceDE w:val="0"/>
        <w:autoSpaceDN w:val="0"/>
        <w:adjustRightInd w:val="0"/>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De conformidad con las consideraciones expuestas, se precisa que la normativa en materia de contratación estatal no establece </w:t>
      </w:r>
      <w:r w:rsidR="00FF5B23" w:rsidRPr="00FF5B23">
        <w:rPr>
          <w:rFonts w:ascii="Arial" w:eastAsia="Calibri" w:hAnsi="Arial" w:cs="Arial"/>
          <w:bCs/>
          <w:sz w:val="22"/>
          <w:lang w:val="es-ES_tradnl"/>
        </w:rPr>
        <w:t xml:space="preserve">lineamientos obligatorios </w:t>
      </w:r>
      <w:r w:rsidR="003479E0">
        <w:rPr>
          <w:rFonts w:ascii="Arial" w:eastAsia="Calibri" w:hAnsi="Arial" w:cs="Arial"/>
          <w:bCs/>
          <w:sz w:val="22"/>
          <w:lang w:val="es-ES_tradnl"/>
        </w:rPr>
        <w:t xml:space="preserve">precisos </w:t>
      </w:r>
      <w:r w:rsidR="00FF5B23" w:rsidRPr="00FF5B23">
        <w:rPr>
          <w:rFonts w:ascii="Arial" w:eastAsia="Calibri" w:hAnsi="Arial" w:cs="Arial"/>
          <w:bCs/>
          <w:sz w:val="22"/>
          <w:lang w:val="es-ES_tradnl"/>
        </w:rPr>
        <w:t>para</w:t>
      </w:r>
      <w:r>
        <w:rPr>
          <w:rFonts w:ascii="Arial" w:eastAsia="Calibri" w:hAnsi="Arial" w:cs="Arial"/>
          <w:bCs/>
          <w:sz w:val="22"/>
          <w:lang w:val="es-ES_tradnl"/>
        </w:rPr>
        <w:t xml:space="preserve"> la</w:t>
      </w:r>
      <w:r w:rsidR="00FF5B23" w:rsidRPr="00FF5B23">
        <w:rPr>
          <w:rFonts w:ascii="Arial" w:eastAsia="Calibri" w:hAnsi="Arial" w:cs="Arial"/>
          <w:bCs/>
          <w:sz w:val="22"/>
          <w:lang w:val="es-ES_tradnl"/>
        </w:rPr>
        <w:t xml:space="preserve"> estructuración</w:t>
      </w:r>
      <w:r>
        <w:rPr>
          <w:rFonts w:ascii="Arial" w:eastAsia="Calibri" w:hAnsi="Arial" w:cs="Arial"/>
          <w:bCs/>
          <w:sz w:val="22"/>
          <w:lang w:val="es-ES_tradnl"/>
        </w:rPr>
        <w:t xml:space="preserve"> del análisis del sector y el respectivo estudio de mercado</w:t>
      </w:r>
      <w:r w:rsidR="003479E0">
        <w:rPr>
          <w:rFonts w:ascii="Arial" w:eastAsia="Calibri" w:hAnsi="Arial" w:cs="Arial"/>
          <w:bCs/>
          <w:sz w:val="22"/>
          <w:lang w:val="es-ES_tradnl"/>
        </w:rPr>
        <w:t>, ni de forma particular los requisitos que deban cumplir las cotizaciones, como se explicó en las consideraciones</w:t>
      </w:r>
      <w:r w:rsidR="00FF5B23" w:rsidRPr="00FF5B23">
        <w:rPr>
          <w:rFonts w:ascii="Arial" w:eastAsia="Calibri" w:hAnsi="Arial" w:cs="Arial"/>
          <w:bCs/>
          <w:sz w:val="22"/>
          <w:lang w:val="es-ES_tradnl"/>
        </w:rPr>
        <w:t xml:space="preserve">. De esta manera, las entidades son autónomas para establecer la forma en la cual se recopilará la información que sustenten el análisis del sector, así como lo referente a la solicitud de cotizaciones. </w:t>
      </w:r>
    </w:p>
    <w:p w14:paraId="0B248931" w14:textId="1E559725" w:rsidR="000B0B7D" w:rsidRPr="0069378B" w:rsidRDefault="00F6206F" w:rsidP="0069378B">
      <w:pPr>
        <w:tabs>
          <w:tab w:val="left" w:pos="1155"/>
        </w:tabs>
        <w:autoSpaceDE w:val="0"/>
        <w:autoSpaceDN w:val="0"/>
        <w:adjustRightInd w:val="0"/>
        <w:spacing w:before="120" w:line="276" w:lineRule="auto"/>
        <w:ind w:firstLine="709"/>
        <w:jc w:val="both"/>
        <w:rPr>
          <w:rFonts w:ascii="Arial" w:eastAsia="Calibri" w:hAnsi="Arial" w:cs="Arial"/>
          <w:color w:val="000000" w:themeColor="text1"/>
          <w:sz w:val="22"/>
          <w:szCs w:val="22"/>
          <w:lang w:val="es-ES"/>
        </w:rPr>
      </w:pPr>
      <w:r>
        <w:rPr>
          <w:rFonts w:ascii="Arial" w:eastAsia="Calibri" w:hAnsi="Arial" w:cs="Arial"/>
          <w:bCs/>
          <w:sz w:val="22"/>
          <w:lang w:val="es-ES_tradnl"/>
        </w:rPr>
        <w:t>En relación con este aspecto, e</w:t>
      </w:r>
      <w:r w:rsidR="0069378B">
        <w:rPr>
          <w:rFonts w:ascii="Arial" w:eastAsia="Calibri" w:hAnsi="Arial" w:cs="Arial"/>
          <w:bCs/>
          <w:sz w:val="22"/>
          <w:lang w:val="es-ES_tradnl"/>
        </w:rPr>
        <w:t xml:space="preserve">n </w:t>
      </w:r>
      <w:r w:rsidR="0069378B">
        <w:rPr>
          <w:rFonts w:ascii="Arial" w:eastAsia="Calibri" w:hAnsi="Arial" w:cs="Arial"/>
          <w:color w:val="000000" w:themeColor="text1"/>
          <w:sz w:val="22"/>
          <w:szCs w:val="22"/>
          <w:lang w:val="es-ES"/>
        </w:rPr>
        <w:t>la</w:t>
      </w:r>
      <w:r w:rsidR="00B80335">
        <w:rPr>
          <w:rFonts w:ascii="Arial" w:eastAsia="Calibri" w:hAnsi="Arial" w:cs="Arial"/>
          <w:color w:val="000000" w:themeColor="text1"/>
          <w:sz w:val="22"/>
          <w:szCs w:val="22"/>
          <w:lang w:val="es-ES"/>
        </w:rPr>
        <w:t xml:space="preserve"> </w:t>
      </w:r>
      <w:r w:rsidRPr="00611FE8">
        <w:rPr>
          <w:rFonts w:ascii="Arial" w:eastAsia="Calibri" w:hAnsi="Arial" w:cs="Arial"/>
          <w:bCs/>
          <w:sz w:val="22"/>
          <w:lang w:val="es-ES_tradnl"/>
        </w:rPr>
        <w:t xml:space="preserve">«Guía </w:t>
      </w:r>
      <w:r>
        <w:rPr>
          <w:rFonts w:ascii="Arial" w:eastAsia="Calibri" w:hAnsi="Arial" w:cs="Arial"/>
          <w:bCs/>
          <w:sz w:val="22"/>
          <w:lang w:val="es-ES_tradnl"/>
        </w:rPr>
        <w:t xml:space="preserve">de </w:t>
      </w:r>
      <w:r w:rsidRPr="00611FE8">
        <w:rPr>
          <w:rFonts w:ascii="Arial" w:eastAsia="Calibri" w:hAnsi="Arial" w:cs="Arial"/>
          <w:bCs/>
          <w:sz w:val="22"/>
          <w:lang w:val="es-ES_tradnl"/>
        </w:rPr>
        <w:t>Elaboración de</w:t>
      </w:r>
      <w:r>
        <w:rPr>
          <w:rFonts w:ascii="Arial" w:eastAsia="Calibri" w:hAnsi="Arial" w:cs="Arial"/>
          <w:bCs/>
          <w:sz w:val="22"/>
          <w:lang w:val="es-ES_tradnl"/>
        </w:rPr>
        <w:t>l</w:t>
      </w:r>
      <w:r w:rsidRPr="00611FE8">
        <w:rPr>
          <w:rFonts w:ascii="Arial" w:eastAsia="Calibri" w:hAnsi="Arial" w:cs="Arial"/>
          <w:bCs/>
          <w:sz w:val="22"/>
          <w:lang w:val="es-ES_tradnl"/>
        </w:rPr>
        <w:t xml:space="preserve"> Estudio del Sector»</w:t>
      </w:r>
      <w:r>
        <w:rPr>
          <w:rFonts w:ascii="Arial" w:eastAsia="Calibri" w:hAnsi="Arial" w:cs="Arial"/>
          <w:bCs/>
          <w:sz w:val="22"/>
          <w:lang w:val="es-ES_tradnl"/>
        </w:rPr>
        <w:t xml:space="preserve"> </w:t>
      </w:r>
      <w:r w:rsidR="0069378B">
        <w:rPr>
          <w:rFonts w:ascii="Arial" w:eastAsia="Calibri" w:hAnsi="Arial" w:cs="Arial"/>
          <w:color w:val="000000" w:themeColor="text1"/>
          <w:sz w:val="22"/>
          <w:szCs w:val="22"/>
          <w:lang w:val="es-ES"/>
        </w:rPr>
        <w:t xml:space="preserve">se recomienda </w:t>
      </w:r>
      <w:r w:rsidR="0069378B" w:rsidRPr="007151E1">
        <w:rPr>
          <w:rFonts w:ascii="Arial" w:eastAsia="Calibri" w:hAnsi="Arial" w:cs="Arial"/>
          <w:color w:val="000000" w:themeColor="text1"/>
          <w:sz w:val="22"/>
          <w:szCs w:val="22"/>
          <w:lang w:val="es-ES"/>
        </w:rPr>
        <w:t xml:space="preserve">requerir a los potenciales proveedores de los bienes o servicios para que remitan la información necesaria para determinar, entre otros aspectos, el valor del servicio o del bien correspondiente. Para estos efectos, se sugiere incluir en la comunicación toda aquella información pertinente del contrato a ejecutar que permita a los potenciales proveedores estructurar una cotización integral y ajustada a las necesidades de la </w:t>
      </w:r>
      <w:r w:rsidR="0069378B">
        <w:rPr>
          <w:rFonts w:ascii="Arial" w:eastAsia="Calibri" w:hAnsi="Arial" w:cs="Arial"/>
          <w:color w:val="000000" w:themeColor="text1"/>
          <w:sz w:val="22"/>
          <w:szCs w:val="22"/>
          <w:lang w:val="es-ES"/>
        </w:rPr>
        <w:t>e</w:t>
      </w:r>
      <w:r w:rsidR="0069378B" w:rsidRPr="007151E1">
        <w:rPr>
          <w:rFonts w:ascii="Arial" w:eastAsia="Calibri" w:hAnsi="Arial" w:cs="Arial"/>
          <w:color w:val="000000" w:themeColor="text1"/>
          <w:sz w:val="22"/>
          <w:szCs w:val="22"/>
          <w:lang w:val="es-ES"/>
        </w:rPr>
        <w:t>ntidad, como, por ejemplo, especificaciones técnicas del bien o servicio a contratar, plazo del contrato, así como toda aquella información relevante que incida en el precio del bien o servicio</w:t>
      </w:r>
      <w:r w:rsidR="0069378B">
        <w:rPr>
          <w:rFonts w:ascii="Arial" w:eastAsia="Calibri" w:hAnsi="Arial" w:cs="Arial"/>
          <w:color w:val="000000" w:themeColor="text1"/>
          <w:sz w:val="22"/>
          <w:szCs w:val="22"/>
          <w:lang w:val="es-ES"/>
        </w:rPr>
        <w:t>.</w:t>
      </w:r>
      <w:r w:rsidR="0069378B" w:rsidRPr="0069378B">
        <w:rPr>
          <w:rFonts w:ascii="Arial" w:eastAsia="Calibri" w:hAnsi="Arial" w:cs="Arial"/>
          <w:color w:val="000000" w:themeColor="text1"/>
          <w:sz w:val="22"/>
          <w:szCs w:val="22"/>
          <w:lang w:val="es-ES"/>
        </w:rPr>
        <w:t xml:space="preserve"> </w:t>
      </w:r>
      <w:r w:rsidR="0069378B">
        <w:rPr>
          <w:rFonts w:ascii="Arial" w:eastAsia="Calibri" w:hAnsi="Arial" w:cs="Arial"/>
          <w:color w:val="000000" w:themeColor="text1"/>
          <w:sz w:val="22"/>
          <w:szCs w:val="22"/>
          <w:lang w:val="es-ES"/>
        </w:rPr>
        <w:t>A</w:t>
      </w:r>
      <w:r w:rsidR="0069378B" w:rsidRPr="0069378B">
        <w:rPr>
          <w:rFonts w:ascii="Arial" w:eastAsia="Calibri" w:hAnsi="Arial" w:cs="Arial"/>
          <w:color w:val="000000" w:themeColor="text1"/>
          <w:sz w:val="22"/>
          <w:szCs w:val="22"/>
          <w:lang w:val="es-ES"/>
        </w:rPr>
        <w:t>l recibir las cotizaciones, debe verificarse la ocurrencia de circunstancias que eventualmente pueden distorsionar los precios del mercado, como ofertas especiales de almacenes de cadena, fenómenos de escasez o abundancia del producto, entre otros aspectos.</w:t>
      </w:r>
      <w:r w:rsidR="0069378B">
        <w:rPr>
          <w:rFonts w:ascii="Arial" w:eastAsia="Calibri" w:hAnsi="Arial" w:cs="Arial"/>
          <w:color w:val="000000" w:themeColor="text1"/>
          <w:sz w:val="22"/>
          <w:szCs w:val="22"/>
          <w:lang w:val="es-ES"/>
        </w:rPr>
        <w:t xml:space="preserve"> </w:t>
      </w:r>
      <w:r w:rsidR="00FF5B23" w:rsidRPr="00FF5B23">
        <w:rPr>
          <w:rFonts w:ascii="Arial" w:eastAsia="Calibri" w:hAnsi="Arial" w:cs="Arial"/>
          <w:bCs/>
          <w:sz w:val="22"/>
          <w:lang w:val="es-ES_tradnl"/>
        </w:rPr>
        <w:t xml:space="preserve">Como se mencionó, </w:t>
      </w:r>
      <w:r>
        <w:rPr>
          <w:rFonts w:ascii="Arial" w:eastAsia="Calibri" w:hAnsi="Arial" w:cs="Arial"/>
          <w:bCs/>
          <w:sz w:val="22"/>
          <w:lang w:val="es-ES_tradnl"/>
        </w:rPr>
        <w:t xml:space="preserve">la Guía citada </w:t>
      </w:r>
      <w:r w:rsidR="00FF5B23" w:rsidRPr="00FF5B23">
        <w:rPr>
          <w:rFonts w:ascii="Arial" w:eastAsia="Calibri" w:hAnsi="Arial" w:cs="Arial"/>
          <w:bCs/>
          <w:sz w:val="22"/>
          <w:lang w:val="es-ES_tradnl"/>
        </w:rPr>
        <w:t xml:space="preserve">desarrolla recomendaciones y buenas </w:t>
      </w:r>
      <w:r w:rsidR="00FF5B23" w:rsidRPr="00FF5B23">
        <w:rPr>
          <w:rFonts w:ascii="Arial" w:eastAsia="Calibri" w:hAnsi="Arial" w:cs="Arial"/>
          <w:bCs/>
          <w:sz w:val="22"/>
          <w:lang w:val="es-ES_tradnl"/>
        </w:rPr>
        <w:lastRenderedPageBreak/>
        <w:t>prácticas que servirán a las entidades para entender el mercado del bien, obra o servicio que pretende adquirir, pero no es un instrumento vinculante para la entidad</w:t>
      </w:r>
      <w:r w:rsidR="0061034D">
        <w:rPr>
          <w:rFonts w:ascii="Arial" w:eastAsia="Calibri" w:hAnsi="Arial" w:cs="Arial"/>
          <w:bCs/>
          <w:sz w:val="22"/>
          <w:lang w:val="es-ES_tradnl"/>
        </w:rPr>
        <w:t xml:space="preserve">.  </w:t>
      </w:r>
    </w:p>
    <w:p w14:paraId="47F0031B" w14:textId="77777777" w:rsidR="000B0B7D" w:rsidRDefault="000B0B7D" w:rsidP="008741EE">
      <w:pPr>
        <w:autoSpaceDE w:val="0"/>
        <w:autoSpaceDN w:val="0"/>
        <w:adjustRightInd w:val="0"/>
        <w:ind w:right="709"/>
        <w:jc w:val="both"/>
        <w:rPr>
          <w:rFonts w:ascii="Arial" w:hAnsi="Arial" w:cs="Arial"/>
          <w:sz w:val="21"/>
          <w:szCs w:val="21"/>
        </w:rPr>
      </w:pPr>
    </w:p>
    <w:p w14:paraId="4C80169F" w14:textId="0C99B0DC" w:rsidR="008741EE" w:rsidRPr="008741EE" w:rsidRDefault="00CB0A07" w:rsidP="00CB0A07">
      <w:pPr>
        <w:autoSpaceDE w:val="0"/>
        <w:autoSpaceDN w:val="0"/>
        <w:adjustRightInd w:val="0"/>
        <w:ind w:left="709" w:right="709"/>
        <w:jc w:val="both"/>
        <w:rPr>
          <w:rFonts w:ascii="Arial" w:hAnsi="Arial" w:cs="Arial"/>
          <w:sz w:val="21"/>
          <w:szCs w:val="21"/>
        </w:rPr>
      </w:pPr>
      <w:r w:rsidRPr="000D0CC7">
        <w:rPr>
          <w:rFonts w:ascii="Arial" w:hAnsi="Arial" w:cs="Arial"/>
          <w:sz w:val="21"/>
          <w:szCs w:val="21"/>
        </w:rPr>
        <w:t>«</w:t>
      </w:r>
      <w:r w:rsidR="008741EE" w:rsidRPr="008741EE">
        <w:rPr>
          <w:rFonts w:ascii="Arial" w:hAnsi="Arial" w:cs="Arial"/>
          <w:sz w:val="21"/>
          <w:szCs w:val="21"/>
        </w:rPr>
        <w:t>3.) ¿Cuál es la diferencia entre análisis del sector y estudio de mercado?</w:t>
      </w:r>
    </w:p>
    <w:p w14:paraId="128AEA74" w14:textId="77777777" w:rsidR="008741EE" w:rsidRDefault="008741EE" w:rsidP="008741EE">
      <w:pPr>
        <w:autoSpaceDE w:val="0"/>
        <w:autoSpaceDN w:val="0"/>
        <w:adjustRightInd w:val="0"/>
        <w:ind w:left="709" w:right="709"/>
        <w:jc w:val="both"/>
        <w:rPr>
          <w:rFonts w:ascii="Arial" w:hAnsi="Arial" w:cs="Arial"/>
          <w:sz w:val="21"/>
          <w:szCs w:val="21"/>
        </w:rPr>
      </w:pPr>
      <w:r w:rsidRPr="008741EE">
        <w:rPr>
          <w:rFonts w:ascii="Arial" w:hAnsi="Arial" w:cs="Arial"/>
          <w:sz w:val="21"/>
          <w:szCs w:val="21"/>
        </w:rPr>
        <w:t>4.) ¿El análisis del sector puede remplazar un estudio de mercado?</w:t>
      </w:r>
      <w:r w:rsidRPr="000D0CC7">
        <w:rPr>
          <w:rFonts w:ascii="Arial" w:hAnsi="Arial" w:cs="Arial"/>
          <w:sz w:val="21"/>
          <w:szCs w:val="21"/>
        </w:rPr>
        <w:t xml:space="preserve">»  </w:t>
      </w:r>
    </w:p>
    <w:p w14:paraId="22FAB7EE" w14:textId="77777777" w:rsidR="008741EE" w:rsidRDefault="008741EE" w:rsidP="00CB0A07">
      <w:pPr>
        <w:autoSpaceDE w:val="0"/>
        <w:autoSpaceDN w:val="0"/>
        <w:adjustRightInd w:val="0"/>
        <w:spacing w:line="276" w:lineRule="auto"/>
        <w:ind w:left="709" w:right="709"/>
        <w:jc w:val="both"/>
        <w:rPr>
          <w:rFonts w:ascii="Arial" w:hAnsi="Arial" w:cs="Arial"/>
          <w:sz w:val="21"/>
          <w:szCs w:val="21"/>
        </w:rPr>
      </w:pPr>
    </w:p>
    <w:p w14:paraId="20A43904" w14:textId="23B8A709" w:rsidR="00996D51" w:rsidRDefault="00757094" w:rsidP="00690FDB">
      <w:pPr>
        <w:spacing w:line="276" w:lineRule="auto"/>
        <w:jc w:val="both"/>
        <w:rPr>
          <w:rFonts w:ascii="Arial" w:eastAsiaTheme="minorHAnsi" w:hAnsi="Arial" w:cs="Arial"/>
          <w:bCs/>
          <w:sz w:val="22"/>
          <w:szCs w:val="22"/>
          <w:lang w:val="es-ES_tradnl" w:eastAsia="en-US"/>
        </w:rPr>
      </w:pPr>
      <w:r>
        <w:rPr>
          <w:rFonts w:ascii="Arial" w:eastAsia="Calibri" w:hAnsi="Arial" w:cs="Arial"/>
          <w:bCs/>
          <w:sz w:val="22"/>
          <w:lang w:val="es-ES_tradnl"/>
        </w:rPr>
        <w:t>Como se explicó en las consideraciones, e</w:t>
      </w:r>
      <w:r w:rsidR="00996D51">
        <w:rPr>
          <w:rFonts w:ascii="Arial" w:eastAsia="Calibri" w:hAnsi="Arial" w:cs="Arial"/>
          <w:bCs/>
          <w:sz w:val="22"/>
          <w:lang w:val="es-ES_tradnl"/>
        </w:rPr>
        <w:t xml:space="preserve">l análisis del sector </w:t>
      </w:r>
      <w:r w:rsidR="00996D51" w:rsidRPr="006F18B8">
        <w:rPr>
          <w:rFonts w:ascii="Arial" w:eastAsiaTheme="minorHAnsi" w:hAnsi="Arial" w:cs="Arial"/>
          <w:bCs/>
          <w:sz w:val="22"/>
          <w:szCs w:val="22"/>
          <w:lang w:val="es-ES_tradnl" w:eastAsia="en-US"/>
        </w:rPr>
        <w:t>parte de un estudio</w:t>
      </w:r>
      <w:r w:rsidR="00996D51">
        <w:rPr>
          <w:rFonts w:ascii="Arial" w:eastAsiaTheme="minorHAnsi" w:hAnsi="Arial" w:cs="Arial"/>
          <w:bCs/>
          <w:sz w:val="22"/>
          <w:szCs w:val="22"/>
          <w:lang w:val="es-ES_tradnl" w:eastAsia="en-US"/>
        </w:rPr>
        <w:t xml:space="preserve"> </w:t>
      </w:r>
      <w:r w:rsidR="00996D51" w:rsidRPr="006F18B8">
        <w:rPr>
          <w:rFonts w:ascii="Arial" w:eastAsiaTheme="minorHAnsi" w:hAnsi="Arial" w:cs="Arial"/>
          <w:bCs/>
          <w:sz w:val="22"/>
          <w:szCs w:val="22"/>
          <w:lang w:val="es-ES_tradnl" w:eastAsia="en-US"/>
        </w:rPr>
        <w:t>desde una perspectiva multidisciplinaria, que implica</w:t>
      </w:r>
      <w:r w:rsidR="00996D51">
        <w:rPr>
          <w:rFonts w:ascii="Arial" w:eastAsiaTheme="minorHAnsi" w:hAnsi="Arial" w:cs="Arial"/>
          <w:bCs/>
          <w:sz w:val="22"/>
          <w:szCs w:val="22"/>
          <w:lang w:val="es-ES_tradnl" w:eastAsia="en-US"/>
        </w:rPr>
        <w:t xml:space="preserve"> los aspectos generales del mercado, el análisis de la demanda y</w:t>
      </w:r>
      <w:r w:rsidR="00996D51" w:rsidRPr="006F18B8">
        <w:rPr>
          <w:rFonts w:ascii="Arial" w:eastAsiaTheme="minorHAnsi" w:hAnsi="Arial" w:cs="Arial"/>
          <w:bCs/>
          <w:sz w:val="22"/>
          <w:szCs w:val="22"/>
          <w:lang w:val="es-ES_tradnl" w:eastAsia="en-US"/>
        </w:rPr>
        <w:t xml:space="preserve"> de la oferta</w:t>
      </w:r>
      <w:r w:rsidR="00996D51">
        <w:rPr>
          <w:rFonts w:ascii="Arial" w:eastAsiaTheme="minorHAnsi" w:hAnsi="Arial" w:cs="Arial"/>
          <w:bCs/>
          <w:sz w:val="22"/>
          <w:szCs w:val="22"/>
          <w:lang w:val="es-ES_tradnl" w:eastAsia="en-US"/>
        </w:rPr>
        <w:t xml:space="preserve">, así como el estudio del mercado </w:t>
      </w:r>
      <w:r w:rsidR="00996D51" w:rsidRPr="006F18B8">
        <w:rPr>
          <w:rFonts w:ascii="Arial" w:eastAsiaTheme="minorHAnsi" w:hAnsi="Arial" w:cs="Arial"/>
          <w:bCs/>
          <w:sz w:val="22"/>
          <w:szCs w:val="22"/>
          <w:lang w:val="es-ES_tradnl" w:eastAsia="en-US"/>
        </w:rPr>
        <w:t>que</w:t>
      </w:r>
      <w:r w:rsidR="00996D51">
        <w:rPr>
          <w:rFonts w:ascii="Arial" w:eastAsiaTheme="minorHAnsi" w:hAnsi="Arial" w:cs="Arial"/>
          <w:bCs/>
          <w:sz w:val="22"/>
          <w:szCs w:val="22"/>
          <w:lang w:val="es-ES_tradnl" w:eastAsia="en-US"/>
        </w:rPr>
        <w:t xml:space="preserve"> le permite a la entidad</w:t>
      </w:r>
      <w:r w:rsidR="00996D51" w:rsidRPr="00987A38">
        <w:rPr>
          <w:rFonts w:ascii="Arial" w:eastAsiaTheme="minorHAnsi" w:hAnsi="Arial" w:cs="Arial"/>
          <w:bCs/>
          <w:sz w:val="22"/>
          <w:szCs w:val="22"/>
          <w:lang w:val="es-ES_tradnl" w:eastAsia="en-US"/>
        </w:rPr>
        <w:t xml:space="preserve"> </w:t>
      </w:r>
      <w:r w:rsidR="00996D51" w:rsidRPr="006F18B8">
        <w:rPr>
          <w:rFonts w:ascii="Arial" w:eastAsiaTheme="minorHAnsi" w:hAnsi="Arial" w:cs="Arial"/>
          <w:bCs/>
          <w:sz w:val="22"/>
          <w:szCs w:val="22"/>
          <w:lang w:val="es-ES_tradnl" w:eastAsia="en-US"/>
        </w:rPr>
        <w:t>entender el mercado del bien, obra o servicio que pretenden adquirir,</w:t>
      </w:r>
      <w:r w:rsidR="00996D51">
        <w:rPr>
          <w:rFonts w:ascii="Arial" w:eastAsiaTheme="minorHAnsi" w:hAnsi="Arial" w:cs="Arial"/>
          <w:bCs/>
          <w:sz w:val="22"/>
          <w:szCs w:val="22"/>
          <w:lang w:val="es-ES_tradnl" w:eastAsia="en-US"/>
        </w:rPr>
        <w:t xml:space="preserve"> así como </w:t>
      </w:r>
      <w:r w:rsidR="00996D51" w:rsidRPr="006F18B8">
        <w:rPr>
          <w:rFonts w:ascii="Arial" w:eastAsiaTheme="minorHAnsi" w:hAnsi="Arial" w:cs="Arial"/>
          <w:bCs/>
          <w:sz w:val="22"/>
          <w:szCs w:val="22"/>
          <w:lang w:val="es-ES_tradnl" w:eastAsia="en-US"/>
        </w:rPr>
        <w:t>identificar los factores que inciden en el valor del contrato, tales como el análisis de precios, las cargas tributarias, la tasa de cambio, las garantías, los gastos de transporte, etc</w:t>
      </w:r>
      <w:r w:rsidR="00996D51">
        <w:rPr>
          <w:rFonts w:ascii="Arial" w:eastAsiaTheme="minorHAnsi" w:hAnsi="Arial" w:cs="Arial"/>
          <w:bCs/>
          <w:sz w:val="22"/>
          <w:szCs w:val="22"/>
          <w:lang w:val="es-ES_tradnl" w:eastAsia="en-US"/>
        </w:rPr>
        <w:t xml:space="preserve">. </w:t>
      </w:r>
    </w:p>
    <w:p w14:paraId="23C300F7" w14:textId="3B9B0EE6" w:rsidR="00074090" w:rsidRPr="000B0B7D" w:rsidRDefault="00996D51" w:rsidP="00074090">
      <w:pPr>
        <w:spacing w:before="120" w:line="276" w:lineRule="auto"/>
        <w:ind w:firstLine="708"/>
        <w:jc w:val="both"/>
        <w:rPr>
          <w:rFonts w:ascii="Arial" w:eastAsiaTheme="minorHAnsi" w:hAnsi="Arial" w:cs="Arial"/>
          <w:sz w:val="22"/>
          <w:szCs w:val="22"/>
          <w:lang w:val="es-MX" w:eastAsia="en-US"/>
        </w:rPr>
      </w:pPr>
      <w:r>
        <w:rPr>
          <w:rFonts w:ascii="Arial" w:eastAsiaTheme="minorHAnsi" w:hAnsi="Arial" w:cs="Arial"/>
          <w:sz w:val="22"/>
          <w:szCs w:val="22"/>
          <w:lang w:eastAsia="en-US"/>
        </w:rPr>
        <w:t>Así</w:t>
      </w:r>
      <w:r w:rsidRPr="006F18B8">
        <w:rPr>
          <w:rFonts w:ascii="Arial" w:eastAsiaTheme="minorHAnsi" w:hAnsi="Arial" w:cs="Arial"/>
          <w:sz w:val="22"/>
          <w:szCs w:val="22"/>
          <w:lang w:eastAsia="en-US"/>
        </w:rPr>
        <w:t xml:space="preserve">, el análisis del sector debe ser visto desde una perspectiva funcional, como una labor enfocada a situar la adquisición de bienes y servicios por parte de entidades estatales dentro de las condiciones del mercado o del sector en el que serán adquiridos, la cual constituye una aplicación de los principios de planeación y economía. Dicha labor debe evidenciarse de manera palpable en los </w:t>
      </w:r>
      <w:r w:rsidRPr="006F18B8">
        <w:rPr>
          <w:rFonts w:ascii="Arial" w:eastAsiaTheme="minorHAnsi" w:hAnsi="Arial" w:cs="Arial"/>
          <w:i/>
          <w:iCs/>
          <w:sz w:val="22"/>
          <w:szCs w:val="22"/>
          <w:lang w:eastAsia="en-US"/>
        </w:rPr>
        <w:t>Documentos del Proceso</w:t>
      </w:r>
      <w:r w:rsidRPr="006F18B8">
        <w:rPr>
          <w:rFonts w:ascii="Arial" w:eastAsiaTheme="minorHAnsi" w:hAnsi="Arial" w:cs="Arial"/>
          <w:sz w:val="22"/>
          <w:szCs w:val="22"/>
          <w:lang w:eastAsia="en-US"/>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6F18B8">
        <w:rPr>
          <w:rFonts w:ascii="Arial" w:eastAsiaTheme="minorHAnsi" w:hAnsi="Arial" w:cs="Arial"/>
          <w:sz w:val="22"/>
          <w:szCs w:val="22"/>
          <w:lang w:val="es-MX" w:eastAsia="en-US"/>
        </w:rPr>
        <w:t>2.2.1.1.1.6.1 del Decreto 1082 del 2015.</w:t>
      </w:r>
    </w:p>
    <w:p w14:paraId="2EF3050D" w14:textId="404C9A25" w:rsidR="00996D51" w:rsidRDefault="00996D51" w:rsidP="00BF37EC">
      <w:pPr>
        <w:tabs>
          <w:tab w:val="left" w:pos="426"/>
        </w:tabs>
        <w:spacing w:line="276" w:lineRule="auto"/>
        <w:jc w:val="both"/>
        <w:rPr>
          <w:rFonts w:ascii="Arial" w:hAnsi="Arial" w:cs="Arial"/>
          <w:bCs/>
          <w:sz w:val="22"/>
          <w:lang w:val="es-ES_tradnl"/>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ED13883" w14:textId="6F04229E" w:rsidR="00003233" w:rsidRDefault="00352139" w:rsidP="005D7312">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0CB10A4D" wp14:editId="7EE4EC08">
            <wp:extent cx="2993390" cy="11645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14:paraId="3A5093F4" w14:textId="77777777" w:rsidR="005D7312" w:rsidRPr="00E30427" w:rsidRDefault="005D7312" w:rsidP="005D7312">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E30427" w14:paraId="0C7DC5F7" w14:textId="77777777" w:rsidTr="005D7312">
        <w:trPr>
          <w:trHeight w:val="160"/>
        </w:trPr>
        <w:tc>
          <w:tcPr>
            <w:tcW w:w="812" w:type="dxa"/>
            <w:vAlign w:val="center"/>
            <w:hideMark/>
          </w:tcPr>
          <w:p w14:paraId="5BDB1AC9"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E30427" w:rsidRDefault="00F412DF"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Tatiana Baquero Iguarán</w:t>
            </w:r>
          </w:p>
          <w:p w14:paraId="240C71FD" w14:textId="31312C95"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Contratista</w:t>
            </w:r>
            <w:r w:rsidR="00FF0050" w:rsidRPr="00E30427">
              <w:rPr>
                <w:rFonts w:ascii="Arial" w:hAnsi="Arial" w:cs="Arial"/>
                <w:color w:val="000000" w:themeColor="text1"/>
                <w:sz w:val="16"/>
                <w:szCs w:val="16"/>
                <w:lang w:val="es-ES_tradnl" w:eastAsia="es-ES"/>
              </w:rPr>
              <w:t xml:space="preserve"> de la </w:t>
            </w:r>
            <w:r w:rsidRPr="00E30427">
              <w:rPr>
                <w:rFonts w:ascii="Arial" w:hAnsi="Arial" w:cs="Arial"/>
                <w:color w:val="000000" w:themeColor="text1"/>
                <w:sz w:val="16"/>
                <w:szCs w:val="16"/>
                <w:lang w:val="es-ES_tradnl" w:eastAsia="es-ES"/>
              </w:rPr>
              <w:t>Subdirección de Gestión Contractual</w:t>
            </w:r>
          </w:p>
        </w:tc>
      </w:tr>
      <w:tr w:rsidR="00DD5B04" w:rsidRPr="00E30427" w14:paraId="2F8FD650" w14:textId="77777777" w:rsidTr="005D7312">
        <w:trPr>
          <w:trHeight w:val="330"/>
        </w:trPr>
        <w:tc>
          <w:tcPr>
            <w:tcW w:w="812" w:type="dxa"/>
            <w:vAlign w:val="center"/>
            <w:hideMark/>
          </w:tcPr>
          <w:p w14:paraId="50203A0B"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3576C7FB" w:rsidR="003A07D9" w:rsidRPr="00E30427" w:rsidRDefault="00B86977" w:rsidP="005D7312">
            <w:pPr>
              <w:jc w:val="both"/>
              <w:rPr>
                <w:rFonts w:ascii="Arial" w:hAnsi="Arial" w:cs="Arial"/>
                <w:color w:val="000000" w:themeColor="text1"/>
                <w:sz w:val="16"/>
                <w:szCs w:val="16"/>
                <w:lang w:eastAsia="es-ES"/>
              </w:rPr>
            </w:pPr>
            <w:r w:rsidRPr="00E30427">
              <w:rPr>
                <w:rFonts w:ascii="Arial" w:hAnsi="Arial" w:cs="Arial"/>
                <w:color w:val="000000" w:themeColor="text1"/>
                <w:sz w:val="16"/>
                <w:szCs w:val="16"/>
                <w:lang w:eastAsia="es-ES"/>
              </w:rPr>
              <w:t>Sebastian Ramírez Grisales</w:t>
            </w:r>
          </w:p>
          <w:p w14:paraId="130B3228" w14:textId="28DBB6C2" w:rsidR="00DD5B04" w:rsidRPr="00E30427" w:rsidRDefault="00B86977" w:rsidP="005D7312">
            <w:pPr>
              <w:jc w:val="both"/>
              <w:rPr>
                <w:rFonts w:ascii="Arial" w:hAnsi="Arial" w:cs="Arial"/>
                <w:color w:val="000000" w:themeColor="text1"/>
                <w:sz w:val="16"/>
                <w:szCs w:val="16"/>
                <w:lang w:eastAsia="es-ES"/>
              </w:rPr>
            </w:pPr>
            <w:r w:rsidRPr="00E30427">
              <w:rPr>
                <w:rFonts w:ascii="Arial" w:hAnsi="Arial" w:cs="Arial"/>
                <w:color w:val="000000" w:themeColor="text1"/>
                <w:sz w:val="16"/>
                <w:szCs w:val="16"/>
                <w:lang w:eastAsia="es-ES"/>
              </w:rPr>
              <w:t>Contratista</w:t>
            </w:r>
            <w:r w:rsidR="003A07D9" w:rsidRPr="00E30427">
              <w:rPr>
                <w:rFonts w:ascii="Arial" w:hAnsi="Arial" w:cs="Arial"/>
                <w:color w:val="000000" w:themeColor="text1"/>
                <w:sz w:val="16"/>
                <w:szCs w:val="16"/>
                <w:lang w:eastAsia="es-ES"/>
              </w:rPr>
              <w:t xml:space="preserve"> de la Subdirección de Gestión Contractual</w:t>
            </w:r>
          </w:p>
        </w:tc>
      </w:tr>
      <w:tr w:rsidR="00DD5B04" w:rsidRPr="00E30427" w14:paraId="0FCBCA4A" w14:textId="77777777" w:rsidTr="005D7312">
        <w:trPr>
          <w:trHeight w:val="300"/>
        </w:trPr>
        <w:tc>
          <w:tcPr>
            <w:tcW w:w="812" w:type="dxa"/>
            <w:vAlign w:val="center"/>
            <w:hideMark/>
          </w:tcPr>
          <w:p w14:paraId="3C1D943A" w14:textId="77777777" w:rsidR="00DD5B04" w:rsidRPr="00E30427" w:rsidRDefault="00DD5B04" w:rsidP="005D7312">
            <w:pPr>
              <w:jc w:val="both"/>
              <w:rPr>
                <w:rFonts w:ascii="Arial" w:hAnsi="Arial" w:cs="Arial"/>
                <w:color w:val="000000" w:themeColor="text1"/>
                <w:sz w:val="16"/>
                <w:szCs w:val="16"/>
                <w:lang w:val="es-ES_tradnl" w:eastAsia="es-ES"/>
              </w:rPr>
            </w:pPr>
            <w:r w:rsidRPr="00E3042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E30427" w:rsidRDefault="008657C6" w:rsidP="005D7312">
            <w:pPr>
              <w:rPr>
                <w:sz w:val="16"/>
                <w:szCs w:val="16"/>
              </w:rPr>
            </w:pPr>
            <w:r w:rsidRPr="00E30427">
              <w:rPr>
                <w:rFonts w:ascii="Arial" w:eastAsia="Arial" w:hAnsi="Arial" w:cs="Arial"/>
                <w:color w:val="000000"/>
                <w:sz w:val="16"/>
                <w:szCs w:val="16"/>
              </w:rPr>
              <w:t>Juan David Marín López</w:t>
            </w:r>
          </w:p>
          <w:p w14:paraId="1ADC483B" w14:textId="0B971153" w:rsidR="00DD5B04" w:rsidRPr="00E30427" w:rsidRDefault="008657C6" w:rsidP="005D7312">
            <w:pPr>
              <w:jc w:val="both"/>
              <w:rPr>
                <w:rFonts w:ascii="Arial" w:hAnsi="Arial" w:cs="Arial"/>
                <w:color w:val="000000" w:themeColor="text1"/>
                <w:sz w:val="16"/>
                <w:szCs w:val="16"/>
                <w:lang w:val="es-ES_tradnl" w:eastAsia="es-ES"/>
              </w:rPr>
            </w:pPr>
            <w:r w:rsidRPr="00E30427">
              <w:rPr>
                <w:rFonts w:ascii="Arial" w:eastAsia="Arial" w:hAnsi="Arial" w:cs="Arial"/>
                <w:color w:val="000000"/>
                <w:sz w:val="16"/>
                <w:szCs w:val="16"/>
              </w:rPr>
              <w:t>Subdirector de Gestión Contractual (E)</w:t>
            </w:r>
          </w:p>
        </w:tc>
      </w:tr>
      <w:tr w:rsidR="00A5491E" w:rsidRPr="00E30427" w14:paraId="0B8397B9" w14:textId="77777777" w:rsidTr="005D7312">
        <w:trPr>
          <w:trHeight w:val="300"/>
        </w:trPr>
        <w:tc>
          <w:tcPr>
            <w:tcW w:w="812" w:type="dxa"/>
            <w:vAlign w:val="center"/>
          </w:tcPr>
          <w:p w14:paraId="42FF5613" w14:textId="0BDE2145" w:rsidR="00A5491E" w:rsidRPr="00E30427" w:rsidRDefault="00A5491E" w:rsidP="005D731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Anexos:</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895F277" w14:textId="48EFECEE" w:rsidR="00A5491E" w:rsidRPr="00E30427" w:rsidRDefault="00A5491E" w:rsidP="005D7312">
            <w:pPr>
              <w:rPr>
                <w:rFonts w:ascii="Arial" w:eastAsia="Arial" w:hAnsi="Arial" w:cs="Arial"/>
                <w:color w:val="000000"/>
                <w:sz w:val="16"/>
                <w:szCs w:val="16"/>
              </w:rPr>
            </w:pPr>
            <w:r>
              <w:rPr>
                <w:rFonts w:ascii="Arial" w:eastAsia="Arial" w:hAnsi="Arial" w:cs="Arial"/>
                <w:color w:val="000000"/>
                <w:sz w:val="16"/>
                <w:szCs w:val="16"/>
              </w:rPr>
              <w:t>Guía para Elaboración de Estudios de Sector -GEES-02 (primera versión) y Guía de Elaboración de Estudios de Sector V 02 del 24 de junio de 2022</w:t>
            </w:r>
          </w:p>
        </w:tc>
      </w:tr>
      <w:bookmarkEnd w:id="0"/>
      <w:bookmarkEnd w:id="1"/>
    </w:tbl>
    <w:p w14:paraId="575AF8D6" w14:textId="2F99AA8F" w:rsidR="003A07D9" w:rsidRPr="00E30427" w:rsidRDefault="003A07D9" w:rsidP="003A07D9">
      <w:pPr>
        <w:tabs>
          <w:tab w:val="left" w:pos="3570"/>
        </w:tabs>
        <w:rPr>
          <w:rFonts w:ascii="Arial" w:hAnsi="Arial" w:cs="Arial"/>
          <w:sz w:val="16"/>
          <w:szCs w:val="16"/>
          <w:lang w:val="es-ES_tradnl"/>
        </w:rPr>
      </w:pPr>
    </w:p>
    <w:sectPr w:rsidR="003A07D9" w:rsidRPr="00E30427" w:rsidSect="00785888">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0AB0" w14:textId="77777777" w:rsidR="00F36030" w:rsidRDefault="00F36030">
      <w:r>
        <w:separator/>
      </w:r>
    </w:p>
  </w:endnote>
  <w:endnote w:type="continuationSeparator" w:id="0">
    <w:p w14:paraId="434C3C47" w14:textId="77777777" w:rsidR="00F36030" w:rsidRDefault="00F36030">
      <w:r>
        <w:continuationSeparator/>
      </w:r>
    </w:p>
  </w:endnote>
  <w:endnote w:type="continuationNotice" w:id="1">
    <w:p w14:paraId="50CA6FE3" w14:textId="77777777" w:rsidR="00F36030" w:rsidRDefault="00F36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6A04" w14:textId="7C6D95CC" w:rsidR="00E2520A" w:rsidRPr="0020796E" w:rsidRDefault="0020796E" w:rsidP="0020796E">
    <w:pPr>
      <w:pStyle w:val="Piedepgina"/>
      <w:rPr>
        <w:rFonts w:ascii="Arial" w:hAnsi="Arial" w:cs="Arial"/>
        <w:color w:val="7F7F7F"/>
        <w:sz w:val="16"/>
        <w:szCs w:val="16"/>
      </w:rPr>
    </w:pPr>
    <w:r>
      <w:rPr>
        <w:noProof/>
      </w:rPr>
      <w:drawing>
        <wp:inline distT="0" distB="0" distL="0" distR="0" wp14:anchorId="4EE241A6" wp14:editId="327EECCF">
          <wp:extent cx="5553075" cy="866719"/>
          <wp:effectExtent l="0" t="0" r="0" b="0"/>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95787" cy="873385"/>
                  </a:xfrm>
                  <a:prstGeom prst="rect">
                    <a:avLst/>
                  </a:prstGeom>
                </pic:spPr>
              </pic:pic>
            </a:graphicData>
          </a:graphic>
        </wp:inline>
      </w:drawing>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42"/>
      <w:gridCol w:w="835"/>
      <w:gridCol w:w="1659"/>
      <w:gridCol w:w="717"/>
      <w:gridCol w:w="2551"/>
      <w:gridCol w:w="1423"/>
    </w:tblGrid>
    <w:tr w:rsidR="0020796E" w:rsidRPr="00080DA3" w14:paraId="68BC7901" w14:textId="77777777" w:rsidTr="0020796E">
      <w:trPr>
        <w:trHeight w:val="198"/>
        <w:jc w:val="center"/>
      </w:trPr>
      <w:tc>
        <w:tcPr>
          <w:tcW w:w="276"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08FF6F4"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E01DE96"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8C4F949"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79C225D" w14:textId="77777777" w:rsidR="0020796E" w:rsidRPr="004B6B0E" w:rsidRDefault="0020796E" w:rsidP="0020796E">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BDF1025"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77B246D" w14:textId="77777777" w:rsidR="0020796E" w:rsidRPr="00080DA3" w:rsidRDefault="0020796E" w:rsidP="0020796E">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1A3119EE" w14:textId="77777777" w:rsidR="0020796E" w:rsidRPr="00080DA3" w:rsidRDefault="0020796E" w:rsidP="0020796E">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7DD3" w14:textId="77777777" w:rsidR="00F36030" w:rsidRDefault="00F36030">
      <w:r>
        <w:separator/>
      </w:r>
    </w:p>
  </w:footnote>
  <w:footnote w:type="continuationSeparator" w:id="0">
    <w:p w14:paraId="5C8343D8" w14:textId="77777777" w:rsidR="00F36030" w:rsidRDefault="00F36030">
      <w:r>
        <w:continuationSeparator/>
      </w:r>
    </w:p>
  </w:footnote>
  <w:footnote w:type="continuationNotice" w:id="1">
    <w:p w14:paraId="39F214A6" w14:textId="77777777" w:rsidR="00F36030" w:rsidRDefault="00F36030"/>
  </w:footnote>
  <w:footnote w:id="2">
    <w:p w14:paraId="76AF0639" w14:textId="77777777" w:rsidR="006E7824" w:rsidRDefault="006E7824" w:rsidP="0029018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8DAF390" w14:textId="62CAFCAE" w:rsidR="00731200" w:rsidRPr="00731200" w:rsidRDefault="00731200" w:rsidP="00785888">
      <w:pPr>
        <w:pStyle w:val="Textonotapie"/>
        <w:ind w:firstLine="709"/>
        <w:jc w:val="both"/>
        <w:rPr>
          <w:lang w:val="es-CO"/>
        </w:rPr>
      </w:pPr>
      <w:r>
        <w:rPr>
          <w:rStyle w:val="Refdenotaalpie"/>
        </w:rPr>
        <w:footnoteRef/>
      </w:r>
      <w:r>
        <w:t xml:space="preserve"> </w:t>
      </w:r>
      <w:r w:rsidRPr="00731200">
        <w:rPr>
          <w:rFonts w:ascii="Arial" w:hAnsi="Arial" w:cs="Arial"/>
          <w:sz w:val="19"/>
          <w:szCs w:val="19"/>
          <w:lang w:val="es-CO"/>
        </w:rPr>
        <w:t xml:space="preserve">Estos conceptos pueden ser consultados en la relatoría de la Agencia en el siguiente enlace: </w:t>
      </w:r>
      <w:hyperlink r:id="rId1" w:history="1">
        <w:r w:rsidRPr="00731200">
          <w:rPr>
            <w:rStyle w:val="Hipervnculo"/>
            <w:rFonts w:ascii="Arial" w:hAnsi="Arial" w:cs="Arial"/>
            <w:color w:val="000000" w:themeColor="text1"/>
            <w:sz w:val="19"/>
            <w:szCs w:val="19"/>
            <w:u w:val="none"/>
            <w:lang w:val="es-CO"/>
          </w:rPr>
          <w:t>https://relatoria.colombiacompra.gov.co/busqueda/conceptos#</w:t>
        </w:r>
      </w:hyperlink>
      <w:r w:rsidRPr="00731200">
        <w:rPr>
          <w:rFonts w:ascii="Arial" w:hAnsi="Arial" w:cs="Arial"/>
          <w:color w:val="000000" w:themeColor="text1"/>
          <w:sz w:val="19"/>
          <w:szCs w:val="19"/>
          <w:lang w:val="es-CO"/>
        </w:rPr>
        <w:t xml:space="preserve"> </w:t>
      </w:r>
    </w:p>
  </w:footnote>
  <w:footnote w:id="4">
    <w:p w14:paraId="1965AE03" w14:textId="77777777" w:rsidR="00E051ED" w:rsidRPr="00286492" w:rsidRDefault="00E051ED" w:rsidP="0029018A">
      <w:pPr>
        <w:ind w:firstLine="707"/>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position w:val="6"/>
          <w:sz w:val="19"/>
          <w:szCs w:val="19"/>
        </w:rPr>
        <w:t xml:space="preserve"> </w:t>
      </w:r>
      <w:r w:rsidRPr="00286492">
        <w:rPr>
          <w:rFonts w:ascii="Arial" w:hAnsi="Arial" w:cs="Arial"/>
          <w:sz w:val="19"/>
          <w:szCs w:val="19"/>
        </w:rPr>
        <w:t>DEIK ACOSTAMADIEDO, Carolina, Guía de Contratación Estatal: Deber de planeación y modalidades de selección, Buenos Aires, 2015, p. 59.</w:t>
      </w:r>
    </w:p>
    <w:p w14:paraId="6CD174EA" w14:textId="77777777" w:rsidR="00E051ED" w:rsidRPr="00AF6A98" w:rsidRDefault="00E051ED" w:rsidP="0029018A">
      <w:pPr>
        <w:pStyle w:val="Textonotapie"/>
        <w:jc w:val="both"/>
        <w:rPr>
          <w:rFonts w:ascii="Arial" w:hAnsi="Arial" w:cs="Arial"/>
          <w:sz w:val="19"/>
          <w:szCs w:val="19"/>
        </w:rPr>
      </w:pPr>
    </w:p>
  </w:footnote>
  <w:footnote w:id="5">
    <w:p w14:paraId="3C20B643" w14:textId="06A819F9" w:rsidR="00E051ED" w:rsidRPr="00286492" w:rsidRDefault="00E051ED" w:rsidP="00352139">
      <w:pPr>
        <w:pStyle w:val="Textoindependiente"/>
        <w:spacing w:after="0" w:line="240" w:lineRule="auto"/>
        <w:ind w:firstLine="709"/>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w:t>
      </w:r>
      <w:r w:rsidRPr="00286492">
        <w:rPr>
          <w:rFonts w:ascii="Arial" w:hAnsi="Arial" w:cs="Arial"/>
          <w:position w:val="6"/>
          <w:sz w:val="19"/>
          <w:szCs w:val="19"/>
        </w:rPr>
        <w:t xml:space="preserve"> </w:t>
      </w:r>
      <w:r w:rsidRPr="00286492">
        <w:rPr>
          <w:rFonts w:ascii="Arial" w:hAnsi="Arial" w:cs="Arial"/>
          <w:sz w:val="19"/>
          <w:szCs w:val="19"/>
        </w:rPr>
        <w:t xml:space="preserve">«Artículo </w:t>
      </w:r>
      <w:bookmarkStart w:id="4" w:name="_Hlk54173885"/>
      <w:r w:rsidRPr="00286492">
        <w:rPr>
          <w:rFonts w:ascii="Arial" w:hAnsi="Arial" w:cs="Arial"/>
          <w:sz w:val="19"/>
          <w:szCs w:val="19"/>
        </w:rPr>
        <w:t>2.2.1.1.2.1.1</w:t>
      </w:r>
      <w:bookmarkEnd w:id="4"/>
      <w:r w:rsidRPr="00286492">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footnote>
  <w:footnote w:id="6">
    <w:p w14:paraId="7E970CE3" w14:textId="65D68821" w:rsidR="00E051ED" w:rsidRPr="00AF6A98" w:rsidRDefault="00E051ED" w:rsidP="00352139">
      <w:pPr>
        <w:pStyle w:val="Textoindependiente"/>
        <w:spacing w:after="0" w:line="240" w:lineRule="auto"/>
        <w:ind w:firstLine="709"/>
        <w:jc w:val="both"/>
        <w:rPr>
          <w:rFonts w:ascii="Arial" w:hAnsi="Arial" w:cs="Arial"/>
          <w:sz w:val="19"/>
          <w:szCs w:val="19"/>
        </w:rPr>
      </w:pPr>
      <w:r w:rsidRPr="00286492">
        <w:rPr>
          <w:rStyle w:val="Refdenotaalpie"/>
          <w:rFonts w:ascii="Arial" w:hAnsi="Arial" w:cs="Arial"/>
          <w:sz w:val="19"/>
          <w:szCs w:val="19"/>
        </w:rPr>
        <w:footnoteRef/>
      </w:r>
      <w:r w:rsidRPr="00286492">
        <w:rPr>
          <w:rFonts w:ascii="Arial" w:hAnsi="Arial" w:cs="Arial"/>
          <w:sz w:val="19"/>
          <w:szCs w:val="19"/>
        </w:rPr>
        <w:t xml:space="preserve"> Consejo de Estado. Sección Tercera. Subsección B. Sentencia del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footnote>
  <w:footnote w:id="7">
    <w:p w14:paraId="640C0E10" w14:textId="55080267" w:rsidR="007E4AD4" w:rsidRPr="00785888" w:rsidRDefault="007E4AD4" w:rsidP="0029018A">
      <w:pPr>
        <w:pStyle w:val="Textonotapie"/>
        <w:ind w:firstLine="709"/>
        <w:jc w:val="both"/>
        <w:rPr>
          <w:rFonts w:ascii="Arial" w:hAnsi="Arial" w:cs="Arial"/>
          <w:color w:val="000000" w:themeColor="text1"/>
          <w:sz w:val="14"/>
          <w:szCs w:val="14"/>
        </w:rPr>
      </w:pPr>
      <w:r w:rsidRPr="007E4AD4">
        <w:rPr>
          <w:rStyle w:val="Refdenotaalpie"/>
          <w:rFonts w:ascii="Arial" w:hAnsi="Arial" w:cs="Arial"/>
          <w:sz w:val="19"/>
          <w:szCs w:val="19"/>
        </w:rPr>
        <w:footnoteRef/>
      </w:r>
      <w:r w:rsidRPr="007E4AD4">
        <w:rPr>
          <w:rFonts w:ascii="Arial" w:hAnsi="Arial" w:cs="Arial"/>
          <w:sz w:val="19"/>
          <w:szCs w:val="19"/>
        </w:rPr>
        <w:t xml:space="preserve"> </w:t>
      </w:r>
      <w:r w:rsidR="00295563" w:rsidRPr="00785888">
        <w:rPr>
          <w:rFonts w:ascii="Arial" w:hAnsi="Arial" w:cs="Arial"/>
          <w:sz w:val="19"/>
          <w:szCs w:val="19"/>
          <w:lang w:val="es-CO"/>
        </w:rPr>
        <w:t xml:space="preserve">La Versión 02 de esta Guía fue adoptada el 24 de junio de 2022. </w:t>
      </w:r>
      <w:r w:rsidRPr="00785888">
        <w:rPr>
          <w:rFonts w:ascii="Arial" w:hAnsi="Arial" w:cs="Arial"/>
          <w:sz w:val="19"/>
          <w:szCs w:val="19"/>
          <w:lang w:val="es-CO"/>
        </w:rPr>
        <w:t xml:space="preserve">Disponible en </w:t>
      </w:r>
      <w:hyperlink r:id="rId2" w:history="1">
        <w:r w:rsidR="00FE31B2" w:rsidRPr="00785888">
          <w:rPr>
            <w:rStyle w:val="Hipervnculo"/>
            <w:rFonts w:ascii="Arial" w:hAnsi="Arial" w:cs="Arial"/>
            <w:color w:val="000000" w:themeColor="text1"/>
            <w:sz w:val="14"/>
            <w:szCs w:val="14"/>
          </w:rPr>
          <w:t>https://colombiacompra.gov.co/sites/cce_public/files/cce_documentos/cce-eicp-gi-18._gees_v.2_2.pdf</w:t>
        </w:r>
      </w:hyperlink>
      <w:r w:rsidR="002D7970" w:rsidRPr="00785888">
        <w:rPr>
          <w:rFonts w:ascii="Arial" w:hAnsi="Arial" w:cs="Arial"/>
          <w:color w:val="000000" w:themeColor="text1"/>
          <w:sz w:val="14"/>
          <w:szCs w:val="14"/>
        </w:rPr>
        <w:t xml:space="preserve">  </w:t>
      </w:r>
    </w:p>
    <w:p w14:paraId="17E93BB1" w14:textId="77777777" w:rsidR="00FE31B2" w:rsidRPr="00785888" w:rsidRDefault="00FE31B2" w:rsidP="00785888">
      <w:pPr>
        <w:pStyle w:val="Textonotapie"/>
        <w:ind w:firstLine="709"/>
        <w:jc w:val="both"/>
        <w:rPr>
          <w:rFonts w:ascii="Arial" w:hAnsi="Arial" w:cs="Arial"/>
          <w:sz w:val="19"/>
          <w:szCs w:val="19"/>
          <w:lang w:val="es-CO"/>
        </w:rPr>
      </w:pPr>
    </w:p>
  </w:footnote>
  <w:footnote w:id="8">
    <w:p w14:paraId="77C4EE0A" w14:textId="72314FFF" w:rsidR="00FE31B2" w:rsidRPr="00352139" w:rsidRDefault="00FE31B2" w:rsidP="00352139">
      <w:pPr>
        <w:pStyle w:val="Textonotapie"/>
        <w:ind w:firstLine="709"/>
        <w:jc w:val="both"/>
        <w:rPr>
          <w:rFonts w:ascii="Arial" w:hAnsi="Arial" w:cs="Arial"/>
          <w:sz w:val="19"/>
          <w:szCs w:val="19"/>
          <w:lang w:val="es-ES"/>
        </w:rPr>
      </w:pPr>
      <w:r w:rsidRPr="00785888">
        <w:rPr>
          <w:rStyle w:val="Refdenotaalpie"/>
          <w:rFonts w:ascii="Arial" w:hAnsi="Arial" w:cs="Arial"/>
        </w:rPr>
        <w:footnoteRef/>
      </w:r>
      <w:r w:rsidRPr="00785888">
        <w:rPr>
          <w:rFonts w:ascii="Arial" w:hAnsi="Arial" w:cs="Arial"/>
        </w:rPr>
        <w:t xml:space="preserve"> </w:t>
      </w:r>
      <w:r w:rsidRPr="00785888">
        <w:rPr>
          <w:rFonts w:ascii="Arial" w:hAnsi="Arial" w:cs="Arial"/>
          <w:sz w:val="19"/>
          <w:szCs w:val="19"/>
        </w:rPr>
        <w:t>De conformidad con lo indicado en la Guía</w:t>
      </w:r>
      <w:r w:rsidR="007064F0" w:rsidRPr="00785888">
        <w:rPr>
          <w:rFonts w:ascii="Arial" w:hAnsi="Arial" w:cs="Arial"/>
          <w:sz w:val="19"/>
          <w:szCs w:val="19"/>
        </w:rPr>
        <w:t>,</w:t>
      </w:r>
      <w:r w:rsidRPr="00785888">
        <w:rPr>
          <w:rFonts w:ascii="Arial" w:hAnsi="Arial" w:cs="Arial"/>
          <w:sz w:val="19"/>
          <w:szCs w:val="19"/>
        </w:rPr>
        <w:t xml:space="preserve"> e</w:t>
      </w:r>
      <w:r w:rsidRPr="00785888">
        <w:rPr>
          <w:rFonts w:ascii="Arial" w:hAnsi="Arial" w:cs="Arial"/>
          <w:sz w:val="19"/>
          <w:szCs w:val="19"/>
          <w:lang w:val="es-ES"/>
        </w:rPr>
        <w:t xml:space="preserve">l MAE hace parte de la Política de Compras y Contratación Pública, enmarcada dentro del Modelo Integrado de Planeación y Gestión- MIPG, y se articula con las demás buenas prácticas y herramientas usadas en los procesos de compra y contratación estatal que han sido desarrolladas por la </w:t>
      </w:r>
      <w:r w:rsidR="007064F0" w:rsidRPr="00785888">
        <w:rPr>
          <w:rFonts w:ascii="Arial" w:hAnsi="Arial" w:cs="Arial"/>
          <w:sz w:val="19"/>
          <w:szCs w:val="19"/>
          <w:lang w:val="es-ES"/>
        </w:rPr>
        <w:t>Agencia Nacional de Contratación Pública – Colombia Compra Eficiente</w:t>
      </w:r>
      <w:r w:rsidRPr="00785888">
        <w:rPr>
          <w:rFonts w:ascii="Arial" w:hAnsi="Arial" w:cs="Arial"/>
          <w:sz w:val="19"/>
          <w:szCs w:val="19"/>
          <w:lang w:val="es-ES"/>
        </w:rPr>
        <w:t>, con el fin de generar una mayor eficiencia, transparencia y optimización de los recursos del Estado.</w:t>
      </w:r>
    </w:p>
  </w:footnote>
  <w:footnote w:id="9">
    <w:p w14:paraId="07A8254D" w14:textId="77777777" w:rsidR="006221F4" w:rsidRPr="009E37A5" w:rsidRDefault="006221F4" w:rsidP="00785888">
      <w:pPr>
        <w:pStyle w:val="Textonotapie"/>
        <w:ind w:firstLine="708"/>
        <w:jc w:val="both"/>
        <w:rPr>
          <w:rFonts w:ascii="Arial" w:hAnsi="Arial" w:cs="Arial"/>
          <w:sz w:val="18"/>
          <w:szCs w:val="18"/>
        </w:rPr>
      </w:pPr>
      <w:r w:rsidRPr="009E37A5">
        <w:rPr>
          <w:rStyle w:val="Refdenotaalpie"/>
          <w:rFonts w:ascii="Arial" w:hAnsi="Arial" w:cs="Arial"/>
          <w:sz w:val="18"/>
          <w:szCs w:val="18"/>
        </w:rPr>
        <w:footnoteRef/>
      </w:r>
      <w:r w:rsidRPr="009E37A5">
        <w:rPr>
          <w:rFonts w:ascii="Arial" w:hAnsi="Arial" w:cs="Arial"/>
          <w:sz w:val="18"/>
          <w:szCs w:val="18"/>
        </w:rPr>
        <w:t xml:space="preserve"> Consejo de Estado. Sección Tercera. Sentencia del 27 de abril de 2011. Exp. 18.293. C.P. Ruth Stella Correa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E31D" w14:textId="6E2810A5" w:rsidR="00E2520A" w:rsidRDefault="00E2520A"/>
  <w:p w14:paraId="603D9E86" w14:textId="61607A32" w:rsidR="0020796E" w:rsidRDefault="0020796E" w:rsidP="0020796E">
    <w:pPr>
      <w:rPr>
        <w:rFonts w:ascii="Geomanist Bold" w:hAnsi="Geomanist Bold"/>
        <w:color w:val="002060"/>
        <w:lang w:eastAsia="en-US"/>
      </w:rPr>
    </w:pPr>
    <w:r>
      <w:rPr>
        <w:noProof/>
        <w:sz w:val="22"/>
        <w:szCs w:val="22"/>
        <w:lang w:eastAsia="en-US"/>
      </w:rPr>
      <w:drawing>
        <wp:anchor distT="0" distB="0" distL="0" distR="0" simplePos="0" relativeHeight="251659264" behindDoc="1" locked="0" layoutInCell="1" allowOverlap="1" wp14:anchorId="2298F00B" wp14:editId="691EE5BD">
          <wp:simplePos x="0" y="0"/>
          <wp:positionH relativeFrom="margin">
            <wp:align>right</wp:align>
          </wp:positionH>
          <wp:positionV relativeFrom="paragraph">
            <wp:posOffset>6985</wp:posOffset>
          </wp:positionV>
          <wp:extent cx="1657350" cy="676275"/>
          <wp:effectExtent l="0" t="0" r="0" b="9525"/>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76275"/>
                  </a:xfrm>
                  <a:prstGeom prst="rect">
                    <a:avLst/>
                  </a:prstGeom>
                  <a:noFill/>
                </pic:spPr>
              </pic:pic>
            </a:graphicData>
          </a:graphic>
          <wp14:sizeRelH relativeFrom="margin">
            <wp14:pctWidth>0</wp14:pctWidth>
          </wp14:sizeRelH>
          <wp14:sizeRelV relativeFrom="margin">
            <wp14:pctHeight>0</wp14:pctHeight>
          </wp14:sizeRelV>
        </wp:anchor>
      </w:drawing>
    </w:r>
    <w:r>
      <w:rPr>
        <w:rFonts w:ascii="Geomanist Bold" w:hAnsi="Geomanist Bold"/>
        <w:color w:val="002060"/>
      </w:rPr>
      <w:t xml:space="preserve">FORMATO PQRSD </w:t>
    </w:r>
  </w:p>
  <w:tbl>
    <w:tblPr>
      <w:tblW w:w="9405" w:type="dxa"/>
      <w:tblBorders>
        <w:insideH w:val="nil"/>
        <w:insideV w:val="nil"/>
      </w:tblBorders>
      <w:tblLayout w:type="fixed"/>
      <w:tblLook w:val="0400" w:firstRow="0" w:lastRow="0" w:firstColumn="0" w:lastColumn="0" w:noHBand="0" w:noVBand="1"/>
    </w:tblPr>
    <w:tblGrid>
      <w:gridCol w:w="6757"/>
      <w:gridCol w:w="1324"/>
      <w:gridCol w:w="1324"/>
    </w:tblGrid>
    <w:tr w:rsidR="0020796E" w14:paraId="48C686BC" w14:textId="77777777" w:rsidTr="0020796E">
      <w:tc>
        <w:tcPr>
          <w:tcW w:w="6757" w:type="dxa"/>
          <w:tcBorders>
            <w:top w:val="nil"/>
            <w:left w:val="nil"/>
            <w:bottom w:val="nil"/>
            <w:right w:val="nil"/>
          </w:tcBorders>
          <w:hideMark/>
        </w:tcPr>
        <w:p w14:paraId="36F7744A" w14:textId="77777777" w:rsidR="0020796E" w:rsidRDefault="0020796E" w:rsidP="0020796E">
          <w:pPr>
            <w:tabs>
              <w:tab w:val="center" w:pos="4419"/>
              <w:tab w:val="center" w:pos="5400"/>
              <w:tab w:val="right" w:pos="8838"/>
            </w:tabs>
            <w:rPr>
              <w:rFonts w:ascii="Geomanist Bold" w:eastAsia="Geo" w:hAnsi="Geomanist Bold" w:cs="Geo"/>
              <w:b/>
              <w:color w:val="002060"/>
              <w:sz w:val="22"/>
              <w:szCs w:val="22"/>
              <w:lang w:eastAsia="es-CO"/>
            </w:rPr>
          </w:pPr>
          <w:r>
            <w:rPr>
              <w:rFonts w:ascii="Geomanist Bold" w:eastAsia="Geo" w:hAnsi="Geomanist Bold" w:cs="Geo"/>
              <w:b/>
              <w:color w:val="000000"/>
              <w:sz w:val="20"/>
              <w:szCs w:val="20"/>
              <w:lang w:eastAsia="es-CO"/>
            </w:rPr>
            <w:t xml:space="preserve">Código: </w:t>
          </w:r>
          <w:r>
            <w:rPr>
              <w:rFonts w:ascii="Geomanist Light" w:eastAsia="Geo" w:hAnsi="Geomanist Light" w:cs="Geo"/>
              <w:b/>
              <w:color w:val="000000"/>
              <w:sz w:val="18"/>
              <w:szCs w:val="18"/>
              <w:lang w:eastAsia="es-CO"/>
            </w:rPr>
            <w:t>CCE-PQRSD-FM-08</w:t>
          </w:r>
        </w:p>
        <w:p w14:paraId="4E350D27" w14:textId="77777777" w:rsidR="0020796E" w:rsidRDefault="0020796E" w:rsidP="0020796E">
          <w:pPr>
            <w:tabs>
              <w:tab w:val="center" w:pos="4419"/>
              <w:tab w:val="center" w:pos="5400"/>
              <w:tab w:val="right" w:pos="8838"/>
            </w:tabs>
            <w:rPr>
              <w:rFonts w:asciiTheme="minorHAnsi" w:eastAsia="Arial Nova" w:hAnsiTheme="minorHAnsi" w:cs="Arial Nova"/>
              <w:color w:val="000000"/>
              <w:sz w:val="18"/>
              <w:szCs w:val="18"/>
              <w:lang w:eastAsia="es-CO"/>
            </w:rPr>
          </w:pPr>
          <w:r>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Pr>
              <w:rFonts w:ascii="Geomanist Light" w:eastAsia="Geo" w:hAnsi="Geomanist Light" w:cs="Geo"/>
              <w:sz w:val="18"/>
              <w:szCs w:val="18"/>
              <w:lang w:eastAsia="es-CO"/>
            </w:rPr>
            <w:t>01 DEL 30 DE AGOSTO DE 2022</w:t>
          </w:r>
        </w:p>
      </w:tc>
      <w:tc>
        <w:tcPr>
          <w:tcW w:w="1324" w:type="dxa"/>
          <w:tcBorders>
            <w:top w:val="nil"/>
            <w:left w:val="nil"/>
            <w:bottom w:val="nil"/>
            <w:right w:val="nil"/>
          </w:tcBorders>
        </w:tcPr>
        <w:p w14:paraId="64467BF0" w14:textId="77777777" w:rsidR="0020796E" w:rsidRDefault="0020796E" w:rsidP="0020796E">
          <w:pPr>
            <w:jc w:val="right"/>
            <w:rPr>
              <w:rFonts w:eastAsia="Arial Nova" w:cs="Arial Nova"/>
              <w:sz w:val="22"/>
              <w:szCs w:val="22"/>
              <w:lang w:eastAsia="es-CO"/>
            </w:rPr>
          </w:pPr>
        </w:p>
      </w:tc>
      <w:tc>
        <w:tcPr>
          <w:tcW w:w="1324" w:type="dxa"/>
          <w:tcBorders>
            <w:top w:val="nil"/>
            <w:left w:val="nil"/>
            <w:bottom w:val="nil"/>
            <w:right w:val="nil"/>
          </w:tcBorders>
        </w:tcPr>
        <w:p w14:paraId="7F0DA02B" w14:textId="77777777" w:rsidR="0020796E" w:rsidRDefault="0020796E" w:rsidP="0020796E">
          <w:pPr>
            <w:jc w:val="right"/>
            <w:rPr>
              <w:rFonts w:eastAsia="Arial Nova" w:cs="Arial Nova"/>
              <w:lang w:eastAsia="es-CO"/>
            </w:rPr>
          </w:pPr>
        </w:p>
      </w:tc>
    </w:tr>
  </w:tbl>
  <w:p w14:paraId="5DBE9C96" w14:textId="263A9DAC" w:rsidR="00E2520A" w:rsidRDefault="0020796E" w:rsidP="0020796E">
    <w:r>
      <w:rPr>
        <w:noProof/>
      </w:rPr>
      <w:drawing>
        <wp:inline distT="0" distB="0" distL="0" distR="0" wp14:anchorId="31BFA4E7" wp14:editId="20260E75">
          <wp:extent cx="3238500" cy="762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6265F41"/>
    <w:multiLevelType w:val="hybridMultilevel"/>
    <w:tmpl w:val="57E0A038"/>
    <w:lvl w:ilvl="0" w:tplc="45F0579C">
      <w:start w:val="1"/>
      <w:numFmt w:val="upperLetter"/>
      <w:lvlText w:val="%1."/>
      <w:lvlJc w:val="left"/>
      <w:pPr>
        <w:ind w:left="1070" w:hanging="71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41EC3752"/>
    <w:multiLevelType w:val="hybridMultilevel"/>
    <w:tmpl w:val="6896A652"/>
    <w:lvl w:ilvl="0" w:tplc="9CAE3458">
      <w:start w:val="4"/>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0B480E"/>
    <w:multiLevelType w:val="hybridMultilevel"/>
    <w:tmpl w:val="5330C58C"/>
    <w:lvl w:ilvl="0" w:tplc="E8A0D3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9"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9"/>
  </w:num>
  <w:num w:numId="2" w16cid:durableId="1478569355">
    <w:abstractNumId w:val="17"/>
  </w:num>
  <w:num w:numId="3" w16cid:durableId="1952978564">
    <w:abstractNumId w:val="27"/>
  </w:num>
  <w:num w:numId="4" w16cid:durableId="1315186126">
    <w:abstractNumId w:val="32"/>
  </w:num>
  <w:num w:numId="5" w16cid:durableId="1309093109">
    <w:abstractNumId w:val="38"/>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3"/>
  </w:num>
  <w:num w:numId="8" w16cid:durableId="1008755670">
    <w:abstractNumId w:val="3"/>
  </w:num>
  <w:num w:numId="9" w16cid:durableId="65764095">
    <w:abstractNumId w:val="11"/>
  </w:num>
  <w:num w:numId="10" w16cid:durableId="134960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8"/>
  </w:num>
  <w:num w:numId="13" w16cid:durableId="1145464557">
    <w:abstractNumId w:val="25"/>
  </w:num>
  <w:num w:numId="14" w16cid:durableId="848450862">
    <w:abstractNumId w:val="14"/>
  </w:num>
  <w:num w:numId="15" w16cid:durableId="191215078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40"/>
  </w:num>
  <w:num w:numId="18" w16cid:durableId="718556045">
    <w:abstractNumId w:val="28"/>
  </w:num>
  <w:num w:numId="19" w16cid:durableId="2109496769">
    <w:abstractNumId w:val="10"/>
  </w:num>
  <w:num w:numId="20" w16cid:durableId="1574777690">
    <w:abstractNumId w:val="41"/>
  </w:num>
  <w:num w:numId="21" w16cid:durableId="343829570">
    <w:abstractNumId w:val="30"/>
  </w:num>
  <w:num w:numId="22" w16cid:durableId="1521091477">
    <w:abstractNumId w:val="13"/>
  </w:num>
  <w:num w:numId="23" w16cid:durableId="1406491540">
    <w:abstractNumId w:val="12"/>
  </w:num>
  <w:num w:numId="24" w16cid:durableId="216599317">
    <w:abstractNumId w:val="34"/>
  </w:num>
  <w:num w:numId="25" w16cid:durableId="706416597">
    <w:abstractNumId w:val="21"/>
  </w:num>
  <w:num w:numId="26" w16cid:durableId="270862301">
    <w:abstractNumId w:val="39"/>
  </w:num>
  <w:num w:numId="27" w16cid:durableId="1795712713">
    <w:abstractNumId w:val="43"/>
  </w:num>
  <w:num w:numId="28" w16cid:durableId="969941319">
    <w:abstractNumId w:val="26"/>
  </w:num>
  <w:num w:numId="29" w16cid:durableId="1808891589">
    <w:abstractNumId w:val="2"/>
  </w:num>
  <w:num w:numId="30" w16cid:durableId="1508400274">
    <w:abstractNumId w:val="29"/>
  </w:num>
  <w:num w:numId="31" w16cid:durableId="1848517314">
    <w:abstractNumId w:val="22"/>
  </w:num>
  <w:num w:numId="32" w16cid:durableId="1225678077">
    <w:abstractNumId w:val="31"/>
  </w:num>
  <w:num w:numId="33" w16cid:durableId="283007414">
    <w:abstractNumId w:val="42"/>
  </w:num>
  <w:num w:numId="34" w16cid:durableId="669528079">
    <w:abstractNumId w:val="20"/>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6"/>
    <w:lvlOverride w:ilvl="0"/>
    <w:lvlOverride w:ilvl="1">
      <w:startOverride w:val="1"/>
    </w:lvlOverride>
    <w:lvlOverride w:ilvl="2"/>
    <w:lvlOverride w:ilvl="3"/>
    <w:lvlOverride w:ilvl="4"/>
    <w:lvlOverride w:ilvl="5"/>
    <w:lvlOverride w:ilvl="6"/>
    <w:lvlOverride w:ilvl="7"/>
    <w:lvlOverride w:ilvl="8"/>
  </w:num>
  <w:num w:numId="42" w16cid:durableId="541553631">
    <w:abstractNumId w:val="36"/>
  </w:num>
  <w:num w:numId="43" w16cid:durableId="141616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976911">
    <w:abstractNumId w:val="37"/>
  </w:num>
  <w:num w:numId="45" w16cid:durableId="1544950817">
    <w:abstractNumId w:val="9"/>
  </w:num>
  <w:num w:numId="46" w16cid:durableId="13538749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2AA7"/>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66F"/>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5CEF"/>
    <w:rsid w:val="00016081"/>
    <w:rsid w:val="000165AC"/>
    <w:rsid w:val="00016651"/>
    <w:rsid w:val="00016881"/>
    <w:rsid w:val="000171A2"/>
    <w:rsid w:val="00017B65"/>
    <w:rsid w:val="00020158"/>
    <w:rsid w:val="000204EA"/>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747"/>
    <w:rsid w:val="00031384"/>
    <w:rsid w:val="000315E1"/>
    <w:rsid w:val="00031AD9"/>
    <w:rsid w:val="0003236E"/>
    <w:rsid w:val="000323E9"/>
    <w:rsid w:val="00033295"/>
    <w:rsid w:val="00033358"/>
    <w:rsid w:val="0003339A"/>
    <w:rsid w:val="00034134"/>
    <w:rsid w:val="000341F2"/>
    <w:rsid w:val="00034651"/>
    <w:rsid w:val="0003512A"/>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B8D"/>
    <w:rsid w:val="00046C09"/>
    <w:rsid w:val="00046EDB"/>
    <w:rsid w:val="0004716A"/>
    <w:rsid w:val="00047316"/>
    <w:rsid w:val="00047385"/>
    <w:rsid w:val="000473E8"/>
    <w:rsid w:val="00050021"/>
    <w:rsid w:val="000500E1"/>
    <w:rsid w:val="00050460"/>
    <w:rsid w:val="000504DE"/>
    <w:rsid w:val="00051074"/>
    <w:rsid w:val="0005211A"/>
    <w:rsid w:val="000528C3"/>
    <w:rsid w:val="00052B79"/>
    <w:rsid w:val="00052B86"/>
    <w:rsid w:val="00052EA0"/>
    <w:rsid w:val="000536E3"/>
    <w:rsid w:val="00053EDA"/>
    <w:rsid w:val="00054252"/>
    <w:rsid w:val="0005474D"/>
    <w:rsid w:val="00055CB9"/>
    <w:rsid w:val="00056534"/>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65A18"/>
    <w:rsid w:val="00070AF1"/>
    <w:rsid w:val="00070B59"/>
    <w:rsid w:val="000714DE"/>
    <w:rsid w:val="0007254F"/>
    <w:rsid w:val="000726D1"/>
    <w:rsid w:val="00073C30"/>
    <w:rsid w:val="00074090"/>
    <w:rsid w:val="00074305"/>
    <w:rsid w:val="00074B2A"/>
    <w:rsid w:val="00075057"/>
    <w:rsid w:val="00075108"/>
    <w:rsid w:val="00075B3E"/>
    <w:rsid w:val="00075F7D"/>
    <w:rsid w:val="00076456"/>
    <w:rsid w:val="00076604"/>
    <w:rsid w:val="0007779B"/>
    <w:rsid w:val="000777E7"/>
    <w:rsid w:val="0007790A"/>
    <w:rsid w:val="0008017B"/>
    <w:rsid w:val="00080287"/>
    <w:rsid w:val="00080ACD"/>
    <w:rsid w:val="00081076"/>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4CA"/>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1BA0"/>
    <w:rsid w:val="000A20D7"/>
    <w:rsid w:val="000A2128"/>
    <w:rsid w:val="000A362F"/>
    <w:rsid w:val="000A367A"/>
    <w:rsid w:val="000A3B49"/>
    <w:rsid w:val="000A41BA"/>
    <w:rsid w:val="000A446A"/>
    <w:rsid w:val="000A5AAF"/>
    <w:rsid w:val="000A5F97"/>
    <w:rsid w:val="000A648E"/>
    <w:rsid w:val="000A73BB"/>
    <w:rsid w:val="000A7EF4"/>
    <w:rsid w:val="000B0A15"/>
    <w:rsid w:val="000B0B7D"/>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683"/>
    <w:rsid w:val="000C7711"/>
    <w:rsid w:val="000C7AA2"/>
    <w:rsid w:val="000C7F0B"/>
    <w:rsid w:val="000D0462"/>
    <w:rsid w:val="000D053D"/>
    <w:rsid w:val="000D0CC7"/>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5C89"/>
    <w:rsid w:val="000E6139"/>
    <w:rsid w:val="000E6B73"/>
    <w:rsid w:val="000E6BE1"/>
    <w:rsid w:val="000E7E0B"/>
    <w:rsid w:val="000F078A"/>
    <w:rsid w:val="000F122D"/>
    <w:rsid w:val="000F1450"/>
    <w:rsid w:val="000F14E8"/>
    <w:rsid w:val="000F1BBD"/>
    <w:rsid w:val="000F2739"/>
    <w:rsid w:val="000F2928"/>
    <w:rsid w:val="000F3138"/>
    <w:rsid w:val="000F3D39"/>
    <w:rsid w:val="000F429A"/>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5EE"/>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4EEE"/>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AC6"/>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458"/>
    <w:rsid w:val="001946AE"/>
    <w:rsid w:val="001946D5"/>
    <w:rsid w:val="00194E8C"/>
    <w:rsid w:val="00194EF3"/>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A7FBE"/>
    <w:rsid w:val="001A7FD9"/>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498"/>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3E13"/>
    <w:rsid w:val="001E4258"/>
    <w:rsid w:val="001E442F"/>
    <w:rsid w:val="001E4587"/>
    <w:rsid w:val="001E56FF"/>
    <w:rsid w:val="001E5A69"/>
    <w:rsid w:val="001E5A7D"/>
    <w:rsid w:val="001E5B84"/>
    <w:rsid w:val="001E5D6A"/>
    <w:rsid w:val="001E62E9"/>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CC2"/>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077FA"/>
    <w:rsid w:val="0020796E"/>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0FBE"/>
    <w:rsid w:val="002221CE"/>
    <w:rsid w:val="00222BE8"/>
    <w:rsid w:val="00223102"/>
    <w:rsid w:val="002232CB"/>
    <w:rsid w:val="00224022"/>
    <w:rsid w:val="00225C7E"/>
    <w:rsid w:val="00226055"/>
    <w:rsid w:val="0022613F"/>
    <w:rsid w:val="00226236"/>
    <w:rsid w:val="00226287"/>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6E95"/>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059D"/>
    <w:rsid w:val="0026129B"/>
    <w:rsid w:val="00261560"/>
    <w:rsid w:val="00261715"/>
    <w:rsid w:val="00261CF9"/>
    <w:rsid w:val="00261EC0"/>
    <w:rsid w:val="0026231B"/>
    <w:rsid w:val="00262A26"/>
    <w:rsid w:val="0026306A"/>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24"/>
    <w:rsid w:val="0028565E"/>
    <w:rsid w:val="00285832"/>
    <w:rsid w:val="00285969"/>
    <w:rsid w:val="0028663B"/>
    <w:rsid w:val="00286CEC"/>
    <w:rsid w:val="002871A9"/>
    <w:rsid w:val="00287B7E"/>
    <w:rsid w:val="0029018A"/>
    <w:rsid w:val="00290781"/>
    <w:rsid w:val="002912D3"/>
    <w:rsid w:val="00291784"/>
    <w:rsid w:val="002929BB"/>
    <w:rsid w:val="00292E64"/>
    <w:rsid w:val="002932BA"/>
    <w:rsid w:val="00293669"/>
    <w:rsid w:val="00294368"/>
    <w:rsid w:val="00294B78"/>
    <w:rsid w:val="00295563"/>
    <w:rsid w:val="00295646"/>
    <w:rsid w:val="00295820"/>
    <w:rsid w:val="00295949"/>
    <w:rsid w:val="0029624A"/>
    <w:rsid w:val="00296922"/>
    <w:rsid w:val="0029697C"/>
    <w:rsid w:val="00296EAF"/>
    <w:rsid w:val="00297098"/>
    <w:rsid w:val="002A05D4"/>
    <w:rsid w:val="002A09FF"/>
    <w:rsid w:val="002A0C01"/>
    <w:rsid w:val="002A0E60"/>
    <w:rsid w:val="002A1343"/>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16B7"/>
    <w:rsid w:val="002B21AC"/>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A75"/>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970"/>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33BA"/>
    <w:rsid w:val="003043A3"/>
    <w:rsid w:val="00304B96"/>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1A60"/>
    <w:rsid w:val="0033245D"/>
    <w:rsid w:val="00332F46"/>
    <w:rsid w:val="00333A88"/>
    <w:rsid w:val="00333FFB"/>
    <w:rsid w:val="00334741"/>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014"/>
    <w:rsid w:val="003443DF"/>
    <w:rsid w:val="00344760"/>
    <w:rsid w:val="00344A64"/>
    <w:rsid w:val="0034680A"/>
    <w:rsid w:val="00346C62"/>
    <w:rsid w:val="0034778E"/>
    <w:rsid w:val="003479E0"/>
    <w:rsid w:val="003501E2"/>
    <w:rsid w:val="00350A59"/>
    <w:rsid w:val="00351E10"/>
    <w:rsid w:val="00352139"/>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679D0"/>
    <w:rsid w:val="003704A3"/>
    <w:rsid w:val="003706F2"/>
    <w:rsid w:val="0037124F"/>
    <w:rsid w:val="0037195B"/>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1F51"/>
    <w:rsid w:val="0038232C"/>
    <w:rsid w:val="00382BAD"/>
    <w:rsid w:val="00383A8D"/>
    <w:rsid w:val="00383B2B"/>
    <w:rsid w:val="003840E0"/>
    <w:rsid w:val="00384CD6"/>
    <w:rsid w:val="00384DF1"/>
    <w:rsid w:val="00384FF3"/>
    <w:rsid w:val="00385128"/>
    <w:rsid w:val="003852D5"/>
    <w:rsid w:val="003859DA"/>
    <w:rsid w:val="00386456"/>
    <w:rsid w:val="003865A9"/>
    <w:rsid w:val="00387642"/>
    <w:rsid w:val="00390088"/>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6C"/>
    <w:rsid w:val="003B2EF3"/>
    <w:rsid w:val="003B3676"/>
    <w:rsid w:val="003B4B1C"/>
    <w:rsid w:val="003B4CB2"/>
    <w:rsid w:val="003B534F"/>
    <w:rsid w:val="003B5391"/>
    <w:rsid w:val="003B5952"/>
    <w:rsid w:val="003B65D7"/>
    <w:rsid w:val="003B65E0"/>
    <w:rsid w:val="003B6BD4"/>
    <w:rsid w:val="003B6E93"/>
    <w:rsid w:val="003B6F4D"/>
    <w:rsid w:val="003B6FE7"/>
    <w:rsid w:val="003B7413"/>
    <w:rsid w:val="003C0791"/>
    <w:rsid w:val="003C0D1F"/>
    <w:rsid w:val="003C0FFB"/>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26"/>
    <w:rsid w:val="003F0F7F"/>
    <w:rsid w:val="003F300D"/>
    <w:rsid w:val="003F391F"/>
    <w:rsid w:val="003F4599"/>
    <w:rsid w:val="003F45E1"/>
    <w:rsid w:val="003F4F6C"/>
    <w:rsid w:val="003F516A"/>
    <w:rsid w:val="003F559E"/>
    <w:rsid w:val="003F5DB7"/>
    <w:rsid w:val="003F6181"/>
    <w:rsid w:val="003F63DF"/>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632"/>
    <w:rsid w:val="00423F9F"/>
    <w:rsid w:val="0042499B"/>
    <w:rsid w:val="00424FEC"/>
    <w:rsid w:val="0042540A"/>
    <w:rsid w:val="00425444"/>
    <w:rsid w:val="004255AB"/>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5DE5"/>
    <w:rsid w:val="00446037"/>
    <w:rsid w:val="0044642F"/>
    <w:rsid w:val="004468C3"/>
    <w:rsid w:val="00447021"/>
    <w:rsid w:val="0044772C"/>
    <w:rsid w:val="004502AA"/>
    <w:rsid w:val="004507BD"/>
    <w:rsid w:val="00450846"/>
    <w:rsid w:val="00450B1A"/>
    <w:rsid w:val="00450C87"/>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A78"/>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3D20"/>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5A37"/>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560"/>
    <w:rsid w:val="004B163F"/>
    <w:rsid w:val="004B2197"/>
    <w:rsid w:val="004B298A"/>
    <w:rsid w:val="004B459F"/>
    <w:rsid w:val="004B578D"/>
    <w:rsid w:val="004B5BE7"/>
    <w:rsid w:val="004B5E2D"/>
    <w:rsid w:val="004B5ED5"/>
    <w:rsid w:val="004B6793"/>
    <w:rsid w:val="004B6C07"/>
    <w:rsid w:val="004B72BB"/>
    <w:rsid w:val="004B74D3"/>
    <w:rsid w:val="004B76D3"/>
    <w:rsid w:val="004B777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345"/>
    <w:rsid w:val="004E4465"/>
    <w:rsid w:val="004E518D"/>
    <w:rsid w:val="004E5736"/>
    <w:rsid w:val="004E5B36"/>
    <w:rsid w:val="004E6045"/>
    <w:rsid w:val="004E6758"/>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4B0"/>
    <w:rsid w:val="0050062F"/>
    <w:rsid w:val="005012E2"/>
    <w:rsid w:val="00501481"/>
    <w:rsid w:val="0050160F"/>
    <w:rsid w:val="005016C7"/>
    <w:rsid w:val="0050284E"/>
    <w:rsid w:val="0050332C"/>
    <w:rsid w:val="00504F88"/>
    <w:rsid w:val="00505DCB"/>
    <w:rsid w:val="005075CA"/>
    <w:rsid w:val="00507D10"/>
    <w:rsid w:val="0051074C"/>
    <w:rsid w:val="00510DE9"/>
    <w:rsid w:val="00511142"/>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6D9"/>
    <w:rsid w:val="00523903"/>
    <w:rsid w:val="005239B6"/>
    <w:rsid w:val="00523C45"/>
    <w:rsid w:val="00524165"/>
    <w:rsid w:val="005242BA"/>
    <w:rsid w:val="005246E7"/>
    <w:rsid w:val="00524FD2"/>
    <w:rsid w:val="00525621"/>
    <w:rsid w:val="00525B2E"/>
    <w:rsid w:val="00525E61"/>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C80"/>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29A"/>
    <w:rsid w:val="005564CA"/>
    <w:rsid w:val="005568EA"/>
    <w:rsid w:val="00557140"/>
    <w:rsid w:val="00557DE4"/>
    <w:rsid w:val="0056058C"/>
    <w:rsid w:val="00560C87"/>
    <w:rsid w:val="00560EF9"/>
    <w:rsid w:val="00560F51"/>
    <w:rsid w:val="005611CF"/>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5E0"/>
    <w:rsid w:val="00567723"/>
    <w:rsid w:val="00567AB8"/>
    <w:rsid w:val="00567C02"/>
    <w:rsid w:val="005707F7"/>
    <w:rsid w:val="00570A26"/>
    <w:rsid w:val="00571301"/>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6F4"/>
    <w:rsid w:val="0058375E"/>
    <w:rsid w:val="00584233"/>
    <w:rsid w:val="005842D0"/>
    <w:rsid w:val="0058457E"/>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4363"/>
    <w:rsid w:val="005948B5"/>
    <w:rsid w:val="00595FDD"/>
    <w:rsid w:val="00596AF7"/>
    <w:rsid w:val="00596CCE"/>
    <w:rsid w:val="00596E4A"/>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48D"/>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398B"/>
    <w:rsid w:val="005D41F2"/>
    <w:rsid w:val="005D4613"/>
    <w:rsid w:val="005D464B"/>
    <w:rsid w:val="005D466F"/>
    <w:rsid w:val="005D49F0"/>
    <w:rsid w:val="005D50BA"/>
    <w:rsid w:val="005D51FA"/>
    <w:rsid w:val="005D53E8"/>
    <w:rsid w:val="005D5A26"/>
    <w:rsid w:val="005D5A9D"/>
    <w:rsid w:val="005D60D4"/>
    <w:rsid w:val="005D6651"/>
    <w:rsid w:val="005D691D"/>
    <w:rsid w:val="005D6A72"/>
    <w:rsid w:val="005D7035"/>
    <w:rsid w:val="005D7147"/>
    <w:rsid w:val="005D7312"/>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34D"/>
    <w:rsid w:val="0061085E"/>
    <w:rsid w:val="00610DAF"/>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1F4"/>
    <w:rsid w:val="00622470"/>
    <w:rsid w:val="00622725"/>
    <w:rsid w:val="006231AA"/>
    <w:rsid w:val="00623482"/>
    <w:rsid w:val="00623AC2"/>
    <w:rsid w:val="00623E9C"/>
    <w:rsid w:val="00623FF7"/>
    <w:rsid w:val="006240EF"/>
    <w:rsid w:val="0062471F"/>
    <w:rsid w:val="00624C21"/>
    <w:rsid w:val="00625A26"/>
    <w:rsid w:val="00625F38"/>
    <w:rsid w:val="006266D7"/>
    <w:rsid w:val="00626D42"/>
    <w:rsid w:val="00626EE3"/>
    <w:rsid w:val="006274AD"/>
    <w:rsid w:val="00627532"/>
    <w:rsid w:val="006302AA"/>
    <w:rsid w:val="00630921"/>
    <w:rsid w:val="006310C3"/>
    <w:rsid w:val="0063161E"/>
    <w:rsid w:val="0063167C"/>
    <w:rsid w:val="00631A31"/>
    <w:rsid w:val="00631BB5"/>
    <w:rsid w:val="00631DD0"/>
    <w:rsid w:val="0063295C"/>
    <w:rsid w:val="00633367"/>
    <w:rsid w:val="00633DBF"/>
    <w:rsid w:val="00634122"/>
    <w:rsid w:val="00634504"/>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8A1"/>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160D"/>
    <w:rsid w:val="00672971"/>
    <w:rsid w:val="00672DE7"/>
    <w:rsid w:val="00672E80"/>
    <w:rsid w:val="00673563"/>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1F30"/>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0FDB"/>
    <w:rsid w:val="00691DE9"/>
    <w:rsid w:val="00691EAA"/>
    <w:rsid w:val="00692245"/>
    <w:rsid w:val="00692FFA"/>
    <w:rsid w:val="006932E0"/>
    <w:rsid w:val="00693772"/>
    <w:rsid w:val="0069378B"/>
    <w:rsid w:val="00694160"/>
    <w:rsid w:val="006959A5"/>
    <w:rsid w:val="00695C0C"/>
    <w:rsid w:val="00696736"/>
    <w:rsid w:val="00696A05"/>
    <w:rsid w:val="00696DCD"/>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5CC2"/>
    <w:rsid w:val="006A63EB"/>
    <w:rsid w:val="006A6655"/>
    <w:rsid w:val="006A6803"/>
    <w:rsid w:val="006A6B0B"/>
    <w:rsid w:val="006A6BF9"/>
    <w:rsid w:val="006A6F85"/>
    <w:rsid w:val="006A7CB5"/>
    <w:rsid w:val="006A7FD0"/>
    <w:rsid w:val="006B025C"/>
    <w:rsid w:val="006B1025"/>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E32"/>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A60"/>
    <w:rsid w:val="006D7D1F"/>
    <w:rsid w:val="006D7D8A"/>
    <w:rsid w:val="006E0572"/>
    <w:rsid w:val="006E05D8"/>
    <w:rsid w:val="006E08EE"/>
    <w:rsid w:val="006E0DFD"/>
    <w:rsid w:val="006E1130"/>
    <w:rsid w:val="006E155A"/>
    <w:rsid w:val="006E3452"/>
    <w:rsid w:val="006E39D1"/>
    <w:rsid w:val="006E437F"/>
    <w:rsid w:val="006E4D5B"/>
    <w:rsid w:val="006E602F"/>
    <w:rsid w:val="006E6720"/>
    <w:rsid w:val="006E68FA"/>
    <w:rsid w:val="006E7275"/>
    <w:rsid w:val="006E77B8"/>
    <w:rsid w:val="006E7824"/>
    <w:rsid w:val="006F15CC"/>
    <w:rsid w:val="006F18B8"/>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3FF"/>
    <w:rsid w:val="0070157E"/>
    <w:rsid w:val="007030D4"/>
    <w:rsid w:val="0070317C"/>
    <w:rsid w:val="00703279"/>
    <w:rsid w:val="00703B61"/>
    <w:rsid w:val="00703B97"/>
    <w:rsid w:val="00703E11"/>
    <w:rsid w:val="00704102"/>
    <w:rsid w:val="0070461C"/>
    <w:rsid w:val="00705631"/>
    <w:rsid w:val="00705818"/>
    <w:rsid w:val="00705F62"/>
    <w:rsid w:val="007064F0"/>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D6A"/>
    <w:rsid w:val="00713FC5"/>
    <w:rsid w:val="007151E1"/>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1200"/>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12E"/>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5C2"/>
    <w:rsid w:val="00752ABF"/>
    <w:rsid w:val="007537BD"/>
    <w:rsid w:val="00753BAC"/>
    <w:rsid w:val="00754A0B"/>
    <w:rsid w:val="007552DB"/>
    <w:rsid w:val="00755B08"/>
    <w:rsid w:val="00755DD0"/>
    <w:rsid w:val="0075647A"/>
    <w:rsid w:val="007566BE"/>
    <w:rsid w:val="00756A2F"/>
    <w:rsid w:val="00757094"/>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39FF"/>
    <w:rsid w:val="00764996"/>
    <w:rsid w:val="0076522C"/>
    <w:rsid w:val="00766ECC"/>
    <w:rsid w:val="007672F3"/>
    <w:rsid w:val="007676A9"/>
    <w:rsid w:val="007677B5"/>
    <w:rsid w:val="007678B1"/>
    <w:rsid w:val="00770317"/>
    <w:rsid w:val="007708A8"/>
    <w:rsid w:val="007720F7"/>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354"/>
    <w:rsid w:val="007825EF"/>
    <w:rsid w:val="007827B0"/>
    <w:rsid w:val="0078286B"/>
    <w:rsid w:val="00782D2C"/>
    <w:rsid w:val="00782FC2"/>
    <w:rsid w:val="007838B5"/>
    <w:rsid w:val="00784FC4"/>
    <w:rsid w:val="00785888"/>
    <w:rsid w:val="00785BBB"/>
    <w:rsid w:val="00786FAD"/>
    <w:rsid w:val="007873C9"/>
    <w:rsid w:val="00787D90"/>
    <w:rsid w:val="00787F5E"/>
    <w:rsid w:val="00790164"/>
    <w:rsid w:val="007906E2"/>
    <w:rsid w:val="00790A24"/>
    <w:rsid w:val="00790A37"/>
    <w:rsid w:val="00790A60"/>
    <w:rsid w:val="00790CE2"/>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A5962"/>
    <w:rsid w:val="007A7F74"/>
    <w:rsid w:val="007B00D8"/>
    <w:rsid w:val="007B0313"/>
    <w:rsid w:val="007B05FB"/>
    <w:rsid w:val="007B0854"/>
    <w:rsid w:val="007B0E48"/>
    <w:rsid w:val="007B18FD"/>
    <w:rsid w:val="007B1D1B"/>
    <w:rsid w:val="007B1D1E"/>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4AD4"/>
    <w:rsid w:val="007E5C4A"/>
    <w:rsid w:val="007E64D4"/>
    <w:rsid w:val="007E66E9"/>
    <w:rsid w:val="007E69F2"/>
    <w:rsid w:val="007E7432"/>
    <w:rsid w:val="007E74BF"/>
    <w:rsid w:val="007E79BA"/>
    <w:rsid w:val="007F14D3"/>
    <w:rsid w:val="007F1C42"/>
    <w:rsid w:val="007F1D9D"/>
    <w:rsid w:val="007F1E28"/>
    <w:rsid w:val="007F1F63"/>
    <w:rsid w:val="007F21D8"/>
    <w:rsid w:val="007F22A0"/>
    <w:rsid w:val="007F28FB"/>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0C5B"/>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4BF3"/>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2FDC"/>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498"/>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1EE"/>
    <w:rsid w:val="00874607"/>
    <w:rsid w:val="00874915"/>
    <w:rsid w:val="00874B89"/>
    <w:rsid w:val="008752DA"/>
    <w:rsid w:val="00875403"/>
    <w:rsid w:val="00875434"/>
    <w:rsid w:val="00875C2F"/>
    <w:rsid w:val="00875E7C"/>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5D6C"/>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78D"/>
    <w:rsid w:val="008C0B4C"/>
    <w:rsid w:val="008C11F0"/>
    <w:rsid w:val="008C1DBA"/>
    <w:rsid w:val="008C20B8"/>
    <w:rsid w:val="008C24E7"/>
    <w:rsid w:val="008C2500"/>
    <w:rsid w:val="008C2792"/>
    <w:rsid w:val="008C2CAC"/>
    <w:rsid w:val="008C3E2A"/>
    <w:rsid w:val="008C3FFC"/>
    <w:rsid w:val="008C45BD"/>
    <w:rsid w:val="008C4B19"/>
    <w:rsid w:val="008C5295"/>
    <w:rsid w:val="008C548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A5"/>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44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4B2F"/>
    <w:rsid w:val="00925743"/>
    <w:rsid w:val="0092579F"/>
    <w:rsid w:val="00927E8D"/>
    <w:rsid w:val="00927F23"/>
    <w:rsid w:val="00930698"/>
    <w:rsid w:val="00930727"/>
    <w:rsid w:val="009307CD"/>
    <w:rsid w:val="00930C81"/>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3A7E"/>
    <w:rsid w:val="00964138"/>
    <w:rsid w:val="00964B3F"/>
    <w:rsid w:val="00964C98"/>
    <w:rsid w:val="00964D5B"/>
    <w:rsid w:val="00964E0A"/>
    <w:rsid w:val="0096566C"/>
    <w:rsid w:val="00965FF8"/>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376"/>
    <w:rsid w:val="009827E6"/>
    <w:rsid w:val="00982E70"/>
    <w:rsid w:val="00982F84"/>
    <w:rsid w:val="0098427D"/>
    <w:rsid w:val="00984567"/>
    <w:rsid w:val="00985102"/>
    <w:rsid w:val="00986333"/>
    <w:rsid w:val="009865D5"/>
    <w:rsid w:val="009876F2"/>
    <w:rsid w:val="00987716"/>
    <w:rsid w:val="00987A38"/>
    <w:rsid w:val="00987C77"/>
    <w:rsid w:val="00990345"/>
    <w:rsid w:val="00990701"/>
    <w:rsid w:val="0099090B"/>
    <w:rsid w:val="00990BC7"/>
    <w:rsid w:val="0099119C"/>
    <w:rsid w:val="0099137A"/>
    <w:rsid w:val="00991805"/>
    <w:rsid w:val="0099211C"/>
    <w:rsid w:val="00993158"/>
    <w:rsid w:val="00993B78"/>
    <w:rsid w:val="0099483A"/>
    <w:rsid w:val="00995119"/>
    <w:rsid w:val="009953AD"/>
    <w:rsid w:val="00995503"/>
    <w:rsid w:val="0099583D"/>
    <w:rsid w:val="00995B7C"/>
    <w:rsid w:val="00996992"/>
    <w:rsid w:val="00996D51"/>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27F"/>
    <w:rsid w:val="009B199E"/>
    <w:rsid w:val="009B1D4D"/>
    <w:rsid w:val="009B257D"/>
    <w:rsid w:val="009B27AC"/>
    <w:rsid w:val="009B2E29"/>
    <w:rsid w:val="009B3163"/>
    <w:rsid w:val="009B422F"/>
    <w:rsid w:val="009B46BC"/>
    <w:rsid w:val="009B4D1A"/>
    <w:rsid w:val="009B527F"/>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AF8"/>
    <w:rsid w:val="009D6E3A"/>
    <w:rsid w:val="009D70C2"/>
    <w:rsid w:val="009D7278"/>
    <w:rsid w:val="009D747A"/>
    <w:rsid w:val="009D773A"/>
    <w:rsid w:val="009D7ADB"/>
    <w:rsid w:val="009D7B33"/>
    <w:rsid w:val="009E0703"/>
    <w:rsid w:val="009E0E95"/>
    <w:rsid w:val="009E16DA"/>
    <w:rsid w:val="009E1CD4"/>
    <w:rsid w:val="009E20DC"/>
    <w:rsid w:val="009E2391"/>
    <w:rsid w:val="009E432E"/>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07A"/>
    <w:rsid w:val="009F59C2"/>
    <w:rsid w:val="009F61DE"/>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2E91"/>
    <w:rsid w:val="00A143EC"/>
    <w:rsid w:val="00A14A60"/>
    <w:rsid w:val="00A1500F"/>
    <w:rsid w:val="00A15621"/>
    <w:rsid w:val="00A15670"/>
    <w:rsid w:val="00A157A0"/>
    <w:rsid w:val="00A1585B"/>
    <w:rsid w:val="00A15BBC"/>
    <w:rsid w:val="00A15C19"/>
    <w:rsid w:val="00A1656E"/>
    <w:rsid w:val="00A16809"/>
    <w:rsid w:val="00A17769"/>
    <w:rsid w:val="00A17EA2"/>
    <w:rsid w:val="00A20264"/>
    <w:rsid w:val="00A20997"/>
    <w:rsid w:val="00A21454"/>
    <w:rsid w:val="00A22025"/>
    <w:rsid w:val="00A220AB"/>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3D6C"/>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00F3"/>
    <w:rsid w:val="00A51520"/>
    <w:rsid w:val="00A5292D"/>
    <w:rsid w:val="00A52CC5"/>
    <w:rsid w:val="00A52D3F"/>
    <w:rsid w:val="00A52EE5"/>
    <w:rsid w:val="00A53037"/>
    <w:rsid w:val="00A532B9"/>
    <w:rsid w:val="00A5351D"/>
    <w:rsid w:val="00A53D84"/>
    <w:rsid w:val="00A53E79"/>
    <w:rsid w:val="00A54031"/>
    <w:rsid w:val="00A5426D"/>
    <w:rsid w:val="00A5491E"/>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4C"/>
    <w:rsid w:val="00A71EA7"/>
    <w:rsid w:val="00A72849"/>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1FDA"/>
    <w:rsid w:val="00AA24FD"/>
    <w:rsid w:val="00AA3D7B"/>
    <w:rsid w:val="00AA42A0"/>
    <w:rsid w:val="00AA42E3"/>
    <w:rsid w:val="00AA442B"/>
    <w:rsid w:val="00AA46A4"/>
    <w:rsid w:val="00AA4F3D"/>
    <w:rsid w:val="00AA5687"/>
    <w:rsid w:val="00AA5779"/>
    <w:rsid w:val="00AA58A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97A"/>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BE0"/>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0F"/>
    <w:rsid w:val="00B24591"/>
    <w:rsid w:val="00B245D5"/>
    <w:rsid w:val="00B24C36"/>
    <w:rsid w:val="00B24D49"/>
    <w:rsid w:val="00B24F94"/>
    <w:rsid w:val="00B25126"/>
    <w:rsid w:val="00B25A52"/>
    <w:rsid w:val="00B25B0A"/>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0CC"/>
    <w:rsid w:val="00B4046F"/>
    <w:rsid w:val="00B40B47"/>
    <w:rsid w:val="00B40C0B"/>
    <w:rsid w:val="00B41D39"/>
    <w:rsid w:val="00B422C0"/>
    <w:rsid w:val="00B426CA"/>
    <w:rsid w:val="00B426E1"/>
    <w:rsid w:val="00B4298E"/>
    <w:rsid w:val="00B42B61"/>
    <w:rsid w:val="00B43139"/>
    <w:rsid w:val="00B437F8"/>
    <w:rsid w:val="00B4387A"/>
    <w:rsid w:val="00B44196"/>
    <w:rsid w:val="00B44260"/>
    <w:rsid w:val="00B44746"/>
    <w:rsid w:val="00B44854"/>
    <w:rsid w:val="00B44E8C"/>
    <w:rsid w:val="00B453FE"/>
    <w:rsid w:val="00B458D0"/>
    <w:rsid w:val="00B46120"/>
    <w:rsid w:val="00B47040"/>
    <w:rsid w:val="00B47694"/>
    <w:rsid w:val="00B4792C"/>
    <w:rsid w:val="00B50CAE"/>
    <w:rsid w:val="00B512AD"/>
    <w:rsid w:val="00B5196C"/>
    <w:rsid w:val="00B525CB"/>
    <w:rsid w:val="00B52697"/>
    <w:rsid w:val="00B53E7C"/>
    <w:rsid w:val="00B5400D"/>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BBE"/>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335"/>
    <w:rsid w:val="00B80C72"/>
    <w:rsid w:val="00B81964"/>
    <w:rsid w:val="00B81E0A"/>
    <w:rsid w:val="00B81E6F"/>
    <w:rsid w:val="00B82123"/>
    <w:rsid w:val="00B8225B"/>
    <w:rsid w:val="00B82BB5"/>
    <w:rsid w:val="00B83182"/>
    <w:rsid w:val="00B83811"/>
    <w:rsid w:val="00B83B09"/>
    <w:rsid w:val="00B84684"/>
    <w:rsid w:val="00B84866"/>
    <w:rsid w:val="00B848DF"/>
    <w:rsid w:val="00B851E4"/>
    <w:rsid w:val="00B854CE"/>
    <w:rsid w:val="00B85681"/>
    <w:rsid w:val="00B857EB"/>
    <w:rsid w:val="00B86162"/>
    <w:rsid w:val="00B86877"/>
    <w:rsid w:val="00B8695D"/>
    <w:rsid w:val="00B86977"/>
    <w:rsid w:val="00B86D58"/>
    <w:rsid w:val="00B86E5D"/>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10A"/>
    <w:rsid w:val="00B97392"/>
    <w:rsid w:val="00B973C6"/>
    <w:rsid w:val="00B97691"/>
    <w:rsid w:val="00B976C7"/>
    <w:rsid w:val="00BA0C54"/>
    <w:rsid w:val="00BA1382"/>
    <w:rsid w:val="00BA1D64"/>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1862"/>
    <w:rsid w:val="00BC229E"/>
    <w:rsid w:val="00BC23C0"/>
    <w:rsid w:val="00BC2898"/>
    <w:rsid w:val="00BC2928"/>
    <w:rsid w:val="00BC2AA9"/>
    <w:rsid w:val="00BC2BB1"/>
    <w:rsid w:val="00BC34A3"/>
    <w:rsid w:val="00BC3ED5"/>
    <w:rsid w:val="00BC3FF9"/>
    <w:rsid w:val="00BC4834"/>
    <w:rsid w:val="00BC4A97"/>
    <w:rsid w:val="00BC5A25"/>
    <w:rsid w:val="00BC5FDD"/>
    <w:rsid w:val="00BC68B4"/>
    <w:rsid w:val="00BC6C2D"/>
    <w:rsid w:val="00BC762B"/>
    <w:rsid w:val="00BC7B9A"/>
    <w:rsid w:val="00BD00A9"/>
    <w:rsid w:val="00BD0140"/>
    <w:rsid w:val="00BD02CC"/>
    <w:rsid w:val="00BD1675"/>
    <w:rsid w:val="00BD2063"/>
    <w:rsid w:val="00BD33D9"/>
    <w:rsid w:val="00BD38C5"/>
    <w:rsid w:val="00BD3A59"/>
    <w:rsid w:val="00BD3C11"/>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356"/>
    <w:rsid w:val="00BF37EC"/>
    <w:rsid w:val="00BF3A45"/>
    <w:rsid w:val="00BF436F"/>
    <w:rsid w:val="00BF4EC5"/>
    <w:rsid w:val="00BF5723"/>
    <w:rsid w:val="00BF5C05"/>
    <w:rsid w:val="00BF60C8"/>
    <w:rsid w:val="00BF6A7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955"/>
    <w:rsid w:val="00C06CCF"/>
    <w:rsid w:val="00C108B8"/>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80E"/>
    <w:rsid w:val="00C16E9D"/>
    <w:rsid w:val="00C176D5"/>
    <w:rsid w:val="00C2082C"/>
    <w:rsid w:val="00C20832"/>
    <w:rsid w:val="00C209F7"/>
    <w:rsid w:val="00C20D8A"/>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1F7F"/>
    <w:rsid w:val="00C421A3"/>
    <w:rsid w:val="00C42247"/>
    <w:rsid w:val="00C439BE"/>
    <w:rsid w:val="00C443CC"/>
    <w:rsid w:val="00C44E61"/>
    <w:rsid w:val="00C4539B"/>
    <w:rsid w:val="00C45466"/>
    <w:rsid w:val="00C455C1"/>
    <w:rsid w:val="00C4581D"/>
    <w:rsid w:val="00C47472"/>
    <w:rsid w:val="00C47EA5"/>
    <w:rsid w:val="00C500F0"/>
    <w:rsid w:val="00C502BB"/>
    <w:rsid w:val="00C504A7"/>
    <w:rsid w:val="00C50636"/>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DBF"/>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34F3"/>
    <w:rsid w:val="00C74F3F"/>
    <w:rsid w:val="00C760DC"/>
    <w:rsid w:val="00C764E2"/>
    <w:rsid w:val="00C800AB"/>
    <w:rsid w:val="00C8082B"/>
    <w:rsid w:val="00C81A88"/>
    <w:rsid w:val="00C81AEC"/>
    <w:rsid w:val="00C81D46"/>
    <w:rsid w:val="00C820AD"/>
    <w:rsid w:val="00C82298"/>
    <w:rsid w:val="00C82F91"/>
    <w:rsid w:val="00C82F97"/>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375F"/>
    <w:rsid w:val="00CA41E7"/>
    <w:rsid w:val="00CA4B2B"/>
    <w:rsid w:val="00CA5520"/>
    <w:rsid w:val="00CA5812"/>
    <w:rsid w:val="00CA5BD4"/>
    <w:rsid w:val="00CA5C14"/>
    <w:rsid w:val="00CA76FC"/>
    <w:rsid w:val="00CA7E7B"/>
    <w:rsid w:val="00CB0236"/>
    <w:rsid w:val="00CB0A07"/>
    <w:rsid w:val="00CB1324"/>
    <w:rsid w:val="00CB19E3"/>
    <w:rsid w:val="00CB2C3A"/>
    <w:rsid w:val="00CB2D38"/>
    <w:rsid w:val="00CB353F"/>
    <w:rsid w:val="00CB365A"/>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0731"/>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DF4"/>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1E0B"/>
    <w:rsid w:val="00D12D82"/>
    <w:rsid w:val="00D1306E"/>
    <w:rsid w:val="00D134CD"/>
    <w:rsid w:val="00D13CE5"/>
    <w:rsid w:val="00D13D98"/>
    <w:rsid w:val="00D14B5F"/>
    <w:rsid w:val="00D14E13"/>
    <w:rsid w:val="00D14F23"/>
    <w:rsid w:val="00D14F2C"/>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CB5"/>
    <w:rsid w:val="00D22DC8"/>
    <w:rsid w:val="00D24ECD"/>
    <w:rsid w:val="00D2522A"/>
    <w:rsid w:val="00D2531C"/>
    <w:rsid w:val="00D255F3"/>
    <w:rsid w:val="00D25FC7"/>
    <w:rsid w:val="00D26C21"/>
    <w:rsid w:val="00D2742F"/>
    <w:rsid w:val="00D2754F"/>
    <w:rsid w:val="00D27793"/>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3988"/>
    <w:rsid w:val="00D4498E"/>
    <w:rsid w:val="00D4515F"/>
    <w:rsid w:val="00D451E8"/>
    <w:rsid w:val="00D45FED"/>
    <w:rsid w:val="00D4636B"/>
    <w:rsid w:val="00D466C9"/>
    <w:rsid w:val="00D467D8"/>
    <w:rsid w:val="00D47275"/>
    <w:rsid w:val="00D4750C"/>
    <w:rsid w:val="00D4767B"/>
    <w:rsid w:val="00D50AEF"/>
    <w:rsid w:val="00D50C39"/>
    <w:rsid w:val="00D51E15"/>
    <w:rsid w:val="00D52B7E"/>
    <w:rsid w:val="00D52E2F"/>
    <w:rsid w:val="00D52F59"/>
    <w:rsid w:val="00D5328F"/>
    <w:rsid w:val="00D53E3E"/>
    <w:rsid w:val="00D55279"/>
    <w:rsid w:val="00D55904"/>
    <w:rsid w:val="00D5616F"/>
    <w:rsid w:val="00D56724"/>
    <w:rsid w:val="00D57550"/>
    <w:rsid w:val="00D57940"/>
    <w:rsid w:val="00D60327"/>
    <w:rsid w:val="00D61526"/>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883"/>
    <w:rsid w:val="00D67BC7"/>
    <w:rsid w:val="00D701F1"/>
    <w:rsid w:val="00D705D3"/>
    <w:rsid w:val="00D7088A"/>
    <w:rsid w:val="00D70E00"/>
    <w:rsid w:val="00D71014"/>
    <w:rsid w:val="00D7159C"/>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2856"/>
    <w:rsid w:val="00D9310B"/>
    <w:rsid w:val="00D93299"/>
    <w:rsid w:val="00D93726"/>
    <w:rsid w:val="00D93DD3"/>
    <w:rsid w:val="00D93F3E"/>
    <w:rsid w:val="00D9405B"/>
    <w:rsid w:val="00D94942"/>
    <w:rsid w:val="00D94C96"/>
    <w:rsid w:val="00D95145"/>
    <w:rsid w:val="00D96418"/>
    <w:rsid w:val="00D967CB"/>
    <w:rsid w:val="00D96EE0"/>
    <w:rsid w:val="00D97BD1"/>
    <w:rsid w:val="00DA06B8"/>
    <w:rsid w:val="00DA286D"/>
    <w:rsid w:val="00DA2969"/>
    <w:rsid w:val="00DA29B7"/>
    <w:rsid w:val="00DA3BC0"/>
    <w:rsid w:val="00DA4842"/>
    <w:rsid w:val="00DA49EF"/>
    <w:rsid w:val="00DA5989"/>
    <w:rsid w:val="00DA5AB1"/>
    <w:rsid w:val="00DA5F9D"/>
    <w:rsid w:val="00DA69B2"/>
    <w:rsid w:val="00DA6A7B"/>
    <w:rsid w:val="00DA735F"/>
    <w:rsid w:val="00DA7462"/>
    <w:rsid w:val="00DA777E"/>
    <w:rsid w:val="00DA7AD0"/>
    <w:rsid w:val="00DA7C08"/>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5B2"/>
    <w:rsid w:val="00DB7760"/>
    <w:rsid w:val="00DB7CF6"/>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C7CE5"/>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B48"/>
    <w:rsid w:val="00DE3F23"/>
    <w:rsid w:val="00DE3FF0"/>
    <w:rsid w:val="00DE4105"/>
    <w:rsid w:val="00DE5189"/>
    <w:rsid w:val="00DE6230"/>
    <w:rsid w:val="00DE7108"/>
    <w:rsid w:val="00DE78D1"/>
    <w:rsid w:val="00DF0263"/>
    <w:rsid w:val="00DF06D2"/>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1ED"/>
    <w:rsid w:val="00E0573A"/>
    <w:rsid w:val="00E057BA"/>
    <w:rsid w:val="00E057C0"/>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27"/>
    <w:rsid w:val="00E3044A"/>
    <w:rsid w:val="00E304DD"/>
    <w:rsid w:val="00E3189C"/>
    <w:rsid w:val="00E31A4A"/>
    <w:rsid w:val="00E31C43"/>
    <w:rsid w:val="00E321D8"/>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42F"/>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77D4E"/>
    <w:rsid w:val="00E8029A"/>
    <w:rsid w:val="00E803A6"/>
    <w:rsid w:val="00E81653"/>
    <w:rsid w:val="00E823F9"/>
    <w:rsid w:val="00E82C1F"/>
    <w:rsid w:val="00E82EEA"/>
    <w:rsid w:val="00E83671"/>
    <w:rsid w:val="00E8414B"/>
    <w:rsid w:val="00E84793"/>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0D0"/>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1B"/>
    <w:rsid w:val="00EB1573"/>
    <w:rsid w:val="00EB1650"/>
    <w:rsid w:val="00EB17CA"/>
    <w:rsid w:val="00EB1910"/>
    <w:rsid w:val="00EB1D24"/>
    <w:rsid w:val="00EB209B"/>
    <w:rsid w:val="00EB228E"/>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238"/>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5CA"/>
    <w:rsid w:val="00F32C50"/>
    <w:rsid w:val="00F33980"/>
    <w:rsid w:val="00F3399B"/>
    <w:rsid w:val="00F33C1A"/>
    <w:rsid w:val="00F3461B"/>
    <w:rsid w:val="00F346ED"/>
    <w:rsid w:val="00F34945"/>
    <w:rsid w:val="00F34E1E"/>
    <w:rsid w:val="00F351E8"/>
    <w:rsid w:val="00F353FF"/>
    <w:rsid w:val="00F3570C"/>
    <w:rsid w:val="00F36030"/>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30A"/>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3ADC"/>
    <w:rsid w:val="00F55679"/>
    <w:rsid w:val="00F561E3"/>
    <w:rsid w:val="00F565E6"/>
    <w:rsid w:val="00F56AFA"/>
    <w:rsid w:val="00F575E2"/>
    <w:rsid w:val="00F579FF"/>
    <w:rsid w:val="00F600E0"/>
    <w:rsid w:val="00F600FD"/>
    <w:rsid w:val="00F605EC"/>
    <w:rsid w:val="00F60F60"/>
    <w:rsid w:val="00F612CE"/>
    <w:rsid w:val="00F6206F"/>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9B4"/>
    <w:rsid w:val="00F73C77"/>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4D40"/>
    <w:rsid w:val="00F95075"/>
    <w:rsid w:val="00F9537B"/>
    <w:rsid w:val="00F95467"/>
    <w:rsid w:val="00F954BA"/>
    <w:rsid w:val="00F95567"/>
    <w:rsid w:val="00F9574A"/>
    <w:rsid w:val="00F963FC"/>
    <w:rsid w:val="00F96F06"/>
    <w:rsid w:val="00F96FD6"/>
    <w:rsid w:val="00FA015F"/>
    <w:rsid w:val="00FA0FAC"/>
    <w:rsid w:val="00FA1DA2"/>
    <w:rsid w:val="00FA3414"/>
    <w:rsid w:val="00FA347A"/>
    <w:rsid w:val="00FA39D7"/>
    <w:rsid w:val="00FA3CDE"/>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1D1"/>
    <w:rsid w:val="00FB630E"/>
    <w:rsid w:val="00FB6738"/>
    <w:rsid w:val="00FB691B"/>
    <w:rsid w:val="00FB731C"/>
    <w:rsid w:val="00FB7DF8"/>
    <w:rsid w:val="00FC05A0"/>
    <w:rsid w:val="00FC0811"/>
    <w:rsid w:val="00FC1196"/>
    <w:rsid w:val="00FC15EB"/>
    <w:rsid w:val="00FC18DC"/>
    <w:rsid w:val="00FC2AC4"/>
    <w:rsid w:val="00FC2D6D"/>
    <w:rsid w:val="00FC2D6F"/>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2B5"/>
    <w:rsid w:val="00FD04AE"/>
    <w:rsid w:val="00FD086B"/>
    <w:rsid w:val="00FD1890"/>
    <w:rsid w:val="00FD1994"/>
    <w:rsid w:val="00FD1B08"/>
    <w:rsid w:val="00FD21A9"/>
    <w:rsid w:val="00FD2AC8"/>
    <w:rsid w:val="00FD2CA6"/>
    <w:rsid w:val="00FD3508"/>
    <w:rsid w:val="00FD393C"/>
    <w:rsid w:val="00FD3D53"/>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1B2"/>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679"/>
    <w:rsid w:val="00FF0712"/>
    <w:rsid w:val="00FF0976"/>
    <w:rsid w:val="00FF13D4"/>
    <w:rsid w:val="00FF2053"/>
    <w:rsid w:val="00FF2F4E"/>
    <w:rsid w:val="00FF3B37"/>
    <w:rsid w:val="00FF3D6F"/>
    <w:rsid w:val="00FF4BD8"/>
    <w:rsid w:val="00FF4D11"/>
    <w:rsid w:val="00FF5214"/>
    <w:rsid w:val="00FF53A5"/>
    <w:rsid w:val="00FF596E"/>
    <w:rsid w:val="00FF5B23"/>
    <w:rsid w:val="00FF5B59"/>
    <w:rsid w:val="00FF5BFD"/>
    <w:rsid w:val="00FF5C01"/>
    <w:rsid w:val="00FF5F9D"/>
    <w:rsid w:val="00FF6095"/>
    <w:rsid w:val="00FF62FE"/>
    <w:rsid w:val="00FF6553"/>
    <w:rsid w:val="00FF7134"/>
    <w:rsid w:val="00FF799B"/>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E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965F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customStyle="1" w:styleId="baj">
    <w:name w:val="b_aj"/>
    <w:basedOn w:val="Fuentedeprrafopredeter"/>
    <w:rsid w:val="008F293D"/>
  </w:style>
  <w:style w:type="character" w:customStyle="1" w:styleId="SinespaciadoCar">
    <w:name w:val="Sin espaciado Car"/>
    <w:aliases w:val="No Indent Car"/>
    <w:link w:val="Sinespaciado"/>
    <w:uiPriority w:val="3"/>
    <w:rsid w:val="00B44E8C"/>
    <w:rPr>
      <w:sz w:val="24"/>
      <w:lang w:val="es-MX"/>
    </w:rPr>
  </w:style>
  <w:style w:type="character" w:customStyle="1" w:styleId="apple-converted-space">
    <w:name w:val="apple-converted-space"/>
    <w:basedOn w:val="Fuentedeprrafopredeter"/>
    <w:rsid w:val="00B65BBE"/>
  </w:style>
  <w:style w:type="character" w:customStyle="1" w:styleId="Ttulo2Car">
    <w:name w:val="Título 2 Car"/>
    <w:basedOn w:val="Fuentedeprrafopredeter"/>
    <w:link w:val="Ttulo2"/>
    <w:uiPriority w:val="9"/>
    <w:semiHidden/>
    <w:rsid w:val="00965FF8"/>
    <w:rPr>
      <w:rFonts w:asciiTheme="majorHAnsi" w:eastAsiaTheme="majorEastAsia" w:hAnsiTheme="majorHAnsi" w:cstheme="majorBidi"/>
      <w:color w:val="365F91" w:themeColor="accent1" w:themeShade="BF"/>
      <w:sz w:val="26"/>
      <w:szCs w:val="26"/>
      <w:lang w:eastAsia="es-ES_tradnl"/>
    </w:rPr>
  </w:style>
  <w:style w:type="character" w:styleId="Hipervnculovisitado">
    <w:name w:val="FollowedHyperlink"/>
    <w:basedOn w:val="Fuentedeprrafopredeter"/>
    <w:uiPriority w:val="99"/>
    <w:semiHidden/>
    <w:unhideWhenUsed/>
    <w:rsid w:val="002D7970"/>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1166487">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068452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cce_public/files/cce_documentos/cce-eicp-gi-18._gees_v.2_2.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D90B-08EF-40B8-B637-B736FA5FA3EB}"/>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5800</Words>
  <Characters>31901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2022-09-20T14:21:00Z</dcterms:created>
  <dcterms:modified xsi:type="dcterms:W3CDTF">2022-09-20T14:22:00Z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