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4AED4" w14:textId="77777777" w:rsidR="00FA6ADB" w:rsidRDefault="00FA6ADB" w:rsidP="00341A5A">
      <w:pPr>
        <w:contextualSpacing/>
        <w:jc w:val="both"/>
        <w:rPr>
          <w:rFonts w:ascii="Arial" w:hAnsi="Arial" w:cs="Arial"/>
          <w:bCs/>
          <w:sz w:val="16"/>
          <w:szCs w:val="16"/>
          <w:lang w:val="es-ES_tradnl" w:eastAsia="es-ES"/>
        </w:rPr>
      </w:pPr>
    </w:p>
    <w:p w14:paraId="50499893" w14:textId="77777777" w:rsidR="00FA6ADB" w:rsidRDefault="00FA6ADB" w:rsidP="00341A5A">
      <w:pPr>
        <w:contextualSpacing/>
        <w:jc w:val="both"/>
        <w:rPr>
          <w:rFonts w:ascii="Arial" w:hAnsi="Arial" w:cs="Arial"/>
          <w:bCs/>
          <w:sz w:val="16"/>
          <w:szCs w:val="16"/>
          <w:lang w:val="es-ES_tradnl" w:eastAsia="es-ES"/>
        </w:rPr>
      </w:pPr>
    </w:p>
    <w:p w14:paraId="2D67EFEF" w14:textId="1993A5BA" w:rsidR="00341A5A" w:rsidRPr="003A5B51" w:rsidRDefault="00341A5A" w:rsidP="00341A5A">
      <w:pPr>
        <w:contextualSpacing/>
        <w:jc w:val="both"/>
        <w:rPr>
          <w:rFonts w:ascii="Arial" w:eastAsia="Calibri" w:hAnsi="Arial" w:cs="Arial"/>
          <w:b/>
          <w:sz w:val="22"/>
          <w:szCs w:val="22"/>
        </w:rPr>
      </w:pPr>
      <w:r w:rsidRPr="003A5B51">
        <w:rPr>
          <w:rFonts w:ascii="Arial" w:eastAsia="Calibri" w:hAnsi="Arial" w:cs="Arial"/>
          <w:b/>
          <w:sz w:val="22"/>
          <w:szCs w:val="22"/>
        </w:rPr>
        <w:t xml:space="preserve">LEY DE EMPRENDIMIENTO – Ley 2069 de 2020 – Finalidad </w:t>
      </w:r>
    </w:p>
    <w:p w14:paraId="076C5DAC" w14:textId="77777777" w:rsidR="00341A5A" w:rsidRPr="003A5B51" w:rsidRDefault="00341A5A" w:rsidP="00341A5A">
      <w:pPr>
        <w:contextualSpacing/>
        <w:jc w:val="both"/>
        <w:rPr>
          <w:rFonts w:ascii="Arial" w:eastAsia="Calibri" w:hAnsi="Arial" w:cs="Arial"/>
          <w:sz w:val="20"/>
          <w:szCs w:val="20"/>
        </w:rPr>
      </w:pPr>
    </w:p>
    <w:p w14:paraId="63524BA6" w14:textId="77777777" w:rsidR="00341A5A" w:rsidRPr="003A5B51" w:rsidRDefault="00341A5A" w:rsidP="00341A5A">
      <w:pPr>
        <w:contextualSpacing/>
        <w:jc w:val="both"/>
        <w:rPr>
          <w:rFonts w:ascii="Arial" w:eastAsia="Calibri" w:hAnsi="Arial" w:cs="Arial"/>
          <w:sz w:val="20"/>
          <w:szCs w:val="20"/>
          <w:lang w:val="es-ES_tradnl"/>
        </w:rPr>
      </w:pPr>
      <w:r w:rsidRPr="003A5B51">
        <w:rPr>
          <w:rFonts w:ascii="Arial" w:eastAsia="Calibri" w:hAnsi="Arial" w:cs="Arial"/>
          <w:sz w:val="20"/>
          <w:szCs w:val="20"/>
          <w:lang w:val="es-ES_tradnl"/>
        </w:rPr>
        <w:t xml:space="preserve">El 31 de diciembre de 2020 se promulgó la Ley 2069, «Por medio de la cual se impulsa el emprendimiento en Colombia». De acuerdo con el artículo 84, «La presente Ley rige a partir del momento de su promulgación […]», lo que significa que es obligatoria para sus destinatarios desde esa fecha. </w:t>
      </w:r>
    </w:p>
    <w:p w14:paraId="672D1A09" w14:textId="77777777" w:rsidR="00341A5A" w:rsidRPr="003A5B51" w:rsidRDefault="00341A5A" w:rsidP="00341A5A">
      <w:pPr>
        <w:contextualSpacing/>
        <w:jc w:val="both"/>
        <w:rPr>
          <w:rFonts w:ascii="Arial" w:eastAsia="Calibri" w:hAnsi="Arial" w:cs="Arial"/>
          <w:sz w:val="20"/>
          <w:szCs w:val="20"/>
          <w:lang w:val="es-ES_tradnl"/>
        </w:rPr>
      </w:pPr>
    </w:p>
    <w:p w14:paraId="484CB957" w14:textId="77777777" w:rsidR="00341A5A" w:rsidRPr="003A5B51" w:rsidRDefault="00341A5A" w:rsidP="00341A5A">
      <w:pPr>
        <w:contextualSpacing/>
        <w:jc w:val="both"/>
        <w:rPr>
          <w:rFonts w:ascii="Arial" w:eastAsia="Calibri" w:hAnsi="Arial" w:cs="Arial"/>
          <w:sz w:val="20"/>
          <w:szCs w:val="20"/>
          <w:lang w:val="es-ES_tradnl"/>
        </w:rPr>
      </w:pPr>
      <w:r w:rsidRPr="003A5B51">
        <w:rPr>
          <w:rFonts w:ascii="Arial" w:eastAsia="Calibri" w:hAnsi="Arial" w:cs="Arial"/>
          <w:sz w:val="20"/>
          <w:szCs w:val="20"/>
          <w:lang w:val="es-ES_tradnl"/>
        </w:rPr>
        <w:t xml:space="preserve">En cuanto a su contenido, es importante señalar que, como lo dispone su artículo 1, aquella «tiene por objeto establecer un marco regulatorio que propicie el emprendimiento y el crecimiento, consolidación y sostenibilidad de las empresas, con el fin de aumentar el bienestar social y generar equidad». Esto, a partir de «[…] un enfoque regionalizado </w:t>
      </w:r>
      <w:proofErr w:type="gramStart"/>
      <w:r w:rsidRPr="003A5B51">
        <w:rPr>
          <w:rFonts w:ascii="Arial" w:eastAsia="Calibri" w:hAnsi="Arial" w:cs="Arial"/>
          <w:sz w:val="20"/>
          <w:szCs w:val="20"/>
          <w:lang w:val="es-ES_tradnl"/>
        </w:rPr>
        <w:t>de acuerdo a</w:t>
      </w:r>
      <w:proofErr w:type="gramEnd"/>
      <w:r w:rsidRPr="003A5B51">
        <w:rPr>
          <w:rFonts w:ascii="Arial" w:eastAsia="Calibri" w:hAnsi="Arial" w:cs="Arial"/>
          <w:sz w:val="20"/>
          <w:szCs w:val="20"/>
          <w:lang w:val="es-ES_tradnl"/>
        </w:rPr>
        <w:t xml:space="preserve"> las realidades socioeconómicas de cada región». En desarrollo de esta finalidad, se establecen medidas de apoyo para las micro, pequeñas y medianas empresas –</w:t>
      </w:r>
      <w:proofErr w:type="spellStart"/>
      <w:r w:rsidRPr="003A5B51">
        <w:rPr>
          <w:rFonts w:ascii="Arial" w:eastAsia="Calibri" w:hAnsi="Arial" w:cs="Arial"/>
          <w:sz w:val="20"/>
          <w:szCs w:val="20"/>
          <w:lang w:val="es-ES_tradnl"/>
        </w:rPr>
        <w:t>mipymes</w:t>
      </w:r>
      <w:proofErr w:type="spellEnd"/>
      <w:r w:rsidRPr="003A5B51">
        <w:rPr>
          <w:rFonts w:ascii="Arial" w:eastAsia="Calibri" w:hAnsi="Arial" w:cs="Arial"/>
          <w:sz w:val="20"/>
          <w:szCs w:val="20"/>
          <w:lang w:val="es-ES_tradnl"/>
        </w:rPr>
        <w:t>–, mediante la racionalización y simplificación de los trámites y tarifas, así como incentivos a favor de aquellas dentro del sistema de compras y contratación pública. También se consagran mecanismos de acceso al financiamiento, se unifican las fuentes de emprendimiento y de desarrollo empresarial, para fortalecer y promover los distintos sectores de la economía y se prevén medidas de educación para el emprendimiento y la innovación</w:t>
      </w:r>
    </w:p>
    <w:p w14:paraId="426F11ED" w14:textId="77777777" w:rsidR="00341A5A" w:rsidRPr="003A5B51" w:rsidRDefault="00341A5A" w:rsidP="00341A5A">
      <w:pPr>
        <w:contextualSpacing/>
        <w:jc w:val="both"/>
        <w:rPr>
          <w:rFonts w:ascii="Arial" w:eastAsia="Calibri" w:hAnsi="Arial" w:cs="Arial"/>
          <w:sz w:val="20"/>
          <w:szCs w:val="20"/>
          <w:lang w:val="es-ES_tradnl"/>
        </w:rPr>
      </w:pPr>
    </w:p>
    <w:p w14:paraId="3A0F8A57" w14:textId="77777777" w:rsidR="00341A5A" w:rsidRPr="003A5B51" w:rsidRDefault="00341A5A" w:rsidP="00341A5A">
      <w:pPr>
        <w:contextualSpacing/>
        <w:jc w:val="both"/>
        <w:rPr>
          <w:rFonts w:ascii="Arial" w:eastAsia="Calibri" w:hAnsi="Arial" w:cs="Arial"/>
          <w:b/>
          <w:sz w:val="22"/>
          <w:szCs w:val="22"/>
        </w:rPr>
      </w:pPr>
      <w:r w:rsidRPr="003A5B51">
        <w:rPr>
          <w:rFonts w:ascii="Arial" w:eastAsia="Calibri" w:hAnsi="Arial" w:cs="Arial"/>
          <w:b/>
          <w:sz w:val="22"/>
          <w:szCs w:val="22"/>
        </w:rPr>
        <w:t xml:space="preserve">LEY DE EMPRENDIMIENTO – Ley 2069 de 2020 – Artículo 32 – Criterios diferenciales – Emprendimientos de mujeres – Empresas de mujeres </w:t>
      </w:r>
    </w:p>
    <w:p w14:paraId="013AEBE6" w14:textId="77777777" w:rsidR="00341A5A" w:rsidRPr="003A5B51" w:rsidRDefault="00341A5A" w:rsidP="00341A5A">
      <w:pPr>
        <w:contextualSpacing/>
        <w:jc w:val="both"/>
        <w:rPr>
          <w:rFonts w:ascii="Arial" w:eastAsia="Calibri" w:hAnsi="Arial" w:cs="Arial"/>
          <w:b/>
          <w:sz w:val="20"/>
          <w:szCs w:val="20"/>
        </w:rPr>
      </w:pPr>
    </w:p>
    <w:p w14:paraId="4C788430" w14:textId="77777777" w:rsidR="00341A5A" w:rsidRPr="003A5B51" w:rsidRDefault="00341A5A" w:rsidP="00341A5A">
      <w:pPr>
        <w:tabs>
          <w:tab w:val="left" w:pos="709"/>
        </w:tabs>
        <w:contextualSpacing/>
        <w:jc w:val="both"/>
        <w:rPr>
          <w:rFonts w:ascii="Arial" w:eastAsia="Calibri" w:hAnsi="Arial" w:cs="Arial"/>
          <w:bCs/>
          <w:sz w:val="20"/>
          <w:szCs w:val="20"/>
        </w:rPr>
      </w:pPr>
      <w:r w:rsidRPr="003A5B51">
        <w:rPr>
          <w:rFonts w:ascii="Arial" w:eastAsia="Calibri" w:hAnsi="Arial" w:cs="Arial"/>
          <w:bCs/>
          <w:sz w:val="20"/>
          <w:szCs w:val="20"/>
        </w:rPr>
        <w:t>Por otra parte, el artículo 32 de la Ley 2069 de 2020 regula criterios diferenciales para los «emprendimientos y empresas de mujeres» en el sistema de compras y contratación pública.  […]</w:t>
      </w:r>
    </w:p>
    <w:p w14:paraId="4673F0AB" w14:textId="77777777" w:rsidR="00341A5A" w:rsidRPr="003A5B51" w:rsidRDefault="00341A5A" w:rsidP="00341A5A">
      <w:pPr>
        <w:tabs>
          <w:tab w:val="left" w:pos="709"/>
        </w:tabs>
        <w:ind w:left="709" w:right="709"/>
        <w:contextualSpacing/>
        <w:jc w:val="both"/>
        <w:rPr>
          <w:rFonts w:ascii="Arial" w:eastAsia="Calibri" w:hAnsi="Arial" w:cs="Arial"/>
          <w:bCs/>
          <w:sz w:val="20"/>
          <w:szCs w:val="20"/>
        </w:rPr>
      </w:pPr>
    </w:p>
    <w:p w14:paraId="68E49D25" w14:textId="77777777" w:rsidR="00341A5A" w:rsidRPr="003A5B51" w:rsidRDefault="00341A5A" w:rsidP="00341A5A">
      <w:pPr>
        <w:tabs>
          <w:tab w:val="left" w:pos="709"/>
        </w:tabs>
        <w:contextualSpacing/>
        <w:jc w:val="both"/>
        <w:rPr>
          <w:rFonts w:ascii="Arial" w:eastAsia="Calibri" w:hAnsi="Arial" w:cs="Arial"/>
          <w:bCs/>
          <w:sz w:val="20"/>
          <w:szCs w:val="20"/>
        </w:rPr>
      </w:pPr>
      <w:r w:rsidRPr="003A5B51">
        <w:rPr>
          <w:rFonts w:ascii="Arial" w:eastAsia="Calibri" w:hAnsi="Arial" w:cs="Arial"/>
          <w:bCs/>
          <w:sz w:val="20"/>
          <w:szCs w:val="20"/>
        </w:rPr>
        <w:t xml:space="preserve">De esta manera, los «criterios diferenciales» del artículo 32 </w:t>
      </w:r>
      <w:r w:rsidRPr="003A5B51">
        <w:rPr>
          <w:rFonts w:ascii="Arial" w:eastAsia="Calibri" w:hAnsi="Arial" w:cs="Arial"/>
          <w:bCs/>
          <w:i/>
          <w:iCs/>
          <w:sz w:val="20"/>
          <w:szCs w:val="20"/>
        </w:rPr>
        <w:t>ibidem</w:t>
      </w:r>
      <w:r w:rsidRPr="003A5B51">
        <w:rPr>
          <w:rFonts w:ascii="Arial" w:eastAsia="Calibri" w:hAnsi="Arial" w:cs="Arial"/>
          <w:bCs/>
          <w:sz w:val="20"/>
          <w:szCs w:val="20"/>
        </w:rPr>
        <w:t xml:space="preserve"> –que incluyen tanto los «requisitos diferenciales» como los «puntajes adicionales»– aplican a «[…] los procesos de licitación pública, selección abreviada de menor cuantía y concurso de méritos […]», excluyendo las demás modalidades de selección del artículo 2 de la Ley 1150 de 2007. Asimismo, sin distinciones ulteriores, la norma en comento también se extiende a todos los procedimientos que realicen las entidades estatales excluidas de la Ley 80 de 1993.         </w:t>
      </w:r>
    </w:p>
    <w:p w14:paraId="256D8A28" w14:textId="77777777" w:rsidR="00341A5A" w:rsidRPr="003A5B51" w:rsidRDefault="00341A5A" w:rsidP="00341A5A">
      <w:pPr>
        <w:tabs>
          <w:tab w:val="left" w:pos="709"/>
        </w:tabs>
        <w:contextualSpacing/>
        <w:jc w:val="both"/>
        <w:rPr>
          <w:rFonts w:ascii="Arial" w:eastAsia="Calibri" w:hAnsi="Arial" w:cs="Arial"/>
          <w:bCs/>
          <w:sz w:val="20"/>
          <w:szCs w:val="20"/>
        </w:rPr>
      </w:pPr>
    </w:p>
    <w:p w14:paraId="7659E1B7" w14:textId="746AE5C0" w:rsidR="00341A5A" w:rsidRPr="003A5B51" w:rsidRDefault="00341A5A" w:rsidP="00341A5A">
      <w:pPr>
        <w:contextualSpacing/>
        <w:jc w:val="both"/>
        <w:rPr>
          <w:rFonts w:ascii="Arial" w:eastAsia="Calibri" w:hAnsi="Arial" w:cs="Arial"/>
          <w:b/>
          <w:sz w:val="22"/>
          <w:szCs w:val="22"/>
        </w:rPr>
      </w:pPr>
      <w:r w:rsidRPr="003A5B51">
        <w:rPr>
          <w:rFonts w:ascii="Arial" w:eastAsia="Calibri" w:hAnsi="Arial" w:cs="Arial"/>
          <w:b/>
          <w:sz w:val="22"/>
          <w:szCs w:val="22"/>
        </w:rPr>
        <w:t>LEY DE EMPRENDIMIENTO – Ley 2069 de 2020 – Artículo 32 – Criterios diferenciales – Emprendimientos de mujeres – Empresas de mujeres – Necesidad de reglamentación – Decreto 1860 de 2021</w:t>
      </w:r>
      <w:r w:rsidR="00EC271F">
        <w:rPr>
          <w:rFonts w:ascii="Arial" w:eastAsia="Calibri" w:hAnsi="Arial" w:cs="Arial"/>
          <w:b/>
          <w:sz w:val="22"/>
          <w:szCs w:val="22"/>
        </w:rPr>
        <w:t xml:space="preserve"> </w:t>
      </w:r>
    </w:p>
    <w:p w14:paraId="71352ABB" w14:textId="77777777" w:rsidR="00341A5A" w:rsidRPr="003A5B51" w:rsidRDefault="00341A5A" w:rsidP="00341A5A">
      <w:pPr>
        <w:contextualSpacing/>
        <w:jc w:val="both"/>
        <w:rPr>
          <w:rFonts w:ascii="Arial" w:eastAsia="Calibri" w:hAnsi="Arial" w:cs="Arial"/>
          <w:b/>
          <w:sz w:val="20"/>
          <w:szCs w:val="20"/>
        </w:rPr>
      </w:pPr>
    </w:p>
    <w:p w14:paraId="1FB52E83" w14:textId="77777777" w:rsidR="00341A5A" w:rsidRPr="003A5B51" w:rsidRDefault="00341A5A" w:rsidP="00341A5A">
      <w:pPr>
        <w:contextualSpacing/>
        <w:jc w:val="both"/>
        <w:rPr>
          <w:rFonts w:ascii="Arial" w:eastAsia="Calibri" w:hAnsi="Arial" w:cs="Arial"/>
          <w:sz w:val="20"/>
          <w:szCs w:val="20"/>
          <w:lang w:val="es-ES_tradnl"/>
        </w:rPr>
      </w:pPr>
      <w:r w:rsidRPr="003A5B51">
        <w:rPr>
          <w:rFonts w:ascii="Arial" w:eastAsia="Calibri" w:hAnsi="Arial" w:cs="Arial"/>
          <w:bCs/>
          <w:sz w:val="20"/>
          <w:szCs w:val="20"/>
        </w:rPr>
        <w:t xml:space="preserve">[…] el artículo 32 de la Ley 2069 de 2020 –al igual que el artículo 31– también alude a la necesidad del desarrollo normativo posterior. Al respecto, el parágrafo dispone que «La definición de emprendimientos y empresas de mujeres se reglamentará por el gobierno nacional». En ese sentido, la aplicación de criterios diferenciales en favor de los emprendimientos y empresas de mujeres está condicionada por el ejercicio de potestad reglamentaria, en orden de establecer la regulación en marco de la cual las Entidades Estatales deben aplicar los criterios diferenciales del artículo 32 de la Ley 2069 de 2020. </w:t>
      </w:r>
    </w:p>
    <w:p w14:paraId="04C624B2" w14:textId="77777777" w:rsidR="00341A5A" w:rsidRPr="003A5B51" w:rsidRDefault="00341A5A" w:rsidP="00341A5A">
      <w:pPr>
        <w:contextualSpacing/>
        <w:jc w:val="both"/>
        <w:rPr>
          <w:rFonts w:ascii="Arial" w:eastAsia="Calibri" w:hAnsi="Arial" w:cs="Arial"/>
          <w:sz w:val="20"/>
          <w:szCs w:val="20"/>
          <w:lang w:val="es-ES_tradnl"/>
        </w:rPr>
      </w:pPr>
    </w:p>
    <w:p w14:paraId="407A709E" w14:textId="77777777" w:rsidR="00341A5A" w:rsidRPr="003A5B51" w:rsidRDefault="00341A5A" w:rsidP="00341A5A">
      <w:pPr>
        <w:contextualSpacing/>
        <w:jc w:val="both"/>
        <w:rPr>
          <w:rFonts w:ascii="Arial" w:hAnsi="Arial" w:cs="Arial"/>
          <w:sz w:val="20"/>
          <w:szCs w:val="20"/>
          <w:lang w:eastAsia="es-CO"/>
        </w:rPr>
      </w:pPr>
      <w:r w:rsidRPr="003A5B51">
        <w:rPr>
          <w:rFonts w:ascii="Arial" w:eastAsia="Calibri" w:hAnsi="Arial" w:cs="Arial"/>
          <w:bCs/>
          <w:sz w:val="20"/>
          <w:szCs w:val="20"/>
        </w:rPr>
        <w:t xml:space="preserve">[…] </w:t>
      </w:r>
      <w:r w:rsidRPr="003A5B51">
        <w:rPr>
          <w:rFonts w:ascii="Arial" w:eastAsia="Calibri" w:hAnsi="Arial" w:cs="Arial"/>
          <w:sz w:val="20"/>
          <w:szCs w:val="20"/>
          <w:lang w:val="es-ES_tradnl"/>
        </w:rPr>
        <w:t xml:space="preserve">En lo relativo al artículo 32 de la Ley 2069 de 2020, el artículo 3 del Decreto 1860 de 2021 adiciona los artículos 2.2.1.2.4.2.14 y 2.2.1.2.4.2.15 a la Subsección 2 de la Sección 4 del Capítulo 2 del Título 1 de la Parte 2 del Libro 2 del Decreto 1082 de 2015. La primera de las normas adicionadas consagra la definición de emprendimientos y empresas de mujeres, mientras que la segunda establece los criterios diferenciales y regula su aplicación. </w:t>
      </w:r>
    </w:p>
    <w:p w14:paraId="343F40D4" w14:textId="77777777" w:rsidR="00341A5A" w:rsidRPr="003A5B51" w:rsidRDefault="00341A5A" w:rsidP="00341A5A">
      <w:pPr>
        <w:contextualSpacing/>
        <w:jc w:val="both"/>
        <w:rPr>
          <w:rFonts w:ascii="Arial" w:hAnsi="Arial" w:cs="Arial"/>
          <w:sz w:val="20"/>
          <w:szCs w:val="20"/>
          <w:lang w:eastAsia="es-CO"/>
        </w:rPr>
      </w:pPr>
    </w:p>
    <w:p w14:paraId="1D2A1646" w14:textId="64B98156" w:rsidR="00EC10CA" w:rsidRPr="003A5B51" w:rsidRDefault="00EC10CA" w:rsidP="00EC10CA">
      <w:pPr>
        <w:contextualSpacing/>
        <w:jc w:val="both"/>
        <w:rPr>
          <w:rFonts w:ascii="Arial" w:eastAsia="Calibri" w:hAnsi="Arial" w:cs="Arial"/>
          <w:b/>
          <w:sz w:val="22"/>
          <w:szCs w:val="22"/>
        </w:rPr>
      </w:pPr>
      <w:r w:rsidRPr="003A5B51">
        <w:rPr>
          <w:rFonts w:ascii="Arial" w:eastAsia="Calibri" w:hAnsi="Arial" w:cs="Arial"/>
          <w:b/>
          <w:sz w:val="22"/>
          <w:szCs w:val="22"/>
        </w:rPr>
        <w:lastRenderedPageBreak/>
        <w:t>DECRETO 1860 DE 2021 – Mujeres – Persona natural</w:t>
      </w:r>
      <w:r w:rsidR="003A5B51" w:rsidRPr="003A5B51">
        <w:rPr>
          <w:rFonts w:ascii="Arial" w:eastAsia="Calibri" w:hAnsi="Arial" w:cs="Arial"/>
          <w:b/>
          <w:sz w:val="22"/>
          <w:szCs w:val="22"/>
        </w:rPr>
        <w:t xml:space="preserve"> – No aplicabilidad para personas jurídicas </w:t>
      </w:r>
    </w:p>
    <w:p w14:paraId="7F3E612C" w14:textId="77777777" w:rsidR="00341A5A" w:rsidRPr="003A5B51" w:rsidRDefault="00341A5A" w:rsidP="00341A5A">
      <w:pPr>
        <w:contextualSpacing/>
        <w:jc w:val="both"/>
        <w:rPr>
          <w:rFonts w:ascii="Arial" w:eastAsia="Calibri" w:hAnsi="Arial" w:cs="Arial"/>
          <w:sz w:val="20"/>
          <w:szCs w:val="20"/>
          <w:lang w:val="es-ES_tradnl"/>
        </w:rPr>
      </w:pPr>
    </w:p>
    <w:p w14:paraId="4218BC89" w14:textId="01E57F14" w:rsidR="003A5B51" w:rsidRPr="003A5B51" w:rsidRDefault="003A5B51" w:rsidP="003A5B51">
      <w:pPr>
        <w:contextualSpacing/>
        <w:jc w:val="both"/>
        <w:rPr>
          <w:rFonts w:ascii="Arial" w:eastAsia="Calibri" w:hAnsi="Arial" w:cs="Arial"/>
          <w:sz w:val="20"/>
          <w:szCs w:val="20"/>
          <w:lang w:val="es-ES_tradnl"/>
        </w:rPr>
      </w:pPr>
      <w:r w:rsidRPr="003A5B51">
        <w:rPr>
          <w:rFonts w:ascii="Arial" w:eastAsia="Calibri" w:hAnsi="Arial" w:cs="Arial"/>
          <w:sz w:val="20"/>
          <w:szCs w:val="20"/>
          <w:lang w:val="es-ES_tradnl"/>
        </w:rPr>
        <w:t xml:space="preserve">Así, en concordancia con lo dispuesto por el numeral 1 del citado artículo, que se relaciona con la pregunta del peticionario, una sociedad podrá ser considerada como un emprendimiento o empresa de mujeres cuando más del 50% de sus acciones, partes de interés o cuotas de participación, pertenezcan a mujeres. De allí que el sentido de la norma debe ser comprendido desde lo establecido en dicho numeral en relación con que: «pertenezcan a mujeres». </w:t>
      </w:r>
    </w:p>
    <w:p w14:paraId="5C48CBC6" w14:textId="77777777" w:rsidR="003A5B51" w:rsidRPr="003A5B51" w:rsidRDefault="003A5B51" w:rsidP="003A5B51">
      <w:pPr>
        <w:contextualSpacing/>
        <w:jc w:val="both"/>
        <w:rPr>
          <w:rFonts w:ascii="Arial" w:eastAsia="Calibri" w:hAnsi="Arial" w:cs="Arial"/>
          <w:sz w:val="20"/>
          <w:szCs w:val="20"/>
          <w:lang w:val="es-ES_tradnl"/>
        </w:rPr>
      </w:pPr>
    </w:p>
    <w:p w14:paraId="4A05A644" w14:textId="6FBE5CE5" w:rsidR="003A5B51" w:rsidRPr="003A5B51" w:rsidRDefault="003A5B51" w:rsidP="003A5B51">
      <w:pPr>
        <w:contextualSpacing/>
        <w:jc w:val="both"/>
        <w:rPr>
          <w:rFonts w:ascii="Arial" w:eastAsia="Calibri" w:hAnsi="Arial" w:cs="Arial"/>
          <w:sz w:val="20"/>
          <w:szCs w:val="20"/>
          <w:lang w:val="es-ES_tradnl"/>
        </w:rPr>
      </w:pPr>
      <w:r w:rsidRPr="003A5B51">
        <w:rPr>
          <w:rFonts w:ascii="Arial" w:eastAsia="Calibri" w:hAnsi="Arial" w:cs="Arial"/>
          <w:sz w:val="20"/>
          <w:szCs w:val="20"/>
          <w:lang w:val="es-ES_tradnl"/>
        </w:rPr>
        <w:t xml:space="preserve">De esta manera, atendiendo al sentido literal de la disposición, no puede entenderse que una persona jurídica, como las sociedades, puedan ser asimiladas a personas naturales respecto de las cuales pueda predicarse su calidad de mujeres. </w:t>
      </w:r>
    </w:p>
    <w:p w14:paraId="74FEB898" w14:textId="77777777" w:rsidR="003A5B51" w:rsidRPr="003A5B51" w:rsidRDefault="003A5B51" w:rsidP="003A5B51">
      <w:pPr>
        <w:contextualSpacing/>
        <w:jc w:val="both"/>
        <w:rPr>
          <w:rFonts w:ascii="Arial" w:eastAsia="Calibri" w:hAnsi="Arial" w:cs="Arial"/>
          <w:sz w:val="20"/>
          <w:szCs w:val="20"/>
          <w:lang w:val="es-ES_tradnl"/>
        </w:rPr>
      </w:pPr>
    </w:p>
    <w:p w14:paraId="64B7CFAA" w14:textId="55C85804" w:rsidR="00341A5A" w:rsidRPr="003A5B51" w:rsidRDefault="003A5B51" w:rsidP="003A5B51">
      <w:pPr>
        <w:contextualSpacing/>
        <w:jc w:val="both"/>
        <w:rPr>
          <w:rFonts w:ascii="Arial" w:eastAsia="Calibri" w:hAnsi="Arial" w:cs="Arial"/>
          <w:sz w:val="22"/>
          <w:szCs w:val="22"/>
          <w:lang w:val="es-ES_tradnl"/>
        </w:rPr>
      </w:pPr>
      <w:r w:rsidRPr="003A5B51">
        <w:rPr>
          <w:rFonts w:ascii="Arial" w:eastAsia="Calibri" w:hAnsi="Arial" w:cs="Arial"/>
          <w:sz w:val="20"/>
          <w:szCs w:val="20"/>
          <w:lang w:val="es-ES_tradnl"/>
        </w:rPr>
        <w:t>En consonancia con ello, y teniendo en cuenta que la finalidad de la Ley 2069 de 2020 es, entre otras, promover la inclusión y equidad de las mujeres como medida afirmativa a favor de dichos sujetos, para esta Subdirección es claro que la norma requiere acreditar que más del 50% de sus acciones, partes de interés o cuotas de participación, pertenezcan a mujeres, entendidas estas como personas naturales, excluyendo, por tanto, a personas jurídicas, quienes no son susceptibles de ser catalogadas como mujeres.</w:t>
      </w:r>
    </w:p>
    <w:p w14:paraId="53787277" w14:textId="77777777" w:rsidR="00294B1B" w:rsidRPr="003A5B51" w:rsidRDefault="00294B1B">
      <w:pPr>
        <w:spacing w:after="160" w:line="259" w:lineRule="auto"/>
        <w:rPr>
          <w:rFonts w:ascii="Arial" w:eastAsia="Calibri" w:hAnsi="Arial" w:cs="Arial"/>
          <w:sz w:val="22"/>
          <w:szCs w:val="22"/>
          <w:lang w:val="es-ES_tradnl"/>
        </w:rPr>
      </w:pPr>
      <w:r w:rsidRPr="003A5B51">
        <w:rPr>
          <w:rFonts w:ascii="Arial" w:eastAsia="Calibri" w:hAnsi="Arial" w:cs="Arial"/>
          <w:sz w:val="22"/>
          <w:szCs w:val="22"/>
          <w:lang w:val="es-ES_tradnl"/>
        </w:rPr>
        <w:br w:type="page"/>
      </w:r>
    </w:p>
    <w:p w14:paraId="76797BC9" w14:textId="77777777" w:rsidR="00FA6ADB" w:rsidRPr="00FA6ADB" w:rsidRDefault="00FA6ADB" w:rsidP="00FA6ADB">
      <w:pPr>
        <w:spacing w:line="276" w:lineRule="auto"/>
        <w:jc w:val="both"/>
        <w:rPr>
          <w:rFonts w:ascii="Arial" w:eastAsia="Calibri" w:hAnsi="Arial" w:cs="Arial"/>
          <w:sz w:val="22"/>
          <w:szCs w:val="22"/>
          <w:lang w:val="es-ES_tradnl"/>
        </w:rPr>
      </w:pPr>
    </w:p>
    <w:p w14:paraId="2D8ECD53" w14:textId="3BE10F68" w:rsidR="00FA6ADB" w:rsidRPr="00FA6ADB" w:rsidRDefault="00FA6ADB" w:rsidP="00FA6ADB">
      <w:pPr>
        <w:spacing w:line="276" w:lineRule="auto"/>
        <w:jc w:val="both"/>
        <w:rPr>
          <w:rFonts w:ascii="Arial" w:eastAsia="Calibri" w:hAnsi="Arial" w:cs="Arial"/>
          <w:sz w:val="22"/>
          <w:szCs w:val="22"/>
          <w:lang w:val="es-ES_tradnl"/>
        </w:rPr>
      </w:pPr>
      <w:r w:rsidRPr="00FA6ADB">
        <w:rPr>
          <w:rFonts w:ascii="Arial" w:eastAsia="Calibri" w:hAnsi="Arial" w:cs="Arial"/>
          <w:sz w:val="22"/>
          <w:szCs w:val="22"/>
          <w:lang w:val="es-ES_tradnl"/>
        </w:rPr>
        <w:t xml:space="preserve">Bogotá D.C., </w:t>
      </w:r>
      <w:r>
        <w:rPr>
          <w:rFonts w:ascii="Arial" w:eastAsia="Calibri" w:hAnsi="Arial" w:cs="Arial"/>
          <w:sz w:val="22"/>
          <w:szCs w:val="22"/>
          <w:lang w:val="es-ES_tradnl"/>
        </w:rPr>
        <w:t>06</w:t>
      </w:r>
      <w:r w:rsidRPr="00FA6ADB">
        <w:rPr>
          <w:rFonts w:ascii="Arial" w:eastAsia="Calibri" w:hAnsi="Arial" w:cs="Arial"/>
          <w:sz w:val="22"/>
          <w:szCs w:val="22"/>
          <w:lang w:val="es-ES_tradnl"/>
        </w:rPr>
        <w:t xml:space="preserve"> </w:t>
      </w:r>
      <w:proofErr w:type="gramStart"/>
      <w:r w:rsidRPr="00FA6ADB">
        <w:rPr>
          <w:rFonts w:ascii="Arial" w:eastAsia="Calibri" w:hAnsi="Arial" w:cs="Arial"/>
          <w:sz w:val="22"/>
          <w:szCs w:val="22"/>
          <w:lang w:val="es-ES_tradnl"/>
        </w:rPr>
        <w:t>Octubre</w:t>
      </w:r>
      <w:proofErr w:type="gramEnd"/>
      <w:r w:rsidRPr="00FA6ADB">
        <w:rPr>
          <w:rFonts w:ascii="Arial" w:eastAsia="Calibri" w:hAnsi="Arial" w:cs="Arial"/>
          <w:sz w:val="22"/>
          <w:szCs w:val="22"/>
          <w:lang w:val="es-ES_tradnl"/>
        </w:rPr>
        <w:t xml:space="preserve"> de 2022</w:t>
      </w:r>
    </w:p>
    <w:p w14:paraId="633E3977" w14:textId="77777777" w:rsidR="00341A5A" w:rsidRPr="003A5B51" w:rsidRDefault="00341A5A" w:rsidP="00341A5A">
      <w:pPr>
        <w:contextualSpacing/>
        <w:jc w:val="both"/>
        <w:rPr>
          <w:rFonts w:ascii="Arial" w:eastAsia="Calibri" w:hAnsi="Arial" w:cs="Arial"/>
          <w:sz w:val="22"/>
          <w:szCs w:val="22"/>
          <w:lang w:val="es-ES_tradnl"/>
        </w:rPr>
      </w:pPr>
    </w:p>
    <w:p w14:paraId="652F7959" w14:textId="78D6B33D" w:rsidR="00341A5A" w:rsidRPr="003A5B51" w:rsidRDefault="00FA6ADB" w:rsidP="00341A5A">
      <w:pPr>
        <w:contextualSpacing/>
        <w:jc w:val="both"/>
        <w:rPr>
          <w:rFonts w:ascii="Arial" w:eastAsia="Calibri" w:hAnsi="Arial" w:cs="Arial"/>
          <w:sz w:val="22"/>
          <w:szCs w:val="22"/>
          <w:lang w:val="es-ES_tradnl"/>
        </w:rPr>
      </w:pPr>
      <w:r>
        <w:rPr>
          <w:rFonts w:ascii="Arial" w:eastAsia="Calibri" w:hAnsi="Arial" w:cs="Arial"/>
          <w:sz w:val="22"/>
          <w:szCs w:val="22"/>
          <w:lang w:val="es-ES_tradnl"/>
        </w:rPr>
        <w:t xml:space="preserve">                                                                                        </w:t>
      </w:r>
      <w:r w:rsidRPr="00FA6ADB">
        <w:rPr>
          <w:rFonts w:ascii="Arial" w:eastAsia="Calibri" w:hAnsi="Arial" w:cs="Arial"/>
          <w:noProof/>
          <w:sz w:val="22"/>
          <w:szCs w:val="22"/>
          <w:lang w:val="es-ES_tradnl"/>
        </w:rPr>
        <w:drawing>
          <wp:inline distT="0" distB="0" distL="0" distR="0" wp14:anchorId="46FB32C0" wp14:editId="2DD6C5EB">
            <wp:extent cx="2495898" cy="666843"/>
            <wp:effectExtent l="0" t="0" r="0" b="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0"/>
                    <a:stretch>
                      <a:fillRect/>
                    </a:stretch>
                  </pic:blipFill>
                  <pic:spPr>
                    <a:xfrm>
                      <a:off x="0" y="0"/>
                      <a:ext cx="2495898" cy="666843"/>
                    </a:xfrm>
                    <a:prstGeom prst="rect">
                      <a:avLst/>
                    </a:prstGeom>
                  </pic:spPr>
                </pic:pic>
              </a:graphicData>
            </a:graphic>
          </wp:inline>
        </w:drawing>
      </w:r>
    </w:p>
    <w:p w14:paraId="694F337B" w14:textId="4253BB82" w:rsidR="00341A5A" w:rsidRPr="003A5B51" w:rsidRDefault="00341A5A" w:rsidP="00341A5A">
      <w:pPr>
        <w:contextualSpacing/>
        <w:jc w:val="both"/>
        <w:rPr>
          <w:rFonts w:ascii="Arial" w:eastAsia="Calibri" w:hAnsi="Arial" w:cs="Arial"/>
          <w:sz w:val="22"/>
          <w:szCs w:val="22"/>
          <w:lang w:val="es-ES_tradnl"/>
        </w:rPr>
      </w:pPr>
      <w:r w:rsidRPr="003A5B51">
        <w:rPr>
          <w:rFonts w:ascii="Arial" w:eastAsia="Calibri" w:hAnsi="Arial" w:cs="Arial"/>
          <w:sz w:val="22"/>
          <w:szCs w:val="22"/>
          <w:lang w:val="es-ES_tradnl"/>
        </w:rPr>
        <w:t>Señor</w:t>
      </w:r>
    </w:p>
    <w:p w14:paraId="4B0CF86A" w14:textId="4BA2D64B" w:rsidR="006857D6" w:rsidRPr="003A5B51" w:rsidRDefault="006857D6" w:rsidP="00341A5A">
      <w:pPr>
        <w:contextualSpacing/>
        <w:rPr>
          <w:rFonts w:ascii="Arial" w:eastAsia="Calibri" w:hAnsi="Arial" w:cs="Arial"/>
          <w:b/>
          <w:sz w:val="22"/>
          <w:szCs w:val="22"/>
          <w:lang w:val="es-ES_tradnl"/>
        </w:rPr>
      </w:pPr>
      <w:bookmarkStart w:id="0" w:name="_Hlk110416299"/>
      <w:r w:rsidRPr="003A5B51">
        <w:rPr>
          <w:rFonts w:ascii="Arial" w:eastAsia="Calibri" w:hAnsi="Arial" w:cs="Arial"/>
          <w:b/>
          <w:sz w:val="22"/>
          <w:szCs w:val="22"/>
          <w:lang w:val="es-ES_tradnl"/>
        </w:rPr>
        <w:t>ANTONIO NICOLÁS FERRARO MAURELLO</w:t>
      </w:r>
    </w:p>
    <w:p w14:paraId="4103E8A4" w14:textId="721C4A1A" w:rsidR="006857D6" w:rsidRPr="003A5B51" w:rsidRDefault="003C3A68" w:rsidP="00341A5A">
      <w:pPr>
        <w:contextualSpacing/>
        <w:rPr>
          <w:rFonts w:ascii="Arial" w:eastAsia="Calibri" w:hAnsi="Arial" w:cs="Arial"/>
          <w:bCs/>
          <w:sz w:val="22"/>
          <w:szCs w:val="22"/>
          <w:lang w:val="es-ES_tradnl"/>
        </w:rPr>
      </w:pPr>
      <w:r w:rsidRPr="003A5B51">
        <w:rPr>
          <w:rFonts w:ascii="Arial" w:eastAsia="Calibri" w:hAnsi="Arial" w:cs="Arial"/>
          <w:bCs/>
          <w:sz w:val="22"/>
          <w:szCs w:val="22"/>
          <w:lang w:val="es-ES_tradnl"/>
        </w:rPr>
        <w:t xml:space="preserve">Consultores Técnicos y Económicos </w:t>
      </w:r>
      <w:r w:rsidR="006857D6" w:rsidRPr="003A5B51">
        <w:rPr>
          <w:rFonts w:ascii="Arial" w:eastAsia="Calibri" w:hAnsi="Arial" w:cs="Arial"/>
          <w:bCs/>
          <w:sz w:val="22"/>
          <w:szCs w:val="22"/>
          <w:lang w:val="es-ES_tradnl"/>
        </w:rPr>
        <w:t>S.A.S</w:t>
      </w:r>
    </w:p>
    <w:p w14:paraId="51C73989" w14:textId="061229B7" w:rsidR="00341A5A" w:rsidRPr="003A5B51" w:rsidRDefault="006857D6" w:rsidP="00341A5A">
      <w:pPr>
        <w:contextualSpacing/>
        <w:rPr>
          <w:rFonts w:ascii="Arial" w:eastAsia="Calibri" w:hAnsi="Arial" w:cs="Arial"/>
          <w:bCs/>
          <w:sz w:val="22"/>
          <w:szCs w:val="22"/>
          <w:lang w:val="es-ES_tradnl"/>
        </w:rPr>
      </w:pPr>
      <w:r w:rsidRPr="003A5B51">
        <w:rPr>
          <w:rFonts w:ascii="Arial" w:eastAsia="Calibri" w:hAnsi="Arial" w:cs="Arial"/>
          <w:bCs/>
          <w:sz w:val="22"/>
          <w:szCs w:val="22"/>
          <w:lang w:val="es-ES_tradnl"/>
        </w:rPr>
        <w:t>Bogotá D.C</w:t>
      </w:r>
    </w:p>
    <w:p w14:paraId="62F72C30" w14:textId="77777777" w:rsidR="00341A5A" w:rsidRPr="003A5B51" w:rsidRDefault="00341A5A" w:rsidP="00341A5A">
      <w:pPr>
        <w:contextualSpacing/>
        <w:jc w:val="both"/>
        <w:rPr>
          <w:rFonts w:ascii="Arial" w:eastAsia="Calibri" w:hAnsi="Arial" w:cs="Arial"/>
          <w:sz w:val="22"/>
          <w:szCs w:val="22"/>
          <w:lang w:val="es-ES_tradnl"/>
        </w:rPr>
      </w:pPr>
    </w:p>
    <w:p w14:paraId="3F670B19" w14:textId="77777777" w:rsidR="00341A5A" w:rsidRPr="003A5B51" w:rsidRDefault="00341A5A" w:rsidP="00341A5A">
      <w:pPr>
        <w:contextualSpacing/>
        <w:jc w:val="both"/>
        <w:rPr>
          <w:rFonts w:ascii="Arial" w:eastAsia="Calibri" w:hAnsi="Arial" w:cs="Arial"/>
          <w:sz w:val="22"/>
          <w:szCs w:val="22"/>
          <w:lang w:val="es-ES_tradnl"/>
        </w:rPr>
      </w:pPr>
    </w:p>
    <w:p w14:paraId="6F2199DE" w14:textId="5DE755AA" w:rsidR="00341A5A" w:rsidRPr="003A5B51" w:rsidRDefault="00341A5A" w:rsidP="00341A5A">
      <w:pPr>
        <w:contextualSpacing/>
        <w:rPr>
          <w:rFonts w:ascii="Arial" w:eastAsia="Calibri" w:hAnsi="Arial" w:cs="Arial"/>
          <w:b/>
          <w:bCs/>
          <w:sz w:val="22"/>
          <w:szCs w:val="22"/>
          <w:lang w:val="es-ES_tradnl"/>
        </w:rPr>
      </w:pPr>
      <w:r w:rsidRPr="003A5B51">
        <w:rPr>
          <w:rFonts w:ascii="Arial" w:eastAsia="Calibri" w:hAnsi="Arial" w:cs="Arial"/>
          <w:b/>
          <w:bCs/>
          <w:sz w:val="22"/>
          <w:szCs w:val="22"/>
          <w:lang w:val="es-ES_tradnl"/>
        </w:rPr>
        <w:t xml:space="preserve">                                            Concepto C ‒ </w:t>
      </w:r>
      <w:r w:rsidR="006857D6" w:rsidRPr="003A5B51">
        <w:rPr>
          <w:rFonts w:ascii="Arial" w:eastAsia="Calibri" w:hAnsi="Arial" w:cs="Arial"/>
          <w:b/>
          <w:bCs/>
          <w:sz w:val="22"/>
          <w:szCs w:val="22"/>
          <w:lang w:val="es-ES_tradnl"/>
        </w:rPr>
        <w:t>646</w:t>
      </w:r>
      <w:r w:rsidRPr="003A5B51">
        <w:rPr>
          <w:rFonts w:ascii="Arial" w:eastAsia="Calibri" w:hAnsi="Arial" w:cs="Arial"/>
          <w:b/>
          <w:bCs/>
          <w:sz w:val="22"/>
          <w:szCs w:val="22"/>
          <w:lang w:val="es-ES_tradnl"/>
        </w:rPr>
        <w:t xml:space="preserve"> de 2022</w:t>
      </w:r>
    </w:p>
    <w:p w14:paraId="7718C70A" w14:textId="77777777" w:rsidR="00341A5A" w:rsidRPr="003A5B51" w:rsidRDefault="00341A5A" w:rsidP="00341A5A">
      <w:pPr>
        <w:contextualSpacing/>
        <w:jc w:val="both"/>
        <w:rPr>
          <w:rFonts w:ascii="Arial" w:eastAsia="Calibri" w:hAnsi="Arial" w:cs="Arial"/>
          <w:sz w:val="22"/>
          <w:szCs w:val="22"/>
          <w:lang w:val="es-ES_tradnl"/>
        </w:rPr>
      </w:pPr>
    </w:p>
    <w:tbl>
      <w:tblPr>
        <w:tblStyle w:val="Tablaconcuadrcula"/>
        <w:tblW w:w="148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20"/>
        <w:gridCol w:w="6222"/>
        <w:gridCol w:w="2125"/>
        <w:gridCol w:w="3816"/>
      </w:tblGrid>
      <w:tr w:rsidR="00341A5A" w:rsidRPr="003A5B51" w14:paraId="62181FF2" w14:textId="77777777" w:rsidTr="005A644B">
        <w:tc>
          <w:tcPr>
            <w:tcW w:w="2689" w:type="dxa"/>
          </w:tcPr>
          <w:p w14:paraId="0C98D255" w14:textId="77777777" w:rsidR="00341A5A" w:rsidRPr="003A5B51" w:rsidRDefault="00341A5A" w:rsidP="005A644B">
            <w:pPr>
              <w:contextualSpacing/>
              <w:jc w:val="both"/>
              <w:rPr>
                <w:rFonts w:ascii="Arial" w:eastAsia="Calibri" w:hAnsi="Arial" w:cs="Arial"/>
                <w:sz w:val="22"/>
                <w:szCs w:val="22"/>
                <w:lang w:val="es-ES_tradnl"/>
              </w:rPr>
            </w:pPr>
            <w:r w:rsidRPr="003A5B51">
              <w:rPr>
                <w:rFonts w:ascii="Arial" w:eastAsia="Calibri" w:hAnsi="Arial" w:cs="Arial"/>
                <w:b/>
                <w:sz w:val="22"/>
                <w:szCs w:val="22"/>
                <w:lang w:val="es-ES_tradnl"/>
              </w:rPr>
              <w:t>Temas:</w:t>
            </w:r>
            <w:r w:rsidRPr="003A5B51">
              <w:rPr>
                <w:rFonts w:ascii="Arial" w:eastAsia="Calibri" w:hAnsi="Arial" w:cs="Arial"/>
                <w:sz w:val="22"/>
                <w:szCs w:val="22"/>
                <w:lang w:val="es-ES_tradnl"/>
              </w:rPr>
              <w:t xml:space="preserve">                                      </w:t>
            </w:r>
          </w:p>
        </w:tc>
        <w:tc>
          <w:tcPr>
            <w:tcW w:w="6242" w:type="dxa"/>
            <w:gridSpan w:val="2"/>
          </w:tcPr>
          <w:p w14:paraId="5DC9B88E" w14:textId="2E41DA42" w:rsidR="00341A5A" w:rsidRPr="003A5B51" w:rsidRDefault="00341A5A" w:rsidP="005A644B">
            <w:pPr>
              <w:contextualSpacing/>
              <w:jc w:val="both"/>
              <w:rPr>
                <w:rFonts w:ascii="Arial" w:eastAsia="Calibri" w:hAnsi="Arial" w:cs="Arial"/>
                <w:bCs/>
                <w:sz w:val="20"/>
                <w:szCs w:val="20"/>
              </w:rPr>
            </w:pPr>
            <w:r w:rsidRPr="003A5B51">
              <w:rPr>
                <w:rFonts w:ascii="Arial" w:eastAsia="Calibri" w:hAnsi="Arial" w:cs="Arial"/>
                <w:bCs/>
                <w:sz w:val="22"/>
                <w:szCs w:val="22"/>
              </w:rPr>
              <w:t xml:space="preserve">LEY DE EMPRENDIMIENTO – Ley 2069 de 2020 – Finalidad / LEY DE EMPRENDIMIENTO – Ley 2069 de 2020 – Artículo 32 – Criterios diferenciales – Emprendimientos de mujeres – Empresas de mujeres / LEY DE EMPRENDIMIENTO – Ley 2069 de 2020 – Artículo 32 – Criterios diferenciales – Emprendimientos de mujeres – Empresas de mujeres – Necesidad de reglamentación – Decreto 1860 de 2021/ </w:t>
            </w:r>
            <w:r w:rsidRPr="003A5B51">
              <w:rPr>
                <w:rFonts w:ascii="Arial" w:eastAsia="Calibri" w:hAnsi="Arial" w:cs="Arial"/>
                <w:bCs/>
                <w:sz w:val="22"/>
                <w:szCs w:val="22"/>
                <w:lang w:val="es-ES"/>
              </w:rPr>
              <w:t xml:space="preserve">DECRETO 1860 DE 2021 – </w:t>
            </w:r>
            <w:r w:rsidR="00EC10CA" w:rsidRPr="003A5B51">
              <w:rPr>
                <w:rFonts w:ascii="Arial" w:eastAsia="Calibri" w:hAnsi="Arial" w:cs="Arial"/>
                <w:bCs/>
                <w:sz w:val="22"/>
                <w:szCs w:val="22"/>
                <w:lang w:val="es-ES"/>
              </w:rPr>
              <w:t>Mujeres</w:t>
            </w:r>
            <w:r w:rsidRPr="003A5B51">
              <w:rPr>
                <w:rFonts w:ascii="Arial" w:eastAsia="Calibri" w:hAnsi="Arial" w:cs="Arial"/>
                <w:bCs/>
                <w:sz w:val="22"/>
                <w:szCs w:val="22"/>
                <w:lang w:val="es-ES"/>
              </w:rPr>
              <w:t xml:space="preserve"> – Persona natural / </w:t>
            </w:r>
          </w:p>
        </w:tc>
        <w:tc>
          <w:tcPr>
            <w:tcW w:w="5941" w:type="dxa"/>
            <w:gridSpan w:val="2"/>
          </w:tcPr>
          <w:p w14:paraId="1EBA09D6" w14:textId="77777777" w:rsidR="00341A5A" w:rsidRPr="003A5B51" w:rsidRDefault="00341A5A" w:rsidP="005A644B">
            <w:pPr>
              <w:ind w:right="-570"/>
              <w:contextualSpacing/>
              <w:jc w:val="both"/>
              <w:rPr>
                <w:rFonts w:ascii="Arial" w:eastAsia="Calibri" w:hAnsi="Arial" w:cs="Arial"/>
                <w:sz w:val="22"/>
                <w:szCs w:val="22"/>
                <w:lang w:val="es-ES_tradnl" w:eastAsia="en-US"/>
              </w:rPr>
            </w:pPr>
          </w:p>
        </w:tc>
      </w:tr>
      <w:tr w:rsidR="00341A5A" w:rsidRPr="003A5B51" w14:paraId="25133482" w14:textId="77777777" w:rsidTr="005A644B">
        <w:trPr>
          <w:gridAfter w:val="1"/>
          <w:wAfter w:w="3816" w:type="dxa"/>
        </w:trPr>
        <w:tc>
          <w:tcPr>
            <w:tcW w:w="2689" w:type="dxa"/>
          </w:tcPr>
          <w:p w14:paraId="528E7283" w14:textId="77777777" w:rsidR="00341A5A" w:rsidRPr="003A5B51" w:rsidRDefault="00341A5A" w:rsidP="005A644B">
            <w:pPr>
              <w:contextualSpacing/>
              <w:jc w:val="both"/>
              <w:rPr>
                <w:rFonts w:ascii="Arial" w:eastAsia="Calibri" w:hAnsi="Arial" w:cs="Arial"/>
                <w:b/>
                <w:sz w:val="22"/>
                <w:szCs w:val="22"/>
                <w:lang w:val="es-ES_tradnl"/>
              </w:rPr>
            </w:pPr>
          </w:p>
          <w:p w14:paraId="3DCBDF23" w14:textId="77777777" w:rsidR="00341A5A" w:rsidRPr="003A5B51" w:rsidRDefault="00341A5A" w:rsidP="005A644B">
            <w:pPr>
              <w:contextualSpacing/>
              <w:jc w:val="both"/>
              <w:rPr>
                <w:rFonts w:ascii="Arial" w:eastAsia="Calibri" w:hAnsi="Arial" w:cs="Arial"/>
                <w:b/>
                <w:sz w:val="22"/>
                <w:szCs w:val="22"/>
                <w:lang w:val="es-ES_tradnl"/>
              </w:rPr>
            </w:pPr>
            <w:r w:rsidRPr="003A5B51">
              <w:rPr>
                <w:rFonts w:ascii="Arial" w:eastAsia="Calibri" w:hAnsi="Arial" w:cs="Arial"/>
                <w:b/>
                <w:sz w:val="22"/>
                <w:szCs w:val="22"/>
                <w:lang w:val="es-ES_tradnl"/>
              </w:rPr>
              <w:t>Radicación:</w:t>
            </w:r>
            <w:r w:rsidRPr="003A5B51">
              <w:rPr>
                <w:rFonts w:ascii="Arial" w:eastAsia="Calibri" w:hAnsi="Arial" w:cs="Arial"/>
                <w:sz w:val="22"/>
                <w:szCs w:val="22"/>
                <w:lang w:val="es-ES_tradnl"/>
              </w:rPr>
              <w:t xml:space="preserve">                              </w:t>
            </w:r>
          </w:p>
        </w:tc>
        <w:tc>
          <w:tcPr>
            <w:tcW w:w="20" w:type="dxa"/>
          </w:tcPr>
          <w:p w14:paraId="513C097F" w14:textId="77777777" w:rsidR="00341A5A" w:rsidRPr="003A5B51" w:rsidRDefault="00341A5A" w:rsidP="005A644B">
            <w:pPr>
              <w:contextualSpacing/>
              <w:jc w:val="both"/>
              <w:rPr>
                <w:rFonts w:ascii="Arial" w:eastAsia="Calibri" w:hAnsi="Arial" w:cs="Arial"/>
                <w:sz w:val="22"/>
                <w:szCs w:val="22"/>
                <w:lang w:val="es-ES_tradnl"/>
              </w:rPr>
            </w:pPr>
          </w:p>
        </w:tc>
        <w:tc>
          <w:tcPr>
            <w:tcW w:w="8347" w:type="dxa"/>
            <w:gridSpan w:val="2"/>
          </w:tcPr>
          <w:p w14:paraId="0745276E" w14:textId="77777777" w:rsidR="00341A5A" w:rsidRPr="003A5B51" w:rsidRDefault="00341A5A" w:rsidP="005A644B">
            <w:pPr>
              <w:contextualSpacing/>
              <w:jc w:val="both"/>
              <w:rPr>
                <w:rFonts w:ascii="Arial" w:eastAsia="Calibri" w:hAnsi="Arial" w:cs="Arial"/>
                <w:sz w:val="22"/>
                <w:szCs w:val="22"/>
                <w:lang w:val="es-ES_tradnl"/>
              </w:rPr>
            </w:pPr>
          </w:p>
          <w:p w14:paraId="030655B8" w14:textId="068C3D8A" w:rsidR="00341A5A" w:rsidRPr="003A5B51" w:rsidRDefault="00341A5A" w:rsidP="005A644B">
            <w:pPr>
              <w:contextualSpacing/>
              <w:jc w:val="both"/>
              <w:rPr>
                <w:rFonts w:ascii="Arial" w:eastAsia="Calibri" w:hAnsi="Arial" w:cs="Arial"/>
                <w:sz w:val="22"/>
                <w:szCs w:val="22"/>
                <w:lang w:val="es-ES_tradnl"/>
              </w:rPr>
            </w:pPr>
            <w:r w:rsidRPr="003A5B51">
              <w:rPr>
                <w:rFonts w:ascii="Arial" w:eastAsia="Calibri" w:hAnsi="Arial" w:cs="Arial"/>
                <w:sz w:val="22"/>
                <w:szCs w:val="22"/>
                <w:lang w:val="es-ES_tradnl"/>
              </w:rPr>
              <w:t xml:space="preserve">Respuesta a consulta # </w:t>
            </w:r>
            <w:r w:rsidR="006857D6" w:rsidRPr="003A5B51">
              <w:rPr>
                <w:rFonts w:ascii="Arial" w:eastAsia="Calibri" w:hAnsi="Arial" w:cs="Arial"/>
                <w:sz w:val="22"/>
                <w:szCs w:val="22"/>
                <w:lang w:val="es-ES_tradnl"/>
              </w:rPr>
              <w:t>P20220825008469</w:t>
            </w:r>
            <w:r w:rsidR="004535FD" w:rsidRPr="003A5B51">
              <w:rPr>
                <w:rFonts w:ascii="Arial" w:eastAsia="Calibri" w:hAnsi="Arial" w:cs="Arial"/>
                <w:sz w:val="22"/>
                <w:szCs w:val="22"/>
                <w:lang w:val="es-ES_tradnl"/>
              </w:rPr>
              <w:t xml:space="preserve"> y P20220831008700</w:t>
            </w:r>
          </w:p>
        </w:tc>
      </w:tr>
    </w:tbl>
    <w:p w14:paraId="6CD22FB3" w14:textId="77777777" w:rsidR="00341A5A" w:rsidRPr="003A5B51" w:rsidRDefault="00341A5A" w:rsidP="00341A5A">
      <w:pPr>
        <w:contextualSpacing/>
        <w:jc w:val="both"/>
        <w:rPr>
          <w:rFonts w:ascii="Arial" w:eastAsia="Calibri" w:hAnsi="Arial" w:cs="Arial"/>
          <w:sz w:val="22"/>
          <w:szCs w:val="22"/>
          <w:lang w:val="es-ES_tradnl"/>
        </w:rPr>
      </w:pPr>
    </w:p>
    <w:p w14:paraId="567CDA04" w14:textId="77777777" w:rsidR="00341A5A" w:rsidRPr="003A5B51" w:rsidRDefault="00341A5A" w:rsidP="00341A5A">
      <w:pPr>
        <w:contextualSpacing/>
        <w:jc w:val="both"/>
        <w:rPr>
          <w:rFonts w:ascii="Arial" w:eastAsia="Calibri" w:hAnsi="Arial" w:cs="Arial"/>
          <w:sz w:val="22"/>
          <w:szCs w:val="22"/>
          <w:lang w:val="es-ES_tradnl"/>
        </w:rPr>
      </w:pPr>
    </w:p>
    <w:p w14:paraId="0EC4AC30" w14:textId="695703F3" w:rsidR="00341A5A" w:rsidRPr="003A5B51" w:rsidRDefault="00341A5A" w:rsidP="00341A5A">
      <w:pPr>
        <w:spacing w:line="276" w:lineRule="auto"/>
        <w:contextualSpacing/>
        <w:rPr>
          <w:rFonts w:ascii="Arial" w:eastAsia="Calibri" w:hAnsi="Arial" w:cs="Arial"/>
          <w:sz w:val="22"/>
          <w:szCs w:val="22"/>
          <w:lang w:val="es-ES_tradnl"/>
        </w:rPr>
      </w:pPr>
      <w:r w:rsidRPr="003A5B51">
        <w:rPr>
          <w:rFonts w:ascii="Arial" w:eastAsia="Calibri" w:hAnsi="Arial" w:cs="Arial"/>
          <w:sz w:val="22"/>
          <w:szCs w:val="22"/>
          <w:lang w:val="es-ES_tradnl"/>
        </w:rPr>
        <w:t>Estimad</w:t>
      </w:r>
      <w:r w:rsidR="003C3A68" w:rsidRPr="003A5B51">
        <w:rPr>
          <w:rFonts w:ascii="Arial" w:eastAsia="Calibri" w:hAnsi="Arial" w:cs="Arial"/>
          <w:sz w:val="22"/>
          <w:szCs w:val="22"/>
          <w:lang w:val="es-ES_tradnl"/>
        </w:rPr>
        <w:t>o</w:t>
      </w:r>
      <w:r w:rsidRPr="003A5B51">
        <w:rPr>
          <w:rFonts w:ascii="Arial" w:eastAsia="Calibri" w:hAnsi="Arial" w:cs="Arial"/>
          <w:sz w:val="22"/>
          <w:szCs w:val="22"/>
          <w:lang w:val="es-ES_tradnl"/>
        </w:rPr>
        <w:t xml:space="preserve"> señor </w:t>
      </w:r>
      <w:r w:rsidR="003C3A68" w:rsidRPr="003A5B51">
        <w:rPr>
          <w:rFonts w:ascii="Arial" w:eastAsia="Calibri" w:hAnsi="Arial" w:cs="Arial"/>
          <w:sz w:val="22"/>
          <w:szCs w:val="22"/>
          <w:lang w:val="es-ES_tradnl"/>
        </w:rPr>
        <w:t>Ferraro</w:t>
      </w:r>
      <w:r w:rsidRPr="003A5B51">
        <w:rPr>
          <w:rFonts w:ascii="Arial" w:eastAsia="Calibri" w:hAnsi="Arial" w:cs="Arial"/>
          <w:sz w:val="22"/>
          <w:szCs w:val="22"/>
          <w:lang w:val="es-ES_tradnl"/>
        </w:rPr>
        <w:t>:</w:t>
      </w:r>
    </w:p>
    <w:p w14:paraId="2A0E7406" w14:textId="77777777" w:rsidR="00341A5A" w:rsidRPr="003A5B51" w:rsidRDefault="00341A5A" w:rsidP="00341A5A">
      <w:pPr>
        <w:spacing w:line="276" w:lineRule="auto"/>
        <w:contextualSpacing/>
        <w:jc w:val="both"/>
        <w:rPr>
          <w:rFonts w:ascii="Arial" w:eastAsia="Calibri" w:hAnsi="Arial" w:cs="Arial"/>
          <w:sz w:val="22"/>
          <w:szCs w:val="22"/>
          <w:lang w:val="es-ES_tradnl"/>
        </w:rPr>
      </w:pPr>
    </w:p>
    <w:p w14:paraId="0785C1B5" w14:textId="608C3C44" w:rsidR="00341A5A" w:rsidRPr="003A5B51" w:rsidRDefault="00341A5A" w:rsidP="00341A5A">
      <w:pPr>
        <w:spacing w:line="276" w:lineRule="auto"/>
        <w:contextualSpacing/>
        <w:jc w:val="both"/>
        <w:rPr>
          <w:rFonts w:ascii="Arial" w:eastAsia="Calibri" w:hAnsi="Arial" w:cs="Arial"/>
          <w:sz w:val="22"/>
          <w:szCs w:val="22"/>
          <w:lang w:val="es-ES_tradnl"/>
        </w:rPr>
      </w:pPr>
      <w:r w:rsidRPr="003A5B51">
        <w:rPr>
          <w:rFonts w:ascii="Arial" w:eastAsia="Calibri" w:hAnsi="Arial" w:cs="Arial"/>
          <w:sz w:val="22"/>
          <w:szCs w:val="22"/>
          <w:lang w:val="es-ES_tradnl"/>
        </w:rPr>
        <w:t>En ejercicio de la competencia otorgada por el numeral 8 del artículo 11 y el numeral 5 del artículo 3 del Decreto Ley 4170 de 2011, la Agencia Nacional de Contratación Pública – Colombia Compra Eficiente responde su</w:t>
      </w:r>
      <w:r w:rsidR="004535FD" w:rsidRPr="003A5B51">
        <w:rPr>
          <w:rFonts w:ascii="Arial" w:eastAsia="Calibri" w:hAnsi="Arial" w:cs="Arial"/>
          <w:sz w:val="22"/>
          <w:szCs w:val="22"/>
          <w:lang w:val="es-ES_tradnl"/>
        </w:rPr>
        <w:t>s</w:t>
      </w:r>
      <w:r w:rsidRPr="003A5B51">
        <w:rPr>
          <w:rFonts w:ascii="Arial" w:eastAsia="Calibri" w:hAnsi="Arial" w:cs="Arial"/>
          <w:sz w:val="22"/>
          <w:szCs w:val="22"/>
          <w:lang w:val="es-ES_tradnl"/>
        </w:rPr>
        <w:t xml:space="preserve"> consulta</w:t>
      </w:r>
      <w:r w:rsidR="004535FD" w:rsidRPr="003A5B51">
        <w:rPr>
          <w:rFonts w:ascii="Arial" w:eastAsia="Calibri" w:hAnsi="Arial" w:cs="Arial"/>
          <w:sz w:val="22"/>
          <w:szCs w:val="22"/>
          <w:lang w:val="es-ES_tradnl"/>
        </w:rPr>
        <w:t>s</w:t>
      </w:r>
      <w:r w:rsidRPr="003A5B51">
        <w:rPr>
          <w:rFonts w:ascii="Arial" w:eastAsia="Calibri" w:hAnsi="Arial" w:cs="Arial"/>
          <w:sz w:val="22"/>
          <w:szCs w:val="22"/>
          <w:lang w:val="es-ES_tradnl"/>
        </w:rPr>
        <w:t xml:space="preserve"> del </w:t>
      </w:r>
      <w:r w:rsidR="003C3A68" w:rsidRPr="003A5B51">
        <w:rPr>
          <w:rFonts w:ascii="Arial" w:eastAsia="Calibri" w:hAnsi="Arial" w:cs="Arial"/>
          <w:sz w:val="22"/>
          <w:szCs w:val="22"/>
          <w:lang w:val="es-ES_tradnl"/>
        </w:rPr>
        <w:t>25 de agosto</w:t>
      </w:r>
      <w:r w:rsidRPr="003A5B51">
        <w:rPr>
          <w:rFonts w:ascii="Arial" w:eastAsia="Calibri" w:hAnsi="Arial" w:cs="Arial"/>
          <w:sz w:val="22"/>
          <w:szCs w:val="22"/>
          <w:lang w:val="es-ES_tradnl"/>
        </w:rPr>
        <w:t xml:space="preserve"> del 2022</w:t>
      </w:r>
      <w:r w:rsidR="004535FD" w:rsidRPr="003A5B51">
        <w:rPr>
          <w:rFonts w:ascii="Arial" w:eastAsia="Calibri" w:hAnsi="Arial" w:cs="Arial"/>
          <w:sz w:val="22"/>
          <w:szCs w:val="22"/>
          <w:lang w:val="es-ES_tradnl"/>
        </w:rPr>
        <w:t>, precisando que la última, que tiene la misma finalidad que la primera, fue remitida por competencia por el Departamento Nacional de Planeación, mediante comunicado del 30 de agosto de 2022.</w:t>
      </w:r>
    </w:p>
    <w:bookmarkEnd w:id="0"/>
    <w:p w14:paraId="3164E0B9" w14:textId="77777777" w:rsidR="00341A5A" w:rsidRPr="003A5B51" w:rsidRDefault="00341A5A" w:rsidP="00341A5A">
      <w:pPr>
        <w:spacing w:line="276" w:lineRule="auto"/>
        <w:contextualSpacing/>
        <w:jc w:val="both"/>
        <w:rPr>
          <w:rFonts w:ascii="Arial" w:eastAsia="Calibri" w:hAnsi="Arial" w:cs="Arial"/>
          <w:b/>
          <w:sz w:val="22"/>
          <w:szCs w:val="22"/>
          <w:lang w:val="es-ES_tradnl"/>
        </w:rPr>
      </w:pPr>
    </w:p>
    <w:p w14:paraId="060DD3E1" w14:textId="77777777" w:rsidR="00341A5A" w:rsidRPr="003A5B51" w:rsidRDefault="00341A5A" w:rsidP="00341A5A">
      <w:pPr>
        <w:numPr>
          <w:ilvl w:val="0"/>
          <w:numId w:val="1"/>
        </w:numPr>
        <w:tabs>
          <w:tab w:val="left" w:pos="0"/>
          <w:tab w:val="left" w:pos="142"/>
          <w:tab w:val="left" w:pos="284"/>
        </w:tabs>
        <w:spacing w:line="276" w:lineRule="auto"/>
        <w:ind w:left="0" w:firstLine="0"/>
        <w:contextualSpacing/>
        <w:jc w:val="both"/>
        <w:rPr>
          <w:rFonts w:ascii="Arial" w:eastAsia="Calibri" w:hAnsi="Arial" w:cs="Arial"/>
          <w:b/>
          <w:sz w:val="22"/>
          <w:szCs w:val="22"/>
          <w:lang w:val="es-ES_tradnl" w:eastAsia="en-US"/>
        </w:rPr>
      </w:pPr>
      <w:r w:rsidRPr="003A5B51">
        <w:rPr>
          <w:rFonts w:ascii="Arial" w:eastAsia="Calibri" w:hAnsi="Arial" w:cs="Arial"/>
          <w:b/>
          <w:sz w:val="22"/>
          <w:szCs w:val="22"/>
          <w:lang w:val="es-ES_tradnl" w:eastAsia="en-US"/>
        </w:rPr>
        <w:t xml:space="preserve">Problema planteado </w:t>
      </w:r>
    </w:p>
    <w:p w14:paraId="5B861AD4" w14:textId="77777777" w:rsidR="00341A5A" w:rsidRPr="003A5B51" w:rsidRDefault="00341A5A" w:rsidP="00341A5A">
      <w:pPr>
        <w:tabs>
          <w:tab w:val="left" w:pos="426"/>
        </w:tabs>
        <w:spacing w:line="276" w:lineRule="auto"/>
        <w:contextualSpacing/>
        <w:jc w:val="both"/>
        <w:rPr>
          <w:rFonts w:ascii="Arial" w:eastAsia="Calibri" w:hAnsi="Arial" w:cs="Arial"/>
          <w:b/>
          <w:sz w:val="22"/>
          <w:szCs w:val="22"/>
          <w:lang w:val="es-ES_tradnl"/>
        </w:rPr>
      </w:pPr>
    </w:p>
    <w:p w14:paraId="42C02AC8" w14:textId="77777777" w:rsidR="00341A5A" w:rsidRPr="003A5B51" w:rsidRDefault="00341A5A" w:rsidP="00341A5A">
      <w:pPr>
        <w:spacing w:line="276" w:lineRule="auto"/>
        <w:contextualSpacing/>
        <w:jc w:val="both"/>
        <w:rPr>
          <w:rFonts w:ascii="Arial" w:hAnsi="Arial" w:cs="Arial"/>
          <w:sz w:val="22"/>
          <w:szCs w:val="22"/>
          <w:lang w:val="es-ES_tradnl"/>
        </w:rPr>
      </w:pPr>
      <w:r w:rsidRPr="003A5B51">
        <w:rPr>
          <w:rFonts w:ascii="Arial" w:hAnsi="Arial" w:cs="Arial"/>
          <w:sz w:val="22"/>
          <w:szCs w:val="22"/>
          <w:lang w:val="es-ES_tradnl"/>
        </w:rPr>
        <w:t xml:space="preserve">En relación con la forma de acreditar la calidad de emprendimientos y empresas de mujeres, reglamentada en el Decreto 1860 de 2021, en atención a las cuales operan los criterios diferenciales introducidos por el artículo 32 de la Ley 2069 de 2020, usted realiza la siguiente consulta: </w:t>
      </w:r>
    </w:p>
    <w:p w14:paraId="6136067B" w14:textId="77777777" w:rsidR="00341A5A" w:rsidRPr="003A5B51" w:rsidRDefault="00341A5A" w:rsidP="00341A5A">
      <w:pPr>
        <w:spacing w:line="276" w:lineRule="auto"/>
        <w:contextualSpacing/>
        <w:jc w:val="both"/>
        <w:rPr>
          <w:rFonts w:ascii="Arial" w:hAnsi="Arial" w:cs="Arial"/>
          <w:sz w:val="22"/>
          <w:szCs w:val="22"/>
          <w:lang w:val="es-ES_tradnl"/>
        </w:rPr>
      </w:pPr>
    </w:p>
    <w:p w14:paraId="2919F429" w14:textId="661D1B11" w:rsidR="00FE42F3" w:rsidRPr="003A5B51" w:rsidRDefault="00341A5A" w:rsidP="00341A5A">
      <w:pPr>
        <w:ind w:left="709" w:right="709"/>
        <w:contextualSpacing/>
        <w:jc w:val="both"/>
        <w:rPr>
          <w:rFonts w:ascii="Arial" w:hAnsi="Arial" w:cs="Arial"/>
          <w:sz w:val="21"/>
          <w:szCs w:val="21"/>
        </w:rPr>
      </w:pPr>
      <w:r w:rsidRPr="003A5B51">
        <w:rPr>
          <w:rFonts w:ascii="Arial" w:hAnsi="Arial" w:cs="Arial"/>
          <w:sz w:val="21"/>
          <w:szCs w:val="21"/>
          <w:lang w:val="es-ES_tradnl"/>
        </w:rPr>
        <w:lastRenderedPageBreak/>
        <w:t>«</w:t>
      </w:r>
      <w:r w:rsidR="00FE42F3" w:rsidRPr="003A5B51">
        <w:rPr>
          <w:rFonts w:ascii="Arial" w:hAnsi="Arial" w:cs="Arial"/>
          <w:sz w:val="21"/>
          <w:szCs w:val="21"/>
        </w:rPr>
        <w:t xml:space="preserve">Se confirme que, si una empresa tiene como accionista a otra empresa y esta última a su vez tiene como accionistas mayoritariamente a mujeres, se estaría </w:t>
      </w:r>
      <w:r w:rsidR="00241069" w:rsidRPr="003A5B51">
        <w:rPr>
          <w:rFonts w:ascii="Arial" w:hAnsi="Arial" w:cs="Arial"/>
          <w:sz w:val="21"/>
          <w:szCs w:val="21"/>
        </w:rPr>
        <w:t>cumpliendo</w:t>
      </w:r>
      <w:r w:rsidR="00FE42F3" w:rsidRPr="003A5B51">
        <w:rPr>
          <w:rFonts w:ascii="Arial" w:hAnsi="Arial" w:cs="Arial"/>
          <w:sz w:val="21"/>
          <w:szCs w:val="21"/>
        </w:rPr>
        <w:t xml:space="preserve"> lo dispuesto en el Decreto Ley 1860 de 2021, artículo 2.2.1.2.1.4.2.14, para la obtención del beneficio del puntaje de 0.25%</w:t>
      </w:r>
    </w:p>
    <w:p w14:paraId="05A4461A" w14:textId="77777777" w:rsidR="00241069" w:rsidRPr="003A5B51" w:rsidRDefault="00241069" w:rsidP="00341A5A">
      <w:pPr>
        <w:ind w:left="709" w:right="709"/>
        <w:contextualSpacing/>
        <w:jc w:val="both"/>
        <w:rPr>
          <w:rFonts w:ascii="Arial" w:hAnsi="Arial" w:cs="Arial"/>
          <w:sz w:val="21"/>
          <w:szCs w:val="21"/>
        </w:rPr>
      </w:pPr>
    </w:p>
    <w:p w14:paraId="70A395FD" w14:textId="45CEBFFC" w:rsidR="00341A5A" w:rsidRPr="003A5B51" w:rsidRDefault="00FE42F3" w:rsidP="00341A5A">
      <w:pPr>
        <w:ind w:left="709" w:right="709"/>
        <w:contextualSpacing/>
        <w:jc w:val="both"/>
        <w:rPr>
          <w:rFonts w:ascii="Arial" w:hAnsi="Arial" w:cs="Arial"/>
          <w:sz w:val="21"/>
          <w:szCs w:val="21"/>
          <w:lang w:val="es-ES_tradnl"/>
        </w:rPr>
      </w:pPr>
      <w:r w:rsidRPr="003A5B51">
        <w:rPr>
          <w:rFonts w:ascii="Arial" w:hAnsi="Arial" w:cs="Arial"/>
          <w:sz w:val="21"/>
          <w:szCs w:val="21"/>
        </w:rPr>
        <w:t>Lo anterior teniendo en cuenta que una empresa no tiene género, en cambio sus accionistas sí lo tienen</w:t>
      </w:r>
      <w:r w:rsidR="00341A5A" w:rsidRPr="003A5B51">
        <w:rPr>
          <w:rFonts w:ascii="Arial" w:hAnsi="Arial" w:cs="Arial"/>
          <w:sz w:val="21"/>
          <w:szCs w:val="21"/>
          <w:lang w:val="es-ES_tradnl"/>
        </w:rPr>
        <w:t>»</w:t>
      </w:r>
    </w:p>
    <w:p w14:paraId="4EBE0E09" w14:textId="77777777" w:rsidR="00341A5A" w:rsidRPr="003A5B51" w:rsidRDefault="00341A5A" w:rsidP="00341A5A">
      <w:pPr>
        <w:spacing w:line="276" w:lineRule="auto"/>
        <w:ind w:right="709"/>
        <w:contextualSpacing/>
        <w:jc w:val="both"/>
        <w:rPr>
          <w:rFonts w:ascii="Arial" w:hAnsi="Arial" w:cs="Arial"/>
          <w:sz w:val="21"/>
          <w:szCs w:val="21"/>
          <w:lang w:val="es-ES_tradnl"/>
        </w:rPr>
      </w:pPr>
    </w:p>
    <w:p w14:paraId="6C2D4450" w14:textId="77777777" w:rsidR="00341A5A" w:rsidRPr="003A5B51" w:rsidRDefault="00341A5A" w:rsidP="00341A5A">
      <w:pPr>
        <w:numPr>
          <w:ilvl w:val="0"/>
          <w:numId w:val="1"/>
        </w:numPr>
        <w:tabs>
          <w:tab w:val="left" w:pos="0"/>
          <w:tab w:val="left" w:pos="284"/>
        </w:tabs>
        <w:spacing w:line="276" w:lineRule="auto"/>
        <w:ind w:left="0" w:firstLine="0"/>
        <w:contextualSpacing/>
        <w:jc w:val="both"/>
        <w:rPr>
          <w:rFonts w:ascii="Arial" w:eastAsia="Calibri" w:hAnsi="Arial" w:cs="Arial"/>
          <w:b/>
          <w:sz w:val="22"/>
          <w:szCs w:val="22"/>
          <w:lang w:val="es-ES_tradnl" w:eastAsia="en-US"/>
        </w:rPr>
      </w:pPr>
      <w:r w:rsidRPr="003A5B51">
        <w:rPr>
          <w:rFonts w:ascii="Arial" w:eastAsia="Calibri" w:hAnsi="Arial" w:cs="Arial"/>
          <w:b/>
          <w:sz w:val="22"/>
          <w:szCs w:val="22"/>
          <w:lang w:val="es-ES_tradnl" w:eastAsia="en-US"/>
        </w:rPr>
        <w:t>Consideraciones</w:t>
      </w:r>
    </w:p>
    <w:p w14:paraId="1FA2911F" w14:textId="77777777" w:rsidR="00341A5A" w:rsidRPr="003A5B51" w:rsidRDefault="00341A5A" w:rsidP="00341A5A">
      <w:pPr>
        <w:spacing w:line="276" w:lineRule="auto"/>
        <w:contextualSpacing/>
        <w:jc w:val="both"/>
        <w:rPr>
          <w:rFonts w:ascii="Arial" w:eastAsia="Calibri" w:hAnsi="Arial" w:cs="Arial"/>
          <w:sz w:val="22"/>
          <w:szCs w:val="22"/>
          <w:lang w:val="es-ES_tradnl"/>
        </w:rPr>
      </w:pPr>
    </w:p>
    <w:p w14:paraId="3AA62702" w14:textId="77777777" w:rsidR="00341A5A" w:rsidRPr="003A5B51" w:rsidRDefault="00341A5A" w:rsidP="00341A5A">
      <w:pPr>
        <w:spacing w:after="120" w:line="276" w:lineRule="auto"/>
        <w:jc w:val="both"/>
        <w:rPr>
          <w:rFonts w:ascii="Arial" w:eastAsia="Calibri" w:hAnsi="Arial" w:cs="Arial"/>
          <w:b/>
          <w:bCs/>
          <w:sz w:val="22"/>
          <w:szCs w:val="22"/>
          <w:lang w:val="es-ES_tradnl"/>
        </w:rPr>
      </w:pPr>
      <w:r w:rsidRPr="003A5B51">
        <w:rPr>
          <w:rFonts w:ascii="Arial" w:eastAsia="Calibri" w:hAnsi="Arial" w:cs="Arial"/>
          <w:sz w:val="22"/>
          <w:szCs w:val="22"/>
          <w:lang w:val="es-ES_tradnl"/>
        </w:rPr>
        <w:t xml:space="preserve">Para responder su consulta, en desarrollo del presente concepto, se analizarán los siguientes temas: i) vigencia y reglamentación de los criterios diferenciales de la Ley 2069 de 2020 y; </w:t>
      </w:r>
      <w:proofErr w:type="spellStart"/>
      <w:r w:rsidRPr="003A5B51">
        <w:rPr>
          <w:rFonts w:ascii="Arial" w:eastAsia="Calibri" w:hAnsi="Arial" w:cs="Arial"/>
          <w:sz w:val="22"/>
          <w:szCs w:val="22"/>
          <w:lang w:val="es-ES_tradnl"/>
        </w:rPr>
        <w:t>ii</w:t>
      </w:r>
      <w:proofErr w:type="spellEnd"/>
      <w:r w:rsidRPr="003A5B51">
        <w:rPr>
          <w:rFonts w:ascii="Arial" w:eastAsia="Calibri" w:hAnsi="Arial" w:cs="Arial"/>
          <w:sz w:val="22"/>
          <w:szCs w:val="22"/>
          <w:lang w:val="es-ES_tradnl"/>
        </w:rPr>
        <w:t>) definición de emprendimientos y empresas de mujeres en el Decreto 1860 de 2021</w:t>
      </w:r>
      <w:r w:rsidRPr="003A5B51">
        <w:rPr>
          <w:rFonts w:ascii="Arial" w:eastAsia="Calibri" w:hAnsi="Arial" w:cs="Arial"/>
          <w:color w:val="000000" w:themeColor="text1"/>
          <w:sz w:val="22"/>
          <w:szCs w:val="22"/>
          <w:lang w:val="es-ES"/>
        </w:rPr>
        <w:t>.</w:t>
      </w:r>
      <w:r w:rsidRPr="003A5B51">
        <w:rPr>
          <w:rFonts w:ascii="Arial" w:eastAsia="Calibri" w:hAnsi="Arial" w:cs="Arial"/>
          <w:sz w:val="22"/>
          <w:szCs w:val="22"/>
          <w:lang w:val="es-ES_tradnl"/>
        </w:rPr>
        <w:t xml:space="preserve"> </w:t>
      </w:r>
    </w:p>
    <w:p w14:paraId="13333BEA" w14:textId="77777777" w:rsidR="00341A5A" w:rsidRPr="003A5B51" w:rsidRDefault="00341A5A" w:rsidP="00341A5A">
      <w:pPr>
        <w:spacing w:line="276" w:lineRule="auto"/>
        <w:ind w:firstLine="708"/>
        <w:contextualSpacing/>
        <w:jc w:val="both"/>
        <w:rPr>
          <w:rFonts w:ascii="Arial" w:eastAsia="Calibri" w:hAnsi="Arial" w:cs="Arial"/>
          <w:sz w:val="22"/>
          <w:szCs w:val="22"/>
          <w:lang w:val="es-ES_tradnl"/>
        </w:rPr>
      </w:pPr>
      <w:r w:rsidRPr="003A5B51">
        <w:rPr>
          <w:rFonts w:ascii="Arial" w:eastAsia="Calibri" w:hAnsi="Arial" w:cs="Arial"/>
          <w:sz w:val="22"/>
          <w:szCs w:val="22"/>
          <w:lang w:val="es-ES_tradnl"/>
        </w:rPr>
        <w:t>La Agencia Nacional de Contratación Pública – Colombia Compra Eficiente se ha pronunciado, en términos generales, sobre el contenido de la Ley de Emprendimiento (Ley 2069 de 2020) en diferentes conceptos</w:t>
      </w:r>
      <w:r w:rsidRPr="003A5B51">
        <w:rPr>
          <w:rFonts w:ascii="Arial" w:eastAsia="Calibri" w:hAnsi="Arial" w:cs="Arial"/>
          <w:sz w:val="22"/>
          <w:szCs w:val="22"/>
          <w:vertAlign w:val="superscript"/>
          <w:lang w:val="es-ES_tradnl"/>
        </w:rPr>
        <w:footnoteReference w:id="1"/>
      </w:r>
      <w:r w:rsidRPr="003A5B51">
        <w:rPr>
          <w:rFonts w:ascii="Arial" w:eastAsia="Calibri" w:hAnsi="Arial" w:cs="Arial"/>
          <w:sz w:val="22"/>
          <w:szCs w:val="22"/>
          <w:lang w:val="es-ES_tradnl"/>
        </w:rPr>
        <w:t xml:space="preserve">, refiriéndose, especialmente, a lo dispuesto en el artículo 32 </w:t>
      </w:r>
      <w:r w:rsidRPr="003A5B51">
        <w:rPr>
          <w:rFonts w:ascii="Arial" w:eastAsia="Calibri" w:hAnsi="Arial" w:cs="Arial"/>
          <w:sz w:val="22"/>
          <w:szCs w:val="22"/>
          <w:lang w:val="es-ES_tradnl"/>
        </w:rPr>
        <w:lastRenderedPageBreak/>
        <w:t xml:space="preserve">de la precitada ley, alusivo a los criterios diferenciales para emprendimientos y empresas de mujeres, y su decreto reglamentario, en los conceptos </w:t>
      </w:r>
      <w:r w:rsidRPr="003A5B51">
        <w:rPr>
          <w:rFonts w:ascii="Arial" w:hAnsi="Arial" w:cs="Arial"/>
          <w:sz w:val="22"/>
          <w:szCs w:val="22"/>
          <w:shd w:val="clear" w:color="auto" w:fill="FFFFFF"/>
        </w:rPr>
        <w:t>C-029 de 21 de febrero de 2021, C-031 del 1 de marzo de 2022, C-037 del 26 de febrero de 2021, C-141 del 8 de abril de 2021, C-114 del 13 de abril de 2021, C- 031 del 1 de marzo de 2022, C-213 del 21 de abril de 2022, C-217 del 21 de abril de 2022, C-281 del 12 de mayo de 2022, C-322 del 20 de mayo de 2022, C-323 del 17 de junio de 2022, C-326 del 18 de mayo de 2022, C-398 del 15 de junio de 2022, C-399 del 21 de junio de 2022, C-421 del 6 de julio de 2022, C-429 del 18 de julio de 2022, C-438 del 11 de julio de 2022, C-454 del 13 de julio de 2022, C-476 del 21 de junio de 2022, C-479 del 26 de julio de 2022, C-504 del 8 de agosto de 2022, C-522 del 16 de agosto de 2022, entre otros.</w:t>
      </w:r>
      <w:r w:rsidRPr="003A5B51">
        <w:rPr>
          <w:rFonts w:ascii="Arial" w:eastAsia="Calibri" w:hAnsi="Arial" w:cs="Arial"/>
          <w:sz w:val="22"/>
          <w:szCs w:val="22"/>
          <w:lang w:val="es-ES_tradnl"/>
        </w:rPr>
        <w:t xml:space="preserve"> Algunas de las consideraciones de estos conceptos se reiteran y complementan en lo pertinente a continuación:</w:t>
      </w:r>
    </w:p>
    <w:p w14:paraId="2F8E3EB9" w14:textId="77777777" w:rsidR="00341A5A" w:rsidRPr="003A5B51" w:rsidRDefault="00341A5A" w:rsidP="00341A5A">
      <w:pPr>
        <w:contextualSpacing/>
        <w:textAlignment w:val="baseline"/>
        <w:rPr>
          <w:rFonts w:ascii="Arial" w:eastAsia="Calibri" w:hAnsi="Arial" w:cs="Arial"/>
          <w:sz w:val="22"/>
          <w:szCs w:val="22"/>
          <w:lang w:val="es-ES_tradnl"/>
        </w:rPr>
      </w:pPr>
    </w:p>
    <w:p w14:paraId="7F091A51" w14:textId="77777777" w:rsidR="00341A5A" w:rsidRPr="003A5B51" w:rsidRDefault="00341A5A" w:rsidP="00341A5A">
      <w:pPr>
        <w:spacing w:line="276" w:lineRule="auto"/>
        <w:contextualSpacing/>
        <w:jc w:val="both"/>
        <w:rPr>
          <w:rFonts w:ascii="Arial" w:eastAsia="Calibri" w:hAnsi="Arial" w:cs="Arial"/>
          <w:b/>
          <w:bCs/>
          <w:sz w:val="22"/>
          <w:szCs w:val="22"/>
          <w:lang w:val="es-ES_tradnl"/>
        </w:rPr>
      </w:pPr>
      <w:r w:rsidRPr="003A5B51">
        <w:rPr>
          <w:rFonts w:ascii="Arial" w:eastAsia="Calibri" w:hAnsi="Arial" w:cs="Arial"/>
          <w:b/>
          <w:bCs/>
          <w:sz w:val="22"/>
          <w:szCs w:val="22"/>
          <w:lang w:val="es-ES_tradnl"/>
        </w:rPr>
        <w:t xml:space="preserve">2.1. </w:t>
      </w:r>
      <w:bookmarkStart w:id="1" w:name="_Hlk94018153"/>
      <w:r w:rsidRPr="003A5B51">
        <w:rPr>
          <w:rFonts w:ascii="Arial" w:eastAsia="Calibri" w:hAnsi="Arial" w:cs="Arial"/>
          <w:b/>
          <w:bCs/>
          <w:sz w:val="22"/>
          <w:szCs w:val="22"/>
          <w:lang w:val="es-ES_tradnl"/>
        </w:rPr>
        <w:t xml:space="preserve">Vigencia y reglamentación de los criterios diferenciales introducidos por la Ley 2069 de 2020 </w:t>
      </w:r>
      <w:bookmarkEnd w:id="1"/>
    </w:p>
    <w:p w14:paraId="1B4390D6" w14:textId="77777777" w:rsidR="00341A5A" w:rsidRPr="003A5B51" w:rsidRDefault="00341A5A" w:rsidP="00341A5A">
      <w:pPr>
        <w:spacing w:line="276" w:lineRule="auto"/>
        <w:contextualSpacing/>
        <w:jc w:val="both"/>
        <w:rPr>
          <w:rFonts w:ascii="Arial" w:eastAsia="Calibri" w:hAnsi="Arial" w:cs="Arial"/>
          <w:sz w:val="22"/>
          <w:szCs w:val="22"/>
          <w:lang w:val="es-ES_tradnl"/>
        </w:rPr>
      </w:pPr>
    </w:p>
    <w:p w14:paraId="0A181B84" w14:textId="77777777" w:rsidR="00341A5A" w:rsidRPr="003A5B51" w:rsidRDefault="00341A5A" w:rsidP="00341A5A">
      <w:pPr>
        <w:spacing w:after="120" w:line="276" w:lineRule="auto"/>
        <w:jc w:val="both"/>
        <w:rPr>
          <w:rFonts w:ascii="Arial" w:eastAsia="Calibri" w:hAnsi="Arial" w:cs="Arial"/>
          <w:sz w:val="22"/>
          <w:szCs w:val="22"/>
          <w:lang w:val="es-ES_tradnl"/>
        </w:rPr>
      </w:pPr>
      <w:bookmarkStart w:id="2" w:name="_Hlk112034373"/>
      <w:r w:rsidRPr="003A5B51">
        <w:rPr>
          <w:rFonts w:ascii="Arial" w:eastAsia="Calibri" w:hAnsi="Arial" w:cs="Arial"/>
          <w:sz w:val="22"/>
          <w:szCs w:val="22"/>
          <w:lang w:val="es-ES_tradnl"/>
        </w:rPr>
        <w:t xml:space="preserve">El 31 de diciembre de 2020 se promulgó la Ley 2069, «Por medio de la cual se impulsa el emprendimiento en Colombia». De acuerdo con el artículo 84, «La presente Ley rige a partir del momento de su promulgación […]», lo que significa que es obligatoria para sus destinatarios desde esa fecha. </w:t>
      </w:r>
    </w:p>
    <w:p w14:paraId="59E44C27" w14:textId="77777777" w:rsidR="00341A5A" w:rsidRPr="003A5B51" w:rsidRDefault="00341A5A" w:rsidP="00341A5A">
      <w:pPr>
        <w:spacing w:before="120" w:after="120" w:line="276" w:lineRule="auto"/>
        <w:ind w:firstLine="709"/>
        <w:jc w:val="both"/>
        <w:rPr>
          <w:rFonts w:ascii="Arial" w:eastAsia="Calibri" w:hAnsi="Arial" w:cs="Arial"/>
          <w:sz w:val="22"/>
          <w:szCs w:val="22"/>
          <w:lang w:val="es-ES_tradnl"/>
        </w:rPr>
      </w:pPr>
      <w:r w:rsidRPr="003A5B51">
        <w:rPr>
          <w:rFonts w:ascii="Arial" w:eastAsia="Calibri" w:hAnsi="Arial" w:cs="Arial"/>
          <w:sz w:val="22"/>
          <w:szCs w:val="22"/>
          <w:lang w:val="es-ES_tradnl"/>
        </w:rPr>
        <w:t>En cuanto a su contenido, es importante señalar que, como lo dispone su artículo 1, aquella «tiene por objeto establecer un marco regulatorio que propicie el emprendimiento y el crecimiento, consolidación y sostenibilidad de las empresas, con el fin de aumentar el bienestar social y generar equidad»</w:t>
      </w:r>
      <w:r w:rsidRPr="003A5B51">
        <w:rPr>
          <w:rFonts w:ascii="Arial" w:eastAsia="Calibri" w:hAnsi="Arial" w:cs="Arial"/>
          <w:sz w:val="22"/>
          <w:szCs w:val="22"/>
          <w:vertAlign w:val="superscript"/>
          <w:lang w:val="es-ES_tradnl"/>
        </w:rPr>
        <w:footnoteReference w:id="2"/>
      </w:r>
      <w:r w:rsidRPr="003A5B51">
        <w:rPr>
          <w:rFonts w:ascii="Arial" w:eastAsia="Calibri" w:hAnsi="Arial" w:cs="Arial"/>
          <w:sz w:val="22"/>
          <w:szCs w:val="22"/>
          <w:lang w:val="es-ES_tradnl"/>
        </w:rPr>
        <w:t xml:space="preserve">. Esto, a partir de «[…] un enfoque regionalizado </w:t>
      </w:r>
      <w:proofErr w:type="gramStart"/>
      <w:r w:rsidRPr="003A5B51">
        <w:rPr>
          <w:rFonts w:ascii="Arial" w:eastAsia="Calibri" w:hAnsi="Arial" w:cs="Arial"/>
          <w:sz w:val="22"/>
          <w:szCs w:val="22"/>
          <w:lang w:val="es-ES_tradnl"/>
        </w:rPr>
        <w:t>de acuerdo a</w:t>
      </w:r>
      <w:proofErr w:type="gramEnd"/>
      <w:r w:rsidRPr="003A5B51">
        <w:rPr>
          <w:rFonts w:ascii="Arial" w:eastAsia="Calibri" w:hAnsi="Arial" w:cs="Arial"/>
          <w:sz w:val="22"/>
          <w:szCs w:val="22"/>
          <w:lang w:val="es-ES_tradnl"/>
        </w:rPr>
        <w:t xml:space="preserve"> las realidades socioeconómicas de cada región». En desarrollo de esta finalidad, se establecen medidas de apoyo para las micro, pequeñas y medianas empresas –</w:t>
      </w:r>
      <w:proofErr w:type="spellStart"/>
      <w:r w:rsidRPr="003A5B51">
        <w:rPr>
          <w:rFonts w:ascii="Arial" w:eastAsia="Calibri" w:hAnsi="Arial" w:cs="Arial"/>
          <w:sz w:val="22"/>
          <w:szCs w:val="22"/>
          <w:lang w:val="es-ES_tradnl"/>
        </w:rPr>
        <w:t>mipymes</w:t>
      </w:r>
      <w:proofErr w:type="spellEnd"/>
      <w:r w:rsidRPr="003A5B51">
        <w:rPr>
          <w:rFonts w:ascii="Arial" w:eastAsia="Calibri" w:hAnsi="Arial" w:cs="Arial"/>
          <w:sz w:val="22"/>
          <w:szCs w:val="22"/>
          <w:lang w:val="es-ES_tradnl"/>
        </w:rPr>
        <w:t>–, mediante la racionalización y simplificación de los trámites y tarifas</w:t>
      </w:r>
      <w:r w:rsidRPr="003A5B51">
        <w:rPr>
          <w:rFonts w:ascii="Arial" w:eastAsia="Calibri" w:hAnsi="Arial" w:cs="Arial"/>
          <w:sz w:val="22"/>
          <w:szCs w:val="22"/>
          <w:vertAlign w:val="superscript"/>
          <w:lang w:val="es-ES_tradnl"/>
        </w:rPr>
        <w:footnoteReference w:id="3"/>
      </w:r>
      <w:r w:rsidRPr="003A5B51">
        <w:rPr>
          <w:rFonts w:ascii="Arial" w:eastAsia="Calibri" w:hAnsi="Arial" w:cs="Arial"/>
          <w:sz w:val="22"/>
          <w:szCs w:val="22"/>
          <w:lang w:val="es-ES_tradnl"/>
        </w:rPr>
        <w:t>, así como incentivos a favor de aquellas dentro del sistema de compras y contratación pública</w:t>
      </w:r>
      <w:r w:rsidRPr="003A5B51">
        <w:rPr>
          <w:rFonts w:ascii="Arial" w:eastAsia="Calibri" w:hAnsi="Arial" w:cs="Arial"/>
          <w:sz w:val="22"/>
          <w:szCs w:val="22"/>
          <w:vertAlign w:val="superscript"/>
          <w:lang w:val="es-ES_tradnl"/>
        </w:rPr>
        <w:footnoteReference w:id="4"/>
      </w:r>
      <w:r w:rsidRPr="003A5B51">
        <w:rPr>
          <w:rFonts w:ascii="Arial" w:eastAsia="Calibri" w:hAnsi="Arial" w:cs="Arial"/>
          <w:sz w:val="22"/>
          <w:szCs w:val="22"/>
          <w:lang w:val="es-ES_tradnl"/>
        </w:rPr>
        <w:t>. También se consagran mecanismos de acceso al financiamiento</w:t>
      </w:r>
      <w:r w:rsidRPr="003A5B51">
        <w:rPr>
          <w:rFonts w:ascii="Arial" w:eastAsia="Calibri" w:hAnsi="Arial" w:cs="Arial"/>
          <w:sz w:val="22"/>
          <w:szCs w:val="22"/>
          <w:vertAlign w:val="superscript"/>
          <w:lang w:val="es-ES_tradnl"/>
        </w:rPr>
        <w:footnoteReference w:id="5"/>
      </w:r>
      <w:r w:rsidRPr="003A5B51">
        <w:rPr>
          <w:rFonts w:ascii="Arial" w:eastAsia="Calibri" w:hAnsi="Arial" w:cs="Arial"/>
          <w:sz w:val="22"/>
          <w:szCs w:val="22"/>
          <w:lang w:val="es-ES_tradnl"/>
        </w:rPr>
        <w:t xml:space="preserve">, se unifican las fuentes de emprendimiento y de desarrollo empresarial, </w:t>
      </w:r>
      <w:r w:rsidRPr="003A5B51">
        <w:rPr>
          <w:rFonts w:ascii="Arial" w:eastAsia="Calibri" w:hAnsi="Arial" w:cs="Arial"/>
          <w:sz w:val="22"/>
          <w:szCs w:val="22"/>
          <w:lang w:val="es-ES_tradnl"/>
        </w:rPr>
        <w:lastRenderedPageBreak/>
        <w:t>para fortalecer y promover los distintos sectores de la economía</w:t>
      </w:r>
      <w:r w:rsidRPr="003A5B51">
        <w:rPr>
          <w:rFonts w:ascii="Arial" w:eastAsia="Calibri" w:hAnsi="Arial" w:cs="Arial"/>
          <w:sz w:val="22"/>
          <w:szCs w:val="22"/>
          <w:vertAlign w:val="superscript"/>
          <w:lang w:val="es-ES_tradnl"/>
        </w:rPr>
        <w:footnoteReference w:id="6"/>
      </w:r>
      <w:r w:rsidRPr="003A5B51">
        <w:rPr>
          <w:rFonts w:ascii="Arial" w:eastAsia="Calibri" w:hAnsi="Arial" w:cs="Arial"/>
          <w:sz w:val="22"/>
          <w:szCs w:val="22"/>
          <w:lang w:val="es-ES_tradnl"/>
        </w:rPr>
        <w:t xml:space="preserve"> y se prevén medidas de educación para el emprendimiento y la innovación</w:t>
      </w:r>
      <w:bookmarkEnd w:id="2"/>
      <w:r w:rsidRPr="003A5B51">
        <w:rPr>
          <w:rFonts w:ascii="Arial" w:eastAsia="Calibri" w:hAnsi="Arial" w:cs="Arial"/>
          <w:sz w:val="22"/>
          <w:szCs w:val="22"/>
          <w:vertAlign w:val="superscript"/>
          <w:lang w:val="es-ES_tradnl"/>
        </w:rPr>
        <w:footnoteReference w:id="7"/>
      </w:r>
      <w:r w:rsidRPr="003A5B51">
        <w:rPr>
          <w:rFonts w:ascii="Arial" w:eastAsia="Calibri" w:hAnsi="Arial" w:cs="Arial"/>
          <w:sz w:val="22"/>
          <w:szCs w:val="22"/>
          <w:lang w:val="es-ES_tradnl"/>
        </w:rPr>
        <w:t>.</w:t>
      </w:r>
    </w:p>
    <w:p w14:paraId="264A4CA9" w14:textId="77777777" w:rsidR="00341A5A" w:rsidRPr="003A5B51" w:rsidRDefault="00341A5A" w:rsidP="00341A5A">
      <w:pPr>
        <w:spacing w:before="120" w:after="120" w:line="276" w:lineRule="auto"/>
        <w:ind w:firstLine="709"/>
        <w:jc w:val="both"/>
        <w:rPr>
          <w:rFonts w:ascii="Arial" w:eastAsia="Calibri" w:hAnsi="Arial" w:cs="Arial"/>
          <w:sz w:val="22"/>
          <w:szCs w:val="22"/>
          <w:lang w:val="es-ES_tradnl"/>
        </w:rPr>
      </w:pPr>
      <w:r w:rsidRPr="003A5B51">
        <w:rPr>
          <w:rFonts w:ascii="Arial" w:eastAsia="Calibri" w:hAnsi="Arial" w:cs="Arial"/>
          <w:sz w:val="22"/>
          <w:szCs w:val="22"/>
          <w:lang w:val="es-ES_tradnl"/>
        </w:rPr>
        <w:t xml:space="preserve">Como se indicó, parte de la Ley 2069 contiene normas que modifican algunos aspectos de la contratación estatal para promover el emprendimiento. Concretamente, aquellas se encuentran en el Capítulo III –artículos 30 al 36–. En su orden, tales artículos consagran: i) reglas sobre la participación de las </w:t>
      </w:r>
      <w:proofErr w:type="spellStart"/>
      <w:r w:rsidRPr="003A5B51">
        <w:rPr>
          <w:rFonts w:ascii="Arial" w:eastAsia="Calibri" w:hAnsi="Arial" w:cs="Arial"/>
          <w:sz w:val="22"/>
          <w:szCs w:val="22"/>
          <w:lang w:val="es-ES_tradnl"/>
        </w:rPr>
        <w:t>mipymes</w:t>
      </w:r>
      <w:proofErr w:type="spellEnd"/>
      <w:r w:rsidRPr="003A5B51">
        <w:rPr>
          <w:rFonts w:ascii="Arial" w:eastAsia="Calibri" w:hAnsi="Arial" w:cs="Arial"/>
          <w:sz w:val="22"/>
          <w:szCs w:val="22"/>
          <w:lang w:val="es-ES_tradnl"/>
        </w:rPr>
        <w:t xml:space="preserve"> en el procedimiento de mínima cuantía, </w:t>
      </w:r>
      <w:proofErr w:type="spellStart"/>
      <w:r w:rsidRPr="003A5B51">
        <w:rPr>
          <w:rFonts w:ascii="Arial" w:eastAsia="Calibri" w:hAnsi="Arial" w:cs="Arial"/>
          <w:sz w:val="22"/>
          <w:szCs w:val="22"/>
          <w:lang w:val="es-ES_tradnl"/>
        </w:rPr>
        <w:t>ii</w:t>
      </w:r>
      <w:proofErr w:type="spellEnd"/>
      <w:r w:rsidRPr="003A5B51">
        <w:rPr>
          <w:rFonts w:ascii="Arial" w:eastAsia="Calibri" w:hAnsi="Arial" w:cs="Arial"/>
          <w:sz w:val="22"/>
          <w:szCs w:val="22"/>
          <w:lang w:val="es-ES_tradnl"/>
        </w:rPr>
        <w:t xml:space="preserve">) criterios diferenciales para </w:t>
      </w:r>
      <w:proofErr w:type="spellStart"/>
      <w:r w:rsidRPr="003A5B51">
        <w:rPr>
          <w:rFonts w:ascii="Arial" w:eastAsia="Calibri" w:hAnsi="Arial" w:cs="Arial"/>
          <w:sz w:val="22"/>
          <w:szCs w:val="22"/>
          <w:lang w:val="es-ES_tradnl"/>
        </w:rPr>
        <w:t>mipymes</w:t>
      </w:r>
      <w:proofErr w:type="spellEnd"/>
      <w:r w:rsidRPr="003A5B51">
        <w:rPr>
          <w:rFonts w:ascii="Arial" w:eastAsia="Calibri" w:hAnsi="Arial" w:cs="Arial"/>
          <w:sz w:val="22"/>
          <w:szCs w:val="22"/>
          <w:lang w:val="es-ES_tradnl"/>
        </w:rPr>
        <w:t xml:space="preserve"> en el sistema de compras públicas, </w:t>
      </w:r>
      <w:proofErr w:type="spellStart"/>
      <w:r w:rsidRPr="003A5B51">
        <w:rPr>
          <w:rFonts w:ascii="Arial" w:eastAsia="Calibri" w:hAnsi="Arial" w:cs="Arial"/>
          <w:sz w:val="22"/>
          <w:szCs w:val="22"/>
          <w:lang w:val="es-ES_tradnl"/>
        </w:rPr>
        <w:t>iii</w:t>
      </w:r>
      <w:proofErr w:type="spellEnd"/>
      <w:r w:rsidRPr="003A5B51">
        <w:rPr>
          <w:rFonts w:ascii="Arial" w:eastAsia="Calibri" w:hAnsi="Arial" w:cs="Arial"/>
          <w:sz w:val="22"/>
          <w:szCs w:val="22"/>
          <w:lang w:val="es-ES_tradnl"/>
        </w:rPr>
        <w:t xml:space="preserve">) criterios diferenciales para emprendimientos y empresas de mujeres en el sistema de compras públicas, </w:t>
      </w:r>
      <w:proofErr w:type="spellStart"/>
      <w:r w:rsidRPr="003A5B51">
        <w:rPr>
          <w:rFonts w:ascii="Arial" w:eastAsia="Calibri" w:hAnsi="Arial" w:cs="Arial"/>
          <w:sz w:val="22"/>
          <w:szCs w:val="22"/>
          <w:lang w:val="es-ES_tradnl"/>
        </w:rPr>
        <w:t>iv</w:t>
      </w:r>
      <w:proofErr w:type="spellEnd"/>
      <w:r w:rsidRPr="003A5B51">
        <w:rPr>
          <w:rFonts w:ascii="Arial" w:eastAsia="Calibri" w:hAnsi="Arial" w:cs="Arial"/>
          <w:sz w:val="22"/>
          <w:szCs w:val="22"/>
          <w:lang w:val="es-ES_tradnl"/>
        </w:rPr>
        <w:t xml:space="preserve">) promoción del acceso de las </w:t>
      </w:r>
      <w:proofErr w:type="spellStart"/>
      <w:r w:rsidRPr="003A5B51">
        <w:rPr>
          <w:rFonts w:ascii="Arial" w:eastAsia="Calibri" w:hAnsi="Arial" w:cs="Arial"/>
          <w:sz w:val="22"/>
          <w:szCs w:val="22"/>
          <w:lang w:val="es-ES_tradnl"/>
        </w:rPr>
        <w:t>mipymes</w:t>
      </w:r>
      <w:proofErr w:type="spellEnd"/>
      <w:r w:rsidRPr="003A5B51">
        <w:rPr>
          <w:rFonts w:ascii="Arial" w:eastAsia="Calibri" w:hAnsi="Arial" w:cs="Arial"/>
          <w:sz w:val="22"/>
          <w:szCs w:val="22"/>
          <w:lang w:val="es-ES_tradnl"/>
        </w:rPr>
        <w:t xml:space="preserve"> al mercado de compras públicas, v) promoción del desarrollo en la contratación pública, vi) un nuevo régimen de factores de desempate y, vi) un llamado a las entidades estatales para que promuevan compras públicas en el marco de la tecnología y la innovación.  </w:t>
      </w:r>
    </w:p>
    <w:p w14:paraId="0B6BB6BB" w14:textId="77777777" w:rsidR="00341A5A" w:rsidRPr="003A5B51" w:rsidRDefault="00341A5A" w:rsidP="00341A5A">
      <w:pPr>
        <w:tabs>
          <w:tab w:val="left" w:pos="709"/>
        </w:tabs>
        <w:spacing w:after="120" w:line="276" w:lineRule="auto"/>
        <w:jc w:val="both"/>
        <w:rPr>
          <w:rFonts w:ascii="Arial" w:eastAsia="Calibri" w:hAnsi="Arial" w:cs="Arial"/>
          <w:bCs/>
          <w:sz w:val="22"/>
          <w:szCs w:val="22"/>
        </w:rPr>
      </w:pPr>
      <w:r w:rsidRPr="003A5B51">
        <w:rPr>
          <w:rFonts w:ascii="Arial" w:eastAsia="Calibri" w:hAnsi="Arial" w:cs="Arial"/>
          <w:bCs/>
          <w:color w:val="FF0000"/>
          <w:sz w:val="22"/>
          <w:szCs w:val="22"/>
        </w:rPr>
        <w:tab/>
      </w:r>
      <w:r w:rsidRPr="003A5B51">
        <w:rPr>
          <w:rFonts w:ascii="Arial" w:eastAsia="Calibri" w:hAnsi="Arial" w:cs="Arial"/>
          <w:bCs/>
          <w:sz w:val="22"/>
          <w:szCs w:val="22"/>
        </w:rPr>
        <w:t xml:space="preserve">Dentro del referido capítulo se encuentran </w:t>
      </w:r>
      <w:bookmarkStart w:id="3" w:name="_Hlk63848566"/>
      <w:r w:rsidRPr="003A5B51">
        <w:rPr>
          <w:rFonts w:ascii="Arial" w:eastAsia="Calibri" w:hAnsi="Arial" w:cs="Arial"/>
          <w:bCs/>
          <w:sz w:val="22"/>
          <w:szCs w:val="22"/>
        </w:rPr>
        <w:t>los artículos 31 y 32 de la Ley 2069 de 2020</w:t>
      </w:r>
      <w:bookmarkEnd w:id="3"/>
      <w:r w:rsidRPr="003A5B51">
        <w:rPr>
          <w:rFonts w:ascii="Arial" w:eastAsia="Calibri" w:hAnsi="Arial" w:cs="Arial"/>
          <w:bCs/>
          <w:sz w:val="22"/>
          <w:szCs w:val="22"/>
        </w:rPr>
        <w:t xml:space="preserve">, los cuales crean una serie de incentivos para las personas interesadas en celebrar contratos con el Estado. </w:t>
      </w:r>
      <w:r w:rsidRPr="003A5B51">
        <w:rPr>
          <w:rFonts w:ascii="Arial" w:eastAsia="Calibri" w:hAnsi="Arial" w:cs="Arial"/>
          <w:bCs/>
          <w:sz w:val="22"/>
          <w:szCs w:val="22"/>
          <w:lang w:val="es-ES_tradnl"/>
        </w:rPr>
        <w:t xml:space="preserve">Por un lado, el artículo 31 </w:t>
      </w:r>
      <w:r w:rsidRPr="003A5B51">
        <w:rPr>
          <w:rFonts w:ascii="Arial" w:eastAsia="Calibri" w:hAnsi="Arial" w:cs="Arial"/>
          <w:bCs/>
          <w:sz w:val="22"/>
          <w:szCs w:val="22"/>
        </w:rPr>
        <w:t xml:space="preserve">introduce criterios diferenciales para el acceso de las </w:t>
      </w:r>
      <w:proofErr w:type="spellStart"/>
      <w:r w:rsidRPr="003A5B51">
        <w:rPr>
          <w:rFonts w:ascii="Arial" w:eastAsia="Calibri" w:hAnsi="Arial" w:cs="Arial"/>
          <w:bCs/>
          <w:sz w:val="22"/>
          <w:szCs w:val="22"/>
        </w:rPr>
        <w:t>mipymes</w:t>
      </w:r>
      <w:proofErr w:type="spellEnd"/>
      <w:r w:rsidRPr="003A5B51">
        <w:rPr>
          <w:rFonts w:ascii="Arial" w:eastAsia="Calibri" w:hAnsi="Arial" w:cs="Arial"/>
          <w:bCs/>
          <w:sz w:val="22"/>
          <w:szCs w:val="22"/>
        </w:rPr>
        <w:t xml:space="preserve"> al sistema de compras y contratación pública, estableciendo que «Las Entidades Estatales de acuerdo con el análisis de Sector </w:t>
      </w:r>
      <w:bookmarkStart w:id="4" w:name="_Hlk63767562"/>
      <w:r w:rsidRPr="003A5B51">
        <w:rPr>
          <w:rFonts w:ascii="Arial" w:eastAsia="Calibri" w:hAnsi="Arial" w:cs="Arial"/>
          <w:bCs/>
          <w:sz w:val="22"/>
          <w:szCs w:val="22"/>
        </w:rPr>
        <w:t>podrán incluir, en los Documentos del Proceso, requisitos diferenciales y puntajes adicionales</w:t>
      </w:r>
      <w:bookmarkEnd w:id="4"/>
      <w:r w:rsidRPr="003A5B51">
        <w:rPr>
          <w:rFonts w:ascii="Arial" w:eastAsia="Calibri" w:hAnsi="Arial" w:cs="Arial"/>
          <w:bCs/>
          <w:sz w:val="22"/>
          <w:szCs w:val="22"/>
        </w:rPr>
        <w:t>, en función del tamaño empresarial para la promoción del acceso de las MIPYMES al mercado de Compras Públicas»</w:t>
      </w:r>
      <w:r w:rsidRPr="003A5B51">
        <w:rPr>
          <w:rFonts w:ascii="Arial" w:eastAsia="Calibri" w:hAnsi="Arial" w:cs="Arial"/>
          <w:bCs/>
          <w:sz w:val="22"/>
          <w:szCs w:val="22"/>
          <w:vertAlign w:val="superscript"/>
        </w:rPr>
        <w:footnoteReference w:id="8"/>
      </w:r>
      <w:r w:rsidRPr="003A5B51">
        <w:rPr>
          <w:rFonts w:ascii="Arial" w:eastAsia="Calibri" w:hAnsi="Arial" w:cs="Arial"/>
          <w:bCs/>
          <w:sz w:val="22"/>
          <w:szCs w:val="22"/>
        </w:rPr>
        <w:t xml:space="preserve">.  </w:t>
      </w:r>
    </w:p>
    <w:p w14:paraId="3E4DD46A" w14:textId="77777777" w:rsidR="00341A5A" w:rsidRPr="003A5B51" w:rsidRDefault="00341A5A" w:rsidP="00341A5A">
      <w:pPr>
        <w:tabs>
          <w:tab w:val="left" w:pos="709"/>
        </w:tabs>
        <w:spacing w:after="120" w:line="276" w:lineRule="auto"/>
        <w:jc w:val="both"/>
        <w:rPr>
          <w:rFonts w:ascii="Arial" w:eastAsia="Calibri" w:hAnsi="Arial" w:cs="Arial"/>
          <w:bCs/>
          <w:sz w:val="22"/>
          <w:szCs w:val="22"/>
        </w:rPr>
      </w:pPr>
      <w:r w:rsidRPr="003A5B51">
        <w:rPr>
          <w:rFonts w:ascii="Arial" w:eastAsia="Calibri" w:hAnsi="Arial" w:cs="Arial"/>
          <w:bCs/>
          <w:sz w:val="22"/>
          <w:szCs w:val="22"/>
        </w:rPr>
        <w:tab/>
        <w:t xml:space="preserve">Además, el inciso segundo y el parágrafo del </w:t>
      </w:r>
      <w:r w:rsidRPr="003A5B51">
        <w:rPr>
          <w:rFonts w:ascii="Arial" w:eastAsia="Calibri" w:hAnsi="Arial" w:cs="Arial"/>
          <w:bCs/>
          <w:sz w:val="22"/>
          <w:szCs w:val="22"/>
          <w:lang w:val="es-ES_tradnl"/>
        </w:rPr>
        <w:t xml:space="preserve">artículo 31 </w:t>
      </w:r>
      <w:r w:rsidRPr="003A5B51">
        <w:rPr>
          <w:rFonts w:ascii="Arial" w:eastAsia="Calibri" w:hAnsi="Arial" w:cs="Arial"/>
          <w:bCs/>
          <w:sz w:val="22"/>
          <w:szCs w:val="22"/>
        </w:rPr>
        <w:t>de la Ley 2069 de 2020 disponen, respectivamente, que «El Gobierno Nacional reglamentará la definición de los criterios diferenciales, sobre reglas objetivas [relacionadas con «requisitos diferenciales» y «puntajes adicionales»] que podrán implementar las Entidades Estatales» (Corchetes fuera de texto) y que «Dentro de los criterios diferenciales que reglamente el Gobierno Nacional se dará prioridad a la contratación de producción nacional sin perjuicio de los compromisos comerciales adquiridos con otros Estados». Es decir, estas normas requieren el desarrollo reglamentario como una condición previa para su aplicación.</w:t>
      </w:r>
    </w:p>
    <w:p w14:paraId="4ADAADFD" w14:textId="77777777" w:rsidR="00341A5A" w:rsidRPr="003A5B51" w:rsidRDefault="00341A5A" w:rsidP="00341A5A">
      <w:pPr>
        <w:tabs>
          <w:tab w:val="left" w:pos="709"/>
        </w:tabs>
        <w:spacing w:line="276" w:lineRule="auto"/>
        <w:jc w:val="both"/>
        <w:rPr>
          <w:rFonts w:ascii="Arial" w:eastAsia="Calibri" w:hAnsi="Arial" w:cs="Arial"/>
          <w:bCs/>
          <w:sz w:val="22"/>
          <w:szCs w:val="22"/>
        </w:rPr>
      </w:pPr>
      <w:r w:rsidRPr="003A5B51">
        <w:rPr>
          <w:rFonts w:ascii="Arial" w:eastAsia="Calibri" w:hAnsi="Arial" w:cs="Arial"/>
          <w:bCs/>
          <w:color w:val="FF0000"/>
          <w:sz w:val="22"/>
          <w:szCs w:val="22"/>
        </w:rPr>
        <w:lastRenderedPageBreak/>
        <w:tab/>
      </w:r>
      <w:bookmarkStart w:id="5" w:name="_Hlk112310104"/>
      <w:bookmarkStart w:id="6" w:name="_Hlk112034466"/>
      <w:r w:rsidRPr="003A5B51">
        <w:rPr>
          <w:rFonts w:ascii="Arial" w:eastAsia="Calibri" w:hAnsi="Arial" w:cs="Arial"/>
          <w:bCs/>
          <w:sz w:val="22"/>
          <w:szCs w:val="22"/>
        </w:rPr>
        <w:t>Por otra parte, el artículo 32 de la Ley 2069 de 2020</w:t>
      </w:r>
      <w:r w:rsidRPr="003A5B51">
        <w:rPr>
          <w:rFonts w:ascii="Arial" w:eastAsia="Calibri" w:hAnsi="Arial" w:cs="Arial"/>
          <w:bCs/>
          <w:sz w:val="22"/>
          <w:szCs w:val="22"/>
          <w:vertAlign w:val="superscript"/>
        </w:rPr>
        <w:footnoteReference w:id="9"/>
      </w:r>
      <w:r w:rsidRPr="003A5B51">
        <w:rPr>
          <w:rFonts w:ascii="Arial" w:eastAsia="Calibri" w:hAnsi="Arial" w:cs="Arial"/>
          <w:bCs/>
          <w:sz w:val="22"/>
          <w:szCs w:val="22"/>
        </w:rPr>
        <w:t xml:space="preserve"> regula criterios diferenciales para los «emprendimientos y empresas de mujeres» en el sistema de compras y contratación pública. </w:t>
      </w:r>
      <w:bookmarkEnd w:id="5"/>
      <w:r w:rsidRPr="003A5B51">
        <w:rPr>
          <w:rFonts w:ascii="Arial" w:eastAsia="Calibri" w:hAnsi="Arial" w:cs="Arial"/>
          <w:bCs/>
          <w:sz w:val="22"/>
          <w:szCs w:val="22"/>
        </w:rPr>
        <w:t xml:space="preserve">En relación con este aspecto, el inciso primero de la norma citada prescribe lo siguiente: </w:t>
      </w:r>
    </w:p>
    <w:p w14:paraId="4251A7B0" w14:textId="77777777" w:rsidR="00341A5A" w:rsidRPr="003A5B51" w:rsidRDefault="00341A5A" w:rsidP="00341A5A">
      <w:pPr>
        <w:tabs>
          <w:tab w:val="left" w:pos="709"/>
        </w:tabs>
        <w:spacing w:line="276" w:lineRule="auto"/>
        <w:contextualSpacing/>
        <w:jc w:val="both"/>
        <w:rPr>
          <w:rFonts w:ascii="Arial" w:eastAsia="Calibri" w:hAnsi="Arial" w:cs="Arial"/>
          <w:bCs/>
          <w:sz w:val="22"/>
          <w:szCs w:val="22"/>
        </w:rPr>
      </w:pPr>
    </w:p>
    <w:p w14:paraId="519AF08A" w14:textId="77777777" w:rsidR="00341A5A" w:rsidRPr="003A5B51" w:rsidRDefault="00341A5A" w:rsidP="00341A5A">
      <w:pPr>
        <w:tabs>
          <w:tab w:val="left" w:pos="709"/>
        </w:tabs>
        <w:ind w:left="709" w:right="709"/>
        <w:contextualSpacing/>
        <w:jc w:val="both"/>
        <w:rPr>
          <w:rFonts w:ascii="Arial" w:eastAsia="Calibri" w:hAnsi="Arial" w:cs="Arial"/>
          <w:bCs/>
          <w:sz w:val="21"/>
          <w:szCs w:val="21"/>
        </w:rPr>
      </w:pPr>
      <w:r w:rsidRPr="003A5B51">
        <w:rPr>
          <w:rFonts w:ascii="Arial" w:hAnsi="Arial" w:cs="Arial"/>
          <w:sz w:val="21"/>
          <w:szCs w:val="21"/>
        </w:rPr>
        <w:t>«</w:t>
      </w:r>
      <w:r w:rsidRPr="003A5B51">
        <w:rPr>
          <w:rFonts w:ascii="Arial" w:eastAsia="Calibri" w:hAnsi="Arial" w:cs="Arial"/>
          <w:bCs/>
          <w:sz w:val="21"/>
          <w:szCs w:val="21"/>
        </w:rPr>
        <w:t xml:space="preserve">De acuerdo con el resultado del análisis del sector, las entidades estatales incluirán requisitos diferenciales y puntajes adicionales en los procesos de </w:t>
      </w:r>
      <w:bookmarkStart w:id="7" w:name="_Hlk63770487"/>
      <w:r w:rsidRPr="003A5B51">
        <w:rPr>
          <w:rFonts w:ascii="Arial" w:eastAsia="Calibri" w:hAnsi="Arial" w:cs="Arial"/>
          <w:bCs/>
          <w:sz w:val="21"/>
          <w:szCs w:val="21"/>
        </w:rPr>
        <w:t>licitación pública, selección abreviada de menor cuantía y concurso de méritos</w:t>
      </w:r>
      <w:bookmarkEnd w:id="7"/>
      <w:r w:rsidRPr="003A5B51">
        <w:rPr>
          <w:rFonts w:ascii="Arial" w:eastAsia="Calibri" w:hAnsi="Arial" w:cs="Arial"/>
          <w:bCs/>
          <w:sz w:val="21"/>
          <w:szCs w:val="21"/>
        </w:rPr>
        <w:t>, así como en los procesos competitivos que adelanten las entidades estatales que no apliquen en su gestión contractual el Estatuto General de Contratación Administrativa, como medidas de acción afirmativa, para incentivar emprendimientos y empresas de mujeres en el sistema de compras públicas, sin perjuicio de los compromisos adquiridos por Colombia en los acuerdos comerciales en vigor</w:t>
      </w:r>
      <w:r w:rsidRPr="003A5B51">
        <w:rPr>
          <w:rFonts w:ascii="Arial" w:hAnsi="Arial" w:cs="Arial"/>
          <w:sz w:val="21"/>
          <w:szCs w:val="21"/>
        </w:rPr>
        <w:t>»</w:t>
      </w:r>
      <w:r w:rsidRPr="003A5B51">
        <w:rPr>
          <w:rFonts w:ascii="Arial" w:eastAsia="Calibri" w:hAnsi="Arial" w:cs="Arial"/>
          <w:bCs/>
          <w:sz w:val="21"/>
          <w:szCs w:val="21"/>
        </w:rPr>
        <w:t>.</w:t>
      </w:r>
    </w:p>
    <w:p w14:paraId="400AC3A9" w14:textId="77777777" w:rsidR="00341A5A" w:rsidRPr="003A5B51" w:rsidRDefault="00341A5A" w:rsidP="00341A5A">
      <w:pPr>
        <w:tabs>
          <w:tab w:val="left" w:pos="709"/>
        </w:tabs>
        <w:spacing w:line="276" w:lineRule="auto"/>
        <w:ind w:left="709" w:right="709"/>
        <w:contextualSpacing/>
        <w:jc w:val="both"/>
        <w:rPr>
          <w:rFonts w:ascii="Arial" w:eastAsia="Calibri" w:hAnsi="Arial" w:cs="Arial"/>
          <w:bCs/>
          <w:sz w:val="22"/>
        </w:rPr>
      </w:pPr>
    </w:p>
    <w:p w14:paraId="780108F3" w14:textId="77777777" w:rsidR="00341A5A" w:rsidRPr="003A5B51" w:rsidRDefault="00341A5A" w:rsidP="00341A5A">
      <w:pPr>
        <w:tabs>
          <w:tab w:val="left" w:pos="709"/>
        </w:tabs>
        <w:spacing w:after="120" w:line="276" w:lineRule="auto"/>
        <w:jc w:val="both"/>
        <w:rPr>
          <w:rFonts w:ascii="Arial" w:eastAsia="Calibri" w:hAnsi="Arial" w:cs="Arial"/>
          <w:bCs/>
          <w:sz w:val="22"/>
        </w:rPr>
      </w:pPr>
      <w:r w:rsidRPr="003A5B51">
        <w:rPr>
          <w:rFonts w:ascii="Arial" w:eastAsia="Calibri" w:hAnsi="Arial" w:cs="Arial"/>
          <w:bCs/>
          <w:sz w:val="22"/>
        </w:rPr>
        <w:tab/>
      </w:r>
      <w:bookmarkStart w:id="8" w:name="_Hlk112310123"/>
      <w:r w:rsidRPr="003A5B51">
        <w:rPr>
          <w:rFonts w:ascii="Arial" w:eastAsia="Calibri" w:hAnsi="Arial" w:cs="Arial"/>
          <w:bCs/>
          <w:sz w:val="22"/>
        </w:rPr>
        <w:t xml:space="preserve">De esta manera, los «criterios diferenciales» del artículo 32 </w:t>
      </w:r>
      <w:r w:rsidRPr="003A5B51">
        <w:rPr>
          <w:rFonts w:ascii="Arial" w:eastAsia="Calibri" w:hAnsi="Arial" w:cs="Arial"/>
          <w:bCs/>
          <w:i/>
          <w:iCs/>
          <w:sz w:val="22"/>
        </w:rPr>
        <w:t>ibidem</w:t>
      </w:r>
      <w:r w:rsidRPr="003A5B51">
        <w:rPr>
          <w:rFonts w:ascii="Arial" w:eastAsia="Calibri" w:hAnsi="Arial" w:cs="Arial"/>
          <w:bCs/>
          <w:sz w:val="22"/>
        </w:rPr>
        <w:t xml:space="preserve"> –que incluyen tanto los «requisitos diferenciales» como los «puntajes adicionales»– aplican a «[…] los procesos de licitación pública, selección abreviada de menor cuantía y concurso de méritos […]», excluyendo las demás modalidades de selección del artículo 2 de la Ley 1150 de 2007. Asimismo, sin distinciones ulteriores, la norma en comento también se extiende a todos los procedimientos que realicen las entidades estatales excluidas de la Ley 80 de 1993.         </w:t>
      </w:r>
      <w:bookmarkEnd w:id="8"/>
    </w:p>
    <w:bookmarkEnd w:id="6"/>
    <w:p w14:paraId="5AC15B52" w14:textId="77777777" w:rsidR="00341A5A" w:rsidRPr="003A5B51" w:rsidRDefault="00341A5A" w:rsidP="00341A5A">
      <w:pPr>
        <w:spacing w:before="120" w:after="120" w:line="276" w:lineRule="auto"/>
        <w:ind w:firstLine="709"/>
        <w:jc w:val="both"/>
        <w:rPr>
          <w:rFonts w:ascii="Arial" w:eastAsia="Calibri" w:hAnsi="Arial" w:cs="Arial"/>
          <w:sz w:val="22"/>
          <w:szCs w:val="22"/>
          <w:lang w:val="es-ES_tradnl"/>
        </w:rPr>
      </w:pPr>
      <w:r w:rsidRPr="003A5B51">
        <w:rPr>
          <w:rFonts w:ascii="Arial" w:eastAsia="Calibri" w:hAnsi="Arial" w:cs="Arial"/>
          <w:bCs/>
          <w:sz w:val="22"/>
        </w:rPr>
        <w:t xml:space="preserve">No obstante, </w:t>
      </w:r>
      <w:bookmarkStart w:id="9" w:name="_Hlk112034506"/>
      <w:r w:rsidRPr="003A5B51">
        <w:rPr>
          <w:rFonts w:ascii="Arial" w:eastAsia="Calibri" w:hAnsi="Arial" w:cs="Arial"/>
          <w:bCs/>
          <w:sz w:val="22"/>
        </w:rPr>
        <w:t xml:space="preserve">el artículo 32 de la Ley 2069 de 2020 –al igual que el artículo 31– también alude a la necesidad del desarrollo normativo posterior. Al respecto, el parágrafo dispone que «La definición de emprendimientos y empresas de mujeres se reglamentará por el gobierno nacional». En ese sentido, la aplicación de criterios diferenciales en favor de los emprendimientos y empresas de mujeres está condicionada por el ejercicio de potestad reglamentaria, en orden de establecer la regulación en marco de la cual las Entidades Estatales deben aplicar los criterios diferenciales del artículo 32 de la Ley 2069 de 2020. </w:t>
      </w:r>
    </w:p>
    <w:bookmarkEnd w:id="9"/>
    <w:p w14:paraId="46D93B2B" w14:textId="77777777" w:rsidR="00341A5A" w:rsidRPr="003A5B51" w:rsidRDefault="00341A5A" w:rsidP="00341A5A">
      <w:pPr>
        <w:spacing w:after="120" w:line="276" w:lineRule="auto"/>
        <w:jc w:val="both"/>
        <w:rPr>
          <w:rFonts w:ascii="Arial" w:eastAsia="Calibri" w:hAnsi="Arial" w:cs="Arial"/>
          <w:sz w:val="22"/>
          <w:szCs w:val="22"/>
          <w:lang w:val="es-ES_tradnl"/>
        </w:rPr>
      </w:pPr>
      <w:r w:rsidRPr="003A5B51">
        <w:rPr>
          <w:rFonts w:ascii="Arial" w:eastAsia="Calibri" w:hAnsi="Arial" w:cs="Arial"/>
          <w:b/>
          <w:bCs/>
          <w:sz w:val="22"/>
          <w:szCs w:val="22"/>
          <w:lang w:val="es-ES_tradnl"/>
        </w:rPr>
        <w:tab/>
      </w:r>
      <w:r w:rsidRPr="003A5B51">
        <w:rPr>
          <w:rFonts w:ascii="Arial" w:eastAsia="Calibri" w:hAnsi="Arial" w:cs="Arial"/>
          <w:sz w:val="22"/>
          <w:szCs w:val="22"/>
          <w:lang w:val="es-ES_tradnl"/>
        </w:rPr>
        <w:t>En este contexto, el pasado 24 de diciembre, el gobierno nacional expidió el Decreto 1860 de 2021,</w:t>
      </w:r>
      <w:r w:rsidRPr="003A5B51">
        <w:t xml:space="preserve"> </w:t>
      </w:r>
      <w:r w:rsidRPr="003A5B51">
        <w:rPr>
          <w:rFonts w:ascii="Arial" w:eastAsia="Calibri" w:hAnsi="Arial" w:cs="Arial"/>
          <w:sz w:val="22"/>
          <w:szCs w:val="22"/>
          <w:lang w:val="es-ES_tradnl"/>
        </w:rPr>
        <w:t xml:space="preserve">«Por el cual se modifica y adiciona el Decreto 1082 de 2015, Único Reglamentario del Sector Administrativo de Planeación Nacional, con el fin reglamentar los artículos 30, 31, 32, 34 y 35 de la Ley 2069 de 2020, en lo relativo al sistema de compras públicas y se dictan otras </w:t>
      </w:r>
      <w:r w:rsidRPr="003A5B51">
        <w:rPr>
          <w:rFonts w:ascii="Arial" w:eastAsia="Calibri" w:hAnsi="Arial" w:cs="Arial"/>
          <w:sz w:val="22"/>
          <w:szCs w:val="22"/>
          <w:lang w:val="es-ES_tradnl"/>
        </w:rPr>
        <w:lastRenderedPageBreak/>
        <w:t>disposiciones». Esta norma se expidió con el propósito de adecuar el marco reglamentario de la contratación pública a las modificaciones normativas que se desprenden del Capítulo III de la Ley 2069 de 2020 –con excepción de los artículos 33 y 36–, realizando las adecuaciones requeridas para aplicar estas disposiciones, tal como indica el artículo 1 del Decreto 1860 de 2021</w:t>
      </w:r>
      <w:r w:rsidRPr="003A5B51">
        <w:rPr>
          <w:rFonts w:ascii="Arial" w:eastAsia="Calibri" w:hAnsi="Arial" w:cs="Arial"/>
          <w:sz w:val="22"/>
          <w:szCs w:val="22"/>
          <w:vertAlign w:val="superscript"/>
          <w:lang w:val="es-ES_tradnl"/>
        </w:rPr>
        <w:footnoteReference w:id="10"/>
      </w:r>
      <w:r w:rsidRPr="003A5B51">
        <w:rPr>
          <w:rFonts w:ascii="Arial" w:eastAsia="Calibri" w:hAnsi="Arial" w:cs="Arial"/>
          <w:sz w:val="22"/>
          <w:szCs w:val="22"/>
          <w:lang w:val="es-ES_tradnl"/>
        </w:rPr>
        <w:t xml:space="preserve">.  </w:t>
      </w:r>
    </w:p>
    <w:p w14:paraId="16BFCD6B" w14:textId="77777777" w:rsidR="00341A5A" w:rsidRPr="003A5B51" w:rsidRDefault="00341A5A" w:rsidP="00341A5A">
      <w:pPr>
        <w:spacing w:after="120" w:line="276" w:lineRule="auto"/>
        <w:jc w:val="both"/>
        <w:rPr>
          <w:rFonts w:ascii="Arial" w:hAnsi="Arial" w:cs="Arial"/>
          <w:sz w:val="22"/>
          <w:szCs w:val="22"/>
          <w:lang w:eastAsia="es-CO"/>
        </w:rPr>
      </w:pPr>
      <w:r w:rsidRPr="003A5B51">
        <w:rPr>
          <w:rFonts w:ascii="Arial" w:eastAsia="Calibri" w:hAnsi="Arial" w:cs="Arial"/>
          <w:color w:val="FF0000"/>
          <w:sz w:val="22"/>
          <w:szCs w:val="22"/>
          <w:lang w:val="es-ES_tradnl"/>
        </w:rPr>
        <w:tab/>
      </w:r>
      <w:bookmarkStart w:id="10" w:name="_Hlk112034527"/>
      <w:r w:rsidRPr="003A5B51">
        <w:rPr>
          <w:rFonts w:ascii="Arial" w:eastAsia="Calibri" w:hAnsi="Arial" w:cs="Arial"/>
          <w:sz w:val="22"/>
          <w:szCs w:val="22"/>
          <w:lang w:val="es-ES_tradnl"/>
        </w:rPr>
        <w:t xml:space="preserve">En lo relativo al artículo 32 de la Ley 2069 de 2020, el artículo 3 del Decreto 1860 de 2021 adiciona los artículos 2.2.1.2.4.2.14 y 2.2.1.2.4.2.15 a la Subsección 2 de la Sección 4 del Capítulo 2 del Título 1 de la Parte 2 del Libro 2 del Decreto 1082 de 2015. La primera de las normas adicionadas consagra la definición de emprendimientos y empresas de mujeres, mientras que la segunda establece los criterios diferenciales y regula su aplicación. </w:t>
      </w:r>
    </w:p>
    <w:bookmarkEnd w:id="10"/>
    <w:p w14:paraId="573851D2" w14:textId="77777777" w:rsidR="00341A5A" w:rsidRPr="003A5B51" w:rsidRDefault="00341A5A" w:rsidP="00341A5A">
      <w:pPr>
        <w:spacing w:line="276" w:lineRule="auto"/>
        <w:ind w:firstLine="709"/>
        <w:jc w:val="both"/>
        <w:rPr>
          <w:rFonts w:ascii="Arial" w:eastAsia="Arial" w:hAnsi="Arial" w:cs="Arial"/>
          <w:sz w:val="22"/>
          <w:szCs w:val="22"/>
          <w:lang w:val="es-ES" w:eastAsia="es-CO"/>
        </w:rPr>
      </w:pPr>
      <w:r w:rsidRPr="003A5B51">
        <w:rPr>
          <w:rFonts w:ascii="Arial" w:hAnsi="Arial" w:cs="Arial"/>
          <w:sz w:val="22"/>
          <w:szCs w:val="22"/>
          <w:lang w:eastAsia="es-MX"/>
        </w:rPr>
        <w:t>Ahora bien, para aplicar las disposiciones contenidas en el Decreto 1860 de 2021, el artículo 8 de dicho decreto indicó el momento a partir del cual sus disposiciones surtirían efectos</w:t>
      </w:r>
      <w:r w:rsidRPr="003A5B51">
        <w:rPr>
          <w:rFonts w:ascii="Arial" w:hAnsi="Arial" w:cs="Arial"/>
          <w:sz w:val="22"/>
          <w:szCs w:val="22"/>
          <w:vertAlign w:val="superscript"/>
          <w:lang w:eastAsia="es-MX"/>
        </w:rPr>
        <w:footnoteReference w:id="11"/>
      </w:r>
      <w:r w:rsidRPr="003A5B51">
        <w:rPr>
          <w:rFonts w:ascii="Arial" w:hAnsi="Arial" w:cs="Arial"/>
          <w:sz w:val="22"/>
          <w:szCs w:val="22"/>
          <w:lang w:eastAsia="es-MX"/>
        </w:rPr>
        <w:t>.</w:t>
      </w:r>
      <w:r w:rsidRPr="003A5B51">
        <w:rPr>
          <w:rFonts w:ascii="Arial" w:eastAsia="Calibri" w:hAnsi="Arial" w:cs="Arial"/>
          <w:sz w:val="22"/>
          <w:szCs w:val="22"/>
        </w:rPr>
        <w:t xml:space="preserve"> De esta forma, se estableció que estas </w:t>
      </w:r>
      <w:r w:rsidRPr="003A5B51">
        <w:rPr>
          <w:rFonts w:ascii="Arial" w:eastAsia="Arial" w:hAnsi="Arial" w:cs="Arial"/>
          <w:sz w:val="22"/>
          <w:szCs w:val="22"/>
          <w:lang w:val="es-ES" w:eastAsia="es-CO"/>
        </w:rPr>
        <w:t xml:space="preserve">aplicarán a los procesos de selección cuya invitación, aviso de convocatoria o documento equivalente –según corresponda–, se publique </w:t>
      </w:r>
      <w:r w:rsidRPr="003A5B51">
        <w:rPr>
          <w:rFonts w:ascii="Arial" w:eastAsia="Arial" w:hAnsi="Arial" w:cs="Arial"/>
          <w:sz w:val="22"/>
          <w:szCs w:val="22"/>
          <w:lang w:val="es-ES" w:eastAsia="es-CO"/>
        </w:rPr>
        <w:lastRenderedPageBreak/>
        <w:t>después de los tres (3) meses de su expedición</w:t>
      </w:r>
      <w:r w:rsidRPr="003A5B51">
        <w:rPr>
          <w:rFonts w:ascii="Arial" w:hAnsi="Arial" w:cs="Arial"/>
          <w:sz w:val="22"/>
          <w:szCs w:val="22"/>
          <w:lang w:eastAsia="es-CO"/>
        </w:rPr>
        <w:t xml:space="preserve">, </w:t>
      </w:r>
      <w:r w:rsidRPr="003A5B51">
        <w:rPr>
          <w:rFonts w:ascii="Arial" w:eastAsia="Arial MT" w:hAnsi="Arial" w:cs="Arial"/>
          <w:sz w:val="22"/>
          <w:szCs w:val="22"/>
          <w:lang w:val="es-ES" w:eastAsia="en-US"/>
        </w:rPr>
        <w:t>es decir, a</w:t>
      </w:r>
      <w:r w:rsidRPr="003A5B51">
        <w:rPr>
          <w:rFonts w:ascii="Arial" w:eastAsia="Arial MT" w:hAnsi="Arial" w:cs="Arial"/>
          <w:spacing w:val="1"/>
          <w:sz w:val="22"/>
          <w:szCs w:val="22"/>
          <w:lang w:val="es-ES" w:eastAsia="en-US"/>
        </w:rPr>
        <w:t xml:space="preserve"> </w:t>
      </w:r>
      <w:r w:rsidRPr="003A5B51">
        <w:rPr>
          <w:rFonts w:ascii="Arial" w:eastAsia="Arial MT" w:hAnsi="Arial" w:cs="Arial"/>
          <w:spacing w:val="-1"/>
          <w:sz w:val="22"/>
          <w:szCs w:val="22"/>
          <w:lang w:val="es-ES" w:eastAsia="en-US"/>
        </w:rPr>
        <w:t>partir</w:t>
      </w:r>
      <w:r w:rsidRPr="003A5B51">
        <w:rPr>
          <w:rFonts w:ascii="Arial" w:eastAsia="Arial MT" w:hAnsi="Arial" w:cs="Arial"/>
          <w:spacing w:val="-15"/>
          <w:sz w:val="22"/>
          <w:szCs w:val="22"/>
          <w:lang w:val="es-ES" w:eastAsia="en-US"/>
        </w:rPr>
        <w:t xml:space="preserve"> </w:t>
      </w:r>
      <w:r w:rsidRPr="003A5B51">
        <w:rPr>
          <w:rFonts w:ascii="Arial" w:eastAsia="Arial MT" w:hAnsi="Arial" w:cs="Arial"/>
          <w:spacing w:val="-1"/>
          <w:sz w:val="22"/>
          <w:szCs w:val="22"/>
          <w:lang w:val="es-ES" w:eastAsia="en-US"/>
        </w:rPr>
        <w:t>del</w:t>
      </w:r>
      <w:r w:rsidRPr="003A5B51">
        <w:rPr>
          <w:rFonts w:ascii="Arial" w:eastAsia="Arial MT" w:hAnsi="Arial" w:cs="Arial"/>
          <w:spacing w:val="-14"/>
          <w:sz w:val="22"/>
          <w:szCs w:val="22"/>
          <w:lang w:val="es-ES" w:eastAsia="en-US"/>
        </w:rPr>
        <w:t xml:space="preserve"> </w:t>
      </w:r>
      <w:r w:rsidRPr="003A5B51">
        <w:rPr>
          <w:rFonts w:ascii="Arial" w:eastAsia="Arial MT" w:hAnsi="Arial" w:cs="Arial"/>
          <w:spacing w:val="-1"/>
          <w:sz w:val="22"/>
          <w:szCs w:val="22"/>
          <w:lang w:val="es-ES" w:eastAsia="en-US"/>
        </w:rPr>
        <w:t>24</w:t>
      </w:r>
      <w:r w:rsidRPr="003A5B51">
        <w:rPr>
          <w:rFonts w:ascii="Arial" w:eastAsia="Arial MT" w:hAnsi="Arial" w:cs="Arial"/>
          <w:spacing w:val="-14"/>
          <w:sz w:val="22"/>
          <w:szCs w:val="22"/>
          <w:lang w:val="es-ES" w:eastAsia="en-US"/>
        </w:rPr>
        <w:t xml:space="preserve"> </w:t>
      </w:r>
      <w:r w:rsidRPr="003A5B51">
        <w:rPr>
          <w:rFonts w:ascii="Arial" w:eastAsia="Arial MT" w:hAnsi="Arial" w:cs="Arial"/>
          <w:spacing w:val="-1"/>
          <w:sz w:val="22"/>
          <w:szCs w:val="22"/>
          <w:lang w:val="es-ES" w:eastAsia="en-US"/>
        </w:rPr>
        <w:t>de</w:t>
      </w:r>
      <w:r w:rsidRPr="003A5B51">
        <w:rPr>
          <w:rFonts w:ascii="Arial" w:eastAsia="Arial MT" w:hAnsi="Arial" w:cs="Arial"/>
          <w:spacing w:val="-14"/>
          <w:sz w:val="22"/>
          <w:szCs w:val="22"/>
          <w:lang w:val="es-ES" w:eastAsia="en-US"/>
        </w:rPr>
        <w:t xml:space="preserve"> </w:t>
      </w:r>
      <w:r w:rsidRPr="003A5B51">
        <w:rPr>
          <w:rFonts w:ascii="Arial" w:eastAsia="Arial MT" w:hAnsi="Arial" w:cs="Arial"/>
          <w:spacing w:val="-1"/>
          <w:sz w:val="22"/>
          <w:szCs w:val="22"/>
          <w:lang w:val="es-ES" w:eastAsia="en-US"/>
        </w:rPr>
        <w:t>marzo</w:t>
      </w:r>
      <w:r w:rsidRPr="003A5B51">
        <w:rPr>
          <w:rFonts w:ascii="Arial" w:eastAsia="Arial MT" w:hAnsi="Arial" w:cs="Arial"/>
          <w:spacing w:val="-14"/>
          <w:sz w:val="22"/>
          <w:szCs w:val="22"/>
          <w:lang w:val="es-ES" w:eastAsia="en-US"/>
        </w:rPr>
        <w:t xml:space="preserve"> </w:t>
      </w:r>
      <w:r w:rsidRPr="003A5B51">
        <w:rPr>
          <w:rFonts w:ascii="Arial" w:eastAsia="Arial MT" w:hAnsi="Arial" w:cs="Arial"/>
          <w:spacing w:val="-1"/>
          <w:sz w:val="22"/>
          <w:szCs w:val="22"/>
          <w:lang w:val="es-ES" w:eastAsia="en-US"/>
        </w:rPr>
        <w:t>de</w:t>
      </w:r>
      <w:r w:rsidRPr="003A5B51">
        <w:rPr>
          <w:rFonts w:ascii="Arial" w:eastAsia="Arial MT" w:hAnsi="Arial" w:cs="Arial"/>
          <w:spacing w:val="-14"/>
          <w:sz w:val="22"/>
          <w:szCs w:val="22"/>
          <w:lang w:val="es-ES" w:eastAsia="en-US"/>
        </w:rPr>
        <w:t xml:space="preserve"> </w:t>
      </w:r>
      <w:r w:rsidRPr="003A5B51">
        <w:rPr>
          <w:rFonts w:ascii="Arial" w:eastAsia="Arial MT" w:hAnsi="Arial" w:cs="Arial"/>
          <w:spacing w:val="-1"/>
          <w:sz w:val="22"/>
          <w:szCs w:val="22"/>
          <w:lang w:val="es-ES" w:eastAsia="en-US"/>
        </w:rPr>
        <w:t xml:space="preserve">2022, </w:t>
      </w:r>
      <w:r w:rsidRPr="003A5B51">
        <w:rPr>
          <w:rFonts w:ascii="Arial" w:eastAsia="Arial MT" w:hAnsi="Arial" w:cs="Arial"/>
          <w:sz w:val="22"/>
          <w:szCs w:val="22"/>
          <w:lang w:val="es-ES" w:eastAsia="en-US"/>
        </w:rPr>
        <w:t>por lo que actualmente esta es la regulación vigente</w:t>
      </w:r>
      <w:r w:rsidRPr="003A5B51">
        <w:rPr>
          <w:rFonts w:ascii="Arial" w:hAnsi="Arial" w:cs="Arial"/>
          <w:sz w:val="22"/>
          <w:szCs w:val="22"/>
          <w:vertAlign w:val="superscript"/>
          <w:lang w:eastAsia="es-CO"/>
        </w:rPr>
        <w:footnoteReference w:id="12"/>
      </w:r>
      <w:r w:rsidRPr="003A5B51">
        <w:rPr>
          <w:rFonts w:ascii="Arial" w:hAnsi="Arial" w:cs="Arial"/>
          <w:sz w:val="22"/>
          <w:szCs w:val="22"/>
          <w:lang w:eastAsia="es-CO"/>
        </w:rPr>
        <w:t xml:space="preserve">. </w:t>
      </w:r>
    </w:p>
    <w:p w14:paraId="26A7B7DD" w14:textId="77777777" w:rsidR="00341A5A" w:rsidRPr="003A5B51" w:rsidRDefault="00341A5A" w:rsidP="00341A5A">
      <w:pPr>
        <w:spacing w:line="276" w:lineRule="auto"/>
        <w:contextualSpacing/>
        <w:jc w:val="both"/>
        <w:rPr>
          <w:rFonts w:ascii="Arial" w:hAnsi="Arial" w:cs="Arial"/>
          <w:sz w:val="22"/>
          <w:szCs w:val="22"/>
          <w:lang w:val="es-ES" w:eastAsia="es-CO"/>
        </w:rPr>
      </w:pPr>
    </w:p>
    <w:p w14:paraId="0B455335" w14:textId="77777777" w:rsidR="00341A5A" w:rsidRPr="003A5B51" w:rsidRDefault="00341A5A" w:rsidP="00341A5A">
      <w:pPr>
        <w:spacing w:line="276" w:lineRule="auto"/>
        <w:contextualSpacing/>
        <w:jc w:val="both"/>
        <w:rPr>
          <w:rFonts w:ascii="Arial" w:eastAsia="Calibri" w:hAnsi="Arial" w:cs="Arial"/>
          <w:b/>
          <w:bCs/>
          <w:sz w:val="22"/>
          <w:szCs w:val="22"/>
          <w:lang w:val="es-ES_tradnl"/>
        </w:rPr>
      </w:pPr>
      <w:r w:rsidRPr="003A5B51">
        <w:rPr>
          <w:rFonts w:ascii="Arial" w:eastAsia="Calibri" w:hAnsi="Arial" w:cs="Arial"/>
          <w:b/>
          <w:bCs/>
          <w:sz w:val="22"/>
          <w:szCs w:val="22"/>
          <w:lang w:val="es-ES_tradnl"/>
        </w:rPr>
        <w:t xml:space="preserve">2.2. Definición de emprendimientos y empresas de mujeres a la luz del Decreto 1860 de 2021 </w:t>
      </w:r>
    </w:p>
    <w:p w14:paraId="7D95DB63" w14:textId="77777777" w:rsidR="00341A5A" w:rsidRPr="003A5B51" w:rsidRDefault="00341A5A" w:rsidP="00341A5A">
      <w:pPr>
        <w:spacing w:line="276" w:lineRule="auto"/>
        <w:contextualSpacing/>
        <w:jc w:val="both"/>
        <w:rPr>
          <w:rFonts w:ascii="Arial" w:eastAsia="Calibri" w:hAnsi="Arial" w:cs="Arial"/>
          <w:b/>
          <w:bCs/>
          <w:sz w:val="22"/>
          <w:szCs w:val="22"/>
          <w:lang w:val="es-ES_tradnl"/>
        </w:rPr>
      </w:pPr>
    </w:p>
    <w:p w14:paraId="790E5B93" w14:textId="1480FBF4" w:rsidR="00341A5A" w:rsidRPr="003A5B51" w:rsidRDefault="00341A5A" w:rsidP="00341A5A">
      <w:pPr>
        <w:spacing w:after="120" w:line="276" w:lineRule="auto"/>
        <w:jc w:val="both"/>
        <w:rPr>
          <w:rFonts w:ascii="Arial" w:eastAsia="Calibri" w:hAnsi="Arial" w:cs="Arial"/>
          <w:sz w:val="22"/>
          <w:szCs w:val="22"/>
          <w:lang w:val="es-ES_tradnl"/>
        </w:rPr>
      </w:pPr>
      <w:r w:rsidRPr="003A5B51">
        <w:rPr>
          <w:rFonts w:ascii="Arial" w:eastAsia="Calibri" w:hAnsi="Arial" w:cs="Arial"/>
          <w:sz w:val="22"/>
          <w:szCs w:val="22"/>
          <w:lang w:val="es-ES_tradnl"/>
        </w:rPr>
        <w:t xml:space="preserve">Conforme se viene explicando, el artículo 32 de la Ley 2069 de 2021 introduce el deber de las </w:t>
      </w:r>
      <w:r w:rsidR="00294B1B" w:rsidRPr="003A5B51">
        <w:rPr>
          <w:rFonts w:ascii="Arial" w:eastAsia="Calibri" w:hAnsi="Arial" w:cs="Arial"/>
          <w:sz w:val="22"/>
          <w:szCs w:val="22"/>
          <w:lang w:val="es-ES_tradnl"/>
        </w:rPr>
        <w:t>e</w:t>
      </w:r>
      <w:r w:rsidRPr="003A5B51">
        <w:rPr>
          <w:rFonts w:ascii="Arial" w:eastAsia="Calibri" w:hAnsi="Arial" w:cs="Arial"/>
          <w:sz w:val="22"/>
          <w:szCs w:val="22"/>
          <w:lang w:val="es-ES_tradnl"/>
        </w:rPr>
        <w:t xml:space="preserve">ntidades </w:t>
      </w:r>
      <w:r w:rsidR="00294B1B" w:rsidRPr="003A5B51">
        <w:rPr>
          <w:rFonts w:ascii="Arial" w:eastAsia="Calibri" w:hAnsi="Arial" w:cs="Arial"/>
          <w:sz w:val="22"/>
          <w:szCs w:val="22"/>
          <w:lang w:val="es-ES_tradnl"/>
        </w:rPr>
        <w:t>e</w:t>
      </w:r>
      <w:r w:rsidRPr="003A5B51">
        <w:rPr>
          <w:rFonts w:ascii="Arial" w:eastAsia="Calibri" w:hAnsi="Arial" w:cs="Arial"/>
          <w:sz w:val="22"/>
          <w:szCs w:val="22"/>
          <w:lang w:val="es-ES_tradnl"/>
        </w:rPr>
        <w:t xml:space="preserve">statales de incluir </w:t>
      </w:r>
      <w:r w:rsidRPr="003A5B51">
        <w:rPr>
          <w:rFonts w:ascii="Arial" w:hAnsi="Arial" w:cs="Arial"/>
          <w:sz w:val="22"/>
          <w:szCs w:val="22"/>
          <w:shd w:val="clear" w:color="auto" w:fill="FFFFFF"/>
          <w:lang w:val="es-ES"/>
        </w:rPr>
        <w:t>en los procesos de licitación pública, selección abreviada de menor cuantía y concurso de méritos, así como en los procesos competitivos que adelanten las entidades estatales exceptuadas de aplicar el Estatuto General de Contratación de la Administración Pública, requisitos habilitantes diferenciales y puntajes adicionales en favor de emprendimientos y empresas de mujeres. Esto a título de medidas de acción afirmativa para incentivar la participación de emprendimientos y empresas de mujeres en el sistema de compras públicas y contratación estatal, sin perjuicio de los compromisos adquiridos por Colombia en los acuerdos comerciales en vigor.</w:t>
      </w:r>
      <w:r w:rsidRPr="003A5B51">
        <w:rPr>
          <w:rFonts w:ascii="Arial" w:hAnsi="Arial" w:cs="Arial"/>
          <w:sz w:val="22"/>
          <w:szCs w:val="22"/>
          <w:shd w:val="clear" w:color="auto" w:fill="FFFFFF"/>
        </w:rPr>
        <w:t> </w:t>
      </w:r>
    </w:p>
    <w:p w14:paraId="36DC04EC" w14:textId="77777777" w:rsidR="00341A5A" w:rsidRPr="003A5B51" w:rsidRDefault="00341A5A" w:rsidP="00341A5A">
      <w:pPr>
        <w:spacing w:line="276" w:lineRule="auto"/>
        <w:jc w:val="both"/>
        <w:rPr>
          <w:rFonts w:ascii="Arial" w:eastAsia="Calibri" w:hAnsi="Arial" w:cs="Arial"/>
          <w:sz w:val="22"/>
          <w:szCs w:val="22"/>
          <w:lang w:val="es-ES_tradnl"/>
        </w:rPr>
      </w:pPr>
      <w:r w:rsidRPr="003A5B51">
        <w:rPr>
          <w:rFonts w:ascii="Arial" w:eastAsia="Calibri" w:hAnsi="Arial" w:cs="Arial"/>
          <w:sz w:val="22"/>
          <w:szCs w:val="22"/>
          <w:lang w:val="es-ES_tradnl"/>
        </w:rPr>
        <w:tab/>
        <w:t xml:space="preserve">En desarrollo de lo dispuesto en el parágrafo del artículo 32 de la Ley 2069 de 2020, el Decreto 1860 de 2021 adicionó el artículo 2.2.1.2.4.2.14 al Decreto 1082 de 2015. Esta norma establece las condiciones y los requisitos en atención a los cuales se definen los emprendimientos y empresas de mujeres, a las que les son aplicables los criterios diferenciales. Para estos efectos, cada uno de los cuatro numerales que componen la norma en mención establecen unas condiciones alternativas que definen los emprendimientos y empresas de mujeres, a efectos de aplicar los criterios diferenciales. A tenor literal el citado artículo indica:      </w:t>
      </w:r>
    </w:p>
    <w:p w14:paraId="31B5A894" w14:textId="77777777" w:rsidR="00341A5A" w:rsidRPr="003A5B51" w:rsidRDefault="00341A5A" w:rsidP="00341A5A">
      <w:pPr>
        <w:spacing w:line="276" w:lineRule="auto"/>
        <w:jc w:val="both"/>
        <w:rPr>
          <w:rFonts w:ascii="Arial" w:eastAsia="Calibri" w:hAnsi="Arial" w:cs="Arial"/>
          <w:color w:val="FF0000"/>
          <w:sz w:val="22"/>
          <w:szCs w:val="22"/>
          <w:lang w:val="es-ES_tradnl"/>
        </w:rPr>
      </w:pPr>
    </w:p>
    <w:p w14:paraId="2110FD40" w14:textId="77777777" w:rsidR="00341A5A" w:rsidRPr="003A5B51" w:rsidRDefault="00341A5A" w:rsidP="00341A5A">
      <w:pPr>
        <w:shd w:val="clear" w:color="auto" w:fill="FFFFFF"/>
        <w:ind w:left="709" w:right="709"/>
        <w:contextualSpacing/>
        <w:jc w:val="both"/>
        <w:textAlignment w:val="baseline"/>
        <w:rPr>
          <w:rFonts w:ascii="Arial" w:hAnsi="Arial" w:cs="Arial"/>
          <w:color w:val="000000" w:themeColor="text1"/>
          <w:sz w:val="21"/>
          <w:szCs w:val="21"/>
          <w:lang w:eastAsia="es-CO"/>
        </w:rPr>
      </w:pPr>
      <w:bookmarkStart w:id="11" w:name="_Hlk112025634"/>
      <w:r w:rsidRPr="003A5B51">
        <w:rPr>
          <w:rFonts w:ascii="Arial" w:hAnsi="Arial" w:cs="Arial"/>
          <w:sz w:val="21"/>
          <w:szCs w:val="21"/>
          <w:lang w:eastAsia="es-CO"/>
        </w:rPr>
        <w:lastRenderedPageBreak/>
        <w:t>«</w:t>
      </w:r>
      <w:r w:rsidRPr="003A5B51">
        <w:rPr>
          <w:rFonts w:ascii="Arial" w:hAnsi="Arial" w:cs="Arial"/>
          <w:color w:val="000000" w:themeColor="text1"/>
          <w:sz w:val="21"/>
          <w:szCs w:val="21"/>
          <w:lang w:eastAsia="es-CO"/>
        </w:rPr>
        <w:t>Artículo 2.2.1.2.4.2.14. Definición de emprendimientos y empresas de mujeres. Con el propósito de adoptar medidas afirmativas que incentiven la participación de las mujeres en el sistema de compras públicas, se entenderán como emprendimientos y empresas de mujeres aquellas que cumplan con alguna de las siguientes condiciones: </w:t>
      </w:r>
    </w:p>
    <w:bookmarkEnd w:id="11"/>
    <w:p w14:paraId="23D03EAB" w14:textId="77777777" w:rsidR="00341A5A" w:rsidRPr="003A5B51" w:rsidRDefault="00341A5A" w:rsidP="00341A5A">
      <w:pPr>
        <w:shd w:val="clear" w:color="auto" w:fill="FFFFFF"/>
        <w:ind w:left="709" w:right="709"/>
        <w:contextualSpacing/>
        <w:jc w:val="both"/>
        <w:textAlignment w:val="baseline"/>
        <w:rPr>
          <w:rFonts w:ascii="Arial" w:hAnsi="Arial" w:cs="Arial"/>
          <w:color w:val="000000" w:themeColor="text1"/>
          <w:sz w:val="21"/>
          <w:szCs w:val="21"/>
          <w:lang w:eastAsia="es-CO"/>
        </w:rPr>
      </w:pPr>
      <w:r w:rsidRPr="003A5B51">
        <w:rPr>
          <w:rFonts w:ascii="Arial" w:hAnsi="Arial" w:cs="Arial"/>
          <w:color w:val="000000" w:themeColor="text1"/>
          <w:sz w:val="21"/>
          <w:szCs w:val="21"/>
          <w:lang w:eastAsia="es-CO"/>
        </w:rPr>
        <w:t>  </w:t>
      </w:r>
    </w:p>
    <w:p w14:paraId="0700E55D" w14:textId="77777777" w:rsidR="00341A5A" w:rsidRPr="003A5B51" w:rsidRDefault="00341A5A" w:rsidP="00341A5A">
      <w:pPr>
        <w:shd w:val="clear" w:color="auto" w:fill="FFFFFF"/>
        <w:ind w:left="709" w:right="709"/>
        <w:contextualSpacing/>
        <w:jc w:val="both"/>
        <w:textAlignment w:val="baseline"/>
        <w:rPr>
          <w:rFonts w:ascii="Arial" w:hAnsi="Arial" w:cs="Arial"/>
          <w:color w:val="000000" w:themeColor="text1"/>
          <w:sz w:val="21"/>
          <w:szCs w:val="21"/>
          <w:lang w:eastAsia="es-CO"/>
        </w:rPr>
      </w:pPr>
      <w:r w:rsidRPr="003A5B51">
        <w:rPr>
          <w:rFonts w:ascii="Arial" w:hAnsi="Arial" w:cs="Arial"/>
          <w:color w:val="000000" w:themeColor="text1"/>
          <w:sz w:val="21"/>
          <w:szCs w:val="21"/>
          <w:lang w:eastAsia="es-CO"/>
        </w:rPr>
        <w:t xml:space="preserve">1. Cuando más del cincuenta por ciento (50%) de las acciones, partes de interés o cuotas de participación de la persona jurídica pertenezcan a mujeres y los derechos de propiedad </w:t>
      </w:r>
      <w:bookmarkStart w:id="12" w:name="_Hlk94001820"/>
      <w:r w:rsidRPr="003A5B51">
        <w:rPr>
          <w:rFonts w:ascii="Arial" w:hAnsi="Arial" w:cs="Arial"/>
          <w:color w:val="000000" w:themeColor="text1"/>
          <w:sz w:val="21"/>
          <w:szCs w:val="21"/>
          <w:lang w:eastAsia="es-CO"/>
        </w:rPr>
        <w:t>hayan pertenecido a estas durante al menos el último año anterior a la fecha de cierre del Proceso de Selección</w:t>
      </w:r>
      <w:bookmarkEnd w:id="12"/>
      <w:r w:rsidRPr="003A5B51">
        <w:rPr>
          <w:rFonts w:ascii="Arial" w:hAnsi="Arial" w:cs="Arial"/>
          <w:color w:val="000000" w:themeColor="text1"/>
          <w:sz w:val="21"/>
          <w:szCs w:val="21"/>
          <w:lang w:eastAsia="es-CO"/>
        </w:rPr>
        <w:t>. Esta circunstancia se acreditará mediante certificación expedida por el representante legal y el revisor fiscal, cuando exista de acuerdo con los requerimientos de ley, o el contador, donde conste la distribución de los derechos en la sociedad y el tiempo en el que las mujeres han mantenido su participación.</w:t>
      </w:r>
    </w:p>
    <w:p w14:paraId="486BDFF3" w14:textId="77777777" w:rsidR="00341A5A" w:rsidRPr="003A5B51" w:rsidRDefault="00341A5A" w:rsidP="00341A5A">
      <w:pPr>
        <w:shd w:val="clear" w:color="auto" w:fill="FFFFFF"/>
        <w:ind w:left="709" w:right="709"/>
        <w:contextualSpacing/>
        <w:jc w:val="both"/>
        <w:textAlignment w:val="baseline"/>
        <w:rPr>
          <w:rFonts w:ascii="Arial" w:hAnsi="Arial" w:cs="Arial"/>
          <w:color w:val="000000" w:themeColor="text1"/>
          <w:sz w:val="21"/>
          <w:szCs w:val="21"/>
          <w:lang w:eastAsia="es-CO"/>
        </w:rPr>
      </w:pPr>
    </w:p>
    <w:p w14:paraId="6D7B4BD6" w14:textId="77777777" w:rsidR="00341A5A" w:rsidRPr="003A5B51" w:rsidRDefault="00341A5A" w:rsidP="00341A5A">
      <w:pPr>
        <w:shd w:val="clear" w:color="auto" w:fill="FFFFFF"/>
        <w:ind w:left="709" w:right="709"/>
        <w:contextualSpacing/>
        <w:jc w:val="both"/>
        <w:textAlignment w:val="baseline"/>
        <w:rPr>
          <w:rFonts w:ascii="Arial" w:hAnsi="Arial" w:cs="Arial"/>
          <w:color w:val="000000" w:themeColor="text1"/>
          <w:sz w:val="21"/>
          <w:szCs w:val="21"/>
          <w:lang w:eastAsia="es-CO"/>
        </w:rPr>
      </w:pPr>
      <w:r w:rsidRPr="003A5B51">
        <w:rPr>
          <w:rFonts w:ascii="Arial" w:hAnsi="Arial" w:cs="Arial"/>
          <w:color w:val="000000" w:themeColor="text1"/>
          <w:sz w:val="21"/>
          <w:szCs w:val="21"/>
          <w:lang w:eastAsia="es-CO"/>
        </w:rPr>
        <w:t>2. Cuando por lo menos el cincuenta por ciento (50%) de los empleos del nivel directivo de la persona jurídica sean ejercidos por mujeres y éstas hayan estado vinculadas laboralmente a la empresa durante al menos el último año anterior a la fecha de cierre del Proceso de Selección en el mismo cargo u otro del mismo nivel.</w:t>
      </w:r>
    </w:p>
    <w:p w14:paraId="2E19336D" w14:textId="77777777" w:rsidR="00341A5A" w:rsidRPr="003A5B51" w:rsidRDefault="00341A5A" w:rsidP="00341A5A">
      <w:pPr>
        <w:shd w:val="clear" w:color="auto" w:fill="FFFFFF"/>
        <w:ind w:left="709" w:right="709"/>
        <w:contextualSpacing/>
        <w:jc w:val="both"/>
        <w:textAlignment w:val="baseline"/>
        <w:rPr>
          <w:rFonts w:ascii="Arial" w:hAnsi="Arial" w:cs="Arial"/>
          <w:color w:val="000000" w:themeColor="text1"/>
          <w:sz w:val="21"/>
          <w:szCs w:val="21"/>
          <w:lang w:eastAsia="es-CO"/>
        </w:rPr>
      </w:pPr>
    </w:p>
    <w:p w14:paraId="17D6989E" w14:textId="77777777" w:rsidR="00341A5A" w:rsidRPr="003A5B51" w:rsidRDefault="00341A5A" w:rsidP="00341A5A">
      <w:pPr>
        <w:shd w:val="clear" w:color="auto" w:fill="FFFFFF"/>
        <w:ind w:left="709" w:right="709"/>
        <w:contextualSpacing/>
        <w:jc w:val="both"/>
        <w:textAlignment w:val="baseline"/>
        <w:rPr>
          <w:rFonts w:ascii="Arial" w:hAnsi="Arial" w:cs="Arial"/>
          <w:color w:val="000000" w:themeColor="text1"/>
          <w:sz w:val="21"/>
          <w:szCs w:val="21"/>
          <w:lang w:eastAsia="es-CO"/>
        </w:rPr>
      </w:pPr>
      <w:r w:rsidRPr="003A5B51">
        <w:rPr>
          <w:rFonts w:ascii="Arial" w:hAnsi="Arial" w:cs="Arial"/>
          <w:color w:val="000000" w:themeColor="text1"/>
          <w:sz w:val="21"/>
          <w:szCs w:val="21"/>
          <w:lang w:eastAsia="es-CO"/>
        </w:rPr>
        <w:t>Se entenderá como empleos del nivel directivo aquellos cuyas funciones están relacionadas con la dirección de áreas misionales de la empresa y la toma de decisiones a nivel estratégico. En este sentido, serán cargos de nivel directivo los que dentro de la organización de la empresa se encuentran ubicados en un nivel de mando o los que por su jerarquía desempeñan cargos encaminados al cumplimiento de funciones orientadas a representar al empleador.</w:t>
      </w:r>
    </w:p>
    <w:p w14:paraId="1EA9ABD5" w14:textId="77777777" w:rsidR="00341A5A" w:rsidRPr="003A5B51" w:rsidRDefault="00341A5A" w:rsidP="00341A5A">
      <w:pPr>
        <w:shd w:val="clear" w:color="auto" w:fill="FFFFFF"/>
        <w:ind w:left="709" w:right="709"/>
        <w:contextualSpacing/>
        <w:jc w:val="both"/>
        <w:textAlignment w:val="baseline"/>
        <w:rPr>
          <w:rFonts w:ascii="Arial" w:hAnsi="Arial" w:cs="Arial"/>
          <w:color w:val="000000" w:themeColor="text1"/>
          <w:sz w:val="21"/>
          <w:szCs w:val="21"/>
          <w:lang w:eastAsia="es-CO"/>
        </w:rPr>
      </w:pPr>
    </w:p>
    <w:p w14:paraId="6E31DA53" w14:textId="77777777" w:rsidR="00341A5A" w:rsidRPr="003A5B51" w:rsidRDefault="00341A5A" w:rsidP="00341A5A">
      <w:pPr>
        <w:shd w:val="clear" w:color="auto" w:fill="FFFFFF"/>
        <w:ind w:left="709" w:right="709"/>
        <w:contextualSpacing/>
        <w:jc w:val="both"/>
        <w:textAlignment w:val="baseline"/>
        <w:rPr>
          <w:rFonts w:ascii="Arial" w:hAnsi="Arial" w:cs="Arial"/>
          <w:color w:val="000000" w:themeColor="text1"/>
          <w:sz w:val="21"/>
          <w:szCs w:val="21"/>
          <w:lang w:eastAsia="es-CO"/>
        </w:rPr>
      </w:pPr>
      <w:r w:rsidRPr="003A5B51">
        <w:rPr>
          <w:rFonts w:ascii="Arial" w:hAnsi="Arial" w:cs="Arial"/>
          <w:color w:val="000000" w:themeColor="text1"/>
          <w:sz w:val="21"/>
          <w:szCs w:val="21"/>
          <w:lang w:eastAsia="es-CO"/>
        </w:rPr>
        <w:t>Esta circunstancia se acreditará mediante certificación expedida por el representante legal y el revisor fiscal, cuando exista de acuerdo con los requerimientos de ley, o el contador, donde se señale de manera detallada todas las personas que conforman los cargos de nivel directivo del proponente, el número de mujeres y el tiempo de vinculación.</w:t>
      </w:r>
    </w:p>
    <w:p w14:paraId="09919B17" w14:textId="77777777" w:rsidR="00341A5A" w:rsidRPr="003A5B51" w:rsidRDefault="00341A5A" w:rsidP="00341A5A">
      <w:pPr>
        <w:shd w:val="clear" w:color="auto" w:fill="FFFFFF"/>
        <w:ind w:left="709" w:right="709"/>
        <w:contextualSpacing/>
        <w:jc w:val="both"/>
        <w:textAlignment w:val="baseline"/>
        <w:rPr>
          <w:rFonts w:ascii="Arial" w:hAnsi="Arial" w:cs="Arial"/>
          <w:color w:val="000000" w:themeColor="text1"/>
          <w:sz w:val="21"/>
          <w:szCs w:val="21"/>
          <w:lang w:eastAsia="es-CO"/>
        </w:rPr>
      </w:pPr>
    </w:p>
    <w:p w14:paraId="31F77B6D" w14:textId="77777777" w:rsidR="00341A5A" w:rsidRPr="003A5B51" w:rsidRDefault="00341A5A" w:rsidP="00341A5A">
      <w:pPr>
        <w:shd w:val="clear" w:color="auto" w:fill="FFFFFF"/>
        <w:ind w:left="709" w:right="709"/>
        <w:contextualSpacing/>
        <w:jc w:val="both"/>
        <w:textAlignment w:val="baseline"/>
        <w:rPr>
          <w:rFonts w:ascii="Arial" w:hAnsi="Arial" w:cs="Arial"/>
          <w:color w:val="000000" w:themeColor="text1"/>
          <w:sz w:val="21"/>
          <w:szCs w:val="21"/>
          <w:lang w:eastAsia="es-CO"/>
        </w:rPr>
      </w:pPr>
      <w:r w:rsidRPr="003A5B51">
        <w:rPr>
          <w:rFonts w:ascii="Arial" w:hAnsi="Arial" w:cs="Arial"/>
          <w:color w:val="000000" w:themeColor="text1"/>
          <w:sz w:val="21"/>
          <w:szCs w:val="21"/>
          <w:lang w:eastAsia="es-CO"/>
        </w:rPr>
        <w:t>La certificación deberá relacionar el nombre completo y el número de documento de identidad de cada una de las personas que conforman el nivel directivo del proponente. Como soporte, se anexará copia de los respectivos documentos de identidad, copia de los contratos de trabajo o certificación laboral con las funciones, así como el certificado de aportes a seguridad social del último año en el que se demuestren los pagos realizados por el empleador.</w:t>
      </w:r>
    </w:p>
    <w:p w14:paraId="7E46D5AB" w14:textId="77777777" w:rsidR="00341A5A" w:rsidRPr="003A5B51" w:rsidRDefault="00341A5A" w:rsidP="00341A5A">
      <w:pPr>
        <w:shd w:val="clear" w:color="auto" w:fill="FFFFFF"/>
        <w:ind w:left="709" w:right="709"/>
        <w:contextualSpacing/>
        <w:jc w:val="both"/>
        <w:textAlignment w:val="baseline"/>
        <w:rPr>
          <w:rFonts w:ascii="Arial" w:hAnsi="Arial" w:cs="Arial"/>
          <w:color w:val="000000" w:themeColor="text1"/>
          <w:sz w:val="21"/>
          <w:szCs w:val="21"/>
          <w:lang w:eastAsia="es-CO"/>
        </w:rPr>
      </w:pPr>
    </w:p>
    <w:p w14:paraId="7E7FEF7D" w14:textId="77777777" w:rsidR="00341A5A" w:rsidRPr="003A5B51" w:rsidRDefault="00341A5A" w:rsidP="00341A5A">
      <w:pPr>
        <w:shd w:val="clear" w:color="auto" w:fill="FFFFFF"/>
        <w:ind w:left="709" w:right="709"/>
        <w:contextualSpacing/>
        <w:jc w:val="both"/>
        <w:textAlignment w:val="baseline"/>
        <w:rPr>
          <w:rFonts w:ascii="Arial" w:hAnsi="Arial" w:cs="Arial"/>
          <w:color w:val="000000" w:themeColor="text1"/>
          <w:sz w:val="21"/>
          <w:szCs w:val="21"/>
          <w:lang w:eastAsia="es-CO"/>
        </w:rPr>
      </w:pPr>
      <w:r w:rsidRPr="003A5B51">
        <w:rPr>
          <w:rFonts w:ascii="Arial" w:hAnsi="Arial" w:cs="Arial"/>
          <w:color w:val="000000" w:themeColor="text1"/>
          <w:sz w:val="21"/>
          <w:szCs w:val="21"/>
          <w:lang w:eastAsia="es-CO"/>
        </w:rPr>
        <w:t>3. Cuando la persona natural sea una mujer y haya ejercido actividades comerciales a través de un establecimiento de comercio durante al menos el último año anterior a la fecha de cierre del proceso de selección. Esta circunstancia se acreditará mediante la copia de cédula de ciudadanía, la cédula de extranjería o el pasaporte, así como la copia del registro mercantil.</w:t>
      </w:r>
    </w:p>
    <w:p w14:paraId="0D137DAF" w14:textId="77777777" w:rsidR="00341A5A" w:rsidRPr="003A5B51" w:rsidRDefault="00341A5A" w:rsidP="00341A5A">
      <w:pPr>
        <w:shd w:val="clear" w:color="auto" w:fill="FFFFFF"/>
        <w:ind w:left="709" w:right="709"/>
        <w:contextualSpacing/>
        <w:jc w:val="both"/>
        <w:textAlignment w:val="baseline"/>
        <w:rPr>
          <w:rFonts w:ascii="Arial" w:hAnsi="Arial" w:cs="Arial"/>
          <w:color w:val="000000" w:themeColor="text1"/>
          <w:sz w:val="21"/>
          <w:szCs w:val="21"/>
          <w:lang w:eastAsia="es-CO"/>
        </w:rPr>
      </w:pPr>
    </w:p>
    <w:p w14:paraId="3FC94C03" w14:textId="77777777" w:rsidR="00341A5A" w:rsidRPr="003A5B51" w:rsidRDefault="00341A5A" w:rsidP="00341A5A">
      <w:pPr>
        <w:shd w:val="clear" w:color="auto" w:fill="FFFFFF"/>
        <w:ind w:left="709" w:right="709"/>
        <w:contextualSpacing/>
        <w:jc w:val="both"/>
        <w:textAlignment w:val="baseline"/>
        <w:rPr>
          <w:rFonts w:ascii="Arial" w:hAnsi="Arial" w:cs="Arial"/>
          <w:color w:val="000000" w:themeColor="text1"/>
          <w:sz w:val="21"/>
          <w:szCs w:val="21"/>
          <w:lang w:eastAsia="es-CO"/>
        </w:rPr>
      </w:pPr>
      <w:r w:rsidRPr="003A5B51">
        <w:rPr>
          <w:rFonts w:ascii="Arial" w:hAnsi="Arial" w:cs="Arial"/>
          <w:color w:val="000000" w:themeColor="text1"/>
          <w:sz w:val="21"/>
          <w:szCs w:val="21"/>
          <w:lang w:eastAsia="es-CO"/>
        </w:rPr>
        <w:lastRenderedPageBreak/>
        <w:t>4. Para las asociaciones y cooperativas, cuando más del cincuenta por ciento (50%) de los asociados sean mujeres y la participación haya correspondido a estas durante al menos el último año anterior a la fecha de cierre del Proceso de Selección. Esta circunstancia se acreditará mediante certificación expedida por el representante legal.</w:t>
      </w:r>
    </w:p>
    <w:p w14:paraId="2875D3BA" w14:textId="77777777" w:rsidR="00341A5A" w:rsidRPr="003A5B51" w:rsidRDefault="00341A5A" w:rsidP="00341A5A">
      <w:pPr>
        <w:shd w:val="clear" w:color="auto" w:fill="FFFFFF"/>
        <w:ind w:left="709" w:right="709"/>
        <w:contextualSpacing/>
        <w:jc w:val="both"/>
        <w:textAlignment w:val="baseline"/>
        <w:rPr>
          <w:rFonts w:ascii="Arial" w:hAnsi="Arial" w:cs="Arial"/>
          <w:color w:val="000000" w:themeColor="text1"/>
          <w:sz w:val="21"/>
          <w:szCs w:val="21"/>
          <w:lang w:eastAsia="es-CO"/>
        </w:rPr>
      </w:pPr>
    </w:p>
    <w:p w14:paraId="4B4848BB" w14:textId="77777777" w:rsidR="00341A5A" w:rsidRPr="003A5B51" w:rsidRDefault="00341A5A" w:rsidP="00341A5A">
      <w:pPr>
        <w:shd w:val="clear" w:color="auto" w:fill="FFFFFF"/>
        <w:ind w:left="709" w:right="709"/>
        <w:contextualSpacing/>
        <w:jc w:val="both"/>
        <w:textAlignment w:val="baseline"/>
        <w:rPr>
          <w:rFonts w:ascii="Arial" w:hAnsi="Arial" w:cs="Arial"/>
          <w:color w:val="000000" w:themeColor="text1"/>
          <w:sz w:val="21"/>
          <w:szCs w:val="21"/>
          <w:lang w:eastAsia="es-CO"/>
        </w:rPr>
      </w:pPr>
      <w:r w:rsidRPr="003A5B51">
        <w:rPr>
          <w:rFonts w:ascii="Arial" w:hAnsi="Arial" w:cs="Arial"/>
          <w:color w:val="000000" w:themeColor="text1"/>
          <w:sz w:val="21"/>
          <w:szCs w:val="21"/>
          <w:lang w:eastAsia="es-CO"/>
        </w:rPr>
        <w:t> Parágrafo. Respecto a los incentivos contractuales para los emprendimientos y empresas de mujeres, las certificaciones de trata el presente artículo deben expedirse bajo la gravedad de juramento con una fecha de máximo treinta (30) días calendario anteriores a la prevista para el cierre del procedimiento de selección</w:t>
      </w:r>
      <w:r w:rsidRPr="003A5B51">
        <w:rPr>
          <w:rFonts w:ascii="Arial" w:hAnsi="Arial" w:cs="Arial"/>
          <w:sz w:val="21"/>
          <w:szCs w:val="21"/>
          <w:lang w:eastAsia="es-CO"/>
        </w:rPr>
        <w:t>» [Énfasis fuera de texto].</w:t>
      </w:r>
    </w:p>
    <w:p w14:paraId="2F1B16AF" w14:textId="77777777" w:rsidR="00341A5A" w:rsidRPr="003A5B51" w:rsidRDefault="00341A5A" w:rsidP="00341A5A">
      <w:pPr>
        <w:spacing w:line="276" w:lineRule="auto"/>
        <w:jc w:val="both"/>
        <w:rPr>
          <w:rFonts w:ascii="Arial" w:eastAsia="Calibri" w:hAnsi="Arial" w:cs="Arial"/>
          <w:sz w:val="22"/>
          <w:szCs w:val="22"/>
          <w:lang w:val="es-ES_tradnl"/>
        </w:rPr>
      </w:pPr>
    </w:p>
    <w:p w14:paraId="3D420EDE" w14:textId="77777777" w:rsidR="00341A5A" w:rsidRPr="003A5B51" w:rsidRDefault="00341A5A" w:rsidP="00341A5A">
      <w:pPr>
        <w:spacing w:after="120" w:line="276" w:lineRule="auto"/>
        <w:jc w:val="both"/>
        <w:rPr>
          <w:rFonts w:ascii="Arial" w:eastAsia="Calibri" w:hAnsi="Arial" w:cs="Arial"/>
          <w:sz w:val="22"/>
          <w:szCs w:val="22"/>
          <w:lang w:val="es-ES_tradnl"/>
        </w:rPr>
      </w:pPr>
      <w:r w:rsidRPr="003A5B51">
        <w:rPr>
          <w:rFonts w:ascii="Arial" w:eastAsia="Calibri" w:hAnsi="Arial" w:cs="Arial"/>
          <w:sz w:val="22"/>
          <w:szCs w:val="22"/>
          <w:lang w:val="es-ES_tradnl"/>
        </w:rPr>
        <w:tab/>
        <w:t xml:space="preserve">De acuerdo con lo establecido en dicha disposición, para efectos de la aplicación de los criterios diferenciales en el sistema de compras públicas en los términos del artículo 32 de la Ley 2069 de 2020, se considerarán emprendimientos o empresas de mujeres las personas jurídicas o naturales que cumplan alguno de los cuatro supuestos de hecho previstos en la norma citada y acrediten estos supuestos de hecho con los documentos previstos para ello en la misma. </w:t>
      </w:r>
    </w:p>
    <w:p w14:paraId="64A370D9" w14:textId="5A0094AA" w:rsidR="00294B1B" w:rsidRPr="003A5B51" w:rsidRDefault="003E182E" w:rsidP="00294B1B">
      <w:pPr>
        <w:spacing w:after="120" w:line="276" w:lineRule="auto"/>
        <w:ind w:firstLine="708"/>
        <w:jc w:val="both"/>
        <w:rPr>
          <w:rFonts w:ascii="Arial" w:eastAsia="Calibri" w:hAnsi="Arial" w:cs="Arial"/>
          <w:sz w:val="22"/>
          <w:szCs w:val="22"/>
          <w:lang w:val="es-ES_tradnl"/>
        </w:rPr>
      </w:pPr>
      <w:bookmarkStart w:id="13" w:name="_Hlk101426374"/>
      <w:bookmarkStart w:id="14" w:name="_Hlk108537388"/>
      <w:r w:rsidRPr="003A5B51">
        <w:rPr>
          <w:rFonts w:ascii="Arial" w:eastAsia="Calibri" w:hAnsi="Arial" w:cs="Arial"/>
          <w:sz w:val="22"/>
          <w:szCs w:val="22"/>
          <w:lang w:val="es-ES_tradnl"/>
        </w:rPr>
        <w:t>Así, en concordancia con lo dispuesto por el numeral 1 del citado artículo,</w:t>
      </w:r>
      <w:r w:rsidR="00294B1B" w:rsidRPr="003A5B51">
        <w:rPr>
          <w:rFonts w:ascii="Arial" w:eastAsia="Calibri" w:hAnsi="Arial" w:cs="Arial"/>
          <w:sz w:val="22"/>
          <w:szCs w:val="22"/>
          <w:lang w:val="es-ES_tradnl"/>
        </w:rPr>
        <w:t xml:space="preserve"> que se relaciona con la pregunta del peticionario,</w:t>
      </w:r>
      <w:r w:rsidRPr="003A5B51">
        <w:rPr>
          <w:rFonts w:ascii="Arial" w:eastAsia="Calibri" w:hAnsi="Arial" w:cs="Arial"/>
          <w:sz w:val="22"/>
          <w:szCs w:val="22"/>
          <w:lang w:val="es-ES_tradnl"/>
        </w:rPr>
        <w:t xml:space="preserve"> una sociedad podrá ser considerada como un emprendimiento o empresa de mujeres cuando más del 50% de sus acciones, partes de interés o cuotas de participación, </w:t>
      </w:r>
      <w:r w:rsidRPr="003A5B51">
        <w:rPr>
          <w:rFonts w:ascii="Arial" w:eastAsia="Calibri" w:hAnsi="Arial" w:cs="Arial"/>
          <w:i/>
          <w:iCs/>
          <w:sz w:val="22"/>
          <w:szCs w:val="22"/>
          <w:lang w:val="es-ES_tradnl"/>
        </w:rPr>
        <w:t>pertenezcan a mujeres</w:t>
      </w:r>
      <w:r w:rsidRPr="003A5B51">
        <w:rPr>
          <w:rFonts w:ascii="Arial" w:eastAsia="Calibri" w:hAnsi="Arial" w:cs="Arial"/>
          <w:sz w:val="22"/>
          <w:szCs w:val="22"/>
          <w:lang w:val="es-ES_tradnl"/>
        </w:rPr>
        <w:t xml:space="preserve">. </w:t>
      </w:r>
      <w:r w:rsidR="003B6B23" w:rsidRPr="003A5B51">
        <w:rPr>
          <w:rFonts w:ascii="Arial" w:eastAsia="Calibri" w:hAnsi="Arial" w:cs="Arial"/>
          <w:sz w:val="22"/>
          <w:szCs w:val="22"/>
          <w:lang w:val="es-ES_tradnl"/>
        </w:rPr>
        <w:t xml:space="preserve">De allí que el sentido de la norma debe ser comprendido desde </w:t>
      </w:r>
      <w:r w:rsidR="00BA4270" w:rsidRPr="003A5B51">
        <w:rPr>
          <w:rFonts w:ascii="Arial" w:eastAsia="Calibri" w:hAnsi="Arial" w:cs="Arial"/>
          <w:sz w:val="22"/>
          <w:szCs w:val="22"/>
          <w:lang w:val="es-ES_tradnl"/>
        </w:rPr>
        <w:t>lo establecido en dicho numeral</w:t>
      </w:r>
      <w:r w:rsidR="00A51999" w:rsidRPr="003A5B51">
        <w:rPr>
          <w:rFonts w:ascii="Arial" w:eastAsia="Calibri" w:hAnsi="Arial" w:cs="Arial"/>
          <w:sz w:val="22"/>
          <w:szCs w:val="22"/>
          <w:lang w:val="es-ES_tradnl"/>
        </w:rPr>
        <w:t xml:space="preserve"> en relación con que</w:t>
      </w:r>
      <w:r w:rsidR="00ED115C" w:rsidRPr="003A5B51">
        <w:rPr>
          <w:rFonts w:ascii="Arial" w:eastAsia="Calibri" w:hAnsi="Arial" w:cs="Arial"/>
          <w:sz w:val="22"/>
          <w:szCs w:val="22"/>
          <w:lang w:val="es-ES_tradnl"/>
        </w:rPr>
        <w:t>:</w:t>
      </w:r>
      <w:r w:rsidR="00BA4270" w:rsidRPr="003A5B51">
        <w:rPr>
          <w:rFonts w:ascii="Arial" w:eastAsia="Calibri" w:hAnsi="Arial" w:cs="Arial"/>
          <w:sz w:val="22"/>
          <w:szCs w:val="22"/>
          <w:lang w:val="es-ES_tradnl"/>
        </w:rPr>
        <w:t xml:space="preserve"> «</w:t>
      </w:r>
      <w:r w:rsidR="00BA4270" w:rsidRPr="003A5B51">
        <w:rPr>
          <w:rFonts w:ascii="Arial" w:eastAsia="Calibri" w:hAnsi="Arial" w:cs="Arial"/>
          <w:i/>
          <w:iCs/>
          <w:sz w:val="22"/>
          <w:szCs w:val="22"/>
          <w:lang w:val="es-ES_tradnl"/>
        </w:rPr>
        <w:t>pertenezcan a mujeres</w:t>
      </w:r>
      <w:r w:rsidR="00BA4270" w:rsidRPr="003A5B51">
        <w:rPr>
          <w:rFonts w:ascii="Arial" w:eastAsia="Calibri" w:hAnsi="Arial" w:cs="Arial"/>
          <w:sz w:val="22"/>
          <w:szCs w:val="22"/>
          <w:lang w:val="es-ES_tradnl"/>
        </w:rPr>
        <w:t>»</w:t>
      </w:r>
      <w:r w:rsidR="00A51999" w:rsidRPr="003A5B51">
        <w:rPr>
          <w:rFonts w:ascii="Arial" w:eastAsia="Calibri" w:hAnsi="Arial" w:cs="Arial"/>
          <w:sz w:val="22"/>
          <w:szCs w:val="22"/>
          <w:lang w:val="es-ES_tradnl"/>
        </w:rPr>
        <w:t xml:space="preserve">. </w:t>
      </w:r>
    </w:p>
    <w:p w14:paraId="17973018" w14:textId="391E720F" w:rsidR="00A51999" w:rsidRPr="003A5B51" w:rsidRDefault="00294B1B" w:rsidP="00294B1B">
      <w:pPr>
        <w:spacing w:after="120" w:line="276" w:lineRule="auto"/>
        <w:ind w:firstLine="708"/>
        <w:jc w:val="both"/>
        <w:rPr>
          <w:rFonts w:ascii="Arial" w:eastAsia="Calibri" w:hAnsi="Arial" w:cs="Arial"/>
          <w:sz w:val="22"/>
          <w:szCs w:val="22"/>
          <w:lang w:val="es-ES_tradnl"/>
        </w:rPr>
      </w:pPr>
      <w:r w:rsidRPr="003A5B51">
        <w:rPr>
          <w:rFonts w:ascii="Arial" w:eastAsia="Calibri" w:hAnsi="Arial" w:cs="Arial"/>
          <w:sz w:val="22"/>
          <w:szCs w:val="22"/>
          <w:lang w:val="es-ES_tradnl"/>
        </w:rPr>
        <w:t xml:space="preserve">De esta manera, atendiendo al sentido literal de la disposición, </w:t>
      </w:r>
      <w:r w:rsidR="000455E0" w:rsidRPr="003A5B51">
        <w:rPr>
          <w:rFonts w:ascii="Arial" w:eastAsia="Calibri" w:hAnsi="Arial" w:cs="Arial"/>
          <w:sz w:val="22"/>
          <w:szCs w:val="22"/>
          <w:lang w:val="es-ES_tradnl"/>
        </w:rPr>
        <w:t xml:space="preserve">no puede entenderse que </w:t>
      </w:r>
      <w:r w:rsidR="00437B77" w:rsidRPr="003A5B51">
        <w:rPr>
          <w:rFonts w:ascii="Arial" w:eastAsia="Calibri" w:hAnsi="Arial" w:cs="Arial"/>
          <w:sz w:val="22"/>
          <w:szCs w:val="22"/>
          <w:lang w:val="es-ES_tradnl"/>
        </w:rPr>
        <w:t>una persona jurídica</w:t>
      </w:r>
      <w:r w:rsidRPr="003A5B51">
        <w:rPr>
          <w:rFonts w:ascii="Arial" w:eastAsia="Calibri" w:hAnsi="Arial" w:cs="Arial"/>
          <w:sz w:val="22"/>
          <w:szCs w:val="22"/>
          <w:lang w:val="es-ES_tradnl"/>
        </w:rPr>
        <w:t>,</w:t>
      </w:r>
      <w:r w:rsidR="00437B77" w:rsidRPr="003A5B51">
        <w:rPr>
          <w:rFonts w:ascii="Arial" w:eastAsia="Calibri" w:hAnsi="Arial" w:cs="Arial"/>
          <w:sz w:val="22"/>
          <w:szCs w:val="22"/>
          <w:lang w:val="es-ES_tradnl"/>
        </w:rPr>
        <w:t xml:space="preserve"> como las sociedades</w:t>
      </w:r>
      <w:r w:rsidRPr="003A5B51">
        <w:rPr>
          <w:rFonts w:ascii="Arial" w:eastAsia="Calibri" w:hAnsi="Arial" w:cs="Arial"/>
          <w:sz w:val="22"/>
          <w:szCs w:val="22"/>
          <w:lang w:val="es-ES_tradnl"/>
        </w:rPr>
        <w:t>,</w:t>
      </w:r>
      <w:r w:rsidR="00437B77" w:rsidRPr="003A5B51">
        <w:rPr>
          <w:rFonts w:ascii="Arial" w:eastAsia="Calibri" w:hAnsi="Arial" w:cs="Arial"/>
          <w:sz w:val="22"/>
          <w:szCs w:val="22"/>
          <w:lang w:val="es-ES_tradnl"/>
        </w:rPr>
        <w:t xml:space="preserve"> puedan ser asimiladas a personas naturales respecto de las cuales pueda </w:t>
      </w:r>
      <w:r w:rsidR="003A2F59" w:rsidRPr="003A5B51">
        <w:rPr>
          <w:rFonts w:ascii="Arial" w:eastAsia="Calibri" w:hAnsi="Arial" w:cs="Arial"/>
          <w:sz w:val="22"/>
          <w:szCs w:val="22"/>
          <w:lang w:val="es-ES_tradnl"/>
        </w:rPr>
        <w:t>predicarse su calidad de</w:t>
      </w:r>
      <w:r w:rsidR="00437B77" w:rsidRPr="003A5B51">
        <w:rPr>
          <w:rFonts w:ascii="Arial" w:eastAsia="Calibri" w:hAnsi="Arial" w:cs="Arial"/>
          <w:sz w:val="22"/>
          <w:szCs w:val="22"/>
          <w:lang w:val="es-ES_tradnl"/>
        </w:rPr>
        <w:t xml:space="preserve"> mujeres. </w:t>
      </w:r>
    </w:p>
    <w:p w14:paraId="485F0A47" w14:textId="343EE684" w:rsidR="003B6B23" w:rsidRPr="003A5B51" w:rsidRDefault="005A022F" w:rsidP="003E182E">
      <w:pPr>
        <w:spacing w:after="120" w:line="276" w:lineRule="auto"/>
        <w:ind w:firstLine="708"/>
        <w:jc w:val="both"/>
        <w:rPr>
          <w:rFonts w:ascii="Arial" w:eastAsia="Calibri" w:hAnsi="Arial" w:cs="Arial"/>
          <w:sz w:val="22"/>
          <w:szCs w:val="22"/>
          <w:lang w:val="es-ES_tradnl"/>
        </w:rPr>
      </w:pPr>
      <w:r w:rsidRPr="003A5B51">
        <w:rPr>
          <w:rFonts w:ascii="Arial" w:eastAsia="Calibri" w:hAnsi="Arial" w:cs="Arial"/>
          <w:sz w:val="22"/>
          <w:szCs w:val="22"/>
          <w:lang w:val="es-ES_tradnl"/>
        </w:rPr>
        <w:t>En consonancia con ello</w:t>
      </w:r>
      <w:r w:rsidR="009B0269" w:rsidRPr="003A5B51">
        <w:rPr>
          <w:rFonts w:ascii="Arial" w:eastAsia="Calibri" w:hAnsi="Arial" w:cs="Arial"/>
          <w:sz w:val="22"/>
          <w:szCs w:val="22"/>
          <w:lang w:val="es-ES_tradnl"/>
        </w:rPr>
        <w:t xml:space="preserve">, </w:t>
      </w:r>
      <w:r w:rsidR="00BC6487" w:rsidRPr="003A5B51">
        <w:rPr>
          <w:rFonts w:ascii="Arial" w:eastAsia="Calibri" w:hAnsi="Arial" w:cs="Arial"/>
          <w:sz w:val="22"/>
          <w:szCs w:val="22"/>
          <w:lang w:val="es-ES_tradnl"/>
        </w:rPr>
        <w:t xml:space="preserve">y teniendo en cuenta que la finalidad de la Ley 2069 de 2020 es, entre otras, promover la inclusión y equidad de las mujeres como medida afirmativa a favor de dichos sujetos, </w:t>
      </w:r>
      <w:r w:rsidR="009B0269" w:rsidRPr="003A5B51">
        <w:rPr>
          <w:rFonts w:ascii="Arial" w:eastAsia="Calibri" w:hAnsi="Arial" w:cs="Arial"/>
          <w:sz w:val="22"/>
          <w:szCs w:val="22"/>
          <w:lang w:val="es-ES_tradnl"/>
        </w:rPr>
        <w:t xml:space="preserve">para esta Subdirección es claro que la norma </w:t>
      </w:r>
      <w:r w:rsidR="008046C5" w:rsidRPr="003A5B51">
        <w:rPr>
          <w:rFonts w:ascii="Arial" w:eastAsia="Calibri" w:hAnsi="Arial" w:cs="Arial"/>
          <w:sz w:val="22"/>
          <w:szCs w:val="22"/>
          <w:lang w:val="es-ES_tradnl"/>
        </w:rPr>
        <w:t xml:space="preserve">requiere acreditar que </w:t>
      </w:r>
      <w:r w:rsidR="008A0030" w:rsidRPr="003A5B51">
        <w:rPr>
          <w:rFonts w:ascii="Arial" w:eastAsia="Calibri" w:hAnsi="Arial" w:cs="Arial"/>
          <w:sz w:val="22"/>
          <w:szCs w:val="22"/>
          <w:lang w:val="es-ES_tradnl"/>
        </w:rPr>
        <w:t>más d</w:t>
      </w:r>
      <w:r w:rsidR="008046C5" w:rsidRPr="003A5B51">
        <w:rPr>
          <w:rFonts w:ascii="Arial" w:eastAsia="Calibri" w:hAnsi="Arial" w:cs="Arial"/>
          <w:sz w:val="22"/>
          <w:szCs w:val="22"/>
          <w:lang w:val="es-ES_tradnl"/>
        </w:rPr>
        <w:t xml:space="preserve">el 50% de sus acciones, partes de interés o cuotas de participación, pertenezcan a mujeres, </w:t>
      </w:r>
      <w:r w:rsidR="00EF7D1D" w:rsidRPr="003A5B51">
        <w:rPr>
          <w:rFonts w:ascii="Arial" w:eastAsia="Calibri" w:hAnsi="Arial" w:cs="Arial"/>
          <w:sz w:val="22"/>
          <w:szCs w:val="22"/>
          <w:lang w:val="es-ES_tradnl"/>
        </w:rPr>
        <w:t>entendidas estas como personas naturales</w:t>
      </w:r>
      <w:r w:rsidR="00294B1B" w:rsidRPr="003A5B51">
        <w:rPr>
          <w:rFonts w:ascii="Arial" w:eastAsia="Calibri" w:hAnsi="Arial" w:cs="Arial"/>
          <w:sz w:val="22"/>
          <w:szCs w:val="22"/>
          <w:lang w:val="es-ES_tradnl"/>
        </w:rPr>
        <w:t>, excluyendo, por tanto, a personas jurídicas, quienes no son susceptibles de ser catalogadas como mujeres.</w:t>
      </w:r>
    </w:p>
    <w:p w14:paraId="3A62AB7F" w14:textId="65438BCE" w:rsidR="00294B1B" w:rsidRPr="003A5B51" w:rsidRDefault="00294B1B" w:rsidP="003E182E">
      <w:pPr>
        <w:spacing w:after="120" w:line="276" w:lineRule="auto"/>
        <w:ind w:firstLine="708"/>
        <w:jc w:val="both"/>
        <w:rPr>
          <w:rFonts w:ascii="Arial" w:eastAsia="Calibri" w:hAnsi="Arial" w:cs="Arial"/>
          <w:sz w:val="22"/>
          <w:szCs w:val="22"/>
          <w:lang w:val="es-ES_tradnl"/>
        </w:rPr>
      </w:pPr>
      <w:r w:rsidRPr="003A5B51">
        <w:rPr>
          <w:rFonts w:ascii="Arial" w:eastAsia="Calibri" w:hAnsi="Arial" w:cs="Arial"/>
          <w:sz w:val="22"/>
          <w:szCs w:val="22"/>
          <w:lang w:val="es-ES_tradnl"/>
        </w:rPr>
        <w:t xml:space="preserve">En este sentido, el numeral 1 del artículo 2.2.1.2.4.2.14. del Decreto 1082 de 2015 </w:t>
      </w:r>
      <w:r w:rsidR="003A2F59" w:rsidRPr="003A5B51">
        <w:rPr>
          <w:rFonts w:ascii="Arial" w:eastAsia="Calibri" w:hAnsi="Arial" w:cs="Arial"/>
          <w:sz w:val="22"/>
          <w:szCs w:val="22"/>
          <w:lang w:val="es-ES_tradnl"/>
        </w:rPr>
        <w:t xml:space="preserve">es </w:t>
      </w:r>
      <w:r w:rsidR="003A2F59" w:rsidRPr="003A5B51">
        <w:rPr>
          <w:rFonts w:ascii="Arial" w:eastAsia="Calibri" w:hAnsi="Arial" w:cs="Arial"/>
          <w:i/>
          <w:iCs/>
          <w:sz w:val="22"/>
          <w:szCs w:val="22"/>
          <w:lang w:val="es-ES_tradnl"/>
        </w:rPr>
        <w:t>claro</w:t>
      </w:r>
      <w:r w:rsidR="003A2F59" w:rsidRPr="003A5B51">
        <w:rPr>
          <w:rFonts w:ascii="Arial" w:eastAsia="Calibri" w:hAnsi="Arial" w:cs="Arial"/>
          <w:sz w:val="22"/>
          <w:szCs w:val="22"/>
          <w:lang w:val="es-ES_tradnl"/>
        </w:rPr>
        <w:t xml:space="preserve"> en establecer </w:t>
      </w:r>
      <w:r w:rsidRPr="003A5B51">
        <w:rPr>
          <w:rFonts w:ascii="Arial" w:eastAsia="Calibri" w:hAnsi="Arial" w:cs="Arial"/>
          <w:sz w:val="22"/>
          <w:szCs w:val="22"/>
          <w:lang w:val="es-ES_tradnl"/>
        </w:rPr>
        <w:t xml:space="preserve">que </w:t>
      </w:r>
      <w:r w:rsidR="002C732F" w:rsidRPr="003A5B51">
        <w:rPr>
          <w:rFonts w:ascii="Arial" w:eastAsia="Calibri" w:hAnsi="Arial" w:cs="Arial"/>
          <w:sz w:val="22"/>
          <w:szCs w:val="22"/>
          <w:lang w:val="es-ES_tradnl"/>
        </w:rPr>
        <w:t xml:space="preserve">para efectos de que una persona jurídica se considere un emprendimiento o empresa de mujeres más del 50% de las acciones, partes de interés o cuotas de participación </w:t>
      </w:r>
      <w:r w:rsidR="003A2F59" w:rsidRPr="003A5B51">
        <w:rPr>
          <w:rFonts w:ascii="Arial" w:eastAsia="Calibri" w:hAnsi="Arial" w:cs="Arial"/>
          <w:sz w:val="22"/>
          <w:szCs w:val="22"/>
          <w:lang w:val="es-ES_tradnl"/>
        </w:rPr>
        <w:t xml:space="preserve">deben pertenecer a mujeres. De esta manera, como lo establece el Código Civil, al regular algunos criterios de interpretación del ordenamiento jurídico, «cuando el sentido de la ley sea claro, no se desatenderá su tenor literal a pretexto de consultar su espíritu» –art. 28–. En tal sentido, debido </w:t>
      </w:r>
      <w:r w:rsidR="00C627A8" w:rsidRPr="003A5B51">
        <w:rPr>
          <w:rFonts w:ascii="Arial" w:eastAsia="Calibri" w:hAnsi="Arial" w:cs="Arial"/>
          <w:sz w:val="22"/>
          <w:szCs w:val="22"/>
          <w:lang w:val="es-ES_tradnl"/>
        </w:rPr>
        <w:t xml:space="preserve">a </w:t>
      </w:r>
      <w:r w:rsidR="003A2F59" w:rsidRPr="003A5B51">
        <w:rPr>
          <w:rFonts w:ascii="Arial" w:eastAsia="Calibri" w:hAnsi="Arial" w:cs="Arial"/>
          <w:sz w:val="22"/>
          <w:szCs w:val="22"/>
          <w:lang w:val="es-ES_tradnl"/>
        </w:rPr>
        <w:t>que frente a las personas jurídicas no se predica su calidad de «mujer», el numeral 1 analizado solo resulta procedente frente a personas naturales, que sean mujeres, cuando estas tengan una participación mayoritaria en la persona jurídica.</w:t>
      </w:r>
    </w:p>
    <w:p w14:paraId="36814C39" w14:textId="5791D1D8" w:rsidR="003E182E" w:rsidRPr="003A5B51" w:rsidRDefault="003A2F59" w:rsidP="003E182E">
      <w:pPr>
        <w:spacing w:after="120" w:line="276" w:lineRule="auto"/>
        <w:ind w:firstLine="708"/>
        <w:jc w:val="both"/>
        <w:rPr>
          <w:rFonts w:ascii="Arial" w:eastAsia="Calibri" w:hAnsi="Arial" w:cs="Arial"/>
          <w:sz w:val="22"/>
          <w:szCs w:val="22"/>
          <w:lang w:val="es-ES_tradnl"/>
        </w:rPr>
      </w:pPr>
      <w:r w:rsidRPr="003A5B51">
        <w:rPr>
          <w:rFonts w:ascii="Arial" w:eastAsia="Calibri" w:hAnsi="Arial" w:cs="Arial"/>
          <w:sz w:val="22"/>
          <w:szCs w:val="22"/>
          <w:lang w:val="es-ES_tradnl"/>
        </w:rPr>
        <w:lastRenderedPageBreak/>
        <w:t>De otro lado</w:t>
      </w:r>
      <w:r w:rsidR="003E182E" w:rsidRPr="003A5B51">
        <w:rPr>
          <w:rFonts w:ascii="Arial" w:eastAsia="Calibri" w:hAnsi="Arial" w:cs="Arial"/>
          <w:sz w:val="22"/>
          <w:szCs w:val="22"/>
          <w:lang w:val="es-ES_tradnl"/>
        </w:rPr>
        <w:t>,</w:t>
      </w:r>
      <w:r w:rsidR="00B339B8" w:rsidRPr="003A5B51">
        <w:rPr>
          <w:rFonts w:ascii="Arial" w:eastAsia="Calibri" w:hAnsi="Arial" w:cs="Arial"/>
          <w:sz w:val="22"/>
          <w:szCs w:val="22"/>
          <w:lang w:val="es-ES_tradnl"/>
        </w:rPr>
        <w:t xml:space="preserve"> es de resaltar que</w:t>
      </w:r>
      <w:r w:rsidR="003E182E" w:rsidRPr="003A5B51">
        <w:rPr>
          <w:rFonts w:ascii="Arial" w:eastAsia="Calibri" w:hAnsi="Arial" w:cs="Arial"/>
          <w:sz w:val="22"/>
          <w:szCs w:val="22"/>
          <w:lang w:val="es-ES_tradnl"/>
        </w:rPr>
        <w:t xml:space="preserve"> el supuesto de hecho de la norma transcrita, adicionalmente, exige que la titularidad de tal participación</w:t>
      </w:r>
      <w:r w:rsidRPr="003A5B51">
        <w:rPr>
          <w:rFonts w:ascii="Arial" w:eastAsia="Calibri" w:hAnsi="Arial" w:cs="Arial"/>
          <w:sz w:val="22"/>
          <w:szCs w:val="22"/>
          <w:lang w:val="es-ES_tradnl"/>
        </w:rPr>
        <w:t xml:space="preserve"> mayoritaria de </w:t>
      </w:r>
      <w:r w:rsidR="003E182E" w:rsidRPr="003A5B51">
        <w:rPr>
          <w:rFonts w:ascii="Arial" w:eastAsia="Calibri" w:hAnsi="Arial" w:cs="Arial"/>
          <w:sz w:val="22"/>
          <w:szCs w:val="22"/>
          <w:lang w:val="es-ES_tradnl"/>
        </w:rPr>
        <w:t>mujeres</w:t>
      </w:r>
      <w:r w:rsidRPr="003A5B51">
        <w:rPr>
          <w:rFonts w:ascii="Arial" w:eastAsia="Calibri" w:hAnsi="Arial" w:cs="Arial"/>
          <w:sz w:val="22"/>
          <w:szCs w:val="22"/>
          <w:lang w:val="es-ES_tradnl"/>
        </w:rPr>
        <w:t xml:space="preserve"> se haya mantenido</w:t>
      </w:r>
      <w:r w:rsidR="003E182E" w:rsidRPr="003A5B51">
        <w:rPr>
          <w:rFonts w:ascii="Arial" w:eastAsia="Calibri" w:hAnsi="Arial" w:cs="Arial"/>
          <w:sz w:val="22"/>
          <w:szCs w:val="22"/>
          <w:lang w:val="es-ES_tradnl"/>
        </w:rPr>
        <w:t xml:space="preserve">, por lo menos, durante el año anterior a la fecha de cierre del </w:t>
      </w:r>
      <w:r w:rsidRPr="003A5B51">
        <w:rPr>
          <w:rFonts w:ascii="Arial" w:eastAsia="Calibri" w:hAnsi="Arial" w:cs="Arial"/>
          <w:sz w:val="22"/>
          <w:szCs w:val="22"/>
          <w:lang w:val="es-ES_tradnl"/>
        </w:rPr>
        <w:t xml:space="preserve">procedimiento </w:t>
      </w:r>
      <w:r w:rsidR="003E182E" w:rsidRPr="003A5B51">
        <w:rPr>
          <w:rFonts w:ascii="Arial" w:eastAsia="Calibri" w:hAnsi="Arial" w:cs="Arial"/>
          <w:sz w:val="22"/>
          <w:szCs w:val="22"/>
          <w:lang w:val="es-ES_tradnl"/>
        </w:rPr>
        <w:t xml:space="preserve">de selección. </w:t>
      </w:r>
    </w:p>
    <w:p w14:paraId="1955EDE4" w14:textId="4255824E" w:rsidR="003E182E" w:rsidRPr="003A5B51" w:rsidRDefault="003E182E" w:rsidP="003E182E">
      <w:pPr>
        <w:spacing w:after="120" w:line="276" w:lineRule="auto"/>
        <w:jc w:val="both"/>
        <w:rPr>
          <w:rFonts w:ascii="Arial" w:eastAsia="Calibri" w:hAnsi="Arial" w:cs="Arial"/>
          <w:sz w:val="22"/>
          <w:szCs w:val="22"/>
          <w:lang w:val="es-ES_tradnl"/>
        </w:rPr>
      </w:pPr>
      <w:r w:rsidRPr="003A5B51">
        <w:rPr>
          <w:rFonts w:ascii="Arial" w:eastAsia="Calibri" w:hAnsi="Arial" w:cs="Arial"/>
          <w:sz w:val="22"/>
          <w:szCs w:val="22"/>
          <w:lang w:val="es-ES_tradnl"/>
        </w:rPr>
        <w:tab/>
        <w:t>Esto quiere decir que, no basta con que la participación en una sociedad sea mayoritariamente de mujeres para que sea considerada como un empresa o emprendimiento a los que se refiere la norma, sino que además es necesario que</w:t>
      </w:r>
      <w:r w:rsidR="003A2F59" w:rsidRPr="003A5B51">
        <w:rPr>
          <w:rFonts w:ascii="Arial" w:eastAsia="Calibri" w:hAnsi="Arial" w:cs="Arial"/>
          <w:sz w:val="22"/>
          <w:szCs w:val="22"/>
          <w:lang w:val="es-ES_tradnl"/>
        </w:rPr>
        <w:t xml:space="preserve"> la</w:t>
      </w:r>
      <w:r w:rsidRPr="003A5B51">
        <w:rPr>
          <w:rFonts w:ascii="Arial" w:eastAsia="Calibri" w:hAnsi="Arial" w:cs="Arial"/>
          <w:sz w:val="22"/>
          <w:szCs w:val="22"/>
          <w:lang w:val="es-ES_tradnl"/>
        </w:rPr>
        <w:t xml:space="preserve"> participación mayoritaria femenina se haya mantenido como mínimo durante el periodo de un año, contado a partir de la fecha de cierre del proceso de selección. De esta manera, el primer criterio establecido en la norma para definir los emprendimientos y empresas de mujeres deja por fuera de dicha categoría a aquellas sociedades que, a pesar de contar con la participación mayoritaria de mujeres, no cuenten con el requerimiento del tiempo mínimo de un año. </w:t>
      </w:r>
    </w:p>
    <w:p w14:paraId="67246616" w14:textId="156C7106" w:rsidR="00341A5A" w:rsidRPr="003A5B51" w:rsidRDefault="003E182E" w:rsidP="003A5B51">
      <w:pPr>
        <w:spacing w:after="120" w:line="276" w:lineRule="auto"/>
        <w:jc w:val="both"/>
        <w:rPr>
          <w:rFonts w:ascii="Arial" w:eastAsia="Arial" w:hAnsi="Arial" w:cs="Arial"/>
          <w:bCs/>
          <w:color w:val="000000"/>
          <w:sz w:val="22"/>
          <w:szCs w:val="22"/>
          <w:lang w:val="es-ES"/>
        </w:rPr>
      </w:pPr>
      <w:r w:rsidRPr="003A5B51">
        <w:rPr>
          <w:rFonts w:ascii="Arial" w:eastAsia="Calibri" w:hAnsi="Arial" w:cs="Arial"/>
          <w:sz w:val="22"/>
          <w:szCs w:val="22"/>
          <w:lang w:val="es-ES_tradnl"/>
        </w:rPr>
        <w:tab/>
      </w:r>
    </w:p>
    <w:bookmarkEnd w:id="13"/>
    <w:bookmarkEnd w:id="14"/>
    <w:p w14:paraId="7A6D3973" w14:textId="77777777" w:rsidR="00341A5A" w:rsidRPr="003A5B51" w:rsidRDefault="00341A5A" w:rsidP="00341A5A">
      <w:pPr>
        <w:spacing w:line="276" w:lineRule="auto"/>
        <w:contextualSpacing/>
        <w:jc w:val="both"/>
        <w:rPr>
          <w:rFonts w:ascii="Arial" w:eastAsia="Calibri" w:hAnsi="Arial" w:cs="Arial"/>
          <w:b/>
          <w:sz w:val="22"/>
          <w:lang w:val="es-ES_tradnl"/>
        </w:rPr>
      </w:pPr>
      <w:r w:rsidRPr="003A5B51">
        <w:rPr>
          <w:rFonts w:ascii="Arial" w:eastAsia="Calibri" w:hAnsi="Arial" w:cs="Arial"/>
          <w:b/>
          <w:sz w:val="22"/>
          <w:lang w:val="es-ES_tradnl"/>
        </w:rPr>
        <w:t>3. Respuesta</w:t>
      </w:r>
    </w:p>
    <w:p w14:paraId="4B41DA5A" w14:textId="77777777" w:rsidR="00341A5A" w:rsidRPr="003A5B51" w:rsidRDefault="00341A5A" w:rsidP="00341A5A">
      <w:pPr>
        <w:tabs>
          <w:tab w:val="left" w:pos="0"/>
        </w:tabs>
        <w:spacing w:line="276" w:lineRule="auto"/>
        <w:contextualSpacing/>
        <w:jc w:val="both"/>
        <w:rPr>
          <w:rFonts w:ascii="Arial" w:eastAsia="Calibri" w:hAnsi="Arial" w:cs="Arial"/>
          <w:sz w:val="22"/>
          <w:lang w:val="es-ES_tradnl"/>
        </w:rPr>
      </w:pPr>
    </w:p>
    <w:p w14:paraId="0B0F9091" w14:textId="77777777" w:rsidR="00B339B8" w:rsidRPr="003A5B51" w:rsidRDefault="00B339B8" w:rsidP="00B339B8">
      <w:pPr>
        <w:ind w:left="709" w:right="709"/>
        <w:contextualSpacing/>
        <w:jc w:val="both"/>
        <w:rPr>
          <w:rFonts w:ascii="Arial" w:hAnsi="Arial" w:cs="Arial"/>
          <w:sz w:val="21"/>
          <w:szCs w:val="21"/>
        </w:rPr>
      </w:pPr>
      <w:r w:rsidRPr="003A5B51">
        <w:rPr>
          <w:rFonts w:ascii="Arial" w:hAnsi="Arial" w:cs="Arial"/>
          <w:sz w:val="21"/>
          <w:szCs w:val="21"/>
          <w:lang w:val="es-ES_tradnl"/>
        </w:rPr>
        <w:t>«</w:t>
      </w:r>
      <w:r w:rsidRPr="003A5B51">
        <w:rPr>
          <w:rFonts w:ascii="Arial" w:hAnsi="Arial" w:cs="Arial"/>
          <w:sz w:val="21"/>
          <w:szCs w:val="21"/>
        </w:rPr>
        <w:t>Se confirme que, si una empresa tiene como accionista a otra empresa y esta última a su vez tiene como accionistas mayoritariamente a mujeres, se estaría cumpliendo lo dispuesto en el Decreto Ley 1860 de 2021, artículo 2.2.1.2.1.4.2.14, para la obtención del beneficio del puntaje de 0.25%</w:t>
      </w:r>
    </w:p>
    <w:p w14:paraId="6F29B5AF" w14:textId="77777777" w:rsidR="00B339B8" w:rsidRPr="003A5B51" w:rsidRDefault="00B339B8" w:rsidP="00B339B8">
      <w:pPr>
        <w:ind w:left="709" w:right="709"/>
        <w:contextualSpacing/>
        <w:jc w:val="both"/>
        <w:rPr>
          <w:rFonts w:ascii="Arial" w:hAnsi="Arial" w:cs="Arial"/>
          <w:sz w:val="21"/>
          <w:szCs w:val="21"/>
        </w:rPr>
      </w:pPr>
    </w:p>
    <w:p w14:paraId="2E2BDE74" w14:textId="77777777" w:rsidR="00B339B8" w:rsidRPr="003A5B51" w:rsidRDefault="00B339B8" w:rsidP="00B339B8">
      <w:pPr>
        <w:ind w:left="709" w:right="709"/>
        <w:contextualSpacing/>
        <w:jc w:val="both"/>
        <w:rPr>
          <w:rFonts w:ascii="Arial" w:hAnsi="Arial" w:cs="Arial"/>
          <w:sz w:val="21"/>
          <w:szCs w:val="21"/>
          <w:lang w:val="es-ES_tradnl"/>
        </w:rPr>
      </w:pPr>
      <w:r w:rsidRPr="003A5B51">
        <w:rPr>
          <w:rFonts w:ascii="Arial" w:hAnsi="Arial" w:cs="Arial"/>
          <w:sz w:val="21"/>
          <w:szCs w:val="21"/>
        </w:rPr>
        <w:t>Lo anterior teniendo en cuenta que una empresa no tiene género, en cambio sus accionistas sí lo tienen</w:t>
      </w:r>
      <w:r w:rsidRPr="003A5B51">
        <w:rPr>
          <w:rFonts w:ascii="Arial" w:hAnsi="Arial" w:cs="Arial"/>
          <w:sz w:val="21"/>
          <w:szCs w:val="21"/>
          <w:lang w:val="es-ES_tradnl"/>
        </w:rPr>
        <w:t>»</w:t>
      </w:r>
    </w:p>
    <w:p w14:paraId="36BB05D7" w14:textId="77777777" w:rsidR="00341A5A" w:rsidRPr="003A5B51" w:rsidRDefault="00341A5A" w:rsidP="00341A5A">
      <w:pPr>
        <w:autoSpaceDE w:val="0"/>
        <w:autoSpaceDN w:val="0"/>
        <w:adjustRightInd w:val="0"/>
        <w:spacing w:line="276" w:lineRule="auto"/>
        <w:ind w:left="709" w:right="709"/>
        <w:jc w:val="both"/>
        <w:rPr>
          <w:rFonts w:ascii="Arial" w:eastAsiaTheme="minorHAnsi" w:hAnsi="Arial" w:cs="Arial"/>
          <w:sz w:val="22"/>
          <w:szCs w:val="22"/>
          <w:lang w:val="es-ES_tradnl" w:eastAsia="en-US"/>
        </w:rPr>
      </w:pPr>
    </w:p>
    <w:p w14:paraId="0D73F901" w14:textId="59E02940" w:rsidR="008A0030" w:rsidRPr="003A5B51" w:rsidRDefault="00ED115C" w:rsidP="003A5B51">
      <w:pPr>
        <w:spacing w:after="120" w:line="276" w:lineRule="auto"/>
        <w:jc w:val="both"/>
        <w:rPr>
          <w:rFonts w:ascii="Arial" w:eastAsia="Calibri" w:hAnsi="Arial" w:cs="Arial"/>
          <w:sz w:val="22"/>
          <w:szCs w:val="22"/>
          <w:lang w:val="es-ES_tradnl"/>
        </w:rPr>
      </w:pPr>
      <w:bookmarkStart w:id="15" w:name="_Hlk94281581"/>
      <w:r w:rsidRPr="003A5B51">
        <w:rPr>
          <w:rFonts w:ascii="Arial" w:eastAsia="Calibri" w:hAnsi="Arial" w:cs="Arial"/>
          <w:sz w:val="22"/>
          <w:szCs w:val="22"/>
          <w:lang w:val="es-ES_tradnl"/>
        </w:rPr>
        <w:t xml:space="preserve">De acuerdo con lo señalado en las consideraciones, teniendo en cuenta lo establecido en el numeral 1 del artículo 2.2.1.2.1.4.2.14, que se relaciona con la pregunta del peticionario, </w:t>
      </w:r>
      <w:r w:rsidR="008A0030" w:rsidRPr="003A5B51">
        <w:rPr>
          <w:rFonts w:ascii="Arial" w:eastAsia="Calibri" w:hAnsi="Arial" w:cs="Arial"/>
          <w:sz w:val="22"/>
          <w:szCs w:val="22"/>
          <w:lang w:val="es-ES_tradnl"/>
        </w:rPr>
        <w:t xml:space="preserve">una sociedad podrá ser considerada como un emprendimiento o empresa de mujeres cuando más del 50% de sus acciones, partes de interés o cuotas de participación, </w:t>
      </w:r>
      <w:r w:rsidR="008A0030" w:rsidRPr="003A5B51">
        <w:rPr>
          <w:rFonts w:ascii="Arial" w:eastAsia="Calibri" w:hAnsi="Arial" w:cs="Arial"/>
          <w:i/>
          <w:iCs/>
          <w:sz w:val="22"/>
          <w:szCs w:val="22"/>
          <w:lang w:val="es-ES_tradnl"/>
        </w:rPr>
        <w:t>pertenezcan a mujeres</w:t>
      </w:r>
      <w:r w:rsidR="008A0030" w:rsidRPr="003A5B51">
        <w:rPr>
          <w:rFonts w:ascii="Arial" w:eastAsia="Calibri" w:hAnsi="Arial" w:cs="Arial"/>
          <w:sz w:val="22"/>
          <w:szCs w:val="22"/>
          <w:lang w:val="es-ES_tradnl"/>
        </w:rPr>
        <w:t>. De allí que el sentido de la norma debe ser comprendido desde lo establecido en dicho numeral en relación con que: «</w:t>
      </w:r>
      <w:r w:rsidR="008A0030" w:rsidRPr="003A5B51">
        <w:rPr>
          <w:rFonts w:ascii="Arial" w:eastAsia="Calibri" w:hAnsi="Arial" w:cs="Arial"/>
          <w:i/>
          <w:iCs/>
          <w:sz w:val="22"/>
          <w:szCs w:val="22"/>
          <w:lang w:val="es-ES_tradnl"/>
        </w:rPr>
        <w:t>pertenezcan a mujeres</w:t>
      </w:r>
      <w:r w:rsidR="008A0030" w:rsidRPr="003A5B51">
        <w:rPr>
          <w:rFonts w:ascii="Arial" w:eastAsia="Calibri" w:hAnsi="Arial" w:cs="Arial"/>
          <w:sz w:val="22"/>
          <w:szCs w:val="22"/>
          <w:lang w:val="es-ES_tradnl"/>
        </w:rPr>
        <w:t xml:space="preserve">». </w:t>
      </w:r>
    </w:p>
    <w:p w14:paraId="35244C71" w14:textId="77777777" w:rsidR="008A0030" w:rsidRPr="003A5B51" w:rsidRDefault="008A0030" w:rsidP="008A0030">
      <w:pPr>
        <w:spacing w:after="120" w:line="276" w:lineRule="auto"/>
        <w:ind w:firstLine="708"/>
        <w:jc w:val="both"/>
        <w:rPr>
          <w:rFonts w:ascii="Arial" w:eastAsia="Calibri" w:hAnsi="Arial" w:cs="Arial"/>
          <w:sz w:val="22"/>
          <w:szCs w:val="22"/>
          <w:lang w:val="es-ES_tradnl"/>
        </w:rPr>
      </w:pPr>
      <w:r w:rsidRPr="003A5B51">
        <w:rPr>
          <w:rFonts w:ascii="Arial" w:eastAsia="Calibri" w:hAnsi="Arial" w:cs="Arial"/>
          <w:sz w:val="22"/>
          <w:szCs w:val="22"/>
          <w:lang w:val="es-ES_tradnl"/>
        </w:rPr>
        <w:t xml:space="preserve">De esta manera, atendiendo al sentido literal de la disposición, no puede entenderse que una persona jurídica, como las sociedades, puedan ser asimiladas a personas naturales respecto de las cuales pueda predicarse su calidad de mujeres. </w:t>
      </w:r>
    </w:p>
    <w:p w14:paraId="4C9563EA" w14:textId="77777777" w:rsidR="008A0030" w:rsidRPr="003A5B51" w:rsidRDefault="008A0030" w:rsidP="008A0030">
      <w:pPr>
        <w:spacing w:after="120" w:line="276" w:lineRule="auto"/>
        <w:ind w:firstLine="708"/>
        <w:jc w:val="both"/>
        <w:rPr>
          <w:rFonts w:ascii="Arial" w:eastAsia="Calibri" w:hAnsi="Arial" w:cs="Arial"/>
          <w:sz w:val="22"/>
          <w:szCs w:val="22"/>
          <w:lang w:val="es-ES_tradnl"/>
        </w:rPr>
      </w:pPr>
      <w:r w:rsidRPr="003A5B51">
        <w:rPr>
          <w:rFonts w:ascii="Arial" w:eastAsia="Calibri" w:hAnsi="Arial" w:cs="Arial"/>
          <w:sz w:val="22"/>
          <w:szCs w:val="22"/>
          <w:lang w:val="es-ES_tradnl"/>
        </w:rPr>
        <w:t>En consonancia con ello, y teniendo en cuenta que la finalidad de la Ley 2069 de 2020 es, entre otras, promover la inclusión y equidad de las mujeres como medida afirmativa a favor de dichos sujetos, para esta Subdirección es claro que la norma requiere acreditar que más del 50% de sus acciones, partes de interés o cuotas de participación, pertenezcan a mujeres, entendidas estas como personas naturales, excluyendo, por tanto, a personas jurídicas, quienes no son susceptibles de ser catalogadas como mujeres.</w:t>
      </w:r>
    </w:p>
    <w:p w14:paraId="1A26F22F" w14:textId="7FF67FC1" w:rsidR="008A0030" w:rsidRPr="003A5B51" w:rsidRDefault="008A0030" w:rsidP="008A0030">
      <w:pPr>
        <w:spacing w:after="120" w:line="276" w:lineRule="auto"/>
        <w:ind w:firstLine="708"/>
        <w:jc w:val="both"/>
        <w:rPr>
          <w:rFonts w:ascii="Arial" w:eastAsia="Calibri" w:hAnsi="Arial" w:cs="Arial"/>
          <w:sz w:val="22"/>
          <w:szCs w:val="22"/>
          <w:lang w:val="es-ES_tradnl"/>
        </w:rPr>
      </w:pPr>
      <w:r w:rsidRPr="003A5B51">
        <w:rPr>
          <w:rFonts w:ascii="Arial" w:eastAsia="Calibri" w:hAnsi="Arial" w:cs="Arial"/>
          <w:sz w:val="22"/>
          <w:szCs w:val="22"/>
          <w:lang w:val="es-ES_tradnl"/>
        </w:rPr>
        <w:lastRenderedPageBreak/>
        <w:t xml:space="preserve">En este sentido, el numeral 1 del artículo 2.2.1.2.4.2.14. del Decreto 1082 de 2015 es </w:t>
      </w:r>
      <w:r w:rsidRPr="003A5B51">
        <w:rPr>
          <w:rFonts w:ascii="Arial" w:eastAsia="Calibri" w:hAnsi="Arial" w:cs="Arial"/>
          <w:i/>
          <w:iCs/>
          <w:sz w:val="22"/>
          <w:szCs w:val="22"/>
          <w:lang w:val="es-ES_tradnl"/>
        </w:rPr>
        <w:t>claro</w:t>
      </w:r>
      <w:r w:rsidRPr="003A5B51">
        <w:rPr>
          <w:rFonts w:ascii="Arial" w:eastAsia="Calibri" w:hAnsi="Arial" w:cs="Arial"/>
          <w:sz w:val="22"/>
          <w:szCs w:val="22"/>
          <w:lang w:val="es-ES_tradnl"/>
        </w:rPr>
        <w:t xml:space="preserve"> en establecer que para efectos de que una persona jurídica se considere un emprendimiento o empresa de mujeres más del 50% de las acciones, partes de interés o cuotas de participación deben pertenecer a mujeres. De esta manera, como lo establece el Código Civil, al regular algunos criterios de interpretación del ordenamiento jurídico, «cuando el sentido de la ley sea claro, no se desatenderá su tenor literal a pretexto de consultar su espíritu» –art. 28–. En tal sentido, debido </w:t>
      </w:r>
      <w:r w:rsidR="004F4AF1" w:rsidRPr="003A5B51">
        <w:rPr>
          <w:rFonts w:ascii="Arial" w:eastAsia="Calibri" w:hAnsi="Arial" w:cs="Arial"/>
          <w:sz w:val="22"/>
          <w:szCs w:val="22"/>
          <w:lang w:val="es-ES_tradnl"/>
        </w:rPr>
        <w:t xml:space="preserve">a </w:t>
      </w:r>
      <w:r w:rsidRPr="003A5B51">
        <w:rPr>
          <w:rFonts w:ascii="Arial" w:eastAsia="Calibri" w:hAnsi="Arial" w:cs="Arial"/>
          <w:sz w:val="22"/>
          <w:szCs w:val="22"/>
          <w:lang w:val="es-ES_tradnl"/>
        </w:rPr>
        <w:t>que frente a las personas jurídicas no se predica su calidad de «mujer», el numeral 1 analizado solo resulta procedente frente a personas naturales, que sean mujeres, cuando estas tengan una participación mayoritaria en la persona jurídica.</w:t>
      </w:r>
    </w:p>
    <w:p w14:paraId="3F8E66DD" w14:textId="6325B74F" w:rsidR="00ED115C" w:rsidRPr="003A5B51" w:rsidRDefault="00ED115C" w:rsidP="003A5B51">
      <w:pPr>
        <w:spacing w:after="120" w:line="276" w:lineRule="auto"/>
        <w:jc w:val="both"/>
        <w:rPr>
          <w:rFonts w:ascii="Arial" w:eastAsia="Calibri" w:hAnsi="Arial" w:cs="Arial"/>
          <w:sz w:val="22"/>
          <w:szCs w:val="22"/>
          <w:lang w:val="es-ES_tradnl"/>
        </w:rPr>
      </w:pPr>
    </w:p>
    <w:p w14:paraId="3804E352" w14:textId="550D0620" w:rsidR="00B339B8" w:rsidRPr="003A5B51" w:rsidRDefault="00B339B8" w:rsidP="00B339B8">
      <w:pPr>
        <w:spacing w:after="120" w:line="276" w:lineRule="auto"/>
        <w:jc w:val="both"/>
        <w:rPr>
          <w:rFonts w:ascii="Arial" w:eastAsia="Calibri" w:hAnsi="Arial" w:cs="Arial"/>
          <w:sz w:val="22"/>
          <w:szCs w:val="22"/>
          <w:lang w:val="es-ES_tradnl"/>
        </w:rPr>
      </w:pPr>
    </w:p>
    <w:p w14:paraId="7ED0083D" w14:textId="77777777" w:rsidR="00341A5A" w:rsidRPr="003A5B51" w:rsidRDefault="00341A5A" w:rsidP="00341A5A">
      <w:pPr>
        <w:spacing w:before="120" w:line="276" w:lineRule="auto"/>
        <w:ind w:firstLine="709"/>
        <w:jc w:val="both"/>
        <w:rPr>
          <w:rFonts w:ascii="Arial" w:eastAsia="Arial" w:hAnsi="Arial" w:cs="Arial"/>
          <w:bCs/>
          <w:color w:val="000000"/>
          <w:sz w:val="22"/>
          <w:szCs w:val="22"/>
          <w:lang w:val="es-ES"/>
        </w:rPr>
      </w:pPr>
    </w:p>
    <w:p w14:paraId="0DD91A27" w14:textId="77777777" w:rsidR="00341A5A" w:rsidRPr="003A5B51" w:rsidRDefault="00341A5A" w:rsidP="00341A5A">
      <w:pPr>
        <w:spacing w:after="120" w:line="276" w:lineRule="auto"/>
        <w:jc w:val="both"/>
        <w:rPr>
          <w:rFonts w:ascii="Arial" w:hAnsi="Arial" w:cs="Arial"/>
          <w:sz w:val="22"/>
          <w:szCs w:val="22"/>
          <w:lang w:val="es-ES_tradnl"/>
        </w:rPr>
      </w:pPr>
      <w:r w:rsidRPr="003A5B51">
        <w:rPr>
          <w:rFonts w:ascii="Arial" w:hAnsi="Arial" w:cs="Arial"/>
          <w:sz w:val="22"/>
          <w:szCs w:val="22"/>
          <w:lang w:val="es-ES_tradnl"/>
        </w:rPr>
        <w:t>Este concepto tiene el alcance previsto en el artículo 28 del Código de Procedimiento Administrativo y de lo Contencioso Administrativo.</w:t>
      </w:r>
    </w:p>
    <w:p w14:paraId="5CCD05BC" w14:textId="77777777" w:rsidR="00341A5A" w:rsidRPr="003A5B51" w:rsidRDefault="00341A5A" w:rsidP="00341A5A">
      <w:pPr>
        <w:spacing w:line="276" w:lineRule="auto"/>
        <w:jc w:val="both"/>
        <w:rPr>
          <w:rFonts w:ascii="Arial" w:hAnsi="Arial" w:cs="Arial"/>
          <w:color w:val="FF0000"/>
          <w:sz w:val="22"/>
          <w:szCs w:val="22"/>
          <w:lang w:val="es-ES_tradnl" w:eastAsia="es-CO"/>
        </w:rPr>
      </w:pPr>
    </w:p>
    <w:p w14:paraId="4061E6A5" w14:textId="77777777" w:rsidR="00341A5A" w:rsidRPr="003A5B51" w:rsidRDefault="00341A5A" w:rsidP="00341A5A">
      <w:pPr>
        <w:spacing w:line="276" w:lineRule="auto"/>
        <w:jc w:val="both"/>
        <w:rPr>
          <w:noProof/>
          <w:sz w:val="22"/>
          <w:szCs w:val="22"/>
          <w:lang w:val="en-US" w:eastAsia="es-CO"/>
        </w:rPr>
      </w:pPr>
      <w:r w:rsidRPr="003A5B51">
        <w:rPr>
          <w:rFonts w:ascii="Arial" w:hAnsi="Arial" w:cs="Arial"/>
          <w:sz w:val="22"/>
          <w:szCs w:val="22"/>
          <w:lang w:val="es-ES_tradnl" w:eastAsia="es-CO"/>
        </w:rPr>
        <w:t>Atentamente,</w:t>
      </w:r>
    </w:p>
    <w:bookmarkEnd w:id="15"/>
    <w:p w14:paraId="06DA309F" w14:textId="4A003BA1" w:rsidR="00341A5A" w:rsidRPr="003A5B51" w:rsidRDefault="00341A5A" w:rsidP="00341A5A">
      <w:pPr>
        <w:jc w:val="center"/>
        <w:rPr>
          <w:rFonts w:ascii="Arial" w:hAnsi="Arial" w:cs="Arial"/>
          <w:noProof/>
          <w:color w:val="FF0000"/>
          <w:sz w:val="22"/>
          <w:lang w:val="en-US" w:eastAsia="en-US"/>
        </w:rPr>
      </w:pPr>
    </w:p>
    <w:p w14:paraId="05FC771E" w14:textId="5D6B6F79" w:rsidR="007E02E6" w:rsidRPr="003A5B51" w:rsidRDefault="007110F2" w:rsidP="00341A5A">
      <w:pPr>
        <w:jc w:val="center"/>
        <w:rPr>
          <w:rFonts w:ascii="Arial" w:hAnsi="Arial" w:cs="Arial"/>
          <w:noProof/>
          <w:color w:val="FF0000"/>
          <w:sz w:val="22"/>
          <w:lang w:val="en-US" w:eastAsia="en-US"/>
        </w:rPr>
      </w:pPr>
      <w:r>
        <w:rPr>
          <w:noProof/>
        </w:rPr>
        <w:drawing>
          <wp:inline distT="0" distB="0" distL="0" distR="0" wp14:anchorId="7DA06BCA" wp14:editId="0E5427BC">
            <wp:extent cx="2714625" cy="1009650"/>
            <wp:effectExtent l="0" t="0" r="9525" b="0"/>
            <wp:docPr id="704682195" name="Imagen 704682195"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704682195" name="Imagen 704682195" descr="Texto&#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2714625" cy="1009650"/>
                    </a:xfrm>
                    <a:prstGeom prst="rect">
                      <a:avLst/>
                    </a:prstGeom>
                  </pic:spPr>
                </pic:pic>
              </a:graphicData>
            </a:graphic>
          </wp:inline>
        </w:drawing>
      </w:r>
      <w:r w:rsidR="007E02E6" w:rsidRPr="003A5B51">
        <w:rPr>
          <w:rFonts w:ascii="Arial" w:hAnsi="Arial" w:cs="Arial"/>
          <w:color w:val="000000"/>
          <w:sz w:val="22"/>
          <w:szCs w:val="22"/>
          <w:shd w:val="clear" w:color="auto" w:fill="FFFFFF"/>
          <w:lang w:val="es-ES"/>
        </w:rPr>
        <w:br/>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341A5A" w:rsidRPr="003A5B51" w14:paraId="796ACDE8" w14:textId="77777777" w:rsidTr="005A644B">
        <w:trPr>
          <w:trHeight w:val="315"/>
        </w:trPr>
        <w:tc>
          <w:tcPr>
            <w:tcW w:w="812" w:type="dxa"/>
            <w:vAlign w:val="center"/>
            <w:hideMark/>
          </w:tcPr>
          <w:p w14:paraId="7B87EDB8" w14:textId="77777777" w:rsidR="00341A5A" w:rsidRPr="003A5B51" w:rsidRDefault="00341A5A" w:rsidP="005A644B">
            <w:pPr>
              <w:jc w:val="both"/>
              <w:rPr>
                <w:rFonts w:ascii="Arial" w:hAnsi="Arial" w:cs="Arial"/>
                <w:sz w:val="16"/>
                <w:szCs w:val="16"/>
                <w:lang w:val="es-ES_tradnl" w:eastAsia="es-ES"/>
              </w:rPr>
            </w:pPr>
            <w:r w:rsidRPr="003A5B51">
              <w:rPr>
                <w:rFonts w:ascii="Arial" w:hAnsi="Arial" w:cs="Arial"/>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28B7A142" w14:textId="75CE112B" w:rsidR="00341A5A" w:rsidRPr="003A5B51" w:rsidRDefault="007E02E6" w:rsidP="005A644B">
            <w:pPr>
              <w:jc w:val="both"/>
              <w:rPr>
                <w:rFonts w:ascii="Arial" w:hAnsi="Arial" w:cs="Arial"/>
                <w:sz w:val="16"/>
                <w:szCs w:val="16"/>
                <w:lang w:val="es-ES_tradnl" w:eastAsia="es-ES"/>
              </w:rPr>
            </w:pPr>
            <w:proofErr w:type="spellStart"/>
            <w:r w:rsidRPr="003A5B51">
              <w:rPr>
                <w:rFonts w:ascii="Arial" w:hAnsi="Arial" w:cs="Arial"/>
                <w:sz w:val="16"/>
                <w:szCs w:val="16"/>
                <w:lang w:val="es-ES_tradnl" w:eastAsia="es-ES"/>
              </w:rPr>
              <w:t>Nathalia</w:t>
            </w:r>
            <w:proofErr w:type="spellEnd"/>
            <w:r w:rsidRPr="003A5B51">
              <w:rPr>
                <w:rFonts w:ascii="Arial" w:hAnsi="Arial" w:cs="Arial"/>
                <w:sz w:val="16"/>
                <w:szCs w:val="16"/>
                <w:lang w:val="es-ES_tradnl" w:eastAsia="es-ES"/>
              </w:rPr>
              <w:t xml:space="preserve"> Urrego Jiménez</w:t>
            </w:r>
          </w:p>
          <w:p w14:paraId="27B22CBB" w14:textId="77777777" w:rsidR="00341A5A" w:rsidRPr="003A5B51" w:rsidRDefault="00341A5A" w:rsidP="005A644B">
            <w:pPr>
              <w:jc w:val="both"/>
              <w:rPr>
                <w:rFonts w:ascii="Arial" w:hAnsi="Arial" w:cs="Arial"/>
                <w:sz w:val="16"/>
                <w:szCs w:val="16"/>
                <w:lang w:val="es-ES_tradnl" w:eastAsia="es-ES"/>
              </w:rPr>
            </w:pPr>
            <w:r w:rsidRPr="003A5B51">
              <w:rPr>
                <w:rFonts w:ascii="Arial" w:hAnsi="Arial" w:cs="Arial"/>
                <w:sz w:val="16"/>
                <w:szCs w:val="16"/>
                <w:lang w:val="es-ES_tradnl" w:eastAsia="es-ES"/>
              </w:rPr>
              <w:t>Contratista de la Subdirección de Gestión Contractual</w:t>
            </w:r>
          </w:p>
        </w:tc>
      </w:tr>
      <w:tr w:rsidR="00341A5A" w:rsidRPr="003A5B51" w14:paraId="4EC92BF9" w14:textId="77777777" w:rsidTr="005A644B">
        <w:trPr>
          <w:trHeight w:val="330"/>
        </w:trPr>
        <w:tc>
          <w:tcPr>
            <w:tcW w:w="812" w:type="dxa"/>
            <w:vAlign w:val="center"/>
            <w:hideMark/>
          </w:tcPr>
          <w:p w14:paraId="116A4488" w14:textId="77777777" w:rsidR="00341A5A" w:rsidRPr="003A5B51" w:rsidRDefault="00341A5A" w:rsidP="005A644B">
            <w:pPr>
              <w:jc w:val="both"/>
              <w:rPr>
                <w:rFonts w:ascii="Arial" w:hAnsi="Arial" w:cs="Arial"/>
                <w:sz w:val="16"/>
                <w:szCs w:val="16"/>
                <w:lang w:val="es-ES_tradnl" w:eastAsia="es-ES"/>
              </w:rPr>
            </w:pPr>
            <w:r w:rsidRPr="003A5B51">
              <w:rPr>
                <w:rFonts w:ascii="Arial" w:hAnsi="Arial" w:cs="Arial"/>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4D3C3A3" w14:textId="0F66BDDF" w:rsidR="00341A5A" w:rsidRPr="003A5B51" w:rsidRDefault="007E02E6" w:rsidP="005A644B">
            <w:pPr>
              <w:jc w:val="both"/>
              <w:rPr>
                <w:rFonts w:ascii="Arial" w:hAnsi="Arial" w:cs="Arial"/>
                <w:sz w:val="16"/>
                <w:szCs w:val="16"/>
                <w:lang w:val="es-ES_tradnl" w:eastAsia="es-ES"/>
              </w:rPr>
            </w:pPr>
            <w:r w:rsidRPr="003A5B51">
              <w:rPr>
                <w:rFonts w:ascii="Arial" w:hAnsi="Arial" w:cs="Arial"/>
                <w:sz w:val="16"/>
                <w:szCs w:val="16"/>
                <w:lang w:val="es-ES_tradnl" w:eastAsia="es-ES"/>
              </w:rPr>
              <w:t xml:space="preserve">Sebastián </w:t>
            </w:r>
            <w:proofErr w:type="spellStart"/>
            <w:r w:rsidRPr="003A5B51">
              <w:rPr>
                <w:rFonts w:ascii="Arial" w:hAnsi="Arial" w:cs="Arial"/>
                <w:sz w:val="16"/>
                <w:szCs w:val="16"/>
                <w:lang w:val="es-ES_tradnl" w:eastAsia="es-ES"/>
              </w:rPr>
              <w:t>Ramirez</w:t>
            </w:r>
            <w:proofErr w:type="spellEnd"/>
            <w:r w:rsidRPr="003A5B51">
              <w:rPr>
                <w:rFonts w:ascii="Arial" w:hAnsi="Arial" w:cs="Arial"/>
                <w:sz w:val="16"/>
                <w:szCs w:val="16"/>
                <w:lang w:val="es-ES_tradnl" w:eastAsia="es-ES"/>
              </w:rPr>
              <w:t xml:space="preserve"> Grisales</w:t>
            </w:r>
          </w:p>
          <w:p w14:paraId="3B0520D4" w14:textId="20E38841" w:rsidR="00341A5A" w:rsidRPr="003A5B51" w:rsidRDefault="007E02E6" w:rsidP="005A644B">
            <w:pPr>
              <w:jc w:val="both"/>
              <w:rPr>
                <w:rFonts w:ascii="Arial" w:hAnsi="Arial" w:cs="Arial"/>
                <w:sz w:val="16"/>
                <w:szCs w:val="16"/>
                <w:lang w:val="es-ES_tradnl" w:eastAsia="es-ES"/>
              </w:rPr>
            </w:pPr>
            <w:r w:rsidRPr="003A5B51">
              <w:rPr>
                <w:rFonts w:ascii="Arial" w:hAnsi="Arial" w:cs="Arial"/>
                <w:sz w:val="16"/>
                <w:szCs w:val="16"/>
                <w:lang w:val="es-ES_tradnl" w:eastAsia="es-ES"/>
              </w:rPr>
              <w:t>Contratista</w:t>
            </w:r>
            <w:r w:rsidR="00341A5A" w:rsidRPr="003A5B51">
              <w:rPr>
                <w:rFonts w:ascii="Arial" w:hAnsi="Arial" w:cs="Arial"/>
                <w:sz w:val="16"/>
                <w:szCs w:val="16"/>
                <w:lang w:val="es-ES_tradnl" w:eastAsia="es-ES"/>
              </w:rPr>
              <w:t xml:space="preserve"> de la Subdirección de Gestión Contractual</w:t>
            </w:r>
          </w:p>
        </w:tc>
      </w:tr>
      <w:tr w:rsidR="00341A5A" w:rsidRPr="00F235D2" w14:paraId="3576BB81" w14:textId="77777777" w:rsidTr="005A644B">
        <w:trPr>
          <w:trHeight w:val="300"/>
        </w:trPr>
        <w:tc>
          <w:tcPr>
            <w:tcW w:w="812" w:type="dxa"/>
            <w:vAlign w:val="center"/>
            <w:hideMark/>
          </w:tcPr>
          <w:p w14:paraId="16A8C9D3" w14:textId="77777777" w:rsidR="00341A5A" w:rsidRPr="003A5B51" w:rsidRDefault="00341A5A" w:rsidP="005A644B">
            <w:pPr>
              <w:jc w:val="both"/>
              <w:rPr>
                <w:rFonts w:ascii="Arial" w:hAnsi="Arial" w:cs="Arial"/>
                <w:sz w:val="16"/>
                <w:szCs w:val="16"/>
                <w:lang w:val="es-ES_tradnl" w:eastAsia="es-ES"/>
              </w:rPr>
            </w:pPr>
            <w:r w:rsidRPr="003A5B51">
              <w:rPr>
                <w:rFonts w:ascii="Arial" w:hAnsi="Arial" w:cs="Arial"/>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4535960" w14:textId="77777777" w:rsidR="00341A5A" w:rsidRPr="003A5B51" w:rsidRDefault="00341A5A" w:rsidP="005A644B">
            <w:pPr>
              <w:jc w:val="both"/>
              <w:rPr>
                <w:rFonts w:ascii="Arial" w:hAnsi="Arial" w:cs="Arial"/>
                <w:sz w:val="16"/>
                <w:szCs w:val="16"/>
                <w:lang w:val="es-ES_tradnl" w:eastAsia="es-ES"/>
              </w:rPr>
            </w:pPr>
            <w:r w:rsidRPr="003A5B51">
              <w:rPr>
                <w:rFonts w:ascii="Arial" w:hAnsi="Arial" w:cs="Arial"/>
                <w:sz w:val="16"/>
                <w:szCs w:val="16"/>
                <w:lang w:val="es-ES_tradnl" w:eastAsia="es-ES"/>
              </w:rPr>
              <w:t>Juan David Marín López</w:t>
            </w:r>
          </w:p>
          <w:p w14:paraId="6C989AC7" w14:textId="77777777" w:rsidR="00341A5A" w:rsidRPr="00F235D2" w:rsidRDefault="00341A5A" w:rsidP="005A644B">
            <w:pPr>
              <w:jc w:val="both"/>
              <w:rPr>
                <w:rFonts w:ascii="Arial" w:hAnsi="Arial" w:cs="Arial"/>
                <w:sz w:val="16"/>
                <w:szCs w:val="16"/>
                <w:lang w:val="es-ES_tradnl" w:eastAsia="es-ES"/>
              </w:rPr>
            </w:pPr>
            <w:r w:rsidRPr="003A5B51">
              <w:rPr>
                <w:rFonts w:ascii="Arial" w:hAnsi="Arial" w:cs="Arial"/>
                <w:sz w:val="16"/>
                <w:szCs w:val="16"/>
                <w:lang w:val="es-ES_tradnl" w:eastAsia="es-ES"/>
              </w:rPr>
              <w:t>Subdirector de Gestión Contractual (E)</w:t>
            </w:r>
            <w:r w:rsidRPr="00F235D2">
              <w:rPr>
                <w:rFonts w:ascii="Arial" w:hAnsi="Arial" w:cs="Arial"/>
                <w:sz w:val="16"/>
                <w:szCs w:val="16"/>
                <w:lang w:val="es-ES_tradnl" w:eastAsia="es-ES"/>
              </w:rPr>
              <w:t xml:space="preserve"> </w:t>
            </w:r>
          </w:p>
        </w:tc>
      </w:tr>
    </w:tbl>
    <w:p w14:paraId="27041D68" w14:textId="77777777" w:rsidR="00341A5A" w:rsidRPr="00F235D2" w:rsidRDefault="00341A5A" w:rsidP="00341A5A">
      <w:pPr>
        <w:rPr>
          <w:color w:val="FF0000"/>
        </w:rPr>
      </w:pPr>
    </w:p>
    <w:p w14:paraId="63E8D494" w14:textId="77777777" w:rsidR="00341A5A" w:rsidRPr="00F235D2" w:rsidRDefault="00341A5A" w:rsidP="00341A5A">
      <w:pPr>
        <w:tabs>
          <w:tab w:val="left" w:pos="1672"/>
        </w:tabs>
        <w:rPr>
          <w:rFonts w:ascii="Arial" w:hAnsi="Arial" w:cs="Arial"/>
          <w:color w:val="FF0000"/>
          <w:lang w:val="es-MX"/>
        </w:rPr>
      </w:pPr>
    </w:p>
    <w:p w14:paraId="76301BA3" w14:textId="77777777" w:rsidR="00341A5A" w:rsidRPr="00F235D2" w:rsidRDefault="00341A5A" w:rsidP="00341A5A">
      <w:pPr>
        <w:rPr>
          <w:color w:val="FF0000"/>
        </w:rPr>
      </w:pPr>
    </w:p>
    <w:p w14:paraId="2EA12F4E" w14:textId="77777777" w:rsidR="00341A5A" w:rsidRPr="00F235D2" w:rsidRDefault="00341A5A" w:rsidP="00341A5A">
      <w:pPr>
        <w:contextualSpacing/>
        <w:jc w:val="both"/>
        <w:rPr>
          <w:rFonts w:ascii="Arial" w:eastAsia="Calibri" w:hAnsi="Arial" w:cs="Arial"/>
          <w:bCs/>
          <w:sz w:val="20"/>
          <w:szCs w:val="20"/>
        </w:rPr>
      </w:pPr>
    </w:p>
    <w:p w14:paraId="78A09D2C" w14:textId="77777777" w:rsidR="00CE7CA5" w:rsidRDefault="00000000"/>
    <w:sectPr w:rsidR="00CE7CA5" w:rsidSect="00F76AFC">
      <w:headerReference w:type="default" r:id="rId12"/>
      <w:footerReference w:type="default" r:id="rId13"/>
      <w:pgSz w:w="12240" w:h="15840"/>
      <w:pgMar w:top="1440" w:right="1440" w:bottom="1440" w:left="1440" w:header="708"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EFDFC" w14:textId="77777777" w:rsidR="00705CDF" w:rsidRDefault="00705CDF" w:rsidP="00341A5A">
      <w:r>
        <w:separator/>
      </w:r>
    </w:p>
  </w:endnote>
  <w:endnote w:type="continuationSeparator" w:id="0">
    <w:p w14:paraId="5031D0FB" w14:textId="77777777" w:rsidR="00705CDF" w:rsidRDefault="00705CDF" w:rsidP="00341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Geomanist Light">
    <w:panose1 w:val="020005030000000200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A6A63" w14:textId="77777777" w:rsidR="004A1847" w:rsidRDefault="007D40B3">
    <w:pPr>
      <w:pStyle w:val="Piedepgina"/>
    </w:pPr>
    <w:r>
      <w:rPr>
        <w:noProof/>
      </w:rPr>
      <w:drawing>
        <wp:inline distT="0" distB="0" distL="0" distR="0" wp14:anchorId="40CD529C" wp14:editId="1FE6F873">
          <wp:extent cx="5885180" cy="914400"/>
          <wp:effectExtent l="0" t="0" r="1270" b="0"/>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888238" cy="914875"/>
                  </a:xfrm>
                  <a:prstGeom prst="rect">
                    <a:avLst/>
                  </a:prstGeom>
                </pic:spPr>
              </pic:pic>
            </a:graphicData>
          </a:graphic>
        </wp:inline>
      </w:drawing>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
      <w:gridCol w:w="421"/>
      <w:gridCol w:w="844"/>
      <w:gridCol w:w="2073"/>
      <w:gridCol w:w="720"/>
      <w:gridCol w:w="2643"/>
      <w:gridCol w:w="1416"/>
    </w:tblGrid>
    <w:tr w:rsidR="006219F8" w:rsidRPr="00080DA3" w14:paraId="677E69E8" w14:textId="77777777" w:rsidTr="006219F8">
      <w:trPr>
        <w:trHeight w:val="229"/>
        <w:jc w:val="center"/>
      </w:trPr>
      <w:tc>
        <w:tcPr>
          <w:tcW w:w="1013"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59605261" w14:textId="77777777" w:rsidR="006219F8" w:rsidRPr="00080DA3" w:rsidRDefault="007D40B3" w:rsidP="006219F8">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421"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5F452D60" w14:textId="77777777" w:rsidR="006219F8" w:rsidRPr="00080DA3" w:rsidRDefault="007D40B3" w:rsidP="006219F8">
          <w:pPr>
            <w:pStyle w:val="Piedepgina"/>
            <w:jc w:val="center"/>
            <w:rPr>
              <w:rFonts w:ascii="Geomanist Light" w:hAnsi="Geomanist Light"/>
              <w:sz w:val="18"/>
              <w:szCs w:val="18"/>
            </w:rPr>
          </w:pPr>
          <w:r w:rsidRPr="00080DA3">
            <w:rPr>
              <w:rFonts w:ascii="Geomanist Light" w:hAnsi="Geomanist Light"/>
              <w:sz w:val="18"/>
              <w:szCs w:val="18"/>
            </w:rPr>
            <w:t>02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7BEAA96B" w14:textId="77777777" w:rsidR="006219F8" w:rsidRPr="00080DA3" w:rsidRDefault="007D40B3" w:rsidP="006219F8">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2073"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4725D23" w14:textId="77777777" w:rsidR="006219F8" w:rsidRPr="00080DA3" w:rsidRDefault="007D40B3" w:rsidP="006219F8">
          <w:pPr>
            <w:pStyle w:val="Encabezado"/>
            <w:tabs>
              <w:tab w:val="center" w:pos="5400"/>
            </w:tabs>
            <w:jc w:val="right"/>
            <w:rPr>
              <w:rFonts w:ascii="Geomanist Light" w:hAnsi="Geomanist Light"/>
              <w:color w:val="404040" w:themeColor="text1" w:themeTint="BF"/>
              <w:sz w:val="18"/>
              <w:szCs w:val="18"/>
            </w:rPr>
          </w:pPr>
          <w:r w:rsidRPr="00080DA3">
            <w:rPr>
              <w:rFonts w:ascii="Geomanist Light" w:hAnsi="Geomanist Light"/>
              <w:color w:val="404040" w:themeColor="text1" w:themeTint="BF"/>
              <w:sz w:val="18"/>
              <w:szCs w:val="18"/>
            </w:rPr>
            <w:t>CCE-DES-FM-17</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626BFDE0" w14:textId="77777777" w:rsidR="006219F8" w:rsidRPr="00080DA3" w:rsidRDefault="007D40B3" w:rsidP="006219F8">
          <w:pPr>
            <w:pStyle w:val="Piedepgina"/>
            <w:jc w:val="center"/>
            <w:rPr>
              <w:rFonts w:ascii="Geomanist Light" w:hAnsi="Geomanist Light"/>
              <w:sz w:val="18"/>
              <w:szCs w:val="18"/>
            </w:rPr>
          </w:pPr>
          <w:r w:rsidRPr="00080DA3">
            <w:rPr>
              <w:rFonts w:ascii="Geomanist Light" w:hAnsi="Geomanist Light"/>
              <w:sz w:val="18"/>
              <w:szCs w:val="18"/>
            </w:rPr>
            <w:t>Fecha:</w:t>
          </w:r>
        </w:p>
      </w:tc>
      <w:tc>
        <w:tcPr>
          <w:tcW w:w="2643"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3F76572" w14:textId="77777777" w:rsidR="006219F8" w:rsidRPr="00080DA3" w:rsidRDefault="007D40B3" w:rsidP="006219F8">
          <w:pPr>
            <w:pStyle w:val="Piedepgina"/>
            <w:jc w:val="center"/>
            <w:rPr>
              <w:rFonts w:ascii="Geomanist Light" w:hAnsi="Geomanist Light"/>
              <w:sz w:val="18"/>
              <w:szCs w:val="18"/>
            </w:rPr>
          </w:pPr>
          <w:r w:rsidRPr="00080DA3">
            <w:rPr>
              <w:rFonts w:ascii="Geomanist Light" w:hAnsi="Geomanist Light"/>
              <w:sz w:val="18"/>
              <w:szCs w:val="18"/>
            </w:rPr>
            <w:t>03 de noviembre de 2021</w:t>
          </w:r>
        </w:p>
      </w:tc>
      <w:tc>
        <w:tcPr>
          <w:tcW w:w="1416"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24FBB5E9" w14:textId="77777777" w:rsidR="006219F8" w:rsidRPr="00080DA3" w:rsidRDefault="007D40B3" w:rsidP="006219F8">
          <w:pPr>
            <w:pStyle w:val="Piedepgina"/>
            <w:jc w:val="right"/>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7B1E74F" w14:textId="77777777" w:rsidR="006219F8" w:rsidRDefault="000000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C9485" w14:textId="77777777" w:rsidR="00705CDF" w:rsidRDefault="00705CDF" w:rsidP="00341A5A">
      <w:r>
        <w:separator/>
      </w:r>
    </w:p>
  </w:footnote>
  <w:footnote w:type="continuationSeparator" w:id="0">
    <w:p w14:paraId="3E73D173" w14:textId="77777777" w:rsidR="00705CDF" w:rsidRDefault="00705CDF" w:rsidP="00341A5A">
      <w:r>
        <w:continuationSeparator/>
      </w:r>
    </w:p>
  </w:footnote>
  <w:footnote w:id="1">
    <w:p w14:paraId="7AD61C14" w14:textId="079B54D2" w:rsidR="00341A5A" w:rsidRPr="00294B1B" w:rsidRDefault="00341A5A" w:rsidP="00341A5A">
      <w:pPr>
        <w:pStyle w:val="Textonotapie"/>
        <w:ind w:firstLine="708"/>
        <w:jc w:val="both"/>
        <w:rPr>
          <w:rFonts w:ascii="Arial" w:hAnsi="Arial" w:cs="Arial"/>
          <w:sz w:val="19"/>
          <w:szCs w:val="19"/>
          <w:lang w:val="es-CO"/>
        </w:rPr>
      </w:pPr>
      <w:r w:rsidRPr="00294B1B">
        <w:rPr>
          <w:rStyle w:val="Refdenotaalpie"/>
          <w:rFonts w:ascii="Arial" w:eastAsiaTheme="majorEastAsia" w:hAnsi="Arial" w:cs="Arial"/>
          <w:sz w:val="19"/>
          <w:szCs w:val="19"/>
        </w:rPr>
        <w:footnoteRef/>
      </w:r>
      <w:r w:rsidRPr="00294B1B">
        <w:rPr>
          <w:rFonts w:ascii="Arial" w:hAnsi="Arial" w:cs="Arial"/>
          <w:sz w:val="19"/>
          <w:szCs w:val="19"/>
        </w:rPr>
        <w:t xml:space="preserve"> </w:t>
      </w:r>
      <w:r w:rsidRPr="00294B1B">
        <w:rPr>
          <w:rFonts w:ascii="Arial" w:hAnsi="Arial" w:cs="Arial"/>
          <w:sz w:val="19"/>
          <w:szCs w:val="19"/>
          <w:lang w:val="es-CO"/>
        </w:rPr>
        <w:t>La Agencia también se ha pronunciado sobre las diferentes disposiciones de la Ley 2069 de 2020 en los conceptos: C-009 del 04 de febrero de 2021, C-012 del 04 de febrero de 2021, C-013 del 04 de febrero de 2021, C-015 del 04 de febrero de 2021, C-016 del 04 de febrero de 2021, C-026 del 04 de febrero de 2021, C-006 del 05 de febrero de 2021, C-043 del 09 de febrero de 2021, C-005 del 16 de febrero de 2021, C-007 del 16 de febrero de 2021, C-098 del 23 de febrero de 2021, C-028 de 23 de febrero de 2021, C-081 del 23 de febrero de 2021, C-087 del 23 de febrero de 2021, C-037 del 26 de febrero de 2021, C-035 del 02 de marzo de 2021, C-040 del 02 de marzo de 2021, C-044 del 03 de marzo de 2021, C-056 del 08 de marzo de 2021, C-061 del 10 de marzo de 2021, C-055 del 10 de marzo de 2021, C-058 del 11 de marzo de 2021, C-069 del 12 de marzo de 2021, C-102 del 25 de marzo de 2020, C-136 del 07 de abril de 2021, C-138 del 07 de abril de 2021, C-139 del 07 de abril de 2021, C-141 del 08 de abril de 2021, C-162 de 13 de abril de 2021, C-165 del 13 de abril de 2021, C-164 del 19 de abril de 2021, C−167 del 21 de abril de 2021, C-166 del 23 de abril de 2021, C-191 del 26 de abril de 2021, C-187 del 28 de abril de 2021, C-192 del 29 de abril de 2021, C-206 del 03 de mayo de 2021, C−198 del 5 de mayo de 2021, C-203 del 6 de mayo de 2021,</w:t>
      </w:r>
      <w:r w:rsidR="00294B1B">
        <w:rPr>
          <w:rFonts w:ascii="Arial" w:hAnsi="Arial" w:cs="Arial"/>
          <w:sz w:val="19"/>
          <w:szCs w:val="19"/>
          <w:lang w:val="es-CO"/>
        </w:rPr>
        <w:t xml:space="preserve"> </w:t>
      </w:r>
      <w:r w:rsidRPr="00294B1B">
        <w:rPr>
          <w:rFonts w:ascii="Arial" w:hAnsi="Arial" w:cs="Arial"/>
          <w:sz w:val="19"/>
          <w:szCs w:val="19"/>
          <w:lang w:val="es-CO"/>
        </w:rPr>
        <w:t>C-180 del 10 de mayo de 2021, C-210 del 10 de mayo de 2021, C-221 del 18 de mayo de 2021, C-239 del 25 de mayo de 2021, C-338 del 12 de julio de 2021, C-422 del 18 de agosto de 2021, C-437 del 24 de agosto de 2021, C-518 el 20 de septiembre de 2021, C-438 del 28 de septiembre de 2021, C-586 del 14 de octubre de 2021 y C-617 del 12 de diciembre de 2021, C-689 del 05 de enero de 2022, C-738 del 1 de febrero de 2022, C-741 del 1 de febrero de 2022, C-750 del 4 de febrero de 2022, C-031 del 1 de marzo de 2022, C-041 del 2 de marzo de 2022, C-057 del 8 de marzo de 2022, C-199 del 13 de abril de 2022, C-213 del 21 de abril de 2022, C-217 del 21 de abril de 2022, C-245 del 2 de mayo de 2022, C-253 del 2 de mayo de 2022, C-281 del 12 de mayo de 2022, C-293 del 12 de mayo de 2022, C-296 del 12 de mayo de 2022, C-315 del 18 de mayo de 2022, C-316 del 18 de mayo de 2022, C-317 del 16 de mayo de 2022, C-322 del 20 de mayo de 2022, C-323 del 17 de junio de 2022, C-326 del 18 de mayo de 2022, C-330 del 23 de mayo de 2022, C-340 del 26 de mayo de 2022, C-343 del 31 de mayo de 2022, C-346 del 27 de mayo de 2022, C-354 del 25 de mayo de 2022, C-361 del 20 de mayo de 2022, C-377 del 13 de junio de 2022, C-395 del 17 de junio de 2022, C-398 del 15 de junio de 2022, C-399 del 21 de junio de 2022, C-421 del 6 de julio de 2022, C-429 del 18 de julio de 2022, C-438 del 11 de julio de 2022, C-445 del 12 de julio de 2022, C-454 del 13 de julio de 2022, C-459 del 18 de junio de 2022, C-460 del 18 de julio de 2022, C-468 del 22 de julio de 2022, C-474 del 26 de julio de 2022, C-476 del 21 de junio de 2022, C-479 del 26 de julio de 2022, C-485 del 26 de julio de 2022, C-490 del 26 de julio de 2022, C-504 del 8 de agosto de 2022, C-522 del 16 de agosto de 2022, C-528 del 17 de agosto de 2022, entre otros.</w:t>
      </w:r>
    </w:p>
    <w:p w14:paraId="03003656" w14:textId="77777777" w:rsidR="00341A5A" w:rsidRPr="00294B1B" w:rsidRDefault="00341A5A" w:rsidP="00341A5A">
      <w:pPr>
        <w:pStyle w:val="Textonotapie"/>
        <w:ind w:firstLine="708"/>
        <w:jc w:val="both"/>
        <w:rPr>
          <w:rFonts w:ascii="Arial" w:hAnsi="Arial" w:cs="Arial"/>
          <w:sz w:val="19"/>
          <w:szCs w:val="19"/>
        </w:rPr>
      </w:pPr>
    </w:p>
  </w:footnote>
  <w:footnote w:id="2">
    <w:p w14:paraId="3A313984" w14:textId="77777777" w:rsidR="00341A5A" w:rsidRPr="003A5B51" w:rsidRDefault="00341A5A" w:rsidP="00341A5A">
      <w:pPr>
        <w:pStyle w:val="Textonotapie"/>
        <w:ind w:firstLine="708"/>
        <w:jc w:val="both"/>
      </w:pPr>
      <w:r w:rsidRPr="00294B1B">
        <w:rPr>
          <w:rStyle w:val="Refdenotaalpie"/>
          <w:rFonts w:ascii="Arial" w:eastAsiaTheme="majorEastAsia" w:hAnsi="Arial" w:cs="Arial"/>
          <w:sz w:val="19"/>
          <w:szCs w:val="19"/>
        </w:rPr>
        <w:footnoteRef/>
      </w:r>
      <w:r w:rsidRPr="00294B1B">
        <w:rPr>
          <w:rFonts w:ascii="Arial" w:hAnsi="Arial" w:cs="Arial"/>
          <w:sz w:val="19"/>
          <w:szCs w:val="19"/>
        </w:rPr>
        <w:t xml:space="preserve"> Texto del Proyecto de Ley 122 de 2020 Cámara. Exposición de motivos. Consultado el 29 de diciembre de 2021 en la página web: </w:t>
      </w:r>
      <w:hyperlink r:id="rId1" w:history="1">
        <w:r w:rsidRPr="003A5B51">
          <w:t>http://leyes.senado.gov.co/proyectos/index.php/textos-radicados-senado/p-ley-2020-2021/1957-proyecto-de-ley-161-de-2020</w:t>
        </w:r>
      </w:hyperlink>
    </w:p>
    <w:p w14:paraId="0D78403F" w14:textId="77777777" w:rsidR="00341A5A" w:rsidRPr="00294B1B" w:rsidRDefault="00341A5A" w:rsidP="00341A5A">
      <w:pPr>
        <w:pStyle w:val="Textonotapie"/>
        <w:ind w:firstLine="708"/>
        <w:jc w:val="both"/>
        <w:rPr>
          <w:rFonts w:ascii="Arial" w:hAnsi="Arial" w:cs="Arial"/>
          <w:sz w:val="19"/>
          <w:szCs w:val="19"/>
        </w:rPr>
      </w:pPr>
    </w:p>
  </w:footnote>
  <w:footnote w:id="3">
    <w:p w14:paraId="59455959" w14:textId="77777777" w:rsidR="00341A5A" w:rsidRPr="00294B1B" w:rsidRDefault="00341A5A" w:rsidP="00341A5A">
      <w:pPr>
        <w:pStyle w:val="Textonotapie"/>
        <w:ind w:firstLine="709"/>
        <w:jc w:val="both"/>
        <w:rPr>
          <w:rFonts w:ascii="Arial" w:hAnsi="Arial" w:cs="Arial"/>
          <w:sz w:val="19"/>
          <w:szCs w:val="19"/>
          <w:lang w:val="es-ES"/>
        </w:rPr>
      </w:pPr>
      <w:r w:rsidRPr="00294B1B">
        <w:rPr>
          <w:rStyle w:val="Refdenotaalpie"/>
          <w:rFonts w:ascii="Arial" w:eastAsiaTheme="majorEastAsia" w:hAnsi="Arial" w:cs="Arial"/>
          <w:sz w:val="19"/>
          <w:szCs w:val="19"/>
        </w:rPr>
        <w:footnoteRef/>
      </w:r>
      <w:r w:rsidRPr="00294B1B">
        <w:rPr>
          <w:rFonts w:ascii="Arial" w:hAnsi="Arial" w:cs="Arial"/>
          <w:sz w:val="19"/>
          <w:szCs w:val="19"/>
        </w:rPr>
        <w:t xml:space="preserve"> </w:t>
      </w:r>
      <w:r w:rsidRPr="00294B1B">
        <w:rPr>
          <w:rFonts w:ascii="Arial" w:hAnsi="Arial" w:cs="Arial"/>
          <w:sz w:val="19"/>
          <w:szCs w:val="19"/>
          <w:lang w:val="es-ES"/>
        </w:rPr>
        <w:t>Artículos 2 al 29.</w:t>
      </w:r>
    </w:p>
    <w:p w14:paraId="54818878" w14:textId="77777777" w:rsidR="00341A5A" w:rsidRPr="00294B1B" w:rsidRDefault="00341A5A" w:rsidP="00341A5A">
      <w:pPr>
        <w:pStyle w:val="Textonotapie"/>
        <w:ind w:firstLine="709"/>
        <w:jc w:val="both"/>
        <w:rPr>
          <w:rFonts w:ascii="Arial" w:hAnsi="Arial" w:cs="Arial"/>
          <w:sz w:val="19"/>
          <w:szCs w:val="19"/>
          <w:lang w:val="es-ES"/>
        </w:rPr>
      </w:pPr>
    </w:p>
  </w:footnote>
  <w:footnote w:id="4">
    <w:p w14:paraId="085D34F8" w14:textId="77777777" w:rsidR="00341A5A" w:rsidRPr="00294B1B" w:rsidRDefault="00341A5A" w:rsidP="00341A5A">
      <w:pPr>
        <w:pStyle w:val="Textonotapie"/>
        <w:ind w:firstLine="709"/>
        <w:jc w:val="both"/>
        <w:rPr>
          <w:rFonts w:ascii="Arial" w:hAnsi="Arial" w:cs="Arial"/>
          <w:sz w:val="19"/>
          <w:szCs w:val="19"/>
          <w:lang w:val="es-ES"/>
        </w:rPr>
      </w:pPr>
      <w:r w:rsidRPr="00294B1B">
        <w:rPr>
          <w:rStyle w:val="Refdenotaalpie"/>
          <w:rFonts w:ascii="Arial" w:eastAsiaTheme="majorEastAsia" w:hAnsi="Arial" w:cs="Arial"/>
          <w:sz w:val="19"/>
          <w:szCs w:val="19"/>
        </w:rPr>
        <w:footnoteRef/>
      </w:r>
      <w:r w:rsidRPr="00294B1B">
        <w:rPr>
          <w:rFonts w:ascii="Arial" w:hAnsi="Arial" w:cs="Arial"/>
          <w:sz w:val="19"/>
          <w:szCs w:val="19"/>
        </w:rPr>
        <w:t xml:space="preserve"> </w:t>
      </w:r>
      <w:r w:rsidRPr="00294B1B">
        <w:rPr>
          <w:rFonts w:ascii="Arial" w:hAnsi="Arial" w:cs="Arial"/>
          <w:sz w:val="19"/>
          <w:szCs w:val="19"/>
          <w:lang w:val="es-ES"/>
        </w:rPr>
        <w:t>Artículos 30 al 36.</w:t>
      </w:r>
    </w:p>
    <w:p w14:paraId="7AC5CB9B" w14:textId="77777777" w:rsidR="00341A5A" w:rsidRPr="00294B1B" w:rsidRDefault="00341A5A" w:rsidP="00341A5A">
      <w:pPr>
        <w:pStyle w:val="Textonotapie"/>
        <w:ind w:firstLine="709"/>
        <w:jc w:val="both"/>
        <w:rPr>
          <w:rFonts w:ascii="Arial" w:hAnsi="Arial" w:cs="Arial"/>
          <w:sz w:val="19"/>
          <w:szCs w:val="19"/>
          <w:lang w:val="es-ES"/>
        </w:rPr>
      </w:pPr>
    </w:p>
  </w:footnote>
  <w:footnote w:id="5">
    <w:p w14:paraId="1120FE62" w14:textId="77777777" w:rsidR="00341A5A" w:rsidRPr="00294B1B" w:rsidRDefault="00341A5A" w:rsidP="00341A5A">
      <w:pPr>
        <w:pStyle w:val="Textonotapie"/>
        <w:ind w:firstLine="709"/>
        <w:jc w:val="both"/>
        <w:rPr>
          <w:rFonts w:ascii="Arial" w:hAnsi="Arial" w:cs="Arial"/>
          <w:sz w:val="19"/>
          <w:szCs w:val="19"/>
          <w:lang w:val="es-ES"/>
        </w:rPr>
      </w:pPr>
      <w:r w:rsidRPr="00294B1B">
        <w:rPr>
          <w:rStyle w:val="Refdenotaalpie"/>
          <w:rFonts w:ascii="Arial" w:eastAsiaTheme="majorEastAsia" w:hAnsi="Arial" w:cs="Arial"/>
          <w:sz w:val="19"/>
          <w:szCs w:val="19"/>
        </w:rPr>
        <w:footnoteRef/>
      </w:r>
      <w:r w:rsidRPr="00294B1B">
        <w:rPr>
          <w:rFonts w:ascii="Arial" w:hAnsi="Arial" w:cs="Arial"/>
          <w:sz w:val="19"/>
          <w:szCs w:val="19"/>
        </w:rPr>
        <w:t xml:space="preserve"> </w:t>
      </w:r>
      <w:r w:rsidRPr="00294B1B">
        <w:rPr>
          <w:rFonts w:ascii="Arial" w:hAnsi="Arial" w:cs="Arial"/>
          <w:sz w:val="19"/>
          <w:szCs w:val="19"/>
          <w:lang w:val="es-ES"/>
        </w:rPr>
        <w:t>Artículos 37 al 45.</w:t>
      </w:r>
    </w:p>
    <w:p w14:paraId="39CBBFDB" w14:textId="77777777" w:rsidR="00341A5A" w:rsidRPr="00294B1B" w:rsidRDefault="00341A5A" w:rsidP="00341A5A">
      <w:pPr>
        <w:pStyle w:val="Textonotapie"/>
        <w:ind w:firstLine="709"/>
        <w:jc w:val="both"/>
        <w:rPr>
          <w:rFonts w:ascii="Arial" w:hAnsi="Arial" w:cs="Arial"/>
          <w:sz w:val="19"/>
          <w:szCs w:val="19"/>
          <w:lang w:val="es-ES"/>
        </w:rPr>
      </w:pPr>
    </w:p>
  </w:footnote>
  <w:footnote w:id="6">
    <w:p w14:paraId="588C0E9F" w14:textId="77777777" w:rsidR="00341A5A" w:rsidRPr="00294B1B" w:rsidRDefault="00341A5A" w:rsidP="00341A5A">
      <w:pPr>
        <w:pStyle w:val="Textonotapie"/>
        <w:ind w:firstLine="709"/>
        <w:jc w:val="both"/>
        <w:rPr>
          <w:rFonts w:ascii="Arial" w:hAnsi="Arial" w:cs="Arial"/>
          <w:sz w:val="19"/>
          <w:szCs w:val="19"/>
          <w:lang w:val="es-ES"/>
        </w:rPr>
      </w:pPr>
      <w:r w:rsidRPr="00294B1B">
        <w:rPr>
          <w:rStyle w:val="Refdenotaalpie"/>
          <w:rFonts w:ascii="Arial" w:eastAsiaTheme="majorEastAsia" w:hAnsi="Arial" w:cs="Arial"/>
          <w:sz w:val="19"/>
          <w:szCs w:val="19"/>
        </w:rPr>
        <w:footnoteRef/>
      </w:r>
      <w:r w:rsidRPr="00294B1B">
        <w:rPr>
          <w:rFonts w:ascii="Arial" w:hAnsi="Arial" w:cs="Arial"/>
          <w:sz w:val="19"/>
          <w:szCs w:val="19"/>
        </w:rPr>
        <w:t xml:space="preserve"> </w:t>
      </w:r>
      <w:r w:rsidRPr="00294B1B">
        <w:rPr>
          <w:rFonts w:ascii="Arial" w:hAnsi="Arial" w:cs="Arial"/>
          <w:sz w:val="19"/>
          <w:szCs w:val="19"/>
          <w:lang w:val="es-ES"/>
        </w:rPr>
        <w:t>Artículos 46 al 73.</w:t>
      </w:r>
    </w:p>
    <w:p w14:paraId="1019D058" w14:textId="77777777" w:rsidR="00341A5A" w:rsidRPr="00294B1B" w:rsidRDefault="00341A5A" w:rsidP="00341A5A">
      <w:pPr>
        <w:pStyle w:val="Textonotapie"/>
        <w:ind w:firstLine="709"/>
        <w:jc w:val="both"/>
        <w:rPr>
          <w:rFonts w:ascii="Arial" w:hAnsi="Arial" w:cs="Arial"/>
          <w:sz w:val="19"/>
          <w:szCs w:val="19"/>
          <w:lang w:val="es-ES"/>
        </w:rPr>
      </w:pPr>
    </w:p>
  </w:footnote>
  <w:footnote w:id="7">
    <w:p w14:paraId="495A66A2" w14:textId="77777777" w:rsidR="00341A5A" w:rsidRPr="00294B1B" w:rsidRDefault="00341A5A" w:rsidP="00341A5A">
      <w:pPr>
        <w:pStyle w:val="Textonotapie"/>
        <w:ind w:firstLine="709"/>
        <w:jc w:val="both"/>
        <w:rPr>
          <w:rFonts w:ascii="Arial" w:hAnsi="Arial" w:cs="Arial"/>
          <w:sz w:val="19"/>
          <w:szCs w:val="19"/>
          <w:lang w:val="es-ES"/>
        </w:rPr>
      </w:pPr>
      <w:r w:rsidRPr="00294B1B">
        <w:rPr>
          <w:rStyle w:val="Refdenotaalpie"/>
          <w:rFonts w:ascii="Arial" w:eastAsiaTheme="majorEastAsia" w:hAnsi="Arial" w:cs="Arial"/>
          <w:sz w:val="19"/>
          <w:szCs w:val="19"/>
        </w:rPr>
        <w:footnoteRef/>
      </w:r>
      <w:r w:rsidRPr="00294B1B">
        <w:rPr>
          <w:rFonts w:ascii="Arial" w:hAnsi="Arial" w:cs="Arial"/>
          <w:sz w:val="19"/>
          <w:szCs w:val="19"/>
        </w:rPr>
        <w:t xml:space="preserve"> </w:t>
      </w:r>
      <w:r w:rsidRPr="00294B1B">
        <w:rPr>
          <w:rFonts w:ascii="Arial" w:hAnsi="Arial" w:cs="Arial"/>
          <w:sz w:val="19"/>
          <w:szCs w:val="19"/>
          <w:lang w:val="es-ES"/>
        </w:rPr>
        <w:t>Artículos 74 al 83.</w:t>
      </w:r>
    </w:p>
    <w:p w14:paraId="2C202434" w14:textId="77777777" w:rsidR="00341A5A" w:rsidRPr="00294B1B" w:rsidRDefault="00341A5A" w:rsidP="00341A5A">
      <w:pPr>
        <w:pStyle w:val="Textonotapie"/>
        <w:ind w:firstLine="709"/>
        <w:jc w:val="both"/>
        <w:rPr>
          <w:rFonts w:ascii="Arial" w:hAnsi="Arial" w:cs="Arial"/>
          <w:sz w:val="19"/>
          <w:szCs w:val="19"/>
          <w:lang w:val="es-ES"/>
        </w:rPr>
      </w:pPr>
    </w:p>
  </w:footnote>
  <w:footnote w:id="8">
    <w:p w14:paraId="6819A013" w14:textId="77777777" w:rsidR="00341A5A" w:rsidRPr="00294B1B" w:rsidRDefault="00341A5A" w:rsidP="00341A5A">
      <w:pPr>
        <w:pStyle w:val="Textonotapie"/>
        <w:ind w:firstLine="708"/>
        <w:jc w:val="both"/>
        <w:rPr>
          <w:rFonts w:ascii="Arial" w:hAnsi="Arial" w:cs="Arial"/>
          <w:sz w:val="19"/>
          <w:szCs w:val="19"/>
        </w:rPr>
      </w:pPr>
      <w:r w:rsidRPr="00294B1B">
        <w:rPr>
          <w:rStyle w:val="Refdenotaalpie"/>
          <w:rFonts w:ascii="Arial" w:eastAsiaTheme="majorEastAsia" w:hAnsi="Arial" w:cs="Arial"/>
          <w:sz w:val="19"/>
          <w:szCs w:val="19"/>
        </w:rPr>
        <w:footnoteRef/>
      </w:r>
      <w:r w:rsidRPr="00294B1B">
        <w:rPr>
          <w:rFonts w:ascii="Arial" w:hAnsi="Arial" w:cs="Arial"/>
          <w:sz w:val="19"/>
          <w:szCs w:val="19"/>
        </w:rPr>
        <w:t xml:space="preserve"> Dicha norma debe armonizarse con el artículo 33.1 de la Ley de Emprendimiento, el cual dispone que «Con el fin de promover el acceso de las MIPYMES al mercado de Compras Públicas, las Entidades Estatales indistintamente de su régimen de contratación, los patrimonios autónomos constituidos por Entidades Estatales y los particulares que ejecuten recursos públicos: 1. Deberán en el Análisis de Sector identificar las MIPYMES que podrían ser potenciales proveedoras directas o indirectas, con el fin de definir reglas que promuevan y faciliten su participación en el Proceso de Contratación […]».</w:t>
      </w:r>
    </w:p>
    <w:p w14:paraId="3A1EFA28" w14:textId="77777777" w:rsidR="00341A5A" w:rsidRPr="00294B1B" w:rsidRDefault="00341A5A" w:rsidP="00341A5A">
      <w:pPr>
        <w:pStyle w:val="Textonotapie"/>
        <w:ind w:firstLine="708"/>
        <w:jc w:val="both"/>
        <w:rPr>
          <w:rFonts w:ascii="Arial" w:hAnsi="Arial" w:cs="Arial"/>
          <w:sz w:val="19"/>
          <w:szCs w:val="19"/>
        </w:rPr>
      </w:pPr>
    </w:p>
  </w:footnote>
  <w:footnote w:id="9">
    <w:p w14:paraId="516F90AB" w14:textId="6D11A439" w:rsidR="00341A5A" w:rsidRPr="00294B1B" w:rsidRDefault="00341A5A" w:rsidP="00341A5A">
      <w:pPr>
        <w:pStyle w:val="Textonotapie"/>
        <w:ind w:firstLine="709"/>
        <w:jc w:val="both"/>
        <w:rPr>
          <w:rFonts w:ascii="Arial" w:hAnsi="Arial" w:cs="Arial"/>
          <w:sz w:val="19"/>
          <w:szCs w:val="19"/>
        </w:rPr>
      </w:pPr>
      <w:r w:rsidRPr="00294B1B">
        <w:rPr>
          <w:rStyle w:val="Refdenotaalpie"/>
          <w:rFonts w:ascii="Arial" w:eastAsiaTheme="majorEastAsia" w:hAnsi="Arial" w:cs="Arial"/>
          <w:sz w:val="19"/>
          <w:szCs w:val="19"/>
        </w:rPr>
        <w:footnoteRef/>
      </w:r>
      <w:r w:rsidRPr="00294B1B">
        <w:rPr>
          <w:rFonts w:ascii="Arial" w:hAnsi="Arial" w:cs="Arial"/>
          <w:sz w:val="19"/>
          <w:szCs w:val="19"/>
        </w:rPr>
        <w:t xml:space="preserve"> Ley 2069 de 2020 «Artículo 32. Criterios Diferenciales para Emprendimientos y Empresas de mujeres en el Sistema De Compras Públicas. De acuerdo con el resultado del análisis del sector, las entidades estatales incluirán requisitos diferenciales y puntajes adicionales en los procesos de licitación pública, selección abreviada de menor cuantía y concurso de méritos, así como en los procesos competitivos que adelanten las entidades estatales que no apliquen en su gestión contractual el Estatuto General de Contratación Administrativa, como medidas de acción afirmativa, para incentivar emprendimientos y empresas de mujeres en el sistema de compras públicas, sin perjuicio de los compromisos adquiridos por Colombia en los acuerdos comerciales en vigor.</w:t>
      </w:r>
      <w:r w:rsidR="00294B1B">
        <w:rPr>
          <w:rFonts w:ascii="Arial" w:hAnsi="Arial" w:cs="Arial"/>
          <w:sz w:val="19"/>
          <w:szCs w:val="19"/>
        </w:rPr>
        <w:t xml:space="preserve"> </w:t>
      </w:r>
    </w:p>
    <w:p w14:paraId="400DDC8B" w14:textId="58D617CA" w:rsidR="00341A5A" w:rsidRPr="00294B1B" w:rsidRDefault="00341A5A" w:rsidP="00341A5A">
      <w:pPr>
        <w:pStyle w:val="Textonotapie"/>
        <w:ind w:firstLine="708"/>
        <w:jc w:val="both"/>
        <w:rPr>
          <w:rFonts w:ascii="Arial" w:hAnsi="Arial" w:cs="Arial"/>
          <w:sz w:val="19"/>
          <w:szCs w:val="19"/>
        </w:rPr>
      </w:pPr>
      <w:proofErr w:type="gramStart"/>
      <w:r w:rsidRPr="00294B1B">
        <w:rPr>
          <w:rFonts w:ascii="Arial" w:hAnsi="Arial" w:cs="Arial"/>
          <w:sz w:val="19"/>
          <w:szCs w:val="19"/>
        </w:rPr>
        <w:t>»Parágrafo</w:t>
      </w:r>
      <w:proofErr w:type="gramEnd"/>
      <w:r w:rsidRPr="00294B1B">
        <w:rPr>
          <w:rFonts w:ascii="Arial" w:hAnsi="Arial" w:cs="Arial"/>
          <w:sz w:val="19"/>
          <w:szCs w:val="19"/>
        </w:rPr>
        <w:t xml:space="preserve"> primero. La definición de emprendimientos y empresas de mujeres se reglamentará por el gobierno nacional».</w:t>
      </w:r>
      <w:r w:rsidR="00294B1B">
        <w:rPr>
          <w:rFonts w:ascii="Arial" w:hAnsi="Arial" w:cs="Arial"/>
          <w:sz w:val="19"/>
          <w:szCs w:val="19"/>
        </w:rPr>
        <w:t xml:space="preserve"> </w:t>
      </w:r>
    </w:p>
    <w:p w14:paraId="6ED293F7" w14:textId="77777777" w:rsidR="00341A5A" w:rsidRPr="00294B1B" w:rsidRDefault="00341A5A" w:rsidP="00341A5A">
      <w:pPr>
        <w:pStyle w:val="Textonotapie"/>
        <w:ind w:firstLine="708"/>
        <w:jc w:val="both"/>
        <w:rPr>
          <w:rFonts w:ascii="Arial" w:hAnsi="Arial" w:cs="Arial"/>
          <w:sz w:val="19"/>
          <w:szCs w:val="19"/>
        </w:rPr>
      </w:pPr>
    </w:p>
  </w:footnote>
  <w:footnote w:id="10">
    <w:p w14:paraId="1F8351E9" w14:textId="77777777" w:rsidR="00341A5A" w:rsidRPr="00294B1B" w:rsidRDefault="00341A5A" w:rsidP="00341A5A">
      <w:pPr>
        <w:pStyle w:val="Textonotapie"/>
        <w:ind w:firstLine="709"/>
        <w:jc w:val="both"/>
        <w:rPr>
          <w:rFonts w:ascii="Arial" w:hAnsi="Arial" w:cs="Arial"/>
          <w:sz w:val="19"/>
          <w:szCs w:val="19"/>
        </w:rPr>
      </w:pPr>
      <w:r w:rsidRPr="00294B1B">
        <w:rPr>
          <w:rStyle w:val="Refdenotaalpie"/>
          <w:rFonts w:ascii="Arial" w:eastAsiaTheme="majorEastAsia" w:hAnsi="Arial" w:cs="Arial"/>
          <w:sz w:val="19"/>
          <w:szCs w:val="19"/>
        </w:rPr>
        <w:footnoteRef/>
      </w:r>
      <w:r w:rsidRPr="00294B1B">
        <w:rPr>
          <w:rFonts w:ascii="Arial" w:hAnsi="Arial" w:cs="Arial"/>
          <w:sz w:val="19"/>
          <w:szCs w:val="19"/>
        </w:rPr>
        <w:t xml:space="preserve"> Decreto 1860 de 2021. «Artículo 1. Objeto. El presente Decreto tiene como propósito reglamentar los artículos 30, 31, 32,34 y 35 de la Ley 2069 de 2020, en relación con: el procedimiento de mínima cuantía, incluyendo disposiciones particulares que se refieren a la contratación con </w:t>
      </w:r>
      <w:proofErr w:type="spellStart"/>
      <w:r w:rsidRPr="00294B1B">
        <w:rPr>
          <w:rFonts w:ascii="Arial" w:hAnsi="Arial" w:cs="Arial"/>
          <w:sz w:val="19"/>
          <w:szCs w:val="19"/>
        </w:rPr>
        <w:t>Mipyme</w:t>
      </w:r>
      <w:proofErr w:type="spellEnd"/>
      <w:r w:rsidRPr="00294B1B">
        <w:rPr>
          <w:rFonts w:ascii="Arial" w:hAnsi="Arial" w:cs="Arial"/>
          <w:sz w:val="19"/>
          <w:szCs w:val="19"/>
        </w:rPr>
        <w:t xml:space="preserve"> y grandes almacenes; los criterios diferenciales para </w:t>
      </w:r>
      <w:proofErr w:type="spellStart"/>
      <w:r w:rsidRPr="00294B1B">
        <w:rPr>
          <w:rFonts w:ascii="Arial" w:hAnsi="Arial" w:cs="Arial"/>
          <w:sz w:val="19"/>
          <w:szCs w:val="19"/>
        </w:rPr>
        <w:t>Mipyme</w:t>
      </w:r>
      <w:proofErr w:type="spellEnd"/>
      <w:r w:rsidRPr="00294B1B">
        <w:rPr>
          <w:rFonts w:ascii="Arial" w:hAnsi="Arial" w:cs="Arial"/>
          <w:sz w:val="19"/>
          <w:szCs w:val="19"/>
        </w:rPr>
        <w:t xml:space="preserve">, y la definición y los criterios diferenciales para los emprendimientos y empresas de mujeres; las convocatorias limitadas a </w:t>
      </w:r>
      <w:proofErr w:type="spellStart"/>
      <w:r w:rsidRPr="00294B1B">
        <w:rPr>
          <w:rFonts w:ascii="Arial" w:hAnsi="Arial" w:cs="Arial"/>
          <w:sz w:val="19"/>
          <w:szCs w:val="19"/>
        </w:rPr>
        <w:t>Mipyme</w:t>
      </w:r>
      <w:proofErr w:type="spellEnd"/>
      <w:r w:rsidRPr="00294B1B">
        <w:rPr>
          <w:rFonts w:ascii="Arial" w:hAnsi="Arial" w:cs="Arial"/>
          <w:sz w:val="19"/>
          <w:szCs w:val="19"/>
        </w:rPr>
        <w:t>; el fomento a la ejecución de contratos estatales por parte de población en pobreza extrema, desplazados por la violencia, personas en proceso de reintegración o reincorporación y, sujetos de especial protección constitucional; así como la acreditación de los factores de desempate previstos en la Ley de Emprendimiento».</w:t>
      </w:r>
    </w:p>
    <w:p w14:paraId="0BEA0FC5" w14:textId="77777777" w:rsidR="00341A5A" w:rsidRPr="00294B1B" w:rsidRDefault="00341A5A" w:rsidP="00341A5A">
      <w:pPr>
        <w:pStyle w:val="Textonotapie"/>
        <w:ind w:firstLine="709"/>
        <w:jc w:val="both"/>
        <w:rPr>
          <w:rFonts w:ascii="Arial" w:hAnsi="Arial" w:cs="Arial"/>
          <w:sz w:val="19"/>
          <w:szCs w:val="19"/>
        </w:rPr>
      </w:pPr>
    </w:p>
  </w:footnote>
  <w:footnote w:id="11">
    <w:p w14:paraId="2D6BADEB" w14:textId="77777777" w:rsidR="00341A5A" w:rsidRPr="00294B1B" w:rsidRDefault="00341A5A" w:rsidP="00341A5A">
      <w:pPr>
        <w:pStyle w:val="NormalWeb"/>
        <w:shd w:val="clear" w:color="auto" w:fill="FFFFFF"/>
        <w:ind w:firstLine="708"/>
        <w:jc w:val="both"/>
        <w:rPr>
          <w:rFonts w:ascii="Arial" w:hAnsi="Arial" w:cs="Arial"/>
          <w:sz w:val="19"/>
          <w:szCs w:val="19"/>
        </w:rPr>
      </w:pPr>
      <w:r w:rsidRPr="00294B1B">
        <w:rPr>
          <w:rStyle w:val="Refdenotaalpie"/>
          <w:rFonts w:ascii="Arial" w:eastAsiaTheme="majorEastAsia" w:hAnsi="Arial" w:cs="Arial"/>
          <w:sz w:val="19"/>
          <w:szCs w:val="19"/>
        </w:rPr>
        <w:footnoteRef/>
      </w:r>
      <w:r w:rsidRPr="00294B1B">
        <w:rPr>
          <w:rFonts w:ascii="Arial" w:hAnsi="Arial" w:cs="Arial"/>
          <w:sz w:val="19"/>
          <w:szCs w:val="19"/>
        </w:rPr>
        <w:t xml:space="preserve"> «Artículo 8. Vigencia y derogatorias</w:t>
      </w:r>
      <w:r w:rsidRPr="00294B1B">
        <w:rPr>
          <w:rFonts w:ascii="Arial" w:hAnsi="Arial" w:cs="Arial"/>
          <w:b/>
          <w:bCs/>
          <w:sz w:val="19"/>
          <w:szCs w:val="19"/>
        </w:rPr>
        <w:t>.</w:t>
      </w:r>
      <w:r w:rsidRPr="00294B1B">
        <w:rPr>
          <w:rFonts w:ascii="Arial" w:hAnsi="Arial" w:cs="Arial"/>
          <w:sz w:val="19"/>
          <w:szCs w:val="19"/>
        </w:rPr>
        <w:t> Las disposiciones contenidas en el presente Decreto se aplicarán a los procedimientos de selección cuya invitación, aviso de convocatoria o documento equivalente se publique a los tres (3) meses contados a partir de su expedición. Este Decreto modifica la Subsección </w:t>
      </w:r>
      <w:hyperlink r:id="rId2" w:anchor="2.2.1.2.1.5.1" w:history="1">
        <w:r w:rsidRPr="00294B1B">
          <w:rPr>
            <w:rFonts w:ascii="Arial" w:hAnsi="Arial" w:cs="Arial"/>
            <w:sz w:val="19"/>
            <w:szCs w:val="19"/>
          </w:rPr>
          <w:t>5 </w:t>
        </w:r>
      </w:hyperlink>
      <w:r w:rsidRPr="00294B1B">
        <w:rPr>
          <w:rFonts w:ascii="Arial" w:hAnsi="Arial" w:cs="Arial"/>
          <w:sz w:val="19"/>
          <w:szCs w:val="19"/>
        </w:rPr>
        <w:t>de la Sección 1 del Capítulo 2 del Título 1 de la Parte 2 del Libro 2, así como los artículos </w:t>
      </w:r>
      <w:hyperlink r:id="rId3" w:anchor="2.2.1.2.4.2.2" w:history="1">
        <w:r w:rsidRPr="00294B1B">
          <w:rPr>
            <w:rFonts w:ascii="Arial" w:hAnsi="Arial" w:cs="Arial"/>
            <w:sz w:val="19"/>
            <w:szCs w:val="19"/>
          </w:rPr>
          <w:t>2.2.1.2.4.2.2</w:t>
        </w:r>
      </w:hyperlink>
      <w:r w:rsidRPr="00294B1B">
        <w:rPr>
          <w:rFonts w:ascii="Arial" w:hAnsi="Arial" w:cs="Arial"/>
          <w:sz w:val="19"/>
          <w:szCs w:val="19"/>
        </w:rPr>
        <w:t>., </w:t>
      </w:r>
      <w:hyperlink r:id="rId4" w:anchor="2.2.1.2.4.2.3" w:history="1">
        <w:r w:rsidRPr="00294B1B">
          <w:rPr>
            <w:rFonts w:ascii="Arial" w:hAnsi="Arial" w:cs="Arial"/>
            <w:sz w:val="19"/>
            <w:szCs w:val="19"/>
          </w:rPr>
          <w:t>2.2.1.2.4.2.3</w:t>
        </w:r>
      </w:hyperlink>
      <w:r w:rsidRPr="00294B1B">
        <w:rPr>
          <w:rFonts w:ascii="Arial" w:hAnsi="Arial" w:cs="Arial"/>
          <w:sz w:val="19"/>
          <w:szCs w:val="19"/>
        </w:rPr>
        <w:t>., </w:t>
      </w:r>
      <w:hyperlink r:id="rId5" w:anchor="2.2.1.2.4.2.4" w:history="1">
        <w:r w:rsidRPr="00294B1B">
          <w:rPr>
            <w:rFonts w:ascii="Arial" w:hAnsi="Arial" w:cs="Arial"/>
            <w:sz w:val="19"/>
            <w:szCs w:val="19"/>
          </w:rPr>
          <w:t>2.2.1.2.4.2.4</w:t>
        </w:r>
      </w:hyperlink>
      <w:r w:rsidRPr="00294B1B">
        <w:rPr>
          <w:rFonts w:ascii="Arial" w:hAnsi="Arial" w:cs="Arial"/>
          <w:sz w:val="19"/>
          <w:szCs w:val="19"/>
        </w:rPr>
        <w:t>., </w:t>
      </w:r>
      <w:hyperlink r:id="rId6" w:anchor="2.2.1.2.1.2.2" w:history="1">
        <w:r w:rsidRPr="00294B1B">
          <w:rPr>
            <w:rFonts w:ascii="Arial" w:hAnsi="Arial" w:cs="Arial"/>
            <w:sz w:val="19"/>
            <w:szCs w:val="19"/>
          </w:rPr>
          <w:t>2.2.1.2.1.2.2</w:t>
        </w:r>
      </w:hyperlink>
      <w:r w:rsidRPr="00294B1B">
        <w:rPr>
          <w:rFonts w:ascii="Arial" w:hAnsi="Arial" w:cs="Arial"/>
          <w:sz w:val="19"/>
          <w:szCs w:val="19"/>
        </w:rPr>
        <w:t>. y </w:t>
      </w:r>
      <w:hyperlink r:id="rId7" w:anchor="2.2.1.2.4.2.8" w:history="1">
        <w:r w:rsidRPr="00294B1B">
          <w:rPr>
            <w:rFonts w:ascii="Arial" w:hAnsi="Arial" w:cs="Arial"/>
            <w:sz w:val="19"/>
            <w:szCs w:val="19"/>
          </w:rPr>
          <w:t>2.2.1.2.4.2.8</w:t>
        </w:r>
      </w:hyperlink>
      <w:r w:rsidRPr="00294B1B">
        <w:rPr>
          <w:rFonts w:ascii="Arial" w:hAnsi="Arial" w:cs="Arial"/>
          <w:sz w:val="19"/>
          <w:szCs w:val="19"/>
        </w:rPr>
        <w:t>.; adiciona los artículos </w:t>
      </w:r>
      <w:hyperlink r:id="rId8" w:anchor="2.2.1.2.4.2.14" w:history="1">
        <w:r w:rsidRPr="00294B1B">
          <w:rPr>
            <w:rFonts w:ascii="Arial" w:hAnsi="Arial" w:cs="Arial"/>
            <w:sz w:val="19"/>
            <w:szCs w:val="19"/>
          </w:rPr>
          <w:t>2.2.1.2.4.2.14</w:t>
        </w:r>
      </w:hyperlink>
      <w:r w:rsidRPr="00294B1B">
        <w:rPr>
          <w:rFonts w:ascii="Arial" w:hAnsi="Arial" w:cs="Arial"/>
          <w:sz w:val="19"/>
          <w:szCs w:val="19"/>
        </w:rPr>
        <w:t>., </w:t>
      </w:r>
      <w:hyperlink r:id="rId9" w:anchor="2.2.1.2.4.2.15" w:history="1">
        <w:r w:rsidRPr="00294B1B">
          <w:rPr>
            <w:rFonts w:ascii="Arial" w:hAnsi="Arial" w:cs="Arial"/>
            <w:sz w:val="19"/>
            <w:szCs w:val="19"/>
          </w:rPr>
          <w:t>2.2.1.2.4.2.15</w:t>
        </w:r>
      </w:hyperlink>
      <w:r w:rsidRPr="00294B1B">
        <w:rPr>
          <w:rFonts w:ascii="Arial" w:hAnsi="Arial" w:cs="Arial"/>
          <w:sz w:val="19"/>
          <w:szCs w:val="19"/>
        </w:rPr>
        <w:t>., </w:t>
      </w:r>
      <w:hyperlink r:id="rId10" w:anchor="2.2.1.2.4.2.16" w:history="1">
        <w:r w:rsidRPr="00294B1B">
          <w:rPr>
            <w:rFonts w:ascii="Arial" w:hAnsi="Arial" w:cs="Arial"/>
            <w:sz w:val="19"/>
            <w:szCs w:val="19"/>
          </w:rPr>
          <w:t>2.2.1.2.4.2.16</w:t>
        </w:r>
      </w:hyperlink>
      <w:r w:rsidRPr="00294B1B">
        <w:rPr>
          <w:rFonts w:ascii="Arial" w:hAnsi="Arial" w:cs="Arial"/>
          <w:sz w:val="19"/>
          <w:szCs w:val="19"/>
        </w:rPr>
        <w:t>., </w:t>
      </w:r>
      <w:hyperlink r:id="rId11" w:anchor="2.2.1.2.4.2.17" w:history="1">
        <w:r w:rsidRPr="00294B1B">
          <w:rPr>
            <w:rFonts w:ascii="Arial" w:hAnsi="Arial" w:cs="Arial"/>
            <w:sz w:val="19"/>
            <w:szCs w:val="19"/>
          </w:rPr>
          <w:t>2.2.1.2.4.2.17</w:t>
        </w:r>
      </w:hyperlink>
      <w:r w:rsidRPr="00294B1B">
        <w:rPr>
          <w:rFonts w:ascii="Arial" w:hAnsi="Arial" w:cs="Arial"/>
          <w:sz w:val="19"/>
          <w:szCs w:val="19"/>
        </w:rPr>
        <w:t>.y </w:t>
      </w:r>
      <w:hyperlink r:id="rId12" w:anchor="2.2.1.2.4.2.18" w:history="1">
        <w:r w:rsidRPr="00294B1B">
          <w:rPr>
            <w:rFonts w:ascii="Arial" w:hAnsi="Arial" w:cs="Arial"/>
            <w:sz w:val="19"/>
            <w:szCs w:val="19"/>
          </w:rPr>
          <w:t>2.2.1.2.4.2.18</w:t>
        </w:r>
      </w:hyperlink>
      <w:r w:rsidRPr="00294B1B">
        <w:rPr>
          <w:rFonts w:ascii="Arial" w:hAnsi="Arial" w:cs="Arial"/>
          <w:sz w:val="19"/>
          <w:szCs w:val="19"/>
        </w:rPr>
        <w:t>.;adiciona un </w:t>
      </w:r>
      <w:hyperlink r:id="rId13" w:anchor="2.2.1.2.3.1.9.p" w:history="1">
        <w:r w:rsidRPr="00294B1B">
          <w:rPr>
            <w:rFonts w:ascii="Arial" w:hAnsi="Arial" w:cs="Arial"/>
            <w:sz w:val="19"/>
            <w:szCs w:val="19"/>
          </w:rPr>
          <w:t>parágrafo </w:t>
        </w:r>
      </w:hyperlink>
      <w:r w:rsidRPr="00294B1B">
        <w:rPr>
          <w:rFonts w:ascii="Arial" w:hAnsi="Arial" w:cs="Arial"/>
          <w:sz w:val="19"/>
          <w:szCs w:val="19"/>
        </w:rPr>
        <w:t>al artículo </w:t>
      </w:r>
      <w:hyperlink r:id="rId14" w:anchor="2.2.1.2.3.1.9" w:history="1">
        <w:r w:rsidRPr="00294B1B">
          <w:rPr>
            <w:rFonts w:ascii="Arial" w:hAnsi="Arial" w:cs="Arial"/>
            <w:sz w:val="19"/>
            <w:szCs w:val="19"/>
          </w:rPr>
          <w:t>2.2.1.2.3.1.9</w:t>
        </w:r>
      </w:hyperlink>
      <w:r w:rsidRPr="00294B1B">
        <w:rPr>
          <w:rFonts w:ascii="Arial" w:hAnsi="Arial" w:cs="Arial"/>
          <w:sz w:val="19"/>
          <w:szCs w:val="19"/>
        </w:rPr>
        <w:t>; y deroga el artículo </w:t>
      </w:r>
      <w:hyperlink r:id="rId15" w:anchor="2.2.1.1.2.2.9" w:history="1">
        <w:r w:rsidRPr="00294B1B">
          <w:rPr>
            <w:rFonts w:ascii="Arial" w:hAnsi="Arial" w:cs="Arial"/>
            <w:sz w:val="19"/>
            <w:szCs w:val="19"/>
          </w:rPr>
          <w:t>2.2.1.1.2.2.9</w:t>
        </w:r>
      </w:hyperlink>
      <w:r w:rsidRPr="00294B1B">
        <w:rPr>
          <w:rFonts w:ascii="Arial" w:hAnsi="Arial" w:cs="Arial"/>
          <w:sz w:val="19"/>
          <w:szCs w:val="19"/>
        </w:rPr>
        <w:t>. del Decreto 1082 de 2015, Único Reglamentario del Sector Administrativo de Planeación Nacional.</w:t>
      </w:r>
    </w:p>
    <w:p w14:paraId="16FBD070" w14:textId="77777777" w:rsidR="00341A5A" w:rsidRPr="00294B1B" w:rsidRDefault="00341A5A" w:rsidP="00341A5A">
      <w:pPr>
        <w:pStyle w:val="NormalWeb"/>
        <w:shd w:val="clear" w:color="auto" w:fill="FFFFFF"/>
        <w:ind w:firstLine="708"/>
        <w:jc w:val="both"/>
        <w:rPr>
          <w:rFonts w:ascii="Arial" w:hAnsi="Arial" w:cs="Arial"/>
          <w:sz w:val="19"/>
          <w:szCs w:val="19"/>
        </w:rPr>
      </w:pPr>
      <w:r w:rsidRPr="00294B1B">
        <w:rPr>
          <w:rFonts w:ascii="Arial" w:hAnsi="Arial" w:cs="Arial"/>
          <w:sz w:val="19"/>
          <w:szCs w:val="19"/>
        </w:rPr>
        <w:t>«Parágrafo. Los Procesos de Contratación que se rijan por los Documento Tipo continuarán aplicando estos instrumentos y las normas vigentes anteriores a la expedición de este Decreto. Por tanto, estos procedimientos de selección se realizarán conforme la regulación actual contenida en los Documentos Tipo hasta que la Agencia Nacional de Contratación Pública - Colombia Compra Eficiente expida las modificaciones a que haya lugar, conforme con las disposiciones de esta reglamentación.</w:t>
      </w:r>
    </w:p>
    <w:p w14:paraId="557817C7" w14:textId="77777777" w:rsidR="00341A5A" w:rsidRPr="00294B1B" w:rsidRDefault="00341A5A" w:rsidP="00341A5A">
      <w:pPr>
        <w:pStyle w:val="NormalWeb"/>
        <w:shd w:val="clear" w:color="auto" w:fill="FFFFFF"/>
        <w:ind w:firstLine="708"/>
        <w:jc w:val="both"/>
        <w:rPr>
          <w:rFonts w:ascii="Arial" w:hAnsi="Arial" w:cs="Arial"/>
          <w:sz w:val="19"/>
          <w:szCs w:val="19"/>
        </w:rPr>
      </w:pPr>
      <w:r w:rsidRPr="00294B1B">
        <w:rPr>
          <w:rFonts w:ascii="Arial" w:hAnsi="Arial" w:cs="Arial"/>
          <w:sz w:val="19"/>
          <w:szCs w:val="19"/>
        </w:rPr>
        <w:t> «La Agencia tendrá un plazo máximo de seis (6) meses contados a partir de la expedición de este Decreto para adecuar los Documentos Tipo a las disposiciones previstas en este reglamento. Sin perjuicio de lo anterior, el artículo 5 del presente Decreto regirá en los procesos sometidos a los Documentos Tipo en las condiciones establecidas en este artículo».</w:t>
      </w:r>
    </w:p>
    <w:p w14:paraId="7B3504E1" w14:textId="77777777" w:rsidR="00341A5A" w:rsidRPr="00294B1B" w:rsidRDefault="00341A5A" w:rsidP="00341A5A">
      <w:pPr>
        <w:pStyle w:val="Textonotapie"/>
        <w:jc w:val="both"/>
        <w:rPr>
          <w:rFonts w:ascii="Arial" w:hAnsi="Arial" w:cs="Arial"/>
          <w:sz w:val="19"/>
          <w:szCs w:val="19"/>
          <w:lang w:val="es-CO"/>
        </w:rPr>
      </w:pPr>
    </w:p>
  </w:footnote>
  <w:footnote w:id="12">
    <w:p w14:paraId="3C0938E7" w14:textId="77777777" w:rsidR="00341A5A" w:rsidRPr="00294B1B" w:rsidRDefault="00341A5A" w:rsidP="00341A5A">
      <w:pPr>
        <w:pStyle w:val="NormalWeb"/>
        <w:shd w:val="clear" w:color="auto" w:fill="FFFFFF"/>
        <w:ind w:firstLine="709"/>
        <w:jc w:val="both"/>
        <w:rPr>
          <w:rFonts w:ascii="Arial" w:hAnsi="Arial" w:cs="Arial"/>
          <w:sz w:val="19"/>
          <w:szCs w:val="19"/>
        </w:rPr>
      </w:pPr>
      <w:r w:rsidRPr="00294B1B">
        <w:rPr>
          <w:rStyle w:val="Refdenotaalpie"/>
          <w:rFonts w:ascii="Arial" w:eastAsiaTheme="majorEastAsia" w:hAnsi="Arial" w:cs="Arial"/>
          <w:sz w:val="19"/>
          <w:szCs w:val="19"/>
        </w:rPr>
        <w:footnoteRef/>
      </w:r>
      <w:r w:rsidRPr="00294B1B">
        <w:rPr>
          <w:rFonts w:ascii="Arial" w:hAnsi="Arial" w:cs="Arial"/>
          <w:sz w:val="19"/>
          <w:szCs w:val="19"/>
        </w:rPr>
        <w:t xml:space="preserve"> Decreto 1860 de 2021. «Artículo 8. Vigencia y derogatorias. Las disposiciones contenidas en el presente Decreto se aplicarán a los procedimientos de selección cuya invitación, aviso de convocatoria o documento equivalente se publique a los tres (3) meses contados a partir de su expedición. Este Decreto modifica la Subsección </w:t>
      </w:r>
      <w:hyperlink r:id="rId16" w:anchor="2.2.1.2.1.5.1" w:history="1">
        <w:r w:rsidRPr="00294B1B">
          <w:rPr>
            <w:rStyle w:val="Hipervnculo"/>
            <w:rFonts w:ascii="Arial" w:hAnsi="Arial" w:cs="Arial"/>
            <w:sz w:val="19"/>
            <w:szCs w:val="19"/>
          </w:rPr>
          <w:t>5 </w:t>
        </w:r>
      </w:hyperlink>
      <w:r w:rsidRPr="00294B1B">
        <w:rPr>
          <w:rFonts w:ascii="Arial" w:hAnsi="Arial" w:cs="Arial"/>
          <w:sz w:val="19"/>
          <w:szCs w:val="19"/>
        </w:rPr>
        <w:t>de la Sección 1 del Capítulo 2 del Título 1 de la Parte 2 del Libro 2, así como los artículos </w:t>
      </w:r>
      <w:hyperlink r:id="rId17" w:anchor="2.2.1.2.4.2.2" w:history="1">
        <w:r w:rsidRPr="00294B1B">
          <w:rPr>
            <w:rStyle w:val="Hipervnculo"/>
            <w:rFonts w:ascii="Arial" w:hAnsi="Arial" w:cs="Arial"/>
            <w:sz w:val="19"/>
            <w:szCs w:val="19"/>
          </w:rPr>
          <w:t>2.2.1.2.4.2.2</w:t>
        </w:r>
      </w:hyperlink>
      <w:r w:rsidRPr="00294B1B">
        <w:rPr>
          <w:rFonts w:ascii="Arial" w:hAnsi="Arial" w:cs="Arial"/>
          <w:sz w:val="19"/>
          <w:szCs w:val="19"/>
        </w:rPr>
        <w:t>., </w:t>
      </w:r>
      <w:hyperlink r:id="rId18" w:anchor="2.2.1.2.4.2.3" w:history="1">
        <w:r w:rsidRPr="00294B1B">
          <w:rPr>
            <w:rStyle w:val="Hipervnculo"/>
            <w:rFonts w:ascii="Arial" w:hAnsi="Arial" w:cs="Arial"/>
            <w:sz w:val="19"/>
            <w:szCs w:val="19"/>
          </w:rPr>
          <w:t>2.2.1.2.4.2.3</w:t>
        </w:r>
      </w:hyperlink>
      <w:r w:rsidRPr="00294B1B">
        <w:rPr>
          <w:rFonts w:ascii="Arial" w:hAnsi="Arial" w:cs="Arial"/>
          <w:sz w:val="19"/>
          <w:szCs w:val="19"/>
        </w:rPr>
        <w:t>., </w:t>
      </w:r>
      <w:hyperlink r:id="rId19" w:anchor="2.2.1.2.4.2.4" w:history="1">
        <w:r w:rsidRPr="00294B1B">
          <w:rPr>
            <w:rStyle w:val="Hipervnculo"/>
            <w:rFonts w:ascii="Arial" w:hAnsi="Arial" w:cs="Arial"/>
            <w:sz w:val="19"/>
            <w:szCs w:val="19"/>
          </w:rPr>
          <w:t>2.2.1.2.4.2.4</w:t>
        </w:r>
      </w:hyperlink>
      <w:r w:rsidRPr="00294B1B">
        <w:rPr>
          <w:rFonts w:ascii="Arial" w:hAnsi="Arial" w:cs="Arial"/>
          <w:sz w:val="19"/>
          <w:szCs w:val="19"/>
        </w:rPr>
        <w:t>., </w:t>
      </w:r>
      <w:hyperlink r:id="rId20" w:anchor="2.2.1.2.1.2.2" w:history="1">
        <w:r w:rsidRPr="00294B1B">
          <w:rPr>
            <w:rStyle w:val="Hipervnculo"/>
            <w:rFonts w:ascii="Arial" w:hAnsi="Arial" w:cs="Arial"/>
            <w:sz w:val="19"/>
            <w:szCs w:val="19"/>
          </w:rPr>
          <w:t>2.2.1.2.1.2.2</w:t>
        </w:r>
      </w:hyperlink>
      <w:r w:rsidRPr="00294B1B">
        <w:rPr>
          <w:rFonts w:ascii="Arial" w:hAnsi="Arial" w:cs="Arial"/>
          <w:sz w:val="19"/>
          <w:szCs w:val="19"/>
        </w:rPr>
        <w:t xml:space="preserve"> y </w:t>
      </w:r>
      <w:hyperlink r:id="rId21" w:anchor="2.2.1.2.4.2.8" w:history="1">
        <w:r w:rsidRPr="00294B1B">
          <w:rPr>
            <w:rStyle w:val="Hipervnculo"/>
            <w:rFonts w:ascii="Arial" w:hAnsi="Arial" w:cs="Arial"/>
            <w:sz w:val="19"/>
            <w:szCs w:val="19"/>
          </w:rPr>
          <w:t>2.2.1.2.4.2.8</w:t>
        </w:r>
      </w:hyperlink>
      <w:r w:rsidRPr="00294B1B">
        <w:rPr>
          <w:rFonts w:ascii="Arial" w:hAnsi="Arial" w:cs="Arial"/>
          <w:sz w:val="19"/>
          <w:szCs w:val="19"/>
        </w:rPr>
        <w:t>.; adiciona los artículos </w:t>
      </w:r>
      <w:hyperlink r:id="rId22" w:anchor="2.2.1.2.4.2.14" w:history="1">
        <w:r w:rsidRPr="00294B1B">
          <w:rPr>
            <w:rStyle w:val="Hipervnculo"/>
            <w:rFonts w:ascii="Arial" w:hAnsi="Arial" w:cs="Arial"/>
            <w:sz w:val="19"/>
            <w:szCs w:val="19"/>
          </w:rPr>
          <w:t>2.2.1.2.4.2.14</w:t>
        </w:r>
      </w:hyperlink>
      <w:r w:rsidRPr="00294B1B">
        <w:rPr>
          <w:rFonts w:ascii="Arial" w:hAnsi="Arial" w:cs="Arial"/>
          <w:sz w:val="19"/>
          <w:szCs w:val="19"/>
        </w:rPr>
        <w:t>., </w:t>
      </w:r>
      <w:hyperlink r:id="rId23" w:anchor="2.2.1.2.4.2.15" w:history="1">
        <w:r w:rsidRPr="00294B1B">
          <w:rPr>
            <w:rStyle w:val="Hipervnculo"/>
            <w:rFonts w:ascii="Arial" w:hAnsi="Arial" w:cs="Arial"/>
            <w:sz w:val="19"/>
            <w:szCs w:val="19"/>
          </w:rPr>
          <w:t>2.2.1.2.4.2.15</w:t>
        </w:r>
      </w:hyperlink>
      <w:r w:rsidRPr="00294B1B">
        <w:rPr>
          <w:rFonts w:ascii="Arial" w:hAnsi="Arial" w:cs="Arial"/>
          <w:sz w:val="19"/>
          <w:szCs w:val="19"/>
        </w:rPr>
        <w:t>., </w:t>
      </w:r>
      <w:hyperlink r:id="rId24" w:anchor="2.2.1.2.4.2.16" w:history="1">
        <w:r w:rsidRPr="00294B1B">
          <w:rPr>
            <w:rStyle w:val="Hipervnculo"/>
            <w:rFonts w:ascii="Arial" w:hAnsi="Arial" w:cs="Arial"/>
            <w:sz w:val="19"/>
            <w:szCs w:val="19"/>
          </w:rPr>
          <w:t>2.2.1.2.4.2.16</w:t>
        </w:r>
      </w:hyperlink>
      <w:r w:rsidRPr="00294B1B">
        <w:rPr>
          <w:rFonts w:ascii="Arial" w:hAnsi="Arial" w:cs="Arial"/>
          <w:sz w:val="19"/>
          <w:szCs w:val="19"/>
        </w:rPr>
        <w:t>., </w:t>
      </w:r>
      <w:hyperlink r:id="rId25" w:anchor="2.2.1.2.4.2.17" w:history="1">
        <w:r w:rsidRPr="00294B1B">
          <w:rPr>
            <w:rStyle w:val="Hipervnculo"/>
            <w:rFonts w:ascii="Arial" w:hAnsi="Arial" w:cs="Arial"/>
            <w:sz w:val="19"/>
            <w:szCs w:val="19"/>
          </w:rPr>
          <w:t>2.2.1.2.4.2.17</w:t>
        </w:r>
      </w:hyperlink>
      <w:r w:rsidRPr="00294B1B">
        <w:rPr>
          <w:rFonts w:ascii="Arial" w:hAnsi="Arial" w:cs="Arial"/>
          <w:sz w:val="19"/>
          <w:szCs w:val="19"/>
        </w:rPr>
        <w:t>. y </w:t>
      </w:r>
      <w:hyperlink r:id="rId26" w:anchor="2.2.1.2.4.2.18" w:history="1">
        <w:r w:rsidRPr="00294B1B">
          <w:rPr>
            <w:rStyle w:val="Hipervnculo"/>
            <w:rFonts w:ascii="Arial" w:hAnsi="Arial" w:cs="Arial"/>
            <w:sz w:val="19"/>
            <w:szCs w:val="19"/>
          </w:rPr>
          <w:t>2.2.1.2.4.2.18</w:t>
        </w:r>
      </w:hyperlink>
      <w:r w:rsidRPr="00294B1B">
        <w:rPr>
          <w:rFonts w:ascii="Arial" w:hAnsi="Arial" w:cs="Arial"/>
          <w:sz w:val="19"/>
          <w:szCs w:val="19"/>
        </w:rPr>
        <w:t>.; adiciona un </w:t>
      </w:r>
      <w:hyperlink r:id="rId27" w:anchor="2.2.1.2.3.1.9.p" w:history="1">
        <w:r w:rsidRPr="00294B1B">
          <w:rPr>
            <w:rStyle w:val="Hipervnculo"/>
            <w:rFonts w:ascii="Arial" w:hAnsi="Arial" w:cs="Arial"/>
            <w:sz w:val="19"/>
            <w:szCs w:val="19"/>
          </w:rPr>
          <w:t>parágrafo </w:t>
        </w:r>
      </w:hyperlink>
      <w:r w:rsidRPr="00294B1B">
        <w:rPr>
          <w:rFonts w:ascii="Arial" w:hAnsi="Arial" w:cs="Arial"/>
          <w:sz w:val="19"/>
          <w:szCs w:val="19"/>
        </w:rPr>
        <w:t>al artículo </w:t>
      </w:r>
      <w:hyperlink r:id="rId28" w:anchor="2.2.1.2.3.1.9" w:history="1">
        <w:r w:rsidRPr="00294B1B">
          <w:rPr>
            <w:rStyle w:val="Hipervnculo"/>
            <w:rFonts w:ascii="Arial" w:hAnsi="Arial" w:cs="Arial"/>
            <w:sz w:val="19"/>
            <w:szCs w:val="19"/>
          </w:rPr>
          <w:t>2.2.1.2.3.1.9</w:t>
        </w:r>
      </w:hyperlink>
      <w:r w:rsidRPr="00294B1B">
        <w:rPr>
          <w:rFonts w:ascii="Arial" w:hAnsi="Arial" w:cs="Arial"/>
          <w:sz w:val="19"/>
          <w:szCs w:val="19"/>
        </w:rPr>
        <w:t>; y deroga el artículo </w:t>
      </w:r>
      <w:hyperlink r:id="rId29" w:anchor="2.2.1.1.2.2.9" w:history="1">
        <w:r w:rsidRPr="00294B1B">
          <w:rPr>
            <w:rStyle w:val="Hipervnculo"/>
            <w:rFonts w:ascii="Arial" w:hAnsi="Arial" w:cs="Arial"/>
            <w:sz w:val="19"/>
            <w:szCs w:val="19"/>
          </w:rPr>
          <w:t>2.2.1.1.2.2.9</w:t>
        </w:r>
      </w:hyperlink>
      <w:r w:rsidRPr="00294B1B">
        <w:rPr>
          <w:rFonts w:ascii="Arial" w:hAnsi="Arial" w:cs="Arial"/>
          <w:sz w:val="19"/>
          <w:szCs w:val="19"/>
        </w:rPr>
        <w:t>. del Decreto 1082 de 2015, Único Reglamentario del Sector Administrativo de Planeación Nacional.</w:t>
      </w:r>
    </w:p>
    <w:p w14:paraId="48D8D7D9" w14:textId="77777777" w:rsidR="00341A5A" w:rsidRPr="00294B1B" w:rsidRDefault="00341A5A" w:rsidP="00341A5A">
      <w:pPr>
        <w:pStyle w:val="NormalWeb"/>
        <w:shd w:val="clear" w:color="auto" w:fill="FFFFFF"/>
        <w:jc w:val="both"/>
        <w:rPr>
          <w:rFonts w:ascii="Arial" w:hAnsi="Arial" w:cs="Arial"/>
          <w:sz w:val="19"/>
          <w:szCs w:val="19"/>
        </w:rPr>
      </w:pPr>
      <w:r w:rsidRPr="00294B1B">
        <w:rPr>
          <w:rFonts w:ascii="Arial" w:hAnsi="Arial" w:cs="Arial"/>
          <w:b/>
          <w:bCs/>
          <w:sz w:val="19"/>
          <w:szCs w:val="19"/>
        </w:rPr>
        <w:t> </w:t>
      </w:r>
      <w:r w:rsidRPr="00294B1B">
        <w:rPr>
          <w:rFonts w:ascii="Arial" w:hAnsi="Arial" w:cs="Arial"/>
          <w:b/>
          <w:bCs/>
          <w:sz w:val="19"/>
          <w:szCs w:val="19"/>
        </w:rPr>
        <w:tab/>
      </w:r>
      <w:proofErr w:type="gramStart"/>
      <w:r w:rsidRPr="00294B1B">
        <w:rPr>
          <w:rFonts w:ascii="Arial" w:hAnsi="Arial" w:cs="Arial"/>
          <w:b/>
          <w:bCs/>
          <w:sz w:val="19"/>
          <w:szCs w:val="19"/>
        </w:rPr>
        <w:t>»</w:t>
      </w:r>
      <w:r w:rsidRPr="00294B1B">
        <w:rPr>
          <w:rFonts w:ascii="Arial" w:hAnsi="Arial" w:cs="Arial"/>
          <w:sz w:val="19"/>
          <w:szCs w:val="19"/>
        </w:rPr>
        <w:t>Parágrafo</w:t>
      </w:r>
      <w:proofErr w:type="gramEnd"/>
      <w:r w:rsidRPr="00294B1B">
        <w:rPr>
          <w:rFonts w:ascii="Arial" w:hAnsi="Arial" w:cs="Arial"/>
          <w:sz w:val="19"/>
          <w:szCs w:val="19"/>
        </w:rPr>
        <w:t>. Los Procesos de Contratación que se rijan por los Documento Tipo continuarán aplicando estos instrumentos y las normas vigentes anteriores a la expedición de este Decreto. Por tanto, estos procedimientos de selección se realizarán conforme la regulación actual contenida en los Documentos Tipo hasta que la Agencia Nacional de Contratación Pública - Colombia Compra Eficiente expida las modificaciones a que haya lugar, conforme con las disposiciones de esta reglamentación.</w:t>
      </w:r>
    </w:p>
    <w:p w14:paraId="41DD892E" w14:textId="77777777" w:rsidR="00341A5A" w:rsidRPr="00294B1B" w:rsidRDefault="00341A5A" w:rsidP="00341A5A">
      <w:pPr>
        <w:pStyle w:val="NormalWeb"/>
        <w:shd w:val="clear" w:color="auto" w:fill="FFFFFF"/>
        <w:jc w:val="both"/>
        <w:rPr>
          <w:rFonts w:ascii="Arial" w:hAnsi="Arial" w:cs="Arial"/>
          <w:sz w:val="19"/>
          <w:szCs w:val="19"/>
        </w:rPr>
      </w:pPr>
      <w:r w:rsidRPr="00294B1B">
        <w:rPr>
          <w:rFonts w:ascii="Arial" w:hAnsi="Arial" w:cs="Arial"/>
          <w:sz w:val="19"/>
          <w:szCs w:val="19"/>
        </w:rPr>
        <w:t> </w:t>
      </w:r>
      <w:r w:rsidRPr="00294B1B">
        <w:rPr>
          <w:rFonts w:ascii="Arial" w:hAnsi="Arial" w:cs="Arial"/>
          <w:sz w:val="19"/>
          <w:szCs w:val="19"/>
        </w:rPr>
        <w:tab/>
      </w:r>
      <w:proofErr w:type="gramStart"/>
      <w:r w:rsidRPr="00294B1B">
        <w:rPr>
          <w:rFonts w:ascii="Arial" w:hAnsi="Arial" w:cs="Arial"/>
          <w:sz w:val="19"/>
          <w:szCs w:val="19"/>
        </w:rPr>
        <w:t>»La</w:t>
      </w:r>
      <w:proofErr w:type="gramEnd"/>
      <w:r w:rsidRPr="00294B1B">
        <w:rPr>
          <w:rFonts w:ascii="Arial" w:hAnsi="Arial" w:cs="Arial"/>
          <w:sz w:val="19"/>
          <w:szCs w:val="19"/>
        </w:rPr>
        <w:t xml:space="preserve"> Agencia tendrá un plazo máximo de seis (6) meses contados a partir de la expedición de este Decreto para adecuar los Documentos Tipo a las disposiciones previstas en este reglamento. Sin perjuicio de lo anterior, el artículo 5 del presente Decreto regirá en los procesos sometidos a los Documentos Tipo en las condiciones establecidas en este artículo».</w:t>
      </w:r>
    </w:p>
    <w:p w14:paraId="6AE49262" w14:textId="77777777" w:rsidR="00341A5A" w:rsidRPr="00294B1B" w:rsidRDefault="00341A5A" w:rsidP="00341A5A">
      <w:pPr>
        <w:pStyle w:val="NormalWeb"/>
        <w:shd w:val="clear" w:color="auto" w:fill="FFFFFF"/>
        <w:jc w:val="both"/>
        <w:rPr>
          <w:rFonts w:ascii="Arial" w:hAnsi="Arial" w:cs="Arial"/>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5630D" w14:textId="77777777" w:rsidR="004A1847" w:rsidRDefault="007D40B3">
    <w:pPr>
      <w:pStyle w:val="Encabezado"/>
    </w:pPr>
    <w:r>
      <w:rPr>
        <w:noProof/>
      </w:rPr>
      <w:drawing>
        <wp:anchor distT="0" distB="0" distL="114300" distR="114300" simplePos="0" relativeHeight="251659264" behindDoc="0" locked="0" layoutInCell="1" allowOverlap="1" wp14:anchorId="0CA17517" wp14:editId="2915B4FF">
          <wp:simplePos x="0" y="0"/>
          <wp:positionH relativeFrom="margin">
            <wp:align>right</wp:align>
          </wp:positionH>
          <wp:positionV relativeFrom="paragraph">
            <wp:posOffset>-233883</wp:posOffset>
          </wp:positionV>
          <wp:extent cx="1688592" cy="701040"/>
          <wp:effectExtent l="0" t="0" r="6985" b="3810"/>
          <wp:wrapNone/>
          <wp:docPr id="5" name="Imagen 5" descr="Imagen que contiene pia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ian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688592" cy="7010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1353"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16cid:durableId="621961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A5A"/>
    <w:rsid w:val="000455E0"/>
    <w:rsid w:val="000E7481"/>
    <w:rsid w:val="00157D8C"/>
    <w:rsid w:val="001672B6"/>
    <w:rsid w:val="00220B27"/>
    <w:rsid w:val="00241069"/>
    <w:rsid w:val="00294B1B"/>
    <w:rsid w:val="002C0A72"/>
    <w:rsid w:val="002C732F"/>
    <w:rsid w:val="00300453"/>
    <w:rsid w:val="00341A5A"/>
    <w:rsid w:val="003A2F59"/>
    <w:rsid w:val="003A5AB7"/>
    <w:rsid w:val="003A5B51"/>
    <w:rsid w:val="003B6B23"/>
    <w:rsid w:val="003C3A68"/>
    <w:rsid w:val="003E182E"/>
    <w:rsid w:val="00437B77"/>
    <w:rsid w:val="004535FD"/>
    <w:rsid w:val="004F4AF1"/>
    <w:rsid w:val="005A022F"/>
    <w:rsid w:val="006857D6"/>
    <w:rsid w:val="00705CDF"/>
    <w:rsid w:val="007110F2"/>
    <w:rsid w:val="007A39B0"/>
    <w:rsid w:val="007D40B3"/>
    <w:rsid w:val="007E02E6"/>
    <w:rsid w:val="008046C5"/>
    <w:rsid w:val="008A0030"/>
    <w:rsid w:val="009B0269"/>
    <w:rsid w:val="009D0966"/>
    <w:rsid w:val="00A51999"/>
    <w:rsid w:val="00AA1217"/>
    <w:rsid w:val="00B339B8"/>
    <w:rsid w:val="00BA4270"/>
    <w:rsid w:val="00BC6487"/>
    <w:rsid w:val="00C30BE9"/>
    <w:rsid w:val="00C627A8"/>
    <w:rsid w:val="00D408E7"/>
    <w:rsid w:val="00DB08E9"/>
    <w:rsid w:val="00EC10CA"/>
    <w:rsid w:val="00EC271F"/>
    <w:rsid w:val="00ED115C"/>
    <w:rsid w:val="00EF7D1D"/>
    <w:rsid w:val="00F209D6"/>
    <w:rsid w:val="00FA6ADB"/>
    <w:rsid w:val="00FE3A4B"/>
    <w:rsid w:val="00FE42F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594BA"/>
  <w15:chartTrackingRefBased/>
  <w15:docId w15:val="{CBFEE3E7-E41E-4B6D-8C11-7A64C92C3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15C"/>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1A5A"/>
    <w:pPr>
      <w:tabs>
        <w:tab w:val="center" w:pos="4419"/>
        <w:tab w:val="right" w:pos="8838"/>
      </w:tabs>
    </w:pPr>
  </w:style>
  <w:style w:type="character" w:customStyle="1" w:styleId="EncabezadoCar">
    <w:name w:val="Encabezado Car"/>
    <w:basedOn w:val="Fuentedeprrafopredeter"/>
    <w:link w:val="Encabezado"/>
    <w:uiPriority w:val="99"/>
    <w:rsid w:val="00341A5A"/>
    <w:rPr>
      <w:rFonts w:ascii="Times New Roman" w:eastAsia="Times New Roman" w:hAnsi="Times New Roman" w:cs="Times New Roman"/>
      <w:sz w:val="24"/>
      <w:szCs w:val="24"/>
      <w:lang w:eastAsia="es-ES_tradnl"/>
    </w:rPr>
  </w:style>
  <w:style w:type="paragraph" w:styleId="Piedepgina">
    <w:name w:val="footer"/>
    <w:basedOn w:val="Normal"/>
    <w:link w:val="PiedepginaCar"/>
    <w:uiPriority w:val="99"/>
    <w:unhideWhenUsed/>
    <w:rsid w:val="00341A5A"/>
    <w:pPr>
      <w:tabs>
        <w:tab w:val="center" w:pos="4419"/>
        <w:tab w:val="right" w:pos="8838"/>
      </w:tabs>
    </w:pPr>
  </w:style>
  <w:style w:type="character" w:customStyle="1" w:styleId="PiedepginaCar">
    <w:name w:val="Pie de página Car"/>
    <w:basedOn w:val="Fuentedeprrafopredeter"/>
    <w:link w:val="Piedepgina"/>
    <w:uiPriority w:val="99"/>
    <w:rsid w:val="00341A5A"/>
    <w:rPr>
      <w:rFonts w:ascii="Times New Roman" w:eastAsia="Times New Roman" w:hAnsi="Times New Roman" w:cs="Times New Roman"/>
      <w:sz w:val="24"/>
      <w:szCs w:val="24"/>
      <w:lang w:eastAsia="es-ES_tradnl"/>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341A5A"/>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341A5A"/>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341A5A"/>
    <w:rPr>
      <w:rFonts w:ascii="Times New Roman" w:eastAsia="Times New Roman" w:hAnsi="Times New Roman" w:cs="Times New Roman"/>
      <w:sz w:val="20"/>
      <w:szCs w:val="20"/>
      <w:lang w:eastAsia="es-ES_tradnl"/>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341A5A"/>
    <w:rPr>
      <w:vertAlign w:val="superscript"/>
    </w:rPr>
  </w:style>
  <w:style w:type="table" w:styleId="Tablaconcuadrcula">
    <w:name w:val="Table Grid"/>
    <w:basedOn w:val="Tablanormal"/>
    <w:uiPriority w:val="59"/>
    <w:rsid w:val="00341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341A5A"/>
    <w:pPr>
      <w:spacing w:after="160" w:line="240" w:lineRule="exact"/>
    </w:pPr>
    <w:rPr>
      <w:rFonts w:asciiTheme="minorHAnsi" w:eastAsiaTheme="minorHAnsi" w:hAnsiTheme="minorHAnsi" w:cstheme="minorBidi"/>
      <w:sz w:val="22"/>
      <w:szCs w:val="22"/>
      <w:vertAlign w:val="superscript"/>
      <w:lang w:eastAsia="en-US"/>
    </w:rPr>
  </w:style>
  <w:style w:type="character" w:customStyle="1" w:styleId="Hipervnculo1">
    <w:name w:val="Hipervínculo1"/>
    <w:basedOn w:val="Fuentedeprrafopredeter"/>
    <w:uiPriority w:val="99"/>
    <w:unhideWhenUsed/>
    <w:rsid w:val="00341A5A"/>
    <w:rPr>
      <w:color w:val="F2F2F2"/>
      <w:u w:val="single"/>
    </w:rPr>
  </w:style>
  <w:style w:type="paragraph" w:styleId="NormalWeb">
    <w:name w:val="Normal (Web)"/>
    <w:basedOn w:val="Normal"/>
    <w:uiPriority w:val="99"/>
    <w:semiHidden/>
    <w:unhideWhenUsed/>
    <w:rsid w:val="00341A5A"/>
  </w:style>
  <w:style w:type="character" w:styleId="Hipervnculo">
    <w:name w:val="Hyperlink"/>
    <w:basedOn w:val="Fuentedeprrafopredeter"/>
    <w:uiPriority w:val="99"/>
    <w:unhideWhenUsed/>
    <w:rsid w:val="00341A5A"/>
    <w:rPr>
      <w:color w:val="0563C1" w:themeColor="hyperlink"/>
      <w:u w:val="single"/>
    </w:rPr>
  </w:style>
  <w:style w:type="paragraph" w:customStyle="1" w:styleId="Car1">
    <w:name w:val="Car1"/>
    <w:basedOn w:val="Normal"/>
    <w:next w:val="Textonotapie"/>
    <w:uiPriority w:val="99"/>
    <w:unhideWhenUsed/>
    <w:qFormat/>
    <w:rsid w:val="00341A5A"/>
    <w:rPr>
      <w:rFonts w:asciiTheme="minorHAnsi" w:eastAsiaTheme="minorHAnsi" w:hAnsiTheme="minorHAnsi" w:cstheme="minorBidi"/>
      <w:sz w:val="20"/>
      <w:szCs w:val="20"/>
      <w:lang w:val="es-MX" w:eastAsia="en-US"/>
    </w:rPr>
  </w:style>
  <w:style w:type="paragraph" w:styleId="Revisin">
    <w:name w:val="Revision"/>
    <w:hidden/>
    <w:uiPriority w:val="99"/>
    <w:semiHidden/>
    <w:rsid w:val="00294B1B"/>
    <w:pPr>
      <w:spacing w:after="0" w:line="240" w:lineRule="auto"/>
    </w:pPr>
    <w:rPr>
      <w:rFonts w:ascii="Times New Roman" w:eastAsia="Times New Roman" w:hAnsi="Times New Roman" w:cs="Times New Roman"/>
      <w:sz w:val="24"/>
      <w:szCs w:val="24"/>
      <w:lang w:eastAsia="es-ES_tradnl"/>
    </w:rPr>
  </w:style>
  <w:style w:type="character" w:styleId="Refdecomentario">
    <w:name w:val="annotation reference"/>
    <w:basedOn w:val="Fuentedeprrafopredeter"/>
    <w:uiPriority w:val="99"/>
    <w:semiHidden/>
    <w:unhideWhenUsed/>
    <w:rsid w:val="00C30BE9"/>
    <w:rPr>
      <w:sz w:val="16"/>
      <w:szCs w:val="16"/>
    </w:rPr>
  </w:style>
  <w:style w:type="paragraph" w:styleId="Textocomentario">
    <w:name w:val="annotation text"/>
    <w:basedOn w:val="Normal"/>
    <w:link w:val="TextocomentarioCar"/>
    <w:uiPriority w:val="99"/>
    <w:unhideWhenUsed/>
    <w:rsid w:val="00C30BE9"/>
    <w:rPr>
      <w:sz w:val="20"/>
      <w:szCs w:val="20"/>
    </w:rPr>
  </w:style>
  <w:style w:type="character" w:customStyle="1" w:styleId="TextocomentarioCar">
    <w:name w:val="Texto comentario Car"/>
    <w:basedOn w:val="Fuentedeprrafopredeter"/>
    <w:link w:val="Textocomentario"/>
    <w:uiPriority w:val="99"/>
    <w:rsid w:val="00C30BE9"/>
    <w:rPr>
      <w:rFonts w:ascii="Times New Roman" w:eastAsia="Times New Roman" w:hAnsi="Times New Roman" w:cs="Times New Roman"/>
      <w:sz w:val="20"/>
      <w:szCs w:val="20"/>
      <w:lang w:eastAsia="es-ES_tradnl"/>
    </w:rPr>
  </w:style>
  <w:style w:type="paragraph" w:styleId="Asuntodelcomentario">
    <w:name w:val="annotation subject"/>
    <w:basedOn w:val="Textocomentario"/>
    <w:next w:val="Textocomentario"/>
    <w:link w:val="AsuntodelcomentarioCar"/>
    <w:uiPriority w:val="99"/>
    <w:semiHidden/>
    <w:unhideWhenUsed/>
    <w:rsid w:val="00C30BE9"/>
    <w:rPr>
      <w:b/>
      <w:bCs/>
    </w:rPr>
  </w:style>
  <w:style w:type="character" w:customStyle="1" w:styleId="AsuntodelcomentarioCar">
    <w:name w:val="Asunto del comentario Car"/>
    <w:basedOn w:val="TextocomentarioCar"/>
    <w:link w:val="Asuntodelcomentario"/>
    <w:uiPriority w:val="99"/>
    <w:semiHidden/>
    <w:rsid w:val="00C30BE9"/>
    <w:rPr>
      <w:rFonts w:ascii="Times New Roman" w:eastAsia="Times New Roman" w:hAnsi="Times New Roman" w:cs="Times New Roman"/>
      <w:b/>
      <w:bCs/>
      <w:sz w:val="20"/>
      <w:szCs w:val="20"/>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176998">
      <w:bodyDiv w:val="1"/>
      <w:marLeft w:val="0"/>
      <w:marRight w:val="0"/>
      <w:marTop w:val="0"/>
      <w:marBottom w:val="0"/>
      <w:divBdr>
        <w:top w:val="none" w:sz="0" w:space="0" w:color="auto"/>
        <w:left w:val="none" w:sz="0" w:space="0" w:color="auto"/>
        <w:bottom w:val="none" w:sz="0" w:space="0" w:color="auto"/>
        <w:right w:val="none" w:sz="0" w:space="0" w:color="auto"/>
      </w:divBdr>
    </w:div>
    <w:div w:id="83060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notes.xml.rels><?xml version="1.0" encoding="UTF-8" standalone="yes"?>
<Relationships xmlns="http://schemas.openxmlformats.org/package/2006/relationships"><Relationship Id="rId8" Type="http://schemas.openxmlformats.org/officeDocument/2006/relationships/hyperlink" Target="https://www.funcionpublica.gov.co/eva/gestornormativo/norma.php?i=77653" TargetMode="External"/><Relationship Id="rId13" Type="http://schemas.openxmlformats.org/officeDocument/2006/relationships/hyperlink" Target="https://www.funcionpublica.gov.co/eva/gestornormativo/norma.php?i=77653" TargetMode="External"/><Relationship Id="rId18" Type="http://schemas.openxmlformats.org/officeDocument/2006/relationships/hyperlink" Target="https://www.funcionpublica.gov.co/eva/gestornormativo/norma.php?i=77653" TargetMode="External"/><Relationship Id="rId26" Type="http://schemas.openxmlformats.org/officeDocument/2006/relationships/hyperlink" Target="https://www.funcionpublica.gov.co/eva/gestornormativo/norma.php?i=77653" TargetMode="External"/><Relationship Id="rId3" Type="http://schemas.openxmlformats.org/officeDocument/2006/relationships/hyperlink" Target="https://www.funcionpublica.gov.co/eva/gestornormativo/norma.php?i=77653" TargetMode="External"/><Relationship Id="rId21" Type="http://schemas.openxmlformats.org/officeDocument/2006/relationships/hyperlink" Target="https://www.funcionpublica.gov.co/eva/gestornormativo/norma.php?i=77653" TargetMode="External"/><Relationship Id="rId7" Type="http://schemas.openxmlformats.org/officeDocument/2006/relationships/hyperlink" Target="https://www.funcionpublica.gov.co/eva/gestornormativo/norma.php?i=77653" TargetMode="External"/><Relationship Id="rId12" Type="http://schemas.openxmlformats.org/officeDocument/2006/relationships/hyperlink" Target="https://www.funcionpublica.gov.co/eva/gestornormativo/norma.php?i=77653" TargetMode="External"/><Relationship Id="rId17" Type="http://schemas.openxmlformats.org/officeDocument/2006/relationships/hyperlink" Target="https://www.funcionpublica.gov.co/eva/gestornormativo/norma.php?i=77653" TargetMode="External"/><Relationship Id="rId25" Type="http://schemas.openxmlformats.org/officeDocument/2006/relationships/hyperlink" Target="https://www.funcionpublica.gov.co/eva/gestornormativo/norma.php?i=77653" TargetMode="External"/><Relationship Id="rId2" Type="http://schemas.openxmlformats.org/officeDocument/2006/relationships/hyperlink" Target="https://www.funcionpublica.gov.co/eva/gestornormativo/norma.php?i=77653" TargetMode="External"/><Relationship Id="rId16" Type="http://schemas.openxmlformats.org/officeDocument/2006/relationships/hyperlink" Target="https://www.funcionpublica.gov.co/eva/gestornormativo/norma.php?i=77653" TargetMode="External"/><Relationship Id="rId20" Type="http://schemas.openxmlformats.org/officeDocument/2006/relationships/hyperlink" Target="https://www.funcionpublica.gov.co/eva/gestornormativo/norma.php?i=77653" TargetMode="External"/><Relationship Id="rId29" Type="http://schemas.openxmlformats.org/officeDocument/2006/relationships/hyperlink" Target="https://www.funcionpublica.gov.co/eva/gestornormativo/norma.php?i=77653" TargetMode="External"/><Relationship Id="rId1" Type="http://schemas.openxmlformats.org/officeDocument/2006/relationships/hyperlink" Target="http://leyes.senado.gov.co/proyectos/index.php/textos-radicados-senado/p-ley-2020-2021/1957-proyecto-de-ley-161-de-2020" TargetMode="External"/><Relationship Id="rId6" Type="http://schemas.openxmlformats.org/officeDocument/2006/relationships/hyperlink" Target="https://www.funcionpublica.gov.co/eva/gestornormativo/norma.php?i=77653" TargetMode="External"/><Relationship Id="rId11" Type="http://schemas.openxmlformats.org/officeDocument/2006/relationships/hyperlink" Target="https://www.funcionpublica.gov.co/eva/gestornormativo/norma.php?i=77653" TargetMode="External"/><Relationship Id="rId24" Type="http://schemas.openxmlformats.org/officeDocument/2006/relationships/hyperlink" Target="https://www.funcionpublica.gov.co/eva/gestornormativo/norma.php?i=77653" TargetMode="External"/><Relationship Id="rId5" Type="http://schemas.openxmlformats.org/officeDocument/2006/relationships/hyperlink" Target="https://www.funcionpublica.gov.co/eva/gestornormativo/norma.php?i=77653" TargetMode="External"/><Relationship Id="rId15" Type="http://schemas.openxmlformats.org/officeDocument/2006/relationships/hyperlink" Target="https://www.funcionpublica.gov.co/eva/gestornormativo/norma.php?i=77653" TargetMode="External"/><Relationship Id="rId23" Type="http://schemas.openxmlformats.org/officeDocument/2006/relationships/hyperlink" Target="https://www.funcionpublica.gov.co/eva/gestornormativo/norma.php?i=77653" TargetMode="External"/><Relationship Id="rId28" Type="http://schemas.openxmlformats.org/officeDocument/2006/relationships/hyperlink" Target="https://www.funcionpublica.gov.co/eva/gestornormativo/norma.php?i=77653" TargetMode="External"/><Relationship Id="rId10" Type="http://schemas.openxmlformats.org/officeDocument/2006/relationships/hyperlink" Target="https://www.funcionpublica.gov.co/eva/gestornormativo/norma.php?i=77653" TargetMode="External"/><Relationship Id="rId19" Type="http://schemas.openxmlformats.org/officeDocument/2006/relationships/hyperlink" Target="https://www.funcionpublica.gov.co/eva/gestornormativo/norma.php?i=77653" TargetMode="External"/><Relationship Id="rId4" Type="http://schemas.openxmlformats.org/officeDocument/2006/relationships/hyperlink" Target="https://www.funcionpublica.gov.co/eva/gestornormativo/norma.php?i=77653" TargetMode="External"/><Relationship Id="rId9" Type="http://schemas.openxmlformats.org/officeDocument/2006/relationships/hyperlink" Target="https://www.funcionpublica.gov.co/eva/gestornormativo/norma.php?i=77653" TargetMode="External"/><Relationship Id="rId14" Type="http://schemas.openxmlformats.org/officeDocument/2006/relationships/hyperlink" Target="https://www.funcionpublica.gov.co/eva/gestornormativo/norma.php?i=77653" TargetMode="External"/><Relationship Id="rId22" Type="http://schemas.openxmlformats.org/officeDocument/2006/relationships/hyperlink" Target="https://www.funcionpublica.gov.co/eva/gestornormativo/norma.php?i=77653" TargetMode="External"/><Relationship Id="rId27" Type="http://schemas.openxmlformats.org/officeDocument/2006/relationships/hyperlink" Target="https://www.funcionpublica.gov.co/eva/gestornormativo/norma.php?i=7765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C054ED-015D-4098-BFC6-E2BB91782DAF}">
  <ds:schemaRefs>
    <ds:schemaRef ds:uri="http://schemas.microsoft.com/sharepoint/v3/contenttype/forms"/>
  </ds:schemaRefs>
</ds:datastoreItem>
</file>

<file path=customXml/itemProps2.xml><?xml version="1.0" encoding="utf-8"?>
<ds:datastoreItem xmlns:ds="http://schemas.openxmlformats.org/officeDocument/2006/customXml" ds:itemID="{D1B69CA8-C752-4EC1-AB4A-4E8C44DCFB0E}">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3.xml><?xml version="1.0" encoding="utf-8"?>
<ds:datastoreItem xmlns:ds="http://schemas.openxmlformats.org/officeDocument/2006/customXml" ds:itemID="{CACC7BD8-AA45-4E85-9870-9787185F4F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13</Pages>
  <Words>4157</Words>
  <Characters>22868</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Nathalia Urrego J.</dc:creator>
  <cp:keywords/>
  <dc:description/>
  <cp:lastModifiedBy>Jorge Eliecer Moran Buitrón</cp:lastModifiedBy>
  <cp:revision>5</cp:revision>
  <dcterms:created xsi:type="dcterms:W3CDTF">2022-10-26T00:46:00Z</dcterms:created>
  <dcterms:modified xsi:type="dcterms:W3CDTF">2022-10-27T14:17:00Z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