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A3D4" w14:textId="77777777" w:rsidR="00581415" w:rsidRPr="004508D5" w:rsidRDefault="00581415" w:rsidP="00581415">
      <w:pPr>
        <w:spacing w:line="276" w:lineRule="auto"/>
        <w:jc w:val="both"/>
        <w:rPr>
          <w:rFonts w:ascii="Arial" w:hAnsi="Arial" w:cs="Arial"/>
          <w:noProof/>
          <w:sz w:val="22"/>
          <w:lang w:val="es-ES_tradnl"/>
        </w:rPr>
      </w:pPr>
    </w:p>
    <w:p w14:paraId="2E9EB197" w14:textId="77777777" w:rsidR="00581415" w:rsidRPr="004508D5" w:rsidRDefault="00581415" w:rsidP="00581415">
      <w:pPr>
        <w:jc w:val="both"/>
        <w:rPr>
          <w:rFonts w:ascii="Arial" w:eastAsia="Calibri" w:hAnsi="Arial" w:cs="Arial"/>
          <w:b/>
          <w:sz w:val="22"/>
        </w:rPr>
      </w:pPr>
      <w:r w:rsidRPr="004508D5">
        <w:rPr>
          <w:rFonts w:ascii="Arial" w:eastAsia="Calibri" w:hAnsi="Arial" w:cs="Arial"/>
          <w:b/>
          <w:sz w:val="22"/>
        </w:rPr>
        <w:t xml:space="preserve">LEY DE EMPRENDIMIENTO – Ley 2069 de 2020 – Finalidad </w:t>
      </w:r>
    </w:p>
    <w:p w14:paraId="190FC2D4" w14:textId="77777777" w:rsidR="00581415" w:rsidRPr="004508D5" w:rsidRDefault="00581415" w:rsidP="00581415">
      <w:pPr>
        <w:jc w:val="both"/>
        <w:rPr>
          <w:rFonts w:ascii="Arial" w:eastAsia="Calibri" w:hAnsi="Arial" w:cs="Arial"/>
          <w:sz w:val="20"/>
          <w:szCs w:val="20"/>
        </w:rPr>
      </w:pPr>
    </w:p>
    <w:p w14:paraId="0CB1F1BF" w14:textId="77777777" w:rsidR="00581415" w:rsidRPr="004508D5" w:rsidRDefault="00581415" w:rsidP="00581415">
      <w:pPr>
        <w:jc w:val="both"/>
        <w:rPr>
          <w:rFonts w:ascii="Arial" w:eastAsia="Calibri" w:hAnsi="Arial" w:cs="Arial"/>
          <w:bCs/>
          <w:sz w:val="20"/>
          <w:szCs w:val="20"/>
          <w:lang w:val="es-ES_tradnl"/>
        </w:rPr>
      </w:pPr>
      <w:r w:rsidRPr="004508D5">
        <w:rPr>
          <w:rFonts w:ascii="Arial" w:eastAsia="Calibri" w:hAnsi="Arial" w:cs="Arial"/>
          <w:bCs/>
          <w:sz w:val="20"/>
          <w:szCs w:val="20"/>
          <w:lang w:val="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w:t>
      </w:r>
    </w:p>
    <w:p w14:paraId="2193DEBE" w14:textId="77777777" w:rsidR="00581415" w:rsidRPr="004508D5" w:rsidRDefault="00581415" w:rsidP="00581415">
      <w:pPr>
        <w:jc w:val="both"/>
        <w:rPr>
          <w:rFonts w:ascii="Arial" w:eastAsia="Calibri" w:hAnsi="Arial" w:cs="Arial"/>
          <w:bCs/>
          <w:sz w:val="20"/>
          <w:szCs w:val="20"/>
          <w:lang w:val="es-ES_tradnl"/>
        </w:rPr>
      </w:pPr>
    </w:p>
    <w:p w14:paraId="4E783A48" w14:textId="31D33150" w:rsidR="00423061" w:rsidRPr="004508D5" w:rsidRDefault="00581415" w:rsidP="00581415">
      <w:pPr>
        <w:jc w:val="both"/>
        <w:rPr>
          <w:rFonts w:ascii="Arial" w:eastAsia="Calibri" w:hAnsi="Arial" w:cs="Arial"/>
          <w:bCs/>
          <w:sz w:val="20"/>
          <w:szCs w:val="20"/>
          <w:lang w:val="es-ES_tradnl"/>
        </w:rPr>
      </w:pPr>
      <w:r w:rsidRPr="004508D5">
        <w:rPr>
          <w:rFonts w:ascii="Arial" w:eastAsia="Calibri" w:hAnsi="Arial" w:cs="Arial"/>
          <w:bCs/>
          <w:sz w:val="20"/>
          <w:szCs w:val="20"/>
          <w:lang w:val="es-ES_tradnl"/>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4508D5">
        <w:rPr>
          <w:rFonts w:ascii="Arial" w:eastAsia="Calibri" w:hAnsi="Arial" w:cs="Arial"/>
          <w:bCs/>
          <w:sz w:val="20"/>
          <w:szCs w:val="20"/>
          <w:lang w:val="es-ES_tradnl"/>
        </w:rPr>
        <w:t>de acuerdo a</w:t>
      </w:r>
      <w:proofErr w:type="gramEnd"/>
      <w:r w:rsidRPr="004508D5">
        <w:rPr>
          <w:rFonts w:ascii="Arial" w:eastAsia="Calibri" w:hAnsi="Arial" w:cs="Arial"/>
          <w:bCs/>
          <w:sz w:val="20"/>
          <w:szCs w:val="20"/>
          <w:lang w:val="es-ES_tradnl"/>
        </w:rPr>
        <w:t xml:space="preserve"> las realidades socioeconómicas de cada región». </w:t>
      </w:r>
      <w:r w:rsidR="00423061" w:rsidRPr="00423061">
        <w:rPr>
          <w:rFonts w:ascii="Arial" w:eastAsia="Calibri" w:hAnsi="Arial" w:cs="Arial"/>
          <w:bCs/>
          <w:sz w:val="20"/>
          <w:szCs w:val="20"/>
          <w:lang w:val="es-ES_tradnl"/>
        </w:rPr>
        <w:t>En desarrollo de esta finalidad, se establecen medidas de apoyo para las micro, pequeñas y medianas empresas –</w:t>
      </w:r>
      <w:proofErr w:type="spellStart"/>
      <w:r w:rsidR="00423061" w:rsidRPr="00423061">
        <w:rPr>
          <w:rFonts w:ascii="Arial" w:eastAsia="Calibri" w:hAnsi="Arial" w:cs="Arial"/>
          <w:bCs/>
          <w:sz w:val="20"/>
          <w:szCs w:val="20"/>
          <w:lang w:val="es-ES_tradnl"/>
        </w:rPr>
        <w:t>mipymes</w:t>
      </w:r>
      <w:proofErr w:type="spellEnd"/>
      <w:r w:rsidR="00423061" w:rsidRPr="00423061">
        <w:rPr>
          <w:rFonts w:ascii="Arial" w:eastAsia="Calibri" w:hAnsi="Arial" w:cs="Arial"/>
          <w:bCs/>
          <w:sz w:val="20"/>
          <w:szCs w:val="20"/>
          <w:lang w:val="es-ES_tradnl"/>
        </w:rPr>
        <w:t xml:space="preserve">–, mediante la racionalización y simplificación de los trámites y tarifas, así como incentivos a favor de aquellas dentro del sistema de compras y contratación pública. También se consagran mecanismos de acceso al </w:t>
      </w:r>
      <w:proofErr w:type="gramStart"/>
      <w:r w:rsidR="00423061" w:rsidRPr="00423061">
        <w:rPr>
          <w:rFonts w:ascii="Arial" w:eastAsia="Calibri" w:hAnsi="Arial" w:cs="Arial"/>
          <w:bCs/>
          <w:sz w:val="20"/>
          <w:szCs w:val="20"/>
          <w:lang w:val="es-ES_tradnl"/>
        </w:rPr>
        <w:t>financiamiento ,</w:t>
      </w:r>
      <w:proofErr w:type="gramEnd"/>
      <w:r w:rsidR="00423061" w:rsidRPr="00423061">
        <w:rPr>
          <w:rFonts w:ascii="Arial" w:eastAsia="Calibri" w:hAnsi="Arial" w:cs="Arial"/>
          <w:bCs/>
          <w:sz w:val="20"/>
          <w:szCs w:val="20"/>
          <w:lang w:val="es-ES_tradnl"/>
        </w:rPr>
        <w:t xml:space="preserve"> se unifican las fuentes de emprendimiento y de desarrollo empresarial, para fortalecer y promover los distintos sectores de la economía  y se prevén medidas de educación para el emprendimiento y la innovación</w:t>
      </w:r>
    </w:p>
    <w:p w14:paraId="3FF84609" w14:textId="77777777" w:rsidR="00581415" w:rsidRPr="004508D5" w:rsidRDefault="00581415" w:rsidP="00581415">
      <w:pPr>
        <w:jc w:val="both"/>
        <w:rPr>
          <w:rFonts w:ascii="Arial" w:eastAsia="Calibri" w:hAnsi="Arial" w:cs="Arial"/>
          <w:b/>
          <w:sz w:val="22"/>
          <w:lang w:val="es-ES_tradnl"/>
        </w:rPr>
      </w:pPr>
    </w:p>
    <w:p w14:paraId="32A38FE0" w14:textId="77777777" w:rsidR="00581415" w:rsidRPr="004508D5" w:rsidRDefault="00581415" w:rsidP="00581415">
      <w:pPr>
        <w:spacing w:after="160" w:line="259" w:lineRule="auto"/>
        <w:jc w:val="both"/>
        <w:rPr>
          <w:rFonts w:ascii="Arial" w:eastAsia="Calibri" w:hAnsi="Arial" w:cs="Arial"/>
          <w:b/>
          <w:sz w:val="22"/>
        </w:rPr>
      </w:pPr>
      <w:bookmarkStart w:id="0" w:name="_Hlk81487704"/>
      <w:r w:rsidRPr="004508D5">
        <w:rPr>
          <w:rFonts w:ascii="Arial" w:eastAsia="Calibri" w:hAnsi="Arial" w:cs="Arial"/>
          <w:b/>
          <w:sz w:val="22"/>
        </w:rPr>
        <w:t>LEY DE EMPRENDIMIENTO – Ley 2069 de 2020 – Artículo 32 – Criterios diferenciales – Emprendimientos de mujeres – Empresas de mujeres – Necesidad de reglamentación – Decreto 1860 de 2021</w:t>
      </w:r>
    </w:p>
    <w:p w14:paraId="47D35E97" w14:textId="77777777" w:rsidR="00581415" w:rsidRPr="004508D5" w:rsidRDefault="00581415" w:rsidP="00581415">
      <w:pPr>
        <w:jc w:val="both"/>
        <w:rPr>
          <w:rFonts w:ascii="Arial" w:eastAsia="Calibri" w:hAnsi="Arial" w:cs="Arial"/>
          <w:bCs/>
          <w:sz w:val="20"/>
          <w:szCs w:val="20"/>
          <w:lang w:val="es-ES_tradnl"/>
        </w:rPr>
      </w:pPr>
      <w:r w:rsidRPr="004508D5">
        <w:rPr>
          <w:rFonts w:ascii="Arial" w:eastAsia="Calibri" w:hAnsi="Arial" w:cs="Arial"/>
          <w:bCs/>
          <w:sz w:val="20"/>
          <w:szCs w:val="20"/>
        </w:rPr>
        <w:t xml:space="preserve">[…] 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r w:rsidRPr="004508D5">
        <w:rPr>
          <w:rFonts w:ascii="Arial" w:eastAsia="Calibri" w:hAnsi="Arial" w:cs="Arial"/>
          <w:bCs/>
          <w:sz w:val="20"/>
          <w:szCs w:val="20"/>
          <w:lang w:val="es-ES_tradnl"/>
        </w:rPr>
        <w:t>En este contexto, el pasado 24 de diciembre, el gobierno nacional expidió el Decreto 1860 de 2021,</w:t>
      </w:r>
      <w:r w:rsidRPr="004508D5">
        <w:rPr>
          <w:rFonts w:ascii="Arial" w:eastAsia="Calibri" w:hAnsi="Arial" w:cs="Arial"/>
          <w:bCs/>
          <w:sz w:val="20"/>
          <w:szCs w:val="20"/>
        </w:rPr>
        <w:t xml:space="preserve"> </w:t>
      </w:r>
      <w:r w:rsidRPr="004508D5">
        <w:rPr>
          <w:rFonts w:ascii="Arial" w:eastAsia="Calibri" w:hAnsi="Arial" w:cs="Arial"/>
          <w:bCs/>
          <w:sz w:val="20"/>
          <w:szCs w:val="20"/>
          <w:lang w:val="es-ES_tradnl"/>
        </w:rPr>
        <w:t xml:space="preserve">«Por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 </w:t>
      </w:r>
    </w:p>
    <w:p w14:paraId="12E09502" w14:textId="77777777" w:rsidR="00581415" w:rsidRPr="004508D5" w:rsidRDefault="00581415" w:rsidP="00581415">
      <w:pPr>
        <w:jc w:val="both"/>
        <w:rPr>
          <w:rFonts w:ascii="Arial" w:eastAsia="Calibri" w:hAnsi="Arial" w:cs="Arial"/>
          <w:bCs/>
          <w:sz w:val="20"/>
          <w:szCs w:val="20"/>
          <w:lang w:val="es-ES_tradnl"/>
        </w:rPr>
      </w:pPr>
    </w:p>
    <w:p w14:paraId="4CC13283" w14:textId="77777777" w:rsidR="00581415" w:rsidRPr="004508D5" w:rsidRDefault="00581415" w:rsidP="00581415">
      <w:pPr>
        <w:jc w:val="both"/>
        <w:rPr>
          <w:rFonts w:ascii="Arial" w:eastAsia="Calibri" w:hAnsi="Arial" w:cs="Arial"/>
          <w:bCs/>
          <w:sz w:val="20"/>
          <w:szCs w:val="20"/>
        </w:rPr>
      </w:pPr>
      <w:r w:rsidRPr="004508D5">
        <w:rPr>
          <w:rFonts w:ascii="Arial" w:eastAsia="Calibri" w:hAnsi="Arial" w:cs="Arial"/>
          <w:bCs/>
          <w:sz w:val="20"/>
          <w:szCs w:val="20"/>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2ABB9BB1" w14:textId="77777777" w:rsidR="00581415" w:rsidRPr="004508D5" w:rsidRDefault="00581415" w:rsidP="00581415">
      <w:pPr>
        <w:jc w:val="both"/>
        <w:rPr>
          <w:rFonts w:ascii="Arial" w:eastAsia="Calibri" w:hAnsi="Arial" w:cs="Arial"/>
          <w:bCs/>
          <w:sz w:val="20"/>
          <w:szCs w:val="20"/>
          <w:lang w:val="es-ES"/>
        </w:rPr>
      </w:pPr>
    </w:p>
    <w:p w14:paraId="7A508F71" w14:textId="77777777" w:rsidR="00581415" w:rsidRPr="004508D5" w:rsidRDefault="00581415" w:rsidP="00581415">
      <w:pPr>
        <w:jc w:val="both"/>
        <w:rPr>
          <w:rFonts w:ascii="Arial" w:eastAsia="Calibri" w:hAnsi="Arial" w:cs="Arial"/>
          <w:b/>
          <w:sz w:val="22"/>
          <w:szCs w:val="22"/>
          <w:lang w:val="es-ES"/>
        </w:rPr>
      </w:pPr>
      <w:r w:rsidRPr="004508D5">
        <w:rPr>
          <w:rFonts w:ascii="Arial" w:eastAsia="Calibri" w:hAnsi="Arial" w:cs="Arial"/>
          <w:b/>
          <w:sz w:val="22"/>
          <w:szCs w:val="22"/>
          <w:lang w:val="es-ES"/>
        </w:rPr>
        <w:t>DECRETO 1860 DE 2021 – Vigencia</w:t>
      </w:r>
    </w:p>
    <w:p w14:paraId="7F9BE074" w14:textId="77777777" w:rsidR="00581415" w:rsidRPr="004508D5" w:rsidRDefault="00581415" w:rsidP="00581415">
      <w:pPr>
        <w:jc w:val="both"/>
        <w:rPr>
          <w:rFonts w:ascii="Arial" w:eastAsia="Calibri" w:hAnsi="Arial" w:cs="Arial"/>
          <w:b/>
          <w:sz w:val="20"/>
          <w:szCs w:val="20"/>
          <w:lang w:val="es-ES"/>
        </w:rPr>
      </w:pPr>
    </w:p>
    <w:p w14:paraId="19FEAC77" w14:textId="77777777" w:rsidR="00581415" w:rsidRPr="004508D5" w:rsidRDefault="00581415" w:rsidP="00581415">
      <w:pPr>
        <w:jc w:val="both"/>
        <w:rPr>
          <w:rFonts w:ascii="Arial" w:eastAsia="Calibri" w:hAnsi="Arial" w:cs="Arial"/>
          <w:bCs/>
          <w:sz w:val="20"/>
          <w:szCs w:val="20"/>
          <w:lang w:val="es-ES"/>
        </w:rPr>
      </w:pPr>
      <w:r w:rsidRPr="004508D5">
        <w:rPr>
          <w:rFonts w:ascii="Arial" w:eastAsia="Calibri" w:hAnsi="Arial" w:cs="Arial"/>
          <w:bCs/>
          <w:sz w:val="20"/>
          <w:szCs w:val="20"/>
          <w:lang w:val="es-ES"/>
        </w:rPr>
        <w:lastRenderedPageBreak/>
        <w:t>Debe precisarse que la vigencia del Decreto 1860 de 2021 está regida por lo establecido en su artículo 8, el cual señala que «Las disposiciones contenidas en el presente Decreto se aplicarán a los procedimientos de selección cuya invitación, aviso de convocatoria o documento equivalente se publique a los tres (3) meses contados a partir de su expedición», es decir, a partir del 24 de marzo de 2022, por lo que actualmente esta es la regulación vigente</w:t>
      </w:r>
    </w:p>
    <w:p w14:paraId="5A2B217A" w14:textId="77777777" w:rsidR="00581415" w:rsidRPr="004508D5" w:rsidRDefault="00581415" w:rsidP="00581415">
      <w:pPr>
        <w:jc w:val="both"/>
        <w:rPr>
          <w:rFonts w:ascii="Arial" w:eastAsia="Calibri" w:hAnsi="Arial" w:cs="Arial"/>
          <w:bCs/>
          <w:sz w:val="20"/>
          <w:szCs w:val="20"/>
          <w:lang w:val="es-ES"/>
        </w:rPr>
      </w:pPr>
    </w:p>
    <w:p w14:paraId="43B033C4" w14:textId="77777777" w:rsidR="00581415" w:rsidRPr="004508D5" w:rsidRDefault="00581415" w:rsidP="00581415">
      <w:pPr>
        <w:jc w:val="both"/>
        <w:rPr>
          <w:rFonts w:ascii="Arial" w:eastAsia="Calibri" w:hAnsi="Arial" w:cs="Arial"/>
          <w:b/>
          <w:sz w:val="22"/>
          <w:szCs w:val="22"/>
          <w:lang w:val="es-ES"/>
        </w:rPr>
      </w:pPr>
      <w:r w:rsidRPr="004508D5">
        <w:rPr>
          <w:rFonts w:ascii="Arial" w:eastAsia="Calibri" w:hAnsi="Arial" w:cs="Arial"/>
          <w:b/>
          <w:sz w:val="22"/>
          <w:szCs w:val="22"/>
          <w:lang w:val="es-ES"/>
        </w:rPr>
        <w:t xml:space="preserve">DECRETO 1860 DE 2021 – Emprendimientos y empresas de mujeres – Definición – Artículo 2.2.1.2.4.2.14 – Numeral 1 – Participación mayoritaria – Antigüedad </w:t>
      </w:r>
    </w:p>
    <w:p w14:paraId="59BEB600" w14:textId="77777777" w:rsidR="00581415" w:rsidRPr="004508D5" w:rsidRDefault="00581415" w:rsidP="00581415">
      <w:pPr>
        <w:jc w:val="both"/>
        <w:rPr>
          <w:rFonts w:ascii="Arial" w:eastAsia="Calibri" w:hAnsi="Arial" w:cs="Arial"/>
          <w:b/>
          <w:sz w:val="22"/>
          <w:szCs w:val="22"/>
          <w:lang w:val="es-ES"/>
        </w:rPr>
      </w:pPr>
    </w:p>
    <w:p w14:paraId="3C6D076E" w14:textId="77777777" w:rsidR="00423061" w:rsidRPr="00423061" w:rsidRDefault="00423061" w:rsidP="00423061">
      <w:pPr>
        <w:jc w:val="both"/>
        <w:rPr>
          <w:rFonts w:ascii="Arial" w:eastAsia="Calibri" w:hAnsi="Arial" w:cs="Arial"/>
          <w:bCs/>
          <w:sz w:val="20"/>
          <w:szCs w:val="20"/>
          <w:lang w:val="es-ES"/>
        </w:rPr>
      </w:pPr>
      <w:r w:rsidRPr="00423061">
        <w:rPr>
          <w:rFonts w:ascii="Arial" w:eastAsia="Calibri" w:hAnsi="Arial" w:cs="Arial"/>
          <w:bCs/>
          <w:sz w:val="20"/>
          <w:szCs w:val="20"/>
          <w:lang w:val="es-ES"/>
        </w:rPr>
        <w:t xml:space="preserve">De conformidad con el numeral 1 del artículo 2.2.1.2.4.2.14 del Decreto 1082 de 2015, adicionado por el Decreto 1860 de 2021, son definidos como emprendimientos o empresas de mujeres aquellas personas jurídicas en las que el 50% de las acciones, partes de interés o cuotas de participación pertenezcan a mujeres y los derechos de propiedad hayan pertenecido a estas durante, al menos, el último año anterior a la fecha de cierre del proceso de selección. Esto significa que, para que una persona jurídica sea considerada un emprendimiento o empresa de mujeres, a luz de este numeral, además de contar con la participación mayoritaria de mujeres, debe demostrar que la misma tiene una antigüedad mínima de un año, para poder cumplir con los requisitos exigidos por la norma analizada. </w:t>
      </w:r>
    </w:p>
    <w:p w14:paraId="06935CC5" w14:textId="77777777" w:rsidR="00423061" w:rsidRDefault="00423061" w:rsidP="00423061">
      <w:pPr>
        <w:jc w:val="both"/>
        <w:rPr>
          <w:rFonts w:ascii="Arial" w:eastAsia="Calibri" w:hAnsi="Arial" w:cs="Arial"/>
          <w:bCs/>
          <w:sz w:val="20"/>
          <w:szCs w:val="20"/>
          <w:lang w:val="es-ES"/>
        </w:rPr>
      </w:pPr>
    </w:p>
    <w:p w14:paraId="33454F59" w14:textId="3A5C6B76" w:rsidR="00581415" w:rsidRPr="004508D5" w:rsidRDefault="00423061" w:rsidP="00423061">
      <w:pPr>
        <w:jc w:val="both"/>
        <w:rPr>
          <w:rFonts w:ascii="Arial" w:eastAsia="Calibri" w:hAnsi="Arial" w:cs="Arial"/>
          <w:sz w:val="22"/>
          <w:lang w:val="es-ES_tradnl"/>
        </w:rPr>
      </w:pPr>
      <w:r w:rsidRPr="00423061">
        <w:rPr>
          <w:rFonts w:ascii="Arial" w:eastAsia="Calibri" w:hAnsi="Arial" w:cs="Arial"/>
          <w:bCs/>
          <w:sz w:val="20"/>
          <w:szCs w:val="20"/>
          <w:lang w:val="es-ES"/>
        </w:rPr>
        <w:t>En tales términos, sociedades con tiempos de constitución inferiores a un año no podrían encajar dentro de las definiciones establecidas en el artículo 2.2.1.2.4.2.14 del Decreto 1082 de 2015. Por lo tanto, estas sociedades no podrían cumplir con los requisitos para ser consideradas emprendimientos o empresas de mujeres, para la aplicación de los criterios diferenciales establecidos por el artículo 32 de la Ley 2069 de 2020, reglamentados por el artículo 2.2.1.2.4.2.15 del Decreto 1082 de 2015.</w:t>
      </w:r>
    </w:p>
    <w:p w14:paraId="09418902" w14:textId="77777777" w:rsidR="00B37AF7" w:rsidRPr="004508D5" w:rsidRDefault="00B37AF7" w:rsidP="00581415">
      <w:pPr>
        <w:jc w:val="both"/>
        <w:rPr>
          <w:rFonts w:ascii="Arial" w:eastAsia="Calibri" w:hAnsi="Arial" w:cs="Arial"/>
          <w:sz w:val="22"/>
          <w:lang w:val="es-ES_tradnl"/>
        </w:rPr>
      </w:pPr>
    </w:p>
    <w:p w14:paraId="682E7D8F" w14:textId="77777777" w:rsidR="009063EB" w:rsidRPr="00FA6ADB" w:rsidRDefault="009063EB" w:rsidP="009063EB">
      <w:pPr>
        <w:spacing w:line="276" w:lineRule="auto"/>
        <w:jc w:val="both"/>
        <w:rPr>
          <w:rFonts w:ascii="Arial" w:eastAsia="Calibri" w:hAnsi="Arial" w:cs="Arial"/>
          <w:sz w:val="22"/>
          <w:szCs w:val="22"/>
          <w:lang w:val="es-ES_tradnl"/>
        </w:rPr>
      </w:pPr>
    </w:p>
    <w:p w14:paraId="20C13F34" w14:textId="77777777" w:rsidR="009063EB" w:rsidRDefault="009063EB" w:rsidP="009063EB">
      <w:pPr>
        <w:jc w:val="both"/>
        <w:rPr>
          <w:rFonts w:ascii="Arial" w:eastAsia="Calibri" w:hAnsi="Arial" w:cs="Arial"/>
          <w:sz w:val="22"/>
          <w:szCs w:val="22"/>
          <w:lang w:val="es-ES_tradnl"/>
        </w:rPr>
      </w:pPr>
    </w:p>
    <w:p w14:paraId="62C2CAB2" w14:textId="77777777" w:rsidR="009063EB" w:rsidRDefault="009063EB" w:rsidP="009063EB">
      <w:pPr>
        <w:jc w:val="both"/>
        <w:rPr>
          <w:rFonts w:ascii="Arial" w:eastAsia="Calibri" w:hAnsi="Arial" w:cs="Arial"/>
          <w:sz w:val="22"/>
          <w:szCs w:val="22"/>
          <w:lang w:val="es-ES_tradnl"/>
        </w:rPr>
      </w:pPr>
    </w:p>
    <w:p w14:paraId="681BDB65" w14:textId="77777777" w:rsidR="009063EB" w:rsidRDefault="009063EB" w:rsidP="009063EB">
      <w:pPr>
        <w:jc w:val="both"/>
        <w:rPr>
          <w:rFonts w:ascii="Arial" w:eastAsia="Calibri" w:hAnsi="Arial" w:cs="Arial"/>
          <w:sz w:val="22"/>
          <w:szCs w:val="22"/>
          <w:lang w:val="es-ES_tradnl"/>
        </w:rPr>
      </w:pPr>
    </w:p>
    <w:p w14:paraId="4FC5EC21" w14:textId="77777777" w:rsidR="009063EB" w:rsidRDefault="009063EB" w:rsidP="009063EB">
      <w:pPr>
        <w:jc w:val="both"/>
        <w:rPr>
          <w:rFonts w:ascii="Arial" w:eastAsia="Calibri" w:hAnsi="Arial" w:cs="Arial"/>
          <w:sz w:val="22"/>
          <w:szCs w:val="22"/>
          <w:lang w:val="es-ES_tradnl"/>
        </w:rPr>
      </w:pPr>
    </w:p>
    <w:p w14:paraId="6AAC9E95" w14:textId="77777777" w:rsidR="009063EB" w:rsidRDefault="009063EB" w:rsidP="009063EB">
      <w:pPr>
        <w:jc w:val="both"/>
        <w:rPr>
          <w:rFonts w:ascii="Arial" w:eastAsia="Calibri" w:hAnsi="Arial" w:cs="Arial"/>
          <w:sz w:val="22"/>
          <w:szCs w:val="22"/>
          <w:lang w:val="es-ES_tradnl"/>
        </w:rPr>
      </w:pPr>
    </w:p>
    <w:p w14:paraId="4636C759" w14:textId="77777777" w:rsidR="009063EB" w:rsidRDefault="009063EB" w:rsidP="009063EB">
      <w:pPr>
        <w:jc w:val="both"/>
        <w:rPr>
          <w:rFonts w:ascii="Arial" w:eastAsia="Calibri" w:hAnsi="Arial" w:cs="Arial"/>
          <w:sz w:val="22"/>
          <w:szCs w:val="22"/>
          <w:lang w:val="es-ES_tradnl"/>
        </w:rPr>
      </w:pPr>
    </w:p>
    <w:p w14:paraId="62E60A2B" w14:textId="77777777" w:rsidR="009063EB" w:rsidRDefault="009063EB" w:rsidP="009063EB">
      <w:pPr>
        <w:jc w:val="both"/>
        <w:rPr>
          <w:rFonts w:ascii="Arial" w:eastAsia="Calibri" w:hAnsi="Arial" w:cs="Arial"/>
          <w:sz w:val="22"/>
          <w:szCs w:val="22"/>
          <w:lang w:val="es-ES_tradnl"/>
        </w:rPr>
      </w:pPr>
    </w:p>
    <w:p w14:paraId="45C31A2B" w14:textId="77777777" w:rsidR="009063EB" w:rsidRDefault="009063EB" w:rsidP="009063EB">
      <w:pPr>
        <w:jc w:val="both"/>
        <w:rPr>
          <w:rFonts w:ascii="Arial" w:eastAsia="Calibri" w:hAnsi="Arial" w:cs="Arial"/>
          <w:sz w:val="22"/>
          <w:szCs w:val="22"/>
          <w:lang w:val="es-ES_tradnl"/>
        </w:rPr>
      </w:pPr>
    </w:p>
    <w:p w14:paraId="06A99244" w14:textId="77777777" w:rsidR="009063EB" w:rsidRDefault="009063EB" w:rsidP="009063EB">
      <w:pPr>
        <w:jc w:val="both"/>
        <w:rPr>
          <w:rFonts w:ascii="Arial" w:eastAsia="Calibri" w:hAnsi="Arial" w:cs="Arial"/>
          <w:sz w:val="22"/>
          <w:szCs w:val="22"/>
          <w:lang w:val="es-ES_tradnl"/>
        </w:rPr>
      </w:pPr>
    </w:p>
    <w:p w14:paraId="302A8367" w14:textId="77777777" w:rsidR="009063EB" w:rsidRDefault="009063EB" w:rsidP="009063EB">
      <w:pPr>
        <w:jc w:val="both"/>
        <w:rPr>
          <w:rFonts w:ascii="Arial" w:eastAsia="Calibri" w:hAnsi="Arial" w:cs="Arial"/>
          <w:sz w:val="22"/>
          <w:szCs w:val="22"/>
          <w:lang w:val="es-ES_tradnl"/>
        </w:rPr>
      </w:pPr>
    </w:p>
    <w:p w14:paraId="18EC0E69" w14:textId="77777777" w:rsidR="009063EB" w:rsidRDefault="009063EB" w:rsidP="009063EB">
      <w:pPr>
        <w:jc w:val="both"/>
        <w:rPr>
          <w:rFonts w:ascii="Arial" w:eastAsia="Calibri" w:hAnsi="Arial" w:cs="Arial"/>
          <w:sz w:val="22"/>
          <w:szCs w:val="22"/>
          <w:lang w:val="es-ES_tradnl"/>
        </w:rPr>
      </w:pPr>
    </w:p>
    <w:p w14:paraId="7677B83E" w14:textId="77777777" w:rsidR="009063EB" w:rsidRDefault="009063EB" w:rsidP="009063EB">
      <w:pPr>
        <w:jc w:val="both"/>
        <w:rPr>
          <w:rFonts w:ascii="Arial" w:eastAsia="Calibri" w:hAnsi="Arial" w:cs="Arial"/>
          <w:sz w:val="22"/>
          <w:szCs w:val="22"/>
          <w:lang w:val="es-ES_tradnl"/>
        </w:rPr>
      </w:pPr>
    </w:p>
    <w:p w14:paraId="6D29ACF0" w14:textId="77777777" w:rsidR="009063EB" w:rsidRDefault="009063EB" w:rsidP="009063EB">
      <w:pPr>
        <w:jc w:val="both"/>
        <w:rPr>
          <w:rFonts w:ascii="Arial" w:eastAsia="Calibri" w:hAnsi="Arial" w:cs="Arial"/>
          <w:sz w:val="22"/>
          <w:szCs w:val="22"/>
          <w:lang w:val="es-ES_tradnl"/>
        </w:rPr>
      </w:pPr>
    </w:p>
    <w:p w14:paraId="0ED62E8F" w14:textId="77777777" w:rsidR="009063EB" w:rsidRDefault="009063EB" w:rsidP="009063EB">
      <w:pPr>
        <w:jc w:val="both"/>
        <w:rPr>
          <w:rFonts w:ascii="Arial" w:eastAsia="Calibri" w:hAnsi="Arial" w:cs="Arial"/>
          <w:sz w:val="22"/>
          <w:szCs w:val="22"/>
          <w:lang w:val="es-ES_tradnl"/>
        </w:rPr>
      </w:pPr>
    </w:p>
    <w:p w14:paraId="1ED14A8C" w14:textId="77777777" w:rsidR="009063EB" w:rsidRDefault="009063EB" w:rsidP="009063EB">
      <w:pPr>
        <w:jc w:val="both"/>
        <w:rPr>
          <w:rFonts w:ascii="Arial" w:eastAsia="Calibri" w:hAnsi="Arial" w:cs="Arial"/>
          <w:sz w:val="22"/>
          <w:szCs w:val="22"/>
          <w:lang w:val="es-ES_tradnl"/>
        </w:rPr>
      </w:pPr>
    </w:p>
    <w:p w14:paraId="67158BC0" w14:textId="77777777" w:rsidR="009063EB" w:rsidRDefault="009063EB" w:rsidP="009063EB">
      <w:pPr>
        <w:jc w:val="both"/>
        <w:rPr>
          <w:rFonts w:ascii="Arial" w:eastAsia="Calibri" w:hAnsi="Arial" w:cs="Arial"/>
          <w:sz w:val="22"/>
          <w:szCs w:val="22"/>
          <w:lang w:val="es-ES_tradnl"/>
        </w:rPr>
      </w:pPr>
    </w:p>
    <w:p w14:paraId="3650B6E7" w14:textId="77777777" w:rsidR="009063EB" w:rsidRDefault="009063EB" w:rsidP="009063EB">
      <w:pPr>
        <w:jc w:val="both"/>
        <w:rPr>
          <w:rFonts w:ascii="Arial" w:eastAsia="Calibri" w:hAnsi="Arial" w:cs="Arial"/>
          <w:sz w:val="22"/>
          <w:szCs w:val="22"/>
          <w:lang w:val="es-ES_tradnl"/>
        </w:rPr>
      </w:pPr>
    </w:p>
    <w:p w14:paraId="0D254146" w14:textId="77777777" w:rsidR="009063EB" w:rsidRDefault="009063EB" w:rsidP="009063EB">
      <w:pPr>
        <w:jc w:val="both"/>
        <w:rPr>
          <w:rFonts w:ascii="Arial" w:eastAsia="Calibri" w:hAnsi="Arial" w:cs="Arial"/>
          <w:sz w:val="22"/>
          <w:szCs w:val="22"/>
          <w:lang w:val="es-ES_tradnl"/>
        </w:rPr>
      </w:pPr>
    </w:p>
    <w:p w14:paraId="34A01E79" w14:textId="77777777" w:rsidR="009063EB" w:rsidRDefault="009063EB" w:rsidP="009063EB">
      <w:pPr>
        <w:jc w:val="both"/>
        <w:rPr>
          <w:rFonts w:ascii="Arial" w:eastAsia="Calibri" w:hAnsi="Arial" w:cs="Arial"/>
          <w:sz w:val="22"/>
          <w:szCs w:val="22"/>
          <w:lang w:val="es-ES_tradnl"/>
        </w:rPr>
      </w:pPr>
    </w:p>
    <w:p w14:paraId="77D9E8CC" w14:textId="77777777" w:rsidR="009063EB" w:rsidRDefault="009063EB" w:rsidP="009063EB">
      <w:pPr>
        <w:jc w:val="both"/>
        <w:rPr>
          <w:rFonts w:ascii="Arial" w:eastAsia="Calibri" w:hAnsi="Arial" w:cs="Arial"/>
          <w:sz w:val="22"/>
          <w:szCs w:val="22"/>
          <w:lang w:val="es-ES_tradnl"/>
        </w:rPr>
      </w:pPr>
    </w:p>
    <w:p w14:paraId="01F29818" w14:textId="77777777" w:rsidR="009063EB" w:rsidRDefault="009063EB" w:rsidP="009063EB">
      <w:pPr>
        <w:jc w:val="both"/>
        <w:rPr>
          <w:rFonts w:ascii="Arial" w:eastAsia="Calibri" w:hAnsi="Arial" w:cs="Arial"/>
          <w:sz w:val="22"/>
          <w:szCs w:val="22"/>
          <w:lang w:val="es-ES_tradnl"/>
        </w:rPr>
      </w:pPr>
    </w:p>
    <w:p w14:paraId="6224E46D" w14:textId="77777777" w:rsidR="009063EB" w:rsidRDefault="009063EB" w:rsidP="009063EB">
      <w:pPr>
        <w:jc w:val="both"/>
        <w:rPr>
          <w:rFonts w:ascii="Arial" w:eastAsia="Calibri" w:hAnsi="Arial" w:cs="Arial"/>
          <w:sz w:val="22"/>
          <w:szCs w:val="22"/>
          <w:lang w:val="es-ES_tradnl"/>
        </w:rPr>
      </w:pPr>
    </w:p>
    <w:p w14:paraId="34C565C7" w14:textId="77777777" w:rsidR="009063EB" w:rsidRDefault="009063EB" w:rsidP="009063EB">
      <w:pPr>
        <w:jc w:val="both"/>
        <w:rPr>
          <w:rFonts w:ascii="Arial" w:eastAsia="Calibri" w:hAnsi="Arial" w:cs="Arial"/>
          <w:sz w:val="22"/>
          <w:szCs w:val="22"/>
          <w:lang w:val="es-ES_tradnl"/>
        </w:rPr>
      </w:pPr>
    </w:p>
    <w:p w14:paraId="536E611E" w14:textId="77777777" w:rsidR="009063EB" w:rsidRDefault="009063EB" w:rsidP="009063EB">
      <w:pPr>
        <w:jc w:val="both"/>
        <w:rPr>
          <w:rFonts w:ascii="Arial" w:eastAsia="Calibri" w:hAnsi="Arial" w:cs="Arial"/>
          <w:sz w:val="22"/>
          <w:szCs w:val="22"/>
          <w:lang w:val="es-ES_tradnl"/>
        </w:rPr>
      </w:pPr>
    </w:p>
    <w:p w14:paraId="3A644DB1" w14:textId="13DE54F8" w:rsidR="00B37AF7" w:rsidRPr="004508D5" w:rsidRDefault="009063EB" w:rsidP="009063EB">
      <w:pPr>
        <w:jc w:val="both"/>
        <w:rPr>
          <w:rFonts w:ascii="Arial" w:eastAsia="Calibri" w:hAnsi="Arial" w:cs="Arial"/>
          <w:sz w:val="22"/>
          <w:lang w:val="es-ES_tradnl"/>
        </w:rPr>
      </w:pPr>
      <w:r w:rsidRPr="00FA6ADB">
        <w:rPr>
          <w:rFonts w:ascii="Arial" w:eastAsia="Calibri" w:hAnsi="Arial" w:cs="Arial"/>
          <w:sz w:val="22"/>
          <w:szCs w:val="22"/>
          <w:lang w:val="es-ES_tradnl"/>
        </w:rPr>
        <w:t xml:space="preserve">Bogotá D.C., </w:t>
      </w:r>
      <w:r>
        <w:rPr>
          <w:rFonts w:ascii="Arial" w:eastAsia="Calibri" w:hAnsi="Arial" w:cs="Arial"/>
          <w:sz w:val="22"/>
          <w:szCs w:val="22"/>
          <w:lang w:val="es-ES_tradnl"/>
        </w:rPr>
        <w:t>06</w:t>
      </w:r>
      <w:r w:rsidRPr="00FA6ADB">
        <w:rPr>
          <w:rFonts w:ascii="Arial" w:eastAsia="Calibri" w:hAnsi="Arial" w:cs="Arial"/>
          <w:sz w:val="22"/>
          <w:szCs w:val="22"/>
          <w:lang w:val="es-ES_tradnl"/>
        </w:rPr>
        <w:t xml:space="preserve"> </w:t>
      </w:r>
      <w:proofErr w:type="gramStart"/>
      <w:r w:rsidRPr="00FA6ADB">
        <w:rPr>
          <w:rFonts w:ascii="Arial" w:eastAsia="Calibri" w:hAnsi="Arial" w:cs="Arial"/>
          <w:sz w:val="22"/>
          <w:szCs w:val="22"/>
          <w:lang w:val="es-ES_tradnl"/>
        </w:rPr>
        <w:t>Octubre</w:t>
      </w:r>
      <w:proofErr w:type="gramEnd"/>
      <w:r w:rsidRPr="00FA6ADB">
        <w:rPr>
          <w:rFonts w:ascii="Arial" w:eastAsia="Calibri" w:hAnsi="Arial" w:cs="Arial"/>
          <w:sz w:val="22"/>
          <w:szCs w:val="22"/>
          <w:lang w:val="es-ES_tradnl"/>
        </w:rPr>
        <w:t xml:space="preserve"> de 2022</w:t>
      </w:r>
    </w:p>
    <w:p w14:paraId="3B3379EC" w14:textId="7546E00B" w:rsidR="00B37AF7" w:rsidRPr="004508D5" w:rsidRDefault="001B40A2" w:rsidP="001B40A2">
      <w:pPr>
        <w:jc w:val="right"/>
        <w:rPr>
          <w:rFonts w:ascii="Arial" w:eastAsia="Calibri" w:hAnsi="Arial" w:cs="Arial"/>
          <w:sz w:val="22"/>
          <w:lang w:val="es-ES_tradnl"/>
        </w:rPr>
      </w:pPr>
      <w:r w:rsidRPr="001B40A2">
        <w:rPr>
          <w:rFonts w:ascii="Arial" w:eastAsia="Calibri" w:hAnsi="Arial" w:cs="Arial"/>
          <w:noProof/>
          <w:sz w:val="22"/>
          <w:lang w:val="es-ES_tradnl"/>
        </w:rPr>
        <w:drawing>
          <wp:inline distT="0" distB="0" distL="0" distR="0" wp14:anchorId="3B0E042D" wp14:editId="23C307B1">
            <wp:extent cx="2467319" cy="771633"/>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0"/>
                    <a:stretch>
                      <a:fillRect/>
                    </a:stretch>
                  </pic:blipFill>
                  <pic:spPr>
                    <a:xfrm>
                      <a:off x="0" y="0"/>
                      <a:ext cx="2467319" cy="771633"/>
                    </a:xfrm>
                    <a:prstGeom prst="rect">
                      <a:avLst/>
                    </a:prstGeom>
                  </pic:spPr>
                </pic:pic>
              </a:graphicData>
            </a:graphic>
          </wp:inline>
        </w:drawing>
      </w:r>
    </w:p>
    <w:p w14:paraId="63933779" w14:textId="77777777" w:rsidR="00B37AF7" w:rsidRPr="004508D5" w:rsidRDefault="00B37AF7" w:rsidP="00581415">
      <w:pPr>
        <w:jc w:val="both"/>
        <w:rPr>
          <w:rFonts w:ascii="Arial" w:eastAsia="Calibri" w:hAnsi="Arial" w:cs="Arial"/>
          <w:sz w:val="22"/>
          <w:lang w:val="es-ES_tradnl"/>
        </w:rPr>
      </w:pPr>
    </w:p>
    <w:p w14:paraId="20312FA8" w14:textId="2B28C809" w:rsidR="00581415" w:rsidRPr="004508D5" w:rsidRDefault="00581415" w:rsidP="00581415">
      <w:pPr>
        <w:jc w:val="both"/>
        <w:rPr>
          <w:rFonts w:ascii="Arial" w:eastAsia="Calibri" w:hAnsi="Arial" w:cs="Arial"/>
          <w:sz w:val="22"/>
          <w:lang w:val="es-ES_tradnl"/>
        </w:rPr>
      </w:pPr>
      <w:r w:rsidRPr="004508D5">
        <w:rPr>
          <w:rFonts w:ascii="Arial" w:eastAsia="Calibri" w:hAnsi="Arial" w:cs="Arial"/>
          <w:sz w:val="22"/>
          <w:lang w:val="es-ES_tradnl"/>
        </w:rPr>
        <w:t>Señor</w:t>
      </w:r>
      <w:r w:rsidR="009B053A" w:rsidRPr="004508D5">
        <w:rPr>
          <w:rFonts w:ascii="Arial" w:eastAsia="Calibri" w:hAnsi="Arial" w:cs="Arial"/>
          <w:sz w:val="22"/>
          <w:lang w:val="es-ES_tradnl"/>
        </w:rPr>
        <w:t>a</w:t>
      </w:r>
    </w:p>
    <w:p w14:paraId="19FE0CC3" w14:textId="2A1A76FD" w:rsidR="00581415" w:rsidRPr="004508D5" w:rsidRDefault="009B053A" w:rsidP="00581415">
      <w:pPr>
        <w:jc w:val="both"/>
        <w:rPr>
          <w:rFonts w:ascii="Arial" w:eastAsia="Calibri" w:hAnsi="Arial" w:cs="Arial"/>
          <w:b/>
          <w:sz w:val="22"/>
          <w:lang w:val="es-ES_tradnl"/>
        </w:rPr>
      </w:pPr>
      <w:r w:rsidRPr="004508D5">
        <w:rPr>
          <w:rFonts w:ascii="Arial" w:eastAsia="Calibri" w:hAnsi="Arial" w:cs="Arial"/>
          <w:b/>
          <w:sz w:val="22"/>
          <w:lang w:val="es-ES_tradnl"/>
        </w:rPr>
        <w:t>Clara Inés Osorio Morales</w:t>
      </w:r>
    </w:p>
    <w:p w14:paraId="423C4851" w14:textId="77777777" w:rsidR="00581415" w:rsidRPr="004508D5" w:rsidRDefault="00581415" w:rsidP="00581415">
      <w:pPr>
        <w:jc w:val="both"/>
        <w:rPr>
          <w:rFonts w:ascii="Arial" w:eastAsia="Calibri" w:hAnsi="Arial" w:cs="Arial"/>
          <w:sz w:val="22"/>
          <w:lang w:val="es-ES_tradnl"/>
        </w:rPr>
      </w:pPr>
      <w:r w:rsidRPr="004508D5">
        <w:rPr>
          <w:rFonts w:ascii="Arial" w:eastAsia="Calibri" w:hAnsi="Arial" w:cs="Arial"/>
          <w:sz w:val="22"/>
          <w:lang w:val="es-ES_tradnl"/>
        </w:rPr>
        <w:t xml:space="preserve">Bogotá D.C.  </w:t>
      </w:r>
    </w:p>
    <w:p w14:paraId="1DAF1D1A" w14:textId="77777777" w:rsidR="00581415" w:rsidRPr="004508D5" w:rsidRDefault="00581415" w:rsidP="00581415">
      <w:pPr>
        <w:jc w:val="both"/>
        <w:rPr>
          <w:rFonts w:ascii="Arial" w:eastAsia="Calibri" w:hAnsi="Arial" w:cs="Arial"/>
          <w:sz w:val="22"/>
          <w:lang w:val="es-ES_tradnl"/>
        </w:rPr>
      </w:pPr>
    </w:p>
    <w:p w14:paraId="61FC2178" w14:textId="77777777" w:rsidR="00581415" w:rsidRPr="004508D5" w:rsidRDefault="00581415" w:rsidP="00581415">
      <w:pPr>
        <w:jc w:val="both"/>
        <w:rPr>
          <w:rFonts w:ascii="Arial" w:eastAsia="Calibri" w:hAnsi="Arial" w:cs="Arial"/>
          <w:sz w:val="22"/>
          <w:lang w:val="es-ES_tradnl"/>
        </w:rPr>
      </w:pPr>
    </w:p>
    <w:p w14:paraId="209CED2F" w14:textId="0551A871" w:rsidR="00581415" w:rsidRPr="004508D5" w:rsidRDefault="00581415" w:rsidP="00581415">
      <w:pPr>
        <w:rPr>
          <w:rFonts w:ascii="Arial" w:eastAsia="Calibri" w:hAnsi="Arial" w:cs="Arial"/>
          <w:b/>
          <w:bCs/>
          <w:sz w:val="22"/>
          <w:lang w:val="es-ES_tradnl"/>
        </w:rPr>
      </w:pPr>
      <w:r w:rsidRPr="004508D5">
        <w:rPr>
          <w:rFonts w:ascii="Arial" w:eastAsia="Calibri" w:hAnsi="Arial" w:cs="Arial"/>
          <w:b/>
          <w:bCs/>
          <w:sz w:val="22"/>
          <w:lang w:val="es-ES_tradnl"/>
        </w:rPr>
        <w:t xml:space="preserve">                                            Concepto C ‒ </w:t>
      </w:r>
      <w:r w:rsidR="009B053A" w:rsidRPr="004508D5">
        <w:rPr>
          <w:rFonts w:ascii="Arial" w:eastAsia="Calibri" w:hAnsi="Arial" w:cs="Arial"/>
          <w:b/>
          <w:bCs/>
          <w:sz w:val="22"/>
          <w:lang w:val="es-ES_tradnl"/>
        </w:rPr>
        <w:t>6</w:t>
      </w:r>
      <w:r w:rsidRPr="004508D5">
        <w:rPr>
          <w:rFonts w:ascii="Arial" w:eastAsia="Calibri" w:hAnsi="Arial" w:cs="Arial"/>
          <w:b/>
          <w:bCs/>
          <w:sz w:val="22"/>
          <w:lang w:val="es-ES_tradnl"/>
        </w:rPr>
        <w:t>5</w:t>
      </w:r>
      <w:r w:rsidR="009B053A" w:rsidRPr="004508D5">
        <w:rPr>
          <w:rFonts w:ascii="Arial" w:eastAsia="Calibri" w:hAnsi="Arial" w:cs="Arial"/>
          <w:b/>
          <w:bCs/>
          <w:sz w:val="22"/>
          <w:lang w:val="es-ES_tradnl"/>
        </w:rPr>
        <w:t>0</w:t>
      </w:r>
      <w:r w:rsidRPr="004508D5">
        <w:rPr>
          <w:rFonts w:ascii="Arial" w:eastAsia="Calibri" w:hAnsi="Arial" w:cs="Arial"/>
          <w:b/>
          <w:bCs/>
          <w:sz w:val="22"/>
          <w:lang w:val="es-ES_tradnl"/>
        </w:rPr>
        <w:t xml:space="preserve"> de 2022</w:t>
      </w:r>
    </w:p>
    <w:p w14:paraId="3F43EFD4" w14:textId="77777777" w:rsidR="00581415" w:rsidRPr="004508D5" w:rsidRDefault="00581415" w:rsidP="00581415">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81415" w:rsidRPr="004508D5" w14:paraId="04B31B0E" w14:textId="77777777" w:rsidTr="005A644B">
        <w:trPr>
          <w:trHeight w:val="1099"/>
        </w:trPr>
        <w:tc>
          <w:tcPr>
            <w:tcW w:w="2689" w:type="dxa"/>
          </w:tcPr>
          <w:p w14:paraId="2C5463FF" w14:textId="77777777" w:rsidR="00581415" w:rsidRPr="004508D5" w:rsidRDefault="00581415" w:rsidP="005A644B">
            <w:pPr>
              <w:jc w:val="both"/>
              <w:rPr>
                <w:rFonts w:ascii="Arial" w:eastAsia="Calibri" w:hAnsi="Arial" w:cs="Arial"/>
                <w:sz w:val="22"/>
                <w:lang w:val="es-ES_tradnl"/>
              </w:rPr>
            </w:pPr>
            <w:r w:rsidRPr="004508D5">
              <w:rPr>
                <w:rFonts w:ascii="Arial" w:eastAsia="Calibri" w:hAnsi="Arial" w:cs="Arial"/>
                <w:b/>
                <w:sz w:val="22"/>
                <w:lang w:val="es-ES_tradnl"/>
              </w:rPr>
              <w:t>Temas:</w:t>
            </w:r>
            <w:r w:rsidRPr="004508D5">
              <w:rPr>
                <w:rFonts w:ascii="Arial" w:eastAsia="Calibri" w:hAnsi="Arial" w:cs="Arial"/>
                <w:sz w:val="22"/>
                <w:lang w:val="es-ES_tradnl"/>
              </w:rPr>
              <w:t xml:space="preserve">                                      </w:t>
            </w:r>
          </w:p>
        </w:tc>
        <w:tc>
          <w:tcPr>
            <w:tcW w:w="6237" w:type="dxa"/>
          </w:tcPr>
          <w:p w14:paraId="3C8CE828" w14:textId="285AF71F" w:rsidR="00581415" w:rsidRPr="004508D5" w:rsidRDefault="00581415" w:rsidP="005A644B">
            <w:pPr>
              <w:jc w:val="both"/>
              <w:rPr>
                <w:rFonts w:ascii="Arial" w:hAnsi="Arial" w:cs="Arial"/>
                <w:b/>
                <w:bCs/>
                <w:noProof/>
                <w:sz w:val="20"/>
                <w:szCs w:val="22"/>
                <w:lang w:val="es-ES_tradnl"/>
              </w:rPr>
            </w:pPr>
            <w:r w:rsidRPr="004508D5">
              <w:rPr>
                <w:rFonts w:ascii="Arial" w:eastAsia="Calibri" w:hAnsi="Arial" w:cs="Arial"/>
                <w:bCs/>
                <w:sz w:val="22"/>
                <w:lang w:val="es-ES_tradnl"/>
              </w:rPr>
              <w:t>LEY DE EMPRENDIMIENTO – Ley 2069 de 2020– Finalidad / LEY DE EMPRENDIMIENTO – Ley 2069 de 2020 – Artículo 32 – Criterios diferenciales – Emprendimientos de mujeres – Empresas de mujeres – Necesidad de reglamentación – Decreto 1860 de 2021 / DECRETO 1860 DE 2021 – Vigencia / DECRETO 1860 DE 2021 – Emprendimientos y empresas de mujeres – Definición – Artículo 2.2.1.2.4.2.14 – Numeral 1 – Participación mayoritaria – Antigüedad</w:t>
            </w:r>
          </w:p>
        </w:tc>
      </w:tr>
      <w:tr w:rsidR="00581415" w:rsidRPr="004508D5" w14:paraId="1719D710" w14:textId="77777777" w:rsidTr="005A644B">
        <w:tc>
          <w:tcPr>
            <w:tcW w:w="2689" w:type="dxa"/>
          </w:tcPr>
          <w:p w14:paraId="6621975D" w14:textId="77777777" w:rsidR="00581415" w:rsidRPr="004508D5" w:rsidRDefault="00581415" w:rsidP="005A644B">
            <w:pPr>
              <w:spacing w:before="120"/>
              <w:jc w:val="both"/>
              <w:rPr>
                <w:rFonts w:ascii="Arial" w:eastAsia="Calibri" w:hAnsi="Arial" w:cs="Arial"/>
                <w:b/>
                <w:sz w:val="22"/>
                <w:lang w:val="es-ES_tradnl"/>
              </w:rPr>
            </w:pPr>
            <w:r w:rsidRPr="004508D5">
              <w:rPr>
                <w:rFonts w:ascii="Arial" w:eastAsia="Calibri" w:hAnsi="Arial" w:cs="Arial"/>
                <w:b/>
                <w:sz w:val="22"/>
                <w:lang w:val="es-ES_tradnl"/>
              </w:rPr>
              <w:t>Radicación:</w:t>
            </w:r>
            <w:r w:rsidRPr="004508D5">
              <w:rPr>
                <w:rFonts w:ascii="Arial" w:eastAsia="Calibri" w:hAnsi="Arial" w:cs="Arial"/>
                <w:sz w:val="22"/>
                <w:lang w:val="es-ES_tradnl"/>
              </w:rPr>
              <w:t xml:space="preserve">                              </w:t>
            </w:r>
          </w:p>
        </w:tc>
        <w:tc>
          <w:tcPr>
            <w:tcW w:w="6237" w:type="dxa"/>
          </w:tcPr>
          <w:p w14:paraId="31B8BC3A" w14:textId="4EC5B6D7" w:rsidR="00581415" w:rsidRPr="004508D5" w:rsidRDefault="00581415" w:rsidP="005A644B">
            <w:pPr>
              <w:spacing w:before="120"/>
              <w:jc w:val="both"/>
              <w:rPr>
                <w:rFonts w:ascii="Arial" w:eastAsia="Calibri" w:hAnsi="Arial" w:cs="Arial"/>
                <w:sz w:val="22"/>
                <w:lang w:val="es-ES_tradnl"/>
              </w:rPr>
            </w:pPr>
            <w:r w:rsidRPr="004508D5">
              <w:rPr>
                <w:rFonts w:ascii="Arial" w:eastAsia="Calibri" w:hAnsi="Arial" w:cs="Arial"/>
                <w:sz w:val="22"/>
                <w:lang w:val="es-ES_tradnl"/>
              </w:rPr>
              <w:t xml:space="preserve">Respuesta a consultas </w:t>
            </w:r>
            <w:r w:rsidR="009B053A" w:rsidRPr="004508D5">
              <w:rPr>
                <w:rFonts w:ascii="Arial" w:eastAsia="Calibri" w:hAnsi="Arial" w:cs="Arial"/>
                <w:sz w:val="22"/>
                <w:lang w:val="es-ES_tradnl"/>
              </w:rPr>
              <w:t>P20220826008542</w:t>
            </w:r>
          </w:p>
        </w:tc>
      </w:tr>
    </w:tbl>
    <w:p w14:paraId="555C3A0F" w14:textId="77777777" w:rsidR="00581415" w:rsidRPr="004508D5" w:rsidRDefault="00581415" w:rsidP="00581415">
      <w:pPr>
        <w:jc w:val="both"/>
        <w:rPr>
          <w:rFonts w:ascii="Arial" w:eastAsia="Calibri" w:hAnsi="Arial" w:cs="Arial"/>
          <w:sz w:val="22"/>
          <w:lang w:val="es-ES_tradnl"/>
        </w:rPr>
      </w:pPr>
    </w:p>
    <w:p w14:paraId="4E2C2299" w14:textId="77777777" w:rsidR="00581415" w:rsidRPr="004508D5" w:rsidRDefault="00581415" w:rsidP="00581415">
      <w:pPr>
        <w:jc w:val="both"/>
        <w:rPr>
          <w:rFonts w:ascii="Arial" w:eastAsia="Calibri" w:hAnsi="Arial" w:cs="Arial"/>
          <w:sz w:val="22"/>
          <w:lang w:val="es-ES_tradnl"/>
        </w:rPr>
      </w:pPr>
    </w:p>
    <w:p w14:paraId="0E38168F" w14:textId="1A59538E" w:rsidR="00581415" w:rsidRPr="004508D5" w:rsidRDefault="00581415" w:rsidP="00581415">
      <w:pPr>
        <w:jc w:val="both"/>
        <w:rPr>
          <w:rFonts w:ascii="Arial" w:eastAsia="Calibri" w:hAnsi="Arial" w:cs="Arial"/>
          <w:sz w:val="22"/>
          <w:lang w:val="es-ES_tradnl"/>
        </w:rPr>
      </w:pPr>
      <w:r w:rsidRPr="004508D5">
        <w:rPr>
          <w:rFonts w:ascii="Arial" w:eastAsia="Calibri" w:hAnsi="Arial" w:cs="Arial"/>
          <w:sz w:val="22"/>
          <w:lang w:val="es-ES_tradnl"/>
        </w:rPr>
        <w:t>Estimad</w:t>
      </w:r>
      <w:r w:rsidR="009B053A" w:rsidRPr="004508D5">
        <w:rPr>
          <w:rFonts w:ascii="Arial" w:eastAsia="Calibri" w:hAnsi="Arial" w:cs="Arial"/>
          <w:sz w:val="22"/>
          <w:lang w:val="es-ES_tradnl"/>
        </w:rPr>
        <w:t>a</w:t>
      </w:r>
      <w:r w:rsidRPr="004508D5">
        <w:rPr>
          <w:rFonts w:ascii="Arial" w:eastAsia="Calibri" w:hAnsi="Arial" w:cs="Arial"/>
          <w:sz w:val="22"/>
          <w:lang w:val="es-ES_tradnl"/>
        </w:rPr>
        <w:t xml:space="preserve"> señor</w:t>
      </w:r>
      <w:r w:rsidR="009B053A" w:rsidRPr="004508D5">
        <w:rPr>
          <w:rFonts w:ascii="Arial" w:eastAsia="Calibri" w:hAnsi="Arial" w:cs="Arial"/>
          <w:sz w:val="22"/>
          <w:lang w:val="es-ES_tradnl"/>
        </w:rPr>
        <w:t>a</w:t>
      </w:r>
      <w:r w:rsidRPr="004508D5">
        <w:rPr>
          <w:rFonts w:ascii="Arial" w:eastAsia="Calibri" w:hAnsi="Arial" w:cs="Arial"/>
          <w:sz w:val="22"/>
          <w:lang w:val="es-ES_tradnl"/>
        </w:rPr>
        <w:t xml:space="preserve"> </w:t>
      </w:r>
      <w:r w:rsidR="009B053A" w:rsidRPr="004508D5">
        <w:rPr>
          <w:rFonts w:ascii="Arial" w:eastAsia="Calibri" w:hAnsi="Arial" w:cs="Arial"/>
          <w:sz w:val="22"/>
          <w:lang w:val="es-ES_tradnl"/>
        </w:rPr>
        <w:t>Osorio</w:t>
      </w:r>
      <w:r w:rsidRPr="004508D5">
        <w:rPr>
          <w:rFonts w:ascii="Arial" w:eastAsia="Calibri" w:hAnsi="Arial" w:cs="Arial"/>
          <w:sz w:val="22"/>
          <w:lang w:val="es-ES_tradnl"/>
        </w:rPr>
        <w:t xml:space="preserve">: </w:t>
      </w:r>
    </w:p>
    <w:p w14:paraId="18C630A9" w14:textId="77777777" w:rsidR="00581415" w:rsidRPr="004508D5" w:rsidRDefault="00581415" w:rsidP="00581415">
      <w:pPr>
        <w:jc w:val="both"/>
        <w:rPr>
          <w:rFonts w:ascii="Arial" w:eastAsia="Calibri" w:hAnsi="Arial" w:cs="Arial"/>
          <w:sz w:val="22"/>
          <w:lang w:val="es-ES_tradnl"/>
        </w:rPr>
      </w:pPr>
    </w:p>
    <w:p w14:paraId="06458C87" w14:textId="5DD0940C" w:rsidR="00581415" w:rsidRPr="004508D5" w:rsidRDefault="00581415" w:rsidP="00581415">
      <w:pPr>
        <w:spacing w:line="276" w:lineRule="auto"/>
        <w:jc w:val="both"/>
        <w:rPr>
          <w:rFonts w:ascii="Arial" w:eastAsia="Calibri" w:hAnsi="Arial" w:cs="Arial"/>
          <w:sz w:val="22"/>
          <w:lang w:val="es-ES_tradnl"/>
        </w:rPr>
      </w:pPr>
      <w:r w:rsidRPr="004508D5">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26 de </w:t>
      </w:r>
      <w:r w:rsidR="0066563A" w:rsidRPr="004508D5">
        <w:rPr>
          <w:rFonts w:ascii="Arial" w:eastAsia="Calibri" w:hAnsi="Arial" w:cs="Arial"/>
          <w:sz w:val="22"/>
          <w:lang w:val="es-ES_tradnl"/>
        </w:rPr>
        <w:t>agosto</w:t>
      </w:r>
      <w:r w:rsidRPr="004508D5">
        <w:rPr>
          <w:rFonts w:ascii="Arial" w:eastAsia="Calibri" w:hAnsi="Arial" w:cs="Arial"/>
          <w:sz w:val="22"/>
          <w:lang w:val="es-ES_tradnl"/>
        </w:rPr>
        <w:t xml:space="preserve"> de 2022.</w:t>
      </w:r>
    </w:p>
    <w:p w14:paraId="352CD54F" w14:textId="77777777" w:rsidR="00581415" w:rsidRPr="004508D5" w:rsidRDefault="00581415" w:rsidP="00581415">
      <w:pPr>
        <w:spacing w:line="276" w:lineRule="auto"/>
        <w:jc w:val="both"/>
        <w:rPr>
          <w:rFonts w:ascii="Arial" w:eastAsia="Calibri" w:hAnsi="Arial" w:cs="Arial"/>
          <w:b/>
          <w:sz w:val="22"/>
          <w:lang w:val="es-ES_tradnl"/>
        </w:rPr>
      </w:pPr>
    </w:p>
    <w:p w14:paraId="14000F5E" w14:textId="77777777" w:rsidR="00581415" w:rsidRPr="004508D5" w:rsidRDefault="00581415" w:rsidP="00581415">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sz w:val="22"/>
          <w:lang w:val="es-ES_tradnl"/>
        </w:rPr>
      </w:pPr>
      <w:r w:rsidRPr="004508D5">
        <w:rPr>
          <w:rFonts w:ascii="Arial" w:eastAsia="Calibri" w:hAnsi="Arial" w:cs="Arial"/>
          <w:b/>
          <w:sz w:val="22"/>
          <w:lang w:val="es-ES_tradnl"/>
        </w:rPr>
        <w:t xml:space="preserve">Problema planteado </w:t>
      </w:r>
    </w:p>
    <w:p w14:paraId="615A508E" w14:textId="77777777" w:rsidR="00581415" w:rsidRPr="004508D5" w:rsidRDefault="00581415" w:rsidP="00581415">
      <w:pPr>
        <w:tabs>
          <w:tab w:val="left" w:pos="426"/>
        </w:tabs>
        <w:spacing w:line="276" w:lineRule="auto"/>
        <w:jc w:val="both"/>
        <w:rPr>
          <w:rFonts w:ascii="Arial" w:eastAsia="Calibri" w:hAnsi="Arial" w:cs="Arial"/>
          <w:b/>
          <w:sz w:val="22"/>
          <w:lang w:val="es-ES_tradnl"/>
        </w:rPr>
      </w:pPr>
    </w:p>
    <w:p w14:paraId="60D13565" w14:textId="78926DB7" w:rsidR="00581415" w:rsidRPr="004508D5" w:rsidRDefault="00581415" w:rsidP="00581415">
      <w:pPr>
        <w:spacing w:line="276" w:lineRule="auto"/>
        <w:jc w:val="both"/>
        <w:rPr>
          <w:rFonts w:ascii="Arial" w:hAnsi="Arial" w:cs="Arial"/>
          <w:sz w:val="22"/>
          <w:lang w:val="es-ES_tradnl"/>
        </w:rPr>
      </w:pPr>
      <w:r w:rsidRPr="004508D5">
        <w:rPr>
          <w:rFonts w:ascii="Arial" w:hAnsi="Arial" w:cs="Arial"/>
          <w:sz w:val="22"/>
          <w:lang w:val="es-ES_tradnl"/>
        </w:rPr>
        <w:t xml:space="preserve">Su consulta se refiere al contenido del artículo 2.2.1.2.4.2.14 del Decreto 1082 de 2015, adicionado por el Decreto 1860 de 2021, el cual establece los criterios para identificar emprendimientos y empresas de mujeres para los criterios diferenciales del artículo 32 de la Ley 2069 de 2020. Al respecto, usted realiza la siguiente pregunta: </w:t>
      </w:r>
    </w:p>
    <w:p w14:paraId="54FA4D6A" w14:textId="77777777" w:rsidR="00581415" w:rsidRPr="004508D5" w:rsidRDefault="00581415" w:rsidP="00581415">
      <w:pPr>
        <w:autoSpaceDE w:val="0"/>
        <w:autoSpaceDN w:val="0"/>
        <w:adjustRightInd w:val="0"/>
        <w:ind w:left="709" w:right="709"/>
        <w:jc w:val="both"/>
        <w:rPr>
          <w:rFonts w:ascii="Arial" w:hAnsi="Arial" w:cs="Arial"/>
          <w:sz w:val="22"/>
          <w:lang w:val="es-ES_tradnl"/>
        </w:rPr>
      </w:pPr>
    </w:p>
    <w:p w14:paraId="516D1A3E" w14:textId="25CC816E" w:rsidR="00581415" w:rsidRPr="004508D5" w:rsidRDefault="00581415" w:rsidP="00581415">
      <w:pPr>
        <w:autoSpaceDE w:val="0"/>
        <w:autoSpaceDN w:val="0"/>
        <w:adjustRightInd w:val="0"/>
        <w:ind w:left="709" w:right="709"/>
        <w:jc w:val="both"/>
        <w:rPr>
          <w:rFonts w:ascii="Arial" w:hAnsi="Arial" w:cs="Arial"/>
          <w:sz w:val="21"/>
          <w:szCs w:val="21"/>
          <w:lang w:val="es-ES_tradnl"/>
        </w:rPr>
      </w:pPr>
      <w:bookmarkStart w:id="1" w:name="_Hlk79503570"/>
      <w:bookmarkStart w:id="2" w:name="_Hlk79651438"/>
      <w:r w:rsidRPr="004508D5">
        <w:rPr>
          <w:rFonts w:ascii="Arial" w:hAnsi="Arial" w:cs="Arial"/>
          <w:sz w:val="21"/>
          <w:szCs w:val="21"/>
          <w:lang w:val="es-ES_tradnl"/>
        </w:rPr>
        <w:t>«[…] las empresas nuevas pueden participar de este factor diferencial en proceso de contratación con una entidad estatal?».</w:t>
      </w:r>
    </w:p>
    <w:bookmarkEnd w:id="1"/>
    <w:bookmarkEnd w:id="2"/>
    <w:p w14:paraId="61949CF4" w14:textId="77777777" w:rsidR="00581415" w:rsidRPr="004508D5" w:rsidRDefault="00581415" w:rsidP="00581415">
      <w:pPr>
        <w:ind w:right="709"/>
        <w:jc w:val="both"/>
        <w:rPr>
          <w:rFonts w:ascii="Arial" w:hAnsi="Arial" w:cs="Arial"/>
          <w:sz w:val="21"/>
          <w:szCs w:val="21"/>
          <w:lang w:val="es-ES_tradnl"/>
        </w:rPr>
      </w:pPr>
    </w:p>
    <w:p w14:paraId="1D563414" w14:textId="77777777" w:rsidR="00581415" w:rsidRPr="004508D5" w:rsidRDefault="00581415" w:rsidP="00581415">
      <w:pPr>
        <w:pStyle w:val="Prrafodelista"/>
        <w:numPr>
          <w:ilvl w:val="0"/>
          <w:numId w:val="1"/>
        </w:numPr>
        <w:tabs>
          <w:tab w:val="left" w:pos="0"/>
          <w:tab w:val="left" w:pos="284"/>
        </w:tabs>
        <w:ind w:left="0" w:firstLine="0"/>
        <w:jc w:val="both"/>
        <w:rPr>
          <w:rFonts w:ascii="Arial" w:eastAsia="Calibri" w:hAnsi="Arial" w:cs="Arial"/>
          <w:b/>
          <w:sz w:val="22"/>
          <w:lang w:val="es-ES_tradnl"/>
        </w:rPr>
      </w:pPr>
      <w:r w:rsidRPr="004508D5">
        <w:rPr>
          <w:rFonts w:ascii="Arial" w:eastAsia="Calibri" w:hAnsi="Arial" w:cs="Arial"/>
          <w:b/>
          <w:sz w:val="22"/>
          <w:lang w:val="es-ES_tradnl"/>
        </w:rPr>
        <w:lastRenderedPageBreak/>
        <w:t>Consideraciones</w:t>
      </w:r>
    </w:p>
    <w:p w14:paraId="0F18AB46" w14:textId="77777777" w:rsidR="00581415" w:rsidRPr="004508D5" w:rsidRDefault="00581415" w:rsidP="00581415">
      <w:pPr>
        <w:spacing w:line="276" w:lineRule="auto"/>
        <w:jc w:val="both"/>
        <w:rPr>
          <w:rFonts w:ascii="Arial" w:eastAsia="Calibri" w:hAnsi="Arial" w:cs="Arial"/>
          <w:sz w:val="22"/>
          <w:szCs w:val="22"/>
          <w:lang w:val="es-ES_tradnl"/>
        </w:rPr>
      </w:pPr>
    </w:p>
    <w:p w14:paraId="406F6543" w14:textId="32B6D9B3" w:rsidR="00581415" w:rsidRPr="004508D5" w:rsidRDefault="00581415" w:rsidP="00581415">
      <w:pPr>
        <w:spacing w:line="276" w:lineRule="auto"/>
        <w:jc w:val="both"/>
        <w:rPr>
          <w:rFonts w:ascii="Arial" w:eastAsia="Calibri" w:hAnsi="Arial" w:cs="Arial"/>
          <w:sz w:val="22"/>
          <w:szCs w:val="22"/>
          <w:lang w:val="es-ES_tradnl"/>
        </w:rPr>
      </w:pPr>
      <w:r w:rsidRPr="004508D5">
        <w:rPr>
          <w:rFonts w:ascii="Arial" w:eastAsia="Calibri" w:hAnsi="Arial" w:cs="Arial"/>
          <w:sz w:val="22"/>
          <w:szCs w:val="22"/>
          <w:lang w:val="es-ES_tradnl"/>
        </w:rPr>
        <w:t xml:space="preserve">Para responder su consulta, en desarrollo del presente concepto, se analizarán los siguientes temas: i) vigencia y reglamentación de los criterios diferenciales de la Ley 2069 de 2020 y </w:t>
      </w:r>
      <w:proofErr w:type="spellStart"/>
      <w:r w:rsidRPr="004508D5">
        <w:rPr>
          <w:rFonts w:ascii="Arial" w:eastAsia="Calibri" w:hAnsi="Arial" w:cs="Arial"/>
          <w:sz w:val="22"/>
          <w:szCs w:val="22"/>
          <w:lang w:val="es-ES_tradnl"/>
        </w:rPr>
        <w:t>ii</w:t>
      </w:r>
      <w:proofErr w:type="spellEnd"/>
      <w:r w:rsidRPr="004508D5">
        <w:rPr>
          <w:rFonts w:ascii="Arial" w:eastAsia="Calibri" w:hAnsi="Arial" w:cs="Arial"/>
          <w:sz w:val="22"/>
          <w:szCs w:val="22"/>
          <w:lang w:val="es-ES_tradnl"/>
        </w:rPr>
        <w:t>) definición de emprendimientos y empresas de mujeres en el Decreto 1860 de 2021. La Agencia Nacional de Contratación Pública – Colombia Compra Eficiente se ha pronunciado, en términos generales, sobre el contenido de la Ley de Emprendimiento en diferentes conceptos</w:t>
      </w:r>
      <w:r w:rsidRPr="00423061">
        <w:rPr>
          <w:rStyle w:val="Refdenotaalpie"/>
          <w:rFonts w:ascii="Arial" w:eastAsia="Calibri" w:hAnsi="Arial" w:cs="Arial"/>
        </w:rPr>
        <w:footnoteReference w:id="1"/>
      </w:r>
      <w:r w:rsidRPr="004508D5">
        <w:rPr>
          <w:rFonts w:ascii="Arial" w:eastAsia="Calibri" w:hAnsi="Arial" w:cs="Arial"/>
          <w:sz w:val="22"/>
          <w:szCs w:val="22"/>
          <w:lang w:val="es-ES_tradnl"/>
        </w:rPr>
        <w:t xml:space="preserve">, refiriéndose, especialmente, a lo dispuesto en el artículo 32 de dicha ley, alusivo a los criterios diferenciales para emprendimientos y empresas de mujeres, en los conceptos </w:t>
      </w:r>
      <w:r w:rsidRPr="004508D5">
        <w:rPr>
          <w:rStyle w:val="normaltextrun"/>
          <w:rFonts w:ascii="Arial" w:hAnsi="Arial" w:cs="Arial"/>
          <w:sz w:val="22"/>
          <w:szCs w:val="22"/>
          <w:shd w:val="clear" w:color="auto" w:fill="FFFFFF"/>
        </w:rPr>
        <w:t>C-029 de 21 de febrero de 2021, C-037 del 26 de febrero de 2021, C-141 del 8 de abril de 2021, C-114 del 13 de abril de 2015, C-031 del 1 de marzo de 2022,</w:t>
      </w:r>
      <w:r w:rsidR="009B053A" w:rsidRPr="004508D5">
        <w:rPr>
          <w:rStyle w:val="normaltextrun"/>
          <w:rFonts w:ascii="Arial" w:hAnsi="Arial" w:cs="Arial"/>
          <w:sz w:val="22"/>
          <w:szCs w:val="22"/>
          <w:shd w:val="clear" w:color="auto" w:fill="FFFFFF"/>
        </w:rPr>
        <w:t xml:space="preserve"> C-454 del 13 de julio de 2022,</w:t>
      </w:r>
      <w:r w:rsidRPr="004508D5">
        <w:rPr>
          <w:rStyle w:val="normaltextrun"/>
          <w:rFonts w:ascii="Arial" w:hAnsi="Arial" w:cs="Arial"/>
          <w:sz w:val="22"/>
          <w:szCs w:val="22"/>
          <w:shd w:val="clear" w:color="auto" w:fill="FFFFFF"/>
        </w:rPr>
        <w:t xml:space="preserve"> entre otros.</w:t>
      </w:r>
      <w:r w:rsidRPr="004508D5">
        <w:rPr>
          <w:rFonts w:ascii="Arial" w:eastAsia="Calibri" w:hAnsi="Arial" w:cs="Arial"/>
          <w:sz w:val="22"/>
          <w:szCs w:val="22"/>
          <w:lang w:val="es-ES_tradnl"/>
        </w:rPr>
        <w:t xml:space="preserve"> Algunas de las consideraciones de estos conceptos se reiteran y complementan a continuación.</w:t>
      </w:r>
    </w:p>
    <w:p w14:paraId="0C8C8419" w14:textId="77777777" w:rsidR="00581415" w:rsidRPr="004508D5" w:rsidRDefault="00581415" w:rsidP="00581415">
      <w:pPr>
        <w:textAlignment w:val="baseline"/>
        <w:rPr>
          <w:rFonts w:ascii="Arial" w:eastAsia="Calibri" w:hAnsi="Arial" w:cs="Arial"/>
          <w:sz w:val="22"/>
          <w:szCs w:val="22"/>
          <w:lang w:val="es-ES_tradnl"/>
        </w:rPr>
      </w:pPr>
    </w:p>
    <w:p w14:paraId="05B474DF" w14:textId="77777777" w:rsidR="00581415" w:rsidRPr="004508D5" w:rsidRDefault="00581415" w:rsidP="00581415">
      <w:pPr>
        <w:spacing w:line="276" w:lineRule="auto"/>
        <w:jc w:val="both"/>
        <w:rPr>
          <w:rFonts w:ascii="Arial" w:eastAsia="Calibri" w:hAnsi="Arial" w:cs="Arial"/>
          <w:b/>
          <w:bCs/>
          <w:sz w:val="22"/>
          <w:szCs w:val="22"/>
          <w:lang w:val="es-ES_tradnl"/>
        </w:rPr>
      </w:pPr>
      <w:r w:rsidRPr="004508D5">
        <w:rPr>
          <w:rFonts w:ascii="Arial" w:eastAsia="Calibri" w:hAnsi="Arial" w:cs="Arial"/>
          <w:b/>
          <w:bCs/>
          <w:sz w:val="22"/>
          <w:szCs w:val="22"/>
          <w:lang w:val="es-ES_tradnl"/>
        </w:rPr>
        <w:t xml:space="preserve">2.1. </w:t>
      </w:r>
      <w:bookmarkStart w:id="3" w:name="_Hlk94018153"/>
      <w:r w:rsidRPr="004508D5">
        <w:rPr>
          <w:rFonts w:ascii="Arial" w:eastAsia="Calibri" w:hAnsi="Arial" w:cs="Arial"/>
          <w:b/>
          <w:bCs/>
          <w:sz w:val="22"/>
          <w:szCs w:val="22"/>
          <w:lang w:val="es-ES_tradnl"/>
        </w:rPr>
        <w:t xml:space="preserve">Vigencia y reglamentación de los criterios diferenciales de la Ley 2069 de 2020 </w:t>
      </w:r>
      <w:bookmarkEnd w:id="3"/>
    </w:p>
    <w:p w14:paraId="76F454EB" w14:textId="77777777" w:rsidR="00581415" w:rsidRPr="004508D5" w:rsidRDefault="00581415" w:rsidP="00581415">
      <w:pPr>
        <w:spacing w:line="276" w:lineRule="auto"/>
        <w:jc w:val="both"/>
        <w:rPr>
          <w:rFonts w:ascii="Arial" w:eastAsia="Calibri" w:hAnsi="Arial" w:cs="Arial"/>
          <w:sz w:val="22"/>
          <w:szCs w:val="22"/>
          <w:lang w:val="es-ES_tradnl"/>
        </w:rPr>
      </w:pPr>
    </w:p>
    <w:p w14:paraId="166AA745" w14:textId="77777777" w:rsidR="00581415" w:rsidRPr="004508D5" w:rsidRDefault="00581415" w:rsidP="00581415">
      <w:pPr>
        <w:spacing w:line="276" w:lineRule="auto"/>
        <w:jc w:val="both"/>
        <w:rPr>
          <w:rFonts w:ascii="Arial" w:eastAsia="Calibri" w:hAnsi="Arial" w:cs="Arial"/>
          <w:sz w:val="22"/>
          <w:szCs w:val="22"/>
          <w:lang w:val="es-ES_tradnl"/>
        </w:rPr>
      </w:pPr>
      <w:r w:rsidRPr="004508D5">
        <w:rPr>
          <w:rFonts w:ascii="Arial" w:eastAsia="Calibri" w:hAnsi="Arial" w:cs="Arial"/>
          <w:sz w:val="22"/>
          <w:szCs w:val="22"/>
          <w:lang w:val="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w:t>
      </w:r>
    </w:p>
    <w:p w14:paraId="149FCB20" w14:textId="77777777" w:rsidR="00581415" w:rsidRPr="004508D5" w:rsidRDefault="00581415" w:rsidP="00581415">
      <w:pPr>
        <w:spacing w:before="120" w:line="276" w:lineRule="auto"/>
        <w:ind w:firstLine="709"/>
        <w:jc w:val="both"/>
        <w:rPr>
          <w:rFonts w:ascii="Arial" w:eastAsia="Calibri" w:hAnsi="Arial" w:cs="Arial"/>
          <w:sz w:val="22"/>
          <w:szCs w:val="22"/>
          <w:lang w:val="es-ES_tradnl"/>
        </w:rPr>
      </w:pPr>
      <w:r w:rsidRPr="004508D5">
        <w:rPr>
          <w:rFonts w:ascii="Arial" w:eastAsia="Calibri" w:hAnsi="Arial" w:cs="Arial"/>
          <w:sz w:val="22"/>
          <w:szCs w:val="22"/>
          <w:lang w:val="es-ES_tradnl"/>
        </w:rPr>
        <w:t xml:space="preserve">En cuanto a su contenido, es importante señalar que, como dispone el artículo 1, aquella «tiene por objeto establecer un marco regulatorio que propicie el emprendimiento y </w:t>
      </w:r>
      <w:r w:rsidRPr="004508D5">
        <w:rPr>
          <w:rFonts w:ascii="Arial" w:eastAsia="Calibri" w:hAnsi="Arial" w:cs="Arial"/>
          <w:sz w:val="22"/>
          <w:szCs w:val="22"/>
          <w:lang w:val="es-ES_tradnl"/>
        </w:rPr>
        <w:lastRenderedPageBreak/>
        <w:t>el crecimiento, consolidación y sostenibilidad de las empresas, con el fin de aumentar el bienestar social y generar equidad»</w:t>
      </w:r>
      <w:r w:rsidRPr="00423061">
        <w:rPr>
          <w:rStyle w:val="Refdenotaalpie"/>
          <w:rFonts w:ascii="Arial" w:eastAsia="Calibri" w:hAnsi="Arial" w:cs="Arial"/>
        </w:rPr>
        <w:footnoteReference w:id="2"/>
      </w:r>
      <w:r w:rsidRPr="004508D5">
        <w:rPr>
          <w:rFonts w:ascii="Arial" w:eastAsia="Calibri" w:hAnsi="Arial" w:cs="Arial"/>
          <w:sz w:val="22"/>
          <w:szCs w:val="22"/>
          <w:lang w:val="es-ES_tradnl"/>
        </w:rPr>
        <w:t xml:space="preserve">. Esto, a partir de «[…] un enfoque regionalizado </w:t>
      </w:r>
      <w:proofErr w:type="gramStart"/>
      <w:r w:rsidRPr="004508D5">
        <w:rPr>
          <w:rFonts w:ascii="Arial" w:eastAsia="Calibri" w:hAnsi="Arial" w:cs="Arial"/>
          <w:sz w:val="22"/>
          <w:szCs w:val="22"/>
          <w:lang w:val="es-ES_tradnl"/>
        </w:rPr>
        <w:t>de acuerdo a</w:t>
      </w:r>
      <w:proofErr w:type="gramEnd"/>
      <w:r w:rsidRPr="004508D5">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w:t>
      </w:r>
      <w:proofErr w:type="spellStart"/>
      <w:r w:rsidRPr="004508D5">
        <w:rPr>
          <w:rFonts w:ascii="Arial" w:eastAsia="Calibri" w:hAnsi="Arial" w:cs="Arial"/>
          <w:sz w:val="22"/>
          <w:szCs w:val="22"/>
          <w:lang w:val="es-ES_tradnl"/>
        </w:rPr>
        <w:t>mipymes</w:t>
      </w:r>
      <w:proofErr w:type="spellEnd"/>
      <w:r w:rsidRPr="004508D5">
        <w:rPr>
          <w:rFonts w:ascii="Arial" w:eastAsia="Calibri" w:hAnsi="Arial" w:cs="Arial"/>
          <w:sz w:val="22"/>
          <w:szCs w:val="22"/>
          <w:lang w:val="es-ES_tradnl"/>
        </w:rPr>
        <w:t>–, mediante la racionalización y simplificación de los trámites y tarifas</w:t>
      </w:r>
      <w:r w:rsidRPr="00423061">
        <w:rPr>
          <w:rStyle w:val="Refdenotaalpie"/>
          <w:rFonts w:ascii="Arial" w:eastAsia="Calibri" w:hAnsi="Arial" w:cs="Arial"/>
        </w:rPr>
        <w:footnoteReference w:id="3"/>
      </w:r>
      <w:r w:rsidRPr="004508D5">
        <w:rPr>
          <w:rFonts w:ascii="Arial" w:eastAsia="Calibri" w:hAnsi="Arial" w:cs="Arial"/>
          <w:sz w:val="22"/>
          <w:szCs w:val="22"/>
          <w:lang w:val="es-ES_tradnl"/>
        </w:rPr>
        <w:t>, así como incentivos a favor de aquellas dentro del sistema de compras y contratación pública</w:t>
      </w:r>
      <w:r w:rsidRPr="00423061">
        <w:rPr>
          <w:rStyle w:val="Refdenotaalpie"/>
          <w:rFonts w:ascii="Arial" w:eastAsia="Calibri" w:hAnsi="Arial" w:cs="Arial"/>
        </w:rPr>
        <w:footnoteReference w:id="4"/>
      </w:r>
      <w:r w:rsidRPr="004508D5">
        <w:rPr>
          <w:rFonts w:ascii="Arial" w:eastAsia="Calibri" w:hAnsi="Arial" w:cs="Arial"/>
          <w:sz w:val="22"/>
          <w:szCs w:val="22"/>
          <w:lang w:val="es-ES_tradnl"/>
        </w:rPr>
        <w:t>. También se consagran mecanismos de acceso al financiamiento</w:t>
      </w:r>
      <w:r w:rsidRPr="00423061">
        <w:rPr>
          <w:rStyle w:val="Refdenotaalpie"/>
          <w:rFonts w:ascii="Arial" w:eastAsia="Calibri" w:hAnsi="Arial" w:cs="Arial"/>
        </w:rPr>
        <w:footnoteReference w:id="5"/>
      </w:r>
      <w:r w:rsidRPr="004508D5">
        <w:rPr>
          <w:rFonts w:ascii="Arial" w:eastAsia="Calibri" w:hAnsi="Arial" w:cs="Arial"/>
          <w:sz w:val="22"/>
          <w:szCs w:val="22"/>
          <w:lang w:val="es-ES_tradnl"/>
        </w:rPr>
        <w:t>, se unifican las fuentes de emprendimiento y de desarrollo empresarial, para fortalecer y promover los distintos sectores de la economía</w:t>
      </w:r>
      <w:r w:rsidRPr="00423061">
        <w:rPr>
          <w:rStyle w:val="Refdenotaalpie"/>
          <w:rFonts w:ascii="Arial" w:eastAsia="Calibri" w:hAnsi="Arial" w:cs="Arial"/>
        </w:rPr>
        <w:footnoteReference w:id="6"/>
      </w:r>
      <w:r w:rsidRPr="004508D5">
        <w:rPr>
          <w:rFonts w:ascii="Arial" w:eastAsia="Calibri" w:hAnsi="Arial" w:cs="Arial"/>
          <w:sz w:val="22"/>
          <w:szCs w:val="22"/>
          <w:lang w:val="es-ES_tradnl"/>
        </w:rPr>
        <w:t xml:space="preserve"> y se prevén medidas de educación para el emprendimiento y la innovación</w:t>
      </w:r>
      <w:r w:rsidRPr="00423061">
        <w:rPr>
          <w:rStyle w:val="Refdenotaalpie"/>
          <w:rFonts w:ascii="Arial" w:eastAsia="Calibri" w:hAnsi="Arial" w:cs="Arial"/>
        </w:rPr>
        <w:footnoteReference w:id="7"/>
      </w:r>
      <w:r w:rsidRPr="004508D5">
        <w:rPr>
          <w:rFonts w:ascii="Arial" w:eastAsia="Calibri" w:hAnsi="Arial" w:cs="Arial"/>
          <w:sz w:val="22"/>
          <w:szCs w:val="22"/>
          <w:lang w:val="es-ES_tradnl"/>
        </w:rPr>
        <w:t>.</w:t>
      </w:r>
    </w:p>
    <w:p w14:paraId="514041EC" w14:textId="77777777" w:rsidR="00581415" w:rsidRPr="004508D5" w:rsidRDefault="00581415" w:rsidP="00581415">
      <w:pPr>
        <w:spacing w:before="120" w:after="120" w:line="276" w:lineRule="auto"/>
        <w:ind w:firstLine="709"/>
        <w:jc w:val="both"/>
        <w:rPr>
          <w:rFonts w:ascii="Arial" w:eastAsia="Calibri" w:hAnsi="Arial" w:cs="Arial"/>
          <w:sz w:val="22"/>
          <w:szCs w:val="22"/>
          <w:lang w:val="es-ES_tradnl"/>
        </w:rPr>
      </w:pPr>
      <w:r w:rsidRPr="004508D5">
        <w:rPr>
          <w:rFonts w:ascii="Arial" w:eastAsia="Calibri" w:hAnsi="Arial" w:cs="Arial"/>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4508D5">
        <w:rPr>
          <w:rFonts w:ascii="Arial" w:eastAsia="Calibri" w:hAnsi="Arial" w:cs="Arial"/>
          <w:sz w:val="22"/>
          <w:szCs w:val="22"/>
          <w:lang w:val="es-ES_tradnl"/>
        </w:rPr>
        <w:t>mipymes</w:t>
      </w:r>
      <w:proofErr w:type="spellEnd"/>
      <w:r w:rsidRPr="004508D5">
        <w:rPr>
          <w:rFonts w:ascii="Arial" w:eastAsia="Calibri" w:hAnsi="Arial" w:cs="Arial"/>
          <w:sz w:val="22"/>
          <w:szCs w:val="22"/>
          <w:lang w:val="es-ES_tradnl"/>
        </w:rPr>
        <w:t xml:space="preserve"> en el procedimiento de mínima cuantía, </w:t>
      </w:r>
      <w:proofErr w:type="spellStart"/>
      <w:r w:rsidRPr="004508D5">
        <w:rPr>
          <w:rFonts w:ascii="Arial" w:eastAsia="Calibri" w:hAnsi="Arial" w:cs="Arial"/>
          <w:sz w:val="22"/>
          <w:szCs w:val="22"/>
          <w:lang w:val="es-ES_tradnl"/>
        </w:rPr>
        <w:t>ii</w:t>
      </w:r>
      <w:proofErr w:type="spellEnd"/>
      <w:r w:rsidRPr="004508D5">
        <w:rPr>
          <w:rFonts w:ascii="Arial" w:eastAsia="Calibri" w:hAnsi="Arial" w:cs="Arial"/>
          <w:sz w:val="22"/>
          <w:szCs w:val="22"/>
          <w:lang w:val="es-ES_tradnl"/>
        </w:rPr>
        <w:t xml:space="preserve">) criterios diferenciales para </w:t>
      </w:r>
      <w:proofErr w:type="spellStart"/>
      <w:r w:rsidRPr="004508D5">
        <w:rPr>
          <w:rFonts w:ascii="Arial" w:eastAsia="Calibri" w:hAnsi="Arial" w:cs="Arial"/>
          <w:sz w:val="22"/>
          <w:szCs w:val="22"/>
          <w:lang w:val="es-ES_tradnl"/>
        </w:rPr>
        <w:t>mipymes</w:t>
      </w:r>
      <w:proofErr w:type="spellEnd"/>
      <w:r w:rsidRPr="004508D5">
        <w:rPr>
          <w:rFonts w:ascii="Arial" w:eastAsia="Calibri" w:hAnsi="Arial" w:cs="Arial"/>
          <w:sz w:val="22"/>
          <w:szCs w:val="22"/>
          <w:lang w:val="es-ES_tradnl"/>
        </w:rPr>
        <w:t xml:space="preserve"> en el sistema de compras públicas, </w:t>
      </w:r>
      <w:proofErr w:type="spellStart"/>
      <w:r w:rsidRPr="004508D5">
        <w:rPr>
          <w:rFonts w:ascii="Arial" w:eastAsia="Calibri" w:hAnsi="Arial" w:cs="Arial"/>
          <w:sz w:val="22"/>
          <w:szCs w:val="22"/>
          <w:lang w:val="es-ES_tradnl"/>
        </w:rPr>
        <w:t>iii</w:t>
      </w:r>
      <w:proofErr w:type="spellEnd"/>
      <w:r w:rsidRPr="004508D5">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4508D5">
        <w:rPr>
          <w:rFonts w:ascii="Arial" w:eastAsia="Calibri" w:hAnsi="Arial" w:cs="Arial"/>
          <w:sz w:val="22"/>
          <w:szCs w:val="22"/>
          <w:lang w:val="es-ES_tradnl"/>
        </w:rPr>
        <w:t>iv</w:t>
      </w:r>
      <w:proofErr w:type="spellEnd"/>
      <w:r w:rsidRPr="004508D5">
        <w:rPr>
          <w:rFonts w:ascii="Arial" w:eastAsia="Calibri" w:hAnsi="Arial" w:cs="Arial"/>
          <w:sz w:val="22"/>
          <w:szCs w:val="22"/>
          <w:lang w:val="es-ES_tradnl"/>
        </w:rPr>
        <w:t xml:space="preserve">) promoción del acceso de las </w:t>
      </w:r>
      <w:proofErr w:type="spellStart"/>
      <w:r w:rsidRPr="004508D5">
        <w:rPr>
          <w:rFonts w:ascii="Arial" w:eastAsia="Calibri" w:hAnsi="Arial" w:cs="Arial"/>
          <w:sz w:val="22"/>
          <w:szCs w:val="22"/>
          <w:lang w:val="es-ES_tradnl"/>
        </w:rPr>
        <w:t>mipymes</w:t>
      </w:r>
      <w:proofErr w:type="spellEnd"/>
      <w:r w:rsidRPr="004508D5">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w:t>
      </w:r>
      <w:r w:rsidRPr="00423061">
        <w:rPr>
          <w:rStyle w:val="Refdenotaalpie"/>
          <w:rFonts w:ascii="Arial" w:eastAsia="Calibri" w:hAnsi="Arial" w:cs="Arial"/>
        </w:rPr>
        <w:footnoteReference w:id="8"/>
      </w:r>
      <w:r w:rsidRPr="004508D5">
        <w:rPr>
          <w:rFonts w:ascii="Arial" w:eastAsia="Calibri" w:hAnsi="Arial" w:cs="Arial"/>
          <w:sz w:val="22"/>
          <w:szCs w:val="22"/>
          <w:lang w:val="es-ES_tradnl"/>
        </w:rPr>
        <w:t xml:space="preserve">.  </w:t>
      </w:r>
    </w:p>
    <w:p w14:paraId="292DD686" w14:textId="77777777" w:rsidR="00581415" w:rsidRPr="004508D5" w:rsidRDefault="00581415" w:rsidP="00581415">
      <w:pPr>
        <w:tabs>
          <w:tab w:val="left" w:pos="709"/>
        </w:tabs>
        <w:spacing w:after="120" w:line="276" w:lineRule="auto"/>
        <w:jc w:val="both"/>
        <w:rPr>
          <w:rFonts w:ascii="Arial" w:eastAsia="Calibri" w:hAnsi="Arial" w:cs="Arial"/>
          <w:bCs/>
          <w:sz w:val="22"/>
        </w:rPr>
      </w:pPr>
      <w:r w:rsidRPr="004508D5">
        <w:rPr>
          <w:rFonts w:ascii="Arial" w:eastAsia="Calibri" w:hAnsi="Arial" w:cs="Arial"/>
          <w:bCs/>
          <w:sz w:val="22"/>
        </w:rPr>
        <w:tab/>
        <w:t xml:space="preserve">Dentro del referido capítulo se encuentran </w:t>
      </w:r>
      <w:bookmarkStart w:id="5" w:name="_Hlk63848566"/>
      <w:r w:rsidRPr="004508D5">
        <w:rPr>
          <w:rFonts w:ascii="Arial" w:eastAsia="Calibri" w:hAnsi="Arial" w:cs="Arial"/>
          <w:bCs/>
          <w:sz w:val="22"/>
        </w:rPr>
        <w:t>los artículos 31 y 32 de la Ley 2069 de 2020</w:t>
      </w:r>
      <w:bookmarkEnd w:id="5"/>
      <w:r w:rsidRPr="004508D5">
        <w:rPr>
          <w:rFonts w:ascii="Arial" w:eastAsia="Calibri" w:hAnsi="Arial" w:cs="Arial"/>
          <w:bCs/>
          <w:sz w:val="22"/>
        </w:rPr>
        <w:t xml:space="preserve">, los cuales crean una serie de incentivos para las personas interesadas en celebrar contratos con el Estado. </w:t>
      </w:r>
      <w:r w:rsidRPr="004508D5">
        <w:rPr>
          <w:rFonts w:ascii="Arial" w:eastAsia="Calibri" w:hAnsi="Arial" w:cs="Arial"/>
          <w:bCs/>
          <w:sz w:val="22"/>
          <w:lang w:val="es-ES_tradnl"/>
        </w:rPr>
        <w:t xml:space="preserve">Por un lado, el artículo 31 </w:t>
      </w:r>
      <w:r w:rsidRPr="004508D5">
        <w:rPr>
          <w:rFonts w:ascii="Arial" w:eastAsia="Calibri" w:hAnsi="Arial" w:cs="Arial"/>
          <w:bCs/>
          <w:sz w:val="22"/>
        </w:rPr>
        <w:t xml:space="preserve">introduce criterios diferenciales para el </w:t>
      </w:r>
      <w:r w:rsidRPr="004508D5">
        <w:rPr>
          <w:rFonts w:ascii="Arial" w:eastAsia="Calibri" w:hAnsi="Arial" w:cs="Arial"/>
          <w:bCs/>
          <w:sz w:val="22"/>
        </w:rPr>
        <w:lastRenderedPageBreak/>
        <w:t xml:space="preserve">acceso de las </w:t>
      </w:r>
      <w:proofErr w:type="spellStart"/>
      <w:r w:rsidRPr="004508D5">
        <w:rPr>
          <w:rFonts w:ascii="Arial" w:eastAsia="Calibri" w:hAnsi="Arial" w:cs="Arial"/>
          <w:bCs/>
          <w:sz w:val="22"/>
        </w:rPr>
        <w:t>mipymes</w:t>
      </w:r>
      <w:proofErr w:type="spellEnd"/>
      <w:r w:rsidRPr="004508D5">
        <w:rPr>
          <w:rFonts w:ascii="Arial" w:eastAsia="Calibri" w:hAnsi="Arial" w:cs="Arial"/>
          <w:bCs/>
          <w:sz w:val="22"/>
        </w:rPr>
        <w:t xml:space="preserve"> al sistema de compras y contratación pública, estableciendo que «Las Entidades Estatales de acuerdo con el análisis de Sector </w:t>
      </w:r>
      <w:bookmarkStart w:id="6" w:name="_Hlk63767562"/>
      <w:r w:rsidRPr="004508D5">
        <w:rPr>
          <w:rFonts w:ascii="Arial" w:eastAsia="Calibri" w:hAnsi="Arial" w:cs="Arial"/>
          <w:bCs/>
          <w:sz w:val="22"/>
        </w:rPr>
        <w:t>podrán incluir, en los Documentos del Proceso, requisitos diferenciales y puntajes adicionales</w:t>
      </w:r>
      <w:bookmarkEnd w:id="6"/>
      <w:r w:rsidRPr="004508D5">
        <w:rPr>
          <w:rFonts w:ascii="Arial" w:eastAsia="Calibri" w:hAnsi="Arial" w:cs="Arial"/>
          <w:bCs/>
          <w:sz w:val="22"/>
        </w:rPr>
        <w:t xml:space="preserve">, en función del tamaño empresarial para la promoción del acceso de las MIPYMES al mercado de Compras Públicas».  </w:t>
      </w:r>
    </w:p>
    <w:p w14:paraId="5E8B99B6" w14:textId="77777777" w:rsidR="00581415" w:rsidRPr="004508D5" w:rsidRDefault="00581415" w:rsidP="00581415">
      <w:pPr>
        <w:tabs>
          <w:tab w:val="left" w:pos="709"/>
        </w:tabs>
        <w:spacing w:after="120" w:line="276" w:lineRule="auto"/>
        <w:jc w:val="both"/>
        <w:rPr>
          <w:rFonts w:ascii="Arial" w:eastAsia="Calibri" w:hAnsi="Arial" w:cs="Arial"/>
          <w:bCs/>
          <w:sz w:val="22"/>
        </w:rPr>
      </w:pPr>
      <w:r w:rsidRPr="004508D5">
        <w:rPr>
          <w:rFonts w:ascii="Arial" w:eastAsia="Calibri" w:hAnsi="Arial" w:cs="Arial"/>
          <w:bCs/>
          <w:sz w:val="22"/>
        </w:rPr>
        <w:tab/>
        <w:t xml:space="preserve">Además, el inciso segundo y el parágrafo del </w:t>
      </w:r>
      <w:r w:rsidRPr="004508D5">
        <w:rPr>
          <w:rFonts w:ascii="Arial" w:eastAsia="Calibri" w:hAnsi="Arial" w:cs="Arial"/>
          <w:bCs/>
          <w:sz w:val="22"/>
          <w:lang w:val="es-ES_tradnl"/>
        </w:rPr>
        <w:t xml:space="preserve">artículo 31 </w:t>
      </w:r>
      <w:r w:rsidRPr="004508D5">
        <w:rPr>
          <w:rFonts w:ascii="Arial" w:eastAsia="Calibri" w:hAnsi="Arial" w:cs="Arial"/>
          <w:bCs/>
          <w:sz w:val="22"/>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estas normas requieren el desarrollo reglamentario como una condición previa para su aplicación.</w:t>
      </w:r>
    </w:p>
    <w:p w14:paraId="2C94BC73" w14:textId="77777777" w:rsidR="00581415" w:rsidRPr="004508D5" w:rsidRDefault="00581415" w:rsidP="00581415">
      <w:pPr>
        <w:tabs>
          <w:tab w:val="left" w:pos="709"/>
        </w:tabs>
        <w:spacing w:line="276" w:lineRule="auto"/>
        <w:jc w:val="both"/>
        <w:rPr>
          <w:rFonts w:ascii="Arial" w:eastAsia="Calibri" w:hAnsi="Arial" w:cs="Arial"/>
          <w:bCs/>
          <w:sz w:val="22"/>
        </w:rPr>
      </w:pPr>
      <w:r w:rsidRPr="004508D5">
        <w:rPr>
          <w:rFonts w:ascii="Arial" w:eastAsia="Calibri" w:hAnsi="Arial" w:cs="Arial"/>
          <w:bCs/>
          <w:sz w:val="22"/>
        </w:rPr>
        <w:tab/>
        <w:t>Por otra parte, el artículo 32 de la Ley 2069 de 2020</w:t>
      </w:r>
      <w:r w:rsidRPr="00423061">
        <w:rPr>
          <w:rStyle w:val="Refdenotaalpie"/>
          <w:rFonts w:ascii="Arial" w:eastAsia="Calibri" w:hAnsi="Arial" w:cs="Arial"/>
        </w:rPr>
        <w:footnoteReference w:id="9"/>
      </w:r>
      <w:r w:rsidRPr="004508D5">
        <w:rPr>
          <w:rFonts w:ascii="Arial" w:eastAsia="Calibri" w:hAnsi="Arial" w:cs="Arial"/>
          <w:bCs/>
          <w:sz w:val="22"/>
        </w:rPr>
        <w:t xml:space="preserve"> regula criterios diferenciales para los «emprendimientos y empresas de mujeres» en el sistema de compras y contratación pública. En relación con este aspecto, el inciso primero de la norma citada prescribe lo siguiente: </w:t>
      </w:r>
    </w:p>
    <w:p w14:paraId="610E5FBE" w14:textId="77777777" w:rsidR="00581415" w:rsidRPr="004508D5" w:rsidRDefault="00581415" w:rsidP="00581415">
      <w:pPr>
        <w:tabs>
          <w:tab w:val="left" w:pos="709"/>
        </w:tabs>
        <w:spacing w:line="276" w:lineRule="auto"/>
        <w:jc w:val="both"/>
        <w:rPr>
          <w:rFonts w:ascii="Arial" w:eastAsia="Calibri" w:hAnsi="Arial" w:cs="Arial"/>
          <w:bCs/>
          <w:sz w:val="22"/>
        </w:rPr>
      </w:pPr>
    </w:p>
    <w:p w14:paraId="7F7BDF4D" w14:textId="77777777" w:rsidR="00581415" w:rsidRPr="004508D5" w:rsidRDefault="00581415" w:rsidP="00581415">
      <w:pPr>
        <w:tabs>
          <w:tab w:val="left" w:pos="709"/>
        </w:tabs>
        <w:ind w:left="709" w:right="709"/>
        <w:jc w:val="both"/>
        <w:rPr>
          <w:rFonts w:ascii="Arial" w:eastAsia="Calibri" w:hAnsi="Arial" w:cs="Arial"/>
          <w:bCs/>
          <w:sz w:val="22"/>
        </w:rPr>
      </w:pPr>
      <w:r w:rsidRPr="004508D5">
        <w:rPr>
          <w:rFonts w:ascii="Arial" w:eastAsia="Calibri" w:hAnsi="Arial" w:cs="Arial"/>
          <w:bCs/>
          <w:sz w:val="22"/>
        </w:rPr>
        <w:t xml:space="preserve">De acuerdo con el resultado del análisis del sector, las entidades estatales incluirán requisitos diferenciales y puntajes adicionales en los procesos de </w:t>
      </w:r>
      <w:bookmarkStart w:id="7" w:name="_Hlk63770487"/>
      <w:r w:rsidRPr="004508D5">
        <w:rPr>
          <w:rFonts w:ascii="Arial" w:eastAsia="Calibri" w:hAnsi="Arial" w:cs="Arial"/>
          <w:bCs/>
          <w:sz w:val="22"/>
        </w:rPr>
        <w:t>licitación pública, selección abreviada de menor cuantía y concurso de méritos</w:t>
      </w:r>
      <w:bookmarkEnd w:id="7"/>
      <w:r w:rsidRPr="004508D5">
        <w:rPr>
          <w:rFonts w:ascii="Arial" w:eastAsia="Calibri" w:hAnsi="Arial" w:cs="Arial"/>
          <w:bCs/>
          <w:sz w:val="22"/>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4E3280A9" w14:textId="77777777" w:rsidR="00581415" w:rsidRPr="004508D5" w:rsidRDefault="00581415" w:rsidP="00581415">
      <w:pPr>
        <w:tabs>
          <w:tab w:val="left" w:pos="709"/>
        </w:tabs>
        <w:ind w:left="709" w:right="709"/>
        <w:jc w:val="both"/>
        <w:rPr>
          <w:rFonts w:ascii="Arial" w:eastAsia="Calibri" w:hAnsi="Arial" w:cs="Arial"/>
          <w:bCs/>
          <w:sz w:val="22"/>
        </w:rPr>
      </w:pPr>
    </w:p>
    <w:p w14:paraId="027EBE9F" w14:textId="77777777" w:rsidR="00581415" w:rsidRPr="004508D5" w:rsidRDefault="00581415" w:rsidP="00581415">
      <w:pPr>
        <w:tabs>
          <w:tab w:val="left" w:pos="709"/>
        </w:tabs>
        <w:spacing w:after="120" w:line="276" w:lineRule="auto"/>
        <w:jc w:val="both"/>
        <w:rPr>
          <w:rFonts w:ascii="Arial" w:eastAsia="Calibri" w:hAnsi="Arial" w:cs="Arial"/>
          <w:bCs/>
          <w:sz w:val="22"/>
        </w:rPr>
      </w:pPr>
      <w:r w:rsidRPr="004508D5">
        <w:rPr>
          <w:rFonts w:ascii="Arial" w:eastAsia="Calibri" w:hAnsi="Arial" w:cs="Arial"/>
          <w:bCs/>
          <w:sz w:val="22"/>
        </w:rPr>
        <w:tab/>
        <w:t xml:space="preserve">El contraste con la norma analizada anteriormente salta a la vista. Por un lado, a diferencia del artículo 31 de la Ley de Emprendimiento, los «criterios diferenciales» del artículo 32 </w:t>
      </w:r>
      <w:r w:rsidRPr="004508D5">
        <w:rPr>
          <w:rFonts w:ascii="Arial" w:eastAsia="Calibri" w:hAnsi="Arial" w:cs="Arial"/>
          <w:bCs/>
          <w:i/>
          <w:iCs/>
          <w:sz w:val="22"/>
        </w:rPr>
        <w:t>ibidem</w:t>
      </w:r>
      <w:r w:rsidRPr="004508D5">
        <w:rPr>
          <w:rFonts w:ascii="Arial" w:eastAsia="Calibri" w:hAnsi="Arial" w:cs="Arial"/>
          <w:bCs/>
          <w:sz w:val="22"/>
        </w:rPr>
        <w:t xml:space="preserve"> –que incluyen tanto los «requisitos diferenciales» como los «puntajes adicionales»– aplican a «[…] los procesos de licitación pública, selección abreviada de </w:t>
      </w:r>
      <w:r w:rsidRPr="004508D5">
        <w:rPr>
          <w:rFonts w:ascii="Arial" w:eastAsia="Calibri" w:hAnsi="Arial" w:cs="Arial"/>
          <w:bCs/>
          <w:sz w:val="22"/>
        </w:rPr>
        <w:lastRenderedPageBreak/>
        <w:t xml:space="preserve">menor cuantía y concurso de méritos […]», excluyendo las demás modalidades de selección del artículo 2 de la Ley 1150 de 2007. Por otra parte, sin distinciones ulteriores, la norma en comento también se extiende a todos los procedimientos que realicen las entidades estatales excluidas de la Ley 80 de 1993.     </w:t>
      </w:r>
    </w:p>
    <w:p w14:paraId="53638A77" w14:textId="77777777" w:rsidR="00581415" w:rsidRPr="004508D5" w:rsidRDefault="00581415" w:rsidP="00581415">
      <w:pPr>
        <w:spacing w:before="120" w:after="120" w:line="276" w:lineRule="auto"/>
        <w:ind w:firstLine="709"/>
        <w:jc w:val="both"/>
        <w:rPr>
          <w:rFonts w:ascii="Arial" w:eastAsia="Calibri" w:hAnsi="Arial" w:cs="Arial"/>
          <w:sz w:val="22"/>
          <w:szCs w:val="22"/>
          <w:lang w:val="es-ES_tradnl"/>
        </w:rPr>
      </w:pPr>
      <w:r w:rsidRPr="004508D5">
        <w:rPr>
          <w:rFonts w:ascii="Arial" w:eastAsia="Calibri" w:hAnsi="Arial" w:cs="Arial"/>
          <w:bCs/>
          <w:sz w:val="22"/>
        </w:rPr>
        <w:t xml:space="preserve">No obstante, 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p>
    <w:p w14:paraId="2CC3D39F" w14:textId="77777777" w:rsidR="00581415" w:rsidRPr="004508D5" w:rsidRDefault="00581415" w:rsidP="00581415">
      <w:pPr>
        <w:spacing w:after="120" w:line="276" w:lineRule="auto"/>
        <w:jc w:val="both"/>
        <w:rPr>
          <w:rFonts w:ascii="Arial" w:eastAsia="Calibri" w:hAnsi="Arial" w:cs="Arial"/>
          <w:sz w:val="22"/>
          <w:szCs w:val="22"/>
          <w:lang w:val="es-ES_tradnl"/>
        </w:rPr>
      </w:pPr>
      <w:r w:rsidRPr="004508D5">
        <w:rPr>
          <w:rFonts w:ascii="Arial" w:eastAsia="Calibri" w:hAnsi="Arial" w:cs="Arial"/>
          <w:b/>
          <w:bCs/>
          <w:sz w:val="22"/>
          <w:szCs w:val="22"/>
          <w:lang w:val="es-ES_tradnl"/>
        </w:rPr>
        <w:tab/>
      </w:r>
      <w:r w:rsidRPr="004508D5">
        <w:rPr>
          <w:rFonts w:ascii="Arial" w:eastAsia="Calibri" w:hAnsi="Arial" w:cs="Arial"/>
          <w:sz w:val="22"/>
          <w:szCs w:val="22"/>
          <w:lang w:val="es-ES_tradnl"/>
        </w:rPr>
        <w:t>En este contexto, el pasado 24 de diciembre, el gobierno nacional expidió el Decreto 1860 de 2021,</w:t>
      </w:r>
      <w:r w:rsidRPr="00423061">
        <w:rPr>
          <w:rFonts w:ascii="Arial" w:hAnsi="Arial" w:cs="Arial"/>
        </w:rPr>
        <w:t xml:space="preserve"> </w:t>
      </w:r>
      <w:r w:rsidRPr="004508D5">
        <w:rPr>
          <w:rFonts w:ascii="Arial" w:eastAsia="Calibri" w:hAnsi="Arial" w:cs="Arial"/>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423061">
        <w:rPr>
          <w:rStyle w:val="Refdenotaalpie"/>
          <w:rFonts w:ascii="Arial" w:eastAsia="Calibri" w:hAnsi="Arial" w:cs="Arial"/>
        </w:rPr>
        <w:footnoteReference w:id="10"/>
      </w:r>
      <w:r w:rsidRPr="004508D5">
        <w:rPr>
          <w:rFonts w:ascii="Arial" w:eastAsia="Calibri" w:hAnsi="Arial" w:cs="Arial"/>
          <w:sz w:val="22"/>
          <w:szCs w:val="22"/>
          <w:lang w:val="es-ES_tradnl"/>
        </w:rPr>
        <w:t xml:space="preserve">.  </w:t>
      </w:r>
    </w:p>
    <w:p w14:paraId="6F9A43D0" w14:textId="77777777" w:rsidR="00581415" w:rsidRPr="004508D5" w:rsidRDefault="00581415" w:rsidP="00581415">
      <w:pPr>
        <w:spacing w:after="120" w:line="276" w:lineRule="auto"/>
        <w:jc w:val="both"/>
        <w:rPr>
          <w:rFonts w:ascii="Arial" w:hAnsi="Arial" w:cs="Arial"/>
          <w:sz w:val="22"/>
          <w:szCs w:val="22"/>
          <w:lang w:eastAsia="es-CO"/>
        </w:rPr>
      </w:pPr>
      <w:r w:rsidRPr="004508D5">
        <w:rPr>
          <w:rFonts w:ascii="Arial" w:eastAsia="Calibri" w:hAnsi="Arial" w:cs="Arial"/>
          <w:sz w:val="22"/>
          <w:szCs w:val="22"/>
          <w:lang w:val="es-ES_tradnl"/>
        </w:rPr>
        <w:tab/>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0C288697" w14:textId="77777777" w:rsidR="00581415" w:rsidRPr="004508D5" w:rsidRDefault="00581415" w:rsidP="00581415">
      <w:pPr>
        <w:widowControl w:val="0"/>
        <w:autoSpaceDE w:val="0"/>
        <w:autoSpaceDN w:val="0"/>
        <w:spacing w:before="120" w:after="120" w:line="276" w:lineRule="auto"/>
        <w:ind w:firstLine="709"/>
        <w:jc w:val="both"/>
        <w:rPr>
          <w:rFonts w:ascii="Arial" w:eastAsia="Arial MT" w:hAnsi="Arial" w:cs="Arial"/>
          <w:sz w:val="22"/>
          <w:szCs w:val="22"/>
          <w:lang w:val="es-ES" w:eastAsia="en-US"/>
        </w:rPr>
      </w:pPr>
      <w:r w:rsidRPr="004508D5">
        <w:rPr>
          <w:rFonts w:ascii="Arial" w:hAnsi="Arial" w:cs="Arial"/>
          <w:sz w:val="22"/>
          <w:szCs w:val="22"/>
          <w:lang w:eastAsia="es-CO"/>
        </w:rPr>
        <w:t xml:space="preserve">Debe precisarse que la vigencia del Decreto 1860 de 2021 está regida por lo establecido en su artículo 8, el cual señala que «Las disposiciones contenidas en el presente Decreto se aplicarán a los procedimientos de selección cuya invitación, aviso de convocatoria o documento equivalente se publique a los tres (3) meses contados a partir de su expedición», </w:t>
      </w:r>
      <w:r w:rsidRPr="004508D5">
        <w:rPr>
          <w:rFonts w:ascii="Arial" w:eastAsia="Arial MT" w:hAnsi="Arial" w:cs="Arial"/>
          <w:sz w:val="22"/>
          <w:szCs w:val="22"/>
          <w:lang w:val="es-ES" w:eastAsia="en-US"/>
        </w:rPr>
        <w:t>es decir, a</w:t>
      </w:r>
      <w:r w:rsidRPr="004508D5">
        <w:rPr>
          <w:rFonts w:ascii="Arial" w:eastAsia="Arial MT" w:hAnsi="Arial" w:cs="Arial"/>
          <w:spacing w:val="1"/>
          <w:sz w:val="22"/>
          <w:szCs w:val="22"/>
          <w:lang w:val="es-ES" w:eastAsia="en-US"/>
        </w:rPr>
        <w:t xml:space="preserve"> </w:t>
      </w:r>
      <w:r w:rsidRPr="004508D5">
        <w:rPr>
          <w:rFonts w:ascii="Arial" w:eastAsia="Arial MT" w:hAnsi="Arial" w:cs="Arial"/>
          <w:spacing w:val="-1"/>
          <w:sz w:val="22"/>
          <w:szCs w:val="22"/>
          <w:lang w:val="es-ES" w:eastAsia="en-US"/>
        </w:rPr>
        <w:t>partir</w:t>
      </w:r>
      <w:r w:rsidRPr="004508D5">
        <w:rPr>
          <w:rFonts w:ascii="Arial" w:eastAsia="Arial MT" w:hAnsi="Arial" w:cs="Arial"/>
          <w:spacing w:val="-15"/>
          <w:sz w:val="22"/>
          <w:szCs w:val="22"/>
          <w:lang w:val="es-ES" w:eastAsia="en-US"/>
        </w:rPr>
        <w:t xml:space="preserve"> </w:t>
      </w:r>
      <w:r w:rsidRPr="004508D5">
        <w:rPr>
          <w:rFonts w:ascii="Arial" w:eastAsia="Arial MT" w:hAnsi="Arial" w:cs="Arial"/>
          <w:spacing w:val="-1"/>
          <w:sz w:val="22"/>
          <w:szCs w:val="22"/>
          <w:lang w:val="es-ES" w:eastAsia="en-US"/>
        </w:rPr>
        <w:t>del</w:t>
      </w:r>
      <w:r w:rsidRPr="004508D5">
        <w:rPr>
          <w:rFonts w:ascii="Arial" w:eastAsia="Arial MT" w:hAnsi="Arial" w:cs="Arial"/>
          <w:spacing w:val="-14"/>
          <w:sz w:val="22"/>
          <w:szCs w:val="22"/>
          <w:lang w:val="es-ES" w:eastAsia="en-US"/>
        </w:rPr>
        <w:t xml:space="preserve"> </w:t>
      </w:r>
      <w:r w:rsidRPr="004508D5">
        <w:rPr>
          <w:rFonts w:ascii="Arial" w:eastAsia="Arial MT" w:hAnsi="Arial" w:cs="Arial"/>
          <w:spacing w:val="-1"/>
          <w:sz w:val="22"/>
          <w:szCs w:val="22"/>
          <w:lang w:val="es-ES" w:eastAsia="en-US"/>
        </w:rPr>
        <w:t>24</w:t>
      </w:r>
      <w:r w:rsidRPr="004508D5">
        <w:rPr>
          <w:rFonts w:ascii="Arial" w:eastAsia="Arial MT" w:hAnsi="Arial" w:cs="Arial"/>
          <w:spacing w:val="-14"/>
          <w:sz w:val="22"/>
          <w:szCs w:val="22"/>
          <w:lang w:val="es-ES" w:eastAsia="en-US"/>
        </w:rPr>
        <w:t xml:space="preserve"> </w:t>
      </w:r>
      <w:r w:rsidRPr="004508D5">
        <w:rPr>
          <w:rFonts w:ascii="Arial" w:eastAsia="Arial MT" w:hAnsi="Arial" w:cs="Arial"/>
          <w:spacing w:val="-1"/>
          <w:sz w:val="22"/>
          <w:szCs w:val="22"/>
          <w:lang w:val="es-ES" w:eastAsia="en-US"/>
        </w:rPr>
        <w:t>de</w:t>
      </w:r>
      <w:r w:rsidRPr="004508D5">
        <w:rPr>
          <w:rFonts w:ascii="Arial" w:eastAsia="Arial MT" w:hAnsi="Arial" w:cs="Arial"/>
          <w:spacing w:val="-14"/>
          <w:sz w:val="22"/>
          <w:szCs w:val="22"/>
          <w:lang w:val="es-ES" w:eastAsia="en-US"/>
        </w:rPr>
        <w:t xml:space="preserve"> </w:t>
      </w:r>
      <w:r w:rsidRPr="004508D5">
        <w:rPr>
          <w:rFonts w:ascii="Arial" w:eastAsia="Arial MT" w:hAnsi="Arial" w:cs="Arial"/>
          <w:spacing w:val="-1"/>
          <w:sz w:val="22"/>
          <w:szCs w:val="22"/>
          <w:lang w:val="es-ES" w:eastAsia="en-US"/>
        </w:rPr>
        <w:t>marzo</w:t>
      </w:r>
      <w:r w:rsidRPr="004508D5">
        <w:rPr>
          <w:rFonts w:ascii="Arial" w:eastAsia="Arial MT" w:hAnsi="Arial" w:cs="Arial"/>
          <w:spacing w:val="-14"/>
          <w:sz w:val="22"/>
          <w:szCs w:val="22"/>
          <w:lang w:val="es-ES" w:eastAsia="en-US"/>
        </w:rPr>
        <w:t xml:space="preserve"> </w:t>
      </w:r>
      <w:r w:rsidRPr="004508D5">
        <w:rPr>
          <w:rFonts w:ascii="Arial" w:eastAsia="Arial MT" w:hAnsi="Arial" w:cs="Arial"/>
          <w:spacing w:val="-1"/>
          <w:sz w:val="22"/>
          <w:szCs w:val="22"/>
          <w:lang w:val="es-ES" w:eastAsia="en-US"/>
        </w:rPr>
        <w:t>de</w:t>
      </w:r>
      <w:r w:rsidRPr="004508D5">
        <w:rPr>
          <w:rFonts w:ascii="Arial" w:eastAsia="Arial MT" w:hAnsi="Arial" w:cs="Arial"/>
          <w:spacing w:val="-14"/>
          <w:sz w:val="22"/>
          <w:szCs w:val="22"/>
          <w:lang w:val="es-ES" w:eastAsia="en-US"/>
        </w:rPr>
        <w:t xml:space="preserve"> </w:t>
      </w:r>
      <w:r w:rsidRPr="004508D5">
        <w:rPr>
          <w:rFonts w:ascii="Arial" w:eastAsia="Arial MT" w:hAnsi="Arial" w:cs="Arial"/>
          <w:spacing w:val="-1"/>
          <w:sz w:val="22"/>
          <w:szCs w:val="22"/>
          <w:lang w:val="es-ES" w:eastAsia="en-US"/>
        </w:rPr>
        <w:t xml:space="preserve">2022, </w:t>
      </w:r>
      <w:r w:rsidRPr="00423061">
        <w:rPr>
          <w:rFonts w:ascii="Arial" w:eastAsia="Arial MT" w:hAnsi="Arial" w:cs="Arial"/>
          <w:sz w:val="22"/>
          <w:szCs w:val="22"/>
          <w:lang w:val="es-ES" w:eastAsia="en-US"/>
        </w:rPr>
        <w:t xml:space="preserve">por lo que actualmente esta </w:t>
      </w:r>
      <w:r w:rsidRPr="00423061">
        <w:rPr>
          <w:rFonts w:ascii="Arial" w:eastAsia="Arial MT" w:hAnsi="Arial" w:cs="Arial"/>
          <w:sz w:val="22"/>
          <w:szCs w:val="22"/>
          <w:lang w:val="es-ES" w:eastAsia="en-US"/>
        </w:rPr>
        <w:lastRenderedPageBreak/>
        <w:t>es la regulación vigente</w:t>
      </w:r>
      <w:r w:rsidRPr="00423061">
        <w:rPr>
          <w:rStyle w:val="Refdenotaalpie"/>
          <w:rFonts w:ascii="Arial" w:hAnsi="Arial" w:cs="Arial"/>
        </w:rPr>
        <w:footnoteReference w:id="11"/>
      </w:r>
      <w:r w:rsidRPr="004508D5">
        <w:rPr>
          <w:rFonts w:ascii="Arial" w:hAnsi="Arial" w:cs="Arial"/>
          <w:sz w:val="22"/>
          <w:szCs w:val="22"/>
          <w:lang w:eastAsia="es-CO"/>
        </w:rPr>
        <w:t xml:space="preserve">. </w:t>
      </w:r>
    </w:p>
    <w:p w14:paraId="09C0046F" w14:textId="77777777" w:rsidR="00581415" w:rsidRPr="004508D5" w:rsidRDefault="00581415" w:rsidP="00581415">
      <w:pPr>
        <w:jc w:val="both"/>
        <w:rPr>
          <w:rFonts w:ascii="Arial" w:hAnsi="Arial" w:cs="Arial"/>
          <w:sz w:val="22"/>
          <w:szCs w:val="22"/>
          <w:lang w:eastAsia="es-CO"/>
        </w:rPr>
      </w:pPr>
    </w:p>
    <w:p w14:paraId="2676C4EE" w14:textId="77777777" w:rsidR="00581415" w:rsidRPr="004508D5" w:rsidRDefault="00581415" w:rsidP="00581415">
      <w:pPr>
        <w:spacing w:line="276" w:lineRule="auto"/>
        <w:jc w:val="both"/>
        <w:rPr>
          <w:rFonts w:ascii="Arial" w:eastAsia="Calibri" w:hAnsi="Arial" w:cs="Arial"/>
          <w:b/>
          <w:bCs/>
          <w:sz w:val="22"/>
          <w:szCs w:val="22"/>
          <w:lang w:val="es-ES_tradnl"/>
        </w:rPr>
      </w:pPr>
      <w:r w:rsidRPr="004508D5">
        <w:rPr>
          <w:rFonts w:ascii="Arial" w:eastAsia="Calibri" w:hAnsi="Arial" w:cs="Arial"/>
          <w:b/>
          <w:bCs/>
          <w:sz w:val="22"/>
          <w:szCs w:val="22"/>
          <w:lang w:val="es-ES_tradnl"/>
        </w:rPr>
        <w:t xml:space="preserve">2.2. Definición de emprendimientos y empresas de mujeres en el Decreto 1860 de 2021 </w:t>
      </w:r>
    </w:p>
    <w:p w14:paraId="356DB78D" w14:textId="77777777" w:rsidR="00581415" w:rsidRPr="004508D5" w:rsidRDefault="00581415" w:rsidP="00581415">
      <w:pPr>
        <w:jc w:val="both"/>
        <w:rPr>
          <w:rFonts w:ascii="Arial" w:eastAsia="Calibri" w:hAnsi="Arial" w:cs="Arial"/>
          <w:b/>
          <w:bCs/>
          <w:sz w:val="22"/>
          <w:szCs w:val="22"/>
          <w:lang w:val="es-ES_tradnl"/>
        </w:rPr>
      </w:pPr>
    </w:p>
    <w:p w14:paraId="4D2774F0" w14:textId="2C627117" w:rsidR="00581415" w:rsidRPr="004508D5" w:rsidRDefault="00581415" w:rsidP="00581415">
      <w:pPr>
        <w:spacing w:after="120" w:line="276" w:lineRule="auto"/>
        <w:jc w:val="both"/>
        <w:rPr>
          <w:rFonts w:ascii="Arial" w:eastAsia="Calibri" w:hAnsi="Arial" w:cs="Arial"/>
          <w:sz w:val="22"/>
          <w:szCs w:val="22"/>
          <w:lang w:val="es-ES_tradnl"/>
        </w:rPr>
      </w:pPr>
      <w:r w:rsidRPr="004508D5">
        <w:rPr>
          <w:rFonts w:ascii="Arial" w:eastAsia="Calibri" w:hAnsi="Arial" w:cs="Arial"/>
          <w:sz w:val="22"/>
          <w:szCs w:val="22"/>
          <w:lang w:val="es-ES_tradnl"/>
        </w:rPr>
        <w:t xml:space="preserve">Conforme se viene explicando, el artículo 32 de la Ley 2069 de 2021 introduce el deber de las Entidades Estatales de incluir </w:t>
      </w:r>
      <w:r w:rsidRPr="004508D5">
        <w:rPr>
          <w:rStyle w:val="normaltextrun"/>
          <w:rFonts w:ascii="Arial" w:hAnsi="Arial" w:cs="Arial"/>
          <w:sz w:val="22"/>
          <w:szCs w:val="22"/>
          <w:shd w:val="clear" w:color="auto" w:fill="FFFFFF"/>
          <w:lang w:val="es-ES"/>
        </w:rPr>
        <w:t xml:space="preserve">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w:t>
      </w:r>
      <w:r w:rsidR="00314418">
        <w:rPr>
          <w:rStyle w:val="normaltextrun"/>
          <w:rFonts w:ascii="Arial" w:hAnsi="Arial" w:cs="Arial"/>
          <w:sz w:val="22"/>
          <w:szCs w:val="22"/>
          <w:shd w:val="clear" w:color="auto" w:fill="FFFFFF"/>
          <w:lang w:val="es-ES"/>
        </w:rPr>
        <w:t>vigentes</w:t>
      </w:r>
      <w:r w:rsidRPr="004508D5">
        <w:rPr>
          <w:rStyle w:val="normaltextrun"/>
          <w:rFonts w:ascii="Arial" w:hAnsi="Arial" w:cs="Arial"/>
          <w:sz w:val="22"/>
          <w:szCs w:val="22"/>
          <w:shd w:val="clear" w:color="auto" w:fill="FFFFFF"/>
          <w:lang w:val="es-ES"/>
        </w:rPr>
        <w:t>.</w:t>
      </w:r>
      <w:r w:rsidRPr="004508D5">
        <w:rPr>
          <w:rStyle w:val="eop"/>
          <w:rFonts w:ascii="Arial" w:hAnsi="Arial" w:cs="Arial"/>
          <w:sz w:val="22"/>
          <w:szCs w:val="22"/>
          <w:shd w:val="clear" w:color="auto" w:fill="FFFFFF"/>
        </w:rPr>
        <w:t> </w:t>
      </w:r>
    </w:p>
    <w:p w14:paraId="7DBDF76C" w14:textId="77777777" w:rsidR="00581415" w:rsidRPr="004508D5" w:rsidRDefault="00581415" w:rsidP="00581415">
      <w:pPr>
        <w:spacing w:line="276" w:lineRule="auto"/>
        <w:jc w:val="both"/>
        <w:rPr>
          <w:rFonts w:ascii="Arial" w:eastAsia="Calibri" w:hAnsi="Arial" w:cs="Arial"/>
          <w:sz w:val="22"/>
          <w:szCs w:val="22"/>
          <w:lang w:val="es-ES_tradnl"/>
        </w:rPr>
      </w:pPr>
      <w:r w:rsidRPr="004508D5">
        <w:rPr>
          <w:rFonts w:ascii="Arial" w:eastAsia="Calibri" w:hAnsi="Arial" w:cs="Arial"/>
          <w:sz w:val="22"/>
          <w:szCs w:val="22"/>
          <w:lang w:val="es-ES_tradnl"/>
        </w:rPr>
        <w:tab/>
        <w:t xml:space="preserve">En desarrollo de lo dispuesto en el parágrafo del artículo 32 de la Ley 2069 de 2020, el Decreto 1860 de 2021 adicionó el artículo 2.2.1.2.4.2.14 al Decreto 1082 de 2015. Esta norma establece las condiciones y requisitos en atención a los cuales se definen los empresas y emprendimientos de mujeres, a las que les aplican los criterios diferenciales. Para estos efectos, cada uno de los cuatro numerales de la norma establecen unas condiciones alternativas que definen los emprendimientos y empresas de mujeres, a efectos de aplicar los criterios diferenciales, siendo relevante para la consulta el primero de dicho numerales, cuyo tenor literal indica:   </w:t>
      </w:r>
    </w:p>
    <w:p w14:paraId="7BC9DB13" w14:textId="77777777" w:rsidR="00581415" w:rsidRPr="004508D5" w:rsidRDefault="00581415" w:rsidP="00581415">
      <w:pPr>
        <w:spacing w:line="276" w:lineRule="auto"/>
        <w:jc w:val="both"/>
        <w:rPr>
          <w:rFonts w:ascii="Arial" w:eastAsia="Calibri" w:hAnsi="Arial" w:cs="Arial"/>
          <w:sz w:val="22"/>
          <w:szCs w:val="22"/>
          <w:lang w:val="es-ES_tradnl"/>
        </w:rPr>
      </w:pPr>
    </w:p>
    <w:p w14:paraId="09E65706" w14:textId="77777777" w:rsidR="00581415" w:rsidRPr="004508D5" w:rsidRDefault="00581415" w:rsidP="00581415">
      <w:pPr>
        <w:shd w:val="clear" w:color="auto" w:fill="FFFFFF"/>
        <w:ind w:left="709" w:right="709"/>
        <w:jc w:val="both"/>
        <w:textAlignment w:val="baseline"/>
        <w:rPr>
          <w:rFonts w:ascii="Arial" w:hAnsi="Arial" w:cs="Arial"/>
          <w:sz w:val="21"/>
          <w:szCs w:val="21"/>
          <w:lang w:eastAsia="es-CO"/>
        </w:rPr>
      </w:pPr>
      <w:r w:rsidRPr="004508D5">
        <w:rPr>
          <w:rFonts w:ascii="Arial" w:hAnsi="Arial" w:cs="Arial"/>
          <w:sz w:val="21"/>
          <w:szCs w:val="21"/>
          <w:lang w:eastAsia="es-CO"/>
        </w:rPr>
        <w:t xml:space="preserve">Artículo 2.2.1.2.4.2.14. Definición de emprendimientos y empresas de mujeres. Con el propósito de adoptar medidas afirmativas que incentiven la participación de las mujeres en el sistema de compras públicas, se entenderán </w:t>
      </w:r>
      <w:r w:rsidRPr="004508D5">
        <w:rPr>
          <w:rFonts w:ascii="Arial" w:hAnsi="Arial" w:cs="Arial"/>
          <w:sz w:val="21"/>
          <w:szCs w:val="21"/>
          <w:lang w:eastAsia="es-CO"/>
        </w:rPr>
        <w:lastRenderedPageBreak/>
        <w:t>como emprendimientos y empresas de mujeres aquellas que cumplan con alguna de las siguientes condiciones: </w:t>
      </w:r>
    </w:p>
    <w:p w14:paraId="64A5430A" w14:textId="77777777" w:rsidR="00581415" w:rsidRPr="004508D5" w:rsidRDefault="00581415" w:rsidP="00581415">
      <w:pPr>
        <w:shd w:val="clear" w:color="auto" w:fill="FFFFFF"/>
        <w:ind w:left="709" w:right="709"/>
        <w:jc w:val="both"/>
        <w:textAlignment w:val="baseline"/>
        <w:rPr>
          <w:rFonts w:ascii="Arial" w:hAnsi="Arial" w:cs="Arial"/>
          <w:sz w:val="21"/>
          <w:szCs w:val="21"/>
          <w:lang w:eastAsia="es-CO"/>
        </w:rPr>
      </w:pPr>
      <w:r w:rsidRPr="004508D5">
        <w:rPr>
          <w:rFonts w:ascii="Arial" w:hAnsi="Arial" w:cs="Arial"/>
          <w:sz w:val="21"/>
          <w:szCs w:val="21"/>
          <w:lang w:eastAsia="es-CO"/>
        </w:rPr>
        <w:t>  </w:t>
      </w:r>
    </w:p>
    <w:p w14:paraId="3309C9E0" w14:textId="77777777" w:rsidR="00581415" w:rsidRPr="004508D5" w:rsidRDefault="00581415" w:rsidP="00581415">
      <w:pPr>
        <w:shd w:val="clear" w:color="auto" w:fill="FFFFFF"/>
        <w:ind w:left="709" w:right="709"/>
        <w:jc w:val="both"/>
        <w:textAlignment w:val="baseline"/>
        <w:rPr>
          <w:rFonts w:ascii="Arial" w:hAnsi="Arial" w:cs="Arial"/>
          <w:sz w:val="21"/>
          <w:szCs w:val="21"/>
          <w:lang w:eastAsia="es-CO"/>
        </w:rPr>
      </w:pPr>
      <w:r w:rsidRPr="004508D5">
        <w:rPr>
          <w:rFonts w:ascii="Arial" w:hAnsi="Arial" w:cs="Arial"/>
          <w:sz w:val="21"/>
          <w:szCs w:val="21"/>
          <w:lang w:eastAsia="es-CO"/>
        </w:rPr>
        <w:t xml:space="preserve">1. Cuando más del cincuenta por ciento (50%) de las acciones, partes de interés o cuotas de participación de la persona jurídica pertenezcan a mujeres y los derechos de propiedad </w:t>
      </w:r>
      <w:bookmarkStart w:id="8" w:name="_Hlk94001820"/>
      <w:r w:rsidRPr="00423061">
        <w:rPr>
          <w:rFonts w:ascii="Arial" w:hAnsi="Arial" w:cs="Arial"/>
          <w:i/>
          <w:iCs/>
          <w:sz w:val="21"/>
          <w:szCs w:val="21"/>
          <w:lang w:eastAsia="es-CO"/>
        </w:rPr>
        <w:t>hayan pertenecido a estas durante al menos el último año anterior a la fecha de cierre del Proceso de Selección</w:t>
      </w:r>
      <w:bookmarkEnd w:id="8"/>
      <w:r w:rsidRPr="003129C9">
        <w:rPr>
          <w:rFonts w:ascii="Arial" w:hAnsi="Arial" w:cs="Arial"/>
          <w:sz w:val="21"/>
          <w:szCs w:val="21"/>
          <w:lang w:eastAsia="es-CO"/>
        </w:rPr>
        <w:t>.</w:t>
      </w:r>
      <w:r w:rsidRPr="004508D5">
        <w:rPr>
          <w:rFonts w:ascii="Arial" w:hAnsi="Arial" w:cs="Arial"/>
          <w:sz w:val="21"/>
          <w:szCs w:val="21"/>
          <w:lang w:eastAsia="es-CO"/>
        </w:rPr>
        <w:t xml:space="preserve">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 </w:t>
      </w:r>
    </w:p>
    <w:p w14:paraId="199257CA" w14:textId="77777777" w:rsidR="00581415" w:rsidRPr="004508D5" w:rsidRDefault="00581415" w:rsidP="00581415">
      <w:pPr>
        <w:shd w:val="clear" w:color="auto" w:fill="FFFFFF"/>
        <w:ind w:left="709" w:right="709"/>
        <w:jc w:val="both"/>
        <w:textAlignment w:val="baseline"/>
        <w:rPr>
          <w:rFonts w:ascii="Arial" w:hAnsi="Arial" w:cs="Arial"/>
          <w:sz w:val="21"/>
          <w:szCs w:val="21"/>
          <w:lang w:eastAsia="es-CO"/>
        </w:rPr>
      </w:pPr>
      <w:r w:rsidRPr="004508D5">
        <w:rPr>
          <w:rFonts w:ascii="Arial" w:hAnsi="Arial" w:cs="Arial"/>
          <w:sz w:val="21"/>
          <w:szCs w:val="21"/>
          <w:lang w:eastAsia="es-CO"/>
        </w:rPr>
        <w:t>[…]</w:t>
      </w:r>
    </w:p>
    <w:p w14:paraId="1E3EA9D1" w14:textId="77777777" w:rsidR="00581415" w:rsidRPr="004508D5" w:rsidRDefault="00581415" w:rsidP="00581415">
      <w:pPr>
        <w:shd w:val="clear" w:color="auto" w:fill="FFFFFF"/>
        <w:ind w:left="709" w:right="709"/>
        <w:jc w:val="both"/>
        <w:textAlignment w:val="baseline"/>
        <w:rPr>
          <w:rFonts w:ascii="Arial" w:hAnsi="Arial" w:cs="Arial"/>
          <w:sz w:val="21"/>
          <w:szCs w:val="21"/>
          <w:lang w:eastAsia="es-CO"/>
        </w:rPr>
      </w:pPr>
    </w:p>
    <w:p w14:paraId="65056AB3" w14:textId="77777777" w:rsidR="00581415" w:rsidRPr="004508D5" w:rsidRDefault="00581415" w:rsidP="00581415">
      <w:pPr>
        <w:shd w:val="clear" w:color="auto" w:fill="FFFFFF"/>
        <w:ind w:left="709" w:right="709"/>
        <w:jc w:val="both"/>
        <w:textAlignment w:val="baseline"/>
        <w:rPr>
          <w:rFonts w:ascii="Arial" w:hAnsi="Arial" w:cs="Arial"/>
          <w:sz w:val="21"/>
          <w:szCs w:val="21"/>
          <w:lang w:eastAsia="es-CO"/>
        </w:rPr>
      </w:pPr>
      <w:r w:rsidRPr="004508D5">
        <w:rPr>
          <w:rFonts w:ascii="Arial" w:hAnsi="Arial" w:cs="Arial"/>
          <w:sz w:val="21"/>
          <w:szCs w:val="21"/>
          <w:lang w:eastAsia="es-CO"/>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 (Énfasis fuera de texto).</w:t>
      </w:r>
    </w:p>
    <w:p w14:paraId="1BDB4293" w14:textId="77777777" w:rsidR="00581415" w:rsidRPr="004508D5" w:rsidRDefault="00581415" w:rsidP="00581415">
      <w:pPr>
        <w:spacing w:line="276" w:lineRule="auto"/>
        <w:jc w:val="both"/>
        <w:rPr>
          <w:rFonts w:ascii="Arial" w:eastAsia="Calibri" w:hAnsi="Arial" w:cs="Arial"/>
          <w:sz w:val="22"/>
          <w:szCs w:val="22"/>
          <w:lang w:val="es-ES_tradnl"/>
        </w:rPr>
      </w:pPr>
    </w:p>
    <w:p w14:paraId="4595CA4F" w14:textId="77777777" w:rsidR="00581415" w:rsidRPr="004508D5" w:rsidRDefault="00581415" w:rsidP="00581415">
      <w:pPr>
        <w:spacing w:after="120" w:line="276" w:lineRule="auto"/>
        <w:jc w:val="both"/>
        <w:rPr>
          <w:rFonts w:ascii="Arial" w:eastAsia="Calibri" w:hAnsi="Arial" w:cs="Arial"/>
          <w:sz w:val="22"/>
          <w:szCs w:val="22"/>
          <w:lang w:val="es-ES_tradnl"/>
        </w:rPr>
      </w:pPr>
      <w:r w:rsidRPr="004508D5">
        <w:rPr>
          <w:rFonts w:ascii="Arial" w:eastAsia="Calibri" w:hAnsi="Arial" w:cs="Arial"/>
          <w:sz w:val="22"/>
          <w:szCs w:val="22"/>
          <w:lang w:val="es-ES_tradnl"/>
        </w:rPr>
        <w:tab/>
        <w:t xml:space="preserve">De acuerdo con lo establecido en este numeral, una sociedad podrá ser considerada como un emprendimiento o empresa de mujeres cuando más del 50% de sus acciones, partes de interés o cuotas de participación, pertenezcan a mujeres. Sin embargo, el supuesto de hecho de la norma transcrita, adicionalmente, exige que la titularidad de tal participación haya pertenecido a mujeres, por lo menos, durante el año anterior a la fecha de cierre del proceso de selección. </w:t>
      </w:r>
    </w:p>
    <w:p w14:paraId="1E7F086D" w14:textId="2E2585B0" w:rsidR="00581415" w:rsidRPr="004508D5" w:rsidRDefault="00581415" w:rsidP="00581415">
      <w:pPr>
        <w:spacing w:after="120" w:line="276" w:lineRule="auto"/>
        <w:jc w:val="both"/>
        <w:rPr>
          <w:rFonts w:ascii="Arial" w:eastAsia="Calibri" w:hAnsi="Arial" w:cs="Arial"/>
          <w:sz w:val="22"/>
          <w:szCs w:val="22"/>
          <w:lang w:val="es-ES_tradnl"/>
        </w:rPr>
      </w:pPr>
      <w:r w:rsidRPr="004508D5">
        <w:rPr>
          <w:rFonts w:ascii="Arial" w:eastAsia="Calibri" w:hAnsi="Arial" w:cs="Arial"/>
          <w:sz w:val="22"/>
          <w:szCs w:val="22"/>
          <w:lang w:val="es-ES_tradnl"/>
        </w:rPr>
        <w:tab/>
        <w:t>Esto quiere decir que no basta con que la participación en una sociedad sea mayoritariamente de mujeres para que sea considerada como un empresa o emprendimiento a los que se refiere la norma, sino que además es necesario que</w:t>
      </w:r>
      <w:r w:rsidR="00B83CAC">
        <w:rPr>
          <w:rFonts w:ascii="Arial" w:eastAsia="Calibri" w:hAnsi="Arial" w:cs="Arial"/>
          <w:sz w:val="22"/>
          <w:szCs w:val="22"/>
          <w:lang w:val="es-ES_tradnl"/>
        </w:rPr>
        <w:t xml:space="preserve"> la</w:t>
      </w:r>
      <w:r w:rsidRPr="004508D5">
        <w:rPr>
          <w:rFonts w:ascii="Arial" w:eastAsia="Calibri" w:hAnsi="Arial" w:cs="Arial"/>
          <w:sz w:val="22"/>
          <w:szCs w:val="22"/>
          <w:lang w:val="es-ES_tradnl"/>
        </w:rPr>
        <w:t xml:space="preserve"> participación mayoritaria femenina se haya mantenido como mínimo durante el periodo de un año, contado </w:t>
      </w:r>
      <w:r w:rsidR="00B83CAC">
        <w:rPr>
          <w:rFonts w:ascii="Arial" w:eastAsia="Calibri" w:hAnsi="Arial" w:cs="Arial"/>
          <w:sz w:val="22"/>
          <w:szCs w:val="22"/>
          <w:lang w:val="es-ES_tradnl"/>
        </w:rPr>
        <w:t>retroactivamente tomando como marco de referencia</w:t>
      </w:r>
      <w:r w:rsidRPr="004508D5">
        <w:rPr>
          <w:rFonts w:ascii="Arial" w:eastAsia="Calibri" w:hAnsi="Arial" w:cs="Arial"/>
          <w:sz w:val="22"/>
          <w:szCs w:val="22"/>
          <w:lang w:val="es-ES_tradnl"/>
        </w:rPr>
        <w:t xml:space="preserv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año. </w:t>
      </w:r>
    </w:p>
    <w:p w14:paraId="0A72FB44" w14:textId="77777777" w:rsidR="00581415" w:rsidRPr="004508D5" w:rsidRDefault="00581415" w:rsidP="00581415">
      <w:pPr>
        <w:spacing w:after="120" w:line="276" w:lineRule="auto"/>
        <w:jc w:val="both"/>
        <w:rPr>
          <w:rFonts w:ascii="Arial" w:eastAsia="Calibri" w:hAnsi="Arial" w:cs="Arial"/>
          <w:sz w:val="22"/>
          <w:szCs w:val="22"/>
          <w:lang w:val="es-ES_tradnl"/>
        </w:rPr>
      </w:pPr>
      <w:r w:rsidRPr="004508D5">
        <w:rPr>
          <w:rFonts w:ascii="Arial" w:eastAsia="Calibri" w:hAnsi="Arial" w:cs="Arial"/>
          <w:sz w:val="22"/>
          <w:szCs w:val="22"/>
          <w:lang w:val="es-ES_tradnl"/>
        </w:rPr>
        <w:tab/>
        <w:t xml:space="preserve">Si se revisan los demás numerales del artículo 2.2.1.2.4.2.14 es posible advertir que cada uno de estos coincide en exigir una antigüedad mínima de un año, respecto de la circunstancia en función de la cual se considera que una persona es un emprendimiento o empresa de mujeres. De esta manera, el numeral 2 establece como criterio que «por lo menos el cincuenta por ciento (50%) de los empleos del nivel directivo de la persona jurídica sean ejercidos por mujeres y éstas hayan estado vinculadas laboralmente a la empresa durante al menos el último año»; el numeral 3 requiere que la persona natural sea una mujer y haya ejercido actividades comerciales a través de un establecimiento de comercio durante </w:t>
      </w:r>
      <w:r w:rsidRPr="004508D5">
        <w:rPr>
          <w:rFonts w:ascii="Arial" w:eastAsia="Calibri" w:hAnsi="Arial" w:cs="Arial"/>
          <w:sz w:val="22"/>
          <w:szCs w:val="22"/>
          <w:lang w:val="es-ES_tradnl"/>
        </w:rPr>
        <w:lastRenderedPageBreak/>
        <w:t xml:space="preserve">al menos el último año; y el numeral 4 que el 50% de la participación en la asociación o cooperativa haya correspondido a mujeres durante al menos el último año. </w:t>
      </w:r>
    </w:p>
    <w:p w14:paraId="781E25FC" w14:textId="77777777" w:rsidR="00581415" w:rsidRPr="004508D5" w:rsidRDefault="00581415" w:rsidP="00581415">
      <w:pPr>
        <w:spacing w:after="120" w:line="276" w:lineRule="auto"/>
        <w:jc w:val="both"/>
        <w:rPr>
          <w:rFonts w:ascii="Arial" w:eastAsia="Calibri" w:hAnsi="Arial" w:cs="Arial"/>
          <w:sz w:val="22"/>
          <w:szCs w:val="22"/>
          <w:lang w:val="es-ES_tradnl"/>
        </w:rPr>
      </w:pPr>
      <w:r w:rsidRPr="004508D5">
        <w:rPr>
          <w:rFonts w:ascii="Arial" w:eastAsia="Calibri" w:hAnsi="Arial" w:cs="Arial"/>
          <w:sz w:val="22"/>
          <w:szCs w:val="22"/>
          <w:lang w:val="es-ES_tradnl"/>
        </w:rPr>
        <w:tab/>
        <w:t xml:space="preserve">En relación con la consulta, lo anterior significa que sociedades con un término de constitución inferior a un año no encajan dentro de lo dispuesto en el numeral 1 del artículo 2.2.1.2.4.2.14, pues incluso acreditando que cuentan con participación mayoritaria de mujeres en su composición accionaria, distribución de cuotas o partes de interés, no cumplirían los requisitos establecidos en la norma en relación con la antigüedad mínima. </w:t>
      </w:r>
    </w:p>
    <w:p w14:paraId="37A41CEC" w14:textId="77777777" w:rsidR="00581415" w:rsidRPr="004508D5" w:rsidRDefault="00581415" w:rsidP="00581415">
      <w:pPr>
        <w:spacing w:after="120" w:line="276" w:lineRule="auto"/>
        <w:jc w:val="both"/>
        <w:rPr>
          <w:rFonts w:ascii="Arial" w:eastAsia="Calibri" w:hAnsi="Arial" w:cs="Arial"/>
          <w:sz w:val="22"/>
          <w:szCs w:val="22"/>
          <w:lang w:val="es-ES_tradnl"/>
        </w:rPr>
      </w:pPr>
      <w:r w:rsidRPr="004508D5">
        <w:rPr>
          <w:rFonts w:ascii="Arial" w:eastAsia="Calibri" w:hAnsi="Arial" w:cs="Arial"/>
          <w:sz w:val="22"/>
          <w:szCs w:val="22"/>
          <w:lang w:val="es-ES_tradnl"/>
        </w:rPr>
        <w:tab/>
        <w:t>Debe advertirse que el texto de la norma bajo examen no establece alguna consideración subsidiaria o permisiva en virtud de la cual fuera posible ubicar dentro de la definición de emprendimientos y empresas de mujeres que realiza el numeral 1, a personas jurídicas con un término inferior a un año –como, por ejemplo, lo hace explícitamente el parágrafo 2 del artículo 35 de la Ley 2069 de 2020, pero para otros efectos</w:t>
      </w:r>
      <w:r w:rsidRPr="00423061">
        <w:rPr>
          <w:rStyle w:val="Refdenotaalpie"/>
          <w:rFonts w:ascii="Arial" w:eastAsia="Calibri" w:hAnsi="Arial" w:cs="Arial"/>
        </w:rPr>
        <w:footnoteReference w:id="12"/>
      </w:r>
      <w:r w:rsidRPr="004508D5">
        <w:rPr>
          <w:rFonts w:ascii="Arial" w:eastAsia="Calibri" w:hAnsi="Arial" w:cs="Arial"/>
          <w:sz w:val="22"/>
          <w:szCs w:val="22"/>
          <w:lang w:val="es-ES_tradnl"/>
        </w:rPr>
        <w:t xml:space="preserve">–. En ese sentido, es preciso descartar la posibilidad de que a una sociedad con un tiempo de constitución inferior a un año le aplique la definición de emprendimientos y empresas de mujeres del numeral 1 del artículo 2.2.1.2.4.2.14, por cuanto, ni siquiera acreditando que la participación mayoritaria de mujeres en la persona jurídica data del momento mismo de su constitución sería posible cumplir con el tiempo mínimo de un año. </w:t>
      </w:r>
    </w:p>
    <w:p w14:paraId="2DF664A0" w14:textId="77777777" w:rsidR="00581415" w:rsidRPr="004508D5" w:rsidRDefault="00581415" w:rsidP="00581415">
      <w:pPr>
        <w:spacing w:after="120" w:line="276" w:lineRule="auto"/>
        <w:jc w:val="both"/>
        <w:rPr>
          <w:rFonts w:ascii="Arial" w:hAnsi="Arial" w:cs="Arial"/>
          <w:sz w:val="22"/>
          <w:szCs w:val="22"/>
          <w:lang w:eastAsia="es-CO"/>
        </w:rPr>
      </w:pPr>
      <w:r w:rsidRPr="004508D5">
        <w:rPr>
          <w:rFonts w:ascii="Arial" w:eastAsia="Calibri" w:hAnsi="Arial" w:cs="Arial"/>
          <w:sz w:val="22"/>
          <w:szCs w:val="22"/>
          <w:lang w:val="es-ES_tradnl"/>
        </w:rPr>
        <w:tab/>
        <w:t xml:space="preserve">Esta conclusión surge en atención lo expresamente indicado en el texto de la norma, el cual es claro al exigir que el </w:t>
      </w:r>
      <w:r w:rsidRPr="004508D5">
        <w:rPr>
          <w:rFonts w:ascii="Arial" w:hAnsi="Arial" w:cs="Arial"/>
          <w:sz w:val="22"/>
          <w:szCs w:val="22"/>
          <w:lang w:eastAsia="es-CO"/>
        </w:rPr>
        <w:t>50% de las acciones, partes de interés o cuotas de participación de la persona jurídica que correspondan a mujeres «[…] hayan pertenecido a estas durante al menos el último año anterior a la fecha de cierre del Proceso de Selección». Por lo tanto, la presente interpretación además se impone en virtud de aquella regla según la cual «cuando el sentido de la ley sea claro, no se desatenderá su tenor literal a pretexto de consultar su espíritu»</w:t>
      </w:r>
      <w:r w:rsidRPr="00423061">
        <w:rPr>
          <w:rStyle w:val="Refdenotaalpie"/>
          <w:rFonts w:ascii="Arial" w:hAnsi="Arial" w:cs="Arial"/>
        </w:rPr>
        <w:footnoteReference w:id="13"/>
      </w:r>
      <w:r w:rsidRPr="004508D5">
        <w:rPr>
          <w:rFonts w:ascii="Arial" w:hAnsi="Arial" w:cs="Arial"/>
          <w:sz w:val="22"/>
          <w:szCs w:val="22"/>
          <w:lang w:eastAsia="es-CO"/>
        </w:rPr>
        <w:t xml:space="preserve">. </w:t>
      </w:r>
    </w:p>
    <w:p w14:paraId="05530CC4" w14:textId="080CAC28" w:rsidR="00581415" w:rsidRPr="004508D5" w:rsidRDefault="00581415" w:rsidP="009B053A">
      <w:pPr>
        <w:spacing w:after="120" w:line="276" w:lineRule="auto"/>
        <w:jc w:val="both"/>
        <w:rPr>
          <w:rFonts w:ascii="Arial" w:hAnsi="Arial" w:cs="Arial"/>
          <w:sz w:val="22"/>
          <w:szCs w:val="22"/>
          <w:lang w:eastAsia="es-CO"/>
        </w:rPr>
      </w:pPr>
      <w:r w:rsidRPr="004508D5">
        <w:rPr>
          <w:rFonts w:ascii="Arial" w:hAnsi="Arial" w:cs="Arial"/>
          <w:sz w:val="22"/>
          <w:szCs w:val="22"/>
          <w:lang w:eastAsia="es-CO"/>
        </w:rPr>
        <w:lastRenderedPageBreak/>
        <w:tab/>
        <w:t>Finalmente, debe agregarse que el artículo 2.2.1.2.4.2.15 del Decreto 1082 de 2015</w:t>
      </w:r>
      <w:r w:rsidRPr="00423061">
        <w:rPr>
          <w:rStyle w:val="Refdenotaalpie"/>
          <w:rFonts w:ascii="Arial" w:hAnsi="Arial" w:cs="Arial"/>
        </w:rPr>
        <w:footnoteReference w:id="14"/>
      </w:r>
      <w:r w:rsidRPr="004508D5">
        <w:rPr>
          <w:rFonts w:ascii="Arial" w:hAnsi="Arial" w:cs="Arial"/>
          <w:sz w:val="22"/>
          <w:szCs w:val="22"/>
          <w:lang w:eastAsia="es-CO"/>
        </w:rPr>
        <w:t>, adicionado por el Decreto 1860 de 2021, complementa la regulación de criterios diferenciales estableciendo unos requisitos habilitantes diferenciales para incentivar emprendimientos y empresas de mujeres, que deben ser menos rigurosos respecto a los contemplados para los proponentes que no cumplan con alguna de los criterios del artículo 2.2.1.2.4.2.14. Del mismo modo, el artículo 2.2.1.2.4.2.15 también regula un puntaje adicional</w:t>
      </w:r>
      <w:r w:rsidRPr="00423061">
        <w:rPr>
          <w:rFonts w:ascii="Arial" w:hAnsi="Arial" w:cs="Arial"/>
          <w:sz w:val="22"/>
          <w:szCs w:val="22"/>
        </w:rPr>
        <w:t xml:space="preserve"> </w:t>
      </w:r>
      <w:r w:rsidRPr="004508D5">
        <w:rPr>
          <w:rFonts w:ascii="Arial" w:hAnsi="Arial" w:cs="Arial"/>
          <w:sz w:val="22"/>
          <w:szCs w:val="22"/>
          <w:lang w:eastAsia="es-CO"/>
        </w:rPr>
        <w:t xml:space="preserve">de hasta el 0,25% del valor total de los puntos establecidos en los pliegos de condiciones o documentos equivalentes, para los proponentes que acrediten alguno de los supuestos del artículo 2.2.1.2.4.2.14. </w:t>
      </w:r>
    </w:p>
    <w:p w14:paraId="5E1D684F" w14:textId="77777777" w:rsidR="00581415" w:rsidRPr="004508D5" w:rsidRDefault="00581415" w:rsidP="00581415">
      <w:pPr>
        <w:spacing w:line="276" w:lineRule="auto"/>
        <w:jc w:val="both"/>
        <w:rPr>
          <w:rFonts w:ascii="Arial" w:hAnsi="Arial" w:cs="Arial"/>
          <w:sz w:val="22"/>
          <w:szCs w:val="22"/>
          <w:lang w:eastAsia="es-CO"/>
        </w:rPr>
      </w:pPr>
      <w:r w:rsidRPr="004508D5">
        <w:rPr>
          <w:rFonts w:ascii="Arial" w:hAnsi="Arial" w:cs="Arial"/>
          <w:sz w:val="22"/>
          <w:szCs w:val="22"/>
          <w:lang w:eastAsia="es-CO"/>
        </w:rPr>
        <w:tab/>
        <w:t xml:space="preserve">De acuerdo con lo anterior, proponentes que no cumplan con alguno de los criterios definitorios de emprendimientos y empresas de mujeres establecidos en el artículo 2.2.1.2.4.2.14 están excluidos del ámbito de aplicación de los criterios diferenciales, reglamentados por el artículo 2.2.1.2.4.2.15 del Decreto 1082 de 2015, en desarrollo de lo </w:t>
      </w:r>
      <w:r w:rsidRPr="004508D5">
        <w:rPr>
          <w:rFonts w:ascii="Arial" w:hAnsi="Arial" w:cs="Arial"/>
          <w:sz w:val="22"/>
          <w:szCs w:val="22"/>
          <w:lang w:eastAsia="es-CO"/>
        </w:rPr>
        <w:lastRenderedPageBreak/>
        <w:t xml:space="preserve">dispuesto en el artículo 32 de la Ley 2069 de 2020. Esto significa que, personas jurídicas con menos de un año de constitución están excluidas de la aplicación de los referidos criterios, incluso si cuentan con participación mayoritaria de mujeres desde el momento de su constitución.     </w:t>
      </w:r>
      <w:r w:rsidRPr="004508D5">
        <w:rPr>
          <w:rFonts w:ascii="Arial" w:hAnsi="Arial" w:cs="Arial"/>
          <w:sz w:val="22"/>
          <w:szCs w:val="22"/>
          <w:lang w:eastAsia="es-CO"/>
        </w:rPr>
        <w:tab/>
      </w:r>
    </w:p>
    <w:p w14:paraId="293785E1" w14:textId="77777777" w:rsidR="00581415" w:rsidRPr="004508D5" w:rsidRDefault="00581415" w:rsidP="00581415">
      <w:pPr>
        <w:tabs>
          <w:tab w:val="left" w:pos="0"/>
        </w:tabs>
        <w:jc w:val="both"/>
        <w:rPr>
          <w:rFonts w:ascii="Arial" w:eastAsia="Calibri" w:hAnsi="Arial" w:cs="Arial"/>
          <w:b/>
          <w:sz w:val="22"/>
          <w:lang w:val="es-ES_tradnl"/>
        </w:rPr>
      </w:pPr>
    </w:p>
    <w:p w14:paraId="5217C0C9" w14:textId="77777777" w:rsidR="00581415" w:rsidRPr="004508D5" w:rsidRDefault="00581415" w:rsidP="00581415">
      <w:pPr>
        <w:tabs>
          <w:tab w:val="left" w:pos="0"/>
        </w:tabs>
        <w:jc w:val="both"/>
        <w:rPr>
          <w:rFonts w:ascii="Arial" w:eastAsia="Calibri" w:hAnsi="Arial" w:cs="Arial"/>
          <w:b/>
          <w:sz w:val="22"/>
          <w:lang w:val="es-ES_tradnl"/>
        </w:rPr>
      </w:pPr>
      <w:r w:rsidRPr="004508D5">
        <w:rPr>
          <w:rFonts w:ascii="Arial" w:eastAsia="Calibri" w:hAnsi="Arial" w:cs="Arial"/>
          <w:b/>
          <w:sz w:val="22"/>
          <w:lang w:val="es-ES_tradnl"/>
        </w:rPr>
        <w:t>3. Respuestas</w:t>
      </w:r>
    </w:p>
    <w:p w14:paraId="744BB3C3" w14:textId="77777777" w:rsidR="00581415" w:rsidRPr="004508D5" w:rsidRDefault="00581415" w:rsidP="00581415">
      <w:pPr>
        <w:tabs>
          <w:tab w:val="left" w:pos="0"/>
        </w:tabs>
        <w:jc w:val="both"/>
        <w:rPr>
          <w:rFonts w:ascii="Arial" w:eastAsia="Calibri" w:hAnsi="Arial" w:cs="Arial"/>
          <w:sz w:val="22"/>
          <w:lang w:val="es-ES_tradnl"/>
        </w:rPr>
      </w:pPr>
    </w:p>
    <w:p w14:paraId="173C2A64" w14:textId="77777777" w:rsidR="00581415" w:rsidRPr="004508D5" w:rsidRDefault="00581415" w:rsidP="00581415">
      <w:pPr>
        <w:autoSpaceDE w:val="0"/>
        <w:autoSpaceDN w:val="0"/>
        <w:adjustRightInd w:val="0"/>
        <w:ind w:left="709" w:right="709"/>
        <w:jc w:val="both"/>
        <w:rPr>
          <w:rFonts w:ascii="Arial" w:eastAsiaTheme="minorHAnsi" w:hAnsi="Arial" w:cs="Arial"/>
          <w:sz w:val="21"/>
          <w:szCs w:val="21"/>
          <w:lang w:eastAsia="en-US"/>
        </w:rPr>
      </w:pPr>
      <w:r w:rsidRPr="004508D5">
        <w:rPr>
          <w:rFonts w:ascii="Arial" w:eastAsiaTheme="minorHAnsi" w:hAnsi="Arial" w:cs="Arial"/>
          <w:sz w:val="21"/>
          <w:szCs w:val="21"/>
          <w:lang w:eastAsia="en-US"/>
        </w:rPr>
        <w:t>«1. […] ¿Este criterio diferencial aplica o no para las empresas cuya constitución haya sido inferior a un año contado desde la fecha de cierre del proceso de selección y que cumplan con los requisitos señalados en el citado Decreto?</w:t>
      </w:r>
    </w:p>
    <w:p w14:paraId="7A32FD31" w14:textId="77777777" w:rsidR="00581415" w:rsidRPr="004508D5" w:rsidRDefault="00581415" w:rsidP="00581415">
      <w:pPr>
        <w:autoSpaceDE w:val="0"/>
        <w:autoSpaceDN w:val="0"/>
        <w:adjustRightInd w:val="0"/>
        <w:ind w:left="709" w:right="709"/>
        <w:jc w:val="both"/>
        <w:rPr>
          <w:rFonts w:ascii="Arial" w:eastAsiaTheme="minorHAnsi" w:hAnsi="Arial" w:cs="Arial"/>
          <w:sz w:val="21"/>
          <w:szCs w:val="21"/>
          <w:lang w:eastAsia="en-US"/>
        </w:rPr>
      </w:pPr>
    </w:p>
    <w:p w14:paraId="112829DA" w14:textId="70866EE7" w:rsidR="00581415" w:rsidRPr="004508D5" w:rsidRDefault="00581415" w:rsidP="00581415">
      <w:pPr>
        <w:spacing w:after="120" w:line="276" w:lineRule="auto"/>
        <w:jc w:val="both"/>
        <w:rPr>
          <w:rStyle w:val="normaltextrun"/>
          <w:rFonts w:ascii="Arial" w:hAnsi="Arial" w:cs="Arial"/>
          <w:sz w:val="22"/>
          <w:szCs w:val="22"/>
          <w:bdr w:val="none" w:sz="0" w:space="0" w:color="auto" w:frame="1"/>
        </w:rPr>
      </w:pPr>
      <w:r w:rsidRPr="004508D5">
        <w:rPr>
          <w:rFonts w:ascii="Arial" w:hAnsi="Arial" w:cs="Arial"/>
          <w:bCs/>
          <w:sz w:val="22"/>
          <w:szCs w:val="22"/>
        </w:rPr>
        <w:t xml:space="preserve">De conformidad con el numeral 1 del artículo </w:t>
      </w:r>
      <w:r w:rsidRPr="004508D5">
        <w:rPr>
          <w:rFonts w:ascii="Arial" w:eastAsiaTheme="minorHAnsi" w:hAnsi="Arial" w:cs="Arial"/>
          <w:sz w:val="22"/>
          <w:szCs w:val="22"/>
          <w:lang w:eastAsia="en-US"/>
        </w:rPr>
        <w:t xml:space="preserve">2.2.1.2.4.2.14 del Decreto 1082 de 2015, adicionado por el Decreto 1860 de 2021, son definidos como emprendimientos o empresas de mujeres aquellas personas jurídicas en las que el </w:t>
      </w:r>
      <w:r w:rsidRPr="004508D5">
        <w:rPr>
          <w:rStyle w:val="normaltextrun"/>
          <w:rFonts w:ascii="Arial" w:hAnsi="Arial" w:cs="Arial"/>
          <w:sz w:val="22"/>
          <w:szCs w:val="22"/>
          <w:bdr w:val="none" w:sz="0" w:space="0" w:color="auto" w:frame="1"/>
        </w:rPr>
        <w:t xml:space="preserve">50% de las acciones, partes de interés o cuotas de participación pertenezcan a mujeres y los derechos de propiedad hayan pertenecido a estas durante, al menos, </w:t>
      </w:r>
      <w:r w:rsidRPr="00423061">
        <w:rPr>
          <w:rStyle w:val="normaltextrun"/>
          <w:rFonts w:ascii="Arial" w:hAnsi="Arial" w:cs="Arial"/>
          <w:i/>
          <w:iCs/>
          <w:sz w:val="22"/>
          <w:szCs w:val="22"/>
          <w:bdr w:val="none" w:sz="0" w:space="0" w:color="auto" w:frame="1"/>
        </w:rPr>
        <w:t>el último año anterior a la fecha de cierre del proceso de selección</w:t>
      </w:r>
      <w:r w:rsidRPr="004508D5">
        <w:rPr>
          <w:rStyle w:val="normaltextrun"/>
          <w:rFonts w:ascii="Arial" w:hAnsi="Arial" w:cs="Arial"/>
          <w:sz w:val="22"/>
          <w:szCs w:val="22"/>
          <w:bdr w:val="none" w:sz="0" w:space="0" w:color="auto" w:frame="1"/>
        </w:rPr>
        <w:t xml:space="preserve">. Esto significa que, para que una persona jurídica sea considerada un emprendimiento o empresa de mujeres, a luz de este numeral, además de contar con la participación mayoritaria de mujeres, debe demostrar que la misma tiene una antigüedad mínima de un año, para poder cumplir con los requisitos exigidos por la norma analizada. </w:t>
      </w:r>
    </w:p>
    <w:p w14:paraId="4CDA5D25" w14:textId="77777777" w:rsidR="00581415" w:rsidRPr="004508D5" w:rsidRDefault="00581415" w:rsidP="00581415">
      <w:pPr>
        <w:spacing w:line="276" w:lineRule="auto"/>
        <w:jc w:val="both"/>
        <w:rPr>
          <w:rFonts w:ascii="Arial" w:eastAsiaTheme="minorHAnsi" w:hAnsi="Arial" w:cs="Arial"/>
          <w:sz w:val="22"/>
          <w:szCs w:val="22"/>
          <w:lang w:eastAsia="en-US"/>
        </w:rPr>
      </w:pPr>
      <w:r w:rsidRPr="004508D5">
        <w:rPr>
          <w:rStyle w:val="normaltextrun"/>
          <w:rFonts w:ascii="Arial" w:hAnsi="Arial" w:cs="Arial"/>
          <w:sz w:val="22"/>
          <w:szCs w:val="22"/>
          <w:bdr w:val="none" w:sz="0" w:space="0" w:color="auto" w:frame="1"/>
        </w:rPr>
        <w:tab/>
        <w:t xml:space="preserve">En tales términos, sociedades con tiempos de constitución inferiores a un año no podrían encajar dentro de las definiciones establecidas en el artículo 2.2.1.2.4.2.14 del Decreto 1082 de 2015. Por lo tanto, estas sociedades no podrían cumplir con los requisitos para ser consideradas emprendimientos o empresas de mujeres, para la aplicación de los criterios diferenciales establecidos por el artículo 32 de la Ley 2069 de 2020, reglamentados por el artículo </w:t>
      </w:r>
      <w:r w:rsidRPr="004508D5">
        <w:rPr>
          <w:rFonts w:ascii="Arial" w:eastAsiaTheme="minorHAnsi" w:hAnsi="Arial" w:cs="Arial"/>
          <w:sz w:val="22"/>
          <w:szCs w:val="22"/>
          <w:lang w:eastAsia="en-US"/>
        </w:rPr>
        <w:t xml:space="preserve">2.2.1.2.4.2.15 del Decreto 1082 de 2015. </w:t>
      </w:r>
    </w:p>
    <w:p w14:paraId="0E1E3153" w14:textId="77777777" w:rsidR="00581415" w:rsidRPr="004508D5" w:rsidRDefault="00581415" w:rsidP="00581415">
      <w:pPr>
        <w:spacing w:after="120" w:line="276" w:lineRule="auto"/>
        <w:jc w:val="both"/>
        <w:rPr>
          <w:rFonts w:ascii="Arial" w:hAnsi="Arial" w:cs="Arial"/>
          <w:sz w:val="21"/>
          <w:szCs w:val="21"/>
          <w:lang w:val="es-ES_tradnl"/>
        </w:rPr>
      </w:pPr>
    </w:p>
    <w:p w14:paraId="3756E8C3" w14:textId="77777777" w:rsidR="00581415" w:rsidRPr="004508D5" w:rsidRDefault="00581415" w:rsidP="00581415">
      <w:pPr>
        <w:spacing w:line="276" w:lineRule="auto"/>
        <w:jc w:val="both"/>
        <w:rPr>
          <w:rFonts w:ascii="Arial" w:hAnsi="Arial" w:cs="Arial"/>
          <w:sz w:val="22"/>
          <w:lang w:val="es-ES_tradnl"/>
        </w:rPr>
      </w:pPr>
      <w:r w:rsidRPr="004508D5">
        <w:rPr>
          <w:rFonts w:ascii="Arial" w:hAnsi="Arial" w:cs="Arial"/>
          <w:sz w:val="22"/>
          <w:lang w:val="es-ES_tradnl"/>
        </w:rPr>
        <w:t>Este concepto tiene el alcance previsto en el artículo 28 del Código de Procedimiento Administrativo y de lo Contencioso Administrativo.</w:t>
      </w:r>
    </w:p>
    <w:p w14:paraId="1C2C4FBE" w14:textId="77777777" w:rsidR="00581415" w:rsidRPr="004508D5" w:rsidRDefault="00581415" w:rsidP="00581415">
      <w:pPr>
        <w:pStyle w:val="NormalWeb"/>
        <w:spacing w:before="0" w:beforeAutospacing="0" w:after="0" w:afterAutospacing="0" w:line="276" w:lineRule="auto"/>
        <w:jc w:val="both"/>
        <w:rPr>
          <w:rFonts w:ascii="Arial" w:hAnsi="Arial" w:cs="Arial"/>
          <w:sz w:val="22"/>
          <w:szCs w:val="22"/>
          <w:lang w:val="es-ES_tradnl"/>
        </w:rPr>
      </w:pPr>
    </w:p>
    <w:p w14:paraId="6AFBE9C3" w14:textId="77777777" w:rsidR="00581415" w:rsidRPr="004508D5" w:rsidRDefault="00581415" w:rsidP="00581415">
      <w:pPr>
        <w:pStyle w:val="NormalWeb"/>
        <w:spacing w:before="0" w:beforeAutospacing="0" w:after="0" w:afterAutospacing="0" w:line="276" w:lineRule="auto"/>
        <w:jc w:val="both"/>
        <w:rPr>
          <w:rFonts w:ascii="Arial" w:hAnsi="Arial" w:cs="Arial"/>
          <w:sz w:val="22"/>
          <w:szCs w:val="22"/>
          <w:lang w:val="es-ES_tradnl"/>
        </w:rPr>
      </w:pPr>
      <w:r w:rsidRPr="004508D5">
        <w:rPr>
          <w:rFonts w:ascii="Arial" w:hAnsi="Arial" w:cs="Arial"/>
          <w:sz w:val="22"/>
          <w:szCs w:val="22"/>
          <w:lang w:val="es-ES_tradnl"/>
        </w:rPr>
        <w:t>Atentamente,</w:t>
      </w:r>
    </w:p>
    <w:p w14:paraId="5D43D174" w14:textId="75B3831C" w:rsidR="00581415" w:rsidRPr="004508D5" w:rsidRDefault="00581415" w:rsidP="00581415">
      <w:pPr>
        <w:pStyle w:val="NormalWeb"/>
        <w:spacing w:before="0" w:beforeAutospacing="0" w:after="0" w:afterAutospacing="0" w:line="276" w:lineRule="auto"/>
        <w:jc w:val="center"/>
        <w:rPr>
          <w:rFonts w:ascii="Arial" w:hAnsi="Arial" w:cs="Arial"/>
          <w:sz w:val="22"/>
          <w:szCs w:val="22"/>
          <w:lang w:val="es-ES_tradnl"/>
        </w:rPr>
      </w:pPr>
      <w:r w:rsidRPr="00423061">
        <w:rPr>
          <w:rFonts w:ascii="Arial" w:hAnsi="Arial" w:cs="Arial"/>
          <w:noProof/>
        </w:rPr>
        <w:t xml:space="preserve"> </w:t>
      </w:r>
      <w:r w:rsidR="00423061">
        <w:rPr>
          <w:noProof/>
        </w:rPr>
        <w:drawing>
          <wp:inline distT="0" distB="0" distL="0" distR="0" wp14:anchorId="02B9BF6A" wp14:editId="2AF0EAE6">
            <wp:extent cx="2714625" cy="1009650"/>
            <wp:effectExtent l="0" t="0" r="9525" b="0"/>
            <wp:docPr id="704682195" name="Imagen 70468219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704682195" name="Imagen 704682195"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714625" cy="1009650"/>
                    </a:xfrm>
                    <a:prstGeom prst="rect">
                      <a:avLst/>
                    </a:prstGeom>
                  </pic:spPr>
                </pic:pic>
              </a:graphicData>
            </a:graphic>
          </wp:inline>
        </w:drawing>
      </w:r>
    </w:p>
    <w:p w14:paraId="0DC73379" w14:textId="77777777" w:rsidR="00581415" w:rsidRPr="004508D5" w:rsidRDefault="00581415" w:rsidP="00581415">
      <w:pPr>
        <w:pStyle w:val="NormalWeb"/>
        <w:spacing w:before="0" w:beforeAutospacing="0" w:after="0" w:afterAutospacing="0" w:line="276" w:lineRule="auto"/>
        <w:jc w:val="center"/>
        <w:rPr>
          <w:rFonts w:ascii="Arial" w:hAnsi="Arial" w:cs="Arial"/>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81415" w:rsidRPr="004508D5" w14:paraId="463F8846" w14:textId="77777777" w:rsidTr="005A644B">
        <w:trPr>
          <w:trHeight w:val="315"/>
        </w:trPr>
        <w:tc>
          <w:tcPr>
            <w:tcW w:w="812" w:type="dxa"/>
            <w:vAlign w:val="center"/>
            <w:hideMark/>
          </w:tcPr>
          <w:p w14:paraId="2E0E64C0" w14:textId="77777777" w:rsidR="00581415" w:rsidRPr="004508D5" w:rsidRDefault="00581415" w:rsidP="005A644B">
            <w:pPr>
              <w:jc w:val="both"/>
              <w:rPr>
                <w:rFonts w:ascii="Arial" w:hAnsi="Arial" w:cs="Arial"/>
                <w:sz w:val="16"/>
                <w:szCs w:val="16"/>
                <w:lang w:val="es-ES_tradnl" w:eastAsia="es-ES"/>
              </w:rPr>
            </w:pPr>
            <w:r w:rsidRPr="004508D5">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93BF1A3" w14:textId="77777777" w:rsidR="00581415" w:rsidRPr="004508D5" w:rsidRDefault="00581415" w:rsidP="005A644B">
            <w:pPr>
              <w:jc w:val="both"/>
              <w:rPr>
                <w:rFonts w:ascii="Arial" w:hAnsi="Arial" w:cs="Arial"/>
                <w:sz w:val="16"/>
                <w:szCs w:val="16"/>
                <w:lang w:val="es-ES_tradnl" w:eastAsia="es-ES"/>
              </w:rPr>
            </w:pPr>
            <w:r w:rsidRPr="004508D5">
              <w:rPr>
                <w:rFonts w:ascii="Arial" w:hAnsi="Arial" w:cs="Arial"/>
                <w:sz w:val="16"/>
                <w:szCs w:val="16"/>
                <w:lang w:val="es-ES_tradnl" w:eastAsia="es-ES"/>
              </w:rPr>
              <w:t>Nathalia Urrego Jiménez</w:t>
            </w:r>
          </w:p>
          <w:p w14:paraId="0BB1FCE5" w14:textId="77777777" w:rsidR="00581415" w:rsidRPr="004508D5" w:rsidRDefault="00581415" w:rsidP="005A644B">
            <w:pPr>
              <w:jc w:val="both"/>
              <w:rPr>
                <w:rFonts w:ascii="Arial" w:hAnsi="Arial" w:cs="Arial"/>
                <w:sz w:val="16"/>
                <w:szCs w:val="16"/>
                <w:lang w:val="es-ES_tradnl" w:eastAsia="es-ES"/>
              </w:rPr>
            </w:pPr>
            <w:r w:rsidRPr="004508D5">
              <w:rPr>
                <w:rFonts w:ascii="Arial" w:hAnsi="Arial" w:cs="Arial"/>
                <w:sz w:val="16"/>
                <w:szCs w:val="16"/>
                <w:lang w:val="es-ES_tradnl" w:eastAsia="es-ES"/>
              </w:rPr>
              <w:t>Contratista de la Subdirección de Gestión Contractual</w:t>
            </w:r>
          </w:p>
        </w:tc>
      </w:tr>
      <w:tr w:rsidR="00581415" w:rsidRPr="004508D5" w14:paraId="19EFFDFA" w14:textId="77777777" w:rsidTr="005A644B">
        <w:trPr>
          <w:trHeight w:val="330"/>
        </w:trPr>
        <w:tc>
          <w:tcPr>
            <w:tcW w:w="812" w:type="dxa"/>
            <w:vAlign w:val="center"/>
            <w:hideMark/>
          </w:tcPr>
          <w:p w14:paraId="0E5BD048" w14:textId="77777777" w:rsidR="00581415" w:rsidRPr="004508D5" w:rsidRDefault="00581415" w:rsidP="005A644B">
            <w:pPr>
              <w:jc w:val="both"/>
              <w:rPr>
                <w:rFonts w:ascii="Arial" w:hAnsi="Arial" w:cs="Arial"/>
                <w:sz w:val="16"/>
                <w:szCs w:val="16"/>
                <w:lang w:val="es-ES_tradnl" w:eastAsia="es-ES"/>
              </w:rPr>
            </w:pPr>
            <w:r w:rsidRPr="004508D5">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44C42A8" w14:textId="70597612" w:rsidR="009B053A" w:rsidRPr="004508D5" w:rsidRDefault="009B053A" w:rsidP="009B053A">
            <w:pPr>
              <w:jc w:val="both"/>
              <w:rPr>
                <w:rFonts w:ascii="Arial" w:hAnsi="Arial" w:cs="Arial"/>
                <w:sz w:val="16"/>
                <w:szCs w:val="16"/>
                <w:lang w:val="es-ES_tradnl" w:eastAsia="es-ES"/>
              </w:rPr>
            </w:pPr>
            <w:r w:rsidRPr="004508D5">
              <w:rPr>
                <w:rFonts w:ascii="Arial" w:hAnsi="Arial" w:cs="Arial"/>
                <w:sz w:val="16"/>
                <w:szCs w:val="16"/>
                <w:lang w:val="es-ES_tradnl" w:eastAsia="es-ES"/>
              </w:rPr>
              <w:t xml:space="preserve">Cristian </w:t>
            </w:r>
            <w:r w:rsidR="0009072F" w:rsidRPr="004508D5">
              <w:rPr>
                <w:rFonts w:ascii="Arial" w:hAnsi="Arial" w:cs="Arial"/>
                <w:sz w:val="16"/>
                <w:szCs w:val="16"/>
                <w:lang w:val="es-ES_tradnl" w:eastAsia="es-ES"/>
              </w:rPr>
              <w:t xml:space="preserve">Andrés </w:t>
            </w:r>
            <w:r w:rsidRPr="004508D5">
              <w:rPr>
                <w:rFonts w:ascii="Arial" w:hAnsi="Arial" w:cs="Arial"/>
                <w:sz w:val="16"/>
                <w:szCs w:val="16"/>
                <w:lang w:val="es-ES_tradnl" w:eastAsia="es-ES"/>
              </w:rPr>
              <w:t>Díaz D</w:t>
            </w:r>
            <w:r w:rsidR="0009072F" w:rsidRPr="004508D5">
              <w:rPr>
                <w:rFonts w:ascii="Arial" w:hAnsi="Arial" w:cs="Arial"/>
                <w:sz w:val="16"/>
                <w:szCs w:val="16"/>
                <w:lang w:val="es-ES_tradnl" w:eastAsia="es-ES"/>
              </w:rPr>
              <w:t>í</w:t>
            </w:r>
            <w:r w:rsidRPr="004508D5">
              <w:rPr>
                <w:rFonts w:ascii="Arial" w:hAnsi="Arial" w:cs="Arial"/>
                <w:sz w:val="16"/>
                <w:szCs w:val="16"/>
                <w:lang w:val="es-ES_tradnl" w:eastAsia="es-ES"/>
              </w:rPr>
              <w:t>ez</w:t>
            </w:r>
          </w:p>
          <w:p w14:paraId="2DFE903B" w14:textId="7CA5E12C" w:rsidR="00581415" w:rsidRPr="004508D5" w:rsidRDefault="009B053A" w:rsidP="009B053A">
            <w:pPr>
              <w:jc w:val="both"/>
              <w:rPr>
                <w:rFonts w:ascii="Arial" w:hAnsi="Arial" w:cs="Arial"/>
                <w:sz w:val="16"/>
                <w:szCs w:val="16"/>
                <w:lang w:val="es-ES_tradnl" w:eastAsia="es-ES"/>
              </w:rPr>
            </w:pPr>
            <w:r w:rsidRPr="004508D5">
              <w:rPr>
                <w:rFonts w:ascii="Arial" w:hAnsi="Arial" w:cs="Arial"/>
                <w:sz w:val="16"/>
                <w:szCs w:val="16"/>
                <w:lang w:val="es-ES_tradnl" w:eastAsia="es-ES"/>
              </w:rPr>
              <w:t>Contratista de la Subdirección de Gestión Contractual</w:t>
            </w:r>
          </w:p>
        </w:tc>
      </w:tr>
      <w:tr w:rsidR="00581415" w:rsidRPr="004508D5" w14:paraId="15E37E9D" w14:textId="77777777" w:rsidTr="005A644B">
        <w:trPr>
          <w:trHeight w:val="300"/>
        </w:trPr>
        <w:tc>
          <w:tcPr>
            <w:tcW w:w="812" w:type="dxa"/>
            <w:vAlign w:val="center"/>
            <w:hideMark/>
          </w:tcPr>
          <w:p w14:paraId="26EF31CB" w14:textId="77777777" w:rsidR="00581415" w:rsidRPr="004508D5" w:rsidRDefault="00581415" w:rsidP="005A644B">
            <w:pPr>
              <w:jc w:val="both"/>
              <w:rPr>
                <w:rFonts w:ascii="Arial" w:hAnsi="Arial" w:cs="Arial"/>
                <w:sz w:val="16"/>
                <w:szCs w:val="16"/>
                <w:lang w:val="es-ES_tradnl" w:eastAsia="es-ES"/>
              </w:rPr>
            </w:pPr>
            <w:r w:rsidRPr="004508D5">
              <w:rPr>
                <w:rFonts w:ascii="Arial" w:hAnsi="Arial" w:cs="Arial"/>
                <w:sz w:val="16"/>
                <w:szCs w:val="16"/>
                <w:lang w:val="es-ES_tradnl" w:eastAsia="es-ES"/>
              </w:rPr>
              <w:lastRenderedPageBreak/>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15607A5" w14:textId="77777777" w:rsidR="00581415" w:rsidRPr="004508D5" w:rsidRDefault="00581415" w:rsidP="005A644B">
            <w:pPr>
              <w:jc w:val="both"/>
              <w:rPr>
                <w:rFonts w:ascii="Arial" w:hAnsi="Arial" w:cs="Arial"/>
                <w:sz w:val="16"/>
                <w:szCs w:val="16"/>
                <w:lang w:val="es-ES_tradnl" w:eastAsia="es-ES"/>
              </w:rPr>
            </w:pPr>
            <w:r w:rsidRPr="004508D5">
              <w:rPr>
                <w:rFonts w:ascii="Arial" w:hAnsi="Arial" w:cs="Arial"/>
                <w:sz w:val="16"/>
                <w:szCs w:val="16"/>
                <w:lang w:val="es-ES_tradnl" w:eastAsia="es-ES"/>
              </w:rPr>
              <w:t>Juan David Marín López</w:t>
            </w:r>
          </w:p>
          <w:p w14:paraId="1C70290C" w14:textId="77777777" w:rsidR="00581415" w:rsidRPr="004508D5" w:rsidRDefault="00581415" w:rsidP="005A644B">
            <w:pPr>
              <w:jc w:val="both"/>
              <w:rPr>
                <w:rFonts w:ascii="Arial" w:hAnsi="Arial" w:cs="Arial"/>
                <w:sz w:val="16"/>
                <w:szCs w:val="16"/>
                <w:lang w:val="es-ES_tradnl" w:eastAsia="es-ES"/>
              </w:rPr>
            </w:pPr>
            <w:r w:rsidRPr="004508D5">
              <w:rPr>
                <w:rFonts w:ascii="Arial" w:hAnsi="Arial" w:cs="Arial"/>
                <w:sz w:val="16"/>
                <w:szCs w:val="16"/>
                <w:lang w:val="es-ES_tradnl" w:eastAsia="es-ES"/>
              </w:rPr>
              <w:t xml:space="preserve">Subdirector de Gestión Contractual (E) </w:t>
            </w:r>
          </w:p>
        </w:tc>
      </w:tr>
      <w:bookmarkEnd w:id="0"/>
    </w:tbl>
    <w:p w14:paraId="4D769AF6" w14:textId="77777777" w:rsidR="00CE7CA5" w:rsidRPr="00423061" w:rsidRDefault="00000000">
      <w:pPr>
        <w:rPr>
          <w:rFonts w:ascii="Arial" w:hAnsi="Arial" w:cs="Arial"/>
        </w:rPr>
      </w:pPr>
    </w:p>
    <w:sectPr w:rsidR="00CE7CA5" w:rsidRPr="00423061"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887D9" w14:textId="77777777" w:rsidR="00BB105D" w:rsidRDefault="00BB105D" w:rsidP="00581415">
      <w:r>
        <w:separator/>
      </w:r>
    </w:p>
  </w:endnote>
  <w:endnote w:type="continuationSeparator" w:id="0">
    <w:p w14:paraId="196F4C1B" w14:textId="77777777" w:rsidR="00BB105D" w:rsidRDefault="00BB105D" w:rsidP="0058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913C" w14:textId="77777777" w:rsidR="008F4163" w:rsidRDefault="00000000" w:rsidP="00322937">
    <w:pPr>
      <w:pStyle w:val="Sinespaciado"/>
      <w:jc w:val="right"/>
      <w:rPr>
        <w:rFonts w:ascii="Arial" w:hAnsi="Arial" w:cs="Arial"/>
        <w:sz w:val="18"/>
        <w:szCs w:val="18"/>
      </w:rPr>
    </w:pPr>
  </w:p>
  <w:p w14:paraId="072169D1" w14:textId="77777777" w:rsidR="008F4163" w:rsidRPr="008217B7" w:rsidRDefault="0066563A"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27E52130" w14:textId="77777777" w:rsidR="008F4163" w:rsidRDefault="0066563A" w:rsidP="00322937">
    <w:pPr>
      <w:pStyle w:val="Piedepgina"/>
      <w:jc w:val="center"/>
      <w:rPr>
        <w:lang w:val="es-ES"/>
      </w:rPr>
    </w:pPr>
    <w:r>
      <w:rPr>
        <w:noProof/>
        <w:lang w:val="es-ES_tradnl" w:eastAsia="es-ES_tradnl"/>
      </w:rPr>
      <w:drawing>
        <wp:inline distT="0" distB="0" distL="0" distR="0" wp14:anchorId="3FA5019A" wp14:editId="383B57BF">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C36F300" w14:textId="77777777" w:rsidR="008F4163" w:rsidRDefault="00000000" w:rsidP="007B0854">
    <w:pPr>
      <w:pStyle w:val="Piedepgina"/>
      <w:jc w:val="center"/>
      <w:rPr>
        <w:lang w:val="es-ES"/>
      </w:rPr>
    </w:pPr>
  </w:p>
  <w:p w14:paraId="03150233" w14:textId="77777777" w:rsidR="008F4163" w:rsidRPr="007B0854" w:rsidRDefault="0000000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1DE1C" w14:textId="77777777" w:rsidR="00BB105D" w:rsidRDefault="00BB105D" w:rsidP="00581415">
      <w:r>
        <w:separator/>
      </w:r>
    </w:p>
  </w:footnote>
  <w:footnote w:type="continuationSeparator" w:id="0">
    <w:p w14:paraId="2FE63BA0" w14:textId="77777777" w:rsidR="00BB105D" w:rsidRDefault="00BB105D" w:rsidP="00581415">
      <w:r>
        <w:continuationSeparator/>
      </w:r>
    </w:p>
  </w:footnote>
  <w:footnote w:id="1">
    <w:p w14:paraId="6008D639" w14:textId="77777777" w:rsidR="00581415" w:rsidRPr="00423061" w:rsidRDefault="00581415" w:rsidP="00581415">
      <w:pPr>
        <w:pStyle w:val="Textonotapie"/>
        <w:ind w:firstLine="708"/>
        <w:jc w:val="both"/>
        <w:rPr>
          <w:rFonts w:ascii="Arial" w:hAnsi="Arial" w:cs="Arial"/>
          <w:color w:val="000000" w:themeColor="text1"/>
          <w:sz w:val="19"/>
          <w:szCs w:val="19"/>
        </w:rPr>
      </w:pPr>
      <w:r w:rsidRPr="00423061">
        <w:rPr>
          <w:rStyle w:val="Refdenotaalpie"/>
          <w:color w:val="000000" w:themeColor="text1"/>
        </w:rPr>
        <w:footnoteRef/>
      </w:r>
      <w:r w:rsidRPr="00423061">
        <w:rPr>
          <w:rFonts w:ascii="Arial" w:hAnsi="Arial" w:cs="Arial"/>
          <w:color w:val="000000" w:themeColor="text1"/>
          <w:sz w:val="19"/>
          <w:szCs w:val="19"/>
        </w:rPr>
        <w:t xml:space="preserve"> </w:t>
      </w:r>
      <w:r w:rsidRPr="00423061">
        <w:rPr>
          <w:rFonts w:ascii="Arial" w:hAnsi="Arial" w:cs="Arial"/>
          <w:color w:val="000000" w:themeColor="text1"/>
          <w:sz w:val="19"/>
          <w:szCs w:val="19"/>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entre otros.</w:t>
      </w:r>
    </w:p>
  </w:footnote>
  <w:footnote w:id="2">
    <w:p w14:paraId="4E0F2445" w14:textId="77777777" w:rsidR="00581415" w:rsidRPr="00423061" w:rsidRDefault="00581415" w:rsidP="00581415">
      <w:pPr>
        <w:pStyle w:val="Textonotapie"/>
        <w:ind w:firstLine="708"/>
        <w:jc w:val="both"/>
        <w:rPr>
          <w:rStyle w:val="Hipervnculo1"/>
          <w:rFonts w:ascii="Arial" w:hAnsi="Arial" w:cs="Arial"/>
          <w:color w:val="000000" w:themeColor="text1"/>
          <w:sz w:val="19"/>
          <w:szCs w:val="19"/>
          <w:u w:val="none"/>
        </w:rPr>
      </w:pPr>
      <w:r w:rsidRPr="00423061">
        <w:rPr>
          <w:rStyle w:val="Refdenotaalpie"/>
          <w:color w:val="000000" w:themeColor="text1"/>
        </w:rPr>
        <w:footnoteRef/>
      </w:r>
      <w:r w:rsidRPr="00423061">
        <w:rPr>
          <w:rFonts w:ascii="Arial" w:hAnsi="Arial" w:cs="Arial"/>
          <w:color w:val="000000" w:themeColor="text1"/>
          <w:sz w:val="19"/>
          <w:szCs w:val="19"/>
        </w:rPr>
        <w:t xml:space="preserve"> Texto del Proyecto de Ley 122 de 2020 Cámara. Exposición de motivos. Consultado el 29 de diciembre de 2021 en la página web: </w:t>
      </w:r>
      <w:hyperlink r:id="rId1" w:history="1">
        <w:r w:rsidRPr="00423061">
          <w:rPr>
            <w:rStyle w:val="Hipervnculo1"/>
            <w:rFonts w:ascii="Arial" w:hAnsi="Arial" w:cs="Arial"/>
            <w:color w:val="000000" w:themeColor="text1"/>
            <w:sz w:val="19"/>
            <w:szCs w:val="19"/>
            <w:u w:val="none"/>
          </w:rPr>
          <w:t>http://leyes.senado.gov.co/proyectos/index.php/textos-radicados-senado/p-ley-2020-2021/1957-proyecto-de-ley-161-de-2020</w:t>
        </w:r>
      </w:hyperlink>
    </w:p>
    <w:p w14:paraId="35EF438F" w14:textId="77777777" w:rsidR="00581415" w:rsidRPr="00423061" w:rsidRDefault="00581415" w:rsidP="00581415">
      <w:pPr>
        <w:pStyle w:val="Textonotapie"/>
        <w:ind w:firstLine="708"/>
        <w:jc w:val="both"/>
        <w:rPr>
          <w:rFonts w:ascii="Arial" w:hAnsi="Arial" w:cs="Arial"/>
          <w:color w:val="000000" w:themeColor="text1"/>
          <w:sz w:val="19"/>
          <w:szCs w:val="19"/>
        </w:rPr>
      </w:pPr>
    </w:p>
  </w:footnote>
  <w:footnote w:id="3">
    <w:p w14:paraId="36FF8C48" w14:textId="77777777" w:rsidR="00581415" w:rsidRPr="00423061" w:rsidRDefault="00581415" w:rsidP="00581415">
      <w:pPr>
        <w:pStyle w:val="Textonotapie"/>
        <w:ind w:firstLine="709"/>
        <w:jc w:val="both"/>
        <w:rPr>
          <w:rFonts w:ascii="Arial" w:hAnsi="Arial" w:cs="Arial"/>
          <w:color w:val="000000" w:themeColor="text1"/>
          <w:sz w:val="19"/>
          <w:szCs w:val="19"/>
          <w:lang w:val="es-ES"/>
        </w:rPr>
      </w:pPr>
      <w:r w:rsidRPr="00423061">
        <w:rPr>
          <w:rStyle w:val="Refdenotaalpie"/>
          <w:color w:val="000000" w:themeColor="text1"/>
        </w:rPr>
        <w:footnoteRef/>
      </w:r>
      <w:r w:rsidRPr="00423061">
        <w:rPr>
          <w:rFonts w:ascii="Arial" w:hAnsi="Arial" w:cs="Arial"/>
          <w:color w:val="000000" w:themeColor="text1"/>
          <w:sz w:val="19"/>
          <w:szCs w:val="19"/>
        </w:rPr>
        <w:t xml:space="preserve"> </w:t>
      </w:r>
      <w:r w:rsidRPr="00423061">
        <w:rPr>
          <w:rFonts w:ascii="Arial" w:hAnsi="Arial" w:cs="Arial"/>
          <w:color w:val="000000" w:themeColor="text1"/>
          <w:sz w:val="19"/>
          <w:szCs w:val="19"/>
          <w:lang w:val="es-ES"/>
        </w:rPr>
        <w:t>Artículos 2 al 29.</w:t>
      </w:r>
    </w:p>
    <w:p w14:paraId="04B57D01" w14:textId="77777777" w:rsidR="00581415" w:rsidRPr="00423061" w:rsidRDefault="00581415" w:rsidP="00581415">
      <w:pPr>
        <w:pStyle w:val="Textonotapie"/>
        <w:ind w:firstLine="709"/>
        <w:jc w:val="both"/>
        <w:rPr>
          <w:rFonts w:ascii="Arial" w:hAnsi="Arial" w:cs="Arial"/>
          <w:color w:val="000000" w:themeColor="text1"/>
          <w:sz w:val="19"/>
          <w:szCs w:val="19"/>
          <w:lang w:val="es-ES"/>
        </w:rPr>
      </w:pPr>
    </w:p>
  </w:footnote>
  <w:footnote w:id="4">
    <w:p w14:paraId="4189307B" w14:textId="77777777" w:rsidR="00581415" w:rsidRPr="00423061" w:rsidRDefault="00581415" w:rsidP="00581415">
      <w:pPr>
        <w:pStyle w:val="Textonotapie"/>
        <w:ind w:firstLine="709"/>
        <w:jc w:val="both"/>
        <w:rPr>
          <w:rFonts w:ascii="Arial" w:hAnsi="Arial" w:cs="Arial"/>
          <w:color w:val="000000" w:themeColor="text1"/>
          <w:sz w:val="19"/>
          <w:szCs w:val="19"/>
          <w:lang w:val="es-ES"/>
        </w:rPr>
      </w:pPr>
      <w:r w:rsidRPr="00423061">
        <w:rPr>
          <w:rStyle w:val="Refdenotaalpie"/>
          <w:color w:val="000000" w:themeColor="text1"/>
        </w:rPr>
        <w:footnoteRef/>
      </w:r>
      <w:r w:rsidRPr="00423061">
        <w:rPr>
          <w:rFonts w:ascii="Arial" w:hAnsi="Arial" w:cs="Arial"/>
          <w:color w:val="000000" w:themeColor="text1"/>
          <w:sz w:val="19"/>
          <w:szCs w:val="19"/>
        </w:rPr>
        <w:t xml:space="preserve"> </w:t>
      </w:r>
      <w:r w:rsidRPr="00423061">
        <w:rPr>
          <w:rFonts w:ascii="Arial" w:hAnsi="Arial" w:cs="Arial"/>
          <w:color w:val="000000" w:themeColor="text1"/>
          <w:sz w:val="19"/>
          <w:szCs w:val="19"/>
          <w:lang w:val="es-ES"/>
        </w:rPr>
        <w:t>Artículos 30 al 36.</w:t>
      </w:r>
    </w:p>
    <w:p w14:paraId="4715C376" w14:textId="77777777" w:rsidR="00581415" w:rsidRPr="00423061" w:rsidRDefault="00581415" w:rsidP="00581415">
      <w:pPr>
        <w:pStyle w:val="Textonotapie"/>
        <w:ind w:firstLine="709"/>
        <w:jc w:val="both"/>
        <w:rPr>
          <w:rFonts w:ascii="Arial" w:hAnsi="Arial" w:cs="Arial"/>
          <w:color w:val="000000" w:themeColor="text1"/>
          <w:sz w:val="19"/>
          <w:szCs w:val="19"/>
          <w:lang w:val="es-ES"/>
        </w:rPr>
      </w:pPr>
    </w:p>
  </w:footnote>
  <w:footnote w:id="5">
    <w:p w14:paraId="28F86B79" w14:textId="77777777" w:rsidR="00581415" w:rsidRPr="00423061" w:rsidRDefault="00581415" w:rsidP="00581415">
      <w:pPr>
        <w:pStyle w:val="Textonotapie"/>
        <w:ind w:firstLine="709"/>
        <w:jc w:val="both"/>
        <w:rPr>
          <w:rFonts w:ascii="Arial" w:hAnsi="Arial" w:cs="Arial"/>
          <w:color w:val="000000" w:themeColor="text1"/>
          <w:sz w:val="19"/>
          <w:szCs w:val="19"/>
          <w:lang w:val="es-ES"/>
        </w:rPr>
      </w:pPr>
      <w:r w:rsidRPr="00423061">
        <w:rPr>
          <w:rStyle w:val="Refdenotaalpie"/>
          <w:color w:val="000000" w:themeColor="text1"/>
        </w:rPr>
        <w:footnoteRef/>
      </w:r>
      <w:r w:rsidRPr="00423061">
        <w:rPr>
          <w:rFonts w:ascii="Arial" w:hAnsi="Arial" w:cs="Arial"/>
          <w:color w:val="000000" w:themeColor="text1"/>
          <w:sz w:val="19"/>
          <w:szCs w:val="19"/>
        </w:rPr>
        <w:t xml:space="preserve"> </w:t>
      </w:r>
      <w:r w:rsidRPr="00423061">
        <w:rPr>
          <w:rFonts w:ascii="Arial" w:hAnsi="Arial" w:cs="Arial"/>
          <w:color w:val="000000" w:themeColor="text1"/>
          <w:sz w:val="19"/>
          <w:szCs w:val="19"/>
          <w:lang w:val="es-ES"/>
        </w:rPr>
        <w:t>Artículos 37 al 45.</w:t>
      </w:r>
    </w:p>
    <w:p w14:paraId="5D3FC01F" w14:textId="77777777" w:rsidR="00581415" w:rsidRPr="00423061" w:rsidRDefault="00581415" w:rsidP="00581415">
      <w:pPr>
        <w:pStyle w:val="Textonotapie"/>
        <w:ind w:firstLine="709"/>
        <w:jc w:val="both"/>
        <w:rPr>
          <w:rFonts w:ascii="Arial" w:hAnsi="Arial" w:cs="Arial"/>
          <w:color w:val="000000" w:themeColor="text1"/>
          <w:sz w:val="19"/>
          <w:szCs w:val="19"/>
          <w:lang w:val="es-ES"/>
        </w:rPr>
      </w:pPr>
    </w:p>
  </w:footnote>
  <w:footnote w:id="6">
    <w:p w14:paraId="71BA43D2" w14:textId="77777777" w:rsidR="00581415" w:rsidRPr="00423061" w:rsidRDefault="00581415" w:rsidP="00581415">
      <w:pPr>
        <w:pStyle w:val="Textonotapie"/>
        <w:ind w:firstLine="709"/>
        <w:jc w:val="both"/>
        <w:rPr>
          <w:rFonts w:ascii="Arial" w:hAnsi="Arial" w:cs="Arial"/>
          <w:color w:val="000000" w:themeColor="text1"/>
          <w:sz w:val="19"/>
          <w:szCs w:val="19"/>
          <w:lang w:val="es-ES"/>
        </w:rPr>
      </w:pPr>
      <w:r w:rsidRPr="00423061">
        <w:rPr>
          <w:rStyle w:val="Refdenotaalpie"/>
          <w:color w:val="000000" w:themeColor="text1"/>
        </w:rPr>
        <w:footnoteRef/>
      </w:r>
      <w:r w:rsidRPr="00423061">
        <w:rPr>
          <w:rFonts w:ascii="Arial" w:hAnsi="Arial" w:cs="Arial"/>
          <w:color w:val="000000" w:themeColor="text1"/>
          <w:sz w:val="19"/>
          <w:szCs w:val="19"/>
        </w:rPr>
        <w:t xml:space="preserve"> </w:t>
      </w:r>
      <w:r w:rsidRPr="00423061">
        <w:rPr>
          <w:rFonts w:ascii="Arial" w:hAnsi="Arial" w:cs="Arial"/>
          <w:color w:val="000000" w:themeColor="text1"/>
          <w:sz w:val="19"/>
          <w:szCs w:val="19"/>
          <w:lang w:val="es-ES"/>
        </w:rPr>
        <w:t>Artículos 46 al 73.</w:t>
      </w:r>
    </w:p>
    <w:p w14:paraId="11C8B1F9" w14:textId="77777777" w:rsidR="00581415" w:rsidRPr="00423061" w:rsidRDefault="00581415" w:rsidP="00581415">
      <w:pPr>
        <w:pStyle w:val="Textonotapie"/>
        <w:ind w:firstLine="709"/>
        <w:jc w:val="both"/>
        <w:rPr>
          <w:rFonts w:ascii="Arial" w:hAnsi="Arial" w:cs="Arial"/>
          <w:color w:val="000000" w:themeColor="text1"/>
          <w:sz w:val="19"/>
          <w:szCs w:val="19"/>
          <w:lang w:val="es-ES"/>
        </w:rPr>
      </w:pPr>
    </w:p>
  </w:footnote>
  <w:footnote w:id="7">
    <w:p w14:paraId="5B605979" w14:textId="77777777" w:rsidR="00581415" w:rsidRPr="00423061" w:rsidRDefault="00581415" w:rsidP="00581415">
      <w:pPr>
        <w:pStyle w:val="Textonotapie"/>
        <w:ind w:firstLine="709"/>
        <w:jc w:val="both"/>
        <w:rPr>
          <w:rFonts w:ascii="Arial" w:hAnsi="Arial" w:cs="Arial"/>
          <w:color w:val="000000" w:themeColor="text1"/>
          <w:sz w:val="19"/>
          <w:szCs w:val="19"/>
          <w:lang w:val="es-ES"/>
        </w:rPr>
      </w:pPr>
      <w:r w:rsidRPr="00423061">
        <w:rPr>
          <w:rStyle w:val="Refdenotaalpie"/>
          <w:color w:val="000000" w:themeColor="text1"/>
        </w:rPr>
        <w:footnoteRef/>
      </w:r>
      <w:r w:rsidRPr="00423061">
        <w:rPr>
          <w:rFonts w:ascii="Arial" w:hAnsi="Arial" w:cs="Arial"/>
          <w:color w:val="000000" w:themeColor="text1"/>
          <w:sz w:val="19"/>
          <w:szCs w:val="19"/>
        </w:rPr>
        <w:t xml:space="preserve"> </w:t>
      </w:r>
      <w:r w:rsidRPr="00423061">
        <w:rPr>
          <w:rFonts w:ascii="Arial" w:hAnsi="Arial" w:cs="Arial"/>
          <w:color w:val="000000" w:themeColor="text1"/>
          <w:sz w:val="19"/>
          <w:szCs w:val="19"/>
          <w:lang w:val="es-ES"/>
        </w:rPr>
        <w:t>Artículos 74 al 83.</w:t>
      </w:r>
    </w:p>
    <w:p w14:paraId="1A5563C1" w14:textId="77777777" w:rsidR="00581415" w:rsidRPr="00423061" w:rsidRDefault="00581415" w:rsidP="00581415">
      <w:pPr>
        <w:pStyle w:val="Textonotapie"/>
        <w:ind w:firstLine="709"/>
        <w:jc w:val="both"/>
        <w:rPr>
          <w:rFonts w:ascii="Arial" w:hAnsi="Arial" w:cs="Arial"/>
          <w:color w:val="000000" w:themeColor="text1"/>
          <w:sz w:val="19"/>
          <w:szCs w:val="19"/>
          <w:lang w:val="es-ES"/>
        </w:rPr>
      </w:pPr>
    </w:p>
  </w:footnote>
  <w:footnote w:id="8">
    <w:p w14:paraId="58E0B310" w14:textId="77777777" w:rsidR="00581415" w:rsidRPr="00423061" w:rsidRDefault="00581415" w:rsidP="00581415">
      <w:pPr>
        <w:pStyle w:val="Textonotapie"/>
        <w:ind w:firstLine="708"/>
        <w:jc w:val="both"/>
        <w:rPr>
          <w:rFonts w:ascii="Arial" w:hAnsi="Arial" w:cs="Arial"/>
          <w:color w:val="000000" w:themeColor="text1"/>
          <w:sz w:val="19"/>
          <w:szCs w:val="19"/>
          <w:lang w:val="es-ES"/>
        </w:rPr>
      </w:pPr>
      <w:r w:rsidRPr="00423061">
        <w:rPr>
          <w:rStyle w:val="Refdenotaalpie"/>
          <w:color w:val="000000" w:themeColor="text1"/>
        </w:rPr>
        <w:footnoteRef/>
      </w:r>
      <w:r w:rsidRPr="00423061">
        <w:rPr>
          <w:rFonts w:ascii="Arial" w:hAnsi="Arial" w:cs="Arial"/>
          <w:color w:val="000000" w:themeColor="text1"/>
          <w:sz w:val="19"/>
          <w:szCs w:val="19"/>
        </w:rPr>
        <w:t xml:space="preserve"> </w:t>
      </w:r>
      <w:bookmarkStart w:id="4" w:name="_Hlk63862868"/>
      <w:r w:rsidRPr="00423061">
        <w:rPr>
          <w:rFonts w:ascii="Arial" w:hAnsi="Arial" w:cs="Arial"/>
          <w:color w:val="000000" w:themeColor="text1"/>
          <w:sz w:val="19"/>
          <w:szCs w:val="19"/>
        </w:rPr>
        <w:t xml:space="preserve">CONGRESO DE LA REPÚBLICA. Gaceta No. 670 del 11 de agosto de 2020. Exposición de motivos del Proyecto de Ley No. 122 de 2020 Cámara. p. 13. </w:t>
      </w:r>
      <w:bookmarkEnd w:id="4"/>
    </w:p>
  </w:footnote>
  <w:footnote w:id="9">
    <w:p w14:paraId="3F423F62" w14:textId="77777777" w:rsidR="00581415" w:rsidRPr="00423061" w:rsidRDefault="00581415" w:rsidP="00581415">
      <w:pPr>
        <w:pStyle w:val="Textonotapie"/>
        <w:ind w:firstLine="709"/>
        <w:jc w:val="both"/>
        <w:rPr>
          <w:rFonts w:ascii="Arial" w:hAnsi="Arial" w:cs="Arial"/>
          <w:color w:val="000000" w:themeColor="text1"/>
          <w:sz w:val="19"/>
          <w:szCs w:val="19"/>
        </w:rPr>
      </w:pPr>
      <w:r w:rsidRPr="00423061">
        <w:rPr>
          <w:rStyle w:val="Refdenotaalpie"/>
          <w:color w:val="000000" w:themeColor="text1"/>
        </w:rPr>
        <w:footnoteRef/>
      </w:r>
      <w:r w:rsidRPr="00423061">
        <w:rPr>
          <w:rFonts w:ascii="Arial" w:hAnsi="Arial" w:cs="Arial"/>
          <w:color w:val="000000" w:themeColor="text1"/>
          <w:sz w:val="19"/>
          <w:szCs w:val="1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6B8672E2" w14:textId="77777777" w:rsidR="00581415" w:rsidRPr="00423061" w:rsidRDefault="00581415" w:rsidP="00581415">
      <w:pPr>
        <w:pStyle w:val="Textonotapie"/>
        <w:ind w:firstLine="708"/>
        <w:jc w:val="both"/>
        <w:rPr>
          <w:rFonts w:ascii="Arial" w:hAnsi="Arial" w:cs="Arial"/>
          <w:color w:val="000000" w:themeColor="text1"/>
          <w:sz w:val="19"/>
          <w:szCs w:val="19"/>
        </w:rPr>
      </w:pPr>
      <w:r w:rsidRPr="00423061">
        <w:rPr>
          <w:rFonts w:ascii="Arial" w:hAnsi="Arial" w:cs="Arial"/>
          <w:color w:val="000000" w:themeColor="text1"/>
          <w:sz w:val="19"/>
          <w:szCs w:val="19"/>
        </w:rPr>
        <w:t xml:space="preserve">»Parágrafo primero. La definición de emprendimientos y empresas de mujeres se reglamentará por el gobierno nacional».  </w:t>
      </w:r>
    </w:p>
  </w:footnote>
  <w:footnote w:id="10">
    <w:p w14:paraId="1FF2319A" w14:textId="77777777" w:rsidR="00581415" w:rsidRPr="00423061" w:rsidRDefault="00581415" w:rsidP="00581415">
      <w:pPr>
        <w:pStyle w:val="Textonotapie"/>
        <w:ind w:firstLine="709"/>
        <w:jc w:val="both"/>
        <w:rPr>
          <w:rFonts w:ascii="Arial" w:hAnsi="Arial" w:cs="Arial"/>
          <w:color w:val="000000" w:themeColor="text1"/>
          <w:sz w:val="19"/>
          <w:szCs w:val="19"/>
        </w:rPr>
      </w:pPr>
      <w:r w:rsidRPr="00423061">
        <w:rPr>
          <w:rStyle w:val="Refdenotaalpie"/>
          <w:color w:val="000000" w:themeColor="text1"/>
        </w:rPr>
        <w:footnoteRef/>
      </w:r>
      <w:r w:rsidRPr="00423061">
        <w:rPr>
          <w:rFonts w:ascii="Arial" w:hAnsi="Arial" w:cs="Arial"/>
          <w:color w:val="000000" w:themeColor="text1"/>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1">
    <w:p w14:paraId="2965B132" w14:textId="77777777" w:rsidR="00581415" w:rsidRPr="00423061" w:rsidRDefault="00581415" w:rsidP="00581415">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423061">
        <w:rPr>
          <w:rStyle w:val="Refdenotaalpie"/>
          <w:color w:val="000000" w:themeColor="text1"/>
        </w:rPr>
        <w:footnoteRef/>
      </w:r>
      <w:r w:rsidRPr="00423061">
        <w:rPr>
          <w:rFonts w:ascii="Arial" w:hAnsi="Arial" w:cs="Arial"/>
          <w:color w:val="000000" w:themeColor="text1"/>
          <w:sz w:val="19"/>
          <w:szCs w:val="19"/>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423061">
          <w:rPr>
            <w:rStyle w:val="Hipervnculo"/>
            <w:rFonts w:ascii="Arial" w:hAnsi="Arial" w:cs="Arial"/>
            <w:color w:val="000000" w:themeColor="text1"/>
            <w:sz w:val="19"/>
            <w:szCs w:val="19"/>
            <w:u w:val="none"/>
          </w:rPr>
          <w:t>5 </w:t>
        </w:r>
      </w:hyperlink>
      <w:r w:rsidRPr="00423061">
        <w:rPr>
          <w:rFonts w:ascii="Arial" w:hAnsi="Arial" w:cs="Arial"/>
          <w:color w:val="000000" w:themeColor="text1"/>
          <w:sz w:val="19"/>
          <w:szCs w:val="19"/>
        </w:rPr>
        <w:t>de la Sección 1 del Capítulo 2 del Título 1 de la Parte 2 del Libro 2, así como los artículos </w:t>
      </w:r>
      <w:hyperlink r:id="rId3" w:anchor="2.2.1.2.4.2.2" w:history="1">
        <w:r w:rsidRPr="00423061">
          <w:rPr>
            <w:rStyle w:val="Hipervnculo"/>
            <w:rFonts w:ascii="Arial" w:hAnsi="Arial" w:cs="Arial"/>
            <w:color w:val="000000" w:themeColor="text1"/>
            <w:sz w:val="19"/>
            <w:szCs w:val="19"/>
            <w:u w:val="none"/>
          </w:rPr>
          <w:t>2.2.1.2.4.2.2</w:t>
        </w:r>
      </w:hyperlink>
      <w:r w:rsidRPr="00423061">
        <w:rPr>
          <w:rFonts w:ascii="Arial" w:hAnsi="Arial" w:cs="Arial"/>
          <w:color w:val="000000" w:themeColor="text1"/>
          <w:sz w:val="19"/>
          <w:szCs w:val="19"/>
        </w:rPr>
        <w:t>., </w:t>
      </w:r>
      <w:hyperlink r:id="rId4" w:anchor="2.2.1.2.4.2.3" w:history="1">
        <w:r w:rsidRPr="00423061">
          <w:rPr>
            <w:rStyle w:val="Hipervnculo"/>
            <w:rFonts w:ascii="Arial" w:hAnsi="Arial" w:cs="Arial"/>
            <w:color w:val="000000" w:themeColor="text1"/>
            <w:sz w:val="19"/>
            <w:szCs w:val="19"/>
            <w:u w:val="none"/>
          </w:rPr>
          <w:t>2.2.1.2.4.2.3</w:t>
        </w:r>
      </w:hyperlink>
      <w:r w:rsidRPr="00423061">
        <w:rPr>
          <w:rFonts w:ascii="Arial" w:hAnsi="Arial" w:cs="Arial"/>
          <w:color w:val="000000" w:themeColor="text1"/>
          <w:sz w:val="19"/>
          <w:szCs w:val="19"/>
        </w:rPr>
        <w:t>., </w:t>
      </w:r>
      <w:hyperlink r:id="rId5" w:anchor="2.2.1.2.4.2.4" w:history="1">
        <w:r w:rsidRPr="00423061">
          <w:rPr>
            <w:rStyle w:val="Hipervnculo"/>
            <w:rFonts w:ascii="Arial" w:hAnsi="Arial" w:cs="Arial"/>
            <w:color w:val="000000" w:themeColor="text1"/>
            <w:sz w:val="19"/>
            <w:szCs w:val="19"/>
            <w:u w:val="none"/>
          </w:rPr>
          <w:t>2.2.1.2.4.2.4</w:t>
        </w:r>
      </w:hyperlink>
      <w:r w:rsidRPr="00423061">
        <w:rPr>
          <w:rFonts w:ascii="Arial" w:hAnsi="Arial" w:cs="Arial"/>
          <w:color w:val="000000" w:themeColor="text1"/>
          <w:sz w:val="19"/>
          <w:szCs w:val="19"/>
        </w:rPr>
        <w:t>., </w:t>
      </w:r>
      <w:hyperlink r:id="rId6" w:anchor="2.2.1.2.1.2.2" w:history="1">
        <w:r w:rsidRPr="00423061">
          <w:rPr>
            <w:rStyle w:val="Hipervnculo"/>
            <w:rFonts w:ascii="Arial" w:hAnsi="Arial" w:cs="Arial"/>
            <w:color w:val="000000" w:themeColor="text1"/>
            <w:sz w:val="19"/>
            <w:szCs w:val="19"/>
            <w:u w:val="none"/>
          </w:rPr>
          <w:t>2.2.1.2.1.2.2</w:t>
        </w:r>
      </w:hyperlink>
      <w:r w:rsidRPr="00423061">
        <w:rPr>
          <w:rFonts w:ascii="Arial" w:hAnsi="Arial" w:cs="Arial"/>
          <w:color w:val="000000" w:themeColor="text1"/>
          <w:sz w:val="19"/>
          <w:szCs w:val="19"/>
        </w:rPr>
        <w:t xml:space="preserve"> y </w:t>
      </w:r>
      <w:hyperlink r:id="rId7" w:anchor="2.2.1.2.4.2.8" w:history="1">
        <w:r w:rsidRPr="00423061">
          <w:rPr>
            <w:rStyle w:val="Hipervnculo"/>
            <w:rFonts w:ascii="Arial" w:hAnsi="Arial" w:cs="Arial"/>
            <w:color w:val="000000" w:themeColor="text1"/>
            <w:sz w:val="19"/>
            <w:szCs w:val="19"/>
            <w:u w:val="none"/>
          </w:rPr>
          <w:t>2.2.1.2.4.2.8</w:t>
        </w:r>
      </w:hyperlink>
      <w:r w:rsidRPr="00423061">
        <w:rPr>
          <w:rFonts w:ascii="Arial" w:hAnsi="Arial" w:cs="Arial"/>
          <w:color w:val="000000" w:themeColor="text1"/>
          <w:sz w:val="19"/>
          <w:szCs w:val="19"/>
        </w:rPr>
        <w:t>.; adiciona los artículos </w:t>
      </w:r>
      <w:hyperlink r:id="rId8" w:anchor="2.2.1.2.4.2.14" w:history="1">
        <w:r w:rsidRPr="00423061">
          <w:rPr>
            <w:rStyle w:val="Hipervnculo"/>
            <w:rFonts w:ascii="Arial" w:hAnsi="Arial" w:cs="Arial"/>
            <w:color w:val="000000" w:themeColor="text1"/>
            <w:sz w:val="19"/>
            <w:szCs w:val="19"/>
            <w:u w:val="none"/>
          </w:rPr>
          <w:t>2.2.1.2.4.2.14</w:t>
        </w:r>
      </w:hyperlink>
      <w:r w:rsidRPr="00423061">
        <w:rPr>
          <w:rFonts w:ascii="Arial" w:hAnsi="Arial" w:cs="Arial"/>
          <w:color w:val="000000" w:themeColor="text1"/>
          <w:sz w:val="19"/>
          <w:szCs w:val="19"/>
        </w:rPr>
        <w:t>., </w:t>
      </w:r>
      <w:hyperlink r:id="rId9" w:anchor="2.2.1.2.4.2.15" w:history="1">
        <w:r w:rsidRPr="00423061">
          <w:rPr>
            <w:rStyle w:val="Hipervnculo"/>
            <w:rFonts w:ascii="Arial" w:hAnsi="Arial" w:cs="Arial"/>
            <w:color w:val="000000" w:themeColor="text1"/>
            <w:sz w:val="19"/>
            <w:szCs w:val="19"/>
            <w:u w:val="none"/>
          </w:rPr>
          <w:t>2.2.1.2.4.2.15</w:t>
        </w:r>
      </w:hyperlink>
      <w:r w:rsidRPr="00423061">
        <w:rPr>
          <w:rFonts w:ascii="Arial" w:hAnsi="Arial" w:cs="Arial"/>
          <w:color w:val="000000" w:themeColor="text1"/>
          <w:sz w:val="19"/>
          <w:szCs w:val="19"/>
        </w:rPr>
        <w:t>., </w:t>
      </w:r>
      <w:hyperlink r:id="rId10" w:anchor="2.2.1.2.4.2.16" w:history="1">
        <w:r w:rsidRPr="00423061">
          <w:rPr>
            <w:rStyle w:val="Hipervnculo"/>
            <w:rFonts w:ascii="Arial" w:hAnsi="Arial" w:cs="Arial"/>
            <w:color w:val="000000" w:themeColor="text1"/>
            <w:sz w:val="19"/>
            <w:szCs w:val="19"/>
            <w:u w:val="none"/>
          </w:rPr>
          <w:t>2.2.1.2.4.2.16</w:t>
        </w:r>
      </w:hyperlink>
      <w:r w:rsidRPr="00423061">
        <w:rPr>
          <w:rFonts w:ascii="Arial" w:hAnsi="Arial" w:cs="Arial"/>
          <w:color w:val="000000" w:themeColor="text1"/>
          <w:sz w:val="19"/>
          <w:szCs w:val="19"/>
        </w:rPr>
        <w:t>., </w:t>
      </w:r>
      <w:hyperlink r:id="rId11" w:anchor="2.2.1.2.4.2.17" w:history="1">
        <w:r w:rsidRPr="00423061">
          <w:rPr>
            <w:rStyle w:val="Hipervnculo"/>
            <w:rFonts w:ascii="Arial" w:hAnsi="Arial" w:cs="Arial"/>
            <w:color w:val="000000" w:themeColor="text1"/>
            <w:sz w:val="19"/>
            <w:szCs w:val="19"/>
            <w:u w:val="none"/>
          </w:rPr>
          <w:t>2.2.1.2.4.2.17</w:t>
        </w:r>
      </w:hyperlink>
      <w:r w:rsidRPr="00423061">
        <w:rPr>
          <w:rFonts w:ascii="Arial" w:hAnsi="Arial" w:cs="Arial"/>
          <w:color w:val="000000" w:themeColor="text1"/>
          <w:sz w:val="19"/>
          <w:szCs w:val="19"/>
        </w:rPr>
        <w:t>. y </w:t>
      </w:r>
      <w:hyperlink r:id="rId12" w:anchor="2.2.1.2.4.2.18" w:history="1">
        <w:r w:rsidRPr="00423061">
          <w:rPr>
            <w:rStyle w:val="Hipervnculo"/>
            <w:rFonts w:ascii="Arial" w:hAnsi="Arial" w:cs="Arial"/>
            <w:color w:val="000000" w:themeColor="text1"/>
            <w:sz w:val="19"/>
            <w:szCs w:val="19"/>
            <w:u w:val="none"/>
          </w:rPr>
          <w:t>2.2.1.2.4.2.18</w:t>
        </w:r>
      </w:hyperlink>
      <w:r w:rsidRPr="00423061">
        <w:rPr>
          <w:rFonts w:ascii="Arial" w:hAnsi="Arial" w:cs="Arial"/>
          <w:color w:val="000000" w:themeColor="text1"/>
          <w:sz w:val="19"/>
          <w:szCs w:val="19"/>
        </w:rPr>
        <w:t>.; adiciona un </w:t>
      </w:r>
      <w:hyperlink r:id="rId13" w:anchor="2.2.1.2.3.1.9.p" w:history="1">
        <w:r w:rsidRPr="00423061">
          <w:rPr>
            <w:rStyle w:val="Hipervnculo"/>
            <w:rFonts w:ascii="Arial" w:hAnsi="Arial" w:cs="Arial"/>
            <w:color w:val="000000" w:themeColor="text1"/>
            <w:sz w:val="19"/>
            <w:szCs w:val="19"/>
            <w:u w:val="none"/>
          </w:rPr>
          <w:t>parágrafo </w:t>
        </w:r>
      </w:hyperlink>
      <w:r w:rsidRPr="00423061">
        <w:rPr>
          <w:rFonts w:ascii="Arial" w:hAnsi="Arial" w:cs="Arial"/>
          <w:color w:val="000000" w:themeColor="text1"/>
          <w:sz w:val="19"/>
          <w:szCs w:val="19"/>
        </w:rPr>
        <w:t>al artículo </w:t>
      </w:r>
      <w:hyperlink r:id="rId14" w:anchor="2.2.1.2.3.1.9" w:history="1">
        <w:r w:rsidRPr="00423061">
          <w:rPr>
            <w:rStyle w:val="Hipervnculo"/>
            <w:rFonts w:ascii="Arial" w:hAnsi="Arial" w:cs="Arial"/>
            <w:color w:val="000000" w:themeColor="text1"/>
            <w:sz w:val="19"/>
            <w:szCs w:val="19"/>
            <w:u w:val="none"/>
          </w:rPr>
          <w:t>2.2.1.2.3.1.9</w:t>
        </w:r>
      </w:hyperlink>
      <w:r w:rsidRPr="00423061">
        <w:rPr>
          <w:rFonts w:ascii="Arial" w:hAnsi="Arial" w:cs="Arial"/>
          <w:color w:val="000000" w:themeColor="text1"/>
          <w:sz w:val="19"/>
          <w:szCs w:val="19"/>
        </w:rPr>
        <w:t>; y deroga el artículo </w:t>
      </w:r>
      <w:hyperlink r:id="rId15" w:anchor="2.2.1.1.2.2.9" w:history="1">
        <w:r w:rsidRPr="00423061">
          <w:rPr>
            <w:rStyle w:val="Hipervnculo"/>
            <w:rFonts w:ascii="Arial" w:hAnsi="Arial" w:cs="Arial"/>
            <w:color w:val="000000" w:themeColor="text1"/>
            <w:sz w:val="19"/>
            <w:szCs w:val="19"/>
            <w:u w:val="none"/>
          </w:rPr>
          <w:t>2.2.1.1.2.2.9</w:t>
        </w:r>
      </w:hyperlink>
      <w:r w:rsidRPr="00423061">
        <w:rPr>
          <w:rFonts w:ascii="Arial" w:hAnsi="Arial" w:cs="Arial"/>
          <w:color w:val="000000" w:themeColor="text1"/>
          <w:sz w:val="19"/>
          <w:szCs w:val="19"/>
        </w:rPr>
        <w:t>. del Decreto 1082 de 2015, Único Reglamentario del Sector Administrativo de Planeación Nacional.</w:t>
      </w:r>
    </w:p>
    <w:p w14:paraId="3D4B933F" w14:textId="77777777" w:rsidR="00581415" w:rsidRPr="00423061" w:rsidRDefault="00581415" w:rsidP="00581415">
      <w:pPr>
        <w:pStyle w:val="NormalWeb"/>
        <w:shd w:val="clear" w:color="auto" w:fill="FFFFFF"/>
        <w:spacing w:before="0" w:beforeAutospacing="0" w:after="0" w:afterAutospacing="0"/>
        <w:jc w:val="both"/>
        <w:rPr>
          <w:rFonts w:ascii="Arial" w:hAnsi="Arial" w:cs="Arial"/>
          <w:color w:val="000000" w:themeColor="text1"/>
          <w:sz w:val="19"/>
          <w:szCs w:val="19"/>
        </w:rPr>
      </w:pPr>
      <w:r w:rsidRPr="00423061">
        <w:rPr>
          <w:rFonts w:ascii="Arial" w:hAnsi="Arial" w:cs="Arial"/>
          <w:b/>
          <w:bCs/>
          <w:color w:val="000000" w:themeColor="text1"/>
          <w:sz w:val="19"/>
          <w:szCs w:val="19"/>
        </w:rPr>
        <w:t> </w:t>
      </w:r>
      <w:r w:rsidRPr="00423061">
        <w:rPr>
          <w:rFonts w:ascii="Arial" w:hAnsi="Arial" w:cs="Arial"/>
          <w:b/>
          <w:bCs/>
          <w:color w:val="000000" w:themeColor="text1"/>
          <w:sz w:val="19"/>
          <w:szCs w:val="19"/>
        </w:rPr>
        <w:tab/>
        <w:t>»</w:t>
      </w:r>
      <w:r w:rsidRPr="00423061">
        <w:rPr>
          <w:rFonts w:ascii="Arial" w:hAnsi="Arial" w:cs="Arial"/>
          <w:color w:val="000000" w:themeColor="text1"/>
          <w:sz w:val="19"/>
          <w:szCs w:val="1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175CA7B0" w14:textId="77777777" w:rsidR="00581415" w:rsidRPr="00423061" w:rsidRDefault="00581415" w:rsidP="00581415">
      <w:pPr>
        <w:pStyle w:val="NormalWeb"/>
        <w:shd w:val="clear" w:color="auto" w:fill="FFFFFF"/>
        <w:spacing w:before="0" w:beforeAutospacing="0" w:after="0" w:afterAutospacing="0"/>
        <w:jc w:val="both"/>
        <w:rPr>
          <w:rFonts w:ascii="Arial" w:hAnsi="Arial" w:cs="Arial"/>
          <w:color w:val="000000" w:themeColor="text1"/>
          <w:sz w:val="19"/>
          <w:szCs w:val="19"/>
        </w:rPr>
      </w:pPr>
      <w:r w:rsidRPr="00423061">
        <w:rPr>
          <w:rFonts w:ascii="Arial" w:hAnsi="Arial" w:cs="Arial"/>
          <w:color w:val="000000" w:themeColor="text1"/>
          <w:sz w:val="19"/>
          <w:szCs w:val="19"/>
        </w:rPr>
        <w:t> </w:t>
      </w:r>
      <w:r w:rsidRPr="00423061">
        <w:rPr>
          <w:rFonts w:ascii="Arial" w:hAnsi="Arial" w:cs="Arial"/>
          <w:color w:val="000000" w:themeColor="text1"/>
          <w:sz w:val="19"/>
          <w:szCs w:val="19"/>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2">
    <w:p w14:paraId="5899CF92" w14:textId="77777777" w:rsidR="00581415" w:rsidRPr="00423061" w:rsidRDefault="00581415" w:rsidP="00581415">
      <w:pPr>
        <w:pStyle w:val="Textonotapie"/>
        <w:ind w:firstLine="708"/>
        <w:jc w:val="both"/>
        <w:rPr>
          <w:rFonts w:ascii="Arial" w:hAnsi="Arial" w:cs="Arial"/>
          <w:color w:val="000000" w:themeColor="text1"/>
          <w:sz w:val="19"/>
          <w:szCs w:val="19"/>
        </w:rPr>
      </w:pPr>
      <w:r w:rsidRPr="00423061">
        <w:rPr>
          <w:rStyle w:val="Refdenotaalpie"/>
          <w:color w:val="000000" w:themeColor="text1"/>
        </w:rPr>
        <w:footnoteRef/>
      </w:r>
      <w:r w:rsidRPr="00423061">
        <w:rPr>
          <w:rFonts w:ascii="Arial" w:hAnsi="Arial" w:cs="Arial"/>
          <w:color w:val="000000" w:themeColor="text1"/>
          <w:sz w:val="19"/>
          <w:szCs w:val="19"/>
        </w:rPr>
        <w:t xml:space="preserve"> El artículo de 35 de la Ley 2069 de 2020 desarrolla en sus doce numerales igual número de factores de desempate, algunos de los cuales tienen como presupuesto la acreditación de vinculaciones laborales de personas pertenecientes a ciertos grupos poblacionales. Con relación a los supuestos de hecho de dichos numerales, el parágrafo segundo de la norma establece que: «[…] el oferente deberá acreditar una antigüedad igual o mayor a un año», sin embargo, a continuación, el parágrafo establece que: «Para los casos de constitución inferior a un año se tendrá en cuenta a aquellos trabajadores que hayan estado vinculados desde el momento de constitución de la misma».</w:t>
      </w:r>
    </w:p>
    <w:p w14:paraId="1FBCFC91" w14:textId="77777777" w:rsidR="00581415" w:rsidRPr="00423061" w:rsidRDefault="00581415" w:rsidP="00581415">
      <w:pPr>
        <w:pStyle w:val="Textonotapie"/>
        <w:ind w:firstLine="708"/>
        <w:jc w:val="both"/>
        <w:rPr>
          <w:rFonts w:ascii="Arial" w:hAnsi="Arial" w:cs="Arial"/>
          <w:color w:val="000000" w:themeColor="text1"/>
          <w:sz w:val="19"/>
          <w:szCs w:val="19"/>
        </w:rPr>
      </w:pPr>
    </w:p>
  </w:footnote>
  <w:footnote w:id="13">
    <w:p w14:paraId="30320910" w14:textId="77777777" w:rsidR="00581415" w:rsidRPr="00423061" w:rsidRDefault="00581415" w:rsidP="00581415">
      <w:pPr>
        <w:pStyle w:val="NormalWeb"/>
        <w:spacing w:before="0" w:beforeAutospacing="0" w:after="0" w:afterAutospacing="0"/>
        <w:ind w:firstLine="709"/>
        <w:jc w:val="both"/>
        <w:rPr>
          <w:rFonts w:ascii="Arial" w:hAnsi="Arial" w:cs="Arial"/>
          <w:color w:val="000000" w:themeColor="text1"/>
          <w:sz w:val="19"/>
          <w:szCs w:val="19"/>
        </w:rPr>
      </w:pPr>
      <w:r w:rsidRPr="00423061">
        <w:rPr>
          <w:rStyle w:val="Refdenotaalpie"/>
          <w:color w:val="000000" w:themeColor="text1"/>
        </w:rPr>
        <w:footnoteRef/>
      </w:r>
      <w:r w:rsidRPr="00423061">
        <w:rPr>
          <w:rFonts w:ascii="Arial" w:hAnsi="Arial" w:cs="Arial"/>
          <w:color w:val="000000" w:themeColor="text1"/>
          <w:sz w:val="19"/>
          <w:szCs w:val="19"/>
        </w:rPr>
        <w:t xml:space="preserve"> Código Civil Colombiano «Artículo 27. Cuando el sentido de la ley sea claro, no se desatenderá su tenor literal a pretexto de consultar su espíritu. </w:t>
      </w:r>
    </w:p>
    <w:p w14:paraId="0A92821C" w14:textId="77777777" w:rsidR="00581415" w:rsidRPr="00423061" w:rsidRDefault="00581415" w:rsidP="00581415">
      <w:pPr>
        <w:jc w:val="both"/>
        <w:rPr>
          <w:rFonts w:ascii="Arial" w:hAnsi="Arial" w:cs="Arial"/>
          <w:color w:val="000000" w:themeColor="text1"/>
          <w:sz w:val="19"/>
          <w:szCs w:val="19"/>
          <w:lang w:eastAsia="es-CO"/>
        </w:rPr>
      </w:pPr>
      <w:r w:rsidRPr="00423061">
        <w:rPr>
          <w:rFonts w:ascii="Arial" w:hAnsi="Arial" w:cs="Arial"/>
          <w:color w:val="000000" w:themeColor="text1"/>
          <w:sz w:val="19"/>
          <w:szCs w:val="19"/>
          <w:lang w:eastAsia="es-CO"/>
        </w:rPr>
        <w:t>  </w:t>
      </w:r>
      <w:r w:rsidRPr="00423061">
        <w:rPr>
          <w:rFonts w:ascii="Arial" w:hAnsi="Arial" w:cs="Arial"/>
          <w:color w:val="000000" w:themeColor="text1"/>
          <w:sz w:val="19"/>
          <w:szCs w:val="19"/>
          <w:lang w:eastAsia="es-CO"/>
        </w:rPr>
        <w:tab/>
        <w:t>»Pero bien se puede, para interpretar una expresión </w:t>
      </w:r>
      <w:r w:rsidRPr="00423061">
        <w:rPr>
          <w:rFonts w:ascii="Arial" w:hAnsi="Arial" w:cs="Arial"/>
          <w:i/>
          <w:iCs/>
          <w:color w:val="000000" w:themeColor="text1"/>
          <w:sz w:val="19"/>
          <w:szCs w:val="19"/>
          <w:lang w:eastAsia="es-CO"/>
        </w:rPr>
        <w:t>oscura</w:t>
      </w:r>
      <w:r w:rsidRPr="00423061">
        <w:rPr>
          <w:rFonts w:ascii="Arial" w:hAnsi="Arial" w:cs="Arial"/>
          <w:color w:val="000000" w:themeColor="text1"/>
          <w:sz w:val="19"/>
          <w:szCs w:val="19"/>
          <w:lang w:eastAsia="es-CO"/>
        </w:rPr>
        <w:t> de la ley, recurrir a su intención o espíritu, claramente manifestados en ella misma o en la historia fidedigna de su establecimiento». </w:t>
      </w:r>
    </w:p>
    <w:p w14:paraId="319610BD" w14:textId="77777777" w:rsidR="00581415" w:rsidRPr="00423061" w:rsidRDefault="00581415" w:rsidP="00581415">
      <w:pPr>
        <w:pStyle w:val="Textonotapie"/>
        <w:rPr>
          <w:rFonts w:ascii="Arial" w:hAnsi="Arial" w:cs="Arial"/>
          <w:color w:val="000000" w:themeColor="text1"/>
          <w:sz w:val="19"/>
          <w:szCs w:val="19"/>
        </w:rPr>
      </w:pPr>
    </w:p>
  </w:footnote>
  <w:footnote w:id="14">
    <w:p w14:paraId="65EB274D" w14:textId="77777777" w:rsidR="00581415" w:rsidRPr="00423061" w:rsidRDefault="00581415" w:rsidP="00581415">
      <w:pPr>
        <w:pStyle w:val="Textonotapie"/>
        <w:ind w:firstLine="709"/>
        <w:jc w:val="both"/>
        <w:rPr>
          <w:rFonts w:ascii="Arial" w:hAnsi="Arial" w:cs="Arial"/>
          <w:color w:val="000000" w:themeColor="text1"/>
          <w:sz w:val="19"/>
          <w:szCs w:val="19"/>
        </w:rPr>
      </w:pPr>
      <w:r w:rsidRPr="00423061">
        <w:rPr>
          <w:rStyle w:val="Refdenotaalpie"/>
          <w:color w:val="000000" w:themeColor="text1"/>
        </w:rPr>
        <w:footnoteRef/>
      </w:r>
      <w:r w:rsidRPr="00423061">
        <w:rPr>
          <w:rFonts w:ascii="Arial" w:hAnsi="Arial" w:cs="Arial"/>
          <w:color w:val="000000" w:themeColor="text1"/>
          <w:sz w:val="19"/>
          <w:szCs w:val="19"/>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094FA0B9" w14:textId="77777777" w:rsidR="00581415" w:rsidRPr="00423061" w:rsidRDefault="00581415" w:rsidP="00581415">
      <w:pPr>
        <w:pStyle w:val="Textonotapie"/>
        <w:ind w:firstLine="709"/>
        <w:jc w:val="both"/>
        <w:rPr>
          <w:rFonts w:ascii="Arial" w:hAnsi="Arial" w:cs="Arial"/>
          <w:color w:val="000000" w:themeColor="text1"/>
          <w:sz w:val="19"/>
          <w:szCs w:val="19"/>
        </w:rPr>
      </w:pPr>
      <w:r w:rsidRPr="00423061">
        <w:rPr>
          <w:rFonts w:ascii="Arial" w:hAnsi="Arial" w:cs="Arial"/>
          <w:color w:val="000000" w:themeColor="text1"/>
          <w:sz w:val="19"/>
          <w:szCs w:val="19"/>
        </w:rPr>
        <w:t xml:space="preserve">»1. Tiempo de experiencia. </w:t>
      </w:r>
    </w:p>
    <w:p w14:paraId="4ED59453" w14:textId="77777777" w:rsidR="00581415" w:rsidRPr="00423061" w:rsidRDefault="00581415" w:rsidP="00581415">
      <w:pPr>
        <w:pStyle w:val="Textonotapie"/>
        <w:ind w:firstLine="709"/>
        <w:jc w:val="both"/>
        <w:rPr>
          <w:rFonts w:ascii="Arial" w:hAnsi="Arial" w:cs="Arial"/>
          <w:color w:val="000000" w:themeColor="text1"/>
          <w:sz w:val="19"/>
          <w:szCs w:val="19"/>
        </w:rPr>
      </w:pPr>
      <w:r w:rsidRPr="00423061">
        <w:rPr>
          <w:rFonts w:ascii="Arial" w:hAnsi="Arial" w:cs="Arial"/>
          <w:color w:val="000000" w:themeColor="text1"/>
          <w:sz w:val="19"/>
          <w:szCs w:val="19"/>
        </w:rPr>
        <w:t xml:space="preserve">»2. Número de contratos para la acreditación de la experiencia. </w:t>
      </w:r>
    </w:p>
    <w:p w14:paraId="72A81A0D" w14:textId="77777777" w:rsidR="00581415" w:rsidRPr="00423061" w:rsidRDefault="00581415" w:rsidP="00581415">
      <w:pPr>
        <w:pStyle w:val="Textonotapie"/>
        <w:ind w:firstLine="709"/>
        <w:jc w:val="both"/>
        <w:rPr>
          <w:rFonts w:ascii="Arial" w:hAnsi="Arial" w:cs="Arial"/>
          <w:color w:val="000000" w:themeColor="text1"/>
          <w:sz w:val="19"/>
          <w:szCs w:val="19"/>
        </w:rPr>
      </w:pPr>
      <w:r w:rsidRPr="00423061">
        <w:rPr>
          <w:rFonts w:ascii="Arial" w:hAnsi="Arial" w:cs="Arial"/>
          <w:color w:val="000000" w:themeColor="text1"/>
          <w:sz w:val="19"/>
          <w:szCs w:val="19"/>
        </w:rPr>
        <w:t xml:space="preserve">»3. Índices de capacidad financiera. </w:t>
      </w:r>
    </w:p>
    <w:p w14:paraId="35FC6620" w14:textId="77777777" w:rsidR="00581415" w:rsidRPr="00423061" w:rsidRDefault="00581415" w:rsidP="00581415">
      <w:pPr>
        <w:pStyle w:val="Textonotapie"/>
        <w:ind w:firstLine="709"/>
        <w:jc w:val="both"/>
        <w:rPr>
          <w:rFonts w:ascii="Arial" w:hAnsi="Arial" w:cs="Arial"/>
          <w:color w:val="000000" w:themeColor="text1"/>
          <w:sz w:val="19"/>
          <w:szCs w:val="19"/>
        </w:rPr>
      </w:pPr>
      <w:r w:rsidRPr="00423061">
        <w:rPr>
          <w:rFonts w:ascii="Arial" w:hAnsi="Arial" w:cs="Arial"/>
          <w:color w:val="000000" w:themeColor="text1"/>
          <w:sz w:val="19"/>
          <w:szCs w:val="19"/>
        </w:rPr>
        <w:t xml:space="preserve">»4. Índices de capacidad organizacional. </w:t>
      </w:r>
    </w:p>
    <w:p w14:paraId="2EE6A7C7" w14:textId="77777777" w:rsidR="00581415" w:rsidRPr="00423061" w:rsidRDefault="00581415" w:rsidP="00581415">
      <w:pPr>
        <w:pStyle w:val="Textonotapie"/>
        <w:ind w:firstLine="709"/>
        <w:jc w:val="both"/>
        <w:rPr>
          <w:rFonts w:ascii="Arial" w:hAnsi="Arial" w:cs="Arial"/>
          <w:color w:val="000000" w:themeColor="text1"/>
          <w:sz w:val="19"/>
          <w:szCs w:val="19"/>
        </w:rPr>
      </w:pPr>
      <w:r w:rsidRPr="00423061">
        <w:rPr>
          <w:rFonts w:ascii="Arial" w:hAnsi="Arial" w:cs="Arial"/>
          <w:color w:val="000000" w:themeColor="text1"/>
          <w:sz w:val="19"/>
          <w:szCs w:val="19"/>
        </w:rPr>
        <w:t xml:space="preserve">»5. Valor de la garantía de seriedad de la oferta. </w:t>
      </w:r>
    </w:p>
    <w:p w14:paraId="61BF4213" w14:textId="77777777" w:rsidR="00581415" w:rsidRPr="00423061" w:rsidRDefault="00581415" w:rsidP="00581415">
      <w:pPr>
        <w:pStyle w:val="Textonotapie"/>
        <w:ind w:firstLine="709"/>
        <w:jc w:val="both"/>
        <w:rPr>
          <w:rFonts w:ascii="Arial" w:hAnsi="Arial" w:cs="Arial"/>
          <w:color w:val="000000" w:themeColor="text1"/>
          <w:sz w:val="19"/>
          <w:szCs w:val="19"/>
        </w:rPr>
      </w:pPr>
      <w:r w:rsidRPr="00423061">
        <w:rPr>
          <w:rFonts w:ascii="Arial" w:hAnsi="Arial" w:cs="Arial"/>
          <w:color w:val="000000" w:themeColor="text1"/>
          <w:sz w:val="19"/>
          <w:szCs w:val="19"/>
        </w:rPr>
        <w:t xml:space="preserve"> »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0156C95E" w14:textId="77777777" w:rsidR="00581415" w:rsidRPr="00423061" w:rsidRDefault="00581415" w:rsidP="00581415">
      <w:pPr>
        <w:pStyle w:val="Textonotapie"/>
        <w:ind w:firstLine="709"/>
        <w:jc w:val="both"/>
        <w:rPr>
          <w:rFonts w:ascii="Arial" w:hAnsi="Arial" w:cs="Arial"/>
          <w:color w:val="000000" w:themeColor="text1"/>
          <w:sz w:val="19"/>
          <w:szCs w:val="19"/>
        </w:rPr>
      </w:pPr>
      <w:r w:rsidRPr="00423061">
        <w:rPr>
          <w:rFonts w:ascii="Arial" w:hAnsi="Arial" w:cs="Arial"/>
          <w:color w:val="000000" w:themeColor="text1"/>
          <w:sz w:val="19"/>
          <w:szCs w:val="19"/>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7977D54A" w14:textId="77777777" w:rsidR="00581415" w:rsidRPr="00423061" w:rsidRDefault="00581415" w:rsidP="00581415">
      <w:pPr>
        <w:pStyle w:val="Textonotapie"/>
        <w:ind w:firstLine="709"/>
        <w:jc w:val="both"/>
        <w:rPr>
          <w:rFonts w:ascii="Arial" w:hAnsi="Arial" w:cs="Arial"/>
          <w:color w:val="000000" w:themeColor="text1"/>
          <w:sz w:val="19"/>
          <w:szCs w:val="19"/>
        </w:rPr>
      </w:pPr>
      <w:r w:rsidRPr="00423061">
        <w:rPr>
          <w:rFonts w:ascii="Arial" w:hAnsi="Arial" w:cs="Arial"/>
          <w:color w:val="000000" w:themeColor="text1"/>
          <w:sz w:val="19"/>
          <w:szCs w:val="19"/>
        </w:rPr>
        <w:t xml:space="preserve">»Las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053E764B" w14:textId="77777777" w:rsidR="00581415" w:rsidRPr="00423061" w:rsidRDefault="00581415" w:rsidP="00581415">
      <w:pPr>
        <w:pStyle w:val="Textonotapie"/>
        <w:ind w:firstLine="709"/>
        <w:jc w:val="both"/>
        <w:rPr>
          <w:rFonts w:ascii="Arial" w:hAnsi="Arial" w:cs="Arial"/>
          <w:color w:val="000000" w:themeColor="text1"/>
          <w:sz w:val="19"/>
          <w:szCs w:val="19"/>
        </w:rPr>
      </w:pPr>
      <w:r w:rsidRPr="00423061">
        <w:rPr>
          <w:rFonts w:ascii="Arial" w:hAnsi="Arial" w:cs="Arial"/>
          <w:color w:val="000000" w:themeColor="text1"/>
          <w:sz w:val="19"/>
          <w:szCs w:val="19"/>
        </w:rPr>
        <w:t xml:space="preserve">»Parágrafo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484CC462" w14:textId="77777777" w:rsidR="00581415" w:rsidRPr="00423061" w:rsidRDefault="00581415" w:rsidP="00581415">
      <w:pPr>
        <w:pStyle w:val="Textonotapie"/>
        <w:ind w:firstLine="709"/>
        <w:jc w:val="both"/>
        <w:rPr>
          <w:rFonts w:ascii="Arial" w:hAnsi="Arial" w:cs="Arial"/>
          <w:color w:val="000000" w:themeColor="text1"/>
          <w:sz w:val="19"/>
          <w:szCs w:val="19"/>
        </w:rPr>
      </w:pPr>
      <w:r w:rsidRPr="00423061">
        <w:rPr>
          <w:rFonts w:ascii="Arial" w:hAnsi="Arial" w:cs="Arial"/>
          <w:color w:val="000000" w:themeColor="text1"/>
          <w:sz w:val="19"/>
          <w:szCs w:val="19"/>
        </w:rPr>
        <w:t xml:space="preserve">»Parágrafo 2. Los incentivos contractuales para las empresas y emprendimientos de mujeres no excluyen la aplicación de los criterios diferenciales para Mipyme en el sistema de compras públicas».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B2BA" w14:textId="77777777" w:rsidR="008F4163" w:rsidRDefault="0066563A">
    <w:pPr>
      <w:pStyle w:val="Encabezado"/>
    </w:pPr>
    <w:r>
      <w:rPr>
        <w:noProof/>
        <w:lang w:val="es-ES_tradnl" w:eastAsia="es-ES_tradnl"/>
      </w:rPr>
      <w:drawing>
        <wp:anchor distT="0" distB="0" distL="114300" distR="114300" simplePos="0" relativeHeight="251659264" behindDoc="1" locked="0" layoutInCell="1" allowOverlap="1" wp14:anchorId="5F93E367" wp14:editId="4787CBDF">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50E2F38"/>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227959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415"/>
    <w:rsid w:val="0009072F"/>
    <w:rsid w:val="001B40A2"/>
    <w:rsid w:val="003129C9"/>
    <w:rsid w:val="00314418"/>
    <w:rsid w:val="00423061"/>
    <w:rsid w:val="004508D5"/>
    <w:rsid w:val="00581415"/>
    <w:rsid w:val="0060346F"/>
    <w:rsid w:val="0066563A"/>
    <w:rsid w:val="007A39B0"/>
    <w:rsid w:val="007C35D6"/>
    <w:rsid w:val="009063EB"/>
    <w:rsid w:val="009B053A"/>
    <w:rsid w:val="00B37AF7"/>
    <w:rsid w:val="00B83CAC"/>
    <w:rsid w:val="00BB105D"/>
    <w:rsid w:val="00D41ABA"/>
    <w:rsid w:val="00FB2A77"/>
    <w:rsid w:val="00FE3A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1EAC"/>
  <w15:chartTrackingRefBased/>
  <w15:docId w15:val="{3C04DA6E-4466-46CF-9889-43A6EFB2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415"/>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81415"/>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581415"/>
    <w:rPr>
      <w:sz w:val="24"/>
      <w:lang w:val="es-MX"/>
    </w:rPr>
  </w:style>
  <w:style w:type="paragraph" w:styleId="Encabezado">
    <w:name w:val="header"/>
    <w:basedOn w:val="Normal"/>
    <w:link w:val="EncabezadoCar"/>
    <w:uiPriority w:val="99"/>
    <w:unhideWhenUsed/>
    <w:rsid w:val="0058141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581415"/>
    <w:rPr>
      <w:sz w:val="24"/>
      <w:lang w:val="es-MX"/>
    </w:rPr>
  </w:style>
  <w:style w:type="table" w:styleId="Tablaconcuadrcula">
    <w:name w:val="Table Grid"/>
    <w:basedOn w:val="Tablanormal"/>
    <w:uiPriority w:val="59"/>
    <w:rsid w:val="00581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81415"/>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581415"/>
    <w:rPr>
      <w:color w:val="0563C1" w:themeColor="hyperlink"/>
      <w:u w:val="single"/>
    </w:rPr>
  </w:style>
  <w:style w:type="paragraph" w:styleId="NormalWeb">
    <w:name w:val="Normal (Web)"/>
    <w:basedOn w:val="Normal"/>
    <w:link w:val="NormalWebCar"/>
    <w:uiPriority w:val="99"/>
    <w:unhideWhenUsed/>
    <w:rsid w:val="00581415"/>
    <w:pPr>
      <w:spacing w:before="100" w:beforeAutospacing="1" w:after="100" w:afterAutospacing="1"/>
    </w:pPr>
    <w:rPr>
      <w:lang w:eastAsia="es-CO"/>
    </w:rPr>
  </w:style>
  <w:style w:type="paragraph" w:styleId="Sinespaciado">
    <w:name w:val="No Spacing"/>
    <w:aliases w:val="No Indent"/>
    <w:uiPriority w:val="3"/>
    <w:qFormat/>
    <w:rsid w:val="00581415"/>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8141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581415"/>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581415"/>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81415"/>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581415"/>
    <w:rPr>
      <w:vertAlign w:val="superscript"/>
    </w:rPr>
  </w:style>
  <w:style w:type="character" w:customStyle="1" w:styleId="normaltextrun">
    <w:name w:val="normaltextrun"/>
    <w:basedOn w:val="Fuentedeprrafopredeter"/>
    <w:rsid w:val="00581415"/>
  </w:style>
  <w:style w:type="character" w:customStyle="1" w:styleId="eop">
    <w:name w:val="eop"/>
    <w:basedOn w:val="Fuentedeprrafopredeter"/>
    <w:rsid w:val="00581415"/>
  </w:style>
  <w:style w:type="paragraph" w:customStyle="1" w:styleId="Appelnotedebasde">
    <w:name w:val="Appel note de bas de..."/>
    <w:basedOn w:val="Normal"/>
    <w:link w:val="Refdenotaalpie"/>
    <w:uiPriority w:val="99"/>
    <w:rsid w:val="0058141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581415"/>
    <w:rPr>
      <w:rFonts w:ascii="Times New Roman" w:eastAsia="Times New Roman" w:hAnsi="Times New Roman" w:cs="Times New Roman"/>
      <w:sz w:val="24"/>
      <w:szCs w:val="24"/>
      <w:lang w:eastAsia="es-CO"/>
    </w:rPr>
  </w:style>
  <w:style w:type="character" w:customStyle="1" w:styleId="Hipervnculo1">
    <w:name w:val="Hipervínculo1"/>
    <w:basedOn w:val="Fuentedeprrafopredeter"/>
    <w:uiPriority w:val="99"/>
    <w:unhideWhenUsed/>
    <w:rsid w:val="00581415"/>
    <w:rPr>
      <w:color w:val="F2F2F2"/>
      <w:u w:val="single"/>
    </w:rPr>
  </w:style>
  <w:style w:type="character" w:styleId="Refdenotaalfinal">
    <w:name w:val="endnote reference"/>
    <w:basedOn w:val="Fuentedeprrafopredeter"/>
    <w:uiPriority w:val="99"/>
    <w:semiHidden/>
    <w:unhideWhenUsed/>
    <w:rsid w:val="0009072F"/>
    <w:rPr>
      <w:vertAlign w:val="superscript"/>
    </w:rPr>
  </w:style>
  <w:style w:type="paragraph" w:styleId="Revisin">
    <w:name w:val="Revision"/>
    <w:hidden/>
    <w:uiPriority w:val="99"/>
    <w:semiHidden/>
    <w:rsid w:val="0009072F"/>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FB2A77"/>
    <w:rPr>
      <w:sz w:val="16"/>
      <w:szCs w:val="16"/>
    </w:rPr>
  </w:style>
  <w:style w:type="paragraph" w:styleId="Textocomentario">
    <w:name w:val="annotation text"/>
    <w:basedOn w:val="Normal"/>
    <w:link w:val="TextocomentarioCar"/>
    <w:uiPriority w:val="99"/>
    <w:semiHidden/>
    <w:unhideWhenUsed/>
    <w:rsid w:val="00FB2A77"/>
    <w:rPr>
      <w:sz w:val="20"/>
      <w:szCs w:val="20"/>
    </w:rPr>
  </w:style>
  <w:style w:type="character" w:customStyle="1" w:styleId="TextocomentarioCar">
    <w:name w:val="Texto comentario Car"/>
    <w:basedOn w:val="Fuentedeprrafopredeter"/>
    <w:link w:val="Textocomentario"/>
    <w:uiPriority w:val="99"/>
    <w:semiHidden/>
    <w:rsid w:val="00FB2A77"/>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FB2A77"/>
    <w:rPr>
      <w:b/>
      <w:bCs/>
    </w:rPr>
  </w:style>
  <w:style w:type="character" w:customStyle="1" w:styleId="AsuntodelcomentarioCar">
    <w:name w:val="Asunto del comentario Car"/>
    <w:basedOn w:val="TextocomentarioCar"/>
    <w:link w:val="Asuntodelcomentario"/>
    <w:uiPriority w:val="99"/>
    <w:semiHidden/>
    <w:rsid w:val="00FB2A77"/>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AF728-13AB-4177-A2FA-2D83509AE88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B99AF05B-6D89-4828-9C39-14A8986D20D4}">
  <ds:schemaRefs>
    <ds:schemaRef ds:uri="http://schemas.microsoft.com/sharepoint/v3/contenttype/forms"/>
  </ds:schemaRefs>
</ds:datastoreItem>
</file>

<file path=customXml/itemProps3.xml><?xml version="1.0" encoding="utf-8"?>
<ds:datastoreItem xmlns:ds="http://schemas.openxmlformats.org/officeDocument/2006/customXml" ds:itemID="{593A3D43-3129-4CDE-8FD7-3DDDF8DFD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3962</Words>
  <Characters>21793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Urrego J.</dc:creator>
  <cp:keywords/>
  <dc:description/>
  <cp:lastModifiedBy>Jorge Eliecer Moran Buitrón</cp:lastModifiedBy>
  <cp:revision>3</cp:revision>
  <dcterms:created xsi:type="dcterms:W3CDTF">2022-10-26T00:55:00Z</dcterms:created>
  <dcterms:modified xsi:type="dcterms:W3CDTF">2022-10-26T22:50:00Z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