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7C34" w14:textId="77777777" w:rsidR="002A05F8" w:rsidRDefault="002A05F8" w:rsidP="002A05F8">
      <w:pPr>
        <w:spacing w:after="0" w:line="240" w:lineRule="auto"/>
        <w:rPr>
          <w:rFonts w:ascii="Arial" w:hAnsi="Arial" w:cs="Arial"/>
          <w:b/>
          <w:bCs/>
          <w:color w:val="000000"/>
          <w:sz w:val="22"/>
          <w:szCs w:val="22"/>
          <w:lang w:val="es-ES_tradnl" w:eastAsia="en-US"/>
        </w:rPr>
      </w:pPr>
      <w:bookmarkStart w:id="0" w:name="_Hlk115949518"/>
    </w:p>
    <w:p w14:paraId="72C77091" w14:textId="2ADAE867" w:rsidR="002A05F8" w:rsidRPr="002A05F8" w:rsidRDefault="002A05F8" w:rsidP="002A05F8">
      <w:pPr>
        <w:spacing w:after="0" w:line="240" w:lineRule="auto"/>
        <w:rPr>
          <w:rFonts w:ascii="Arial" w:hAnsi="Arial" w:cs="Arial"/>
          <w:b/>
          <w:bCs/>
          <w:color w:val="000000"/>
          <w:sz w:val="22"/>
          <w:szCs w:val="22"/>
          <w:lang w:val="es-ES_tradnl" w:eastAsia="en-US"/>
        </w:rPr>
      </w:pPr>
      <w:bookmarkStart w:id="1" w:name="_Hlk117621949"/>
      <w:r w:rsidRPr="002A05F8">
        <w:rPr>
          <w:rFonts w:ascii="Arial" w:hAnsi="Arial" w:cs="Arial"/>
          <w:b/>
          <w:bCs/>
          <w:color w:val="000000"/>
          <w:sz w:val="22"/>
          <w:szCs w:val="22"/>
          <w:lang w:val="es-ES_tradnl" w:eastAsia="en-US"/>
        </w:rPr>
        <w:t xml:space="preserve">RÉGIMEN DE INHABILIDADES E INCOMPATIBILIDADES </w:t>
      </w:r>
      <w:r w:rsidRPr="002A05F8">
        <w:rPr>
          <w:rFonts w:ascii="Arial" w:hAnsi="Arial" w:cs="Arial"/>
          <w:b/>
          <w:color w:val="000000"/>
          <w:sz w:val="22"/>
          <w:szCs w:val="22"/>
          <w:lang w:eastAsia="en-US"/>
        </w:rPr>
        <w:t>–</w:t>
      </w:r>
      <w:r w:rsidRPr="002A05F8">
        <w:rPr>
          <w:rFonts w:ascii="Arial" w:hAnsi="Arial" w:cs="Arial"/>
          <w:b/>
          <w:bCs/>
          <w:color w:val="000000"/>
          <w:sz w:val="22"/>
          <w:szCs w:val="22"/>
          <w:lang w:val="es-ES_tradnl" w:eastAsia="en-US"/>
        </w:rPr>
        <w:t xml:space="preserve"> Concepto </w:t>
      </w:r>
      <w:r w:rsidRPr="002A05F8">
        <w:rPr>
          <w:rFonts w:ascii="Arial" w:hAnsi="Arial" w:cs="Arial"/>
          <w:b/>
          <w:color w:val="000000"/>
          <w:sz w:val="22"/>
          <w:szCs w:val="22"/>
          <w:lang w:eastAsia="en-US"/>
        </w:rPr>
        <w:t>–</w:t>
      </w:r>
      <w:r w:rsidRPr="002A05F8">
        <w:rPr>
          <w:rFonts w:ascii="Arial" w:hAnsi="Arial" w:cs="Arial"/>
          <w:b/>
          <w:bCs/>
          <w:color w:val="000000"/>
          <w:sz w:val="22"/>
          <w:szCs w:val="22"/>
          <w:lang w:val="es-ES_tradnl" w:eastAsia="en-US"/>
        </w:rPr>
        <w:t xml:space="preserve"> Principio de legalidad </w:t>
      </w:r>
      <w:r w:rsidRPr="002A05F8">
        <w:rPr>
          <w:rFonts w:ascii="Arial" w:hAnsi="Arial" w:cs="Arial"/>
          <w:b/>
          <w:color w:val="000000"/>
          <w:sz w:val="22"/>
          <w:szCs w:val="22"/>
          <w:lang w:eastAsia="en-US"/>
        </w:rPr>
        <w:t>–</w:t>
      </w:r>
      <w:r w:rsidRPr="002A05F8">
        <w:rPr>
          <w:rFonts w:ascii="Arial" w:hAnsi="Arial" w:cs="Arial"/>
          <w:b/>
          <w:bCs/>
          <w:color w:val="000000"/>
          <w:sz w:val="22"/>
          <w:szCs w:val="22"/>
          <w:lang w:val="es-ES_tradnl" w:eastAsia="en-US"/>
        </w:rPr>
        <w:t xml:space="preserve"> Interpretación restrictiva</w:t>
      </w:r>
    </w:p>
    <w:p w14:paraId="683655AC" w14:textId="77777777" w:rsidR="002A05F8" w:rsidRPr="002A05F8" w:rsidRDefault="002A05F8" w:rsidP="002A05F8">
      <w:pPr>
        <w:spacing w:after="0" w:line="240" w:lineRule="auto"/>
        <w:rPr>
          <w:rFonts w:ascii="Arial" w:hAnsi="Arial" w:cs="Arial"/>
          <w:b/>
          <w:bCs/>
          <w:color w:val="000000"/>
          <w:sz w:val="20"/>
          <w:szCs w:val="20"/>
          <w:lang w:val="es-ES_tradnl" w:eastAsia="en-US"/>
        </w:rPr>
      </w:pPr>
    </w:p>
    <w:p w14:paraId="07819003" w14:textId="77777777" w:rsidR="002A05F8" w:rsidRPr="002A05F8" w:rsidRDefault="002A05F8" w:rsidP="002A05F8">
      <w:pPr>
        <w:spacing w:after="0" w:line="240" w:lineRule="auto"/>
        <w:rPr>
          <w:rFonts w:ascii="Arial" w:hAnsi="Arial" w:cs="Arial"/>
          <w:color w:val="000000"/>
          <w:sz w:val="20"/>
          <w:szCs w:val="20"/>
          <w:lang w:val="es-ES_tradnl" w:eastAsia="en-US"/>
        </w:rPr>
      </w:pPr>
      <w:r w:rsidRPr="002A05F8">
        <w:rPr>
          <w:rFonts w:ascii="Arial" w:hAnsi="Arial" w:cs="Arial"/>
          <w:color w:val="000000"/>
          <w:sz w:val="20"/>
          <w:szCs w:val="20"/>
          <w:lang w:val="es-ES_tradnl" w:eastAsia="en-US"/>
        </w:rPr>
        <w:t xml:space="preserve">Las </w:t>
      </w:r>
      <w:r w:rsidRPr="002A05F8">
        <w:rPr>
          <w:rFonts w:ascii="Arial" w:hAnsi="Arial" w:cs="Arial"/>
          <w:i/>
          <w:iCs/>
          <w:color w:val="000000"/>
          <w:sz w:val="20"/>
          <w:szCs w:val="20"/>
          <w:lang w:val="es-ES_tradnl" w:eastAsia="en-US"/>
        </w:rPr>
        <w:t>inhabilidades</w:t>
      </w:r>
      <w:r w:rsidRPr="002A05F8">
        <w:rPr>
          <w:rFonts w:ascii="Arial" w:hAnsi="Arial" w:cs="Arial"/>
          <w:color w:val="000000"/>
          <w:sz w:val="20"/>
          <w:szCs w:val="20"/>
          <w:lang w:val="es-ES_tradnl" w:eastAsia="en-US"/>
        </w:rPr>
        <w:t xml:space="preserve"> son prohibiciones para concurrir a los procedimientos de selección y para contratar con el Estado, que se derivan de i) de la existencia de comportamientos reprochables o de sanciones anteriormente impuestas, </w:t>
      </w:r>
      <w:proofErr w:type="spellStart"/>
      <w:r w:rsidRPr="002A05F8">
        <w:rPr>
          <w:rFonts w:ascii="Arial" w:hAnsi="Arial" w:cs="Arial"/>
          <w:color w:val="000000"/>
          <w:sz w:val="20"/>
          <w:szCs w:val="20"/>
          <w:lang w:val="es-ES_tradnl" w:eastAsia="en-US"/>
        </w:rPr>
        <w:t>ii</w:t>
      </w:r>
      <w:proofErr w:type="spellEnd"/>
      <w:r w:rsidRPr="002A05F8">
        <w:rPr>
          <w:rFonts w:ascii="Arial" w:hAnsi="Arial" w:cs="Arial"/>
          <w:color w:val="000000"/>
          <w:sz w:val="20"/>
          <w:szCs w:val="20"/>
          <w:lang w:val="es-ES_tradnl" w:eastAsia="en-US"/>
        </w:rPr>
        <w:t xml:space="preserve">) de vínculos personales relativos al parentesco o al estado civil o </w:t>
      </w:r>
      <w:proofErr w:type="spellStart"/>
      <w:r w:rsidRPr="002A05F8">
        <w:rPr>
          <w:rFonts w:ascii="Arial" w:hAnsi="Arial" w:cs="Arial"/>
          <w:color w:val="000000"/>
          <w:sz w:val="20"/>
          <w:szCs w:val="20"/>
          <w:lang w:val="es-ES_tradnl" w:eastAsia="en-US"/>
        </w:rPr>
        <w:t>iii</w:t>
      </w:r>
      <w:proofErr w:type="spellEnd"/>
      <w:r w:rsidRPr="002A05F8">
        <w:rPr>
          <w:rFonts w:ascii="Arial" w:hAnsi="Arial" w:cs="Arial"/>
          <w:color w:val="000000"/>
          <w:sz w:val="20"/>
          <w:szCs w:val="20"/>
          <w:lang w:val="es-ES_tradnl" w:eastAsia="en-US"/>
        </w:rPr>
        <w:t xml:space="preserve">) de una actividad u oficio que se desempeñó en el pasado. De otro lado, las </w:t>
      </w:r>
      <w:r w:rsidRPr="002A05F8">
        <w:rPr>
          <w:rFonts w:ascii="Arial" w:hAnsi="Arial" w:cs="Arial"/>
          <w:i/>
          <w:iCs/>
          <w:color w:val="000000"/>
          <w:sz w:val="20"/>
          <w:szCs w:val="20"/>
          <w:lang w:val="es-ES_tradnl" w:eastAsia="en-US"/>
        </w:rPr>
        <w:t>incompatibilidades</w:t>
      </w:r>
      <w:r w:rsidRPr="002A05F8">
        <w:rPr>
          <w:rFonts w:ascii="Arial" w:hAnsi="Arial" w:cs="Arial"/>
          <w:color w:val="000000"/>
          <w:sz w:val="20"/>
          <w:szCs w:val="20"/>
          <w:lang w:val="es-ES_tradnl" w:eastAsia="en-US"/>
        </w:rPr>
        <w:t xml:space="preserve">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w:t>
      </w:r>
    </w:p>
    <w:p w14:paraId="107E857B" w14:textId="77777777" w:rsidR="002A05F8" w:rsidRPr="002A05F8" w:rsidRDefault="002A05F8" w:rsidP="002A05F8">
      <w:pPr>
        <w:spacing w:after="0" w:line="240" w:lineRule="auto"/>
        <w:rPr>
          <w:rFonts w:ascii="Arial" w:hAnsi="Arial" w:cs="Arial"/>
          <w:color w:val="000000"/>
          <w:sz w:val="20"/>
          <w:szCs w:val="20"/>
          <w:lang w:val="es-ES_tradnl" w:eastAsia="en-US"/>
        </w:rPr>
      </w:pPr>
    </w:p>
    <w:p w14:paraId="60D3709C" w14:textId="6B65736E" w:rsidR="002A05F8" w:rsidRPr="002A05F8" w:rsidRDefault="002A05F8" w:rsidP="002A05F8">
      <w:pPr>
        <w:spacing w:after="0" w:line="240" w:lineRule="auto"/>
        <w:rPr>
          <w:rFonts w:ascii="Arial" w:hAnsi="Arial" w:cs="Arial"/>
          <w:b/>
          <w:bCs/>
          <w:color w:val="000000"/>
          <w:sz w:val="22"/>
          <w:szCs w:val="22"/>
          <w:lang w:val="es-ES_tradnl" w:eastAsia="en-US"/>
        </w:rPr>
      </w:pPr>
      <w:r w:rsidRPr="002A05F8">
        <w:rPr>
          <w:rFonts w:ascii="Arial" w:hAnsi="Arial" w:cs="Arial"/>
          <w:b/>
          <w:bCs/>
          <w:color w:val="000000"/>
          <w:sz w:val="22"/>
          <w:szCs w:val="22"/>
          <w:lang w:val="es-ES_tradnl" w:eastAsia="en-US"/>
        </w:rPr>
        <w:t>INHABILIDADES ― Interpretación restrictiva</w:t>
      </w:r>
    </w:p>
    <w:p w14:paraId="2A9401F7" w14:textId="77777777" w:rsidR="002A05F8" w:rsidRPr="002A05F8" w:rsidRDefault="002A05F8" w:rsidP="002A05F8">
      <w:pPr>
        <w:spacing w:after="0" w:line="240" w:lineRule="auto"/>
        <w:rPr>
          <w:rFonts w:ascii="Arial" w:hAnsi="Arial" w:cs="Arial"/>
          <w:color w:val="000000"/>
          <w:sz w:val="20"/>
          <w:szCs w:val="20"/>
          <w:lang w:val="es-ES_tradnl" w:eastAsia="en-US"/>
        </w:rPr>
      </w:pPr>
    </w:p>
    <w:p w14:paraId="0B1C2CC9" w14:textId="77777777" w:rsidR="002A05F8" w:rsidRPr="002A05F8" w:rsidRDefault="002A05F8" w:rsidP="002A05F8">
      <w:pPr>
        <w:spacing w:after="0" w:line="240" w:lineRule="auto"/>
        <w:rPr>
          <w:rFonts w:ascii="Arial" w:hAnsi="Arial" w:cs="Arial"/>
          <w:color w:val="000000"/>
          <w:sz w:val="20"/>
          <w:szCs w:val="20"/>
          <w:lang w:val="es-ES_tradnl" w:eastAsia="en-US"/>
        </w:rPr>
      </w:pPr>
      <w:r w:rsidRPr="002A05F8">
        <w:rPr>
          <w:rFonts w:ascii="Arial" w:hAnsi="Arial" w:cs="Arial"/>
          <w:color w:val="000000"/>
          <w:sz w:val="20"/>
          <w:szCs w:val="20"/>
          <w:lang w:val="es-ES_tradnl" w:eastAsia="en-US"/>
        </w:rPr>
        <w:t>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restrictiva. En efecto,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w:t>
      </w:r>
    </w:p>
    <w:p w14:paraId="5AF8CB24" w14:textId="77777777" w:rsidR="002A05F8" w:rsidRPr="002A05F8" w:rsidRDefault="002A05F8" w:rsidP="002A05F8">
      <w:pPr>
        <w:spacing w:after="120" w:line="240" w:lineRule="auto"/>
        <w:rPr>
          <w:rFonts w:ascii="Arial" w:hAnsi="Arial" w:cs="Arial"/>
          <w:bCs/>
          <w:color w:val="000000"/>
          <w:sz w:val="20"/>
          <w:szCs w:val="20"/>
          <w:lang w:val="es-ES" w:eastAsia="en-US"/>
        </w:rPr>
      </w:pPr>
    </w:p>
    <w:p w14:paraId="15961200" w14:textId="77777777" w:rsidR="002A05F8" w:rsidRPr="002A05F8" w:rsidRDefault="002A05F8" w:rsidP="002A05F8">
      <w:pPr>
        <w:tabs>
          <w:tab w:val="left" w:pos="0"/>
        </w:tabs>
        <w:spacing w:after="0" w:line="240" w:lineRule="auto"/>
        <w:rPr>
          <w:rFonts w:ascii="Arial" w:hAnsi="Arial" w:cs="Arial"/>
          <w:b/>
          <w:sz w:val="22"/>
          <w:szCs w:val="22"/>
          <w:lang w:val="es-ES" w:eastAsia="en-US"/>
        </w:rPr>
      </w:pPr>
      <w:r w:rsidRPr="002A05F8">
        <w:rPr>
          <w:rFonts w:ascii="Arial" w:hAnsi="Arial" w:cs="Arial"/>
          <w:b/>
          <w:sz w:val="22"/>
          <w:szCs w:val="22"/>
          <w:lang w:val="es-ES" w:eastAsia="en-US"/>
        </w:rPr>
        <w:t xml:space="preserve">DÍAS HÁBILES </w:t>
      </w:r>
      <w:r w:rsidRPr="002A05F8">
        <w:rPr>
          <w:rFonts w:ascii="Arial" w:hAnsi="Arial" w:cs="Arial"/>
          <w:b/>
          <w:sz w:val="22"/>
          <w:szCs w:val="22"/>
          <w:lang w:eastAsia="en-US"/>
        </w:rPr>
        <w:t xml:space="preserve">– </w:t>
      </w:r>
      <w:r w:rsidRPr="002A05F8">
        <w:rPr>
          <w:rFonts w:ascii="Arial" w:hAnsi="Arial" w:cs="Arial"/>
          <w:b/>
          <w:sz w:val="22"/>
          <w:szCs w:val="22"/>
          <w:lang w:val="es-ES" w:eastAsia="en-US"/>
        </w:rPr>
        <w:t xml:space="preserve">Concepto </w:t>
      </w:r>
      <w:r w:rsidRPr="002A05F8">
        <w:rPr>
          <w:rFonts w:ascii="Arial" w:hAnsi="Arial" w:cs="Arial"/>
          <w:b/>
          <w:sz w:val="22"/>
          <w:szCs w:val="22"/>
          <w:lang w:eastAsia="en-US"/>
        </w:rPr>
        <w:t>–</w:t>
      </w:r>
      <w:r w:rsidRPr="002A05F8">
        <w:rPr>
          <w:rFonts w:ascii="Arial" w:hAnsi="Arial" w:cs="Arial"/>
          <w:b/>
          <w:sz w:val="22"/>
          <w:szCs w:val="22"/>
          <w:lang w:val="es-ES" w:eastAsia="en-US"/>
        </w:rPr>
        <w:t xml:space="preserve"> Cómputo de términos</w:t>
      </w:r>
    </w:p>
    <w:bookmarkEnd w:id="0"/>
    <w:p w14:paraId="393D4F62" w14:textId="77777777" w:rsidR="002A05F8" w:rsidRPr="002A05F8" w:rsidRDefault="002A05F8" w:rsidP="002A05F8">
      <w:pPr>
        <w:tabs>
          <w:tab w:val="left" w:pos="0"/>
        </w:tabs>
        <w:spacing w:after="0" w:line="240" w:lineRule="auto"/>
        <w:rPr>
          <w:rFonts w:ascii="Arial" w:hAnsi="Arial" w:cs="Arial"/>
          <w:bCs/>
          <w:sz w:val="20"/>
          <w:szCs w:val="20"/>
          <w:highlight w:val="yellow"/>
          <w:lang w:val="es-ES" w:eastAsia="en-US"/>
        </w:rPr>
      </w:pPr>
    </w:p>
    <w:bookmarkEnd w:id="1"/>
    <w:p w14:paraId="001B4416" w14:textId="3A2E37D6" w:rsidR="002A05F8" w:rsidRPr="002A05F8" w:rsidRDefault="005367C1" w:rsidP="002A05F8">
      <w:pPr>
        <w:spacing w:after="0" w:line="240" w:lineRule="auto"/>
        <w:rPr>
          <w:rFonts w:ascii="Arial" w:hAnsi="Arial" w:cs="Arial"/>
          <w:bCs/>
          <w:color w:val="000000"/>
          <w:sz w:val="20"/>
          <w:szCs w:val="20"/>
          <w:lang w:val="es-ES" w:eastAsia="en-US"/>
        </w:rPr>
      </w:pPr>
      <w:r w:rsidRPr="005367C1">
        <w:rPr>
          <w:rFonts w:ascii="Arial" w:hAnsi="Arial" w:cs="Arial"/>
          <w:bCs/>
          <w:color w:val="000000"/>
          <w:sz w:val="20"/>
          <w:szCs w:val="20"/>
          <w:lang w:val="es-ES" w:eastAsia="en-US"/>
        </w:rPr>
        <w:t>Si bien las reglas establecidas en estas normas no definen el concepto de día hábil, sí evidencian que, a menos de previsión expresa en contrario, los plazos de días no incluyen los vacantes y feriados, lo cual, en línea con la definición de uso común referida con anterioridad, permite inferir que por hábiles se entienden los días laborables</w:t>
      </w:r>
      <w:r w:rsidR="002A05F8" w:rsidRPr="002A05F8">
        <w:rPr>
          <w:rFonts w:ascii="Arial" w:hAnsi="Arial" w:cs="Arial"/>
          <w:bCs/>
          <w:color w:val="000000"/>
          <w:sz w:val="20"/>
          <w:szCs w:val="20"/>
          <w:lang w:val="es-ES" w:eastAsia="en-US"/>
        </w:rPr>
        <w:t xml:space="preserve"> </w:t>
      </w:r>
      <w:r w:rsidR="002A05F8" w:rsidRPr="002A05F8">
        <w:rPr>
          <w:rFonts w:ascii="Arial" w:hAnsi="Arial" w:cs="Arial"/>
          <w:bCs/>
          <w:sz w:val="20"/>
          <w:szCs w:val="20"/>
          <w:lang w:val="es-ES" w:eastAsia="en-US"/>
        </w:rPr>
        <w:t xml:space="preserve">[…] </w:t>
      </w:r>
      <w:r w:rsidRPr="005367C1">
        <w:rPr>
          <w:rFonts w:ascii="Arial" w:hAnsi="Arial" w:cs="Arial"/>
          <w:bCs/>
          <w:sz w:val="20"/>
          <w:szCs w:val="20"/>
          <w:lang w:val="es-ES" w:eastAsia="en-US"/>
        </w:rPr>
        <w:t xml:space="preserve">Conforme con lo anterior, los días hábiles se determinan según la entidad, ya que «cada entidad pública establece la jornada laboral, a través de su reglamento interno, dando certeza sobre los días que atienden al público, e indirectamente definiendo qué día es hábil en determinada institución» , por lo que días hábiles son aquellos de la semana durante los cuales las entidades públicas ejercen sus funciones y prestan servicio al público, los cuales son, por regla general, todos los días de la semana, con excepción de los sábados, domingos y feriados previstos, en la generalidad de entidades, como días de descanso. </w:t>
      </w:r>
    </w:p>
    <w:p w14:paraId="310FBF88" w14:textId="77777777" w:rsidR="002A05F8" w:rsidRPr="002A05F8" w:rsidRDefault="002A05F8" w:rsidP="002A05F8">
      <w:pPr>
        <w:tabs>
          <w:tab w:val="left" w:pos="0"/>
        </w:tabs>
        <w:spacing w:after="0" w:line="240" w:lineRule="auto"/>
        <w:rPr>
          <w:rFonts w:ascii="Arial" w:hAnsi="Arial" w:cs="Arial"/>
          <w:bCs/>
          <w:sz w:val="20"/>
          <w:szCs w:val="20"/>
          <w:lang w:val="es-ES" w:eastAsia="en-US"/>
        </w:rPr>
      </w:pPr>
    </w:p>
    <w:p w14:paraId="355FBDA9" w14:textId="77777777" w:rsidR="00A10D66" w:rsidRDefault="00A10D66" w:rsidP="00A10D66">
      <w:pPr>
        <w:rPr>
          <w:rFonts w:ascii="Arial" w:hAnsi="Arial" w:cs="Arial"/>
          <w:sz w:val="22"/>
          <w:szCs w:val="22"/>
          <w:lang w:val="es-ES_tradnl"/>
        </w:rPr>
      </w:pPr>
    </w:p>
    <w:p w14:paraId="44339F72" w14:textId="52EE28FB" w:rsidR="002A05F8" w:rsidRDefault="00A10D66" w:rsidP="00A10D66">
      <w:pPr>
        <w:tabs>
          <w:tab w:val="left" w:pos="0"/>
        </w:tabs>
        <w:spacing w:after="0" w:line="240" w:lineRule="auto"/>
        <w:rPr>
          <w:rFonts w:ascii="Arial" w:hAnsi="Arial" w:cs="Arial"/>
          <w:sz w:val="22"/>
          <w:szCs w:val="22"/>
          <w:lang w:val="es-ES_tradnl"/>
        </w:rPr>
      </w:pPr>
      <w:r>
        <w:rPr>
          <w:rFonts w:ascii="Arial" w:hAnsi="Arial" w:cs="Arial"/>
          <w:sz w:val="22"/>
          <w:szCs w:val="22"/>
          <w:lang w:val="es-ES_tradnl"/>
        </w:rPr>
        <w:t xml:space="preserve">Bogotá D.C., 14 </w:t>
      </w:r>
      <w:proofErr w:type="gramStart"/>
      <w:r>
        <w:rPr>
          <w:rFonts w:ascii="Arial" w:hAnsi="Arial" w:cs="Arial"/>
          <w:sz w:val="22"/>
          <w:szCs w:val="22"/>
          <w:lang w:val="es-ES_tradnl"/>
        </w:rPr>
        <w:t>Octubre</w:t>
      </w:r>
      <w:proofErr w:type="gramEnd"/>
      <w:r>
        <w:rPr>
          <w:rFonts w:ascii="Arial" w:hAnsi="Arial" w:cs="Arial"/>
          <w:sz w:val="22"/>
          <w:szCs w:val="22"/>
          <w:lang w:val="es-ES_tradnl"/>
        </w:rPr>
        <w:t xml:space="preserve"> de 2022</w:t>
      </w:r>
    </w:p>
    <w:p w14:paraId="23B0CA0B" w14:textId="77777777" w:rsidR="00A10D66" w:rsidRPr="002A05F8" w:rsidRDefault="00A10D66" w:rsidP="00A10D66">
      <w:pPr>
        <w:tabs>
          <w:tab w:val="left" w:pos="0"/>
        </w:tabs>
        <w:spacing w:after="0" w:line="240" w:lineRule="auto"/>
        <w:rPr>
          <w:rFonts w:ascii="Arial" w:hAnsi="Arial" w:cs="Arial"/>
          <w:bCs/>
          <w:sz w:val="20"/>
          <w:szCs w:val="20"/>
          <w:lang w:val="es-ES" w:eastAsia="en-US"/>
        </w:rPr>
      </w:pPr>
    </w:p>
    <w:p w14:paraId="7E391371" w14:textId="6537C3AF" w:rsidR="005367C1" w:rsidRDefault="005367C1" w:rsidP="005367C1">
      <w:pPr>
        <w:spacing w:after="0"/>
        <w:jc w:val="right"/>
        <w:rPr>
          <w:rFonts w:ascii="Arial" w:hAnsi="Arial" w:cs="Arial"/>
          <w:bCs/>
          <w:sz w:val="20"/>
          <w:szCs w:val="20"/>
          <w:lang w:val="es-ES" w:eastAsia="en-US"/>
        </w:rPr>
      </w:pPr>
      <w:r w:rsidRPr="005367C1">
        <w:rPr>
          <w:rFonts w:ascii="Arial" w:hAnsi="Arial" w:cs="Arial"/>
          <w:bCs/>
          <w:noProof/>
          <w:sz w:val="20"/>
          <w:szCs w:val="20"/>
          <w:lang w:val="es-ES" w:eastAsia="en-US"/>
        </w:rPr>
        <w:drawing>
          <wp:inline distT="0" distB="0" distL="0" distR="0" wp14:anchorId="275AFBCC" wp14:editId="687A982D">
            <wp:extent cx="2448267" cy="704948"/>
            <wp:effectExtent l="0" t="0" r="9525"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1"/>
                    <a:stretch>
                      <a:fillRect/>
                    </a:stretch>
                  </pic:blipFill>
                  <pic:spPr>
                    <a:xfrm>
                      <a:off x="0" y="0"/>
                      <a:ext cx="2448267" cy="704948"/>
                    </a:xfrm>
                    <a:prstGeom prst="rect">
                      <a:avLst/>
                    </a:prstGeom>
                  </pic:spPr>
                </pic:pic>
              </a:graphicData>
            </a:graphic>
          </wp:inline>
        </w:drawing>
      </w:r>
    </w:p>
    <w:p w14:paraId="1C002CEF" w14:textId="7EFAFFED" w:rsidR="002A05F8" w:rsidRPr="002A05F8" w:rsidRDefault="002A05F8" w:rsidP="002A05F8">
      <w:pPr>
        <w:spacing w:after="0"/>
        <w:rPr>
          <w:rFonts w:ascii="Arial" w:eastAsia="Arial" w:hAnsi="Arial" w:cs="Arial"/>
          <w:color w:val="000000"/>
          <w:sz w:val="22"/>
          <w:szCs w:val="22"/>
        </w:rPr>
      </w:pPr>
      <w:r w:rsidRPr="002A05F8">
        <w:rPr>
          <w:rFonts w:ascii="Arial" w:eastAsia="Arial" w:hAnsi="Arial" w:cs="Arial"/>
          <w:color w:val="000000"/>
          <w:sz w:val="22"/>
          <w:szCs w:val="22"/>
        </w:rPr>
        <w:t>Señor</w:t>
      </w:r>
    </w:p>
    <w:p w14:paraId="4DC8991A" w14:textId="77777777" w:rsidR="002A05F8" w:rsidRPr="002A05F8" w:rsidRDefault="002A05F8" w:rsidP="002A05F8">
      <w:pPr>
        <w:spacing w:after="0"/>
        <w:rPr>
          <w:rFonts w:ascii="Arial" w:eastAsia="Arial" w:hAnsi="Arial" w:cs="Arial"/>
          <w:color w:val="000000"/>
          <w:sz w:val="22"/>
          <w:szCs w:val="22"/>
        </w:rPr>
      </w:pPr>
      <w:r w:rsidRPr="002A05F8">
        <w:rPr>
          <w:rFonts w:ascii="Arial" w:eastAsia="Arial" w:hAnsi="Arial" w:cs="Arial"/>
          <w:b/>
          <w:color w:val="000000"/>
          <w:sz w:val="22"/>
          <w:szCs w:val="22"/>
        </w:rPr>
        <w:t>Mauricio Montoya Vera</w:t>
      </w:r>
      <w:r w:rsidRPr="002A05F8">
        <w:rPr>
          <w:rFonts w:ascii="Arial" w:eastAsia="Arial" w:hAnsi="Arial" w:cs="Arial"/>
          <w:b/>
          <w:color w:val="000000"/>
          <w:sz w:val="22"/>
          <w:szCs w:val="22"/>
        </w:rPr>
        <w:cr/>
      </w:r>
      <w:r w:rsidRPr="002A05F8">
        <w:rPr>
          <w:rFonts w:ascii="Arial" w:eastAsia="Arial" w:hAnsi="Arial" w:cs="Arial"/>
          <w:color w:val="000000"/>
          <w:sz w:val="22"/>
          <w:szCs w:val="22"/>
        </w:rPr>
        <w:t>Bogotá D.C.</w:t>
      </w:r>
    </w:p>
    <w:p w14:paraId="23A650D7" w14:textId="77777777" w:rsidR="002A05F8" w:rsidRPr="002A05F8" w:rsidRDefault="002A05F8" w:rsidP="002A05F8">
      <w:pPr>
        <w:spacing w:after="0"/>
        <w:rPr>
          <w:rFonts w:ascii="Arial" w:eastAsia="Arial" w:hAnsi="Arial" w:cs="Arial"/>
          <w:color w:val="000000"/>
          <w:sz w:val="22"/>
          <w:szCs w:val="22"/>
        </w:rPr>
      </w:pPr>
    </w:p>
    <w:p w14:paraId="3E780C24" w14:textId="77777777" w:rsidR="002A05F8" w:rsidRPr="002A05F8" w:rsidRDefault="002A05F8" w:rsidP="002A05F8">
      <w:pPr>
        <w:spacing w:after="0"/>
        <w:jc w:val="center"/>
        <w:rPr>
          <w:rFonts w:ascii="Arial" w:eastAsia="Arial" w:hAnsi="Arial" w:cs="Arial"/>
          <w:b/>
          <w:bCs/>
          <w:color w:val="000000"/>
          <w:sz w:val="22"/>
          <w:szCs w:val="22"/>
        </w:rPr>
      </w:pPr>
      <w:r w:rsidRPr="002A05F8">
        <w:rPr>
          <w:rFonts w:ascii="Arial" w:eastAsia="Arial" w:hAnsi="Arial" w:cs="Arial"/>
          <w:b/>
          <w:bCs/>
          <w:color w:val="000000"/>
          <w:sz w:val="22"/>
          <w:szCs w:val="22"/>
        </w:rPr>
        <w:t>Concepto C – 674 de 2022</w:t>
      </w:r>
    </w:p>
    <w:p w14:paraId="1E769839" w14:textId="77777777" w:rsidR="002A05F8" w:rsidRPr="002A05F8" w:rsidRDefault="002A05F8" w:rsidP="002A05F8">
      <w:pPr>
        <w:spacing w:after="0"/>
        <w:rPr>
          <w:rFonts w:ascii="Arial" w:eastAsia="Arial" w:hAnsi="Arial" w:cs="Arial"/>
          <w:b/>
          <w:bCs/>
          <w:color w:val="000000"/>
          <w:sz w:val="22"/>
          <w:szCs w:val="22"/>
        </w:rPr>
      </w:pPr>
    </w:p>
    <w:p w14:paraId="46BA7FB3" w14:textId="77777777" w:rsidR="002A05F8" w:rsidRPr="002A05F8" w:rsidRDefault="002A05F8" w:rsidP="002A05F8">
      <w:pPr>
        <w:spacing w:after="0"/>
        <w:jc w:val="center"/>
        <w:rPr>
          <w:rFonts w:ascii="Arial" w:eastAsia="Arial" w:hAnsi="Arial" w:cs="Arial"/>
          <w:b/>
          <w:bCs/>
          <w:color w:val="000000"/>
          <w:sz w:val="22"/>
          <w:szCs w:val="22"/>
        </w:rPr>
      </w:pPr>
    </w:p>
    <w:tbl>
      <w:tblPr>
        <w:tblStyle w:val="2"/>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2A05F8" w:rsidRPr="002A05F8" w14:paraId="23BF0C46" w14:textId="77777777" w:rsidTr="007A0832">
        <w:trPr>
          <w:trHeight w:val="1038"/>
        </w:trPr>
        <w:tc>
          <w:tcPr>
            <w:tcW w:w="2689" w:type="dxa"/>
          </w:tcPr>
          <w:p w14:paraId="7BC1CA51" w14:textId="77777777" w:rsidR="002A05F8" w:rsidRPr="002A05F8" w:rsidRDefault="002A05F8" w:rsidP="002A05F8">
            <w:pPr>
              <w:spacing w:after="0"/>
              <w:jc w:val="left"/>
              <w:rPr>
                <w:rFonts w:ascii="Arial" w:eastAsia="Arial" w:hAnsi="Arial" w:cs="Arial"/>
                <w:color w:val="000000"/>
              </w:rPr>
            </w:pPr>
            <w:r w:rsidRPr="002A05F8">
              <w:rPr>
                <w:rFonts w:ascii="Arial" w:eastAsia="Arial" w:hAnsi="Arial" w:cs="Arial"/>
                <w:b/>
                <w:color w:val="000000"/>
              </w:rPr>
              <w:t>Temas:</w:t>
            </w:r>
            <w:r w:rsidRPr="002A05F8">
              <w:rPr>
                <w:rFonts w:ascii="Arial" w:eastAsia="Arial" w:hAnsi="Arial" w:cs="Arial"/>
                <w:color w:val="000000"/>
              </w:rPr>
              <w:t xml:space="preserve">        </w:t>
            </w:r>
          </w:p>
        </w:tc>
        <w:tc>
          <w:tcPr>
            <w:tcW w:w="6237" w:type="dxa"/>
          </w:tcPr>
          <w:p w14:paraId="547B92E4" w14:textId="77777777" w:rsidR="002A05F8" w:rsidRPr="002A05F8" w:rsidRDefault="002A05F8" w:rsidP="002A05F8">
            <w:pPr>
              <w:spacing w:after="0" w:line="240" w:lineRule="auto"/>
              <w:jc w:val="left"/>
              <w:rPr>
                <w:rFonts w:ascii="Arial" w:hAnsi="Arial" w:cs="Arial"/>
                <w:color w:val="000000"/>
                <w:sz w:val="20"/>
                <w:szCs w:val="20"/>
                <w:lang w:val="es-ES" w:eastAsia="en-US"/>
              </w:rPr>
            </w:pPr>
            <w:r w:rsidRPr="002A05F8">
              <w:rPr>
                <w:rFonts w:ascii="Arial" w:hAnsi="Arial" w:cs="Arial"/>
                <w:color w:val="000000"/>
                <w:sz w:val="22"/>
                <w:szCs w:val="22"/>
                <w:lang w:val="es-ES_tradnl" w:eastAsia="en-US"/>
              </w:rPr>
              <w:t xml:space="preserve">RÉGIMEN DE INHABILIDADES E INCOMPATIBILIDADES </w:t>
            </w:r>
            <w:r w:rsidRPr="002A05F8">
              <w:rPr>
                <w:rFonts w:ascii="Arial" w:hAnsi="Arial" w:cs="Arial"/>
                <w:color w:val="000000"/>
                <w:sz w:val="22"/>
                <w:szCs w:val="22"/>
                <w:lang w:eastAsia="en-US"/>
              </w:rPr>
              <w:t>–</w:t>
            </w:r>
            <w:r w:rsidRPr="002A05F8">
              <w:rPr>
                <w:rFonts w:ascii="Arial" w:hAnsi="Arial" w:cs="Arial"/>
                <w:color w:val="000000"/>
                <w:sz w:val="22"/>
                <w:szCs w:val="22"/>
                <w:lang w:val="es-ES_tradnl" w:eastAsia="en-US"/>
              </w:rPr>
              <w:t xml:space="preserve"> Concepto </w:t>
            </w:r>
            <w:r w:rsidRPr="002A05F8">
              <w:rPr>
                <w:rFonts w:ascii="Arial" w:hAnsi="Arial" w:cs="Arial"/>
                <w:color w:val="000000"/>
                <w:sz w:val="22"/>
                <w:szCs w:val="22"/>
                <w:lang w:eastAsia="en-US"/>
              </w:rPr>
              <w:t>–</w:t>
            </w:r>
            <w:r w:rsidRPr="002A05F8">
              <w:rPr>
                <w:rFonts w:ascii="Arial" w:hAnsi="Arial" w:cs="Arial"/>
                <w:color w:val="000000"/>
                <w:sz w:val="22"/>
                <w:szCs w:val="22"/>
                <w:lang w:val="es-ES_tradnl" w:eastAsia="en-US"/>
              </w:rPr>
              <w:t xml:space="preserve"> Principio de legalidad </w:t>
            </w:r>
            <w:r w:rsidRPr="002A05F8">
              <w:rPr>
                <w:rFonts w:ascii="Arial" w:hAnsi="Arial" w:cs="Arial"/>
                <w:color w:val="000000"/>
                <w:sz w:val="22"/>
                <w:szCs w:val="22"/>
                <w:lang w:eastAsia="en-US"/>
              </w:rPr>
              <w:t>–</w:t>
            </w:r>
            <w:r w:rsidRPr="002A05F8">
              <w:rPr>
                <w:rFonts w:ascii="Arial" w:hAnsi="Arial" w:cs="Arial"/>
                <w:color w:val="000000"/>
                <w:sz w:val="22"/>
                <w:szCs w:val="22"/>
                <w:lang w:val="es-ES_tradnl" w:eastAsia="en-US"/>
              </w:rPr>
              <w:t xml:space="preserve"> Interpretación restrictiva / INHABILIDADES ― Interpretación restrictiva ― Principio pro </w:t>
            </w:r>
            <w:proofErr w:type="spellStart"/>
            <w:r w:rsidRPr="002A05F8">
              <w:rPr>
                <w:rFonts w:ascii="Arial" w:hAnsi="Arial" w:cs="Arial"/>
                <w:color w:val="000000"/>
                <w:sz w:val="22"/>
                <w:szCs w:val="22"/>
                <w:lang w:val="es-ES_tradnl" w:eastAsia="en-US"/>
              </w:rPr>
              <w:t>libertate</w:t>
            </w:r>
            <w:proofErr w:type="spellEnd"/>
            <w:r w:rsidRPr="002A05F8">
              <w:rPr>
                <w:rFonts w:ascii="Arial" w:hAnsi="Arial" w:cs="Arial"/>
                <w:color w:val="000000"/>
                <w:sz w:val="20"/>
                <w:szCs w:val="20"/>
                <w:lang w:val="es-ES_tradnl" w:eastAsia="en-US"/>
              </w:rPr>
              <w:t xml:space="preserve"> /</w:t>
            </w:r>
            <w:r w:rsidRPr="002A05F8">
              <w:rPr>
                <w:rFonts w:ascii="Arial" w:hAnsi="Arial" w:cs="Arial"/>
                <w:color w:val="000000"/>
                <w:sz w:val="20"/>
                <w:szCs w:val="20"/>
                <w:lang w:val="es-ES" w:eastAsia="en-US"/>
              </w:rPr>
              <w:t xml:space="preserve"> </w:t>
            </w:r>
            <w:r w:rsidRPr="002A05F8">
              <w:rPr>
                <w:rFonts w:ascii="Arial" w:hAnsi="Arial" w:cs="Arial"/>
                <w:sz w:val="22"/>
                <w:szCs w:val="22"/>
                <w:lang w:val="es-ES" w:eastAsia="en-US"/>
              </w:rPr>
              <w:t xml:space="preserve">DÍAS HÁBILES </w:t>
            </w:r>
            <w:r w:rsidRPr="002A05F8">
              <w:rPr>
                <w:rFonts w:ascii="Arial" w:hAnsi="Arial" w:cs="Arial"/>
                <w:sz w:val="22"/>
                <w:szCs w:val="22"/>
                <w:lang w:eastAsia="en-US"/>
              </w:rPr>
              <w:t xml:space="preserve">– </w:t>
            </w:r>
            <w:r w:rsidRPr="002A05F8">
              <w:rPr>
                <w:rFonts w:ascii="Arial" w:hAnsi="Arial" w:cs="Arial"/>
                <w:sz w:val="22"/>
                <w:szCs w:val="22"/>
                <w:lang w:val="es-ES" w:eastAsia="en-US"/>
              </w:rPr>
              <w:t xml:space="preserve">Concepto </w:t>
            </w:r>
            <w:r w:rsidRPr="002A05F8">
              <w:rPr>
                <w:rFonts w:ascii="Arial" w:hAnsi="Arial" w:cs="Arial"/>
                <w:sz w:val="22"/>
                <w:szCs w:val="22"/>
                <w:lang w:eastAsia="en-US"/>
              </w:rPr>
              <w:t>–</w:t>
            </w:r>
            <w:r w:rsidRPr="002A05F8">
              <w:rPr>
                <w:rFonts w:ascii="Arial" w:hAnsi="Arial" w:cs="Arial"/>
                <w:sz w:val="22"/>
                <w:szCs w:val="22"/>
                <w:lang w:val="es-ES" w:eastAsia="en-US"/>
              </w:rPr>
              <w:t xml:space="preserve"> Cómputo de términos</w:t>
            </w:r>
          </w:p>
        </w:tc>
      </w:tr>
      <w:tr w:rsidR="002A05F8" w:rsidRPr="002A05F8" w14:paraId="7DC51686" w14:textId="77777777" w:rsidTr="004E468B">
        <w:trPr>
          <w:trHeight w:val="245"/>
        </w:trPr>
        <w:tc>
          <w:tcPr>
            <w:tcW w:w="2689" w:type="dxa"/>
          </w:tcPr>
          <w:p w14:paraId="73468BEE" w14:textId="77777777" w:rsidR="002A05F8" w:rsidRPr="002A05F8" w:rsidRDefault="002A05F8" w:rsidP="002A05F8">
            <w:pPr>
              <w:spacing w:after="0"/>
              <w:jc w:val="left"/>
              <w:rPr>
                <w:rFonts w:ascii="Arial" w:eastAsia="Arial" w:hAnsi="Arial" w:cs="Arial"/>
                <w:b/>
                <w:color w:val="000000"/>
                <w:sz w:val="22"/>
                <w:szCs w:val="22"/>
              </w:rPr>
            </w:pPr>
            <w:r w:rsidRPr="002A05F8">
              <w:rPr>
                <w:rFonts w:ascii="Arial" w:eastAsia="Arial" w:hAnsi="Arial" w:cs="Arial"/>
                <w:b/>
                <w:color w:val="000000"/>
                <w:sz w:val="22"/>
                <w:szCs w:val="22"/>
              </w:rPr>
              <w:t>Radicación:</w:t>
            </w:r>
            <w:r w:rsidRPr="002A05F8">
              <w:rPr>
                <w:rFonts w:ascii="Arial" w:eastAsia="Arial" w:hAnsi="Arial" w:cs="Arial"/>
                <w:color w:val="000000"/>
                <w:sz w:val="22"/>
                <w:szCs w:val="22"/>
              </w:rPr>
              <w:t xml:space="preserve">                              </w:t>
            </w:r>
          </w:p>
        </w:tc>
        <w:tc>
          <w:tcPr>
            <w:tcW w:w="6237" w:type="dxa"/>
          </w:tcPr>
          <w:p w14:paraId="747313A2" w14:textId="77777777" w:rsidR="002A05F8" w:rsidRPr="002A05F8" w:rsidRDefault="002A05F8" w:rsidP="002A05F8">
            <w:pPr>
              <w:spacing w:after="0"/>
              <w:rPr>
                <w:rFonts w:ascii="Arial" w:eastAsia="Arial" w:hAnsi="Arial" w:cs="Arial"/>
                <w:color w:val="000000"/>
                <w:sz w:val="22"/>
                <w:szCs w:val="22"/>
                <w:highlight w:val="yellow"/>
              </w:rPr>
            </w:pPr>
            <w:r w:rsidRPr="002A05F8">
              <w:rPr>
                <w:rFonts w:ascii="Arial" w:eastAsia="Arial" w:hAnsi="Arial" w:cs="Arial"/>
                <w:color w:val="000000"/>
                <w:sz w:val="22"/>
                <w:szCs w:val="22"/>
              </w:rPr>
              <w:t xml:space="preserve">Respuesta a consulta </w:t>
            </w:r>
            <w:r w:rsidRPr="002A05F8">
              <w:rPr>
                <w:rFonts w:ascii="Arial" w:eastAsia="Arial" w:hAnsi="Arial" w:cs="Arial"/>
                <w:color w:val="000000"/>
                <w:sz w:val="22"/>
                <w:szCs w:val="22"/>
                <w:lang w:val="es-ES_tradnl"/>
              </w:rPr>
              <w:t>P20220902008801</w:t>
            </w:r>
          </w:p>
        </w:tc>
      </w:tr>
    </w:tbl>
    <w:p w14:paraId="0CFE0972" w14:textId="77777777" w:rsidR="002A05F8" w:rsidRPr="002A05F8" w:rsidRDefault="002A05F8" w:rsidP="002A05F8">
      <w:pPr>
        <w:spacing w:after="0"/>
        <w:rPr>
          <w:color w:val="000000"/>
          <w:sz w:val="22"/>
          <w:szCs w:val="22"/>
        </w:rPr>
      </w:pPr>
    </w:p>
    <w:p w14:paraId="08BD0A26" w14:textId="77777777" w:rsidR="002A05F8" w:rsidRPr="002A05F8" w:rsidRDefault="002A05F8" w:rsidP="002A05F8">
      <w:pPr>
        <w:spacing w:after="0"/>
        <w:rPr>
          <w:rFonts w:ascii="Arial" w:eastAsia="Arial" w:hAnsi="Arial" w:cs="Arial"/>
          <w:color w:val="000000"/>
          <w:sz w:val="22"/>
          <w:szCs w:val="22"/>
        </w:rPr>
      </w:pPr>
    </w:p>
    <w:p w14:paraId="573AFBF7" w14:textId="77777777" w:rsidR="002A05F8" w:rsidRPr="002A05F8" w:rsidRDefault="002A05F8" w:rsidP="002A05F8">
      <w:pPr>
        <w:spacing w:after="0"/>
        <w:rPr>
          <w:rFonts w:ascii="Arial" w:eastAsia="Arial" w:hAnsi="Arial" w:cs="Arial"/>
          <w:color w:val="000000"/>
          <w:sz w:val="22"/>
          <w:szCs w:val="22"/>
        </w:rPr>
      </w:pPr>
      <w:r w:rsidRPr="002A05F8">
        <w:rPr>
          <w:rFonts w:ascii="Arial" w:eastAsia="Arial" w:hAnsi="Arial" w:cs="Arial"/>
          <w:color w:val="000000"/>
          <w:sz w:val="22"/>
          <w:szCs w:val="22"/>
        </w:rPr>
        <w:t>Estimado señor Montoya:</w:t>
      </w:r>
    </w:p>
    <w:p w14:paraId="0CE11A5C" w14:textId="77777777" w:rsidR="002A05F8" w:rsidRPr="002A05F8" w:rsidRDefault="002A05F8" w:rsidP="002A05F8">
      <w:pPr>
        <w:spacing w:after="0"/>
        <w:ind w:firstLine="709"/>
        <w:rPr>
          <w:rFonts w:ascii="Arial" w:eastAsia="Arial" w:hAnsi="Arial" w:cs="Arial"/>
          <w:color w:val="000000"/>
          <w:sz w:val="22"/>
          <w:szCs w:val="22"/>
        </w:rPr>
      </w:pPr>
    </w:p>
    <w:p w14:paraId="32BCF6EB" w14:textId="77777777" w:rsidR="002A05F8" w:rsidRPr="002A05F8" w:rsidRDefault="002A05F8" w:rsidP="002A05F8">
      <w:pPr>
        <w:spacing w:after="0"/>
        <w:ind w:right="51"/>
        <w:rPr>
          <w:rFonts w:ascii="Arial" w:eastAsia="Arial" w:hAnsi="Arial" w:cs="Arial"/>
          <w:color w:val="000000"/>
          <w:sz w:val="22"/>
          <w:szCs w:val="22"/>
        </w:rPr>
      </w:pPr>
      <w:r w:rsidRPr="002A05F8">
        <w:rPr>
          <w:rFonts w:ascii="Arial" w:eastAsia="Arial" w:hAnsi="Arial" w:cs="Arial"/>
          <w:color w:val="000000"/>
          <w:sz w:val="22"/>
          <w:szCs w:val="22"/>
        </w:rPr>
        <w:t xml:space="preserve">En ejercicio de la competencia otorgada por el numeral 8 del artículo 11 y el numeral 5 del artículo 3 del Decreto Ley 4170 de 2011, la Agencia Nacional de Contratación Pública – Colombia Compra Eficiente responde su consulta del 30 de agosto de 2022, remitida por el Departamento Administrativo de la Función Pública el 2 de septiembre de 2022. </w:t>
      </w:r>
    </w:p>
    <w:p w14:paraId="16595164" w14:textId="77777777" w:rsidR="002A05F8" w:rsidRPr="002A05F8" w:rsidRDefault="002A05F8" w:rsidP="002A05F8">
      <w:pPr>
        <w:spacing w:after="0"/>
        <w:rPr>
          <w:rFonts w:ascii="Arial" w:eastAsia="Arial" w:hAnsi="Arial" w:cs="Arial"/>
          <w:color w:val="000000"/>
          <w:sz w:val="22"/>
          <w:szCs w:val="22"/>
        </w:rPr>
      </w:pPr>
    </w:p>
    <w:p w14:paraId="7B942FC2" w14:textId="77777777" w:rsidR="002A05F8" w:rsidRPr="002A05F8" w:rsidRDefault="002A05F8" w:rsidP="002A05F8">
      <w:pPr>
        <w:tabs>
          <w:tab w:val="left" w:pos="284"/>
        </w:tabs>
        <w:spacing w:after="0"/>
        <w:rPr>
          <w:rFonts w:ascii="Arial" w:eastAsia="Arial" w:hAnsi="Arial" w:cs="Arial"/>
          <w:b/>
          <w:color w:val="000000"/>
          <w:sz w:val="22"/>
          <w:szCs w:val="22"/>
        </w:rPr>
      </w:pPr>
      <w:r w:rsidRPr="002A05F8">
        <w:rPr>
          <w:rFonts w:ascii="Arial" w:eastAsia="Arial" w:hAnsi="Arial" w:cs="Arial"/>
          <w:b/>
          <w:color w:val="000000"/>
          <w:sz w:val="22"/>
          <w:szCs w:val="22"/>
        </w:rPr>
        <w:t xml:space="preserve">1. Problema planteado </w:t>
      </w:r>
    </w:p>
    <w:p w14:paraId="7EF91BC9" w14:textId="77777777" w:rsidR="002A05F8" w:rsidRPr="002A05F8" w:rsidRDefault="002A05F8" w:rsidP="002A05F8">
      <w:pPr>
        <w:pBdr>
          <w:top w:val="nil"/>
          <w:left w:val="nil"/>
          <w:bottom w:val="nil"/>
          <w:right w:val="nil"/>
          <w:between w:val="nil"/>
        </w:pBdr>
        <w:spacing w:after="0"/>
        <w:rPr>
          <w:rFonts w:ascii="Arial" w:eastAsia="Arial" w:hAnsi="Arial" w:cs="Arial"/>
          <w:color w:val="000000"/>
          <w:sz w:val="22"/>
          <w:szCs w:val="22"/>
        </w:rPr>
      </w:pPr>
      <w:bookmarkStart w:id="2" w:name="_17dp8vu" w:colFirst="0" w:colLast="0"/>
      <w:bookmarkEnd w:id="2"/>
    </w:p>
    <w:p w14:paraId="35ABE708" w14:textId="61A798E9" w:rsidR="002A05F8" w:rsidRPr="002A05F8" w:rsidRDefault="002A05F8" w:rsidP="002A05F8">
      <w:pPr>
        <w:pBdr>
          <w:top w:val="nil"/>
          <w:left w:val="nil"/>
          <w:bottom w:val="nil"/>
          <w:right w:val="nil"/>
          <w:between w:val="nil"/>
        </w:pBdr>
        <w:spacing w:after="0" w:line="240" w:lineRule="auto"/>
        <w:ind w:left="709" w:right="709"/>
        <w:rPr>
          <w:rFonts w:ascii="Arial" w:eastAsia="Arial" w:hAnsi="Arial" w:cs="Arial"/>
          <w:color w:val="000000"/>
          <w:sz w:val="22"/>
          <w:szCs w:val="22"/>
        </w:rPr>
      </w:pPr>
      <w:r w:rsidRPr="002A05F8">
        <w:rPr>
          <w:rFonts w:ascii="Arial" w:eastAsia="Arial" w:hAnsi="Arial" w:cs="Arial"/>
          <w:color w:val="000000"/>
          <w:sz w:val="22"/>
          <w:szCs w:val="22"/>
        </w:rPr>
        <w:t>«¿Realizar, suscribir, y firmar contratos Estatales estaría Inmerso de alguna Inhabilidad e Incompatibilidad si se realiza un Dia Sábado, Domingo y Festivos En Colombia?</w:t>
      </w:r>
      <w:r>
        <w:rPr>
          <w:rFonts w:ascii="Arial" w:eastAsia="Arial" w:hAnsi="Arial" w:cs="Arial"/>
          <w:color w:val="000000"/>
          <w:sz w:val="22"/>
          <w:szCs w:val="22"/>
        </w:rPr>
        <w:t>»</w:t>
      </w:r>
    </w:p>
    <w:p w14:paraId="1ECADEDF" w14:textId="77777777" w:rsidR="002A05F8" w:rsidRPr="002A05F8" w:rsidRDefault="002A05F8" w:rsidP="002A05F8">
      <w:pPr>
        <w:tabs>
          <w:tab w:val="left" w:pos="284"/>
        </w:tabs>
        <w:spacing w:after="0"/>
        <w:rPr>
          <w:rFonts w:ascii="Arial" w:hAnsi="Arial" w:cs="Arial"/>
          <w:color w:val="000000"/>
          <w:sz w:val="21"/>
          <w:szCs w:val="21"/>
          <w:lang w:val="es-ES"/>
        </w:rPr>
      </w:pPr>
    </w:p>
    <w:p w14:paraId="67D4D6FE" w14:textId="77777777" w:rsidR="002A05F8" w:rsidRPr="002A05F8" w:rsidRDefault="002A05F8" w:rsidP="002A05F8">
      <w:pPr>
        <w:tabs>
          <w:tab w:val="left" w:pos="284"/>
        </w:tabs>
        <w:spacing w:after="0"/>
        <w:rPr>
          <w:rFonts w:ascii="Arial" w:eastAsia="Arial" w:hAnsi="Arial" w:cs="Arial"/>
          <w:b/>
          <w:color w:val="000000"/>
          <w:sz w:val="22"/>
          <w:szCs w:val="22"/>
        </w:rPr>
      </w:pPr>
      <w:r w:rsidRPr="002A05F8">
        <w:rPr>
          <w:rFonts w:ascii="Arial" w:eastAsia="Arial" w:hAnsi="Arial" w:cs="Arial"/>
          <w:b/>
          <w:color w:val="000000"/>
          <w:sz w:val="22"/>
          <w:szCs w:val="22"/>
        </w:rPr>
        <w:t>2. Consideraciones</w:t>
      </w:r>
    </w:p>
    <w:p w14:paraId="6B48C123" w14:textId="77777777" w:rsidR="002A05F8" w:rsidRPr="002A05F8" w:rsidRDefault="002A05F8" w:rsidP="002A05F8">
      <w:pPr>
        <w:spacing w:after="0"/>
        <w:rPr>
          <w:rFonts w:ascii="Arial" w:eastAsia="Arial" w:hAnsi="Arial" w:cs="Arial"/>
          <w:color w:val="000000"/>
          <w:sz w:val="22"/>
          <w:szCs w:val="22"/>
        </w:rPr>
      </w:pPr>
    </w:p>
    <w:p w14:paraId="61264703" w14:textId="77777777" w:rsidR="002A05F8" w:rsidRPr="002A05F8" w:rsidRDefault="002A05F8" w:rsidP="002A05F8">
      <w:pPr>
        <w:spacing w:after="120"/>
        <w:rPr>
          <w:rFonts w:ascii="Arial" w:eastAsia="Arial" w:hAnsi="Arial" w:cs="Arial"/>
          <w:color w:val="000000"/>
          <w:sz w:val="22"/>
          <w:szCs w:val="22"/>
        </w:rPr>
      </w:pPr>
      <w:r w:rsidRPr="002A05F8">
        <w:rPr>
          <w:rFonts w:ascii="Arial" w:eastAsia="Arial" w:hAnsi="Arial" w:cs="Arial"/>
          <w:color w:val="000000"/>
          <w:sz w:val="22"/>
          <w:szCs w:val="22"/>
        </w:rPr>
        <w:t xml:space="preserve">La Agencia Nacional de Contratación Pública – Colombia Compra Eficiente resolverá su consulta </w:t>
      </w:r>
      <w:r w:rsidRPr="002A05F8">
        <w:rPr>
          <w:rFonts w:ascii="Arial" w:hAnsi="Arial" w:cs="Arial"/>
          <w:color w:val="000000"/>
          <w:sz w:val="22"/>
          <w:szCs w:val="22"/>
          <w:lang w:val="es-ES"/>
        </w:rPr>
        <w:t>para lo cual analizará los siguientes temas:</w:t>
      </w:r>
      <w:r w:rsidRPr="002A05F8">
        <w:rPr>
          <w:rFonts w:ascii="Arial" w:hAnsi="Arial" w:cs="Arial"/>
          <w:sz w:val="22"/>
          <w:szCs w:val="22"/>
        </w:rPr>
        <w:t xml:space="preserve"> i) </w:t>
      </w:r>
      <w:r w:rsidRPr="002A05F8">
        <w:rPr>
          <w:rFonts w:ascii="Arial" w:hAnsi="Arial" w:cs="Arial"/>
          <w:sz w:val="22"/>
        </w:rPr>
        <w:t xml:space="preserve">Régimen y alcance de las inhabilidades e incompatibilidades para contratar con el Estado y </w:t>
      </w:r>
      <w:proofErr w:type="spellStart"/>
      <w:r w:rsidRPr="002A05F8">
        <w:rPr>
          <w:rFonts w:ascii="Arial" w:hAnsi="Arial" w:cs="Arial"/>
          <w:sz w:val="22"/>
        </w:rPr>
        <w:t>ii</w:t>
      </w:r>
      <w:proofErr w:type="spellEnd"/>
      <w:r w:rsidRPr="002A05F8">
        <w:rPr>
          <w:rFonts w:ascii="Arial" w:hAnsi="Arial" w:cs="Arial"/>
          <w:sz w:val="22"/>
        </w:rPr>
        <w:t>) el concepto de días hábiles.</w:t>
      </w:r>
    </w:p>
    <w:p w14:paraId="147F1C21" w14:textId="77777777" w:rsidR="002A05F8" w:rsidRPr="002A05F8" w:rsidRDefault="002A05F8" w:rsidP="002A05F8">
      <w:pPr>
        <w:spacing w:after="0"/>
        <w:rPr>
          <w:rFonts w:ascii="Arial" w:hAnsi="Arial" w:cs="Arial"/>
          <w:bCs/>
          <w:color w:val="000000"/>
          <w:sz w:val="22"/>
          <w:szCs w:val="22"/>
          <w:lang w:val="es-ES_tradnl" w:eastAsia="en-US"/>
        </w:rPr>
      </w:pPr>
    </w:p>
    <w:p w14:paraId="6B66CFE3" w14:textId="77777777" w:rsidR="002A05F8" w:rsidRPr="002A05F8" w:rsidRDefault="002A05F8" w:rsidP="002A05F8">
      <w:pPr>
        <w:widowControl w:val="0"/>
        <w:autoSpaceDE w:val="0"/>
        <w:autoSpaceDN w:val="0"/>
        <w:spacing w:after="0"/>
        <w:rPr>
          <w:rFonts w:ascii="Arial" w:hAnsi="Arial" w:cs="Arial"/>
          <w:b/>
          <w:sz w:val="22"/>
          <w:szCs w:val="22"/>
          <w:lang w:eastAsia="en-US"/>
        </w:rPr>
      </w:pPr>
      <w:r w:rsidRPr="002A05F8">
        <w:rPr>
          <w:rFonts w:ascii="Arial" w:hAnsi="Arial" w:cs="Arial"/>
          <w:b/>
          <w:color w:val="000000"/>
          <w:sz w:val="22"/>
          <w:lang w:val="es-CO"/>
        </w:rPr>
        <w:t xml:space="preserve">2.1 </w:t>
      </w:r>
      <w:bookmarkStart w:id="3" w:name="_Hlk73970609"/>
      <w:r w:rsidRPr="002A05F8">
        <w:rPr>
          <w:rFonts w:ascii="Arial" w:hAnsi="Arial" w:cs="Arial"/>
          <w:b/>
          <w:sz w:val="22"/>
          <w:szCs w:val="22"/>
          <w:lang w:eastAsia="en-US"/>
        </w:rPr>
        <w:t xml:space="preserve">Régimen de inhabilidades e incompatibilidades para contratar con el Estado </w:t>
      </w:r>
      <w:bookmarkEnd w:id="3"/>
    </w:p>
    <w:p w14:paraId="6242369E" w14:textId="77777777" w:rsidR="002A05F8" w:rsidRPr="002A05F8" w:rsidRDefault="002A05F8" w:rsidP="002A05F8">
      <w:pPr>
        <w:spacing w:after="0"/>
        <w:rPr>
          <w:rFonts w:ascii="Arial" w:hAnsi="Arial" w:cs="Arial"/>
          <w:sz w:val="22"/>
          <w:szCs w:val="22"/>
          <w:lang w:eastAsia="en-US"/>
        </w:rPr>
      </w:pPr>
    </w:p>
    <w:p w14:paraId="21362EAE" w14:textId="77777777" w:rsidR="002A05F8" w:rsidRPr="002A05F8" w:rsidRDefault="002A05F8" w:rsidP="002A05F8">
      <w:pPr>
        <w:spacing w:after="120"/>
        <w:rPr>
          <w:rFonts w:ascii="Arial" w:hAnsi="Arial" w:cs="Arial"/>
          <w:sz w:val="22"/>
          <w:szCs w:val="22"/>
          <w:lang w:eastAsia="en-US"/>
        </w:rPr>
      </w:pPr>
      <w:r w:rsidRPr="002A05F8">
        <w:rPr>
          <w:rFonts w:ascii="Arial" w:hAnsi="Arial" w:cs="Arial"/>
          <w:color w:val="000000"/>
          <w:sz w:val="22"/>
          <w:lang w:val="es-ES_tradnl"/>
        </w:rPr>
        <w:t xml:space="preserve">La Agencia Nacional de Contratación Pública – Colombia Compra Eficiente, Eficiente analizó desde una perspectiva general el régimen de inhabilidades e incompatibilidades en la contratación pública, en los conceptos C–032 del 19 de febrero de 2020, C-090 del 24 de febrero de 2020, C-125 del 3 de marzo de 2020, C-157 del 17 de marzo de 2020, C-273 del 21 de mayo de 2020, C-386 del 24 de julio de 2020, C-580 del 21 de septiembre de 2020, C-639 del 27 de octubre del 2020, C-650 del 10 de noviembre de 2020, C-684 del 24 de noviembre de 2020 C-004 del 12 de febrero de 2021, C-815 del 18 de febrero de 2021, C-210 del 12 de mayo de 2021, </w:t>
      </w:r>
      <w:r w:rsidRPr="002A05F8">
        <w:rPr>
          <w:rFonts w:ascii="Arial" w:hAnsi="Arial" w:cs="Arial"/>
          <w:color w:val="000000"/>
          <w:sz w:val="22"/>
          <w:lang w:val="es-ES_tradnl"/>
        </w:rPr>
        <w:lastRenderedPageBreak/>
        <w:t xml:space="preserve">C-275 del 11 de junio de 2021, </w:t>
      </w:r>
      <w:r w:rsidRPr="002A05F8">
        <w:rPr>
          <w:rFonts w:ascii="Arial" w:hAnsi="Arial" w:cs="Arial"/>
          <w:noProof/>
          <w:sz w:val="22"/>
          <w:lang w:val="es-ES_tradnl"/>
        </w:rPr>
        <w:t xml:space="preserve">C-321 del 2 de julio de 2021, </w:t>
      </w:r>
      <w:r w:rsidRPr="002A05F8">
        <w:rPr>
          <w:rFonts w:ascii="Arial" w:hAnsi="Arial" w:cs="Arial"/>
          <w:color w:val="000000"/>
          <w:sz w:val="22"/>
          <w:lang w:val="es-ES_tradnl"/>
        </w:rPr>
        <w:t xml:space="preserve">C-410 del 7 de julio del 2021 </w:t>
      </w:r>
      <w:r w:rsidRPr="002A05F8">
        <w:rPr>
          <w:rFonts w:ascii="Arial" w:hAnsi="Arial" w:cs="Arial"/>
          <w:noProof/>
          <w:sz w:val="22"/>
          <w:lang w:val="es-ES_tradnl"/>
        </w:rPr>
        <w:t xml:space="preserve">y C-491 del 14 de septiembre de 2021. </w:t>
      </w:r>
      <w:r w:rsidRPr="002A05F8">
        <w:rPr>
          <w:rFonts w:ascii="Arial" w:hAnsi="Arial" w:cs="Arial"/>
          <w:color w:val="000000"/>
          <w:sz w:val="22"/>
          <w:lang w:val="es-ES_tradnl"/>
        </w:rPr>
        <w:t xml:space="preserve">Frente a </w:t>
      </w:r>
      <w:r w:rsidRPr="002A05F8">
        <w:rPr>
          <w:rFonts w:ascii="Arial" w:hAnsi="Arial" w:cs="Arial"/>
          <w:color w:val="000000"/>
          <w:sz w:val="22"/>
        </w:rPr>
        <w:t>la posibilidad de que una persona ejecute varios contratos de prestación de servicios de manera simultánea</w:t>
      </w:r>
      <w:r w:rsidRPr="002A05F8">
        <w:rPr>
          <w:rFonts w:ascii="Arial" w:hAnsi="Arial" w:cs="Arial"/>
          <w:color w:val="000000"/>
          <w:sz w:val="22"/>
          <w:lang w:val="es-ES_tradnl"/>
        </w:rPr>
        <w:t xml:space="preserve">, esta Agencia se pronunció en los conceptos Concepto </w:t>
      </w:r>
      <w:r w:rsidRPr="002A05F8">
        <w:rPr>
          <w:rFonts w:ascii="Arial" w:hAnsi="Arial" w:cs="Arial"/>
          <w:color w:val="000000"/>
          <w:sz w:val="22"/>
        </w:rPr>
        <w:t>C-090 del 24 de febrero de 2020 y C-004 del 12 de febrero de 2021.</w:t>
      </w:r>
    </w:p>
    <w:p w14:paraId="36A9968A" w14:textId="77777777" w:rsidR="002A05F8" w:rsidRPr="002A05F8" w:rsidRDefault="002A05F8" w:rsidP="002A05F8">
      <w:pPr>
        <w:spacing w:after="120"/>
        <w:ind w:firstLine="708"/>
        <w:rPr>
          <w:rFonts w:ascii="Arial" w:hAnsi="Arial" w:cs="Arial"/>
          <w:sz w:val="22"/>
          <w:szCs w:val="22"/>
          <w:lang w:eastAsia="en-US"/>
        </w:rPr>
      </w:pPr>
      <w:r w:rsidRPr="002A05F8">
        <w:rPr>
          <w:rFonts w:ascii="Arial" w:hAnsi="Arial" w:cs="Arial"/>
          <w:sz w:val="22"/>
          <w:szCs w:val="22"/>
          <w:lang w:eastAsia="en-US"/>
        </w:rPr>
        <w:t xml:space="preserve">Las inhabilidades son circunstancias establecidas por la Constitución o en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2300F0FE" w14:textId="77777777" w:rsidR="002A05F8" w:rsidRPr="002A05F8" w:rsidRDefault="002A05F8" w:rsidP="002A05F8">
      <w:pPr>
        <w:spacing w:before="120" w:after="120"/>
        <w:ind w:firstLine="708"/>
        <w:rPr>
          <w:rFonts w:ascii="Arial" w:hAnsi="Arial" w:cs="Arial"/>
          <w:sz w:val="22"/>
          <w:szCs w:val="22"/>
          <w:lang w:eastAsia="en-US"/>
        </w:rPr>
      </w:pPr>
      <w:r w:rsidRPr="002A05F8">
        <w:rPr>
          <w:rFonts w:ascii="Arial" w:hAnsi="Arial" w:cs="Arial"/>
          <w:sz w:val="22"/>
          <w:szCs w:val="22"/>
          <w:lang w:eastAsia="en-US"/>
        </w:rPr>
        <w:t>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2A05F8">
        <w:rPr>
          <w:rFonts w:ascii="Arial" w:hAnsi="Arial" w:cs="Arial"/>
          <w:sz w:val="22"/>
          <w:szCs w:val="22"/>
          <w:vertAlign w:val="superscript"/>
          <w:lang w:eastAsia="en-US"/>
        </w:rPr>
        <w:footnoteReference w:id="1"/>
      </w:r>
      <w:r w:rsidRPr="002A05F8">
        <w:rPr>
          <w:rFonts w:ascii="Arial" w:hAnsi="Arial" w:cs="Arial"/>
          <w:sz w:val="22"/>
          <w:szCs w:val="22"/>
          <w:lang w:eastAsia="en-US"/>
        </w:rPr>
        <w:t xml:space="preserve">. </w:t>
      </w:r>
    </w:p>
    <w:p w14:paraId="762A1756" w14:textId="77777777" w:rsidR="002A05F8" w:rsidRPr="002A05F8" w:rsidRDefault="002A05F8" w:rsidP="002A05F8">
      <w:pPr>
        <w:spacing w:before="120" w:after="120"/>
        <w:ind w:firstLine="709"/>
        <w:rPr>
          <w:rFonts w:ascii="Arial" w:hAnsi="Arial" w:cs="Arial"/>
          <w:sz w:val="22"/>
          <w:szCs w:val="22"/>
          <w:lang w:eastAsia="en-US"/>
        </w:rPr>
      </w:pPr>
      <w:r w:rsidRPr="002A05F8">
        <w:rPr>
          <w:rFonts w:ascii="Arial" w:hAnsi="Arial" w:cs="Arial"/>
          <w:sz w:val="22"/>
          <w:szCs w:val="22"/>
          <w:lang w:eastAsia="en-US"/>
        </w:rPr>
        <w:t xml:space="preserve">La consagración limitaciones que afectan la capacidad jurídica para contratar desarrolla los principios de la función administrativa consagrados en el artículo 209 de la Constitución Política, con especial énfasis el de moralidad. Así lo entiende el Consejo de Estado: </w:t>
      </w:r>
    </w:p>
    <w:p w14:paraId="47CE40FE" w14:textId="77777777" w:rsidR="002A05F8" w:rsidRPr="00E519B3" w:rsidRDefault="002A05F8" w:rsidP="002A05F8">
      <w:pPr>
        <w:shd w:val="clear" w:color="auto" w:fill="FFFFFF"/>
        <w:spacing w:before="120" w:after="120"/>
        <w:ind w:left="709" w:right="709"/>
        <w:rPr>
          <w:rFonts w:ascii="Arial" w:hAnsi="Arial" w:cs="Arial"/>
          <w:i/>
          <w:iCs/>
          <w:sz w:val="21"/>
          <w:szCs w:val="21"/>
          <w:lang w:val="es-ES" w:eastAsia="en-US"/>
        </w:rPr>
      </w:pPr>
      <w:bookmarkStart w:id="4" w:name="_Hlk80888801"/>
      <w:r w:rsidRPr="00E519B3">
        <w:rPr>
          <w:rFonts w:ascii="Arial" w:hAnsi="Arial" w:cs="Arial"/>
          <w:i/>
          <w:iCs/>
          <w:sz w:val="21"/>
          <w:szCs w:val="21"/>
          <w:lang w:val="es-ES" w:eastAsia="en-US"/>
        </w:rPr>
        <w:t>«</w:t>
      </w:r>
      <w:bookmarkEnd w:id="4"/>
      <w:r w:rsidRPr="00E519B3">
        <w:rPr>
          <w:rFonts w:ascii="Arial" w:hAnsi="Arial" w:cs="Arial"/>
          <w:i/>
          <w:iCs/>
          <w:sz w:val="21"/>
          <w:szCs w:val="21"/>
          <w:lang w:val="es-ES" w:eastAsia="en-U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4EA028C3" w14:textId="77777777" w:rsidR="002A05F8" w:rsidRPr="00E519B3" w:rsidRDefault="002A05F8" w:rsidP="002A05F8">
      <w:pPr>
        <w:shd w:val="clear" w:color="auto" w:fill="FFFFFF"/>
        <w:spacing w:after="0"/>
        <w:ind w:left="709" w:right="709"/>
        <w:rPr>
          <w:rFonts w:ascii="Arial" w:hAnsi="Arial" w:cs="Arial"/>
          <w:i/>
          <w:iCs/>
          <w:sz w:val="21"/>
          <w:szCs w:val="21"/>
          <w:lang w:val="es-ES" w:eastAsia="en-US"/>
        </w:rPr>
      </w:pPr>
      <w:r w:rsidRPr="00E519B3">
        <w:rPr>
          <w:rFonts w:ascii="Arial" w:hAnsi="Arial" w:cs="Arial"/>
          <w:i/>
          <w:iCs/>
          <w:sz w:val="21"/>
          <w:szCs w:val="21"/>
          <w:lang w:val="es-ES" w:eastAsia="en-US"/>
        </w:rPr>
        <w:t xml:space="preserve">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w:t>
      </w:r>
      <w:r w:rsidRPr="00E519B3">
        <w:rPr>
          <w:rFonts w:ascii="Arial" w:hAnsi="Arial" w:cs="Arial"/>
          <w:i/>
          <w:iCs/>
          <w:sz w:val="21"/>
          <w:szCs w:val="21"/>
          <w:lang w:val="es-ES" w:eastAsia="en-US"/>
        </w:rPr>
        <w:lastRenderedPageBreak/>
        <w:t>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sidRPr="00E519B3">
        <w:rPr>
          <w:rFonts w:ascii="Arial" w:hAnsi="Arial" w:cs="Arial"/>
          <w:i/>
          <w:iCs/>
          <w:sz w:val="21"/>
          <w:szCs w:val="21"/>
          <w:vertAlign w:val="superscript"/>
          <w:lang w:val="es-ES" w:eastAsia="en-US"/>
        </w:rPr>
        <w:footnoteReference w:id="2"/>
      </w:r>
      <w:r w:rsidRPr="00E519B3">
        <w:rPr>
          <w:rFonts w:ascii="Arial" w:hAnsi="Arial" w:cs="Arial"/>
          <w:i/>
          <w:iCs/>
          <w:sz w:val="21"/>
          <w:szCs w:val="21"/>
          <w:lang w:val="es-ES" w:eastAsia="en-US"/>
        </w:rPr>
        <w:t xml:space="preserve"> </w:t>
      </w:r>
    </w:p>
    <w:p w14:paraId="7148AE88" w14:textId="77777777" w:rsidR="002A05F8" w:rsidRPr="002A05F8" w:rsidRDefault="002A05F8" w:rsidP="002A05F8">
      <w:pPr>
        <w:spacing w:after="0"/>
        <w:rPr>
          <w:rFonts w:ascii="Arial" w:hAnsi="Arial" w:cs="Arial"/>
          <w:sz w:val="22"/>
          <w:szCs w:val="22"/>
          <w:lang w:eastAsia="en-US"/>
        </w:rPr>
      </w:pPr>
    </w:p>
    <w:p w14:paraId="0C5C949D" w14:textId="77777777" w:rsidR="002A05F8" w:rsidRPr="002A05F8" w:rsidRDefault="002A05F8" w:rsidP="002A05F8">
      <w:pPr>
        <w:spacing w:after="0"/>
        <w:ind w:firstLine="709"/>
        <w:rPr>
          <w:rFonts w:ascii="Arial" w:hAnsi="Arial" w:cs="Arial"/>
          <w:sz w:val="22"/>
          <w:szCs w:val="22"/>
          <w:lang w:eastAsia="en-US"/>
        </w:rPr>
      </w:pPr>
      <w:r w:rsidRPr="002A05F8">
        <w:rPr>
          <w:rFonts w:ascii="Arial" w:hAnsi="Arial" w:cs="Arial"/>
          <w:sz w:val="22"/>
          <w:szCs w:val="22"/>
          <w:lang w:eastAsia="en-US"/>
        </w:rPr>
        <w:t xml:space="preserve">Así las cosas,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 </w:t>
      </w:r>
    </w:p>
    <w:p w14:paraId="56BE1297" w14:textId="77777777" w:rsidR="002A05F8" w:rsidRPr="002A05F8" w:rsidRDefault="002A05F8" w:rsidP="002A05F8">
      <w:pPr>
        <w:spacing w:after="0"/>
        <w:rPr>
          <w:rFonts w:ascii="Arial" w:eastAsia="Times New Roman" w:hAnsi="Arial" w:cs="Arial"/>
          <w:sz w:val="22"/>
          <w:shd w:val="clear" w:color="auto" w:fill="FFFFFF"/>
          <w:lang w:val="es-CO"/>
        </w:rPr>
      </w:pPr>
    </w:p>
    <w:p w14:paraId="54DC169A" w14:textId="2EFB6D38" w:rsidR="002A05F8" w:rsidRPr="00E519B3" w:rsidRDefault="002A05F8" w:rsidP="002A05F8">
      <w:pPr>
        <w:spacing w:after="120"/>
        <w:ind w:left="709" w:right="709"/>
        <w:rPr>
          <w:rFonts w:ascii="Arial" w:eastAsia="Times New Roman" w:hAnsi="Arial" w:cs="Arial"/>
          <w:i/>
          <w:iCs/>
          <w:sz w:val="21"/>
          <w:szCs w:val="21"/>
          <w:lang w:val="es-CO" w:eastAsia="es-MX"/>
        </w:rPr>
      </w:pPr>
      <w:r w:rsidRPr="00E519B3">
        <w:rPr>
          <w:rFonts w:ascii="Arial" w:eastAsia="Times New Roman" w:hAnsi="Arial" w:cs="Arial"/>
          <w:i/>
          <w:iCs/>
          <w:sz w:val="21"/>
          <w:szCs w:val="21"/>
          <w:lang w:val="es-CO" w:eastAsia="es-MX"/>
        </w:rPr>
        <w:t xml:space="preserve">«Todo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w:t>
      </w:r>
      <w:r w:rsidR="00E519B3" w:rsidRPr="00E519B3">
        <w:rPr>
          <w:rFonts w:ascii="Arial" w:eastAsia="Times New Roman" w:hAnsi="Arial" w:cs="Arial"/>
          <w:i/>
          <w:iCs/>
          <w:sz w:val="21"/>
          <w:szCs w:val="21"/>
          <w:lang w:val="es-CO" w:eastAsia="es-MX"/>
        </w:rPr>
        <w:t>incompatibilidades</w:t>
      </w:r>
      <w:r w:rsidRPr="00E519B3">
        <w:rPr>
          <w:rFonts w:ascii="Arial" w:eastAsia="Times New Roman" w:hAnsi="Arial" w:cs="Arial"/>
          <w:i/>
          <w:iCs/>
          <w:sz w:val="21"/>
          <w:szCs w:val="21"/>
          <w:lang w:val="es-CO" w:eastAsia="es-MX"/>
        </w:rPr>
        <w:t xml:space="preserve"> se erige en causal de nulidad del contrato celebrado en esas condiciones (ley 80 de 1993, art. 44).</w:t>
      </w:r>
    </w:p>
    <w:p w14:paraId="1A5BF36E" w14:textId="77777777" w:rsidR="002A05F8" w:rsidRPr="002A05F8" w:rsidRDefault="002A05F8" w:rsidP="002A05F8">
      <w:pPr>
        <w:spacing w:after="0"/>
        <w:ind w:left="709" w:right="709"/>
        <w:rPr>
          <w:rFonts w:ascii="Arial" w:eastAsia="Times New Roman" w:hAnsi="Arial" w:cs="Arial"/>
          <w:sz w:val="21"/>
          <w:szCs w:val="21"/>
          <w:lang w:val="es-CO" w:eastAsia="es-MX"/>
        </w:rPr>
      </w:pPr>
      <w:r w:rsidRPr="00E519B3">
        <w:rPr>
          <w:rFonts w:ascii="Arial" w:eastAsia="Times New Roman" w:hAnsi="Arial" w:cs="Arial"/>
          <w:i/>
          <w:iCs/>
          <w:sz w:val="21"/>
          <w:szCs w:val="21"/>
          <w:lang w:val="es-CO" w:eastAsia="es-MX"/>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sidRPr="00E519B3">
        <w:rPr>
          <w:rFonts w:ascii="Arial" w:eastAsia="Times New Roman" w:hAnsi="Arial" w:cs="Arial"/>
          <w:i/>
          <w:iCs/>
          <w:sz w:val="21"/>
          <w:szCs w:val="21"/>
          <w:vertAlign w:val="superscript"/>
          <w:lang w:val="es-CO" w:eastAsia="es-MX"/>
        </w:rPr>
        <w:footnoteReference w:id="3"/>
      </w:r>
    </w:p>
    <w:p w14:paraId="54968280" w14:textId="77777777" w:rsidR="002A05F8" w:rsidRPr="002A05F8" w:rsidRDefault="002A05F8" w:rsidP="002A05F8">
      <w:pPr>
        <w:spacing w:after="0"/>
        <w:ind w:firstLine="709"/>
        <w:rPr>
          <w:rFonts w:ascii="Arial" w:eastAsia="Times New Roman" w:hAnsi="Arial" w:cs="Arial"/>
          <w:sz w:val="22"/>
          <w:lang w:val="es-CO" w:eastAsia="es-MX"/>
        </w:rPr>
      </w:pPr>
    </w:p>
    <w:p w14:paraId="2D19438A" w14:textId="6ACE7EA2" w:rsidR="002A05F8" w:rsidRPr="002A05F8" w:rsidRDefault="00145901" w:rsidP="002A05F8">
      <w:pPr>
        <w:spacing w:after="0"/>
        <w:ind w:firstLine="709"/>
        <w:rPr>
          <w:rFonts w:ascii="Arial" w:eastAsia="Times New Roman" w:hAnsi="Arial" w:cs="Arial"/>
          <w:sz w:val="22"/>
          <w:lang w:val="es-CO" w:eastAsia="es-MX"/>
        </w:rPr>
      </w:pPr>
      <w:r>
        <w:rPr>
          <w:rFonts w:ascii="Arial" w:eastAsia="Times New Roman" w:hAnsi="Arial" w:cs="Arial"/>
          <w:sz w:val="22"/>
          <w:lang w:val="es-CO" w:eastAsia="es-MX"/>
        </w:rPr>
        <w:t>En la misma providencia</w:t>
      </w:r>
      <w:r w:rsidR="002A05F8" w:rsidRPr="002A05F8">
        <w:rPr>
          <w:rFonts w:ascii="Arial" w:eastAsia="Times New Roman" w:hAnsi="Arial" w:cs="Arial"/>
          <w:sz w:val="22"/>
          <w:lang w:val="es-CO" w:eastAsia="es-MX"/>
        </w:rPr>
        <w:t>, la Corte Constitucional explica que el legislador tiene la competencia para determinar qué hechos o situaciones generan inhabilidad para contratar, pues este régimen es un aspecto propio del Estatuto General de Contratación de la Administración Pública, cuya expedición compete al Congreso de la República a la luz del artículo 150 de la Constitución Política, y que en esta materia rige el principio de legalidad:</w:t>
      </w:r>
    </w:p>
    <w:p w14:paraId="3D40D335" w14:textId="77777777" w:rsidR="002A05F8" w:rsidRPr="002A05F8" w:rsidRDefault="002A05F8" w:rsidP="002A05F8">
      <w:pPr>
        <w:tabs>
          <w:tab w:val="left" w:pos="1532"/>
        </w:tabs>
        <w:spacing w:after="0"/>
        <w:rPr>
          <w:rFonts w:ascii="Arial" w:hAnsi="Arial" w:cs="Arial"/>
          <w:sz w:val="22"/>
          <w:szCs w:val="22"/>
          <w:lang w:eastAsia="en-US"/>
        </w:rPr>
      </w:pPr>
    </w:p>
    <w:p w14:paraId="7AF37C6E" w14:textId="77777777" w:rsidR="002A05F8" w:rsidRPr="0042407C" w:rsidRDefault="002A05F8" w:rsidP="002A05F8">
      <w:pPr>
        <w:spacing w:after="0"/>
        <w:ind w:left="709" w:right="709"/>
        <w:rPr>
          <w:rFonts w:ascii="Arial" w:eastAsia="Times New Roman" w:hAnsi="Arial" w:cs="Arial"/>
          <w:i/>
          <w:iCs/>
          <w:sz w:val="21"/>
          <w:szCs w:val="21"/>
          <w:lang w:val="es-CO" w:eastAsia="es-MX"/>
        </w:rPr>
      </w:pPr>
      <w:r w:rsidRPr="0042407C">
        <w:rPr>
          <w:rFonts w:ascii="Arial" w:eastAsia="Times New Roman" w:hAnsi="Arial" w:cs="Arial"/>
          <w:i/>
          <w:iCs/>
          <w:sz w:val="21"/>
          <w:szCs w:val="21"/>
          <w:lang w:val="es-CO" w:eastAsia="es-MX"/>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libértate, sino el de legalidad, el que ordena que la función pública debe someterse estrictamente a lo que disponga la Constitución y la ley (CP art. 6). </w:t>
      </w:r>
    </w:p>
    <w:p w14:paraId="69F9828B" w14:textId="77777777" w:rsidR="002A05F8" w:rsidRPr="0042407C" w:rsidRDefault="002A05F8" w:rsidP="002A05F8">
      <w:pPr>
        <w:spacing w:after="120"/>
        <w:ind w:left="709" w:right="709"/>
        <w:rPr>
          <w:rFonts w:ascii="Arial" w:eastAsia="Times New Roman" w:hAnsi="Arial" w:cs="Arial"/>
          <w:i/>
          <w:iCs/>
          <w:sz w:val="21"/>
          <w:szCs w:val="21"/>
          <w:lang w:val="es-CO" w:eastAsia="es-MX"/>
        </w:rPr>
      </w:pPr>
      <w:r w:rsidRPr="0042407C">
        <w:rPr>
          <w:rFonts w:ascii="Arial" w:eastAsia="Times New Roman" w:hAnsi="Arial" w:cs="Arial"/>
          <w:i/>
          <w:iCs/>
          <w:sz w:val="21"/>
          <w:szCs w:val="21"/>
          <w:lang w:val="es-CO" w:eastAsia="es-MX"/>
        </w:rPr>
        <w:t xml:space="preserve">[…] </w:t>
      </w:r>
    </w:p>
    <w:p w14:paraId="2411EEA2" w14:textId="0EDD0650" w:rsidR="002A05F8" w:rsidRPr="0042407C" w:rsidRDefault="002A05F8" w:rsidP="002A05F8">
      <w:pPr>
        <w:spacing w:after="0"/>
        <w:ind w:left="709" w:right="709"/>
        <w:rPr>
          <w:rFonts w:ascii="Arial" w:eastAsia="Times New Roman" w:hAnsi="Arial" w:cs="Arial"/>
          <w:i/>
          <w:iCs/>
          <w:sz w:val="21"/>
          <w:szCs w:val="21"/>
          <w:lang w:val="es-CO" w:eastAsia="es-MX"/>
        </w:rPr>
      </w:pPr>
      <w:r w:rsidRPr="0042407C">
        <w:rPr>
          <w:rFonts w:ascii="Arial" w:eastAsia="Times New Roman" w:hAnsi="Arial" w:cs="Arial"/>
          <w:i/>
          <w:iCs/>
          <w:sz w:val="21"/>
          <w:szCs w:val="21"/>
          <w:lang w:val="es-CO" w:eastAsia="es-MX"/>
        </w:rPr>
        <w:t xml:space="preserve">Se comprende con facilidad que el régimen de inhabilidades e </w:t>
      </w:r>
      <w:r w:rsidR="00E519B3" w:rsidRPr="0042407C">
        <w:rPr>
          <w:rFonts w:ascii="Arial" w:eastAsia="Times New Roman" w:hAnsi="Arial" w:cs="Arial"/>
          <w:i/>
          <w:iCs/>
          <w:sz w:val="21"/>
          <w:szCs w:val="21"/>
          <w:lang w:val="es-CO" w:eastAsia="es-MX"/>
        </w:rPr>
        <w:t>incompatibilidades</w:t>
      </w:r>
      <w:r w:rsidRPr="0042407C">
        <w:rPr>
          <w:rFonts w:ascii="Arial" w:eastAsia="Times New Roman" w:hAnsi="Arial" w:cs="Arial"/>
          <w:i/>
          <w:iCs/>
          <w:sz w:val="21"/>
          <w:szCs w:val="21"/>
          <w:lang w:val="es-CO" w:eastAsia="es-MX"/>
        </w:rPr>
        <w:t xml:space="preserve"> corresponde a una materia de normal y obligada inclusión en un estatuto contractual. El legislador, a quien se ha confiado expedir el indicado estatuto, tiene, pues, competencia para establecerlo (CP art. 150).»</w:t>
      </w:r>
      <w:r w:rsidRPr="0042407C">
        <w:rPr>
          <w:rFonts w:ascii="Arial" w:eastAsia="Times New Roman" w:hAnsi="Arial" w:cs="Arial"/>
          <w:i/>
          <w:iCs/>
          <w:sz w:val="21"/>
          <w:szCs w:val="21"/>
          <w:vertAlign w:val="superscript"/>
          <w:lang w:val="es-CO" w:eastAsia="es-MX"/>
        </w:rPr>
        <w:footnoteReference w:id="4"/>
      </w:r>
    </w:p>
    <w:p w14:paraId="5EFC720D" w14:textId="77777777" w:rsidR="002A05F8" w:rsidRPr="002A05F8" w:rsidRDefault="002A05F8" w:rsidP="002A05F8">
      <w:pPr>
        <w:spacing w:after="0"/>
        <w:ind w:firstLine="709"/>
        <w:rPr>
          <w:rFonts w:ascii="Arial" w:eastAsia="Times New Roman" w:hAnsi="Arial" w:cs="Arial"/>
          <w:sz w:val="22"/>
          <w:lang w:val="es-CO" w:eastAsia="es-MX"/>
        </w:rPr>
      </w:pPr>
    </w:p>
    <w:p w14:paraId="15B03537" w14:textId="77777777" w:rsidR="002A05F8" w:rsidRPr="002A05F8" w:rsidRDefault="002A05F8" w:rsidP="002A05F8">
      <w:pPr>
        <w:spacing w:before="120" w:after="120"/>
        <w:ind w:firstLine="709"/>
        <w:rPr>
          <w:rFonts w:ascii="Arial" w:hAnsi="Arial" w:cs="Arial"/>
          <w:sz w:val="22"/>
          <w:lang w:val="es-ES_tradnl" w:eastAsia="es-MX"/>
        </w:rPr>
      </w:pPr>
      <w:r w:rsidRPr="002A05F8">
        <w:rPr>
          <w:rFonts w:ascii="Arial" w:hAnsi="Arial" w:cs="Arial"/>
          <w:sz w:val="22"/>
          <w:lang w:val="es-ES_tradnl" w:eastAsia="es-MX"/>
        </w:rPr>
        <w:t xml:space="preserve">Así las cosas, las inhabilidades son prohibiciones para concurrir a los procedimientos de selección y para contratar con el Estado, que se derivan: i) de la existencia de comportamientos reprochables o de sanciones anteriormente impuestas, </w:t>
      </w:r>
      <w:proofErr w:type="spellStart"/>
      <w:r w:rsidRPr="002A05F8">
        <w:rPr>
          <w:rFonts w:ascii="Arial" w:hAnsi="Arial" w:cs="Arial"/>
          <w:sz w:val="22"/>
          <w:lang w:val="es-ES_tradnl" w:eastAsia="es-MX"/>
        </w:rPr>
        <w:t>ii</w:t>
      </w:r>
      <w:proofErr w:type="spellEnd"/>
      <w:r w:rsidRPr="002A05F8">
        <w:rPr>
          <w:rFonts w:ascii="Arial" w:hAnsi="Arial" w:cs="Arial"/>
          <w:sz w:val="22"/>
          <w:lang w:val="es-ES_tradnl" w:eastAsia="es-MX"/>
        </w:rPr>
        <w:t xml:space="preserve">) de vínculos personales relativos al parentesco o al estado civil o </w:t>
      </w:r>
      <w:proofErr w:type="spellStart"/>
      <w:r w:rsidRPr="002A05F8">
        <w:rPr>
          <w:rFonts w:ascii="Arial" w:hAnsi="Arial" w:cs="Arial"/>
          <w:sz w:val="22"/>
          <w:lang w:val="es-ES_tradnl" w:eastAsia="es-MX"/>
        </w:rPr>
        <w:t>iii</w:t>
      </w:r>
      <w:proofErr w:type="spellEnd"/>
      <w:r w:rsidRPr="002A05F8">
        <w:rPr>
          <w:rFonts w:ascii="Arial" w:hAnsi="Arial" w:cs="Arial"/>
          <w:sz w:val="22"/>
          <w:lang w:val="es-ES_tradnl" w:eastAsia="es-MX"/>
        </w:rPr>
        <w:t>) de una actividad u oficio que se desempeñó en el pasado. De otro lado, las incompatibilidades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En todo caso, a pesar de la existencia de distintos criterios para diferenciar las inhabilidades de las incompatibilidades, de la presencia de ellas se derivan las mismas consecuencias jurídicas de limitación de la capacidad contractual. De manera que la presencia de ellas impide que se puedan celebrar contratos con el Estado o participar en procedimientos de selección de las entidades estatales, por lo que de cualquiera de ellas se derivan los mismos efectos jurídicos</w:t>
      </w:r>
      <w:r w:rsidRPr="002A05F8">
        <w:rPr>
          <w:rFonts w:ascii="Arial" w:hAnsi="Arial" w:cs="Arial"/>
          <w:sz w:val="22"/>
          <w:vertAlign w:val="superscript"/>
          <w:lang w:val="es-ES_tradnl" w:eastAsia="es-MX"/>
        </w:rPr>
        <w:footnoteReference w:id="5"/>
      </w:r>
      <w:r w:rsidRPr="002A05F8">
        <w:rPr>
          <w:rFonts w:ascii="Arial" w:hAnsi="Arial" w:cs="Arial"/>
          <w:sz w:val="22"/>
          <w:lang w:val="es-ES_tradnl" w:eastAsia="es-MX"/>
        </w:rPr>
        <w:t>.</w:t>
      </w:r>
    </w:p>
    <w:p w14:paraId="23F64650" w14:textId="77777777" w:rsidR="002A05F8" w:rsidRPr="002A05F8" w:rsidRDefault="002A05F8" w:rsidP="002A05F8">
      <w:pPr>
        <w:spacing w:before="120" w:after="0"/>
        <w:ind w:firstLine="709"/>
        <w:rPr>
          <w:rFonts w:ascii="Arial" w:hAnsi="Arial" w:cs="Arial"/>
          <w:sz w:val="22"/>
          <w:lang w:val="es-ES_tradnl" w:eastAsia="es-MX"/>
        </w:rPr>
      </w:pPr>
      <w:r w:rsidRPr="002A05F8">
        <w:rPr>
          <w:rFonts w:ascii="Arial" w:hAnsi="Arial" w:cs="Arial"/>
          <w:sz w:val="22"/>
          <w:lang w:val="es-ES_tradnl" w:eastAsia="es-MX"/>
        </w:rPr>
        <w:lastRenderedPageBreak/>
        <w:t xml:space="preserve">Ahora bien, las inhabilidades e incompatibilidades al ser restricciones o límites especiales a la capacidad para presentar ofertas y celebrar contratos estatales, solo pueden tipificarse en la ley o la Constitución –o sea, deben satisfacer el principio de legalidad– y su interpretación debe ser </w:t>
      </w:r>
      <w:r w:rsidRPr="002A05F8">
        <w:rPr>
          <w:rFonts w:ascii="Arial" w:hAnsi="Arial" w:cs="Arial"/>
          <w:i/>
          <w:iCs/>
          <w:sz w:val="22"/>
          <w:lang w:val="es-ES_tradnl" w:eastAsia="es-MX"/>
        </w:rPr>
        <w:t>restrictiva</w:t>
      </w:r>
      <w:r w:rsidRPr="002A05F8">
        <w:rPr>
          <w:rFonts w:ascii="Arial" w:hAnsi="Arial" w:cs="Arial"/>
          <w:sz w:val="22"/>
          <w:vertAlign w:val="superscript"/>
          <w:lang w:val="es-ES_tradnl" w:eastAsia="es-MX"/>
        </w:rPr>
        <w:footnoteReference w:id="6"/>
      </w:r>
      <w:r w:rsidRPr="002A05F8">
        <w:rPr>
          <w:rFonts w:ascii="Arial" w:hAnsi="Arial" w:cs="Arial"/>
          <w:sz w:val="22"/>
          <w:lang w:val="es-ES_tradnl" w:eastAsia="es-MX"/>
        </w:rPr>
        <w:t xml:space="preserve">,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seguridad jurídica, la libre concurrencia y el ejercicio de la profesión u oficio. </w:t>
      </w:r>
    </w:p>
    <w:p w14:paraId="39F441E8" w14:textId="610CC3E9" w:rsidR="002A05F8" w:rsidRPr="002A05F8" w:rsidRDefault="002A05F8" w:rsidP="002A05F8">
      <w:pPr>
        <w:spacing w:before="120" w:after="0"/>
        <w:ind w:firstLine="709"/>
        <w:rPr>
          <w:rFonts w:ascii="Arial" w:hAnsi="Arial" w:cs="Arial"/>
          <w:sz w:val="22"/>
          <w:lang w:val="es-ES_tradnl" w:eastAsia="es-MX"/>
        </w:rPr>
      </w:pPr>
      <w:r w:rsidRPr="002A05F8">
        <w:rPr>
          <w:rFonts w:ascii="Arial" w:hAnsi="Arial" w:cs="Arial"/>
          <w:sz w:val="22"/>
          <w:lang w:val="es-ES_tradnl" w:eastAsia="es-MX"/>
        </w:rPr>
        <w:t xml:space="preserve">Con la finalidad de resolver </w:t>
      </w:r>
      <w:r w:rsidR="00E519B3" w:rsidRPr="002A05F8">
        <w:rPr>
          <w:rFonts w:ascii="Arial" w:hAnsi="Arial" w:cs="Arial"/>
          <w:sz w:val="22"/>
          <w:lang w:val="es-ES_tradnl" w:eastAsia="es-MX"/>
        </w:rPr>
        <w:t>la duda planteada</w:t>
      </w:r>
      <w:r w:rsidRPr="002A05F8">
        <w:rPr>
          <w:rFonts w:ascii="Arial" w:hAnsi="Arial" w:cs="Arial"/>
          <w:sz w:val="22"/>
          <w:lang w:val="es-ES_tradnl" w:eastAsia="es-MX"/>
        </w:rPr>
        <w:t xml:space="preserve"> en la presente consulta, se estudiará el artículo 8 de la Ley 80 de 1993, el cual reza de la siguiente forma: </w:t>
      </w:r>
    </w:p>
    <w:p w14:paraId="6A9128C3" w14:textId="77777777" w:rsidR="002A05F8" w:rsidRPr="002A05F8" w:rsidRDefault="002A05F8" w:rsidP="002A05F8">
      <w:pPr>
        <w:spacing w:after="0" w:line="240" w:lineRule="auto"/>
        <w:ind w:left="708" w:right="900"/>
        <w:rPr>
          <w:rFonts w:ascii="Arial" w:hAnsi="Arial" w:cs="Arial"/>
          <w:sz w:val="21"/>
          <w:szCs w:val="21"/>
          <w:lang w:eastAsia="es-MX"/>
        </w:rPr>
      </w:pPr>
      <w:bookmarkStart w:id="5" w:name="8"/>
    </w:p>
    <w:p w14:paraId="5DD5A59E" w14:textId="77777777" w:rsidR="002A05F8" w:rsidRPr="0042407C" w:rsidRDefault="002A05F8" w:rsidP="002A05F8">
      <w:pPr>
        <w:spacing w:after="0" w:line="240" w:lineRule="auto"/>
        <w:ind w:left="708" w:right="900"/>
        <w:rPr>
          <w:rFonts w:ascii="Arial" w:hAnsi="Arial" w:cs="Arial"/>
          <w:i/>
          <w:iCs/>
          <w:sz w:val="21"/>
          <w:szCs w:val="21"/>
          <w:lang w:eastAsia="es-MX"/>
        </w:rPr>
      </w:pPr>
      <w:r w:rsidRPr="0042407C">
        <w:rPr>
          <w:rFonts w:ascii="Arial" w:hAnsi="Arial" w:cs="Arial"/>
          <w:i/>
          <w:iCs/>
          <w:sz w:val="21"/>
          <w:szCs w:val="21"/>
          <w:lang w:eastAsia="en-US"/>
        </w:rPr>
        <w:t>«</w:t>
      </w:r>
      <w:bookmarkEnd w:id="5"/>
      <w:r w:rsidRPr="0042407C">
        <w:rPr>
          <w:rFonts w:ascii="Arial" w:hAnsi="Arial" w:cs="Arial"/>
          <w:i/>
          <w:iCs/>
          <w:sz w:val="21"/>
          <w:szCs w:val="21"/>
          <w:lang w:eastAsia="es-MX"/>
        </w:rPr>
        <w:t>ARTICULO 8°. DE LAS INHABILIDADES E INCOMPATIBILIDADES PARA CONTRATAR.</w:t>
      </w:r>
    </w:p>
    <w:p w14:paraId="683F8400" w14:textId="77777777" w:rsidR="002A05F8" w:rsidRPr="0042407C" w:rsidRDefault="002A05F8" w:rsidP="002A05F8">
      <w:pPr>
        <w:spacing w:after="0" w:line="240" w:lineRule="auto"/>
        <w:ind w:left="708" w:right="900"/>
        <w:rPr>
          <w:rFonts w:ascii="Arial" w:hAnsi="Arial" w:cs="Arial"/>
          <w:i/>
          <w:iCs/>
          <w:sz w:val="21"/>
          <w:szCs w:val="21"/>
          <w:lang w:eastAsia="es-MX"/>
        </w:rPr>
      </w:pPr>
    </w:p>
    <w:p w14:paraId="67B7D987" w14:textId="77777777" w:rsidR="002A05F8" w:rsidRPr="0042407C" w:rsidRDefault="002A05F8" w:rsidP="002A05F8">
      <w:pPr>
        <w:spacing w:after="0" w:line="240" w:lineRule="auto"/>
        <w:ind w:left="708" w:right="900"/>
        <w:rPr>
          <w:rFonts w:ascii="Arial" w:hAnsi="Arial" w:cs="Arial"/>
          <w:i/>
          <w:iCs/>
          <w:sz w:val="21"/>
          <w:szCs w:val="21"/>
          <w:lang w:eastAsia="es-MX"/>
        </w:rPr>
      </w:pPr>
      <w:r w:rsidRPr="0042407C">
        <w:rPr>
          <w:rFonts w:ascii="Arial" w:hAnsi="Arial" w:cs="Arial"/>
          <w:i/>
          <w:iCs/>
          <w:sz w:val="21"/>
          <w:szCs w:val="21"/>
          <w:lang w:eastAsia="es-MX"/>
        </w:rPr>
        <w:t>1°. Son inhábiles para participar en licitaciones o concursos y para celebrar contratos con las entidades estatales:</w:t>
      </w:r>
    </w:p>
    <w:p w14:paraId="1320EE9B" w14:textId="77777777" w:rsidR="002A05F8" w:rsidRPr="0042407C" w:rsidRDefault="002A05F8" w:rsidP="002A05F8">
      <w:pPr>
        <w:spacing w:after="0" w:line="240" w:lineRule="auto"/>
        <w:ind w:left="708" w:right="900"/>
        <w:rPr>
          <w:rFonts w:ascii="Arial" w:hAnsi="Arial" w:cs="Arial"/>
          <w:i/>
          <w:iCs/>
          <w:sz w:val="21"/>
          <w:szCs w:val="21"/>
          <w:lang w:eastAsia="es-MX"/>
        </w:rPr>
      </w:pPr>
    </w:p>
    <w:p w14:paraId="716E6CA0" w14:textId="77777777" w:rsidR="002A05F8" w:rsidRPr="0042407C" w:rsidRDefault="002A05F8" w:rsidP="002A05F8">
      <w:pPr>
        <w:spacing w:after="0" w:line="240" w:lineRule="auto"/>
        <w:ind w:left="708" w:right="900"/>
        <w:rPr>
          <w:rFonts w:ascii="Arial" w:hAnsi="Arial" w:cs="Arial"/>
          <w:i/>
          <w:iCs/>
          <w:sz w:val="21"/>
          <w:szCs w:val="21"/>
          <w:lang w:eastAsia="es-MX"/>
        </w:rPr>
      </w:pPr>
      <w:r w:rsidRPr="0042407C">
        <w:rPr>
          <w:rFonts w:ascii="Arial" w:hAnsi="Arial" w:cs="Arial"/>
          <w:i/>
          <w:iCs/>
          <w:sz w:val="21"/>
          <w:szCs w:val="21"/>
          <w:lang w:eastAsia="es-MX"/>
        </w:rPr>
        <w:t>a) Las personas que se hallen inhabilitadas para contratar por la Constitución y las leyes.</w:t>
      </w:r>
    </w:p>
    <w:p w14:paraId="344A186F" w14:textId="77777777" w:rsidR="002A05F8" w:rsidRPr="0042407C" w:rsidRDefault="002A05F8" w:rsidP="002A05F8">
      <w:pPr>
        <w:spacing w:after="0" w:line="240" w:lineRule="auto"/>
        <w:ind w:left="708" w:right="900"/>
        <w:rPr>
          <w:rFonts w:ascii="Arial" w:hAnsi="Arial" w:cs="Arial"/>
          <w:i/>
          <w:iCs/>
          <w:sz w:val="21"/>
          <w:szCs w:val="21"/>
          <w:lang w:eastAsia="es-MX"/>
        </w:rPr>
      </w:pPr>
    </w:p>
    <w:p w14:paraId="199819CB" w14:textId="77777777" w:rsidR="002A05F8" w:rsidRPr="0042407C" w:rsidRDefault="002A05F8" w:rsidP="002A05F8">
      <w:pPr>
        <w:spacing w:after="0" w:line="240" w:lineRule="auto"/>
        <w:ind w:left="708" w:right="900"/>
        <w:rPr>
          <w:rFonts w:ascii="Arial" w:hAnsi="Arial" w:cs="Arial"/>
          <w:i/>
          <w:iCs/>
          <w:sz w:val="21"/>
          <w:szCs w:val="21"/>
          <w:lang w:eastAsia="es-MX"/>
        </w:rPr>
      </w:pPr>
      <w:r w:rsidRPr="0042407C">
        <w:rPr>
          <w:rFonts w:ascii="Arial" w:hAnsi="Arial" w:cs="Arial"/>
          <w:i/>
          <w:iCs/>
          <w:sz w:val="21"/>
          <w:szCs w:val="21"/>
          <w:lang w:eastAsia="es-MX"/>
        </w:rPr>
        <w:t>b) Quienes participaron en las licitaciones o concursos o celebraron los contratos de que trata el literal anterior estando inhabilitados.</w:t>
      </w:r>
    </w:p>
    <w:p w14:paraId="7B222E73" w14:textId="77777777" w:rsidR="002A05F8" w:rsidRPr="0042407C" w:rsidRDefault="002A05F8" w:rsidP="002A05F8">
      <w:pPr>
        <w:spacing w:after="0" w:line="240" w:lineRule="auto"/>
        <w:ind w:left="708" w:right="900"/>
        <w:rPr>
          <w:rFonts w:ascii="Arial" w:hAnsi="Arial" w:cs="Arial"/>
          <w:i/>
          <w:iCs/>
          <w:sz w:val="21"/>
          <w:szCs w:val="21"/>
          <w:lang w:eastAsia="es-MX"/>
        </w:rPr>
      </w:pPr>
    </w:p>
    <w:p w14:paraId="695CEA56" w14:textId="77777777" w:rsidR="002A05F8" w:rsidRPr="0042407C" w:rsidRDefault="002A05F8" w:rsidP="002A05F8">
      <w:pPr>
        <w:spacing w:after="0" w:line="240" w:lineRule="auto"/>
        <w:ind w:left="708" w:right="900"/>
        <w:rPr>
          <w:rFonts w:ascii="Arial" w:hAnsi="Arial" w:cs="Arial"/>
          <w:i/>
          <w:iCs/>
          <w:sz w:val="21"/>
          <w:szCs w:val="21"/>
          <w:lang w:eastAsia="es-MX"/>
        </w:rPr>
      </w:pPr>
      <w:r w:rsidRPr="0042407C">
        <w:rPr>
          <w:rFonts w:ascii="Arial" w:hAnsi="Arial" w:cs="Arial"/>
          <w:i/>
          <w:iCs/>
          <w:sz w:val="21"/>
          <w:szCs w:val="21"/>
          <w:lang w:eastAsia="es-MX"/>
        </w:rPr>
        <w:t>c) Quienes dieron lugar a la declaratoria de caducidad.</w:t>
      </w:r>
    </w:p>
    <w:p w14:paraId="2C96C920" w14:textId="77777777" w:rsidR="002A05F8" w:rsidRPr="0042407C" w:rsidRDefault="002A05F8" w:rsidP="002A05F8">
      <w:pPr>
        <w:spacing w:after="0" w:line="240" w:lineRule="auto"/>
        <w:ind w:left="708" w:right="900"/>
        <w:rPr>
          <w:rFonts w:ascii="Arial" w:hAnsi="Arial" w:cs="Arial"/>
          <w:i/>
          <w:iCs/>
          <w:sz w:val="21"/>
          <w:szCs w:val="21"/>
          <w:lang w:eastAsia="es-MX"/>
        </w:rPr>
      </w:pPr>
    </w:p>
    <w:p w14:paraId="2FAE88F9" w14:textId="77777777" w:rsidR="002A05F8" w:rsidRPr="0042407C" w:rsidRDefault="002A05F8" w:rsidP="002A05F8">
      <w:pPr>
        <w:spacing w:after="0" w:line="240" w:lineRule="auto"/>
        <w:ind w:left="708" w:right="900"/>
        <w:rPr>
          <w:rFonts w:ascii="Arial" w:hAnsi="Arial" w:cs="Arial"/>
          <w:i/>
          <w:iCs/>
          <w:sz w:val="21"/>
          <w:szCs w:val="21"/>
          <w:lang w:eastAsia="es-MX"/>
        </w:rPr>
      </w:pPr>
      <w:r w:rsidRPr="0042407C">
        <w:rPr>
          <w:rFonts w:ascii="Arial" w:hAnsi="Arial" w:cs="Arial"/>
          <w:i/>
          <w:iCs/>
          <w:sz w:val="21"/>
          <w:szCs w:val="21"/>
          <w:lang w:eastAsia="es-MX"/>
        </w:rPr>
        <w:t xml:space="preserve">d) Quienes en sentencia judicial hayan sido condenados a la pena accesoria de interdicción de derechos y funciones públicas y quienes hayan sido sancionados disciplinariamente con destitución. </w:t>
      </w:r>
    </w:p>
    <w:p w14:paraId="55C982B6" w14:textId="77777777" w:rsidR="002A05F8" w:rsidRPr="0042407C" w:rsidRDefault="002A05F8" w:rsidP="002A05F8">
      <w:pPr>
        <w:spacing w:after="0" w:line="240" w:lineRule="auto"/>
        <w:ind w:left="708" w:right="900"/>
        <w:rPr>
          <w:rFonts w:ascii="Arial" w:hAnsi="Arial" w:cs="Arial"/>
          <w:i/>
          <w:iCs/>
          <w:sz w:val="21"/>
          <w:szCs w:val="21"/>
          <w:lang w:eastAsia="es-MX"/>
        </w:rPr>
      </w:pPr>
    </w:p>
    <w:p w14:paraId="2EA85A2F" w14:textId="77777777" w:rsidR="002A05F8" w:rsidRPr="0042407C" w:rsidRDefault="002A05F8" w:rsidP="002A05F8">
      <w:pPr>
        <w:spacing w:after="0" w:line="240" w:lineRule="auto"/>
        <w:ind w:left="708" w:right="900"/>
        <w:rPr>
          <w:rFonts w:ascii="Arial" w:hAnsi="Arial" w:cs="Arial"/>
          <w:i/>
          <w:iCs/>
          <w:sz w:val="21"/>
          <w:szCs w:val="21"/>
          <w:lang w:eastAsia="es-MX"/>
        </w:rPr>
      </w:pPr>
      <w:r w:rsidRPr="0042407C">
        <w:rPr>
          <w:rFonts w:ascii="Arial" w:hAnsi="Arial" w:cs="Arial"/>
          <w:i/>
          <w:iCs/>
          <w:sz w:val="21"/>
          <w:szCs w:val="21"/>
          <w:lang w:eastAsia="es-MX"/>
        </w:rPr>
        <w:t>e) Quienes sin justa causa se abstengan de suscribir el contrato estatal adjudicado.</w:t>
      </w:r>
    </w:p>
    <w:p w14:paraId="0B987D4B" w14:textId="77777777" w:rsidR="002A05F8" w:rsidRPr="0042407C" w:rsidRDefault="002A05F8" w:rsidP="002A05F8">
      <w:pPr>
        <w:spacing w:after="0" w:line="240" w:lineRule="auto"/>
        <w:ind w:left="708" w:right="900"/>
        <w:rPr>
          <w:rFonts w:ascii="Arial" w:hAnsi="Arial" w:cs="Arial"/>
          <w:i/>
          <w:iCs/>
          <w:sz w:val="21"/>
          <w:szCs w:val="21"/>
          <w:lang w:eastAsia="es-MX"/>
        </w:rPr>
      </w:pPr>
    </w:p>
    <w:p w14:paraId="740B4CE8" w14:textId="77777777" w:rsidR="002A05F8" w:rsidRPr="0042407C" w:rsidRDefault="002A05F8" w:rsidP="002A05F8">
      <w:pPr>
        <w:spacing w:after="0" w:line="240" w:lineRule="auto"/>
        <w:ind w:left="708" w:right="900"/>
        <w:rPr>
          <w:rFonts w:ascii="Arial" w:hAnsi="Arial" w:cs="Arial"/>
          <w:i/>
          <w:iCs/>
          <w:sz w:val="21"/>
          <w:szCs w:val="21"/>
          <w:lang w:eastAsia="es-MX"/>
        </w:rPr>
      </w:pPr>
      <w:r w:rsidRPr="0042407C">
        <w:rPr>
          <w:rFonts w:ascii="Arial" w:hAnsi="Arial" w:cs="Arial"/>
          <w:i/>
          <w:iCs/>
          <w:sz w:val="21"/>
          <w:szCs w:val="21"/>
          <w:lang w:eastAsia="es-MX"/>
        </w:rPr>
        <w:t>f) Los servidores públicos.</w:t>
      </w:r>
    </w:p>
    <w:p w14:paraId="709255FE" w14:textId="77777777" w:rsidR="002A05F8" w:rsidRPr="0042407C" w:rsidRDefault="002A05F8" w:rsidP="002A05F8">
      <w:pPr>
        <w:spacing w:after="0" w:line="240" w:lineRule="auto"/>
        <w:ind w:left="708" w:right="900"/>
        <w:rPr>
          <w:rFonts w:ascii="Arial" w:hAnsi="Arial" w:cs="Arial"/>
          <w:i/>
          <w:iCs/>
          <w:sz w:val="21"/>
          <w:szCs w:val="21"/>
          <w:lang w:eastAsia="es-MX"/>
        </w:rPr>
      </w:pPr>
    </w:p>
    <w:p w14:paraId="38F9D8E6" w14:textId="77777777" w:rsidR="002A05F8" w:rsidRPr="0042407C" w:rsidRDefault="002A05F8" w:rsidP="002A05F8">
      <w:pPr>
        <w:spacing w:after="0" w:line="240" w:lineRule="auto"/>
        <w:ind w:left="708" w:right="900"/>
        <w:rPr>
          <w:rFonts w:ascii="Arial" w:hAnsi="Arial" w:cs="Arial"/>
          <w:i/>
          <w:iCs/>
          <w:sz w:val="21"/>
          <w:szCs w:val="21"/>
          <w:lang w:eastAsia="es-MX"/>
        </w:rPr>
      </w:pPr>
      <w:r w:rsidRPr="0042407C">
        <w:rPr>
          <w:rFonts w:ascii="Arial" w:hAnsi="Arial" w:cs="Arial"/>
          <w:i/>
          <w:iCs/>
          <w:sz w:val="21"/>
          <w:szCs w:val="21"/>
          <w:lang w:eastAsia="es-MX"/>
        </w:rPr>
        <w:t>g) Quienes sean cónyuges o compañeros permanentes y quienes se encuentren dentro del segundo grado de consanguinidad o segundo de afinidad con cualquier otra persona que formalmente haya presentado propuesta para una misma licitación.</w:t>
      </w:r>
    </w:p>
    <w:p w14:paraId="6402D17C" w14:textId="77777777" w:rsidR="002A05F8" w:rsidRPr="0042407C" w:rsidRDefault="002A05F8" w:rsidP="002A05F8">
      <w:pPr>
        <w:spacing w:after="0" w:line="240" w:lineRule="auto"/>
        <w:ind w:left="708" w:right="900"/>
        <w:rPr>
          <w:rFonts w:ascii="Arial" w:hAnsi="Arial" w:cs="Arial"/>
          <w:i/>
          <w:iCs/>
          <w:sz w:val="21"/>
          <w:szCs w:val="21"/>
          <w:lang w:eastAsia="es-MX"/>
        </w:rPr>
      </w:pPr>
    </w:p>
    <w:p w14:paraId="5B2B6B65" w14:textId="77777777" w:rsidR="002A05F8" w:rsidRPr="0042407C" w:rsidRDefault="002A05F8" w:rsidP="002A05F8">
      <w:pPr>
        <w:spacing w:after="0" w:line="240" w:lineRule="auto"/>
        <w:ind w:left="708" w:right="900"/>
        <w:rPr>
          <w:rFonts w:ascii="Arial" w:hAnsi="Arial" w:cs="Arial"/>
          <w:i/>
          <w:iCs/>
          <w:sz w:val="21"/>
          <w:szCs w:val="21"/>
          <w:lang w:eastAsia="es-MX"/>
        </w:rPr>
      </w:pPr>
      <w:r w:rsidRPr="0042407C">
        <w:rPr>
          <w:rFonts w:ascii="Arial" w:hAnsi="Arial" w:cs="Arial"/>
          <w:i/>
          <w:iCs/>
          <w:sz w:val="21"/>
          <w:szCs w:val="21"/>
          <w:lang w:eastAsia="es-MX"/>
        </w:rPr>
        <w:t xml:space="preserve">h) Las sociedades distintas de las anónimas abiertas, en las cuales el representante legal o cualquiera de sus socios tenga parentesco en segundo grado de consanguinidad o segundo de afinidad con el representante legal o con cualquiera </w:t>
      </w:r>
      <w:r w:rsidRPr="0042407C">
        <w:rPr>
          <w:rFonts w:ascii="Arial" w:hAnsi="Arial" w:cs="Arial"/>
          <w:i/>
          <w:iCs/>
          <w:sz w:val="21"/>
          <w:szCs w:val="21"/>
          <w:lang w:eastAsia="es-MX"/>
        </w:rPr>
        <w:lastRenderedPageBreak/>
        <w:t>de los socios de una sociedad que formalmente haya presentado propuesta, para una misma licitación.</w:t>
      </w:r>
    </w:p>
    <w:p w14:paraId="2BC3EA5E" w14:textId="77777777" w:rsidR="002A05F8" w:rsidRPr="0042407C" w:rsidRDefault="002A05F8" w:rsidP="002A05F8">
      <w:pPr>
        <w:spacing w:after="0" w:line="240" w:lineRule="auto"/>
        <w:ind w:left="708" w:right="900"/>
        <w:rPr>
          <w:rFonts w:ascii="Arial" w:hAnsi="Arial" w:cs="Arial"/>
          <w:i/>
          <w:iCs/>
          <w:sz w:val="21"/>
          <w:szCs w:val="21"/>
          <w:lang w:eastAsia="es-MX"/>
        </w:rPr>
      </w:pPr>
    </w:p>
    <w:p w14:paraId="1602E879" w14:textId="77777777" w:rsidR="002A05F8" w:rsidRPr="0042407C" w:rsidRDefault="002A05F8" w:rsidP="002A05F8">
      <w:pPr>
        <w:spacing w:after="0" w:line="240" w:lineRule="auto"/>
        <w:ind w:left="708" w:right="900"/>
        <w:rPr>
          <w:rFonts w:ascii="Arial" w:hAnsi="Arial" w:cs="Arial"/>
          <w:i/>
          <w:iCs/>
          <w:sz w:val="21"/>
          <w:szCs w:val="21"/>
          <w:lang w:eastAsia="es-MX"/>
        </w:rPr>
      </w:pPr>
      <w:r w:rsidRPr="0042407C">
        <w:rPr>
          <w:rFonts w:ascii="Arial" w:hAnsi="Arial" w:cs="Arial"/>
          <w:i/>
          <w:iCs/>
          <w:sz w:val="21"/>
          <w:szCs w:val="21"/>
          <w:lang w:eastAsia="es-MX"/>
        </w:rPr>
        <w:t>i) Los socios de sociedades de personas a las cuales se haya declarado la caducidad, así como las sociedades de personas de las que aquellos formen parte con posterioridad a dicha declaratoria.</w:t>
      </w:r>
    </w:p>
    <w:p w14:paraId="089D3903" w14:textId="77777777" w:rsidR="002A05F8" w:rsidRPr="0042407C" w:rsidRDefault="002A05F8" w:rsidP="002A05F8">
      <w:pPr>
        <w:spacing w:after="0" w:line="240" w:lineRule="auto"/>
        <w:ind w:left="708" w:right="900"/>
        <w:rPr>
          <w:rFonts w:ascii="Arial" w:hAnsi="Arial" w:cs="Arial"/>
          <w:i/>
          <w:iCs/>
          <w:sz w:val="21"/>
          <w:szCs w:val="21"/>
          <w:lang w:eastAsia="es-MX"/>
        </w:rPr>
      </w:pPr>
    </w:p>
    <w:p w14:paraId="12A0CD68" w14:textId="77777777" w:rsidR="002A05F8" w:rsidRPr="0042407C" w:rsidRDefault="002A05F8" w:rsidP="002A05F8">
      <w:pPr>
        <w:spacing w:after="0" w:line="240" w:lineRule="auto"/>
        <w:ind w:left="708" w:right="900"/>
        <w:rPr>
          <w:rFonts w:ascii="Arial" w:hAnsi="Arial" w:cs="Arial"/>
          <w:i/>
          <w:iCs/>
          <w:sz w:val="21"/>
          <w:szCs w:val="21"/>
          <w:lang w:eastAsia="es-MX"/>
        </w:rPr>
      </w:pPr>
      <w:r w:rsidRPr="0042407C">
        <w:rPr>
          <w:rFonts w:ascii="Arial" w:hAnsi="Arial" w:cs="Arial"/>
          <w:i/>
          <w:iCs/>
          <w:sz w:val="21"/>
          <w:szCs w:val="21"/>
          <w:lang w:eastAsia="es-MX"/>
        </w:rPr>
        <w:t>Las inhabilidades a que se refieren los literales c), d) e i) se extenderán por un término de cinco (5) años contado a partir de la fecha de ejecutoria del acto que declaró la caducidad, o de la sentencia que impuso la pena, o del acto que dispuso la destitución; las previstas en los literales b) y e), se extenderán por un término de cinco (5) años contado a partir de la fecha de ocurrencia del hecho de la participación en la licitación, o de la de celebración del contrato, o de la de expiración del plazo para su firma.</w:t>
      </w:r>
    </w:p>
    <w:p w14:paraId="3DF4D3CA" w14:textId="77777777" w:rsidR="002A05F8" w:rsidRPr="0042407C" w:rsidRDefault="002A05F8" w:rsidP="002A05F8">
      <w:pPr>
        <w:spacing w:after="0" w:line="240" w:lineRule="auto"/>
        <w:ind w:left="708" w:right="900"/>
        <w:rPr>
          <w:rFonts w:ascii="Arial" w:hAnsi="Arial" w:cs="Arial"/>
          <w:i/>
          <w:iCs/>
          <w:sz w:val="21"/>
          <w:szCs w:val="21"/>
          <w:lang w:eastAsia="es-MX"/>
        </w:rPr>
      </w:pPr>
    </w:p>
    <w:p w14:paraId="746DD162" w14:textId="77777777" w:rsidR="002A05F8" w:rsidRPr="0042407C" w:rsidRDefault="002A05F8" w:rsidP="002A05F8">
      <w:pPr>
        <w:spacing w:after="0" w:line="240" w:lineRule="auto"/>
        <w:ind w:left="708" w:right="900"/>
        <w:rPr>
          <w:rFonts w:ascii="Arial" w:hAnsi="Arial" w:cs="Arial"/>
          <w:i/>
          <w:iCs/>
          <w:sz w:val="21"/>
          <w:szCs w:val="21"/>
          <w:lang w:eastAsia="es-MX"/>
        </w:rPr>
      </w:pPr>
      <w:r w:rsidRPr="0042407C">
        <w:rPr>
          <w:rFonts w:ascii="Arial" w:hAnsi="Arial" w:cs="Arial"/>
          <w:i/>
          <w:iCs/>
          <w:sz w:val="21"/>
          <w:szCs w:val="21"/>
          <w:lang w:eastAsia="es-MX"/>
        </w:rPr>
        <w:t>j) Literal reglamentado por el Decreto 1358 de 2020. Literal modificado por la Ley 2014 de 2019, artículo 2º.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w:t>
      </w:r>
    </w:p>
    <w:p w14:paraId="3406971C" w14:textId="77777777" w:rsidR="002A05F8" w:rsidRPr="0042407C" w:rsidRDefault="002A05F8" w:rsidP="002A05F8">
      <w:pPr>
        <w:spacing w:after="0" w:line="240" w:lineRule="auto"/>
        <w:ind w:left="708" w:right="900"/>
        <w:rPr>
          <w:rFonts w:ascii="Arial" w:hAnsi="Arial" w:cs="Arial"/>
          <w:i/>
          <w:iCs/>
          <w:sz w:val="21"/>
          <w:szCs w:val="21"/>
          <w:lang w:eastAsia="es-MX"/>
        </w:rPr>
      </w:pPr>
    </w:p>
    <w:p w14:paraId="7BDFE668" w14:textId="77777777" w:rsidR="002A05F8" w:rsidRPr="0042407C" w:rsidRDefault="002A05F8" w:rsidP="002A05F8">
      <w:pPr>
        <w:spacing w:after="0" w:line="240" w:lineRule="auto"/>
        <w:ind w:left="708" w:right="900"/>
        <w:rPr>
          <w:rFonts w:ascii="Arial" w:hAnsi="Arial" w:cs="Arial"/>
          <w:i/>
          <w:iCs/>
          <w:sz w:val="21"/>
          <w:szCs w:val="21"/>
          <w:lang w:eastAsia="es-MX"/>
        </w:rPr>
      </w:pPr>
      <w:r w:rsidRPr="0042407C">
        <w:rPr>
          <w:rFonts w:ascii="Arial" w:hAnsi="Arial" w:cs="Arial"/>
          <w:i/>
          <w:iCs/>
          <w:sz w:val="21"/>
          <w:szCs w:val="21"/>
          <w:lang w:eastAsia="es-MX"/>
        </w:rPr>
        <w:t xml:space="preserve">Esta inhabilidad procederá preventivamente aún en los casos en los que esté pendiente la decisión sobre la impugnación de la sentencia condenatoria.  </w:t>
      </w:r>
    </w:p>
    <w:p w14:paraId="579730CC" w14:textId="77777777" w:rsidR="002A05F8" w:rsidRPr="0042407C" w:rsidRDefault="002A05F8" w:rsidP="002A05F8">
      <w:pPr>
        <w:spacing w:after="0" w:line="240" w:lineRule="auto"/>
        <w:ind w:left="708" w:right="900"/>
        <w:rPr>
          <w:rFonts w:ascii="Arial" w:hAnsi="Arial" w:cs="Arial"/>
          <w:i/>
          <w:iCs/>
          <w:sz w:val="21"/>
          <w:szCs w:val="21"/>
          <w:lang w:eastAsia="es-MX"/>
        </w:rPr>
      </w:pPr>
    </w:p>
    <w:p w14:paraId="5E37D641" w14:textId="77777777" w:rsidR="002A05F8" w:rsidRPr="0042407C" w:rsidRDefault="002A05F8" w:rsidP="002A05F8">
      <w:pPr>
        <w:spacing w:after="0" w:line="240" w:lineRule="auto"/>
        <w:ind w:left="708" w:right="900"/>
        <w:rPr>
          <w:rFonts w:ascii="Arial" w:hAnsi="Arial" w:cs="Arial"/>
          <w:i/>
          <w:iCs/>
          <w:sz w:val="21"/>
          <w:szCs w:val="21"/>
          <w:lang w:eastAsia="es-MX"/>
        </w:rPr>
      </w:pPr>
      <w:r w:rsidRPr="0042407C">
        <w:rPr>
          <w:rFonts w:ascii="Arial" w:hAnsi="Arial" w:cs="Arial"/>
          <w:i/>
          <w:iCs/>
          <w:sz w:val="21"/>
          <w:szCs w:val="21"/>
          <w:lang w:eastAsia="es-MX"/>
        </w:rPr>
        <w:t>Asimismo, la inhabilidad se extenderá a las sociedades de las que hagan parte dichas personas en calidad de administradores, representantes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excepción de las sociedades anónimas abiertas.</w:t>
      </w:r>
    </w:p>
    <w:p w14:paraId="1F2354C8" w14:textId="77777777" w:rsidR="002A05F8" w:rsidRPr="0042407C" w:rsidRDefault="002A05F8" w:rsidP="002A05F8">
      <w:pPr>
        <w:spacing w:after="0" w:line="240" w:lineRule="auto"/>
        <w:ind w:left="708" w:right="900"/>
        <w:rPr>
          <w:rFonts w:ascii="Arial" w:hAnsi="Arial" w:cs="Arial"/>
          <w:i/>
          <w:iCs/>
          <w:sz w:val="21"/>
          <w:szCs w:val="21"/>
          <w:lang w:eastAsia="es-MX"/>
        </w:rPr>
      </w:pPr>
    </w:p>
    <w:p w14:paraId="297835FA" w14:textId="77777777" w:rsidR="002A05F8" w:rsidRPr="0042407C" w:rsidRDefault="002A05F8" w:rsidP="002A05F8">
      <w:pPr>
        <w:spacing w:after="0" w:line="240" w:lineRule="auto"/>
        <w:ind w:left="708" w:right="900"/>
        <w:rPr>
          <w:rFonts w:ascii="Arial" w:hAnsi="Arial" w:cs="Arial"/>
          <w:i/>
          <w:iCs/>
          <w:sz w:val="21"/>
          <w:szCs w:val="21"/>
          <w:lang w:eastAsia="es-MX"/>
        </w:rPr>
      </w:pPr>
      <w:r w:rsidRPr="0042407C">
        <w:rPr>
          <w:rFonts w:ascii="Arial" w:hAnsi="Arial" w:cs="Arial"/>
          <w:i/>
          <w:iCs/>
          <w:sz w:val="21"/>
          <w:szCs w:val="21"/>
          <w:lang w:eastAsia="es-MX"/>
        </w:rPr>
        <w:t>También se considerarán inhabilitadas para contratar, las personas jurídicas sobre las cuales se haya ordenado la suspensión de la personería jurídica en los términos de ley, o cuyos representantes legales, administradores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w:t>
      </w:r>
    </w:p>
    <w:p w14:paraId="03BB8FF1" w14:textId="77777777" w:rsidR="002A05F8" w:rsidRPr="0042407C" w:rsidRDefault="002A05F8" w:rsidP="002A05F8">
      <w:pPr>
        <w:spacing w:after="0" w:line="240" w:lineRule="auto"/>
        <w:ind w:left="708" w:right="900"/>
        <w:rPr>
          <w:rFonts w:ascii="Arial" w:hAnsi="Arial" w:cs="Arial"/>
          <w:i/>
          <w:iCs/>
          <w:sz w:val="21"/>
          <w:szCs w:val="21"/>
          <w:lang w:eastAsia="es-MX"/>
        </w:rPr>
      </w:pPr>
    </w:p>
    <w:p w14:paraId="4D8DB50A" w14:textId="77777777" w:rsidR="002A05F8" w:rsidRPr="0042407C" w:rsidRDefault="002A05F8" w:rsidP="002A05F8">
      <w:pPr>
        <w:spacing w:after="0" w:line="240" w:lineRule="auto"/>
        <w:ind w:left="708" w:right="900"/>
        <w:rPr>
          <w:rFonts w:ascii="Arial" w:hAnsi="Arial" w:cs="Arial"/>
          <w:i/>
          <w:iCs/>
          <w:sz w:val="21"/>
          <w:szCs w:val="21"/>
          <w:lang w:eastAsia="es-MX"/>
        </w:rPr>
      </w:pPr>
      <w:r w:rsidRPr="0042407C">
        <w:rPr>
          <w:rFonts w:ascii="Arial" w:hAnsi="Arial" w:cs="Arial"/>
          <w:i/>
          <w:iCs/>
          <w:sz w:val="21"/>
          <w:szCs w:val="21"/>
          <w:lang w:eastAsia="es-MX"/>
        </w:rPr>
        <w:t xml:space="preserve">La inhabilidad prevista en este literal se extenderá de forma permanente a las sociedades de las que hagan parte dichas personas en las calidades presentadas en los incisos anteriores, y se aplicará de igual forma a las personas naturales que </w:t>
      </w:r>
      <w:r w:rsidRPr="0042407C">
        <w:rPr>
          <w:rFonts w:ascii="Arial" w:hAnsi="Arial" w:cs="Arial"/>
          <w:i/>
          <w:iCs/>
          <w:sz w:val="21"/>
          <w:szCs w:val="21"/>
          <w:lang w:eastAsia="es-MX"/>
        </w:rPr>
        <w:lastRenderedPageBreak/>
        <w:t>hayan sido declaradas responsables judicialmente por la comisión de delitos mencionados en este literal.</w:t>
      </w:r>
    </w:p>
    <w:p w14:paraId="50672C14" w14:textId="77777777" w:rsidR="002A05F8" w:rsidRPr="0042407C" w:rsidRDefault="002A05F8" w:rsidP="002A05F8">
      <w:pPr>
        <w:spacing w:after="0" w:line="240" w:lineRule="auto"/>
        <w:ind w:left="708" w:right="900"/>
        <w:rPr>
          <w:rFonts w:ascii="Arial" w:hAnsi="Arial" w:cs="Arial"/>
          <w:i/>
          <w:iCs/>
          <w:sz w:val="21"/>
          <w:szCs w:val="21"/>
          <w:lang w:eastAsia="es-MX"/>
        </w:rPr>
      </w:pPr>
    </w:p>
    <w:p w14:paraId="2112E73D" w14:textId="77777777" w:rsidR="002A05F8" w:rsidRPr="0042407C" w:rsidRDefault="002A05F8" w:rsidP="002A05F8">
      <w:pPr>
        <w:spacing w:after="0" w:line="240" w:lineRule="auto"/>
        <w:ind w:left="708" w:right="900"/>
        <w:rPr>
          <w:rFonts w:ascii="Arial" w:hAnsi="Arial" w:cs="Arial"/>
          <w:i/>
          <w:iCs/>
          <w:sz w:val="21"/>
          <w:szCs w:val="21"/>
          <w:lang w:eastAsia="es-MX"/>
        </w:rPr>
      </w:pPr>
      <w:r w:rsidRPr="0042407C">
        <w:rPr>
          <w:rFonts w:ascii="Arial" w:hAnsi="Arial" w:cs="Arial"/>
          <w:i/>
          <w:iCs/>
          <w:sz w:val="21"/>
          <w:szCs w:val="21"/>
          <w:lang w:eastAsia="es-MX"/>
        </w:rPr>
        <w:t>k) Literal adicionado por la Ley 1474 de 2011, artículo 2º. Éste modificado por la Ley 1778 de 2016, artículo 33. Inhabilidad para contratar de quienes financien campañas políticas. Las personas naturales o jurídicas que hayan financiado campañas políticas a la Presidencia de la República, a las gobernaciones, a las alcaldías o al Congreso de la República, con aportes superiores al dos por ciento (2.0%)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w:t>
      </w:r>
    </w:p>
    <w:p w14:paraId="6D3DDF2E" w14:textId="77777777" w:rsidR="002A05F8" w:rsidRPr="0042407C" w:rsidRDefault="002A05F8" w:rsidP="002A05F8">
      <w:pPr>
        <w:spacing w:after="0" w:line="240" w:lineRule="auto"/>
        <w:ind w:left="708" w:right="900"/>
        <w:rPr>
          <w:rFonts w:ascii="Arial" w:hAnsi="Arial" w:cs="Arial"/>
          <w:i/>
          <w:iCs/>
          <w:sz w:val="21"/>
          <w:szCs w:val="21"/>
          <w:lang w:eastAsia="es-MX"/>
        </w:rPr>
      </w:pPr>
    </w:p>
    <w:p w14:paraId="79A7E79C" w14:textId="77777777" w:rsidR="002A05F8" w:rsidRPr="0042407C" w:rsidRDefault="002A05F8" w:rsidP="002A05F8">
      <w:pPr>
        <w:spacing w:after="0" w:line="240" w:lineRule="auto"/>
        <w:ind w:left="708" w:right="900"/>
        <w:rPr>
          <w:rFonts w:ascii="Arial" w:hAnsi="Arial" w:cs="Arial"/>
          <w:i/>
          <w:iCs/>
          <w:sz w:val="21"/>
          <w:szCs w:val="21"/>
          <w:lang w:eastAsia="es-MX"/>
        </w:rPr>
      </w:pPr>
      <w:r w:rsidRPr="0042407C">
        <w:rPr>
          <w:rFonts w:ascii="Arial" w:hAnsi="Arial" w:cs="Arial"/>
          <w:i/>
          <w:iCs/>
          <w:sz w:val="21"/>
          <w:szCs w:val="21"/>
          <w:lang w:eastAsia="es-MX"/>
        </w:rPr>
        <w:t>La inhabilidad se extenderá por todo el período para el cual el candidato fue elegido. Esta causal también operará para las personas que se encuentren dentro del segundo grado de consanguinidad, segundo de afinidad, o primero civil de la persona que ha financiado la campaña política.</w:t>
      </w:r>
    </w:p>
    <w:p w14:paraId="396D4E46" w14:textId="77777777" w:rsidR="002A05F8" w:rsidRPr="0042407C" w:rsidRDefault="002A05F8" w:rsidP="002A05F8">
      <w:pPr>
        <w:spacing w:after="0" w:line="240" w:lineRule="auto"/>
        <w:ind w:left="708" w:right="900"/>
        <w:rPr>
          <w:rFonts w:ascii="Arial" w:hAnsi="Arial" w:cs="Arial"/>
          <w:i/>
          <w:iCs/>
          <w:sz w:val="21"/>
          <w:szCs w:val="21"/>
          <w:lang w:eastAsia="es-MX"/>
        </w:rPr>
      </w:pPr>
    </w:p>
    <w:p w14:paraId="31609DFC" w14:textId="77777777" w:rsidR="002A05F8" w:rsidRPr="0042407C" w:rsidRDefault="002A05F8" w:rsidP="002A05F8">
      <w:pPr>
        <w:spacing w:after="0" w:line="240" w:lineRule="auto"/>
        <w:ind w:left="708" w:right="900"/>
        <w:rPr>
          <w:rFonts w:ascii="Arial" w:hAnsi="Arial" w:cs="Arial"/>
          <w:i/>
          <w:iCs/>
          <w:sz w:val="21"/>
          <w:szCs w:val="21"/>
          <w:lang w:eastAsia="es-MX"/>
        </w:rPr>
      </w:pPr>
      <w:r w:rsidRPr="0042407C">
        <w:rPr>
          <w:rFonts w:ascii="Arial" w:hAnsi="Arial" w:cs="Arial"/>
          <w:i/>
          <w:iCs/>
          <w:sz w:val="21"/>
          <w:szCs w:val="21"/>
          <w:lang w:eastAsia="es-MX"/>
        </w:rPr>
        <w:t>Esta inhabilidad comprenderá también a las personas jurídicas en las cuales el representante legal, los miembros de junta directiva o cualquiera de sus socios controlantes hayan financiado directamente o por interpuesta persona campañas políticas a la Presidencia de la República, a las gobernaciones, las alcaldías o al Congreso de la República.</w:t>
      </w:r>
    </w:p>
    <w:p w14:paraId="62999C1E" w14:textId="77777777" w:rsidR="002A05F8" w:rsidRPr="0042407C" w:rsidRDefault="002A05F8" w:rsidP="002A05F8">
      <w:pPr>
        <w:spacing w:after="0" w:line="240" w:lineRule="auto"/>
        <w:ind w:left="708" w:right="900"/>
        <w:rPr>
          <w:rFonts w:ascii="Arial" w:hAnsi="Arial" w:cs="Arial"/>
          <w:i/>
          <w:iCs/>
          <w:sz w:val="21"/>
          <w:szCs w:val="21"/>
          <w:lang w:eastAsia="es-MX"/>
        </w:rPr>
      </w:pPr>
    </w:p>
    <w:p w14:paraId="3A07275B" w14:textId="77777777" w:rsidR="002A05F8" w:rsidRPr="0042407C" w:rsidRDefault="002A05F8" w:rsidP="002A05F8">
      <w:pPr>
        <w:spacing w:after="0" w:line="240" w:lineRule="auto"/>
        <w:ind w:left="708" w:right="900"/>
        <w:rPr>
          <w:rFonts w:ascii="Arial" w:hAnsi="Arial" w:cs="Arial"/>
          <w:i/>
          <w:iCs/>
          <w:sz w:val="21"/>
          <w:szCs w:val="21"/>
          <w:lang w:eastAsia="es-MX"/>
        </w:rPr>
      </w:pPr>
      <w:r w:rsidRPr="0042407C">
        <w:rPr>
          <w:rFonts w:ascii="Arial" w:hAnsi="Arial" w:cs="Arial"/>
          <w:i/>
          <w:iCs/>
          <w:sz w:val="21"/>
          <w:szCs w:val="21"/>
          <w:lang w:eastAsia="es-MX"/>
        </w:rPr>
        <w:t>La inhabilidad contemplada en esta norma no se aplicará respecto de los contratos de prestación de servicios profesionales.</w:t>
      </w:r>
    </w:p>
    <w:p w14:paraId="3F7D9C95" w14:textId="77777777" w:rsidR="002A05F8" w:rsidRPr="0042407C" w:rsidRDefault="002A05F8" w:rsidP="002A05F8">
      <w:pPr>
        <w:spacing w:after="0" w:line="240" w:lineRule="auto"/>
        <w:ind w:left="708" w:right="900"/>
        <w:rPr>
          <w:rFonts w:ascii="Arial" w:hAnsi="Arial" w:cs="Arial"/>
          <w:i/>
          <w:iCs/>
          <w:sz w:val="21"/>
          <w:szCs w:val="21"/>
          <w:lang w:eastAsia="es-MX"/>
        </w:rPr>
      </w:pPr>
    </w:p>
    <w:p w14:paraId="50ECE7C1" w14:textId="77777777" w:rsidR="002A05F8" w:rsidRPr="0042407C" w:rsidRDefault="002A05F8" w:rsidP="002A05F8">
      <w:pPr>
        <w:spacing w:after="0" w:line="240" w:lineRule="auto"/>
        <w:ind w:left="708" w:right="900"/>
        <w:rPr>
          <w:rFonts w:ascii="Arial" w:hAnsi="Arial" w:cs="Arial"/>
          <w:i/>
          <w:iCs/>
          <w:sz w:val="21"/>
          <w:szCs w:val="21"/>
          <w:lang w:eastAsia="es-MX"/>
        </w:rPr>
      </w:pPr>
      <w:r w:rsidRPr="0042407C">
        <w:rPr>
          <w:rFonts w:ascii="Arial" w:hAnsi="Arial" w:cs="Arial"/>
          <w:i/>
          <w:iCs/>
          <w:sz w:val="21"/>
          <w:szCs w:val="21"/>
          <w:lang w:eastAsia="es-MX"/>
        </w:rPr>
        <w:t>k) Literal adicionado por la Ley 1474 de 2011, artículo 84, parágrafo 2º. (éste declarado exequible condicionalmente por los cargos analizados por la Corte Constitucional en la Sentencia C-434 de 2013.).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w:t>
      </w:r>
    </w:p>
    <w:p w14:paraId="2B83B8F9" w14:textId="77777777" w:rsidR="002A05F8" w:rsidRPr="0042407C" w:rsidRDefault="002A05F8" w:rsidP="002A05F8">
      <w:pPr>
        <w:spacing w:after="0" w:line="240" w:lineRule="auto"/>
        <w:ind w:left="708" w:right="900"/>
        <w:rPr>
          <w:rFonts w:ascii="Arial" w:hAnsi="Arial" w:cs="Arial"/>
          <w:i/>
          <w:iCs/>
          <w:sz w:val="21"/>
          <w:szCs w:val="21"/>
          <w:lang w:eastAsia="es-MX"/>
        </w:rPr>
      </w:pPr>
    </w:p>
    <w:p w14:paraId="775BE479" w14:textId="77777777" w:rsidR="002A05F8" w:rsidRPr="0042407C" w:rsidRDefault="002A05F8" w:rsidP="002A05F8">
      <w:pPr>
        <w:spacing w:after="0" w:line="240" w:lineRule="auto"/>
        <w:ind w:left="708" w:right="900"/>
        <w:rPr>
          <w:rFonts w:ascii="Arial" w:hAnsi="Arial" w:cs="Arial"/>
          <w:i/>
          <w:iCs/>
          <w:sz w:val="21"/>
          <w:szCs w:val="21"/>
          <w:lang w:eastAsia="es-MX"/>
        </w:rPr>
      </w:pPr>
      <w:r w:rsidRPr="0042407C">
        <w:rPr>
          <w:rFonts w:ascii="Arial" w:hAnsi="Arial" w:cs="Arial"/>
          <w:i/>
          <w:iCs/>
          <w:sz w:val="21"/>
          <w:szCs w:val="21"/>
          <w:lang w:eastAsia="es-MX"/>
        </w:rPr>
        <w:t>Esta inhabilidad se extenderá por un término de cinco (5) años, contados a partir de la ejecutoria del acto administrativo que así lo declare, previa la actuación administrativa correspondiente.</w:t>
      </w:r>
    </w:p>
    <w:p w14:paraId="1B58E2C1" w14:textId="77777777" w:rsidR="002A05F8" w:rsidRPr="0042407C" w:rsidRDefault="002A05F8" w:rsidP="002A05F8">
      <w:pPr>
        <w:spacing w:after="0" w:line="240" w:lineRule="auto"/>
        <w:ind w:left="708" w:right="900"/>
        <w:rPr>
          <w:rFonts w:ascii="Arial" w:hAnsi="Arial" w:cs="Arial"/>
          <w:i/>
          <w:iCs/>
          <w:sz w:val="21"/>
          <w:szCs w:val="21"/>
          <w:lang w:eastAsia="es-MX"/>
        </w:rPr>
      </w:pPr>
    </w:p>
    <w:p w14:paraId="3BFFD610" w14:textId="77777777" w:rsidR="002A05F8" w:rsidRPr="0042407C" w:rsidRDefault="002A05F8" w:rsidP="002A05F8">
      <w:pPr>
        <w:spacing w:after="0" w:line="240" w:lineRule="auto"/>
        <w:ind w:left="708" w:right="900"/>
        <w:rPr>
          <w:rFonts w:ascii="Arial" w:hAnsi="Arial" w:cs="Arial"/>
          <w:i/>
          <w:iCs/>
          <w:sz w:val="21"/>
          <w:szCs w:val="21"/>
          <w:lang w:eastAsia="es-MX"/>
        </w:rPr>
      </w:pPr>
      <w:r w:rsidRPr="0042407C">
        <w:rPr>
          <w:rFonts w:ascii="Arial" w:hAnsi="Arial" w:cs="Arial"/>
          <w:i/>
          <w:iCs/>
          <w:sz w:val="21"/>
          <w:szCs w:val="21"/>
          <w:lang w:eastAsia="es-MX"/>
        </w:rPr>
        <w:t>2°. Tampoco podrán participar en licitaciones o concursos ni celebrar contratos estatales con la entidad respectiva:</w:t>
      </w:r>
    </w:p>
    <w:p w14:paraId="60C3F662" w14:textId="77777777" w:rsidR="002A05F8" w:rsidRPr="0042407C" w:rsidRDefault="002A05F8" w:rsidP="002A05F8">
      <w:pPr>
        <w:spacing w:after="0" w:line="240" w:lineRule="auto"/>
        <w:ind w:left="708" w:right="900"/>
        <w:rPr>
          <w:rFonts w:ascii="Arial" w:hAnsi="Arial" w:cs="Arial"/>
          <w:i/>
          <w:iCs/>
          <w:sz w:val="21"/>
          <w:szCs w:val="21"/>
          <w:lang w:eastAsia="es-MX"/>
        </w:rPr>
      </w:pPr>
    </w:p>
    <w:p w14:paraId="58CFEDE2" w14:textId="77777777" w:rsidR="002A05F8" w:rsidRPr="0042407C" w:rsidRDefault="002A05F8" w:rsidP="002A05F8">
      <w:pPr>
        <w:spacing w:after="0" w:line="240" w:lineRule="auto"/>
        <w:ind w:left="708" w:right="900"/>
        <w:rPr>
          <w:rFonts w:ascii="Arial" w:hAnsi="Arial" w:cs="Arial"/>
          <w:i/>
          <w:iCs/>
          <w:sz w:val="21"/>
          <w:szCs w:val="21"/>
          <w:lang w:eastAsia="es-MX"/>
        </w:rPr>
      </w:pPr>
      <w:r w:rsidRPr="0042407C">
        <w:rPr>
          <w:rFonts w:ascii="Arial" w:hAnsi="Arial" w:cs="Arial"/>
          <w:i/>
          <w:iCs/>
          <w:sz w:val="21"/>
          <w:szCs w:val="21"/>
          <w:lang w:eastAsia="es-MX"/>
        </w:rPr>
        <w:t>a) Quienes fueron miembros de la junta o consejo directivo o servidores públicos de la entidad contratante. Esta incompatibilidad solo comprende a quienes desempeñaron funciones en los niveles directivo, asesor o ejecutivo y se extiende por el término de un (1) año, contado a partir de la fecha del retiro.</w:t>
      </w:r>
    </w:p>
    <w:p w14:paraId="3BE5E09A" w14:textId="77777777" w:rsidR="002A05F8" w:rsidRPr="0042407C" w:rsidRDefault="002A05F8" w:rsidP="002A05F8">
      <w:pPr>
        <w:spacing w:after="0" w:line="240" w:lineRule="auto"/>
        <w:ind w:left="708" w:right="900"/>
        <w:rPr>
          <w:rFonts w:ascii="Arial" w:hAnsi="Arial" w:cs="Arial"/>
          <w:i/>
          <w:iCs/>
          <w:sz w:val="21"/>
          <w:szCs w:val="21"/>
          <w:lang w:eastAsia="es-MX"/>
        </w:rPr>
      </w:pPr>
    </w:p>
    <w:p w14:paraId="7CE64431" w14:textId="77777777" w:rsidR="002A05F8" w:rsidRPr="0042407C" w:rsidRDefault="002A05F8" w:rsidP="002A05F8">
      <w:pPr>
        <w:spacing w:after="0" w:line="240" w:lineRule="auto"/>
        <w:ind w:left="708" w:right="900"/>
        <w:rPr>
          <w:rFonts w:ascii="Arial" w:hAnsi="Arial" w:cs="Arial"/>
          <w:i/>
          <w:iCs/>
          <w:sz w:val="21"/>
          <w:szCs w:val="21"/>
          <w:lang w:eastAsia="es-MX"/>
        </w:rPr>
      </w:pPr>
      <w:r w:rsidRPr="0042407C">
        <w:rPr>
          <w:rFonts w:ascii="Arial" w:hAnsi="Arial" w:cs="Arial"/>
          <w:i/>
          <w:iCs/>
          <w:sz w:val="21"/>
          <w:szCs w:val="21"/>
          <w:lang w:eastAsia="es-MX"/>
        </w:rPr>
        <w:lastRenderedPageBreak/>
        <w:t xml:space="preserve">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w:t>
      </w:r>
      <w:proofErr w:type="spellStart"/>
      <w:r w:rsidRPr="0042407C">
        <w:rPr>
          <w:rFonts w:ascii="Arial" w:hAnsi="Arial" w:cs="Arial"/>
          <w:i/>
          <w:iCs/>
          <w:sz w:val="21"/>
          <w:szCs w:val="21"/>
          <w:lang w:eastAsia="es-MX"/>
        </w:rPr>
        <w:t>ejerzan</w:t>
      </w:r>
      <w:proofErr w:type="spellEnd"/>
      <w:r w:rsidRPr="0042407C">
        <w:rPr>
          <w:rFonts w:ascii="Arial" w:hAnsi="Arial" w:cs="Arial"/>
          <w:i/>
          <w:iCs/>
          <w:sz w:val="21"/>
          <w:szCs w:val="21"/>
          <w:lang w:eastAsia="es-MX"/>
        </w:rPr>
        <w:t xml:space="preserve"> el control interno o fiscal de la entidad contratante.</w:t>
      </w:r>
    </w:p>
    <w:p w14:paraId="28D2FA3F" w14:textId="77777777" w:rsidR="002A05F8" w:rsidRPr="0042407C" w:rsidRDefault="002A05F8" w:rsidP="002A05F8">
      <w:pPr>
        <w:spacing w:after="0" w:line="240" w:lineRule="auto"/>
        <w:ind w:left="708" w:right="900"/>
        <w:rPr>
          <w:rFonts w:ascii="Arial" w:hAnsi="Arial" w:cs="Arial"/>
          <w:i/>
          <w:iCs/>
          <w:sz w:val="21"/>
          <w:szCs w:val="21"/>
          <w:lang w:eastAsia="es-MX"/>
        </w:rPr>
      </w:pPr>
    </w:p>
    <w:p w14:paraId="40D712D6" w14:textId="77777777" w:rsidR="002A05F8" w:rsidRPr="0042407C" w:rsidRDefault="002A05F8" w:rsidP="002A05F8">
      <w:pPr>
        <w:spacing w:after="0" w:line="240" w:lineRule="auto"/>
        <w:ind w:left="708" w:right="900"/>
        <w:rPr>
          <w:rFonts w:ascii="Arial" w:hAnsi="Arial" w:cs="Arial"/>
          <w:i/>
          <w:iCs/>
          <w:sz w:val="21"/>
          <w:szCs w:val="21"/>
          <w:lang w:eastAsia="es-MX"/>
        </w:rPr>
      </w:pPr>
      <w:r w:rsidRPr="0042407C">
        <w:rPr>
          <w:rFonts w:ascii="Arial" w:hAnsi="Arial" w:cs="Arial"/>
          <w:i/>
          <w:iCs/>
          <w:sz w:val="21"/>
          <w:szCs w:val="21"/>
          <w:lang w:eastAsia="es-MX"/>
        </w:rPr>
        <w:t xml:space="preserve">c) El cónyuge, compañero o compañera permanente del servidor público en los niveles directivo, asesor, ejecutivo, o de un miembro de la junta o consejo directivo, o de quien ejerza funciones de control interno o de control fiscal.  </w:t>
      </w:r>
    </w:p>
    <w:p w14:paraId="15FA6E51" w14:textId="77777777" w:rsidR="002A05F8" w:rsidRPr="0042407C" w:rsidRDefault="002A05F8" w:rsidP="002A05F8">
      <w:pPr>
        <w:spacing w:after="0" w:line="240" w:lineRule="auto"/>
        <w:ind w:left="708" w:right="900"/>
        <w:rPr>
          <w:rFonts w:ascii="Arial" w:hAnsi="Arial" w:cs="Arial"/>
          <w:i/>
          <w:iCs/>
          <w:sz w:val="21"/>
          <w:szCs w:val="21"/>
          <w:lang w:eastAsia="es-MX"/>
        </w:rPr>
      </w:pPr>
    </w:p>
    <w:p w14:paraId="4366D358" w14:textId="77777777" w:rsidR="002A05F8" w:rsidRPr="0042407C" w:rsidRDefault="002A05F8" w:rsidP="002A05F8">
      <w:pPr>
        <w:spacing w:after="0" w:line="240" w:lineRule="auto"/>
        <w:ind w:left="708" w:right="900"/>
        <w:rPr>
          <w:rFonts w:ascii="Arial" w:hAnsi="Arial" w:cs="Arial"/>
          <w:i/>
          <w:iCs/>
          <w:sz w:val="21"/>
          <w:szCs w:val="21"/>
          <w:lang w:eastAsia="es-MX"/>
        </w:rPr>
      </w:pPr>
      <w:r w:rsidRPr="0042407C">
        <w:rPr>
          <w:rFonts w:ascii="Arial" w:hAnsi="Arial" w:cs="Arial"/>
          <w:i/>
          <w:iCs/>
          <w:sz w:val="21"/>
          <w:szCs w:val="21"/>
          <w:lang w:eastAsia="es-MX"/>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w:t>
      </w:r>
    </w:p>
    <w:p w14:paraId="5AC6C077" w14:textId="77777777" w:rsidR="002A05F8" w:rsidRPr="0042407C" w:rsidRDefault="002A05F8" w:rsidP="002A05F8">
      <w:pPr>
        <w:spacing w:after="0" w:line="240" w:lineRule="auto"/>
        <w:ind w:left="708" w:right="900"/>
        <w:rPr>
          <w:rFonts w:ascii="Arial" w:hAnsi="Arial" w:cs="Arial"/>
          <w:i/>
          <w:iCs/>
          <w:sz w:val="21"/>
          <w:szCs w:val="21"/>
          <w:lang w:eastAsia="es-MX"/>
        </w:rPr>
      </w:pPr>
    </w:p>
    <w:p w14:paraId="15D28BD8" w14:textId="77777777" w:rsidR="002A05F8" w:rsidRPr="0042407C" w:rsidRDefault="002A05F8" w:rsidP="002A05F8">
      <w:pPr>
        <w:spacing w:after="0" w:line="240" w:lineRule="auto"/>
        <w:ind w:left="708" w:right="900"/>
        <w:rPr>
          <w:rFonts w:ascii="Arial" w:hAnsi="Arial" w:cs="Arial"/>
          <w:i/>
          <w:iCs/>
          <w:sz w:val="21"/>
          <w:szCs w:val="21"/>
          <w:lang w:eastAsia="es-MX"/>
        </w:rPr>
      </w:pPr>
      <w:r w:rsidRPr="0042407C">
        <w:rPr>
          <w:rFonts w:ascii="Arial" w:hAnsi="Arial" w:cs="Arial"/>
          <w:i/>
          <w:iCs/>
          <w:sz w:val="21"/>
          <w:szCs w:val="21"/>
          <w:lang w:eastAsia="es-MX"/>
        </w:rPr>
        <w:t>e) Los miembros de las juntas o consejos directivos. Esta incompatibilidad sólo se predica respecto de la entidad a la cual prestan sus servicios y de las del sector administrativo al que la misma esté adscrita o vinculada.</w:t>
      </w:r>
    </w:p>
    <w:p w14:paraId="494BA58D" w14:textId="77777777" w:rsidR="002A05F8" w:rsidRPr="0042407C" w:rsidRDefault="002A05F8" w:rsidP="002A05F8">
      <w:pPr>
        <w:spacing w:after="0" w:line="240" w:lineRule="auto"/>
        <w:ind w:left="708" w:right="900"/>
        <w:rPr>
          <w:rFonts w:ascii="Arial" w:hAnsi="Arial" w:cs="Arial"/>
          <w:i/>
          <w:iCs/>
          <w:sz w:val="21"/>
          <w:szCs w:val="21"/>
          <w:lang w:eastAsia="es-MX"/>
        </w:rPr>
      </w:pPr>
    </w:p>
    <w:p w14:paraId="761AE205" w14:textId="77777777" w:rsidR="002A05F8" w:rsidRPr="0042407C" w:rsidRDefault="002A05F8" w:rsidP="002A05F8">
      <w:pPr>
        <w:spacing w:after="0" w:line="240" w:lineRule="auto"/>
        <w:ind w:left="708" w:right="900"/>
        <w:rPr>
          <w:rFonts w:ascii="Arial" w:hAnsi="Arial" w:cs="Arial"/>
          <w:i/>
          <w:iCs/>
          <w:sz w:val="21"/>
          <w:szCs w:val="21"/>
          <w:lang w:eastAsia="es-MX"/>
        </w:rPr>
      </w:pPr>
      <w:r w:rsidRPr="0042407C">
        <w:rPr>
          <w:rFonts w:ascii="Arial" w:hAnsi="Arial" w:cs="Arial"/>
          <w:i/>
          <w:iCs/>
          <w:sz w:val="21"/>
          <w:szCs w:val="21"/>
          <w:lang w:eastAsia="es-MX"/>
        </w:rPr>
        <w:t>f) Literal adicionado por la Ley 1474 de 2011, artículo 4º.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w:t>
      </w:r>
    </w:p>
    <w:p w14:paraId="005DC4D1" w14:textId="77777777" w:rsidR="002A05F8" w:rsidRPr="0042407C" w:rsidRDefault="002A05F8" w:rsidP="002A05F8">
      <w:pPr>
        <w:spacing w:after="0" w:line="240" w:lineRule="auto"/>
        <w:ind w:left="708" w:right="900"/>
        <w:rPr>
          <w:rFonts w:ascii="Arial" w:hAnsi="Arial" w:cs="Arial"/>
          <w:i/>
          <w:iCs/>
          <w:sz w:val="21"/>
          <w:szCs w:val="21"/>
          <w:lang w:eastAsia="es-MX"/>
        </w:rPr>
      </w:pPr>
    </w:p>
    <w:p w14:paraId="28544817" w14:textId="77777777" w:rsidR="002A05F8" w:rsidRPr="0042407C" w:rsidRDefault="002A05F8" w:rsidP="002A05F8">
      <w:pPr>
        <w:spacing w:after="0" w:line="240" w:lineRule="auto"/>
        <w:ind w:left="708" w:right="900"/>
        <w:rPr>
          <w:rFonts w:ascii="Arial" w:hAnsi="Arial" w:cs="Arial"/>
          <w:i/>
          <w:iCs/>
          <w:sz w:val="21"/>
          <w:szCs w:val="21"/>
          <w:lang w:eastAsia="es-MX"/>
        </w:rPr>
      </w:pPr>
      <w:r w:rsidRPr="0042407C">
        <w:rPr>
          <w:rFonts w:ascii="Arial" w:hAnsi="Arial" w:cs="Arial"/>
          <w:i/>
          <w:iCs/>
          <w:sz w:val="21"/>
          <w:szCs w:val="21"/>
          <w:lang w:eastAsia="es-MX"/>
        </w:rPr>
        <w:t xml:space="preserve">Esta incompatibilidad también operará para las personas que se encuentren dentro del primer grado de consanguinidad, primero de afinidad, o primero civil del </w:t>
      </w:r>
      <w:proofErr w:type="gramStart"/>
      <w:r w:rsidRPr="0042407C">
        <w:rPr>
          <w:rFonts w:ascii="Arial" w:hAnsi="Arial" w:cs="Arial"/>
          <w:i/>
          <w:iCs/>
          <w:sz w:val="21"/>
          <w:szCs w:val="21"/>
          <w:lang w:eastAsia="es-MX"/>
        </w:rPr>
        <w:t>ex empleado</w:t>
      </w:r>
      <w:proofErr w:type="gramEnd"/>
      <w:r w:rsidRPr="0042407C">
        <w:rPr>
          <w:rFonts w:ascii="Arial" w:hAnsi="Arial" w:cs="Arial"/>
          <w:i/>
          <w:iCs/>
          <w:sz w:val="21"/>
          <w:szCs w:val="21"/>
          <w:lang w:eastAsia="es-MX"/>
        </w:rPr>
        <w:t xml:space="preserve"> público.</w:t>
      </w:r>
    </w:p>
    <w:p w14:paraId="445E5CBE" w14:textId="77777777" w:rsidR="002A05F8" w:rsidRPr="0042407C" w:rsidRDefault="002A05F8" w:rsidP="002A05F8">
      <w:pPr>
        <w:spacing w:after="0" w:line="240" w:lineRule="auto"/>
        <w:ind w:left="708" w:right="900"/>
        <w:rPr>
          <w:rFonts w:ascii="Arial" w:hAnsi="Arial" w:cs="Arial"/>
          <w:i/>
          <w:iCs/>
          <w:sz w:val="21"/>
          <w:szCs w:val="21"/>
          <w:lang w:eastAsia="es-MX"/>
        </w:rPr>
      </w:pPr>
    </w:p>
    <w:p w14:paraId="7318CAB3" w14:textId="77777777" w:rsidR="002A05F8" w:rsidRPr="0042407C" w:rsidRDefault="002A05F8" w:rsidP="002A05F8">
      <w:pPr>
        <w:spacing w:after="0" w:line="240" w:lineRule="auto"/>
        <w:ind w:left="708" w:right="900"/>
        <w:rPr>
          <w:rFonts w:ascii="Arial" w:hAnsi="Arial" w:cs="Arial"/>
          <w:i/>
          <w:iCs/>
          <w:sz w:val="21"/>
          <w:szCs w:val="21"/>
          <w:lang w:eastAsia="es-MX"/>
        </w:rPr>
      </w:pPr>
      <w:r w:rsidRPr="0042407C">
        <w:rPr>
          <w:rFonts w:ascii="Arial" w:hAnsi="Arial" w:cs="Arial"/>
          <w:i/>
          <w:iCs/>
          <w:sz w:val="21"/>
          <w:szCs w:val="21"/>
          <w:lang w:eastAsia="es-MX"/>
        </w:rPr>
        <w:t>PARAGRAFO 1°. La inhabilidad prevista en el literal d) del ordinal 2°. de este artículo no se aplicará en relación con las corporaciones, asociaciones, fundaciones y sociedades allí mencionadas, cuando por disposición legal o estatutaria el servidor público en los niveles referidos debe desempeñar en ellas cargos de dirección o manejo.</w:t>
      </w:r>
    </w:p>
    <w:p w14:paraId="19252187" w14:textId="77777777" w:rsidR="002A05F8" w:rsidRPr="0042407C" w:rsidRDefault="002A05F8" w:rsidP="002A05F8">
      <w:pPr>
        <w:spacing w:after="0" w:line="240" w:lineRule="auto"/>
        <w:ind w:left="708" w:right="900"/>
        <w:rPr>
          <w:rFonts w:ascii="Arial" w:hAnsi="Arial" w:cs="Arial"/>
          <w:i/>
          <w:iCs/>
          <w:sz w:val="21"/>
          <w:szCs w:val="21"/>
          <w:lang w:eastAsia="es-MX"/>
        </w:rPr>
      </w:pPr>
    </w:p>
    <w:p w14:paraId="4083EC1E" w14:textId="77777777" w:rsidR="002A05F8" w:rsidRPr="0042407C" w:rsidRDefault="002A05F8" w:rsidP="002A05F8">
      <w:pPr>
        <w:spacing w:after="0" w:line="240" w:lineRule="auto"/>
        <w:ind w:left="708" w:right="900"/>
        <w:rPr>
          <w:rFonts w:ascii="Arial" w:hAnsi="Arial" w:cs="Arial"/>
          <w:i/>
          <w:iCs/>
          <w:sz w:val="21"/>
          <w:szCs w:val="21"/>
          <w:lang w:eastAsia="es-MX"/>
        </w:rPr>
      </w:pPr>
      <w:r w:rsidRPr="0042407C">
        <w:rPr>
          <w:rFonts w:ascii="Arial" w:hAnsi="Arial" w:cs="Arial"/>
          <w:i/>
          <w:iCs/>
          <w:sz w:val="21"/>
          <w:szCs w:val="21"/>
          <w:lang w:eastAsia="es-MX"/>
        </w:rPr>
        <w:t>Inciso adicionado por la Ley 1150 de 2007, artículo 18. En las causales de inhabilidad por parentesco o por matrimonio, los vínculos desaparecen por muerte o por disolución del matrimonio.</w:t>
      </w:r>
    </w:p>
    <w:p w14:paraId="20061DF5" w14:textId="77777777" w:rsidR="002A05F8" w:rsidRPr="0042407C" w:rsidRDefault="002A05F8" w:rsidP="002A05F8">
      <w:pPr>
        <w:spacing w:after="0" w:line="240" w:lineRule="auto"/>
        <w:ind w:left="708" w:right="900"/>
        <w:rPr>
          <w:rFonts w:ascii="Arial" w:hAnsi="Arial" w:cs="Arial"/>
          <w:i/>
          <w:iCs/>
          <w:sz w:val="21"/>
          <w:szCs w:val="21"/>
          <w:lang w:eastAsia="es-MX"/>
        </w:rPr>
      </w:pPr>
    </w:p>
    <w:p w14:paraId="25B7F86D" w14:textId="77777777" w:rsidR="002A05F8" w:rsidRPr="0042407C" w:rsidRDefault="002A05F8" w:rsidP="002A05F8">
      <w:pPr>
        <w:spacing w:after="0" w:line="240" w:lineRule="auto"/>
        <w:ind w:left="708" w:right="900"/>
        <w:rPr>
          <w:rFonts w:ascii="Arial" w:hAnsi="Arial" w:cs="Arial"/>
          <w:i/>
          <w:iCs/>
          <w:sz w:val="21"/>
          <w:szCs w:val="21"/>
          <w:lang w:eastAsia="es-MX"/>
        </w:rPr>
      </w:pPr>
      <w:r w:rsidRPr="0042407C">
        <w:rPr>
          <w:rFonts w:ascii="Arial" w:hAnsi="Arial" w:cs="Arial"/>
          <w:i/>
          <w:iCs/>
          <w:sz w:val="21"/>
          <w:szCs w:val="21"/>
          <w:lang w:eastAsia="es-MX"/>
        </w:rPr>
        <w:t>PARAGRAFO 2°. Para los efectos previstos en este artículo, el Gobierno Nacional determinará que debe entenderse por sociedades anónimas abiertas.</w:t>
      </w:r>
    </w:p>
    <w:p w14:paraId="1DC23ED3" w14:textId="77777777" w:rsidR="002A05F8" w:rsidRPr="0042407C" w:rsidRDefault="002A05F8" w:rsidP="002A05F8">
      <w:pPr>
        <w:spacing w:after="0" w:line="240" w:lineRule="auto"/>
        <w:ind w:left="708" w:right="900"/>
        <w:rPr>
          <w:rFonts w:ascii="Arial" w:hAnsi="Arial" w:cs="Arial"/>
          <w:i/>
          <w:iCs/>
          <w:sz w:val="21"/>
          <w:szCs w:val="21"/>
          <w:lang w:eastAsia="es-MX"/>
        </w:rPr>
      </w:pPr>
    </w:p>
    <w:p w14:paraId="3FF0D43B" w14:textId="77777777" w:rsidR="002A05F8" w:rsidRPr="0042407C" w:rsidRDefault="002A05F8" w:rsidP="002A05F8">
      <w:pPr>
        <w:spacing w:after="0" w:line="240" w:lineRule="auto"/>
        <w:ind w:left="708" w:right="900"/>
        <w:rPr>
          <w:rFonts w:ascii="Arial" w:hAnsi="Arial" w:cs="Arial"/>
          <w:i/>
          <w:iCs/>
          <w:sz w:val="21"/>
          <w:szCs w:val="21"/>
          <w:lang w:eastAsia="es-MX"/>
        </w:rPr>
      </w:pPr>
      <w:r w:rsidRPr="0042407C">
        <w:rPr>
          <w:rFonts w:ascii="Arial" w:hAnsi="Arial" w:cs="Arial"/>
          <w:i/>
          <w:iCs/>
          <w:sz w:val="21"/>
          <w:szCs w:val="21"/>
          <w:lang w:eastAsia="es-MX"/>
        </w:rPr>
        <w:lastRenderedPageBreak/>
        <w:t>PARÁGRAFO 3º. Adicionado por la Ley 2014 de 2019, artículo 3o. Las inhabilidades e incompatibilidades contempladas en este artículo se aplicarán a cualquier proceso de contratación privada en el que se comprometan recursos públicos.</w:t>
      </w:r>
      <w:r w:rsidRPr="0042407C">
        <w:rPr>
          <w:rFonts w:ascii="Arial" w:hAnsi="Arial" w:cs="Arial"/>
          <w:i/>
          <w:iCs/>
          <w:sz w:val="21"/>
          <w:szCs w:val="21"/>
          <w:lang w:eastAsia="en-US"/>
        </w:rPr>
        <w:t>»</w:t>
      </w:r>
    </w:p>
    <w:p w14:paraId="150AC263" w14:textId="77777777" w:rsidR="002A05F8" w:rsidRPr="002A05F8" w:rsidRDefault="002A05F8" w:rsidP="002A05F8">
      <w:pPr>
        <w:spacing w:after="0" w:line="240" w:lineRule="auto"/>
        <w:ind w:left="709" w:right="709"/>
        <w:rPr>
          <w:rFonts w:ascii="Arial" w:eastAsia="Times New Roman" w:hAnsi="Arial" w:cs="Arial"/>
          <w:i/>
          <w:iCs/>
          <w:color w:val="000000"/>
          <w:sz w:val="20"/>
          <w:szCs w:val="20"/>
          <w:lang w:val="es-CO" w:eastAsia="es-MX"/>
        </w:rPr>
      </w:pPr>
    </w:p>
    <w:p w14:paraId="58D01978" w14:textId="77777777" w:rsidR="002A05F8" w:rsidRPr="002A05F8" w:rsidRDefault="002A05F8" w:rsidP="002A05F8">
      <w:pPr>
        <w:spacing w:before="120" w:after="120"/>
        <w:ind w:firstLine="709"/>
        <w:rPr>
          <w:rFonts w:ascii="Arial" w:hAnsi="Arial" w:cs="Arial"/>
          <w:sz w:val="22"/>
          <w:szCs w:val="22"/>
          <w:lang w:val="es-ES_tradnl" w:eastAsia="es-MX"/>
        </w:rPr>
      </w:pPr>
      <w:r w:rsidRPr="002A05F8">
        <w:rPr>
          <w:rFonts w:ascii="Arial" w:hAnsi="Arial" w:cs="Arial"/>
          <w:sz w:val="22"/>
          <w:szCs w:val="22"/>
          <w:lang w:val="es-ES_tradnl" w:eastAsia="es-MX"/>
        </w:rPr>
        <w:t xml:space="preserve">En la relación de las causales de inhabilidad e incompatibilidad previstas en el artículo 8 de la Ley 80 de 1993 no se evidencia alguna que haga referencia a la prohibición de suscribir un contrato los </w:t>
      </w:r>
      <w:proofErr w:type="gramStart"/>
      <w:r w:rsidRPr="002A05F8">
        <w:rPr>
          <w:rFonts w:ascii="Arial" w:hAnsi="Arial" w:cs="Arial"/>
          <w:sz w:val="22"/>
          <w:szCs w:val="22"/>
          <w:lang w:val="es-ES_tradnl" w:eastAsia="es-MX"/>
        </w:rPr>
        <w:t>días sábados</w:t>
      </w:r>
      <w:proofErr w:type="gramEnd"/>
      <w:r w:rsidRPr="002A05F8">
        <w:rPr>
          <w:rFonts w:ascii="Arial" w:hAnsi="Arial" w:cs="Arial"/>
          <w:sz w:val="22"/>
          <w:szCs w:val="22"/>
          <w:lang w:val="es-ES_tradnl" w:eastAsia="es-MX"/>
        </w:rPr>
        <w:t xml:space="preserve">, domingos o festivos. Así las cosas, con base en el principio de interpretación taxativa y restrictiva, se puede concluir que el supuesto de hecho planteado en su pregunta no existe inhabilidad o incompatibilidad. </w:t>
      </w:r>
    </w:p>
    <w:p w14:paraId="426DF1B3" w14:textId="77777777" w:rsidR="002A05F8" w:rsidRPr="002A05F8" w:rsidRDefault="002A05F8" w:rsidP="002A05F8">
      <w:pPr>
        <w:tabs>
          <w:tab w:val="left" w:pos="426"/>
        </w:tabs>
        <w:spacing w:after="0"/>
        <w:rPr>
          <w:rFonts w:ascii="Arial" w:hAnsi="Arial" w:cs="Arial"/>
          <w:sz w:val="22"/>
          <w:szCs w:val="22"/>
          <w:lang w:val="es-ES_tradnl" w:eastAsia="es-MX"/>
        </w:rPr>
      </w:pPr>
    </w:p>
    <w:p w14:paraId="0EDE4974" w14:textId="77777777" w:rsidR="002A05F8" w:rsidRPr="002A05F8" w:rsidRDefault="002A05F8" w:rsidP="002A05F8">
      <w:pPr>
        <w:tabs>
          <w:tab w:val="left" w:pos="426"/>
        </w:tabs>
        <w:spacing w:after="0"/>
        <w:rPr>
          <w:rFonts w:ascii="Arial" w:hAnsi="Arial" w:cs="Arial"/>
          <w:b/>
          <w:bCs/>
          <w:color w:val="000000"/>
          <w:sz w:val="22"/>
        </w:rPr>
      </w:pPr>
      <w:r w:rsidRPr="002A05F8">
        <w:rPr>
          <w:rFonts w:ascii="Arial" w:hAnsi="Arial" w:cs="Arial"/>
          <w:b/>
          <w:color w:val="000000"/>
          <w:sz w:val="22"/>
          <w:lang w:val="es-CO"/>
        </w:rPr>
        <w:t>2.2. Días hábiles y feriados. De la aplicación de dicha definición y alcance a la suscripción de los contratos.</w:t>
      </w:r>
    </w:p>
    <w:p w14:paraId="00B4B06D" w14:textId="77777777" w:rsidR="002A05F8" w:rsidRPr="002A05F8" w:rsidRDefault="002A05F8" w:rsidP="002A05F8">
      <w:pPr>
        <w:tabs>
          <w:tab w:val="left" w:pos="0"/>
        </w:tabs>
        <w:spacing w:after="120"/>
        <w:rPr>
          <w:rFonts w:ascii="Arial" w:hAnsi="Arial" w:cs="Arial"/>
          <w:bCs/>
          <w:color w:val="000000"/>
          <w:sz w:val="22"/>
          <w:lang w:val="es-ES"/>
        </w:rPr>
      </w:pPr>
      <w:bookmarkStart w:id="6" w:name="_Hlk63879101"/>
    </w:p>
    <w:p w14:paraId="2EE0EB70" w14:textId="77777777" w:rsidR="002A05F8" w:rsidRPr="002A05F8" w:rsidRDefault="002A05F8" w:rsidP="002A05F8">
      <w:pPr>
        <w:tabs>
          <w:tab w:val="left" w:pos="0"/>
        </w:tabs>
        <w:spacing w:after="120"/>
        <w:rPr>
          <w:rFonts w:ascii="Arial" w:eastAsia="Batang" w:hAnsi="Arial" w:cs="Arial"/>
          <w:sz w:val="21"/>
          <w:szCs w:val="21"/>
          <w:lang w:eastAsia="en-US"/>
        </w:rPr>
      </w:pPr>
      <w:r w:rsidRPr="002A05F8">
        <w:rPr>
          <w:rFonts w:ascii="Arial" w:hAnsi="Arial" w:cs="Arial"/>
          <w:bCs/>
          <w:color w:val="000000"/>
          <w:sz w:val="22"/>
          <w:lang w:val="es-ES"/>
        </w:rPr>
        <w:t xml:space="preserve">Dado que su consulta está relacionada con la suscripción de contratos en los sábados, domingos y festivos, a continuación, nos pronunciaremos al respecto. La normativa del Sistema de Compra Pública no determina </w:t>
      </w:r>
      <w:r w:rsidRPr="002A05F8">
        <w:rPr>
          <w:rFonts w:ascii="Arial" w:hAnsi="Arial" w:cs="Arial"/>
          <w:bCs/>
          <w:sz w:val="22"/>
          <w:szCs w:val="22"/>
          <w:lang w:val="es-ES" w:eastAsia="en-US"/>
        </w:rPr>
        <w:t>reglas particulares respecto de los días hábiles conforme con las cuales debe ejecutarse la actividad contractual, incluida la suscripción de contratos estatales, por lo cual, para ello debe acudirse a la legislación vigente que regula la materia.</w:t>
      </w:r>
    </w:p>
    <w:p w14:paraId="05B4F71E" w14:textId="77777777" w:rsidR="002A05F8" w:rsidRPr="002A05F8" w:rsidRDefault="002A05F8" w:rsidP="002A05F8">
      <w:pPr>
        <w:tabs>
          <w:tab w:val="left" w:pos="0"/>
        </w:tabs>
        <w:spacing w:after="120"/>
        <w:rPr>
          <w:rFonts w:ascii="Arial" w:hAnsi="Arial" w:cs="Arial"/>
          <w:bCs/>
          <w:sz w:val="22"/>
          <w:szCs w:val="22"/>
          <w:lang w:val="es-ES" w:eastAsia="en-US"/>
        </w:rPr>
      </w:pPr>
      <w:r w:rsidRPr="002A05F8">
        <w:rPr>
          <w:rFonts w:ascii="Arial" w:hAnsi="Arial" w:cs="Arial"/>
          <w:bCs/>
          <w:sz w:val="22"/>
          <w:szCs w:val="22"/>
          <w:lang w:val="es-ES" w:eastAsia="en-US"/>
        </w:rPr>
        <w:tab/>
        <w:t>Para el efecto, resulta relevante, en primer lugar, determinar el concepto de día hábil, respecto del cual no existe definición legal expresa, de modo que, ante la ausencia de ésta es procedente acudir al sentido natural y obvio de la palabra hábil, sobre la cual se encuentran las siguientes acepciones «1. adj. Capaz de realizar con éxito una tarea manual. 2. adj. Dotado del talento para actuar adecuadamente o lograr su objetivo. 3. adj. Propio de una persona hábil. 4. adj. Apto o adecuado para algo. 5. adj. Dicho de un período de tiempo: Establecido como válido o computable para realizar una actividad, especialmente administrativa o judicial»</w:t>
      </w:r>
      <w:r w:rsidRPr="002A05F8">
        <w:rPr>
          <w:rFonts w:ascii="Arial" w:hAnsi="Arial" w:cs="Arial"/>
          <w:bCs/>
          <w:sz w:val="22"/>
          <w:szCs w:val="22"/>
          <w:vertAlign w:val="superscript"/>
          <w:lang w:val="es-ES" w:eastAsia="en-US"/>
        </w:rPr>
        <w:footnoteReference w:id="7"/>
      </w:r>
      <w:r w:rsidRPr="002A05F8">
        <w:rPr>
          <w:rFonts w:ascii="Arial" w:hAnsi="Arial" w:cs="Arial"/>
          <w:bCs/>
          <w:sz w:val="22"/>
          <w:szCs w:val="22"/>
          <w:lang w:val="es-ES" w:eastAsia="en-US"/>
        </w:rPr>
        <w:t>. La última acepción se ajusta al entendimiento normativo, sin embargo, no es suficiente para absolver lo que se indaga, en la medida en que corresponde al ordenamiento jurídico establecer cuáles son los días válidos para realizar las actuaciones.</w:t>
      </w:r>
    </w:p>
    <w:p w14:paraId="0A78E732" w14:textId="77777777" w:rsidR="002A05F8" w:rsidRPr="002A05F8" w:rsidRDefault="002A05F8" w:rsidP="002A05F8">
      <w:pPr>
        <w:tabs>
          <w:tab w:val="left" w:pos="0"/>
        </w:tabs>
        <w:spacing w:after="0"/>
        <w:rPr>
          <w:rFonts w:ascii="Arial" w:hAnsi="Arial" w:cs="Arial"/>
          <w:bCs/>
          <w:sz w:val="22"/>
          <w:szCs w:val="22"/>
          <w:lang w:val="es-ES" w:eastAsia="en-US"/>
        </w:rPr>
      </w:pPr>
      <w:r w:rsidRPr="002A05F8">
        <w:rPr>
          <w:rFonts w:ascii="Arial" w:hAnsi="Arial" w:cs="Arial"/>
          <w:bCs/>
          <w:sz w:val="22"/>
          <w:szCs w:val="22"/>
          <w:lang w:val="es-ES" w:eastAsia="en-US"/>
        </w:rPr>
        <w:tab/>
        <w:t>A pesar de no existir una definición legal sobre la noción objeto de análisis, existen normas supletivas que tienen como función servir de pautas para el cómputo de términos previstos en la ley, cuando no ha sido regulados de forma específica por las disposiciones que consagran dichos plazos. Así, los artículos 59 y 62 de la Ley 4 de 1913 disponen que:</w:t>
      </w:r>
    </w:p>
    <w:p w14:paraId="5B4A2837" w14:textId="77777777" w:rsidR="002A05F8" w:rsidRPr="002A05F8" w:rsidRDefault="002A05F8" w:rsidP="002A05F8">
      <w:pPr>
        <w:tabs>
          <w:tab w:val="left" w:pos="0"/>
        </w:tabs>
        <w:spacing w:after="0"/>
        <w:rPr>
          <w:rFonts w:ascii="Arial" w:hAnsi="Arial" w:cs="Arial"/>
          <w:bCs/>
          <w:sz w:val="22"/>
          <w:szCs w:val="22"/>
          <w:lang w:val="es-ES" w:eastAsia="en-US"/>
        </w:rPr>
      </w:pPr>
    </w:p>
    <w:p w14:paraId="46F5AD45" w14:textId="77777777" w:rsidR="002A05F8" w:rsidRPr="0042407C" w:rsidRDefault="002A05F8" w:rsidP="002A05F8">
      <w:pPr>
        <w:tabs>
          <w:tab w:val="left" w:pos="709"/>
        </w:tabs>
        <w:spacing w:after="0" w:line="240" w:lineRule="auto"/>
        <w:ind w:left="709" w:right="709"/>
        <w:rPr>
          <w:rFonts w:ascii="Arial" w:hAnsi="Arial" w:cs="Arial"/>
          <w:bCs/>
          <w:i/>
          <w:iCs/>
          <w:sz w:val="21"/>
          <w:szCs w:val="21"/>
          <w:lang w:eastAsia="en-US"/>
        </w:rPr>
      </w:pPr>
      <w:r w:rsidRPr="0042407C">
        <w:rPr>
          <w:rFonts w:ascii="Arial" w:hAnsi="Arial" w:cs="Arial"/>
          <w:bCs/>
          <w:i/>
          <w:iCs/>
          <w:sz w:val="21"/>
          <w:szCs w:val="21"/>
          <w:lang w:val="es-ES" w:eastAsia="en-US"/>
        </w:rPr>
        <w:t>«</w:t>
      </w:r>
      <w:r w:rsidRPr="0042407C">
        <w:rPr>
          <w:rFonts w:ascii="Arial" w:hAnsi="Arial" w:cs="Arial"/>
          <w:bCs/>
          <w:i/>
          <w:iCs/>
          <w:sz w:val="21"/>
          <w:szCs w:val="21"/>
          <w:lang w:eastAsia="en-US"/>
        </w:rPr>
        <w:t>Artículo 59.</w:t>
      </w:r>
      <w:r w:rsidRPr="0042407C">
        <w:rPr>
          <w:rFonts w:ascii="Arial" w:hAnsi="Arial" w:cs="Arial"/>
          <w:b/>
          <w:bCs/>
          <w:i/>
          <w:iCs/>
          <w:sz w:val="21"/>
          <w:szCs w:val="21"/>
          <w:lang w:eastAsia="en-US"/>
        </w:rPr>
        <w:t> </w:t>
      </w:r>
      <w:r w:rsidRPr="0042407C">
        <w:rPr>
          <w:rFonts w:ascii="Arial" w:hAnsi="Arial" w:cs="Arial"/>
          <w:bCs/>
          <w:i/>
          <w:iCs/>
          <w:sz w:val="21"/>
          <w:szCs w:val="21"/>
          <w:lang w:eastAsia="en-US"/>
        </w:rPr>
        <w:t xml:space="preserve">Todos los plazos de días, meses o años, del que se haga mención legal, se entenderán que terminan a la medianoche del último día del plazo. Por año y por </w:t>
      </w:r>
      <w:r w:rsidRPr="0042407C">
        <w:rPr>
          <w:rFonts w:ascii="Arial" w:hAnsi="Arial" w:cs="Arial"/>
          <w:bCs/>
          <w:i/>
          <w:iCs/>
          <w:sz w:val="21"/>
          <w:szCs w:val="21"/>
          <w:lang w:eastAsia="en-US"/>
        </w:rPr>
        <w:lastRenderedPageBreak/>
        <w:t>mes se entienden los del calendario común, y por día el espacio de veinticuatro horas; pero en la ejecución de las penas se estará a lo que disponga la ley penal. </w:t>
      </w:r>
    </w:p>
    <w:p w14:paraId="5A0505C8" w14:textId="77777777" w:rsidR="002A05F8" w:rsidRPr="0042407C" w:rsidRDefault="002A05F8" w:rsidP="002A05F8">
      <w:pPr>
        <w:tabs>
          <w:tab w:val="left" w:pos="709"/>
        </w:tabs>
        <w:spacing w:after="0" w:line="240" w:lineRule="auto"/>
        <w:ind w:left="709" w:right="709"/>
        <w:rPr>
          <w:rFonts w:ascii="Arial" w:hAnsi="Arial" w:cs="Arial"/>
          <w:bCs/>
          <w:i/>
          <w:iCs/>
          <w:sz w:val="21"/>
          <w:szCs w:val="21"/>
          <w:lang w:eastAsia="en-US"/>
        </w:rPr>
      </w:pPr>
      <w:r w:rsidRPr="0042407C">
        <w:rPr>
          <w:rFonts w:ascii="Arial" w:hAnsi="Arial" w:cs="Arial"/>
          <w:bCs/>
          <w:i/>
          <w:iCs/>
          <w:sz w:val="21"/>
          <w:szCs w:val="21"/>
          <w:lang w:eastAsia="en-US"/>
        </w:rPr>
        <w:t>[…]</w:t>
      </w:r>
    </w:p>
    <w:p w14:paraId="0DBBC212" w14:textId="77777777" w:rsidR="002A05F8" w:rsidRPr="0042407C" w:rsidRDefault="002A05F8" w:rsidP="002A05F8">
      <w:pPr>
        <w:tabs>
          <w:tab w:val="left" w:pos="709"/>
        </w:tabs>
        <w:spacing w:after="0" w:line="240" w:lineRule="auto"/>
        <w:ind w:left="709" w:right="709"/>
        <w:rPr>
          <w:rFonts w:ascii="Arial" w:hAnsi="Arial" w:cs="Arial"/>
          <w:bCs/>
          <w:i/>
          <w:iCs/>
          <w:sz w:val="21"/>
          <w:szCs w:val="21"/>
          <w:lang w:eastAsia="en-US"/>
        </w:rPr>
      </w:pPr>
      <w:r w:rsidRPr="0042407C">
        <w:rPr>
          <w:rFonts w:ascii="Arial" w:hAnsi="Arial" w:cs="Arial"/>
          <w:bCs/>
          <w:i/>
          <w:iCs/>
          <w:sz w:val="21"/>
          <w:szCs w:val="21"/>
          <w:lang w:eastAsia="en-US"/>
        </w:rPr>
        <w:t>Artículo 62. En los plazos de días que se señalen en las leyes y actos oficiales, se entienden suprimidos los feriados y de vacantes, a menos de expresarse lo contrario. Los de meses y años se computan según el calendario; pero si el último día fuere feriado o de vacante, se extenderá el plazo hasta el primer día hábil</w:t>
      </w:r>
      <w:r w:rsidRPr="0042407C">
        <w:rPr>
          <w:rFonts w:ascii="Arial" w:hAnsi="Arial" w:cs="Arial"/>
          <w:bCs/>
          <w:i/>
          <w:iCs/>
          <w:sz w:val="21"/>
          <w:szCs w:val="21"/>
          <w:lang w:val="es-ES" w:eastAsia="en-US"/>
        </w:rPr>
        <w:t>»</w:t>
      </w:r>
      <w:r w:rsidRPr="0042407C">
        <w:rPr>
          <w:rFonts w:ascii="Arial" w:hAnsi="Arial" w:cs="Arial"/>
          <w:bCs/>
          <w:i/>
          <w:iCs/>
          <w:sz w:val="21"/>
          <w:szCs w:val="21"/>
          <w:lang w:eastAsia="en-US"/>
        </w:rPr>
        <w:t>. </w:t>
      </w:r>
    </w:p>
    <w:p w14:paraId="7710DC0A" w14:textId="77777777" w:rsidR="002A05F8" w:rsidRPr="002A05F8" w:rsidRDefault="002A05F8" w:rsidP="002A05F8">
      <w:pPr>
        <w:tabs>
          <w:tab w:val="left" w:pos="709"/>
        </w:tabs>
        <w:spacing w:after="0"/>
        <w:ind w:left="709"/>
        <w:rPr>
          <w:rFonts w:ascii="Arial" w:hAnsi="Arial" w:cs="Arial"/>
          <w:bCs/>
          <w:sz w:val="21"/>
          <w:szCs w:val="21"/>
          <w:lang w:eastAsia="en-US"/>
        </w:rPr>
      </w:pPr>
    </w:p>
    <w:p w14:paraId="5CD671FA" w14:textId="77777777" w:rsidR="002A05F8" w:rsidRPr="002A05F8" w:rsidRDefault="002A05F8" w:rsidP="002A05F8">
      <w:pPr>
        <w:tabs>
          <w:tab w:val="left" w:pos="0"/>
        </w:tabs>
        <w:spacing w:after="0"/>
        <w:rPr>
          <w:rFonts w:ascii="Arial" w:hAnsi="Arial" w:cs="Arial"/>
          <w:bCs/>
          <w:sz w:val="22"/>
          <w:szCs w:val="22"/>
          <w:lang w:val="es-ES" w:eastAsia="en-US"/>
        </w:rPr>
      </w:pPr>
      <w:r w:rsidRPr="002A05F8">
        <w:rPr>
          <w:rFonts w:ascii="Arial" w:hAnsi="Arial" w:cs="Arial"/>
          <w:bCs/>
          <w:sz w:val="22"/>
          <w:szCs w:val="22"/>
          <w:lang w:val="es-ES" w:eastAsia="en-US"/>
        </w:rPr>
        <w:tab/>
        <w:t>Conforme a las normas citadas, es posible concluir que el legislador estableció las siguientes reglas para el cómputo de los plazos fijados en distintas leyes:</w:t>
      </w:r>
    </w:p>
    <w:p w14:paraId="29DF77E3" w14:textId="77777777" w:rsidR="002A05F8" w:rsidRPr="002A05F8" w:rsidRDefault="002A05F8" w:rsidP="002A05F8">
      <w:pPr>
        <w:tabs>
          <w:tab w:val="left" w:pos="0"/>
        </w:tabs>
        <w:spacing w:after="0"/>
        <w:rPr>
          <w:rFonts w:ascii="Arial" w:hAnsi="Arial" w:cs="Arial"/>
          <w:bCs/>
          <w:sz w:val="22"/>
          <w:szCs w:val="22"/>
          <w:lang w:val="es-ES" w:eastAsia="en-US"/>
        </w:rPr>
      </w:pPr>
    </w:p>
    <w:p w14:paraId="7D0700CD" w14:textId="77777777" w:rsidR="002A05F8" w:rsidRPr="002A05F8" w:rsidRDefault="002A05F8" w:rsidP="002A05F8">
      <w:pPr>
        <w:numPr>
          <w:ilvl w:val="0"/>
          <w:numId w:val="2"/>
        </w:numPr>
        <w:tabs>
          <w:tab w:val="left" w:pos="0"/>
        </w:tabs>
        <w:spacing w:after="0"/>
        <w:contextualSpacing/>
        <w:rPr>
          <w:rFonts w:ascii="Arial" w:hAnsi="Arial" w:cs="Arial"/>
          <w:bCs/>
          <w:sz w:val="22"/>
          <w:szCs w:val="22"/>
          <w:lang w:val="es-ES" w:eastAsia="en-US"/>
        </w:rPr>
      </w:pPr>
      <w:r w:rsidRPr="002A05F8">
        <w:rPr>
          <w:rFonts w:ascii="Arial" w:hAnsi="Arial" w:cs="Arial"/>
          <w:bCs/>
          <w:sz w:val="22"/>
          <w:szCs w:val="22"/>
          <w:lang w:val="es-ES" w:eastAsia="en-US"/>
        </w:rPr>
        <w:t>Los plazos a los que se haga mención en la ley terminan a la medianoche de su último día.</w:t>
      </w:r>
    </w:p>
    <w:p w14:paraId="10B6A14D" w14:textId="77777777" w:rsidR="002A05F8" w:rsidRPr="002A05F8" w:rsidRDefault="002A05F8" w:rsidP="002A05F8">
      <w:pPr>
        <w:numPr>
          <w:ilvl w:val="0"/>
          <w:numId w:val="2"/>
        </w:numPr>
        <w:tabs>
          <w:tab w:val="left" w:pos="0"/>
        </w:tabs>
        <w:spacing w:after="0"/>
        <w:contextualSpacing/>
        <w:rPr>
          <w:rFonts w:ascii="Arial" w:hAnsi="Arial" w:cs="Arial"/>
          <w:bCs/>
          <w:sz w:val="22"/>
          <w:szCs w:val="22"/>
          <w:lang w:val="es-ES" w:eastAsia="en-US"/>
        </w:rPr>
      </w:pPr>
      <w:r w:rsidRPr="002A05F8">
        <w:rPr>
          <w:rFonts w:ascii="Arial" w:hAnsi="Arial" w:cs="Arial"/>
          <w:bCs/>
          <w:sz w:val="22"/>
          <w:szCs w:val="22"/>
          <w:lang w:val="es-ES" w:eastAsia="en-US"/>
        </w:rPr>
        <w:t xml:space="preserve">Por </w:t>
      </w:r>
      <w:r w:rsidRPr="002A05F8">
        <w:rPr>
          <w:rFonts w:ascii="Arial" w:hAnsi="Arial" w:cs="Arial"/>
          <w:bCs/>
          <w:i/>
          <w:iCs/>
          <w:sz w:val="22"/>
          <w:szCs w:val="22"/>
          <w:lang w:val="es-ES" w:eastAsia="en-US"/>
        </w:rPr>
        <w:t xml:space="preserve">día </w:t>
      </w:r>
      <w:r w:rsidRPr="002A05F8">
        <w:rPr>
          <w:rFonts w:ascii="Arial" w:hAnsi="Arial" w:cs="Arial"/>
          <w:bCs/>
          <w:sz w:val="22"/>
          <w:szCs w:val="22"/>
          <w:lang w:val="es-ES" w:eastAsia="en-US"/>
        </w:rPr>
        <w:t>se entiende el espacio de veinticuatro horas.</w:t>
      </w:r>
    </w:p>
    <w:p w14:paraId="4956BEF2" w14:textId="77777777" w:rsidR="002A05F8" w:rsidRPr="002A05F8" w:rsidRDefault="002A05F8" w:rsidP="002A05F8">
      <w:pPr>
        <w:numPr>
          <w:ilvl w:val="0"/>
          <w:numId w:val="2"/>
        </w:numPr>
        <w:tabs>
          <w:tab w:val="left" w:pos="0"/>
        </w:tabs>
        <w:spacing w:after="0"/>
        <w:contextualSpacing/>
        <w:rPr>
          <w:rFonts w:ascii="Arial" w:hAnsi="Arial" w:cs="Arial"/>
          <w:bCs/>
          <w:sz w:val="22"/>
          <w:szCs w:val="22"/>
          <w:lang w:val="es-ES" w:eastAsia="en-US"/>
        </w:rPr>
      </w:pPr>
      <w:r w:rsidRPr="002A05F8">
        <w:rPr>
          <w:rFonts w:ascii="Arial" w:hAnsi="Arial" w:cs="Arial"/>
          <w:bCs/>
          <w:sz w:val="22"/>
          <w:szCs w:val="22"/>
          <w:lang w:val="es-ES" w:eastAsia="en-US"/>
        </w:rPr>
        <w:t xml:space="preserve">En los plazos fijados en la ley en días, se entienden suprimidos los feriados y vacantes, a menos de expresarse lo contrario. </w:t>
      </w:r>
    </w:p>
    <w:p w14:paraId="1FE817B1" w14:textId="77777777" w:rsidR="002A05F8" w:rsidRPr="002A05F8" w:rsidRDefault="002A05F8" w:rsidP="002A05F8">
      <w:pPr>
        <w:numPr>
          <w:ilvl w:val="0"/>
          <w:numId w:val="2"/>
        </w:numPr>
        <w:tabs>
          <w:tab w:val="left" w:pos="0"/>
        </w:tabs>
        <w:spacing w:after="120"/>
        <w:rPr>
          <w:rFonts w:ascii="Arial" w:hAnsi="Arial" w:cs="Arial"/>
          <w:bCs/>
          <w:sz w:val="22"/>
          <w:szCs w:val="22"/>
          <w:lang w:val="es-ES" w:eastAsia="en-US"/>
        </w:rPr>
      </w:pPr>
      <w:r w:rsidRPr="002A05F8">
        <w:rPr>
          <w:rFonts w:ascii="Arial" w:hAnsi="Arial" w:cs="Arial"/>
          <w:bCs/>
          <w:sz w:val="22"/>
          <w:szCs w:val="22"/>
          <w:lang w:val="es-ES" w:eastAsia="en-US"/>
        </w:rPr>
        <w:t xml:space="preserve">Cuando el plazo se fija en meses se computarán conforme al calendario, extendiéndose hasta el día hábil siguiente si el mes termina en un día feriado o vacante. </w:t>
      </w:r>
    </w:p>
    <w:p w14:paraId="25E1A99C" w14:textId="77777777" w:rsidR="002A05F8" w:rsidRPr="002A05F8" w:rsidRDefault="002A05F8" w:rsidP="002A05F8">
      <w:pPr>
        <w:tabs>
          <w:tab w:val="left" w:pos="0"/>
        </w:tabs>
        <w:spacing w:after="120"/>
        <w:ind w:firstLine="709"/>
        <w:rPr>
          <w:rFonts w:ascii="Arial" w:hAnsi="Arial" w:cs="Arial"/>
          <w:bCs/>
          <w:sz w:val="22"/>
          <w:szCs w:val="22"/>
          <w:lang w:val="es-ES" w:eastAsia="en-US"/>
        </w:rPr>
      </w:pPr>
      <w:r w:rsidRPr="002A05F8">
        <w:rPr>
          <w:rFonts w:ascii="Arial" w:hAnsi="Arial" w:cs="Arial"/>
          <w:bCs/>
          <w:sz w:val="22"/>
          <w:szCs w:val="22"/>
          <w:lang w:val="es-ES" w:eastAsia="en-US"/>
        </w:rPr>
        <w:t>Si bien las reglas establecidas en estas normas no definen el concepto de día hábil, sí evidencian que, a menos de previsión expresa en contrario, los plazos de días no incluyen los vacantes y feriados, lo cual, en línea con la definición de uso común referida con anterioridad, permite inferir que por hábiles se entienden los días laborables</w:t>
      </w:r>
      <w:r w:rsidRPr="002A05F8">
        <w:rPr>
          <w:vertAlign w:val="superscript"/>
          <w:lang w:val="es-ES" w:eastAsia="en-US"/>
        </w:rPr>
        <w:footnoteReference w:id="8"/>
      </w:r>
      <w:r w:rsidRPr="002A05F8">
        <w:rPr>
          <w:rFonts w:ascii="Arial" w:hAnsi="Arial" w:cs="Arial"/>
          <w:bCs/>
          <w:sz w:val="22"/>
          <w:szCs w:val="22"/>
          <w:lang w:val="es-ES" w:eastAsia="en-US"/>
        </w:rPr>
        <w:t>.</w:t>
      </w:r>
    </w:p>
    <w:p w14:paraId="5D348403" w14:textId="77777777" w:rsidR="002A05F8" w:rsidRPr="002A05F8" w:rsidRDefault="002A05F8" w:rsidP="002A05F8">
      <w:pPr>
        <w:tabs>
          <w:tab w:val="left" w:pos="0"/>
        </w:tabs>
        <w:spacing w:after="0"/>
        <w:rPr>
          <w:rFonts w:ascii="Arial" w:hAnsi="Arial" w:cs="Arial"/>
          <w:bCs/>
          <w:sz w:val="22"/>
          <w:szCs w:val="22"/>
          <w:lang w:val="es-ES" w:eastAsia="en-US"/>
        </w:rPr>
      </w:pPr>
      <w:r w:rsidRPr="002A05F8">
        <w:rPr>
          <w:rFonts w:ascii="Arial" w:hAnsi="Arial" w:cs="Arial"/>
          <w:bCs/>
          <w:sz w:val="22"/>
          <w:szCs w:val="22"/>
          <w:lang w:val="es-ES" w:eastAsia="en-US"/>
        </w:rPr>
        <w:tab/>
        <w:t>Esta conclusión ha sido plasmada en la jurisprudencia de vieja data del Consejo de Estado, la cual, al interpretar el contenido del artículo 62 de la Ley 4 de 1913 ha relacionado los días hábiles con conceptos como el de «Despacho Público» y «días laborables forzosos», que implican que el entendimiento normativo de los días hábiles está relacionado con el espacio de tiempo durante el cual las entidades públicas desarrollan sus funciones administrativas y están abiertas para la atención al público. Así, por ejemplo, en la sentencia del 12 de abril de 1978 se expresó:</w:t>
      </w:r>
    </w:p>
    <w:p w14:paraId="42B945B9" w14:textId="77777777" w:rsidR="002A05F8" w:rsidRPr="002A05F8" w:rsidRDefault="002A05F8" w:rsidP="002A05F8">
      <w:pPr>
        <w:tabs>
          <w:tab w:val="left" w:pos="0"/>
        </w:tabs>
        <w:spacing w:after="0"/>
        <w:rPr>
          <w:rFonts w:ascii="Arial" w:hAnsi="Arial" w:cs="Arial"/>
          <w:bCs/>
          <w:sz w:val="22"/>
          <w:szCs w:val="22"/>
          <w:lang w:val="es-ES" w:eastAsia="en-US"/>
        </w:rPr>
      </w:pPr>
    </w:p>
    <w:p w14:paraId="58B4B3DB" w14:textId="77777777" w:rsidR="002A05F8" w:rsidRPr="0042407C" w:rsidRDefault="002A05F8" w:rsidP="002A05F8">
      <w:pPr>
        <w:tabs>
          <w:tab w:val="left" w:pos="709"/>
        </w:tabs>
        <w:spacing w:after="0" w:line="240" w:lineRule="auto"/>
        <w:ind w:left="709" w:right="709"/>
        <w:rPr>
          <w:rFonts w:ascii="Arial" w:hAnsi="Arial" w:cs="Arial"/>
          <w:bCs/>
          <w:i/>
          <w:iCs/>
          <w:sz w:val="21"/>
          <w:szCs w:val="21"/>
          <w:lang w:val="es-ES" w:eastAsia="en-US"/>
        </w:rPr>
      </w:pPr>
      <w:r w:rsidRPr="0042407C">
        <w:rPr>
          <w:rFonts w:ascii="Arial" w:hAnsi="Arial" w:cs="Arial"/>
          <w:bCs/>
          <w:i/>
          <w:iCs/>
          <w:sz w:val="21"/>
          <w:szCs w:val="21"/>
          <w:lang w:val="es-ES" w:eastAsia="en-US"/>
        </w:rPr>
        <w:t>«</w:t>
      </w:r>
      <w:r w:rsidRPr="0042407C">
        <w:rPr>
          <w:rFonts w:ascii="Arial" w:hAnsi="Arial" w:cs="Arial"/>
          <w:bCs/>
          <w:i/>
          <w:iCs/>
          <w:sz w:val="21"/>
          <w:szCs w:val="21"/>
          <w:lang w:eastAsia="en-US"/>
        </w:rPr>
        <w:t xml:space="preserve">Debe entenderse por otra parte, que cuando la Ley habla de la supresión en los plazos de días de los de vacancia y feriados, se está refiriendo a los actos producidos por la Administración en las dependencias en que no hay despacho público en tales días y no pueden por lo tanto expedirse actos administrativos con consecuencias legales. Es «Despacho Público» el mantenimiento de la oficina abierta al público para ejecutar los actos y despachar los asuntos que corresponden a las funciones del empleo en los términos señalados en la Ley. Por lo tanto, hay despacho cuando se </w:t>
      </w:r>
      <w:r w:rsidRPr="0042407C">
        <w:rPr>
          <w:rFonts w:ascii="Arial" w:hAnsi="Arial" w:cs="Arial"/>
          <w:bCs/>
          <w:i/>
          <w:iCs/>
          <w:sz w:val="21"/>
          <w:szCs w:val="21"/>
          <w:lang w:eastAsia="en-US"/>
        </w:rPr>
        <w:lastRenderedPageBreak/>
        <w:t>tiene facultad para laborar, despachar los asuntos y ejecutar los actos propios de sus atribuciones; así no se haya empleado esa facultad»</w:t>
      </w:r>
      <w:r w:rsidRPr="0042407C">
        <w:rPr>
          <w:rFonts w:ascii="Arial" w:hAnsi="Arial" w:cs="Arial"/>
          <w:bCs/>
          <w:i/>
          <w:iCs/>
          <w:sz w:val="21"/>
          <w:szCs w:val="21"/>
          <w:vertAlign w:val="superscript"/>
          <w:lang w:eastAsia="en-US"/>
        </w:rPr>
        <w:footnoteReference w:id="9"/>
      </w:r>
      <w:r w:rsidRPr="0042407C">
        <w:rPr>
          <w:rFonts w:ascii="Arial" w:hAnsi="Arial" w:cs="Arial"/>
          <w:bCs/>
          <w:i/>
          <w:iCs/>
          <w:sz w:val="21"/>
          <w:szCs w:val="21"/>
          <w:lang w:eastAsia="en-US"/>
        </w:rPr>
        <w:t>.</w:t>
      </w:r>
    </w:p>
    <w:p w14:paraId="2764B6BF" w14:textId="77777777" w:rsidR="002A05F8" w:rsidRPr="002A05F8" w:rsidRDefault="002A05F8" w:rsidP="002A05F8">
      <w:pPr>
        <w:tabs>
          <w:tab w:val="left" w:pos="0"/>
        </w:tabs>
        <w:spacing w:after="0"/>
        <w:rPr>
          <w:rFonts w:ascii="Arial" w:hAnsi="Arial" w:cs="Arial"/>
          <w:bCs/>
          <w:sz w:val="22"/>
          <w:szCs w:val="22"/>
          <w:lang w:val="es-ES" w:eastAsia="en-US"/>
        </w:rPr>
      </w:pPr>
    </w:p>
    <w:p w14:paraId="5DC37D39" w14:textId="0ACADF1F" w:rsidR="002A05F8" w:rsidRPr="002A05F8" w:rsidRDefault="002A05F8" w:rsidP="002A05F8">
      <w:pPr>
        <w:tabs>
          <w:tab w:val="left" w:pos="0"/>
        </w:tabs>
        <w:spacing w:after="0"/>
        <w:rPr>
          <w:rFonts w:ascii="Arial" w:hAnsi="Arial" w:cs="Arial"/>
          <w:bCs/>
          <w:sz w:val="22"/>
          <w:szCs w:val="22"/>
          <w:lang w:val="es-ES" w:eastAsia="en-US"/>
        </w:rPr>
      </w:pPr>
      <w:r w:rsidRPr="002A05F8">
        <w:rPr>
          <w:rFonts w:ascii="Arial" w:hAnsi="Arial" w:cs="Arial"/>
          <w:bCs/>
          <w:sz w:val="22"/>
          <w:szCs w:val="22"/>
          <w:lang w:val="es-ES" w:eastAsia="en-US"/>
        </w:rPr>
        <w:tab/>
        <w:t xml:space="preserve">Conforme con lo anterior, los días hábiles se determinan según la entidad, ya que </w:t>
      </w:r>
      <w:r w:rsidRPr="0042407C">
        <w:rPr>
          <w:rFonts w:ascii="Arial" w:hAnsi="Arial" w:cs="Arial"/>
          <w:bCs/>
          <w:i/>
          <w:iCs/>
          <w:sz w:val="22"/>
          <w:szCs w:val="22"/>
          <w:lang w:val="es-ES" w:eastAsia="en-US"/>
        </w:rPr>
        <w:t>«cada entidad pública establece la jornada laboral, a través de su reglamento interno, dando certeza sobre los días que atienden al público, e indirectamente definiendo qué día es hábil en determinada institución»</w:t>
      </w:r>
      <w:r w:rsidRPr="002A05F8">
        <w:rPr>
          <w:rFonts w:ascii="Arial" w:hAnsi="Arial" w:cs="Arial"/>
          <w:bCs/>
          <w:sz w:val="22"/>
          <w:szCs w:val="22"/>
          <w:vertAlign w:val="superscript"/>
          <w:lang w:val="es-ES" w:eastAsia="en-US"/>
        </w:rPr>
        <w:footnoteReference w:id="10"/>
      </w:r>
      <w:r w:rsidRPr="002A05F8">
        <w:rPr>
          <w:rFonts w:ascii="Arial" w:hAnsi="Arial" w:cs="Arial"/>
          <w:bCs/>
          <w:sz w:val="22"/>
          <w:szCs w:val="22"/>
          <w:lang w:val="es-ES" w:eastAsia="en-US"/>
        </w:rPr>
        <w:t>, por lo que días hábiles son aquellos de la semana durante los cuales las entidades públicas ejercen sus funciones y prestan servicio al público, los cuales son, por regla general, todos los días de la semana, con excepción de los sábados, domingos y feriados previstos</w:t>
      </w:r>
      <w:r w:rsidR="00E519B3">
        <w:rPr>
          <w:rFonts w:ascii="Arial" w:hAnsi="Arial" w:cs="Arial"/>
          <w:bCs/>
          <w:sz w:val="22"/>
          <w:szCs w:val="22"/>
          <w:lang w:val="es-ES" w:eastAsia="en-US"/>
        </w:rPr>
        <w:t>,</w:t>
      </w:r>
      <w:r w:rsidRPr="002A05F8">
        <w:rPr>
          <w:rFonts w:ascii="Arial" w:hAnsi="Arial" w:cs="Arial"/>
          <w:bCs/>
          <w:sz w:val="22"/>
          <w:szCs w:val="22"/>
          <w:lang w:val="es-ES" w:eastAsia="en-US"/>
        </w:rPr>
        <w:t xml:space="preserve"> en la generalidad de entidades</w:t>
      </w:r>
      <w:r w:rsidR="00E519B3">
        <w:rPr>
          <w:rFonts w:ascii="Arial" w:hAnsi="Arial" w:cs="Arial"/>
          <w:bCs/>
          <w:sz w:val="22"/>
          <w:szCs w:val="22"/>
          <w:lang w:val="es-ES" w:eastAsia="en-US"/>
        </w:rPr>
        <w:t>,</w:t>
      </w:r>
      <w:r w:rsidRPr="002A05F8">
        <w:rPr>
          <w:rFonts w:ascii="Arial" w:hAnsi="Arial" w:cs="Arial"/>
          <w:bCs/>
          <w:sz w:val="22"/>
          <w:szCs w:val="22"/>
          <w:lang w:val="es-ES" w:eastAsia="en-US"/>
        </w:rPr>
        <w:t xml:space="preserve"> como días de descanso. </w:t>
      </w:r>
    </w:p>
    <w:p w14:paraId="2FA7EA9F" w14:textId="77777777" w:rsidR="002A05F8" w:rsidRPr="002A05F8" w:rsidRDefault="002A05F8" w:rsidP="002A05F8">
      <w:pPr>
        <w:tabs>
          <w:tab w:val="left" w:pos="0"/>
        </w:tabs>
        <w:spacing w:before="120" w:after="120"/>
        <w:ind w:firstLine="709"/>
        <w:rPr>
          <w:rFonts w:ascii="Arial" w:hAnsi="Arial" w:cs="Arial"/>
          <w:bCs/>
          <w:sz w:val="22"/>
          <w:szCs w:val="22"/>
          <w:lang w:val="es-ES" w:eastAsia="en-US"/>
        </w:rPr>
      </w:pPr>
      <w:r w:rsidRPr="002A05F8">
        <w:rPr>
          <w:rFonts w:ascii="Arial" w:hAnsi="Arial" w:cs="Arial"/>
          <w:bCs/>
          <w:sz w:val="22"/>
          <w:szCs w:val="22"/>
          <w:lang w:val="es-ES" w:eastAsia="en-US"/>
        </w:rPr>
        <w:t xml:space="preserve">Lo anterior sin perjuicio de que las entidades definan en sus reglamentos internos jornadas laborales distintas, que incluyan el sábado o el domingo, </w:t>
      </w:r>
      <w:r w:rsidRPr="0042407C">
        <w:rPr>
          <w:rFonts w:ascii="Arial" w:hAnsi="Arial" w:cs="Arial"/>
          <w:bCs/>
          <w:i/>
          <w:iCs/>
          <w:sz w:val="22"/>
          <w:szCs w:val="22"/>
          <w:lang w:val="es-ES" w:eastAsia="en-US"/>
        </w:rPr>
        <w:t>como «en los numerosos municipios del país donde la Administración labora los fines de semana ―sábados y domingos― normalmente para brindarle un buen servicio a la población campesina, que acostumbra ir al casco urbano en estos dos días y descansan un día de la semana ―usualmente el miércoles―»</w:t>
      </w:r>
      <w:r w:rsidRPr="0042407C">
        <w:rPr>
          <w:rFonts w:ascii="Arial" w:hAnsi="Arial" w:cs="Arial"/>
          <w:bCs/>
          <w:i/>
          <w:iCs/>
          <w:sz w:val="22"/>
          <w:szCs w:val="22"/>
          <w:vertAlign w:val="superscript"/>
          <w:lang w:val="es-ES" w:eastAsia="en-US"/>
        </w:rPr>
        <w:footnoteReference w:id="11"/>
      </w:r>
      <w:r w:rsidRPr="0042407C">
        <w:rPr>
          <w:rFonts w:ascii="Arial" w:hAnsi="Arial" w:cs="Arial"/>
          <w:bCs/>
          <w:i/>
          <w:iCs/>
          <w:sz w:val="22"/>
          <w:szCs w:val="22"/>
          <w:lang w:val="es-ES" w:eastAsia="en-US"/>
        </w:rPr>
        <w:t>,</w:t>
      </w:r>
      <w:r w:rsidRPr="002A05F8">
        <w:rPr>
          <w:rFonts w:ascii="Arial" w:hAnsi="Arial" w:cs="Arial"/>
          <w:bCs/>
          <w:sz w:val="22"/>
          <w:szCs w:val="22"/>
          <w:lang w:val="es-ES" w:eastAsia="en-US"/>
        </w:rPr>
        <w:t xml:space="preserve"> ejemplo donde los días laborables o hábiles son todos los de la semana, con excepción del miércoles. </w:t>
      </w:r>
    </w:p>
    <w:p w14:paraId="57E0935A" w14:textId="41205900" w:rsidR="002A05F8" w:rsidRPr="002A05F8" w:rsidRDefault="002A05F8" w:rsidP="002A05F8">
      <w:pPr>
        <w:tabs>
          <w:tab w:val="left" w:pos="0"/>
        </w:tabs>
        <w:spacing w:after="120"/>
        <w:rPr>
          <w:rFonts w:ascii="Arial" w:hAnsi="Arial" w:cs="Arial"/>
          <w:bCs/>
          <w:sz w:val="22"/>
          <w:szCs w:val="22"/>
          <w:lang w:val="es-ES" w:eastAsia="en-US"/>
        </w:rPr>
      </w:pPr>
      <w:r w:rsidRPr="002A05F8">
        <w:rPr>
          <w:rFonts w:ascii="Arial" w:hAnsi="Arial" w:cs="Arial"/>
          <w:bCs/>
          <w:sz w:val="22"/>
          <w:szCs w:val="22"/>
          <w:lang w:val="es-ES" w:eastAsia="en-US"/>
        </w:rPr>
        <w:tab/>
      </w:r>
      <w:r w:rsidR="008C6702">
        <w:rPr>
          <w:rFonts w:ascii="Arial" w:hAnsi="Arial" w:cs="Arial"/>
          <w:bCs/>
          <w:sz w:val="22"/>
          <w:szCs w:val="22"/>
          <w:lang w:val="es-ES" w:eastAsia="en-US"/>
        </w:rPr>
        <w:t>Ahora bien,</w:t>
      </w:r>
      <w:r w:rsidRPr="002A05F8">
        <w:rPr>
          <w:rFonts w:ascii="Arial" w:hAnsi="Arial" w:cs="Arial"/>
          <w:bCs/>
          <w:sz w:val="22"/>
          <w:szCs w:val="22"/>
          <w:lang w:val="es-ES" w:eastAsia="en-US"/>
        </w:rPr>
        <w:t xml:space="preserve"> se recomienda que la celebración o suscripción de contratos transcurra dentro de los días definidos por cada entidad estatal como laborables en su correspondiente reglamento o manual de funciones; sin embargo, </w:t>
      </w:r>
      <w:r w:rsidR="008C6702" w:rsidRPr="002A05F8">
        <w:rPr>
          <w:rFonts w:ascii="Arial" w:hAnsi="Arial" w:cs="Arial"/>
          <w:bCs/>
          <w:sz w:val="22"/>
          <w:szCs w:val="22"/>
          <w:lang w:val="es-ES" w:eastAsia="en-US"/>
        </w:rPr>
        <w:t xml:space="preserve">, </w:t>
      </w:r>
      <w:r w:rsidR="008C6702">
        <w:rPr>
          <w:rFonts w:ascii="Arial" w:hAnsi="Arial" w:cs="Arial"/>
          <w:bCs/>
          <w:sz w:val="22"/>
          <w:szCs w:val="22"/>
          <w:lang w:val="es-ES" w:eastAsia="en-US"/>
        </w:rPr>
        <w:t xml:space="preserve">no existe restricción alguna para que en días no laborales las Entidades Estatales celebren contratos, teniendo en cuenta </w:t>
      </w:r>
      <w:r w:rsidRPr="002A05F8">
        <w:rPr>
          <w:rFonts w:ascii="Arial" w:hAnsi="Arial" w:cs="Arial"/>
          <w:bCs/>
          <w:sz w:val="22"/>
          <w:szCs w:val="22"/>
          <w:lang w:val="es-ES" w:eastAsia="en-US"/>
        </w:rPr>
        <w:t xml:space="preserve">las situaciones particulares </w:t>
      </w:r>
      <w:r w:rsidR="008C6702">
        <w:rPr>
          <w:rFonts w:ascii="Arial" w:hAnsi="Arial" w:cs="Arial"/>
          <w:bCs/>
          <w:sz w:val="22"/>
          <w:szCs w:val="22"/>
          <w:lang w:val="es-ES" w:eastAsia="en-US"/>
        </w:rPr>
        <w:t>de</w:t>
      </w:r>
      <w:r w:rsidRPr="002A05F8">
        <w:rPr>
          <w:rFonts w:ascii="Arial" w:hAnsi="Arial" w:cs="Arial"/>
          <w:bCs/>
          <w:sz w:val="22"/>
          <w:szCs w:val="22"/>
          <w:lang w:val="es-ES" w:eastAsia="en-US"/>
        </w:rPr>
        <w:t xml:space="preserve"> cada caso concreto y de acuerdo con la regulación que sobre la materia exista ― por ejemplo, tratándose de situaciones de urgencia manifiesta ―, puesto que, quien ejerza la representación legal de la entidad no pierde dicha calidad durante los días feriados o vacantes, pero sus actuaciones deberán tener en cuenta lo dispuesto por el Código Sustantivo del Trabajo, la naturaleza del cargo como de confianza y manejo y las demás restricciones que existan en el ejercicio del cargo.</w:t>
      </w:r>
    </w:p>
    <w:p w14:paraId="5D81C95F" w14:textId="77777777" w:rsidR="002A05F8" w:rsidRPr="002A05F8" w:rsidRDefault="002A05F8" w:rsidP="002A05F8">
      <w:pPr>
        <w:tabs>
          <w:tab w:val="left" w:pos="0"/>
        </w:tabs>
        <w:spacing w:after="120"/>
        <w:rPr>
          <w:rFonts w:ascii="Arial" w:hAnsi="Arial" w:cs="Arial"/>
          <w:bCs/>
          <w:sz w:val="22"/>
          <w:szCs w:val="22"/>
          <w:lang w:val="es-ES" w:eastAsia="en-US"/>
        </w:rPr>
      </w:pPr>
      <w:r w:rsidRPr="002A05F8">
        <w:rPr>
          <w:rFonts w:ascii="Arial" w:hAnsi="Arial" w:cs="Arial"/>
          <w:bCs/>
          <w:sz w:val="22"/>
          <w:szCs w:val="22"/>
          <w:lang w:val="es-ES" w:eastAsia="en-US"/>
        </w:rPr>
        <w:tab/>
        <w:t>Finalmente, teniendo en cuenta que en la actualidad los procesos se pueden tramitar en las plataformas de SECOP I y de SECOP II, la Agencia Nacional de Contratación Pública – Colombia Compra Eficiente ha considerado que, tratándose de las actuaciones e</w:t>
      </w:r>
      <w:r w:rsidRPr="002A05F8">
        <w:rPr>
          <w:rFonts w:ascii="Arial" w:hAnsi="Arial" w:cs="Arial"/>
          <w:bCs/>
          <w:sz w:val="22"/>
          <w:szCs w:val="22"/>
          <w:lang w:eastAsia="en-US"/>
        </w:rPr>
        <w:t xml:space="preserve">n los procesos adelantados en el SECOP I, se presentarán por cualquier medio: en físico, entre las horas de </w:t>
      </w:r>
      <w:r w:rsidRPr="002A05F8">
        <w:rPr>
          <w:rFonts w:ascii="Arial" w:hAnsi="Arial" w:cs="Arial"/>
          <w:bCs/>
          <w:sz w:val="22"/>
          <w:szCs w:val="22"/>
          <w:lang w:eastAsia="en-US"/>
        </w:rPr>
        <w:lastRenderedPageBreak/>
        <w:t>atención al público; o por correo electrónico hasta las 23:59 p. m. del día establecido en el cronograma y que, los adelantados en el SECOP II se realizarán en la forma prevista en la plataforma</w:t>
      </w:r>
      <w:r w:rsidRPr="002A05F8">
        <w:rPr>
          <w:rFonts w:ascii="Arial" w:hAnsi="Arial" w:cs="Arial"/>
          <w:bCs/>
          <w:sz w:val="22"/>
          <w:szCs w:val="22"/>
          <w:lang w:val="es-ES" w:eastAsia="en-US"/>
        </w:rPr>
        <w:t>.</w:t>
      </w:r>
    </w:p>
    <w:bookmarkEnd w:id="6"/>
    <w:p w14:paraId="57172E02" w14:textId="77777777" w:rsidR="002A05F8" w:rsidRPr="002A05F8" w:rsidRDefault="002A05F8" w:rsidP="002A05F8">
      <w:pPr>
        <w:widowControl w:val="0"/>
        <w:autoSpaceDE w:val="0"/>
        <w:autoSpaceDN w:val="0"/>
        <w:spacing w:after="0"/>
        <w:rPr>
          <w:rFonts w:ascii="Arial" w:eastAsia="Arial" w:hAnsi="Arial" w:cs="Arial"/>
          <w:sz w:val="18"/>
          <w:szCs w:val="22"/>
          <w:lang w:val="es-ES" w:eastAsia="es-ES" w:bidi="es-ES"/>
        </w:rPr>
      </w:pPr>
      <w:r w:rsidRPr="002A05F8">
        <w:rPr>
          <w:rFonts w:ascii="Arial" w:eastAsia="Arial" w:hAnsi="Arial" w:cs="Arial"/>
          <w:bCs/>
          <w:sz w:val="18"/>
          <w:szCs w:val="22"/>
          <w:lang w:val="es-ES_tradnl" w:eastAsia="es-ES" w:bidi="es-ES"/>
        </w:rPr>
        <w:tab/>
      </w:r>
      <w:r w:rsidRPr="002A05F8">
        <w:rPr>
          <w:rFonts w:ascii="Arial" w:eastAsia="Arial" w:hAnsi="Arial" w:cs="Arial"/>
          <w:bCs/>
          <w:sz w:val="22"/>
          <w:szCs w:val="22"/>
          <w:lang w:val="es-ES_tradnl" w:eastAsia="es-ES" w:bidi="es-ES"/>
        </w:rPr>
        <w:t xml:space="preserve"> </w:t>
      </w:r>
    </w:p>
    <w:p w14:paraId="2F4CDD2B" w14:textId="77777777" w:rsidR="002A05F8" w:rsidRPr="002A05F8" w:rsidRDefault="002A05F8" w:rsidP="002A05F8">
      <w:pPr>
        <w:tabs>
          <w:tab w:val="left" w:pos="284"/>
        </w:tabs>
        <w:spacing w:after="0"/>
        <w:rPr>
          <w:rFonts w:ascii="Arial" w:eastAsia="Arial" w:hAnsi="Arial" w:cs="Arial"/>
          <w:b/>
          <w:color w:val="000000"/>
          <w:sz w:val="22"/>
          <w:szCs w:val="22"/>
        </w:rPr>
      </w:pPr>
      <w:r w:rsidRPr="002A05F8">
        <w:rPr>
          <w:rFonts w:ascii="Arial" w:eastAsia="Arial" w:hAnsi="Arial" w:cs="Arial"/>
          <w:b/>
          <w:color w:val="000000"/>
          <w:sz w:val="22"/>
          <w:szCs w:val="22"/>
        </w:rPr>
        <w:t>Respuesta</w:t>
      </w:r>
    </w:p>
    <w:p w14:paraId="32CD7750" w14:textId="77777777" w:rsidR="002A05F8" w:rsidRPr="002A05F8" w:rsidRDefault="002A05F8" w:rsidP="002A05F8">
      <w:pPr>
        <w:pBdr>
          <w:top w:val="nil"/>
          <w:left w:val="nil"/>
          <w:bottom w:val="nil"/>
          <w:right w:val="nil"/>
          <w:between w:val="nil"/>
        </w:pBdr>
        <w:spacing w:after="0" w:line="240" w:lineRule="auto"/>
        <w:ind w:left="709" w:right="709"/>
        <w:rPr>
          <w:rFonts w:ascii="Arial" w:eastAsia="Arial" w:hAnsi="Arial" w:cs="Arial"/>
          <w:color w:val="000000"/>
          <w:sz w:val="22"/>
          <w:szCs w:val="22"/>
        </w:rPr>
      </w:pPr>
    </w:p>
    <w:p w14:paraId="0F6716DA" w14:textId="75A20CF7" w:rsidR="002A05F8" w:rsidRPr="0042407C" w:rsidRDefault="002A05F8" w:rsidP="002A05F8">
      <w:pPr>
        <w:pBdr>
          <w:top w:val="nil"/>
          <w:left w:val="nil"/>
          <w:bottom w:val="nil"/>
          <w:right w:val="nil"/>
          <w:between w:val="nil"/>
        </w:pBdr>
        <w:spacing w:after="0" w:line="240" w:lineRule="auto"/>
        <w:ind w:left="709" w:right="709"/>
        <w:rPr>
          <w:rFonts w:ascii="Arial" w:eastAsia="Arial" w:hAnsi="Arial" w:cs="Arial"/>
          <w:i/>
          <w:iCs/>
          <w:color w:val="000000"/>
          <w:sz w:val="22"/>
          <w:szCs w:val="22"/>
        </w:rPr>
      </w:pPr>
      <w:r w:rsidRPr="0042407C">
        <w:rPr>
          <w:rFonts w:ascii="Arial" w:eastAsia="Arial" w:hAnsi="Arial" w:cs="Arial"/>
          <w:i/>
          <w:iCs/>
          <w:color w:val="000000"/>
          <w:sz w:val="22"/>
          <w:szCs w:val="22"/>
        </w:rPr>
        <w:t xml:space="preserve">«¿Realizar, suscribir, y firmar contratos Estatales estaría Inmerso de alguna Inhabilidad e Incompatibilidad si se realiza un Dia Sábado, Domingo y Festivos En Colombia?»  </w:t>
      </w:r>
    </w:p>
    <w:p w14:paraId="00E4540F" w14:textId="77777777" w:rsidR="002A05F8" w:rsidRPr="002A05F8" w:rsidRDefault="002A05F8" w:rsidP="002A05F8">
      <w:pPr>
        <w:spacing w:after="0"/>
        <w:rPr>
          <w:rFonts w:ascii="Arial" w:eastAsia="Arial" w:hAnsi="Arial" w:cs="Arial"/>
          <w:bCs/>
          <w:color w:val="000000"/>
          <w:sz w:val="21"/>
          <w:szCs w:val="21"/>
          <w:lang w:val="es-ES"/>
        </w:rPr>
      </w:pPr>
    </w:p>
    <w:p w14:paraId="52797307" w14:textId="77777777" w:rsidR="002A05F8" w:rsidRPr="002A05F8" w:rsidRDefault="002A05F8" w:rsidP="002A05F8">
      <w:pPr>
        <w:spacing w:before="120" w:after="120"/>
        <w:rPr>
          <w:rFonts w:ascii="Arial" w:hAnsi="Arial" w:cs="Arial"/>
          <w:sz w:val="22"/>
          <w:szCs w:val="22"/>
          <w:lang w:val="es-ES_tradnl" w:eastAsia="es-MX"/>
        </w:rPr>
      </w:pPr>
      <w:r w:rsidRPr="002A05F8">
        <w:rPr>
          <w:rFonts w:ascii="Arial" w:hAnsi="Arial" w:cs="Arial"/>
          <w:sz w:val="22"/>
          <w:szCs w:val="22"/>
          <w:lang w:val="es-ES_tradnl" w:eastAsia="es-MX"/>
        </w:rPr>
        <w:t xml:space="preserve">En la relación de las causales de inhabilidad e incompatibilidad previstas en el artículo 8 de la Ley 80 de 1993 no se evidencia alguna que haga referencia a la prohibición de suscribir un contrato los </w:t>
      </w:r>
      <w:proofErr w:type="gramStart"/>
      <w:r w:rsidRPr="002A05F8">
        <w:rPr>
          <w:rFonts w:ascii="Arial" w:hAnsi="Arial" w:cs="Arial"/>
          <w:sz w:val="22"/>
          <w:szCs w:val="22"/>
          <w:lang w:val="es-ES_tradnl" w:eastAsia="es-MX"/>
        </w:rPr>
        <w:t>días sábados</w:t>
      </w:r>
      <w:proofErr w:type="gramEnd"/>
      <w:r w:rsidRPr="002A05F8">
        <w:rPr>
          <w:rFonts w:ascii="Arial" w:hAnsi="Arial" w:cs="Arial"/>
          <w:sz w:val="22"/>
          <w:szCs w:val="22"/>
          <w:lang w:val="es-ES_tradnl" w:eastAsia="es-MX"/>
        </w:rPr>
        <w:t xml:space="preserve">, domingos o festivos. Así las cosas, con base en el principio de interpretación taxativa y restrictiva, se puede concluir que el supuesto de hecho planteado en su pregunta no existe inhabilidad o incompatibilidad. </w:t>
      </w:r>
    </w:p>
    <w:p w14:paraId="183EBA80" w14:textId="34DB2D71" w:rsidR="002A05F8" w:rsidRPr="002A05F8" w:rsidRDefault="002A05F8" w:rsidP="002A05F8">
      <w:pPr>
        <w:tabs>
          <w:tab w:val="left" w:pos="0"/>
        </w:tabs>
        <w:spacing w:before="120" w:after="120"/>
        <w:rPr>
          <w:rFonts w:ascii="Arial" w:hAnsi="Arial" w:cs="Arial"/>
          <w:bCs/>
          <w:sz w:val="22"/>
          <w:szCs w:val="22"/>
          <w:lang w:val="es-ES" w:eastAsia="en-US"/>
        </w:rPr>
      </w:pPr>
      <w:r w:rsidRPr="002A05F8">
        <w:rPr>
          <w:rFonts w:ascii="Arial" w:hAnsi="Arial" w:cs="Arial"/>
          <w:bCs/>
          <w:sz w:val="22"/>
          <w:szCs w:val="22"/>
          <w:lang w:val="es-ES" w:eastAsia="en-US"/>
        </w:rPr>
        <w:tab/>
        <w:t xml:space="preserve">Ahora, </w:t>
      </w:r>
      <w:proofErr w:type="gramStart"/>
      <w:r w:rsidRPr="002A05F8">
        <w:rPr>
          <w:rFonts w:ascii="Arial" w:hAnsi="Arial" w:cs="Arial"/>
          <w:bCs/>
          <w:sz w:val="22"/>
          <w:szCs w:val="22"/>
          <w:lang w:val="es-ES" w:eastAsia="en-US"/>
        </w:rPr>
        <w:t>de acuerdo a</w:t>
      </w:r>
      <w:proofErr w:type="gramEnd"/>
      <w:r w:rsidRPr="002A05F8">
        <w:rPr>
          <w:rFonts w:ascii="Arial" w:hAnsi="Arial" w:cs="Arial"/>
          <w:bCs/>
          <w:sz w:val="22"/>
          <w:szCs w:val="22"/>
          <w:lang w:val="es-ES" w:eastAsia="en-US"/>
        </w:rPr>
        <w:t xml:space="preserve"> las consideraciones expuestas, los días hábiles se determinan según la entidad, ya que </w:t>
      </w:r>
      <w:r w:rsidR="00017D87">
        <w:rPr>
          <w:rFonts w:ascii="Arial" w:hAnsi="Arial" w:cs="Arial"/>
          <w:bCs/>
          <w:sz w:val="22"/>
          <w:szCs w:val="22"/>
          <w:lang w:val="es-ES" w:eastAsia="en-US"/>
        </w:rPr>
        <w:t xml:space="preserve">estas pueden establecer </w:t>
      </w:r>
      <w:r w:rsidRPr="002A05F8">
        <w:rPr>
          <w:rFonts w:ascii="Arial" w:hAnsi="Arial" w:cs="Arial"/>
          <w:bCs/>
          <w:sz w:val="22"/>
          <w:szCs w:val="22"/>
          <w:lang w:val="es-ES" w:eastAsia="en-US"/>
        </w:rPr>
        <w:t>«</w:t>
      </w:r>
      <w:r w:rsidR="00017D87">
        <w:rPr>
          <w:rFonts w:ascii="Arial" w:hAnsi="Arial" w:cs="Arial"/>
          <w:bCs/>
          <w:sz w:val="22"/>
          <w:szCs w:val="22"/>
          <w:lang w:val="es-ES" w:eastAsia="en-US"/>
        </w:rPr>
        <w:t>(…)</w:t>
      </w:r>
      <w:r w:rsidRPr="002A05F8">
        <w:rPr>
          <w:rFonts w:ascii="Arial" w:hAnsi="Arial" w:cs="Arial"/>
          <w:bCs/>
          <w:sz w:val="22"/>
          <w:szCs w:val="22"/>
          <w:lang w:val="es-ES" w:eastAsia="en-US"/>
        </w:rPr>
        <w:t xml:space="preserve"> la jornada laboral, a través de su reglamento interno, dando certeza sobre los días que atienden al público, e indirectamente definiendo qué día es hábil en determinada institución»</w:t>
      </w:r>
      <w:r w:rsidRPr="002A05F8">
        <w:rPr>
          <w:rFonts w:ascii="Arial" w:hAnsi="Arial" w:cs="Arial"/>
          <w:bCs/>
          <w:sz w:val="22"/>
          <w:szCs w:val="22"/>
          <w:vertAlign w:val="superscript"/>
          <w:lang w:val="es-ES" w:eastAsia="en-US"/>
        </w:rPr>
        <w:footnoteReference w:id="12"/>
      </w:r>
      <w:r w:rsidRPr="002A05F8">
        <w:rPr>
          <w:rFonts w:ascii="Arial" w:hAnsi="Arial" w:cs="Arial"/>
          <w:bCs/>
          <w:sz w:val="22"/>
          <w:szCs w:val="22"/>
          <w:lang w:val="es-ES" w:eastAsia="en-US"/>
        </w:rPr>
        <w:t>, por lo que días hábiles son aquellos de la semana durante los cuales las entidades públicas ejercen sus funciones y prestan servicio al público</w:t>
      </w:r>
      <w:r w:rsidR="00E519B3">
        <w:rPr>
          <w:rFonts w:ascii="Arial" w:hAnsi="Arial" w:cs="Arial"/>
          <w:bCs/>
          <w:sz w:val="22"/>
          <w:szCs w:val="22"/>
          <w:lang w:val="es-ES" w:eastAsia="en-US"/>
        </w:rPr>
        <w:t>.</w:t>
      </w:r>
    </w:p>
    <w:p w14:paraId="39856F1B" w14:textId="4364C07C" w:rsidR="002A05F8" w:rsidRPr="002A05F8" w:rsidRDefault="002A05F8" w:rsidP="002A05F8">
      <w:pPr>
        <w:tabs>
          <w:tab w:val="left" w:pos="0"/>
        </w:tabs>
        <w:spacing w:after="0"/>
        <w:rPr>
          <w:rFonts w:ascii="Arial" w:hAnsi="Arial" w:cs="Arial"/>
          <w:bCs/>
          <w:sz w:val="22"/>
          <w:szCs w:val="22"/>
          <w:lang w:val="es-ES" w:eastAsia="en-US"/>
        </w:rPr>
      </w:pPr>
      <w:r w:rsidRPr="002A05F8">
        <w:rPr>
          <w:rFonts w:ascii="Arial" w:hAnsi="Arial" w:cs="Arial"/>
          <w:bCs/>
          <w:sz w:val="22"/>
          <w:szCs w:val="22"/>
          <w:lang w:val="es-ES" w:eastAsia="en-US"/>
        </w:rPr>
        <w:tab/>
        <w:t xml:space="preserve">Como consecuencia de lo anterior, se recomienda que la celebración o suscripción de contratos transcurra dentro de los días definidos por cada entidad estatal como laborables en su correspondiente reglamento o manual de funciones; sin embargo, </w:t>
      </w:r>
      <w:r w:rsidR="00E519B3">
        <w:rPr>
          <w:rFonts w:ascii="Arial" w:hAnsi="Arial" w:cs="Arial"/>
          <w:bCs/>
          <w:sz w:val="22"/>
          <w:szCs w:val="22"/>
          <w:lang w:val="es-ES" w:eastAsia="en-US"/>
        </w:rPr>
        <w:t xml:space="preserve">no existe restricción alguna para que en días no laborales las Entidades Estatales celebren contratos, teniendo en cuenta </w:t>
      </w:r>
      <w:r w:rsidRPr="002A05F8">
        <w:rPr>
          <w:rFonts w:ascii="Arial" w:hAnsi="Arial" w:cs="Arial"/>
          <w:bCs/>
          <w:sz w:val="22"/>
          <w:szCs w:val="22"/>
          <w:lang w:val="es-ES" w:eastAsia="en-US"/>
        </w:rPr>
        <w:t xml:space="preserve">las situaciones particulares </w:t>
      </w:r>
      <w:r w:rsidR="00E519B3">
        <w:rPr>
          <w:rFonts w:ascii="Arial" w:hAnsi="Arial" w:cs="Arial"/>
          <w:bCs/>
          <w:sz w:val="22"/>
          <w:szCs w:val="22"/>
          <w:lang w:val="es-ES" w:eastAsia="en-US"/>
        </w:rPr>
        <w:t>de</w:t>
      </w:r>
      <w:r w:rsidRPr="002A05F8">
        <w:rPr>
          <w:rFonts w:ascii="Arial" w:hAnsi="Arial" w:cs="Arial"/>
          <w:bCs/>
          <w:sz w:val="22"/>
          <w:szCs w:val="22"/>
          <w:lang w:val="es-ES" w:eastAsia="en-US"/>
        </w:rPr>
        <w:t xml:space="preserve"> cada caso concreto y de acuerdo con la regulación que sobre la materia exista ― por ejemplo, tratándose de situaciones de urgencia manifiesta ―, puesto que, quien ejerza la representación legal de la entidad no pierde dicha calidad durante los días feriados o vacantes, pero sus actuaciones deberán tener en cuenta lo dispuesto por el Código Sustantivo del Trabajo, la naturaleza del cargo como de confianza y manejo y las demás restricciones que existan en el ejercicio del cargo.</w:t>
      </w:r>
    </w:p>
    <w:p w14:paraId="4F0437E6" w14:textId="77777777" w:rsidR="002A05F8" w:rsidRPr="002A05F8" w:rsidRDefault="002A05F8" w:rsidP="002A05F8">
      <w:pPr>
        <w:spacing w:after="0"/>
        <w:rPr>
          <w:rFonts w:ascii="Arial" w:eastAsia="Arial" w:hAnsi="Arial" w:cs="Arial"/>
          <w:bCs/>
          <w:color w:val="000000"/>
          <w:sz w:val="22"/>
          <w:szCs w:val="22"/>
        </w:rPr>
      </w:pPr>
    </w:p>
    <w:p w14:paraId="6FE14B44" w14:textId="77777777" w:rsidR="002A05F8" w:rsidRPr="002A05F8" w:rsidRDefault="002A05F8" w:rsidP="002A05F8">
      <w:pPr>
        <w:spacing w:after="0"/>
        <w:rPr>
          <w:rFonts w:ascii="Arial" w:eastAsia="Arial" w:hAnsi="Arial" w:cs="Arial"/>
          <w:color w:val="000000"/>
          <w:sz w:val="22"/>
          <w:szCs w:val="22"/>
        </w:rPr>
      </w:pPr>
      <w:bookmarkStart w:id="7" w:name="_2grqrue" w:colFirst="0" w:colLast="0"/>
      <w:bookmarkEnd w:id="7"/>
      <w:r w:rsidRPr="002A05F8">
        <w:rPr>
          <w:rFonts w:ascii="Arial" w:eastAsia="Arial" w:hAnsi="Arial" w:cs="Arial"/>
          <w:color w:val="000000"/>
          <w:sz w:val="22"/>
          <w:szCs w:val="22"/>
        </w:rPr>
        <w:t>Este concepto tiene el alcance previsto en el artículo 28 del Código de Procedimiento Administrativo y de lo Contencioso Administrativo.</w:t>
      </w:r>
    </w:p>
    <w:p w14:paraId="3111724E" w14:textId="77777777" w:rsidR="002A05F8" w:rsidRPr="002A05F8" w:rsidRDefault="002A05F8" w:rsidP="002A05F8">
      <w:pPr>
        <w:spacing w:after="0"/>
        <w:rPr>
          <w:rFonts w:ascii="Arial" w:eastAsia="Arial" w:hAnsi="Arial" w:cs="Arial"/>
          <w:color w:val="000000"/>
          <w:sz w:val="22"/>
          <w:szCs w:val="22"/>
        </w:rPr>
      </w:pPr>
      <w:r w:rsidRPr="002A05F8">
        <w:rPr>
          <w:noProof/>
          <w:lang w:val="es-CO" w:eastAsia="es-CO"/>
        </w:rPr>
        <mc:AlternateContent>
          <mc:Choice Requires="wps">
            <w:drawing>
              <wp:anchor distT="4294967260" distB="4294967260" distL="114300" distR="114300" simplePos="0" relativeHeight="251659264" behindDoc="0" locked="0" layoutInCell="1" hidden="0" allowOverlap="1" wp14:anchorId="6BFC31CD" wp14:editId="450F7ACF">
                <wp:simplePos x="0" y="0"/>
                <wp:positionH relativeFrom="column">
                  <wp:posOffset>434340</wp:posOffset>
                </wp:positionH>
                <wp:positionV relativeFrom="paragraph">
                  <wp:posOffset>10205</wp:posOffset>
                </wp:positionV>
                <wp:extent cx="4686300" cy="0"/>
                <wp:effectExtent l="0" t="4763" r="0" b="4763"/>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86300" cy="0"/>
                        </a:xfrm>
                        <a:prstGeom prst="line">
                          <a:avLst/>
                        </a:prstGeom>
                        <a:noFill/>
                        <a:ln w="9525" cap="flat" cmpd="sng" algn="ctr">
                          <a:solidFill>
                            <a:srgbClr val="DBDBDB"/>
                          </a:solidFill>
                          <a:prstDash val="solid"/>
                        </a:ln>
                        <a:effectLst/>
                      </wps:spPr>
                      <wps:bodyPr/>
                    </wps:wsp>
                  </a:graphicData>
                </a:graphic>
              </wp:anchor>
            </w:drawing>
          </mc:Choice>
          <mc:Fallback>
            <w:pict>
              <v:line w14:anchorId="2DCE5B41" id="Conector recto 1" o:spid="_x0000_s1026" style="position:absolute;z-index:251659264;visibility:visible;mso-wrap-style:square;mso-wrap-distance-left:9pt;mso-wrap-distance-top:-.001mm;mso-wrap-distance-right:9pt;mso-wrap-distance-bottom:-.001mm;mso-position-horizontal:absolute;mso-position-horizontal-relative:text;mso-position-vertical:absolute;mso-position-vertical-relative:text" from="34.2pt,.8pt" to="403.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" strokecolor="#dbdbdb">
                <o:lock v:ext="edit" shapetype="f"/>
              </v:line>
            </w:pict>
          </mc:Fallback>
        </mc:AlternateContent>
      </w:r>
    </w:p>
    <w:p w14:paraId="055AE4E5" w14:textId="77777777" w:rsidR="002A05F8" w:rsidRPr="002A05F8" w:rsidRDefault="002A05F8" w:rsidP="002A05F8">
      <w:pPr>
        <w:rPr>
          <w:rFonts w:ascii="Arial" w:eastAsia="Arial" w:hAnsi="Arial" w:cs="Arial"/>
          <w:color w:val="000000"/>
          <w:sz w:val="22"/>
          <w:szCs w:val="22"/>
        </w:rPr>
      </w:pPr>
      <w:r w:rsidRPr="002A05F8">
        <w:rPr>
          <w:rFonts w:ascii="Arial" w:eastAsia="Arial" w:hAnsi="Arial" w:cs="Arial"/>
          <w:color w:val="000000"/>
          <w:sz w:val="22"/>
          <w:szCs w:val="22"/>
        </w:rPr>
        <w:lastRenderedPageBreak/>
        <w:t>Atentamente,</w:t>
      </w:r>
    </w:p>
    <w:p w14:paraId="5EFA1B82" w14:textId="0B3926CC" w:rsidR="002A05F8" w:rsidRPr="002A05F8" w:rsidRDefault="0042407C" w:rsidP="002A05F8">
      <w:pPr>
        <w:jc w:val="center"/>
        <w:rPr>
          <w:rFonts w:ascii="Arial" w:hAnsi="Arial" w:cs="Arial"/>
          <w:noProof/>
          <w:color w:val="FF0000"/>
          <w:sz w:val="22"/>
          <w:lang w:val="en-US" w:eastAsia="en-US"/>
        </w:rPr>
      </w:pPr>
      <w:r>
        <w:rPr>
          <w:noProof/>
        </w:rPr>
        <w:drawing>
          <wp:inline distT="0" distB="0" distL="0" distR="0" wp14:anchorId="214A6AD1" wp14:editId="3EF09198">
            <wp:extent cx="2714625" cy="1009650"/>
            <wp:effectExtent l="0" t="0" r="9525" b="0"/>
            <wp:docPr id="704682195" name="Imagen 704682195"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704682195" name="Imagen 704682195"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14625" cy="1009650"/>
                    </a:xfrm>
                    <a:prstGeom prst="rect">
                      <a:avLst/>
                    </a:prstGeom>
                  </pic:spPr>
                </pic:pic>
              </a:graphicData>
            </a:graphic>
          </wp:inline>
        </w:drawing>
      </w:r>
      <w:r w:rsidR="002A05F8" w:rsidRPr="002A05F8">
        <w:rPr>
          <w:rFonts w:ascii="Arial" w:hAnsi="Arial" w:cs="Arial"/>
          <w:color w:val="000000"/>
          <w:sz w:val="22"/>
          <w:szCs w:val="22"/>
          <w:shd w:val="clear" w:color="auto" w:fill="FFFFFF"/>
          <w:lang w:val="es-ES"/>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A05F8" w:rsidRPr="002A05F8" w14:paraId="3AF15122" w14:textId="77777777" w:rsidTr="002A05F8">
        <w:trPr>
          <w:trHeight w:val="315"/>
        </w:trPr>
        <w:tc>
          <w:tcPr>
            <w:tcW w:w="812" w:type="dxa"/>
            <w:vAlign w:val="center"/>
            <w:hideMark/>
          </w:tcPr>
          <w:p w14:paraId="3BFE3F1E" w14:textId="77777777" w:rsidR="002A05F8" w:rsidRPr="002A05F8" w:rsidRDefault="002A05F8" w:rsidP="002A05F8">
            <w:pPr>
              <w:spacing w:after="0" w:line="240" w:lineRule="auto"/>
              <w:rPr>
                <w:rFonts w:ascii="Arial" w:eastAsia="Cambria" w:hAnsi="Arial" w:cs="Arial"/>
                <w:sz w:val="16"/>
                <w:szCs w:val="16"/>
                <w:lang w:val="es-ES_tradnl" w:eastAsia="es-ES"/>
              </w:rPr>
            </w:pPr>
            <w:r w:rsidRPr="002A05F8">
              <w:rPr>
                <w:rFonts w:ascii="Arial" w:eastAsia="Cambria" w:hAnsi="Arial" w:cs="Arial"/>
                <w:sz w:val="16"/>
                <w:szCs w:val="16"/>
                <w:lang w:val="es-ES_tradnl" w:eastAsia="es-ES"/>
              </w:rPr>
              <w:t>Elaboró:</w:t>
            </w:r>
          </w:p>
        </w:tc>
        <w:tc>
          <w:tcPr>
            <w:tcW w:w="4413" w:type="dxa"/>
            <w:tcBorders>
              <w:top w:val="nil"/>
              <w:left w:val="nil"/>
              <w:bottom w:val="dotted" w:sz="4" w:space="0" w:color="7F7F7F"/>
              <w:right w:val="nil"/>
            </w:tcBorders>
            <w:vAlign w:val="center"/>
            <w:hideMark/>
          </w:tcPr>
          <w:p w14:paraId="23C8232A" w14:textId="77777777" w:rsidR="002A05F8" w:rsidRPr="002A05F8" w:rsidRDefault="002A05F8" w:rsidP="002A05F8">
            <w:pPr>
              <w:spacing w:after="0" w:line="240" w:lineRule="auto"/>
              <w:rPr>
                <w:rFonts w:ascii="Arial" w:eastAsia="Cambria" w:hAnsi="Arial" w:cs="Arial"/>
                <w:sz w:val="16"/>
                <w:szCs w:val="16"/>
                <w:lang w:val="es-ES_tradnl" w:eastAsia="es-ES"/>
              </w:rPr>
            </w:pPr>
            <w:r w:rsidRPr="002A05F8">
              <w:rPr>
                <w:rFonts w:ascii="Arial" w:eastAsia="Cambria" w:hAnsi="Arial" w:cs="Arial"/>
                <w:sz w:val="16"/>
                <w:szCs w:val="16"/>
                <w:lang w:val="es-ES_tradnl" w:eastAsia="es-ES"/>
              </w:rPr>
              <w:t>Nathalia Urrego Jiménez</w:t>
            </w:r>
          </w:p>
          <w:p w14:paraId="4FF9BDC0" w14:textId="77777777" w:rsidR="002A05F8" w:rsidRPr="002A05F8" w:rsidRDefault="002A05F8" w:rsidP="002A05F8">
            <w:pPr>
              <w:spacing w:after="0" w:line="240" w:lineRule="auto"/>
              <w:rPr>
                <w:rFonts w:ascii="Arial" w:eastAsia="Cambria" w:hAnsi="Arial" w:cs="Arial"/>
                <w:sz w:val="16"/>
                <w:szCs w:val="16"/>
                <w:lang w:val="es-ES_tradnl" w:eastAsia="es-ES"/>
              </w:rPr>
            </w:pPr>
            <w:r w:rsidRPr="002A05F8">
              <w:rPr>
                <w:rFonts w:ascii="Arial" w:eastAsia="Cambria" w:hAnsi="Arial" w:cs="Arial"/>
                <w:sz w:val="16"/>
                <w:szCs w:val="16"/>
                <w:lang w:val="es-ES_tradnl" w:eastAsia="es-ES"/>
              </w:rPr>
              <w:t>Contratista de la Subdirección de Gestión Contractual</w:t>
            </w:r>
          </w:p>
        </w:tc>
      </w:tr>
      <w:tr w:rsidR="002A05F8" w:rsidRPr="002A05F8" w14:paraId="4D853B31" w14:textId="77777777" w:rsidTr="002A05F8">
        <w:trPr>
          <w:trHeight w:val="330"/>
        </w:trPr>
        <w:tc>
          <w:tcPr>
            <w:tcW w:w="812" w:type="dxa"/>
            <w:vAlign w:val="center"/>
            <w:hideMark/>
          </w:tcPr>
          <w:p w14:paraId="56C24BC8" w14:textId="77777777" w:rsidR="002A05F8" w:rsidRPr="002A05F8" w:rsidRDefault="002A05F8" w:rsidP="002A05F8">
            <w:pPr>
              <w:spacing w:after="0" w:line="240" w:lineRule="auto"/>
              <w:rPr>
                <w:rFonts w:ascii="Arial" w:eastAsia="Cambria" w:hAnsi="Arial" w:cs="Arial"/>
                <w:sz w:val="16"/>
                <w:szCs w:val="16"/>
                <w:lang w:val="es-ES_tradnl" w:eastAsia="es-ES"/>
              </w:rPr>
            </w:pPr>
            <w:r w:rsidRPr="002A05F8">
              <w:rPr>
                <w:rFonts w:ascii="Arial" w:eastAsia="Cambria" w:hAnsi="Arial" w:cs="Arial"/>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76E22DF7" w14:textId="77777777" w:rsidR="002A05F8" w:rsidRPr="002A05F8" w:rsidRDefault="002A05F8" w:rsidP="002A05F8">
            <w:pPr>
              <w:spacing w:after="0" w:line="240" w:lineRule="auto"/>
              <w:rPr>
                <w:rFonts w:ascii="Arial" w:eastAsia="Cambria" w:hAnsi="Arial" w:cs="Arial"/>
                <w:sz w:val="16"/>
                <w:szCs w:val="16"/>
                <w:lang w:val="es-ES_tradnl" w:eastAsia="es-ES"/>
              </w:rPr>
            </w:pPr>
            <w:r w:rsidRPr="002A05F8">
              <w:rPr>
                <w:rFonts w:ascii="Arial" w:eastAsia="Cambria" w:hAnsi="Arial" w:cs="Arial"/>
                <w:sz w:val="16"/>
                <w:szCs w:val="16"/>
                <w:lang w:val="es-ES_tradnl" w:eastAsia="es-ES"/>
              </w:rPr>
              <w:t>Any Alejandra Tovar Castillo</w:t>
            </w:r>
          </w:p>
          <w:p w14:paraId="5E0A55AA" w14:textId="77777777" w:rsidR="002A05F8" w:rsidRPr="002A05F8" w:rsidRDefault="002A05F8" w:rsidP="002A05F8">
            <w:pPr>
              <w:spacing w:after="0" w:line="240" w:lineRule="auto"/>
              <w:rPr>
                <w:rFonts w:ascii="Arial" w:eastAsia="Cambria" w:hAnsi="Arial" w:cs="Arial"/>
                <w:sz w:val="16"/>
                <w:szCs w:val="16"/>
                <w:lang w:val="es-ES_tradnl" w:eastAsia="es-ES"/>
              </w:rPr>
            </w:pPr>
            <w:r w:rsidRPr="002A05F8">
              <w:rPr>
                <w:rFonts w:ascii="Arial" w:eastAsia="Cambria" w:hAnsi="Arial" w:cs="Arial"/>
                <w:sz w:val="16"/>
                <w:szCs w:val="16"/>
                <w:lang w:val="es-ES_tradnl" w:eastAsia="es-ES"/>
              </w:rPr>
              <w:t>Contratista de la Subdirección de Gestión Contractual</w:t>
            </w:r>
          </w:p>
        </w:tc>
      </w:tr>
      <w:tr w:rsidR="002A05F8" w:rsidRPr="002A05F8" w14:paraId="0127D715" w14:textId="77777777" w:rsidTr="002A05F8">
        <w:trPr>
          <w:trHeight w:val="300"/>
        </w:trPr>
        <w:tc>
          <w:tcPr>
            <w:tcW w:w="812" w:type="dxa"/>
            <w:vAlign w:val="center"/>
            <w:hideMark/>
          </w:tcPr>
          <w:p w14:paraId="0B3C97E0" w14:textId="77777777" w:rsidR="002A05F8" w:rsidRPr="002A05F8" w:rsidRDefault="002A05F8" w:rsidP="002A05F8">
            <w:pPr>
              <w:spacing w:after="0" w:line="240" w:lineRule="auto"/>
              <w:rPr>
                <w:rFonts w:ascii="Arial" w:eastAsia="Cambria" w:hAnsi="Arial" w:cs="Arial"/>
                <w:sz w:val="16"/>
                <w:szCs w:val="16"/>
                <w:lang w:val="es-ES_tradnl" w:eastAsia="es-ES"/>
              </w:rPr>
            </w:pPr>
            <w:r w:rsidRPr="002A05F8">
              <w:rPr>
                <w:rFonts w:ascii="Arial" w:eastAsia="Cambria" w:hAnsi="Arial" w:cs="Arial"/>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2E9B3462" w14:textId="77777777" w:rsidR="002A05F8" w:rsidRPr="002A05F8" w:rsidRDefault="002A05F8" w:rsidP="002A05F8">
            <w:pPr>
              <w:spacing w:after="0" w:line="240" w:lineRule="auto"/>
              <w:rPr>
                <w:rFonts w:ascii="Arial" w:eastAsia="Cambria" w:hAnsi="Arial" w:cs="Arial"/>
                <w:sz w:val="16"/>
                <w:szCs w:val="16"/>
                <w:lang w:val="es-ES_tradnl" w:eastAsia="es-ES"/>
              </w:rPr>
            </w:pPr>
            <w:r w:rsidRPr="002A05F8">
              <w:rPr>
                <w:rFonts w:ascii="Arial" w:eastAsia="Cambria" w:hAnsi="Arial" w:cs="Arial"/>
                <w:sz w:val="16"/>
                <w:szCs w:val="16"/>
                <w:lang w:val="es-ES_tradnl" w:eastAsia="es-ES"/>
              </w:rPr>
              <w:t>Juan David Marín López</w:t>
            </w:r>
          </w:p>
          <w:p w14:paraId="13355C6F" w14:textId="77777777" w:rsidR="002A05F8" w:rsidRPr="002A05F8" w:rsidRDefault="002A05F8" w:rsidP="002A05F8">
            <w:pPr>
              <w:spacing w:after="0" w:line="240" w:lineRule="auto"/>
              <w:rPr>
                <w:rFonts w:ascii="Arial" w:eastAsia="Cambria" w:hAnsi="Arial" w:cs="Arial"/>
                <w:sz w:val="16"/>
                <w:szCs w:val="16"/>
                <w:lang w:val="es-ES_tradnl" w:eastAsia="es-ES"/>
              </w:rPr>
            </w:pPr>
            <w:r w:rsidRPr="002A05F8">
              <w:rPr>
                <w:rFonts w:ascii="Arial" w:eastAsia="Cambria" w:hAnsi="Arial" w:cs="Arial"/>
                <w:sz w:val="16"/>
                <w:szCs w:val="16"/>
                <w:lang w:val="es-ES_tradnl" w:eastAsia="es-ES"/>
              </w:rPr>
              <w:t xml:space="preserve">Subdirector de Gestión Contractual (E) </w:t>
            </w:r>
          </w:p>
        </w:tc>
      </w:tr>
    </w:tbl>
    <w:p w14:paraId="7073026A" w14:textId="77777777" w:rsidR="002A05F8" w:rsidRPr="002A05F8" w:rsidRDefault="002A05F8" w:rsidP="002A05F8">
      <w:pPr>
        <w:rPr>
          <w:color w:val="FF0000"/>
        </w:rPr>
      </w:pPr>
    </w:p>
    <w:p w14:paraId="073088C9" w14:textId="77777777" w:rsidR="002A05F8" w:rsidRPr="002A05F8" w:rsidRDefault="002A05F8" w:rsidP="002A05F8">
      <w:pPr>
        <w:spacing w:after="0" w:line="240" w:lineRule="auto"/>
        <w:rPr>
          <w:rFonts w:ascii="Times New Roman" w:eastAsia="Times New Roman" w:hAnsi="Times New Roman" w:cs="Times New Roman"/>
          <w:lang w:eastAsia="es-MX"/>
        </w:rPr>
      </w:pPr>
    </w:p>
    <w:p w14:paraId="3BFBE921" w14:textId="77777777" w:rsidR="002A05F8" w:rsidRPr="00F235D2" w:rsidRDefault="002A05F8" w:rsidP="002A05F8">
      <w:pPr>
        <w:contextualSpacing/>
        <w:rPr>
          <w:rFonts w:ascii="Arial" w:hAnsi="Arial" w:cs="Arial"/>
          <w:bCs/>
          <w:sz w:val="20"/>
          <w:szCs w:val="20"/>
        </w:rPr>
      </w:pPr>
    </w:p>
    <w:p w14:paraId="4A2B7B04" w14:textId="77777777" w:rsidR="002A05F8" w:rsidRDefault="002A05F8" w:rsidP="002A05F8"/>
    <w:p w14:paraId="55E4B77B" w14:textId="77777777" w:rsidR="00CE7CA5" w:rsidRDefault="00000000"/>
    <w:sectPr w:rsidR="00CE7CA5" w:rsidSect="00F76AFC">
      <w:headerReference w:type="default" r:id="rId13"/>
      <w:footerReference w:type="default" r:id="rId14"/>
      <w:pgSz w:w="12240" w:h="15840"/>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92EDD" w14:textId="77777777" w:rsidR="005704C8" w:rsidRDefault="005704C8" w:rsidP="002A05F8">
      <w:pPr>
        <w:spacing w:after="0" w:line="240" w:lineRule="auto"/>
      </w:pPr>
      <w:r>
        <w:separator/>
      </w:r>
    </w:p>
  </w:endnote>
  <w:endnote w:type="continuationSeparator" w:id="0">
    <w:p w14:paraId="4D01D55E" w14:textId="77777777" w:rsidR="005704C8" w:rsidRDefault="005704C8" w:rsidP="002A0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Geomanist Light">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EFE2" w14:textId="77777777" w:rsidR="004A1847" w:rsidRDefault="002A05F8">
    <w:pPr>
      <w:pStyle w:val="Piedepgina"/>
    </w:pPr>
    <w:r>
      <w:rPr>
        <w:noProof/>
      </w:rPr>
      <w:drawing>
        <wp:inline distT="0" distB="0" distL="0" distR="0" wp14:anchorId="50B761E1" wp14:editId="2632E5E2">
          <wp:extent cx="5885180" cy="914400"/>
          <wp:effectExtent l="0" t="0" r="127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421"/>
      <w:gridCol w:w="844"/>
      <w:gridCol w:w="2073"/>
      <w:gridCol w:w="720"/>
      <w:gridCol w:w="2643"/>
      <w:gridCol w:w="1416"/>
    </w:tblGrid>
    <w:tr w:rsidR="002A05F8" w:rsidRPr="00080DA3" w14:paraId="24466B41" w14:textId="77777777" w:rsidTr="002A05F8">
      <w:trPr>
        <w:trHeight w:val="229"/>
        <w:jc w:val="center"/>
      </w:trPr>
      <w:tc>
        <w:tcPr>
          <w:tcW w:w="1013" w:type="dxa"/>
          <w:tcBorders>
            <w:top w:val="dotted" w:sz="4" w:space="0" w:color="808080"/>
            <w:left w:val="dotted" w:sz="4" w:space="0" w:color="808080"/>
            <w:bottom w:val="dotted" w:sz="4" w:space="0" w:color="808080"/>
          </w:tcBorders>
          <w:shd w:val="clear" w:color="auto" w:fill="auto"/>
        </w:tcPr>
        <w:p w14:paraId="4E21A0E5" w14:textId="77777777" w:rsidR="006219F8" w:rsidRPr="00080DA3" w:rsidRDefault="002A05F8" w:rsidP="006219F8">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21" w:type="dxa"/>
          <w:tcBorders>
            <w:top w:val="dotted" w:sz="4" w:space="0" w:color="808080"/>
            <w:bottom w:val="dotted" w:sz="4" w:space="0" w:color="808080"/>
            <w:right w:val="dotted" w:sz="4" w:space="0" w:color="808080"/>
          </w:tcBorders>
          <w:shd w:val="clear" w:color="auto" w:fill="auto"/>
        </w:tcPr>
        <w:p w14:paraId="7B264B54" w14:textId="77777777" w:rsidR="006219F8" w:rsidRPr="00080DA3" w:rsidRDefault="002A05F8" w:rsidP="006219F8">
          <w:pPr>
            <w:pStyle w:val="Piedepgina"/>
            <w:jc w:val="center"/>
            <w:rPr>
              <w:rFonts w:ascii="Geomanist Light" w:hAnsi="Geomanist Light"/>
              <w:sz w:val="18"/>
              <w:szCs w:val="18"/>
            </w:rPr>
          </w:pPr>
          <w:r w:rsidRPr="00080DA3">
            <w:rPr>
              <w:rFonts w:ascii="Geomanist Light" w:hAnsi="Geomanist Light"/>
              <w:sz w:val="18"/>
              <w:szCs w:val="18"/>
            </w:rPr>
            <w:t>02</w:t>
          </w:r>
        </w:p>
      </w:tc>
      <w:tc>
        <w:tcPr>
          <w:tcW w:w="844" w:type="dxa"/>
          <w:tcBorders>
            <w:top w:val="dotted" w:sz="4" w:space="0" w:color="808080"/>
            <w:left w:val="dotted" w:sz="4" w:space="0" w:color="808080"/>
            <w:bottom w:val="dotted" w:sz="4" w:space="0" w:color="808080"/>
          </w:tcBorders>
          <w:shd w:val="clear" w:color="auto" w:fill="auto"/>
        </w:tcPr>
        <w:p w14:paraId="0724C311" w14:textId="77777777" w:rsidR="006219F8" w:rsidRPr="00080DA3" w:rsidRDefault="002A05F8" w:rsidP="006219F8">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2073" w:type="dxa"/>
          <w:tcBorders>
            <w:top w:val="dotted" w:sz="4" w:space="0" w:color="808080"/>
            <w:bottom w:val="dotted" w:sz="4" w:space="0" w:color="808080"/>
            <w:right w:val="dotted" w:sz="4" w:space="0" w:color="808080"/>
          </w:tcBorders>
          <w:shd w:val="clear" w:color="auto" w:fill="auto"/>
          <w:vAlign w:val="center"/>
        </w:tcPr>
        <w:p w14:paraId="285C05DF" w14:textId="77777777" w:rsidR="006219F8" w:rsidRPr="002A05F8" w:rsidRDefault="002A05F8" w:rsidP="006219F8">
          <w:pPr>
            <w:pStyle w:val="Encabezado"/>
            <w:tabs>
              <w:tab w:val="center" w:pos="5400"/>
            </w:tabs>
            <w:jc w:val="right"/>
            <w:rPr>
              <w:rFonts w:ascii="Geomanist Light" w:hAnsi="Geomanist Light"/>
              <w:color w:val="404040"/>
              <w:sz w:val="18"/>
              <w:szCs w:val="18"/>
            </w:rPr>
          </w:pPr>
          <w:r w:rsidRPr="002A05F8">
            <w:rPr>
              <w:rFonts w:ascii="Geomanist Light" w:hAnsi="Geomanist Light"/>
              <w:color w:val="404040"/>
              <w:sz w:val="18"/>
              <w:szCs w:val="18"/>
            </w:rPr>
            <w:t>CCE-DES-FM-17</w:t>
          </w:r>
        </w:p>
      </w:tc>
      <w:tc>
        <w:tcPr>
          <w:tcW w:w="720" w:type="dxa"/>
          <w:tcBorders>
            <w:top w:val="dotted" w:sz="4" w:space="0" w:color="808080"/>
            <w:left w:val="dotted" w:sz="4" w:space="0" w:color="808080"/>
            <w:bottom w:val="dotted" w:sz="4" w:space="0" w:color="808080"/>
          </w:tcBorders>
          <w:shd w:val="clear" w:color="auto" w:fill="auto"/>
        </w:tcPr>
        <w:p w14:paraId="6D59F34E" w14:textId="77777777" w:rsidR="006219F8" w:rsidRPr="00080DA3" w:rsidRDefault="002A05F8" w:rsidP="006219F8">
          <w:pPr>
            <w:pStyle w:val="Piedepgina"/>
            <w:jc w:val="center"/>
            <w:rPr>
              <w:rFonts w:ascii="Geomanist Light" w:hAnsi="Geomanist Light"/>
              <w:sz w:val="18"/>
              <w:szCs w:val="18"/>
            </w:rPr>
          </w:pPr>
          <w:r w:rsidRPr="00080DA3">
            <w:rPr>
              <w:rFonts w:ascii="Geomanist Light" w:hAnsi="Geomanist Light"/>
              <w:sz w:val="18"/>
              <w:szCs w:val="18"/>
            </w:rPr>
            <w:t>Fecha:</w:t>
          </w:r>
        </w:p>
      </w:tc>
      <w:tc>
        <w:tcPr>
          <w:tcW w:w="2643" w:type="dxa"/>
          <w:tcBorders>
            <w:top w:val="dotted" w:sz="4" w:space="0" w:color="808080"/>
            <w:bottom w:val="dotted" w:sz="4" w:space="0" w:color="808080"/>
            <w:right w:val="dotted" w:sz="4" w:space="0" w:color="808080"/>
          </w:tcBorders>
          <w:shd w:val="clear" w:color="auto" w:fill="auto"/>
        </w:tcPr>
        <w:p w14:paraId="2ED7F97D" w14:textId="77777777" w:rsidR="006219F8" w:rsidRPr="00080DA3" w:rsidRDefault="002A05F8" w:rsidP="006219F8">
          <w:pPr>
            <w:pStyle w:val="Piedepgina"/>
            <w:jc w:val="center"/>
            <w:rPr>
              <w:rFonts w:ascii="Geomanist Light" w:hAnsi="Geomanist Light"/>
              <w:sz w:val="18"/>
              <w:szCs w:val="18"/>
            </w:rPr>
          </w:pPr>
          <w:r w:rsidRPr="00080DA3">
            <w:rPr>
              <w:rFonts w:ascii="Geomanist Light" w:hAnsi="Geomanist Light"/>
              <w:sz w:val="18"/>
              <w:szCs w:val="18"/>
            </w:rPr>
            <w:t>03 de noviembre de 2021</w:t>
          </w:r>
        </w:p>
      </w:tc>
      <w:tc>
        <w:tcPr>
          <w:tcW w:w="1416" w:type="dxa"/>
          <w:tcBorders>
            <w:top w:val="dotted" w:sz="4" w:space="0" w:color="808080"/>
            <w:left w:val="dotted" w:sz="4" w:space="0" w:color="808080"/>
            <w:bottom w:val="dotted" w:sz="4" w:space="0" w:color="808080"/>
            <w:right w:val="dotted" w:sz="4" w:space="0" w:color="808080"/>
          </w:tcBorders>
          <w:shd w:val="clear" w:color="auto" w:fill="auto"/>
        </w:tcPr>
        <w:p w14:paraId="2E8AF785" w14:textId="77777777" w:rsidR="006219F8" w:rsidRPr="00080DA3" w:rsidRDefault="002A05F8" w:rsidP="006219F8">
          <w:pPr>
            <w:pStyle w:val="Piedepgina"/>
            <w:jc w:val="right"/>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3C8D7075" w14:textId="77777777" w:rsidR="006219F8"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F48AF" w14:textId="77777777" w:rsidR="005704C8" w:rsidRDefault="005704C8" w:rsidP="002A05F8">
      <w:pPr>
        <w:spacing w:after="0" w:line="240" w:lineRule="auto"/>
      </w:pPr>
      <w:r>
        <w:separator/>
      </w:r>
    </w:p>
  </w:footnote>
  <w:footnote w:type="continuationSeparator" w:id="0">
    <w:p w14:paraId="71020E51" w14:textId="77777777" w:rsidR="005704C8" w:rsidRDefault="005704C8" w:rsidP="002A05F8">
      <w:pPr>
        <w:spacing w:after="0" w:line="240" w:lineRule="auto"/>
      </w:pPr>
      <w:r>
        <w:continuationSeparator/>
      </w:r>
    </w:p>
  </w:footnote>
  <w:footnote w:id="1">
    <w:p w14:paraId="17D46683" w14:textId="77777777" w:rsidR="002A05F8" w:rsidRPr="00242DD6" w:rsidRDefault="002A05F8" w:rsidP="002A05F8">
      <w:pPr>
        <w:pStyle w:val="Textonotapie"/>
        <w:ind w:firstLine="708"/>
        <w:jc w:val="both"/>
        <w:rPr>
          <w:rFonts w:ascii="Arial" w:hAnsi="Arial" w:cs="Arial"/>
          <w:sz w:val="19"/>
          <w:szCs w:val="19"/>
          <w:lang w:val="pt-BR"/>
        </w:rPr>
      </w:pPr>
      <w:r w:rsidRPr="00CA3725">
        <w:rPr>
          <w:rStyle w:val="Refdenotaalpie"/>
          <w:rFonts w:ascii="Arial" w:hAnsi="Arial" w:cs="Arial"/>
          <w:sz w:val="19"/>
          <w:szCs w:val="19"/>
        </w:rPr>
        <w:footnoteRef/>
      </w:r>
      <w:r w:rsidRPr="00242DD6">
        <w:rPr>
          <w:rFonts w:ascii="Arial" w:hAnsi="Arial" w:cs="Arial"/>
          <w:sz w:val="19"/>
          <w:szCs w:val="19"/>
          <w:lang w:val="pt-BR"/>
        </w:rPr>
        <w:t xml:space="preserve"> CORTE CONSTITUCIONAL. Sentencia C-1016 de 2012. M.P. Jorge Iván Palacio. </w:t>
      </w:r>
    </w:p>
    <w:p w14:paraId="4A6D6F94" w14:textId="77777777" w:rsidR="002A05F8" w:rsidRPr="00242DD6" w:rsidRDefault="002A05F8" w:rsidP="002A05F8">
      <w:pPr>
        <w:pStyle w:val="Textonotapie"/>
        <w:ind w:firstLine="708"/>
        <w:jc w:val="both"/>
        <w:rPr>
          <w:rFonts w:ascii="Arial" w:hAnsi="Arial" w:cs="Arial"/>
          <w:sz w:val="19"/>
          <w:szCs w:val="19"/>
          <w:lang w:val="pt-BR"/>
        </w:rPr>
      </w:pPr>
    </w:p>
  </w:footnote>
  <w:footnote w:id="2">
    <w:p w14:paraId="635E5F40" w14:textId="77777777" w:rsidR="002A05F8" w:rsidRPr="00242DD6" w:rsidRDefault="002A05F8" w:rsidP="002A05F8">
      <w:pPr>
        <w:pStyle w:val="Textonotapie"/>
        <w:ind w:firstLine="708"/>
        <w:jc w:val="both"/>
        <w:rPr>
          <w:rFonts w:ascii="Arial" w:hAnsi="Arial" w:cs="Arial"/>
          <w:sz w:val="19"/>
          <w:szCs w:val="19"/>
          <w:lang w:val="pt-BR"/>
        </w:rPr>
      </w:pPr>
      <w:r w:rsidRPr="00CA3725">
        <w:rPr>
          <w:rStyle w:val="Refdenotaalpie"/>
          <w:rFonts w:ascii="Arial" w:hAnsi="Arial" w:cs="Arial"/>
          <w:sz w:val="19"/>
          <w:szCs w:val="19"/>
        </w:rPr>
        <w:footnoteRef/>
      </w:r>
      <w:r w:rsidRPr="00CA3725">
        <w:rPr>
          <w:rFonts w:ascii="Arial" w:hAnsi="Arial" w:cs="Arial"/>
          <w:sz w:val="19"/>
          <w:szCs w:val="19"/>
        </w:rPr>
        <w:t xml:space="preserve"> CONSEJO DE ESTADO. Sección Tercera. Subsección A. Sentencia del 13 de noviembre de 2013. </w:t>
      </w:r>
      <w:r w:rsidRPr="00242DD6">
        <w:rPr>
          <w:rFonts w:ascii="Arial" w:hAnsi="Arial" w:cs="Arial"/>
          <w:sz w:val="19"/>
          <w:szCs w:val="19"/>
          <w:lang w:val="pt-BR"/>
        </w:rPr>
        <w:t xml:space="preserve">Rad. 25.646. C.P. Mauricio Fajardo Gómez.  </w:t>
      </w:r>
    </w:p>
  </w:footnote>
  <w:footnote w:id="3">
    <w:p w14:paraId="3678F5F7" w14:textId="77777777" w:rsidR="002A05F8" w:rsidRDefault="002A05F8" w:rsidP="002A05F8">
      <w:pPr>
        <w:pStyle w:val="Textonotapie"/>
        <w:ind w:firstLine="708"/>
        <w:jc w:val="both"/>
        <w:rPr>
          <w:rFonts w:ascii="Arial" w:hAnsi="Arial" w:cs="Arial"/>
          <w:sz w:val="19"/>
          <w:szCs w:val="19"/>
          <w:lang w:val="pt-BR"/>
        </w:rPr>
      </w:pPr>
      <w:r w:rsidRPr="00CA3725">
        <w:rPr>
          <w:rFonts w:ascii="Arial" w:hAnsi="Arial" w:cs="Arial"/>
          <w:sz w:val="19"/>
          <w:szCs w:val="19"/>
          <w:vertAlign w:val="superscript"/>
        </w:rPr>
        <w:footnoteRef/>
      </w:r>
      <w:r w:rsidRPr="00242DD6">
        <w:rPr>
          <w:rFonts w:ascii="Arial" w:hAnsi="Arial" w:cs="Arial"/>
          <w:sz w:val="19"/>
          <w:szCs w:val="19"/>
          <w:lang w:val="pt-BR"/>
        </w:rPr>
        <w:t xml:space="preserve"> CORTE CONSTITUCIONAL. Sentencia C-415 de 1994. M.P. Eduardo </w:t>
      </w:r>
      <w:proofErr w:type="spellStart"/>
      <w:r w:rsidRPr="00242DD6">
        <w:rPr>
          <w:rFonts w:ascii="Arial" w:hAnsi="Arial" w:cs="Arial"/>
          <w:sz w:val="19"/>
          <w:szCs w:val="19"/>
          <w:lang w:val="pt-BR"/>
        </w:rPr>
        <w:t>Cifuentes</w:t>
      </w:r>
      <w:proofErr w:type="spellEnd"/>
      <w:r w:rsidRPr="00242DD6">
        <w:rPr>
          <w:rFonts w:ascii="Arial" w:hAnsi="Arial" w:cs="Arial"/>
          <w:sz w:val="19"/>
          <w:szCs w:val="19"/>
          <w:lang w:val="pt-BR"/>
        </w:rPr>
        <w:t xml:space="preserve"> </w:t>
      </w:r>
      <w:proofErr w:type="spellStart"/>
      <w:r w:rsidRPr="00242DD6">
        <w:rPr>
          <w:rFonts w:ascii="Arial" w:hAnsi="Arial" w:cs="Arial"/>
          <w:sz w:val="19"/>
          <w:szCs w:val="19"/>
          <w:lang w:val="pt-BR"/>
        </w:rPr>
        <w:t>Muñoz</w:t>
      </w:r>
      <w:proofErr w:type="spellEnd"/>
      <w:r w:rsidRPr="00242DD6">
        <w:rPr>
          <w:rFonts w:ascii="Arial" w:hAnsi="Arial" w:cs="Arial"/>
          <w:sz w:val="19"/>
          <w:szCs w:val="19"/>
          <w:lang w:val="pt-BR"/>
        </w:rPr>
        <w:t xml:space="preserve">. </w:t>
      </w:r>
    </w:p>
    <w:p w14:paraId="5980C4CB" w14:textId="77777777" w:rsidR="002A05F8" w:rsidRPr="00242DD6" w:rsidRDefault="002A05F8" w:rsidP="002A05F8">
      <w:pPr>
        <w:pStyle w:val="Textonotapie"/>
        <w:ind w:firstLine="708"/>
        <w:jc w:val="both"/>
        <w:rPr>
          <w:rFonts w:ascii="Arial" w:hAnsi="Arial" w:cs="Arial"/>
          <w:sz w:val="19"/>
          <w:szCs w:val="19"/>
          <w:lang w:val="pt-BR"/>
        </w:rPr>
      </w:pPr>
    </w:p>
  </w:footnote>
  <w:footnote w:id="4">
    <w:p w14:paraId="3C0A8533" w14:textId="77777777" w:rsidR="002A05F8" w:rsidRPr="00242DD6" w:rsidRDefault="002A05F8" w:rsidP="002A05F8">
      <w:pPr>
        <w:pStyle w:val="Textonotapie"/>
        <w:ind w:firstLine="708"/>
        <w:jc w:val="both"/>
        <w:rPr>
          <w:rFonts w:ascii="Arial" w:hAnsi="Arial" w:cs="Arial"/>
          <w:sz w:val="19"/>
          <w:szCs w:val="19"/>
          <w:lang w:val="pt-BR"/>
        </w:rPr>
      </w:pPr>
      <w:r w:rsidRPr="00CA3725">
        <w:rPr>
          <w:rStyle w:val="Refdenotaalpie"/>
          <w:rFonts w:ascii="Arial" w:hAnsi="Arial" w:cs="Arial"/>
          <w:sz w:val="19"/>
          <w:szCs w:val="19"/>
        </w:rPr>
        <w:footnoteRef/>
      </w:r>
      <w:r w:rsidRPr="00242DD6">
        <w:rPr>
          <w:rFonts w:ascii="Arial" w:hAnsi="Arial" w:cs="Arial"/>
          <w:sz w:val="19"/>
          <w:szCs w:val="19"/>
          <w:lang w:val="pt-BR"/>
        </w:rPr>
        <w:t xml:space="preserve"> </w:t>
      </w:r>
      <w:proofErr w:type="spellStart"/>
      <w:r w:rsidRPr="00242DD6">
        <w:rPr>
          <w:rFonts w:ascii="Arial" w:hAnsi="Arial" w:cs="Arial"/>
          <w:sz w:val="19"/>
          <w:szCs w:val="19"/>
          <w:lang w:val="pt-BR"/>
        </w:rPr>
        <w:t>Ibídem</w:t>
      </w:r>
      <w:proofErr w:type="spellEnd"/>
      <w:r w:rsidRPr="00242DD6">
        <w:rPr>
          <w:rFonts w:ascii="Arial" w:hAnsi="Arial" w:cs="Arial"/>
          <w:sz w:val="19"/>
          <w:szCs w:val="19"/>
          <w:lang w:val="pt-BR"/>
        </w:rPr>
        <w:t xml:space="preserve">. </w:t>
      </w:r>
    </w:p>
    <w:p w14:paraId="7AA4CD1E" w14:textId="77777777" w:rsidR="002A05F8" w:rsidRPr="00242DD6" w:rsidRDefault="002A05F8" w:rsidP="002A05F8">
      <w:pPr>
        <w:pStyle w:val="Textonotapie"/>
        <w:ind w:firstLine="708"/>
        <w:jc w:val="both"/>
        <w:rPr>
          <w:rFonts w:ascii="Arial" w:hAnsi="Arial" w:cs="Arial"/>
          <w:sz w:val="19"/>
          <w:szCs w:val="19"/>
          <w:lang w:val="pt-BR"/>
        </w:rPr>
      </w:pPr>
    </w:p>
  </w:footnote>
  <w:footnote w:id="5">
    <w:p w14:paraId="1F5DDEB4" w14:textId="77777777" w:rsidR="002A05F8" w:rsidRDefault="002A05F8" w:rsidP="002A05F8">
      <w:pPr>
        <w:pStyle w:val="Textonotapie"/>
        <w:ind w:firstLine="708"/>
        <w:jc w:val="both"/>
        <w:rPr>
          <w:rFonts w:ascii="Arial" w:hAnsi="Arial" w:cs="Arial"/>
          <w:sz w:val="19"/>
          <w:szCs w:val="19"/>
        </w:rPr>
      </w:pPr>
      <w:r w:rsidRPr="00E13471">
        <w:rPr>
          <w:rStyle w:val="Refdenotaalpie"/>
          <w:rFonts w:ascii="Arial" w:hAnsi="Arial" w:cs="Arial"/>
          <w:sz w:val="19"/>
          <w:szCs w:val="19"/>
        </w:rPr>
        <w:footnoteRef/>
      </w:r>
      <w:r w:rsidRPr="00E13471">
        <w:rPr>
          <w:rFonts w:ascii="Arial" w:hAnsi="Arial" w:cs="Arial"/>
          <w:sz w:val="19"/>
          <w:szCs w:val="19"/>
        </w:rPr>
        <w:t xml:space="preserve"> En esta línea Dávila Vinueza Expresa: «El legislador para calificar estas prohibiciones emplea dos vocablos: Inhabilidades o incompatibilidades, los cuales en un examen desprevenido podrían sugerir ideas diferentes </w:t>
      </w:r>
      <w:proofErr w:type="gramStart"/>
      <w:r w:rsidRPr="00E13471">
        <w:rPr>
          <w:rFonts w:ascii="Arial" w:hAnsi="Arial" w:cs="Arial"/>
          <w:sz w:val="19"/>
          <w:szCs w:val="19"/>
        </w:rPr>
        <w:t>y</w:t>
      </w:r>
      <w:proofErr w:type="gramEnd"/>
      <w:r w:rsidRPr="00E13471">
        <w:rPr>
          <w:rFonts w:ascii="Arial" w:hAnsi="Arial" w:cs="Arial"/>
          <w:sz w:val="19"/>
          <w:szCs w:val="19"/>
        </w:rPr>
        <w:t xml:space="preserve"> en consecuencia, efectos también distintos. Sin embargo, se trata de conceptos que no producen distinciones más allá de las puramente semánticas. En nada afecta el calificar una causal con denominación diferente a la empleada en el texto legal, cuando mucho se criticará la falta de precisión. Ello es así por cuanto los efectos jurídicos que se general para una y otra son exactamente los mismos. Incluso se podría afirmar </w:t>
      </w:r>
      <w:proofErr w:type="gramStart"/>
      <w:r w:rsidRPr="00E13471">
        <w:rPr>
          <w:rFonts w:ascii="Arial" w:hAnsi="Arial" w:cs="Arial"/>
          <w:sz w:val="19"/>
          <w:szCs w:val="19"/>
        </w:rPr>
        <w:t>que</w:t>
      </w:r>
      <w:proofErr w:type="gramEnd"/>
      <w:r w:rsidRPr="00E13471">
        <w:rPr>
          <w:rFonts w:ascii="Arial" w:hAnsi="Arial" w:cs="Arial"/>
          <w:sz w:val="19"/>
          <w:szCs w:val="19"/>
        </w:rPr>
        <w:t xml:space="preserve"> ante la semejanza de las figuras, conviene emplear un único vocablo, con lo cual serían innecesarias los intentos y las elucubraciones y explicaciones, algunas novedosas que podrían ensayarse.</w:t>
      </w:r>
      <w:r w:rsidRPr="00AD1BAE">
        <w:rPr>
          <w:rFonts w:ascii="Arial" w:hAnsi="Arial" w:cs="Arial"/>
          <w:sz w:val="19"/>
          <w:szCs w:val="19"/>
        </w:rPr>
        <w:t xml:space="preserve"> (DÁVILA VINUEZA, Luis Guillermo. Régimen jurídico de la contratación estatal. 3ª ed. Bogotá: Legis, 2016. p. 148).</w:t>
      </w:r>
    </w:p>
    <w:p w14:paraId="6F355AF5" w14:textId="77777777" w:rsidR="002A05F8" w:rsidRPr="00D552AD" w:rsidRDefault="002A05F8" w:rsidP="002A05F8">
      <w:pPr>
        <w:pStyle w:val="Textonotapie"/>
        <w:ind w:firstLine="708"/>
        <w:jc w:val="both"/>
        <w:rPr>
          <w:rFonts w:ascii="Arial" w:hAnsi="Arial" w:cs="Arial"/>
          <w:sz w:val="19"/>
          <w:szCs w:val="19"/>
        </w:rPr>
      </w:pPr>
    </w:p>
  </w:footnote>
  <w:footnote w:id="6">
    <w:p w14:paraId="6CEF525A" w14:textId="77777777" w:rsidR="002A05F8" w:rsidRPr="00AD1BAE" w:rsidRDefault="002A05F8" w:rsidP="002A05F8">
      <w:pPr>
        <w:pStyle w:val="Textonotapie"/>
        <w:ind w:firstLine="709"/>
        <w:jc w:val="both"/>
        <w:rPr>
          <w:rFonts w:ascii="Arial" w:hAnsi="Arial" w:cs="Arial"/>
          <w:sz w:val="19"/>
          <w:szCs w:val="19"/>
          <w:lang w:val="es-ES"/>
        </w:rPr>
      </w:pPr>
      <w:r w:rsidRPr="00AD1BAE">
        <w:rPr>
          <w:rStyle w:val="Refdenotaalpie"/>
          <w:rFonts w:ascii="Arial" w:hAnsi="Arial" w:cs="Arial"/>
          <w:sz w:val="19"/>
          <w:szCs w:val="19"/>
        </w:rPr>
        <w:footnoteRef/>
      </w:r>
      <w:r w:rsidRPr="00AD1BAE">
        <w:rPr>
          <w:rFonts w:ascii="Arial" w:hAnsi="Arial" w:cs="Arial"/>
          <w:sz w:val="19"/>
          <w:szCs w:val="19"/>
        </w:rPr>
        <w:t xml:space="preserve"> </w:t>
      </w:r>
      <w:proofErr w:type="spellStart"/>
      <w:r w:rsidRPr="00AD1BAE">
        <w:rPr>
          <w:rFonts w:ascii="Arial" w:hAnsi="Arial" w:cs="Arial"/>
          <w:sz w:val="19"/>
          <w:szCs w:val="19"/>
          <w:lang w:val="es-ES"/>
        </w:rPr>
        <w:t>Ibídem</w:t>
      </w:r>
      <w:proofErr w:type="spellEnd"/>
      <w:r w:rsidRPr="00AD1BAE">
        <w:rPr>
          <w:rFonts w:ascii="Arial" w:hAnsi="Arial" w:cs="Arial"/>
          <w:sz w:val="19"/>
          <w:szCs w:val="19"/>
          <w:lang w:val="es-ES"/>
        </w:rPr>
        <w:t>. p. 69.</w:t>
      </w:r>
    </w:p>
  </w:footnote>
  <w:footnote w:id="7">
    <w:p w14:paraId="34372F85" w14:textId="77777777" w:rsidR="002A05F8" w:rsidRPr="00042D57" w:rsidRDefault="002A05F8" w:rsidP="002A05F8">
      <w:pPr>
        <w:pStyle w:val="Textonotapie"/>
        <w:ind w:firstLine="708"/>
        <w:rPr>
          <w:rFonts w:ascii="Arial" w:hAnsi="Arial" w:cs="Arial"/>
          <w:color w:val="000000"/>
          <w:sz w:val="19"/>
          <w:szCs w:val="19"/>
          <w:lang w:val="es-CO"/>
        </w:rPr>
      </w:pPr>
      <w:r w:rsidRPr="00042D57">
        <w:rPr>
          <w:rStyle w:val="Refdenotaalpie"/>
          <w:rFonts w:ascii="Arial" w:hAnsi="Arial" w:cs="Arial"/>
          <w:color w:val="000000"/>
          <w:sz w:val="19"/>
          <w:szCs w:val="19"/>
        </w:rPr>
        <w:footnoteRef/>
      </w:r>
      <w:r w:rsidRPr="00042D57">
        <w:rPr>
          <w:rFonts w:ascii="Arial" w:hAnsi="Arial" w:cs="Arial"/>
          <w:color w:val="000000"/>
          <w:sz w:val="19"/>
          <w:szCs w:val="19"/>
        </w:rPr>
        <w:t xml:space="preserve"> </w:t>
      </w:r>
      <w:r w:rsidRPr="00042D57">
        <w:rPr>
          <w:rFonts w:ascii="Arial" w:hAnsi="Arial" w:cs="Arial"/>
          <w:color w:val="000000"/>
          <w:sz w:val="19"/>
          <w:szCs w:val="19"/>
          <w:lang w:val="es-CO"/>
        </w:rPr>
        <w:t xml:space="preserve">Real Academia Española de la Lengua. Diccionario de la Lengua Española. Edición Tricentenario. Disponible en: </w:t>
      </w:r>
      <w:hyperlink r:id="rId1" w:history="1">
        <w:r w:rsidRPr="00042D57">
          <w:rPr>
            <w:rStyle w:val="Hipervnculo"/>
            <w:rFonts w:ascii="Arial" w:hAnsi="Arial" w:cs="Arial"/>
            <w:color w:val="000000"/>
            <w:sz w:val="19"/>
            <w:szCs w:val="19"/>
          </w:rPr>
          <w:t>https://dle.rae.es/h%C3%A1bil</w:t>
        </w:r>
      </w:hyperlink>
      <w:r w:rsidRPr="00042D57">
        <w:rPr>
          <w:rFonts w:ascii="Arial" w:hAnsi="Arial" w:cs="Arial"/>
          <w:color w:val="000000"/>
          <w:sz w:val="19"/>
          <w:szCs w:val="19"/>
          <w:lang w:val="es-CO"/>
        </w:rPr>
        <w:t xml:space="preserve"> </w:t>
      </w:r>
    </w:p>
  </w:footnote>
  <w:footnote w:id="8">
    <w:p w14:paraId="4426DFA7" w14:textId="77777777" w:rsidR="002A05F8" w:rsidRPr="00042D57" w:rsidRDefault="002A05F8" w:rsidP="002A05F8">
      <w:pPr>
        <w:pStyle w:val="Textonotapie"/>
        <w:ind w:firstLine="708"/>
        <w:rPr>
          <w:rFonts w:ascii="Arial" w:hAnsi="Arial" w:cs="Arial"/>
          <w:color w:val="000000"/>
          <w:sz w:val="19"/>
          <w:szCs w:val="19"/>
        </w:rPr>
      </w:pPr>
      <w:r w:rsidRPr="00042D57">
        <w:rPr>
          <w:rStyle w:val="Refdenotaalpie"/>
          <w:rFonts w:ascii="Arial" w:hAnsi="Arial" w:cs="Arial"/>
          <w:color w:val="000000"/>
          <w:sz w:val="19"/>
          <w:szCs w:val="19"/>
        </w:rPr>
        <w:footnoteRef/>
      </w:r>
      <w:r w:rsidRPr="00042D57">
        <w:rPr>
          <w:rFonts w:ascii="Arial" w:hAnsi="Arial" w:cs="Arial"/>
          <w:color w:val="000000"/>
          <w:sz w:val="19"/>
          <w:szCs w:val="19"/>
        </w:rPr>
        <w:t xml:space="preserve"> MARÍN CORTÉS, Fabián G. Derecho de petición y procedimiento administrativo. 1</w:t>
      </w:r>
      <w:r w:rsidRPr="00042D57">
        <w:rPr>
          <w:rFonts w:ascii="Arial" w:hAnsi="Arial" w:cs="Arial"/>
          <w:color w:val="000000"/>
          <w:sz w:val="19"/>
          <w:szCs w:val="19"/>
          <w:u w:val="single"/>
          <w:vertAlign w:val="superscript"/>
        </w:rPr>
        <w:t>a</w:t>
      </w:r>
      <w:r w:rsidRPr="00042D57">
        <w:rPr>
          <w:rFonts w:ascii="Arial" w:hAnsi="Arial" w:cs="Arial"/>
          <w:color w:val="000000"/>
          <w:sz w:val="19"/>
          <w:szCs w:val="19"/>
        </w:rPr>
        <w:t xml:space="preserve"> ed. Medellín: Librería Jurídica Sánchez R </w:t>
      </w:r>
      <w:proofErr w:type="spellStart"/>
      <w:r w:rsidRPr="00042D57">
        <w:rPr>
          <w:rFonts w:ascii="Arial" w:hAnsi="Arial" w:cs="Arial"/>
          <w:color w:val="000000"/>
          <w:sz w:val="19"/>
          <w:szCs w:val="19"/>
        </w:rPr>
        <w:t>Ltda</w:t>
      </w:r>
      <w:proofErr w:type="spellEnd"/>
      <w:r w:rsidRPr="00042D57">
        <w:rPr>
          <w:rFonts w:ascii="Arial" w:hAnsi="Arial" w:cs="Arial"/>
          <w:color w:val="000000"/>
          <w:sz w:val="19"/>
          <w:szCs w:val="19"/>
        </w:rPr>
        <w:t xml:space="preserve"> y Centro de Estudios de Derecho Administrativo, 2017. p. 417.  </w:t>
      </w:r>
    </w:p>
    <w:p w14:paraId="225ED772" w14:textId="77777777" w:rsidR="002A05F8" w:rsidRPr="00042D57" w:rsidRDefault="002A05F8" w:rsidP="002A05F8">
      <w:pPr>
        <w:pStyle w:val="Textonotapie"/>
        <w:rPr>
          <w:rFonts w:ascii="Arial" w:hAnsi="Arial" w:cs="Arial"/>
          <w:color w:val="000000"/>
          <w:sz w:val="19"/>
          <w:szCs w:val="19"/>
          <w:lang w:val="es-CO"/>
        </w:rPr>
      </w:pPr>
    </w:p>
  </w:footnote>
  <w:footnote w:id="9">
    <w:p w14:paraId="2B7BF8B9" w14:textId="77777777" w:rsidR="002A05F8" w:rsidRPr="00042D57" w:rsidRDefault="002A05F8" w:rsidP="002A05F8">
      <w:pPr>
        <w:pStyle w:val="Textonotapie"/>
        <w:ind w:firstLine="708"/>
        <w:rPr>
          <w:rFonts w:ascii="Arial" w:hAnsi="Arial" w:cs="Arial"/>
          <w:color w:val="000000"/>
          <w:sz w:val="19"/>
          <w:szCs w:val="19"/>
        </w:rPr>
      </w:pPr>
      <w:r w:rsidRPr="00042D57">
        <w:rPr>
          <w:rStyle w:val="Refdenotaalpie"/>
          <w:rFonts w:ascii="Arial" w:hAnsi="Arial" w:cs="Arial"/>
          <w:color w:val="000000"/>
          <w:sz w:val="19"/>
          <w:szCs w:val="19"/>
        </w:rPr>
        <w:footnoteRef/>
      </w:r>
      <w:r w:rsidRPr="00042D57">
        <w:rPr>
          <w:rFonts w:ascii="Arial" w:hAnsi="Arial" w:cs="Arial"/>
          <w:color w:val="000000"/>
          <w:sz w:val="19"/>
          <w:szCs w:val="19"/>
        </w:rPr>
        <w:t xml:space="preserve"> </w:t>
      </w:r>
      <w:r w:rsidRPr="00042D57">
        <w:rPr>
          <w:rFonts w:ascii="Arial" w:hAnsi="Arial" w:cs="Arial"/>
          <w:color w:val="000000"/>
          <w:sz w:val="19"/>
          <w:szCs w:val="19"/>
          <w:lang w:val="es-CO"/>
        </w:rPr>
        <w:t xml:space="preserve">Consejo de Estado. </w:t>
      </w:r>
      <w:r w:rsidRPr="00042D57">
        <w:rPr>
          <w:rFonts w:ascii="Arial" w:hAnsi="Arial" w:cs="Arial"/>
          <w:color w:val="000000"/>
          <w:sz w:val="19"/>
          <w:szCs w:val="19"/>
        </w:rPr>
        <w:t xml:space="preserve">Sala Plena de lo Contencioso Administrativo. Sentencia del 12 de abril de 1978. C.P. Carlos Portocarrero Mutis. </w:t>
      </w:r>
      <w:proofErr w:type="spellStart"/>
      <w:r w:rsidRPr="00042D57">
        <w:rPr>
          <w:rFonts w:ascii="Arial" w:hAnsi="Arial" w:cs="Arial"/>
          <w:color w:val="000000"/>
          <w:sz w:val="19"/>
          <w:szCs w:val="19"/>
        </w:rPr>
        <w:t>Exp</w:t>
      </w:r>
      <w:proofErr w:type="spellEnd"/>
      <w:r w:rsidRPr="00042D57">
        <w:rPr>
          <w:rFonts w:ascii="Arial" w:hAnsi="Arial" w:cs="Arial"/>
          <w:color w:val="000000"/>
          <w:sz w:val="19"/>
          <w:szCs w:val="19"/>
        </w:rPr>
        <w:t>. 355.</w:t>
      </w:r>
    </w:p>
    <w:p w14:paraId="4E018F8C" w14:textId="77777777" w:rsidR="002A05F8" w:rsidRPr="00042D57" w:rsidRDefault="002A05F8" w:rsidP="002A05F8">
      <w:pPr>
        <w:pStyle w:val="Textonotapie"/>
        <w:ind w:firstLine="708"/>
        <w:rPr>
          <w:rFonts w:ascii="Arial" w:hAnsi="Arial" w:cs="Arial"/>
          <w:color w:val="000000"/>
          <w:sz w:val="19"/>
          <w:szCs w:val="19"/>
          <w:lang w:val="es-CO"/>
        </w:rPr>
      </w:pPr>
    </w:p>
  </w:footnote>
  <w:footnote w:id="10">
    <w:p w14:paraId="2CECCC7F" w14:textId="77777777" w:rsidR="002A05F8" w:rsidRPr="00042D57" w:rsidRDefault="002A05F8" w:rsidP="002A05F8">
      <w:pPr>
        <w:pStyle w:val="Textonotapie"/>
        <w:ind w:firstLine="708"/>
        <w:rPr>
          <w:rFonts w:ascii="Arial" w:hAnsi="Arial" w:cs="Arial"/>
          <w:color w:val="000000"/>
          <w:sz w:val="19"/>
          <w:szCs w:val="19"/>
        </w:rPr>
      </w:pPr>
    </w:p>
    <w:p w14:paraId="136DE76D" w14:textId="77777777" w:rsidR="002A05F8" w:rsidRPr="00042D57" w:rsidRDefault="002A05F8" w:rsidP="002A05F8">
      <w:pPr>
        <w:pStyle w:val="Textonotapie"/>
        <w:ind w:firstLine="708"/>
        <w:rPr>
          <w:rFonts w:ascii="Arial" w:hAnsi="Arial" w:cs="Arial"/>
          <w:color w:val="000000"/>
          <w:sz w:val="19"/>
          <w:szCs w:val="19"/>
          <w:lang w:val="es-CO"/>
        </w:rPr>
      </w:pPr>
      <w:r w:rsidRPr="00042D57">
        <w:rPr>
          <w:rStyle w:val="Refdenotaalpie"/>
          <w:rFonts w:ascii="Arial" w:hAnsi="Arial" w:cs="Arial"/>
          <w:color w:val="000000"/>
          <w:sz w:val="19"/>
          <w:szCs w:val="19"/>
        </w:rPr>
        <w:footnoteRef/>
      </w:r>
      <w:r w:rsidRPr="00042D57">
        <w:rPr>
          <w:rFonts w:ascii="Arial" w:hAnsi="Arial" w:cs="Arial"/>
          <w:color w:val="000000"/>
          <w:sz w:val="19"/>
          <w:szCs w:val="19"/>
        </w:rPr>
        <w:t xml:space="preserve"> MARÍN CORTÉS, Fabián G. Derecho de petición y procedimiento administrativo. 1</w:t>
      </w:r>
      <w:r w:rsidRPr="00042D57">
        <w:rPr>
          <w:rFonts w:ascii="Arial" w:hAnsi="Arial" w:cs="Arial"/>
          <w:color w:val="000000"/>
          <w:sz w:val="19"/>
          <w:szCs w:val="19"/>
          <w:u w:val="single"/>
          <w:vertAlign w:val="superscript"/>
        </w:rPr>
        <w:t>a</w:t>
      </w:r>
      <w:r w:rsidRPr="00042D57">
        <w:rPr>
          <w:rFonts w:ascii="Arial" w:hAnsi="Arial" w:cs="Arial"/>
          <w:color w:val="000000"/>
          <w:sz w:val="19"/>
          <w:szCs w:val="19"/>
        </w:rPr>
        <w:t xml:space="preserve"> ed. Medellín: Librería Jurídica Sánchez R </w:t>
      </w:r>
      <w:proofErr w:type="spellStart"/>
      <w:r w:rsidRPr="00042D57">
        <w:rPr>
          <w:rFonts w:ascii="Arial" w:hAnsi="Arial" w:cs="Arial"/>
          <w:color w:val="000000"/>
          <w:sz w:val="19"/>
          <w:szCs w:val="19"/>
        </w:rPr>
        <w:t>Ltda</w:t>
      </w:r>
      <w:proofErr w:type="spellEnd"/>
      <w:r w:rsidRPr="00042D57">
        <w:rPr>
          <w:rFonts w:ascii="Arial" w:hAnsi="Arial" w:cs="Arial"/>
          <w:color w:val="000000"/>
          <w:sz w:val="19"/>
          <w:szCs w:val="19"/>
        </w:rPr>
        <w:t xml:space="preserve"> y Centro de Estudios de Derecho Administrativo, 2017. p. 417.  </w:t>
      </w:r>
    </w:p>
  </w:footnote>
  <w:footnote w:id="11">
    <w:p w14:paraId="7A53F86A" w14:textId="77777777" w:rsidR="002A05F8" w:rsidRPr="00042D57" w:rsidRDefault="002A05F8" w:rsidP="002A05F8">
      <w:pPr>
        <w:pStyle w:val="Textonotapie"/>
        <w:ind w:firstLine="708"/>
        <w:rPr>
          <w:rFonts w:ascii="Arial" w:hAnsi="Arial" w:cs="Arial"/>
          <w:color w:val="000000"/>
          <w:sz w:val="19"/>
          <w:szCs w:val="19"/>
        </w:rPr>
      </w:pPr>
    </w:p>
    <w:p w14:paraId="026E0714" w14:textId="77777777" w:rsidR="002A05F8" w:rsidRPr="00042D57" w:rsidRDefault="002A05F8" w:rsidP="002A05F8">
      <w:pPr>
        <w:pStyle w:val="Textonotapie"/>
        <w:ind w:firstLine="708"/>
        <w:rPr>
          <w:rFonts w:ascii="Arial" w:hAnsi="Arial" w:cs="Arial"/>
          <w:color w:val="000000"/>
          <w:sz w:val="19"/>
          <w:szCs w:val="19"/>
          <w:lang w:val="es-CO"/>
        </w:rPr>
      </w:pPr>
      <w:r w:rsidRPr="00042D57">
        <w:rPr>
          <w:rStyle w:val="Refdenotaalpie"/>
          <w:rFonts w:ascii="Arial" w:hAnsi="Arial" w:cs="Arial"/>
          <w:color w:val="000000"/>
          <w:sz w:val="19"/>
          <w:szCs w:val="19"/>
        </w:rPr>
        <w:footnoteRef/>
      </w:r>
      <w:r w:rsidRPr="00042D57">
        <w:rPr>
          <w:rFonts w:ascii="Arial" w:hAnsi="Arial" w:cs="Arial"/>
          <w:color w:val="000000"/>
          <w:sz w:val="19"/>
          <w:szCs w:val="19"/>
        </w:rPr>
        <w:t xml:space="preserve"> </w:t>
      </w:r>
      <w:proofErr w:type="spellStart"/>
      <w:r w:rsidRPr="00042D57">
        <w:rPr>
          <w:rFonts w:ascii="Arial" w:hAnsi="Arial" w:cs="Arial"/>
          <w:i/>
          <w:iCs/>
          <w:color w:val="000000"/>
          <w:sz w:val="19"/>
          <w:szCs w:val="19"/>
        </w:rPr>
        <w:t>Ibídem</w:t>
      </w:r>
      <w:proofErr w:type="spellEnd"/>
      <w:r w:rsidRPr="00042D57">
        <w:rPr>
          <w:rFonts w:ascii="Arial" w:hAnsi="Arial" w:cs="Arial"/>
          <w:i/>
          <w:iCs/>
          <w:color w:val="000000"/>
          <w:sz w:val="19"/>
          <w:szCs w:val="19"/>
        </w:rPr>
        <w:t>.</w:t>
      </w:r>
      <w:r w:rsidRPr="00042D57">
        <w:rPr>
          <w:rFonts w:ascii="Arial" w:hAnsi="Arial" w:cs="Arial"/>
          <w:color w:val="000000"/>
          <w:sz w:val="19"/>
          <w:szCs w:val="19"/>
        </w:rPr>
        <w:t xml:space="preserve"> </w:t>
      </w:r>
    </w:p>
  </w:footnote>
  <w:footnote w:id="12">
    <w:p w14:paraId="52123473" w14:textId="77777777" w:rsidR="002A05F8" w:rsidRPr="00042D57" w:rsidRDefault="002A05F8" w:rsidP="002A05F8">
      <w:pPr>
        <w:pStyle w:val="Textonotapie"/>
        <w:ind w:firstLine="708"/>
        <w:rPr>
          <w:rFonts w:ascii="Arial" w:hAnsi="Arial" w:cs="Arial"/>
          <w:color w:val="000000"/>
          <w:sz w:val="19"/>
          <w:szCs w:val="19"/>
        </w:rPr>
      </w:pPr>
    </w:p>
    <w:p w14:paraId="1F7303BD" w14:textId="77777777" w:rsidR="002A05F8" w:rsidRPr="00042D57" w:rsidRDefault="002A05F8" w:rsidP="002A05F8">
      <w:pPr>
        <w:pStyle w:val="Textonotapie"/>
        <w:ind w:firstLine="708"/>
        <w:rPr>
          <w:rFonts w:ascii="Arial" w:hAnsi="Arial" w:cs="Arial"/>
          <w:color w:val="000000"/>
          <w:sz w:val="19"/>
          <w:szCs w:val="19"/>
          <w:lang w:val="es-CO"/>
        </w:rPr>
      </w:pPr>
      <w:r w:rsidRPr="00042D57">
        <w:rPr>
          <w:rStyle w:val="Refdenotaalpie"/>
          <w:rFonts w:ascii="Arial" w:hAnsi="Arial" w:cs="Arial"/>
          <w:color w:val="000000"/>
          <w:sz w:val="19"/>
          <w:szCs w:val="19"/>
        </w:rPr>
        <w:footnoteRef/>
      </w:r>
      <w:r w:rsidRPr="00042D57">
        <w:rPr>
          <w:rFonts w:ascii="Arial" w:hAnsi="Arial" w:cs="Arial"/>
          <w:color w:val="000000"/>
          <w:sz w:val="19"/>
          <w:szCs w:val="19"/>
        </w:rPr>
        <w:t xml:space="preserve"> MARÍN CORTÉS, Fabián G. Derecho de petición y procedimiento administrativo. 1</w:t>
      </w:r>
      <w:r w:rsidRPr="00042D57">
        <w:rPr>
          <w:rFonts w:ascii="Arial" w:hAnsi="Arial" w:cs="Arial"/>
          <w:color w:val="000000"/>
          <w:sz w:val="19"/>
          <w:szCs w:val="19"/>
          <w:u w:val="single"/>
          <w:vertAlign w:val="superscript"/>
        </w:rPr>
        <w:t>a</w:t>
      </w:r>
      <w:r w:rsidRPr="00042D57">
        <w:rPr>
          <w:rFonts w:ascii="Arial" w:hAnsi="Arial" w:cs="Arial"/>
          <w:color w:val="000000"/>
          <w:sz w:val="19"/>
          <w:szCs w:val="19"/>
        </w:rPr>
        <w:t xml:space="preserve"> ed. Medellín: Librería Jurídica Sánchez R </w:t>
      </w:r>
      <w:proofErr w:type="spellStart"/>
      <w:r w:rsidRPr="00042D57">
        <w:rPr>
          <w:rFonts w:ascii="Arial" w:hAnsi="Arial" w:cs="Arial"/>
          <w:color w:val="000000"/>
          <w:sz w:val="19"/>
          <w:szCs w:val="19"/>
        </w:rPr>
        <w:t>Ltda</w:t>
      </w:r>
      <w:proofErr w:type="spellEnd"/>
      <w:r w:rsidRPr="00042D57">
        <w:rPr>
          <w:rFonts w:ascii="Arial" w:hAnsi="Arial" w:cs="Arial"/>
          <w:color w:val="000000"/>
          <w:sz w:val="19"/>
          <w:szCs w:val="19"/>
        </w:rPr>
        <w:t xml:space="preserve"> y Centro de Estudios de Derecho Administrativo, 2017. p. 417.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1A2F" w14:textId="77777777" w:rsidR="004A1847" w:rsidRDefault="002A05F8">
    <w:pPr>
      <w:pStyle w:val="Encabezado"/>
    </w:pPr>
    <w:r>
      <w:rPr>
        <w:noProof/>
      </w:rPr>
      <w:drawing>
        <wp:anchor distT="0" distB="0" distL="114300" distR="114300" simplePos="0" relativeHeight="251659264" behindDoc="0" locked="0" layoutInCell="1" allowOverlap="1" wp14:anchorId="7FE51AB2" wp14:editId="133E1BA6">
          <wp:simplePos x="0" y="0"/>
          <wp:positionH relativeFrom="margin">
            <wp:align>right</wp:align>
          </wp:positionH>
          <wp:positionV relativeFrom="paragraph">
            <wp:posOffset>-233883</wp:posOffset>
          </wp:positionV>
          <wp:extent cx="1688592" cy="701040"/>
          <wp:effectExtent l="0" t="0" r="6985" b="3810"/>
          <wp:wrapNone/>
          <wp:docPr id="5" name="Imagen 5"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8592" cy="701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1353"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B297AE4"/>
    <w:multiLevelType w:val="hybridMultilevel"/>
    <w:tmpl w:val="9E966D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71272495">
    <w:abstractNumId w:val="0"/>
  </w:num>
  <w:num w:numId="2" w16cid:durableId="1375621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5F8"/>
    <w:rsid w:val="00017D87"/>
    <w:rsid w:val="00145901"/>
    <w:rsid w:val="002A05F8"/>
    <w:rsid w:val="002C520C"/>
    <w:rsid w:val="0030526A"/>
    <w:rsid w:val="0042407C"/>
    <w:rsid w:val="004E468B"/>
    <w:rsid w:val="005367C1"/>
    <w:rsid w:val="005704C8"/>
    <w:rsid w:val="00651B1E"/>
    <w:rsid w:val="006668CF"/>
    <w:rsid w:val="007A39B0"/>
    <w:rsid w:val="0089759F"/>
    <w:rsid w:val="008C6702"/>
    <w:rsid w:val="00A10D66"/>
    <w:rsid w:val="00E519B3"/>
    <w:rsid w:val="00F70676"/>
    <w:rsid w:val="00F72E3D"/>
    <w:rsid w:val="00FE3A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601F"/>
  <w15:chartTrackingRefBased/>
  <w15:docId w15:val="{EE0C6E9A-8CE7-43B0-86F1-8B62884E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5F8"/>
    <w:pPr>
      <w:spacing w:after="200" w:line="276" w:lineRule="auto"/>
      <w:jc w:val="both"/>
    </w:pPr>
    <w:rPr>
      <w:rFonts w:ascii="Calibri" w:eastAsia="Calibri" w:hAnsi="Calibri" w:cs="Calibri"/>
      <w:sz w:val="24"/>
      <w:szCs w:val="24"/>
      <w:lang w:val="es-MX"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05F8"/>
    <w:pPr>
      <w:tabs>
        <w:tab w:val="center" w:pos="4419"/>
        <w:tab w:val="right" w:pos="8838"/>
      </w:tabs>
      <w:spacing w:after="0" w:line="240" w:lineRule="auto"/>
      <w:jc w:val="left"/>
    </w:pPr>
    <w:rPr>
      <w:rFonts w:ascii="Times New Roman" w:eastAsia="Times New Roman" w:hAnsi="Times New Roman" w:cs="Times New Roman"/>
      <w:lang w:val="es-CO"/>
    </w:rPr>
  </w:style>
  <w:style w:type="character" w:customStyle="1" w:styleId="EncabezadoCar">
    <w:name w:val="Encabezado Car"/>
    <w:basedOn w:val="Fuentedeprrafopredeter"/>
    <w:link w:val="Encabezado"/>
    <w:uiPriority w:val="99"/>
    <w:rsid w:val="002A05F8"/>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2A05F8"/>
    <w:pPr>
      <w:tabs>
        <w:tab w:val="center" w:pos="4419"/>
        <w:tab w:val="right" w:pos="8838"/>
      </w:tabs>
      <w:spacing w:after="0" w:line="240" w:lineRule="auto"/>
      <w:jc w:val="left"/>
    </w:pPr>
    <w:rPr>
      <w:rFonts w:ascii="Times New Roman" w:eastAsia="Times New Roman" w:hAnsi="Times New Roman" w:cs="Times New Roman"/>
      <w:lang w:val="es-CO"/>
    </w:rPr>
  </w:style>
  <w:style w:type="character" w:customStyle="1" w:styleId="PiedepginaCar">
    <w:name w:val="Pie de página Car"/>
    <w:basedOn w:val="Fuentedeprrafopredeter"/>
    <w:link w:val="Piedepgina"/>
    <w:uiPriority w:val="99"/>
    <w:rsid w:val="002A05F8"/>
    <w:rPr>
      <w:rFonts w:ascii="Times New Roman" w:eastAsia="Times New Roman" w:hAnsi="Times New Roman" w:cs="Times New Roman"/>
      <w:sz w:val="24"/>
      <w:szCs w:val="24"/>
      <w:lang w:eastAsia="es-ES_tradnl"/>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2A05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2A05F8"/>
    <w:pPr>
      <w:spacing w:after="0" w:line="240" w:lineRule="auto"/>
      <w:jc w:val="left"/>
    </w:pPr>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2A05F8"/>
    <w:rPr>
      <w:rFonts w:ascii="Calibri" w:eastAsia="Calibri" w:hAnsi="Calibri" w:cs="Calibri"/>
      <w:sz w:val="20"/>
      <w:szCs w:val="20"/>
      <w:lang w:val="es-MX" w:eastAsia="es-ES_tradnl"/>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2A05F8"/>
    <w:rPr>
      <w:vertAlign w:val="superscript"/>
    </w:rPr>
  </w:style>
  <w:style w:type="table" w:styleId="Tablaconcuadrcula">
    <w:name w:val="Table Grid"/>
    <w:basedOn w:val="Tablanormal"/>
    <w:uiPriority w:val="59"/>
    <w:rsid w:val="002A0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2A05F8"/>
    <w:pPr>
      <w:spacing w:after="160" w:line="240" w:lineRule="exact"/>
      <w:jc w:val="left"/>
    </w:pPr>
    <w:rPr>
      <w:rFonts w:asciiTheme="minorHAnsi" w:eastAsiaTheme="minorHAnsi" w:hAnsiTheme="minorHAnsi" w:cstheme="minorBidi"/>
      <w:sz w:val="22"/>
      <w:szCs w:val="22"/>
      <w:vertAlign w:val="superscript"/>
      <w:lang w:val="es-CO" w:eastAsia="en-US"/>
    </w:rPr>
  </w:style>
  <w:style w:type="character" w:customStyle="1" w:styleId="Hipervnculo1">
    <w:name w:val="Hipervínculo1"/>
    <w:basedOn w:val="Fuentedeprrafopredeter"/>
    <w:uiPriority w:val="99"/>
    <w:unhideWhenUsed/>
    <w:rsid w:val="002A05F8"/>
    <w:rPr>
      <w:color w:val="F2F2F2"/>
      <w:u w:val="single"/>
    </w:rPr>
  </w:style>
  <w:style w:type="paragraph" w:styleId="NormalWeb">
    <w:name w:val="Normal (Web)"/>
    <w:basedOn w:val="Normal"/>
    <w:uiPriority w:val="99"/>
    <w:semiHidden/>
    <w:unhideWhenUsed/>
    <w:rsid w:val="002A05F8"/>
    <w:pPr>
      <w:spacing w:after="0" w:line="240" w:lineRule="auto"/>
      <w:jc w:val="left"/>
    </w:pPr>
    <w:rPr>
      <w:rFonts w:ascii="Times New Roman" w:eastAsia="Times New Roman" w:hAnsi="Times New Roman" w:cs="Times New Roman"/>
      <w:lang w:val="es-CO"/>
    </w:rPr>
  </w:style>
  <w:style w:type="character" w:styleId="Hipervnculo">
    <w:name w:val="Hyperlink"/>
    <w:basedOn w:val="Fuentedeprrafopredeter"/>
    <w:uiPriority w:val="99"/>
    <w:unhideWhenUsed/>
    <w:rsid w:val="002A05F8"/>
    <w:rPr>
      <w:color w:val="0563C1" w:themeColor="hyperlink"/>
      <w:u w:val="single"/>
    </w:rPr>
  </w:style>
  <w:style w:type="table" w:customStyle="1" w:styleId="2">
    <w:name w:val="2"/>
    <w:basedOn w:val="Tablanormal"/>
    <w:rsid w:val="002A05F8"/>
    <w:pPr>
      <w:spacing w:before="120" w:after="0" w:line="240" w:lineRule="auto"/>
    </w:pPr>
    <w:rPr>
      <w:rFonts w:ascii="Calibri" w:eastAsia="Calibri" w:hAnsi="Calibri" w:cs="Calibri"/>
      <w:sz w:val="24"/>
      <w:szCs w:val="24"/>
      <w:lang w:val="es-MX" w:eastAsia="es-ES_tradnl"/>
    </w:rPr>
    <w:tblPr>
      <w:tblStyleRowBandSize w:val="1"/>
      <w:tblStyleColBandSize w:val="1"/>
      <w:tblInd w:w="0" w:type="nil"/>
    </w:tblPr>
  </w:style>
  <w:style w:type="paragraph" w:styleId="Revisin">
    <w:name w:val="Revision"/>
    <w:hidden/>
    <w:uiPriority w:val="99"/>
    <w:semiHidden/>
    <w:rsid w:val="00E519B3"/>
    <w:pPr>
      <w:spacing w:after="0" w:line="240" w:lineRule="auto"/>
    </w:pPr>
    <w:rPr>
      <w:rFonts w:ascii="Calibri" w:eastAsia="Calibri" w:hAnsi="Calibri" w:cs="Calibri"/>
      <w:sz w:val="24"/>
      <w:szCs w:val="24"/>
      <w:lang w:val="es-MX"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67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s://dle.rae.es/h%C3%A1b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304F0-10DB-4D2A-B7BF-52C513EF843C}">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B513A919-A196-4559-80F1-70A9B60CE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F92BB4-D4B8-4D76-A378-AE97BDC94EB2}">
  <ds:schemaRefs>
    <ds:schemaRef ds:uri="http://schemas.microsoft.com/sharepoint/v3/contenttype/forms"/>
  </ds:schemaRefs>
</ds:datastoreItem>
</file>

<file path=customXml/itemProps4.xml><?xml version="1.0" encoding="utf-8"?>
<ds:datastoreItem xmlns:ds="http://schemas.openxmlformats.org/officeDocument/2006/customXml" ds:itemID="{A82DA945-926E-4DBF-84C5-5C0A73177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5086</Words>
  <Characters>27977</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Urrego J.</dc:creator>
  <cp:keywords/>
  <dc:description/>
  <cp:lastModifiedBy>Jorge Eliecer Moran Buitrón</cp:lastModifiedBy>
  <cp:revision>4</cp:revision>
  <dcterms:created xsi:type="dcterms:W3CDTF">2022-10-26T01:29:00Z</dcterms:created>
  <dcterms:modified xsi:type="dcterms:W3CDTF">2022-10-27T14:40:00Z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