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4C3FC108" w:rsidR="003661DD" w:rsidRPr="00A415AA" w:rsidRDefault="002411DE" w:rsidP="00193B52">
      <w:pPr>
        <w:jc w:val="right"/>
        <w:rPr>
          <w:rFonts w:ascii="Arial" w:hAnsi="Arial" w:cs="Arial"/>
          <w:b/>
          <w:color w:val="000000" w:themeColor="text1"/>
          <w:sz w:val="16"/>
          <w:szCs w:val="16"/>
          <w:lang w:val="es-ES_tradnl" w:eastAsia="es-ES"/>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415AA">
        <w:rPr>
          <w:rFonts w:ascii="Arial" w:hAnsi="Arial" w:cs="Arial"/>
          <w:b/>
          <w:color w:val="000000" w:themeColor="text1"/>
          <w:sz w:val="16"/>
          <w:szCs w:val="16"/>
          <w:lang w:val="es-ES_tradnl" w:eastAsia="es-ES"/>
        </w:rPr>
        <w:t>CCE-DES-FM-17</w:t>
      </w:r>
      <w:bookmarkStart w:id="2" w:name="_Hlk50481752"/>
      <w:bookmarkEnd w:id="0"/>
      <w:bookmarkEnd w:id="1"/>
    </w:p>
    <w:p w14:paraId="44DD3549" w14:textId="77777777" w:rsidR="00385131" w:rsidRPr="00A415AA" w:rsidRDefault="00385131" w:rsidP="00193B52">
      <w:pPr>
        <w:jc w:val="right"/>
        <w:rPr>
          <w:rFonts w:ascii="Arial" w:hAnsi="Arial" w:cs="Arial"/>
          <w:b/>
          <w:color w:val="000000" w:themeColor="text1"/>
          <w:sz w:val="20"/>
          <w:szCs w:val="20"/>
          <w:lang w:val="es-ES_tradnl" w:eastAsia="es-ES"/>
        </w:rPr>
      </w:pPr>
    </w:p>
    <w:p w14:paraId="61128224" w14:textId="58890EFA" w:rsidR="00385131" w:rsidRPr="00CC3F5F" w:rsidRDefault="00A415AA" w:rsidP="00385131">
      <w:pPr>
        <w:jc w:val="both"/>
        <w:rPr>
          <w:rFonts w:ascii="Arial" w:eastAsia="Calibri" w:hAnsi="Arial" w:cs="Arial"/>
          <w:b/>
          <w:color w:val="000000" w:themeColor="text1"/>
          <w:sz w:val="22"/>
          <w:szCs w:val="22"/>
          <w:lang w:val="es-MX" w:eastAsia="en-US"/>
        </w:rPr>
      </w:pPr>
      <w:r w:rsidRPr="00CC3F5F">
        <w:rPr>
          <w:rFonts w:ascii="Arial" w:eastAsia="Calibri" w:hAnsi="Arial" w:cs="Arial"/>
          <w:b/>
          <w:color w:val="000000" w:themeColor="text1"/>
          <w:sz w:val="22"/>
          <w:szCs w:val="22"/>
          <w:lang w:val="es-MX" w:eastAsia="en-US"/>
        </w:rPr>
        <w:t>CAPACIDAD RESIDUAL</w:t>
      </w:r>
      <w:r w:rsidR="00385131" w:rsidRPr="00CC3F5F">
        <w:rPr>
          <w:rFonts w:ascii="Arial" w:eastAsia="Calibri" w:hAnsi="Arial" w:cs="Arial"/>
          <w:b/>
          <w:color w:val="000000" w:themeColor="text1"/>
          <w:sz w:val="22"/>
          <w:szCs w:val="22"/>
          <w:lang w:val="es-MX" w:eastAsia="en-US"/>
        </w:rPr>
        <w:t xml:space="preserve"> – </w:t>
      </w:r>
      <w:r w:rsidR="0016226D" w:rsidRPr="00CC3F5F">
        <w:rPr>
          <w:rFonts w:ascii="Arial" w:eastAsia="Calibri" w:hAnsi="Arial" w:cs="Arial"/>
          <w:b/>
          <w:color w:val="000000" w:themeColor="text1"/>
          <w:sz w:val="22"/>
          <w:szCs w:val="22"/>
          <w:lang w:val="es-ES_tradnl" w:eastAsia="en-US"/>
        </w:rPr>
        <w:t>C</w:t>
      </w:r>
      <w:r w:rsidRPr="00CC3F5F">
        <w:rPr>
          <w:rFonts w:ascii="Arial" w:eastAsia="Calibri" w:hAnsi="Arial" w:cs="Arial"/>
          <w:b/>
          <w:color w:val="000000" w:themeColor="text1"/>
          <w:sz w:val="22"/>
          <w:szCs w:val="22"/>
          <w:lang w:val="es-ES_tradnl" w:eastAsia="en-US"/>
        </w:rPr>
        <w:t>apacidad para para asumir nuevas obligaciones</w:t>
      </w:r>
    </w:p>
    <w:p w14:paraId="1E1799D0" w14:textId="77777777" w:rsidR="00385131" w:rsidRPr="006B47F2" w:rsidRDefault="00385131" w:rsidP="00385131">
      <w:pPr>
        <w:jc w:val="both"/>
        <w:rPr>
          <w:rFonts w:ascii="Arial" w:eastAsia="Calibri" w:hAnsi="Arial" w:cs="Arial"/>
          <w:b/>
          <w:color w:val="000000" w:themeColor="text1"/>
          <w:sz w:val="20"/>
          <w:szCs w:val="20"/>
          <w:highlight w:val="yellow"/>
          <w:lang w:val="es-MX" w:eastAsia="en-US"/>
        </w:rPr>
      </w:pPr>
    </w:p>
    <w:p w14:paraId="0A748846" w14:textId="4EF6CD8C" w:rsidR="00385131" w:rsidRPr="00F2520A" w:rsidRDefault="00A415AA" w:rsidP="00385131">
      <w:pPr>
        <w:jc w:val="both"/>
        <w:rPr>
          <w:rFonts w:ascii="Arial" w:eastAsiaTheme="minorHAnsi" w:hAnsi="Arial" w:cs="Arial"/>
          <w:color w:val="000000" w:themeColor="text1"/>
          <w:sz w:val="20"/>
          <w:szCs w:val="20"/>
          <w:lang w:val="es-MX" w:eastAsia="en-US"/>
        </w:rPr>
      </w:pPr>
      <w:r w:rsidRPr="00A415AA">
        <w:rPr>
          <w:rFonts w:ascii="Arial" w:hAnsi="Arial" w:cs="Arial"/>
          <w:sz w:val="20"/>
          <w:szCs w:val="20"/>
          <w:shd w:val="clear" w:color="auto" w:fill="FFFFFF"/>
          <w:lang w:val="es-ES_tradnl"/>
        </w:rPr>
        <w:t xml:space="preserve">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 El </w:t>
      </w:r>
      <w:r w:rsidRPr="00F2520A">
        <w:rPr>
          <w:rFonts w:ascii="Arial" w:hAnsi="Arial" w:cs="Arial"/>
          <w:sz w:val="20"/>
          <w:szCs w:val="20"/>
          <w:shd w:val="clear" w:color="auto" w:fill="FFFFFF"/>
          <w:lang w:val="es-ES_tradnl"/>
        </w:rPr>
        <w:t xml:space="preserve">Consejo de Estado ha definido la capacidad residual como «la diferencia que existe entre el potencial de contratación que se tiene y los compromisos que haya adquirido y que se encuentren en ejecución, para la fecha de presentación de la oferta». Teniendo en cuenta lo dicho antes,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w:t>
      </w:r>
      <w:r w:rsidR="0077368F" w:rsidRPr="00F2520A">
        <w:rPr>
          <w:rFonts w:ascii="Arial" w:hAnsi="Arial" w:cs="Arial"/>
          <w:sz w:val="20"/>
          <w:szCs w:val="20"/>
          <w:shd w:val="clear" w:color="auto" w:fill="FFFFFF"/>
          <w:lang w:val="es-ES_tradnl"/>
        </w:rPr>
        <w:t>simultáneamente.</w:t>
      </w:r>
    </w:p>
    <w:p w14:paraId="529D9785" w14:textId="02CA9D17" w:rsidR="000E3C5A" w:rsidRPr="00CC3F5F" w:rsidRDefault="000E3C5A" w:rsidP="00385131">
      <w:pPr>
        <w:jc w:val="both"/>
        <w:rPr>
          <w:rFonts w:ascii="Arial" w:eastAsiaTheme="minorHAnsi" w:hAnsi="Arial" w:cs="Arial"/>
          <w:color w:val="000000" w:themeColor="text1"/>
          <w:sz w:val="22"/>
          <w:szCs w:val="22"/>
          <w:lang w:val="es-MX" w:eastAsia="en-US"/>
        </w:rPr>
      </w:pPr>
    </w:p>
    <w:p w14:paraId="026C61F7" w14:textId="05432F50" w:rsidR="000E3C5A" w:rsidRPr="00CC3F5F" w:rsidRDefault="00A415AA" w:rsidP="00385131">
      <w:pPr>
        <w:jc w:val="both"/>
        <w:rPr>
          <w:rFonts w:ascii="Arial" w:eastAsiaTheme="minorHAnsi" w:hAnsi="Arial" w:cs="Arial"/>
          <w:b/>
          <w:bCs/>
          <w:color w:val="000000" w:themeColor="text1"/>
          <w:sz w:val="22"/>
          <w:szCs w:val="22"/>
          <w:lang w:val="es-MX" w:eastAsia="en-US"/>
        </w:rPr>
      </w:pPr>
      <w:r w:rsidRPr="00CC3F5F">
        <w:rPr>
          <w:rFonts w:ascii="Arial" w:eastAsiaTheme="minorHAnsi" w:hAnsi="Arial" w:cs="Arial"/>
          <w:b/>
          <w:bCs/>
          <w:color w:val="000000" w:themeColor="text1"/>
          <w:sz w:val="22"/>
          <w:szCs w:val="22"/>
          <w:lang w:val="es-MX" w:eastAsia="en-US"/>
        </w:rPr>
        <w:t>CAPACIDAD RESIDUAL</w:t>
      </w:r>
      <w:r w:rsidR="000E3C5A" w:rsidRPr="00CC3F5F">
        <w:rPr>
          <w:rFonts w:ascii="Arial" w:eastAsiaTheme="minorHAnsi" w:hAnsi="Arial" w:cs="Arial"/>
          <w:b/>
          <w:bCs/>
          <w:color w:val="000000" w:themeColor="text1"/>
          <w:sz w:val="22"/>
          <w:szCs w:val="22"/>
          <w:lang w:val="es-MX" w:eastAsia="en-US"/>
        </w:rPr>
        <w:t xml:space="preserve"> – </w:t>
      </w:r>
      <w:r w:rsidR="00F2520A" w:rsidRPr="00CC3F5F">
        <w:rPr>
          <w:rFonts w:ascii="Arial" w:eastAsiaTheme="minorHAnsi" w:hAnsi="Arial" w:cs="Arial"/>
          <w:b/>
          <w:bCs/>
          <w:color w:val="000000" w:themeColor="text1"/>
          <w:sz w:val="22"/>
          <w:szCs w:val="22"/>
          <w:lang w:val="es-MX" w:eastAsia="en-US"/>
        </w:rPr>
        <w:t xml:space="preserve">Procesos de selección por lotes cálculo de la capacidad residual </w:t>
      </w:r>
    </w:p>
    <w:p w14:paraId="2F492DB0" w14:textId="2722C41E" w:rsidR="000E3C5A" w:rsidRPr="00F2520A" w:rsidRDefault="000E3C5A" w:rsidP="00385131">
      <w:pPr>
        <w:jc w:val="both"/>
        <w:rPr>
          <w:rFonts w:ascii="Arial" w:eastAsiaTheme="minorHAnsi" w:hAnsi="Arial" w:cs="Arial"/>
          <w:b/>
          <w:bCs/>
          <w:color w:val="000000" w:themeColor="text1"/>
          <w:sz w:val="20"/>
          <w:szCs w:val="20"/>
          <w:lang w:val="es-MX" w:eastAsia="en-US"/>
        </w:rPr>
      </w:pPr>
    </w:p>
    <w:p w14:paraId="7BCA7788" w14:textId="62F5FB44" w:rsidR="000E3C5A" w:rsidRPr="006B47F2" w:rsidRDefault="000E3C5A" w:rsidP="00385131">
      <w:pPr>
        <w:jc w:val="both"/>
        <w:rPr>
          <w:rFonts w:ascii="Arial" w:hAnsi="Arial" w:cs="Arial"/>
          <w:sz w:val="20"/>
          <w:szCs w:val="20"/>
          <w:highlight w:val="yellow"/>
          <w:shd w:val="clear" w:color="auto" w:fill="FFFFFF"/>
          <w:lang w:val="es-ES_tradnl"/>
        </w:rPr>
      </w:pPr>
      <w:r w:rsidRPr="00F2520A">
        <w:rPr>
          <w:rFonts w:ascii="Arial" w:hAnsi="Arial" w:cs="Arial"/>
          <w:sz w:val="20"/>
          <w:szCs w:val="20"/>
          <w:shd w:val="clear" w:color="auto" w:fill="FFFFFF"/>
          <w:lang w:val="es-ES_tradnl"/>
        </w:rPr>
        <w:t>[…]</w:t>
      </w:r>
      <w:r w:rsidR="00F2520A">
        <w:rPr>
          <w:rFonts w:ascii="Arial" w:hAnsi="Arial" w:cs="Arial"/>
          <w:sz w:val="20"/>
          <w:szCs w:val="20"/>
          <w:shd w:val="clear" w:color="auto" w:fill="FFFFFF"/>
          <w:lang w:val="es-ES_tradnl"/>
        </w:rPr>
        <w:t xml:space="preserve"> </w:t>
      </w:r>
      <w:r w:rsidR="00F2520A" w:rsidRPr="00F2520A">
        <w:rPr>
          <w:rFonts w:ascii="Arial" w:hAnsi="Arial" w:cs="Arial"/>
          <w:sz w:val="20"/>
          <w:szCs w:val="20"/>
          <w:shd w:val="clear" w:color="auto" w:fill="FFFFFF"/>
          <w:lang w:val="es-ES_tradnl"/>
        </w:rPr>
        <w:t>En este contexto, en ejercicio del deber de planificar la actividad contractual, también le corresponde a cada entidad estatal determinar si el proceso de selección lo estructura por lotes o grupos y, de ser así, a efectos de su consulta, es necesario aclarar que el presupuesto oficial del proceso de selección corresponderá a la sumatoria del valor de los lotes o grupos a contratar. Es decir, no sólo cada uno de estos debe estar dentro del valor del presupuesto oficial, sino que el valor total de la sumatoria de los lotes es el que corresponde al presupuesto oficial del proceso contractual.</w:t>
      </w:r>
    </w:p>
    <w:p w14:paraId="0E294A42" w14:textId="77777777" w:rsidR="00385131" w:rsidRPr="006B47F2" w:rsidRDefault="00385131" w:rsidP="00385131">
      <w:pPr>
        <w:rPr>
          <w:rFonts w:ascii="Arial" w:hAnsi="Arial" w:cs="Arial"/>
          <w:b/>
          <w:color w:val="000000" w:themeColor="text1"/>
          <w:sz w:val="16"/>
          <w:szCs w:val="16"/>
          <w:highlight w:val="yellow"/>
          <w:lang w:val="es-ES_tradnl" w:eastAsia="es-ES"/>
        </w:rPr>
      </w:pPr>
    </w:p>
    <w:p w14:paraId="60379D49" w14:textId="5099EE68"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31E2C132" w14:textId="631A5E4C" w:rsidR="00464278" w:rsidRPr="006B47F2" w:rsidRDefault="00464278" w:rsidP="00C25DCC">
      <w:pPr>
        <w:jc w:val="both"/>
        <w:rPr>
          <w:rFonts w:ascii="Arial" w:hAnsi="Arial" w:cs="Arial"/>
          <w:b/>
          <w:color w:val="000000" w:themeColor="text1"/>
          <w:sz w:val="16"/>
          <w:szCs w:val="16"/>
          <w:highlight w:val="yellow"/>
          <w:lang w:val="es-ES_tradnl" w:eastAsia="es-ES"/>
        </w:rPr>
      </w:pPr>
    </w:p>
    <w:p w14:paraId="05A0803A" w14:textId="7963D2C9"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059A5F2F" w14:textId="0E4252C9"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216EB227" w14:textId="2EB5406F"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7A75B9FD" w14:textId="116D0CAF"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765EC121" w14:textId="2C23F4F8"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7A7989CF" w14:textId="23A8C17D"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1C13927B" w14:textId="35E749C2"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05055F7D" w14:textId="3A2CE0E1"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66BBE07E" w14:textId="50A029EC"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2B752F02" w14:textId="49992542"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13374466" w14:textId="77777777"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3F0526AF" w14:textId="43A9F0B3"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6983D6CC" w14:textId="01D42CCD" w:rsidR="00464278" w:rsidRPr="006B47F2" w:rsidRDefault="00464278" w:rsidP="00193B52">
      <w:pPr>
        <w:jc w:val="right"/>
        <w:rPr>
          <w:rFonts w:ascii="Arial" w:hAnsi="Arial" w:cs="Arial"/>
          <w:b/>
          <w:color w:val="000000" w:themeColor="text1"/>
          <w:sz w:val="16"/>
          <w:szCs w:val="16"/>
          <w:highlight w:val="yellow"/>
          <w:lang w:val="es-ES_tradnl" w:eastAsia="es-ES"/>
        </w:rPr>
      </w:pPr>
    </w:p>
    <w:p w14:paraId="43C75C09" w14:textId="30084363" w:rsidR="00464278" w:rsidRPr="006B47F2" w:rsidRDefault="00464278" w:rsidP="00193B52">
      <w:pPr>
        <w:jc w:val="right"/>
        <w:rPr>
          <w:rFonts w:ascii="Arial" w:eastAsia="Calibri" w:hAnsi="Arial" w:cs="Arial"/>
          <w:b/>
          <w:color w:val="000000" w:themeColor="text1"/>
          <w:sz w:val="20"/>
          <w:szCs w:val="20"/>
          <w:highlight w:val="yellow"/>
          <w:lang w:val="es-ES_tradnl"/>
        </w:rPr>
      </w:pPr>
    </w:p>
    <w:p w14:paraId="480DFFE9" w14:textId="5C1F6A68" w:rsidR="00486C85" w:rsidRPr="006B47F2" w:rsidRDefault="00486C85" w:rsidP="00193B52">
      <w:pPr>
        <w:jc w:val="right"/>
        <w:rPr>
          <w:rFonts w:ascii="Arial" w:eastAsia="Calibri" w:hAnsi="Arial" w:cs="Arial"/>
          <w:b/>
          <w:color w:val="000000" w:themeColor="text1"/>
          <w:sz w:val="20"/>
          <w:szCs w:val="20"/>
          <w:highlight w:val="yellow"/>
          <w:lang w:val="es-ES_tradnl"/>
        </w:rPr>
      </w:pPr>
    </w:p>
    <w:p w14:paraId="3C41ECAD" w14:textId="48217AF8" w:rsidR="00486C85" w:rsidRPr="006B47F2" w:rsidRDefault="00486C85" w:rsidP="00193B52">
      <w:pPr>
        <w:jc w:val="right"/>
        <w:rPr>
          <w:rFonts w:ascii="Arial" w:eastAsia="Calibri" w:hAnsi="Arial" w:cs="Arial"/>
          <w:b/>
          <w:color w:val="000000" w:themeColor="text1"/>
          <w:sz w:val="20"/>
          <w:szCs w:val="20"/>
          <w:highlight w:val="yellow"/>
          <w:lang w:val="es-ES_tradnl"/>
        </w:rPr>
      </w:pPr>
    </w:p>
    <w:p w14:paraId="477758EE" w14:textId="489B7E53" w:rsidR="00486C85" w:rsidRPr="006B47F2" w:rsidRDefault="00486C85" w:rsidP="00193B52">
      <w:pPr>
        <w:jc w:val="right"/>
        <w:rPr>
          <w:rFonts w:ascii="Arial" w:eastAsia="Calibri" w:hAnsi="Arial" w:cs="Arial"/>
          <w:b/>
          <w:color w:val="000000" w:themeColor="text1"/>
          <w:sz w:val="20"/>
          <w:szCs w:val="20"/>
          <w:highlight w:val="yellow"/>
          <w:lang w:val="es-ES_tradnl"/>
        </w:rPr>
      </w:pPr>
    </w:p>
    <w:p w14:paraId="104A0428" w14:textId="028E2962" w:rsidR="00486C85" w:rsidRPr="006B47F2" w:rsidRDefault="00486C85" w:rsidP="00193B52">
      <w:pPr>
        <w:jc w:val="right"/>
        <w:rPr>
          <w:rFonts w:ascii="Arial" w:eastAsia="Calibri" w:hAnsi="Arial" w:cs="Arial"/>
          <w:b/>
          <w:color w:val="000000" w:themeColor="text1"/>
          <w:sz w:val="20"/>
          <w:szCs w:val="20"/>
          <w:highlight w:val="yellow"/>
          <w:lang w:val="es-ES_tradnl"/>
        </w:rPr>
      </w:pPr>
    </w:p>
    <w:p w14:paraId="22D64695" w14:textId="115E7B88" w:rsidR="00486C85" w:rsidRPr="006B47F2" w:rsidRDefault="00486C85" w:rsidP="00193B52">
      <w:pPr>
        <w:jc w:val="right"/>
        <w:rPr>
          <w:rFonts w:ascii="Arial" w:eastAsia="Calibri" w:hAnsi="Arial" w:cs="Arial"/>
          <w:b/>
          <w:color w:val="000000" w:themeColor="text1"/>
          <w:sz w:val="20"/>
          <w:szCs w:val="20"/>
          <w:highlight w:val="yellow"/>
          <w:lang w:val="es-ES_tradnl"/>
        </w:rPr>
      </w:pPr>
    </w:p>
    <w:p w14:paraId="70B5B9C4" w14:textId="06A4783C" w:rsidR="00486C85" w:rsidRPr="006B47F2" w:rsidRDefault="00486C85" w:rsidP="00193B52">
      <w:pPr>
        <w:jc w:val="right"/>
        <w:rPr>
          <w:rFonts w:ascii="Arial" w:eastAsia="Calibri" w:hAnsi="Arial" w:cs="Arial"/>
          <w:b/>
          <w:color w:val="000000" w:themeColor="text1"/>
          <w:sz w:val="20"/>
          <w:szCs w:val="20"/>
          <w:highlight w:val="yellow"/>
          <w:lang w:val="es-ES_tradnl"/>
        </w:rPr>
      </w:pPr>
    </w:p>
    <w:bookmarkEnd w:id="2"/>
    <w:p w14:paraId="4A701961" w14:textId="77777777" w:rsidR="00523E23" w:rsidRPr="006B47F2" w:rsidRDefault="00523E23" w:rsidP="00C118DB">
      <w:pPr>
        <w:spacing w:line="276" w:lineRule="auto"/>
        <w:jc w:val="both"/>
        <w:rPr>
          <w:rFonts w:ascii="Arial" w:hAnsi="Arial" w:cs="Arial"/>
          <w:noProof/>
          <w:color w:val="000000" w:themeColor="text1"/>
          <w:sz w:val="22"/>
          <w:highlight w:val="yellow"/>
          <w:lang w:val="pt-BR"/>
        </w:rPr>
      </w:pPr>
    </w:p>
    <w:p w14:paraId="498A7814" w14:textId="77777777" w:rsidR="00523E23" w:rsidRPr="006B47F2" w:rsidRDefault="00523E23" w:rsidP="00C118DB">
      <w:pPr>
        <w:spacing w:line="276" w:lineRule="auto"/>
        <w:jc w:val="both"/>
        <w:rPr>
          <w:rFonts w:ascii="Arial" w:hAnsi="Arial" w:cs="Arial"/>
          <w:noProof/>
          <w:color w:val="000000" w:themeColor="text1"/>
          <w:sz w:val="22"/>
          <w:highlight w:val="yellow"/>
          <w:lang w:val="pt-BR"/>
        </w:rPr>
      </w:pPr>
    </w:p>
    <w:p w14:paraId="3A2EACAD" w14:textId="77777777" w:rsidR="00CC3F5F" w:rsidRPr="00A415AA" w:rsidRDefault="00CC3F5F" w:rsidP="00CC3F5F">
      <w:pPr>
        <w:spacing w:line="276" w:lineRule="auto"/>
        <w:jc w:val="both"/>
        <w:rPr>
          <w:rFonts w:ascii="Arial" w:hAnsi="Arial" w:cs="Arial"/>
          <w:noProof/>
          <w:color w:val="000000" w:themeColor="text1"/>
          <w:sz w:val="22"/>
          <w:lang w:val="pt-BR"/>
        </w:rPr>
      </w:pPr>
      <w:r w:rsidRPr="00A415AA">
        <w:rPr>
          <w:rFonts w:ascii="Arial" w:hAnsi="Arial" w:cs="Arial"/>
          <w:noProof/>
          <w:color w:val="000000" w:themeColor="text1"/>
          <w:sz w:val="22"/>
          <w:lang w:val="pt-BR"/>
        </w:rPr>
        <w:lastRenderedPageBreak/>
        <w:t>Bogotá</w:t>
      </w:r>
      <w:r>
        <w:rPr>
          <w:rFonts w:ascii="Arial" w:hAnsi="Arial" w:cs="Arial"/>
          <w:noProof/>
          <w:color w:val="000000" w:themeColor="text1"/>
          <w:sz w:val="22"/>
          <w:lang w:val="pt-BR"/>
        </w:rPr>
        <w:t>, D.C, 19  Octubre de 2022</w:t>
      </w:r>
    </w:p>
    <w:p w14:paraId="602D68F0" w14:textId="77777777" w:rsidR="00523E23" w:rsidRPr="006B47F2" w:rsidRDefault="00523E23" w:rsidP="00C118DB">
      <w:pPr>
        <w:spacing w:line="276" w:lineRule="auto"/>
        <w:jc w:val="both"/>
        <w:rPr>
          <w:rFonts w:ascii="Arial" w:hAnsi="Arial" w:cs="Arial"/>
          <w:noProof/>
          <w:color w:val="000000" w:themeColor="text1"/>
          <w:sz w:val="22"/>
          <w:highlight w:val="yellow"/>
          <w:lang w:val="pt-BR"/>
        </w:rPr>
      </w:pPr>
    </w:p>
    <w:p w14:paraId="491F9894" w14:textId="36633227" w:rsidR="00523E23" w:rsidRPr="006B47F2" w:rsidRDefault="0077368F" w:rsidP="00C118DB">
      <w:pPr>
        <w:spacing w:line="276" w:lineRule="auto"/>
        <w:jc w:val="both"/>
        <w:rPr>
          <w:rFonts w:ascii="Arial" w:hAnsi="Arial" w:cs="Arial"/>
          <w:noProof/>
          <w:color w:val="000000" w:themeColor="text1"/>
          <w:sz w:val="22"/>
          <w:highlight w:val="yellow"/>
          <w:lang w:val="pt-BR"/>
        </w:rPr>
      </w:pPr>
      <w:r>
        <w:rPr>
          <w:noProof/>
          <w:lang w:eastAsia="es-CO"/>
        </w:rPr>
        <w:drawing>
          <wp:anchor distT="0" distB="0" distL="114300" distR="114300" simplePos="0" relativeHeight="251660288" behindDoc="1" locked="0" layoutInCell="1" allowOverlap="1" wp14:anchorId="13713DDB" wp14:editId="65E28923">
            <wp:simplePos x="0" y="0"/>
            <wp:positionH relativeFrom="margin">
              <wp:posOffset>3019425</wp:posOffset>
            </wp:positionH>
            <wp:positionV relativeFrom="paragraph">
              <wp:posOffset>41275</wp:posOffset>
            </wp:positionV>
            <wp:extent cx="2710815" cy="73000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10815" cy="730009"/>
                    </a:xfrm>
                    <a:prstGeom prst="rect">
                      <a:avLst/>
                    </a:prstGeom>
                  </pic:spPr>
                </pic:pic>
              </a:graphicData>
            </a:graphic>
            <wp14:sizeRelH relativeFrom="margin">
              <wp14:pctWidth>0</wp14:pctWidth>
            </wp14:sizeRelH>
            <wp14:sizeRelV relativeFrom="margin">
              <wp14:pctHeight>0</wp14:pctHeight>
            </wp14:sizeRelV>
          </wp:anchor>
        </w:drawing>
      </w:r>
    </w:p>
    <w:p w14:paraId="5C2D33FD" w14:textId="3B513B78" w:rsidR="00523E23" w:rsidRPr="00A415AA" w:rsidRDefault="00523E23" w:rsidP="00C118DB">
      <w:pPr>
        <w:spacing w:line="276" w:lineRule="auto"/>
        <w:jc w:val="both"/>
        <w:rPr>
          <w:rFonts w:ascii="Arial" w:hAnsi="Arial" w:cs="Arial"/>
          <w:noProof/>
          <w:color w:val="000000" w:themeColor="text1"/>
          <w:sz w:val="22"/>
          <w:lang w:val="pt-BR"/>
        </w:rPr>
      </w:pPr>
    </w:p>
    <w:p w14:paraId="40FCB7BD" w14:textId="77777777" w:rsidR="00C25DCC" w:rsidRPr="00A415AA" w:rsidRDefault="00C25DCC" w:rsidP="00C118DB">
      <w:pPr>
        <w:spacing w:line="276" w:lineRule="auto"/>
        <w:jc w:val="both"/>
        <w:rPr>
          <w:rFonts w:ascii="Arial" w:hAnsi="Arial" w:cs="Arial"/>
          <w:noProof/>
          <w:color w:val="000000" w:themeColor="text1"/>
          <w:sz w:val="22"/>
          <w:lang w:val="pt-BR"/>
        </w:rPr>
      </w:pPr>
    </w:p>
    <w:p w14:paraId="5F5AE9EF" w14:textId="2E4D0233" w:rsidR="00B95C30" w:rsidRPr="00A415AA" w:rsidRDefault="00B95C30" w:rsidP="00B95C30">
      <w:pPr>
        <w:jc w:val="both"/>
        <w:rPr>
          <w:rFonts w:ascii="Arial" w:eastAsia="Calibri" w:hAnsi="Arial" w:cs="Arial"/>
          <w:color w:val="000000" w:themeColor="text1"/>
          <w:sz w:val="22"/>
          <w:lang w:val="es-ES_tradnl"/>
        </w:rPr>
      </w:pPr>
      <w:bookmarkStart w:id="3" w:name="_Hlk95237798"/>
      <w:r w:rsidRPr="00A415AA">
        <w:rPr>
          <w:rFonts w:ascii="Arial" w:eastAsia="Calibri" w:hAnsi="Arial" w:cs="Arial"/>
          <w:color w:val="000000" w:themeColor="text1"/>
          <w:sz w:val="22"/>
          <w:lang w:val="es-ES_tradnl"/>
        </w:rPr>
        <w:t>Señor</w:t>
      </w:r>
    </w:p>
    <w:p w14:paraId="09FFA147" w14:textId="43824269" w:rsidR="006B47F2" w:rsidRPr="00A415AA" w:rsidRDefault="006B47F2" w:rsidP="00B95C30">
      <w:pPr>
        <w:jc w:val="both"/>
        <w:rPr>
          <w:rFonts w:ascii="Arial" w:hAnsi="Arial" w:cs="Arial"/>
          <w:noProof/>
          <w:color w:val="000000" w:themeColor="text1"/>
          <w:sz w:val="22"/>
          <w:lang w:val="pt-BR"/>
        </w:rPr>
      </w:pPr>
      <w:r w:rsidRPr="00A415AA">
        <w:rPr>
          <w:rFonts w:ascii="Arial" w:eastAsia="Calibri" w:hAnsi="Arial" w:cs="Arial"/>
          <w:b/>
          <w:bCs/>
          <w:color w:val="000000" w:themeColor="text1"/>
          <w:sz w:val="22"/>
          <w:lang w:val="es-ES_tradnl"/>
        </w:rPr>
        <w:t>Guillermo Rodríguez Muñoz</w:t>
      </w:r>
    </w:p>
    <w:p w14:paraId="6F1EED12" w14:textId="4D1D97EB" w:rsidR="00F96D27" w:rsidRPr="006B47F2" w:rsidRDefault="00523E23" w:rsidP="00B95C30">
      <w:pPr>
        <w:jc w:val="both"/>
        <w:rPr>
          <w:rFonts w:ascii="Arial" w:hAnsi="Arial" w:cs="Arial"/>
          <w:noProof/>
          <w:color w:val="000000" w:themeColor="text1"/>
          <w:sz w:val="22"/>
          <w:lang w:val="pt-BR"/>
        </w:rPr>
      </w:pPr>
      <w:r w:rsidRPr="00A415AA">
        <w:rPr>
          <w:rFonts w:ascii="Arial" w:hAnsi="Arial" w:cs="Arial"/>
          <w:noProof/>
          <w:color w:val="000000" w:themeColor="text1"/>
          <w:sz w:val="22"/>
          <w:lang w:val="pt-BR"/>
        </w:rPr>
        <w:t>Bogotá, D.C</w:t>
      </w:r>
    </w:p>
    <w:p w14:paraId="035A0098" w14:textId="77777777" w:rsidR="00523E23" w:rsidRPr="006B47F2" w:rsidRDefault="00523E23" w:rsidP="00B95C30">
      <w:pPr>
        <w:jc w:val="both"/>
        <w:rPr>
          <w:rFonts w:ascii="Arial" w:eastAsia="Calibri" w:hAnsi="Arial" w:cs="Arial"/>
          <w:color w:val="000000" w:themeColor="text1"/>
          <w:sz w:val="22"/>
          <w:lang w:val="es-ES_tradnl"/>
        </w:rPr>
      </w:pPr>
    </w:p>
    <w:p w14:paraId="1BD594F9" w14:textId="79F69D9C" w:rsidR="00B95C30" w:rsidRPr="00F2520A" w:rsidRDefault="007F1C42" w:rsidP="003C0791">
      <w:pPr>
        <w:rPr>
          <w:rFonts w:ascii="Arial" w:eastAsia="Calibri" w:hAnsi="Arial" w:cs="Arial"/>
          <w:b/>
          <w:bCs/>
          <w:color w:val="000000" w:themeColor="text1"/>
          <w:sz w:val="22"/>
          <w:lang w:val="es-ES_tradnl"/>
        </w:rPr>
      </w:pPr>
      <w:r w:rsidRPr="006B47F2">
        <w:rPr>
          <w:rFonts w:ascii="Arial" w:eastAsia="Calibri" w:hAnsi="Arial" w:cs="Arial"/>
          <w:b/>
          <w:bCs/>
          <w:color w:val="000000" w:themeColor="text1"/>
          <w:sz w:val="22"/>
          <w:lang w:val="es-ES_tradnl"/>
        </w:rPr>
        <w:t xml:space="preserve">                                            </w:t>
      </w:r>
      <w:r w:rsidR="00023FA5" w:rsidRPr="00F2520A">
        <w:rPr>
          <w:rFonts w:ascii="Arial" w:eastAsia="Calibri" w:hAnsi="Arial" w:cs="Arial"/>
          <w:b/>
          <w:bCs/>
          <w:color w:val="000000" w:themeColor="text1"/>
          <w:sz w:val="22"/>
          <w:lang w:val="es-ES_tradnl"/>
        </w:rPr>
        <w:t xml:space="preserve">Concepto C ‒ </w:t>
      </w:r>
      <w:r w:rsidR="006B47F2" w:rsidRPr="00F2520A">
        <w:rPr>
          <w:rFonts w:ascii="Arial" w:eastAsia="Calibri" w:hAnsi="Arial" w:cs="Arial"/>
          <w:b/>
          <w:bCs/>
          <w:color w:val="000000" w:themeColor="text1"/>
          <w:sz w:val="22"/>
          <w:lang w:val="es-ES_tradnl"/>
        </w:rPr>
        <w:t xml:space="preserve">670 </w:t>
      </w:r>
      <w:r w:rsidR="00275FBF" w:rsidRPr="00F2520A">
        <w:rPr>
          <w:rFonts w:ascii="Arial" w:eastAsia="Calibri" w:hAnsi="Arial" w:cs="Arial"/>
          <w:b/>
          <w:bCs/>
          <w:color w:val="000000" w:themeColor="text1"/>
          <w:sz w:val="22"/>
          <w:lang w:val="es-ES_tradnl"/>
        </w:rPr>
        <w:t>de 202</w:t>
      </w:r>
      <w:r w:rsidR="0092085F" w:rsidRPr="00F2520A">
        <w:rPr>
          <w:rFonts w:ascii="Arial" w:eastAsia="Calibri" w:hAnsi="Arial" w:cs="Arial"/>
          <w:b/>
          <w:bCs/>
          <w:color w:val="000000" w:themeColor="text1"/>
          <w:sz w:val="22"/>
          <w:lang w:val="es-ES_tradnl"/>
        </w:rPr>
        <w:t>2</w:t>
      </w:r>
    </w:p>
    <w:p w14:paraId="1E43C8B9" w14:textId="77777777" w:rsidR="009A52E4" w:rsidRPr="00F2520A"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F2520A" w14:paraId="19DFC051" w14:textId="77777777" w:rsidTr="00A415AA">
        <w:tc>
          <w:tcPr>
            <w:tcW w:w="2689" w:type="dxa"/>
          </w:tcPr>
          <w:p w14:paraId="6BC0D1AC" w14:textId="77777777" w:rsidR="00B95C30" w:rsidRPr="00F2520A" w:rsidRDefault="00B95C30" w:rsidP="00D15356">
            <w:pPr>
              <w:jc w:val="both"/>
              <w:rPr>
                <w:rFonts w:ascii="Arial" w:eastAsia="Calibri" w:hAnsi="Arial" w:cs="Arial"/>
                <w:color w:val="000000" w:themeColor="text1"/>
                <w:sz w:val="22"/>
                <w:szCs w:val="22"/>
                <w:lang w:val="es-ES_tradnl"/>
              </w:rPr>
            </w:pPr>
            <w:r w:rsidRPr="00F2520A">
              <w:rPr>
                <w:rFonts w:ascii="Arial" w:eastAsia="Calibri" w:hAnsi="Arial" w:cs="Arial"/>
                <w:b/>
                <w:color w:val="000000" w:themeColor="text1"/>
                <w:sz w:val="22"/>
                <w:szCs w:val="22"/>
                <w:lang w:val="es-ES_tradnl"/>
              </w:rPr>
              <w:t>Temas:</w:t>
            </w:r>
            <w:r w:rsidRPr="00F2520A">
              <w:rPr>
                <w:rFonts w:ascii="Arial" w:eastAsia="Calibri" w:hAnsi="Arial" w:cs="Arial"/>
                <w:color w:val="000000" w:themeColor="text1"/>
                <w:sz w:val="22"/>
                <w:szCs w:val="22"/>
                <w:lang w:val="es-ES_tradnl"/>
              </w:rPr>
              <w:t xml:space="preserve">                                      </w:t>
            </w:r>
          </w:p>
        </w:tc>
        <w:tc>
          <w:tcPr>
            <w:tcW w:w="6237" w:type="dxa"/>
          </w:tcPr>
          <w:p w14:paraId="7A5D02C3" w14:textId="396C71E0" w:rsidR="00523E23" w:rsidRPr="00F2520A" w:rsidRDefault="00A415AA" w:rsidP="00316FC7">
            <w:pPr>
              <w:spacing w:line="276" w:lineRule="auto"/>
              <w:jc w:val="both"/>
              <w:rPr>
                <w:rFonts w:ascii="Arial" w:eastAsiaTheme="minorHAnsi" w:hAnsi="Arial" w:cs="Arial"/>
                <w:bCs/>
                <w:color w:val="000000" w:themeColor="text1"/>
                <w:sz w:val="20"/>
                <w:szCs w:val="20"/>
                <w:lang w:val="es-MX" w:eastAsia="en-US"/>
              </w:rPr>
            </w:pPr>
            <w:r w:rsidRPr="00F2520A">
              <w:rPr>
                <w:rFonts w:ascii="Arial" w:eastAsia="Calibri" w:hAnsi="Arial" w:cs="Arial"/>
                <w:bCs/>
                <w:color w:val="000000" w:themeColor="text1"/>
                <w:sz w:val="22"/>
                <w:szCs w:val="22"/>
                <w:lang w:val="es-MX" w:eastAsia="en-US"/>
              </w:rPr>
              <w:t xml:space="preserve">CAPACIDAD RESIDUAL </w:t>
            </w:r>
            <w:r w:rsidR="00523E23" w:rsidRPr="00F2520A">
              <w:rPr>
                <w:rFonts w:ascii="Arial" w:eastAsia="Calibri" w:hAnsi="Arial" w:cs="Arial"/>
                <w:bCs/>
                <w:color w:val="000000" w:themeColor="text1"/>
                <w:sz w:val="22"/>
                <w:szCs w:val="22"/>
                <w:lang w:val="es-MX" w:eastAsia="en-US"/>
              </w:rPr>
              <w:t>–</w:t>
            </w:r>
            <w:r w:rsidRPr="00F2520A">
              <w:t xml:space="preserve"> </w:t>
            </w:r>
            <w:r w:rsidRPr="00F2520A">
              <w:rPr>
                <w:rFonts w:ascii="Arial" w:eastAsia="Calibri" w:hAnsi="Arial" w:cs="Arial"/>
                <w:bCs/>
                <w:color w:val="000000" w:themeColor="text1"/>
                <w:sz w:val="22"/>
                <w:szCs w:val="22"/>
                <w:lang w:val="es-MX" w:eastAsia="en-US"/>
              </w:rPr>
              <w:t xml:space="preserve">capacidad para para asumir nuevas obligaciones </w:t>
            </w:r>
            <w:r w:rsidR="000E3C5A" w:rsidRPr="00F2520A">
              <w:rPr>
                <w:rFonts w:ascii="Arial" w:eastAsia="Calibri" w:hAnsi="Arial" w:cs="Arial"/>
                <w:bCs/>
                <w:color w:val="000000" w:themeColor="text1"/>
                <w:sz w:val="22"/>
                <w:szCs w:val="22"/>
                <w:lang w:val="es-MX" w:eastAsia="en-US"/>
              </w:rPr>
              <w:t xml:space="preserve">/ </w:t>
            </w:r>
            <w:r w:rsidR="00F2520A" w:rsidRPr="00F2520A">
              <w:rPr>
                <w:rFonts w:ascii="Arial" w:eastAsiaTheme="minorHAnsi" w:hAnsi="Arial" w:cs="Arial"/>
                <w:bCs/>
                <w:color w:val="000000" w:themeColor="text1"/>
                <w:sz w:val="20"/>
                <w:szCs w:val="20"/>
                <w:lang w:val="es-MX" w:eastAsia="en-US"/>
              </w:rPr>
              <w:t>CAPACIDAD RESIDUAL – Procesos de selección por lotes cálculo de la capacidad residual</w:t>
            </w:r>
          </w:p>
          <w:p w14:paraId="5F389CAF" w14:textId="02E519A8" w:rsidR="00284007" w:rsidRPr="00F2520A" w:rsidRDefault="00284007" w:rsidP="00316FC7">
            <w:pPr>
              <w:tabs>
                <w:tab w:val="left" w:pos="6551"/>
              </w:tabs>
              <w:spacing w:line="276" w:lineRule="auto"/>
              <w:jc w:val="both"/>
              <w:rPr>
                <w:rFonts w:ascii="Arial" w:eastAsia="Calibri" w:hAnsi="Arial" w:cs="Arial"/>
                <w:b/>
                <w:color w:val="000000" w:themeColor="text1"/>
                <w:sz w:val="22"/>
                <w:szCs w:val="22"/>
                <w:lang w:val="es-ES_tradnl"/>
              </w:rPr>
            </w:pPr>
          </w:p>
        </w:tc>
      </w:tr>
      <w:tr w:rsidR="00B95C30" w:rsidRPr="006B47F2" w14:paraId="27CD52AB" w14:textId="77777777" w:rsidTr="00A415AA">
        <w:tc>
          <w:tcPr>
            <w:tcW w:w="2689" w:type="dxa"/>
          </w:tcPr>
          <w:p w14:paraId="37E195A1" w14:textId="65D3E02B" w:rsidR="00B95C30" w:rsidRPr="006B47F2" w:rsidRDefault="00B95C30" w:rsidP="00D15356">
            <w:pPr>
              <w:spacing w:before="120"/>
              <w:jc w:val="both"/>
              <w:rPr>
                <w:rFonts w:ascii="Arial" w:eastAsia="Calibri" w:hAnsi="Arial" w:cs="Arial"/>
                <w:b/>
                <w:color w:val="000000" w:themeColor="text1"/>
                <w:sz w:val="22"/>
                <w:szCs w:val="22"/>
                <w:lang w:val="es-ES_tradnl"/>
              </w:rPr>
            </w:pPr>
            <w:r w:rsidRPr="006B47F2">
              <w:rPr>
                <w:rFonts w:ascii="Arial" w:eastAsia="Calibri" w:hAnsi="Arial" w:cs="Arial"/>
                <w:b/>
                <w:color w:val="000000" w:themeColor="text1"/>
                <w:sz w:val="22"/>
                <w:szCs w:val="22"/>
                <w:lang w:val="es-ES_tradnl"/>
              </w:rPr>
              <w:t>Radicación:</w:t>
            </w:r>
            <w:r w:rsidRPr="006B47F2">
              <w:rPr>
                <w:rFonts w:ascii="Arial" w:eastAsia="Calibri" w:hAnsi="Arial" w:cs="Arial"/>
                <w:color w:val="000000" w:themeColor="text1"/>
                <w:sz w:val="22"/>
                <w:szCs w:val="22"/>
                <w:lang w:val="es-ES_tradnl"/>
              </w:rPr>
              <w:t xml:space="preserve">                              </w:t>
            </w:r>
          </w:p>
        </w:tc>
        <w:tc>
          <w:tcPr>
            <w:tcW w:w="6237" w:type="dxa"/>
          </w:tcPr>
          <w:p w14:paraId="09088B1B" w14:textId="0509648F" w:rsidR="00B95C30" w:rsidRPr="006B47F2" w:rsidRDefault="00B95C30" w:rsidP="000052C4">
            <w:pPr>
              <w:spacing w:line="276" w:lineRule="auto"/>
              <w:rPr>
                <w:rFonts w:ascii="Arial" w:eastAsia="Calibri" w:hAnsi="Arial" w:cs="Arial"/>
                <w:color w:val="000000" w:themeColor="text1"/>
                <w:sz w:val="22"/>
                <w:szCs w:val="22"/>
                <w:lang w:val="es-ES_tradnl"/>
              </w:rPr>
            </w:pPr>
            <w:r w:rsidRPr="006B47F2">
              <w:rPr>
                <w:rFonts w:ascii="Arial" w:eastAsia="Calibri" w:hAnsi="Arial" w:cs="Arial"/>
                <w:color w:val="000000" w:themeColor="text1"/>
                <w:sz w:val="22"/>
                <w:szCs w:val="22"/>
                <w:lang w:val="es-ES_tradnl"/>
              </w:rPr>
              <w:t>Respuesta a consulta</w:t>
            </w:r>
            <w:r w:rsidR="00F21D6D" w:rsidRPr="006B47F2">
              <w:rPr>
                <w:rFonts w:ascii="Arial" w:eastAsia="Calibri" w:hAnsi="Arial" w:cs="Arial"/>
                <w:color w:val="000000" w:themeColor="text1"/>
                <w:sz w:val="22"/>
                <w:szCs w:val="22"/>
                <w:lang w:val="es-ES_tradnl"/>
              </w:rPr>
              <w:t xml:space="preserve"> </w:t>
            </w:r>
            <w:r w:rsidR="006B47F2" w:rsidRPr="006B47F2">
              <w:rPr>
                <w:rFonts w:ascii="Arial" w:hAnsi="Arial" w:cs="Arial"/>
                <w:sz w:val="22"/>
                <w:szCs w:val="22"/>
              </w:rPr>
              <w:t>P20220906008914</w:t>
            </w:r>
          </w:p>
        </w:tc>
      </w:tr>
    </w:tbl>
    <w:p w14:paraId="7F7926D6" w14:textId="77777777" w:rsidR="009A52E4" w:rsidRPr="006B47F2" w:rsidRDefault="009A52E4" w:rsidP="003C3339">
      <w:pPr>
        <w:jc w:val="both"/>
        <w:rPr>
          <w:rFonts w:ascii="Arial" w:eastAsia="Calibri" w:hAnsi="Arial" w:cs="Arial"/>
          <w:color w:val="000000" w:themeColor="text1"/>
          <w:sz w:val="22"/>
          <w:lang w:val="es-ES_tradnl"/>
        </w:rPr>
      </w:pPr>
    </w:p>
    <w:p w14:paraId="1CF4AEA0" w14:textId="7E88CBB0" w:rsidR="003C3339" w:rsidRPr="006B47F2" w:rsidRDefault="003C3339" w:rsidP="003C3339">
      <w:pPr>
        <w:jc w:val="both"/>
        <w:rPr>
          <w:rFonts w:ascii="Arial" w:eastAsia="Calibri" w:hAnsi="Arial" w:cs="Arial"/>
          <w:color w:val="000000" w:themeColor="text1"/>
          <w:sz w:val="22"/>
          <w:lang w:val="es-ES_tradnl"/>
        </w:rPr>
      </w:pPr>
      <w:r w:rsidRPr="006B47F2">
        <w:rPr>
          <w:rFonts w:ascii="Arial" w:eastAsia="Calibri" w:hAnsi="Arial" w:cs="Arial"/>
          <w:color w:val="000000" w:themeColor="text1"/>
          <w:sz w:val="22"/>
          <w:lang w:val="es-ES_tradnl"/>
        </w:rPr>
        <w:t>Estimad</w:t>
      </w:r>
      <w:r w:rsidR="00207C1E" w:rsidRPr="006B47F2">
        <w:rPr>
          <w:rFonts w:ascii="Arial" w:eastAsia="Calibri" w:hAnsi="Arial" w:cs="Arial"/>
          <w:color w:val="000000" w:themeColor="text1"/>
          <w:sz w:val="22"/>
          <w:lang w:val="es-ES_tradnl"/>
        </w:rPr>
        <w:t>o</w:t>
      </w:r>
      <w:r w:rsidR="00523E23" w:rsidRPr="006B47F2">
        <w:rPr>
          <w:rFonts w:ascii="Arial" w:eastAsia="Calibri" w:hAnsi="Arial" w:cs="Arial"/>
          <w:color w:val="000000" w:themeColor="text1"/>
          <w:sz w:val="22"/>
          <w:lang w:val="es-ES_tradnl"/>
        </w:rPr>
        <w:t>s Señor</w:t>
      </w:r>
      <w:r w:rsidR="000052C4" w:rsidRPr="006B47F2">
        <w:rPr>
          <w:rFonts w:ascii="Arial" w:eastAsia="Calibri" w:hAnsi="Arial" w:cs="Arial"/>
          <w:color w:val="000000" w:themeColor="text1"/>
          <w:sz w:val="22"/>
          <w:lang w:val="es-ES_tradnl"/>
        </w:rPr>
        <w:t xml:space="preserve"> </w:t>
      </w:r>
      <w:r w:rsidR="00523E23" w:rsidRPr="006B47F2">
        <w:rPr>
          <w:rFonts w:ascii="Arial" w:eastAsia="Calibri" w:hAnsi="Arial" w:cs="Arial"/>
          <w:color w:val="000000" w:themeColor="text1"/>
          <w:sz w:val="22"/>
          <w:lang w:val="es-ES_tradnl"/>
        </w:rPr>
        <w:t>Guillermo:</w:t>
      </w:r>
    </w:p>
    <w:p w14:paraId="1EAE5543" w14:textId="37990AD8" w:rsidR="00DD5B04" w:rsidRPr="006B47F2" w:rsidRDefault="00DD5B04" w:rsidP="00DF76A2">
      <w:pPr>
        <w:jc w:val="both"/>
        <w:rPr>
          <w:rFonts w:ascii="Arial" w:eastAsia="Calibri" w:hAnsi="Arial" w:cs="Arial"/>
          <w:color w:val="000000" w:themeColor="text1"/>
          <w:sz w:val="22"/>
          <w:lang w:val="es-ES_tradnl"/>
        </w:rPr>
      </w:pPr>
    </w:p>
    <w:p w14:paraId="2109B2D3" w14:textId="0AF95EDB" w:rsidR="00DD5B04" w:rsidRPr="006B47F2" w:rsidRDefault="00DD5B04" w:rsidP="006B47F2">
      <w:pPr>
        <w:spacing w:line="276" w:lineRule="auto"/>
        <w:jc w:val="both"/>
        <w:rPr>
          <w:rFonts w:ascii="Arial" w:eastAsia="Calibri" w:hAnsi="Arial" w:cs="Arial"/>
          <w:color w:val="000000" w:themeColor="text1"/>
          <w:sz w:val="22"/>
          <w:lang w:val="es-ES_tradnl"/>
        </w:rPr>
      </w:pPr>
      <w:r w:rsidRPr="006B47F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6B47F2">
        <w:rPr>
          <w:rFonts w:ascii="Arial" w:eastAsia="Calibri" w:hAnsi="Arial" w:cs="Arial"/>
          <w:color w:val="000000" w:themeColor="text1"/>
          <w:sz w:val="22"/>
          <w:lang w:val="es-ES_tradnl"/>
        </w:rPr>
        <w:t>,</w:t>
      </w:r>
      <w:r w:rsidRPr="006B47F2">
        <w:rPr>
          <w:rFonts w:ascii="Arial" w:eastAsia="Calibri" w:hAnsi="Arial" w:cs="Arial"/>
          <w:color w:val="000000" w:themeColor="text1"/>
          <w:sz w:val="22"/>
          <w:lang w:val="es-ES_tradnl"/>
        </w:rPr>
        <w:t xml:space="preserve"> responde su consulta</w:t>
      </w:r>
      <w:r w:rsidR="00E8414B" w:rsidRPr="006B47F2">
        <w:rPr>
          <w:rFonts w:ascii="Arial" w:eastAsia="Calibri" w:hAnsi="Arial" w:cs="Arial"/>
          <w:color w:val="000000" w:themeColor="text1"/>
          <w:sz w:val="22"/>
          <w:lang w:val="es-ES_tradnl"/>
        </w:rPr>
        <w:t xml:space="preserve"> </w:t>
      </w:r>
      <w:r w:rsidRPr="006B47F2">
        <w:rPr>
          <w:rFonts w:ascii="Arial" w:eastAsia="Calibri" w:hAnsi="Arial" w:cs="Arial"/>
          <w:color w:val="000000" w:themeColor="text1"/>
          <w:sz w:val="22"/>
          <w:lang w:val="es-ES_tradnl"/>
        </w:rPr>
        <w:t>del</w:t>
      </w:r>
      <w:r w:rsidR="00846DBE" w:rsidRPr="006B47F2">
        <w:rPr>
          <w:rFonts w:ascii="Arial" w:eastAsia="Calibri" w:hAnsi="Arial" w:cs="Arial"/>
          <w:color w:val="000000" w:themeColor="text1"/>
          <w:sz w:val="22"/>
          <w:lang w:val="es-ES_tradnl"/>
        </w:rPr>
        <w:t xml:space="preserve"> </w:t>
      </w:r>
      <w:r w:rsidR="006B47F2" w:rsidRPr="006B47F2">
        <w:rPr>
          <w:rFonts w:ascii="Arial" w:eastAsia="Calibri" w:hAnsi="Arial" w:cs="Arial"/>
          <w:color w:val="000000" w:themeColor="text1"/>
          <w:sz w:val="22"/>
          <w:lang w:val="es-ES_tradnl"/>
        </w:rPr>
        <w:t>06</w:t>
      </w:r>
      <w:r w:rsidR="000052C4" w:rsidRPr="006B47F2">
        <w:rPr>
          <w:rFonts w:ascii="Arial" w:eastAsia="Calibri" w:hAnsi="Arial" w:cs="Arial"/>
          <w:color w:val="000000" w:themeColor="text1"/>
          <w:sz w:val="22"/>
          <w:lang w:val="es-ES_tradnl"/>
        </w:rPr>
        <w:t xml:space="preserve"> </w:t>
      </w:r>
      <w:r w:rsidR="00C52FB1" w:rsidRPr="006B47F2">
        <w:rPr>
          <w:rFonts w:ascii="Arial" w:eastAsia="Calibri" w:hAnsi="Arial" w:cs="Arial"/>
          <w:color w:val="000000" w:themeColor="text1"/>
          <w:sz w:val="22"/>
          <w:lang w:val="es-ES_tradnl"/>
        </w:rPr>
        <w:t xml:space="preserve">de </w:t>
      </w:r>
      <w:r w:rsidR="0077368F" w:rsidRPr="006B47F2">
        <w:rPr>
          <w:rFonts w:ascii="Arial" w:eastAsia="Calibri" w:hAnsi="Arial" w:cs="Arial"/>
          <w:color w:val="000000" w:themeColor="text1"/>
          <w:sz w:val="22"/>
          <w:lang w:val="es-ES_tradnl"/>
        </w:rPr>
        <w:t>septiembre</w:t>
      </w:r>
      <w:r w:rsidR="006B47F2" w:rsidRPr="006B47F2">
        <w:rPr>
          <w:rFonts w:ascii="Arial" w:eastAsia="Calibri" w:hAnsi="Arial" w:cs="Arial"/>
          <w:color w:val="000000" w:themeColor="text1"/>
          <w:sz w:val="22"/>
          <w:lang w:val="es-ES_tradnl"/>
        </w:rPr>
        <w:t xml:space="preserve"> </w:t>
      </w:r>
      <w:r w:rsidR="00207C1E" w:rsidRPr="006B47F2">
        <w:rPr>
          <w:rFonts w:ascii="Arial" w:eastAsia="Calibri" w:hAnsi="Arial" w:cs="Arial"/>
          <w:color w:val="000000" w:themeColor="text1"/>
          <w:sz w:val="22"/>
          <w:lang w:val="es-ES_tradnl"/>
        </w:rPr>
        <w:t>de 2022</w:t>
      </w:r>
      <w:r w:rsidR="00F21D6D" w:rsidRPr="006B47F2">
        <w:rPr>
          <w:rFonts w:ascii="Arial" w:eastAsia="Calibri" w:hAnsi="Arial" w:cs="Arial"/>
          <w:color w:val="000000" w:themeColor="text1"/>
          <w:sz w:val="22"/>
          <w:lang w:val="es-ES_tradnl"/>
        </w:rPr>
        <w:t>.</w:t>
      </w:r>
    </w:p>
    <w:p w14:paraId="0C1E0712" w14:textId="77777777" w:rsidR="00DD5B04" w:rsidRPr="006B47F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6B47F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B47F2">
        <w:rPr>
          <w:rFonts w:ascii="Arial" w:eastAsia="Calibri" w:hAnsi="Arial" w:cs="Arial"/>
          <w:b/>
          <w:color w:val="000000" w:themeColor="text1"/>
          <w:sz w:val="22"/>
          <w:lang w:val="es-ES_tradnl"/>
        </w:rPr>
        <w:t xml:space="preserve">Problema planteado </w:t>
      </w:r>
    </w:p>
    <w:p w14:paraId="3D22AAE5" w14:textId="77777777" w:rsidR="00384466" w:rsidRPr="006B47F2" w:rsidRDefault="00384466" w:rsidP="00384466">
      <w:pPr>
        <w:pStyle w:val="NormalWeb"/>
        <w:spacing w:before="0" w:beforeAutospacing="0" w:after="0" w:afterAutospacing="0" w:line="276" w:lineRule="auto"/>
        <w:jc w:val="both"/>
        <w:rPr>
          <w:rFonts w:ascii="Arial" w:hAnsi="Arial" w:cs="Arial"/>
          <w:color w:val="000000" w:themeColor="text1"/>
          <w:sz w:val="22"/>
          <w:lang w:val="es-ES_tradnl"/>
        </w:rPr>
      </w:pPr>
    </w:p>
    <w:p w14:paraId="6988BFF7" w14:textId="1D3E514D" w:rsidR="005C69F7" w:rsidRPr="006B47F2" w:rsidRDefault="005C69F7" w:rsidP="00384466">
      <w:pPr>
        <w:pStyle w:val="NormalWeb"/>
        <w:spacing w:before="0" w:beforeAutospacing="0" w:after="0" w:afterAutospacing="0" w:line="276" w:lineRule="auto"/>
        <w:jc w:val="both"/>
        <w:rPr>
          <w:rFonts w:ascii="Arial" w:hAnsi="Arial" w:cs="Arial"/>
          <w:color w:val="000000" w:themeColor="text1"/>
          <w:sz w:val="22"/>
          <w:lang w:val="es-ES_tradnl"/>
        </w:rPr>
      </w:pPr>
      <w:r w:rsidRPr="006B47F2">
        <w:rPr>
          <w:rFonts w:ascii="Arial" w:hAnsi="Arial" w:cs="Arial"/>
          <w:color w:val="000000" w:themeColor="text1"/>
          <w:sz w:val="22"/>
          <w:lang w:val="es-ES_tradnl"/>
        </w:rPr>
        <w:t xml:space="preserve">En relación </w:t>
      </w:r>
      <w:r w:rsidR="006B47F2" w:rsidRPr="006B47F2">
        <w:rPr>
          <w:rFonts w:ascii="Arial" w:hAnsi="Arial" w:cs="Arial"/>
          <w:color w:val="000000" w:themeColor="text1"/>
          <w:sz w:val="22"/>
          <w:lang w:val="es-ES_tradnl"/>
        </w:rPr>
        <w:t>con el cálculo de la capacidad residual,</w:t>
      </w:r>
      <w:r w:rsidR="00486C85" w:rsidRPr="006B47F2">
        <w:rPr>
          <w:rFonts w:ascii="Arial" w:hAnsi="Arial" w:cs="Arial"/>
          <w:color w:val="000000" w:themeColor="text1"/>
          <w:sz w:val="22"/>
          <w:lang w:val="es-ES_tradnl"/>
        </w:rPr>
        <w:t xml:space="preserve"> específicamente en lo que tiene que ver con </w:t>
      </w:r>
      <w:r w:rsidR="006B47F2" w:rsidRPr="006B47F2">
        <w:rPr>
          <w:rFonts w:ascii="Arial" w:hAnsi="Arial" w:cs="Arial"/>
          <w:color w:val="000000" w:themeColor="text1"/>
          <w:sz w:val="22"/>
          <w:lang w:val="es-ES_tradnl"/>
        </w:rPr>
        <w:t>los procesos de selección que se adelantan por lotes</w:t>
      </w:r>
      <w:r w:rsidR="00486C85" w:rsidRPr="006B47F2">
        <w:rPr>
          <w:rFonts w:ascii="Arial" w:hAnsi="Arial" w:cs="Arial"/>
          <w:color w:val="000000" w:themeColor="text1"/>
          <w:sz w:val="22"/>
          <w:lang w:val="es-ES_tradnl"/>
        </w:rPr>
        <w:t>,</w:t>
      </w:r>
      <w:r w:rsidRPr="006B47F2">
        <w:rPr>
          <w:rFonts w:ascii="Arial" w:hAnsi="Arial" w:cs="Arial"/>
          <w:color w:val="000000" w:themeColor="text1"/>
          <w:sz w:val="22"/>
          <w:lang w:val="es-ES_tradnl"/>
        </w:rPr>
        <w:t xml:space="preserve"> usted </w:t>
      </w:r>
      <w:r w:rsidR="000841A2" w:rsidRPr="006B47F2">
        <w:rPr>
          <w:rFonts w:ascii="Arial" w:hAnsi="Arial" w:cs="Arial"/>
          <w:color w:val="000000" w:themeColor="text1"/>
          <w:sz w:val="22"/>
          <w:lang w:val="es-ES_tradnl"/>
        </w:rPr>
        <w:t>realiza</w:t>
      </w:r>
      <w:r w:rsidR="00827203" w:rsidRPr="006B47F2">
        <w:rPr>
          <w:rFonts w:ascii="Arial" w:hAnsi="Arial" w:cs="Arial"/>
          <w:color w:val="000000" w:themeColor="text1"/>
          <w:sz w:val="22"/>
          <w:lang w:val="es-ES_tradnl"/>
        </w:rPr>
        <w:t xml:space="preserve"> </w:t>
      </w:r>
      <w:r w:rsidR="00026092" w:rsidRPr="006B47F2">
        <w:rPr>
          <w:rFonts w:ascii="Arial" w:hAnsi="Arial" w:cs="Arial"/>
          <w:color w:val="000000" w:themeColor="text1"/>
          <w:sz w:val="22"/>
          <w:lang w:val="es-ES_tradnl"/>
        </w:rPr>
        <w:t>la siguiente</w:t>
      </w:r>
      <w:r w:rsidR="00AC4D8F" w:rsidRPr="006B47F2">
        <w:rPr>
          <w:rFonts w:ascii="Arial" w:hAnsi="Arial" w:cs="Arial"/>
          <w:color w:val="000000" w:themeColor="text1"/>
          <w:sz w:val="22"/>
          <w:lang w:val="es-ES_tradnl"/>
        </w:rPr>
        <w:t xml:space="preserve"> consulta</w:t>
      </w:r>
      <w:r w:rsidR="007577DA" w:rsidRPr="006B47F2">
        <w:rPr>
          <w:rFonts w:ascii="Arial" w:hAnsi="Arial" w:cs="Arial"/>
          <w:color w:val="000000" w:themeColor="text1"/>
          <w:sz w:val="22"/>
          <w:lang w:val="es-ES_tradnl"/>
        </w:rPr>
        <w:t xml:space="preserve">: </w:t>
      </w:r>
      <w:bookmarkStart w:id="4" w:name="_Hlk103091320"/>
    </w:p>
    <w:p w14:paraId="23FE62E9" w14:textId="77777777" w:rsidR="005C69F7" w:rsidRPr="006B47F2" w:rsidRDefault="005C69F7" w:rsidP="00384466">
      <w:pPr>
        <w:pStyle w:val="NormalWeb"/>
        <w:spacing w:before="0" w:beforeAutospacing="0" w:after="0" w:afterAutospacing="0" w:line="276" w:lineRule="auto"/>
        <w:jc w:val="both"/>
        <w:rPr>
          <w:rFonts w:ascii="Arial" w:hAnsi="Arial" w:cs="Arial"/>
          <w:color w:val="000000" w:themeColor="text1"/>
          <w:sz w:val="22"/>
          <w:highlight w:val="yellow"/>
          <w:lang w:val="es-ES_tradnl"/>
        </w:rPr>
      </w:pPr>
    </w:p>
    <w:bookmarkEnd w:id="4"/>
    <w:p w14:paraId="25E0F5BD" w14:textId="69B1C088" w:rsidR="006B47F2" w:rsidRDefault="00F0351E" w:rsidP="00B261F8">
      <w:pPr>
        <w:ind w:left="708" w:right="900"/>
        <w:jc w:val="both"/>
        <w:rPr>
          <w:rFonts w:ascii="Arial" w:eastAsia="Calibri" w:hAnsi="Arial" w:cs="Arial"/>
          <w:sz w:val="21"/>
          <w:szCs w:val="21"/>
          <w:lang w:eastAsia="en-US"/>
        </w:rPr>
      </w:pPr>
      <w:r w:rsidRPr="006B47F2">
        <w:rPr>
          <w:rFonts w:ascii="Arial" w:eastAsia="Calibri" w:hAnsi="Arial" w:cs="Arial"/>
          <w:sz w:val="21"/>
          <w:szCs w:val="21"/>
          <w:lang w:eastAsia="en-US"/>
        </w:rPr>
        <w:t>«</w:t>
      </w:r>
      <w:r w:rsidR="006B47F2" w:rsidRPr="006B47F2">
        <w:rPr>
          <w:rFonts w:ascii="Arial" w:eastAsia="Calibri" w:hAnsi="Arial" w:cs="Arial"/>
          <w:sz w:val="21"/>
          <w:szCs w:val="21"/>
          <w:lang w:eastAsia="en-US"/>
        </w:rPr>
        <w:t xml:space="preserve">En un proceso de selección, bajo la Modalidad de Licitación Pública, respecto al Cálculo de CAPACIDAD RESIDUAL, tengo la siguiente duda/pregunta: </w:t>
      </w:r>
    </w:p>
    <w:p w14:paraId="648B5E7B" w14:textId="77777777" w:rsidR="00B261F8" w:rsidRPr="006B47F2" w:rsidRDefault="00B261F8" w:rsidP="0077368F">
      <w:pPr>
        <w:ind w:left="708" w:right="900"/>
        <w:jc w:val="both"/>
        <w:rPr>
          <w:rFonts w:ascii="Arial" w:eastAsia="Calibri" w:hAnsi="Arial" w:cs="Arial"/>
          <w:sz w:val="21"/>
          <w:szCs w:val="21"/>
          <w:lang w:eastAsia="en-US"/>
        </w:rPr>
      </w:pPr>
    </w:p>
    <w:p w14:paraId="42401E97" w14:textId="77777777" w:rsidR="006B47F2" w:rsidRPr="006B47F2" w:rsidRDefault="006B47F2" w:rsidP="0077368F">
      <w:pPr>
        <w:ind w:left="708" w:right="900"/>
        <w:jc w:val="both"/>
        <w:rPr>
          <w:rFonts w:ascii="Arial" w:eastAsia="Calibri" w:hAnsi="Arial" w:cs="Arial"/>
          <w:sz w:val="21"/>
          <w:szCs w:val="21"/>
          <w:lang w:eastAsia="en-US"/>
        </w:rPr>
      </w:pPr>
      <w:r w:rsidRPr="006B47F2">
        <w:rPr>
          <w:rFonts w:ascii="Arial" w:eastAsia="Calibri" w:hAnsi="Arial" w:cs="Arial"/>
          <w:sz w:val="21"/>
          <w:szCs w:val="21"/>
          <w:lang w:eastAsia="en-US"/>
        </w:rPr>
        <w:t xml:space="preserve">El cálculo / puntaje por el FACTOR EXPERIENCIA (E) se determina por medio de la relación entre: i) el valor total en Pesos de los contratos relacionados con la actividad de la construcción inscritos por el Proponente en el RUP, en el segmento 72 “Servicios de Edificación, Construcción de Instalaciones y Mantenimiento” del Clasificador de Bienes y Servicios; y ii) el Presupuesto Oficial del Proceso de Contratación. </w:t>
      </w:r>
    </w:p>
    <w:p w14:paraId="768356D0" w14:textId="77777777" w:rsidR="00B261F8" w:rsidRDefault="00B261F8" w:rsidP="00B261F8">
      <w:pPr>
        <w:ind w:left="708" w:right="900"/>
        <w:jc w:val="both"/>
        <w:rPr>
          <w:rFonts w:ascii="Arial" w:eastAsia="Calibri" w:hAnsi="Arial" w:cs="Arial"/>
          <w:sz w:val="21"/>
          <w:szCs w:val="21"/>
          <w:lang w:eastAsia="en-US"/>
        </w:rPr>
      </w:pPr>
    </w:p>
    <w:p w14:paraId="20E7D16A" w14:textId="63340895" w:rsidR="00F0351E" w:rsidRPr="006B47F2" w:rsidRDefault="006B47F2" w:rsidP="00B261F8">
      <w:pPr>
        <w:ind w:left="708" w:right="900"/>
        <w:jc w:val="both"/>
        <w:rPr>
          <w:rFonts w:ascii="Arial" w:hAnsi="Arial" w:cs="Arial"/>
          <w:sz w:val="22"/>
          <w:szCs w:val="22"/>
          <w:lang w:eastAsia="es-MX"/>
        </w:rPr>
      </w:pPr>
      <w:r w:rsidRPr="006B47F2">
        <w:rPr>
          <w:rFonts w:ascii="Arial" w:eastAsia="Calibri" w:hAnsi="Arial" w:cs="Arial"/>
          <w:sz w:val="21"/>
          <w:szCs w:val="21"/>
          <w:lang w:eastAsia="en-US"/>
        </w:rPr>
        <w:lastRenderedPageBreak/>
        <w:t>¿Cuándo el Proceso de Selección, en este caso Licitación Pública está estructurado en LOTES y/o GRUPOS, ese valor de ́PRESUPUESTO OFICIAL, corresponde al valor del PRESUPUESTO OFICIAL DEL GRUPO al cual presento oferta o al valor de la sumatoria de los PRESUPUESTOS OFICIALES de los GRUPOS a los cuales presento oferta?</w:t>
      </w:r>
      <w:bookmarkStart w:id="5" w:name="_Hlk103091300"/>
      <w:r w:rsidR="00F0351E" w:rsidRPr="006B47F2">
        <w:rPr>
          <w:rFonts w:ascii="Arial" w:eastAsia="Calibri" w:hAnsi="Arial" w:cs="Arial"/>
          <w:sz w:val="21"/>
          <w:szCs w:val="21"/>
          <w:lang w:eastAsia="en-US"/>
        </w:rPr>
        <w:t>»</w:t>
      </w:r>
      <w:bookmarkEnd w:id="5"/>
      <w:r w:rsidR="00A64026" w:rsidRPr="006B47F2">
        <w:rPr>
          <w:rFonts w:ascii="Arial" w:eastAsia="Calibri" w:hAnsi="Arial" w:cs="Arial"/>
          <w:sz w:val="21"/>
          <w:szCs w:val="21"/>
          <w:lang w:eastAsia="en-US"/>
        </w:rPr>
        <w:t>.</w:t>
      </w:r>
      <w:r w:rsidR="00F0351E" w:rsidRPr="006B47F2">
        <w:rPr>
          <w:rFonts w:ascii="Arial" w:hAnsi="Arial" w:cs="Arial"/>
          <w:sz w:val="22"/>
          <w:szCs w:val="22"/>
          <w:lang w:eastAsia="es-MX"/>
        </w:rPr>
        <w:t xml:space="preserve"> </w:t>
      </w:r>
    </w:p>
    <w:p w14:paraId="53BFB9F0" w14:textId="77777777" w:rsidR="00A64026" w:rsidRPr="006B47F2" w:rsidRDefault="00A64026" w:rsidP="00316FC7">
      <w:pPr>
        <w:ind w:left="708" w:right="900"/>
        <w:jc w:val="both"/>
        <w:rPr>
          <w:rFonts w:ascii="Arial" w:hAnsi="Arial" w:cs="Arial"/>
          <w:sz w:val="22"/>
          <w:szCs w:val="22"/>
          <w:lang w:eastAsia="es-MX"/>
        </w:rPr>
      </w:pPr>
    </w:p>
    <w:p w14:paraId="4A54C3B6" w14:textId="22E01109" w:rsidR="00AC6C90" w:rsidRPr="006B47F2" w:rsidRDefault="00AC6C90" w:rsidP="00384466">
      <w:pPr>
        <w:pStyle w:val="NormalWeb"/>
        <w:numPr>
          <w:ilvl w:val="0"/>
          <w:numId w:val="8"/>
        </w:numPr>
        <w:spacing w:before="0" w:beforeAutospacing="0" w:after="0" w:afterAutospacing="0" w:line="276" w:lineRule="auto"/>
        <w:jc w:val="both"/>
        <w:rPr>
          <w:rFonts w:ascii="Arial" w:hAnsi="Arial" w:cs="Arial"/>
          <w:sz w:val="22"/>
          <w:szCs w:val="22"/>
        </w:rPr>
      </w:pPr>
      <w:r w:rsidRPr="006B47F2">
        <w:rPr>
          <w:rFonts w:ascii="Arial" w:eastAsia="Calibri" w:hAnsi="Arial" w:cs="Arial"/>
          <w:b/>
          <w:color w:val="000000" w:themeColor="text1"/>
          <w:sz w:val="22"/>
          <w:lang w:val="es-ES_tradnl"/>
        </w:rPr>
        <w:t>Consideraciones</w:t>
      </w:r>
    </w:p>
    <w:p w14:paraId="14C799C5" w14:textId="77777777" w:rsidR="00AC6C90" w:rsidRPr="006B47F2" w:rsidRDefault="00AC6C90" w:rsidP="00AC6C90">
      <w:pPr>
        <w:spacing w:line="276" w:lineRule="auto"/>
        <w:jc w:val="both"/>
        <w:rPr>
          <w:rFonts w:ascii="Arial" w:eastAsia="Calibri" w:hAnsi="Arial" w:cs="Arial"/>
          <w:sz w:val="22"/>
          <w:szCs w:val="22"/>
          <w:highlight w:val="yellow"/>
          <w:lang w:val="es-ES_tradnl"/>
        </w:rPr>
      </w:pPr>
    </w:p>
    <w:p w14:paraId="2273091F" w14:textId="7379DA52" w:rsidR="009D0B5D" w:rsidRPr="003F690B" w:rsidRDefault="009D0B5D" w:rsidP="00316FC7">
      <w:pPr>
        <w:spacing w:after="120" w:line="276" w:lineRule="auto"/>
        <w:jc w:val="both"/>
        <w:rPr>
          <w:rFonts w:ascii="Arial" w:hAnsi="Arial" w:cs="Arial"/>
          <w:sz w:val="22"/>
          <w:lang w:val="es-ES"/>
        </w:rPr>
      </w:pPr>
      <w:r w:rsidRPr="003F690B">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E02F61" w:rsidRPr="003F690B">
        <w:rPr>
          <w:rFonts w:ascii="Arial" w:hAnsi="Arial" w:cs="Arial"/>
          <w:bCs/>
          <w:sz w:val="22"/>
        </w:rPr>
        <w:t xml:space="preserve"> </w:t>
      </w:r>
      <w:bookmarkStart w:id="6" w:name="_Hlk61701014"/>
      <w:bookmarkStart w:id="7" w:name="_Hlk62136649"/>
      <w:r w:rsidRPr="003F690B">
        <w:rPr>
          <w:rFonts w:ascii="Arial" w:hAnsi="Arial" w:cs="Arial"/>
          <w:sz w:val="22"/>
          <w:lang w:val="es-ES"/>
        </w:rPr>
        <w:t xml:space="preserve">Es necesario tener en cuenta que </w:t>
      </w:r>
      <w:bookmarkStart w:id="8" w:name="_Hlk61026958"/>
      <w:r w:rsidRPr="003F690B">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F690B">
        <w:rPr>
          <w:rFonts w:ascii="Arial" w:hAnsi="Arial" w:cs="Arial"/>
          <w:bCs/>
          <w:sz w:val="22"/>
        </w:rPr>
        <w:t xml:space="preserve"> de todos los partícipes de la contratación estatal.</w:t>
      </w:r>
    </w:p>
    <w:p w14:paraId="3231BBDC" w14:textId="77777777" w:rsidR="009D0B5D" w:rsidRPr="00D62F13" w:rsidRDefault="009D0B5D" w:rsidP="009D0B5D">
      <w:pPr>
        <w:spacing w:after="120" w:line="276" w:lineRule="auto"/>
        <w:ind w:firstLine="708"/>
        <w:jc w:val="both"/>
        <w:rPr>
          <w:rFonts w:ascii="Arial" w:hAnsi="Arial" w:cs="Arial"/>
          <w:sz w:val="22"/>
          <w:lang w:val="es-ES"/>
        </w:rPr>
      </w:pPr>
      <w:r w:rsidRPr="003F690B">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F690B">
        <w:rPr>
          <w:rFonts w:ascii="Arial" w:hAnsi="Arial" w:cs="Arial"/>
          <w:sz w:val="22"/>
          <w:vertAlign w:val="superscript"/>
          <w:lang w:val="es-ES"/>
        </w:rPr>
        <w:footnoteReference w:id="2"/>
      </w:r>
      <w:r w:rsidRPr="003F690B">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w:t>
      </w:r>
      <w:r w:rsidRPr="00D62F13">
        <w:rPr>
          <w:rFonts w:ascii="Arial" w:hAnsi="Arial" w:cs="Arial"/>
          <w:sz w:val="22"/>
          <w:lang w:val="es-ES"/>
        </w:rPr>
        <w:t>documentos del procedimiento contractual donde surge la inquietud</w:t>
      </w:r>
      <w:bookmarkEnd w:id="8"/>
      <w:r w:rsidRPr="00D62F13">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p>
    <w:bookmarkEnd w:id="7"/>
    <w:p w14:paraId="0E7E36F4" w14:textId="588828AF" w:rsidR="00AC6C90" w:rsidRPr="00D62F13" w:rsidRDefault="009D0B5D" w:rsidP="009D0B5D">
      <w:pPr>
        <w:spacing w:line="276" w:lineRule="auto"/>
        <w:ind w:firstLine="708"/>
        <w:jc w:val="both"/>
        <w:rPr>
          <w:rFonts w:ascii="Arial" w:eastAsia="Calibri" w:hAnsi="Arial" w:cs="Arial"/>
          <w:sz w:val="22"/>
          <w:szCs w:val="22"/>
          <w:lang w:val="es-ES_tradnl"/>
        </w:rPr>
      </w:pPr>
      <w:r w:rsidRPr="00D62F13">
        <w:rPr>
          <w:rFonts w:ascii="Arial" w:eastAsia="Calibri" w:hAnsi="Arial" w:cs="Arial"/>
          <w:color w:val="000000" w:themeColor="text1"/>
          <w:sz w:val="22"/>
        </w:rPr>
        <w:lastRenderedPageBreak/>
        <w:t xml:space="preserve">Sin perjuicio de lo anterior, </w:t>
      </w:r>
      <w:r w:rsidRPr="00D62F13">
        <w:rPr>
          <w:rFonts w:ascii="Arial" w:eastAsia="Calibri" w:hAnsi="Arial" w:cs="Arial"/>
          <w:color w:val="000000" w:themeColor="text1"/>
          <w:sz w:val="22"/>
          <w:lang w:val="es-ES"/>
        </w:rPr>
        <w:t xml:space="preserve">la Subdirección –dentro de los límites de sus atribuciones– resolverá la consulta conforme a las normas generales en materia de contratación estatal. </w:t>
      </w:r>
      <w:r w:rsidR="00906E31" w:rsidRPr="00D62F13">
        <w:rPr>
          <w:rFonts w:ascii="Arial" w:eastAsia="Calibri" w:hAnsi="Arial" w:cs="Arial"/>
          <w:color w:val="000000" w:themeColor="text1"/>
          <w:sz w:val="22"/>
          <w:lang w:val="es-ES"/>
        </w:rPr>
        <w:t xml:space="preserve">Con este objeto se analizarán </w:t>
      </w:r>
      <w:r w:rsidR="00B66316">
        <w:rPr>
          <w:rFonts w:ascii="Arial" w:eastAsia="Calibri" w:hAnsi="Arial" w:cs="Arial"/>
          <w:sz w:val="22"/>
          <w:szCs w:val="22"/>
          <w:lang w:val="es-ES_tradnl"/>
        </w:rPr>
        <w:t>los</w:t>
      </w:r>
      <w:r w:rsidR="00906E31" w:rsidRPr="00D62F13">
        <w:rPr>
          <w:rFonts w:ascii="Arial" w:eastAsia="Calibri" w:hAnsi="Arial" w:cs="Arial"/>
          <w:sz w:val="22"/>
          <w:szCs w:val="22"/>
          <w:lang w:val="es-ES_tradnl"/>
        </w:rPr>
        <w:t xml:space="preserve"> </w:t>
      </w:r>
      <w:r w:rsidR="00486C85" w:rsidRPr="00D62F13">
        <w:rPr>
          <w:rFonts w:ascii="Arial" w:eastAsia="Calibri" w:hAnsi="Arial" w:cs="Arial"/>
          <w:sz w:val="22"/>
          <w:szCs w:val="22"/>
          <w:lang w:val="es-ES_tradnl"/>
        </w:rPr>
        <w:t>siguiente</w:t>
      </w:r>
      <w:r w:rsidR="00B66316">
        <w:rPr>
          <w:rFonts w:ascii="Arial" w:eastAsia="Calibri" w:hAnsi="Arial" w:cs="Arial"/>
          <w:sz w:val="22"/>
          <w:szCs w:val="22"/>
          <w:lang w:val="es-ES_tradnl"/>
        </w:rPr>
        <w:t>s</w:t>
      </w:r>
      <w:r w:rsidR="00486C85" w:rsidRPr="00D62F13">
        <w:rPr>
          <w:rFonts w:ascii="Arial" w:eastAsia="Calibri" w:hAnsi="Arial" w:cs="Arial"/>
          <w:sz w:val="22"/>
          <w:szCs w:val="22"/>
          <w:lang w:val="es-ES_tradnl"/>
        </w:rPr>
        <w:t xml:space="preserve"> tema</w:t>
      </w:r>
      <w:r w:rsidR="00B66316">
        <w:rPr>
          <w:rFonts w:ascii="Arial" w:eastAsia="Calibri" w:hAnsi="Arial" w:cs="Arial"/>
          <w:sz w:val="22"/>
          <w:szCs w:val="22"/>
          <w:lang w:val="es-ES_tradnl"/>
        </w:rPr>
        <w:t>s</w:t>
      </w:r>
      <w:r w:rsidR="00486C85" w:rsidRPr="00D62F13">
        <w:rPr>
          <w:rFonts w:ascii="Arial" w:eastAsia="Calibri" w:hAnsi="Arial" w:cs="Arial"/>
          <w:sz w:val="22"/>
          <w:szCs w:val="22"/>
          <w:lang w:val="es-ES_tradnl"/>
        </w:rPr>
        <w:t xml:space="preserve">: </w:t>
      </w:r>
      <w:proofErr w:type="gramStart"/>
      <w:r w:rsidR="00486C85" w:rsidRPr="00D62F13">
        <w:rPr>
          <w:rFonts w:ascii="Arial" w:eastAsia="Calibri" w:hAnsi="Arial" w:cs="Arial"/>
          <w:sz w:val="22"/>
          <w:szCs w:val="22"/>
          <w:lang w:val="es-ES_tradnl"/>
        </w:rPr>
        <w:t>i)</w:t>
      </w:r>
      <w:r w:rsidR="00B66316">
        <w:rPr>
          <w:rFonts w:ascii="Arial" w:eastAsia="Calibri" w:hAnsi="Arial" w:cs="Arial"/>
          <w:sz w:val="22"/>
          <w:szCs w:val="22"/>
          <w:lang w:val="es-ES_tradnl"/>
        </w:rPr>
        <w:t>l</w:t>
      </w:r>
      <w:r w:rsidR="00B66316" w:rsidRPr="00B66316">
        <w:rPr>
          <w:rFonts w:ascii="Arial" w:eastAsia="Calibri" w:hAnsi="Arial" w:cs="Arial"/>
          <w:sz w:val="22"/>
          <w:szCs w:val="22"/>
          <w:lang w:val="es-ES_tradnl"/>
        </w:rPr>
        <w:t>a</w:t>
      </w:r>
      <w:proofErr w:type="gramEnd"/>
      <w:r w:rsidR="00B66316" w:rsidRPr="00B66316">
        <w:rPr>
          <w:rFonts w:ascii="Arial" w:eastAsia="Calibri" w:hAnsi="Arial" w:cs="Arial"/>
          <w:sz w:val="22"/>
          <w:szCs w:val="22"/>
          <w:lang w:val="es-ES_tradnl"/>
        </w:rPr>
        <w:t xml:space="preserve"> capacidad residual como requisito habilitante en los procesos de contratación de obra pública</w:t>
      </w:r>
      <w:r w:rsidR="00DD7E17" w:rsidRPr="00D62F13">
        <w:rPr>
          <w:rFonts w:ascii="Arial" w:eastAsia="Calibri" w:hAnsi="Arial" w:cs="Arial"/>
          <w:sz w:val="22"/>
          <w:szCs w:val="22"/>
          <w:lang w:val="es-ES_tradnl"/>
        </w:rPr>
        <w:t>,</w:t>
      </w:r>
      <w:r w:rsidR="00F0351E" w:rsidRPr="00D62F13">
        <w:rPr>
          <w:rFonts w:ascii="Arial" w:eastAsia="Calibri" w:hAnsi="Arial" w:cs="Arial"/>
          <w:sz w:val="22"/>
          <w:szCs w:val="22"/>
          <w:lang w:val="es-ES_tradnl"/>
        </w:rPr>
        <w:t xml:space="preserve"> ii) </w:t>
      </w:r>
      <w:r w:rsidR="00B66316" w:rsidRPr="00B66316">
        <w:rPr>
          <w:rFonts w:ascii="Arial" w:eastAsia="Calibri" w:hAnsi="Arial" w:cs="Arial"/>
          <w:sz w:val="22"/>
          <w:szCs w:val="22"/>
          <w:lang w:val="es-ES_tradnl"/>
        </w:rPr>
        <w:t xml:space="preserve">Saldos de Contratos en Ejecución (SCE) y reglas para determinar la Capacidad Residual del Proponente (CRP) en procesos estructurados por lotes </w:t>
      </w:r>
      <w:r w:rsidR="00DD7E17" w:rsidRPr="00D62F13">
        <w:rPr>
          <w:rFonts w:ascii="Arial" w:eastAsia="Calibri" w:hAnsi="Arial" w:cs="Arial"/>
          <w:sz w:val="22"/>
          <w:szCs w:val="22"/>
          <w:lang w:val="es-ES_tradnl"/>
        </w:rPr>
        <w:t xml:space="preserve">y </w:t>
      </w:r>
      <w:r w:rsidR="00F0351E" w:rsidRPr="00D62F13">
        <w:rPr>
          <w:rFonts w:ascii="Arial" w:eastAsia="Calibri" w:hAnsi="Arial" w:cs="Arial"/>
          <w:sz w:val="22"/>
          <w:szCs w:val="22"/>
          <w:lang w:val="es-ES_tradnl"/>
        </w:rPr>
        <w:t xml:space="preserve"> iii) </w:t>
      </w:r>
      <w:r w:rsidR="00B66316" w:rsidRPr="00B66316">
        <w:rPr>
          <w:rFonts w:ascii="Arial" w:eastAsia="Calibri" w:hAnsi="Arial" w:cs="Arial"/>
          <w:sz w:val="22"/>
          <w:szCs w:val="22"/>
          <w:lang w:val="es-ES_tradnl"/>
        </w:rPr>
        <w:t>reglas para la acreditación de la capacidad residual en los documentos tipo para la contratación de obra pública</w:t>
      </w:r>
      <w:r w:rsidR="00B66316">
        <w:rPr>
          <w:rFonts w:ascii="Arial" w:eastAsia="Calibri" w:hAnsi="Arial" w:cs="Arial"/>
          <w:sz w:val="22"/>
          <w:szCs w:val="22"/>
          <w:lang w:val="es-ES_tradnl"/>
        </w:rPr>
        <w:t>.</w:t>
      </w:r>
      <w:r w:rsidR="00B66316" w:rsidRPr="00B66316">
        <w:rPr>
          <w:rFonts w:ascii="Arial" w:eastAsia="Calibri" w:hAnsi="Arial" w:cs="Arial"/>
          <w:sz w:val="22"/>
          <w:szCs w:val="22"/>
          <w:lang w:val="es-ES_tradnl"/>
        </w:rPr>
        <w:t xml:space="preserve"> </w:t>
      </w:r>
    </w:p>
    <w:p w14:paraId="1AA19627" w14:textId="6CE7C867" w:rsidR="00385131" w:rsidRPr="0077368F" w:rsidRDefault="00AA2899" w:rsidP="007C7F6F">
      <w:pPr>
        <w:spacing w:before="120" w:line="276" w:lineRule="auto"/>
        <w:ind w:firstLine="709"/>
        <w:jc w:val="both"/>
        <w:rPr>
          <w:rFonts w:ascii="Arial" w:hAnsi="Arial" w:cs="Arial"/>
          <w:bCs/>
          <w:color w:val="000000" w:themeColor="text1"/>
          <w:sz w:val="22"/>
        </w:rPr>
      </w:pPr>
      <w:r w:rsidRPr="007C7F6F">
        <w:rPr>
          <w:rFonts w:ascii="Arial" w:hAnsi="Arial" w:cs="Arial"/>
          <w:bCs/>
          <w:color w:val="161616" w:themeColor="background1" w:themeShade="1A"/>
          <w:sz w:val="22"/>
          <w:szCs w:val="22"/>
        </w:rPr>
        <w:t xml:space="preserve">La Agencia Nacional de Contratación Pública − Colombia Compra Eficiente se ha pronunciado sobre la capacidad residual, y la forma como esta se debe acreditar, en los conceptos </w:t>
      </w:r>
      <w:r w:rsidRPr="0077368F">
        <w:rPr>
          <w:rStyle w:val="normaltextrun"/>
          <w:rFonts w:ascii="Arial" w:eastAsia="Arial" w:hAnsi="Arial" w:cs="Arial"/>
          <w:sz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sidRPr="0077368F">
        <w:rPr>
          <w:rStyle w:val="normaltextrun"/>
          <w:rFonts w:ascii="Arial" w:eastAsia="Arial" w:hAnsi="Arial" w:cs="Arial"/>
        </w:rPr>
        <w:t xml:space="preserve"> </w:t>
      </w:r>
      <w:r w:rsidRPr="0077368F">
        <w:rPr>
          <w:rStyle w:val="normaltextrun"/>
          <w:rFonts w:ascii="Arial" w:eastAsia="Arial" w:hAnsi="Arial" w:cs="Arial"/>
          <w:sz w:val="22"/>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7C7F6F">
        <w:rPr>
          <w:rFonts w:ascii="Arial" w:hAnsi="Arial" w:cs="Arial"/>
          <w:bCs/>
          <w:color w:val="161616" w:themeColor="background1" w:themeShade="1A"/>
          <w:sz w:val="22"/>
          <w:szCs w:val="22"/>
        </w:rPr>
        <w:t xml:space="preserve">C-068 del 9 de marzo de 2022, </w:t>
      </w:r>
      <w:r w:rsidRPr="007C7F6F">
        <w:rPr>
          <w:rFonts w:ascii="Arial" w:eastAsia="Calibri" w:hAnsi="Arial" w:cs="Arial"/>
          <w:bCs/>
          <w:sz w:val="22"/>
          <w:szCs w:val="22"/>
          <w:lang w:val="es-ES"/>
        </w:rPr>
        <w:t>C-220 del 22 de abril de 2022, C-306 de 16 de mayo de 2022, C-351 de 23 de mayo de 2022</w:t>
      </w:r>
      <w:r w:rsidR="00CA6FDF" w:rsidRPr="0077368F">
        <w:rPr>
          <w:rStyle w:val="normaltextrun"/>
          <w:rFonts w:ascii="Arial" w:hAnsi="Arial" w:cs="Arial"/>
          <w:sz w:val="22"/>
          <w:szCs w:val="22"/>
          <w:shd w:val="clear" w:color="auto" w:fill="FFFFFF"/>
        </w:rPr>
        <w:t>, entre otros</w:t>
      </w:r>
      <w:r w:rsidR="007C7F6F" w:rsidRPr="0077368F">
        <w:rPr>
          <w:rStyle w:val="Refdenotaalpie"/>
          <w:rFonts w:ascii="Arial" w:hAnsi="Arial" w:cs="Arial"/>
          <w:sz w:val="22"/>
          <w:szCs w:val="22"/>
          <w:shd w:val="clear" w:color="auto" w:fill="FFFFFF"/>
        </w:rPr>
        <w:footnoteReference w:id="3"/>
      </w:r>
      <w:r w:rsidR="00CA6FDF" w:rsidRPr="0077368F">
        <w:rPr>
          <w:rFonts w:ascii="Arial" w:eastAsia="Calibri" w:hAnsi="Arial" w:cs="Arial"/>
          <w:sz w:val="22"/>
          <w:szCs w:val="22"/>
          <w:lang w:val="es-ES_tradnl"/>
        </w:rPr>
        <w:t>.</w:t>
      </w:r>
      <w:r w:rsidR="00385131" w:rsidRPr="0077368F">
        <w:rPr>
          <w:rFonts w:ascii="Arial" w:hAnsi="Arial" w:cs="Arial"/>
          <w:sz w:val="22"/>
        </w:rPr>
        <w:t xml:space="preserve"> Las tesis propuestas en tales conceptos se reiteran a continuación y se complementan en l</w:t>
      </w:r>
      <w:r w:rsidR="00385131" w:rsidRPr="0077368F">
        <w:rPr>
          <w:rFonts w:ascii="Arial" w:hAnsi="Arial" w:cs="Arial"/>
          <w:bCs/>
          <w:color w:val="000000" w:themeColor="text1"/>
          <w:sz w:val="22"/>
        </w:rPr>
        <w:t>o pertinente.</w:t>
      </w:r>
    </w:p>
    <w:p w14:paraId="2104CAFA" w14:textId="0263C572" w:rsidR="00D62F13" w:rsidRPr="008605E8" w:rsidRDefault="008605E8" w:rsidP="00D62F13">
      <w:pPr>
        <w:pStyle w:val="NormalWeb"/>
        <w:jc w:val="both"/>
        <w:rPr>
          <w:rFonts w:ascii="Arial" w:hAnsi="Arial" w:cs="Arial"/>
          <w:b/>
          <w:bCs/>
          <w:sz w:val="22"/>
          <w:lang w:eastAsia="es-MX"/>
        </w:rPr>
      </w:pPr>
      <w:bookmarkStart w:id="9" w:name="_Hlk113291715"/>
      <w:r w:rsidRPr="008605E8">
        <w:rPr>
          <w:rFonts w:ascii="Arial" w:eastAsia="Arial" w:hAnsi="Arial" w:cs="Arial"/>
          <w:b/>
          <w:bCs/>
          <w:color w:val="000000"/>
          <w:sz w:val="22"/>
          <w:szCs w:val="22"/>
          <w:lang w:val="es-ES_tradnl" w:eastAsia="en-US"/>
        </w:rPr>
        <w:t xml:space="preserve">2.1. </w:t>
      </w:r>
      <w:r w:rsidR="00834DF1">
        <w:rPr>
          <w:rFonts w:ascii="Arial" w:hAnsi="Arial" w:cs="Arial"/>
          <w:b/>
          <w:bCs/>
          <w:sz w:val="22"/>
          <w:lang w:eastAsia="es-MX"/>
        </w:rPr>
        <w:t>La capacidad residual como requisito</w:t>
      </w:r>
      <w:r w:rsidR="007130F7">
        <w:rPr>
          <w:rFonts w:ascii="Arial" w:hAnsi="Arial" w:cs="Arial"/>
          <w:b/>
          <w:bCs/>
          <w:sz w:val="22"/>
          <w:lang w:eastAsia="es-MX"/>
        </w:rPr>
        <w:t xml:space="preserve"> habilitante en los procesos de contratación de obra pública</w:t>
      </w:r>
    </w:p>
    <w:p w14:paraId="4FEB8BB2" w14:textId="77777777" w:rsidR="00D62F13" w:rsidRPr="00D62F13" w:rsidRDefault="00D62F13" w:rsidP="00D62F13">
      <w:pPr>
        <w:widowControl w:val="0"/>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D62F13">
        <w:rPr>
          <w:rFonts w:ascii="Arial" w:eastAsia="Arial" w:hAnsi="Arial" w:cs="Arial"/>
          <w:sz w:val="22"/>
          <w:szCs w:val="22"/>
          <w:vertAlign w:val="superscript"/>
          <w:lang w:eastAsia="es-ES" w:bidi="es-ES"/>
        </w:rPr>
        <w:footnoteReference w:id="4"/>
      </w:r>
      <w:r w:rsidRPr="00D62F13">
        <w:rPr>
          <w:rFonts w:ascii="Arial" w:eastAsia="Arial" w:hAnsi="Arial" w:cs="Arial"/>
          <w:sz w:val="22"/>
          <w:szCs w:val="22"/>
          <w:lang w:eastAsia="es-ES" w:bidi="es-ES"/>
        </w:rPr>
        <w:t xml:space="preserve">. El Consejo de Estado ha definido la capacidad </w:t>
      </w:r>
      <w:r w:rsidRPr="00D62F13">
        <w:rPr>
          <w:rFonts w:ascii="Arial" w:eastAsia="Arial" w:hAnsi="Arial" w:cs="Arial"/>
          <w:sz w:val="22"/>
          <w:szCs w:val="22"/>
          <w:lang w:eastAsia="es-ES" w:bidi="es-ES"/>
        </w:rPr>
        <w:lastRenderedPageBreak/>
        <w:t>residual como «la diferencia que existe entre el potencial de contratación que se tiene y los compromisos que haya adquirido y que se encuentren en ejecución, para la fecha de presentación de la oferta»</w:t>
      </w:r>
      <w:r w:rsidRPr="00D62F13">
        <w:rPr>
          <w:rFonts w:ascii="Arial" w:eastAsia="Arial" w:hAnsi="Arial" w:cs="Arial"/>
          <w:sz w:val="22"/>
          <w:szCs w:val="22"/>
          <w:vertAlign w:val="superscript"/>
          <w:lang w:eastAsia="es-ES" w:bidi="es-ES"/>
        </w:rPr>
        <w:footnoteReference w:id="5"/>
      </w:r>
      <w:r w:rsidRPr="00D62F13">
        <w:rPr>
          <w:rFonts w:ascii="Arial" w:eastAsia="Arial" w:hAnsi="Arial" w:cs="Arial"/>
          <w:sz w:val="22"/>
          <w:szCs w:val="22"/>
          <w:lang w:eastAsia="es-ES" w:bidi="es-ES"/>
        </w:rPr>
        <w:t>. Teniendo en cuenta lo dicho antes, la Agencia Nacional de Contratación Pública considera que la capacidad residual hace referencia a la suficiencia que se predica del proponente para asumir nuevas obligaciones que se derivan del contrato objeto del proceso de contratación, en relación con las obligaciones que ha adquirido simultáneamente.</w:t>
      </w:r>
    </w:p>
    <w:p w14:paraId="1A5B1252" w14:textId="77777777" w:rsidR="00D62F13" w:rsidRPr="00D62F13" w:rsidRDefault="00D62F13" w:rsidP="00D62F13">
      <w:pPr>
        <w:widowControl w:val="0"/>
        <w:autoSpaceDE w:val="0"/>
        <w:autoSpaceDN w:val="0"/>
        <w:spacing w:before="120" w:line="276" w:lineRule="auto"/>
        <w:ind w:right="51" w:firstLine="709"/>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32DA816C" w14:textId="77777777" w:rsidR="00D62F13" w:rsidRPr="00D62F13" w:rsidRDefault="00D62F13" w:rsidP="00D62F13">
      <w:pPr>
        <w:widowControl w:val="0"/>
        <w:autoSpaceDE w:val="0"/>
        <w:autoSpaceDN w:val="0"/>
        <w:ind w:right="49"/>
        <w:rPr>
          <w:rFonts w:ascii="Arial" w:eastAsia="Arial" w:hAnsi="Arial" w:cs="Arial"/>
          <w:sz w:val="22"/>
          <w:szCs w:val="22"/>
          <w:lang w:eastAsia="es-ES" w:bidi="es-ES"/>
        </w:rPr>
      </w:pPr>
    </w:p>
    <w:p w14:paraId="03A3D777" w14:textId="77777777" w:rsidR="00D62F13" w:rsidRPr="00D62F13" w:rsidRDefault="00D62F13" w:rsidP="00D62F13">
      <w:pPr>
        <w:widowControl w:val="0"/>
        <w:autoSpaceDE w:val="0"/>
        <w:autoSpaceDN w:val="0"/>
        <w:ind w:left="709" w:right="758"/>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D62F13">
        <w:rPr>
          <w:rFonts w:ascii="Arial" w:eastAsia="Arial" w:hAnsi="Arial" w:cs="Arial"/>
          <w:spacing w:val="-3"/>
          <w:sz w:val="22"/>
          <w:szCs w:val="22"/>
          <w:lang w:eastAsia="es-ES" w:bidi="es-ES"/>
        </w:rPr>
        <w:t xml:space="preserve"> </w:t>
      </w:r>
      <w:r w:rsidRPr="00D62F13">
        <w:rPr>
          <w:rFonts w:ascii="Arial" w:eastAsia="Arial" w:hAnsi="Arial" w:cs="Arial"/>
          <w:sz w:val="22"/>
          <w:szCs w:val="22"/>
          <w:lang w:eastAsia="es-ES" w:bidi="es-ES"/>
        </w:rPr>
        <w:t>principal.</w:t>
      </w:r>
    </w:p>
    <w:p w14:paraId="3F8DB1CB" w14:textId="77777777" w:rsidR="00D62F13" w:rsidRPr="00D62F13" w:rsidRDefault="00D62F13" w:rsidP="00D62F13">
      <w:pPr>
        <w:widowControl w:val="0"/>
        <w:autoSpaceDE w:val="0"/>
        <w:autoSpaceDN w:val="0"/>
        <w:ind w:left="709" w:right="758"/>
        <w:rPr>
          <w:rFonts w:ascii="Arial" w:eastAsia="Arial" w:hAnsi="Arial" w:cs="Arial"/>
          <w:sz w:val="22"/>
          <w:szCs w:val="22"/>
          <w:lang w:eastAsia="es-ES" w:bidi="es-ES"/>
        </w:rPr>
      </w:pPr>
      <w:r w:rsidRPr="00D62F13">
        <w:rPr>
          <w:rFonts w:ascii="Arial" w:eastAsia="Arial" w:hAnsi="Arial" w:cs="Arial"/>
          <w:sz w:val="22"/>
          <w:szCs w:val="22"/>
          <w:lang w:eastAsia="es-ES" w:bidi="es-ES"/>
        </w:rPr>
        <w:t>(…)</w:t>
      </w:r>
    </w:p>
    <w:p w14:paraId="39EA901D" w14:textId="77777777" w:rsidR="00D62F13" w:rsidRPr="00D62F13" w:rsidRDefault="00D62F13" w:rsidP="00D62F13">
      <w:pPr>
        <w:widowControl w:val="0"/>
        <w:autoSpaceDE w:val="0"/>
        <w:autoSpaceDN w:val="0"/>
        <w:spacing w:before="2"/>
        <w:ind w:left="709" w:right="758"/>
        <w:rPr>
          <w:rFonts w:ascii="Arial" w:eastAsia="Arial" w:hAnsi="Arial" w:cs="Arial"/>
          <w:sz w:val="22"/>
          <w:szCs w:val="22"/>
          <w:lang w:eastAsia="es-ES" w:bidi="es-ES"/>
        </w:rPr>
      </w:pPr>
    </w:p>
    <w:p w14:paraId="76A77A6E" w14:textId="77777777" w:rsidR="00D62F13" w:rsidRPr="00D62F13" w:rsidRDefault="00D62F13" w:rsidP="00D62F13">
      <w:pPr>
        <w:widowControl w:val="0"/>
        <w:autoSpaceDE w:val="0"/>
        <w:autoSpaceDN w:val="0"/>
        <w:ind w:left="709" w:right="758"/>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544A179" w14:textId="77777777" w:rsidR="00A415AA" w:rsidRDefault="00A415AA" w:rsidP="00D62F13">
      <w:pPr>
        <w:widowControl w:val="0"/>
        <w:autoSpaceDE w:val="0"/>
        <w:autoSpaceDN w:val="0"/>
        <w:spacing w:before="1" w:line="276" w:lineRule="auto"/>
        <w:ind w:right="49" w:firstLine="708"/>
        <w:jc w:val="both"/>
        <w:rPr>
          <w:rFonts w:ascii="Arial" w:eastAsia="Arial" w:hAnsi="Arial" w:cs="Arial"/>
          <w:sz w:val="22"/>
          <w:szCs w:val="22"/>
          <w:lang w:eastAsia="es-ES" w:bidi="es-ES"/>
        </w:rPr>
      </w:pPr>
      <w:bookmarkStart w:id="10" w:name="_Hlk97644217"/>
    </w:p>
    <w:p w14:paraId="2712F1D7" w14:textId="77777777" w:rsidR="00D62F13" w:rsidRPr="00D62F13" w:rsidRDefault="00D62F13" w:rsidP="00D62F13">
      <w:pPr>
        <w:widowControl w:val="0"/>
        <w:autoSpaceDE w:val="0"/>
        <w:autoSpaceDN w:val="0"/>
        <w:spacing w:before="1" w:line="276" w:lineRule="auto"/>
        <w:ind w:right="49" w:firstLine="708"/>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 xml:space="preserve">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w:t>
      </w:r>
      <w:r w:rsidRPr="00D62F13">
        <w:rPr>
          <w:rFonts w:ascii="Arial" w:eastAsia="Arial" w:hAnsi="Arial" w:cs="Arial"/>
          <w:sz w:val="22"/>
          <w:szCs w:val="22"/>
          <w:lang w:eastAsia="es-ES" w:bidi="es-ES"/>
        </w:rPr>
        <w:lastRenderedPageBreak/>
        <w:t>de contratación», según se lee en la misma disposición, «[…] se deberá calcular mediante la evaluación de los siguientes factores: Experiencia (E), Capacidad Financiera (CF), Capacidad Técnica (CT), y Capacidad de Organización (CO)».</w:t>
      </w:r>
    </w:p>
    <w:bookmarkEnd w:id="10"/>
    <w:p w14:paraId="1CD491FC" w14:textId="77777777" w:rsidR="00D62F13" w:rsidRPr="00D62F13" w:rsidRDefault="00D62F13" w:rsidP="00D62F13">
      <w:pPr>
        <w:widowControl w:val="0"/>
        <w:autoSpaceDE w:val="0"/>
        <w:autoSpaceDN w:val="0"/>
        <w:spacing w:before="120" w:line="276" w:lineRule="auto"/>
        <w:ind w:right="51" w:firstLine="709"/>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El artículo 2.2.1.1.1.6.4 del Decreto 1082 de 2015, por su parte, establece que las entidades estatales deben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21F131F6" w14:textId="77777777" w:rsidR="00D62F13" w:rsidRPr="00D62F13" w:rsidRDefault="00D62F13" w:rsidP="00D62F13">
      <w:pPr>
        <w:widowControl w:val="0"/>
        <w:autoSpaceDE w:val="0"/>
        <w:autoSpaceDN w:val="0"/>
        <w:spacing w:before="8"/>
        <w:ind w:right="49"/>
        <w:rPr>
          <w:rFonts w:ascii="Arial" w:eastAsia="Arial" w:hAnsi="Arial" w:cs="Arial"/>
          <w:sz w:val="22"/>
          <w:szCs w:val="22"/>
          <w:lang w:eastAsia="es-ES" w:bidi="es-ES"/>
        </w:rPr>
      </w:pPr>
    </w:p>
    <w:p w14:paraId="3D1673CC" w14:textId="77777777" w:rsidR="00D62F13" w:rsidRPr="00D62F13" w:rsidRDefault="00D62F13" w:rsidP="00D62F13">
      <w:pPr>
        <w:widowControl w:val="0"/>
        <w:autoSpaceDE w:val="0"/>
        <w:autoSpaceDN w:val="0"/>
        <w:ind w:left="709" w:right="760" w:firstLine="2"/>
        <w:rPr>
          <w:rFonts w:ascii="Arial" w:eastAsia="Arial" w:hAnsi="Arial" w:cs="Arial"/>
          <w:sz w:val="22"/>
          <w:szCs w:val="22"/>
          <w:lang w:eastAsia="es-ES" w:bidi="es-ES"/>
        </w:rPr>
      </w:pPr>
      <w:r w:rsidRPr="00D62F13">
        <w:rPr>
          <w:rFonts w:ascii="Arial" w:eastAsia="Arial" w:hAnsi="Arial" w:cs="Arial"/>
          <w:sz w:val="22"/>
          <w:szCs w:val="22"/>
          <w:lang w:eastAsia="es-ES" w:bidi="es-ES"/>
        </w:rPr>
        <w:t xml:space="preserve">Artículo 2.2.1.1.1.6.4. Capacidad Residual. El interesado en celebrar contratos de obra pública con Entidades Estatales debe acreditar su Capacidad Residual o K de Contratación con los siguientes documentos: </w:t>
      </w:r>
    </w:p>
    <w:p w14:paraId="21653340" w14:textId="77777777" w:rsidR="00D62F13" w:rsidRPr="00D62F13" w:rsidRDefault="00D62F13" w:rsidP="00D62F13">
      <w:pPr>
        <w:widowControl w:val="0"/>
        <w:autoSpaceDE w:val="0"/>
        <w:autoSpaceDN w:val="0"/>
        <w:ind w:left="709" w:right="760" w:firstLine="2"/>
        <w:rPr>
          <w:rFonts w:ascii="Arial" w:eastAsia="Arial" w:hAnsi="Arial" w:cs="Arial"/>
          <w:b/>
          <w:bCs/>
          <w:sz w:val="22"/>
          <w:szCs w:val="22"/>
          <w:lang w:eastAsia="es-ES" w:bidi="es-ES"/>
        </w:rPr>
      </w:pPr>
    </w:p>
    <w:p w14:paraId="426BE56F" w14:textId="77777777" w:rsidR="00D62F13" w:rsidRPr="00D62F13" w:rsidRDefault="00D62F13" w:rsidP="00D62F13">
      <w:pPr>
        <w:widowControl w:val="0"/>
        <w:autoSpaceDE w:val="0"/>
        <w:autoSpaceDN w:val="0"/>
        <w:ind w:left="709" w:right="760" w:firstLine="2"/>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 xml:space="preserve">1. La lista de los contratos de obras civiles en ejecución suscritos con Entidades Estatales y con entidades privadas, así como el valor y plazo de tales contratos, incluyendo contratos de concesión y los contratos de obra suscritos con concesionarios. </w:t>
      </w:r>
    </w:p>
    <w:p w14:paraId="404D9C3B" w14:textId="77777777" w:rsidR="00D62F13" w:rsidRPr="00D62F13" w:rsidRDefault="00D62F13" w:rsidP="00D62F13">
      <w:pPr>
        <w:widowControl w:val="0"/>
        <w:autoSpaceDE w:val="0"/>
        <w:autoSpaceDN w:val="0"/>
        <w:ind w:left="709" w:right="760" w:firstLine="2"/>
        <w:jc w:val="both"/>
        <w:rPr>
          <w:rFonts w:ascii="Arial" w:eastAsia="Arial" w:hAnsi="Arial" w:cs="Arial"/>
          <w:sz w:val="22"/>
          <w:szCs w:val="22"/>
          <w:lang w:eastAsia="es-ES" w:bidi="es-ES"/>
        </w:rPr>
      </w:pPr>
    </w:p>
    <w:p w14:paraId="7C6F5327" w14:textId="77777777" w:rsidR="00D62F13" w:rsidRPr="00D62F13" w:rsidRDefault="00D62F13" w:rsidP="00D62F13">
      <w:pPr>
        <w:widowControl w:val="0"/>
        <w:autoSpaceDE w:val="0"/>
        <w:autoSpaceDN w:val="0"/>
        <w:ind w:left="709" w:right="760" w:firstLine="2"/>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5D6098F" w14:textId="77777777" w:rsidR="00D62F13" w:rsidRPr="00D62F13" w:rsidRDefault="00D62F13" w:rsidP="00D62F13">
      <w:pPr>
        <w:widowControl w:val="0"/>
        <w:autoSpaceDE w:val="0"/>
        <w:autoSpaceDN w:val="0"/>
        <w:ind w:left="709" w:right="760" w:firstLine="2"/>
        <w:jc w:val="both"/>
        <w:rPr>
          <w:rFonts w:ascii="Arial" w:eastAsia="Arial" w:hAnsi="Arial" w:cs="Arial"/>
          <w:sz w:val="22"/>
          <w:szCs w:val="22"/>
          <w:lang w:eastAsia="es-ES" w:bidi="es-ES"/>
        </w:rPr>
      </w:pPr>
    </w:p>
    <w:p w14:paraId="0F399FAC" w14:textId="77777777" w:rsidR="00D62F13" w:rsidRPr="00D62F13" w:rsidRDefault="00D62F13" w:rsidP="00D62F13">
      <w:pPr>
        <w:widowControl w:val="0"/>
        <w:autoSpaceDE w:val="0"/>
        <w:autoSpaceDN w:val="0"/>
        <w:ind w:left="709" w:right="760" w:firstLine="2"/>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 xml:space="preserve">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 </w:t>
      </w:r>
    </w:p>
    <w:p w14:paraId="30AF5277" w14:textId="77777777" w:rsidR="00D62F13" w:rsidRPr="00D62F13" w:rsidRDefault="00D62F13" w:rsidP="00D62F13">
      <w:pPr>
        <w:widowControl w:val="0"/>
        <w:autoSpaceDE w:val="0"/>
        <w:autoSpaceDN w:val="0"/>
        <w:ind w:left="709" w:right="760" w:firstLine="2"/>
        <w:rPr>
          <w:rFonts w:ascii="Arial" w:eastAsia="Arial" w:hAnsi="Arial" w:cs="Arial"/>
          <w:sz w:val="22"/>
          <w:szCs w:val="22"/>
          <w:lang w:eastAsia="es-ES" w:bidi="es-ES"/>
        </w:rPr>
      </w:pPr>
    </w:p>
    <w:p w14:paraId="50FB75EC" w14:textId="77777777" w:rsidR="00D62F13" w:rsidRPr="00D62F13" w:rsidRDefault="00D62F13" w:rsidP="00D62F13">
      <w:pPr>
        <w:widowControl w:val="0"/>
        <w:autoSpaceDE w:val="0"/>
        <w:autoSpaceDN w:val="0"/>
        <w:ind w:left="709" w:right="760" w:firstLine="2"/>
        <w:rPr>
          <w:rFonts w:ascii="Arial" w:eastAsia="Arial" w:hAnsi="Arial" w:cs="Arial"/>
          <w:sz w:val="22"/>
          <w:szCs w:val="22"/>
          <w:lang w:eastAsia="es-ES" w:bidi="es-ES"/>
        </w:rPr>
      </w:pPr>
      <w:r w:rsidRPr="00D62F13">
        <w:rPr>
          <w:rFonts w:ascii="Arial" w:eastAsia="Arial" w:hAnsi="Arial" w:cs="Arial"/>
          <w:sz w:val="22"/>
          <w:szCs w:val="22"/>
          <w:lang w:eastAsia="es-ES" w:bidi="es-ES"/>
        </w:rPr>
        <w:t>[…]</w:t>
      </w:r>
    </w:p>
    <w:p w14:paraId="59E7BEA4" w14:textId="77777777" w:rsidR="00D62F13" w:rsidRPr="00D62F13" w:rsidRDefault="00D62F13" w:rsidP="00D62F13">
      <w:pPr>
        <w:widowControl w:val="0"/>
        <w:autoSpaceDE w:val="0"/>
        <w:autoSpaceDN w:val="0"/>
        <w:ind w:left="709" w:right="760"/>
        <w:rPr>
          <w:rFonts w:ascii="Arial" w:eastAsia="Arial" w:hAnsi="Arial" w:cs="Arial"/>
          <w:sz w:val="22"/>
          <w:szCs w:val="22"/>
          <w:lang w:eastAsia="es-ES" w:bidi="es-ES"/>
        </w:rPr>
      </w:pPr>
    </w:p>
    <w:p w14:paraId="2A89869A" w14:textId="77777777" w:rsidR="00D62F13" w:rsidRPr="00D62F13" w:rsidRDefault="00D62F13" w:rsidP="00D62F13">
      <w:pPr>
        <w:widowControl w:val="0"/>
        <w:autoSpaceDE w:val="0"/>
        <w:autoSpaceDN w:val="0"/>
        <w:ind w:left="709" w:right="760" w:firstLine="2"/>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 xml:space="preserve">La Entidad Estatal debe calcular la Capacidad Residual del proponente de acuerdo con la metodología que defina Colombia Compra Eficiente, teniendo en cuenta los factores de: Experiencia (E), Capacidad Financiera (CF), Capacidad Técnica (CT), Capacidad de Organización (CO), y los saldos de </w:t>
      </w:r>
      <w:r w:rsidRPr="00D62F13">
        <w:rPr>
          <w:rFonts w:ascii="Arial" w:eastAsia="Arial" w:hAnsi="Arial" w:cs="Arial"/>
          <w:sz w:val="22"/>
          <w:szCs w:val="22"/>
          <w:lang w:eastAsia="es-ES" w:bidi="es-ES"/>
        </w:rPr>
        <w:lastRenderedPageBreak/>
        <w:t>los contratos en ejecución (SCE).</w:t>
      </w:r>
    </w:p>
    <w:p w14:paraId="78FD806F" w14:textId="77777777" w:rsidR="00D62F13" w:rsidRPr="00D62F13" w:rsidRDefault="00D62F13" w:rsidP="00D62F13">
      <w:pPr>
        <w:widowControl w:val="0"/>
        <w:autoSpaceDE w:val="0"/>
        <w:autoSpaceDN w:val="0"/>
        <w:ind w:right="49"/>
        <w:rPr>
          <w:rFonts w:ascii="Arial" w:eastAsia="Arial" w:hAnsi="Arial" w:cs="Arial"/>
          <w:sz w:val="22"/>
          <w:szCs w:val="22"/>
          <w:lang w:eastAsia="es-ES" w:bidi="es-ES"/>
        </w:rPr>
      </w:pPr>
    </w:p>
    <w:p w14:paraId="30350EE6" w14:textId="77777777" w:rsidR="00D62F13" w:rsidRPr="00D62F13" w:rsidRDefault="00D62F13" w:rsidP="00D62F13">
      <w:pPr>
        <w:widowControl w:val="0"/>
        <w:autoSpaceDE w:val="0"/>
        <w:autoSpaceDN w:val="0"/>
        <w:spacing w:line="276" w:lineRule="auto"/>
        <w:ind w:right="49" w:firstLine="709"/>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en primer lugar, establecer la capacidad residual del proceso de contratación CRPC y, en segundo término, determinar si los proponentes cumplen con la capacidad residual del proceso de contratación, claro está, teniendo en cuenta la siguiente información aportada por el proponente:</w:t>
      </w:r>
    </w:p>
    <w:p w14:paraId="7E8948AB" w14:textId="77777777" w:rsidR="00D62F13" w:rsidRPr="00D62F13" w:rsidRDefault="00D62F13" w:rsidP="00D62F13">
      <w:pPr>
        <w:widowControl w:val="0"/>
        <w:autoSpaceDE w:val="0"/>
        <w:autoSpaceDN w:val="0"/>
        <w:ind w:left="709" w:right="760"/>
        <w:jc w:val="both"/>
        <w:rPr>
          <w:rFonts w:ascii="Arial" w:eastAsia="Arial" w:hAnsi="Arial" w:cs="Arial"/>
          <w:sz w:val="22"/>
          <w:szCs w:val="22"/>
          <w:lang w:eastAsia="es-ES" w:bidi="es-ES"/>
        </w:rPr>
      </w:pPr>
    </w:p>
    <w:p w14:paraId="73B5D462" w14:textId="77777777" w:rsidR="00D62F13" w:rsidRPr="00D62F13" w:rsidRDefault="00D62F13" w:rsidP="00D62F13">
      <w:pPr>
        <w:widowControl w:val="0"/>
        <w:numPr>
          <w:ilvl w:val="0"/>
          <w:numId w:val="42"/>
        </w:numPr>
        <w:tabs>
          <w:tab w:val="left" w:pos="993"/>
        </w:tabs>
        <w:autoSpaceDE w:val="0"/>
        <w:autoSpaceDN w:val="0"/>
        <w:ind w:left="709" w:right="760" w:firstLine="0"/>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La lista de los Contratos en Ejecución, así como el valor y plazo de tales contratos.</w:t>
      </w:r>
    </w:p>
    <w:p w14:paraId="21A1B501" w14:textId="77777777" w:rsidR="00D62F13" w:rsidRPr="00D62F13" w:rsidRDefault="00D62F13" w:rsidP="00D62F13">
      <w:pPr>
        <w:widowControl w:val="0"/>
        <w:tabs>
          <w:tab w:val="left" w:pos="993"/>
        </w:tabs>
        <w:autoSpaceDE w:val="0"/>
        <w:autoSpaceDN w:val="0"/>
        <w:ind w:left="709" w:right="760"/>
        <w:jc w:val="both"/>
        <w:rPr>
          <w:rFonts w:ascii="Arial" w:eastAsia="Arial" w:hAnsi="Arial" w:cs="Arial"/>
          <w:sz w:val="22"/>
          <w:szCs w:val="22"/>
          <w:lang w:eastAsia="es-ES" w:bidi="es-ES"/>
        </w:rPr>
      </w:pPr>
    </w:p>
    <w:p w14:paraId="53A9B583" w14:textId="77777777" w:rsidR="00D62F13" w:rsidRPr="00D62F13" w:rsidRDefault="00D62F13" w:rsidP="00D62F13">
      <w:pPr>
        <w:widowControl w:val="0"/>
        <w:numPr>
          <w:ilvl w:val="0"/>
          <w:numId w:val="42"/>
        </w:numPr>
        <w:tabs>
          <w:tab w:val="left" w:pos="993"/>
        </w:tabs>
        <w:autoSpaceDE w:val="0"/>
        <w:autoSpaceDN w:val="0"/>
        <w:ind w:left="709" w:right="760" w:firstLine="0"/>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La lista de los Contratos en Ejecución, suscritos por sociedades, consorcios o uniones temporales, en los cuales el proponente tenga participación, así como el valor y plazo de tales contratos.</w:t>
      </w:r>
    </w:p>
    <w:p w14:paraId="30A54DBD" w14:textId="77777777" w:rsidR="00D62F13" w:rsidRPr="00D62F13" w:rsidRDefault="00D62F13" w:rsidP="00D62F13">
      <w:pPr>
        <w:widowControl w:val="0"/>
        <w:tabs>
          <w:tab w:val="left" w:pos="993"/>
        </w:tabs>
        <w:autoSpaceDE w:val="0"/>
        <w:autoSpaceDN w:val="0"/>
        <w:ind w:right="760"/>
        <w:jc w:val="both"/>
        <w:rPr>
          <w:rFonts w:ascii="Arial" w:eastAsia="Arial" w:hAnsi="Arial" w:cs="Arial"/>
          <w:sz w:val="22"/>
          <w:szCs w:val="22"/>
          <w:lang w:eastAsia="es-ES" w:bidi="es-ES"/>
        </w:rPr>
      </w:pPr>
    </w:p>
    <w:p w14:paraId="50A41BC2" w14:textId="77777777" w:rsidR="00D62F13" w:rsidRPr="00D62F13" w:rsidRDefault="00D62F13" w:rsidP="00D62F13">
      <w:pPr>
        <w:widowControl w:val="0"/>
        <w:numPr>
          <w:ilvl w:val="0"/>
          <w:numId w:val="42"/>
        </w:numPr>
        <w:tabs>
          <w:tab w:val="left" w:pos="993"/>
        </w:tabs>
        <w:autoSpaceDE w:val="0"/>
        <w:autoSpaceDN w:val="0"/>
        <w:ind w:left="709" w:right="760" w:firstLine="0"/>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2C9C1FC" w14:textId="77777777" w:rsidR="00D62F13" w:rsidRPr="00D62F13" w:rsidRDefault="00D62F13" w:rsidP="00D62F13">
      <w:pPr>
        <w:widowControl w:val="0"/>
        <w:autoSpaceDE w:val="0"/>
        <w:autoSpaceDN w:val="0"/>
        <w:spacing w:line="276" w:lineRule="auto"/>
        <w:ind w:right="51" w:firstLine="709"/>
        <w:jc w:val="both"/>
        <w:rPr>
          <w:rFonts w:ascii="Arial" w:eastAsia="Arial" w:hAnsi="Arial" w:cs="Arial"/>
          <w:sz w:val="22"/>
          <w:szCs w:val="22"/>
          <w:lang w:eastAsia="es-ES" w:bidi="es-ES"/>
        </w:rPr>
      </w:pPr>
    </w:p>
    <w:p w14:paraId="5123B896" w14:textId="77777777" w:rsidR="00D62F13" w:rsidRPr="00D62F13" w:rsidRDefault="00D62F13" w:rsidP="00D62F13">
      <w:pPr>
        <w:widowControl w:val="0"/>
        <w:autoSpaceDE w:val="0"/>
        <w:autoSpaceDN w:val="0"/>
        <w:spacing w:line="276" w:lineRule="auto"/>
        <w:ind w:right="51" w:firstLine="709"/>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Para establecer la capacidad residual del proceso de contratación CRPC se debe determinar si el plazo del contrato es superior a 12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626D3CBD" w14:textId="77777777" w:rsidR="00D62F13" w:rsidRPr="00D62F13" w:rsidRDefault="00D62F13" w:rsidP="00D62F13">
      <w:pPr>
        <w:widowControl w:val="0"/>
        <w:autoSpaceDE w:val="0"/>
        <w:autoSpaceDN w:val="0"/>
        <w:spacing w:before="120" w:line="276" w:lineRule="auto"/>
        <w:ind w:right="51" w:firstLine="709"/>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Para lo segundo, es decir,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y según la siguiente fórmula:</w:t>
      </w:r>
    </w:p>
    <w:p w14:paraId="13C00E3B" w14:textId="77777777" w:rsidR="00D62F13" w:rsidRPr="00D62F13" w:rsidRDefault="00D62F13" w:rsidP="00D62F13">
      <w:pPr>
        <w:widowControl w:val="0"/>
        <w:tabs>
          <w:tab w:val="left" w:pos="709"/>
          <w:tab w:val="left" w:pos="8080"/>
        </w:tabs>
        <w:autoSpaceDE w:val="0"/>
        <w:autoSpaceDN w:val="0"/>
        <w:spacing w:before="10"/>
        <w:ind w:right="49"/>
        <w:rPr>
          <w:rFonts w:ascii="Arial" w:eastAsia="Arial" w:hAnsi="Arial" w:cs="Arial"/>
          <w:sz w:val="22"/>
          <w:szCs w:val="22"/>
          <w:lang w:eastAsia="es-ES" w:bidi="es-ES"/>
        </w:rPr>
      </w:pPr>
      <w:r w:rsidRPr="00D62F13">
        <w:rPr>
          <w:rFonts w:ascii="Arial" w:eastAsia="Arial" w:hAnsi="Arial" w:cs="Arial"/>
          <w:noProof/>
          <w:sz w:val="22"/>
          <w:szCs w:val="22"/>
          <w:lang w:eastAsia="es-CO"/>
        </w:rPr>
        <w:lastRenderedPageBreak/>
        <w:drawing>
          <wp:anchor distT="0" distB="0" distL="0" distR="0" simplePos="0" relativeHeight="251659264" behindDoc="0" locked="0" layoutInCell="1" allowOverlap="1" wp14:anchorId="6C3FD42C" wp14:editId="67BB7E10">
            <wp:simplePos x="0" y="0"/>
            <wp:positionH relativeFrom="page">
              <wp:posOffset>1545590</wp:posOffset>
            </wp:positionH>
            <wp:positionV relativeFrom="paragraph">
              <wp:posOffset>160655</wp:posOffset>
            </wp:positionV>
            <wp:extent cx="4638040" cy="674370"/>
            <wp:effectExtent l="0" t="0" r="0" b="0"/>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65491DAA" w14:textId="77777777" w:rsidR="00D62F13" w:rsidRPr="00D62F13" w:rsidRDefault="00D62F13" w:rsidP="00D62F13">
      <w:pPr>
        <w:widowControl w:val="0"/>
        <w:autoSpaceDE w:val="0"/>
        <w:autoSpaceDN w:val="0"/>
        <w:spacing w:before="120" w:line="276" w:lineRule="auto"/>
        <w:ind w:right="51" w:firstLine="709"/>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4103F0E7" w14:textId="77777777" w:rsidR="00D62F13" w:rsidRPr="00D62F13" w:rsidRDefault="00D62F13" w:rsidP="00D62F13">
      <w:pPr>
        <w:widowControl w:val="0"/>
        <w:numPr>
          <w:ilvl w:val="0"/>
          <w:numId w:val="43"/>
        </w:numPr>
        <w:tabs>
          <w:tab w:val="left" w:pos="993"/>
        </w:tabs>
        <w:autoSpaceDE w:val="0"/>
        <w:autoSpaceDN w:val="0"/>
        <w:spacing w:before="120" w:line="276" w:lineRule="auto"/>
        <w:ind w:left="0" w:right="51" w:firstLine="709"/>
        <w:jc w:val="both"/>
        <w:rPr>
          <w:rFonts w:ascii="Arial" w:eastAsia="Arial" w:hAnsi="Arial" w:cs="Arial"/>
          <w:i/>
          <w:iCs/>
          <w:sz w:val="22"/>
          <w:szCs w:val="22"/>
          <w:lang w:eastAsia="es-ES" w:bidi="es-ES"/>
        </w:rPr>
      </w:pPr>
      <w:r w:rsidRPr="00D62F13">
        <w:rPr>
          <w:rFonts w:ascii="Arial" w:eastAsia="Arial" w:hAnsi="Arial" w:cs="Arial"/>
          <w:i/>
          <w:iCs/>
          <w:sz w:val="22"/>
          <w:szCs w:val="22"/>
          <w:lang w:eastAsia="es-ES" w:bidi="es-ES"/>
        </w:rPr>
        <w:t>Capacidad financiera.</w:t>
      </w:r>
      <w:r w:rsidRPr="00D62F13">
        <w:rPr>
          <w:rFonts w:ascii="Arial" w:eastAsia="Arial" w:hAnsi="Arial" w:cs="Arial"/>
          <w:sz w:val="22"/>
          <w:szCs w:val="22"/>
          <w:lang w:eastAsia="es-ES" w:bidi="es-ES"/>
        </w:rPr>
        <w:t xml:space="preserve"> Se mide por el «índice de liquidez» y este, a su vez, corresponde al resultado de dividir el «activo corriente» sobre el «pasivo corriente». El resultado puede ser calificado entre 20 y cuarenta puntos, según se explica en la Guía.</w:t>
      </w:r>
    </w:p>
    <w:p w14:paraId="4F3DA835" w14:textId="77777777" w:rsidR="00D62F13" w:rsidRPr="00D62F13" w:rsidRDefault="00D62F13" w:rsidP="00D62F13">
      <w:pPr>
        <w:widowControl w:val="0"/>
        <w:numPr>
          <w:ilvl w:val="0"/>
          <w:numId w:val="43"/>
        </w:numPr>
        <w:tabs>
          <w:tab w:val="left" w:pos="993"/>
        </w:tabs>
        <w:autoSpaceDE w:val="0"/>
        <w:autoSpaceDN w:val="0"/>
        <w:spacing w:before="120" w:line="276" w:lineRule="auto"/>
        <w:ind w:left="0" w:right="51" w:firstLine="709"/>
        <w:jc w:val="both"/>
        <w:rPr>
          <w:rFonts w:ascii="Arial" w:eastAsia="Arial" w:hAnsi="Arial" w:cs="Arial"/>
          <w:i/>
          <w:iCs/>
          <w:sz w:val="22"/>
          <w:szCs w:val="22"/>
          <w:lang w:eastAsia="es-ES" w:bidi="es-ES"/>
        </w:rPr>
      </w:pPr>
      <w:r w:rsidRPr="00D62F13">
        <w:rPr>
          <w:rFonts w:ascii="Arial" w:eastAsia="Arial" w:hAnsi="Arial" w:cs="Arial"/>
          <w:i/>
          <w:iCs/>
          <w:sz w:val="22"/>
          <w:szCs w:val="22"/>
          <w:lang w:eastAsia="es-ES" w:bidi="es-ES"/>
        </w:rPr>
        <w:t>Capacidad técnica</w:t>
      </w:r>
      <w:r w:rsidRPr="00D62F13">
        <w:rPr>
          <w:rFonts w:ascii="Arial" w:eastAsia="Arial" w:hAnsi="Arial" w:cs="Arial"/>
          <w:sz w:val="22"/>
          <w:szCs w:val="22"/>
          <w:lang w:eastAsia="es-ES" w:bidi="es-ES"/>
        </w:rPr>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0B6ACE60" w14:textId="77777777" w:rsidR="00D62F13" w:rsidRPr="00D62F13" w:rsidRDefault="00D62F13" w:rsidP="00D62F13">
      <w:pPr>
        <w:widowControl w:val="0"/>
        <w:numPr>
          <w:ilvl w:val="0"/>
          <w:numId w:val="43"/>
        </w:numPr>
        <w:tabs>
          <w:tab w:val="left" w:pos="993"/>
        </w:tabs>
        <w:autoSpaceDE w:val="0"/>
        <w:autoSpaceDN w:val="0"/>
        <w:spacing w:before="120" w:line="276" w:lineRule="auto"/>
        <w:ind w:left="0" w:right="51" w:firstLine="709"/>
        <w:jc w:val="both"/>
        <w:rPr>
          <w:rFonts w:ascii="Arial" w:eastAsia="Arial" w:hAnsi="Arial" w:cs="Arial"/>
          <w:i/>
          <w:iCs/>
          <w:sz w:val="22"/>
          <w:szCs w:val="22"/>
          <w:lang w:eastAsia="es-ES" w:bidi="es-ES"/>
        </w:rPr>
      </w:pPr>
      <w:r w:rsidRPr="00D62F13">
        <w:rPr>
          <w:rFonts w:ascii="Arial" w:eastAsia="Arial" w:hAnsi="Arial" w:cs="Arial"/>
          <w:i/>
          <w:iCs/>
          <w:sz w:val="22"/>
          <w:szCs w:val="22"/>
          <w:lang w:eastAsia="es-ES" w:bidi="es-ES"/>
        </w:rPr>
        <w:t>Capacidad de organización</w:t>
      </w:r>
      <w:r w:rsidRPr="00D62F13">
        <w:rPr>
          <w:rFonts w:ascii="Arial" w:eastAsia="Arial" w:hAnsi="Arial" w:cs="Arial"/>
          <w:sz w:val="22"/>
          <w:szCs w:val="22"/>
          <w:lang w:eastAsia="es-ES" w:bidi="es-ES"/>
        </w:rPr>
        <w:t>. Corresponde a los ingresos operacionales, según el siguiente cuadro:</w:t>
      </w:r>
    </w:p>
    <w:p w14:paraId="1B7BF98A" w14:textId="77777777" w:rsidR="00D62F13" w:rsidRPr="00D62F13" w:rsidRDefault="00D62F13" w:rsidP="00D62F13">
      <w:pPr>
        <w:widowControl w:val="0"/>
        <w:tabs>
          <w:tab w:val="left" w:pos="993"/>
        </w:tabs>
        <w:autoSpaceDE w:val="0"/>
        <w:autoSpaceDN w:val="0"/>
        <w:spacing w:before="120" w:line="276" w:lineRule="auto"/>
        <w:ind w:left="709" w:right="51"/>
        <w:jc w:val="both"/>
        <w:rPr>
          <w:rFonts w:ascii="Arial" w:eastAsia="Arial" w:hAnsi="Arial" w:cs="Arial"/>
          <w:i/>
          <w:iCs/>
          <w:sz w:val="22"/>
          <w:szCs w:val="22"/>
          <w:lang w:eastAsia="es-ES" w:bidi="es-ES"/>
        </w:rPr>
      </w:pPr>
    </w:p>
    <w:tbl>
      <w:tblPr>
        <w:tblStyle w:val="Tablaconcuadrcula4"/>
        <w:tblW w:w="7366" w:type="dxa"/>
        <w:tblInd w:w="709" w:type="dxa"/>
        <w:tblLook w:val="04A0" w:firstRow="1" w:lastRow="0" w:firstColumn="1" w:lastColumn="0" w:noHBand="0" w:noVBand="1"/>
      </w:tblPr>
      <w:tblGrid>
        <w:gridCol w:w="4053"/>
        <w:gridCol w:w="3313"/>
      </w:tblGrid>
      <w:tr w:rsidR="00D62F13" w:rsidRPr="00D62F13" w14:paraId="7AE44D1E" w14:textId="77777777" w:rsidTr="00247A66">
        <w:tc>
          <w:tcPr>
            <w:tcW w:w="4053" w:type="dxa"/>
            <w:shd w:val="clear" w:color="auto" w:fill="D9D9D9"/>
          </w:tcPr>
          <w:p w14:paraId="7E20F39A" w14:textId="77777777" w:rsidR="00D62F13" w:rsidRPr="00D62F13" w:rsidRDefault="00D62F13" w:rsidP="00D62F13">
            <w:pPr>
              <w:widowControl w:val="0"/>
              <w:tabs>
                <w:tab w:val="left" w:pos="993"/>
              </w:tabs>
              <w:autoSpaceDE w:val="0"/>
              <w:autoSpaceDN w:val="0"/>
              <w:spacing w:before="120" w:line="276" w:lineRule="auto"/>
              <w:ind w:right="51"/>
              <w:jc w:val="center"/>
              <w:rPr>
                <w:rFonts w:ascii="Arial" w:eastAsia="Arial" w:hAnsi="Arial" w:cs="Arial"/>
                <w:b/>
                <w:bCs/>
                <w:sz w:val="22"/>
                <w:szCs w:val="22"/>
                <w:lang w:eastAsia="es-ES" w:bidi="es-ES"/>
              </w:rPr>
            </w:pPr>
            <w:r w:rsidRPr="00D62F13">
              <w:rPr>
                <w:rFonts w:ascii="Arial" w:eastAsia="Arial" w:hAnsi="Arial" w:cs="Arial"/>
                <w:b/>
                <w:bCs/>
                <w:sz w:val="22"/>
                <w:szCs w:val="22"/>
                <w:lang w:eastAsia="es-ES" w:bidi="es-ES"/>
              </w:rPr>
              <w:t>Años de información financiera</w:t>
            </w:r>
          </w:p>
        </w:tc>
        <w:tc>
          <w:tcPr>
            <w:tcW w:w="3313" w:type="dxa"/>
            <w:shd w:val="clear" w:color="auto" w:fill="D9D9D9"/>
          </w:tcPr>
          <w:p w14:paraId="512E5E4B" w14:textId="77777777" w:rsidR="00D62F13" w:rsidRPr="00D62F13" w:rsidRDefault="00D62F13" w:rsidP="00D62F13">
            <w:pPr>
              <w:widowControl w:val="0"/>
              <w:tabs>
                <w:tab w:val="left" w:pos="993"/>
              </w:tabs>
              <w:autoSpaceDE w:val="0"/>
              <w:autoSpaceDN w:val="0"/>
              <w:spacing w:before="120" w:line="276" w:lineRule="auto"/>
              <w:ind w:right="51"/>
              <w:jc w:val="center"/>
              <w:rPr>
                <w:rFonts w:ascii="Arial" w:eastAsia="Arial" w:hAnsi="Arial" w:cs="Arial"/>
                <w:b/>
                <w:bCs/>
                <w:sz w:val="22"/>
                <w:szCs w:val="22"/>
                <w:lang w:eastAsia="es-ES" w:bidi="es-ES"/>
              </w:rPr>
            </w:pPr>
            <w:r w:rsidRPr="00D62F13">
              <w:rPr>
                <w:rFonts w:ascii="Arial" w:eastAsia="Arial" w:hAnsi="Arial" w:cs="Arial"/>
                <w:b/>
                <w:bCs/>
                <w:sz w:val="22"/>
                <w:szCs w:val="22"/>
                <w:lang w:eastAsia="es-ES" w:bidi="es-ES"/>
              </w:rPr>
              <w:t>Capacidad de organización</w:t>
            </w:r>
          </w:p>
        </w:tc>
      </w:tr>
      <w:tr w:rsidR="00D62F13" w:rsidRPr="00D62F13" w14:paraId="2F48A86C" w14:textId="77777777" w:rsidTr="00247A66">
        <w:tc>
          <w:tcPr>
            <w:tcW w:w="4053" w:type="dxa"/>
          </w:tcPr>
          <w:p w14:paraId="236F6AFE" w14:textId="77777777" w:rsidR="00D62F13" w:rsidRPr="00D62F13" w:rsidRDefault="00D62F13" w:rsidP="00D62F13">
            <w:pPr>
              <w:widowControl w:val="0"/>
              <w:tabs>
                <w:tab w:val="left" w:pos="993"/>
              </w:tabs>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Cinco (5) años o más</w:t>
            </w:r>
          </w:p>
        </w:tc>
        <w:tc>
          <w:tcPr>
            <w:tcW w:w="3313" w:type="dxa"/>
          </w:tcPr>
          <w:p w14:paraId="046845C1" w14:textId="77777777" w:rsidR="00D62F13" w:rsidRPr="00D62F13" w:rsidRDefault="00D62F13" w:rsidP="00D62F13">
            <w:pPr>
              <w:widowControl w:val="0"/>
              <w:tabs>
                <w:tab w:val="left" w:pos="993"/>
              </w:tabs>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Mayor ingreso operacional de los últimos cinco años</w:t>
            </w:r>
          </w:p>
        </w:tc>
      </w:tr>
      <w:tr w:rsidR="00D62F13" w:rsidRPr="00D62F13" w14:paraId="45858073" w14:textId="77777777" w:rsidTr="00247A66">
        <w:tc>
          <w:tcPr>
            <w:tcW w:w="4053" w:type="dxa"/>
          </w:tcPr>
          <w:p w14:paraId="117210A1" w14:textId="77777777" w:rsidR="00D62F13" w:rsidRPr="00D62F13" w:rsidRDefault="00D62F13" w:rsidP="00D62F13">
            <w:pPr>
              <w:widowControl w:val="0"/>
              <w:tabs>
                <w:tab w:val="left" w:pos="993"/>
              </w:tabs>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Entre uno (1) y cinco (5) años</w:t>
            </w:r>
          </w:p>
        </w:tc>
        <w:tc>
          <w:tcPr>
            <w:tcW w:w="3313" w:type="dxa"/>
          </w:tcPr>
          <w:p w14:paraId="5FF49859" w14:textId="77777777" w:rsidR="00D62F13" w:rsidRPr="00D62F13" w:rsidRDefault="00D62F13" w:rsidP="00D62F13">
            <w:pPr>
              <w:widowControl w:val="0"/>
              <w:tabs>
                <w:tab w:val="left" w:pos="993"/>
              </w:tabs>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Mayor ingreso operacional de los años de vida del oferente</w:t>
            </w:r>
          </w:p>
        </w:tc>
      </w:tr>
      <w:tr w:rsidR="00D62F13" w:rsidRPr="00D62F13" w14:paraId="04042629" w14:textId="77777777" w:rsidTr="00247A66">
        <w:tc>
          <w:tcPr>
            <w:tcW w:w="4053" w:type="dxa"/>
          </w:tcPr>
          <w:p w14:paraId="2D9D87C2" w14:textId="77777777" w:rsidR="00D62F13" w:rsidRPr="00D62F13" w:rsidRDefault="00D62F13" w:rsidP="00D62F13">
            <w:pPr>
              <w:widowControl w:val="0"/>
              <w:tabs>
                <w:tab w:val="left" w:pos="993"/>
              </w:tabs>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Menos de un (1) año</w:t>
            </w:r>
          </w:p>
        </w:tc>
        <w:tc>
          <w:tcPr>
            <w:tcW w:w="3313" w:type="dxa"/>
          </w:tcPr>
          <w:p w14:paraId="0F6DD800" w14:textId="77777777" w:rsidR="00D62F13" w:rsidRPr="00D62F13" w:rsidRDefault="00D62F13" w:rsidP="00D62F13">
            <w:pPr>
              <w:widowControl w:val="0"/>
              <w:tabs>
                <w:tab w:val="left" w:pos="993"/>
              </w:tabs>
              <w:autoSpaceDE w:val="0"/>
              <w:autoSpaceDN w:val="0"/>
              <w:spacing w:before="120" w:line="276" w:lineRule="auto"/>
              <w:ind w:right="51"/>
              <w:jc w:val="both"/>
              <w:rPr>
                <w:rFonts w:ascii="Arial" w:eastAsia="Arial" w:hAnsi="Arial" w:cs="Arial"/>
                <w:sz w:val="22"/>
                <w:szCs w:val="22"/>
                <w:lang w:eastAsia="es-ES" w:bidi="es-ES"/>
              </w:rPr>
            </w:pPr>
            <w:r w:rsidRPr="00D62F13">
              <w:rPr>
                <w:rFonts w:ascii="Arial" w:eastAsia="Arial" w:hAnsi="Arial" w:cs="Arial"/>
                <w:sz w:val="22"/>
                <w:szCs w:val="22"/>
                <w:lang w:eastAsia="es-ES" w:bidi="es-ES"/>
              </w:rPr>
              <w:t>USD 125.000</w:t>
            </w:r>
          </w:p>
        </w:tc>
      </w:tr>
    </w:tbl>
    <w:p w14:paraId="2E38A22D" w14:textId="77777777" w:rsidR="00D62F13" w:rsidRPr="00D62F13" w:rsidRDefault="00D62F13" w:rsidP="00D62F13">
      <w:pPr>
        <w:widowControl w:val="0"/>
        <w:tabs>
          <w:tab w:val="left" w:pos="993"/>
        </w:tabs>
        <w:autoSpaceDE w:val="0"/>
        <w:autoSpaceDN w:val="0"/>
        <w:spacing w:before="120" w:line="276" w:lineRule="auto"/>
        <w:ind w:left="709" w:right="51"/>
        <w:jc w:val="both"/>
        <w:rPr>
          <w:rFonts w:ascii="Arial" w:eastAsia="Arial" w:hAnsi="Arial" w:cs="Arial"/>
          <w:i/>
          <w:iCs/>
          <w:sz w:val="22"/>
          <w:szCs w:val="22"/>
          <w:lang w:eastAsia="es-ES" w:bidi="es-ES"/>
        </w:rPr>
      </w:pPr>
    </w:p>
    <w:p w14:paraId="4DB2636D" w14:textId="77777777" w:rsidR="00D62F13" w:rsidRPr="00D62F13" w:rsidRDefault="00D62F13" w:rsidP="00D62F13">
      <w:pPr>
        <w:widowControl w:val="0"/>
        <w:numPr>
          <w:ilvl w:val="0"/>
          <w:numId w:val="43"/>
        </w:numPr>
        <w:tabs>
          <w:tab w:val="left" w:pos="993"/>
        </w:tabs>
        <w:autoSpaceDE w:val="0"/>
        <w:autoSpaceDN w:val="0"/>
        <w:spacing w:before="120" w:line="276" w:lineRule="auto"/>
        <w:ind w:left="0" w:right="51" w:firstLine="709"/>
        <w:jc w:val="both"/>
        <w:rPr>
          <w:rFonts w:ascii="Arial" w:eastAsia="Arial" w:hAnsi="Arial" w:cs="Arial"/>
          <w:sz w:val="22"/>
          <w:szCs w:val="22"/>
          <w:lang w:eastAsia="es-ES" w:bidi="es-ES"/>
        </w:rPr>
      </w:pPr>
      <w:bookmarkStart w:id="11" w:name="_Hlk97644511"/>
      <w:r w:rsidRPr="00D62F13">
        <w:rPr>
          <w:rFonts w:ascii="Arial" w:eastAsia="Arial" w:hAnsi="Arial" w:cs="Arial"/>
          <w:i/>
          <w:iCs/>
          <w:sz w:val="22"/>
          <w:szCs w:val="22"/>
          <w:lang w:eastAsia="es-ES" w:bidi="es-ES"/>
        </w:rPr>
        <w:t>Saldos de los contratos en ejecución</w:t>
      </w:r>
      <w:r w:rsidRPr="00D62F13">
        <w:rPr>
          <w:rFonts w:ascii="Arial" w:eastAsia="Arial" w:hAnsi="Arial" w:cs="Arial"/>
          <w:sz w:val="22"/>
          <w:szCs w:val="22"/>
          <w:lang w:eastAsia="es-ES" w:bidi="es-ES"/>
        </w:rPr>
        <w:t xml:space="preserve">. Debe hacerse linealmente y calculando una «ejecución diaria equivalente al valor del contrato dividido por el plazo del contrato expresado en días». El resultado obtenido se debe multiplicar por el número de días pendientes para </w:t>
      </w:r>
      <w:r w:rsidRPr="00D62F13">
        <w:rPr>
          <w:rFonts w:ascii="Arial" w:eastAsia="Arial" w:hAnsi="Arial" w:cs="Arial"/>
          <w:sz w:val="22"/>
          <w:szCs w:val="22"/>
          <w:lang w:eastAsia="es-ES" w:bidi="es-ES"/>
        </w:rPr>
        <w:lastRenderedPageBreak/>
        <w:t>cumplir el plazo del contrato. Si el número de días por ejecutar un contrato es superior a 360 días, solo se tendrá en cuenta la proporción lineal de 12 meses</w:t>
      </w:r>
      <w:bookmarkEnd w:id="11"/>
      <w:r w:rsidRPr="00D62F13">
        <w:rPr>
          <w:rFonts w:ascii="Arial" w:eastAsia="Arial" w:hAnsi="Arial" w:cs="Arial"/>
          <w:sz w:val="22"/>
          <w:szCs w:val="22"/>
          <w:lang w:eastAsia="es-ES" w:bidi="es-ES"/>
        </w:rPr>
        <w:t>.</w:t>
      </w:r>
    </w:p>
    <w:p w14:paraId="4F9D2696" w14:textId="644673B3" w:rsidR="00D62F13" w:rsidRDefault="00D62F13" w:rsidP="00D62F13">
      <w:pPr>
        <w:widowControl w:val="0"/>
        <w:numPr>
          <w:ilvl w:val="0"/>
          <w:numId w:val="43"/>
        </w:numPr>
        <w:tabs>
          <w:tab w:val="left" w:pos="993"/>
        </w:tabs>
        <w:autoSpaceDE w:val="0"/>
        <w:autoSpaceDN w:val="0"/>
        <w:spacing w:before="120" w:line="276" w:lineRule="auto"/>
        <w:ind w:left="0" w:right="51" w:firstLine="709"/>
        <w:jc w:val="both"/>
        <w:rPr>
          <w:rFonts w:ascii="Arial" w:eastAsia="Arial" w:hAnsi="Arial" w:cs="Arial"/>
          <w:sz w:val="22"/>
          <w:szCs w:val="22"/>
          <w:lang w:eastAsia="es-ES" w:bidi="es-ES"/>
        </w:rPr>
      </w:pPr>
      <w:r w:rsidRPr="00D62F13">
        <w:rPr>
          <w:rFonts w:ascii="Arial" w:eastAsia="Arial" w:hAnsi="Arial" w:cs="Arial"/>
          <w:i/>
          <w:iCs/>
          <w:sz w:val="22"/>
          <w:szCs w:val="22"/>
          <w:lang w:eastAsia="es-ES" w:bidi="es-ES"/>
        </w:rPr>
        <w:t>Experiencia</w:t>
      </w:r>
      <w:r w:rsidRPr="00D62F13">
        <w:rPr>
          <w:rFonts w:ascii="Arial" w:eastAsia="Arial" w:hAnsi="Arial" w:cs="Arial"/>
          <w:sz w:val="22"/>
          <w:szCs w:val="22"/>
          <w:lang w:eastAsia="es-ES" w:bidi="es-ES"/>
        </w:rPr>
        <w:t>. Para los efectos de la capacidad residual corresponde</w:t>
      </w:r>
      <w:r w:rsidR="00DF57B3">
        <w:rPr>
          <w:rFonts w:ascii="Arial" w:eastAsia="Arial" w:hAnsi="Arial" w:cs="Arial"/>
          <w:sz w:val="22"/>
          <w:szCs w:val="22"/>
          <w:lang w:eastAsia="es-ES" w:bidi="es-ES"/>
        </w:rPr>
        <w:t>,</w:t>
      </w:r>
      <w:r w:rsidRPr="00D62F13">
        <w:rPr>
          <w:rFonts w:ascii="Arial" w:eastAsia="Arial" w:hAnsi="Arial" w:cs="Arial"/>
          <w:sz w:val="22"/>
          <w:szCs w:val="22"/>
          <w:lang w:eastAsia="es-ES" w:bidi="es-ES"/>
        </w:rPr>
        <w:t xml:space="preserv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w:t>
      </w:r>
    </w:p>
    <w:p w14:paraId="2D33E63E" w14:textId="61C33DC4" w:rsidR="00406A42" w:rsidRDefault="00406A42" w:rsidP="00406A42">
      <w:pPr>
        <w:widowControl w:val="0"/>
        <w:autoSpaceDE w:val="0"/>
        <w:autoSpaceDN w:val="0"/>
        <w:spacing w:before="120" w:line="276" w:lineRule="auto"/>
        <w:ind w:firstLine="708"/>
        <w:jc w:val="both"/>
        <w:rPr>
          <w:rFonts w:ascii="Arial" w:eastAsia="Arial" w:hAnsi="Arial" w:cs="Arial"/>
          <w:sz w:val="22"/>
        </w:rPr>
      </w:pPr>
      <w:r w:rsidRPr="0077368F">
        <w:rPr>
          <w:rFonts w:ascii="Arial" w:eastAsia="Arial" w:hAnsi="Arial" w:cs="Arial"/>
          <w:sz w:val="22"/>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sidRPr="0077368F">
        <w:rPr>
          <w:rFonts w:ascii="Arial" w:eastAsia="Arial" w:hAnsi="Arial" w:cs="Arial"/>
          <w:vertAlign w:val="superscript"/>
        </w:rPr>
        <w:footnoteReference w:id="6"/>
      </w:r>
      <w:r w:rsidRPr="0077368F">
        <w:rPr>
          <w:rFonts w:ascii="Arial" w:eastAsia="Arial" w:hAnsi="Arial" w:cs="Arial"/>
          <w:sz w:val="22"/>
        </w:rPr>
        <w:t xml:space="preserve">. </w:t>
      </w:r>
    </w:p>
    <w:p w14:paraId="6BC17BA2" w14:textId="64A9C79D" w:rsidR="0042187B" w:rsidRPr="003D4D1F" w:rsidRDefault="0042187B" w:rsidP="0042187B">
      <w:pPr>
        <w:spacing w:line="276" w:lineRule="auto"/>
        <w:jc w:val="both"/>
        <w:rPr>
          <w:rFonts w:ascii="Arial" w:hAnsi="Arial" w:cs="Arial"/>
          <w:b/>
          <w:bCs/>
          <w:sz w:val="22"/>
          <w:szCs w:val="22"/>
        </w:rPr>
      </w:pPr>
      <w:r w:rsidRPr="003D4D1F">
        <w:rPr>
          <w:rFonts w:ascii="Arial" w:hAnsi="Arial" w:cs="Arial"/>
          <w:b/>
          <w:bCs/>
          <w:sz w:val="22"/>
          <w:szCs w:val="22"/>
        </w:rPr>
        <w:t xml:space="preserve">2.2. Saldos de Contratos en Ejecución (SCE) </w:t>
      </w:r>
      <w:r w:rsidR="00B66316">
        <w:rPr>
          <w:rFonts w:ascii="Arial" w:hAnsi="Arial" w:cs="Arial"/>
          <w:b/>
          <w:bCs/>
          <w:sz w:val="22"/>
          <w:szCs w:val="22"/>
        </w:rPr>
        <w:t xml:space="preserve">y reglas para </w:t>
      </w:r>
      <w:r w:rsidRPr="003D4D1F">
        <w:rPr>
          <w:rFonts w:ascii="Arial" w:hAnsi="Arial" w:cs="Arial"/>
          <w:b/>
          <w:bCs/>
          <w:sz w:val="22"/>
          <w:szCs w:val="22"/>
        </w:rPr>
        <w:t>determinar la Capacidad Residual del Proponente (CRP)</w:t>
      </w:r>
      <w:r w:rsidR="00B66316">
        <w:rPr>
          <w:rFonts w:ascii="Arial" w:hAnsi="Arial" w:cs="Arial"/>
          <w:b/>
          <w:bCs/>
          <w:sz w:val="22"/>
          <w:szCs w:val="22"/>
        </w:rPr>
        <w:t xml:space="preserve"> en procesos estructurados por lotes</w:t>
      </w:r>
      <w:r>
        <w:rPr>
          <w:rFonts w:ascii="Arial" w:hAnsi="Arial" w:cs="Arial"/>
          <w:b/>
          <w:bCs/>
          <w:sz w:val="22"/>
          <w:szCs w:val="22"/>
        </w:rPr>
        <w:t xml:space="preserve"> </w:t>
      </w:r>
    </w:p>
    <w:p w14:paraId="78B0D528" w14:textId="77777777" w:rsidR="0042187B" w:rsidRPr="003D4D1F" w:rsidRDefault="0042187B" w:rsidP="0042187B">
      <w:pPr>
        <w:jc w:val="both"/>
        <w:rPr>
          <w:rFonts w:ascii="Arial" w:hAnsi="Arial" w:cs="Arial"/>
          <w:b/>
          <w:bCs/>
          <w:sz w:val="22"/>
          <w:szCs w:val="22"/>
        </w:rPr>
      </w:pPr>
    </w:p>
    <w:p w14:paraId="32EE6188" w14:textId="77777777" w:rsidR="0042187B" w:rsidRPr="003D4D1F" w:rsidRDefault="0042187B" w:rsidP="0042187B">
      <w:pPr>
        <w:spacing w:after="120" w:line="276" w:lineRule="auto"/>
        <w:jc w:val="both"/>
        <w:rPr>
          <w:rFonts w:ascii="Arial" w:hAnsi="Arial" w:cs="Arial"/>
          <w:sz w:val="22"/>
          <w:szCs w:val="22"/>
        </w:rPr>
      </w:pPr>
      <w:bookmarkStart w:id="12" w:name="_Hlk114820468"/>
      <w:r w:rsidRPr="003D4D1F">
        <w:rPr>
          <w:rFonts w:ascii="Arial" w:hAnsi="Arial" w:cs="Arial"/>
          <w:sz w:val="22"/>
          <w:szCs w:val="22"/>
        </w:rPr>
        <w:t xml:space="preserve">A efectos del cálculo de la Capacidad Residual del Proponente (CRP), conforme a la metodología descrita </w:t>
      </w:r>
      <w:r w:rsidRPr="003D4D1F">
        <w:rPr>
          <w:rFonts w:ascii="Arial" w:hAnsi="Arial" w:cs="Arial"/>
          <w:i/>
          <w:iCs/>
          <w:sz w:val="22"/>
          <w:szCs w:val="22"/>
        </w:rPr>
        <w:t>supra</w:t>
      </w:r>
      <w:r w:rsidRPr="003D4D1F">
        <w:rPr>
          <w:rFonts w:ascii="Arial" w:hAnsi="Arial" w:cs="Arial"/>
          <w:sz w:val="22"/>
          <w:szCs w:val="22"/>
        </w:rPr>
        <w:t xml:space="preserve">, es necesario tener en cuenta la lista de los contratos en ejecución en cabeza del proponente, que son aquellos que, a la fecha de presentación de la oferta, obligan al proponente con entidades estatales y con entidades privadas para ejecutar obras públicas. Es decir, los saldos pendientes se derivan de las obligaciones que se encuentran vigentes al momento de la presentación de la oferta. </w:t>
      </w:r>
    </w:p>
    <w:bookmarkEnd w:id="12"/>
    <w:p w14:paraId="7E207DF0" w14:textId="77777777" w:rsidR="0042187B" w:rsidRPr="003D4D1F" w:rsidRDefault="0042187B" w:rsidP="0042187B">
      <w:pPr>
        <w:spacing w:line="276" w:lineRule="auto"/>
        <w:jc w:val="both"/>
        <w:rPr>
          <w:rFonts w:ascii="Arial" w:hAnsi="Arial" w:cs="Arial"/>
          <w:sz w:val="22"/>
          <w:szCs w:val="22"/>
        </w:rPr>
      </w:pPr>
      <w:r w:rsidRPr="003D4D1F">
        <w:rPr>
          <w:rFonts w:ascii="Arial" w:hAnsi="Arial" w:cs="Arial"/>
          <w:sz w:val="22"/>
          <w:szCs w:val="22"/>
        </w:rPr>
        <w:lastRenderedPageBreak/>
        <w:tab/>
        <w:t xml:space="preserve">Para acreditar tales valores, correspondientes al factor Saldos de Contratos en Ejecución (SCE), la </w:t>
      </w:r>
      <w:r w:rsidRPr="006337DF">
        <w:rPr>
          <w:rFonts w:ascii="Arial" w:hAnsi="Arial" w:cs="Arial"/>
          <w:sz w:val="21"/>
          <w:szCs w:val="21"/>
        </w:rPr>
        <w:t>«</w:t>
      </w:r>
      <w:r w:rsidRPr="003D4D1F">
        <w:rPr>
          <w:rFonts w:ascii="Arial" w:hAnsi="Arial" w:cs="Arial"/>
          <w:i/>
          <w:iCs/>
          <w:sz w:val="22"/>
          <w:szCs w:val="22"/>
        </w:rPr>
        <w:t>Guía para Determinar y Verificar la Capacidad Residual del Proponente en los Procesos de Contratación de Obra Pública</w:t>
      </w:r>
      <w:r w:rsidRPr="006337DF">
        <w:rPr>
          <w:rFonts w:ascii="Arial" w:hAnsi="Arial" w:cs="Arial"/>
          <w:sz w:val="21"/>
          <w:szCs w:val="21"/>
        </w:rPr>
        <w:t>»</w:t>
      </w:r>
      <w:r w:rsidRPr="003D4D1F">
        <w:rPr>
          <w:rFonts w:ascii="Arial" w:hAnsi="Arial" w:cs="Arial"/>
          <w:i/>
          <w:iCs/>
          <w:sz w:val="22"/>
          <w:szCs w:val="22"/>
        </w:rPr>
        <w:t xml:space="preserve"> </w:t>
      </w:r>
      <w:r w:rsidRPr="003D4D1F">
        <w:rPr>
          <w:rFonts w:ascii="Arial" w:hAnsi="Arial" w:cs="Arial"/>
          <w:sz w:val="22"/>
          <w:szCs w:val="22"/>
        </w:rPr>
        <w:t xml:space="preserve">establece lo siguiente: </w:t>
      </w:r>
    </w:p>
    <w:p w14:paraId="3F8C50BB" w14:textId="77777777" w:rsidR="0042187B" w:rsidRPr="003D4D1F" w:rsidRDefault="0042187B" w:rsidP="0042187B">
      <w:pPr>
        <w:spacing w:line="276" w:lineRule="auto"/>
        <w:jc w:val="both"/>
        <w:rPr>
          <w:rFonts w:ascii="Arial" w:hAnsi="Arial" w:cs="Arial"/>
          <w:sz w:val="22"/>
          <w:szCs w:val="22"/>
        </w:rPr>
      </w:pPr>
    </w:p>
    <w:p w14:paraId="0501E92F" w14:textId="53D4C006" w:rsidR="0042187B" w:rsidRPr="003D4D1F" w:rsidRDefault="0042187B" w:rsidP="0077368F">
      <w:pPr>
        <w:ind w:left="709" w:right="709"/>
        <w:jc w:val="both"/>
        <w:rPr>
          <w:rFonts w:ascii="Arial" w:hAnsi="Arial" w:cs="Arial"/>
          <w:sz w:val="21"/>
          <w:szCs w:val="21"/>
        </w:rPr>
      </w:pPr>
      <w:r w:rsidRPr="003D4D1F">
        <w:rPr>
          <w:rFonts w:ascii="Arial" w:hAnsi="Arial" w:cs="Arial"/>
          <w:sz w:val="21"/>
          <w:szCs w:val="21"/>
        </w:rPr>
        <w:t>El proponente debe presentar un certificado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55B5BFC" w14:textId="77777777" w:rsidR="0042187B" w:rsidRPr="003D4D1F" w:rsidRDefault="0042187B" w:rsidP="0042187B">
      <w:pPr>
        <w:spacing w:line="276" w:lineRule="auto"/>
        <w:ind w:left="709" w:right="709"/>
        <w:jc w:val="both"/>
        <w:rPr>
          <w:rFonts w:ascii="Arial" w:hAnsi="Arial" w:cs="Arial"/>
          <w:sz w:val="21"/>
          <w:szCs w:val="21"/>
        </w:rPr>
      </w:pPr>
    </w:p>
    <w:p w14:paraId="0CE496F6" w14:textId="77777777" w:rsidR="0042187B" w:rsidRPr="002F69A0" w:rsidRDefault="0042187B" w:rsidP="0042187B">
      <w:pPr>
        <w:spacing w:line="276" w:lineRule="auto"/>
        <w:ind w:firstLine="708"/>
        <w:jc w:val="both"/>
        <w:rPr>
          <w:rFonts w:ascii="Arial" w:hAnsi="Arial" w:cs="Arial"/>
          <w:i/>
          <w:iCs/>
          <w:sz w:val="22"/>
          <w:szCs w:val="22"/>
        </w:rPr>
      </w:pPr>
      <w:r w:rsidRPr="002F69A0">
        <w:rPr>
          <w:rFonts w:ascii="Arial" w:hAnsi="Arial" w:cs="Arial"/>
          <w:sz w:val="22"/>
          <w:szCs w:val="22"/>
        </w:rPr>
        <w:t xml:space="preserve">Teniendo en cuenta que los contratos en ejecución son aquellos que a la fecha de presentación de la oferta obligan al proponente, se aclara que deben tenerse en cuenta los contratos que </w:t>
      </w:r>
      <w:proofErr w:type="spellStart"/>
      <w:r w:rsidRPr="002F69A0">
        <w:rPr>
          <w:rFonts w:ascii="Arial" w:hAnsi="Arial" w:cs="Arial"/>
          <w:sz w:val="22"/>
          <w:szCs w:val="22"/>
        </w:rPr>
        <w:t>aun</w:t>
      </w:r>
      <w:proofErr w:type="spellEnd"/>
      <w:r w:rsidRPr="002F69A0">
        <w:rPr>
          <w:rFonts w:ascii="Arial" w:hAnsi="Arial" w:cs="Arial"/>
          <w:sz w:val="22"/>
          <w:szCs w:val="22"/>
        </w:rPr>
        <w:t xml:space="preserve"> no tengan acta de inicio, esto en la medida que el criterio determinante para establecer si un contrato se encuentra en ejecución no lo determina el acta de inicio, sino que el mismo obligue al proponente.</w:t>
      </w:r>
      <w:r w:rsidRPr="00EE2854">
        <w:rPr>
          <w:rFonts w:ascii="Arial" w:hAnsi="Arial" w:cs="Arial"/>
          <w:sz w:val="22"/>
          <w:szCs w:val="22"/>
        </w:rPr>
        <w:t xml:space="preserve"> </w:t>
      </w:r>
      <w:r w:rsidRPr="002F69A0">
        <w:rPr>
          <w:rFonts w:ascii="Arial" w:hAnsi="Arial" w:cs="Arial"/>
          <w:sz w:val="22"/>
          <w:szCs w:val="22"/>
        </w:rPr>
        <w:t xml:space="preserve">En este sentido, la </w:t>
      </w:r>
      <w:r w:rsidRPr="00EE2854">
        <w:rPr>
          <w:rFonts w:ascii="Arial" w:hAnsi="Arial" w:cs="Arial"/>
          <w:sz w:val="22"/>
          <w:szCs w:val="22"/>
        </w:rPr>
        <w:t>«</w:t>
      </w:r>
      <w:r w:rsidRPr="002F69A0">
        <w:rPr>
          <w:rFonts w:ascii="Arial" w:hAnsi="Arial" w:cs="Arial"/>
          <w:i/>
          <w:iCs/>
          <w:sz w:val="22"/>
          <w:szCs w:val="22"/>
        </w:rPr>
        <w:t>Guía para Determinar y Verificar la Capacidad Residual del Proponente en los Procesos de Contratación de Obra Pública</w:t>
      </w:r>
      <w:r w:rsidRPr="00EE2854">
        <w:rPr>
          <w:rFonts w:ascii="Arial" w:hAnsi="Arial" w:cs="Arial"/>
          <w:sz w:val="22"/>
          <w:szCs w:val="22"/>
        </w:rPr>
        <w:t>»</w:t>
      </w:r>
      <w:r w:rsidRPr="002F69A0">
        <w:rPr>
          <w:rFonts w:ascii="Arial" w:hAnsi="Arial" w:cs="Arial"/>
          <w:i/>
          <w:iCs/>
          <w:sz w:val="22"/>
          <w:szCs w:val="22"/>
        </w:rPr>
        <w:t xml:space="preserve"> </w:t>
      </w:r>
      <w:r w:rsidRPr="002F69A0">
        <w:rPr>
          <w:rFonts w:ascii="Arial" w:hAnsi="Arial" w:cs="Arial"/>
          <w:sz w:val="22"/>
          <w:szCs w:val="22"/>
        </w:rPr>
        <w:t xml:space="preserve">define los </w:t>
      </w:r>
      <w:r w:rsidRPr="002F69A0">
        <w:rPr>
          <w:rFonts w:ascii="Arial" w:hAnsi="Arial" w:cs="Arial"/>
          <w:i/>
          <w:iCs/>
          <w:sz w:val="22"/>
          <w:szCs w:val="22"/>
        </w:rPr>
        <w:t xml:space="preserve">Contratos en ejecución, </w:t>
      </w:r>
      <w:r w:rsidRPr="002F69A0">
        <w:rPr>
          <w:rFonts w:ascii="Arial" w:hAnsi="Arial" w:cs="Arial"/>
          <w:sz w:val="22"/>
          <w:szCs w:val="22"/>
        </w:rPr>
        <w:t xml:space="preserve">para efectos de calcular la capacidad residual, de la siguiente manera: </w:t>
      </w:r>
      <w:r w:rsidRPr="002F69A0">
        <w:rPr>
          <w:rFonts w:ascii="Arial" w:hAnsi="Arial" w:cs="Arial"/>
          <w:i/>
          <w:iCs/>
          <w:sz w:val="22"/>
          <w:szCs w:val="22"/>
        </w:rPr>
        <w:t xml:space="preserve"> </w:t>
      </w:r>
    </w:p>
    <w:p w14:paraId="388008A0" w14:textId="77777777" w:rsidR="0042187B" w:rsidRPr="003D4D1F" w:rsidRDefault="0042187B" w:rsidP="0042187B">
      <w:pPr>
        <w:ind w:left="709" w:right="709"/>
        <w:jc w:val="both"/>
        <w:rPr>
          <w:rFonts w:ascii="Arial" w:hAnsi="Arial" w:cs="Arial"/>
          <w:sz w:val="22"/>
          <w:szCs w:val="22"/>
        </w:rPr>
      </w:pPr>
    </w:p>
    <w:p w14:paraId="22D7B0E0" w14:textId="03DA344A" w:rsidR="0042187B" w:rsidRDefault="0042187B" w:rsidP="0042187B">
      <w:pPr>
        <w:ind w:left="709" w:right="709"/>
        <w:jc w:val="both"/>
        <w:rPr>
          <w:rFonts w:ascii="Arial" w:hAnsi="Arial" w:cs="Arial"/>
          <w:sz w:val="22"/>
          <w:szCs w:val="22"/>
        </w:rPr>
      </w:pPr>
      <w:r w:rsidRPr="003D4D1F">
        <w:rPr>
          <w:rFonts w:ascii="Arial" w:hAnsi="Arial"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3D4D1F">
        <w:rPr>
          <w:rFonts w:ascii="Arial" w:hAnsi="Arial" w:cs="Arial"/>
          <w:sz w:val="21"/>
          <w:szCs w:val="21"/>
          <w:u w:val="single"/>
        </w:rPr>
        <w:t xml:space="preserve">incluyendo los contratos suspendidos y aquellos que no tengan acta de inicio. </w:t>
      </w:r>
      <w:r w:rsidRPr="003D4D1F">
        <w:rPr>
          <w:rFonts w:ascii="Arial" w:hAnsi="Arial" w:cs="Arial"/>
          <w:sz w:val="21"/>
          <w:szCs w:val="21"/>
        </w:rPr>
        <w:t>No se entenderán como contratos en ejecución los que se encuentren en liquidación. (Subrayas fuera del texto)</w:t>
      </w:r>
      <w:r>
        <w:rPr>
          <w:rFonts w:ascii="Arial" w:hAnsi="Arial" w:cs="Arial"/>
          <w:sz w:val="21"/>
          <w:szCs w:val="21"/>
        </w:rPr>
        <w:t>.</w:t>
      </w:r>
      <w:r w:rsidRPr="003D4D1F">
        <w:rPr>
          <w:rFonts w:ascii="Arial" w:hAnsi="Arial" w:cs="Arial"/>
          <w:sz w:val="22"/>
          <w:szCs w:val="22"/>
          <w:vertAlign w:val="superscript"/>
        </w:rPr>
        <w:footnoteReference w:id="7"/>
      </w:r>
    </w:p>
    <w:p w14:paraId="47A9578B" w14:textId="77777777" w:rsidR="0042187B" w:rsidRPr="003D4D1F" w:rsidRDefault="0042187B" w:rsidP="0042187B">
      <w:pPr>
        <w:ind w:left="709" w:right="709"/>
        <w:jc w:val="both"/>
        <w:rPr>
          <w:rFonts w:ascii="Arial" w:hAnsi="Arial" w:cs="Arial"/>
          <w:sz w:val="22"/>
          <w:szCs w:val="22"/>
        </w:rPr>
      </w:pPr>
    </w:p>
    <w:p w14:paraId="469044FD" w14:textId="77777777" w:rsidR="0042187B" w:rsidRDefault="0042187B" w:rsidP="0042187B">
      <w:pPr>
        <w:spacing w:before="120" w:after="120" w:line="276" w:lineRule="auto"/>
        <w:ind w:firstLine="567"/>
        <w:jc w:val="both"/>
        <w:rPr>
          <w:rFonts w:ascii="Arial" w:hAnsi="Arial" w:cs="Arial"/>
          <w:bCs/>
          <w:sz w:val="22"/>
          <w:szCs w:val="22"/>
          <w:lang w:val="es-ES" w:eastAsia="es-CO"/>
        </w:rPr>
      </w:pPr>
      <w:r>
        <w:rPr>
          <w:rFonts w:ascii="Arial" w:hAnsi="Arial" w:cs="Arial"/>
          <w:bCs/>
          <w:sz w:val="22"/>
          <w:szCs w:val="22"/>
          <w:lang w:val="es-ES" w:eastAsia="es-CO"/>
        </w:rPr>
        <w:t xml:space="preserve">Conforme a lo anterior, los «Contratos en ejecución» que deben ser tenidos en cuenta para el cálculo del factor (SCE) son aquellos que, al momento de presentarse la oferta, obligan al proponente a ejecutar obras civiles. En ese sentido, lo determinante para </w:t>
      </w:r>
      <w:r>
        <w:rPr>
          <w:rFonts w:ascii="Arial" w:hAnsi="Arial" w:cs="Arial"/>
          <w:bCs/>
          <w:sz w:val="22"/>
          <w:szCs w:val="22"/>
          <w:lang w:val="es-ES" w:eastAsia="es-CO"/>
        </w:rPr>
        <w:lastRenderedPageBreak/>
        <w:t>establecer si un contrato está en ejecución es que del contrato se derive un compromiso vinculante de ejecutar obras civiles, por lo que se requiere que el contrato se encuentre en ejecución en estricto sentido, razón por la que la propia definición establece que cobija a aquellos contratos suspendidos y a los que no cuenten con un acta de inicio.</w:t>
      </w:r>
    </w:p>
    <w:p w14:paraId="27B3816B" w14:textId="77777777" w:rsidR="0042187B" w:rsidRDefault="0042187B" w:rsidP="0042187B">
      <w:pPr>
        <w:spacing w:before="120" w:after="120" w:line="276" w:lineRule="auto"/>
        <w:ind w:firstLine="567"/>
        <w:jc w:val="both"/>
        <w:rPr>
          <w:rFonts w:ascii="Arial" w:hAnsi="Arial" w:cs="Arial"/>
          <w:sz w:val="22"/>
          <w:szCs w:val="22"/>
        </w:rPr>
      </w:pPr>
      <w:r>
        <w:rPr>
          <w:rFonts w:ascii="Arial" w:hAnsi="Arial" w:cs="Arial"/>
          <w:bCs/>
          <w:sz w:val="22"/>
          <w:szCs w:val="22"/>
          <w:lang w:val="es-ES" w:eastAsia="es-CO"/>
        </w:rPr>
        <w:t>La tesis según la cual la definición de contratos en ejecución, para efetos del cálculo de la capacidad residual, incluye a aquellos contratos que no cuentan con acta de inicio ha sido incluida en instrumentos expedidos por esta Agencia como es el caso de los documentos. En ese contexto, e</w:t>
      </w:r>
      <w:r w:rsidRPr="00BB1324">
        <w:rPr>
          <w:rFonts w:ascii="Arial" w:hAnsi="Arial" w:cs="Arial"/>
          <w:bCs/>
          <w:sz w:val="22"/>
          <w:szCs w:val="22"/>
          <w:lang w:val="es-ES" w:eastAsia="es-CO"/>
        </w:rPr>
        <w:t>n los documentos tipo de licitación de obra pública de infraestructura de transporte –versión 3– los aspectos relativos a Cálculo de la Capacidad Residual</w:t>
      </w:r>
      <w:r>
        <w:rPr>
          <w:rFonts w:ascii="Arial" w:hAnsi="Arial" w:cs="Arial"/>
          <w:bCs/>
          <w:sz w:val="22"/>
          <w:szCs w:val="22"/>
          <w:lang w:val="es-ES" w:eastAsia="es-CO"/>
        </w:rPr>
        <w:t xml:space="preserve"> se encuentran </w:t>
      </w:r>
      <w:r w:rsidRPr="00BB1324">
        <w:rPr>
          <w:rFonts w:ascii="Arial" w:hAnsi="Arial" w:cs="Arial"/>
          <w:bCs/>
          <w:sz w:val="22"/>
          <w:szCs w:val="22"/>
          <w:lang w:val="es-ES" w:eastAsia="es-CO"/>
        </w:rPr>
        <w:t xml:space="preserve">regulados de manera en el numeral 3.10.2 del Documento Base o Pliego Tipo, cuyo literal E se refiere al factor saldo de contratos en ejecución (SCE). El numeral II de dicho literal reproduce la definición citada </w:t>
      </w:r>
      <w:r w:rsidRPr="0029516E">
        <w:rPr>
          <w:rFonts w:ascii="Arial" w:hAnsi="Arial" w:cs="Arial"/>
          <w:bCs/>
          <w:i/>
          <w:iCs/>
          <w:sz w:val="22"/>
          <w:szCs w:val="22"/>
          <w:lang w:val="es-ES" w:eastAsia="es-CO"/>
        </w:rPr>
        <w:t>supra</w:t>
      </w:r>
      <w:r w:rsidRPr="00BB1324">
        <w:rPr>
          <w:rFonts w:ascii="Arial" w:hAnsi="Arial" w:cs="Arial"/>
          <w:bCs/>
          <w:sz w:val="22"/>
          <w:szCs w:val="22"/>
          <w:lang w:val="es-ES" w:eastAsia="es-CO"/>
        </w:rPr>
        <w:t xml:space="preserve"> según la cual </w:t>
      </w:r>
      <w:r>
        <w:rPr>
          <w:rFonts w:ascii="Arial" w:hAnsi="Arial" w:cs="Arial"/>
          <w:bCs/>
          <w:sz w:val="22"/>
          <w:szCs w:val="22"/>
          <w:lang w:val="es-ES" w:eastAsia="es-CO"/>
        </w:rPr>
        <w:t>«</w:t>
      </w:r>
      <w:r w:rsidRPr="0029516E">
        <w:rPr>
          <w:rFonts w:ascii="Arial" w:hAnsi="Arial" w:cs="Arial"/>
          <w:sz w:val="22"/>
          <w:szCs w:val="22"/>
        </w:rPr>
        <w:t>Los contratos de obras civiles en ejecución son aquellos que a la fecha de presentación de la oferta obligan al proponente con entidades estatales y con entidades privadas para ejecutar obras civiles».</w:t>
      </w:r>
      <w:r w:rsidRPr="00BB1324">
        <w:rPr>
          <w:rFonts w:ascii="Arial" w:hAnsi="Arial" w:cs="Arial"/>
          <w:sz w:val="22"/>
          <w:szCs w:val="22"/>
        </w:rPr>
        <w:t xml:space="preserve"> Asimismo, el </w:t>
      </w:r>
      <w:r>
        <w:rPr>
          <w:rFonts w:ascii="Arial" w:hAnsi="Arial" w:cs="Arial"/>
          <w:sz w:val="22"/>
          <w:szCs w:val="22"/>
        </w:rPr>
        <w:t xml:space="preserve">citado </w:t>
      </w:r>
      <w:r w:rsidRPr="00BB1324">
        <w:rPr>
          <w:rFonts w:ascii="Arial" w:hAnsi="Arial" w:cs="Arial"/>
          <w:sz w:val="22"/>
          <w:szCs w:val="22"/>
        </w:rPr>
        <w:t xml:space="preserve">numeral </w:t>
      </w:r>
      <w:r>
        <w:rPr>
          <w:rFonts w:ascii="Arial" w:hAnsi="Arial" w:cs="Arial"/>
          <w:sz w:val="22"/>
          <w:szCs w:val="22"/>
        </w:rPr>
        <w:t xml:space="preserve">indica </w:t>
      </w:r>
      <w:r w:rsidRPr="00BB1324">
        <w:rPr>
          <w:rFonts w:ascii="Arial" w:hAnsi="Arial" w:cs="Arial"/>
          <w:sz w:val="22"/>
          <w:szCs w:val="22"/>
        </w:rPr>
        <w:t>que</w:t>
      </w:r>
      <w:r>
        <w:rPr>
          <w:rFonts w:ascii="Arial" w:hAnsi="Arial" w:cs="Arial"/>
          <w:sz w:val="22"/>
          <w:szCs w:val="22"/>
        </w:rPr>
        <w:t>,</w:t>
      </w:r>
      <w:r w:rsidRPr="00BB1324">
        <w:rPr>
          <w:rFonts w:ascii="Arial" w:hAnsi="Arial" w:cs="Arial"/>
          <w:sz w:val="22"/>
          <w:szCs w:val="22"/>
        </w:rPr>
        <w:t xml:space="preserve"> dentro de estas</w:t>
      </w:r>
      <w:r w:rsidRPr="0029516E">
        <w:rPr>
          <w:rFonts w:ascii="Arial" w:hAnsi="Arial" w:cs="Arial"/>
          <w:sz w:val="22"/>
          <w:szCs w:val="22"/>
        </w:rPr>
        <w:t xml:space="preserve"> obras civiles</w:t>
      </w:r>
      <w:r w:rsidRPr="00BB1324">
        <w:rPr>
          <w:rFonts w:ascii="Arial" w:hAnsi="Arial" w:cs="Arial"/>
          <w:sz w:val="22"/>
          <w:szCs w:val="22"/>
        </w:rPr>
        <w:t xml:space="preserve"> se encuentran «</w:t>
      </w:r>
      <w:r w:rsidRPr="0029516E">
        <w:rPr>
          <w:rFonts w:ascii="Arial" w:hAnsi="Arial" w:cs="Arial"/>
          <w:sz w:val="22"/>
          <w:szCs w:val="22"/>
        </w:rPr>
        <w:t xml:space="preserve">[…]los contratos de concesión y los contratos de obra suscritos con concesionarios, así como, los contratos suspendidos y </w:t>
      </w:r>
      <w:r w:rsidRPr="00EE2854">
        <w:rPr>
          <w:rFonts w:ascii="Arial" w:hAnsi="Arial" w:cs="Arial"/>
          <w:i/>
          <w:iCs/>
          <w:sz w:val="22"/>
          <w:szCs w:val="22"/>
        </w:rPr>
        <w:t>aquellos que no tengan acta de inicio</w:t>
      </w:r>
      <w:r w:rsidRPr="0029516E">
        <w:rPr>
          <w:rFonts w:ascii="Arial" w:hAnsi="Arial" w:cs="Arial"/>
          <w:sz w:val="22"/>
          <w:szCs w:val="22"/>
        </w:rPr>
        <w:t>. No se entenderán como contratos en ejecución los que se encuentren en liquidación».</w:t>
      </w:r>
    </w:p>
    <w:p w14:paraId="2C78A1BE" w14:textId="2D271635" w:rsidR="0042187B" w:rsidRDefault="0042187B" w:rsidP="0077368F">
      <w:pPr>
        <w:spacing w:after="120" w:line="276" w:lineRule="auto"/>
        <w:ind w:firstLine="567"/>
        <w:jc w:val="both"/>
        <w:rPr>
          <w:rFonts w:ascii="Arial" w:eastAsia="Calibri" w:hAnsi="Arial" w:cs="Arial"/>
          <w:sz w:val="21"/>
          <w:szCs w:val="21"/>
        </w:rPr>
      </w:pPr>
      <w:r>
        <w:rPr>
          <w:rFonts w:ascii="Arial" w:hAnsi="Arial" w:cs="Arial"/>
          <w:bCs/>
          <w:sz w:val="22"/>
          <w:szCs w:val="22"/>
          <w:lang w:val="es-ES" w:eastAsia="es-CO"/>
        </w:rPr>
        <w:t xml:space="preserve">De acuerdo con lo anterior, en relación con el objeto de la consulta, se concluye que, son contratos en ejecución, para efectos de calcular la capacidad residual del proponente, aquellos contratos que </w:t>
      </w:r>
      <w:r w:rsidRPr="00F71A07">
        <w:rPr>
          <w:rFonts w:ascii="Arial" w:hAnsi="Arial" w:cs="Arial"/>
          <w:sz w:val="22"/>
          <w:szCs w:val="22"/>
        </w:rPr>
        <w:t xml:space="preserve">a la fecha de presentación de la oferta obligan al proponente con Entidades Estatales y con entidades privadas para ejecutar obras civiles, incluyendo </w:t>
      </w:r>
      <w:r>
        <w:rPr>
          <w:rFonts w:ascii="Arial" w:hAnsi="Arial" w:cs="Arial"/>
          <w:sz w:val="22"/>
          <w:szCs w:val="22"/>
        </w:rPr>
        <w:t xml:space="preserve">los </w:t>
      </w:r>
      <w:r w:rsidRPr="000B71F5">
        <w:rPr>
          <w:rFonts w:ascii="Arial" w:hAnsi="Arial" w:cs="Arial"/>
          <w:sz w:val="22"/>
          <w:szCs w:val="22"/>
        </w:rPr>
        <w:t>que no tengan acta de inicio</w:t>
      </w:r>
      <w:r>
        <w:rPr>
          <w:rFonts w:ascii="Arial" w:hAnsi="Arial" w:cs="Arial"/>
          <w:sz w:val="22"/>
          <w:szCs w:val="22"/>
        </w:rPr>
        <w:t xml:space="preserve">. Ahora bien, resulta pertinente </w:t>
      </w:r>
      <w:proofErr w:type="gramStart"/>
      <w:r>
        <w:rPr>
          <w:rFonts w:ascii="Arial" w:hAnsi="Arial" w:cs="Arial"/>
          <w:bCs/>
          <w:sz w:val="22"/>
          <w:szCs w:val="22"/>
          <w:lang w:val="es-ES" w:eastAsia="es-CO"/>
        </w:rPr>
        <w:t>poner  de</w:t>
      </w:r>
      <w:proofErr w:type="gramEnd"/>
      <w:r>
        <w:rPr>
          <w:rFonts w:ascii="Arial" w:hAnsi="Arial" w:cs="Arial"/>
          <w:bCs/>
          <w:sz w:val="22"/>
          <w:szCs w:val="22"/>
          <w:lang w:val="es-ES" w:eastAsia="es-CO"/>
        </w:rPr>
        <w:t xml:space="preserve"> presente que, ciertamente, el hecho de que en el marco de un proceso de contratación se expida un acto administrativo adjudicando uno de los proponentes un contrato de obra pública permite colegir que la ejecución del mismo deberá ser asumida por dicho proponente, quien presentó una oferta con dicho propósito. No obstante, también es cierto que la adjudicación del contrato es un acto que precede a la suscripción del mismo, el cual, por regla general</w:t>
      </w:r>
      <w:r>
        <w:rPr>
          <w:rStyle w:val="Refdenotaalpie"/>
          <w:rFonts w:ascii="Arial" w:hAnsi="Arial" w:cs="Arial"/>
          <w:bCs/>
          <w:sz w:val="22"/>
          <w:szCs w:val="22"/>
          <w:lang w:val="es-ES" w:eastAsia="es-CO"/>
        </w:rPr>
        <w:footnoteReference w:id="8"/>
      </w:r>
      <w:r>
        <w:rPr>
          <w:rFonts w:ascii="Arial" w:hAnsi="Arial" w:cs="Arial"/>
          <w:bCs/>
          <w:sz w:val="22"/>
          <w:szCs w:val="22"/>
          <w:lang w:val="es-ES" w:eastAsia="es-CO"/>
        </w:rPr>
        <w:t xml:space="preserve">, es un acto requerido </w:t>
      </w:r>
      <w:r>
        <w:rPr>
          <w:rFonts w:ascii="Arial" w:hAnsi="Arial" w:cs="Arial"/>
          <w:bCs/>
          <w:sz w:val="22"/>
          <w:szCs w:val="22"/>
          <w:lang w:val="es-ES" w:eastAsia="es-CO"/>
        </w:rPr>
        <w:lastRenderedPageBreak/>
        <w:t>para su perfeccionamiento, dado el carácter solemne del contrato estatal</w:t>
      </w:r>
      <w:r>
        <w:rPr>
          <w:rFonts w:ascii="Arial" w:eastAsia="Calibri" w:hAnsi="Arial" w:cs="Arial"/>
          <w:sz w:val="22"/>
        </w:rPr>
        <w:t xml:space="preserve">, conforme se desprende del inciso primero del artículo 41 de la Ley 80 de 1993 </w:t>
      </w:r>
      <w:r>
        <w:rPr>
          <w:rStyle w:val="Refdenotaalpie"/>
          <w:rFonts w:ascii="Arial" w:eastAsia="Calibri" w:hAnsi="Arial" w:cs="Arial"/>
          <w:sz w:val="22"/>
        </w:rPr>
        <w:footnoteReference w:id="9"/>
      </w:r>
      <w:r>
        <w:rPr>
          <w:rFonts w:ascii="Arial" w:eastAsia="Calibri" w:hAnsi="Arial" w:cs="Arial"/>
          <w:sz w:val="22"/>
          <w:vertAlign w:val="superscript"/>
        </w:rPr>
        <w:t xml:space="preserve">- </w:t>
      </w:r>
      <w:r>
        <w:rPr>
          <w:rStyle w:val="Refdenotaalpie"/>
          <w:rFonts w:ascii="Arial" w:eastAsia="Calibri" w:hAnsi="Arial" w:cs="Arial"/>
          <w:sz w:val="21"/>
          <w:szCs w:val="21"/>
        </w:rPr>
        <w:footnoteReference w:id="10"/>
      </w:r>
      <w:r>
        <w:rPr>
          <w:rFonts w:ascii="Arial" w:eastAsia="Calibri" w:hAnsi="Arial" w:cs="Arial"/>
          <w:sz w:val="21"/>
          <w:szCs w:val="21"/>
        </w:rPr>
        <w:t>.</w:t>
      </w:r>
    </w:p>
    <w:p w14:paraId="2AE1AE85" w14:textId="77777777" w:rsidR="0042187B" w:rsidRDefault="0042187B" w:rsidP="0042187B">
      <w:pPr>
        <w:spacing w:before="120" w:line="276" w:lineRule="auto"/>
        <w:ind w:firstLine="709"/>
        <w:jc w:val="both"/>
        <w:rPr>
          <w:rFonts w:ascii="Arial" w:eastAsia="Calibri" w:hAnsi="Arial" w:cs="Arial"/>
          <w:sz w:val="22"/>
        </w:rPr>
      </w:pPr>
      <w:r>
        <w:rPr>
          <w:rFonts w:ascii="Arial" w:eastAsia="Calibri" w:hAnsi="Arial" w:cs="Arial"/>
          <w:sz w:val="22"/>
        </w:rPr>
        <w:t xml:space="preserve">En consideración a lo anterior, en la medida en que un contrato estatal requiere de su elevación a escrito como presupuesto para su perfeccionamiento, no puede decirse que de un proceso de contratación adjudicado derive el compromiso de ejecutar obras civiles para el proponente, comoquiera que ello es una obligación que surge a partir del contrato, el cual, por regla general, requiere de su suscripción y elevación a escrito para su perfeccionamiento. En ese sentido, contratos estatales no perfeccionados al momento de la presentación de la oferta no pueden ser tenidos en cuenta para cálculo del factor (SCE) en eventuales procesos de contratación a los que se presente el proponente, comoquiera que no encajan dentro de la noción de Contratos en ejecución establecida en la guía.   </w:t>
      </w:r>
    </w:p>
    <w:p w14:paraId="6D596EDF" w14:textId="10FC19AB" w:rsidR="00D62F13" w:rsidRDefault="00D62F13" w:rsidP="005A1199">
      <w:pPr>
        <w:spacing w:before="120" w:after="120" w:line="276" w:lineRule="auto"/>
        <w:ind w:firstLine="708"/>
        <w:jc w:val="both"/>
        <w:rPr>
          <w:rFonts w:ascii="Arial" w:eastAsia="Arial" w:hAnsi="Arial" w:cs="Arial"/>
          <w:sz w:val="22"/>
          <w:szCs w:val="22"/>
          <w:lang w:eastAsia="es-ES" w:bidi="es-ES"/>
        </w:rPr>
      </w:pPr>
      <w:r w:rsidRPr="0004416B">
        <w:rPr>
          <w:rFonts w:ascii="Arial" w:eastAsia="Arial" w:hAnsi="Arial" w:cs="Arial"/>
          <w:sz w:val="22"/>
          <w:szCs w:val="22"/>
          <w:lang w:eastAsia="es-ES" w:bidi="es-ES"/>
        </w:rPr>
        <w:lastRenderedPageBreak/>
        <w:t>Ahora bien, su consulta se refiere a la forma de calcular el presupuesto oficial en aquellos eventos donde el proceso de selección sea estructurado por lotes o grupos. Al respecto, sea lo primero precisar que</w:t>
      </w:r>
      <w:r w:rsidR="00201962" w:rsidRPr="0004416B">
        <w:rPr>
          <w:rFonts w:ascii="Arial" w:eastAsia="Arial" w:hAnsi="Arial" w:cs="Arial"/>
          <w:sz w:val="22"/>
          <w:szCs w:val="22"/>
          <w:lang w:eastAsia="es-ES" w:bidi="es-ES"/>
        </w:rPr>
        <w:t xml:space="preserve">, ni el Decreto 1082 de 2015 y </w:t>
      </w:r>
      <w:r w:rsidR="009D0627" w:rsidRPr="0004416B">
        <w:rPr>
          <w:rFonts w:ascii="Arial" w:eastAsia="Arial" w:hAnsi="Arial" w:cs="Arial"/>
          <w:sz w:val="22"/>
          <w:szCs w:val="22"/>
          <w:lang w:eastAsia="es-ES" w:bidi="es-ES"/>
        </w:rPr>
        <w:t xml:space="preserve">ni </w:t>
      </w:r>
      <w:r w:rsidR="00201962" w:rsidRPr="0004416B">
        <w:rPr>
          <w:rFonts w:ascii="Arial" w:eastAsia="Arial" w:hAnsi="Arial" w:cs="Arial"/>
          <w:sz w:val="22"/>
          <w:szCs w:val="22"/>
          <w:lang w:eastAsia="es-ES" w:bidi="es-ES"/>
        </w:rPr>
        <w:t xml:space="preserve">la </w:t>
      </w:r>
      <w:r w:rsidR="009D0627" w:rsidRPr="0004416B">
        <w:rPr>
          <w:rFonts w:ascii="Arial" w:eastAsia="Arial" w:hAnsi="Arial" w:cs="Arial"/>
          <w:sz w:val="22"/>
          <w:szCs w:val="22"/>
          <w:lang w:eastAsia="es-ES" w:bidi="es-ES"/>
        </w:rPr>
        <w:t>«</w:t>
      </w:r>
      <w:r w:rsidR="00201962" w:rsidRPr="0004416B">
        <w:rPr>
          <w:rFonts w:ascii="Arial" w:eastAsia="Calibri" w:hAnsi="Arial" w:cs="Arial"/>
          <w:color w:val="0D0D0D"/>
          <w:sz w:val="22"/>
          <w:szCs w:val="22"/>
          <w:bdr w:val="none" w:sz="0" w:space="0" w:color="auto" w:frame="1"/>
          <w:lang w:eastAsia="es-CO"/>
        </w:rPr>
        <w:t>Guía para Determinar y Verificar la Capacidad Residual del Proponente en los Procesos de Contratación de Obra Pública</w:t>
      </w:r>
      <w:r w:rsidR="00201962" w:rsidRPr="0077368F">
        <w:rPr>
          <w:rFonts w:ascii="Arial" w:eastAsia="Calibri" w:hAnsi="Arial" w:cs="Arial"/>
          <w:sz w:val="22"/>
          <w:szCs w:val="22"/>
          <w:lang w:eastAsia="en-US"/>
        </w:rPr>
        <w:t>»</w:t>
      </w:r>
      <w:r w:rsidR="009D0627" w:rsidRPr="0077368F">
        <w:rPr>
          <w:rFonts w:ascii="Arial" w:eastAsia="Calibri" w:hAnsi="Arial" w:cs="Arial"/>
          <w:sz w:val="22"/>
          <w:szCs w:val="22"/>
          <w:lang w:eastAsia="en-US"/>
        </w:rPr>
        <w:t>, contemplan</w:t>
      </w:r>
      <w:r w:rsidR="00005A32" w:rsidRPr="0077368F">
        <w:rPr>
          <w:rFonts w:ascii="Arial" w:eastAsia="Calibri" w:hAnsi="Arial" w:cs="Arial"/>
          <w:sz w:val="22"/>
          <w:szCs w:val="22"/>
          <w:lang w:eastAsia="en-US"/>
        </w:rPr>
        <w:t xml:space="preserve"> una regla especial para la acreditación de la capacidad residual en procesos estructurados por lotes, por lo que, </w:t>
      </w:r>
      <w:r w:rsidRPr="0004416B">
        <w:rPr>
          <w:rFonts w:ascii="Arial" w:eastAsia="Arial" w:hAnsi="Arial" w:cs="Arial"/>
          <w:sz w:val="22"/>
          <w:szCs w:val="22"/>
          <w:lang w:eastAsia="es-ES" w:bidi="es-ES"/>
        </w:rPr>
        <w:t xml:space="preserve"> corresponde a la </w:t>
      </w:r>
      <w:r w:rsidR="00005A32" w:rsidRPr="0004416B">
        <w:rPr>
          <w:rFonts w:ascii="Arial" w:eastAsia="Arial" w:hAnsi="Arial" w:cs="Arial"/>
          <w:sz w:val="22"/>
          <w:szCs w:val="22"/>
          <w:lang w:eastAsia="es-ES" w:bidi="es-ES"/>
        </w:rPr>
        <w:t>entidades estatales</w:t>
      </w:r>
      <w:r w:rsidR="00E93AA1" w:rsidRPr="0004416B">
        <w:rPr>
          <w:rFonts w:ascii="Arial" w:eastAsia="Arial" w:hAnsi="Arial" w:cs="Arial"/>
          <w:sz w:val="22"/>
          <w:szCs w:val="22"/>
          <w:lang w:eastAsia="es-ES" w:bidi="es-ES"/>
        </w:rPr>
        <w:t>,</w:t>
      </w:r>
      <w:r w:rsidR="00005A32" w:rsidRPr="0004416B">
        <w:rPr>
          <w:rFonts w:ascii="Arial" w:eastAsia="Arial" w:hAnsi="Arial" w:cs="Arial"/>
          <w:sz w:val="22"/>
          <w:szCs w:val="22"/>
          <w:lang w:eastAsia="es-ES" w:bidi="es-ES"/>
        </w:rPr>
        <w:t xml:space="preserve"> en ejercicio de la autonomía</w:t>
      </w:r>
      <w:r w:rsidR="00E93AA1" w:rsidRPr="0004416B">
        <w:rPr>
          <w:rFonts w:ascii="Arial" w:eastAsia="Arial" w:hAnsi="Arial" w:cs="Arial"/>
          <w:sz w:val="22"/>
          <w:szCs w:val="22"/>
          <w:lang w:eastAsia="es-ES" w:bidi="es-ES"/>
        </w:rPr>
        <w:t xml:space="preserve"> y discrecionalidad</w:t>
      </w:r>
      <w:r w:rsidR="00005A32" w:rsidRPr="0004416B">
        <w:rPr>
          <w:rFonts w:ascii="Arial" w:eastAsia="Arial" w:hAnsi="Arial" w:cs="Arial"/>
          <w:sz w:val="22"/>
          <w:szCs w:val="22"/>
          <w:lang w:eastAsia="es-ES" w:bidi="es-ES"/>
        </w:rPr>
        <w:t xml:space="preserve"> que les corresponde para regular los requisitos habilitantes aplicables en sus</w:t>
      </w:r>
      <w:r w:rsidR="00E93AA1" w:rsidRPr="0004416B">
        <w:rPr>
          <w:rFonts w:ascii="Arial" w:eastAsia="Arial" w:hAnsi="Arial" w:cs="Arial"/>
          <w:sz w:val="22"/>
          <w:szCs w:val="22"/>
          <w:lang w:eastAsia="es-ES" w:bidi="es-ES"/>
        </w:rPr>
        <w:t xml:space="preserve"> procesos de selección, determinar </w:t>
      </w:r>
      <w:r w:rsidR="0060216B" w:rsidRPr="0004416B">
        <w:rPr>
          <w:rFonts w:ascii="Arial" w:eastAsia="Arial" w:hAnsi="Arial" w:cs="Arial"/>
          <w:sz w:val="22"/>
          <w:szCs w:val="22"/>
          <w:lang w:eastAsia="es-ES" w:bidi="es-ES"/>
        </w:rPr>
        <w:t xml:space="preserve">en los pliegos de condiciones determinar la forma en la que se verificará </w:t>
      </w:r>
      <w:r w:rsidR="0004416B" w:rsidRPr="0004416B">
        <w:rPr>
          <w:rFonts w:ascii="Arial" w:eastAsia="Arial" w:hAnsi="Arial" w:cs="Arial"/>
          <w:sz w:val="22"/>
          <w:szCs w:val="22"/>
          <w:lang w:eastAsia="es-ES" w:bidi="es-ES"/>
        </w:rPr>
        <w:t xml:space="preserve">la capacidad residual en los procesos estructurados por lotes. </w:t>
      </w:r>
      <w:r w:rsidR="00E93AA1" w:rsidRPr="0004416B">
        <w:rPr>
          <w:rFonts w:ascii="Arial" w:eastAsia="Arial" w:hAnsi="Arial" w:cs="Arial"/>
          <w:sz w:val="22"/>
          <w:szCs w:val="22"/>
          <w:lang w:eastAsia="es-ES" w:bidi="es-ES"/>
        </w:rPr>
        <w:t xml:space="preserve"> </w:t>
      </w:r>
      <w:r w:rsidR="00005A32" w:rsidRPr="0004416B">
        <w:rPr>
          <w:rFonts w:ascii="Arial" w:eastAsia="Arial" w:hAnsi="Arial" w:cs="Arial"/>
          <w:sz w:val="22"/>
          <w:szCs w:val="22"/>
          <w:lang w:eastAsia="es-ES" w:bidi="es-ES"/>
        </w:rPr>
        <w:t xml:space="preserve"> </w:t>
      </w:r>
    </w:p>
    <w:p w14:paraId="2110A91B" w14:textId="77777777" w:rsidR="00964742" w:rsidRDefault="0004416B" w:rsidP="00B27386">
      <w:pPr>
        <w:spacing w:before="120" w:after="120" w:line="276" w:lineRule="auto"/>
        <w:ind w:firstLine="708"/>
        <w:jc w:val="both"/>
        <w:rPr>
          <w:rFonts w:ascii="Arial" w:eastAsia="Arial" w:hAnsi="Arial" w:cs="Arial"/>
          <w:sz w:val="22"/>
          <w:szCs w:val="22"/>
          <w:lang w:eastAsia="es-ES" w:bidi="es-ES"/>
        </w:rPr>
      </w:pPr>
      <w:r>
        <w:rPr>
          <w:rFonts w:ascii="Arial" w:eastAsia="Arial" w:hAnsi="Arial" w:cs="Arial"/>
          <w:sz w:val="22"/>
          <w:szCs w:val="22"/>
          <w:lang w:eastAsia="es-ES" w:bidi="es-ES"/>
        </w:rPr>
        <w:t xml:space="preserve">Sin perjuicio de lo anterior, las reglas que sean incluidas en los pliegos de condiciones deberán </w:t>
      </w:r>
      <w:r w:rsidR="00C76DCA">
        <w:rPr>
          <w:rFonts w:ascii="Arial" w:eastAsia="Arial" w:hAnsi="Arial" w:cs="Arial"/>
          <w:sz w:val="22"/>
          <w:szCs w:val="22"/>
          <w:lang w:eastAsia="es-ES" w:bidi="es-ES"/>
        </w:rPr>
        <w:t>ser planteadas con sujeción a l</w:t>
      </w:r>
      <w:r w:rsidR="00304EE4">
        <w:rPr>
          <w:rFonts w:ascii="Arial" w:eastAsia="Arial" w:hAnsi="Arial" w:cs="Arial"/>
          <w:sz w:val="22"/>
          <w:szCs w:val="22"/>
          <w:lang w:eastAsia="es-ES" w:bidi="es-ES"/>
        </w:rPr>
        <w:t xml:space="preserve">o </w:t>
      </w:r>
      <w:r w:rsidR="00947824">
        <w:rPr>
          <w:rFonts w:ascii="Arial" w:eastAsia="Arial" w:hAnsi="Arial" w:cs="Arial"/>
          <w:sz w:val="22"/>
          <w:szCs w:val="22"/>
          <w:lang w:eastAsia="es-ES" w:bidi="es-ES"/>
        </w:rPr>
        <w:t>establecid</w:t>
      </w:r>
      <w:r w:rsidR="00304EE4">
        <w:rPr>
          <w:rFonts w:ascii="Arial" w:eastAsia="Arial" w:hAnsi="Arial" w:cs="Arial"/>
          <w:sz w:val="22"/>
          <w:szCs w:val="22"/>
          <w:lang w:eastAsia="es-ES" w:bidi="es-ES"/>
        </w:rPr>
        <w:t>o</w:t>
      </w:r>
      <w:r w:rsidR="00947824">
        <w:rPr>
          <w:rFonts w:ascii="Arial" w:eastAsia="Arial" w:hAnsi="Arial" w:cs="Arial"/>
          <w:sz w:val="22"/>
          <w:szCs w:val="22"/>
          <w:lang w:eastAsia="es-ES" w:bidi="es-ES"/>
        </w:rPr>
        <w:t xml:space="preserve"> en la mencionada guía, en la medida en esta contiene la </w:t>
      </w:r>
      <w:r w:rsidR="00304EE4">
        <w:rPr>
          <w:rFonts w:ascii="Arial" w:eastAsia="Arial" w:hAnsi="Arial" w:cs="Arial"/>
          <w:sz w:val="22"/>
          <w:szCs w:val="22"/>
          <w:lang w:eastAsia="es-ES" w:bidi="es-ES"/>
        </w:rPr>
        <w:t xml:space="preserve">metodología que aplica de manera general para el </w:t>
      </w:r>
      <w:r w:rsidR="00100AF1">
        <w:rPr>
          <w:rFonts w:ascii="Arial" w:eastAsia="Arial" w:hAnsi="Arial" w:cs="Arial"/>
          <w:sz w:val="22"/>
          <w:szCs w:val="22"/>
          <w:lang w:eastAsia="es-ES" w:bidi="es-ES"/>
        </w:rPr>
        <w:t>cálculo</w:t>
      </w:r>
      <w:r w:rsidR="00304EE4">
        <w:rPr>
          <w:rFonts w:ascii="Arial" w:eastAsia="Arial" w:hAnsi="Arial" w:cs="Arial"/>
          <w:sz w:val="22"/>
          <w:szCs w:val="22"/>
          <w:lang w:eastAsia="es-ES" w:bidi="es-ES"/>
        </w:rPr>
        <w:t xml:space="preserve"> de la capacidad residual en los procesos de contratación de obra pública, de </w:t>
      </w:r>
      <w:r w:rsidR="00100AF1">
        <w:rPr>
          <w:rFonts w:ascii="Arial" w:eastAsia="Arial" w:hAnsi="Arial" w:cs="Arial"/>
          <w:sz w:val="22"/>
          <w:szCs w:val="22"/>
          <w:lang w:eastAsia="es-ES" w:bidi="es-ES"/>
        </w:rPr>
        <w:t xml:space="preserve">la cual no se encuentran exceptuados los procesos estructurados por lotes o módulos. </w:t>
      </w:r>
      <w:r w:rsidR="00816E85">
        <w:rPr>
          <w:rFonts w:ascii="Arial" w:eastAsia="Arial" w:hAnsi="Arial" w:cs="Arial"/>
          <w:sz w:val="22"/>
          <w:szCs w:val="22"/>
          <w:lang w:eastAsia="es-ES" w:bidi="es-ES"/>
        </w:rPr>
        <w:t xml:space="preserve">En ese sentido, el margen de discrecionalidad para establecer </w:t>
      </w:r>
      <w:r w:rsidR="00154DC3">
        <w:rPr>
          <w:rFonts w:ascii="Arial" w:eastAsia="Arial" w:hAnsi="Arial" w:cs="Arial"/>
          <w:sz w:val="22"/>
          <w:szCs w:val="22"/>
          <w:lang w:eastAsia="es-ES" w:bidi="es-ES"/>
        </w:rPr>
        <w:t>regular</w:t>
      </w:r>
      <w:r w:rsidR="00816E85">
        <w:rPr>
          <w:rFonts w:ascii="Arial" w:eastAsia="Arial" w:hAnsi="Arial" w:cs="Arial"/>
          <w:sz w:val="22"/>
          <w:szCs w:val="22"/>
          <w:lang w:eastAsia="es-ES" w:bidi="es-ES"/>
        </w:rPr>
        <w:t xml:space="preserve"> </w:t>
      </w:r>
      <w:r w:rsidR="004C3358">
        <w:rPr>
          <w:rFonts w:ascii="Arial" w:eastAsia="Arial" w:hAnsi="Arial" w:cs="Arial"/>
          <w:sz w:val="22"/>
          <w:szCs w:val="22"/>
          <w:lang w:eastAsia="es-ES" w:bidi="es-ES"/>
        </w:rPr>
        <w:t xml:space="preserve">la acreditación de la capacidad residual en estos eventos está determinada </w:t>
      </w:r>
      <w:r w:rsidR="00154DC3">
        <w:rPr>
          <w:rFonts w:ascii="Arial" w:eastAsia="Arial" w:hAnsi="Arial" w:cs="Arial"/>
          <w:sz w:val="22"/>
          <w:szCs w:val="22"/>
          <w:lang w:eastAsia="es-ES" w:bidi="es-ES"/>
        </w:rPr>
        <w:t>adecuación y proporcionalidad de las reglas</w:t>
      </w:r>
      <w:r w:rsidR="00934FD7">
        <w:rPr>
          <w:rFonts w:ascii="Arial" w:eastAsia="Arial" w:hAnsi="Arial" w:cs="Arial"/>
          <w:sz w:val="22"/>
          <w:szCs w:val="22"/>
          <w:lang w:eastAsia="es-ES" w:bidi="es-ES"/>
        </w:rPr>
        <w:t xml:space="preserve"> que se incluyan para aplicar la metodología explicada </w:t>
      </w:r>
      <w:r w:rsidR="00934FD7" w:rsidRPr="0077368F">
        <w:rPr>
          <w:rFonts w:ascii="Arial" w:eastAsia="Arial" w:hAnsi="Arial" w:cs="Arial"/>
          <w:i/>
          <w:iCs/>
          <w:sz w:val="22"/>
          <w:szCs w:val="22"/>
          <w:lang w:eastAsia="es-ES" w:bidi="es-ES"/>
        </w:rPr>
        <w:t>supra</w:t>
      </w:r>
      <w:r w:rsidR="00F349AD">
        <w:rPr>
          <w:rFonts w:ascii="Arial" w:eastAsia="Arial" w:hAnsi="Arial" w:cs="Arial"/>
          <w:i/>
          <w:iCs/>
          <w:sz w:val="22"/>
          <w:szCs w:val="22"/>
          <w:lang w:eastAsia="es-ES" w:bidi="es-ES"/>
        </w:rPr>
        <w:t>,</w:t>
      </w:r>
      <w:r w:rsidR="00B27386">
        <w:rPr>
          <w:rFonts w:ascii="Arial" w:eastAsia="Arial" w:hAnsi="Arial" w:cs="Arial"/>
          <w:i/>
          <w:iCs/>
          <w:sz w:val="22"/>
          <w:szCs w:val="22"/>
          <w:lang w:eastAsia="es-ES" w:bidi="es-ES"/>
        </w:rPr>
        <w:t xml:space="preserve"> </w:t>
      </w:r>
      <w:r w:rsidR="00B27386" w:rsidRPr="0077368F">
        <w:rPr>
          <w:rFonts w:ascii="Arial" w:eastAsia="Arial" w:hAnsi="Arial" w:cs="Arial"/>
          <w:sz w:val="22"/>
          <w:szCs w:val="22"/>
          <w:lang w:eastAsia="es-ES" w:bidi="es-ES"/>
        </w:rPr>
        <w:t>en</w:t>
      </w:r>
      <w:r w:rsidR="00F349AD">
        <w:rPr>
          <w:rFonts w:ascii="Arial" w:eastAsia="Arial" w:hAnsi="Arial" w:cs="Arial"/>
          <w:i/>
          <w:iCs/>
          <w:sz w:val="22"/>
          <w:szCs w:val="22"/>
          <w:lang w:eastAsia="es-ES" w:bidi="es-ES"/>
        </w:rPr>
        <w:t xml:space="preserve"> </w:t>
      </w:r>
      <w:r w:rsidR="00F349AD">
        <w:rPr>
          <w:rFonts w:ascii="Arial" w:eastAsia="Arial" w:hAnsi="Arial" w:cs="Arial"/>
          <w:sz w:val="22"/>
          <w:szCs w:val="22"/>
          <w:lang w:eastAsia="es-ES" w:bidi="es-ES"/>
        </w:rPr>
        <w:t>consideración a las particularidades del proceso de contratación</w:t>
      </w:r>
      <w:r w:rsidR="00B27386">
        <w:rPr>
          <w:rFonts w:ascii="Arial" w:eastAsia="Arial" w:hAnsi="Arial" w:cs="Arial"/>
          <w:sz w:val="22"/>
          <w:szCs w:val="22"/>
          <w:lang w:eastAsia="es-ES" w:bidi="es-ES"/>
        </w:rPr>
        <w:t xml:space="preserve"> no reguladas por dicho instrumento. </w:t>
      </w:r>
    </w:p>
    <w:p w14:paraId="777A4979" w14:textId="7ECA4ED5" w:rsidR="004D141D" w:rsidRDefault="00E673DC" w:rsidP="00B27386">
      <w:pPr>
        <w:spacing w:before="120" w:after="120" w:line="276" w:lineRule="auto"/>
        <w:ind w:firstLine="708"/>
        <w:jc w:val="both"/>
        <w:rPr>
          <w:rFonts w:ascii="Arial" w:eastAsia="Arial" w:hAnsi="Arial" w:cs="Arial"/>
          <w:sz w:val="22"/>
          <w:szCs w:val="22"/>
          <w:lang w:eastAsia="es-ES" w:bidi="es-ES"/>
        </w:rPr>
      </w:pPr>
      <w:r>
        <w:rPr>
          <w:rFonts w:ascii="Arial" w:eastAsia="Arial" w:hAnsi="Arial" w:cs="Arial"/>
          <w:sz w:val="22"/>
          <w:szCs w:val="22"/>
          <w:lang w:eastAsia="es-ES" w:bidi="es-ES"/>
        </w:rPr>
        <w:t xml:space="preserve">Conforme a lo anterior, </w:t>
      </w:r>
      <w:r w:rsidR="00AF0577">
        <w:rPr>
          <w:rFonts w:ascii="Arial" w:eastAsia="Arial" w:hAnsi="Arial" w:cs="Arial"/>
          <w:sz w:val="22"/>
          <w:szCs w:val="22"/>
          <w:lang w:eastAsia="es-ES" w:bidi="es-ES"/>
        </w:rPr>
        <w:t xml:space="preserve">no resultaría válido que una entidad estatal </w:t>
      </w:r>
      <w:r w:rsidR="0048187D">
        <w:rPr>
          <w:rFonts w:ascii="Arial" w:eastAsia="Arial" w:hAnsi="Arial" w:cs="Arial"/>
          <w:sz w:val="22"/>
          <w:szCs w:val="22"/>
          <w:lang w:eastAsia="es-ES" w:bidi="es-ES"/>
        </w:rPr>
        <w:t>verifique la capacidad residual tomando e</w:t>
      </w:r>
      <w:r w:rsidR="00A45728">
        <w:rPr>
          <w:rFonts w:ascii="Arial" w:eastAsia="Arial" w:hAnsi="Arial" w:cs="Arial"/>
          <w:sz w:val="22"/>
          <w:szCs w:val="22"/>
          <w:lang w:eastAsia="es-ES" w:bidi="es-ES"/>
        </w:rPr>
        <w:t xml:space="preserve">n consideraciones actuaciones que no corresponden </w:t>
      </w:r>
      <w:r w:rsidR="002079CB">
        <w:rPr>
          <w:rFonts w:ascii="Arial" w:eastAsia="Arial" w:hAnsi="Arial" w:cs="Arial"/>
          <w:sz w:val="22"/>
          <w:szCs w:val="22"/>
          <w:lang w:eastAsia="es-ES" w:bidi="es-ES"/>
        </w:rPr>
        <w:t xml:space="preserve">con la noción de </w:t>
      </w:r>
      <w:r w:rsidR="002079CB" w:rsidRPr="0077368F">
        <w:rPr>
          <w:rFonts w:ascii="Arial" w:eastAsia="Arial" w:hAnsi="Arial" w:cs="Arial"/>
          <w:i/>
          <w:iCs/>
          <w:sz w:val="22"/>
          <w:szCs w:val="22"/>
          <w:lang w:eastAsia="es-ES" w:bidi="es-ES"/>
        </w:rPr>
        <w:t>contratos en ejecución</w:t>
      </w:r>
      <w:r w:rsidR="006507BF">
        <w:rPr>
          <w:rFonts w:ascii="Arial" w:eastAsia="Arial" w:hAnsi="Arial" w:cs="Arial"/>
          <w:i/>
          <w:iCs/>
          <w:sz w:val="22"/>
          <w:szCs w:val="22"/>
          <w:lang w:eastAsia="es-ES" w:bidi="es-ES"/>
        </w:rPr>
        <w:t xml:space="preserve"> </w:t>
      </w:r>
      <w:r w:rsidR="006507BF" w:rsidRPr="0077368F">
        <w:rPr>
          <w:rFonts w:ascii="Arial" w:eastAsia="Arial" w:hAnsi="Arial" w:cs="Arial"/>
          <w:sz w:val="22"/>
          <w:szCs w:val="22"/>
          <w:lang w:eastAsia="es-ES" w:bidi="es-ES"/>
        </w:rPr>
        <w:t>antes explicada</w:t>
      </w:r>
      <w:r w:rsidR="000A45B0">
        <w:rPr>
          <w:rFonts w:ascii="Arial" w:eastAsia="Arial" w:hAnsi="Arial" w:cs="Arial"/>
          <w:sz w:val="22"/>
          <w:szCs w:val="22"/>
          <w:lang w:eastAsia="es-ES" w:bidi="es-ES"/>
        </w:rPr>
        <w:t>, como</w:t>
      </w:r>
      <w:r w:rsidR="006D4AD1">
        <w:rPr>
          <w:rFonts w:ascii="Arial" w:eastAsia="Arial" w:hAnsi="Arial" w:cs="Arial"/>
          <w:sz w:val="22"/>
          <w:szCs w:val="22"/>
          <w:lang w:eastAsia="es-ES" w:bidi="es-ES"/>
        </w:rPr>
        <w:t xml:space="preserve"> podrían ser</w:t>
      </w:r>
      <w:r w:rsidR="001A368A">
        <w:rPr>
          <w:rFonts w:ascii="Arial" w:eastAsia="Arial" w:hAnsi="Arial" w:cs="Arial"/>
          <w:sz w:val="22"/>
          <w:szCs w:val="22"/>
          <w:lang w:eastAsia="es-ES" w:bidi="es-ES"/>
        </w:rPr>
        <w:t>, por ejemplo,</w:t>
      </w:r>
      <w:r w:rsidR="006D4AD1">
        <w:rPr>
          <w:rFonts w:ascii="Arial" w:eastAsia="Arial" w:hAnsi="Arial" w:cs="Arial"/>
          <w:sz w:val="22"/>
          <w:szCs w:val="22"/>
          <w:lang w:eastAsia="es-ES" w:bidi="es-ES"/>
        </w:rPr>
        <w:t xml:space="preserve"> aquellos contratos </w:t>
      </w:r>
      <w:r w:rsidR="001A368A">
        <w:rPr>
          <w:rFonts w:ascii="Arial" w:eastAsia="Arial" w:hAnsi="Arial" w:cs="Arial"/>
          <w:sz w:val="22"/>
          <w:szCs w:val="22"/>
          <w:lang w:eastAsia="es-ES" w:bidi="es-ES"/>
        </w:rPr>
        <w:t xml:space="preserve">adjudicados pero </w:t>
      </w:r>
      <w:r w:rsidR="006A76BA">
        <w:rPr>
          <w:rFonts w:ascii="Arial" w:eastAsia="Arial" w:hAnsi="Arial" w:cs="Arial"/>
          <w:sz w:val="22"/>
          <w:szCs w:val="22"/>
          <w:lang w:eastAsia="es-ES" w:bidi="es-ES"/>
        </w:rPr>
        <w:t xml:space="preserve">que </w:t>
      </w:r>
      <w:proofErr w:type="spellStart"/>
      <w:r w:rsidR="006A76BA">
        <w:rPr>
          <w:rFonts w:ascii="Arial" w:eastAsia="Arial" w:hAnsi="Arial" w:cs="Arial"/>
          <w:sz w:val="22"/>
          <w:szCs w:val="22"/>
          <w:lang w:eastAsia="es-ES" w:bidi="es-ES"/>
        </w:rPr>
        <w:t>aun</w:t>
      </w:r>
      <w:proofErr w:type="spellEnd"/>
      <w:r w:rsidR="006A76BA">
        <w:rPr>
          <w:rFonts w:ascii="Arial" w:eastAsia="Arial" w:hAnsi="Arial" w:cs="Arial"/>
          <w:sz w:val="22"/>
          <w:szCs w:val="22"/>
          <w:lang w:eastAsia="es-ES" w:bidi="es-ES"/>
        </w:rPr>
        <w:t xml:space="preserve"> no han sido elevados a escrito con la suscripción de las partes. </w:t>
      </w:r>
      <w:r w:rsidR="0091755C">
        <w:rPr>
          <w:rFonts w:ascii="Arial" w:eastAsia="Arial" w:hAnsi="Arial" w:cs="Arial"/>
          <w:sz w:val="22"/>
          <w:szCs w:val="22"/>
          <w:lang w:eastAsia="es-ES" w:bidi="es-ES"/>
        </w:rPr>
        <w:t xml:space="preserve">Esto comoquiera que esta definición </w:t>
      </w:r>
      <w:r w:rsidR="006614DC">
        <w:rPr>
          <w:rFonts w:ascii="Arial" w:eastAsia="Arial" w:hAnsi="Arial" w:cs="Arial"/>
          <w:sz w:val="22"/>
          <w:szCs w:val="22"/>
          <w:lang w:eastAsia="es-ES" w:bidi="es-ES"/>
        </w:rPr>
        <w:t xml:space="preserve">se encuentra reglada </w:t>
      </w:r>
      <w:r w:rsidR="006507BF">
        <w:rPr>
          <w:rFonts w:ascii="Arial" w:eastAsia="Arial" w:hAnsi="Arial" w:cs="Arial"/>
          <w:sz w:val="22"/>
          <w:szCs w:val="22"/>
          <w:lang w:eastAsia="es-ES" w:bidi="es-ES"/>
        </w:rPr>
        <w:t xml:space="preserve">por </w:t>
      </w:r>
      <w:r w:rsidR="00867C5D">
        <w:rPr>
          <w:rFonts w:ascii="Arial" w:eastAsia="Arial" w:hAnsi="Arial" w:cs="Arial"/>
          <w:sz w:val="22"/>
          <w:szCs w:val="22"/>
          <w:lang w:eastAsia="es-ES" w:bidi="es-ES"/>
        </w:rPr>
        <w:t xml:space="preserve">la </w:t>
      </w:r>
      <w:r w:rsidR="006507BF">
        <w:rPr>
          <w:rFonts w:ascii="Arial" w:eastAsia="Arial" w:hAnsi="Arial" w:cs="Arial"/>
          <w:sz w:val="22"/>
          <w:szCs w:val="22"/>
          <w:lang w:eastAsia="es-ES" w:bidi="es-ES"/>
        </w:rPr>
        <w:t xml:space="preserve">guía y </w:t>
      </w:r>
      <w:r w:rsidR="0091755C">
        <w:rPr>
          <w:rFonts w:ascii="Arial" w:eastAsia="Arial" w:hAnsi="Arial" w:cs="Arial"/>
          <w:sz w:val="22"/>
          <w:szCs w:val="22"/>
          <w:lang w:eastAsia="es-ES" w:bidi="es-ES"/>
        </w:rPr>
        <w:t>aplicaría de manera igual en procesos por</w:t>
      </w:r>
      <w:r w:rsidR="00333F6C">
        <w:rPr>
          <w:rFonts w:ascii="Arial" w:eastAsia="Arial" w:hAnsi="Arial" w:cs="Arial"/>
          <w:sz w:val="22"/>
          <w:szCs w:val="22"/>
          <w:lang w:eastAsia="es-ES" w:bidi="es-ES"/>
        </w:rPr>
        <w:t xml:space="preserve"> lotes al no haber distinción alguna en el instrumento</w:t>
      </w:r>
      <w:r w:rsidR="009E1AC8">
        <w:rPr>
          <w:rFonts w:ascii="Arial" w:eastAsia="Arial" w:hAnsi="Arial" w:cs="Arial"/>
          <w:sz w:val="22"/>
          <w:szCs w:val="22"/>
          <w:lang w:eastAsia="es-ES" w:bidi="es-ES"/>
        </w:rPr>
        <w:t>.</w:t>
      </w:r>
    </w:p>
    <w:p w14:paraId="665A3FB1" w14:textId="77777777" w:rsidR="003C5405" w:rsidRDefault="00F002D7" w:rsidP="00B27386">
      <w:pPr>
        <w:spacing w:before="120" w:after="120" w:line="276" w:lineRule="auto"/>
        <w:ind w:firstLine="708"/>
        <w:jc w:val="both"/>
        <w:rPr>
          <w:rFonts w:ascii="Arial" w:eastAsia="Arial" w:hAnsi="Arial" w:cs="Arial"/>
          <w:sz w:val="22"/>
          <w:szCs w:val="22"/>
          <w:lang w:eastAsia="es-ES" w:bidi="es-ES"/>
        </w:rPr>
      </w:pPr>
      <w:r>
        <w:rPr>
          <w:rFonts w:ascii="Arial" w:eastAsia="Arial" w:hAnsi="Arial" w:cs="Arial"/>
          <w:sz w:val="22"/>
          <w:szCs w:val="22"/>
          <w:lang w:eastAsia="es-ES" w:bidi="es-ES"/>
        </w:rPr>
        <w:t xml:space="preserve">Por el contrario, se estima </w:t>
      </w:r>
      <w:r w:rsidR="009E1AC8">
        <w:rPr>
          <w:rFonts w:ascii="Arial" w:eastAsia="Arial" w:hAnsi="Arial" w:cs="Arial"/>
          <w:sz w:val="22"/>
          <w:szCs w:val="22"/>
          <w:lang w:eastAsia="es-ES" w:bidi="es-ES"/>
        </w:rPr>
        <w:t>que,</w:t>
      </w:r>
      <w:r>
        <w:rPr>
          <w:rFonts w:ascii="Arial" w:eastAsia="Arial" w:hAnsi="Arial" w:cs="Arial"/>
          <w:sz w:val="22"/>
          <w:szCs w:val="22"/>
          <w:lang w:eastAsia="es-ES" w:bidi="es-ES"/>
        </w:rPr>
        <w:t xml:space="preserve"> si resulta valido, y apenas razonable, que la entidad estatal establezca reglas sobre </w:t>
      </w:r>
      <w:r w:rsidR="00F5502D">
        <w:rPr>
          <w:rFonts w:ascii="Arial" w:eastAsia="Arial" w:hAnsi="Arial" w:cs="Arial"/>
          <w:sz w:val="22"/>
          <w:szCs w:val="22"/>
          <w:lang w:eastAsia="es-ES" w:bidi="es-ES"/>
        </w:rPr>
        <w:t>cuál</w:t>
      </w:r>
      <w:r w:rsidR="00F25D1F">
        <w:rPr>
          <w:rFonts w:ascii="Arial" w:eastAsia="Arial" w:hAnsi="Arial" w:cs="Arial"/>
          <w:sz w:val="22"/>
          <w:szCs w:val="22"/>
          <w:lang w:eastAsia="es-ES" w:bidi="es-ES"/>
        </w:rPr>
        <w:t xml:space="preserve"> </w:t>
      </w:r>
      <w:r w:rsidR="00F5502D">
        <w:rPr>
          <w:rFonts w:ascii="Arial" w:eastAsia="Arial" w:hAnsi="Arial" w:cs="Arial"/>
          <w:sz w:val="22"/>
          <w:szCs w:val="22"/>
          <w:lang w:eastAsia="es-ES" w:bidi="es-ES"/>
        </w:rPr>
        <w:t xml:space="preserve">es </w:t>
      </w:r>
      <w:r w:rsidR="00F25D1F">
        <w:rPr>
          <w:rFonts w:ascii="Arial" w:eastAsia="Arial" w:hAnsi="Arial" w:cs="Arial"/>
          <w:sz w:val="22"/>
          <w:szCs w:val="22"/>
          <w:lang w:eastAsia="es-ES" w:bidi="es-ES"/>
        </w:rPr>
        <w:t>la CR</w:t>
      </w:r>
      <w:r w:rsidR="00D12E87">
        <w:rPr>
          <w:rFonts w:ascii="Arial" w:eastAsia="Arial" w:hAnsi="Arial" w:cs="Arial"/>
          <w:sz w:val="22"/>
          <w:szCs w:val="22"/>
          <w:lang w:eastAsia="es-ES" w:bidi="es-ES"/>
        </w:rPr>
        <w:t>P que deberá acreditarse</w:t>
      </w:r>
      <w:r w:rsidR="003B11C3">
        <w:rPr>
          <w:rFonts w:ascii="Arial" w:eastAsia="Arial" w:hAnsi="Arial" w:cs="Arial"/>
          <w:sz w:val="22"/>
          <w:szCs w:val="22"/>
          <w:lang w:eastAsia="es-ES" w:bidi="es-ES"/>
        </w:rPr>
        <w:t xml:space="preserve"> a efectos de participar en uno o </w:t>
      </w:r>
      <w:r w:rsidR="004D141D">
        <w:rPr>
          <w:rFonts w:ascii="Arial" w:eastAsia="Arial" w:hAnsi="Arial" w:cs="Arial"/>
          <w:sz w:val="22"/>
          <w:szCs w:val="22"/>
          <w:lang w:eastAsia="es-ES" w:bidi="es-ES"/>
        </w:rPr>
        <w:t>varios de los lotes en los que se divide el proceso de contratación</w:t>
      </w:r>
      <w:r w:rsidR="009E1AC8">
        <w:rPr>
          <w:rFonts w:ascii="Arial" w:eastAsia="Arial" w:hAnsi="Arial" w:cs="Arial"/>
          <w:sz w:val="22"/>
          <w:szCs w:val="22"/>
          <w:lang w:eastAsia="es-ES" w:bidi="es-ES"/>
        </w:rPr>
        <w:t xml:space="preserve">. Esto además debe ser planteado en </w:t>
      </w:r>
      <w:r w:rsidR="001526F3">
        <w:rPr>
          <w:rFonts w:ascii="Arial" w:eastAsia="Arial" w:hAnsi="Arial" w:cs="Arial"/>
          <w:sz w:val="22"/>
          <w:szCs w:val="22"/>
          <w:lang w:eastAsia="es-ES" w:bidi="es-ES"/>
        </w:rPr>
        <w:t>concordancia con la posibilidad de presentar oferta a uno o varios lotes</w:t>
      </w:r>
      <w:r w:rsidR="00F836E0">
        <w:rPr>
          <w:rFonts w:ascii="Arial" w:eastAsia="Arial" w:hAnsi="Arial" w:cs="Arial"/>
          <w:sz w:val="22"/>
          <w:szCs w:val="22"/>
          <w:lang w:eastAsia="es-ES" w:bidi="es-ES"/>
        </w:rPr>
        <w:t xml:space="preserve">, </w:t>
      </w:r>
      <w:r w:rsidR="00896244">
        <w:rPr>
          <w:rFonts w:ascii="Arial" w:eastAsia="Arial" w:hAnsi="Arial" w:cs="Arial"/>
          <w:sz w:val="22"/>
          <w:szCs w:val="22"/>
          <w:lang w:eastAsia="es-ES" w:bidi="es-ES"/>
        </w:rPr>
        <w:t xml:space="preserve">la cual debe ser determinada por la entidad en el pliego de condiciones. </w:t>
      </w:r>
      <w:r w:rsidR="00850AAB">
        <w:rPr>
          <w:rFonts w:ascii="Arial" w:eastAsia="Arial" w:hAnsi="Arial" w:cs="Arial"/>
          <w:sz w:val="22"/>
          <w:szCs w:val="22"/>
          <w:lang w:eastAsia="es-ES" w:bidi="es-ES"/>
        </w:rPr>
        <w:t xml:space="preserve">Asimismo, debe considerarse </w:t>
      </w:r>
      <w:r w:rsidR="00AF1130">
        <w:rPr>
          <w:rFonts w:ascii="Arial" w:eastAsia="Arial" w:hAnsi="Arial" w:cs="Arial"/>
          <w:sz w:val="22"/>
          <w:szCs w:val="22"/>
          <w:lang w:eastAsia="es-ES" w:bidi="es-ES"/>
        </w:rPr>
        <w:t xml:space="preserve">la cantidad de lotes que la entidad determine </w:t>
      </w:r>
      <w:r w:rsidR="00B0134C">
        <w:rPr>
          <w:rFonts w:ascii="Arial" w:eastAsia="Arial" w:hAnsi="Arial" w:cs="Arial"/>
          <w:sz w:val="22"/>
          <w:szCs w:val="22"/>
          <w:lang w:eastAsia="es-ES" w:bidi="es-ES"/>
        </w:rPr>
        <w:t>que</w:t>
      </w:r>
      <w:r w:rsidR="001F267C">
        <w:rPr>
          <w:rFonts w:ascii="Arial" w:eastAsia="Arial" w:hAnsi="Arial" w:cs="Arial"/>
          <w:sz w:val="22"/>
          <w:szCs w:val="22"/>
          <w:lang w:eastAsia="es-ES" w:bidi="es-ES"/>
        </w:rPr>
        <w:t xml:space="preserve"> puede ser adjudicada</w:t>
      </w:r>
      <w:r w:rsidR="00B0134C">
        <w:rPr>
          <w:rFonts w:ascii="Arial" w:eastAsia="Arial" w:hAnsi="Arial" w:cs="Arial"/>
          <w:sz w:val="22"/>
          <w:szCs w:val="22"/>
          <w:lang w:eastAsia="es-ES" w:bidi="es-ES"/>
        </w:rPr>
        <w:t xml:space="preserve"> </w:t>
      </w:r>
      <w:r w:rsidR="003C5405">
        <w:rPr>
          <w:rFonts w:ascii="Arial" w:eastAsia="Arial" w:hAnsi="Arial" w:cs="Arial"/>
          <w:sz w:val="22"/>
          <w:szCs w:val="22"/>
          <w:lang w:eastAsia="es-ES" w:bidi="es-ES"/>
        </w:rPr>
        <w:t xml:space="preserve">a </w:t>
      </w:r>
      <w:r w:rsidR="00B0134C">
        <w:rPr>
          <w:rFonts w:ascii="Arial" w:eastAsia="Arial" w:hAnsi="Arial" w:cs="Arial"/>
          <w:sz w:val="22"/>
          <w:szCs w:val="22"/>
          <w:lang w:eastAsia="es-ES" w:bidi="es-ES"/>
        </w:rPr>
        <w:t xml:space="preserve">un </w:t>
      </w:r>
      <w:r w:rsidR="001F267C">
        <w:rPr>
          <w:rFonts w:ascii="Arial" w:eastAsia="Arial" w:hAnsi="Arial" w:cs="Arial"/>
          <w:sz w:val="22"/>
          <w:szCs w:val="22"/>
          <w:lang w:eastAsia="es-ES" w:bidi="es-ES"/>
        </w:rPr>
        <w:t xml:space="preserve">único </w:t>
      </w:r>
      <w:r w:rsidR="00B0134C">
        <w:rPr>
          <w:rFonts w:ascii="Arial" w:eastAsia="Arial" w:hAnsi="Arial" w:cs="Arial"/>
          <w:sz w:val="22"/>
          <w:szCs w:val="22"/>
          <w:lang w:eastAsia="es-ES" w:bidi="es-ES"/>
        </w:rPr>
        <w:t>proponente</w:t>
      </w:r>
      <w:r w:rsidR="001F267C">
        <w:rPr>
          <w:rFonts w:ascii="Arial" w:eastAsia="Arial" w:hAnsi="Arial" w:cs="Arial"/>
          <w:sz w:val="22"/>
          <w:szCs w:val="22"/>
          <w:lang w:eastAsia="es-ES" w:bidi="es-ES"/>
        </w:rPr>
        <w:t xml:space="preserve">, comoquiera que </w:t>
      </w:r>
      <w:r w:rsidR="00D72146">
        <w:rPr>
          <w:rFonts w:ascii="Arial" w:eastAsia="Arial" w:hAnsi="Arial" w:cs="Arial"/>
          <w:sz w:val="22"/>
          <w:szCs w:val="22"/>
          <w:lang w:eastAsia="es-ES" w:bidi="es-ES"/>
        </w:rPr>
        <w:t>bien podría la entidad estatal limitar</w:t>
      </w:r>
      <w:r w:rsidR="003C5405">
        <w:rPr>
          <w:rFonts w:ascii="Arial" w:eastAsia="Arial" w:hAnsi="Arial" w:cs="Arial"/>
          <w:sz w:val="22"/>
          <w:szCs w:val="22"/>
          <w:lang w:eastAsia="es-ES" w:bidi="es-ES"/>
        </w:rPr>
        <w:t xml:space="preserve">los a un número determinado, sin perjuicio de que se haya permitido presentar oferta para varios o todos los lotes. </w:t>
      </w:r>
    </w:p>
    <w:p w14:paraId="390D546A" w14:textId="0AB36913" w:rsidR="00824EDA" w:rsidRDefault="00493E9C" w:rsidP="008940B2">
      <w:pPr>
        <w:spacing w:before="120" w:after="120" w:line="276" w:lineRule="auto"/>
        <w:ind w:firstLine="708"/>
        <w:jc w:val="both"/>
        <w:rPr>
          <w:rFonts w:ascii="Arial" w:eastAsia="Arial" w:hAnsi="Arial" w:cs="Arial"/>
          <w:sz w:val="22"/>
          <w:szCs w:val="22"/>
          <w:lang w:eastAsia="es-ES" w:bidi="es-ES"/>
        </w:rPr>
      </w:pPr>
      <w:r>
        <w:rPr>
          <w:rFonts w:ascii="Arial" w:eastAsia="Arial" w:hAnsi="Arial" w:cs="Arial"/>
          <w:sz w:val="22"/>
          <w:szCs w:val="22"/>
          <w:lang w:eastAsia="es-ES" w:bidi="es-ES"/>
        </w:rPr>
        <w:lastRenderedPageBreak/>
        <w:t xml:space="preserve">Lo anterior reviste de particular relevancia </w:t>
      </w:r>
      <w:r w:rsidR="00A11A98">
        <w:rPr>
          <w:rFonts w:ascii="Arial" w:eastAsia="Arial" w:hAnsi="Arial" w:cs="Arial"/>
          <w:sz w:val="22"/>
          <w:szCs w:val="22"/>
          <w:lang w:eastAsia="es-ES" w:bidi="es-ES"/>
        </w:rPr>
        <w:t xml:space="preserve">por cuanto, </w:t>
      </w:r>
      <w:r w:rsidR="006A4287">
        <w:rPr>
          <w:rFonts w:ascii="Arial" w:eastAsia="Arial" w:hAnsi="Arial" w:cs="Arial"/>
          <w:sz w:val="22"/>
          <w:szCs w:val="22"/>
          <w:lang w:eastAsia="es-ES" w:bidi="es-ES"/>
        </w:rPr>
        <w:t xml:space="preserve">en principio, el valor de un proceso de contratación </w:t>
      </w:r>
      <w:r w:rsidR="00807037">
        <w:rPr>
          <w:rFonts w:ascii="Arial" w:eastAsia="Arial" w:hAnsi="Arial" w:cs="Arial"/>
          <w:sz w:val="22"/>
          <w:szCs w:val="22"/>
          <w:lang w:eastAsia="es-ES" w:bidi="es-ES"/>
        </w:rPr>
        <w:t>estructurado por lotes</w:t>
      </w:r>
      <w:r w:rsidR="00602FA6">
        <w:rPr>
          <w:rFonts w:ascii="Arial" w:eastAsia="Arial" w:hAnsi="Arial" w:cs="Arial"/>
          <w:sz w:val="22"/>
          <w:szCs w:val="22"/>
          <w:lang w:eastAsia="es-ES" w:bidi="es-ES"/>
        </w:rPr>
        <w:t xml:space="preserve"> lo constituyen </w:t>
      </w:r>
      <w:r w:rsidR="00602FA6" w:rsidRPr="00D62F13">
        <w:rPr>
          <w:rFonts w:ascii="Arial" w:eastAsia="Arial" w:hAnsi="Arial" w:cs="Arial"/>
          <w:sz w:val="22"/>
          <w:szCs w:val="22"/>
          <w:lang w:eastAsia="es-ES" w:bidi="es-ES"/>
        </w:rPr>
        <w:t>la sumatoria del valor de los lotes o grupos a contratar</w:t>
      </w:r>
      <w:r w:rsidR="00824EDA">
        <w:rPr>
          <w:rFonts w:ascii="Arial" w:eastAsia="Arial" w:hAnsi="Arial" w:cs="Arial"/>
          <w:sz w:val="22"/>
          <w:szCs w:val="22"/>
          <w:lang w:eastAsia="es-ES" w:bidi="es-ES"/>
        </w:rPr>
        <w:t xml:space="preserve">, lo cual sugiere que </w:t>
      </w:r>
      <w:r w:rsidR="00D648A0">
        <w:rPr>
          <w:rFonts w:ascii="Arial" w:eastAsia="Arial" w:hAnsi="Arial" w:cs="Arial"/>
          <w:sz w:val="22"/>
          <w:szCs w:val="22"/>
          <w:lang w:eastAsia="es-ES" w:bidi="es-ES"/>
        </w:rPr>
        <w:t>la CRPC debería se</w:t>
      </w:r>
      <w:r w:rsidR="000B19E4">
        <w:rPr>
          <w:rFonts w:ascii="Arial" w:eastAsia="Arial" w:hAnsi="Arial" w:cs="Arial"/>
          <w:sz w:val="22"/>
          <w:szCs w:val="22"/>
          <w:lang w:eastAsia="es-ES" w:bidi="es-ES"/>
        </w:rPr>
        <w:t>r</w:t>
      </w:r>
      <w:r w:rsidR="00D648A0">
        <w:rPr>
          <w:rFonts w:ascii="Arial" w:eastAsia="Arial" w:hAnsi="Arial" w:cs="Arial"/>
          <w:sz w:val="22"/>
          <w:szCs w:val="22"/>
          <w:lang w:eastAsia="es-ES" w:bidi="es-ES"/>
        </w:rPr>
        <w:t xml:space="preserve"> determinada </w:t>
      </w:r>
      <w:r w:rsidR="000B19E4">
        <w:rPr>
          <w:rFonts w:ascii="Arial" w:eastAsia="Arial" w:hAnsi="Arial" w:cs="Arial"/>
          <w:sz w:val="22"/>
          <w:szCs w:val="22"/>
          <w:lang w:eastAsia="es-ES" w:bidi="es-ES"/>
        </w:rPr>
        <w:t xml:space="preserve">tomando en cuenta dicho valor. </w:t>
      </w:r>
      <w:r w:rsidR="008F5EDC">
        <w:rPr>
          <w:rFonts w:ascii="Arial" w:eastAsia="Arial" w:hAnsi="Arial" w:cs="Arial"/>
          <w:sz w:val="22"/>
          <w:szCs w:val="22"/>
          <w:lang w:eastAsia="es-ES" w:bidi="es-ES"/>
        </w:rPr>
        <w:t>En ese sen</w:t>
      </w:r>
      <w:r w:rsidR="00C008B4">
        <w:rPr>
          <w:rFonts w:ascii="Arial" w:eastAsia="Arial" w:hAnsi="Arial" w:cs="Arial"/>
          <w:sz w:val="22"/>
          <w:szCs w:val="22"/>
          <w:lang w:eastAsia="es-ES" w:bidi="es-ES"/>
        </w:rPr>
        <w:t>tido, e</w:t>
      </w:r>
      <w:r w:rsidR="00BF5111">
        <w:rPr>
          <w:rFonts w:ascii="Arial" w:eastAsia="Arial" w:hAnsi="Arial" w:cs="Arial"/>
          <w:sz w:val="22"/>
          <w:szCs w:val="22"/>
          <w:lang w:eastAsia="es-ES" w:bidi="es-ES"/>
        </w:rPr>
        <w:t>xigir a los proponentes acreditar un CRP superior a</w:t>
      </w:r>
      <w:r w:rsidR="008C3CB5">
        <w:rPr>
          <w:rFonts w:ascii="Arial" w:eastAsia="Arial" w:hAnsi="Arial" w:cs="Arial"/>
          <w:sz w:val="22"/>
          <w:szCs w:val="22"/>
          <w:lang w:eastAsia="es-ES" w:bidi="es-ES"/>
        </w:rPr>
        <w:t xml:space="preserve"> la CRPC calculada</w:t>
      </w:r>
      <w:r w:rsidR="003777E7">
        <w:rPr>
          <w:rFonts w:ascii="Arial" w:eastAsia="Arial" w:hAnsi="Arial" w:cs="Arial"/>
          <w:sz w:val="22"/>
          <w:szCs w:val="22"/>
          <w:lang w:eastAsia="es-ES" w:bidi="es-ES"/>
        </w:rPr>
        <w:t xml:space="preserve"> en consideración</w:t>
      </w:r>
      <w:r w:rsidR="00BF5111">
        <w:rPr>
          <w:rFonts w:ascii="Arial" w:eastAsia="Arial" w:hAnsi="Arial" w:cs="Arial"/>
          <w:sz w:val="22"/>
          <w:szCs w:val="22"/>
          <w:lang w:eastAsia="es-ES" w:bidi="es-ES"/>
        </w:rPr>
        <w:t xml:space="preserve"> dich</w:t>
      </w:r>
      <w:r w:rsidR="003777E7">
        <w:rPr>
          <w:rFonts w:ascii="Arial" w:eastAsia="Arial" w:hAnsi="Arial" w:cs="Arial"/>
          <w:sz w:val="22"/>
          <w:szCs w:val="22"/>
          <w:lang w:eastAsia="es-ES" w:bidi="es-ES"/>
        </w:rPr>
        <w:t>a sumatoria</w:t>
      </w:r>
      <w:r w:rsidR="00994426">
        <w:rPr>
          <w:rFonts w:ascii="Arial" w:eastAsia="Arial" w:hAnsi="Arial" w:cs="Arial"/>
          <w:sz w:val="22"/>
          <w:szCs w:val="22"/>
          <w:lang w:eastAsia="es-ES" w:bidi="es-ES"/>
        </w:rPr>
        <w:t xml:space="preserve"> podría</w:t>
      </w:r>
      <w:r w:rsidR="00BF5111">
        <w:rPr>
          <w:rFonts w:ascii="Arial" w:eastAsia="Arial" w:hAnsi="Arial" w:cs="Arial"/>
          <w:sz w:val="22"/>
          <w:szCs w:val="22"/>
          <w:lang w:eastAsia="es-ES" w:bidi="es-ES"/>
        </w:rPr>
        <w:t xml:space="preserve"> resulta</w:t>
      </w:r>
      <w:r w:rsidR="00994426">
        <w:rPr>
          <w:rFonts w:ascii="Arial" w:eastAsia="Arial" w:hAnsi="Arial" w:cs="Arial"/>
          <w:sz w:val="22"/>
          <w:szCs w:val="22"/>
          <w:lang w:eastAsia="es-ES" w:bidi="es-ES"/>
        </w:rPr>
        <w:t>r</w:t>
      </w:r>
      <w:r w:rsidR="00BF5111">
        <w:rPr>
          <w:rFonts w:ascii="Arial" w:eastAsia="Arial" w:hAnsi="Arial" w:cs="Arial"/>
          <w:sz w:val="22"/>
          <w:szCs w:val="22"/>
          <w:lang w:eastAsia="es-ES" w:bidi="es-ES"/>
        </w:rPr>
        <w:t xml:space="preserve"> </w:t>
      </w:r>
      <w:r w:rsidR="0037751F">
        <w:rPr>
          <w:rFonts w:ascii="Arial" w:eastAsia="Arial" w:hAnsi="Arial" w:cs="Arial"/>
          <w:sz w:val="22"/>
          <w:szCs w:val="22"/>
          <w:lang w:eastAsia="es-ES" w:bidi="es-ES"/>
        </w:rPr>
        <w:t>razonable en procesos estructurados por lotes en los que se haya permitido que un proponente presente oferta a más de un lote</w:t>
      </w:r>
      <w:r w:rsidR="00E5201F">
        <w:rPr>
          <w:rFonts w:ascii="Arial" w:eastAsia="Arial" w:hAnsi="Arial" w:cs="Arial"/>
          <w:sz w:val="22"/>
          <w:szCs w:val="22"/>
          <w:lang w:eastAsia="es-ES" w:bidi="es-ES"/>
        </w:rPr>
        <w:t xml:space="preserve"> y</w:t>
      </w:r>
      <w:r w:rsidR="008A7577">
        <w:rPr>
          <w:rFonts w:ascii="Arial" w:eastAsia="Arial" w:hAnsi="Arial" w:cs="Arial"/>
          <w:sz w:val="22"/>
          <w:szCs w:val="22"/>
          <w:lang w:eastAsia="es-ES" w:bidi="es-ES"/>
        </w:rPr>
        <w:t xml:space="preserve"> </w:t>
      </w:r>
      <w:r w:rsidR="00CA6882">
        <w:rPr>
          <w:rFonts w:ascii="Arial" w:eastAsia="Arial" w:hAnsi="Arial" w:cs="Arial"/>
          <w:sz w:val="22"/>
          <w:szCs w:val="22"/>
          <w:lang w:eastAsia="es-ES" w:bidi="es-ES"/>
        </w:rPr>
        <w:t>no se haya</w:t>
      </w:r>
      <w:r w:rsidR="00E5201F">
        <w:rPr>
          <w:rFonts w:ascii="Arial" w:eastAsia="Arial" w:hAnsi="Arial" w:cs="Arial"/>
          <w:sz w:val="22"/>
          <w:szCs w:val="22"/>
          <w:lang w:eastAsia="es-ES" w:bidi="es-ES"/>
        </w:rPr>
        <w:t>n</w:t>
      </w:r>
      <w:r w:rsidR="00CA6882">
        <w:rPr>
          <w:rFonts w:ascii="Arial" w:eastAsia="Arial" w:hAnsi="Arial" w:cs="Arial"/>
          <w:sz w:val="22"/>
          <w:szCs w:val="22"/>
          <w:lang w:eastAsia="es-ES" w:bidi="es-ES"/>
        </w:rPr>
        <w:t xml:space="preserve"> establecido limitaci</w:t>
      </w:r>
      <w:r w:rsidR="00E5201F">
        <w:rPr>
          <w:rFonts w:ascii="Arial" w:eastAsia="Arial" w:hAnsi="Arial" w:cs="Arial"/>
          <w:sz w:val="22"/>
          <w:szCs w:val="22"/>
          <w:lang w:eastAsia="es-ES" w:bidi="es-ES"/>
        </w:rPr>
        <w:t>ones</w:t>
      </w:r>
      <w:r w:rsidR="00CA6882">
        <w:rPr>
          <w:rFonts w:ascii="Arial" w:eastAsia="Arial" w:hAnsi="Arial" w:cs="Arial"/>
          <w:sz w:val="22"/>
          <w:szCs w:val="22"/>
          <w:lang w:eastAsia="es-ES" w:bidi="es-ES"/>
        </w:rPr>
        <w:t xml:space="preserve"> al n</w:t>
      </w:r>
      <w:r w:rsidR="00E5201F">
        <w:rPr>
          <w:rFonts w:ascii="Arial" w:eastAsia="Arial" w:hAnsi="Arial" w:cs="Arial"/>
          <w:sz w:val="22"/>
          <w:szCs w:val="22"/>
          <w:lang w:eastAsia="es-ES" w:bidi="es-ES"/>
        </w:rPr>
        <w:t>ú</w:t>
      </w:r>
      <w:r w:rsidR="00CA6882">
        <w:rPr>
          <w:rFonts w:ascii="Arial" w:eastAsia="Arial" w:hAnsi="Arial" w:cs="Arial"/>
          <w:sz w:val="22"/>
          <w:szCs w:val="22"/>
          <w:lang w:eastAsia="es-ES" w:bidi="es-ES"/>
        </w:rPr>
        <w:t>mero de lotes que pueden ser ad</w:t>
      </w:r>
      <w:r w:rsidR="00E5201F">
        <w:rPr>
          <w:rFonts w:ascii="Arial" w:eastAsia="Arial" w:hAnsi="Arial" w:cs="Arial"/>
          <w:sz w:val="22"/>
          <w:szCs w:val="22"/>
          <w:lang w:eastAsia="es-ES" w:bidi="es-ES"/>
        </w:rPr>
        <w:t xml:space="preserve">judicados a un mismo proponente. </w:t>
      </w:r>
      <w:r w:rsidR="00CA6882">
        <w:rPr>
          <w:rFonts w:ascii="Arial" w:eastAsia="Arial" w:hAnsi="Arial" w:cs="Arial"/>
          <w:sz w:val="22"/>
          <w:szCs w:val="22"/>
          <w:lang w:eastAsia="es-ES" w:bidi="es-ES"/>
        </w:rPr>
        <w:t xml:space="preserve"> </w:t>
      </w:r>
    </w:p>
    <w:p w14:paraId="16BB1A9C" w14:textId="1421867D" w:rsidR="00824EDA" w:rsidRDefault="00CF4E5A" w:rsidP="003D6A6D">
      <w:pPr>
        <w:spacing w:before="120" w:after="120" w:line="276" w:lineRule="auto"/>
        <w:ind w:firstLine="708"/>
        <w:jc w:val="both"/>
        <w:rPr>
          <w:rFonts w:ascii="Arial" w:eastAsia="Arial" w:hAnsi="Arial" w:cs="Arial"/>
          <w:sz w:val="22"/>
          <w:szCs w:val="22"/>
          <w:lang w:eastAsia="es-ES" w:bidi="es-ES"/>
        </w:rPr>
      </w:pPr>
      <w:r>
        <w:rPr>
          <w:rFonts w:ascii="Arial" w:eastAsia="Arial" w:hAnsi="Arial" w:cs="Arial"/>
          <w:sz w:val="22"/>
          <w:szCs w:val="22"/>
          <w:lang w:eastAsia="es-ES" w:bidi="es-ES"/>
        </w:rPr>
        <w:t xml:space="preserve">No podría decirse lo mismo tratándose de procesos </w:t>
      </w:r>
      <w:r w:rsidR="00927D0E">
        <w:rPr>
          <w:rFonts w:ascii="Arial" w:eastAsia="Arial" w:hAnsi="Arial" w:cs="Arial"/>
          <w:sz w:val="22"/>
          <w:szCs w:val="22"/>
          <w:lang w:eastAsia="es-ES" w:bidi="es-ES"/>
        </w:rPr>
        <w:t>de contratación en los que solo se permit</w:t>
      </w:r>
      <w:r w:rsidR="00B03540">
        <w:rPr>
          <w:rFonts w:ascii="Arial" w:eastAsia="Arial" w:hAnsi="Arial" w:cs="Arial"/>
          <w:sz w:val="22"/>
          <w:szCs w:val="22"/>
          <w:lang w:eastAsia="es-ES" w:bidi="es-ES"/>
        </w:rPr>
        <w:t>a</w:t>
      </w:r>
      <w:r w:rsidR="00927D0E">
        <w:rPr>
          <w:rFonts w:ascii="Arial" w:eastAsia="Arial" w:hAnsi="Arial" w:cs="Arial"/>
          <w:sz w:val="22"/>
          <w:szCs w:val="22"/>
          <w:lang w:eastAsia="es-ES" w:bidi="es-ES"/>
        </w:rPr>
        <w:t xml:space="preserve"> que el proponente presente oferta </w:t>
      </w:r>
      <w:r w:rsidR="00B03540">
        <w:rPr>
          <w:rFonts w:ascii="Arial" w:eastAsia="Arial" w:hAnsi="Arial" w:cs="Arial"/>
          <w:sz w:val="22"/>
          <w:szCs w:val="22"/>
          <w:lang w:eastAsia="es-ES" w:bidi="es-ES"/>
        </w:rPr>
        <w:t>y/o</w:t>
      </w:r>
      <w:r w:rsidR="002E0494">
        <w:rPr>
          <w:rFonts w:ascii="Arial" w:eastAsia="Arial" w:hAnsi="Arial" w:cs="Arial"/>
          <w:sz w:val="22"/>
          <w:szCs w:val="22"/>
          <w:lang w:eastAsia="es-ES" w:bidi="es-ES"/>
        </w:rPr>
        <w:t xml:space="preserve"> se</w:t>
      </w:r>
      <w:r w:rsidR="00B03540">
        <w:rPr>
          <w:rFonts w:ascii="Arial" w:eastAsia="Arial" w:hAnsi="Arial" w:cs="Arial"/>
          <w:sz w:val="22"/>
          <w:szCs w:val="22"/>
          <w:lang w:eastAsia="es-ES" w:bidi="es-ES"/>
        </w:rPr>
        <w:t>a</w:t>
      </w:r>
      <w:r w:rsidR="002E0494">
        <w:rPr>
          <w:rFonts w:ascii="Arial" w:eastAsia="Arial" w:hAnsi="Arial" w:cs="Arial"/>
          <w:sz w:val="22"/>
          <w:szCs w:val="22"/>
          <w:lang w:eastAsia="es-ES" w:bidi="es-ES"/>
        </w:rPr>
        <w:t xml:space="preserve"> adjudicatario de un </w:t>
      </w:r>
      <w:r w:rsidR="00B03540">
        <w:rPr>
          <w:rFonts w:ascii="Arial" w:eastAsia="Arial" w:hAnsi="Arial" w:cs="Arial"/>
          <w:sz w:val="22"/>
          <w:szCs w:val="22"/>
          <w:lang w:eastAsia="es-ES" w:bidi="es-ES"/>
        </w:rPr>
        <w:t>número</w:t>
      </w:r>
      <w:r w:rsidR="002E0494">
        <w:rPr>
          <w:rFonts w:ascii="Arial" w:eastAsia="Arial" w:hAnsi="Arial" w:cs="Arial"/>
          <w:sz w:val="22"/>
          <w:szCs w:val="22"/>
          <w:lang w:eastAsia="es-ES" w:bidi="es-ES"/>
        </w:rPr>
        <w:t xml:space="preserve"> </w:t>
      </w:r>
      <w:r w:rsidR="00833592">
        <w:rPr>
          <w:rFonts w:ascii="Arial" w:eastAsia="Arial" w:hAnsi="Arial" w:cs="Arial"/>
          <w:sz w:val="22"/>
          <w:szCs w:val="22"/>
          <w:lang w:eastAsia="es-ES" w:bidi="es-ES"/>
        </w:rPr>
        <w:t>determinado</w:t>
      </w:r>
      <w:r w:rsidR="00B03540">
        <w:rPr>
          <w:rFonts w:ascii="Arial" w:eastAsia="Arial" w:hAnsi="Arial" w:cs="Arial"/>
          <w:sz w:val="22"/>
          <w:szCs w:val="22"/>
          <w:lang w:eastAsia="es-ES" w:bidi="es-ES"/>
        </w:rPr>
        <w:t xml:space="preserve"> de lotes</w:t>
      </w:r>
      <w:r w:rsidR="00F66491">
        <w:rPr>
          <w:rFonts w:ascii="Arial" w:eastAsia="Arial" w:hAnsi="Arial" w:cs="Arial"/>
          <w:sz w:val="22"/>
          <w:szCs w:val="22"/>
          <w:lang w:eastAsia="es-ES" w:bidi="es-ES"/>
        </w:rPr>
        <w:t>. Esto en atención a que,</w:t>
      </w:r>
      <w:r w:rsidR="001C424B">
        <w:rPr>
          <w:rFonts w:ascii="Arial" w:eastAsia="Arial" w:hAnsi="Arial" w:cs="Arial"/>
          <w:sz w:val="22"/>
          <w:szCs w:val="22"/>
          <w:lang w:eastAsia="es-ES" w:bidi="es-ES"/>
        </w:rPr>
        <w:t xml:space="preserve"> limitándose </w:t>
      </w:r>
      <w:r w:rsidR="00F66491">
        <w:rPr>
          <w:rFonts w:ascii="Arial" w:eastAsia="Arial" w:hAnsi="Arial" w:cs="Arial"/>
          <w:sz w:val="22"/>
          <w:szCs w:val="22"/>
          <w:lang w:eastAsia="es-ES" w:bidi="es-ES"/>
        </w:rPr>
        <w:t>el</w:t>
      </w:r>
      <w:r w:rsidR="003B1359">
        <w:rPr>
          <w:rFonts w:ascii="Arial" w:eastAsia="Arial" w:hAnsi="Arial" w:cs="Arial"/>
          <w:sz w:val="22"/>
          <w:szCs w:val="22"/>
          <w:lang w:eastAsia="es-ES" w:bidi="es-ES"/>
        </w:rPr>
        <w:t xml:space="preserve"> ofrecimiento</w:t>
      </w:r>
      <w:r w:rsidR="00F66491">
        <w:rPr>
          <w:rFonts w:ascii="Arial" w:eastAsia="Arial" w:hAnsi="Arial" w:cs="Arial"/>
          <w:sz w:val="22"/>
          <w:szCs w:val="22"/>
          <w:lang w:eastAsia="es-ES" w:bidi="es-ES"/>
        </w:rPr>
        <w:t xml:space="preserve"> y la posibilidad </w:t>
      </w:r>
      <w:r w:rsidR="00B6440F">
        <w:rPr>
          <w:rFonts w:ascii="Arial" w:eastAsia="Arial" w:hAnsi="Arial" w:cs="Arial"/>
          <w:sz w:val="22"/>
          <w:szCs w:val="22"/>
          <w:lang w:eastAsia="es-ES" w:bidi="es-ES"/>
        </w:rPr>
        <w:t>de ser adjudicatario</w:t>
      </w:r>
      <w:r w:rsidR="003B1359">
        <w:rPr>
          <w:rFonts w:ascii="Arial" w:eastAsia="Arial" w:hAnsi="Arial" w:cs="Arial"/>
          <w:sz w:val="22"/>
          <w:szCs w:val="22"/>
          <w:lang w:eastAsia="es-ES" w:bidi="es-ES"/>
        </w:rPr>
        <w:t xml:space="preserve"> a un número determinado de lotes,</w:t>
      </w:r>
      <w:r w:rsidR="00B6440F">
        <w:rPr>
          <w:rFonts w:ascii="Arial" w:eastAsia="Arial" w:hAnsi="Arial" w:cs="Arial"/>
          <w:sz w:val="22"/>
          <w:szCs w:val="22"/>
          <w:lang w:eastAsia="es-ES" w:bidi="es-ES"/>
        </w:rPr>
        <w:t xml:space="preserve"> </w:t>
      </w:r>
      <w:r w:rsidR="00001F5D">
        <w:rPr>
          <w:rFonts w:ascii="Arial" w:eastAsia="Arial" w:hAnsi="Arial" w:cs="Arial"/>
          <w:sz w:val="22"/>
          <w:szCs w:val="22"/>
          <w:lang w:eastAsia="es-ES" w:bidi="es-ES"/>
        </w:rPr>
        <w:t>la capacidad</w:t>
      </w:r>
      <w:r w:rsidR="003B1359">
        <w:rPr>
          <w:rFonts w:ascii="Arial" w:eastAsia="Arial" w:hAnsi="Arial" w:cs="Arial"/>
          <w:sz w:val="22"/>
          <w:szCs w:val="22"/>
          <w:lang w:eastAsia="es-ES" w:bidi="es-ES"/>
        </w:rPr>
        <w:t xml:space="preserve"> para </w:t>
      </w:r>
      <w:r w:rsidR="00E74A1E">
        <w:rPr>
          <w:rFonts w:ascii="Arial" w:eastAsia="Arial" w:hAnsi="Arial" w:cs="Arial"/>
          <w:sz w:val="22"/>
          <w:szCs w:val="22"/>
          <w:lang w:eastAsia="es-ES" w:bidi="es-ES"/>
        </w:rPr>
        <w:t xml:space="preserve">cumplir con los compromisos vigentes </w:t>
      </w:r>
      <w:r w:rsidR="00B6440F">
        <w:rPr>
          <w:rFonts w:ascii="Arial" w:eastAsia="Arial" w:hAnsi="Arial" w:cs="Arial"/>
          <w:sz w:val="22"/>
          <w:szCs w:val="22"/>
          <w:lang w:eastAsia="es-ES" w:bidi="es-ES"/>
        </w:rPr>
        <w:t>del proponente solo podría verse afectada por</w:t>
      </w:r>
      <w:r w:rsidR="00A1759E">
        <w:rPr>
          <w:rFonts w:ascii="Arial" w:eastAsia="Arial" w:hAnsi="Arial" w:cs="Arial"/>
          <w:sz w:val="22"/>
          <w:szCs w:val="22"/>
          <w:lang w:eastAsia="es-ES" w:bidi="es-ES"/>
        </w:rPr>
        <w:t xml:space="preserve"> la ejecución de las obras correspondientes a los lotes en los que presentó oferta y tiene </w:t>
      </w:r>
      <w:r w:rsidR="00001F5D">
        <w:rPr>
          <w:rFonts w:ascii="Arial" w:eastAsia="Arial" w:hAnsi="Arial" w:cs="Arial"/>
          <w:sz w:val="22"/>
          <w:szCs w:val="22"/>
          <w:lang w:eastAsia="es-ES" w:bidi="es-ES"/>
        </w:rPr>
        <w:t xml:space="preserve">la posibilidad de ser adjudicatario. Es por esto </w:t>
      </w:r>
      <w:r w:rsidR="001D7905">
        <w:rPr>
          <w:rFonts w:ascii="Arial" w:eastAsia="Arial" w:hAnsi="Arial" w:cs="Arial"/>
          <w:sz w:val="22"/>
          <w:szCs w:val="22"/>
          <w:lang w:eastAsia="es-ES" w:bidi="es-ES"/>
        </w:rPr>
        <w:t>por lo que</w:t>
      </w:r>
      <w:r w:rsidR="00001F5D">
        <w:rPr>
          <w:rFonts w:ascii="Arial" w:eastAsia="Arial" w:hAnsi="Arial" w:cs="Arial"/>
          <w:sz w:val="22"/>
          <w:szCs w:val="22"/>
          <w:lang w:eastAsia="es-ES" w:bidi="es-ES"/>
        </w:rPr>
        <w:t xml:space="preserve"> en est</w:t>
      </w:r>
      <w:r w:rsidR="00703737">
        <w:rPr>
          <w:rFonts w:ascii="Arial" w:eastAsia="Arial" w:hAnsi="Arial" w:cs="Arial"/>
          <w:sz w:val="22"/>
          <w:szCs w:val="22"/>
          <w:lang w:eastAsia="es-ES" w:bidi="es-ES"/>
        </w:rPr>
        <w:t xml:space="preserve">a hipótesis no resultaría adecuado ni proporcional </w:t>
      </w:r>
      <w:r w:rsidR="00474870">
        <w:rPr>
          <w:rFonts w:ascii="Arial" w:eastAsia="Arial" w:hAnsi="Arial" w:cs="Arial"/>
          <w:sz w:val="22"/>
          <w:szCs w:val="22"/>
          <w:lang w:eastAsia="es-ES" w:bidi="es-ES"/>
        </w:rPr>
        <w:t xml:space="preserve">verificar la CRP </w:t>
      </w:r>
      <w:r w:rsidR="00632DEE">
        <w:rPr>
          <w:rFonts w:ascii="Arial" w:eastAsia="Arial" w:hAnsi="Arial" w:cs="Arial"/>
          <w:sz w:val="22"/>
          <w:szCs w:val="22"/>
          <w:lang w:eastAsia="es-ES" w:bidi="es-ES"/>
        </w:rPr>
        <w:t>respecto de una CRPC</w:t>
      </w:r>
      <w:r w:rsidR="00001F5D">
        <w:rPr>
          <w:rFonts w:ascii="Arial" w:eastAsia="Arial" w:hAnsi="Arial" w:cs="Arial"/>
          <w:sz w:val="22"/>
          <w:szCs w:val="22"/>
          <w:lang w:eastAsia="es-ES" w:bidi="es-ES"/>
        </w:rPr>
        <w:t xml:space="preserve"> </w:t>
      </w:r>
      <w:r w:rsidR="00632DEE">
        <w:rPr>
          <w:rFonts w:ascii="Arial" w:eastAsia="Arial" w:hAnsi="Arial" w:cs="Arial"/>
          <w:sz w:val="22"/>
          <w:szCs w:val="22"/>
          <w:lang w:eastAsia="es-ES" w:bidi="es-ES"/>
        </w:rPr>
        <w:t xml:space="preserve">calculada en consideración a la sumatoria de todos los lotes en los que se dividió el </w:t>
      </w:r>
      <w:r w:rsidR="002473B8">
        <w:rPr>
          <w:rFonts w:ascii="Arial" w:eastAsia="Arial" w:hAnsi="Arial" w:cs="Arial"/>
          <w:sz w:val="22"/>
          <w:szCs w:val="22"/>
          <w:lang w:eastAsia="es-ES" w:bidi="es-ES"/>
        </w:rPr>
        <w:t xml:space="preserve">proceso, toda vez que ello </w:t>
      </w:r>
      <w:r w:rsidR="001D7905">
        <w:rPr>
          <w:rFonts w:ascii="Arial" w:eastAsia="Arial" w:hAnsi="Arial" w:cs="Arial"/>
          <w:sz w:val="22"/>
          <w:szCs w:val="22"/>
          <w:lang w:eastAsia="es-ES" w:bidi="es-ES"/>
        </w:rPr>
        <w:t>significaría</w:t>
      </w:r>
      <w:r w:rsidR="002473B8">
        <w:rPr>
          <w:rFonts w:ascii="Arial" w:eastAsia="Arial" w:hAnsi="Arial" w:cs="Arial"/>
          <w:sz w:val="22"/>
          <w:szCs w:val="22"/>
          <w:lang w:eastAsia="es-ES" w:bidi="es-ES"/>
        </w:rPr>
        <w:t xml:space="preserve"> </w:t>
      </w:r>
      <w:r w:rsidR="00BB58AB">
        <w:rPr>
          <w:rFonts w:ascii="Arial" w:eastAsia="Arial" w:hAnsi="Arial" w:cs="Arial"/>
          <w:sz w:val="22"/>
          <w:szCs w:val="22"/>
          <w:lang w:eastAsia="es-ES" w:bidi="es-ES"/>
        </w:rPr>
        <w:t xml:space="preserve">exigir a una capacidad residual mayor a la que materialmente </w:t>
      </w:r>
      <w:r w:rsidR="00310074">
        <w:rPr>
          <w:rFonts w:ascii="Arial" w:eastAsia="Arial" w:hAnsi="Arial" w:cs="Arial"/>
          <w:sz w:val="22"/>
          <w:szCs w:val="22"/>
          <w:lang w:eastAsia="es-ES" w:bidi="es-ES"/>
        </w:rPr>
        <w:t xml:space="preserve">requerida para ejecutar las obras </w:t>
      </w:r>
      <w:r w:rsidR="007F3973">
        <w:rPr>
          <w:rFonts w:ascii="Arial" w:eastAsia="Arial" w:hAnsi="Arial" w:cs="Arial"/>
          <w:sz w:val="22"/>
          <w:szCs w:val="22"/>
          <w:lang w:eastAsia="es-ES" w:bidi="es-ES"/>
        </w:rPr>
        <w:t xml:space="preserve">en </w:t>
      </w:r>
      <w:r w:rsidR="006761E5">
        <w:rPr>
          <w:rFonts w:ascii="Arial" w:eastAsia="Arial" w:hAnsi="Arial" w:cs="Arial"/>
          <w:sz w:val="22"/>
          <w:szCs w:val="22"/>
          <w:lang w:eastAsia="es-ES" w:bidi="es-ES"/>
        </w:rPr>
        <w:t xml:space="preserve">las </w:t>
      </w:r>
      <w:r w:rsidR="007F3973">
        <w:rPr>
          <w:rFonts w:ascii="Arial" w:eastAsia="Arial" w:hAnsi="Arial" w:cs="Arial"/>
          <w:sz w:val="22"/>
          <w:szCs w:val="22"/>
          <w:lang w:eastAsia="es-ES" w:bidi="es-ES"/>
        </w:rPr>
        <w:t xml:space="preserve">que el </w:t>
      </w:r>
      <w:r w:rsidR="001C4D2A">
        <w:rPr>
          <w:rFonts w:ascii="Arial" w:eastAsia="Arial" w:hAnsi="Arial" w:cs="Arial"/>
          <w:sz w:val="22"/>
          <w:szCs w:val="22"/>
          <w:lang w:eastAsia="es-ES" w:bidi="es-ES"/>
        </w:rPr>
        <w:t>propon</w:t>
      </w:r>
      <w:r w:rsidR="007F3973">
        <w:rPr>
          <w:rFonts w:ascii="Arial" w:eastAsia="Arial" w:hAnsi="Arial" w:cs="Arial"/>
          <w:sz w:val="22"/>
          <w:szCs w:val="22"/>
          <w:lang w:eastAsia="es-ES" w:bidi="es-ES"/>
        </w:rPr>
        <w:t>ente</w:t>
      </w:r>
      <w:r w:rsidR="001C4D2A">
        <w:rPr>
          <w:rFonts w:ascii="Arial" w:eastAsia="Arial" w:hAnsi="Arial" w:cs="Arial"/>
          <w:sz w:val="22"/>
          <w:szCs w:val="22"/>
          <w:lang w:eastAsia="es-ES" w:bidi="es-ES"/>
        </w:rPr>
        <w:t xml:space="preserve"> estaría interesado y tiene la posibilidad </w:t>
      </w:r>
      <w:r w:rsidR="007F3973">
        <w:rPr>
          <w:rFonts w:ascii="Arial" w:eastAsia="Arial" w:hAnsi="Arial" w:cs="Arial"/>
          <w:sz w:val="22"/>
          <w:szCs w:val="22"/>
          <w:lang w:eastAsia="es-ES" w:bidi="es-ES"/>
        </w:rPr>
        <w:t xml:space="preserve">resultar elegido. </w:t>
      </w:r>
      <w:r w:rsidR="001C4D2A">
        <w:rPr>
          <w:rFonts w:ascii="Arial" w:eastAsia="Arial" w:hAnsi="Arial" w:cs="Arial"/>
          <w:sz w:val="22"/>
          <w:szCs w:val="22"/>
          <w:lang w:eastAsia="es-ES" w:bidi="es-ES"/>
        </w:rPr>
        <w:t xml:space="preserve"> </w:t>
      </w:r>
    </w:p>
    <w:p w14:paraId="7FB5C541" w14:textId="6B7E42B6" w:rsidR="003D6A6D" w:rsidRDefault="00151CB7" w:rsidP="006E4B43">
      <w:pPr>
        <w:spacing w:before="120" w:line="276" w:lineRule="auto"/>
        <w:ind w:firstLine="708"/>
        <w:jc w:val="both"/>
        <w:rPr>
          <w:rFonts w:ascii="Arial" w:eastAsia="Arial" w:hAnsi="Arial" w:cs="Arial"/>
          <w:sz w:val="22"/>
          <w:szCs w:val="22"/>
          <w:lang w:eastAsia="es-ES" w:bidi="es-ES"/>
        </w:rPr>
      </w:pPr>
      <w:r>
        <w:rPr>
          <w:rFonts w:ascii="Arial" w:eastAsia="Arial" w:hAnsi="Arial" w:cs="Arial"/>
          <w:sz w:val="22"/>
          <w:szCs w:val="22"/>
          <w:lang w:eastAsia="es-ES" w:bidi="es-ES"/>
        </w:rPr>
        <w:t xml:space="preserve">En </w:t>
      </w:r>
      <w:r w:rsidR="00900C70">
        <w:rPr>
          <w:rFonts w:ascii="Arial" w:eastAsia="Arial" w:hAnsi="Arial" w:cs="Arial"/>
          <w:sz w:val="22"/>
          <w:szCs w:val="22"/>
          <w:lang w:eastAsia="es-ES" w:bidi="es-ES"/>
        </w:rPr>
        <w:t xml:space="preserve">consideración a lo anterior, estima esta Agencia que la adecuación y proporcionalidad de las reglas que se incluyan </w:t>
      </w:r>
      <w:r w:rsidR="0098697F">
        <w:rPr>
          <w:rFonts w:ascii="Arial" w:eastAsia="Arial" w:hAnsi="Arial" w:cs="Arial"/>
          <w:sz w:val="22"/>
          <w:szCs w:val="22"/>
          <w:lang w:eastAsia="es-ES" w:bidi="es-ES"/>
        </w:rPr>
        <w:t xml:space="preserve">para evaluar </w:t>
      </w:r>
      <w:r w:rsidR="00671229">
        <w:rPr>
          <w:rFonts w:ascii="Arial" w:eastAsia="Arial" w:hAnsi="Arial" w:cs="Arial"/>
          <w:sz w:val="22"/>
          <w:szCs w:val="22"/>
          <w:lang w:eastAsia="es-ES" w:bidi="es-ES"/>
        </w:rPr>
        <w:t>la capacidad residual</w:t>
      </w:r>
      <w:r w:rsidR="00900C70">
        <w:rPr>
          <w:rFonts w:ascii="Arial" w:eastAsia="Arial" w:hAnsi="Arial" w:cs="Arial"/>
          <w:sz w:val="22"/>
          <w:szCs w:val="22"/>
          <w:lang w:eastAsia="es-ES" w:bidi="es-ES"/>
        </w:rPr>
        <w:t xml:space="preserve"> en este tipo de procesos</w:t>
      </w:r>
      <w:r w:rsidR="00671229">
        <w:rPr>
          <w:rFonts w:ascii="Arial" w:eastAsia="Arial" w:hAnsi="Arial" w:cs="Arial"/>
          <w:sz w:val="22"/>
          <w:szCs w:val="22"/>
          <w:lang w:eastAsia="es-ES" w:bidi="es-ES"/>
        </w:rPr>
        <w:t xml:space="preserve">, </w:t>
      </w:r>
      <w:r w:rsidR="002A075F">
        <w:rPr>
          <w:rFonts w:ascii="Arial" w:eastAsia="Arial" w:hAnsi="Arial" w:cs="Arial"/>
          <w:sz w:val="22"/>
          <w:szCs w:val="22"/>
          <w:lang w:eastAsia="es-ES" w:bidi="es-ES"/>
        </w:rPr>
        <w:t xml:space="preserve">en gran medida se encuentran determinadas por la </w:t>
      </w:r>
      <w:r w:rsidR="0054009B">
        <w:rPr>
          <w:rFonts w:ascii="Arial" w:eastAsia="Arial" w:hAnsi="Arial" w:cs="Arial"/>
          <w:sz w:val="22"/>
          <w:szCs w:val="22"/>
          <w:lang w:eastAsia="es-ES" w:bidi="es-ES"/>
        </w:rPr>
        <w:t>aptitud de las mismas para cumplir el cometido o finalidad del requisito habilitante de capacidad residual en la situación concreta del procedimiento</w:t>
      </w:r>
      <w:r w:rsidR="00711954">
        <w:rPr>
          <w:rFonts w:ascii="Arial" w:eastAsia="Arial" w:hAnsi="Arial" w:cs="Arial"/>
          <w:sz w:val="22"/>
          <w:szCs w:val="22"/>
          <w:lang w:eastAsia="es-ES" w:bidi="es-ES"/>
        </w:rPr>
        <w:t xml:space="preserve"> que se adelanta. Al respecto, debe recordarse que dicho requisito tiene</w:t>
      </w:r>
      <w:r w:rsidR="00671229">
        <w:rPr>
          <w:rFonts w:ascii="Arial" w:eastAsia="Arial" w:hAnsi="Arial" w:cs="Arial"/>
          <w:sz w:val="22"/>
          <w:szCs w:val="22"/>
          <w:lang w:eastAsia="es-ES" w:bidi="es-ES"/>
        </w:rPr>
        <w:t xml:space="preserve"> </w:t>
      </w:r>
      <w:r w:rsidR="00711954">
        <w:rPr>
          <w:rFonts w:ascii="Arial" w:eastAsia="Arial" w:hAnsi="Arial" w:cs="Arial"/>
          <w:sz w:val="22"/>
          <w:szCs w:val="22"/>
          <w:lang w:eastAsia="es-ES" w:bidi="es-ES"/>
        </w:rPr>
        <w:t>por</w:t>
      </w:r>
      <w:r w:rsidR="00671229">
        <w:rPr>
          <w:rFonts w:ascii="Arial" w:eastAsia="Arial" w:hAnsi="Arial" w:cs="Arial"/>
          <w:sz w:val="22"/>
          <w:szCs w:val="22"/>
          <w:lang w:eastAsia="es-ES" w:bidi="es-ES"/>
        </w:rPr>
        <w:t xml:space="preserve"> finalidad establecer </w:t>
      </w:r>
      <w:r w:rsidR="00671229" w:rsidRPr="00D62F13">
        <w:rPr>
          <w:rFonts w:ascii="Arial" w:eastAsia="Arial" w:hAnsi="Arial" w:cs="Arial"/>
          <w:sz w:val="22"/>
          <w:szCs w:val="22"/>
          <w:lang w:eastAsia="es-ES" w:bidi="es-ES"/>
        </w:rPr>
        <w:t>la suficiencia que se predica del proponente para asumir nuevas obligaciones que se derivan del contrato objeto del proceso de contratación, en relación con las obligaciones que ha adquirido simultáneamente</w:t>
      </w:r>
      <w:r w:rsidR="003D6A6D">
        <w:rPr>
          <w:rFonts w:ascii="Arial" w:eastAsia="Arial" w:hAnsi="Arial" w:cs="Arial"/>
          <w:sz w:val="22"/>
          <w:szCs w:val="22"/>
          <w:lang w:eastAsia="es-ES" w:bidi="es-ES"/>
        </w:rPr>
        <w:t xml:space="preserve">. </w:t>
      </w:r>
    </w:p>
    <w:p w14:paraId="65D2209F" w14:textId="77777777" w:rsidR="006E4B43" w:rsidRDefault="006E4B43" w:rsidP="0077368F">
      <w:pPr>
        <w:spacing w:line="276" w:lineRule="auto"/>
        <w:ind w:firstLine="708"/>
        <w:jc w:val="both"/>
        <w:rPr>
          <w:rFonts w:ascii="Arial" w:eastAsia="Arial" w:hAnsi="Arial" w:cs="Arial"/>
          <w:sz w:val="22"/>
          <w:szCs w:val="22"/>
          <w:lang w:eastAsia="es-ES" w:bidi="es-ES"/>
        </w:rPr>
      </w:pPr>
    </w:p>
    <w:p w14:paraId="17A08521" w14:textId="485A9493" w:rsidR="005F300C" w:rsidRPr="0077368F" w:rsidRDefault="005F300C" w:rsidP="0077368F">
      <w:pPr>
        <w:spacing w:line="276" w:lineRule="auto"/>
        <w:jc w:val="both"/>
        <w:rPr>
          <w:rFonts w:ascii="Arial" w:eastAsia="Arial" w:hAnsi="Arial" w:cs="Arial"/>
          <w:b/>
          <w:bCs/>
          <w:sz w:val="22"/>
          <w:szCs w:val="22"/>
          <w:lang w:eastAsia="es-ES" w:bidi="es-ES"/>
        </w:rPr>
      </w:pPr>
      <w:r w:rsidRPr="0077368F">
        <w:rPr>
          <w:rFonts w:ascii="Arial" w:eastAsia="Arial" w:hAnsi="Arial" w:cs="Arial"/>
          <w:b/>
          <w:bCs/>
          <w:sz w:val="22"/>
          <w:szCs w:val="22"/>
          <w:lang w:eastAsia="es-ES" w:bidi="es-ES"/>
        </w:rPr>
        <w:t xml:space="preserve">2.3. Reglas para la acreditación de la capacidad residual en </w:t>
      </w:r>
      <w:r w:rsidR="00F90D0F">
        <w:rPr>
          <w:rFonts w:ascii="Arial" w:eastAsia="Arial" w:hAnsi="Arial" w:cs="Arial"/>
          <w:b/>
          <w:bCs/>
          <w:sz w:val="22"/>
          <w:szCs w:val="22"/>
          <w:lang w:eastAsia="es-ES" w:bidi="es-ES"/>
        </w:rPr>
        <w:t>los documentos tipo para</w:t>
      </w:r>
      <w:r w:rsidR="006E4B43" w:rsidRPr="0077368F">
        <w:rPr>
          <w:rFonts w:ascii="Arial" w:eastAsia="Arial" w:hAnsi="Arial" w:cs="Arial"/>
          <w:b/>
          <w:bCs/>
          <w:sz w:val="22"/>
          <w:szCs w:val="22"/>
          <w:lang w:eastAsia="es-ES" w:bidi="es-ES"/>
        </w:rPr>
        <w:t xml:space="preserve"> </w:t>
      </w:r>
      <w:r w:rsidR="00F90D0F">
        <w:rPr>
          <w:rFonts w:ascii="Arial" w:eastAsia="Arial" w:hAnsi="Arial" w:cs="Arial"/>
          <w:b/>
          <w:bCs/>
          <w:sz w:val="22"/>
          <w:szCs w:val="22"/>
          <w:lang w:eastAsia="es-ES" w:bidi="es-ES"/>
        </w:rPr>
        <w:t xml:space="preserve">la contratación de </w:t>
      </w:r>
      <w:r w:rsidR="006E4B43" w:rsidRPr="0077368F">
        <w:rPr>
          <w:rFonts w:ascii="Arial" w:eastAsia="Arial" w:hAnsi="Arial" w:cs="Arial"/>
          <w:b/>
          <w:bCs/>
          <w:sz w:val="22"/>
          <w:szCs w:val="22"/>
          <w:lang w:eastAsia="es-ES" w:bidi="es-ES"/>
        </w:rPr>
        <w:t xml:space="preserve">obra pública </w:t>
      </w:r>
    </w:p>
    <w:p w14:paraId="384B772E" w14:textId="546B3B2A" w:rsidR="00310B04" w:rsidRPr="00C95062" w:rsidRDefault="00486B08" w:rsidP="0077368F">
      <w:pPr>
        <w:spacing w:before="120" w:after="120" w:line="276" w:lineRule="auto"/>
        <w:jc w:val="both"/>
        <w:rPr>
          <w:rFonts w:ascii="Arial" w:eastAsia="Arial" w:hAnsi="Arial" w:cs="Arial"/>
          <w:sz w:val="22"/>
          <w:szCs w:val="22"/>
          <w:lang w:eastAsia="es-ES" w:bidi="es-ES"/>
        </w:rPr>
      </w:pPr>
      <w:r>
        <w:rPr>
          <w:rFonts w:ascii="Arial" w:eastAsia="Arial" w:hAnsi="Arial" w:cs="Arial"/>
          <w:sz w:val="22"/>
          <w:szCs w:val="22"/>
          <w:lang w:eastAsia="es-ES" w:bidi="es-ES"/>
        </w:rPr>
        <w:t xml:space="preserve">En virtud de potestad otorgada </w:t>
      </w:r>
      <w:r w:rsidR="00F90D0F">
        <w:rPr>
          <w:rFonts w:ascii="Arial" w:eastAsia="Arial" w:hAnsi="Arial" w:cs="Arial"/>
          <w:sz w:val="22"/>
          <w:szCs w:val="22"/>
          <w:lang w:eastAsia="es-ES" w:bidi="es-ES"/>
        </w:rPr>
        <w:t xml:space="preserve">por la Ley 2022 de 2020 </w:t>
      </w:r>
      <w:r>
        <w:rPr>
          <w:rFonts w:ascii="Arial" w:eastAsia="Arial" w:hAnsi="Arial" w:cs="Arial"/>
          <w:sz w:val="22"/>
          <w:szCs w:val="22"/>
          <w:lang w:eastAsia="es-ES" w:bidi="es-ES"/>
        </w:rPr>
        <w:t>para la expedición de documentos tipo con alcance obligatorio</w:t>
      </w:r>
      <w:r w:rsidR="00F90D0F">
        <w:rPr>
          <w:rFonts w:ascii="Arial" w:eastAsia="Arial" w:hAnsi="Arial" w:cs="Arial"/>
          <w:sz w:val="22"/>
          <w:szCs w:val="22"/>
          <w:lang w:eastAsia="es-ES" w:bidi="es-ES"/>
        </w:rPr>
        <w:t xml:space="preserve"> para las en</w:t>
      </w:r>
      <w:r w:rsidR="00607A9C">
        <w:rPr>
          <w:rFonts w:ascii="Arial" w:eastAsia="Arial" w:hAnsi="Arial" w:cs="Arial"/>
          <w:sz w:val="22"/>
          <w:szCs w:val="22"/>
          <w:lang w:eastAsia="es-ES" w:bidi="es-ES"/>
        </w:rPr>
        <w:t>tidades estatales sometidas al Estatuto General de Contratación de la Administración Pública</w:t>
      </w:r>
      <w:r w:rsidR="005A0A2D">
        <w:rPr>
          <w:rFonts w:ascii="Arial" w:eastAsia="Arial" w:hAnsi="Arial" w:cs="Arial"/>
          <w:sz w:val="22"/>
          <w:szCs w:val="22"/>
          <w:lang w:eastAsia="es-ES" w:bidi="es-ES"/>
        </w:rPr>
        <w:t>, la Agencia Nacional de Contratación Pública ha expedidos disti</w:t>
      </w:r>
      <w:r w:rsidR="00D86089">
        <w:rPr>
          <w:rFonts w:ascii="Arial" w:eastAsia="Arial" w:hAnsi="Arial" w:cs="Arial"/>
          <w:sz w:val="22"/>
          <w:szCs w:val="22"/>
          <w:lang w:eastAsia="es-ES" w:bidi="es-ES"/>
        </w:rPr>
        <w:t xml:space="preserve">ntos grupos de pliegos tipo aplicables </w:t>
      </w:r>
      <w:r w:rsidR="00B12CD5">
        <w:rPr>
          <w:rFonts w:ascii="Arial" w:eastAsia="Arial" w:hAnsi="Arial" w:cs="Arial"/>
          <w:sz w:val="22"/>
          <w:szCs w:val="22"/>
          <w:lang w:eastAsia="es-ES" w:bidi="es-ES"/>
        </w:rPr>
        <w:t>a</w:t>
      </w:r>
      <w:r w:rsidR="00D86089">
        <w:rPr>
          <w:rFonts w:ascii="Arial" w:eastAsia="Arial" w:hAnsi="Arial" w:cs="Arial"/>
          <w:sz w:val="22"/>
          <w:szCs w:val="22"/>
          <w:lang w:eastAsia="es-ES" w:bidi="es-ES"/>
        </w:rPr>
        <w:t xml:space="preserve"> la contratación de obra públic</w:t>
      </w:r>
      <w:r w:rsidR="00B12CD5">
        <w:rPr>
          <w:rFonts w:ascii="Arial" w:eastAsia="Arial" w:hAnsi="Arial" w:cs="Arial"/>
          <w:sz w:val="22"/>
          <w:szCs w:val="22"/>
          <w:lang w:eastAsia="es-ES" w:bidi="es-ES"/>
        </w:rPr>
        <w:t xml:space="preserve">a en varios sectores y modalidades de selección. Entre estos encontramos los documentos tipo </w:t>
      </w:r>
      <w:r w:rsidR="00B12CD5">
        <w:rPr>
          <w:rFonts w:ascii="Arial" w:eastAsia="Arial" w:hAnsi="Arial" w:cs="Arial"/>
          <w:sz w:val="22"/>
          <w:szCs w:val="22"/>
          <w:lang w:eastAsia="es-ES" w:bidi="es-ES"/>
        </w:rPr>
        <w:lastRenderedPageBreak/>
        <w:t xml:space="preserve">para licitación de obra pública de infraestructura de transporte –Versión 3– expedidos mediante la Resolución </w:t>
      </w:r>
      <w:r w:rsidR="002748D9">
        <w:rPr>
          <w:rFonts w:ascii="Arial" w:eastAsia="Arial" w:hAnsi="Arial" w:cs="Arial"/>
          <w:sz w:val="22"/>
          <w:szCs w:val="22"/>
          <w:lang w:eastAsia="es-ES" w:bidi="es-ES"/>
        </w:rPr>
        <w:t xml:space="preserve">240 de 2020, </w:t>
      </w:r>
      <w:r w:rsidR="00371CB5">
        <w:rPr>
          <w:rFonts w:ascii="Arial" w:eastAsia="Arial" w:hAnsi="Arial" w:cs="Arial"/>
          <w:sz w:val="22"/>
          <w:szCs w:val="22"/>
          <w:lang w:eastAsia="es-ES" w:bidi="es-ES"/>
        </w:rPr>
        <w:t xml:space="preserve">los de licitación de obra </w:t>
      </w:r>
      <w:r w:rsidR="00371CB5" w:rsidRPr="00C95062">
        <w:rPr>
          <w:rFonts w:ascii="Arial" w:eastAsia="Arial" w:hAnsi="Arial" w:cs="Arial"/>
          <w:sz w:val="22"/>
          <w:szCs w:val="22"/>
          <w:lang w:eastAsia="es-ES" w:bidi="es-ES"/>
        </w:rPr>
        <w:t xml:space="preserve">pública de agua potable y saneamiento básico </w:t>
      </w:r>
      <w:r w:rsidR="00AE69D4" w:rsidRPr="00C95062">
        <w:rPr>
          <w:rFonts w:ascii="Arial" w:eastAsia="Arial" w:hAnsi="Arial" w:cs="Arial"/>
          <w:sz w:val="22"/>
          <w:szCs w:val="22"/>
          <w:lang w:eastAsia="es-ES" w:bidi="es-ES"/>
        </w:rPr>
        <w:t>adoptados mediante la Resol</w:t>
      </w:r>
      <w:r w:rsidR="00DC3B79" w:rsidRPr="00C95062">
        <w:rPr>
          <w:rFonts w:ascii="Arial" w:eastAsia="Arial" w:hAnsi="Arial" w:cs="Arial"/>
          <w:sz w:val="22"/>
          <w:szCs w:val="22"/>
          <w:lang w:eastAsia="es-ES" w:bidi="es-ES"/>
        </w:rPr>
        <w:t>uc</w:t>
      </w:r>
      <w:r w:rsidR="00AE69D4" w:rsidRPr="00C95062">
        <w:rPr>
          <w:rFonts w:ascii="Arial" w:eastAsia="Arial" w:hAnsi="Arial" w:cs="Arial"/>
          <w:sz w:val="22"/>
          <w:szCs w:val="22"/>
          <w:lang w:eastAsia="es-ES" w:bidi="es-ES"/>
        </w:rPr>
        <w:t>ión 248 de 2020</w:t>
      </w:r>
      <w:r w:rsidR="0045658D" w:rsidRPr="00C95062">
        <w:rPr>
          <w:rFonts w:ascii="Arial" w:eastAsia="Arial" w:hAnsi="Arial" w:cs="Arial"/>
          <w:sz w:val="22"/>
          <w:szCs w:val="22"/>
          <w:lang w:eastAsia="es-ES" w:bidi="es-ES"/>
        </w:rPr>
        <w:t>, los licitación obra pública de infraestructura social expedidos mediante Resolución 219 de 2021, entre otros</w:t>
      </w:r>
      <w:r w:rsidR="00674878" w:rsidRPr="00C95062">
        <w:rPr>
          <w:rStyle w:val="Refdenotaalpie"/>
          <w:rFonts w:ascii="Arial" w:eastAsia="Arial" w:hAnsi="Arial" w:cs="Arial"/>
          <w:sz w:val="22"/>
          <w:szCs w:val="22"/>
          <w:lang w:eastAsia="es-ES" w:bidi="es-ES"/>
        </w:rPr>
        <w:footnoteReference w:id="11"/>
      </w:r>
      <w:r w:rsidR="0045658D" w:rsidRPr="00C95062">
        <w:rPr>
          <w:rFonts w:ascii="Arial" w:eastAsia="Arial" w:hAnsi="Arial" w:cs="Arial"/>
          <w:sz w:val="22"/>
          <w:szCs w:val="22"/>
          <w:lang w:eastAsia="es-ES" w:bidi="es-ES"/>
        </w:rPr>
        <w:t>.</w:t>
      </w:r>
    </w:p>
    <w:p w14:paraId="728B71E7" w14:textId="47859FE0" w:rsidR="00EB45E4" w:rsidRPr="00C95062" w:rsidRDefault="002B4FEC" w:rsidP="00EB45E4">
      <w:pPr>
        <w:tabs>
          <w:tab w:val="left" w:pos="426"/>
        </w:tabs>
        <w:spacing w:line="276" w:lineRule="auto"/>
        <w:ind w:firstLine="709"/>
        <w:jc w:val="both"/>
        <w:rPr>
          <w:rFonts w:ascii="Arial" w:hAnsi="Arial" w:cs="Arial"/>
          <w:sz w:val="22"/>
          <w:szCs w:val="22"/>
        </w:rPr>
      </w:pPr>
      <w:r w:rsidRPr="00C95062">
        <w:rPr>
          <w:rFonts w:ascii="Arial" w:hAnsi="Arial" w:cs="Arial"/>
          <w:sz w:val="22"/>
          <w:szCs w:val="22"/>
        </w:rPr>
        <w:t>En los</w:t>
      </w:r>
      <w:r w:rsidR="00736B78" w:rsidRPr="00C95062">
        <w:rPr>
          <w:rFonts w:ascii="Arial" w:hAnsi="Arial" w:cs="Arial"/>
          <w:sz w:val="22"/>
          <w:szCs w:val="22"/>
        </w:rPr>
        <w:t xml:space="preserve"> documentos base o pliegos tipo adoptados por</w:t>
      </w:r>
      <w:r w:rsidR="00BD1945" w:rsidRPr="00C95062">
        <w:rPr>
          <w:rFonts w:ascii="Arial" w:hAnsi="Arial" w:cs="Arial"/>
          <w:sz w:val="22"/>
          <w:szCs w:val="22"/>
        </w:rPr>
        <w:t xml:space="preserve"> las anteriores resoluciones</w:t>
      </w:r>
      <w:r w:rsidRPr="00C95062">
        <w:rPr>
          <w:rFonts w:ascii="Arial" w:hAnsi="Arial" w:cs="Arial"/>
          <w:sz w:val="22"/>
          <w:szCs w:val="22"/>
        </w:rPr>
        <w:t xml:space="preserve">, la Agencia Nacional de Contratación Pública unas reglas </w:t>
      </w:r>
      <w:r w:rsidR="008D028B" w:rsidRPr="00C95062">
        <w:rPr>
          <w:rFonts w:ascii="Arial" w:hAnsi="Arial" w:cs="Arial"/>
          <w:sz w:val="22"/>
          <w:szCs w:val="22"/>
        </w:rPr>
        <w:t>comunes</w:t>
      </w:r>
      <w:r w:rsidRPr="00C95062">
        <w:rPr>
          <w:rFonts w:ascii="Arial" w:hAnsi="Arial" w:cs="Arial"/>
          <w:sz w:val="22"/>
          <w:szCs w:val="22"/>
        </w:rPr>
        <w:t xml:space="preserve"> aplicables a la</w:t>
      </w:r>
      <w:r w:rsidR="00A53864" w:rsidRPr="00C95062">
        <w:rPr>
          <w:rFonts w:ascii="Arial" w:hAnsi="Arial" w:cs="Arial"/>
          <w:sz w:val="22"/>
          <w:szCs w:val="22"/>
        </w:rPr>
        <w:t xml:space="preserve"> evaluación de la capacidad residual</w:t>
      </w:r>
      <w:r w:rsidR="00FD6300" w:rsidRPr="00C95062">
        <w:rPr>
          <w:rFonts w:ascii="Arial" w:hAnsi="Arial" w:cs="Arial"/>
          <w:sz w:val="22"/>
          <w:szCs w:val="22"/>
        </w:rPr>
        <w:t xml:space="preserve"> en procesos estructurados por lotes</w:t>
      </w:r>
      <w:r w:rsidR="00A53864" w:rsidRPr="00C95062">
        <w:rPr>
          <w:rFonts w:ascii="Arial" w:hAnsi="Arial" w:cs="Arial"/>
          <w:sz w:val="22"/>
          <w:szCs w:val="22"/>
        </w:rPr>
        <w:t xml:space="preserve">, las cuales </w:t>
      </w:r>
      <w:r w:rsidR="00FD6300" w:rsidRPr="00C95062">
        <w:rPr>
          <w:rFonts w:ascii="Arial" w:hAnsi="Arial" w:cs="Arial"/>
          <w:sz w:val="22"/>
          <w:szCs w:val="22"/>
        </w:rPr>
        <w:t>deben ser aplicadas las entidades estatales sometidas al régimen contractual público en los procesos</w:t>
      </w:r>
      <w:r w:rsidR="008D028B" w:rsidRPr="00C95062">
        <w:rPr>
          <w:rFonts w:ascii="Arial" w:hAnsi="Arial" w:cs="Arial"/>
          <w:sz w:val="22"/>
          <w:szCs w:val="22"/>
        </w:rPr>
        <w:t xml:space="preserve"> cuyos objetos estén cobijados por los documentos tipo correspondientes. En e</w:t>
      </w:r>
      <w:r w:rsidR="00EB45E4" w:rsidRPr="00C95062">
        <w:rPr>
          <w:rFonts w:ascii="Arial" w:hAnsi="Arial" w:cs="Arial"/>
          <w:sz w:val="22"/>
          <w:szCs w:val="22"/>
        </w:rPr>
        <w:t>l numeral 3.11 del documento base</w:t>
      </w:r>
      <w:r w:rsidR="008D028B" w:rsidRPr="00C95062">
        <w:rPr>
          <w:rFonts w:ascii="Arial" w:hAnsi="Arial" w:cs="Arial"/>
          <w:sz w:val="22"/>
          <w:szCs w:val="22"/>
        </w:rPr>
        <w:t xml:space="preserve"> de licitación de obra pública de infraestructura de transporte</w:t>
      </w:r>
      <w:r w:rsidR="00EB45E4" w:rsidRPr="00C95062">
        <w:rPr>
          <w:rFonts w:ascii="Arial" w:hAnsi="Arial" w:cs="Arial"/>
          <w:sz w:val="22"/>
          <w:szCs w:val="22"/>
        </w:rPr>
        <w:t>,</w:t>
      </w:r>
      <w:r w:rsidR="008D028B" w:rsidRPr="00C95062">
        <w:rPr>
          <w:rFonts w:ascii="Arial" w:hAnsi="Arial" w:cs="Arial"/>
          <w:sz w:val="22"/>
          <w:szCs w:val="22"/>
        </w:rPr>
        <w:t xml:space="preserve"> se</w:t>
      </w:r>
      <w:r w:rsidR="00EB45E4" w:rsidRPr="00C95062">
        <w:rPr>
          <w:rFonts w:ascii="Arial" w:hAnsi="Arial" w:cs="Arial"/>
          <w:sz w:val="22"/>
          <w:szCs w:val="22"/>
        </w:rPr>
        <w:t xml:space="preserve"> una regla establecida entre corchetes y resaltado gris, la cual reza lo siguiente:</w:t>
      </w:r>
    </w:p>
    <w:p w14:paraId="6A9DA712" w14:textId="77777777" w:rsidR="00EB45E4" w:rsidRPr="00C95062" w:rsidRDefault="00EB45E4" w:rsidP="00EB45E4">
      <w:pPr>
        <w:tabs>
          <w:tab w:val="left" w:pos="426"/>
        </w:tabs>
        <w:spacing w:line="276" w:lineRule="auto"/>
        <w:ind w:firstLine="709"/>
        <w:jc w:val="both"/>
        <w:rPr>
          <w:rFonts w:ascii="Arial" w:hAnsi="Arial" w:cs="Arial"/>
          <w:sz w:val="19"/>
          <w:szCs w:val="19"/>
        </w:rPr>
      </w:pPr>
    </w:p>
    <w:p w14:paraId="39615568" w14:textId="77777777" w:rsidR="005E1F61" w:rsidRPr="00C95062" w:rsidRDefault="005E1F61" w:rsidP="0077368F">
      <w:pPr>
        <w:ind w:left="709" w:right="709"/>
        <w:jc w:val="both"/>
        <w:rPr>
          <w:rFonts w:ascii="Arial" w:hAnsi="Arial" w:cs="Arial"/>
          <w:sz w:val="21"/>
          <w:szCs w:val="21"/>
          <w:lang w:val="es-MX"/>
        </w:rPr>
      </w:pPr>
      <w:r w:rsidRPr="00C95062">
        <w:rPr>
          <w:rFonts w:ascii="Arial" w:hAnsi="Arial" w:cs="Arial"/>
          <w:sz w:val="21"/>
          <w:szCs w:val="21"/>
          <w:lang w:val="es-MX"/>
        </w:rPr>
        <w:t>[En los procesos de contratación estructurados por lotes o grupos, el proponente debe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w:t>
      </w:r>
    </w:p>
    <w:p w14:paraId="773F54FC" w14:textId="77777777" w:rsidR="00EB45E4" w:rsidRPr="00C95062" w:rsidRDefault="00EB45E4" w:rsidP="00EB45E4">
      <w:pPr>
        <w:widowControl w:val="0"/>
        <w:ind w:firstLine="708"/>
        <w:jc w:val="both"/>
        <w:rPr>
          <w:rFonts w:ascii="Arial" w:hAnsi="Arial" w:cs="Arial"/>
          <w:sz w:val="19"/>
          <w:szCs w:val="19"/>
        </w:rPr>
      </w:pPr>
    </w:p>
    <w:p w14:paraId="53AC4A25" w14:textId="1658AAEF" w:rsidR="00EB45E4" w:rsidRPr="00C95062" w:rsidRDefault="00EB45E4" w:rsidP="00EB45E4">
      <w:pPr>
        <w:widowControl w:val="0"/>
        <w:spacing w:after="120" w:line="276" w:lineRule="auto"/>
        <w:ind w:firstLine="709"/>
        <w:jc w:val="both"/>
        <w:rPr>
          <w:rFonts w:ascii="Arial" w:hAnsi="Arial" w:cs="Arial"/>
          <w:sz w:val="22"/>
          <w:szCs w:val="22"/>
        </w:rPr>
      </w:pPr>
      <w:r w:rsidRPr="00C95062">
        <w:rPr>
          <w:rFonts w:ascii="Arial" w:hAnsi="Arial" w:cs="Arial"/>
          <w:sz w:val="22"/>
          <w:szCs w:val="22"/>
        </w:rPr>
        <w:t>En concordancia con esto, el numeral 3.1</w:t>
      </w:r>
      <w:r w:rsidR="00846531" w:rsidRPr="00C95062">
        <w:rPr>
          <w:rFonts w:ascii="Arial" w:hAnsi="Arial" w:cs="Arial"/>
          <w:sz w:val="22"/>
          <w:szCs w:val="22"/>
        </w:rPr>
        <w:t>0</w:t>
      </w:r>
      <w:r w:rsidRPr="00C95062">
        <w:rPr>
          <w:rFonts w:ascii="Arial" w:hAnsi="Arial" w:cs="Arial"/>
          <w:sz w:val="22"/>
          <w:szCs w:val="22"/>
        </w:rPr>
        <w:t>.1 al regular el cálculo de la capacidad residual del proceso de contratación –CRPC–, establece que «</w:t>
      </w:r>
      <w:r w:rsidR="00846531" w:rsidRPr="00C95062">
        <w:rPr>
          <w:rFonts w:ascii="Arial" w:hAnsi="Arial" w:cs="Arial"/>
          <w:sz w:val="22"/>
          <w:szCs w:val="22"/>
          <w:lang w:val="es-MX"/>
        </w:rPr>
        <w:t>En los procesos de contratación estructurados por lotes, el presupuesto oficial estimado (POE) corresponderá al presupuesto oficial del lote al cual se presenta oferta</w:t>
      </w:r>
      <w:r w:rsidRPr="00C95062">
        <w:rPr>
          <w:rFonts w:ascii="Arial" w:hAnsi="Arial" w:cs="Arial"/>
          <w:sz w:val="22"/>
          <w:szCs w:val="22"/>
        </w:rPr>
        <w:t xml:space="preserve">».  Esto significa que para evaluar la capacidad residual de los proponentes en los procesos estructurados por lotes o grupos se debe calcular la CRPC para cada lote o grupo y, en principio, calcular la capacidad residual respecto de la sumatoria de los CRPC en los que se presentó oferta. </w:t>
      </w:r>
    </w:p>
    <w:p w14:paraId="13A55E5D" w14:textId="185FE39A" w:rsidR="00EB45E4" w:rsidRPr="00C95062" w:rsidRDefault="00EB45E4" w:rsidP="00EB45E4">
      <w:pPr>
        <w:widowControl w:val="0"/>
        <w:spacing w:line="276" w:lineRule="auto"/>
        <w:ind w:firstLine="709"/>
        <w:jc w:val="both"/>
        <w:rPr>
          <w:rFonts w:ascii="Arial" w:hAnsi="Arial" w:cs="Arial"/>
          <w:sz w:val="22"/>
          <w:szCs w:val="22"/>
        </w:rPr>
      </w:pPr>
      <w:r w:rsidRPr="00C95062">
        <w:rPr>
          <w:rFonts w:ascii="Arial" w:hAnsi="Arial" w:cs="Arial"/>
          <w:sz w:val="22"/>
          <w:szCs w:val="22"/>
        </w:rPr>
        <w:t xml:space="preserve">Debe </w:t>
      </w:r>
      <w:r w:rsidR="001A2ADC" w:rsidRPr="00C95062">
        <w:rPr>
          <w:rFonts w:ascii="Arial" w:hAnsi="Arial" w:cs="Arial"/>
          <w:sz w:val="22"/>
          <w:szCs w:val="22"/>
        </w:rPr>
        <w:t xml:space="preserve">además mencionarse que </w:t>
      </w:r>
      <w:r w:rsidRPr="00C95062">
        <w:rPr>
          <w:rFonts w:ascii="Arial" w:hAnsi="Arial" w:cs="Arial"/>
          <w:sz w:val="22"/>
          <w:szCs w:val="22"/>
        </w:rPr>
        <w:t xml:space="preserve">el documento base de </w:t>
      </w:r>
      <w:proofErr w:type="gramStart"/>
      <w:r w:rsidRPr="00C95062">
        <w:rPr>
          <w:rFonts w:ascii="Arial" w:hAnsi="Arial" w:cs="Arial"/>
          <w:sz w:val="22"/>
          <w:szCs w:val="22"/>
        </w:rPr>
        <w:t>los  de</w:t>
      </w:r>
      <w:proofErr w:type="gramEnd"/>
      <w:r w:rsidRPr="00C95062">
        <w:rPr>
          <w:rFonts w:ascii="Arial" w:hAnsi="Arial" w:cs="Arial"/>
          <w:sz w:val="22"/>
          <w:szCs w:val="22"/>
        </w:rPr>
        <w:t xml:space="preserve"> licitación de obra pública de infraestructura de transporte no establece que en los procesos estructurados por lotes o grupos deba existir un adjudicatario diferente para cada lote o grupo. Por el contrario, conforme al numeral 2.10, literal A, del documento base, es una cuestión que determinan las entidades estatales al momento de aplicar los documentos tipo, quienes además deben establecer la posibilidad de que un proponente presente ofertas para varios lotes. Este literal dispone lo siguiente: </w:t>
      </w:r>
    </w:p>
    <w:p w14:paraId="4A21BEFF" w14:textId="77777777" w:rsidR="00EB45E4" w:rsidRPr="00C95062" w:rsidRDefault="00EB45E4" w:rsidP="00EB45E4">
      <w:pPr>
        <w:widowControl w:val="0"/>
        <w:spacing w:line="276" w:lineRule="auto"/>
        <w:ind w:firstLine="709"/>
        <w:jc w:val="both"/>
        <w:rPr>
          <w:rFonts w:ascii="Arial" w:hAnsi="Arial" w:cs="Arial"/>
          <w:sz w:val="19"/>
          <w:szCs w:val="19"/>
        </w:rPr>
      </w:pPr>
    </w:p>
    <w:p w14:paraId="0BA912BC" w14:textId="77777777" w:rsidR="00EB45E4" w:rsidRPr="00C95062" w:rsidRDefault="00EB45E4" w:rsidP="00EB45E4">
      <w:pPr>
        <w:widowControl w:val="0"/>
        <w:spacing w:after="120"/>
        <w:ind w:left="709" w:right="709"/>
        <w:jc w:val="both"/>
        <w:rPr>
          <w:rFonts w:ascii="Arial" w:hAnsi="Arial" w:cs="Arial"/>
          <w:sz w:val="21"/>
          <w:szCs w:val="21"/>
        </w:rPr>
      </w:pPr>
      <w:r w:rsidRPr="00C95062">
        <w:rPr>
          <w:rFonts w:ascii="Arial" w:hAnsi="Arial" w:cs="Arial"/>
          <w:sz w:val="21"/>
          <w:szCs w:val="21"/>
        </w:rPr>
        <w:lastRenderedPageBreak/>
        <w:t>2.10.</w:t>
      </w:r>
      <w:r w:rsidRPr="00C95062">
        <w:rPr>
          <w:rFonts w:ascii="Arial" w:hAnsi="Arial" w:cs="Arial"/>
          <w:sz w:val="21"/>
          <w:szCs w:val="21"/>
        </w:rPr>
        <w:tab/>
        <w:t xml:space="preserve">REGLAS PARA LOS PROCESOS ESTRUCTURADOS POR LOTES O GRUPOS  </w:t>
      </w:r>
    </w:p>
    <w:p w14:paraId="70405E75" w14:textId="77777777" w:rsidR="00EB45E4" w:rsidRPr="00C95062" w:rsidRDefault="00EB45E4" w:rsidP="00EB45E4">
      <w:pPr>
        <w:widowControl w:val="0"/>
        <w:spacing w:after="120"/>
        <w:ind w:left="709" w:right="709"/>
        <w:jc w:val="both"/>
        <w:rPr>
          <w:rFonts w:ascii="Arial" w:hAnsi="Arial" w:cs="Arial"/>
          <w:sz w:val="21"/>
          <w:szCs w:val="21"/>
        </w:rPr>
      </w:pPr>
      <w:r w:rsidRPr="00C95062">
        <w:rPr>
          <w:rFonts w:ascii="Arial" w:hAnsi="Arial" w:cs="Arial"/>
          <w:sz w:val="21"/>
          <w:szCs w:val="21"/>
        </w:rPr>
        <w:t>[La Entidad deberá incluir esta sección y aplicar las reglas aquí señaladas cuando estructure el Proceso de Contratación por lotes o grupos]</w:t>
      </w:r>
    </w:p>
    <w:p w14:paraId="70749621" w14:textId="77777777" w:rsidR="00EB45E4" w:rsidRPr="00C95062" w:rsidRDefault="00EB45E4" w:rsidP="00EB45E4">
      <w:pPr>
        <w:widowControl w:val="0"/>
        <w:spacing w:after="120"/>
        <w:ind w:left="709" w:right="709"/>
        <w:jc w:val="both"/>
        <w:rPr>
          <w:rFonts w:ascii="Arial" w:hAnsi="Arial" w:cs="Arial"/>
          <w:sz w:val="21"/>
          <w:szCs w:val="21"/>
        </w:rPr>
      </w:pPr>
      <w:r w:rsidRPr="00C95062">
        <w:rPr>
          <w:rFonts w:ascii="Arial" w:hAnsi="Arial" w:cs="Arial"/>
          <w:sz w:val="21"/>
          <w:szCs w:val="21"/>
        </w:rPr>
        <w:t xml:space="preserve">Cuando el Proceso de Contratación se estructure por lotes o grupos se aplicarán las siguientes reglas además de las previstas en otros numerales del presente documento: </w:t>
      </w:r>
    </w:p>
    <w:p w14:paraId="43B051EB" w14:textId="77777777" w:rsidR="00EB45E4" w:rsidRPr="00C95062" w:rsidRDefault="00EB45E4" w:rsidP="00EB45E4">
      <w:pPr>
        <w:widowControl w:val="0"/>
        <w:ind w:left="709" w:right="709"/>
        <w:jc w:val="both"/>
        <w:rPr>
          <w:rFonts w:ascii="Arial" w:hAnsi="Arial" w:cs="Arial"/>
          <w:sz w:val="21"/>
          <w:szCs w:val="21"/>
        </w:rPr>
      </w:pPr>
      <w:r w:rsidRPr="00C95062">
        <w:rPr>
          <w:rFonts w:ascii="Arial" w:hAnsi="Arial" w:cs="Arial"/>
          <w:sz w:val="21"/>
          <w:szCs w:val="21"/>
        </w:rPr>
        <w:t>A.</w:t>
      </w:r>
      <w:r w:rsidRPr="00C95062">
        <w:rPr>
          <w:rFonts w:ascii="Arial" w:hAnsi="Arial" w:cs="Arial"/>
          <w:sz w:val="21"/>
          <w:szCs w:val="21"/>
        </w:rPr>
        <w:tab/>
        <w:t>[En este literal la Entidad debe señalar si es posible presentar oferta a más de un lote o grupo. Cuando lo establezca, debe indicar si es posible resultar adjudicatario de más de uno]</w:t>
      </w:r>
    </w:p>
    <w:p w14:paraId="5E438DCB" w14:textId="77777777" w:rsidR="00EB45E4" w:rsidRPr="00C95062" w:rsidRDefault="00EB45E4" w:rsidP="00EB45E4">
      <w:pPr>
        <w:widowControl w:val="0"/>
        <w:spacing w:line="276" w:lineRule="auto"/>
        <w:ind w:firstLine="708"/>
        <w:jc w:val="both"/>
        <w:rPr>
          <w:rFonts w:ascii="Arial" w:hAnsi="Arial" w:cs="Arial"/>
          <w:sz w:val="19"/>
          <w:szCs w:val="19"/>
        </w:rPr>
      </w:pPr>
    </w:p>
    <w:p w14:paraId="60A39463" w14:textId="77777777" w:rsidR="00EB45E4" w:rsidRPr="00C95062" w:rsidRDefault="00EB45E4" w:rsidP="00EE77C3">
      <w:pPr>
        <w:tabs>
          <w:tab w:val="left" w:pos="426"/>
        </w:tabs>
        <w:spacing w:line="276" w:lineRule="auto"/>
        <w:jc w:val="both"/>
        <w:rPr>
          <w:rFonts w:ascii="Arial" w:hAnsi="Arial" w:cs="Arial"/>
          <w:sz w:val="22"/>
          <w:szCs w:val="22"/>
          <w:shd w:val="clear" w:color="auto" w:fill="FFFFFF"/>
        </w:rPr>
      </w:pPr>
      <w:r w:rsidRPr="00C95062">
        <w:rPr>
          <w:rFonts w:ascii="Arial" w:hAnsi="Arial" w:cs="Arial"/>
          <w:sz w:val="22"/>
          <w:szCs w:val="22"/>
          <w:shd w:val="clear" w:color="auto" w:fill="FFFFFF"/>
        </w:rPr>
        <w:tab/>
      </w:r>
      <w:r w:rsidRPr="00C95062">
        <w:rPr>
          <w:rFonts w:ascii="Arial" w:hAnsi="Arial" w:cs="Arial"/>
          <w:sz w:val="22"/>
          <w:szCs w:val="22"/>
          <w:shd w:val="clear" w:color="auto" w:fill="FFFFFF"/>
        </w:rPr>
        <w:tab/>
        <w:t xml:space="preserve">En función de lo anterior, el literal H del numeral 2.10 del documento base incluye una regla aplicable a los procesos en los que la entidad contratante permita que un proponente sea adjudicatario de más de un lote o grupo, la cual consiste en lo siguiente: </w:t>
      </w:r>
    </w:p>
    <w:p w14:paraId="7E808C87" w14:textId="77777777" w:rsidR="00EB45E4" w:rsidRPr="00C95062" w:rsidRDefault="00EB45E4" w:rsidP="00EB45E4">
      <w:pPr>
        <w:tabs>
          <w:tab w:val="left" w:pos="426"/>
        </w:tabs>
        <w:jc w:val="both"/>
        <w:rPr>
          <w:rFonts w:ascii="Calibri" w:hAnsi="Calibri" w:cs="Calibri"/>
          <w:sz w:val="19"/>
          <w:szCs w:val="19"/>
          <w:shd w:val="clear" w:color="auto" w:fill="FFFFFF"/>
        </w:rPr>
      </w:pPr>
    </w:p>
    <w:p w14:paraId="249C0CD5" w14:textId="77777777" w:rsidR="00EB45E4" w:rsidRPr="00C95062" w:rsidRDefault="00EB45E4" w:rsidP="00EB45E4">
      <w:pPr>
        <w:tabs>
          <w:tab w:val="left" w:pos="426"/>
        </w:tabs>
        <w:ind w:left="709" w:right="709"/>
        <w:jc w:val="both"/>
        <w:rPr>
          <w:rFonts w:ascii="Arial" w:hAnsi="Arial" w:cs="Arial"/>
          <w:sz w:val="21"/>
          <w:szCs w:val="21"/>
          <w:shd w:val="clear" w:color="auto" w:fill="FFFFFF"/>
        </w:rPr>
      </w:pPr>
      <w:r w:rsidRPr="00C95062">
        <w:rPr>
          <w:rFonts w:ascii="Arial" w:hAnsi="Arial" w:cs="Arial"/>
          <w:sz w:val="21"/>
          <w:szCs w:val="21"/>
          <w:shd w:val="clear" w:color="auto" w:fill="FFFFFF"/>
        </w:rPr>
        <w:t>H.</w:t>
      </w:r>
      <w:r w:rsidRPr="00C95062">
        <w:rPr>
          <w:rFonts w:ascii="Arial" w:hAnsi="Arial" w:cs="Arial"/>
          <w:sz w:val="21"/>
          <w:szCs w:val="21"/>
          <w:shd w:val="clear" w:color="auto" w:fill="FFFFFF"/>
        </w:rPr>
        <w:tab/>
        <w:t>[Incluir cuando la Entidad haya establecido la posibilidad de resultar adjudicatario de más de un lote o grupo]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presentó oferta, la Entidad lo habilitará únicamente en los que cumpla con la capacidad residual requerida, empezando con el lote de mayor valor al cual presentó oferta, y así en forma descendente.</w:t>
      </w:r>
    </w:p>
    <w:p w14:paraId="11A50F8A" w14:textId="77777777" w:rsidR="00EB45E4" w:rsidRPr="00C95062" w:rsidRDefault="00EB45E4" w:rsidP="00EB45E4">
      <w:pPr>
        <w:tabs>
          <w:tab w:val="left" w:pos="426"/>
        </w:tabs>
        <w:jc w:val="both"/>
        <w:rPr>
          <w:rFonts w:ascii="Calibri" w:hAnsi="Calibri" w:cs="Calibri"/>
          <w:sz w:val="19"/>
          <w:szCs w:val="19"/>
          <w:shd w:val="clear" w:color="auto" w:fill="FFFFFF"/>
        </w:rPr>
      </w:pPr>
      <w:r w:rsidRPr="00C95062">
        <w:rPr>
          <w:rFonts w:ascii="Calibri" w:hAnsi="Calibri" w:cs="Calibri"/>
          <w:sz w:val="19"/>
          <w:szCs w:val="19"/>
          <w:shd w:val="clear" w:color="auto" w:fill="FFFFFF"/>
        </w:rPr>
        <w:tab/>
      </w:r>
      <w:r w:rsidRPr="00C95062">
        <w:rPr>
          <w:rFonts w:ascii="Calibri" w:hAnsi="Calibri" w:cs="Calibri"/>
          <w:sz w:val="19"/>
          <w:szCs w:val="19"/>
          <w:shd w:val="clear" w:color="auto" w:fill="FFFFFF"/>
        </w:rPr>
        <w:tab/>
      </w:r>
    </w:p>
    <w:p w14:paraId="0451D18A" w14:textId="77777777" w:rsidR="00EB45E4" w:rsidRPr="00C95062" w:rsidRDefault="00EB45E4" w:rsidP="00EB45E4">
      <w:pPr>
        <w:tabs>
          <w:tab w:val="left" w:pos="426"/>
        </w:tabs>
        <w:spacing w:after="120" w:line="276" w:lineRule="auto"/>
        <w:jc w:val="both"/>
        <w:rPr>
          <w:rFonts w:ascii="Arial" w:hAnsi="Arial" w:cs="Arial"/>
          <w:sz w:val="22"/>
          <w:szCs w:val="22"/>
          <w:shd w:val="clear" w:color="auto" w:fill="FFFFFF"/>
        </w:rPr>
      </w:pPr>
      <w:r w:rsidRPr="00C95062">
        <w:rPr>
          <w:rFonts w:ascii="Arial" w:hAnsi="Arial" w:cs="Arial"/>
          <w:sz w:val="22"/>
          <w:szCs w:val="22"/>
          <w:shd w:val="clear" w:color="auto" w:fill="FFFFFF"/>
        </w:rPr>
        <w:tab/>
      </w:r>
      <w:r w:rsidRPr="00C95062">
        <w:rPr>
          <w:rFonts w:ascii="Arial" w:hAnsi="Arial" w:cs="Arial"/>
          <w:sz w:val="22"/>
          <w:szCs w:val="22"/>
          <w:shd w:val="clear" w:color="auto" w:fill="FFFFFF"/>
        </w:rPr>
        <w:tab/>
        <w:t>Lo dicho en estos apartes del documento base deriva en dos subreglas para la acreditación de la capacidad residual en procesos de selección estructurados por lotes en los que se permita que un proponente presente oferta para varios grupos, a saber:</w:t>
      </w:r>
    </w:p>
    <w:p w14:paraId="51E05BA5" w14:textId="77777777" w:rsidR="00EB45E4" w:rsidRPr="0077368F" w:rsidRDefault="00EB45E4" w:rsidP="00EB45E4">
      <w:pPr>
        <w:tabs>
          <w:tab w:val="left" w:pos="426"/>
        </w:tabs>
        <w:spacing w:after="120" w:line="276" w:lineRule="auto"/>
        <w:jc w:val="both"/>
        <w:rPr>
          <w:rFonts w:ascii="Arial" w:hAnsi="Arial" w:cs="Arial"/>
          <w:sz w:val="22"/>
          <w:szCs w:val="22"/>
          <w:shd w:val="clear" w:color="auto" w:fill="FFFFFF"/>
        </w:rPr>
      </w:pPr>
      <w:r w:rsidRPr="00C95062">
        <w:rPr>
          <w:rFonts w:ascii="Arial" w:hAnsi="Arial" w:cs="Arial"/>
          <w:sz w:val="22"/>
          <w:szCs w:val="22"/>
          <w:shd w:val="clear" w:color="auto" w:fill="FFFFFF"/>
        </w:rPr>
        <w:tab/>
      </w:r>
      <w:r w:rsidRPr="00C95062">
        <w:rPr>
          <w:rFonts w:ascii="Arial" w:hAnsi="Arial" w:cs="Arial"/>
          <w:sz w:val="22"/>
          <w:szCs w:val="22"/>
          <w:shd w:val="clear" w:color="auto" w:fill="FFFFFF"/>
        </w:rPr>
        <w:tab/>
        <w:t>i) La capacidad residual del proponente –CRP– debe verificarse respecto a la sumatoria de la CRPC de cada uno de los lotes a los que presentó oferta. Si el coeficiente de la CRP es superior a la sumatoria la CRPC de los</w:t>
      </w:r>
      <w:r w:rsidRPr="0077368F">
        <w:rPr>
          <w:rFonts w:ascii="Arial" w:hAnsi="Arial" w:cs="Arial"/>
          <w:sz w:val="22"/>
          <w:szCs w:val="22"/>
          <w:shd w:val="clear" w:color="auto" w:fill="FFFFFF"/>
        </w:rPr>
        <w:t xml:space="preserve"> lotes a los que presentó oferta, el proponente cumpliría con la capacidad residual exigida para cada lote. Si la CRP es inferior a la sumatoria de la CRPC de los lotes a los que el proponente presentó oferta, no será posible que este se habilite para todos estos.</w:t>
      </w:r>
    </w:p>
    <w:p w14:paraId="2728B1D8" w14:textId="77777777" w:rsidR="00EB45E4" w:rsidRPr="00C95062" w:rsidRDefault="00EB45E4" w:rsidP="00EB45E4">
      <w:pPr>
        <w:tabs>
          <w:tab w:val="left" w:pos="426"/>
        </w:tabs>
        <w:spacing w:after="120" w:line="276" w:lineRule="auto"/>
        <w:jc w:val="both"/>
        <w:rPr>
          <w:rFonts w:ascii="Arial" w:hAnsi="Arial" w:cs="Arial"/>
          <w:sz w:val="22"/>
          <w:szCs w:val="22"/>
          <w:shd w:val="clear" w:color="auto" w:fill="FFFFFF"/>
        </w:rPr>
      </w:pPr>
      <w:r w:rsidRPr="0077368F">
        <w:rPr>
          <w:rFonts w:ascii="Arial" w:hAnsi="Arial" w:cs="Arial"/>
          <w:sz w:val="22"/>
          <w:szCs w:val="22"/>
          <w:shd w:val="clear" w:color="auto" w:fill="FFFFFF"/>
        </w:rPr>
        <w:tab/>
      </w:r>
      <w:r w:rsidRPr="0077368F">
        <w:rPr>
          <w:rFonts w:ascii="Arial" w:hAnsi="Arial" w:cs="Arial"/>
          <w:sz w:val="22"/>
          <w:szCs w:val="22"/>
          <w:shd w:val="clear" w:color="auto" w:fill="FFFFFF"/>
        </w:rPr>
        <w:tab/>
        <w:t xml:space="preserve">ii) Al no ser posible habilitar al proponente para todos los lotes en los que presentó oferta, la entidad deberá habilitarlo para los de mayor valor en los que cumple con la CPRC. Esto no significa que deba prescindirse de la sumatoria, sino que para determinar cuáles son los lotes de mayor valor respecto de los que el proponente cumpliría con la capacidad residual exigida, la entidad debe descontar de la sumatoria todos los lotes en los que se </w:t>
      </w:r>
      <w:r w:rsidRPr="0077368F">
        <w:rPr>
          <w:rFonts w:ascii="Arial" w:hAnsi="Arial" w:cs="Arial"/>
          <w:sz w:val="22"/>
          <w:szCs w:val="22"/>
          <w:shd w:val="clear" w:color="auto" w:fill="FFFFFF"/>
        </w:rPr>
        <w:lastRenderedPageBreak/>
        <w:t xml:space="preserve">presentó oferta la CRPC de los lotes de menor valor, hasta llegar a un CPRC total inferior a la CRP acreditado por el </w:t>
      </w:r>
      <w:r w:rsidRPr="00C95062">
        <w:rPr>
          <w:rFonts w:ascii="Arial" w:hAnsi="Arial" w:cs="Arial"/>
          <w:sz w:val="22"/>
          <w:szCs w:val="22"/>
          <w:shd w:val="clear" w:color="auto" w:fill="FFFFFF"/>
        </w:rPr>
        <w:t xml:space="preserve">proponente, quedando este únicamente habilitado para los lotes cuyo CPRC haya sido considerado en la evaluación de la capacidad residual. </w:t>
      </w:r>
    </w:p>
    <w:p w14:paraId="5F3B6A55" w14:textId="77777777" w:rsidR="00EB45E4" w:rsidRPr="00C95062" w:rsidRDefault="00EB45E4" w:rsidP="00EB45E4">
      <w:pPr>
        <w:tabs>
          <w:tab w:val="left" w:pos="426"/>
        </w:tabs>
        <w:spacing w:line="276" w:lineRule="auto"/>
        <w:jc w:val="both"/>
        <w:rPr>
          <w:rFonts w:ascii="Arial" w:hAnsi="Arial" w:cs="Arial"/>
          <w:sz w:val="22"/>
          <w:szCs w:val="22"/>
          <w:shd w:val="clear" w:color="auto" w:fill="FFFFFF"/>
        </w:rPr>
      </w:pPr>
      <w:r w:rsidRPr="00C95062">
        <w:rPr>
          <w:rFonts w:ascii="Arial" w:hAnsi="Arial" w:cs="Arial"/>
          <w:sz w:val="22"/>
          <w:szCs w:val="22"/>
          <w:shd w:val="clear" w:color="auto" w:fill="FFFFFF"/>
        </w:rPr>
        <w:tab/>
      </w:r>
      <w:r w:rsidRPr="00C95062">
        <w:rPr>
          <w:rFonts w:ascii="Arial" w:hAnsi="Arial" w:cs="Arial"/>
          <w:sz w:val="22"/>
          <w:szCs w:val="22"/>
          <w:shd w:val="clear" w:color="auto" w:fill="FFFFFF"/>
        </w:rPr>
        <w:tab/>
        <w:t>Ahora, si de acuerdo con el literal A del numeral 2.10 del documento base, la entidad determina, en principio, la posibilidad de que los proponentes presenten ofertas para varios lotes, pero solo de ser adjudicatarios en uno, deberá incluir en el pliego de condiciones el literal F del referido numeral, el cual establece lo siguiente:</w:t>
      </w:r>
    </w:p>
    <w:p w14:paraId="056B27EF" w14:textId="77777777" w:rsidR="00EB45E4" w:rsidRPr="00C95062" w:rsidRDefault="00EB45E4" w:rsidP="00EB45E4">
      <w:pPr>
        <w:tabs>
          <w:tab w:val="left" w:pos="426"/>
        </w:tabs>
        <w:spacing w:line="276" w:lineRule="auto"/>
        <w:jc w:val="both"/>
        <w:rPr>
          <w:rFonts w:ascii="Arial" w:hAnsi="Arial" w:cs="Arial"/>
          <w:sz w:val="19"/>
          <w:szCs w:val="19"/>
          <w:shd w:val="clear" w:color="auto" w:fill="FFFFFF"/>
        </w:rPr>
      </w:pPr>
    </w:p>
    <w:p w14:paraId="7AE7A242" w14:textId="77777777" w:rsidR="00EB45E4" w:rsidRPr="00C95062" w:rsidRDefault="00EB45E4" w:rsidP="00EB45E4">
      <w:pPr>
        <w:tabs>
          <w:tab w:val="left" w:pos="426"/>
        </w:tabs>
        <w:ind w:left="709" w:right="709"/>
        <w:jc w:val="both"/>
        <w:rPr>
          <w:rFonts w:ascii="Arial" w:hAnsi="Arial" w:cs="Arial"/>
          <w:sz w:val="21"/>
          <w:szCs w:val="21"/>
          <w:shd w:val="clear" w:color="auto" w:fill="FFFFFF"/>
        </w:rPr>
      </w:pPr>
      <w:r w:rsidRPr="00C95062">
        <w:rPr>
          <w:rFonts w:ascii="Arial" w:hAnsi="Arial" w:cs="Arial"/>
          <w:sz w:val="21"/>
          <w:szCs w:val="21"/>
          <w:shd w:val="clear" w:color="auto" w:fill="FFFFFF"/>
        </w:rPr>
        <w:t>F.</w:t>
      </w:r>
      <w:r w:rsidRPr="00C95062">
        <w:rPr>
          <w:rFonts w:ascii="Arial" w:hAnsi="Arial" w:cs="Arial"/>
          <w:sz w:val="21"/>
          <w:szCs w:val="21"/>
          <w:shd w:val="clear" w:color="auto" w:fill="FFFFFF"/>
        </w:rPr>
        <w:tab/>
        <w:t>[Incluir cuando la Entidad no haya establecido la posibilidad de resultar adjudicatario de más de un lote o grupo] El Proponente ganador deberá incluirse en los demás ordenes de elegibilidad en los cuales se encuentre habilitado y de resultar ubicado en el primer orden de elegibilidad de estos lotes se adjudicará al Proponente ubicado en el segundo orden de elegibilidad, y así sucesivamente. En los eventos en los cuales no existan Proponentes a quienes adjudicar los lotes o grupos restantes del Proceso de Contratación se podrá adjudicar a un mismo Proponente más de dos (2) lotes o grupos, siempre y cuando cumpla con los requisitos establecidos en el pliego de condiciones.</w:t>
      </w:r>
    </w:p>
    <w:p w14:paraId="2348C526" w14:textId="77777777" w:rsidR="00EB45E4" w:rsidRPr="00C95062" w:rsidRDefault="00EB45E4" w:rsidP="00EB45E4">
      <w:pPr>
        <w:tabs>
          <w:tab w:val="left" w:pos="426"/>
        </w:tabs>
        <w:spacing w:line="276" w:lineRule="auto"/>
        <w:jc w:val="both"/>
        <w:rPr>
          <w:rFonts w:ascii="Arial" w:hAnsi="Arial" w:cs="Arial"/>
          <w:sz w:val="19"/>
          <w:szCs w:val="19"/>
          <w:shd w:val="clear" w:color="auto" w:fill="FFFFFF"/>
        </w:rPr>
      </w:pPr>
    </w:p>
    <w:p w14:paraId="39C0105B" w14:textId="77777777" w:rsidR="00EB45E4" w:rsidRPr="00C95062" w:rsidRDefault="00EB45E4" w:rsidP="00EB45E4">
      <w:pPr>
        <w:tabs>
          <w:tab w:val="left" w:pos="426"/>
        </w:tabs>
        <w:spacing w:after="120" w:line="276" w:lineRule="auto"/>
        <w:jc w:val="both"/>
        <w:rPr>
          <w:rFonts w:ascii="Arial" w:hAnsi="Arial" w:cs="Arial"/>
          <w:sz w:val="22"/>
          <w:szCs w:val="22"/>
        </w:rPr>
      </w:pPr>
      <w:r w:rsidRPr="00C95062">
        <w:rPr>
          <w:rFonts w:ascii="Arial" w:hAnsi="Arial" w:cs="Arial"/>
          <w:sz w:val="19"/>
          <w:szCs w:val="19"/>
          <w:shd w:val="clear" w:color="auto" w:fill="FFFFFF"/>
        </w:rPr>
        <w:tab/>
      </w:r>
      <w:r w:rsidRPr="00C95062">
        <w:rPr>
          <w:rFonts w:ascii="Arial" w:hAnsi="Arial" w:cs="Arial"/>
          <w:sz w:val="19"/>
          <w:szCs w:val="19"/>
          <w:shd w:val="clear" w:color="auto" w:fill="FFFFFF"/>
        </w:rPr>
        <w:tab/>
      </w:r>
      <w:r w:rsidRPr="00C95062">
        <w:rPr>
          <w:rFonts w:ascii="Arial" w:hAnsi="Arial" w:cs="Arial"/>
          <w:sz w:val="22"/>
          <w:szCs w:val="22"/>
          <w:shd w:val="clear" w:color="auto" w:fill="FFFFFF"/>
        </w:rPr>
        <w:t>Conforme se desprende del literal transcrito, a pesar de que la entidad haya determinado en principio que solo podrá adjudicarse un lote por proponente, eventualmente, el proponente que resulte adjudicatario de un lote podrá ser adjudicatario de otro lote en el que se encuentre «habilitado» si no existen más proponentes a los cuales adjudicar, «</w:t>
      </w:r>
      <w:r w:rsidRPr="00C95062">
        <w:rPr>
          <w:rFonts w:ascii="Arial" w:hAnsi="Arial" w:cs="Arial"/>
          <w:sz w:val="22"/>
          <w:szCs w:val="22"/>
        </w:rPr>
        <w:t>siempre y cuando cumpla con los requisitos establecidos en el pliego de condiciones».</w:t>
      </w:r>
    </w:p>
    <w:p w14:paraId="18404CD3" w14:textId="77777777" w:rsidR="00EB45E4" w:rsidRPr="00C95062" w:rsidRDefault="00EB45E4" w:rsidP="00EB45E4">
      <w:pPr>
        <w:tabs>
          <w:tab w:val="left" w:pos="426"/>
        </w:tabs>
        <w:spacing w:after="120" w:line="276" w:lineRule="auto"/>
        <w:jc w:val="both"/>
        <w:rPr>
          <w:rFonts w:ascii="Arial" w:hAnsi="Arial" w:cs="Arial"/>
          <w:sz w:val="22"/>
          <w:szCs w:val="22"/>
        </w:rPr>
      </w:pPr>
      <w:r w:rsidRPr="00C95062">
        <w:rPr>
          <w:rFonts w:ascii="Arial" w:hAnsi="Arial" w:cs="Arial"/>
          <w:sz w:val="22"/>
          <w:szCs w:val="22"/>
        </w:rPr>
        <w:tab/>
      </w:r>
      <w:r w:rsidRPr="00C95062">
        <w:rPr>
          <w:rFonts w:ascii="Arial" w:hAnsi="Arial" w:cs="Arial"/>
          <w:sz w:val="22"/>
          <w:szCs w:val="22"/>
        </w:rPr>
        <w:tab/>
        <w:t xml:space="preserve">Tales requisitos suponen que para que el proponente pueda ser adjudicatario de ese lote adicional, tenga que estar habilitado para dicho lote, lo que implica presentar la oferta y cumplir con los requisitos habilitantes, entre estos la capacidad residual. Al respecto, si bien no es aplicable el literal H del numeral 2.10, es exigible la regla contenida en el inciso final del numeral 3.11, la cual contiene las dos subreglas antes explicadas. </w:t>
      </w:r>
    </w:p>
    <w:p w14:paraId="75D0055A" w14:textId="77777777" w:rsidR="00EB45E4" w:rsidRPr="00C95062" w:rsidRDefault="00EB45E4" w:rsidP="00EB45E4">
      <w:pPr>
        <w:tabs>
          <w:tab w:val="left" w:pos="426"/>
        </w:tabs>
        <w:spacing w:after="120" w:line="276" w:lineRule="auto"/>
        <w:jc w:val="both"/>
        <w:rPr>
          <w:rFonts w:ascii="Arial" w:hAnsi="Arial" w:cs="Arial"/>
          <w:sz w:val="22"/>
          <w:szCs w:val="22"/>
        </w:rPr>
      </w:pPr>
      <w:r w:rsidRPr="00C95062">
        <w:rPr>
          <w:rFonts w:ascii="Arial" w:hAnsi="Arial" w:cs="Arial"/>
          <w:sz w:val="22"/>
          <w:szCs w:val="22"/>
        </w:rPr>
        <w:tab/>
      </w:r>
      <w:r w:rsidRPr="00C95062">
        <w:rPr>
          <w:rFonts w:ascii="Arial" w:hAnsi="Arial" w:cs="Arial"/>
          <w:sz w:val="22"/>
          <w:szCs w:val="22"/>
        </w:rPr>
        <w:tab/>
        <w:t xml:space="preserve">Esto significa que para que un proponente, en virtud de lo dispuesto en el numeral 2.10, literal F, pueda ser adjudicatario de un lote adicional, debe estar habilitado en lo que a la capacidad residual de ese lote respecta. Esto supone que su CRP sea mayor a la sumatoria de los CRPC del lote inicialmente adjudicado y la del lote en el que se ha determinado la inexistencia de otros proponentes a los cuales adjudicar, independientemente de que haya sido habilitado o no en otros lotes en los que haya presentado oferta, conforme se desprende de la aplicación de la segunda subregla. </w:t>
      </w:r>
    </w:p>
    <w:p w14:paraId="5B59E205" w14:textId="327166F3" w:rsidR="00B66316" w:rsidRPr="00C95062" w:rsidRDefault="00EB45E4" w:rsidP="0077368F">
      <w:pPr>
        <w:tabs>
          <w:tab w:val="left" w:pos="426"/>
        </w:tabs>
        <w:spacing w:line="276" w:lineRule="auto"/>
        <w:ind w:firstLine="709"/>
        <w:jc w:val="both"/>
        <w:rPr>
          <w:rFonts w:ascii="Arial" w:eastAsia="Arial" w:hAnsi="Arial" w:cs="Arial"/>
          <w:sz w:val="22"/>
          <w:szCs w:val="22"/>
          <w:lang w:eastAsia="es-ES" w:bidi="es-ES"/>
        </w:rPr>
      </w:pPr>
      <w:r w:rsidRPr="00C95062">
        <w:rPr>
          <w:rFonts w:ascii="Arial" w:hAnsi="Arial" w:cs="Arial"/>
          <w:sz w:val="22"/>
          <w:szCs w:val="22"/>
          <w:shd w:val="clear" w:color="auto" w:fill="FFFFFF"/>
        </w:rPr>
        <w:t xml:space="preserve">De acuerdo con lo anterior, independientemente de que la entidad estatal disponga que solo se puede ser adjudicatario de un lote, de permitirse la presentación de ofertas para </w:t>
      </w:r>
      <w:r w:rsidRPr="00C95062">
        <w:rPr>
          <w:rFonts w:ascii="Arial" w:hAnsi="Arial" w:cs="Arial"/>
          <w:sz w:val="22"/>
          <w:szCs w:val="22"/>
          <w:shd w:val="clear" w:color="auto" w:fill="FFFFFF"/>
        </w:rPr>
        <w:lastRenderedPageBreak/>
        <w:t xml:space="preserve">varios lotes o en el caso que un proponente presente ofertas para varios lotes, para determinar si este se encuentra habilitado, en lo que se refiere a la capacidad residual, deberá determinarse si la CRP es superior a la sumatoria de los coeficientes de CRPC de los lotes a los que haya presentado oferta. De no cumplirse con lo anterior, la entidad estatal deberá descontar los lotes de menor valor, y habilitar al proponente para los lotes de mayor valor cuyos CRPC sumados sean inferiores al CRP del oferente. </w:t>
      </w:r>
    </w:p>
    <w:p w14:paraId="7F57FD24" w14:textId="7F807822" w:rsidR="00D50414" w:rsidRPr="00C95062" w:rsidRDefault="00D50414" w:rsidP="0077368F">
      <w:pPr>
        <w:spacing w:line="276" w:lineRule="auto"/>
        <w:ind w:firstLine="709"/>
        <w:jc w:val="both"/>
        <w:rPr>
          <w:rFonts w:ascii="Arial" w:eastAsia="Arial" w:hAnsi="Arial" w:cs="Arial"/>
          <w:sz w:val="22"/>
          <w:szCs w:val="22"/>
          <w:lang w:eastAsia="es-ES" w:bidi="es-ES"/>
        </w:rPr>
      </w:pPr>
    </w:p>
    <w:p w14:paraId="1ED03E71" w14:textId="7E8DBCEA" w:rsidR="00D62F13" w:rsidRPr="00C95062" w:rsidRDefault="00D62F13" w:rsidP="0077368F">
      <w:pPr>
        <w:pStyle w:val="Prrafodelista"/>
        <w:numPr>
          <w:ilvl w:val="0"/>
          <w:numId w:val="8"/>
        </w:numPr>
        <w:spacing w:after="120" w:line="276" w:lineRule="auto"/>
        <w:jc w:val="both"/>
        <w:rPr>
          <w:rFonts w:ascii="Arial" w:eastAsia="Arial" w:hAnsi="Arial" w:cs="Arial"/>
          <w:b/>
          <w:bCs/>
          <w:sz w:val="22"/>
          <w:lang w:eastAsia="es-ES" w:bidi="es-ES"/>
        </w:rPr>
      </w:pPr>
      <w:r w:rsidRPr="00C95062">
        <w:rPr>
          <w:rFonts w:ascii="Arial" w:eastAsia="Arial" w:hAnsi="Arial" w:cs="Arial"/>
          <w:b/>
          <w:bCs/>
          <w:sz w:val="22"/>
          <w:lang w:eastAsia="es-ES" w:bidi="es-ES"/>
        </w:rPr>
        <w:t>Respuesta</w:t>
      </w:r>
    </w:p>
    <w:p w14:paraId="680C653A" w14:textId="77777777" w:rsidR="003B0CB0" w:rsidRPr="00C95062" w:rsidRDefault="003B0CB0" w:rsidP="0077368F">
      <w:pPr>
        <w:ind w:left="709" w:right="709"/>
        <w:jc w:val="both"/>
        <w:rPr>
          <w:rFonts w:ascii="Arial" w:eastAsia="Arial" w:hAnsi="Arial" w:cs="Arial"/>
          <w:sz w:val="21"/>
          <w:szCs w:val="21"/>
          <w:lang w:eastAsia="es-ES" w:bidi="es-ES"/>
        </w:rPr>
      </w:pPr>
      <w:r w:rsidRPr="00C95062">
        <w:rPr>
          <w:rFonts w:ascii="Arial" w:eastAsia="Arial" w:hAnsi="Arial" w:cs="Arial"/>
          <w:sz w:val="21"/>
          <w:szCs w:val="21"/>
          <w:lang w:eastAsia="es-ES" w:bidi="es-ES"/>
        </w:rPr>
        <w:t xml:space="preserve">«En un proceso de selección, bajo la Modalidad de Licitación Pública, respecto al Cálculo de CAPACIDAD RESIDUAL, tengo la siguiente duda/pregunta: </w:t>
      </w:r>
    </w:p>
    <w:p w14:paraId="3E9461AC" w14:textId="77777777" w:rsidR="003B0CB0" w:rsidRPr="00C95062" w:rsidRDefault="003B0CB0" w:rsidP="0077368F">
      <w:pPr>
        <w:ind w:left="709" w:right="709"/>
        <w:jc w:val="both"/>
        <w:rPr>
          <w:rFonts w:ascii="Arial" w:eastAsia="Arial" w:hAnsi="Arial" w:cs="Arial"/>
          <w:sz w:val="21"/>
          <w:szCs w:val="21"/>
          <w:lang w:eastAsia="es-ES" w:bidi="es-ES"/>
        </w:rPr>
      </w:pPr>
    </w:p>
    <w:p w14:paraId="5D73EA22" w14:textId="77777777" w:rsidR="003B0CB0" w:rsidRPr="00C95062" w:rsidRDefault="003B0CB0" w:rsidP="0077368F">
      <w:pPr>
        <w:ind w:left="709" w:right="709"/>
        <w:jc w:val="both"/>
        <w:rPr>
          <w:rFonts w:ascii="Arial" w:eastAsia="Arial" w:hAnsi="Arial" w:cs="Arial"/>
          <w:sz w:val="21"/>
          <w:szCs w:val="21"/>
          <w:lang w:eastAsia="es-ES" w:bidi="es-ES"/>
        </w:rPr>
      </w:pPr>
      <w:r w:rsidRPr="00C95062">
        <w:rPr>
          <w:rFonts w:ascii="Arial" w:eastAsia="Arial" w:hAnsi="Arial" w:cs="Arial"/>
          <w:sz w:val="21"/>
          <w:szCs w:val="21"/>
          <w:lang w:eastAsia="es-ES" w:bidi="es-ES"/>
        </w:rPr>
        <w:t xml:space="preserve">El cálculo / puntaje por el FACTOR EXPERIENCIA (E) se determina por medio de la relación entre: i) el valor total en Pesos de los contratos relacionados con la actividad de la construcción inscritos por el Proponente en el RUP, en el segmento 72 “Servicios de Edificación, Construcción de Instalaciones y Mantenimiento” del Clasificador de Bienes y Servicios; y ii) el Presupuesto Oficial del Proceso de Contratación. </w:t>
      </w:r>
    </w:p>
    <w:p w14:paraId="42EA14B6" w14:textId="77777777" w:rsidR="003B0CB0" w:rsidRPr="00C95062" w:rsidRDefault="003B0CB0" w:rsidP="0077368F">
      <w:pPr>
        <w:ind w:left="709" w:right="709"/>
        <w:jc w:val="both"/>
        <w:rPr>
          <w:rFonts w:ascii="Arial" w:eastAsia="Arial" w:hAnsi="Arial" w:cs="Arial"/>
          <w:sz w:val="21"/>
          <w:szCs w:val="21"/>
          <w:lang w:eastAsia="es-ES" w:bidi="es-ES"/>
        </w:rPr>
      </w:pPr>
    </w:p>
    <w:p w14:paraId="6F17F5B5" w14:textId="20055B24" w:rsidR="003B0CB0" w:rsidRPr="00C95062" w:rsidRDefault="003B0CB0" w:rsidP="0077368F">
      <w:pPr>
        <w:ind w:left="709" w:right="709"/>
        <w:jc w:val="both"/>
        <w:rPr>
          <w:rFonts w:ascii="Arial" w:eastAsia="Arial" w:hAnsi="Arial" w:cs="Arial"/>
          <w:sz w:val="21"/>
          <w:szCs w:val="21"/>
          <w:lang w:eastAsia="es-ES" w:bidi="es-ES"/>
        </w:rPr>
      </w:pPr>
      <w:r w:rsidRPr="00C95062">
        <w:rPr>
          <w:rFonts w:ascii="Arial" w:eastAsia="Arial" w:hAnsi="Arial" w:cs="Arial"/>
          <w:sz w:val="21"/>
          <w:szCs w:val="21"/>
          <w:lang w:eastAsia="es-ES" w:bidi="es-ES"/>
        </w:rPr>
        <w:t>¿Cuándo el Proceso de Selección, en este caso Licitación Pública está estructurado en LOTES y/o GRUPOS, ese valor de ́</w:t>
      </w:r>
      <w:r w:rsidR="0077368F" w:rsidRPr="00C95062">
        <w:rPr>
          <w:rFonts w:ascii="Arial" w:eastAsia="Arial" w:hAnsi="Arial" w:cs="Arial"/>
          <w:sz w:val="21"/>
          <w:szCs w:val="21"/>
          <w:lang w:eastAsia="es-ES" w:bidi="es-ES"/>
        </w:rPr>
        <w:t>¿PRESUPUESTO OFICIAL, corresponde al valor del PRESUPUESTO OFICIAL DEL GRUPO al cual presento oferta o al valor de la sumatoria de los PRESUPUESTOS OFICIALES de los GRUPOS a los cuales presento oferta?</w:t>
      </w:r>
      <w:r w:rsidRPr="00C95062">
        <w:rPr>
          <w:rFonts w:ascii="Arial" w:eastAsia="Arial" w:hAnsi="Arial" w:cs="Arial"/>
          <w:sz w:val="21"/>
          <w:szCs w:val="21"/>
          <w:lang w:eastAsia="es-ES" w:bidi="es-ES"/>
        </w:rPr>
        <w:t>».</w:t>
      </w:r>
    </w:p>
    <w:p w14:paraId="5399FB13" w14:textId="6A679C5E" w:rsidR="003B0CB0" w:rsidRPr="00C95062" w:rsidRDefault="003B0CB0" w:rsidP="0077368F">
      <w:pPr>
        <w:spacing w:line="276" w:lineRule="auto"/>
        <w:jc w:val="both"/>
        <w:rPr>
          <w:rFonts w:ascii="Arial" w:eastAsia="Arial" w:hAnsi="Arial" w:cs="Arial"/>
          <w:b/>
          <w:bCs/>
          <w:sz w:val="22"/>
          <w:lang w:eastAsia="es-ES" w:bidi="es-ES"/>
        </w:rPr>
      </w:pPr>
    </w:p>
    <w:p w14:paraId="29A613D4" w14:textId="77777777" w:rsidR="009838E9" w:rsidRPr="00C95062" w:rsidRDefault="003B0CB0" w:rsidP="0077368F">
      <w:pPr>
        <w:spacing w:after="120" w:line="276" w:lineRule="auto"/>
        <w:jc w:val="both"/>
        <w:rPr>
          <w:rFonts w:ascii="Arial" w:eastAsia="Calibri" w:hAnsi="Arial" w:cs="Arial"/>
          <w:sz w:val="22"/>
          <w:szCs w:val="22"/>
          <w:lang w:eastAsia="en-US"/>
        </w:rPr>
      </w:pPr>
      <w:r w:rsidRPr="00C95062">
        <w:rPr>
          <w:rFonts w:ascii="Arial" w:eastAsia="Arial" w:hAnsi="Arial" w:cs="Arial"/>
          <w:sz w:val="22"/>
          <w:szCs w:val="22"/>
          <w:lang w:eastAsia="es-ES" w:bidi="es-ES"/>
        </w:rPr>
        <w:t>Con</w:t>
      </w:r>
      <w:r w:rsidR="000953A2" w:rsidRPr="00C95062">
        <w:rPr>
          <w:rFonts w:ascii="Arial" w:eastAsia="Arial" w:hAnsi="Arial" w:cs="Arial"/>
          <w:sz w:val="22"/>
          <w:szCs w:val="22"/>
          <w:lang w:eastAsia="es-ES" w:bidi="es-ES"/>
        </w:rPr>
        <w:t xml:space="preserve">forme a lo expuesto, en la generalidad de procesos de contratación de obra pública </w:t>
      </w:r>
      <w:r w:rsidR="008958BD" w:rsidRPr="00C95062">
        <w:rPr>
          <w:rFonts w:ascii="Arial" w:eastAsia="Arial" w:hAnsi="Arial" w:cs="Arial"/>
          <w:sz w:val="22"/>
          <w:szCs w:val="22"/>
          <w:lang w:eastAsia="es-ES" w:bidi="es-ES"/>
        </w:rPr>
        <w:t xml:space="preserve">debe ser verificada en aplicación de la metodología de establecida en la </w:t>
      </w:r>
      <w:r w:rsidR="008958BD" w:rsidRPr="00C95062">
        <w:rPr>
          <w:rFonts w:ascii="Arial" w:eastAsia="Calibri" w:hAnsi="Arial" w:cs="Arial"/>
          <w:color w:val="0D0D0D"/>
          <w:sz w:val="22"/>
          <w:szCs w:val="22"/>
          <w:bdr w:val="none" w:sz="0" w:space="0" w:color="auto" w:frame="1"/>
          <w:lang w:eastAsia="es-CO"/>
        </w:rPr>
        <w:t>«Guía para Determinar y Verificar la Capacidad Residual del Proponente en los Procesos de Contratación de Obra Pública</w:t>
      </w:r>
      <w:r w:rsidR="008958BD" w:rsidRPr="00C95062">
        <w:rPr>
          <w:rFonts w:ascii="Arial" w:eastAsia="Calibri" w:hAnsi="Arial" w:cs="Arial"/>
          <w:sz w:val="22"/>
          <w:szCs w:val="22"/>
          <w:lang w:eastAsia="en-US"/>
        </w:rPr>
        <w:t>» expedida por la Agencia Nacional de Contratación Pública.</w:t>
      </w:r>
      <w:r w:rsidR="00256635" w:rsidRPr="00C95062">
        <w:rPr>
          <w:rFonts w:ascii="Arial" w:eastAsia="Calibri" w:hAnsi="Arial" w:cs="Arial"/>
          <w:sz w:val="22"/>
          <w:szCs w:val="22"/>
          <w:lang w:eastAsia="en-US"/>
        </w:rPr>
        <w:t xml:space="preserve"> Tratándose de procesos estructurados por lotes, corresponde a las entidades incluir en los pliegos de condiciones las reglas que resulten adecuadas y proporcionadas para </w:t>
      </w:r>
      <w:r w:rsidR="00E03114" w:rsidRPr="00C95062">
        <w:rPr>
          <w:rFonts w:ascii="Arial" w:eastAsia="Calibri" w:hAnsi="Arial" w:cs="Arial"/>
          <w:sz w:val="22"/>
          <w:szCs w:val="22"/>
          <w:lang w:eastAsia="en-US"/>
        </w:rPr>
        <w:t xml:space="preserve">evaluar la capacidad residual de los proponentes </w:t>
      </w:r>
      <w:r w:rsidR="009838E9" w:rsidRPr="00C95062">
        <w:rPr>
          <w:rFonts w:ascii="Arial" w:eastAsia="Calibri" w:hAnsi="Arial" w:cs="Arial"/>
          <w:sz w:val="22"/>
          <w:szCs w:val="22"/>
          <w:lang w:eastAsia="en-US"/>
        </w:rPr>
        <w:t xml:space="preserve">en consideración a las condiciones particulares </w:t>
      </w:r>
      <w:proofErr w:type="gramStart"/>
      <w:r w:rsidR="009838E9" w:rsidRPr="00C95062">
        <w:rPr>
          <w:rFonts w:ascii="Arial" w:eastAsia="Calibri" w:hAnsi="Arial" w:cs="Arial"/>
          <w:sz w:val="22"/>
          <w:szCs w:val="22"/>
          <w:lang w:eastAsia="en-US"/>
        </w:rPr>
        <w:t>del procesos</w:t>
      </w:r>
      <w:proofErr w:type="gramEnd"/>
      <w:r w:rsidR="009838E9" w:rsidRPr="00C95062">
        <w:rPr>
          <w:rFonts w:ascii="Arial" w:eastAsia="Calibri" w:hAnsi="Arial" w:cs="Arial"/>
          <w:sz w:val="22"/>
          <w:szCs w:val="22"/>
          <w:lang w:eastAsia="en-US"/>
        </w:rPr>
        <w:t xml:space="preserve"> de contratación, y con sujeción </w:t>
      </w:r>
      <w:r w:rsidR="00E03114" w:rsidRPr="00C95062">
        <w:rPr>
          <w:rFonts w:ascii="Arial" w:eastAsia="Calibri" w:hAnsi="Arial" w:cs="Arial"/>
          <w:sz w:val="22"/>
          <w:szCs w:val="22"/>
          <w:lang w:eastAsia="en-US"/>
        </w:rPr>
        <w:t>la metod</w:t>
      </w:r>
      <w:r w:rsidR="009838E9" w:rsidRPr="00C95062">
        <w:rPr>
          <w:rFonts w:ascii="Arial" w:eastAsia="Calibri" w:hAnsi="Arial" w:cs="Arial"/>
          <w:sz w:val="22"/>
          <w:szCs w:val="22"/>
          <w:lang w:eastAsia="en-US"/>
        </w:rPr>
        <w:t>ología estandarizada en la guía.</w:t>
      </w:r>
    </w:p>
    <w:p w14:paraId="25A07FAE" w14:textId="0AEAFF2D" w:rsidR="002354ED" w:rsidRPr="002D5DF5" w:rsidRDefault="002354ED" w:rsidP="0077368F">
      <w:pPr>
        <w:spacing w:after="120" w:line="276" w:lineRule="auto"/>
        <w:ind w:firstLine="708"/>
        <w:jc w:val="both"/>
        <w:rPr>
          <w:rFonts w:ascii="Arial" w:eastAsia="Calibri" w:hAnsi="Arial" w:cs="Arial"/>
          <w:sz w:val="22"/>
          <w:szCs w:val="22"/>
        </w:rPr>
      </w:pPr>
      <w:r w:rsidRPr="00C95062">
        <w:rPr>
          <w:rFonts w:ascii="Arial" w:eastAsia="Calibri" w:hAnsi="Arial" w:cs="Arial"/>
          <w:sz w:val="22"/>
          <w:szCs w:val="22"/>
        </w:rPr>
        <w:t>De otra parte</w:t>
      </w:r>
      <w:r w:rsidR="00E83171" w:rsidRPr="00C95062">
        <w:rPr>
          <w:rFonts w:ascii="Arial" w:eastAsia="Calibri" w:hAnsi="Arial" w:cs="Arial"/>
          <w:sz w:val="22"/>
          <w:szCs w:val="22"/>
        </w:rPr>
        <w:t>,</w:t>
      </w:r>
      <w:r w:rsidRPr="00C95062">
        <w:rPr>
          <w:rFonts w:ascii="Arial" w:eastAsia="Calibri" w:hAnsi="Arial" w:cs="Arial"/>
          <w:sz w:val="22"/>
          <w:szCs w:val="22"/>
        </w:rPr>
        <w:t xml:space="preserve"> en los procesos de contratación de obra pública adelantados con </w:t>
      </w:r>
      <w:r w:rsidR="00E83171" w:rsidRPr="00C95062">
        <w:rPr>
          <w:rFonts w:ascii="Arial" w:eastAsia="Calibri" w:hAnsi="Arial" w:cs="Arial"/>
          <w:sz w:val="22"/>
          <w:szCs w:val="22"/>
        </w:rPr>
        <w:t>documentos tipo</w:t>
      </w:r>
      <w:r w:rsidRPr="00C95062">
        <w:rPr>
          <w:rFonts w:ascii="Arial" w:eastAsia="Calibri" w:hAnsi="Arial" w:cs="Arial"/>
          <w:sz w:val="22"/>
          <w:szCs w:val="22"/>
        </w:rPr>
        <w:t>, en los que en virtud de lo dispuesto en numeral 2.10, literal A del documento base, se determi</w:t>
      </w:r>
      <w:r w:rsidR="00E83171" w:rsidRPr="00C95062">
        <w:rPr>
          <w:rFonts w:ascii="Arial" w:eastAsia="Calibri" w:hAnsi="Arial" w:cs="Arial"/>
          <w:sz w:val="22"/>
          <w:szCs w:val="22"/>
        </w:rPr>
        <w:t>ne</w:t>
      </w:r>
      <w:r w:rsidRPr="00C95062">
        <w:rPr>
          <w:rFonts w:ascii="Arial" w:eastAsia="Calibri" w:hAnsi="Arial" w:cs="Arial"/>
          <w:sz w:val="22"/>
          <w:szCs w:val="22"/>
        </w:rPr>
        <w:t xml:space="preserve"> que, en principio, un proponente solo pueda ser adjudicatario de un lote, la capacidad residual debe calcularse conforme a la regla del inciso final del numeral 3.1</w:t>
      </w:r>
      <w:r w:rsidR="00E83171" w:rsidRPr="00C95062">
        <w:rPr>
          <w:rFonts w:ascii="Arial" w:eastAsia="Calibri" w:hAnsi="Arial" w:cs="Arial"/>
          <w:sz w:val="22"/>
          <w:szCs w:val="22"/>
        </w:rPr>
        <w:t>0</w:t>
      </w:r>
      <w:r w:rsidRPr="00C95062">
        <w:rPr>
          <w:rFonts w:ascii="Arial" w:eastAsia="Calibri" w:hAnsi="Arial" w:cs="Arial"/>
          <w:sz w:val="22"/>
          <w:szCs w:val="22"/>
        </w:rPr>
        <w:t>. De acuerdo con dicha regla, para que un proponente cumpla con la capacidad residual exigible, su CRP deberá ser superior a la sumatoria</w:t>
      </w:r>
      <w:r w:rsidRPr="002D5DF5">
        <w:rPr>
          <w:rFonts w:ascii="Arial" w:eastAsia="Calibri" w:hAnsi="Arial" w:cs="Arial"/>
          <w:sz w:val="22"/>
          <w:szCs w:val="22"/>
        </w:rPr>
        <w:t xml:space="preserve"> de las CRPC de los lotes a los que </w:t>
      </w:r>
      <w:r w:rsidRPr="002D5DF5">
        <w:rPr>
          <w:rFonts w:ascii="Arial" w:eastAsia="Calibri" w:hAnsi="Arial" w:cs="Arial"/>
          <w:sz w:val="22"/>
          <w:szCs w:val="22"/>
        </w:rPr>
        <w:lastRenderedPageBreak/>
        <w:t xml:space="preserve">presentó oferta. De no cumplirse lo anterior, la entidad deberá habilitar al proponente únicamente en los lotes de mayor valor cuya sumatoria de CRPC, sea inferior a la CRP del proponente. </w:t>
      </w:r>
    </w:p>
    <w:p w14:paraId="194EF8AD" w14:textId="7C47853B" w:rsidR="002354ED" w:rsidRPr="002D5DF5" w:rsidRDefault="002354ED" w:rsidP="002D5DF5">
      <w:pPr>
        <w:spacing w:line="276" w:lineRule="auto"/>
        <w:ind w:firstLine="709"/>
        <w:jc w:val="both"/>
        <w:rPr>
          <w:rFonts w:ascii="Arial" w:eastAsia="Calibri" w:hAnsi="Arial" w:cs="Arial"/>
          <w:sz w:val="22"/>
          <w:szCs w:val="22"/>
        </w:rPr>
      </w:pPr>
      <w:r w:rsidRPr="002D5DF5">
        <w:rPr>
          <w:rFonts w:ascii="Arial" w:eastAsia="Calibri" w:hAnsi="Arial" w:cs="Arial"/>
          <w:sz w:val="22"/>
          <w:szCs w:val="22"/>
        </w:rPr>
        <w:t xml:space="preserve">En concordancia con esto, en este tipo de procesos, para que un proponente pueda, eventualmente, ser adjudicatario de un lote adicional en virtud de lo dispuesto en el literal F del numeral 2.10 del </w:t>
      </w:r>
      <w:r w:rsidR="00B66316" w:rsidRPr="002D5DF5">
        <w:rPr>
          <w:rFonts w:ascii="Arial" w:eastAsia="Calibri" w:hAnsi="Arial" w:cs="Arial"/>
          <w:sz w:val="22"/>
          <w:szCs w:val="22"/>
        </w:rPr>
        <w:t>documento base</w:t>
      </w:r>
      <w:r w:rsidRPr="002D5DF5">
        <w:rPr>
          <w:rFonts w:ascii="Arial" w:eastAsia="Calibri" w:hAnsi="Arial" w:cs="Arial"/>
          <w:sz w:val="22"/>
          <w:szCs w:val="22"/>
        </w:rPr>
        <w:t>, debe estar habilitado conforme a la mencionada regla para la evaluación de la capacidad residual, lo que implica que la CRP sea al menos superior a la sumatoria de las CRPC del lote inicialmente adjudicado y la del lote adicional, independientemente de que haya sido o no habilitado para los demás lotes en los que presentó ofertas.</w:t>
      </w:r>
      <w:r w:rsidRPr="002D5DF5">
        <w:rPr>
          <w:rFonts w:ascii="Arial" w:eastAsia="Calibri" w:hAnsi="Arial" w:cs="Arial"/>
          <w:sz w:val="22"/>
          <w:szCs w:val="22"/>
        </w:rPr>
        <w:tab/>
      </w:r>
    </w:p>
    <w:p w14:paraId="39B998C9" w14:textId="06990A93" w:rsidR="00E83171" w:rsidRPr="002D5DF5" w:rsidRDefault="00E03114" w:rsidP="002D5DF5">
      <w:pPr>
        <w:spacing w:after="120" w:line="276" w:lineRule="auto"/>
        <w:jc w:val="both"/>
        <w:rPr>
          <w:rFonts w:ascii="Arial" w:hAnsi="Arial" w:cs="Arial"/>
          <w:color w:val="000000" w:themeColor="text1"/>
          <w:sz w:val="22"/>
          <w:szCs w:val="22"/>
          <w:lang w:val="es-ES_tradnl"/>
        </w:rPr>
      </w:pPr>
      <w:r w:rsidRPr="002D5DF5">
        <w:rPr>
          <w:rFonts w:ascii="Arial" w:eastAsia="Calibri" w:hAnsi="Arial" w:cs="Arial"/>
          <w:sz w:val="22"/>
          <w:szCs w:val="22"/>
          <w:lang w:eastAsia="en-US"/>
        </w:rPr>
        <w:t xml:space="preserve"> </w:t>
      </w:r>
      <w:bookmarkEnd w:id="9"/>
    </w:p>
    <w:p w14:paraId="056816F7" w14:textId="3692D31C" w:rsidR="00D40F8B" w:rsidRPr="002D5DF5" w:rsidRDefault="00DD5B04" w:rsidP="002D5DF5">
      <w:pPr>
        <w:spacing w:after="120" w:line="276" w:lineRule="auto"/>
        <w:jc w:val="both"/>
        <w:rPr>
          <w:rFonts w:ascii="Arial" w:hAnsi="Arial" w:cs="Arial"/>
          <w:color w:val="000000" w:themeColor="text1"/>
          <w:sz w:val="22"/>
          <w:szCs w:val="22"/>
          <w:lang w:val="es-ES_tradnl"/>
        </w:rPr>
      </w:pPr>
      <w:r w:rsidRPr="002D5DF5">
        <w:rPr>
          <w:rFonts w:ascii="Arial" w:hAnsi="Arial" w:cs="Arial"/>
          <w:color w:val="000000" w:themeColor="text1"/>
          <w:sz w:val="22"/>
          <w:szCs w:val="22"/>
          <w:lang w:val="es-ES_tradnl"/>
        </w:rPr>
        <w:t>Este concepto tiene el alcance previsto en el artículo 28 del Código de Procedimiento Administrativo y de</w:t>
      </w:r>
      <w:r w:rsidR="00D40F8B" w:rsidRPr="002D5DF5">
        <w:rPr>
          <w:rFonts w:ascii="Arial" w:hAnsi="Arial" w:cs="Arial"/>
          <w:color w:val="000000" w:themeColor="text1"/>
          <w:sz w:val="22"/>
          <w:szCs w:val="22"/>
          <w:lang w:val="es-ES_tradnl"/>
        </w:rPr>
        <w:t xml:space="preserve"> lo Contencioso Administrativo.</w:t>
      </w:r>
    </w:p>
    <w:p w14:paraId="6F54E9C9" w14:textId="77777777" w:rsidR="00003233" w:rsidRPr="0005138F" w:rsidRDefault="00003233" w:rsidP="00D40F8B">
      <w:pPr>
        <w:spacing w:before="120" w:line="276" w:lineRule="auto"/>
        <w:jc w:val="both"/>
        <w:rPr>
          <w:rFonts w:ascii="Arial" w:hAnsi="Arial" w:cs="Arial"/>
          <w:color w:val="000000" w:themeColor="text1"/>
          <w:sz w:val="22"/>
          <w:lang w:val="es-ES_tradnl"/>
        </w:rPr>
      </w:pPr>
    </w:p>
    <w:p w14:paraId="349855C9" w14:textId="12261EAB" w:rsidR="00D40F8B" w:rsidRPr="0005138F"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5138F">
        <w:rPr>
          <w:rFonts w:ascii="Arial" w:hAnsi="Arial" w:cs="Arial"/>
          <w:color w:val="000000" w:themeColor="text1"/>
          <w:sz w:val="22"/>
          <w:szCs w:val="22"/>
          <w:lang w:val="es-ES_tradnl"/>
        </w:rPr>
        <w:t>Atentamente,</w:t>
      </w:r>
    </w:p>
    <w:p w14:paraId="7C5FF5E4" w14:textId="2CC34AEE" w:rsidR="00523E23" w:rsidRDefault="00523E23" w:rsidP="00411715">
      <w:pPr>
        <w:pStyle w:val="NormalWeb"/>
        <w:spacing w:before="0" w:beforeAutospacing="0" w:after="0" w:afterAutospacing="0" w:line="276" w:lineRule="auto"/>
        <w:jc w:val="center"/>
        <w:rPr>
          <w:rFonts w:ascii="Geomanist Light" w:hAnsi="Geomanist Light"/>
          <w:noProof/>
          <w:color w:val="000000" w:themeColor="text1"/>
        </w:rPr>
      </w:pPr>
    </w:p>
    <w:p w14:paraId="4F1326C6" w14:textId="2F68D0FB" w:rsidR="000A6FE9" w:rsidRPr="0005138F" w:rsidRDefault="000A6FE9" w:rsidP="00411715">
      <w:pPr>
        <w:pStyle w:val="NormalWeb"/>
        <w:spacing w:before="0" w:beforeAutospacing="0" w:after="0" w:afterAutospacing="0" w:line="276" w:lineRule="auto"/>
        <w:jc w:val="center"/>
        <w:rPr>
          <w:rFonts w:ascii="Geomanist Light" w:hAnsi="Geomanist Light"/>
          <w:noProof/>
          <w:color w:val="000000" w:themeColor="text1"/>
        </w:rPr>
      </w:pPr>
      <w:r>
        <w:rPr>
          <w:noProof/>
        </w:rPr>
        <w:drawing>
          <wp:inline distT="0" distB="0" distL="0" distR="0" wp14:anchorId="351BB228" wp14:editId="028E7D47">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3"/>
                    <a:stretch>
                      <a:fillRect/>
                    </a:stretch>
                  </pic:blipFill>
                  <pic:spPr>
                    <a:xfrm>
                      <a:off x="0" y="0"/>
                      <a:ext cx="2534004" cy="981212"/>
                    </a:xfrm>
                    <a:prstGeom prst="rect">
                      <a:avLst/>
                    </a:prstGeom>
                  </pic:spPr>
                </pic:pic>
              </a:graphicData>
            </a:graphic>
          </wp:inline>
        </w:drawing>
      </w:r>
    </w:p>
    <w:p w14:paraId="6D40A493" w14:textId="77777777" w:rsidR="00411715" w:rsidRPr="0005138F" w:rsidRDefault="00411715"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05138F" w14:paraId="0C7DC5F7" w14:textId="77777777" w:rsidTr="003B5586">
        <w:trPr>
          <w:trHeight w:val="124"/>
        </w:trPr>
        <w:tc>
          <w:tcPr>
            <w:tcW w:w="828" w:type="dxa"/>
            <w:vAlign w:val="center"/>
            <w:hideMark/>
          </w:tcPr>
          <w:p w14:paraId="5BDB1AC9" w14:textId="77777777" w:rsidR="00DD5B04" w:rsidRPr="0005138F" w:rsidRDefault="00DD5B04" w:rsidP="00DF76A2">
            <w:pPr>
              <w:jc w:val="both"/>
              <w:rPr>
                <w:rFonts w:ascii="Arial" w:hAnsi="Arial" w:cs="Arial"/>
                <w:color w:val="000000" w:themeColor="text1"/>
                <w:sz w:val="16"/>
                <w:szCs w:val="16"/>
                <w:lang w:val="es-ES_tradnl" w:eastAsia="es-ES"/>
              </w:rPr>
            </w:pPr>
            <w:r w:rsidRPr="0005138F">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42488358" w14:textId="42FA6CF4" w:rsidR="00DD5B04" w:rsidRPr="0005138F" w:rsidRDefault="00523E23" w:rsidP="00DF76A2">
            <w:pPr>
              <w:jc w:val="both"/>
              <w:rPr>
                <w:rFonts w:ascii="Arial" w:hAnsi="Arial" w:cs="Arial"/>
                <w:color w:val="000000" w:themeColor="text1"/>
                <w:sz w:val="16"/>
                <w:szCs w:val="16"/>
                <w:lang w:val="es-ES_tradnl" w:eastAsia="es-ES"/>
              </w:rPr>
            </w:pPr>
            <w:r w:rsidRPr="0005138F">
              <w:rPr>
                <w:rFonts w:ascii="Arial" w:hAnsi="Arial" w:cs="Arial"/>
                <w:color w:val="000000" w:themeColor="text1"/>
                <w:sz w:val="16"/>
                <w:szCs w:val="16"/>
                <w:lang w:val="es-ES_tradnl" w:eastAsia="es-ES"/>
              </w:rPr>
              <w:t>Daniela Zapata Arboleda</w:t>
            </w:r>
          </w:p>
          <w:p w14:paraId="240C71FD" w14:textId="7AE5F422" w:rsidR="00411715" w:rsidRPr="0005138F" w:rsidRDefault="00411715" w:rsidP="00DF76A2">
            <w:pPr>
              <w:jc w:val="both"/>
              <w:rPr>
                <w:rFonts w:ascii="Arial" w:hAnsi="Arial" w:cs="Arial"/>
                <w:color w:val="000000" w:themeColor="text1"/>
                <w:sz w:val="16"/>
                <w:szCs w:val="16"/>
                <w:lang w:val="es-ES_tradnl" w:eastAsia="es-ES"/>
              </w:rPr>
            </w:pPr>
            <w:r w:rsidRPr="0005138F">
              <w:rPr>
                <w:rFonts w:ascii="Arial" w:hAnsi="Arial" w:cs="Arial"/>
                <w:color w:val="000000" w:themeColor="text1"/>
                <w:sz w:val="16"/>
                <w:szCs w:val="16"/>
                <w:lang w:val="es-ES_tradnl" w:eastAsia="es-ES"/>
              </w:rPr>
              <w:t xml:space="preserve">Contratista de la Subdirección de Gestión Contractual </w:t>
            </w:r>
          </w:p>
        </w:tc>
      </w:tr>
      <w:tr w:rsidR="00DD5B04" w:rsidRPr="0005138F" w14:paraId="2F8FD650" w14:textId="77777777" w:rsidTr="003B5586">
        <w:trPr>
          <w:trHeight w:val="256"/>
        </w:trPr>
        <w:tc>
          <w:tcPr>
            <w:tcW w:w="828" w:type="dxa"/>
            <w:vAlign w:val="center"/>
            <w:hideMark/>
          </w:tcPr>
          <w:p w14:paraId="50203A0B" w14:textId="77777777" w:rsidR="00DD5B04" w:rsidRPr="0005138F" w:rsidRDefault="00DD5B04" w:rsidP="00DF76A2">
            <w:pPr>
              <w:jc w:val="both"/>
              <w:rPr>
                <w:rFonts w:ascii="Arial" w:hAnsi="Arial" w:cs="Arial"/>
                <w:color w:val="000000" w:themeColor="text1"/>
                <w:sz w:val="16"/>
                <w:szCs w:val="16"/>
                <w:lang w:val="es-ES_tradnl" w:eastAsia="es-ES"/>
              </w:rPr>
            </w:pPr>
            <w:r w:rsidRPr="0005138F">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3A262D0" w14:textId="72BBA8AE" w:rsidR="00384466" w:rsidRPr="0005138F" w:rsidRDefault="00AF400A" w:rsidP="00F412DF">
            <w:pPr>
              <w:jc w:val="both"/>
              <w:rPr>
                <w:rFonts w:ascii="Arial" w:hAnsi="Arial" w:cs="Arial"/>
                <w:color w:val="000000" w:themeColor="text1"/>
                <w:sz w:val="16"/>
                <w:szCs w:val="16"/>
                <w:lang w:val="es-ES_tradnl" w:eastAsia="es-ES"/>
              </w:rPr>
            </w:pPr>
            <w:r w:rsidRPr="0005138F">
              <w:rPr>
                <w:rFonts w:ascii="Arial" w:hAnsi="Arial" w:cs="Arial"/>
                <w:color w:val="000000" w:themeColor="text1"/>
                <w:sz w:val="16"/>
                <w:szCs w:val="16"/>
                <w:lang w:val="es-ES_tradnl" w:eastAsia="es-ES"/>
              </w:rPr>
              <w:t xml:space="preserve">Alejandro Sarmiento Cantillo </w:t>
            </w:r>
          </w:p>
          <w:p w14:paraId="130B3228" w14:textId="1333639D" w:rsidR="0070439B" w:rsidRPr="0005138F" w:rsidRDefault="00AF400A" w:rsidP="00AF400A">
            <w:pPr>
              <w:jc w:val="both"/>
              <w:rPr>
                <w:rFonts w:ascii="Arial" w:hAnsi="Arial" w:cs="Arial"/>
                <w:color w:val="000000" w:themeColor="text1"/>
                <w:sz w:val="16"/>
                <w:szCs w:val="16"/>
                <w:lang w:val="es-ES" w:eastAsia="es-ES"/>
              </w:rPr>
            </w:pPr>
            <w:r w:rsidRPr="0005138F">
              <w:rPr>
                <w:rFonts w:ascii="Arial" w:hAnsi="Arial" w:cs="Arial"/>
                <w:color w:val="000000" w:themeColor="text1"/>
                <w:sz w:val="16"/>
                <w:szCs w:val="16"/>
                <w:lang w:val="es-ES_tradnl" w:eastAsia="es-ES"/>
              </w:rPr>
              <w:t xml:space="preserve">Gestor T1-15 </w:t>
            </w:r>
            <w:r w:rsidR="00B22D35" w:rsidRPr="0005138F">
              <w:rPr>
                <w:rFonts w:ascii="Arial" w:hAnsi="Arial" w:cs="Arial"/>
                <w:color w:val="000000" w:themeColor="text1"/>
                <w:sz w:val="16"/>
                <w:szCs w:val="16"/>
                <w:lang w:val="es-ES_tradnl" w:eastAsia="es-ES"/>
              </w:rPr>
              <w:t>de la Subdirección de Gestión Contractual</w:t>
            </w:r>
            <w:r w:rsidR="00B22D35" w:rsidRPr="0005138F" w:rsidDel="00B22D35">
              <w:rPr>
                <w:rFonts w:ascii="Arial" w:hAnsi="Arial" w:cs="Arial"/>
                <w:color w:val="000000"/>
                <w:sz w:val="16"/>
                <w:szCs w:val="16"/>
                <w:shd w:val="clear" w:color="auto" w:fill="FFFFFF"/>
              </w:rPr>
              <w:t xml:space="preserve"> </w:t>
            </w:r>
          </w:p>
        </w:tc>
      </w:tr>
      <w:tr w:rsidR="00DD5B04" w:rsidRPr="00D40F8B" w14:paraId="0FCBCA4A" w14:textId="77777777" w:rsidTr="003B5586">
        <w:trPr>
          <w:trHeight w:val="233"/>
        </w:trPr>
        <w:tc>
          <w:tcPr>
            <w:tcW w:w="828" w:type="dxa"/>
            <w:vAlign w:val="center"/>
            <w:hideMark/>
          </w:tcPr>
          <w:p w14:paraId="3C1D943A" w14:textId="77777777" w:rsidR="00DD5B04" w:rsidRPr="0005138F" w:rsidRDefault="00DD5B04" w:rsidP="00DF76A2">
            <w:pPr>
              <w:jc w:val="both"/>
              <w:rPr>
                <w:rFonts w:ascii="Arial" w:hAnsi="Arial" w:cs="Arial"/>
                <w:color w:val="000000" w:themeColor="text1"/>
                <w:sz w:val="16"/>
                <w:szCs w:val="16"/>
                <w:lang w:val="es-ES_tradnl" w:eastAsia="es-ES"/>
              </w:rPr>
            </w:pPr>
            <w:r w:rsidRPr="0005138F">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4486817" w14:textId="77777777" w:rsidR="00573788" w:rsidRPr="0005138F" w:rsidRDefault="00573788" w:rsidP="00573788">
            <w:r w:rsidRPr="0005138F">
              <w:rPr>
                <w:rFonts w:ascii="Arial" w:eastAsia="Arial" w:hAnsi="Arial" w:cs="Arial"/>
                <w:color w:val="000000"/>
                <w:sz w:val="16"/>
                <w:szCs w:val="16"/>
              </w:rPr>
              <w:t>Juan David Marín López</w:t>
            </w:r>
          </w:p>
          <w:p w14:paraId="1ADC483B" w14:textId="6E3ED0C2" w:rsidR="00DD5B04" w:rsidRPr="00D40F8B" w:rsidRDefault="00573788" w:rsidP="00DF76A2">
            <w:pPr>
              <w:jc w:val="both"/>
              <w:rPr>
                <w:rFonts w:ascii="Arial" w:hAnsi="Arial" w:cs="Arial"/>
                <w:color w:val="000000" w:themeColor="text1"/>
                <w:sz w:val="16"/>
                <w:szCs w:val="16"/>
                <w:lang w:val="es-ES_tradnl" w:eastAsia="es-ES"/>
              </w:rPr>
            </w:pPr>
            <w:r w:rsidRPr="0005138F">
              <w:rPr>
                <w:rFonts w:ascii="Arial" w:eastAsia="Arial" w:hAnsi="Arial" w:cs="Arial"/>
                <w:color w:val="000000"/>
                <w:sz w:val="16"/>
                <w:szCs w:val="16"/>
              </w:rPr>
              <w:t xml:space="preserve">Subdirector de Gestión </w:t>
            </w:r>
            <w:r w:rsidR="00AF400A" w:rsidRPr="0005138F">
              <w:rPr>
                <w:rFonts w:ascii="Arial" w:eastAsia="Arial" w:hAnsi="Arial" w:cs="Arial"/>
                <w:color w:val="000000"/>
                <w:sz w:val="16"/>
                <w:szCs w:val="16"/>
              </w:rPr>
              <w:t xml:space="preserve">Contractual </w:t>
            </w:r>
            <w:r w:rsidR="00B174FD" w:rsidRPr="0005138F">
              <w:rPr>
                <w:rFonts w:ascii="Arial" w:eastAsia="Arial" w:hAnsi="Arial" w:cs="Arial"/>
                <w:color w:val="000000"/>
                <w:sz w:val="16"/>
                <w:szCs w:val="16"/>
              </w:rPr>
              <w:t>(E)</w:t>
            </w:r>
          </w:p>
        </w:tc>
      </w:tr>
      <w:bookmarkEnd w:id="3"/>
    </w:tbl>
    <w:p w14:paraId="407E8F17" w14:textId="77777777" w:rsidR="00DD118B" w:rsidRPr="00E23980" w:rsidRDefault="00DD118B" w:rsidP="00947454">
      <w:pPr>
        <w:jc w:val="both"/>
        <w:rPr>
          <w:rFonts w:ascii="Arial" w:hAnsi="Arial" w:cs="Arial"/>
          <w:lang w:val="es-ES_tradnl"/>
        </w:rPr>
      </w:pPr>
    </w:p>
    <w:sectPr w:rsidR="00DD118B" w:rsidRPr="00E23980" w:rsidSect="006F436D">
      <w:headerReference w:type="default" r:id="rId14"/>
      <w:footerReference w:type="default" r:id="rId15"/>
      <w:pgSz w:w="12240" w:h="15840"/>
      <w:pgMar w:top="2410" w:right="1701" w:bottom="2694" w:left="156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3326" w14:textId="77777777" w:rsidR="00B560B1" w:rsidRDefault="00B560B1">
      <w:r>
        <w:separator/>
      </w:r>
    </w:p>
  </w:endnote>
  <w:endnote w:type="continuationSeparator" w:id="0">
    <w:p w14:paraId="5E8C5A11" w14:textId="77777777" w:rsidR="00B560B1" w:rsidRDefault="00B560B1">
      <w:r>
        <w:continuationSeparator/>
      </w:r>
    </w:p>
  </w:endnote>
  <w:endnote w:type="continuationNotice" w:id="1">
    <w:p w14:paraId="3A0C3C03" w14:textId="77777777" w:rsidR="00B560B1" w:rsidRDefault="00B5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eomanist Light">
    <w:altName w:val="Corbel"/>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7B9A8E1F"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067313">
      <w:rPr>
        <w:rFonts w:ascii="Arial" w:hAnsi="Arial" w:cs="Arial"/>
        <w:b/>
        <w:bCs/>
        <w:noProof/>
        <w:color w:val="7F7F7F"/>
        <w:sz w:val="16"/>
        <w:szCs w:val="16"/>
      </w:rPr>
      <w:t>18</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067313">
      <w:rPr>
        <w:rFonts w:ascii="Arial" w:hAnsi="Arial" w:cs="Arial"/>
        <w:b/>
        <w:bCs/>
        <w:noProof/>
        <w:color w:val="7F7F7F"/>
        <w:sz w:val="16"/>
        <w:szCs w:val="16"/>
      </w:rPr>
      <w:t>19</w:t>
    </w:r>
    <w:r w:rsidRPr="00EC6D8D">
      <w:rPr>
        <w:rFonts w:ascii="Arial" w:hAnsi="Arial" w:cs="Arial"/>
        <w:b/>
        <w:bCs/>
        <w:color w:val="7F7F7F"/>
        <w:sz w:val="16"/>
        <w:szCs w:val="16"/>
      </w:rPr>
      <w:fldChar w:fldCharType="end"/>
    </w:r>
  </w:p>
  <w:p w14:paraId="48FC6A04" w14:textId="187BB681" w:rsidR="00E2520A" w:rsidRDefault="00207C1E" w:rsidP="00322937">
    <w:pPr>
      <w:pStyle w:val="Piedepgina"/>
      <w:jc w:val="center"/>
      <w:rPr>
        <w:lang w:val="es-ES"/>
      </w:rPr>
    </w:pPr>
    <w:r w:rsidRPr="00207C1E">
      <w:rPr>
        <w:noProof/>
        <w:lang w:val="es-CO" w:eastAsia="es-CO"/>
      </w:rPr>
      <w:drawing>
        <wp:inline distT="0" distB="0" distL="0" distR="0" wp14:anchorId="5D151EC5" wp14:editId="37D9D648">
          <wp:extent cx="5778385" cy="856615"/>
          <wp:effectExtent l="0" t="0" r="63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F8BE" w14:textId="77777777" w:rsidR="00B560B1" w:rsidRDefault="00B560B1">
      <w:r>
        <w:separator/>
      </w:r>
    </w:p>
  </w:footnote>
  <w:footnote w:type="continuationSeparator" w:id="0">
    <w:p w14:paraId="306EB120" w14:textId="77777777" w:rsidR="00B560B1" w:rsidRDefault="00B560B1">
      <w:r>
        <w:continuationSeparator/>
      </w:r>
    </w:p>
  </w:footnote>
  <w:footnote w:type="continuationNotice" w:id="1">
    <w:p w14:paraId="5CE6790C" w14:textId="77777777" w:rsidR="00B560B1" w:rsidRDefault="00B560B1"/>
  </w:footnote>
  <w:footnote w:id="2">
    <w:p w14:paraId="6BD33750" w14:textId="77777777" w:rsidR="009D0B5D" w:rsidRPr="00DC3B79" w:rsidRDefault="009D0B5D" w:rsidP="009D0B5D">
      <w:pPr>
        <w:pStyle w:val="Textonotapie"/>
        <w:ind w:firstLine="708"/>
        <w:jc w:val="both"/>
        <w:rPr>
          <w:rFonts w:ascii="Arial" w:hAnsi="Arial" w:cs="Arial"/>
          <w:sz w:val="19"/>
          <w:szCs w:val="19"/>
          <w:lang w:val="es-ES"/>
        </w:rPr>
      </w:pPr>
      <w:r w:rsidRPr="00DC3B79">
        <w:rPr>
          <w:rStyle w:val="Refdenotaalpie"/>
          <w:rFonts w:ascii="Arial" w:hAnsi="Arial" w:cs="Arial"/>
          <w:sz w:val="19"/>
          <w:szCs w:val="19"/>
        </w:rPr>
        <w:footnoteRef/>
      </w:r>
      <w:r w:rsidRPr="00DC3B7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C3B79">
        <w:rPr>
          <w:rFonts w:ascii="Arial" w:hAnsi="Arial" w:cs="Arial"/>
          <w:i/>
          <w:iCs/>
          <w:sz w:val="19"/>
          <w:szCs w:val="19"/>
        </w:rPr>
        <w:t xml:space="preserve">ibidem </w:t>
      </w:r>
      <w:r w:rsidRPr="00DC3B79">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DC3B79">
        <w:rPr>
          <w:rFonts w:ascii="Arial" w:hAnsi="Arial" w:cs="Arial"/>
          <w:sz w:val="19"/>
          <w:szCs w:val="19"/>
        </w:rPr>
        <w:t>bsolver</w:t>
      </w:r>
      <w:proofErr w:type="spellEnd"/>
      <w:r w:rsidRPr="00DC3B79">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C3B79">
        <w:rPr>
          <w:rFonts w:ascii="Arial" w:hAnsi="Arial" w:cs="Arial"/>
          <w:sz w:val="19"/>
          <w:szCs w:val="19"/>
        </w:rPr>
        <w:t>bsolver</w:t>
      </w:r>
      <w:proofErr w:type="spellEnd"/>
      <w:r w:rsidRPr="00DC3B79">
        <w:rPr>
          <w:rFonts w:ascii="Arial" w:hAnsi="Arial" w:cs="Arial"/>
          <w:sz w:val="19"/>
          <w:szCs w:val="19"/>
        </w:rPr>
        <w:t xml:space="preserve"> consultas sobre la aplicación de normas de carácter general».</w:t>
      </w:r>
    </w:p>
  </w:footnote>
  <w:footnote w:id="3">
    <w:p w14:paraId="752D493A" w14:textId="77777777" w:rsidR="007C7F6F" w:rsidRPr="00E90498" w:rsidRDefault="007C7F6F" w:rsidP="007C7F6F">
      <w:pPr>
        <w:pStyle w:val="Textonotapie"/>
        <w:ind w:firstLine="708"/>
        <w:rPr>
          <w:rFonts w:ascii="Arial" w:hAnsi="Arial" w:cs="Arial"/>
          <w:sz w:val="19"/>
          <w:szCs w:val="19"/>
          <w:lang w:val="es-ES"/>
        </w:rPr>
      </w:pPr>
      <w:r w:rsidRPr="00E90498">
        <w:rPr>
          <w:rStyle w:val="Refdenotaalpie"/>
          <w:rFonts w:ascii="Arial" w:hAnsi="Arial" w:cs="Arial"/>
          <w:sz w:val="19"/>
          <w:szCs w:val="19"/>
        </w:rPr>
        <w:footnoteRef/>
      </w:r>
      <w:r w:rsidRPr="00E90498">
        <w:rPr>
          <w:rFonts w:ascii="Arial" w:hAnsi="Arial" w:cs="Arial"/>
          <w:sz w:val="19"/>
          <w:szCs w:val="19"/>
        </w:rPr>
        <w:t xml:space="preserve"> </w:t>
      </w:r>
      <w:r w:rsidRPr="00DC3B79">
        <w:rPr>
          <w:rFonts w:ascii="Arial" w:hAnsi="Arial" w:cs="Arial"/>
          <w:sz w:val="19"/>
          <w:szCs w:val="19"/>
        </w:rPr>
        <w:t xml:space="preserve">Estos conceptos pueden ser consultados en la relatoría de Colombia Compra Eficiente en el siguiente enlace:  </w:t>
      </w:r>
      <w:hyperlink r:id="rId1" w:history="1">
        <w:r w:rsidRPr="00DC3B79">
          <w:rPr>
            <w:rStyle w:val="Hipervnculo"/>
            <w:rFonts w:ascii="Arial" w:hAnsi="Arial" w:cs="Arial"/>
            <w:color w:val="auto"/>
            <w:sz w:val="19"/>
            <w:szCs w:val="19"/>
            <w:lang w:val="es-ES"/>
          </w:rPr>
          <w:t>http://relatoria.colombiacompra.gov.co/busqueda/conceptos</w:t>
        </w:r>
      </w:hyperlink>
    </w:p>
  </w:footnote>
  <w:footnote w:id="4">
    <w:p w14:paraId="1EE0232D" w14:textId="77777777" w:rsidR="00D62F13" w:rsidRPr="0077368F" w:rsidRDefault="00D62F13" w:rsidP="00D62F13">
      <w:pPr>
        <w:ind w:right="49" w:firstLine="720"/>
        <w:jc w:val="both"/>
        <w:rPr>
          <w:rFonts w:ascii="Arial" w:hAnsi="Arial" w:cs="Arial"/>
          <w:sz w:val="19"/>
          <w:szCs w:val="19"/>
        </w:rPr>
      </w:pPr>
      <w:r w:rsidRPr="0077368F">
        <w:rPr>
          <w:rStyle w:val="Refdenotaalpie"/>
          <w:rFonts w:ascii="Arial" w:hAnsi="Arial" w:cs="Arial"/>
          <w:sz w:val="19"/>
          <w:szCs w:val="19"/>
        </w:rPr>
        <w:footnoteRef/>
      </w:r>
      <w:r w:rsidRPr="0077368F">
        <w:rPr>
          <w:rFonts w:ascii="Arial" w:hAnsi="Arial" w:cs="Arial"/>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77368F">
        <w:rPr>
          <w:rFonts w:ascii="Arial" w:hAnsi="Arial" w:cs="Arial"/>
          <w:spacing w:val="-14"/>
          <w:sz w:val="19"/>
          <w:szCs w:val="19"/>
        </w:rPr>
        <w:t xml:space="preserve"> </w:t>
      </w:r>
      <w:r w:rsidRPr="0077368F">
        <w:rPr>
          <w:rFonts w:ascii="Arial" w:hAnsi="Arial" w:cs="Arial"/>
          <w:sz w:val="19"/>
          <w:szCs w:val="19"/>
        </w:rPr>
        <w:t>utilizados.</w:t>
      </w:r>
    </w:p>
    <w:p w14:paraId="17B23663" w14:textId="77777777" w:rsidR="00D62F13" w:rsidRPr="0077368F" w:rsidRDefault="00D62F13" w:rsidP="00D62F13">
      <w:pPr>
        <w:ind w:right="49" w:firstLine="708"/>
        <w:jc w:val="both"/>
        <w:rPr>
          <w:rFonts w:ascii="Arial" w:hAnsi="Arial" w:cs="Arial"/>
          <w:sz w:val="19"/>
          <w:szCs w:val="19"/>
        </w:rPr>
      </w:pPr>
      <w:r w:rsidRPr="0077368F">
        <w:rPr>
          <w:rFonts w:ascii="Arial" w:hAnsi="Arial" w:cs="Arial"/>
          <w:sz w:val="19"/>
          <w:szCs w:val="19"/>
        </w:rPr>
        <w:t>[…]</w:t>
      </w:r>
    </w:p>
    <w:p w14:paraId="2ADD40EB" w14:textId="77777777" w:rsidR="00D62F13" w:rsidRPr="0077368F" w:rsidRDefault="00D62F13" w:rsidP="00D62F13">
      <w:pPr>
        <w:ind w:right="49" w:firstLine="708"/>
        <w:jc w:val="both"/>
        <w:rPr>
          <w:rFonts w:ascii="Arial" w:hAnsi="Arial" w:cs="Arial"/>
          <w:sz w:val="19"/>
          <w:szCs w:val="19"/>
        </w:rPr>
      </w:pPr>
      <w:r w:rsidRPr="0077368F">
        <w:rPr>
          <w:rFonts w:ascii="Arial" w:hAnsi="Arial" w:cs="Arial"/>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14:paraId="05103FC1" w14:textId="77777777" w:rsidR="00D62F13" w:rsidRPr="0077368F" w:rsidRDefault="00D62F13" w:rsidP="00D62F13">
      <w:pPr>
        <w:ind w:right="49" w:firstLine="708"/>
        <w:jc w:val="both"/>
        <w:rPr>
          <w:rFonts w:ascii="Arial" w:hAnsi="Arial" w:cs="Arial"/>
          <w:sz w:val="19"/>
          <w:szCs w:val="19"/>
        </w:rPr>
      </w:pPr>
    </w:p>
  </w:footnote>
  <w:footnote w:id="5">
    <w:p w14:paraId="5B6A946C" w14:textId="77777777" w:rsidR="00D62F13" w:rsidRPr="0077368F" w:rsidRDefault="00D62F13" w:rsidP="00D62F13">
      <w:pPr>
        <w:ind w:right="49" w:firstLine="720"/>
        <w:jc w:val="both"/>
        <w:rPr>
          <w:rFonts w:ascii="Arial" w:hAnsi="Arial" w:cs="Arial"/>
          <w:sz w:val="19"/>
          <w:szCs w:val="19"/>
        </w:rPr>
      </w:pPr>
      <w:r w:rsidRPr="0077368F">
        <w:rPr>
          <w:rStyle w:val="Refdenotaalpie"/>
          <w:rFonts w:ascii="Arial" w:hAnsi="Arial" w:cs="Arial"/>
          <w:sz w:val="19"/>
          <w:szCs w:val="19"/>
        </w:rPr>
        <w:footnoteRef/>
      </w:r>
      <w:r w:rsidRPr="0077368F">
        <w:rPr>
          <w:rFonts w:ascii="Arial" w:hAnsi="Arial" w:cs="Arial"/>
          <w:sz w:val="19"/>
          <w:szCs w:val="19"/>
        </w:rPr>
        <w:t xml:space="preserve"> Consejo de Estado. Sección Tercera. Providencia del 26 de junio de 2003. </w:t>
      </w:r>
      <w:proofErr w:type="spellStart"/>
      <w:r w:rsidRPr="0077368F">
        <w:rPr>
          <w:rFonts w:ascii="Arial" w:hAnsi="Arial" w:cs="Arial"/>
          <w:sz w:val="19"/>
          <w:szCs w:val="19"/>
        </w:rPr>
        <w:t>Exp</w:t>
      </w:r>
      <w:proofErr w:type="spellEnd"/>
      <w:r w:rsidRPr="0077368F">
        <w:rPr>
          <w:rFonts w:ascii="Arial" w:hAnsi="Arial" w:cs="Arial"/>
          <w:sz w:val="19"/>
          <w:szCs w:val="19"/>
        </w:rPr>
        <w:t>. 13.354. M.P. María Elena Giraldo Gómez.</w:t>
      </w:r>
    </w:p>
    <w:p w14:paraId="22CCCDC0" w14:textId="77777777" w:rsidR="00D62F13" w:rsidRPr="0077368F" w:rsidRDefault="00D62F13" w:rsidP="00D62F13">
      <w:pPr>
        <w:pStyle w:val="Textonotapie"/>
        <w:ind w:right="49"/>
        <w:jc w:val="both"/>
        <w:rPr>
          <w:rFonts w:ascii="Arial" w:hAnsi="Arial" w:cs="Arial"/>
          <w:sz w:val="19"/>
          <w:szCs w:val="19"/>
          <w:lang w:val="es-CO"/>
        </w:rPr>
      </w:pPr>
    </w:p>
  </w:footnote>
  <w:footnote w:id="6">
    <w:p w14:paraId="3B1496F0" w14:textId="77777777" w:rsidR="00406A42" w:rsidRPr="0077368F" w:rsidRDefault="00406A42" w:rsidP="00406A42">
      <w:pPr>
        <w:ind w:right="49" w:firstLine="708"/>
        <w:jc w:val="both"/>
        <w:rPr>
          <w:rFonts w:ascii="Arial" w:hAnsi="Arial" w:cs="Arial"/>
          <w:sz w:val="19"/>
          <w:szCs w:val="19"/>
        </w:rPr>
      </w:pPr>
      <w:r w:rsidRPr="0077368F">
        <w:rPr>
          <w:rStyle w:val="Refdenotaalpie"/>
          <w:rFonts w:ascii="Arial" w:hAnsi="Arial" w:cs="Arial"/>
          <w:sz w:val="19"/>
          <w:szCs w:val="19"/>
        </w:rPr>
        <w:footnoteRef/>
      </w:r>
      <w:r w:rsidRPr="0077368F">
        <w:rPr>
          <w:rFonts w:ascii="Arial" w:hAnsi="Arial" w:cs="Arial"/>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77368F">
        <w:rPr>
          <w:rFonts w:ascii="Arial" w:hAnsi="Arial" w:cs="Arial"/>
          <w:spacing w:val="-3"/>
          <w:sz w:val="19"/>
          <w:szCs w:val="19"/>
        </w:rPr>
        <w:t xml:space="preserve"> </w:t>
      </w:r>
      <w:r w:rsidRPr="0077368F">
        <w:rPr>
          <w:rFonts w:ascii="Arial" w:hAnsi="Arial" w:cs="Arial"/>
          <w:sz w:val="19"/>
          <w:szCs w:val="19"/>
        </w:rPr>
        <w:t>documentos:</w:t>
      </w:r>
    </w:p>
    <w:p w14:paraId="1FEF5ACB" w14:textId="77777777" w:rsidR="00406A42" w:rsidRPr="0077368F" w:rsidRDefault="00406A42" w:rsidP="00406A42">
      <w:pPr>
        <w:ind w:right="49" w:firstLine="708"/>
        <w:jc w:val="both"/>
        <w:rPr>
          <w:rFonts w:ascii="Arial" w:hAnsi="Arial" w:cs="Arial"/>
          <w:sz w:val="19"/>
          <w:szCs w:val="19"/>
        </w:rPr>
      </w:pPr>
      <w:r w:rsidRPr="0077368F">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77368F">
        <w:rPr>
          <w:rFonts w:ascii="Arial" w:hAnsi="Arial" w:cs="Arial"/>
          <w:spacing w:val="-4"/>
          <w:sz w:val="19"/>
          <w:szCs w:val="19"/>
        </w:rPr>
        <w:t xml:space="preserve"> </w:t>
      </w:r>
      <w:r w:rsidRPr="0077368F">
        <w:rPr>
          <w:rFonts w:ascii="Arial" w:hAnsi="Arial" w:cs="Arial"/>
          <w:sz w:val="19"/>
          <w:szCs w:val="19"/>
        </w:rPr>
        <w:t>concesionarios.</w:t>
      </w:r>
    </w:p>
    <w:p w14:paraId="3C7ADCE9" w14:textId="77777777" w:rsidR="00406A42" w:rsidRPr="0077368F" w:rsidRDefault="00406A42" w:rsidP="00406A42">
      <w:pPr>
        <w:ind w:right="49" w:firstLine="708"/>
        <w:jc w:val="both"/>
        <w:rPr>
          <w:rFonts w:ascii="Arial" w:hAnsi="Arial" w:cs="Arial"/>
          <w:sz w:val="19"/>
          <w:szCs w:val="19"/>
        </w:rPr>
      </w:pPr>
      <w:r w:rsidRPr="0077368F">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079B534" w14:textId="77777777" w:rsidR="00406A42" w:rsidRPr="0077368F" w:rsidRDefault="00406A42" w:rsidP="00406A42">
      <w:pPr>
        <w:ind w:right="49" w:firstLine="708"/>
        <w:jc w:val="both"/>
        <w:rPr>
          <w:rFonts w:ascii="Arial" w:hAnsi="Arial" w:cs="Arial"/>
          <w:sz w:val="19"/>
          <w:szCs w:val="19"/>
        </w:rPr>
      </w:pPr>
      <w:r w:rsidRPr="0077368F">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7">
    <w:p w14:paraId="2EF0FC82" w14:textId="77777777" w:rsidR="0042187B" w:rsidRPr="0077368F" w:rsidRDefault="0042187B" w:rsidP="0042187B">
      <w:pPr>
        <w:pStyle w:val="Textonotapie"/>
        <w:ind w:firstLine="708"/>
        <w:jc w:val="both"/>
        <w:rPr>
          <w:rFonts w:ascii="Arial" w:hAnsi="Arial" w:cs="Arial"/>
          <w:sz w:val="19"/>
          <w:szCs w:val="19"/>
          <w:lang w:val="es-CO"/>
        </w:rPr>
      </w:pPr>
      <w:r w:rsidRPr="0077368F">
        <w:rPr>
          <w:rStyle w:val="Refdenotaalpie"/>
          <w:rFonts w:ascii="Arial" w:hAnsi="Arial" w:cs="Arial"/>
          <w:sz w:val="19"/>
          <w:szCs w:val="19"/>
        </w:rPr>
        <w:footnoteRef/>
      </w:r>
      <w:r w:rsidRPr="0077368F">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w:t>
      </w:r>
      <w:proofErr w:type="spellStart"/>
      <w:r w:rsidRPr="0077368F">
        <w:rPr>
          <w:rFonts w:ascii="Arial" w:hAnsi="Arial" w:cs="Arial"/>
          <w:sz w:val="19"/>
          <w:szCs w:val="19"/>
        </w:rPr>
        <w:t>Pág</w:t>
      </w:r>
      <w:proofErr w:type="spellEnd"/>
      <w:r w:rsidRPr="0077368F">
        <w:rPr>
          <w:rFonts w:ascii="Arial" w:hAnsi="Arial" w:cs="Arial"/>
          <w:sz w:val="19"/>
          <w:szCs w:val="19"/>
        </w:rPr>
        <w:t xml:space="preserve"> 4. Disponible en: </w:t>
      </w:r>
      <w:hyperlink r:id="rId2" w:history="1">
        <w:r w:rsidRPr="0077368F">
          <w:rPr>
            <w:rStyle w:val="Hipervnculo"/>
            <w:rFonts w:ascii="Arial" w:hAnsi="Arial" w:cs="Arial"/>
            <w:color w:val="auto"/>
            <w:sz w:val="19"/>
            <w:szCs w:val="19"/>
          </w:rPr>
          <w:t>https://colombiacompra.gov.co/sites/cce_public/files/cce_documents/cce_guia_capacidad_residual.pdf</w:t>
        </w:r>
      </w:hyperlink>
      <w:r w:rsidRPr="0077368F">
        <w:rPr>
          <w:rFonts w:ascii="Arial" w:hAnsi="Arial" w:cs="Arial"/>
          <w:sz w:val="19"/>
          <w:szCs w:val="19"/>
        </w:rPr>
        <w:t xml:space="preserve"> </w:t>
      </w:r>
    </w:p>
  </w:footnote>
  <w:footnote w:id="8">
    <w:p w14:paraId="6E13D90C" w14:textId="77777777" w:rsidR="0042187B" w:rsidRPr="0077368F" w:rsidRDefault="0042187B" w:rsidP="0042187B">
      <w:pPr>
        <w:pStyle w:val="Textonotapie"/>
        <w:ind w:firstLine="708"/>
        <w:jc w:val="both"/>
        <w:rPr>
          <w:rFonts w:ascii="Arial" w:hAnsi="Arial" w:cs="Arial"/>
          <w:sz w:val="19"/>
          <w:szCs w:val="19"/>
        </w:rPr>
      </w:pPr>
      <w:r w:rsidRPr="00DC3B79">
        <w:rPr>
          <w:rStyle w:val="Refdenotaalpie"/>
          <w:rFonts w:ascii="Arial" w:hAnsi="Arial" w:cs="Arial"/>
          <w:sz w:val="19"/>
          <w:szCs w:val="19"/>
        </w:rPr>
        <w:footnoteRef/>
      </w:r>
      <w:r w:rsidRPr="00DC3B79">
        <w:rPr>
          <w:rFonts w:ascii="Arial" w:hAnsi="Arial" w:cs="Arial"/>
          <w:sz w:val="19"/>
          <w:szCs w:val="19"/>
        </w:rPr>
        <w:t xml:space="preserve"> Con excepción de los procesos de mínima cuantía en los que según el literal d</w:t>
      </w:r>
      <w:r w:rsidRPr="0077368F">
        <w:rPr>
          <w:rFonts w:ascii="Arial" w:hAnsi="Arial" w:cs="Arial"/>
          <w:sz w:val="19"/>
          <w:szCs w:val="19"/>
        </w:rPr>
        <w:t>) del artículo 2-.5 de la Ley 1150 de 2007: «La comunicación de aceptación junto con la oferta constituye para todos los efectos el contrato celebrado, con base en lo cual se efectuará el respectivo registro presupuestal […]».</w:t>
      </w:r>
    </w:p>
    <w:p w14:paraId="0A7A88B0" w14:textId="77777777" w:rsidR="0042187B" w:rsidRPr="0077368F" w:rsidRDefault="0042187B" w:rsidP="0042187B">
      <w:pPr>
        <w:pStyle w:val="Textonotapie"/>
        <w:ind w:firstLine="708"/>
        <w:rPr>
          <w:rFonts w:ascii="Arial" w:hAnsi="Arial" w:cs="Arial"/>
          <w:sz w:val="19"/>
          <w:szCs w:val="19"/>
        </w:rPr>
      </w:pPr>
      <w:r w:rsidRPr="0077368F">
        <w:rPr>
          <w:rFonts w:ascii="Arial" w:hAnsi="Arial" w:cs="Arial"/>
          <w:sz w:val="19"/>
          <w:szCs w:val="19"/>
        </w:rPr>
        <w:t xml:space="preserve">  </w:t>
      </w:r>
    </w:p>
  </w:footnote>
  <w:footnote w:id="9">
    <w:p w14:paraId="19DA8E00" w14:textId="77777777" w:rsidR="0042187B" w:rsidRPr="0077368F" w:rsidRDefault="0042187B" w:rsidP="0042187B">
      <w:pPr>
        <w:pStyle w:val="Textonotapie"/>
        <w:ind w:firstLine="708"/>
        <w:jc w:val="both"/>
        <w:rPr>
          <w:rFonts w:ascii="Arial" w:hAnsi="Arial" w:cs="Arial"/>
          <w:sz w:val="19"/>
          <w:szCs w:val="19"/>
        </w:rPr>
      </w:pPr>
      <w:r w:rsidRPr="0077368F">
        <w:rPr>
          <w:rStyle w:val="Refdenotaalpie"/>
          <w:rFonts w:ascii="Arial" w:hAnsi="Arial" w:cs="Arial"/>
          <w:sz w:val="19"/>
          <w:szCs w:val="19"/>
        </w:rPr>
        <w:footnoteRef/>
      </w:r>
      <w:r w:rsidRPr="0077368F">
        <w:rPr>
          <w:rFonts w:ascii="Arial" w:hAnsi="Arial" w:cs="Arial"/>
          <w:sz w:val="19"/>
          <w:szCs w:val="19"/>
        </w:rPr>
        <w:t xml:space="preserve"> Ley 80 de 1993: «Artículo 41. Del perfeccionamiento del contrato. Los contratos del Estado se perfeccionan cuando se logre acuerdo sobre el objeto y la contraprestación y éste se eleve a escrito.</w:t>
      </w:r>
    </w:p>
    <w:p w14:paraId="7086431B" w14:textId="77777777" w:rsidR="0042187B" w:rsidRPr="0077368F" w:rsidRDefault="0042187B" w:rsidP="0042187B">
      <w:pPr>
        <w:pStyle w:val="Textonotapie"/>
        <w:ind w:firstLine="708"/>
        <w:jc w:val="both"/>
        <w:rPr>
          <w:rFonts w:ascii="Arial" w:hAnsi="Arial" w:cs="Arial"/>
          <w:sz w:val="19"/>
          <w:szCs w:val="19"/>
        </w:rPr>
      </w:pPr>
      <w:r w:rsidRPr="0077368F">
        <w:rPr>
          <w:rFonts w:ascii="Arial" w:hAnsi="Arial" w:cs="Arial"/>
          <w:sz w:val="19"/>
          <w:szCs w:val="19"/>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9C949FC" w14:textId="77777777" w:rsidR="0042187B" w:rsidRPr="0077368F" w:rsidRDefault="0042187B" w:rsidP="0042187B">
      <w:pPr>
        <w:pStyle w:val="Textonotapie"/>
        <w:ind w:firstLine="708"/>
        <w:jc w:val="both"/>
        <w:rPr>
          <w:rFonts w:ascii="Arial" w:hAnsi="Arial" w:cs="Arial"/>
          <w:sz w:val="19"/>
          <w:szCs w:val="19"/>
        </w:rPr>
      </w:pPr>
      <w:r w:rsidRPr="0077368F">
        <w:rPr>
          <w:rFonts w:ascii="Arial" w:hAnsi="Arial" w:cs="Arial"/>
          <w:sz w:val="19"/>
          <w:szCs w:val="19"/>
        </w:rPr>
        <w:t xml:space="preserve">»Los contratos estatales son intuito </w:t>
      </w:r>
      <w:proofErr w:type="spellStart"/>
      <w:r w:rsidRPr="0077368F">
        <w:rPr>
          <w:rFonts w:ascii="Arial" w:hAnsi="Arial" w:cs="Arial"/>
          <w:sz w:val="19"/>
          <w:szCs w:val="19"/>
        </w:rPr>
        <w:t>personae</w:t>
      </w:r>
      <w:proofErr w:type="spellEnd"/>
      <w:r w:rsidRPr="0077368F">
        <w:rPr>
          <w:rFonts w:ascii="Arial" w:hAnsi="Arial" w:cs="Arial"/>
          <w:sz w:val="19"/>
          <w:szCs w:val="19"/>
        </w:rPr>
        <w:t xml:space="preserve"> &lt;sic&gt; y, en consecuencia, una vez celebrados no podrán cederse sin previa autorización escrita de la entidad contratante.</w:t>
      </w:r>
    </w:p>
    <w:p w14:paraId="6A282707" w14:textId="77777777" w:rsidR="0042187B" w:rsidRPr="0077368F" w:rsidRDefault="0042187B" w:rsidP="0042187B">
      <w:pPr>
        <w:pStyle w:val="Textonotapie"/>
        <w:ind w:firstLine="708"/>
        <w:jc w:val="both"/>
        <w:rPr>
          <w:rFonts w:ascii="Arial" w:hAnsi="Arial" w:cs="Arial"/>
          <w:sz w:val="19"/>
          <w:szCs w:val="19"/>
        </w:rPr>
      </w:pPr>
      <w:r w:rsidRPr="0077368F">
        <w:rPr>
          <w:rFonts w:ascii="Arial" w:hAnsi="Arial" w:cs="Arial"/>
          <w:sz w:val="19"/>
          <w:szCs w:val="19"/>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216E399F" w14:textId="77777777" w:rsidR="0042187B" w:rsidRPr="0077368F" w:rsidRDefault="0042187B" w:rsidP="0042187B">
      <w:pPr>
        <w:pStyle w:val="Textonotapie"/>
        <w:ind w:firstLine="708"/>
        <w:jc w:val="both"/>
        <w:rPr>
          <w:rFonts w:ascii="Arial" w:hAnsi="Arial" w:cs="Arial"/>
          <w:sz w:val="19"/>
          <w:szCs w:val="19"/>
        </w:rPr>
      </w:pPr>
      <w:r w:rsidRPr="0077368F">
        <w:rPr>
          <w:rFonts w:ascii="Arial" w:hAnsi="Arial" w:cs="Arial"/>
          <w:sz w:val="19"/>
          <w:szCs w:val="19"/>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1CA548D4" w14:textId="77777777" w:rsidR="0042187B" w:rsidRPr="0077368F" w:rsidRDefault="0042187B" w:rsidP="0042187B">
      <w:pPr>
        <w:pStyle w:val="Textonotapie"/>
        <w:ind w:firstLine="708"/>
        <w:jc w:val="both"/>
        <w:rPr>
          <w:rFonts w:ascii="Arial" w:hAnsi="Arial" w:cs="Arial"/>
          <w:sz w:val="19"/>
          <w:szCs w:val="19"/>
          <w:lang w:val="es-ES"/>
        </w:rPr>
      </w:pPr>
    </w:p>
  </w:footnote>
  <w:footnote w:id="10">
    <w:p w14:paraId="0BE7AC1C" w14:textId="77777777" w:rsidR="0042187B" w:rsidRPr="0077368F" w:rsidRDefault="0042187B" w:rsidP="0042187B">
      <w:pPr>
        <w:ind w:firstLine="708"/>
        <w:contextualSpacing/>
        <w:jc w:val="both"/>
        <w:rPr>
          <w:rFonts w:ascii="Arial" w:hAnsi="Arial" w:cs="Arial"/>
          <w:sz w:val="19"/>
          <w:szCs w:val="19"/>
          <w:lang w:val="es-ES"/>
        </w:rPr>
      </w:pPr>
      <w:r w:rsidRPr="0077368F">
        <w:rPr>
          <w:rStyle w:val="Refdenotaalpie"/>
          <w:rFonts w:ascii="Arial" w:hAnsi="Arial" w:cs="Arial"/>
          <w:sz w:val="19"/>
          <w:szCs w:val="19"/>
        </w:rPr>
        <w:footnoteRef/>
      </w:r>
      <w:r w:rsidRPr="0077368F">
        <w:rPr>
          <w:rFonts w:ascii="Arial" w:hAnsi="Arial" w:cs="Arial"/>
          <w:sz w:val="19"/>
          <w:szCs w:val="19"/>
        </w:rPr>
        <w:t xml:space="preserve"> </w:t>
      </w:r>
      <w:r w:rsidRPr="0077368F">
        <w:rPr>
          <w:rFonts w:ascii="Arial" w:eastAsia="Calibri" w:hAnsi="Arial" w:cs="Arial"/>
          <w:sz w:val="19"/>
          <w:szCs w:val="19"/>
        </w:rPr>
        <w:t xml:space="preserve">El Consejo de Estado se pronunció sobre la solemnidad del contrato estatal y la imposibilidad de modificarla por voluntad de sus destinatarios: ”Pues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 </w:t>
      </w:r>
      <w:r w:rsidRPr="0077368F">
        <w:rPr>
          <w:rFonts w:ascii="Arial" w:hAnsi="Arial" w:cs="Arial"/>
          <w:sz w:val="19"/>
          <w:szCs w:val="19"/>
        </w:rPr>
        <w:t xml:space="preserve">Consejo de Estado. Sección tercera. Sentencia del 18 de mayo de 2017. </w:t>
      </w:r>
      <w:proofErr w:type="spellStart"/>
      <w:r w:rsidRPr="0077368F">
        <w:rPr>
          <w:rFonts w:ascii="Arial" w:hAnsi="Arial" w:cs="Arial"/>
          <w:sz w:val="19"/>
          <w:szCs w:val="19"/>
        </w:rPr>
        <w:t>Exp</w:t>
      </w:r>
      <w:proofErr w:type="spellEnd"/>
      <w:r w:rsidRPr="0077368F">
        <w:rPr>
          <w:rFonts w:ascii="Arial" w:hAnsi="Arial" w:cs="Arial"/>
          <w:sz w:val="19"/>
          <w:szCs w:val="19"/>
        </w:rPr>
        <w:t xml:space="preserve">. 48.396. C.P. Jaime Orlando Santofimio Gamboa. </w:t>
      </w:r>
    </w:p>
  </w:footnote>
  <w:footnote w:id="11">
    <w:p w14:paraId="76A35187" w14:textId="1F6D190B" w:rsidR="00674878" w:rsidRPr="0077368F" w:rsidRDefault="00674878" w:rsidP="0077368F">
      <w:pPr>
        <w:pStyle w:val="Textonotapie"/>
        <w:ind w:firstLine="708"/>
        <w:jc w:val="both"/>
        <w:rPr>
          <w:rFonts w:ascii="Arial" w:hAnsi="Arial" w:cs="Arial"/>
          <w:sz w:val="19"/>
          <w:szCs w:val="19"/>
        </w:rPr>
      </w:pPr>
      <w:r w:rsidRPr="0077368F">
        <w:rPr>
          <w:rStyle w:val="Refdenotaalpie"/>
          <w:rFonts w:ascii="Arial" w:hAnsi="Arial" w:cs="Arial"/>
          <w:sz w:val="19"/>
          <w:szCs w:val="19"/>
        </w:rPr>
        <w:footnoteRef/>
      </w:r>
      <w:r w:rsidRPr="0077368F">
        <w:rPr>
          <w:rFonts w:ascii="Arial" w:hAnsi="Arial" w:cs="Arial"/>
          <w:sz w:val="19"/>
          <w:szCs w:val="19"/>
        </w:rPr>
        <w:t xml:space="preserve"> Los mencionados y los demás documentos tipo expedidos por la Agencia Nacional de Contratación Pública –Colombia Compra Eficiente–</w:t>
      </w:r>
      <w:r w:rsidR="00983697" w:rsidRPr="0077368F">
        <w:rPr>
          <w:rFonts w:ascii="Arial" w:hAnsi="Arial" w:cs="Arial"/>
          <w:sz w:val="19"/>
          <w:szCs w:val="19"/>
        </w:rPr>
        <w:t xml:space="preserve"> pueden ser consultados en el siguiente enlace: </w:t>
      </w:r>
      <w:hyperlink r:id="rId3" w:history="1">
        <w:r w:rsidR="00983697" w:rsidRPr="0077368F">
          <w:rPr>
            <w:rStyle w:val="Hipervnculo"/>
            <w:rFonts w:ascii="Arial" w:hAnsi="Arial" w:cs="Arial"/>
            <w:color w:val="auto"/>
            <w:sz w:val="19"/>
            <w:szCs w:val="19"/>
          </w:rPr>
          <w:t>https://www.colombiacompra.gov.co/documentos-tipo/documentos-tipo</w:t>
        </w:r>
      </w:hyperlink>
      <w:r w:rsidRPr="0077368F">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3AFE6A3D" w:rsidR="00E2520A" w:rsidRDefault="00E2520A">
    <w:pPr>
      <w:pStyle w:val="Encabezado"/>
    </w:pPr>
  </w:p>
  <w:p w14:paraId="2A80E31D" w14:textId="77777777" w:rsidR="00E2520A" w:rsidRDefault="00E2520A"/>
  <w:p w14:paraId="5DBE9C96" w14:textId="4EE0D645" w:rsidR="00E2520A" w:rsidRDefault="00207C1E" w:rsidP="00207C1E">
    <w:pPr>
      <w:jc w:val="right"/>
    </w:pPr>
    <w:r w:rsidRPr="00207C1E">
      <w:rPr>
        <w:noProof/>
        <w:lang w:eastAsia="es-CO"/>
      </w:rPr>
      <w:drawing>
        <wp:inline distT="0" distB="0" distL="0" distR="0" wp14:anchorId="2288FA4C" wp14:editId="7BF6F84B">
          <wp:extent cx="1752600" cy="7112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83C191B"/>
    <w:multiLevelType w:val="hybridMultilevel"/>
    <w:tmpl w:val="915E5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34"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E85965"/>
    <w:multiLevelType w:val="hybridMultilevel"/>
    <w:tmpl w:val="FC64532E"/>
    <w:lvl w:ilvl="0" w:tplc="AFC6ADA2">
      <w:start w:val="1"/>
      <w:numFmt w:val="decimal"/>
      <w:lvlText w:val="%1."/>
      <w:lvlJc w:val="left"/>
      <w:pPr>
        <w:ind w:left="7449"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22679942">
    <w:abstractNumId w:val="16"/>
  </w:num>
  <w:num w:numId="2" w16cid:durableId="119080539">
    <w:abstractNumId w:val="14"/>
  </w:num>
  <w:num w:numId="3" w16cid:durableId="1441530593">
    <w:abstractNumId w:val="25"/>
  </w:num>
  <w:num w:numId="4" w16cid:durableId="1169295861">
    <w:abstractNumId w:val="30"/>
  </w:num>
  <w:num w:numId="5" w16cid:durableId="142627826">
    <w:abstractNumId w:val="36"/>
  </w:num>
  <w:num w:numId="6" w16cid:durableId="170147510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655389">
    <w:abstractNumId w:val="31"/>
  </w:num>
  <w:num w:numId="8" w16cid:durableId="1781292878">
    <w:abstractNumId w:val="3"/>
  </w:num>
  <w:num w:numId="9" w16cid:durableId="158889343">
    <w:abstractNumId w:val="9"/>
  </w:num>
  <w:num w:numId="10" w16cid:durableId="1211723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3110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739413">
    <w:abstractNumId w:val="15"/>
  </w:num>
  <w:num w:numId="13" w16cid:durableId="695811229">
    <w:abstractNumId w:val="23"/>
  </w:num>
  <w:num w:numId="14" w16cid:durableId="610934177">
    <w:abstractNumId w:val="12"/>
  </w:num>
  <w:num w:numId="15" w16cid:durableId="130561751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94074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9669796">
    <w:abstractNumId w:val="39"/>
  </w:num>
  <w:num w:numId="18" w16cid:durableId="1146973764">
    <w:abstractNumId w:val="26"/>
  </w:num>
  <w:num w:numId="19" w16cid:durableId="549264390">
    <w:abstractNumId w:val="8"/>
  </w:num>
  <w:num w:numId="20" w16cid:durableId="1866282227">
    <w:abstractNumId w:val="40"/>
  </w:num>
  <w:num w:numId="21" w16cid:durableId="1378698374">
    <w:abstractNumId w:val="28"/>
  </w:num>
  <w:num w:numId="22" w16cid:durableId="406072373">
    <w:abstractNumId w:val="11"/>
  </w:num>
  <w:num w:numId="23" w16cid:durableId="1415783004">
    <w:abstractNumId w:val="10"/>
  </w:num>
  <w:num w:numId="24" w16cid:durableId="807472355">
    <w:abstractNumId w:val="32"/>
  </w:num>
  <w:num w:numId="25" w16cid:durableId="162864425">
    <w:abstractNumId w:val="18"/>
  </w:num>
  <w:num w:numId="26" w16cid:durableId="832912129">
    <w:abstractNumId w:val="37"/>
  </w:num>
  <w:num w:numId="27" w16cid:durableId="75445714">
    <w:abstractNumId w:val="42"/>
  </w:num>
  <w:num w:numId="28" w16cid:durableId="458257235">
    <w:abstractNumId w:val="24"/>
  </w:num>
  <w:num w:numId="29" w16cid:durableId="986938113">
    <w:abstractNumId w:val="2"/>
  </w:num>
  <w:num w:numId="30" w16cid:durableId="1669399854">
    <w:abstractNumId w:val="27"/>
  </w:num>
  <w:num w:numId="31" w16cid:durableId="1899903193">
    <w:abstractNumId w:val="19"/>
  </w:num>
  <w:num w:numId="32" w16cid:durableId="1654943969">
    <w:abstractNumId w:val="29"/>
  </w:num>
  <w:num w:numId="33" w16cid:durableId="599721905">
    <w:abstractNumId w:val="41"/>
  </w:num>
  <w:num w:numId="34" w16cid:durableId="697042826">
    <w:abstractNumId w:val="17"/>
  </w:num>
  <w:num w:numId="35" w16cid:durableId="431978364">
    <w:abstractNumId w:val="1"/>
  </w:num>
  <w:num w:numId="36" w16cid:durableId="1462724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7595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1947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4767801">
    <w:abstractNumId w:val="6"/>
  </w:num>
  <w:num w:numId="40" w16cid:durableId="671371439">
    <w:abstractNumId w:val="22"/>
  </w:num>
  <w:num w:numId="41" w16cid:durableId="438524525">
    <w:abstractNumId w:val="0"/>
  </w:num>
  <w:num w:numId="42" w16cid:durableId="993950491">
    <w:abstractNumId w:val="34"/>
  </w:num>
  <w:num w:numId="43" w16cid:durableId="439031703">
    <w:abstractNumId w:val="33"/>
  </w:num>
  <w:num w:numId="44" w16cid:durableId="1539584378">
    <w:abstractNumId w:val="21"/>
  </w:num>
  <w:num w:numId="45" w16cid:durableId="615259259">
    <w:abstractNumId w:val="4"/>
  </w:num>
  <w:num w:numId="46" w16cid:durableId="29984986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5D"/>
    <w:rsid w:val="00001FFD"/>
    <w:rsid w:val="00002027"/>
    <w:rsid w:val="000020FE"/>
    <w:rsid w:val="000031A8"/>
    <w:rsid w:val="00003233"/>
    <w:rsid w:val="00003C5C"/>
    <w:rsid w:val="000040D7"/>
    <w:rsid w:val="00004556"/>
    <w:rsid w:val="000051AF"/>
    <w:rsid w:val="000052C4"/>
    <w:rsid w:val="00005958"/>
    <w:rsid w:val="000059D3"/>
    <w:rsid w:val="00005A32"/>
    <w:rsid w:val="00005C48"/>
    <w:rsid w:val="0000600A"/>
    <w:rsid w:val="00006081"/>
    <w:rsid w:val="000060D0"/>
    <w:rsid w:val="00006FBE"/>
    <w:rsid w:val="00007011"/>
    <w:rsid w:val="000074C3"/>
    <w:rsid w:val="000075C0"/>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5B5A"/>
    <w:rsid w:val="00016081"/>
    <w:rsid w:val="000165AC"/>
    <w:rsid w:val="00016651"/>
    <w:rsid w:val="00016881"/>
    <w:rsid w:val="000171A2"/>
    <w:rsid w:val="00017913"/>
    <w:rsid w:val="00017B65"/>
    <w:rsid w:val="00020158"/>
    <w:rsid w:val="000207E0"/>
    <w:rsid w:val="00020F8F"/>
    <w:rsid w:val="00021A95"/>
    <w:rsid w:val="00021C0A"/>
    <w:rsid w:val="0002256F"/>
    <w:rsid w:val="000232F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2EA"/>
    <w:rsid w:val="00034651"/>
    <w:rsid w:val="000351F2"/>
    <w:rsid w:val="00035224"/>
    <w:rsid w:val="00036E03"/>
    <w:rsid w:val="000404DB"/>
    <w:rsid w:val="000406DB"/>
    <w:rsid w:val="0004094D"/>
    <w:rsid w:val="00041029"/>
    <w:rsid w:val="0004149B"/>
    <w:rsid w:val="00041717"/>
    <w:rsid w:val="00041CA0"/>
    <w:rsid w:val="000427F7"/>
    <w:rsid w:val="00042961"/>
    <w:rsid w:val="00042C25"/>
    <w:rsid w:val="00042D03"/>
    <w:rsid w:val="00043086"/>
    <w:rsid w:val="000430A0"/>
    <w:rsid w:val="000434E8"/>
    <w:rsid w:val="0004386D"/>
    <w:rsid w:val="00043A33"/>
    <w:rsid w:val="00043D3B"/>
    <w:rsid w:val="00043D4D"/>
    <w:rsid w:val="00043F5D"/>
    <w:rsid w:val="0004416B"/>
    <w:rsid w:val="0004418C"/>
    <w:rsid w:val="00044204"/>
    <w:rsid w:val="000449D4"/>
    <w:rsid w:val="00046717"/>
    <w:rsid w:val="00046A63"/>
    <w:rsid w:val="00046C09"/>
    <w:rsid w:val="0004716A"/>
    <w:rsid w:val="00047385"/>
    <w:rsid w:val="000473E8"/>
    <w:rsid w:val="000504DE"/>
    <w:rsid w:val="00051074"/>
    <w:rsid w:val="0005138F"/>
    <w:rsid w:val="0005163D"/>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78"/>
    <w:rsid w:val="000640AF"/>
    <w:rsid w:val="00064940"/>
    <w:rsid w:val="00064CAE"/>
    <w:rsid w:val="00064DB7"/>
    <w:rsid w:val="00064FA7"/>
    <w:rsid w:val="00065195"/>
    <w:rsid w:val="00065A8B"/>
    <w:rsid w:val="00067313"/>
    <w:rsid w:val="00067B6F"/>
    <w:rsid w:val="00070AF1"/>
    <w:rsid w:val="000712FD"/>
    <w:rsid w:val="00071417"/>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77B8F"/>
    <w:rsid w:val="0008017B"/>
    <w:rsid w:val="00080287"/>
    <w:rsid w:val="00080ACD"/>
    <w:rsid w:val="000811ED"/>
    <w:rsid w:val="00081284"/>
    <w:rsid w:val="00081D62"/>
    <w:rsid w:val="000820A1"/>
    <w:rsid w:val="000820CE"/>
    <w:rsid w:val="00082B74"/>
    <w:rsid w:val="00083099"/>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604"/>
    <w:rsid w:val="00087A95"/>
    <w:rsid w:val="000903F6"/>
    <w:rsid w:val="00091114"/>
    <w:rsid w:val="000914D6"/>
    <w:rsid w:val="00091569"/>
    <w:rsid w:val="00091897"/>
    <w:rsid w:val="000918E2"/>
    <w:rsid w:val="00092DCA"/>
    <w:rsid w:val="00093C51"/>
    <w:rsid w:val="000942EB"/>
    <w:rsid w:val="000953A2"/>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2DB8"/>
    <w:rsid w:val="000A362F"/>
    <w:rsid w:val="000A3B49"/>
    <w:rsid w:val="000A41BA"/>
    <w:rsid w:val="000A446A"/>
    <w:rsid w:val="000A45B0"/>
    <w:rsid w:val="000A5AAF"/>
    <w:rsid w:val="000A5F97"/>
    <w:rsid w:val="000A648E"/>
    <w:rsid w:val="000A6CC4"/>
    <w:rsid w:val="000A6E35"/>
    <w:rsid w:val="000A6FE9"/>
    <w:rsid w:val="000A73BB"/>
    <w:rsid w:val="000A7EF4"/>
    <w:rsid w:val="000B0A15"/>
    <w:rsid w:val="000B0DF3"/>
    <w:rsid w:val="000B103F"/>
    <w:rsid w:val="000B1437"/>
    <w:rsid w:val="000B1470"/>
    <w:rsid w:val="000B19E4"/>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1E0D"/>
    <w:rsid w:val="000C2028"/>
    <w:rsid w:val="000C3260"/>
    <w:rsid w:val="000C3616"/>
    <w:rsid w:val="000C3803"/>
    <w:rsid w:val="000C3B77"/>
    <w:rsid w:val="000C3ED5"/>
    <w:rsid w:val="000C45E8"/>
    <w:rsid w:val="000C4F49"/>
    <w:rsid w:val="000C5861"/>
    <w:rsid w:val="000C639D"/>
    <w:rsid w:val="000C6462"/>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ABA"/>
    <w:rsid w:val="000D6288"/>
    <w:rsid w:val="000D6516"/>
    <w:rsid w:val="000D65A4"/>
    <w:rsid w:val="000D6CAF"/>
    <w:rsid w:val="000D7541"/>
    <w:rsid w:val="000D75E1"/>
    <w:rsid w:val="000D776B"/>
    <w:rsid w:val="000D7E45"/>
    <w:rsid w:val="000E1323"/>
    <w:rsid w:val="000E22CF"/>
    <w:rsid w:val="000E2977"/>
    <w:rsid w:val="000E2B36"/>
    <w:rsid w:val="000E30AC"/>
    <w:rsid w:val="000E3B46"/>
    <w:rsid w:val="000E3C5A"/>
    <w:rsid w:val="000E3E11"/>
    <w:rsid w:val="000E44C8"/>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259"/>
    <w:rsid w:val="000F3D39"/>
    <w:rsid w:val="000F4403"/>
    <w:rsid w:val="000F4C3F"/>
    <w:rsid w:val="000F4E17"/>
    <w:rsid w:val="000F6578"/>
    <w:rsid w:val="000F70CD"/>
    <w:rsid w:val="000F726B"/>
    <w:rsid w:val="000F79F9"/>
    <w:rsid w:val="000F7A5A"/>
    <w:rsid w:val="000F7ABD"/>
    <w:rsid w:val="000F7E8F"/>
    <w:rsid w:val="000F7FBB"/>
    <w:rsid w:val="001000FB"/>
    <w:rsid w:val="00100AF1"/>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20F"/>
    <w:rsid w:val="00110548"/>
    <w:rsid w:val="00110CEB"/>
    <w:rsid w:val="00110F61"/>
    <w:rsid w:val="001111BD"/>
    <w:rsid w:val="0011165A"/>
    <w:rsid w:val="00111B2B"/>
    <w:rsid w:val="00111ED9"/>
    <w:rsid w:val="00112609"/>
    <w:rsid w:val="00112774"/>
    <w:rsid w:val="001127AC"/>
    <w:rsid w:val="00112B2E"/>
    <w:rsid w:val="00113003"/>
    <w:rsid w:val="00113062"/>
    <w:rsid w:val="00113705"/>
    <w:rsid w:val="00113975"/>
    <w:rsid w:val="00113CFC"/>
    <w:rsid w:val="00113FEA"/>
    <w:rsid w:val="00114324"/>
    <w:rsid w:val="00114A22"/>
    <w:rsid w:val="00114BF5"/>
    <w:rsid w:val="00114E9D"/>
    <w:rsid w:val="0011507B"/>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5FDE"/>
    <w:rsid w:val="00126F9A"/>
    <w:rsid w:val="00126F9B"/>
    <w:rsid w:val="00127004"/>
    <w:rsid w:val="00127AF2"/>
    <w:rsid w:val="00127EDC"/>
    <w:rsid w:val="00127F6D"/>
    <w:rsid w:val="00130355"/>
    <w:rsid w:val="00131A8C"/>
    <w:rsid w:val="00131B5A"/>
    <w:rsid w:val="00132C30"/>
    <w:rsid w:val="00132EFD"/>
    <w:rsid w:val="00133AED"/>
    <w:rsid w:val="001341DD"/>
    <w:rsid w:val="00134FF9"/>
    <w:rsid w:val="001352AA"/>
    <w:rsid w:val="00135451"/>
    <w:rsid w:val="00135E88"/>
    <w:rsid w:val="0013695C"/>
    <w:rsid w:val="00136BF7"/>
    <w:rsid w:val="001378B9"/>
    <w:rsid w:val="00137FD1"/>
    <w:rsid w:val="00137FFA"/>
    <w:rsid w:val="00140109"/>
    <w:rsid w:val="0014029B"/>
    <w:rsid w:val="001403E0"/>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6D3"/>
    <w:rsid w:val="00147798"/>
    <w:rsid w:val="00150005"/>
    <w:rsid w:val="00150F55"/>
    <w:rsid w:val="00151B99"/>
    <w:rsid w:val="00151CB7"/>
    <w:rsid w:val="001521B2"/>
    <w:rsid w:val="00152288"/>
    <w:rsid w:val="001526F3"/>
    <w:rsid w:val="00152EDD"/>
    <w:rsid w:val="00153491"/>
    <w:rsid w:val="0015361C"/>
    <w:rsid w:val="0015372F"/>
    <w:rsid w:val="00153A18"/>
    <w:rsid w:val="00153BFB"/>
    <w:rsid w:val="0015407E"/>
    <w:rsid w:val="0015448E"/>
    <w:rsid w:val="00154690"/>
    <w:rsid w:val="00154A6F"/>
    <w:rsid w:val="00154DC3"/>
    <w:rsid w:val="0015591B"/>
    <w:rsid w:val="00155D08"/>
    <w:rsid w:val="00156BE5"/>
    <w:rsid w:val="00157232"/>
    <w:rsid w:val="00160401"/>
    <w:rsid w:val="00160D4E"/>
    <w:rsid w:val="00161E62"/>
    <w:rsid w:val="00161F1C"/>
    <w:rsid w:val="0016200B"/>
    <w:rsid w:val="0016226D"/>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93F"/>
    <w:rsid w:val="00175E49"/>
    <w:rsid w:val="00176470"/>
    <w:rsid w:val="0017659F"/>
    <w:rsid w:val="00177076"/>
    <w:rsid w:val="001805C1"/>
    <w:rsid w:val="00180A2E"/>
    <w:rsid w:val="001813AF"/>
    <w:rsid w:val="001829CD"/>
    <w:rsid w:val="00182F01"/>
    <w:rsid w:val="00182FBD"/>
    <w:rsid w:val="0018499F"/>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3BA"/>
    <w:rsid w:val="001946AE"/>
    <w:rsid w:val="001946D5"/>
    <w:rsid w:val="00194E8C"/>
    <w:rsid w:val="00195B71"/>
    <w:rsid w:val="001962EC"/>
    <w:rsid w:val="001963DD"/>
    <w:rsid w:val="001965DB"/>
    <w:rsid w:val="00196DC9"/>
    <w:rsid w:val="0019734E"/>
    <w:rsid w:val="001A0236"/>
    <w:rsid w:val="001A08E1"/>
    <w:rsid w:val="001A0AF8"/>
    <w:rsid w:val="001A16A5"/>
    <w:rsid w:val="001A18D5"/>
    <w:rsid w:val="001A1D4A"/>
    <w:rsid w:val="001A2426"/>
    <w:rsid w:val="001A2ADC"/>
    <w:rsid w:val="001A2D40"/>
    <w:rsid w:val="001A3011"/>
    <w:rsid w:val="001A325B"/>
    <w:rsid w:val="001A368A"/>
    <w:rsid w:val="001A4A08"/>
    <w:rsid w:val="001A4DAF"/>
    <w:rsid w:val="001A54FD"/>
    <w:rsid w:val="001A59FB"/>
    <w:rsid w:val="001A66DF"/>
    <w:rsid w:val="001A67D0"/>
    <w:rsid w:val="001A6BF1"/>
    <w:rsid w:val="001A6C2B"/>
    <w:rsid w:val="001A7591"/>
    <w:rsid w:val="001A75B1"/>
    <w:rsid w:val="001A7ADF"/>
    <w:rsid w:val="001B0366"/>
    <w:rsid w:val="001B0444"/>
    <w:rsid w:val="001B096B"/>
    <w:rsid w:val="001B0F9F"/>
    <w:rsid w:val="001B123C"/>
    <w:rsid w:val="001B1A0D"/>
    <w:rsid w:val="001B1BF1"/>
    <w:rsid w:val="001B2456"/>
    <w:rsid w:val="001B449C"/>
    <w:rsid w:val="001B4AA2"/>
    <w:rsid w:val="001B4ADE"/>
    <w:rsid w:val="001B5C86"/>
    <w:rsid w:val="001B5EF8"/>
    <w:rsid w:val="001B622B"/>
    <w:rsid w:val="001B6973"/>
    <w:rsid w:val="001B69FF"/>
    <w:rsid w:val="001B7679"/>
    <w:rsid w:val="001C07C6"/>
    <w:rsid w:val="001C08B2"/>
    <w:rsid w:val="001C19CD"/>
    <w:rsid w:val="001C1F3C"/>
    <w:rsid w:val="001C22D5"/>
    <w:rsid w:val="001C2515"/>
    <w:rsid w:val="001C2550"/>
    <w:rsid w:val="001C26FB"/>
    <w:rsid w:val="001C33C1"/>
    <w:rsid w:val="001C3E30"/>
    <w:rsid w:val="001C3E5C"/>
    <w:rsid w:val="001C424B"/>
    <w:rsid w:val="001C4D2A"/>
    <w:rsid w:val="001C5072"/>
    <w:rsid w:val="001C5B2A"/>
    <w:rsid w:val="001C600B"/>
    <w:rsid w:val="001C6407"/>
    <w:rsid w:val="001C6898"/>
    <w:rsid w:val="001C6DD8"/>
    <w:rsid w:val="001C7C7B"/>
    <w:rsid w:val="001D068D"/>
    <w:rsid w:val="001D0A71"/>
    <w:rsid w:val="001D12D1"/>
    <w:rsid w:val="001D15DF"/>
    <w:rsid w:val="001D2970"/>
    <w:rsid w:val="001D2F4A"/>
    <w:rsid w:val="001D30F3"/>
    <w:rsid w:val="001D31A0"/>
    <w:rsid w:val="001D338E"/>
    <w:rsid w:val="001D3D3F"/>
    <w:rsid w:val="001D4141"/>
    <w:rsid w:val="001D4E70"/>
    <w:rsid w:val="001D56E9"/>
    <w:rsid w:val="001D57F0"/>
    <w:rsid w:val="001D7905"/>
    <w:rsid w:val="001D7923"/>
    <w:rsid w:val="001D796A"/>
    <w:rsid w:val="001D7A84"/>
    <w:rsid w:val="001D7C79"/>
    <w:rsid w:val="001E0E15"/>
    <w:rsid w:val="001E0EFD"/>
    <w:rsid w:val="001E15F0"/>
    <w:rsid w:val="001E1CC4"/>
    <w:rsid w:val="001E1D38"/>
    <w:rsid w:val="001E1DEE"/>
    <w:rsid w:val="001E250D"/>
    <w:rsid w:val="001E4207"/>
    <w:rsid w:val="001E4258"/>
    <w:rsid w:val="001E44F0"/>
    <w:rsid w:val="001E455B"/>
    <w:rsid w:val="001E4587"/>
    <w:rsid w:val="001E56FF"/>
    <w:rsid w:val="001E5A69"/>
    <w:rsid w:val="001E5B84"/>
    <w:rsid w:val="001E5D6A"/>
    <w:rsid w:val="001E70FB"/>
    <w:rsid w:val="001E780A"/>
    <w:rsid w:val="001F0372"/>
    <w:rsid w:val="001F039A"/>
    <w:rsid w:val="001F07D6"/>
    <w:rsid w:val="001F0FA0"/>
    <w:rsid w:val="001F1349"/>
    <w:rsid w:val="001F1863"/>
    <w:rsid w:val="001F232D"/>
    <w:rsid w:val="001F2356"/>
    <w:rsid w:val="001F267C"/>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4EF"/>
    <w:rsid w:val="00201962"/>
    <w:rsid w:val="00201F1E"/>
    <w:rsid w:val="0020299B"/>
    <w:rsid w:val="00202E44"/>
    <w:rsid w:val="002037AA"/>
    <w:rsid w:val="00203FE3"/>
    <w:rsid w:val="002042D8"/>
    <w:rsid w:val="00204515"/>
    <w:rsid w:val="00204BF5"/>
    <w:rsid w:val="00204D82"/>
    <w:rsid w:val="00204D91"/>
    <w:rsid w:val="00204E6B"/>
    <w:rsid w:val="002058D4"/>
    <w:rsid w:val="002058DC"/>
    <w:rsid w:val="00205BAA"/>
    <w:rsid w:val="0020632A"/>
    <w:rsid w:val="0020697F"/>
    <w:rsid w:val="0020785A"/>
    <w:rsid w:val="002079CB"/>
    <w:rsid w:val="00207C1E"/>
    <w:rsid w:val="002110EB"/>
    <w:rsid w:val="00211338"/>
    <w:rsid w:val="00211388"/>
    <w:rsid w:val="0021148C"/>
    <w:rsid w:val="00211694"/>
    <w:rsid w:val="0021201A"/>
    <w:rsid w:val="00212A83"/>
    <w:rsid w:val="00213A1F"/>
    <w:rsid w:val="00213C63"/>
    <w:rsid w:val="00214502"/>
    <w:rsid w:val="00214741"/>
    <w:rsid w:val="002149F8"/>
    <w:rsid w:val="0021539A"/>
    <w:rsid w:val="00215793"/>
    <w:rsid w:val="00215852"/>
    <w:rsid w:val="00215B8E"/>
    <w:rsid w:val="00215BE9"/>
    <w:rsid w:val="00216264"/>
    <w:rsid w:val="002168B8"/>
    <w:rsid w:val="002176B6"/>
    <w:rsid w:val="0021792D"/>
    <w:rsid w:val="00217DB8"/>
    <w:rsid w:val="0022032A"/>
    <w:rsid w:val="002221CE"/>
    <w:rsid w:val="00222BE8"/>
    <w:rsid w:val="00223102"/>
    <w:rsid w:val="002232CB"/>
    <w:rsid w:val="002233EA"/>
    <w:rsid w:val="00224022"/>
    <w:rsid w:val="00224626"/>
    <w:rsid w:val="00224D93"/>
    <w:rsid w:val="00226055"/>
    <w:rsid w:val="0022613F"/>
    <w:rsid w:val="00226236"/>
    <w:rsid w:val="00226DF9"/>
    <w:rsid w:val="002270C9"/>
    <w:rsid w:val="00227A8B"/>
    <w:rsid w:val="002305F6"/>
    <w:rsid w:val="002308BA"/>
    <w:rsid w:val="0023146B"/>
    <w:rsid w:val="00231540"/>
    <w:rsid w:val="002315A0"/>
    <w:rsid w:val="00231CE0"/>
    <w:rsid w:val="00231EC7"/>
    <w:rsid w:val="002321E0"/>
    <w:rsid w:val="00232A6C"/>
    <w:rsid w:val="00232A82"/>
    <w:rsid w:val="00232E15"/>
    <w:rsid w:val="00233079"/>
    <w:rsid w:val="0023382C"/>
    <w:rsid w:val="00233977"/>
    <w:rsid w:val="00233C58"/>
    <w:rsid w:val="00233C71"/>
    <w:rsid w:val="00233D9C"/>
    <w:rsid w:val="002345B6"/>
    <w:rsid w:val="00234B84"/>
    <w:rsid w:val="002354ED"/>
    <w:rsid w:val="00236016"/>
    <w:rsid w:val="00236B18"/>
    <w:rsid w:val="00236E24"/>
    <w:rsid w:val="00237065"/>
    <w:rsid w:val="00237492"/>
    <w:rsid w:val="00237589"/>
    <w:rsid w:val="0023758D"/>
    <w:rsid w:val="002375A7"/>
    <w:rsid w:val="0024019A"/>
    <w:rsid w:val="002411DE"/>
    <w:rsid w:val="0024131D"/>
    <w:rsid w:val="002413B5"/>
    <w:rsid w:val="002415B8"/>
    <w:rsid w:val="00241618"/>
    <w:rsid w:val="00241ACD"/>
    <w:rsid w:val="00242D62"/>
    <w:rsid w:val="002431D7"/>
    <w:rsid w:val="00243257"/>
    <w:rsid w:val="00243434"/>
    <w:rsid w:val="00244058"/>
    <w:rsid w:val="00244E90"/>
    <w:rsid w:val="00244F9A"/>
    <w:rsid w:val="00245718"/>
    <w:rsid w:val="00245E07"/>
    <w:rsid w:val="00246CD4"/>
    <w:rsid w:val="0024729C"/>
    <w:rsid w:val="002473B8"/>
    <w:rsid w:val="00247712"/>
    <w:rsid w:val="00247780"/>
    <w:rsid w:val="00250D54"/>
    <w:rsid w:val="00250EC6"/>
    <w:rsid w:val="00250F11"/>
    <w:rsid w:val="00251866"/>
    <w:rsid w:val="00251A9F"/>
    <w:rsid w:val="00252492"/>
    <w:rsid w:val="00252B35"/>
    <w:rsid w:val="0025316D"/>
    <w:rsid w:val="002532F4"/>
    <w:rsid w:val="00253A02"/>
    <w:rsid w:val="00253B81"/>
    <w:rsid w:val="0025431A"/>
    <w:rsid w:val="002554DE"/>
    <w:rsid w:val="00255E11"/>
    <w:rsid w:val="00256635"/>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8D9"/>
    <w:rsid w:val="00274DB5"/>
    <w:rsid w:val="002753FD"/>
    <w:rsid w:val="00275BB1"/>
    <w:rsid w:val="00275FBF"/>
    <w:rsid w:val="00276373"/>
    <w:rsid w:val="0027783B"/>
    <w:rsid w:val="00277933"/>
    <w:rsid w:val="00277EC3"/>
    <w:rsid w:val="00277F13"/>
    <w:rsid w:val="00277F8D"/>
    <w:rsid w:val="00277FA7"/>
    <w:rsid w:val="00280F3D"/>
    <w:rsid w:val="0028106A"/>
    <w:rsid w:val="00281662"/>
    <w:rsid w:val="00281EB4"/>
    <w:rsid w:val="002823FE"/>
    <w:rsid w:val="00282BCD"/>
    <w:rsid w:val="0028308E"/>
    <w:rsid w:val="002834E9"/>
    <w:rsid w:val="0028396F"/>
    <w:rsid w:val="00283A52"/>
    <w:rsid w:val="00283C5E"/>
    <w:rsid w:val="00283E26"/>
    <w:rsid w:val="00283EF2"/>
    <w:rsid w:val="00284007"/>
    <w:rsid w:val="0028428F"/>
    <w:rsid w:val="00284CFC"/>
    <w:rsid w:val="00285832"/>
    <w:rsid w:val="00285969"/>
    <w:rsid w:val="0028663B"/>
    <w:rsid w:val="00286CEC"/>
    <w:rsid w:val="002871A9"/>
    <w:rsid w:val="002873A0"/>
    <w:rsid w:val="00287B7E"/>
    <w:rsid w:val="00290781"/>
    <w:rsid w:val="00291784"/>
    <w:rsid w:val="002929BB"/>
    <w:rsid w:val="00292E53"/>
    <w:rsid w:val="00292E64"/>
    <w:rsid w:val="002932BA"/>
    <w:rsid w:val="002934B9"/>
    <w:rsid w:val="00293669"/>
    <w:rsid w:val="00294368"/>
    <w:rsid w:val="00294B78"/>
    <w:rsid w:val="0029580A"/>
    <w:rsid w:val="00295949"/>
    <w:rsid w:val="00296150"/>
    <w:rsid w:val="0029624A"/>
    <w:rsid w:val="00296922"/>
    <w:rsid w:val="00297098"/>
    <w:rsid w:val="0029770B"/>
    <w:rsid w:val="002A05D4"/>
    <w:rsid w:val="002A075F"/>
    <w:rsid w:val="002A09FF"/>
    <w:rsid w:val="002A0E60"/>
    <w:rsid w:val="002A15C5"/>
    <w:rsid w:val="002A1A58"/>
    <w:rsid w:val="002A1B02"/>
    <w:rsid w:val="002A1C53"/>
    <w:rsid w:val="002A28FC"/>
    <w:rsid w:val="002A2B44"/>
    <w:rsid w:val="002A2EA5"/>
    <w:rsid w:val="002A39C3"/>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5DF"/>
    <w:rsid w:val="002B39BE"/>
    <w:rsid w:val="002B438C"/>
    <w:rsid w:val="002B48DB"/>
    <w:rsid w:val="002B4B34"/>
    <w:rsid w:val="002B4FEC"/>
    <w:rsid w:val="002B508E"/>
    <w:rsid w:val="002B541A"/>
    <w:rsid w:val="002B59AB"/>
    <w:rsid w:val="002B6407"/>
    <w:rsid w:val="002B6416"/>
    <w:rsid w:val="002B6459"/>
    <w:rsid w:val="002B64D2"/>
    <w:rsid w:val="002B73B0"/>
    <w:rsid w:val="002C1143"/>
    <w:rsid w:val="002C226B"/>
    <w:rsid w:val="002C24B4"/>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F77"/>
    <w:rsid w:val="002C704D"/>
    <w:rsid w:val="002C711C"/>
    <w:rsid w:val="002C7C24"/>
    <w:rsid w:val="002D05FD"/>
    <w:rsid w:val="002D0845"/>
    <w:rsid w:val="002D0933"/>
    <w:rsid w:val="002D19BB"/>
    <w:rsid w:val="002D1A9B"/>
    <w:rsid w:val="002D22C5"/>
    <w:rsid w:val="002D2407"/>
    <w:rsid w:val="002D301F"/>
    <w:rsid w:val="002D302A"/>
    <w:rsid w:val="002D36C6"/>
    <w:rsid w:val="002D37C1"/>
    <w:rsid w:val="002D4156"/>
    <w:rsid w:val="002D444B"/>
    <w:rsid w:val="002D4A45"/>
    <w:rsid w:val="002D4A73"/>
    <w:rsid w:val="002D4AB1"/>
    <w:rsid w:val="002D4B42"/>
    <w:rsid w:val="002D4DBA"/>
    <w:rsid w:val="002D4F5F"/>
    <w:rsid w:val="002D5A1B"/>
    <w:rsid w:val="002D5DF5"/>
    <w:rsid w:val="002D61DC"/>
    <w:rsid w:val="002D65BC"/>
    <w:rsid w:val="002D6D7E"/>
    <w:rsid w:val="002D780B"/>
    <w:rsid w:val="002D7EDD"/>
    <w:rsid w:val="002E0494"/>
    <w:rsid w:val="002E055C"/>
    <w:rsid w:val="002E0A6C"/>
    <w:rsid w:val="002E1050"/>
    <w:rsid w:val="002E18E5"/>
    <w:rsid w:val="002E1953"/>
    <w:rsid w:val="002E268C"/>
    <w:rsid w:val="002E29A0"/>
    <w:rsid w:val="002E2D7D"/>
    <w:rsid w:val="002E3AB5"/>
    <w:rsid w:val="002E3D76"/>
    <w:rsid w:val="002E3F87"/>
    <w:rsid w:val="002E40A1"/>
    <w:rsid w:val="002E48EC"/>
    <w:rsid w:val="002E4B44"/>
    <w:rsid w:val="002E4ECB"/>
    <w:rsid w:val="002E4F23"/>
    <w:rsid w:val="002E5B53"/>
    <w:rsid w:val="002E5D05"/>
    <w:rsid w:val="002E6E80"/>
    <w:rsid w:val="002E7847"/>
    <w:rsid w:val="002E7FCF"/>
    <w:rsid w:val="002F0073"/>
    <w:rsid w:val="002F0544"/>
    <w:rsid w:val="002F0618"/>
    <w:rsid w:val="002F0643"/>
    <w:rsid w:val="002F0795"/>
    <w:rsid w:val="002F170E"/>
    <w:rsid w:val="002F1D41"/>
    <w:rsid w:val="002F240B"/>
    <w:rsid w:val="002F2F50"/>
    <w:rsid w:val="002F3601"/>
    <w:rsid w:val="002F3C13"/>
    <w:rsid w:val="002F45F6"/>
    <w:rsid w:val="002F692F"/>
    <w:rsid w:val="002F6986"/>
    <w:rsid w:val="002F69A0"/>
    <w:rsid w:val="002F69BE"/>
    <w:rsid w:val="002F7B66"/>
    <w:rsid w:val="00300CB4"/>
    <w:rsid w:val="00300E24"/>
    <w:rsid w:val="0030101C"/>
    <w:rsid w:val="003033BA"/>
    <w:rsid w:val="003043A3"/>
    <w:rsid w:val="00304BD4"/>
    <w:rsid w:val="00304EE4"/>
    <w:rsid w:val="0030500A"/>
    <w:rsid w:val="0030517B"/>
    <w:rsid w:val="003052EB"/>
    <w:rsid w:val="00305FCB"/>
    <w:rsid w:val="0030600C"/>
    <w:rsid w:val="003063C3"/>
    <w:rsid w:val="003068A3"/>
    <w:rsid w:val="00306B44"/>
    <w:rsid w:val="00306E41"/>
    <w:rsid w:val="003075B4"/>
    <w:rsid w:val="00307C44"/>
    <w:rsid w:val="00310074"/>
    <w:rsid w:val="0031088E"/>
    <w:rsid w:val="00310A35"/>
    <w:rsid w:val="00310B04"/>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0C6"/>
    <w:rsid w:val="00315457"/>
    <w:rsid w:val="00315AA6"/>
    <w:rsid w:val="003161A4"/>
    <w:rsid w:val="00316955"/>
    <w:rsid w:val="00316E52"/>
    <w:rsid w:val="00316FC7"/>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4650"/>
    <w:rsid w:val="00325D98"/>
    <w:rsid w:val="0032664F"/>
    <w:rsid w:val="0032682A"/>
    <w:rsid w:val="00327A5C"/>
    <w:rsid w:val="0033092C"/>
    <w:rsid w:val="0033122A"/>
    <w:rsid w:val="003315AC"/>
    <w:rsid w:val="00331932"/>
    <w:rsid w:val="00333A88"/>
    <w:rsid w:val="00333DAF"/>
    <w:rsid w:val="00333F6C"/>
    <w:rsid w:val="00333FFB"/>
    <w:rsid w:val="00334104"/>
    <w:rsid w:val="00335B15"/>
    <w:rsid w:val="00335B21"/>
    <w:rsid w:val="00335D3F"/>
    <w:rsid w:val="00336104"/>
    <w:rsid w:val="00336729"/>
    <w:rsid w:val="003367CC"/>
    <w:rsid w:val="00336AB1"/>
    <w:rsid w:val="0033726D"/>
    <w:rsid w:val="00337362"/>
    <w:rsid w:val="00337CA8"/>
    <w:rsid w:val="0034125B"/>
    <w:rsid w:val="0034177C"/>
    <w:rsid w:val="00341A53"/>
    <w:rsid w:val="00342345"/>
    <w:rsid w:val="00342C27"/>
    <w:rsid w:val="003430C8"/>
    <w:rsid w:val="003432C8"/>
    <w:rsid w:val="003433BB"/>
    <w:rsid w:val="003434B3"/>
    <w:rsid w:val="00343536"/>
    <w:rsid w:val="00343EFB"/>
    <w:rsid w:val="003443DF"/>
    <w:rsid w:val="00344760"/>
    <w:rsid w:val="00344A64"/>
    <w:rsid w:val="0034680A"/>
    <w:rsid w:val="00346C62"/>
    <w:rsid w:val="003474F7"/>
    <w:rsid w:val="0034778E"/>
    <w:rsid w:val="003501E2"/>
    <w:rsid w:val="00350A59"/>
    <w:rsid w:val="00351E10"/>
    <w:rsid w:val="0035273A"/>
    <w:rsid w:val="00352D59"/>
    <w:rsid w:val="003533F4"/>
    <w:rsid w:val="003536F6"/>
    <w:rsid w:val="00353DD5"/>
    <w:rsid w:val="0035496B"/>
    <w:rsid w:val="003549CD"/>
    <w:rsid w:val="00354E96"/>
    <w:rsid w:val="00355131"/>
    <w:rsid w:val="00356438"/>
    <w:rsid w:val="00361A04"/>
    <w:rsid w:val="00361A59"/>
    <w:rsid w:val="003631CC"/>
    <w:rsid w:val="00363348"/>
    <w:rsid w:val="00363857"/>
    <w:rsid w:val="00363D59"/>
    <w:rsid w:val="003640F7"/>
    <w:rsid w:val="00364300"/>
    <w:rsid w:val="00365D3A"/>
    <w:rsid w:val="00365ED1"/>
    <w:rsid w:val="003661DD"/>
    <w:rsid w:val="003664FF"/>
    <w:rsid w:val="00366B70"/>
    <w:rsid w:val="00366BD2"/>
    <w:rsid w:val="003670B8"/>
    <w:rsid w:val="0036776E"/>
    <w:rsid w:val="003704A3"/>
    <w:rsid w:val="003706F2"/>
    <w:rsid w:val="0037124F"/>
    <w:rsid w:val="00371CB5"/>
    <w:rsid w:val="00372C0A"/>
    <w:rsid w:val="00373827"/>
    <w:rsid w:val="00373F04"/>
    <w:rsid w:val="0037401C"/>
    <w:rsid w:val="00374A1E"/>
    <w:rsid w:val="00374A64"/>
    <w:rsid w:val="0037507B"/>
    <w:rsid w:val="00375C7C"/>
    <w:rsid w:val="003762F6"/>
    <w:rsid w:val="00377027"/>
    <w:rsid w:val="00377135"/>
    <w:rsid w:val="0037751F"/>
    <w:rsid w:val="003777E7"/>
    <w:rsid w:val="0038006E"/>
    <w:rsid w:val="00380272"/>
    <w:rsid w:val="00380576"/>
    <w:rsid w:val="003805DB"/>
    <w:rsid w:val="003813F4"/>
    <w:rsid w:val="0038152A"/>
    <w:rsid w:val="00382AEF"/>
    <w:rsid w:val="00382BAD"/>
    <w:rsid w:val="003830E3"/>
    <w:rsid w:val="00383A8D"/>
    <w:rsid w:val="00383FF1"/>
    <w:rsid w:val="00384466"/>
    <w:rsid w:val="00384DF1"/>
    <w:rsid w:val="00384FF3"/>
    <w:rsid w:val="00385131"/>
    <w:rsid w:val="00386456"/>
    <w:rsid w:val="003865A9"/>
    <w:rsid w:val="00387642"/>
    <w:rsid w:val="00390BD6"/>
    <w:rsid w:val="00390F32"/>
    <w:rsid w:val="0039135E"/>
    <w:rsid w:val="0039200F"/>
    <w:rsid w:val="003926C1"/>
    <w:rsid w:val="0039319C"/>
    <w:rsid w:val="00393CAE"/>
    <w:rsid w:val="00393E4C"/>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1B0"/>
    <w:rsid w:val="003A563C"/>
    <w:rsid w:val="003A581E"/>
    <w:rsid w:val="003A6160"/>
    <w:rsid w:val="003A65A5"/>
    <w:rsid w:val="003A6D3F"/>
    <w:rsid w:val="003A72F5"/>
    <w:rsid w:val="003A78E5"/>
    <w:rsid w:val="003B0341"/>
    <w:rsid w:val="003B0CB0"/>
    <w:rsid w:val="003B11C3"/>
    <w:rsid w:val="003B120F"/>
    <w:rsid w:val="003B1359"/>
    <w:rsid w:val="003B1E57"/>
    <w:rsid w:val="003B2885"/>
    <w:rsid w:val="003B2EF3"/>
    <w:rsid w:val="003B3676"/>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405"/>
    <w:rsid w:val="003C5C83"/>
    <w:rsid w:val="003C5F0C"/>
    <w:rsid w:val="003C60BB"/>
    <w:rsid w:val="003C622C"/>
    <w:rsid w:val="003C73C7"/>
    <w:rsid w:val="003D03F3"/>
    <w:rsid w:val="003D050B"/>
    <w:rsid w:val="003D0652"/>
    <w:rsid w:val="003D0B98"/>
    <w:rsid w:val="003D0C3C"/>
    <w:rsid w:val="003D0DE5"/>
    <w:rsid w:val="003D1351"/>
    <w:rsid w:val="003D21C1"/>
    <w:rsid w:val="003D2442"/>
    <w:rsid w:val="003D29BB"/>
    <w:rsid w:val="003D3707"/>
    <w:rsid w:val="003D3B15"/>
    <w:rsid w:val="003D3B2E"/>
    <w:rsid w:val="003D4337"/>
    <w:rsid w:val="003D484D"/>
    <w:rsid w:val="003D49CB"/>
    <w:rsid w:val="003D4BD6"/>
    <w:rsid w:val="003D6A6D"/>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3ED"/>
    <w:rsid w:val="003E4A70"/>
    <w:rsid w:val="003E4C48"/>
    <w:rsid w:val="003E4CD9"/>
    <w:rsid w:val="003E4E8A"/>
    <w:rsid w:val="003E54B3"/>
    <w:rsid w:val="003E5780"/>
    <w:rsid w:val="003E5B9F"/>
    <w:rsid w:val="003E6072"/>
    <w:rsid w:val="003E65AF"/>
    <w:rsid w:val="003E6AB6"/>
    <w:rsid w:val="003E6E0B"/>
    <w:rsid w:val="003E71CD"/>
    <w:rsid w:val="003E74E5"/>
    <w:rsid w:val="003E76DF"/>
    <w:rsid w:val="003E78DA"/>
    <w:rsid w:val="003E7A8B"/>
    <w:rsid w:val="003F04B0"/>
    <w:rsid w:val="003F0BFA"/>
    <w:rsid w:val="003F0F14"/>
    <w:rsid w:val="003F0F7F"/>
    <w:rsid w:val="003F300D"/>
    <w:rsid w:val="003F3506"/>
    <w:rsid w:val="003F391F"/>
    <w:rsid w:val="003F4599"/>
    <w:rsid w:val="003F45E1"/>
    <w:rsid w:val="003F4F6C"/>
    <w:rsid w:val="003F516A"/>
    <w:rsid w:val="003F52D4"/>
    <w:rsid w:val="003F559E"/>
    <w:rsid w:val="003F5DB7"/>
    <w:rsid w:val="003F6181"/>
    <w:rsid w:val="003F690B"/>
    <w:rsid w:val="003F6CF0"/>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103"/>
    <w:rsid w:val="00404B43"/>
    <w:rsid w:val="00404C61"/>
    <w:rsid w:val="00405328"/>
    <w:rsid w:val="00405487"/>
    <w:rsid w:val="0040602B"/>
    <w:rsid w:val="00406A42"/>
    <w:rsid w:val="00407A7A"/>
    <w:rsid w:val="00407ABC"/>
    <w:rsid w:val="00407F1E"/>
    <w:rsid w:val="00410A88"/>
    <w:rsid w:val="00411317"/>
    <w:rsid w:val="00411715"/>
    <w:rsid w:val="00411A9E"/>
    <w:rsid w:val="0041259F"/>
    <w:rsid w:val="00412B4D"/>
    <w:rsid w:val="00412BBF"/>
    <w:rsid w:val="00412C51"/>
    <w:rsid w:val="00413262"/>
    <w:rsid w:val="0041329C"/>
    <w:rsid w:val="00413809"/>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87B"/>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D09"/>
    <w:rsid w:val="00432E14"/>
    <w:rsid w:val="0043318B"/>
    <w:rsid w:val="004333C2"/>
    <w:rsid w:val="00433ACB"/>
    <w:rsid w:val="00434787"/>
    <w:rsid w:val="004347DA"/>
    <w:rsid w:val="00434C13"/>
    <w:rsid w:val="00436323"/>
    <w:rsid w:val="0043683F"/>
    <w:rsid w:val="00436E45"/>
    <w:rsid w:val="00436F40"/>
    <w:rsid w:val="004370FA"/>
    <w:rsid w:val="00437266"/>
    <w:rsid w:val="004372AC"/>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043"/>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4C7"/>
    <w:rsid w:val="0045658D"/>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3CE6"/>
    <w:rsid w:val="00464030"/>
    <w:rsid w:val="00464278"/>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2DA2"/>
    <w:rsid w:val="004734CF"/>
    <w:rsid w:val="00474870"/>
    <w:rsid w:val="00474889"/>
    <w:rsid w:val="00475C5A"/>
    <w:rsid w:val="00475C9C"/>
    <w:rsid w:val="0047676B"/>
    <w:rsid w:val="0047773C"/>
    <w:rsid w:val="00477C5F"/>
    <w:rsid w:val="00480050"/>
    <w:rsid w:val="004808DE"/>
    <w:rsid w:val="0048187D"/>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396"/>
    <w:rsid w:val="0048540C"/>
    <w:rsid w:val="0048592F"/>
    <w:rsid w:val="0048605E"/>
    <w:rsid w:val="004861B4"/>
    <w:rsid w:val="00486AB4"/>
    <w:rsid w:val="00486B08"/>
    <w:rsid w:val="00486BD0"/>
    <w:rsid w:val="00486C85"/>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3E9C"/>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6D7A"/>
    <w:rsid w:val="004B01B9"/>
    <w:rsid w:val="004B0D62"/>
    <w:rsid w:val="004B0F0B"/>
    <w:rsid w:val="004B12C3"/>
    <w:rsid w:val="004B13EE"/>
    <w:rsid w:val="004B163F"/>
    <w:rsid w:val="004B2197"/>
    <w:rsid w:val="004B298A"/>
    <w:rsid w:val="004B578D"/>
    <w:rsid w:val="004B5BE7"/>
    <w:rsid w:val="004B5E2D"/>
    <w:rsid w:val="004B6793"/>
    <w:rsid w:val="004B69FD"/>
    <w:rsid w:val="004B6C07"/>
    <w:rsid w:val="004B74D3"/>
    <w:rsid w:val="004B76D3"/>
    <w:rsid w:val="004B788E"/>
    <w:rsid w:val="004B7E5D"/>
    <w:rsid w:val="004C0DD8"/>
    <w:rsid w:val="004C22F7"/>
    <w:rsid w:val="004C2B27"/>
    <w:rsid w:val="004C334F"/>
    <w:rsid w:val="004C3358"/>
    <w:rsid w:val="004C3929"/>
    <w:rsid w:val="004C4DCB"/>
    <w:rsid w:val="004C5212"/>
    <w:rsid w:val="004C5B3B"/>
    <w:rsid w:val="004C5EF0"/>
    <w:rsid w:val="004C7226"/>
    <w:rsid w:val="004C74C9"/>
    <w:rsid w:val="004C79B2"/>
    <w:rsid w:val="004C7D70"/>
    <w:rsid w:val="004D02F9"/>
    <w:rsid w:val="004D03FE"/>
    <w:rsid w:val="004D0446"/>
    <w:rsid w:val="004D0A4F"/>
    <w:rsid w:val="004D0F95"/>
    <w:rsid w:val="004D106A"/>
    <w:rsid w:val="004D141D"/>
    <w:rsid w:val="004D2E24"/>
    <w:rsid w:val="004D31EE"/>
    <w:rsid w:val="004D36AF"/>
    <w:rsid w:val="004D3BD1"/>
    <w:rsid w:val="004D41A2"/>
    <w:rsid w:val="004D4BA1"/>
    <w:rsid w:val="004D532C"/>
    <w:rsid w:val="004D5451"/>
    <w:rsid w:val="004D584D"/>
    <w:rsid w:val="004D6826"/>
    <w:rsid w:val="004D68E0"/>
    <w:rsid w:val="004D7ADB"/>
    <w:rsid w:val="004E023F"/>
    <w:rsid w:val="004E0742"/>
    <w:rsid w:val="004E0C64"/>
    <w:rsid w:val="004E0F36"/>
    <w:rsid w:val="004E0F6B"/>
    <w:rsid w:val="004E1545"/>
    <w:rsid w:val="004E199A"/>
    <w:rsid w:val="004E1F1C"/>
    <w:rsid w:val="004E2A35"/>
    <w:rsid w:val="004E32E1"/>
    <w:rsid w:val="004E38A2"/>
    <w:rsid w:val="004E40CE"/>
    <w:rsid w:val="004E4465"/>
    <w:rsid w:val="004E507A"/>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0887"/>
    <w:rsid w:val="005012E2"/>
    <w:rsid w:val="00501481"/>
    <w:rsid w:val="0050160F"/>
    <w:rsid w:val="00501C4F"/>
    <w:rsid w:val="005024C8"/>
    <w:rsid w:val="0050284E"/>
    <w:rsid w:val="00503BB0"/>
    <w:rsid w:val="00504E0C"/>
    <w:rsid w:val="00505DCB"/>
    <w:rsid w:val="005075CA"/>
    <w:rsid w:val="0051074C"/>
    <w:rsid w:val="00510DE9"/>
    <w:rsid w:val="005111E2"/>
    <w:rsid w:val="00511231"/>
    <w:rsid w:val="00511598"/>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3E23"/>
    <w:rsid w:val="00524165"/>
    <w:rsid w:val="005242BA"/>
    <w:rsid w:val="005246E7"/>
    <w:rsid w:val="00524FD2"/>
    <w:rsid w:val="00525621"/>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C97"/>
    <w:rsid w:val="00534EFB"/>
    <w:rsid w:val="00534F60"/>
    <w:rsid w:val="00535083"/>
    <w:rsid w:val="0053543B"/>
    <w:rsid w:val="005357F1"/>
    <w:rsid w:val="00536053"/>
    <w:rsid w:val="005369E6"/>
    <w:rsid w:val="00536E62"/>
    <w:rsid w:val="005371AC"/>
    <w:rsid w:val="00537672"/>
    <w:rsid w:val="0053772F"/>
    <w:rsid w:val="00537B77"/>
    <w:rsid w:val="0054009B"/>
    <w:rsid w:val="005409B6"/>
    <w:rsid w:val="00540C4C"/>
    <w:rsid w:val="00541571"/>
    <w:rsid w:val="0054245B"/>
    <w:rsid w:val="0054271D"/>
    <w:rsid w:val="0054275A"/>
    <w:rsid w:val="005428B8"/>
    <w:rsid w:val="00542BD7"/>
    <w:rsid w:val="00542E67"/>
    <w:rsid w:val="00543084"/>
    <w:rsid w:val="00543CA5"/>
    <w:rsid w:val="0054413A"/>
    <w:rsid w:val="00544288"/>
    <w:rsid w:val="005446BB"/>
    <w:rsid w:val="00545E30"/>
    <w:rsid w:val="00545EA3"/>
    <w:rsid w:val="00546293"/>
    <w:rsid w:val="0054694C"/>
    <w:rsid w:val="00546C9B"/>
    <w:rsid w:val="00547BF6"/>
    <w:rsid w:val="00547D73"/>
    <w:rsid w:val="005502F9"/>
    <w:rsid w:val="00550CB1"/>
    <w:rsid w:val="00551098"/>
    <w:rsid w:val="00551581"/>
    <w:rsid w:val="00551598"/>
    <w:rsid w:val="0055162B"/>
    <w:rsid w:val="00551BFF"/>
    <w:rsid w:val="00551D68"/>
    <w:rsid w:val="00552B3E"/>
    <w:rsid w:val="00552DE3"/>
    <w:rsid w:val="005551AA"/>
    <w:rsid w:val="005564CA"/>
    <w:rsid w:val="005568EA"/>
    <w:rsid w:val="00557140"/>
    <w:rsid w:val="00557368"/>
    <w:rsid w:val="005578E6"/>
    <w:rsid w:val="0056058C"/>
    <w:rsid w:val="00560C87"/>
    <w:rsid w:val="00560EF9"/>
    <w:rsid w:val="00560F51"/>
    <w:rsid w:val="00561249"/>
    <w:rsid w:val="00561472"/>
    <w:rsid w:val="0056182B"/>
    <w:rsid w:val="005619D3"/>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221F"/>
    <w:rsid w:val="00572539"/>
    <w:rsid w:val="0057293F"/>
    <w:rsid w:val="00573137"/>
    <w:rsid w:val="0057337D"/>
    <w:rsid w:val="00573504"/>
    <w:rsid w:val="00573788"/>
    <w:rsid w:val="00574708"/>
    <w:rsid w:val="00574932"/>
    <w:rsid w:val="00574D81"/>
    <w:rsid w:val="005756AA"/>
    <w:rsid w:val="0057582D"/>
    <w:rsid w:val="00576233"/>
    <w:rsid w:val="0057696F"/>
    <w:rsid w:val="005774FE"/>
    <w:rsid w:val="0058040C"/>
    <w:rsid w:val="00580D6D"/>
    <w:rsid w:val="00580FB3"/>
    <w:rsid w:val="005813DE"/>
    <w:rsid w:val="00581796"/>
    <w:rsid w:val="00581B45"/>
    <w:rsid w:val="005820E6"/>
    <w:rsid w:val="00582480"/>
    <w:rsid w:val="005825D7"/>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527"/>
    <w:rsid w:val="00593F75"/>
    <w:rsid w:val="005940A0"/>
    <w:rsid w:val="0059429A"/>
    <w:rsid w:val="0059546C"/>
    <w:rsid w:val="00595FDD"/>
    <w:rsid w:val="00596AF7"/>
    <w:rsid w:val="00596CCE"/>
    <w:rsid w:val="00597E38"/>
    <w:rsid w:val="005A0122"/>
    <w:rsid w:val="005A0A2D"/>
    <w:rsid w:val="005A1100"/>
    <w:rsid w:val="005A1199"/>
    <w:rsid w:val="005A1976"/>
    <w:rsid w:val="005A2120"/>
    <w:rsid w:val="005A2501"/>
    <w:rsid w:val="005A2860"/>
    <w:rsid w:val="005A2C80"/>
    <w:rsid w:val="005A3066"/>
    <w:rsid w:val="005A3457"/>
    <w:rsid w:val="005A3B35"/>
    <w:rsid w:val="005A3C4B"/>
    <w:rsid w:val="005A3E5A"/>
    <w:rsid w:val="005A43F3"/>
    <w:rsid w:val="005A496F"/>
    <w:rsid w:val="005A4A56"/>
    <w:rsid w:val="005A5725"/>
    <w:rsid w:val="005A5A3D"/>
    <w:rsid w:val="005A5B87"/>
    <w:rsid w:val="005A6035"/>
    <w:rsid w:val="005A6B75"/>
    <w:rsid w:val="005A6E00"/>
    <w:rsid w:val="005A718A"/>
    <w:rsid w:val="005B09BE"/>
    <w:rsid w:val="005B12B2"/>
    <w:rsid w:val="005B143B"/>
    <w:rsid w:val="005B174F"/>
    <w:rsid w:val="005B1A49"/>
    <w:rsid w:val="005B1E45"/>
    <w:rsid w:val="005B21C4"/>
    <w:rsid w:val="005B2A28"/>
    <w:rsid w:val="005B33B6"/>
    <w:rsid w:val="005B3621"/>
    <w:rsid w:val="005B4948"/>
    <w:rsid w:val="005B4B5B"/>
    <w:rsid w:val="005B4FE5"/>
    <w:rsid w:val="005B501D"/>
    <w:rsid w:val="005B5086"/>
    <w:rsid w:val="005B54CC"/>
    <w:rsid w:val="005B5E48"/>
    <w:rsid w:val="005B74AD"/>
    <w:rsid w:val="005B7E96"/>
    <w:rsid w:val="005C01C1"/>
    <w:rsid w:val="005C0429"/>
    <w:rsid w:val="005C084F"/>
    <w:rsid w:val="005C0CE0"/>
    <w:rsid w:val="005C0EE9"/>
    <w:rsid w:val="005C1716"/>
    <w:rsid w:val="005C1954"/>
    <w:rsid w:val="005C1C0B"/>
    <w:rsid w:val="005C1D53"/>
    <w:rsid w:val="005C2011"/>
    <w:rsid w:val="005C2BCC"/>
    <w:rsid w:val="005C36CF"/>
    <w:rsid w:val="005C3EA3"/>
    <w:rsid w:val="005C5011"/>
    <w:rsid w:val="005C529E"/>
    <w:rsid w:val="005C57BA"/>
    <w:rsid w:val="005C5C52"/>
    <w:rsid w:val="005C5D3D"/>
    <w:rsid w:val="005C5D59"/>
    <w:rsid w:val="005C5E66"/>
    <w:rsid w:val="005C5F05"/>
    <w:rsid w:val="005C69F7"/>
    <w:rsid w:val="005C7F3E"/>
    <w:rsid w:val="005D0E1C"/>
    <w:rsid w:val="005D1051"/>
    <w:rsid w:val="005D119F"/>
    <w:rsid w:val="005D2044"/>
    <w:rsid w:val="005D2472"/>
    <w:rsid w:val="005D24C7"/>
    <w:rsid w:val="005D27DC"/>
    <w:rsid w:val="005D2917"/>
    <w:rsid w:val="005D2EB2"/>
    <w:rsid w:val="005D2F48"/>
    <w:rsid w:val="005D3811"/>
    <w:rsid w:val="005D3BEE"/>
    <w:rsid w:val="005D45F9"/>
    <w:rsid w:val="005D464B"/>
    <w:rsid w:val="005D466F"/>
    <w:rsid w:val="005D49E1"/>
    <w:rsid w:val="005D49F0"/>
    <w:rsid w:val="005D51FA"/>
    <w:rsid w:val="005D53E8"/>
    <w:rsid w:val="005D5A26"/>
    <w:rsid w:val="005D5A9D"/>
    <w:rsid w:val="005D6651"/>
    <w:rsid w:val="005D691D"/>
    <w:rsid w:val="005D6A72"/>
    <w:rsid w:val="005D749F"/>
    <w:rsid w:val="005D7725"/>
    <w:rsid w:val="005D791B"/>
    <w:rsid w:val="005D7CF2"/>
    <w:rsid w:val="005D7F92"/>
    <w:rsid w:val="005E049F"/>
    <w:rsid w:val="005E0D7B"/>
    <w:rsid w:val="005E1595"/>
    <w:rsid w:val="005E1F1D"/>
    <w:rsid w:val="005E1F61"/>
    <w:rsid w:val="005E273D"/>
    <w:rsid w:val="005E2C4E"/>
    <w:rsid w:val="005E3278"/>
    <w:rsid w:val="005E363B"/>
    <w:rsid w:val="005E3B0D"/>
    <w:rsid w:val="005E3FB1"/>
    <w:rsid w:val="005E456A"/>
    <w:rsid w:val="005E4DEF"/>
    <w:rsid w:val="005E6EA5"/>
    <w:rsid w:val="005E7FB5"/>
    <w:rsid w:val="005F0081"/>
    <w:rsid w:val="005F041F"/>
    <w:rsid w:val="005F073E"/>
    <w:rsid w:val="005F0AF6"/>
    <w:rsid w:val="005F0F06"/>
    <w:rsid w:val="005F1216"/>
    <w:rsid w:val="005F1819"/>
    <w:rsid w:val="005F1D7D"/>
    <w:rsid w:val="005F1D89"/>
    <w:rsid w:val="005F2558"/>
    <w:rsid w:val="005F271F"/>
    <w:rsid w:val="005F2BED"/>
    <w:rsid w:val="005F300C"/>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16B"/>
    <w:rsid w:val="00602B45"/>
    <w:rsid w:val="00602FA6"/>
    <w:rsid w:val="00603499"/>
    <w:rsid w:val="006035F5"/>
    <w:rsid w:val="00603CC2"/>
    <w:rsid w:val="006047D1"/>
    <w:rsid w:val="00604A55"/>
    <w:rsid w:val="00604D3F"/>
    <w:rsid w:val="00605AC3"/>
    <w:rsid w:val="00606908"/>
    <w:rsid w:val="00606B23"/>
    <w:rsid w:val="00607996"/>
    <w:rsid w:val="00607A37"/>
    <w:rsid w:val="00607A9C"/>
    <w:rsid w:val="00607E9F"/>
    <w:rsid w:val="0061085E"/>
    <w:rsid w:val="00611398"/>
    <w:rsid w:val="0061155F"/>
    <w:rsid w:val="00612322"/>
    <w:rsid w:val="006123C0"/>
    <w:rsid w:val="00613191"/>
    <w:rsid w:val="006133F9"/>
    <w:rsid w:val="006134B3"/>
    <w:rsid w:val="00613659"/>
    <w:rsid w:val="00613DE1"/>
    <w:rsid w:val="0061401F"/>
    <w:rsid w:val="00614166"/>
    <w:rsid w:val="006145B9"/>
    <w:rsid w:val="00614817"/>
    <w:rsid w:val="006149CC"/>
    <w:rsid w:val="006157A9"/>
    <w:rsid w:val="0061591D"/>
    <w:rsid w:val="00615ED0"/>
    <w:rsid w:val="0061604C"/>
    <w:rsid w:val="0061610B"/>
    <w:rsid w:val="00616C2B"/>
    <w:rsid w:val="006174FA"/>
    <w:rsid w:val="00617572"/>
    <w:rsid w:val="006178D1"/>
    <w:rsid w:val="00620236"/>
    <w:rsid w:val="00620719"/>
    <w:rsid w:val="006212C9"/>
    <w:rsid w:val="00621459"/>
    <w:rsid w:val="00621D0C"/>
    <w:rsid w:val="00622470"/>
    <w:rsid w:val="0062264E"/>
    <w:rsid w:val="00622725"/>
    <w:rsid w:val="00622AB4"/>
    <w:rsid w:val="006231AA"/>
    <w:rsid w:val="00623482"/>
    <w:rsid w:val="00623822"/>
    <w:rsid w:val="00623AC2"/>
    <w:rsid w:val="00623FF7"/>
    <w:rsid w:val="00624332"/>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2DEE"/>
    <w:rsid w:val="00633367"/>
    <w:rsid w:val="0063367B"/>
    <w:rsid w:val="00633B5E"/>
    <w:rsid w:val="00633DBF"/>
    <w:rsid w:val="00634029"/>
    <w:rsid w:val="00634122"/>
    <w:rsid w:val="006355B6"/>
    <w:rsid w:val="00635E32"/>
    <w:rsid w:val="006365DE"/>
    <w:rsid w:val="00636BE4"/>
    <w:rsid w:val="0063746C"/>
    <w:rsid w:val="00637802"/>
    <w:rsid w:val="00637836"/>
    <w:rsid w:val="00637C26"/>
    <w:rsid w:val="00637F44"/>
    <w:rsid w:val="00640659"/>
    <w:rsid w:val="00641078"/>
    <w:rsid w:val="006411B0"/>
    <w:rsid w:val="00641242"/>
    <w:rsid w:val="00641762"/>
    <w:rsid w:val="006423A3"/>
    <w:rsid w:val="00642A32"/>
    <w:rsid w:val="006433D5"/>
    <w:rsid w:val="0064369C"/>
    <w:rsid w:val="00644156"/>
    <w:rsid w:val="00645D41"/>
    <w:rsid w:val="00646B20"/>
    <w:rsid w:val="00646D0F"/>
    <w:rsid w:val="0064708F"/>
    <w:rsid w:val="00647936"/>
    <w:rsid w:val="00647A36"/>
    <w:rsid w:val="00647DCC"/>
    <w:rsid w:val="00647EFA"/>
    <w:rsid w:val="00647F14"/>
    <w:rsid w:val="00647FD1"/>
    <w:rsid w:val="00650027"/>
    <w:rsid w:val="006507BF"/>
    <w:rsid w:val="00650B46"/>
    <w:rsid w:val="0065120E"/>
    <w:rsid w:val="00651389"/>
    <w:rsid w:val="0065188F"/>
    <w:rsid w:val="00651B9C"/>
    <w:rsid w:val="00651C47"/>
    <w:rsid w:val="00651D98"/>
    <w:rsid w:val="00652783"/>
    <w:rsid w:val="00652854"/>
    <w:rsid w:val="00652D2C"/>
    <w:rsid w:val="00652E70"/>
    <w:rsid w:val="0065303A"/>
    <w:rsid w:val="0065339A"/>
    <w:rsid w:val="00653469"/>
    <w:rsid w:val="00653F4A"/>
    <w:rsid w:val="00654A38"/>
    <w:rsid w:val="00654B4B"/>
    <w:rsid w:val="00655301"/>
    <w:rsid w:val="00655371"/>
    <w:rsid w:val="00655876"/>
    <w:rsid w:val="00655FB1"/>
    <w:rsid w:val="00656A0F"/>
    <w:rsid w:val="00656C4B"/>
    <w:rsid w:val="006573EA"/>
    <w:rsid w:val="00661029"/>
    <w:rsid w:val="00661042"/>
    <w:rsid w:val="0066135A"/>
    <w:rsid w:val="006614DC"/>
    <w:rsid w:val="00661639"/>
    <w:rsid w:val="0066272D"/>
    <w:rsid w:val="00662E58"/>
    <w:rsid w:val="00662F39"/>
    <w:rsid w:val="006635A0"/>
    <w:rsid w:val="00664351"/>
    <w:rsid w:val="0066553F"/>
    <w:rsid w:val="00665968"/>
    <w:rsid w:val="00665BF7"/>
    <w:rsid w:val="00666178"/>
    <w:rsid w:val="0066639E"/>
    <w:rsid w:val="00666473"/>
    <w:rsid w:val="00666611"/>
    <w:rsid w:val="00666C72"/>
    <w:rsid w:val="00666E5A"/>
    <w:rsid w:val="00666E6C"/>
    <w:rsid w:val="0066707F"/>
    <w:rsid w:val="0066731F"/>
    <w:rsid w:val="00667ED8"/>
    <w:rsid w:val="0067064C"/>
    <w:rsid w:val="00670B20"/>
    <w:rsid w:val="00670E12"/>
    <w:rsid w:val="00671229"/>
    <w:rsid w:val="00671E7D"/>
    <w:rsid w:val="00671F94"/>
    <w:rsid w:val="006720A1"/>
    <w:rsid w:val="00672E80"/>
    <w:rsid w:val="006735A4"/>
    <w:rsid w:val="006739E4"/>
    <w:rsid w:val="00673ECF"/>
    <w:rsid w:val="0067419A"/>
    <w:rsid w:val="0067426B"/>
    <w:rsid w:val="00674878"/>
    <w:rsid w:val="00674A1B"/>
    <w:rsid w:val="006754F8"/>
    <w:rsid w:val="00676127"/>
    <w:rsid w:val="006761E5"/>
    <w:rsid w:val="00676AED"/>
    <w:rsid w:val="00677981"/>
    <w:rsid w:val="00677F26"/>
    <w:rsid w:val="006802A7"/>
    <w:rsid w:val="006811C9"/>
    <w:rsid w:val="00681266"/>
    <w:rsid w:val="006812CE"/>
    <w:rsid w:val="006823DC"/>
    <w:rsid w:val="0068277A"/>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332"/>
    <w:rsid w:val="00687504"/>
    <w:rsid w:val="00687A14"/>
    <w:rsid w:val="00687A8C"/>
    <w:rsid w:val="006906FA"/>
    <w:rsid w:val="00690839"/>
    <w:rsid w:val="006908DB"/>
    <w:rsid w:val="00690DE9"/>
    <w:rsid w:val="00690FF7"/>
    <w:rsid w:val="00691308"/>
    <w:rsid w:val="00691DE9"/>
    <w:rsid w:val="00691EAA"/>
    <w:rsid w:val="00692245"/>
    <w:rsid w:val="00692FFA"/>
    <w:rsid w:val="00693772"/>
    <w:rsid w:val="00694160"/>
    <w:rsid w:val="006959A5"/>
    <w:rsid w:val="00695C0C"/>
    <w:rsid w:val="00695C9B"/>
    <w:rsid w:val="00695EBF"/>
    <w:rsid w:val="00696A05"/>
    <w:rsid w:val="00696E17"/>
    <w:rsid w:val="00697665"/>
    <w:rsid w:val="00697C9A"/>
    <w:rsid w:val="00697E68"/>
    <w:rsid w:val="006A0274"/>
    <w:rsid w:val="006A228F"/>
    <w:rsid w:val="006A2A43"/>
    <w:rsid w:val="006A2BF1"/>
    <w:rsid w:val="006A2EEA"/>
    <w:rsid w:val="006A2F9A"/>
    <w:rsid w:val="006A34E4"/>
    <w:rsid w:val="006A3A5A"/>
    <w:rsid w:val="006A4287"/>
    <w:rsid w:val="006A44CF"/>
    <w:rsid w:val="006A457D"/>
    <w:rsid w:val="006A544E"/>
    <w:rsid w:val="006A55EE"/>
    <w:rsid w:val="006A575B"/>
    <w:rsid w:val="006A59DE"/>
    <w:rsid w:val="006A6655"/>
    <w:rsid w:val="006A6B0B"/>
    <w:rsid w:val="006A6BF9"/>
    <w:rsid w:val="006A76BA"/>
    <w:rsid w:val="006A7CB5"/>
    <w:rsid w:val="006A7FD0"/>
    <w:rsid w:val="006B025C"/>
    <w:rsid w:val="006B0ECC"/>
    <w:rsid w:val="006B2534"/>
    <w:rsid w:val="006B2CB2"/>
    <w:rsid w:val="006B347D"/>
    <w:rsid w:val="006B3B7C"/>
    <w:rsid w:val="006B3C50"/>
    <w:rsid w:val="006B3E19"/>
    <w:rsid w:val="006B3FB6"/>
    <w:rsid w:val="006B40A8"/>
    <w:rsid w:val="006B4488"/>
    <w:rsid w:val="006B47F2"/>
    <w:rsid w:val="006B4CB2"/>
    <w:rsid w:val="006B671C"/>
    <w:rsid w:val="006B67AC"/>
    <w:rsid w:val="006B6A25"/>
    <w:rsid w:val="006B70FB"/>
    <w:rsid w:val="006B786A"/>
    <w:rsid w:val="006B78B9"/>
    <w:rsid w:val="006B7BA0"/>
    <w:rsid w:val="006B7E4E"/>
    <w:rsid w:val="006C003A"/>
    <w:rsid w:val="006C2454"/>
    <w:rsid w:val="006C2551"/>
    <w:rsid w:val="006C37CA"/>
    <w:rsid w:val="006C40B7"/>
    <w:rsid w:val="006C40D2"/>
    <w:rsid w:val="006C5B15"/>
    <w:rsid w:val="006C5D32"/>
    <w:rsid w:val="006C5D6C"/>
    <w:rsid w:val="006C5DCB"/>
    <w:rsid w:val="006C70C4"/>
    <w:rsid w:val="006C7270"/>
    <w:rsid w:val="006C775C"/>
    <w:rsid w:val="006C789C"/>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4AD1"/>
    <w:rsid w:val="006D658F"/>
    <w:rsid w:val="006D67A4"/>
    <w:rsid w:val="006D6988"/>
    <w:rsid w:val="006D69FA"/>
    <w:rsid w:val="006D6A12"/>
    <w:rsid w:val="006D6AAB"/>
    <w:rsid w:val="006D712D"/>
    <w:rsid w:val="006D7687"/>
    <w:rsid w:val="006D7D1F"/>
    <w:rsid w:val="006D7D8A"/>
    <w:rsid w:val="006E0572"/>
    <w:rsid w:val="006E05D8"/>
    <w:rsid w:val="006E08EE"/>
    <w:rsid w:val="006E155A"/>
    <w:rsid w:val="006E3452"/>
    <w:rsid w:val="006E39D1"/>
    <w:rsid w:val="006E437F"/>
    <w:rsid w:val="006E4B43"/>
    <w:rsid w:val="006E4D5B"/>
    <w:rsid w:val="006E602F"/>
    <w:rsid w:val="006E6720"/>
    <w:rsid w:val="006E68FA"/>
    <w:rsid w:val="006E7275"/>
    <w:rsid w:val="006E77B8"/>
    <w:rsid w:val="006F15CC"/>
    <w:rsid w:val="006F25C8"/>
    <w:rsid w:val="006F3BDD"/>
    <w:rsid w:val="006F3E7B"/>
    <w:rsid w:val="006F4147"/>
    <w:rsid w:val="006F4315"/>
    <w:rsid w:val="006F436D"/>
    <w:rsid w:val="006F4478"/>
    <w:rsid w:val="006F458D"/>
    <w:rsid w:val="006F4A6D"/>
    <w:rsid w:val="006F4CB0"/>
    <w:rsid w:val="006F4F78"/>
    <w:rsid w:val="006F547E"/>
    <w:rsid w:val="006F5656"/>
    <w:rsid w:val="006F5CA8"/>
    <w:rsid w:val="006F5CCF"/>
    <w:rsid w:val="006F5D99"/>
    <w:rsid w:val="006F688D"/>
    <w:rsid w:val="006F772B"/>
    <w:rsid w:val="006F78DC"/>
    <w:rsid w:val="00700D5F"/>
    <w:rsid w:val="007012DC"/>
    <w:rsid w:val="0070138A"/>
    <w:rsid w:val="0070157E"/>
    <w:rsid w:val="007030D4"/>
    <w:rsid w:val="0070317C"/>
    <w:rsid w:val="00703279"/>
    <w:rsid w:val="00703737"/>
    <w:rsid w:val="00703B61"/>
    <w:rsid w:val="00703E11"/>
    <w:rsid w:val="00703FB4"/>
    <w:rsid w:val="00704102"/>
    <w:rsid w:val="0070439B"/>
    <w:rsid w:val="0070461C"/>
    <w:rsid w:val="00705631"/>
    <w:rsid w:val="00705818"/>
    <w:rsid w:val="00705F62"/>
    <w:rsid w:val="0070773F"/>
    <w:rsid w:val="00707ED3"/>
    <w:rsid w:val="007101B7"/>
    <w:rsid w:val="00710549"/>
    <w:rsid w:val="00710668"/>
    <w:rsid w:val="00710AB5"/>
    <w:rsid w:val="007110F4"/>
    <w:rsid w:val="007112B1"/>
    <w:rsid w:val="0071130F"/>
    <w:rsid w:val="00711954"/>
    <w:rsid w:val="00712714"/>
    <w:rsid w:val="00712720"/>
    <w:rsid w:val="007128E3"/>
    <w:rsid w:val="007129AB"/>
    <w:rsid w:val="00712B63"/>
    <w:rsid w:val="007130F7"/>
    <w:rsid w:val="00713526"/>
    <w:rsid w:val="00713FC5"/>
    <w:rsid w:val="00715265"/>
    <w:rsid w:val="00715944"/>
    <w:rsid w:val="00715BBF"/>
    <w:rsid w:val="00715C29"/>
    <w:rsid w:val="00715CBD"/>
    <w:rsid w:val="00715E86"/>
    <w:rsid w:val="00715EAA"/>
    <w:rsid w:val="00716CAD"/>
    <w:rsid w:val="00716F18"/>
    <w:rsid w:val="00717363"/>
    <w:rsid w:val="00717786"/>
    <w:rsid w:val="00717ACB"/>
    <w:rsid w:val="00720159"/>
    <w:rsid w:val="00721BFF"/>
    <w:rsid w:val="007223E8"/>
    <w:rsid w:val="00722FD8"/>
    <w:rsid w:val="007236C4"/>
    <w:rsid w:val="00723B59"/>
    <w:rsid w:val="00724635"/>
    <w:rsid w:val="0072554B"/>
    <w:rsid w:val="00725AFD"/>
    <w:rsid w:val="00726603"/>
    <w:rsid w:val="00726772"/>
    <w:rsid w:val="00727DDC"/>
    <w:rsid w:val="00730CD6"/>
    <w:rsid w:val="00730F74"/>
    <w:rsid w:val="0073114B"/>
    <w:rsid w:val="007318A7"/>
    <w:rsid w:val="00732109"/>
    <w:rsid w:val="00734414"/>
    <w:rsid w:val="00734952"/>
    <w:rsid w:val="00734990"/>
    <w:rsid w:val="00734FF5"/>
    <w:rsid w:val="00735B78"/>
    <w:rsid w:val="00735DA7"/>
    <w:rsid w:val="007368B4"/>
    <w:rsid w:val="0073698D"/>
    <w:rsid w:val="00736A76"/>
    <w:rsid w:val="00736B78"/>
    <w:rsid w:val="007378E0"/>
    <w:rsid w:val="00737BF4"/>
    <w:rsid w:val="00737C5C"/>
    <w:rsid w:val="00740529"/>
    <w:rsid w:val="00740A6C"/>
    <w:rsid w:val="00741358"/>
    <w:rsid w:val="00741626"/>
    <w:rsid w:val="00742332"/>
    <w:rsid w:val="00742886"/>
    <w:rsid w:val="007429DB"/>
    <w:rsid w:val="00742DD2"/>
    <w:rsid w:val="007437C6"/>
    <w:rsid w:val="007439EE"/>
    <w:rsid w:val="007441A2"/>
    <w:rsid w:val="00744915"/>
    <w:rsid w:val="00744E80"/>
    <w:rsid w:val="00745035"/>
    <w:rsid w:val="0074531C"/>
    <w:rsid w:val="00745452"/>
    <w:rsid w:val="00745547"/>
    <w:rsid w:val="007459D0"/>
    <w:rsid w:val="00745BA1"/>
    <w:rsid w:val="0074623A"/>
    <w:rsid w:val="00746420"/>
    <w:rsid w:val="00746E04"/>
    <w:rsid w:val="00746E08"/>
    <w:rsid w:val="00746E3D"/>
    <w:rsid w:val="007473B9"/>
    <w:rsid w:val="007473EF"/>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672"/>
    <w:rsid w:val="00760844"/>
    <w:rsid w:val="00760867"/>
    <w:rsid w:val="00760EB6"/>
    <w:rsid w:val="007616DB"/>
    <w:rsid w:val="007620FC"/>
    <w:rsid w:val="0076228A"/>
    <w:rsid w:val="00762440"/>
    <w:rsid w:val="007629B7"/>
    <w:rsid w:val="00762E60"/>
    <w:rsid w:val="007634AD"/>
    <w:rsid w:val="00766E57"/>
    <w:rsid w:val="00766ECC"/>
    <w:rsid w:val="007672F3"/>
    <w:rsid w:val="007677B5"/>
    <w:rsid w:val="007678B1"/>
    <w:rsid w:val="00770317"/>
    <w:rsid w:val="007708A8"/>
    <w:rsid w:val="00772275"/>
    <w:rsid w:val="007734E4"/>
    <w:rsid w:val="0077368F"/>
    <w:rsid w:val="0077380D"/>
    <w:rsid w:val="00773BC8"/>
    <w:rsid w:val="0077466F"/>
    <w:rsid w:val="007752B7"/>
    <w:rsid w:val="0077566B"/>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714"/>
    <w:rsid w:val="00784FC4"/>
    <w:rsid w:val="00785783"/>
    <w:rsid w:val="00785BBB"/>
    <w:rsid w:val="00786FAD"/>
    <w:rsid w:val="007873C9"/>
    <w:rsid w:val="00787A7F"/>
    <w:rsid w:val="00787D90"/>
    <w:rsid w:val="00787F5E"/>
    <w:rsid w:val="00790164"/>
    <w:rsid w:val="007906E2"/>
    <w:rsid w:val="007907E8"/>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5B0E"/>
    <w:rsid w:val="007963F6"/>
    <w:rsid w:val="00796418"/>
    <w:rsid w:val="00796576"/>
    <w:rsid w:val="00796E80"/>
    <w:rsid w:val="007979AD"/>
    <w:rsid w:val="00797A9C"/>
    <w:rsid w:val="007A0EAB"/>
    <w:rsid w:val="007A1948"/>
    <w:rsid w:val="007A1C21"/>
    <w:rsid w:val="007A2341"/>
    <w:rsid w:val="007A31A9"/>
    <w:rsid w:val="007A38A1"/>
    <w:rsid w:val="007A3967"/>
    <w:rsid w:val="007A3BBE"/>
    <w:rsid w:val="007A4766"/>
    <w:rsid w:val="007A5581"/>
    <w:rsid w:val="007A5816"/>
    <w:rsid w:val="007A5947"/>
    <w:rsid w:val="007A7DF2"/>
    <w:rsid w:val="007B0313"/>
    <w:rsid w:val="007B05FB"/>
    <w:rsid w:val="007B0854"/>
    <w:rsid w:val="007B0E48"/>
    <w:rsid w:val="007B18FD"/>
    <w:rsid w:val="007B1D1B"/>
    <w:rsid w:val="007B29F1"/>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87F"/>
    <w:rsid w:val="007B7992"/>
    <w:rsid w:val="007B7EA2"/>
    <w:rsid w:val="007C025A"/>
    <w:rsid w:val="007C081B"/>
    <w:rsid w:val="007C097D"/>
    <w:rsid w:val="007C13FA"/>
    <w:rsid w:val="007C1672"/>
    <w:rsid w:val="007C1F3C"/>
    <w:rsid w:val="007C312A"/>
    <w:rsid w:val="007C3570"/>
    <w:rsid w:val="007C3F2C"/>
    <w:rsid w:val="007C3F3B"/>
    <w:rsid w:val="007C4241"/>
    <w:rsid w:val="007C55FF"/>
    <w:rsid w:val="007C581D"/>
    <w:rsid w:val="007C5B11"/>
    <w:rsid w:val="007C6339"/>
    <w:rsid w:val="007C7C43"/>
    <w:rsid w:val="007C7F0D"/>
    <w:rsid w:val="007C7F6F"/>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1D27"/>
    <w:rsid w:val="007E20FC"/>
    <w:rsid w:val="007E2A04"/>
    <w:rsid w:val="007E2C36"/>
    <w:rsid w:val="007E350D"/>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37"/>
    <w:rsid w:val="007F1F63"/>
    <w:rsid w:val="007F21D8"/>
    <w:rsid w:val="007F22A0"/>
    <w:rsid w:val="007F280B"/>
    <w:rsid w:val="007F2F90"/>
    <w:rsid w:val="007F3320"/>
    <w:rsid w:val="007F392A"/>
    <w:rsid w:val="007F3973"/>
    <w:rsid w:val="007F3A85"/>
    <w:rsid w:val="007F3AC1"/>
    <w:rsid w:val="007F48FA"/>
    <w:rsid w:val="007F4976"/>
    <w:rsid w:val="007F583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037"/>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6E85"/>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4EDA"/>
    <w:rsid w:val="00825240"/>
    <w:rsid w:val="00825B43"/>
    <w:rsid w:val="00826E06"/>
    <w:rsid w:val="00827203"/>
    <w:rsid w:val="0082767A"/>
    <w:rsid w:val="00827CC0"/>
    <w:rsid w:val="00831026"/>
    <w:rsid w:val="008310CC"/>
    <w:rsid w:val="0083119B"/>
    <w:rsid w:val="00831BAE"/>
    <w:rsid w:val="00832216"/>
    <w:rsid w:val="00832CD0"/>
    <w:rsid w:val="00833430"/>
    <w:rsid w:val="00833592"/>
    <w:rsid w:val="00834128"/>
    <w:rsid w:val="0083417F"/>
    <w:rsid w:val="00834DF1"/>
    <w:rsid w:val="00835143"/>
    <w:rsid w:val="00835741"/>
    <w:rsid w:val="00836BCD"/>
    <w:rsid w:val="00836E74"/>
    <w:rsid w:val="00836EAB"/>
    <w:rsid w:val="0083747B"/>
    <w:rsid w:val="00837673"/>
    <w:rsid w:val="00837937"/>
    <w:rsid w:val="00837D82"/>
    <w:rsid w:val="00840893"/>
    <w:rsid w:val="00840E88"/>
    <w:rsid w:val="0084195A"/>
    <w:rsid w:val="008423EC"/>
    <w:rsid w:val="008426E0"/>
    <w:rsid w:val="0084332E"/>
    <w:rsid w:val="00843615"/>
    <w:rsid w:val="00843698"/>
    <w:rsid w:val="00843A4B"/>
    <w:rsid w:val="00843B57"/>
    <w:rsid w:val="00843B60"/>
    <w:rsid w:val="00843D33"/>
    <w:rsid w:val="00844D4F"/>
    <w:rsid w:val="0084532A"/>
    <w:rsid w:val="00845AE3"/>
    <w:rsid w:val="00845DD0"/>
    <w:rsid w:val="00846531"/>
    <w:rsid w:val="008466A0"/>
    <w:rsid w:val="00846D1D"/>
    <w:rsid w:val="00846DBE"/>
    <w:rsid w:val="00847535"/>
    <w:rsid w:val="00847B6D"/>
    <w:rsid w:val="00847FFA"/>
    <w:rsid w:val="008501B7"/>
    <w:rsid w:val="0085059A"/>
    <w:rsid w:val="0085092D"/>
    <w:rsid w:val="00850AAB"/>
    <w:rsid w:val="00850D82"/>
    <w:rsid w:val="00850F79"/>
    <w:rsid w:val="0085100B"/>
    <w:rsid w:val="0085304C"/>
    <w:rsid w:val="0085457D"/>
    <w:rsid w:val="008548CA"/>
    <w:rsid w:val="0085587C"/>
    <w:rsid w:val="008562E4"/>
    <w:rsid w:val="00856C06"/>
    <w:rsid w:val="0085790B"/>
    <w:rsid w:val="00857C95"/>
    <w:rsid w:val="00857E78"/>
    <w:rsid w:val="008605E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67C5D"/>
    <w:rsid w:val="0087033C"/>
    <w:rsid w:val="00870B44"/>
    <w:rsid w:val="008715ED"/>
    <w:rsid w:val="008717D8"/>
    <w:rsid w:val="00871E3C"/>
    <w:rsid w:val="0087213A"/>
    <w:rsid w:val="00872F97"/>
    <w:rsid w:val="00873323"/>
    <w:rsid w:val="00873863"/>
    <w:rsid w:val="00874607"/>
    <w:rsid w:val="00874915"/>
    <w:rsid w:val="00874B89"/>
    <w:rsid w:val="00875403"/>
    <w:rsid w:val="00875434"/>
    <w:rsid w:val="008760BD"/>
    <w:rsid w:val="00876158"/>
    <w:rsid w:val="00876215"/>
    <w:rsid w:val="0087646C"/>
    <w:rsid w:val="008765B1"/>
    <w:rsid w:val="00876815"/>
    <w:rsid w:val="00877932"/>
    <w:rsid w:val="00877CDD"/>
    <w:rsid w:val="008808C7"/>
    <w:rsid w:val="00880DB3"/>
    <w:rsid w:val="0088106B"/>
    <w:rsid w:val="0088107D"/>
    <w:rsid w:val="008812E2"/>
    <w:rsid w:val="0088168A"/>
    <w:rsid w:val="00881E64"/>
    <w:rsid w:val="0088230E"/>
    <w:rsid w:val="00882D20"/>
    <w:rsid w:val="00882E39"/>
    <w:rsid w:val="008850E3"/>
    <w:rsid w:val="008850EB"/>
    <w:rsid w:val="00885D01"/>
    <w:rsid w:val="00886B32"/>
    <w:rsid w:val="00886DF2"/>
    <w:rsid w:val="00886FB9"/>
    <w:rsid w:val="00887080"/>
    <w:rsid w:val="00887BC5"/>
    <w:rsid w:val="00887C79"/>
    <w:rsid w:val="008907CC"/>
    <w:rsid w:val="00890998"/>
    <w:rsid w:val="0089107B"/>
    <w:rsid w:val="008913CC"/>
    <w:rsid w:val="00891411"/>
    <w:rsid w:val="008914AE"/>
    <w:rsid w:val="00891838"/>
    <w:rsid w:val="008919CF"/>
    <w:rsid w:val="008919EB"/>
    <w:rsid w:val="00891F84"/>
    <w:rsid w:val="0089211C"/>
    <w:rsid w:val="008928EC"/>
    <w:rsid w:val="00892E5D"/>
    <w:rsid w:val="008935CF"/>
    <w:rsid w:val="008940B2"/>
    <w:rsid w:val="00894436"/>
    <w:rsid w:val="00894BB1"/>
    <w:rsid w:val="008950CB"/>
    <w:rsid w:val="008951D0"/>
    <w:rsid w:val="0089582D"/>
    <w:rsid w:val="008958BD"/>
    <w:rsid w:val="008959C6"/>
    <w:rsid w:val="0089606D"/>
    <w:rsid w:val="00896129"/>
    <w:rsid w:val="00896244"/>
    <w:rsid w:val="008965DF"/>
    <w:rsid w:val="0089774F"/>
    <w:rsid w:val="00897875"/>
    <w:rsid w:val="00897B8F"/>
    <w:rsid w:val="008A00D8"/>
    <w:rsid w:val="008A00D9"/>
    <w:rsid w:val="008A07D5"/>
    <w:rsid w:val="008A1F7E"/>
    <w:rsid w:val="008A2527"/>
    <w:rsid w:val="008A25E2"/>
    <w:rsid w:val="008A295B"/>
    <w:rsid w:val="008A2A23"/>
    <w:rsid w:val="008A2AF5"/>
    <w:rsid w:val="008A2B5A"/>
    <w:rsid w:val="008A2DD1"/>
    <w:rsid w:val="008A3F9D"/>
    <w:rsid w:val="008A4E4C"/>
    <w:rsid w:val="008A5474"/>
    <w:rsid w:val="008A590B"/>
    <w:rsid w:val="008A59F0"/>
    <w:rsid w:val="008A5C9A"/>
    <w:rsid w:val="008A6A55"/>
    <w:rsid w:val="008A6DF0"/>
    <w:rsid w:val="008A6F6E"/>
    <w:rsid w:val="008A7577"/>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BA"/>
    <w:rsid w:val="008C24E7"/>
    <w:rsid w:val="008C2500"/>
    <w:rsid w:val="008C2CAC"/>
    <w:rsid w:val="008C3392"/>
    <w:rsid w:val="008C3CB5"/>
    <w:rsid w:val="008C3E2A"/>
    <w:rsid w:val="008C42F5"/>
    <w:rsid w:val="008C45BD"/>
    <w:rsid w:val="008C4B19"/>
    <w:rsid w:val="008C568F"/>
    <w:rsid w:val="008C62D4"/>
    <w:rsid w:val="008C6B89"/>
    <w:rsid w:val="008D028B"/>
    <w:rsid w:val="008D077E"/>
    <w:rsid w:val="008D18AA"/>
    <w:rsid w:val="008D1A16"/>
    <w:rsid w:val="008D1A2A"/>
    <w:rsid w:val="008D29B1"/>
    <w:rsid w:val="008D35D9"/>
    <w:rsid w:val="008D3B25"/>
    <w:rsid w:val="008D3B85"/>
    <w:rsid w:val="008D4527"/>
    <w:rsid w:val="008D462D"/>
    <w:rsid w:val="008D4869"/>
    <w:rsid w:val="008D51F2"/>
    <w:rsid w:val="008D66CA"/>
    <w:rsid w:val="008D69B1"/>
    <w:rsid w:val="008D6E07"/>
    <w:rsid w:val="008D70AD"/>
    <w:rsid w:val="008D7150"/>
    <w:rsid w:val="008D7338"/>
    <w:rsid w:val="008D7773"/>
    <w:rsid w:val="008D7A33"/>
    <w:rsid w:val="008E0012"/>
    <w:rsid w:val="008E0649"/>
    <w:rsid w:val="008E0DF7"/>
    <w:rsid w:val="008E0FAD"/>
    <w:rsid w:val="008E1347"/>
    <w:rsid w:val="008E16E0"/>
    <w:rsid w:val="008E1C15"/>
    <w:rsid w:val="008E1C9A"/>
    <w:rsid w:val="008E28BD"/>
    <w:rsid w:val="008E38B4"/>
    <w:rsid w:val="008E3BA4"/>
    <w:rsid w:val="008E3E84"/>
    <w:rsid w:val="008E41C4"/>
    <w:rsid w:val="008E44AB"/>
    <w:rsid w:val="008E4D97"/>
    <w:rsid w:val="008E5179"/>
    <w:rsid w:val="008E5CD3"/>
    <w:rsid w:val="008E6598"/>
    <w:rsid w:val="008E6A17"/>
    <w:rsid w:val="008E7214"/>
    <w:rsid w:val="008E7348"/>
    <w:rsid w:val="008E7884"/>
    <w:rsid w:val="008E7D6E"/>
    <w:rsid w:val="008F1056"/>
    <w:rsid w:val="008F1D7D"/>
    <w:rsid w:val="008F2E8D"/>
    <w:rsid w:val="008F387B"/>
    <w:rsid w:val="008F3C67"/>
    <w:rsid w:val="008F3DD9"/>
    <w:rsid w:val="008F4814"/>
    <w:rsid w:val="008F4DA6"/>
    <w:rsid w:val="008F538E"/>
    <w:rsid w:val="008F5A20"/>
    <w:rsid w:val="008F5ABA"/>
    <w:rsid w:val="008F5EDC"/>
    <w:rsid w:val="008F6CF9"/>
    <w:rsid w:val="008F7905"/>
    <w:rsid w:val="008F7989"/>
    <w:rsid w:val="00900C70"/>
    <w:rsid w:val="009026AF"/>
    <w:rsid w:val="009028E8"/>
    <w:rsid w:val="00902E5C"/>
    <w:rsid w:val="0090350D"/>
    <w:rsid w:val="009039EB"/>
    <w:rsid w:val="00903CD2"/>
    <w:rsid w:val="009046E5"/>
    <w:rsid w:val="009047C5"/>
    <w:rsid w:val="00904FA5"/>
    <w:rsid w:val="00906C7F"/>
    <w:rsid w:val="00906E31"/>
    <w:rsid w:val="00910683"/>
    <w:rsid w:val="00910E00"/>
    <w:rsid w:val="009116CE"/>
    <w:rsid w:val="00911714"/>
    <w:rsid w:val="0091194A"/>
    <w:rsid w:val="00911A5B"/>
    <w:rsid w:val="00911B95"/>
    <w:rsid w:val="009136D4"/>
    <w:rsid w:val="00913706"/>
    <w:rsid w:val="00914B9A"/>
    <w:rsid w:val="00914C3F"/>
    <w:rsid w:val="00914F33"/>
    <w:rsid w:val="0091535A"/>
    <w:rsid w:val="009153F6"/>
    <w:rsid w:val="00915FCE"/>
    <w:rsid w:val="00916AFE"/>
    <w:rsid w:val="00916FC8"/>
    <w:rsid w:val="009170D3"/>
    <w:rsid w:val="0091755C"/>
    <w:rsid w:val="0091759C"/>
    <w:rsid w:val="00917910"/>
    <w:rsid w:val="00920026"/>
    <w:rsid w:val="009203E2"/>
    <w:rsid w:val="0092085F"/>
    <w:rsid w:val="00920DCB"/>
    <w:rsid w:val="00921304"/>
    <w:rsid w:val="00921805"/>
    <w:rsid w:val="00921BA7"/>
    <w:rsid w:val="00922CB5"/>
    <w:rsid w:val="00923396"/>
    <w:rsid w:val="00923F56"/>
    <w:rsid w:val="0092411F"/>
    <w:rsid w:val="009246C4"/>
    <w:rsid w:val="00924710"/>
    <w:rsid w:val="00925743"/>
    <w:rsid w:val="0092579F"/>
    <w:rsid w:val="0092770D"/>
    <w:rsid w:val="00927D0E"/>
    <w:rsid w:val="00927E8D"/>
    <w:rsid w:val="00927F23"/>
    <w:rsid w:val="00930698"/>
    <w:rsid w:val="009307CD"/>
    <w:rsid w:val="00930E7C"/>
    <w:rsid w:val="00931451"/>
    <w:rsid w:val="009314FA"/>
    <w:rsid w:val="0093194F"/>
    <w:rsid w:val="00931BF3"/>
    <w:rsid w:val="00931C55"/>
    <w:rsid w:val="00932C11"/>
    <w:rsid w:val="00933333"/>
    <w:rsid w:val="0093349A"/>
    <w:rsid w:val="009337B2"/>
    <w:rsid w:val="00933AF1"/>
    <w:rsid w:val="00933FCB"/>
    <w:rsid w:val="00934E69"/>
    <w:rsid w:val="00934FD7"/>
    <w:rsid w:val="009367D5"/>
    <w:rsid w:val="00937401"/>
    <w:rsid w:val="00937561"/>
    <w:rsid w:val="009376FB"/>
    <w:rsid w:val="00937D6B"/>
    <w:rsid w:val="0094029D"/>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47454"/>
    <w:rsid w:val="00947824"/>
    <w:rsid w:val="00950242"/>
    <w:rsid w:val="009512FA"/>
    <w:rsid w:val="00951E57"/>
    <w:rsid w:val="00953018"/>
    <w:rsid w:val="009533E2"/>
    <w:rsid w:val="009534AD"/>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3CC9"/>
    <w:rsid w:val="00964138"/>
    <w:rsid w:val="00964742"/>
    <w:rsid w:val="00964B3F"/>
    <w:rsid w:val="00964C98"/>
    <w:rsid w:val="00964E0A"/>
    <w:rsid w:val="00965717"/>
    <w:rsid w:val="00966214"/>
    <w:rsid w:val="00966FB8"/>
    <w:rsid w:val="0096799B"/>
    <w:rsid w:val="00970572"/>
    <w:rsid w:val="00971441"/>
    <w:rsid w:val="009715D4"/>
    <w:rsid w:val="00971D7B"/>
    <w:rsid w:val="00972470"/>
    <w:rsid w:val="009739A9"/>
    <w:rsid w:val="00973AA2"/>
    <w:rsid w:val="0097494E"/>
    <w:rsid w:val="00974B58"/>
    <w:rsid w:val="00975229"/>
    <w:rsid w:val="009761ED"/>
    <w:rsid w:val="009801E7"/>
    <w:rsid w:val="0098022F"/>
    <w:rsid w:val="009808B5"/>
    <w:rsid w:val="009810DE"/>
    <w:rsid w:val="009816A2"/>
    <w:rsid w:val="009820E1"/>
    <w:rsid w:val="009822D7"/>
    <w:rsid w:val="009827E6"/>
    <w:rsid w:val="00982E70"/>
    <w:rsid w:val="00982F84"/>
    <w:rsid w:val="00983697"/>
    <w:rsid w:val="009838E9"/>
    <w:rsid w:val="0098427D"/>
    <w:rsid w:val="00984567"/>
    <w:rsid w:val="00985102"/>
    <w:rsid w:val="009865D5"/>
    <w:rsid w:val="0098697F"/>
    <w:rsid w:val="009876F2"/>
    <w:rsid w:val="00987A68"/>
    <w:rsid w:val="00987C77"/>
    <w:rsid w:val="00990345"/>
    <w:rsid w:val="00990701"/>
    <w:rsid w:val="0099090B"/>
    <w:rsid w:val="0099119C"/>
    <w:rsid w:val="0099137A"/>
    <w:rsid w:val="00991805"/>
    <w:rsid w:val="00992064"/>
    <w:rsid w:val="0099211C"/>
    <w:rsid w:val="00993B78"/>
    <w:rsid w:val="00994426"/>
    <w:rsid w:val="0099483A"/>
    <w:rsid w:val="00995119"/>
    <w:rsid w:val="00995265"/>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5DC"/>
    <w:rsid w:val="009A38AB"/>
    <w:rsid w:val="009A3A3D"/>
    <w:rsid w:val="009A3CFB"/>
    <w:rsid w:val="009A3D41"/>
    <w:rsid w:val="009A3D47"/>
    <w:rsid w:val="009A4D63"/>
    <w:rsid w:val="009A52E4"/>
    <w:rsid w:val="009A5356"/>
    <w:rsid w:val="009A5468"/>
    <w:rsid w:val="009A59FD"/>
    <w:rsid w:val="009A5D99"/>
    <w:rsid w:val="009A608C"/>
    <w:rsid w:val="009A63B7"/>
    <w:rsid w:val="009A6CA7"/>
    <w:rsid w:val="009A6CE6"/>
    <w:rsid w:val="009A6FDF"/>
    <w:rsid w:val="009A7006"/>
    <w:rsid w:val="009A76D6"/>
    <w:rsid w:val="009B199E"/>
    <w:rsid w:val="009B2E29"/>
    <w:rsid w:val="009B2FF3"/>
    <w:rsid w:val="009B3163"/>
    <w:rsid w:val="009B39C2"/>
    <w:rsid w:val="009B4100"/>
    <w:rsid w:val="009B422F"/>
    <w:rsid w:val="009B46BC"/>
    <w:rsid w:val="009B4D1A"/>
    <w:rsid w:val="009B558B"/>
    <w:rsid w:val="009B634C"/>
    <w:rsid w:val="009B6801"/>
    <w:rsid w:val="009B68DD"/>
    <w:rsid w:val="009B6D21"/>
    <w:rsid w:val="009B7779"/>
    <w:rsid w:val="009B78ED"/>
    <w:rsid w:val="009C181C"/>
    <w:rsid w:val="009C1C7F"/>
    <w:rsid w:val="009C28A2"/>
    <w:rsid w:val="009C2B9B"/>
    <w:rsid w:val="009C3239"/>
    <w:rsid w:val="009C3828"/>
    <w:rsid w:val="009C3D2C"/>
    <w:rsid w:val="009C41E9"/>
    <w:rsid w:val="009C4987"/>
    <w:rsid w:val="009C523F"/>
    <w:rsid w:val="009C59BF"/>
    <w:rsid w:val="009C5E4F"/>
    <w:rsid w:val="009C5F64"/>
    <w:rsid w:val="009C5F82"/>
    <w:rsid w:val="009C692B"/>
    <w:rsid w:val="009C70F8"/>
    <w:rsid w:val="009C756F"/>
    <w:rsid w:val="009C78A3"/>
    <w:rsid w:val="009C7F08"/>
    <w:rsid w:val="009D0156"/>
    <w:rsid w:val="009D05DA"/>
    <w:rsid w:val="009D0627"/>
    <w:rsid w:val="009D0B5D"/>
    <w:rsid w:val="009D11F6"/>
    <w:rsid w:val="009D13B9"/>
    <w:rsid w:val="009D1A14"/>
    <w:rsid w:val="009D1E2A"/>
    <w:rsid w:val="009D1FA0"/>
    <w:rsid w:val="009D2BDF"/>
    <w:rsid w:val="009D361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5EA"/>
    <w:rsid w:val="009D773A"/>
    <w:rsid w:val="009D7ADB"/>
    <w:rsid w:val="009D7B33"/>
    <w:rsid w:val="009D7C08"/>
    <w:rsid w:val="009E0703"/>
    <w:rsid w:val="009E16DA"/>
    <w:rsid w:val="009E1AC8"/>
    <w:rsid w:val="009E1CD4"/>
    <w:rsid w:val="009E20DC"/>
    <w:rsid w:val="009E2391"/>
    <w:rsid w:val="009E241B"/>
    <w:rsid w:val="009E299D"/>
    <w:rsid w:val="009E2E11"/>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51C"/>
    <w:rsid w:val="009F1BDF"/>
    <w:rsid w:val="009F1C47"/>
    <w:rsid w:val="009F1EAE"/>
    <w:rsid w:val="009F369D"/>
    <w:rsid w:val="009F36FE"/>
    <w:rsid w:val="009F3ADB"/>
    <w:rsid w:val="009F4386"/>
    <w:rsid w:val="009F46A9"/>
    <w:rsid w:val="009F4F25"/>
    <w:rsid w:val="009F4FA7"/>
    <w:rsid w:val="009F59C2"/>
    <w:rsid w:val="009F5B00"/>
    <w:rsid w:val="009F7263"/>
    <w:rsid w:val="009F76EA"/>
    <w:rsid w:val="009F78EB"/>
    <w:rsid w:val="009F7F32"/>
    <w:rsid w:val="009F7FEB"/>
    <w:rsid w:val="00A004CE"/>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BD7"/>
    <w:rsid w:val="00A06E4A"/>
    <w:rsid w:val="00A071B0"/>
    <w:rsid w:val="00A078FB"/>
    <w:rsid w:val="00A102E0"/>
    <w:rsid w:val="00A1036D"/>
    <w:rsid w:val="00A1069F"/>
    <w:rsid w:val="00A10919"/>
    <w:rsid w:val="00A10ACA"/>
    <w:rsid w:val="00A10D04"/>
    <w:rsid w:val="00A10D08"/>
    <w:rsid w:val="00A10EB0"/>
    <w:rsid w:val="00A11A98"/>
    <w:rsid w:val="00A12355"/>
    <w:rsid w:val="00A12384"/>
    <w:rsid w:val="00A127B7"/>
    <w:rsid w:val="00A127D2"/>
    <w:rsid w:val="00A12ADA"/>
    <w:rsid w:val="00A143EC"/>
    <w:rsid w:val="00A14A60"/>
    <w:rsid w:val="00A14C64"/>
    <w:rsid w:val="00A14F69"/>
    <w:rsid w:val="00A1500F"/>
    <w:rsid w:val="00A15621"/>
    <w:rsid w:val="00A15670"/>
    <w:rsid w:val="00A157A0"/>
    <w:rsid w:val="00A1585B"/>
    <w:rsid w:val="00A1595B"/>
    <w:rsid w:val="00A15C19"/>
    <w:rsid w:val="00A16809"/>
    <w:rsid w:val="00A1759E"/>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20"/>
    <w:rsid w:val="00A27FB6"/>
    <w:rsid w:val="00A30121"/>
    <w:rsid w:val="00A30356"/>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4C6"/>
    <w:rsid w:val="00A41003"/>
    <w:rsid w:val="00A4104A"/>
    <w:rsid w:val="00A41081"/>
    <w:rsid w:val="00A411CA"/>
    <w:rsid w:val="00A413AD"/>
    <w:rsid w:val="00A415AA"/>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728"/>
    <w:rsid w:val="00A45F9B"/>
    <w:rsid w:val="00A461BF"/>
    <w:rsid w:val="00A46574"/>
    <w:rsid w:val="00A4657A"/>
    <w:rsid w:val="00A467C4"/>
    <w:rsid w:val="00A46EE4"/>
    <w:rsid w:val="00A47D53"/>
    <w:rsid w:val="00A500B1"/>
    <w:rsid w:val="00A51593"/>
    <w:rsid w:val="00A52D3F"/>
    <w:rsid w:val="00A52EE5"/>
    <w:rsid w:val="00A53037"/>
    <w:rsid w:val="00A532B9"/>
    <w:rsid w:val="00A5351D"/>
    <w:rsid w:val="00A53864"/>
    <w:rsid w:val="00A53D84"/>
    <w:rsid w:val="00A53E79"/>
    <w:rsid w:val="00A53F14"/>
    <w:rsid w:val="00A54031"/>
    <w:rsid w:val="00A5426D"/>
    <w:rsid w:val="00A54FC2"/>
    <w:rsid w:val="00A55122"/>
    <w:rsid w:val="00A5696C"/>
    <w:rsid w:val="00A56C67"/>
    <w:rsid w:val="00A56DE7"/>
    <w:rsid w:val="00A57892"/>
    <w:rsid w:val="00A57AF7"/>
    <w:rsid w:val="00A57EB2"/>
    <w:rsid w:val="00A6009E"/>
    <w:rsid w:val="00A605F9"/>
    <w:rsid w:val="00A60762"/>
    <w:rsid w:val="00A60B1F"/>
    <w:rsid w:val="00A61C60"/>
    <w:rsid w:val="00A62589"/>
    <w:rsid w:val="00A62C3A"/>
    <w:rsid w:val="00A62FCD"/>
    <w:rsid w:val="00A63505"/>
    <w:rsid w:val="00A63812"/>
    <w:rsid w:val="00A63DF7"/>
    <w:rsid w:val="00A64026"/>
    <w:rsid w:val="00A64198"/>
    <w:rsid w:val="00A64505"/>
    <w:rsid w:val="00A668BA"/>
    <w:rsid w:val="00A66FA7"/>
    <w:rsid w:val="00A674AA"/>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D1E"/>
    <w:rsid w:val="00A820CB"/>
    <w:rsid w:val="00A82342"/>
    <w:rsid w:val="00A829EE"/>
    <w:rsid w:val="00A83BEF"/>
    <w:rsid w:val="00A84443"/>
    <w:rsid w:val="00A8487F"/>
    <w:rsid w:val="00A848FC"/>
    <w:rsid w:val="00A849A3"/>
    <w:rsid w:val="00A84A0E"/>
    <w:rsid w:val="00A851FD"/>
    <w:rsid w:val="00A86461"/>
    <w:rsid w:val="00A86B00"/>
    <w:rsid w:val="00A86E0B"/>
    <w:rsid w:val="00A90F12"/>
    <w:rsid w:val="00A9110D"/>
    <w:rsid w:val="00A9121D"/>
    <w:rsid w:val="00A93101"/>
    <w:rsid w:val="00A94293"/>
    <w:rsid w:val="00A94760"/>
    <w:rsid w:val="00A9496E"/>
    <w:rsid w:val="00A949F0"/>
    <w:rsid w:val="00A94BDE"/>
    <w:rsid w:val="00A94FCA"/>
    <w:rsid w:val="00A951D1"/>
    <w:rsid w:val="00A95E4C"/>
    <w:rsid w:val="00A964A2"/>
    <w:rsid w:val="00A96C60"/>
    <w:rsid w:val="00A9740B"/>
    <w:rsid w:val="00A9766C"/>
    <w:rsid w:val="00A977F8"/>
    <w:rsid w:val="00A97C93"/>
    <w:rsid w:val="00AA08E7"/>
    <w:rsid w:val="00AA0A06"/>
    <w:rsid w:val="00AA1351"/>
    <w:rsid w:val="00AA1859"/>
    <w:rsid w:val="00AA1C84"/>
    <w:rsid w:val="00AA2899"/>
    <w:rsid w:val="00AA30E4"/>
    <w:rsid w:val="00AA3D7B"/>
    <w:rsid w:val="00AA42A0"/>
    <w:rsid w:val="00AA442B"/>
    <w:rsid w:val="00AA46A4"/>
    <w:rsid w:val="00AA5779"/>
    <w:rsid w:val="00AA58A1"/>
    <w:rsid w:val="00AA61C7"/>
    <w:rsid w:val="00AA669D"/>
    <w:rsid w:val="00AA66ED"/>
    <w:rsid w:val="00AA6BE1"/>
    <w:rsid w:val="00AA6E80"/>
    <w:rsid w:val="00AA7416"/>
    <w:rsid w:val="00AA7A60"/>
    <w:rsid w:val="00AA7B42"/>
    <w:rsid w:val="00AB041C"/>
    <w:rsid w:val="00AB0483"/>
    <w:rsid w:val="00AB05A8"/>
    <w:rsid w:val="00AB14E8"/>
    <w:rsid w:val="00AB17EC"/>
    <w:rsid w:val="00AB1B1D"/>
    <w:rsid w:val="00AB2216"/>
    <w:rsid w:val="00AB2901"/>
    <w:rsid w:val="00AB2C0A"/>
    <w:rsid w:val="00AB358D"/>
    <w:rsid w:val="00AB37A1"/>
    <w:rsid w:val="00AB3BAD"/>
    <w:rsid w:val="00AB3CFD"/>
    <w:rsid w:val="00AB40C6"/>
    <w:rsid w:val="00AB49BC"/>
    <w:rsid w:val="00AB4DEE"/>
    <w:rsid w:val="00AB4E32"/>
    <w:rsid w:val="00AB4F86"/>
    <w:rsid w:val="00AB579A"/>
    <w:rsid w:val="00AB60A3"/>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5E8D"/>
    <w:rsid w:val="00AC6886"/>
    <w:rsid w:val="00AC6C90"/>
    <w:rsid w:val="00AC71C3"/>
    <w:rsid w:val="00AD0DA5"/>
    <w:rsid w:val="00AD1497"/>
    <w:rsid w:val="00AD1499"/>
    <w:rsid w:val="00AD1EFA"/>
    <w:rsid w:val="00AD2072"/>
    <w:rsid w:val="00AD2808"/>
    <w:rsid w:val="00AD2DBD"/>
    <w:rsid w:val="00AD2FBF"/>
    <w:rsid w:val="00AD455D"/>
    <w:rsid w:val="00AD463C"/>
    <w:rsid w:val="00AD46A2"/>
    <w:rsid w:val="00AD47E8"/>
    <w:rsid w:val="00AD4F60"/>
    <w:rsid w:val="00AD5044"/>
    <w:rsid w:val="00AD5114"/>
    <w:rsid w:val="00AD523A"/>
    <w:rsid w:val="00AD6236"/>
    <w:rsid w:val="00AD7619"/>
    <w:rsid w:val="00AD7770"/>
    <w:rsid w:val="00AD7BF3"/>
    <w:rsid w:val="00AE0588"/>
    <w:rsid w:val="00AE05F9"/>
    <w:rsid w:val="00AE1772"/>
    <w:rsid w:val="00AE1990"/>
    <w:rsid w:val="00AE1BB9"/>
    <w:rsid w:val="00AE2523"/>
    <w:rsid w:val="00AE25E8"/>
    <w:rsid w:val="00AE2AD4"/>
    <w:rsid w:val="00AE2CA7"/>
    <w:rsid w:val="00AE2F1D"/>
    <w:rsid w:val="00AE4B2B"/>
    <w:rsid w:val="00AE586F"/>
    <w:rsid w:val="00AE6582"/>
    <w:rsid w:val="00AE69D4"/>
    <w:rsid w:val="00AE6BC7"/>
    <w:rsid w:val="00AE6DC5"/>
    <w:rsid w:val="00AE7003"/>
    <w:rsid w:val="00AE7686"/>
    <w:rsid w:val="00AE799A"/>
    <w:rsid w:val="00AF00B6"/>
    <w:rsid w:val="00AF0492"/>
    <w:rsid w:val="00AF0577"/>
    <w:rsid w:val="00AF0E81"/>
    <w:rsid w:val="00AF0F32"/>
    <w:rsid w:val="00AF1130"/>
    <w:rsid w:val="00AF117A"/>
    <w:rsid w:val="00AF186E"/>
    <w:rsid w:val="00AF19DF"/>
    <w:rsid w:val="00AF1F4F"/>
    <w:rsid w:val="00AF26CF"/>
    <w:rsid w:val="00AF2AD1"/>
    <w:rsid w:val="00AF343A"/>
    <w:rsid w:val="00AF35A8"/>
    <w:rsid w:val="00AF362F"/>
    <w:rsid w:val="00AF400A"/>
    <w:rsid w:val="00AF4E92"/>
    <w:rsid w:val="00AF554B"/>
    <w:rsid w:val="00AF5C9B"/>
    <w:rsid w:val="00AF5D53"/>
    <w:rsid w:val="00AF5E2D"/>
    <w:rsid w:val="00AF644B"/>
    <w:rsid w:val="00AF6CA6"/>
    <w:rsid w:val="00AF6EB6"/>
    <w:rsid w:val="00AF72E3"/>
    <w:rsid w:val="00AF7367"/>
    <w:rsid w:val="00AF7796"/>
    <w:rsid w:val="00B011A9"/>
    <w:rsid w:val="00B0134C"/>
    <w:rsid w:val="00B015CF"/>
    <w:rsid w:val="00B015F3"/>
    <w:rsid w:val="00B01BA5"/>
    <w:rsid w:val="00B01D84"/>
    <w:rsid w:val="00B024ED"/>
    <w:rsid w:val="00B02E66"/>
    <w:rsid w:val="00B02EB3"/>
    <w:rsid w:val="00B02FCB"/>
    <w:rsid w:val="00B033F8"/>
    <w:rsid w:val="00B03540"/>
    <w:rsid w:val="00B03C1E"/>
    <w:rsid w:val="00B04400"/>
    <w:rsid w:val="00B04835"/>
    <w:rsid w:val="00B05A55"/>
    <w:rsid w:val="00B05DE1"/>
    <w:rsid w:val="00B06595"/>
    <w:rsid w:val="00B0722B"/>
    <w:rsid w:val="00B07D11"/>
    <w:rsid w:val="00B10109"/>
    <w:rsid w:val="00B1085E"/>
    <w:rsid w:val="00B10FD0"/>
    <w:rsid w:val="00B10FD1"/>
    <w:rsid w:val="00B11896"/>
    <w:rsid w:val="00B11B55"/>
    <w:rsid w:val="00B12735"/>
    <w:rsid w:val="00B129C6"/>
    <w:rsid w:val="00B12CD5"/>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4FD"/>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17"/>
    <w:rsid w:val="00B24F94"/>
    <w:rsid w:val="00B25126"/>
    <w:rsid w:val="00B25A52"/>
    <w:rsid w:val="00B25B0A"/>
    <w:rsid w:val="00B25FC3"/>
    <w:rsid w:val="00B261F8"/>
    <w:rsid w:val="00B26852"/>
    <w:rsid w:val="00B26C61"/>
    <w:rsid w:val="00B26CC4"/>
    <w:rsid w:val="00B27026"/>
    <w:rsid w:val="00B27386"/>
    <w:rsid w:val="00B27875"/>
    <w:rsid w:val="00B27BEC"/>
    <w:rsid w:val="00B27C18"/>
    <w:rsid w:val="00B27E51"/>
    <w:rsid w:val="00B3008D"/>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4FFD"/>
    <w:rsid w:val="00B35046"/>
    <w:rsid w:val="00B35B6A"/>
    <w:rsid w:val="00B35EB4"/>
    <w:rsid w:val="00B37657"/>
    <w:rsid w:val="00B3788D"/>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87B"/>
    <w:rsid w:val="00B44A23"/>
    <w:rsid w:val="00B45419"/>
    <w:rsid w:val="00B455A8"/>
    <w:rsid w:val="00B458C1"/>
    <w:rsid w:val="00B458D0"/>
    <w:rsid w:val="00B4792C"/>
    <w:rsid w:val="00B47A25"/>
    <w:rsid w:val="00B50CAE"/>
    <w:rsid w:val="00B512AD"/>
    <w:rsid w:val="00B5196C"/>
    <w:rsid w:val="00B52237"/>
    <w:rsid w:val="00B523B9"/>
    <w:rsid w:val="00B525CB"/>
    <w:rsid w:val="00B52697"/>
    <w:rsid w:val="00B53E7C"/>
    <w:rsid w:val="00B54D8F"/>
    <w:rsid w:val="00B55857"/>
    <w:rsid w:val="00B55C2B"/>
    <w:rsid w:val="00B55C69"/>
    <w:rsid w:val="00B560B1"/>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40F"/>
    <w:rsid w:val="00B64709"/>
    <w:rsid w:val="00B64EDB"/>
    <w:rsid w:val="00B6501B"/>
    <w:rsid w:val="00B65379"/>
    <w:rsid w:val="00B654D3"/>
    <w:rsid w:val="00B65938"/>
    <w:rsid w:val="00B6596B"/>
    <w:rsid w:val="00B65C8A"/>
    <w:rsid w:val="00B65CE2"/>
    <w:rsid w:val="00B65CED"/>
    <w:rsid w:val="00B660AD"/>
    <w:rsid w:val="00B660CB"/>
    <w:rsid w:val="00B66109"/>
    <w:rsid w:val="00B66316"/>
    <w:rsid w:val="00B66349"/>
    <w:rsid w:val="00B67286"/>
    <w:rsid w:val="00B67630"/>
    <w:rsid w:val="00B67BD4"/>
    <w:rsid w:val="00B67FBF"/>
    <w:rsid w:val="00B7024E"/>
    <w:rsid w:val="00B71F5F"/>
    <w:rsid w:val="00B71FA7"/>
    <w:rsid w:val="00B72110"/>
    <w:rsid w:val="00B72B91"/>
    <w:rsid w:val="00B72DE3"/>
    <w:rsid w:val="00B73019"/>
    <w:rsid w:val="00B7315F"/>
    <w:rsid w:val="00B7323A"/>
    <w:rsid w:val="00B73356"/>
    <w:rsid w:val="00B7345C"/>
    <w:rsid w:val="00B7353B"/>
    <w:rsid w:val="00B7358A"/>
    <w:rsid w:val="00B737FB"/>
    <w:rsid w:val="00B73EDA"/>
    <w:rsid w:val="00B7423D"/>
    <w:rsid w:val="00B74605"/>
    <w:rsid w:val="00B74D05"/>
    <w:rsid w:val="00B75937"/>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851"/>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F30"/>
    <w:rsid w:val="00BA4575"/>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3A7"/>
    <w:rsid w:val="00BB4C8E"/>
    <w:rsid w:val="00BB57ED"/>
    <w:rsid w:val="00BB58AB"/>
    <w:rsid w:val="00BB65C3"/>
    <w:rsid w:val="00BB662E"/>
    <w:rsid w:val="00BB67A9"/>
    <w:rsid w:val="00BB6C01"/>
    <w:rsid w:val="00BB6C96"/>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77C"/>
    <w:rsid w:val="00BC3FF9"/>
    <w:rsid w:val="00BC4834"/>
    <w:rsid w:val="00BC4A97"/>
    <w:rsid w:val="00BC5A25"/>
    <w:rsid w:val="00BC5E28"/>
    <w:rsid w:val="00BC5FDD"/>
    <w:rsid w:val="00BC68B4"/>
    <w:rsid w:val="00BC6C2D"/>
    <w:rsid w:val="00BC7B9A"/>
    <w:rsid w:val="00BD0140"/>
    <w:rsid w:val="00BD02CC"/>
    <w:rsid w:val="00BD1675"/>
    <w:rsid w:val="00BD1945"/>
    <w:rsid w:val="00BD2063"/>
    <w:rsid w:val="00BD23F8"/>
    <w:rsid w:val="00BD33D9"/>
    <w:rsid w:val="00BD38C5"/>
    <w:rsid w:val="00BD3A71"/>
    <w:rsid w:val="00BD3CF1"/>
    <w:rsid w:val="00BD3DEA"/>
    <w:rsid w:val="00BD3E97"/>
    <w:rsid w:val="00BD40E4"/>
    <w:rsid w:val="00BD503A"/>
    <w:rsid w:val="00BD52D7"/>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45A6"/>
    <w:rsid w:val="00BF4E02"/>
    <w:rsid w:val="00BF5111"/>
    <w:rsid w:val="00BF5723"/>
    <w:rsid w:val="00BF592A"/>
    <w:rsid w:val="00BF5C05"/>
    <w:rsid w:val="00BF60C8"/>
    <w:rsid w:val="00BF6FC6"/>
    <w:rsid w:val="00BF7C52"/>
    <w:rsid w:val="00BF7F99"/>
    <w:rsid w:val="00BF7FD6"/>
    <w:rsid w:val="00C004F6"/>
    <w:rsid w:val="00C00540"/>
    <w:rsid w:val="00C00713"/>
    <w:rsid w:val="00C008B4"/>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D95"/>
    <w:rsid w:val="00C108B8"/>
    <w:rsid w:val="00C10BFE"/>
    <w:rsid w:val="00C11503"/>
    <w:rsid w:val="00C1159D"/>
    <w:rsid w:val="00C11683"/>
    <w:rsid w:val="00C11798"/>
    <w:rsid w:val="00C118DB"/>
    <w:rsid w:val="00C11D21"/>
    <w:rsid w:val="00C1233E"/>
    <w:rsid w:val="00C125C1"/>
    <w:rsid w:val="00C12F05"/>
    <w:rsid w:val="00C12FB3"/>
    <w:rsid w:val="00C138BC"/>
    <w:rsid w:val="00C13D85"/>
    <w:rsid w:val="00C14639"/>
    <w:rsid w:val="00C14E82"/>
    <w:rsid w:val="00C14FF6"/>
    <w:rsid w:val="00C15A85"/>
    <w:rsid w:val="00C1641B"/>
    <w:rsid w:val="00C165FC"/>
    <w:rsid w:val="00C173B1"/>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5DCC"/>
    <w:rsid w:val="00C27143"/>
    <w:rsid w:val="00C27490"/>
    <w:rsid w:val="00C27A55"/>
    <w:rsid w:val="00C27D37"/>
    <w:rsid w:val="00C27FB2"/>
    <w:rsid w:val="00C302E5"/>
    <w:rsid w:val="00C309E8"/>
    <w:rsid w:val="00C32017"/>
    <w:rsid w:val="00C325CD"/>
    <w:rsid w:val="00C3322E"/>
    <w:rsid w:val="00C337F5"/>
    <w:rsid w:val="00C33907"/>
    <w:rsid w:val="00C33B90"/>
    <w:rsid w:val="00C34B5F"/>
    <w:rsid w:val="00C356AF"/>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D21"/>
    <w:rsid w:val="00C47472"/>
    <w:rsid w:val="00C47EA5"/>
    <w:rsid w:val="00C500F0"/>
    <w:rsid w:val="00C502BB"/>
    <w:rsid w:val="00C504A7"/>
    <w:rsid w:val="00C506C9"/>
    <w:rsid w:val="00C50A16"/>
    <w:rsid w:val="00C5122B"/>
    <w:rsid w:val="00C51C9A"/>
    <w:rsid w:val="00C52428"/>
    <w:rsid w:val="00C52C68"/>
    <w:rsid w:val="00C52D98"/>
    <w:rsid w:val="00C52FB1"/>
    <w:rsid w:val="00C5325C"/>
    <w:rsid w:val="00C53D24"/>
    <w:rsid w:val="00C54640"/>
    <w:rsid w:val="00C547A6"/>
    <w:rsid w:val="00C54A3A"/>
    <w:rsid w:val="00C5503F"/>
    <w:rsid w:val="00C55C32"/>
    <w:rsid w:val="00C55DB4"/>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689"/>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22A3"/>
    <w:rsid w:val="00C733BA"/>
    <w:rsid w:val="00C755EF"/>
    <w:rsid w:val="00C760DC"/>
    <w:rsid w:val="00C76DCA"/>
    <w:rsid w:val="00C8082B"/>
    <w:rsid w:val="00C80B24"/>
    <w:rsid w:val="00C80F3E"/>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2BA"/>
    <w:rsid w:val="00C90CA9"/>
    <w:rsid w:val="00C915F2"/>
    <w:rsid w:val="00C917B1"/>
    <w:rsid w:val="00C9193C"/>
    <w:rsid w:val="00C91B77"/>
    <w:rsid w:val="00C91E5F"/>
    <w:rsid w:val="00C920E2"/>
    <w:rsid w:val="00C923AA"/>
    <w:rsid w:val="00C93154"/>
    <w:rsid w:val="00C93765"/>
    <w:rsid w:val="00C93877"/>
    <w:rsid w:val="00C93D8C"/>
    <w:rsid w:val="00C946CC"/>
    <w:rsid w:val="00C95062"/>
    <w:rsid w:val="00C959BD"/>
    <w:rsid w:val="00C95EC4"/>
    <w:rsid w:val="00C95F44"/>
    <w:rsid w:val="00C96908"/>
    <w:rsid w:val="00C96D1B"/>
    <w:rsid w:val="00C97106"/>
    <w:rsid w:val="00C97684"/>
    <w:rsid w:val="00CA0031"/>
    <w:rsid w:val="00CA00F8"/>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6882"/>
    <w:rsid w:val="00CA6FDF"/>
    <w:rsid w:val="00CA76FC"/>
    <w:rsid w:val="00CA77EF"/>
    <w:rsid w:val="00CA7DB5"/>
    <w:rsid w:val="00CA7E7B"/>
    <w:rsid w:val="00CB0236"/>
    <w:rsid w:val="00CB19E3"/>
    <w:rsid w:val="00CB2C3A"/>
    <w:rsid w:val="00CB2D38"/>
    <w:rsid w:val="00CB31D6"/>
    <w:rsid w:val="00CB4137"/>
    <w:rsid w:val="00CB52D0"/>
    <w:rsid w:val="00CB5578"/>
    <w:rsid w:val="00CB5671"/>
    <w:rsid w:val="00CB591C"/>
    <w:rsid w:val="00CB5943"/>
    <w:rsid w:val="00CB5E6C"/>
    <w:rsid w:val="00CB61B3"/>
    <w:rsid w:val="00CB6F83"/>
    <w:rsid w:val="00CB72AE"/>
    <w:rsid w:val="00CB78AD"/>
    <w:rsid w:val="00CC00CD"/>
    <w:rsid w:val="00CC02EB"/>
    <w:rsid w:val="00CC0579"/>
    <w:rsid w:val="00CC0AF3"/>
    <w:rsid w:val="00CC0BC6"/>
    <w:rsid w:val="00CC0E68"/>
    <w:rsid w:val="00CC21AC"/>
    <w:rsid w:val="00CC2514"/>
    <w:rsid w:val="00CC2756"/>
    <w:rsid w:val="00CC2F69"/>
    <w:rsid w:val="00CC315F"/>
    <w:rsid w:val="00CC3D38"/>
    <w:rsid w:val="00CC3F5F"/>
    <w:rsid w:val="00CC404B"/>
    <w:rsid w:val="00CC40C3"/>
    <w:rsid w:val="00CC4E5D"/>
    <w:rsid w:val="00CC50AE"/>
    <w:rsid w:val="00CC518A"/>
    <w:rsid w:val="00CC5D9A"/>
    <w:rsid w:val="00CC5ED4"/>
    <w:rsid w:val="00CC61B7"/>
    <w:rsid w:val="00CC61CA"/>
    <w:rsid w:val="00CC6668"/>
    <w:rsid w:val="00CC69EC"/>
    <w:rsid w:val="00CC71D3"/>
    <w:rsid w:val="00CC743D"/>
    <w:rsid w:val="00CC7E86"/>
    <w:rsid w:val="00CD02AB"/>
    <w:rsid w:val="00CD050A"/>
    <w:rsid w:val="00CD1675"/>
    <w:rsid w:val="00CD205D"/>
    <w:rsid w:val="00CD2A22"/>
    <w:rsid w:val="00CD2B50"/>
    <w:rsid w:val="00CD2BAF"/>
    <w:rsid w:val="00CD4506"/>
    <w:rsid w:val="00CD4AF9"/>
    <w:rsid w:val="00CD4C90"/>
    <w:rsid w:val="00CD520B"/>
    <w:rsid w:val="00CD592E"/>
    <w:rsid w:val="00CD5982"/>
    <w:rsid w:val="00CD5A1A"/>
    <w:rsid w:val="00CD77E1"/>
    <w:rsid w:val="00CD7EFA"/>
    <w:rsid w:val="00CE020E"/>
    <w:rsid w:val="00CE0566"/>
    <w:rsid w:val="00CE12A4"/>
    <w:rsid w:val="00CE1CD4"/>
    <w:rsid w:val="00CE23FE"/>
    <w:rsid w:val="00CE2761"/>
    <w:rsid w:val="00CE314E"/>
    <w:rsid w:val="00CE3D5C"/>
    <w:rsid w:val="00CE3E14"/>
    <w:rsid w:val="00CE44C7"/>
    <w:rsid w:val="00CE53CC"/>
    <w:rsid w:val="00CE626A"/>
    <w:rsid w:val="00CE65A7"/>
    <w:rsid w:val="00CE68FE"/>
    <w:rsid w:val="00CE69CC"/>
    <w:rsid w:val="00CE6E98"/>
    <w:rsid w:val="00CE6EC4"/>
    <w:rsid w:val="00CE7A77"/>
    <w:rsid w:val="00CE7F26"/>
    <w:rsid w:val="00CE7FBF"/>
    <w:rsid w:val="00CF0CEA"/>
    <w:rsid w:val="00CF108D"/>
    <w:rsid w:val="00CF1226"/>
    <w:rsid w:val="00CF16C0"/>
    <w:rsid w:val="00CF1ABB"/>
    <w:rsid w:val="00CF1E1D"/>
    <w:rsid w:val="00CF24FE"/>
    <w:rsid w:val="00CF27E9"/>
    <w:rsid w:val="00CF35D0"/>
    <w:rsid w:val="00CF3DD5"/>
    <w:rsid w:val="00CF41D5"/>
    <w:rsid w:val="00CF4AF7"/>
    <w:rsid w:val="00CF4D20"/>
    <w:rsid w:val="00CF4E5A"/>
    <w:rsid w:val="00CF73F8"/>
    <w:rsid w:val="00CF7928"/>
    <w:rsid w:val="00CF7A07"/>
    <w:rsid w:val="00CF7CA2"/>
    <w:rsid w:val="00D0027C"/>
    <w:rsid w:val="00D00A8E"/>
    <w:rsid w:val="00D00DE0"/>
    <w:rsid w:val="00D00F79"/>
    <w:rsid w:val="00D012BF"/>
    <w:rsid w:val="00D01760"/>
    <w:rsid w:val="00D018B9"/>
    <w:rsid w:val="00D0350D"/>
    <w:rsid w:val="00D0368E"/>
    <w:rsid w:val="00D039F1"/>
    <w:rsid w:val="00D03D2D"/>
    <w:rsid w:val="00D03E7B"/>
    <w:rsid w:val="00D0401A"/>
    <w:rsid w:val="00D047E0"/>
    <w:rsid w:val="00D04B9F"/>
    <w:rsid w:val="00D04C7E"/>
    <w:rsid w:val="00D04FFB"/>
    <w:rsid w:val="00D05153"/>
    <w:rsid w:val="00D058E9"/>
    <w:rsid w:val="00D0612A"/>
    <w:rsid w:val="00D06A0E"/>
    <w:rsid w:val="00D06A99"/>
    <w:rsid w:val="00D1060D"/>
    <w:rsid w:val="00D10E7C"/>
    <w:rsid w:val="00D11182"/>
    <w:rsid w:val="00D1137B"/>
    <w:rsid w:val="00D11807"/>
    <w:rsid w:val="00D11DB3"/>
    <w:rsid w:val="00D12D82"/>
    <w:rsid w:val="00D12E87"/>
    <w:rsid w:val="00D1306E"/>
    <w:rsid w:val="00D134CD"/>
    <w:rsid w:val="00D14B5F"/>
    <w:rsid w:val="00D14E13"/>
    <w:rsid w:val="00D14F23"/>
    <w:rsid w:val="00D15356"/>
    <w:rsid w:val="00D160AA"/>
    <w:rsid w:val="00D16740"/>
    <w:rsid w:val="00D16A8B"/>
    <w:rsid w:val="00D16E39"/>
    <w:rsid w:val="00D17951"/>
    <w:rsid w:val="00D17AD8"/>
    <w:rsid w:val="00D17B53"/>
    <w:rsid w:val="00D17FC5"/>
    <w:rsid w:val="00D205AF"/>
    <w:rsid w:val="00D2104A"/>
    <w:rsid w:val="00D213F1"/>
    <w:rsid w:val="00D21BB5"/>
    <w:rsid w:val="00D21FFC"/>
    <w:rsid w:val="00D223A3"/>
    <w:rsid w:val="00D223B6"/>
    <w:rsid w:val="00D223E8"/>
    <w:rsid w:val="00D22DC8"/>
    <w:rsid w:val="00D243D3"/>
    <w:rsid w:val="00D24788"/>
    <w:rsid w:val="00D247D4"/>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3517"/>
    <w:rsid w:val="00D4498E"/>
    <w:rsid w:val="00D4515F"/>
    <w:rsid w:val="00D451E8"/>
    <w:rsid w:val="00D4636B"/>
    <w:rsid w:val="00D466C9"/>
    <w:rsid w:val="00D467D8"/>
    <w:rsid w:val="00D47275"/>
    <w:rsid w:val="00D4767B"/>
    <w:rsid w:val="00D50414"/>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A0B"/>
    <w:rsid w:val="00D61F81"/>
    <w:rsid w:val="00D623A9"/>
    <w:rsid w:val="00D62BE6"/>
    <w:rsid w:val="00D62F13"/>
    <w:rsid w:val="00D633AC"/>
    <w:rsid w:val="00D63766"/>
    <w:rsid w:val="00D63912"/>
    <w:rsid w:val="00D63923"/>
    <w:rsid w:val="00D6417A"/>
    <w:rsid w:val="00D6451B"/>
    <w:rsid w:val="00D648A0"/>
    <w:rsid w:val="00D64B57"/>
    <w:rsid w:val="00D659EA"/>
    <w:rsid w:val="00D65DEA"/>
    <w:rsid w:val="00D65DFE"/>
    <w:rsid w:val="00D67BC7"/>
    <w:rsid w:val="00D701F1"/>
    <w:rsid w:val="00D705D3"/>
    <w:rsid w:val="00D70A52"/>
    <w:rsid w:val="00D70E00"/>
    <w:rsid w:val="00D715AC"/>
    <w:rsid w:val="00D71851"/>
    <w:rsid w:val="00D718CF"/>
    <w:rsid w:val="00D72146"/>
    <w:rsid w:val="00D728F5"/>
    <w:rsid w:val="00D72E9D"/>
    <w:rsid w:val="00D73249"/>
    <w:rsid w:val="00D73419"/>
    <w:rsid w:val="00D73C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90E"/>
    <w:rsid w:val="00D80D4C"/>
    <w:rsid w:val="00D810DB"/>
    <w:rsid w:val="00D8184D"/>
    <w:rsid w:val="00D81A7B"/>
    <w:rsid w:val="00D81FE9"/>
    <w:rsid w:val="00D820E8"/>
    <w:rsid w:val="00D8223C"/>
    <w:rsid w:val="00D82B57"/>
    <w:rsid w:val="00D82CE5"/>
    <w:rsid w:val="00D8342C"/>
    <w:rsid w:val="00D853FE"/>
    <w:rsid w:val="00D85494"/>
    <w:rsid w:val="00D8582C"/>
    <w:rsid w:val="00D85D61"/>
    <w:rsid w:val="00D86089"/>
    <w:rsid w:val="00D8616D"/>
    <w:rsid w:val="00D8711B"/>
    <w:rsid w:val="00D87384"/>
    <w:rsid w:val="00D9014A"/>
    <w:rsid w:val="00D90683"/>
    <w:rsid w:val="00D91251"/>
    <w:rsid w:val="00D915C8"/>
    <w:rsid w:val="00D91C0A"/>
    <w:rsid w:val="00D9261C"/>
    <w:rsid w:val="00D9310B"/>
    <w:rsid w:val="00D93726"/>
    <w:rsid w:val="00D93DD3"/>
    <w:rsid w:val="00D93F3E"/>
    <w:rsid w:val="00D9405B"/>
    <w:rsid w:val="00D94942"/>
    <w:rsid w:val="00D95145"/>
    <w:rsid w:val="00D95381"/>
    <w:rsid w:val="00D95AB3"/>
    <w:rsid w:val="00D967CB"/>
    <w:rsid w:val="00D96EE0"/>
    <w:rsid w:val="00D96EE5"/>
    <w:rsid w:val="00D97BD1"/>
    <w:rsid w:val="00DA06B8"/>
    <w:rsid w:val="00DA1CA8"/>
    <w:rsid w:val="00DA2343"/>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48C4"/>
    <w:rsid w:val="00DB5196"/>
    <w:rsid w:val="00DB54BC"/>
    <w:rsid w:val="00DB5C03"/>
    <w:rsid w:val="00DB68BB"/>
    <w:rsid w:val="00DB6DBE"/>
    <w:rsid w:val="00DB6E46"/>
    <w:rsid w:val="00DB7117"/>
    <w:rsid w:val="00DB75D9"/>
    <w:rsid w:val="00DB7760"/>
    <w:rsid w:val="00DB7DD4"/>
    <w:rsid w:val="00DB7E44"/>
    <w:rsid w:val="00DC00B4"/>
    <w:rsid w:val="00DC037A"/>
    <w:rsid w:val="00DC0954"/>
    <w:rsid w:val="00DC15BA"/>
    <w:rsid w:val="00DC18CD"/>
    <w:rsid w:val="00DC1A68"/>
    <w:rsid w:val="00DC229A"/>
    <w:rsid w:val="00DC30B8"/>
    <w:rsid w:val="00DC32C6"/>
    <w:rsid w:val="00DC3720"/>
    <w:rsid w:val="00DC3804"/>
    <w:rsid w:val="00DC3B79"/>
    <w:rsid w:val="00DC478F"/>
    <w:rsid w:val="00DC52AB"/>
    <w:rsid w:val="00DC5AC6"/>
    <w:rsid w:val="00DC62E5"/>
    <w:rsid w:val="00DC67EB"/>
    <w:rsid w:val="00DC6AB9"/>
    <w:rsid w:val="00DC6F33"/>
    <w:rsid w:val="00DC7349"/>
    <w:rsid w:val="00DD0B21"/>
    <w:rsid w:val="00DD118B"/>
    <w:rsid w:val="00DD14D8"/>
    <w:rsid w:val="00DD1599"/>
    <w:rsid w:val="00DD177F"/>
    <w:rsid w:val="00DD1B03"/>
    <w:rsid w:val="00DD2A62"/>
    <w:rsid w:val="00DD2F2F"/>
    <w:rsid w:val="00DD2F7A"/>
    <w:rsid w:val="00DD3885"/>
    <w:rsid w:val="00DD4938"/>
    <w:rsid w:val="00DD5056"/>
    <w:rsid w:val="00DD5808"/>
    <w:rsid w:val="00DD5946"/>
    <w:rsid w:val="00DD5B04"/>
    <w:rsid w:val="00DD5DAE"/>
    <w:rsid w:val="00DD5EC6"/>
    <w:rsid w:val="00DD605F"/>
    <w:rsid w:val="00DD6657"/>
    <w:rsid w:val="00DD6D71"/>
    <w:rsid w:val="00DD72A0"/>
    <w:rsid w:val="00DD735D"/>
    <w:rsid w:val="00DD7E17"/>
    <w:rsid w:val="00DE0159"/>
    <w:rsid w:val="00DE064A"/>
    <w:rsid w:val="00DE082D"/>
    <w:rsid w:val="00DE1410"/>
    <w:rsid w:val="00DE1FD8"/>
    <w:rsid w:val="00DE3119"/>
    <w:rsid w:val="00DE3FF0"/>
    <w:rsid w:val="00DE4105"/>
    <w:rsid w:val="00DE5189"/>
    <w:rsid w:val="00DE5680"/>
    <w:rsid w:val="00DE6230"/>
    <w:rsid w:val="00DE6EA5"/>
    <w:rsid w:val="00DE7108"/>
    <w:rsid w:val="00DE78D1"/>
    <w:rsid w:val="00DF0263"/>
    <w:rsid w:val="00DF04FB"/>
    <w:rsid w:val="00DF0EB4"/>
    <w:rsid w:val="00DF1E36"/>
    <w:rsid w:val="00DF1FDB"/>
    <w:rsid w:val="00DF236B"/>
    <w:rsid w:val="00DF2A91"/>
    <w:rsid w:val="00DF2F82"/>
    <w:rsid w:val="00DF3889"/>
    <w:rsid w:val="00DF3B50"/>
    <w:rsid w:val="00DF3CC9"/>
    <w:rsid w:val="00DF4451"/>
    <w:rsid w:val="00DF49FF"/>
    <w:rsid w:val="00DF4FFB"/>
    <w:rsid w:val="00DF5236"/>
    <w:rsid w:val="00DF57B3"/>
    <w:rsid w:val="00DF651F"/>
    <w:rsid w:val="00DF67DF"/>
    <w:rsid w:val="00DF6E10"/>
    <w:rsid w:val="00DF6F43"/>
    <w:rsid w:val="00DF752F"/>
    <w:rsid w:val="00DF76A2"/>
    <w:rsid w:val="00DF7B33"/>
    <w:rsid w:val="00E00B7A"/>
    <w:rsid w:val="00E00DB0"/>
    <w:rsid w:val="00E02186"/>
    <w:rsid w:val="00E0264A"/>
    <w:rsid w:val="00E026BB"/>
    <w:rsid w:val="00E027C5"/>
    <w:rsid w:val="00E02F61"/>
    <w:rsid w:val="00E03114"/>
    <w:rsid w:val="00E03124"/>
    <w:rsid w:val="00E031EB"/>
    <w:rsid w:val="00E03951"/>
    <w:rsid w:val="00E03DB8"/>
    <w:rsid w:val="00E051B3"/>
    <w:rsid w:val="00E05E70"/>
    <w:rsid w:val="00E064BC"/>
    <w:rsid w:val="00E06564"/>
    <w:rsid w:val="00E06734"/>
    <w:rsid w:val="00E07225"/>
    <w:rsid w:val="00E07AAA"/>
    <w:rsid w:val="00E100C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7CE"/>
    <w:rsid w:val="00E33B29"/>
    <w:rsid w:val="00E33B62"/>
    <w:rsid w:val="00E3403D"/>
    <w:rsid w:val="00E34E6C"/>
    <w:rsid w:val="00E350D8"/>
    <w:rsid w:val="00E3522B"/>
    <w:rsid w:val="00E353E2"/>
    <w:rsid w:val="00E35B65"/>
    <w:rsid w:val="00E36345"/>
    <w:rsid w:val="00E36C86"/>
    <w:rsid w:val="00E36CEB"/>
    <w:rsid w:val="00E37660"/>
    <w:rsid w:val="00E37A28"/>
    <w:rsid w:val="00E40430"/>
    <w:rsid w:val="00E40690"/>
    <w:rsid w:val="00E40AEB"/>
    <w:rsid w:val="00E4143A"/>
    <w:rsid w:val="00E424C8"/>
    <w:rsid w:val="00E4251D"/>
    <w:rsid w:val="00E42F2B"/>
    <w:rsid w:val="00E431B0"/>
    <w:rsid w:val="00E43D00"/>
    <w:rsid w:val="00E445E4"/>
    <w:rsid w:val="00E45740"/>
    <w:rsid w:val="00E457CB"/>
    <w:rsid w:val="00E45D47"/>
    <w:rsid w:val="00E45DE4"/>
    <w:rsid w:val="00E45E63"/>
    <w:rsid w:val="00E46D10"/>
    <w:rsid w:val="00E472AD"/>
    <w:rsid w:val="00E50A7B"/>
    <w:rsid w:val="00E50B0B"/>
    <w:rsid w:val="00E510FE"/>
    <w:rsid w:val="00E511D6"/>
    <w:rsid w:val="00E51C89"/>
    <w:rsid w:val="00E51E25"/>
    <w:rsid w:val="00E5201F"/>
    <w:rsid w:val="00E5205B"/>
    <w:rsid w:val="00E521AE"/>
    <w:rsid w:val="00E52C99"/>
    <w:rsid w:val="00E53BCA"/>
    <w:rsid w:val="00E53F02"/>
    <w:rsid w:val="00E540D5"/>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3DC"/>
    <w:rsid w:val="00E67856"/>
    <w:rsid w:val="00E679C8"/>
    <w:rsid w:val="00E67E59"/>
    <w:rsid w:val="00E70314"/>
    <w:rsid w:val="00E70355"/>
    <w:rsid w:val="00E709C1"/>
    <w:rsid w:val="00E71238"/>
    <w:rsid w:val="00E724E7"/>
    <w:rsid w:val="00E72B41"/>
    <w:rsid w:val="00E7301D"/>
    <w:rsid w:val="00E7347B"/>
    <w:rsid w:val="00E73D03"/>
    <w:rsid w:val="00E7471C"/>
    <w:rsid w:val="00E7498A"/>
    <w:rsid w:val="00E74A1E"/>
    <w:rsid w:val="00E7514E"/>
    <w:rsid w:val="00E75B34"/>
    <w:rsid w:val="00E76D8A"/>
    <w:rsid w:val="00E77AF5"/>
    <w:rsid w:val="00E8029A"/>
    <w:rsid w:val="00E8050F"/>
    <w:rsid w:val="00E81653"/>
    <w:rsid w:val="00E823F9"/>
    <w:rsid w:val="00E82C1F"/>
    <w:rsid w:val="00E83171"/>
    <w:rsid w:val="00E83671"/>
    <w:rsid w:val="00E8414B"/>
    <w:rsid w:val="00E84A71"/>
    <w:rsid w:val="00E85409"/>
    <w:rsid w:val="00E8544B"/>
    <w:rsid w:val="00E859E8"/>
    <w:rsid w:val="00E85A3A"/>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3AA1"/>
    <w:rsid w:val="00E94889"/>
    <w:rsid w:val="00E95434"/>
    <w:rsid w:val="00E96467"/>
    <w:rsid w:val="00E966DA"/>
    <w:rsid w:val="00E96948"/>
    <w:rsid w:val="00E9737B"/>
    <w:rsid w:val="00E97A3F"/>
    <w:rsid w:val="00E97F0A"/>
    <w:rsid w:val="00EA0100"/>
    <w:rsid w:val="00EA010D"/>
    <w:rsid w:val="00EA04DC"/>
    <w:rsid w:val="00EA0886"/>
    <w:rsid w:val="00EA0BCE"/>
    <w:rsid w:val="00EA14AC"/>
    <w:rsid w:val="00EA2726"/>
    <w:rsid w:val="00EA2744"/>
    <w:rsid w:val="00EA2937"/>
    <w:rsid w:val="00EA3626"/>
    <w:rsid w:val="00EA37B9"/>
    <w:rsid w:val="00EA39F7"/>
    <w:rsid w:val="00EA3B27"/>
    <w:rsid w:val="00EA3B95"/>
    <w:rsid w:val="00EA3DC2"/>
    <w:rsid w:val="00EA434E"/>
    <w:rsid w:val="00EA4757"/>
    <w:rsid w:val="00EA519E"/>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3C38"/>
    <w:rsid w:val="00EB4424"/>
    <w:rsid w:val="00EB45E4"/>
    <w:rsid w:val="00EB4A3B"/>
    <w:rsid w:val="00EB4AE1"/>
    <w:rsid w:val="00EB52F4"/>
    <w:rsid w:val="00EB5694"/>
    <w:rsid w:val="00EB5779"/>
    <w:rsid w:val="00EB57A4"/>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8D5"/>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1B27"/>
    <w:rsid w:val="00EE2854"/>
    <w:rsid w:val="00EE341D"/>
    <w:rsid w:val="00EE34D4"/>
    <w:rsid w:val="00EE366D"/>
    <w:rsid w:val="00EE5350"/>
    <w:rsid w:val="00EE5454"/>
    <w:rsid w:val="00EE58B8"/>
    <w:rsid w:val="00EE59B5"/>
    <w:rsid w:val="00EE5CF6"/>
    <w:rsid w:val="00EE5D1D"/>
    <w:rsid w:val="00EE5FB7"/>
    <w:rsid w:val="00EE6A1A"/>
    <w:rsid w:val="00EE77C3"/>
    <w:rsid w:val="00EE7B54"/>
    <w:rsid w:val="00EE7C88"/>
    <w:rsid w:val="00EE7C8B"/>
    <w:rsid w:val="00EF000B"/>
    <w:rsid w:val="00EF0209"/>
    <w:rsid w:val="00EF0EA4"/>
    <w:rsid w:val="00EF1A3D"/>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2D7"/>
    <w:rsid w:val="00F0030F"/>
    <w:rsid w:val="00F00674"/>
    <w:rsid w:val="00F00694"/>
    <w:rsid w:val="00F01657"/>
    <w:rsid w:val="00F01E67"/>
    <w:rsid w:val="00F02704"/>
    <w:rsid w:val="00F02744"/>
    <w:rsid w:val="00F02BFD"/>
    <w:rsid w:val="00F02D25"/>
    <w:rsid w:val="00F0351E"/>
    <w:rsid w:val="00F0435D"/>
    <w:rsid w:val="00F04580"/>
    <w:rsid w:val="00F04ECA"/>
    <w:rsid w:val="00F05089"/>
    <w:rsid w:val="00F05DC2"/>
    <w:rsid w:val="00F0640E"/>
    <w:rsid w:val="00F06E19"/>
    <w:rsid w:val="00F06F84"/>
    <w:rsid w:val="00F076E7"/>
    <w:rsid w:val="00F07AA1"/>
    <w:rsid w:val="00F105AE"/>
    <w:rsid w:val="00F10618"/>
    <w:rsid w:val="00F1108B"/>
    <w:rsid w:val="00F116EC"/>
    <w:rsid w:val="00F11768"/>
    <w:rsid w:val="00F11951"/>
    <w:rsid w:val="00F11BA8"/>
    <w:rsid w:val="00F12262"/>
    <w:rsid w:val="00F12AF8"/>
    <w:rsid w:val="00F12C52"/>
    <w:rsid w:val="00F148B7"/>
    <w:rsid w:val="00F14EA9"/>
    <w:rsid w:val="00F151DA"/>
    <w:rsid w:val="00F15505"/>
    <w:rsid w:val="00F15BFF"/>
    <w:rsid w:val="00F16974"/>
    <w:rsid w:val="00F17105"/>
    <w:rsid w:val="00F20A0B"/>
    <w:rsid w:val="00F213A0"/>
    <w:rsid w:val="00F217AB"/>
    <w:rsid w:val="00F21A51"/>
    <w:rsid w:val="00F21D54"/>
    <w:rsid w:val="00F21D6D"/>
    <w:rsid w:val="00F21EF4"/>
    <w:rsid w:val="00F23113"/>
    <w:rsid w:val="00F23255"/>
    <w:rsid w:val="00F23393"/>
    <w:rsid w:val="00F23759"/>
    <w:rsid w:val="00F23CB5"/>
    <w:rsid w:val="00F23D19"/>
    <w:rsid w:val="00F24644"/>
    <w:rsid w:val="00F250F6"/>
    <w:rsid w:val="00F2520A"/>
    <w:rsid w:val="00F256FD"/>
    <w:rsid w:val="00F259F1"/>
    <w:rsid w:val="00F25D1F"/>
    <w:rsid w:val="00F26F33"/>
    <w:rsid w:val="00F277F0"/>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9AD"/>
    <w:rsid w:val="00F34E1E"/>
    <w:rsid w:val="00F3570C"/>
    <w:rsid w:val="00F368FF"/>
    <w:rsid w:val="00F37068"/>
    <w:rsid w:val="00F37CE4"/>
    <w:rsid w:val="00F37F3F"/>
    <w:rsid w:val="00F407DF"/>
    <w:rsid w:val="00F40992"/>
    <w:rsid w:val="00F40AEC"/>
    <w:rsid w:val="00F40EA1"/>
    <w:rsid w:val="00F40EDD"/>
    <w:rsid w:val="00F412DF"/>
    <w:rsid w:val="00F413A2"/>
    <w:rsid w:val="00F41596"/>
    <w:rsid w:val="00F41883"/>
    <w:rsid w:val="00F41D8B"/>
    <w:rsid w:val="00F42121"/>
    <w:rsid w:val="00F424B3"/>
    <w:rsid w:val="00F428B1"/>
    <w:rsid w:val="00F428B4"/>
    <w:rsid w:val="00F4345D"/>
    <w:rsid w:val="00F4387B"/>
    <w:rsid w:val="00F449DA"/>
    <w:rsid w:val="00F4518D"/>
    <w:rsid w:val="00F45878"/>
    <w:rsid w:val="00F45B2C"/>
    <w:rsid w:val="00F45B91"/>
    <w:rsid w:val="00F46639"/>
    <w:rsid w:val="00F46692"/>
    <w:rsid w:val="00F46BD5"/>
    <w:rsid w:val="00F474BD"/>
    <w:rsid w:val="00F47AAA"/>
    <w:rsid w:val="00F50183"/>
    <w:rsid w:val="00F50D92"/>
    <w:rsid w:val="00F51765"/>
    <w:rsid w:val="00F51A51"/>
    <w:rsid w:val="00F51CB4"/>
    <w:rsid w:val="00F52324"/>
    <w:rsid w:val="00F52950"/>
    <w:rsid w:val="00F52C9D"/>
    <w:rsid w:val="00F52E39"/>
    <w:rsid w:val="00F533F1"/>
    <w:rsid w:val="00F53B74"/>
    <w:rsid w:val="00F53BA6"/>
    <w:rsid w:val="00F5502D"/>
    <w:rsid w:val="00F55679"/>
    <w:rsid w:val="00F561E3"/>
    <w:rsid w:val="00F56318"/>
    <w:rsid w:val="00F565E6"/>
    <w:rsid w:val="00F56AFA"/>
    <w:rsid w:val="00F575E2"/>
    <w:rsid w:val="00F579FF"/>
    <w:rsid w:val="00F600E0"/>
    <w:rsid w:val="00F600FD"/>
    <w:rsid w:val="00F605EC"/>
    <w:rsid w:val="00F60F60"/>
    <w:rsid w:val="00F612CE"/>
    <w:rsid w:val="00F61E71"/>
    <w:rsid w:val="00F624A7"/>
    <w:rsid w:val="00F62AB6"/>
    <w:rsid w:val="00F62E1B"/>
    <w:rsid w:val="00F6392E"/>
    <w:rsid w:val="00F63984"/>
    <w:rsid w:val="00F643C7"/>
    <w:rsid w:val="00F65A3C"/>
    <w:rsid w:val="00F66135"/>
    <w:rsid w:val="00F66282"/>
    <w:rsid w:val="00F66491"/>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2E79"/>
    <w:rsid w:val="00F83200"/>
    <w:rsid w:val="00F83621"/>
    <w:rsid w:val="00F836E0"/>
    <w:rsid w:val="00F8389F"/>
    <w:rsid w:val="00F83B33"/>
    <w:rsid w:val="00F83CAE"/>
    <w:rsid w:val="00F840BF"/>
    <w:rsid w:val="00F8415D"/>
    <w:rsid w:val="00F8427A"/>
    <w:rsid w:val="00F843DF"/>
    <w:rsid w:val="00F84899"/>
    <w:rsid w:val="00F84A0A"/>
    <w:rsid w:val="00F84B9D"/>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C4D"/>
    <w:rsid w:val="00F90D0F"/>
    <w:rsid w:val="00F9167D"/>
    <w:rsid w:val="00F91CB2"/>
    <w:rsid w:val="00F9289C"/>
    <w:rsid w:val="00F93DBC"/>
    <w:rsid w:val="00F93E41"/>
    <w:rsid w:val="00F94644"/>
    <w:rsid w:val="00F94B13"/>
    <w:rsid w:val="00F95075"/>
    <w:rsid w:val="00F95252"/>
    <w:rsid w:val="00F9537B"/>
    <w:rsid w:val="00F95567"/>
    <w:rsid w:val="00F963FC"/>
    <w:rsid w:val="00F96D27"/>
    <w:rsid w:val="00FA015F"/>
    <w:rsid w:val="00FA0687"/>
    <w:rsid w:val="00FA0FAC"/>
    <w:rsid w:val="00FA1DA2"/>
    <w:rsid w:val="00FA2EC7"/>
    <w:rsid w:val="00FA310E"/>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B08"/>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69A"/>
    <w:rsid w:val="00FD2AC8"/>
    <w:rsid w:val="00FD2CA6"/>
    <w:rsid w:val="00FD3508"/>
    <w:rsid w:val="00FD36B5"/>
    <w:rsid w:val="00FD393C"/>
    <w:rsid w:val="00FD43BB"/>
    <w:rsid w:val="00FD4618"/>
    <w:rsid w:val="00FD4A85"/>
    <w:rsid w:val="00FD4AF3"/>
    <w:rsid w:val="00FD556A"/>
    <w:rsid w:val="00FD6300"/>
    <w:rsid w:val="00FD798D"/>
    <w:rsid w:val="00FD7FB9"/>
    <w:rsid w:val="00FE10F6"/>
    <w:rsid w:val="00FE1418"/>
    <w:rsid w:val="00FE141E"/>
    <w:rsid w:val="00FE144E"/>
    <w:rsid w:val="00FE1768"/>
    <w:rsid w:val="00FE24F4"/>
    <w:rsid w:val="00FE2560"/>
    <w:rsid w:val="00FE35D0"/>
    <w:rsid w:val="00FE39DD"/>
    <w:rsid w:val="00FE41AC"/>
    <w:rsid w:val="00FE42ED"/>
    <w:rsid w:val="00FE4371"/>
    <w:rsid w:val="00FE4C6D"/>
    <w:rsid w:val="00FE502D"/>
    <w:rsid w:val="00FE51FD"/>
    <w:rsid w:val="00FE55A7"/>
    <w:rsid w:val="00FE55E6"/>
    <w:rsid w:val="00FE56D5"/>
    <w:rsid w:val="00FE5C5A"/>
    <w:rsid w:val="00FE6432"/>
    <w:rsid w:val="00FE72A0"/>
    <w:rsid w:val="00FF0050"/>
    <w:rsid w:val="00FF045F"/>
    <w:rsid w:val="00FF0712"/>
    <w:rsid w:val="00FF11D3"/>
    <w:rsid w:val="00FF13D4"/>
    <w:rsid w:val="00FF2053"/>
    <w:rsid w:val="00FF2C63"/>
    <w:rsid w:val="00FF3B37"/>
    <w:rsid w:val="00FF3D6F"/>
    <w:rsid w:val="00FF3FE5"/>
    <w:rsid w:val="00FF40FA"/>
    <w:rsid w:val="00FF4BD8"/>
    <w:rsid w:val="00FF4D11"/>
    <w:rsid w:val="00FF50BD"/>
    <w:rsid w:val="00FF5214"/>
    <w:rsid w:val="00FF5403"/>
    <w:rsid w:val="00FF596E"/>
    <w:rsid w:val="00FF5B59"/>
    <w:rsid w:val="00FF5BFD"/>
    <w:rsid w:val="00FF5C01"/>
    <w:rsid w:val="00FF5F9D"/>
    <w:rsid w:val="00FF6095"/>
    <w:rsid w:val="00FF628B"/>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8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00D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755C31"/>
    <w:rPr>
      <w:color w:val="605E5C"/>
      <w:shd w:val="clear" w:color="auto" w:fill="E1DFDD"/>
    </w:rPr>
  </w:style>
  <w:style w:type="table" w:customStyle="1" w:styleId="Tablaconcuadrcula3">
    <w:name w:val="Tabla con cuadrícula3"/>
    <w:basedOn w:val="Tablanormal"/>
    <w:next w:val="Tablaconcuadrcula"/>
    <w:uiPriority w:val="39"/>
    <w:qFormat/>
    <w:rsid w:val="0038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00DB0"/>
    <w:rPr>
      <w:rFonts w:asciiTheme="majorHAnsi" w:eastAsiaTheme="majorEastAsia" w:hAnsiTheme="majorHAnsi" w:cstheme="majorBidi"/>
      <w:color w:val="365F91" w:themeColor="accent1" w:themeShade="BF"/>
      <w:sz w:val="26"/>
      <w:szCs w:val="26"/>
      <w:lang w:eastAsia="es-ES_tradnl"/>
    </w:rPr>
  </w:style>
  <w:style w:type="table" w:customStyle="1" w:styleId="Tablaconcuadrcula4">
    <w:name w:val="Tabla con cuadrícula4"/>
    <w:basedOn w:val="Tablanormal"/>
    <w:next w:val="Tablaconcuadrcula"/>
    <w:uiPriority w:val="39"/>
    <w:qFormat/>
    <w:rsid w:val="00D6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8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53428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001770">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76126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9502989">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documentos-tipo/documentos-tipo%20" TargetMode="External"/><Relationship Id="rId2" Type="http://schemas.openxmlformats.org/officeDocument/2006/relationships/hyperlink" Target="https://colombiacompra.gov.co/sites/cce_public/files/cce_documents/cce_guia_capacidad_residual.pdf"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F8C7892-493E-4B0B-A6E7-213F4A895BD0}">
  <ds:schemaRefs>
    <ds:schemaRef ds:uri="http://schemas.openxmlformats.org/officeDocument/2006/bibliography"/>
  </ds:schemaRefs>
</ds:datastoreItem>
</file>

<file path=customXml/itemProps3.xml><?xml version="1.0" encoding="utf-8"?>
<ds:datastoreItem xmlns:ds="http://schemas.openxmlformats.org/officeDocument/2006/customXml" ds:itemID="{DE22AD38-1995-46B9-9577-28F2B482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19</Pages>
  <Words>6377</Words>
  <Characters>35079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9</cp:revision>
  <cp:lastPrinted>2020-01-30T15:05:00Z</cp:lastPrinted>
  <dcterms:created xsi:type="dcterms:W3CDTF">2022-10-27T21:44:00Z</dcterms:created>
  <dcterms:modified xsi:type="dcterms:W3CDTF">2022-10-28T21:14:00Z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