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14D0" w14:textId="2C2D1557" w:rsidR="00CB0E60" w:rsidRPr="00DE7B19" w:rsidRDefault="00CB0E60" w:rsidP="00CB0E60">
      <w:pPr>
        <w:ind w:firstLine="0"/>
        <w:rPr>
          <w:rFonts w:ascii="Geomanist Light" w:eastAsia="Calibri" w:hAnsi="Geomanist Light" w:cs="Arial"/>
          <w:b/>
          <w:bCs/>
          <w:lang w:val="es-ES_tradnl"/>
        </w:rPr>
      </w:pPr>
      <w:r w:rsidRPr="00DE7B19">
        <w:rPr>
          <w:rFonts w:ascii="Geomanist Light" w:eastAsia="Calibri" w:hAnsi="Geomanist Light" w:cs="Arial"/>
          <w:b/>
          <w:bCs/>
          <w:lang w:val="es-ES_tradnl"/>
        </w:rPr>
        <w:t xml:space="preserve">COMPETENCIA CONSULTIVA DE LA AGENCIA – Definición – Noción </w:t>
      </w:r>
    </w:p>
    <w:p w14:paraId="65AC3D56" w14:textId="77777777" w:rsidR="00CB0E60" w:rsidRPr="00DE7B19" w:rsidRDefault="00CB0E60" w:rsidP="00CB0E60">
      <w:pPr>
        <w:spacing w:line="240" w:lineRule="auto"/>
        <w:ind w:firstLine="0"/>
        <w:rPr>
          <w:rFonts w:ascii="Geomanist Light" w:hAnsi="Geomanist Light" w:cs="Arial"/>
          <w:color w:val="000000"/>
          <w:sz w:val="20"/>
          <w:szCs w:val="20"/>
        </w:rPr>
      </w:pPr>
      <w:r w:rsidRPr="00DE7B19">
        <w:rPr>
          <w:rFonts w:ascii="Geomanist Light" w:hAnsi="Geomanist Light" w:cs="Arial"/>
          <w:color w:val="000000"/>
          <w:sz w:val="20"/>
          <w:szCs w:val="20"/>
          <w:shd w:val="clear" w:color="auto" w:fill="FFFFFF"/>
        </w:rPr>
        <w:t xml:space="preserve">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r w:rsidRPr="00DE7B19">
        <w:rPr>
          <w:rFonts w:ascii="Calibri" w:hAnsi="Calibri" w:cs="Calibri"/>
          <w:color w:val="000000"/>
          <w:sz w:val="20"/>
          <w:szCs w:val="20"/>
          <w:shd w:val="clear" w:color="auto" w:fill="FFFFFF"/>
        </w:rPr>
        <w:t> </w:t>
      </w:r>
    </w:p>
    <w:p w14:paraId="1BB9FAEA" w14:textId="77777777" w:rsidR="00CB0E60" w:rsidRPr="00DE7B19" w:rsidRDefault="00CB0E60" w:rsidP="00CB0E60">
      <w:pPr>
        <w:spacing w:before="120" w:line="240" w:lineRule="auto"/>
        <w:ind w:firstLine="0"/>
        <w:rPr>
          <w:rFonts w:ascii="Geomanist Light" w:hAnsi="Geomanist Light" w:cs="Arial"/>
          <w:color w:val="000000"/>
          <w:sz w:val="20"/>
          <w:szCs w:val="20"/>
        </w:rPr>
      </w:pPr>
      <w:r w:rsidRPr="00DE7B19">
        <w:rPr>
          <w:rFonts w:ascii="Geomanist Light" w:hAnsi="Geomanist Light" w:cs="Arial"/>
          <w:color w:val="000000"/>
          <w:sz w:val="20"/>
          <w:szCs w:val="20"/>
        </w:rPr>
        <w:t>Al respecto, 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DE7B19">
        <w:rPr>
          <w:rFonts w:ascii="Geomanist Light" w:eastAsia="Calibri" w:hAnsi="Geomanist Light" w:cs="Arial"/>
          <w:color w:val="000000"/>
          <w:sz w:val="20"/>
          <w:szCs w:val="20"/>
        </w:rPr>
        <w:t xml:space="preserve"> </w:t>
      </w:r>
      <w:r w:rsidRPr="00DE7B19">
        <w:rPr>
          <w:rFonts w:ascii="Calibri" w:hAnsi="Calibri" w:cs="Calibri"/>
          <w:color w:val="000000"/>
          <w:sz w:val="20"/>
          <w:szCs w:val="20"/>
          <w:shd w:val="clear" w:color="auto" w:fill="FFFFFF"/>
        </w:rPr>
        <w:t> </w:t>
      </w:r>
    </w:p>
    <w:p w14:paraId="3B58405B" w14:textId="48DBA159" w:rsidR="00CB0E60" w:rsidRPr="00DE7B19" w:rsidRDefault="00CB0E60" w:rsidP="00CB0E60">
      <w:pPr>
        <w:spacing w:after="0" w:line="240" w:lineRule="auto"/>
        <w:ind w:firstLine="0"/>
        <w:contextualSpacing/>
        <w:rPr>
          <w:rFonts w:ascii="Geomanist Light" w:eastAsia="Calibri" w:hAnsi="Geomanist Light" w:cs="Arial"/>
          <w:b/>
          <w:color w:val="000000"/>
          <w:lang w:val="es-MX" w:eastAsia="es-MX"/>
        </w:rPr>
      </w:pPr>
      <w:r w:rsidRPr="00DE7B19">
        <w:rPr>
          <w:rFonts w:ascii="Geomanist Light" w:hAnsi="Geomanist Light" w:cs="Arial"/>
          <w:color w:val="000000"/>
          <w:sz w:val="20"/>
          <w:szCs w:val="20"/>
        </w:rPr>
        <w:t>Por tanto, la competencia de esta Agencia se fija con límites claros, con el objeto de evitar que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p>
    <w:p w14:paraId="623C2FAA" w14:textId="77777777" w:rsidR="00CB0E60" w:rsidRPr="00DE7B19" w:rsidRDefault="00CB0E60" w:rsidP="00A5037A">
      <w:pPr>
        <w:spacing w:after="0" w:line="240" w:lineRule="auto"/>
        <w:ind w:firstLine="0"/>
        <w:contextualSpacing/>
        <w:rPr>
          <w:rFonts w:ascii="Geomanist Light" w:eastAsia="Calibri" w:hAnsi="Geomanist Light" w:cs="Arial"/>
          <w:b/>
          <w:color w:val="000000"/>
          <w:lang w:val="es-MX" w:eastAsia="es-MX"/>
        </w:rPr>
      </w:pPr>
    </w:p>
    <w:p w14:paraId="65375088" w14:textId="43A9C01F" w:rsidR="00A5037A" w:rsidRPr="00DE7B19" w:rsidRDefault="00A5037A" w:rsidP="00A5037A">
      <w:pPr>
        <w:spacing w:after="0" w:line="240" w:lineRule="auto"/>
        <w:ind w:firstLine="0"/>
        <w:contextualSpacing/>
        <w:rPr>
          <w:rFonts w:ascii="Geomanist Light" w:eastAsia="Calibri" w:hAnsi="Geomanist Light" w:cs="Arial"/>
          <w:b/>
          <w:color w:val="000000"/>
          <w:lang w:val="es-MX" w:eastAsia="es-MX"/>
        </w:rPr>
      </w:pPr>
      <w:r w:rsidRPr="00DE7B19">
        <w:rPr>
          <w:rFonts w:ascii="Geomanist Light" w:eastAsia="Calibri" w:hAnsi="Geomanist Light" w:cs="Arial"/>
          <w:b/>
          <w:color w:val="000000"/>
          <w:lang w:val="es-MX" w:eastAsia="es-MX"/>
        </w:rPr>
        <w:t>APERTURA DE LAS OFERTAS – Ley 1882 de 2018 – Oferta económica</w:t>
      </w:r>
    </w:p>
    <w:p w14:paraId="16195C8E" w14:textId="77777777" w:rsidR="00A5037A" w:rsidRPr="00DE7B19" w:rsidRDefault="00A5037A" w:rsidP="00A5037A">
      <w:pPr>
        <w:spacing w:after="0" w:line="240" w:lineRule="auto"/>
        <w:ind w:firstLine="0"/>
        <w:contextualSpacing/>
        <w:rPr>
          <w:rFonts w:ascii="Geomanist Light" w:eastAsia="Calibri" w:hAnsi="Geomanist Light" w:cs="Arial"/>
          <w:b/>
          <w:color w:val="000000"/>
          <w:sz w:val="20"/>
          <w:szCs w:val="20"/>
          <w:lang w:val="es-MX" w:eastAsia="es-MX"/>
        </w:rPr>
      </w:pPr>
    </w:p>
    <w:p w14:paraId="17C6840C" w14:textId="345D450C" w:rsidR="003E3C72" w:rsidRPr="003E3C72" w:rsidRDefault="003E3C72" w:rsidP="003E3C72">
      <w:pPr>
        <w:spacing w:after="0" w:line="240" w:lineRule="auto"/>
        <w:ind w:firstLine="0"/>
        <w:rPr>
          <w:rFonts w:ascii="Geomanist Light" w:eastAsia="Calibri" w:hAnsi="Geomanist Light" w:cs="Arial"/>
          <w:color w:val="000000"/>
          <w:sz w:val="20"/>
          <w:szCs w:val="20"/>
          <w:lang w:eastAsia="es-ES_tradnl"/>
        </w:rPr>
      </w:pPr>
      <w:r w:rsidRPr="003E3C72">
        <w:rPr>
          <w:rFonts w:ascii="Geomanist Light" w:eastAsia="Calibri" w:hAnsi="Geomanist Light" w:cs="Arial"/>
          <w:color w:val="000000"/>
          <w:sz w:val="20"/>
          <w:szCs w:val="20"/>
          <w:lang w:val="es-ES" w:eastAsia="es-ES_tradnl"/>
        </w:rPr>
        <w:t xml:space="preserve">El artículo 30 de la Ley 80 de 1993, el cual regula el procedimiento de selección de licitación pública y la presentación de ofertas en el marco de este, no obstante, esta norma fue adicionada por el artículo 1 de la Ley 1882 de 2018, el cual estableció reglas para la presentación de ofertas en licitaciones para la selección de contratistas de obra pública, </w:t>
      </w:r>
      <w:r w:rsidRPr="003E3C72">
        <w:rPr>
          <w:rFonts w:ascii="Geomanist Light" w:eastAsia="Calibri" w:hAnsi="Geomanist Light" w:cs="Arial"/>
          <w:color w:val="000000"/>
          <w:sz w:val="20"/>
          <w:szCs w:val="20"/>
          <w:lang w:eastAsia="es-ES_tradnl"/>
        </w:rPr>
        <w:t>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w:t>
      </w:r>
      <w:r w:rsidR="00B56FCF" w:rsidRPr="00DE7B19">
        <w:rPr>
          <w:rFonts w:ascii="Geomanist Light" w:eastAsia="Calibri" w:hAnsi="Geomanist Light" w:cs="Arial"/>
          <w:color w:val="000000"/>
          <w:sz w:val="20"/>
          <w:szCs w:val="20"/>
          <w:vertAlign w:val="superscript"/>
          <w:lang w:eastAsia="es-ES_tradnl"/>
        </w:rPr>
        <w:t>.</w:t>
      </w:r>
    </w:p>
    <w:p w14:paraId="1986F810" w14:textId="2C926722" w:rsidR="00A5037A" w:rsidRPr="00DE7B19" w:rsidRDefault="00A5037A" w:rsidP="00A5037A">
      <w:pPr>
        <w:spacing w:after="0" w:line="240" w:lineRule="auto"/>
        <w:ind w:firstLine="0"/>
        <w:rPr>
          <w:rFonts w:ascii="Geomanist Light" w:eastAsia="Calibri" w:hAnsi="Geomanist Light" w:cs="Arial"/>
          <w:color w:val="000000"/>
          <w:sz w:val="20"/>
          <w:szCs w:val="20"/>
          <w:lang w:val="es-ES_tradnl"/>
        </w:rPr>
      </w:pPr>
    </w:p>
    <w:p w14:paraId="69E74225" w14:textId="77777777" w:rsidR="00A5037A" w:rsidRPr="00DE7B19" w:rsidRDefault="00A5037A" w:rsidP="00A5037A">
      <w:pPr>
        <w:spacing w:after="0" w:line="240" w:lineRule="auto"/>
        <w:ind w:firstLine="0"/>
        <w:rPr>
          <w:rFonts w:ascii="Geomanist Light" w:eastAsia="Calibri" w:hAnsi="Geomanist Light" w:cs="Arial"/>
          <w:bCs/>
          <w:color w:val="000000"/>
          <w:sz w:val="20"/>
          <w:szCs w:val="20"/>
          <w:lang w:val="es-ES_tradnl"/>
        </w:rPr>
      </w:pPr>
    </w:p>
    <w:p w14:paraId="67E17874" w14:textId="77777777" w:rsidR="00A5037A" w:rsidRPr="00DE7B19" w:rsidRDefault="00A5037A" w:rsidP="00A5037A">
      <w:pPr>
        <w:spacing w:after="0" w:line="240" w:lineRule="auto"/>
        <w:ind w:firstLine="0"/>
        <w:rPr>
          <w:rFonts w:ascii="Geomanist Light" w:eastAsia="Calibri" w:hAnsi="Geomanist Light" w:cs="Arial"/>
          <w:bCs/>
          <w:color w:val="000000"/>
          <w:sz w:val="20"/>
          <w:szCs w:val="20"/>
          <w:lang w:val="es-ES_tradnl"/>
        </w:rPr>
      </w:pPr>
    </w:p>
    <w:p w14:paraId="4FD6F360" w14:textId="77777777" w:rsidR="00A5037A" w:rsidRPr="00DE7B19" w:rsidRDefault="00A5037A" w:rsidP="00A5037A">
      <w:pPr>
        <w:spacing w:after="0" w:line="240" w:lineRule="auto"/>
        <w:ind w:firstLine="0"/>
        <w:rPr>
          <w:rFonts w:ascii="Geomanist Light" w:eastAsia="Times New Roman" w:hAnsi="Geomanist Light" w:cs="Arial"/>
          <w:b/>
          <w:color w:val="000000"/>
          <w:szCs w:val="24"/>
          <w:lang w:val="pt-BR" w:eastAsia="es-ES_tradnl"/>
        </w:rPr>
      </w:pPr>
    </w:p>
    <w:p w14:paraId="04437FAC" w14:textId="77777777" w:rsidR="00A5037A" w:rsidRPr="00DE7B19" w:rsidRDefault="00A5037A" w:rsidP="00A5037A">
      <w:pPr>
        <w:spacing w:after="0" w:line="240" w:lineRule="auto"/>
        <w:ind w:firstLine="0"/>
        <w:rPr>
          <w:rFonts w:ascii="Geomanist Light" w:eastAsia="Times New Roman" w:hAnsi="Geomanist Light" w:cs="Arial"/>
          <w:b/>
          <w:color w:val="000000"/>
          <w:szCs w:val="24"/>
          <w:lang w:val="pt-BR" w:eastAsia="es-ES_tradnl"/>
        </w:rPr>
      </w:pPr>
    </w:p>
    <w:p w14:paraId="2C859C23" w14:textId="77777777" w:rsidR="00A5037A" w:rsidRPr="00DE7B19" w:rsidRDefault="00A5037A" w:rsidP="00A5037A">
      <w:pPr>
        <w:spacing w:after="0" w:line="240" w:lineRule="auto"/>
        <w:ind w:firstLine="0"/>
        <w:rPr>
          <w:rFonts w:ascii="Geomanist Light" w:eastAsia="Times New Roman" w:hAnsi="Geomanist Light" w:cs="Arial"/>
          <w:b/>
          <w:color w:val="000000"/>
          <w:szCs w:val="24"/>
          <w:lang w:val="pt-BR" w:eastAsia="es-ES_tradnl"/>
        </w:rPr>
      </w:pPr>
    </w:p>
    <w:p w14:paraId="1CC3BC77" w14:textId="77777777" w:rsidR="00A5037A" w:rsidRPr="00DE7B19" w:rsidRDefault="00A5037A" w:rsidP="00A5037A">
      <w:pPr>
        <w:spacing w:after="0" w:line="240" w:lineRule="auto"/>
        <w:ind w:firstLine="0"/>
        <w:rPr>
          <w:rFonts w:ascii="Geomanist Light" w:eastAsia="Times New Roman" w:hAnsi="Geomanist Light" w:cs="Arial"/>
          <w:b/>
          <w:color w:val="000000"/>
          <w:szCs w:val="24"/>
          <w:lang w:val="pt-BR" w:eastAsia="es-ES_tradnl"/>
        </w:rPr>
      </w:pPr>
    </w:p>
    <w:p w14:paraId="1C21DB3A" w14:textId="77777777" w:rsidR="00A5037A" w:rsidRPr="00DE7B19" w:rsidRDefault="00A5037A" w:rsidP="00A5037A">
      <w:pPr>
        <w:spacing w:after="0" w:line="240" w:lineRule="auto"/>
        <w:ind w:firstLine="0"/>
        <w:rPr>
          <w:rFonts w:ascii="Geomanist Light" w:eastAsia="Times New Roman" w:hAnsi="Geomanist Light" w:cs="Arial"/>
          <w:b/>
          <w:color w:val="000000"/>
          <w:szCs w:val="24"/>
          <w:lang w:val="pt-BR" w:eastAsia="es-ES_tradnl"/>
        </w:rPr>
      </w:pPr>
    </w:p>
    <w:p w14:paraId="59E40A2C" w14:textId="589872D6" w:rsidR="00A5037A" w:rsidRPr="00DE7B19" w:rsidRDefault="00A5037A" w:rsidP="00A5037A">
      <w:pPr>
        <w:spacing w:after="0" w:line="240" w:lineRule="auto"/>
        <w:ind w:firstLine="0"/>
        <w:rPr>
          <w:rFonts w:ascii="Geomanist Light" w:eastAsia="Times New Roman" w:hAnsi="Geomanist Light" w:cs="Arial"/>
          <w:b/>
          <w:color w:val="000000"/>
          <w:szCs w:val="24"/>
          <w:lang w:val="pt-BR" w:eastAsia="es-ES_tradnl"/>
        </w:rPr>
      </w:pPr>
    </w:p>
    <w:p w14:paraId="6B7A597A" w14:textId="4FC78013" w:rsidR="00CB0E60" w:rsidRPr="00DE7B19" w:rsidRDefault="00CB0E60" w:rsidP="00A5037A">
      <w:pPr>
        <w:spacing w:after="0" w:line="240" w:lineRule="auto"/>
        <w:ind w:firstLine="0"/>
        <w:rPr>
          <w:rFonts w:ascii="Geomanist Light" w:eastAsia="Times New Roman" w:hAnsi="Geomanist Light" w:cs="Arial"/>
          <w:b/>
          <w:color w:val="000000"/>
          <w:szCs w:val="24"/>
          <w:lang w:val="pt-BR" w:eastAsia="es-ES_tradnl"/>
        </w:rPr>
      </w:pPr>
    </w:p>
    <w:p w14:paraId="33894254" w14:textId="33C259CC" w:rsidR="00CB0E60" w:rsidRPr="00DE7B19" w:rsidRDefault="00CB0E60" w:rsidP="00A5037A">
      <w:pPr>
        <w:spacing w:after="0" w:line="240" w:lineRule="auto"/>
        <w:ind w:firstLine="0"/>
        <w:rPr>
          <w:rFonts w:ascii="Geomanist Light" w:eastAsia="Times New Roman" w:hAnsi="Geomanist Light" w:cs="Arial"/>
          <w:b/>
          <w:color w:val="000000"/>
          <w:szCs w:val="24"/>
          <w:lang w:val="pt-BR" w:eastAsia="es-ES_tradnl"/>
        </w:rPr>
      </w:pPr>
    </w:p>
    <w:p w14:paraId="41FBB350" w14:textId="701AD37C" w:rsidR="00CB0E60" w:rsidRPr="00DE7B19" w:rsidRDefault="00CB0E60" w:rsidP="00A5037A">
      <w:pPr>
        <w:spacing w:after="0" w:line="240" w:lineRule="auto"/>
        <w:ind w:firstLine="0"/>
        <w:rPr>
          <w:rFonts w:ascii="Geomanist Light" w:eastAsia="Times New Roman" w:hAnsi="Geomanist Light" w:cs="Arial"/>
          <w:b/>
          <w:color w:val="000000"/>
          <w:szCs w:val="24"/>
          <w:lang w:val="pt-BR" w:eastAsia="es-ES_tradnl"/>
        </w:rPr>
      </w:pPr>
    </w:p>
    <w:p w14:paraId="50302A91" w14:textId="62DDD384" w:rsidR="00CB0E60" w:rsidRPr="00DE7B19" w:rsidRDefault="00CB0E60" w:rsidP="00A5037A">
      <w:pPr>
        <w:spacing w:after="0" w:line="240" w:lineRule="auto"/>
        <w:ind w:firstLine="0"/>
        <w:rPr>
          <w:rFonts w:ascii="Geomanist Light" w:eastAsia="Times New Roman" w:hAnsi="Geomanist Light" w:cs="Arial"/>
          <w:b/>
          <w:color w:val="000000"/>
          <w:szCs w:val="24"/>
          <w:lang w:val="pt-BR" w:eastAsia="es-ES_tradnl"/>
        </w:rPr>
      </w:pPr>
    </w:p>
    <w:p w14:paraId="3D36C5A1" w14:textId="10018ED1" w:rsidR="00482F33" w:rsidRPr="00DE7B19" w:rsidRDefault="00B13075" w:rsidP="00C813A3">
      <w:pPr>
        <w:spacing w:after="0" w:line="240" w:lineRule="auto"/>
        <w:ind w:firstLine="0"/>
        <w:jc w:val="left"/>
        <w:rPr>
          <w:rFonts w:ascii="Geomanist Light" w:eastAsia="Calibri" w:hAnsi="Geomanist Light" w:cs="Arial"/>
          <w:lang w:val="es-ES" w:eastAsia="es-MX"/>
        </w:rPr>
      </w:pPr>
      <w:bookmarkStart w:id="0" w:name="_Hlk97645552"/>
      <w:bookmarkStart w:id="1" w:name="_Hlk99119746"/>
      <w:r w:rsidRPr="00DE7B19">
        <w:rPr>
          <w:rFonts w:ascii="Geomanist Light" w:hAnsi="Geomanist Light"/>
          <w:noProof/>
        </w:rPr>
        <w:lastRenderedPageBreak/>
        <w:drawing>
          <wp:anchor distT="0" distB="0" distL="0" distR="0" simplePos="0" relativeHeight="251659264" behindDoc="0" locked="0" layoutInCell="1" allowOverlap="1" wp14:anchorId="11F82929" wp14:editId="2A6DE07B">
            <wp:simplePos x="0" y="0"/>
            <wp:positionH relativeFrom="page">
              <wp:posOffset>4346575</wp:posOffset>
            </wp:positionH>
            <wp:positionV relativeFrom="paragraph">
              <wp:posOffset>-40640</wp:posOffset>
            </wp:positionV>
            <wp:extent cx="2400300" cy="6159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0" cstate="print"/>
                    <a:stretch>
                      <a:fillRect/>
                    </a:stretch>
                  </pic:blipFill>
                  <pic:spPr>
                    <a:xfrm>
                      <a:off x="0" y="0"/>
                      <a:ext cx="2400300" cy="615950"/>
                    </a:xfrm>
                    <a:prstGeom prst="rect">
                      <a:avLst/>
                    </a:prstGeom>
                  </pic:spPr>
                </pic:pic>
              </a:graphicData>
            </a:graphic>
          </wp:anchor>
        </w:drawing>
      </w:r>
    </w:p>
    <w:p w14:paraId="42133C62" w14:textId="54BDCA2A" w:rsidR="00B13075" w:rsidRPr="00DE7B19" w:rsidRDefault="00B13075" w:rsidP="00C813A3">
      <w:pPr>
        <w:spacing w:after="0" w:line="240" w:lineRule="auto"/>
        <w:ind w:firstLine="0"/>
        <w:jc w:val="left"/>
        <w:rPr>
          <w:rFonts w:ascii="Geomanist Light" w:eastAsia="Calibri" w:hAnsi="Geomanist Light" w:cs="Arial"/>
          <w:lang w:val="es-ES" w:eastAsia="es-MX"/>
        </w:rPr>
      </w:pPr>
    </w:p>
    <w:p w14:paraId="7772C3A1" w14:textId="26D0AE6F" w:rsidR="00B13075" w:rsidRPr="00DE7B19" w:rsidRDefault="00B13075" w:rsidP="00C813A3">
      <w:pPr>
        <w:spacing w:after="0" w:line="240" w:lineRule="auto"/>
        <w:ind w:firstLine="0"/>
        <w:jc w:val="left"/>
        <w:rPr>
          <w:rFonts w:ascii="Geomanist Light" w:eastAsia="Calibri" w:hAnsi="Geomanist Light" w:cs="Arial"/>
          <w:lang w:val="es-ES" w:eastAsia="es-MX"/>
        </w:rPr>
      </w:pPr>
    </w:p>
    <w:p w14:paraId="2EC0AF3E" w14:textId="7F7EF344" w:rsidR="00B13075" w:rsidRPr="00DE7B19" w:rsidRDefault="00B13075" w:rsidP="00C813A3">
      <w:pPr>
        <w:spacing w:after="0" w:line="240" w:lineRule="auto"/>
        <w:ind w:firstLine="0"/>
        <w:jc w:val="left"/>
        <w:rPr>
          <w:rFonts w:ascii="Geomanist Light" w:eastAsia="Calibri" w:hAnsi="Geomanist Light" w:cs="Arial"/>
          <w:lang w:val="es-ES" w:eastAsia="es-MX"/>
        </w:rPr>
      </w:pPr>
    </w:p>
    <w:p w14:paraId="44478505" w14:textId="0EAF3660" w:rsidR="00B13075" w:rsidRPr="00DE7B19" w:rsidRDefault="0021137D" w:rsidP="00C813A3">
      <w:pPr>
        <w:spacing w:after="0" w:line="240" w:lineRule="auto"/>
        <w:ind w:firstLine="0"/>
        <w:jc w:val="left"/>
        <w:rPr>
          <w:rFonts w:ascii="Geomanist Light" w:eastAsia="Calibri" w:hAnsi="Geomanist Light" w:cs="Arial"/>
          <w:lang w:val="es-ES" w:eastAsia="es-MX"/>
        </w:rPr>
      </w:pPr>
      <w:r w:rsidRPr="00DE7B19">
        <w:rPr>
          <w:rFonts w:ascii="Geomanist Light" w:eastAsia="Calibri" w:hAnsi="Geomanist Light" w:cs="Arial"/>
          <w:lang w:val="es-ES" w:eastAsia="es-MX"/>
        </w:rPr>
        <w:t xml:space="preserve">Bogotá, 25 </w:t>
      </w:r>
      <w:proofErr w:type="gramStart"/>
      <w:r w:rsidR="00C14214">
        <w:rPr>
          <w:rFonts w:ascii="Geomanist Light" w:eastAsia="Calibri" w:hAnsi="Geomanist Light" w:cs="Arial"/>
          <w:lang w:val="es-ES" w:eastAsia="es-MX"/>
        </w:rPr>
        <w:t>O</w:t>
      </w:r>
      <w:r w:rsidRPr="00DE7B19">
        <w:rPr>
          <w:rFonts w:ascii="Geomanist Light" w:eastAsia="Calibri" w:hAnsi="Geomanist Light" w:cs="Arial"/>
          <w:lang w:val="es-ES" w:eastAsia="es-MX"/>
        </w:rPr>
        <w:t>ctubre</w:t>
      </w:r>
      <w:proofErr w:type="gramEnd"/>
      <w:r w:rsidRPr="00DE7B19">
        <w:rPr>
          <w:rFonts w:ascii="Geomanist Light" w:eastAsia="Calibri" w:hAnsi="Geomanist Light" w:cs="Arial"/>
          <w:lang w:val="es-ES" w:eastAsia="es-MX"/>
        </w:rPr>
        <w:t xml:space="preserve"> de 2022</w:t>
      </w:r>
    </w:p>
    <w:p w14:paraId="620861A4" w14:textId="77777777" w:rsidR="00B13075" w:rsidRPr="00DE7B19" w:rsidRDefault="00B13075" w:rsidP="00C813A3">
      <w:pPr>
        <w:spacing w:after="0" w:line="240" w:lineRule="auto"/>
        <w:ind w:firstLine="0"/>
        <w:jc w:val="left"/>
        <w:rPr>
          <w:rFonts w:ascii="Geomanist Light" w:eastAsia="Calibri" w:hAnsi="Geomanist Light" w:cs="Arial"/>
          <w:lang w:val="es-ES" w:eastAsia="es-MX"/>
        </w:rPr>
      </w:pPr>
    </w:p>
    <w:p w14:paraId="7949BFD7" w14:textId="7442AEBF" w:rsidR="00C813A3" w:rsidRPr="00DE7B19" w:rsidRDefault="00C813A3" w:rsidP="00C813A3">
      <w:pPr>
        <w:spacing w:after="0" w:line="240" w:lineRule="auto"/>
        <w:ind w:firstLine="0"/>
        <w:jc w:val="left"/>
        <w:rPr>
          <w:rFonts w:ascii="Geomanist Light" w:eastAsia="Calibri" w:hAnsi="Geomanist Light" w:cs="Arial"/>
          <w:lang w:val="es-ES" w:eastAsia="es-MX"/>
        </w:rPr>
      </w:pPr>
      <w:bookmarkStart w:id="2" w:name="_Hlk117588744"/>
      <w:r w:rsidRPr="00DE7B19">
        <w:rPr>
          <w:rFonts w:ascii="Geomanist Light" w:eastAsia="Calibri" w:hAnsi="Geomanist Light" w:cs="Arial"/>
          <w:lang w:val="es-ES" w:eastAsia="es-MX"/>
        </w:rPr>
        <w:t>Señor</w:t>
      </w:r>
    </w:p>
    <w:p w14:paraId="1D51A1AE" w14:textId="475E8192" w:rsidR="00C813A3" w:rsidRPr="00DE7B19" w:rsidRDefault="00C813A3" w:rsidP="00C813A3">
      <w:pPr>
        <w:spacing w:after="0" w:line="240" w:lineRule="auto"/>
        <w:ind w:firstLine="0"/>
        <w:jc w:val="left"/>
        <w:rPr>
          <w:rFonts w:ascii="Geomanist Light" w:eastAsia="Calibri" w:hAnsi="Geomanist Light" w:cs="Arial"/>
          <w:b/>
          <w:bCs/>
          <w:lang w:val="es-ES" w:eastAsia="es-MX"/>
        </w:rPr>
      </w:pPr>
      <w:r w:rsidRPr="00DE7B19">
        <w:rPr>
          <w:rFonts w:ascii="Geomanist Light" w:eastAsia="Calibri" w:hAnsi="Geomanist Light" w:cs="Arial"/>
          <w:b/>
          <w:bCs/>
          <w:lang w:val="es-ES" w:eastAsia="es-MX"/>
        </w:rPr>
        <w:t>Alexander Carreño Herrera</w:t>
      </w:r>
    </w:p>
    <w:p w14:paraId="5FB44C60" w14:textId="268CAACB" w:rsidR="00C813A3" w:rsidRPr="00DE7B19" w:rsidRDefault="006F02D6" w:rsidP="00C813A3">
      <w:pPr>
        <w:spacing w:after="0" w:line="240" w:lineRule="auto"/>
        <w:ind w:firstLine="0"/>
        <w:jc w:val="left"/>
        <w:rPr>
          <w:rFonts w:ascii="Geomanist Light" w:eastAsia="Calibri" w:hAnsi="Geomanist Light" w:cs="Arial"/>
          <w:lang w:val="es-ES" w:eastAsia="es-MX"/>
        </w:rPr>
      </w:pPr>
      <w:r w:rsidRPr="00DE7B19">
        <w:rPr>
          <w:rFonts w:ascii="Geomanist Light" w:eastAsia="Calibri" w:hAnsi="Geomanist Light" w:cs="Arial"/>
          <w:lang w:val="es-ES" w:eastAsia="es-MX"/>
        </w:rPr>
        <w:t>Personero Municipal de Lebrija, Santander</w:t>
      </w:r>
    </w:p>
    <w:p w14:paraId="7D80E5A4" w14:textId="2C7AAD38" w:rsidR="006F02D6" w:rsidRPr="00DE7B19" w:rsidRDefault="006F02D6" w:rsidP="00C813A3">
      <w:pPr>
        <w:spacing w:after="0" w:line="240" w:lineRule="auto"/>
        <w:ind w:firstLine="0"/>
        <w:jc w:val="left"/>
        <w:rPr>
          <w:rFonts w:ascii="Geomanist Light" w:eastAsia="Calibri" w:hAnsi="Geomanist Light" w:cs="Arial"/>
          <w:lang w:val="es-ES" w:eastAsia="es-MX"/>
        </w:rPr>
      </w:pPr>
      <w:r w:rsidRPr="00DE7B19">
        <w:rPr>
          <w:rFonts w:ascii="Geomanist Light" w:eastAsia="Calibri" w:hAnsi="Geomanist Light" w:cs="Arial"/>
          <w:lang w:val="es-ES" w:eastAsia="es-MX"/>
        </w:rPr>
        <w:t>Lebrija, Santander</w:t>
      </w:r>
    </w:p>
    <w:p w14:paraId="22E2F99C" w14:textId="77777777" w:rsidR="00C813A3" w:rsidRPr="00DE7B19" w:rsidRDefault="00C813A3" w:rsidP="00C813A3">
      <w:pPr>
        <w:spacing w:after="0" w:line="240" w:lineRule="auto"/>
        <w:ind w:firstLine="0"/>
        <w:jc w:val="left"/>
        <w:rPr>
          <w:rFonts w:ascii="Geomanist Light" w:eastAsia="Calibri" w:hAnsi="Geomanist Light" w:cs="Arial"/>
          <w:b/>
          <w:lang w:val="es-ES" w:eastAsia="es-MX"/>
        </w:rPr>
      </w:pPr>
    </w:p>
    <w:p w14:paraId="788E9D60" w14:textId="6A2D0392" w:rsidR="00C813A3" w:rsidRPr="00DE7B19" w:rsidRDefault="00C813A3" w:rsidP="00C813A3">
      <w:pPr>
        <w:spacing w:after="0" w:line="240" w:lineRule="auto"/>
        <w:ind w:firstLine="0"/>
        <w:jc w:val="left"/>
        <w:rPr>
          <w:rFonts w:ascii="Geomanist Light" w:eastAsia="Calibri" w:hAnsi="Geomanist Light" w:cs="Arial"/>
          <w:b/>
          <w:lang w:val="es-ES" w:eastAsia="es-MX"/>
        </w:rPr>
      </w:pPr>
      <w:r w:rsidRPr="00DE7B19">
        <w:rPr>
          <w:rFonts w:ascii="Geomanist Light" w:eastAsia="Calibri" w:hAnsi="Geomanist Light" w:cs="Arial"/>
          <w:b/>
          <w:lang w:val="es-ES" w:eastAsia="es-MX"/>
        </w:rPr>
        <w:t xml:space="preserve">                                          Concepto C – </w:t>
      </w:r>
      <w:r w:rsidR="0023483E" w:rsidRPr="00DE7B19">
        <w:rPr>
          <w:rFonts w:ascii="Geomanist Light" w:eastAsia="Calibri" w:hAnsi="Geomanist Light" w:cs="Arial"/>
          <w:b/>
          <w:lang w:val="es-ES" w:eastAsia="es-MX"/>
        </w:rPr>
        <w:t>701</w:t>
      </w:r>
      <w:r w:rsidRPr="00DE7B19">
        <w:rPr>
          <w:rFonts w:ascii="Geomanist Light" w:eastAsia="Calibri" w:hAnsi="Geomanist Light" w:cs="Arial"/>
          <w:b/>
          <w:lang w:val="es-ES" w:eastAsia="es-MX"/>
        </w:rPr>
        <w:t xml:space="preserve"> de 2022</w:t>
      </w: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095"/>
      </w:tblGrid>
      <w:tr w:rsidR="00C813A3" w:rsidRPr="00DE7B19" w14:paraId="0D7C88C4" w14:textId="77777777" w:rsidTr="004B2644">
        <w:trPr>
          <w:trHeight w:val="550"/>
        </w:trPr>
        <w:tc>
          <w:tcPr>
            <w:tcW w:w="2552" w:type="dxa"/>
          </w:tcPr>
          <w:p w14:paraId="189CF831" w14:textId="77777777" w:rsidR="00C813A3" w:rsidRPr="00DE7B19" w:rsidRDefault="00C813A3" w:rsidP="00C813A3">
            <w:pPr>
              <w:rPr>
                <w:rFonts w:ascii="Geomanist Light" w:eastAsia="Calibri" w:hAnsi="Geomanist Light" w:cs="Arial"/>
                <w:lang w:val="es-ES" w:eastAsia="es-MX"/>
              </w:rPr>
            </w:pPr>
            <w:r w:rsidRPr="00DE7B19">
              <w:rPr>
                <w:rFonts w:ascii="Geomanist Light" w:eastAsia="Calibri" w:hAnsi="Geomanist Light" w:cs="Arial"/>
                <w:lang w:val="es-ES" w:eastAsia="es-MX"/>
              </w:rPr>
              <w:t xml:space="preserve">         </w:t>
            </w:r>
          </w:p>
          <w:p w14:paraId="58EA3017" w14:textId="77777777" w:rsidR="00C813A3" w:rsidRPr="00DE7B19" w:rsidRDefault="00C813A3" w:rsidP="00C813A3">
            <w:pPr>
              <w:rPr>
                <w:rFonts w:ascii="Geomanist Light" w:eastAsia="Calibri" w:hAnsi="Geomanist Light" w:cs="Arial"/>
                <w:lang w:val="es-ES" w:eastAsia="es-MX"/>
              </w:rPr>
            </w:pPr>
            <w:r w:rsidRPr="00DE7B19">
              <w:rPr>
                <w:rFonts w:ascii="Geomanist Light" w:eastAsia="Calibri" w:hAnsi="Geomanist Light" w:cs="Arial"/>
                <w:b/>
                <w:lang w:val="es-ES" w:eastAsia="es-MX"/>
              </w:rPr>
              <w:t>Temas:</w:t>
            </w:r>
            <w:r w:rsidRPr="00DE7B19">
              <w:rPr>
                <w:rFonts w:ascii="Geomanist Light" w:eastAsia="Calibri" w:hAnsi="Geomanist Light" w:cs="Arial"/>
                <w:lang w:val="es-ES" w:eastAsia="es-MX"/>
              </w:rPr>
              <w:t xml:space="preserve">                       </w:t>
            </w:r>
          </w:p>
        </w:tc>
        <w:tc>
          <w:tcPr>
            <w:tcW w:w="6095" w:type="dxa"/>
          </w:tcPr>
          <w:p w14:paraId="2B43B65A" w14:textId="77777777" w:rsidR="00C813A3" w:rsidRPr="00DE7B19" w:rsidRDefault="00C813A3" w:rsidP="00C813A3">
            <w:pPr>
              <w:jc w:val="both"/>
              <w:rPr>
                <w:rFonts w:ascii="Geomanist Light" w:eastAsia="Calibri" w:hAnsi="Geomanist Light" w:cs="Arial"/>
                <w:b/>
                <w:bCs/>
                <w:lang w:eastAsia="es-MX"/>
              </w:rPr>
            </w:pPr>
          </w:p>
          <w:p w14:paraId="19CDF6AA" w14:textId="60720E0E" w:rsidR="00C813A3" w:rsidRPr="00DE7B19" w:rsidRDefault="00C813A3" w:rsidP="00DE42C7">
            <w:pPr>
              <w:spacing w:after="120"/>
              <w:jc w:val="both"/>
              <w:rPr>
                <w:rFonts w:ascii="Geomanist Light" w:eastAsia="Calibri" w:hAnsi="Geomanist Light" w:cs="Arial"/>
                <w:lang w:eastAsia="es-MX"/>
              </w:rPr>
            </w:pPr>
            <w:r w:rsidRPr="00DE7B19">
              <w:rPr>
                <w:rFonts w:ascii="Geomanist Light" w:eastAsia="Calibri" w:hAnsi="Geomanist Light" w:cs="Arial"/>
                <w:lang w:val="es-ES_tradnl" w:eastAsia="es-MX"/>
              </w:rPr>
              <w:t xml:space="preserve">COMPETENCIA CONSULTIVA DE LA AGENCIA – Definición – Noción </w:t>
            </w:r>
            <w:r w:rsidR="00CB0E60" w:rsidRPr="00DE7B19">
              <w:rPr>
                <w:rFonts w:ascii="Geomanist Light" w:eastAsia="Calibri" w:hAnsi="Geomanist Light" w:cs="Arial"/>
                <w:color w:val="000000"/>
                <w:lang w:val="es-MX" w:eastAsia="es-MX"/>
              </w:rPr>
              <w:t>APERTURA DE LAS OFERTAS – Ley 1882 de 2018 – Oferta económica</w:t>
            </w:r>
          </w:p>
        </w:tc>
      </w:tr>
      <w:tr w:rsidR="00C813A3" w:rsidRPr="00DE7B19" w14:paraId="09CB5B82" w14:textId="77777777" w:rsidTr="004B2644">
        <w:tc>
          <w:tcPr>
            <w:tcW w:w="2552" w:type="dxa"/>
          </w:tcPr>
          <w:p w14:paraId="7D9772BC" w14:textId="77777777" w:rsidR="00C813A3" w:rsidRPr="00DE7B19" w:rsidRDefault="00C813A3" w:rsidP="00C813A3">
            <w:pPr>
              <w:rPr>
                <w:rFonts w:ascii="Geomanist Light" w:eastAsia="Calibri" w:hAnsi="Geomanist Light" w:cs="Arial"/>
                <w:lang w:val="es-ES" w:eastAsia="es-MX"/>
              </w:rPr>
            </w:pPr>
            <w:r w:rsidRPr="00DE7B19">
              <w:rPr>
                <w:rFonts w:ascii="Geomanist Light" w:eastAsia="Calibri" w:hAnsi="Geomanist Light" w:cs="Arial"/>
                <w:b/>
                <w:lang w:val="es-ES" w:eastAsia="es-MX"/>
              </w:rPr>
              <w:t>Radicación:</w:t>
            </w:r>
            <w:r w:rsidRPr="00DE7B19">
              <w:rPr>
                <w:rFonts w:ascii="Geomanist Light" w:eastAsia="Calibri" w:hAnsi="Geomanist Light" w:cs="Arial"/>
                <w:lang w:val="es-ES" w:eastAsia="es-MX"/>
              </w:rPr>
              <w:t xml:space="preserve">                              </w:t>
            </w:r>
          </w:p>
        </w:tc>
        <w:tc>
          <w:tcPr>
            <w:tcW w:w="6095" w:type="dxa"/>
          </w:tcPr>
          <w:p w14:paraId="36198498" w14:textId="45C09510" w:rsidR="00C813A3" w:rsidRPr="00DE7B19" w:rsidRDefault="00C813A3" w:rsidP="00C813A3">
            <w:pPr>
              <w:rPr>
                <w:rFonts w:ascii="Geomanist Light" w:eastAsia="Times New Roman" w:hAnsi="Geomanist Light" w:cs="Times New Roman"/>
                <w:lang w:eastAsia="es-MX"/>
              </w:rPr>
            </w:pPr>
            <w:r w:rsidRPr="00DE7B19">
              <w:rPr>
                <w:rFonts w:ascii="Geomanist Light" w:eastAsia="Calibri" w:hAnsi="Geomanist Light" w:cs="Arial"/>
                <w:lang w:val="es-ES" w:eastAsia="es-MX"/>
              </w:rPr>
              <w:t xml:space="preserve">Respuesta a </w:t>
            </w:r>
            <w:r w:rsidRPr="00DE7B19">
              <w:rPr>
                <w:rFonts w:ascii="Geomanist Light" w:eastAsia="Calibri" w:hAnsi="Geomanist Light" w:cs="Arial"/>
                <w:color w:val="000000" w:themeColor="text1"/>
                <w:lang w:val="es-ES" w:eastAsia="es-MX"/>
              </w:rPr>
              <w:t xml:space="preserve">consulta </w:t>
            </w:r>
            <w:r w:rsidR="00CB0E60" w:rsidRPr="00DE7B19">
              <w:rPr>
                <w:rFonts w:ascii="Geomanist Light" w:eastAsia="Times New Roman" w:hAnsi="Geomanist Light" w:cs="Arial"/>
                <w:color w:val="000000" w:themeColor="text1"/>
                <w:shd w:val="clear" w:color="auto" w:fill="FFFFFF"/>
                <w:lang w:eastAsia="es-MX"/>
              </w:rPr>
              <w:t>P20220914009280</w:t>
            </w:r>
          </w:p>
          <w:p w14:paraId="0C007D16" w14:textId="77777777" w:rsidR="00C813A3" w:rsidRPr="00DE7B19" w:rsidRDefault="00C813A3" w:rsidP="00C813A3">
            <w:pPr>
              <w:jc w:val="both"/>
              <w:rPr>
                <w:rFonts w:ascii="Geomanist Light" w:hAnsi="Geomanist Light" w:cs="Arial"/>
              </w:rPr>
            </w:pPr>
          </w:p>
        </w:tc>
      </w:tr>
    </w:tbl>
    <w:p w14:paraId="59824BA3" w14:textId="77777777" w:rsidR="00C813A3" w:rsidRPr="00DE7B19" w:rsidRDefault="00C813A3" w:rsidP="00C813A3">
      <w:pPr>
        <w:spacing w:after="0"/>
        <w:ind w:firstLine="0"/>
        <w:jc w:val="left"/>
        <w:rPr>
          <w:rFonts w:ascii="Geomanist Light" w:eastAsia="Calibri" w:hAnsi="Geomanist Light" w:cs="Arial"/>
          <w:lang w:val="es-ES" w:eastAsia="es-MX"/>
        </w:rPr>
      </w:pPr>
    </w:p>
    <w:p w14:paraId="769C9C01" w14:textId="2551D991" w:rsidR="00C813A3" w:rsidRPr="00DE7B19" w:rsidRDefault="00C813A3" w:rsidP="00C813A3">
      <w:pPr>
        <w:tabs>
          <w:tab w:val="left" w:pos="3736"/>
        </w:tabs>
        <w:spacing w:after="0"/>
        <w:ind w:firstLine="0"/>
        <w:jc w:val="left"/>
        <w:rPr>
          <w:rFonts w:ascii="Geomanist Light" w:eastAsia="Calibri" w:hAnsi="Geomanist Light" w:cs="Arial"/>
          <w:lang w:val="es-ES" w:eastAsia="es-MX"/>
        </w:rPr>
      </w:pPr>
      <w:r w:rsidRPr="00DE7B19">
        <w:rPr>
          <w:rFonts w:ascii="Geomanist Light" w:eastAsia="Calibri" w:hAnsi="Geomanist Light" w:cs="Arial"/>
          <w:lang w:val="es-ES" w:eastAsia="es-MX"/>
        </w:rPr>
        <w:t xml:space="preserve">Estimado señor </w:t>
      </w:r>
      <w:r w:rsidR="006F02D6" w:rsidRPr="00DE7B19">
        <w:rPr>
          <w:rFonts w:ascii="Geomanist Light" w:eastAsia="Calibri" w:hAnsi="Geomanist Light" w:cs="Arial"/>
          <w:lang w:val="es-ES" w:eastAsia="es-MX"/>
        </w:rPr>
        <w:t>Carreño</w:t>
      </w:r>
      <w:r w:rsidRPr="00DE7B19">
        <w:rPr>
          <w:rFonts w:ascii="Geomanist Light" w:eastAsia="Calibri" w:hAnsi="Geomanist Light" w:cs="Arial"/>
          <w:lang w:val="es-ES" w:eastAsia="es-MX"/>
        </w:rPr>
        <w:t>:</w:t>
      </w:r>
      <w:r w:rsidRPr="00DE7B19">
        <w:rPr>
          <w:rFonts w:ascii="Geomanist Light" w:eastAsia="Calibri" w:hAnsi="Geomanist Light" w:cs="Arial"/>
          <w:lang w:val="es-ES" w:eastAsia="es-MX"/>
        </w:rPr>
        <w:tab/>
      </w:r>
    </w:p>
    <w:p w14:paraId="7119D2DD" w14:textId="77777777" w:rsidR="00C813A3" w:rsidRPr="00DE7B19" w:rsidRDefault="00C813A3" w:rsidP="00C813A3">
      <w:pPr>
        <w:spacing w:after="0"/>
        <w:ind w:firstLine="0"/>
        <w:jc w:val="left"/>
        <w:rPr>
          <w:rFonts w:ascii="Geomanist Light" w:eastAsia="Calibri" w:hAnsi="Geomanist Light" w:cs="Arial"/>
          <w:lang w:val="es-ES" w:eastAsia="es-MX"/>
        </w:rPr>
      </w:pPr>
    </w:p>
    <w:p w14:paraId="06BB55E9" w14:textId="3E146EED" w:rsidR="00C813A3" w:rsidRPr="00DE7B19" w:rsidRDefault="00C813A3" w:rsidP="00C813A3">
      <w:pPr>
        <w:spacing w:after="0"/>
        <w:ind w:firstLine="0"/>
        <w:rPr>
          <w:rFonts w:ascii="Geomanist Light" w:eastAsia="Calibri" w:hAnsi="Geomanist Light" w:cs="Arial"/>
          <w:lang w:val="es-ES" w:eastAsia="es-MX"/>
        </w:rPr>
      </w:pPr>
      <w:r w:rsidRPr="00DE7B19">
        <w:rPr>
          <w:rFonts w:ascii="Geomanist Light" w:eastAsia="Calibri" w:hAnsi="Geomanist Light" w:cs="Arial"/>
          <w:lang w:val="es-ES" w:eastAsia="es-MX"/>
        </w:rPr>
        <w:t xml:space="preserve">La Agencia Nacional de Contratación Pública – Colombia Compra Eficiente, en ejercicio de la competencia otorgada por el numeral 8 del artículo 11 y el numeral 5 del artículo 3 del Decreto Ley 4170 de 2011, responde a su consulta del </w:t>
      </w:r>
      <w:r w:rsidR="006F02D6" w:rsidRPr="00DE7B19">
        <w:rPr>
          <w:rFonts w:ascii="Geomanist Light" w:eastAsia="Calibri" w:hAnsi="Geomanist Light" w:cs="Arial"/>
          <w:lang w:val="es-ES" w:eastAsia="es-MX"/>
        </w:rPr>
        <w:t>14 de septiembre</w:t>
      </w:r>
      <w:r w:rsidRPr="00DE7B19">
        <w:rPr>
          <w:rFonts w:ascii="Geomanist Light" w:eastAsia="Calibri" w:hAnsi="Geomanist Light" w:cs="Arial"/>
          <w:lang w:val="es-ES" w:eastAsia="es-MX"/>
        </w:rPr>
        <w:t xml:space="preserve"> de 2022.</w:t>
      </w:r>
    </w:p>
    <w:p w14:paraId="5BDB753A" w14:textId="77777777" w:rsidR="00C813A3" w:rsidRPr="00DE7B19" w:rsidRDefault="00C813A3" w:rsidP="00C813A3">
      <w:pPr>
        <w:spacing w:after="0"/>
        <w:ind w:firstLine="0"/>
        <w:contextualSpacing/>
        <w:jc w:val="left"/>
        <w:rPr>
          <w:rFonts w:ascii="Geomanist Light" w:eastAsia="Calibri" w:hAnsi="Geomanist Light" w:cs="Arial"/>
          <w:lang w:val="es-ES"/>
        </w:rPr>
      </w:pPr>
    </w:p>
    <w:p w14:paraId="0D2D2B02" w14:textId="77777777" w:rsidR="00C813A3" w:rsidRPr="00DE7B19" w:rsidRDefault="00C813A3" w:rsidP="00C813A3">
      <w:pPr>
        <w:tabs>
          <w:tab w:val="left" w:pos="0"/>
        </w:tabs>
        <w:spacing w:after="0"/>
        <w:ind w:firstLine="0"/>
        <w:rPr>
          <w:rFonts w:ascii="Geomanist Light" w:eastAsia="Calibri" w:hAnsi="Geomanist Light" w:cs="Arial"/>
          <w:b/>
          <w:lang w:val="es-ES" w:eastAsia="es-MX"/>
        </w:rPr>
      </w:pPr>
      <w:r w:rsidRPr="00DE7B19">
        <w:rPr>
          <w:rFonts w:ascii="Geomanist Light" w:eastAsia="Calibri" w:hAnsi="Geomanist Light" w:cs="Arial"/>
          <w:b/>
          <w:lang w:val="es-ES" w:eastAsia="es-MX"/>
        </w:rPr>
        <w:t>1. Problema planteado</w:t>
      </w:r>
    </w:p>
    <w:p w14:paraId="18D7A5A6" w14:textId="77777777" w:rsidR="00C813A3" w:rsidRPr="00DE7B19" w:rsidRDefault="00C813A3" w:rsidP="00C813A3">
      <w:pPr>
        <w:spacing w:after="0" w:line="240" w:lineRule="auto"/>
        <w:ind w:firstLine="0"/>
        <w:jc w:val="left"/>
        <w:rPr>
          <w:rFonts w:ascii="Geomanist Light" w:eastAsia="Calibri" w:hAnsi="Geomanist Light" w:cs="Arial"/>
          <w:lang w:val="es-ES" w:eastAsia="es-MX"/>
        </w:rPr>
      </w:pPr>
    </w:p>
    <w:p w14:paraId="2E862EA7" w14:textId="12920F39" w:rsidR="00C813A3" w:rsidRPr="00DE7B19" w:rsidRDefault="006F02D6" w:rsidP="00DE42C7">
      <w:pPr>
        <w:spacing w:after="0"/>
        <w:ind w:firstLine="0"/>
        <w:rPr>
          <w:rFonts w:ascii="Geomanist Light" w:eastAsia="Calibri" w:hAnsi="Geomanist Light" w:cs="Arial"/>
          <w:lang w:val="es-ES"/>
        </w:rPr>
      </w:pPr>
      <w:r w:rsidRPr="00DE7B19">
        <w:rPr>
          <w:rFonts w:ascii="Geomanist Light" w:eastAsia="Calibri" w:hAnsi="Geomanist Light" w:cs="Arial"/>
          <w:lang w:val="es-ES"/>
        </w:rPr>
        <w:t>En su petición usted</w:t>
      </w:r>
      <w:r w:rsidR="00C813A3" w:rsidRPr="00DE7B19">
        <w:rPr>
          <w:rFonts w:ascii="Geomanist Light" w:eastAsia="Calibri" w:hAnsi="Geomanist Light" w:cs="Arial"/>
          <w:lang w:val="es-ES"/>
        </w:rPr>
        <w:t xml:space="preserve"> </w:t>
      </w:r>
      <w:r w:rsidRPr="00DE7B19">
        <w:rPr>
          <w:rFonts w:ascii="Geomanist Light" w:eastAsia="Calibri" w:hAnsi="Geomanist Light" w:cs="Arial"/>
          <w:lang w:val="es-ES"/>
        </w:rPr>
        <w:t>solicita que</w:t>
      </w:r>
      <w:r w:rsidR="00677461" w:rsidRPr="00DE7B19">
        <w:rPr>
          <w:rFonts w:ascii="Geomanist Light" w:eastAsia="Calibri" w:hAnsi="Geomanist Light" w:cs="Arial"/>
          <w:lang w:val="es-ES"/>
        </w:rPr>
        <w:t>:</w:t>
      </w:r>
      <w:r w:rsidRPr="00DE7B19">
        <w:rPr>
          <w:rFonts w:ascii="Geomanist Light" w:eastAsia="Calibri" w:hAnsi="Geomanist Light" w:cs="Arial"/>
          <w:lang w:val="es-ES"/>
        </w:rPr>
        <w:t xml:space="preserve"> </w:t>
      </w:r>
      <w:proofErr w:type="gramStart"/>
      <w:r w:rsidR="008E27E5" w:rsidRPr="00DE7B19">
        <w:rPr>
          <w:rFonts w:ascii="Geomanist Light" w:hAnsi="Geomanist Light" w:cs="Arial"/>
          <w:lang w:val="es-MX"/>
        </w:rPr>
        <w:t>«</w:t>
      </w:r>
      <w:r w:rsidR="008E27E5" w:rsidRPr="00DE7B19">
        <w:rPr>
          <w:rFonts w:ascii="Geomanist Light" w:eastAsia="Calibri" w:hAnsi="Geomanist Light" w:cs="Arial"/>
          <w:lang w:val="es-ES"/>
        </w:rPr>
        <w:t xml:space="preserve"> </w:t>
      </w:r>
      <w:r w:rsidRPr="00DE7B19">
        <w:rPr>
          <w:rFonts w:ascii="Geomanist Light" w:eastAsia="Calibri" w:hAnsi="Geomanist Light" w:cs="Arial"/>
          <w:lang w:val="es-ES"/>
        </w:rPr>
        <w:t>[</w:t>
      </w:r>
      <w:proofErr w:type="gramEnd"/>
      <w:r w:rsidRPr="00DE7B19">
        <w:rPr>
          <w:rFonts w:ascii="Geomanist Light" w:eastAsia="Calibri" w:hAnsi="Geomanist Light" w:cs="Arial"/>
          <w:lang w:val="es-ES"/>
        </w:rPr>
        <w:t>…]</w:t>
      </w:r>
      <w:r w:rsidR="008E27E5" w:rsidRPr="00DE7B19">
        <w:rPr>
          <w:rFonts w:ascii="Geomanist Light" w:eastAsia="Calibri" w:hAnsi="Geomanist Light" w:cs="Arial"/>
          <w:lang w:val="es-ES"/>
        </w:rPr>
        <w:t xml:space="preserve"> </w:t>
      </w:r>
      <w:r w:rsidRPr="00DE7B19">
        <w:rPr>
          <w:rFonts w:ascii="Geomanist Light" w:eastAsia="Calibri" w:hAnsi="Geomanist Light" w:cs="Arial"/>
          <w:lang w:val="es-ES"/>
        </w:rPr>
        <w:t xml:space="preserve">La Agencia Nacional de Contratación Pública […]  conceptué sí existe alguna violación al Artículo 1 de la ley 1882 de 2019, cuando una entidad territorial en el </w:t>
      </w:r>
      <w:r w:rsidR="008E27E5" w:rsidRPr="00DE7B19">
        <w:rPr>
          <w:rFonts w:ascii="Geomanist Light" w:eastAsia="Calibri" w:hAnsi="Geomanist Light" w:cs="Arial"/>
          <w:lang w:val="es-ES"/>
        </w:rPr>
        <w:t>m</w:t>
      </w:r>
      <w:r w:rsidRPr="00DE7B19">
        <w:rPr>
          <w:rFonts w:ascii="Geomanist Light" w:eastAsia="Calibri" w:hAnsi="Geomanist Light" w:cs="Arial"/>
          <w:lang w:val="es-ES"/>
        </w:rPr>
        <w:t>arco de un proceso de licitación pública exige a los interesados la inclusión</w:t>
      </w:r>
      <w:r w:rsidR="008E27E5" w:rsidRPr="00DE7B19">
        <w:rPr>
          <w:rFonts w:ascii="Geomanist Light" w:eastAsia="Calibri" w:hAnsi="Geomanist Light" w:cs="Arial"/>
          <w:lang w:val="es-ES"/>
        </w:rPr>
        <w:t xml:space="preserve"> del análisis de precios unitarios APU en el sobre No 1 de la oferta</w:t>
      </w:r>
      <w:r w:rsidR="008E27E5" w:rsidRPr="00DE7B19">
        <w:rPr>
          <w:rFonts w:ascii="Geomanist Light" w:hAnsi="Geomanist Light" w:cs="Arial"/>
          <w:lang w:val="es-MX"/>
        </w:rPr>
        <w:t>».</w:t>
      </w:r>
    </w:p>
    <w:p w14:paraId="7E2E2505" w14:textId="77777777" w:rsidR="00C813A3" w:rsidRPr="00DE7B19" w:rsidRDefault="00C813A3" w:rsidP="00C813A3">
      <w:pPr>
        <w:spacing w:after="0"/>
        <w:ind w:firstLine="0"/>
        <w:rPr>
          <w:rFonts w:ascii="Geomanist Light" w:eastAsia="Times New Roman" w:hAnsi="Geomanist Light" w:cs="Arial"/>
          <w:lang w:eastAsia="es-MX"/>
        </w:rPr>
      </w:pPr>
    </w:p>
    <w:p w14:paraId="4B4F2508" w14:textId="77777777" w:rsidR="00C813A3" w:rsidRPr="00DE7B19" w:rsidRDefault="00C813A3" w:rsidP="00C813A3">
      <w:pPr>
        <w:spacing w:after="0"/>
        <w:ind w:firstLine="0"/>
        <w:rPr>
          <w:rFonts w:ascii="Geomanist Light" w:eastAsia="Calibri" w:hAnsi="Geomanist Light" w:cs="Arial"/>
          <w:b/>
          <w:lang w:val="es-ES" w:eastAsia="es-MX"/>
        </w:rPr>
      </w:pPr>
      <w:r w:rsidRPr="00DE7B19">
        <w:rPr>
          <w:rFonts w:ascii="Geomanist Light" w:eastAsia="Calibri" w:hAnsi="Geomanist Light" w:cs="Arial"/>
          <w:b/>
          <w:lang w:val="es-ES" w:eastAsia="es-MX"/>
        </w:rPr>
        <w:t>2. Consideraciones</w:t>
      </w:r>
    </w:p>
    <w:p w14:paraId="364C7342" w14:textId="77777777" w:rsidR="00C813A3" w:rsidRPr="00DE7B19" w:rsidRDefault="00C813A3" w:rsidP="00C813A3">
      <w:pPr>
        <w:spacing w:after="0" w:line="240" w:lineRule="auto"/>
        <w:ind w:firstLine="0"/>
        <w:jc w:val="left"/>
        <w:rPr>
          <w:rFonts w:ascii="Geomanist Light" w:eastAsia="Times New Roman" w:hAnsi="Geomanist Light" w:cs="Arial"/>
          <w:bCs/>
          <w:szCs w:val="24"/>
          <w:lang w:eastAsia="es-MX"/>
        </w:rPr>
      </w:pPr>
    </w:p>
    <w:p w14:paraId="2DEE6C2A" w14:textId="77777777" w:rsidR="00C813A3" w:rsidRPr="00DE7B19" w:rsidRDefault="00C813A3" w:rsidP="00C813A3">
      <w:pPr>
        <w:ind w:firstLine="0"/>
        <w:rPr>
          <w:rFonts w:ascii="Geomanist Light" w:eastAsia="Calibri" w:hAnsi="Geomanist Light" w:cs="Arial"/>
          <w:lang w:val="es-ES_tradnl" w:eastAsia="es-ES_tradnl"/>
        </w:rPr>
      </w:pPr>
      <w:r w:rsidRPr="00DE7B19">
        <w:rPr>
          <w:rFonts w:ascii="Geomanist Light" w:eastAsia="Calibri" w:hAnsi="Geomanist Light" w:cs="Arial"/>
          <w:lang w:val="es-ES_tradnl" w:eastAsia="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w:t>
      </w:r>
      <w:r w:rsidRPr="00DE7B19">
        <w:rPr>
          <w:rFonts w:ascii="Geomanist Light" w:eastAsia="Calibri" w:hAnsi="Geomanist Light" w:cs="Arial"/>
          <w:lang w:val="es-ES_tradnl" w:eastAsia="es-ES_tradnl"/>
        </w:rPr>
        <w:lastRenderedPageBreak/>
        <w:t>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2EB86226" w14:textId="77777777" w:rsidR="00C813A3" w:rsidRPr="00DE7B19" w:rsidRDefault="00C813A3" w:rsidP="00C813A3">
      <w:pPr>
        <w:tabs>
          <w:tab w:val="left" w:pos="426"/>
        </w:tabs>
        <w:ind w:firstLine="0"/>
        <w:rPr>
          <w:rFonts w:ascii="Geomanist Light" w:eastAsia="Calibri" w:hAnsi="Geomanist Light" w:cs="Arial"/>
          <w:bCs/>
          <w:lang w:eastAsia="es-MX"/>
        </w:rPr>
      </w:pPr>
      <w:r w:rsidRPr="00DE7B19">
        <w:rPr>
          <w:rFonts w:ascii="Geomanist Light" w:eastAsia="Calibri" w:hAnsi="Geomanist Light" w:cs="Arial"/>
          <w:lang w:val="es-ES_tradnl" w:eastAsia="es-ES_tradnl"/>
        </w:rPr>
        <w:tab/>
      </w:r>
      <w:r w:rsidRPr="00DE7B19">
        <w:rPr>
          <w:rFonts w:ascii="Geomanist Light" w:eastAsia="Calibri" w:hAnsi="Geomanist Light" w:cs="Arial"/>
          <w:lang w:val="es-ES_tradnl" w:eastAsia="es-ES_tradn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DE7B19">
        <w:rPr>
          <w:rFonts w:ascii="Geomanist Light" w:eastAsia="Calibri" w:hAnsi="Geomanist Light" w:cs="Arial"/>
          <w:bCs/>
          <w:lang w:eastAsia="es-MX"/>
        </w:rPr>
        <w:t>que adelanta el procedimiento de selección y, en caso de conflicto, a las autoridades judiciales, fiscales y disciplinarias.</w:t>
      </w:r>
    </w:p>
    <w:p w14:paraId="729A0BF1" w14:textId="085EB2E9" w:rsidR="00C813A3" w:rsidRPr="00DE7B19" w:rsidRDefault="00C813A3" w:rsidP="00C813A3">
      <w:pPr>
        <w:spacing w:after="0"/>
        <w:ind w:firstLine="0"/>
        <w:rPr>
          <w:rFonts w:ascii="Geomanist Light" w:eastAsia="Calibri" w:hAnsi="Geomanist Light" w:cs="Arial"/>
          <w:color w:val="000000" w:themeColor="text1"/>
          <w:szCs w:val="24"/>
          <w:lang w:eastAsia="es-MX"/>
        </w:rPr>
      </w:pPr>
      <w:r w:rsidRPr="00DE7B19">
        <w:rPr>
          <w:rFonts w:ascii="Geomanist Light" w:eastAsia="Calibri" w:hAnsi="Geomanist Light" w:cs="Arial"/>
          <w:bCs/>
          <w:lang w:eastAsia="es-MX"/>
        </w:rPr>
        <w:tab/>
        <w:t>Por</w:t>
      </w:r>
      <w:r w:rsidRPr="00DE7B19">
        <w:rPr>
          <w:rFonts w:ascii="Geomanist Light" w:eastAsia="Calibri" w:hAnsi="Geomanist Light" w:cs="Arial"/>
          <w:color w:val="000000" w:themeColor="text1"/>
          <w:lang w:val="es-ES" w:eastAsia="es-MX"/>
        </w:rPr>
        <w:t xml:space="preserve"> ello, la Subdirección, dentro de los límites de sus atribuciones, resolverá la consulta conforme a las normas generales en materia de contratación estatal. Con este objetivo se analizarán los siguientes temas:</w:t>
      </w:r>
      <w:r w:rsidRPr="00DE7B19">
        <w:rPr>
          <w:rFonts w:ascii="Geomanist Light" w:eastAsia="Calibri" w:hAnsi="Geomanist Light" w:cs="Arial"/>
          <w:lang w:eastAsia="es-MX"/>
        </w:rPr>
        <w:t xml:space="preserve"> i) competencia consultiva de la Agencia Nacional de Contratación Pública – Colombia Compra Eficiente</w:t>
      </w:r>
      <w:r w:rsidR="00A35B73" w:rsidRPr="00DE7B19">
        <w:rPr>
          <w:rFonts w:ascii="Geomanist Light" w:eastAsia="Times New Roman" w:hAnsi="Geomanist Light" w:cs="Arial"/>
          <w:szCs w:val="24"/>
          <w:lang w:eastAsia="es-MX"/>
        </w:rPr>
        <w:t xml:space="preserve"> y, </w:t>
      </w:r>
      <w:proofErr w:type="spellStart"/>
      <w:r w:rsidR="00A35B73" w:rsidRPr="00DE7B19">
        <w:rPr>
          <w:rFonts w:ascii="Geomanist Light" w:eastAsia="Times New Roman" w:hAnsi="Geomanist Light" w:cs="Arial"/>
          <w:szCs w:val="24"/>
          <w:lang w:eastAsia="es-MX"/>
        </w:rPr>
        <w:t>ii</w:t>
      </w:r>
      <w:proofErr w:type="spellEnd"/>
      <w:r w:rsidR="00A35B73" w:rsidRPr="00DE7B19">
        <w:rPr>
          <w:rFonts w:ascii="Geomanist Light" w:eastAsia="Times New Roman" w:hAnsi="Geomanist Light" w:cs="Arial"/>
          <w:szCs w:val="24"/>
          <w:lang w:eastAsia="es-MX"/>
        </w:rPr>
        <w:t xml:space="preserve">) </w:t>
      </w:r>
      <w:r w:rsidR="00AE00A0" w:rsidRPr="00DE7B19">
        <w:rPr>
          <w:rFonts w:ascii="Geomanist Light" w:eastAsia="Times New Roman" w:hAnsi="Geomanist Light" w:cs="Arial"/>
          <w:szCs w:val="24"/>
          <w:lang w:eastAsia="es-MX"/>
        </w:rPr>
        <w:t xml:space="preserve">presentación de ofertas económicas en procesos de licitación de obra </w:t>
      </w:r>
      <w:proofErr w:type="gramStart"/>
      <w:r w:rsidR="00AE00A0" w:rsidRPr="00DE7B19">
        <w:rPr>
          <w:rFonts w:ascii="Geomanist Light" w:eastAsia="Times New Roman" w:hAnsi="Geomanist Light" w:cs="Arial"/>
          <w:szCs w:val="24"/>
          <w:lang w:eastAsia="es-MX"/>
        </w:rPr>
        <w:t>pública</w:t>
      </w:r>
      <w:r w:rsidR="00AE00A0" w:rsidRPr="00DE7B19" w:rsidDel="00AE00A0">
        <w:rPr>
          <w:rFonts w:ascii="Geomanist Light" w:eastAsia="Times New Roman" w:hAnsi="Geomanist Light" w:cs="Arial"/>
          <w:szCs w:val="24"/>
          <w:lang w:eastAsia="es-MX"/>
        </w:rPr>
        <w:t xml:space="preserve"> </w:t>
      </w:r>
      <w:r w:rsidR="00A35B73" w:rsidRPr="00DE7B19">
        <w:rPr>
          <w:rFonts w:ascii="Geomanist Light" w:eastAsia="Calibri" w:hAnsi="Geomanist Light" w:cs="Arial"/>
          <w:color w:val="000000"/>
          <w:lang w:val="es-ES_tradnl" w:eastAsia="es-ES_tradnl"/>
        </w:rPr>
        <w:t>.</w:t>
      </w:r>
      <w:proofErr w:type="gramEnd"/>
      <w:r w:rsidR="00AE00A0" w:rsidRPr="00DE7B19">
        <w:rPr>
          <w:rFonts w:ascii="Geomanist Light" w:eastAsia="Calibri" w:hAnsi="Geomanist Light" w:cs="Arial"/>
          <w:color w:val="000000"/>
          <w:lang w:val="es-ES_tradnl" w:eastAsia="es-ES_tradnl"/>
        </w:rPr>
        <w:t xml:space="preserve"> y </w:t>
      </w:r>
      <w:proofErr w:type="spellStart"/>
      <w:r w:rsidR="00AE00A0" w:rsidRPr="00DE7B19">
        <w:rPr>
          <w:rFonts w:ascii="Geomanist Light" w:eastAsia="Calibri" w:hAnsi="Geomanist Light" w:cs="Arial"/>
          <w:color w:val="000000"/>
          <w:lang w:val="es-ES_tradnl" w:eastAsia="es-ES_tradnl"/>
        </w:rPr>
        <w:t>iii</w:t>
      </w:r>
      <w:proofErr w:type="spellEnd"/>
      <w:r w:rsidR="00AE00A0" w:rsidRPr="00DE7B19">
        <w:rPr>
          <w:rFonts w:ascii="Geomanist Light" w:eastAsia="Calibri" w:hAnsi="Geomanist Light" w:cs="Arial"/>
          <w:color w:val="000000"/>
          <w:lang w:val="es-ES_tradnl" w:eastAsia="es-ES_tradnl"/>
        </w:rPr>
        <w:t xml:space="preserve">) </w:t>
      </w:r>
      <w:r w:rsidR="00AE00A0" w:rsidRPr="00DE7B19">
        <w:rPr>
          <w:rFonts w:ascii="Geomanist Light" w:hAnsi="Geomanist Light" w:cs="Arial"/>
          <w:b/>
          <w:bCs/>
          <w:color w:val="000000" w:themeColor="text1"/>
        </w:rPr>
        <w:t>el sistema de precios unitarios como mecanismo para la fijación del precio en los contratos de obra pública</w:t>
      </w:r>
    </w:p>
    <w:p w14:paraId="1AC908FA" w14:textId="77777777" w:rsidR="00C813A3" w:rsidRPr="00DE7B19" w:rsidRDefault="00C813A3" w:rsidP="00C813A3">
      <w:pPr>
        <w:spacing w:after="0" w:line="240" w:lineRule="auto"/>
        <w:ind w:firstLine="0"/>
        <w:rPr>
          <w:rFonts w:ascii="Geomanist Light" w:eastAsia="Times New Roman" w:hAnsi="Geomanist Light" w:cs="Arial"/>
          <w:b/>
          <w:bCs/>
          <w:lang w:eastAsia="es-MX"/>
        </w:rPr>
      </w:pPr>
    </w:p>
    <w:p w14:paraId="2D6A0C01" w14:textId="77777777" w:rsidR="00C813A3" w:rsidRPr="00DE7B19" w:rsidRDefault="00C813A3" w:rsidP="00C813A3">
      <w:pPr>
        <w:spacing w:after="0"/>
        <w:ind w:firstLine="0"/>
        <w:rPr>
          <w:rFonts w:ascii="Geomanist Light" w:eastAsia="Calibri" w:hAnsi="Geomanist Light" w:cs="Arial"/>
          <w:b/>
          <w:bCs/>
          <w:lang w:eastAsia="es-MX"/>
        </w:rPr>
      </w:pPr>
      <w:r w:rsidRPr="00DE7B19">
        <w:rPr>
          <w:rFonts w:ascii="Geomanist Light" w:eastAsia="Calibri" w:hAnsi="Geomanist Light" w:cs="Arial"/>
          <w:b/>
          <w:bCs/>
          <w:lang w:eastAsia="es-MX"/>
        </w:rPr>
        <w:t>2.1. Competencia consultiva de la Agencia Nacional de Contratación Pública – Colombia Compra Eficiente</w:t>
      </w:r>
    </w:p>
    <w:p w14:paraId="585B4A25" w14:textId="77777777" w:rsidR="00C813A3" w:rsidRPr="00DE7B19" w:rsidRDefault="00C813A3" w:rsidP="00C813A3">
      <w:pPr>
        <w:spacing w:after="0"/>
        <w:ind w:firstLine="0"/>
        <w:rPr>
          <w:rFonts w:ascii="Geomanist Light" w:eastAsia="Calibri" w:hAnsi="Geomanist Light" w:cs="Arial"/>
          <w:b/>
          <w:bCs/>
          <w:lang w:eastAsia="es-MX"/>
        </w:rPr>
      </w:pPr>
    </w:p>
    <w:p w14:paraId="413847BB" w14:textId="77777777" w:rsidR="00C813A3" w:rsidRPr="00DE7B19" w:rsidRDefault="00C813A3" w:rsidP="00C813A3">
      <w:pPr>
        <w:spacing w:after="0"/>
        <w:ind w:firstLine="0"/>
        <w:rPr>
          <w:rFonts w:ascii="Geomanist Light" w:eastAsia="Times New Roman" w:hAnsi="Geomanist Light" w:cs="Arial"/>
          <w:color w:val="000000"/>
          <w:lang w:eastAsia="es-MX"/>
        </w:rPr>
      </w:pPr>
      <w:r w:rsidRPr="00DE7B19">
        <w:rPr>
          <w:rFonts w:ascii="Geomanist Light" w:eastAsia="Times New Roman" w:hAnsi="Geomanist Light" w:cs="Arial"/>
          <w:color w:val="000000"/>
          <w:shd w:val="clear" w:color="auto" w:fill="FFFFFF"/>
          <w:lang w:eastAsia="es-MX"/>
        </w:rPr>
        <w:t xml:space="preserve">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r w:rsidRPr="00DE7B19">
        <w:rPr>
          <w:rFonts w:ascii="Calibri" w:eastAsia="Times New Roman" w:hAnsi="Calibri" w:cs="Calibri"/>
          <w:color w:val="000000"/>
          <w:shd w:val="clear" w:color="auto" w:fill="FFFFFF"/>
          <w:lang w:eastAsia="es-MX"/>
        </w:rPr>
        <w:t> </w:t>
      </w:r>
    </w:p>
    <w:p w14:paraId="2724A60E" w14:textId="77777777" w:rsidR="00C813A3" w:rsidRPr="00DE7B19" w:rsidRDefault="00C813A3" w:rsidP="00C813A3">
      <w:pPr>
        <w:spacing w:before="120" w:after="0"/>
        <w:ind w:firstLine="708"/>
        <w:rPr>
          <w:rFonts w:ascii="Geomanist Light" w:eastAsia="Times New Roman" w:hAnsi="Geomanist Light" w:cs="Arial"/>
          <w:color w:val="000000"/>
          <w:lang w:eastAsia="es-MX"/>
        </w:rPr>
      </w:pPr>
      <w:r w:rsidRPr="00DE7B19">
        <w:rPr>
          <w:rFonts w:ascii="Geomanist Light" w:eastAsia="Times New Roman" w:hAnsi="Geomanist Light" w:cs="Arial"/>
          <w:color w:val="000000"/>
          <w:lang w:eastAsia="es-MX"/>
        </w:rPr>
        <w:t xml:space="preserve">Al respecto, </w:t>
      </w:r>
      <w:bookmarkStart w:id="3" w:name="_Hlk94773931"/>
      <w:r w:rsidRPr="00DE7B19">
        <w:rPr>
          <w:rFonts w:ascii="Geomanist Light" w:eastAsia="Times New Roman" w:hAnsi="Geomanist Light" w:cs="Arial"/>
          <w:color w:val="000000"/>
          <w:lang w:eastAsia="es-MX"/>
        </w:rPr>
        <w:t xml:space="preserve">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w:t>
      </w:r>
      <w:r w:rsidRPr="00DE7B19">
        <w:rPr>
          <w:rFonts w:ascii="Geomanist Light" w:eastAsia="Times New Roman" w:hAnsi="Geomanist Light" w:cs="Arial"/>
          <w:color w:val="000000"/>
          <w:lang w:eastAsia="es-MX"/>
        </w:rPr>
        <w:lastRenderedPageBreak/>
        <w:t>problemas jurídicos particulares, especialmente, cuando el conocimiento de estos últimos corresponde resolverlos a los partícipes del sistema de compra pública y, eventualmente, a las autoridades judiciales y a los organismos de control.</w:t>
      </w:r>
      <w:r w:rsidRPr="00DE7B19">
        <w:rPr>
          <w:rFonts w:ascii="Geomanist Light" w:eastAsia="Calibri" w:hAnsi="Geomanist Light" w:cs="Arial"/>
          <w:color w:val="000000"/>
          <w:lang w:eastAsia="es-MX"/>
        </w:rPr>
        <w:t xml:space="preserve"> </w:t>
      </w:r>
      <w:r w:rsidRPr="00DE7B19">
        <w:rPr>
          <w:rFonts w:ascii="Calibri" w:eastAsia="Times New Roman" w:hAnsi="Calibri" w:cs="Calibri"/>
          <w:color w:val="000000"/>
          <w:shd w:val="clear" w:color="auto" w:fill="FFFFFF"/>
          <w:lang w:eastAsia="es-MX"/>
        </w:rPr>
        <w:t> </w:t>
      </w:r>
      <w:bookmarkEnd w:id="3"/>
    </w:p>
    <w:p w14:paraId="440327C0" w14:textId="77777777" w:rsidR="00C813A3" w:rsidRPr="00DE7B19" w:rsidRDefault="00C813A3" w:rsidP="00C813A3">
      <w:pPr>
        <w:spacing w:before="120" w:after="0"/>
        <w:ind w:firstLine="708"/>
        <w:rPr>
          <w:rFonts w:ascii="Geomanist Light" w:eastAsia="Times New Roman" w:hAnsi="Geomanist Light" w:cs="Arial"/>
          <w:color w:val="000000"/>
          <w:lang w:eastAsia="es-MX"/>
        </w:rPr>
      </w:pPr>
      <w:r w:rsidRPr="00DE7B19">
        <w:rPr>
          <w:rFonts w:ascii="Geomanist Light" w:eastAsia="Times New Roman" w:hAnsi="Geomanist Light" w:cs="Arial"/>
          <w:color w:val="000000"/>
          <w:lang w:eastAsia="es-MX"/>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DE7B19">
        <w:rPr>
          <w:rFonts w:ascii="Geomanist Light" w:eastAsia="Times New Roman" w:hAnsi="Geomanist Light" w:cs="Arial"/>
          <w:color w:val="000000"/>
          <w:vertAlign w:val="superscript"/>
          <w:lang w:eastAsia="es-MX"/>
        </w:rPr>
        <w:footnoteReference w:id="1"/>
      </w:r>
      <w:r w:rsidRPr="00DE7B19">
        <w:rPr>
          <w:rFonts w:ascii="Geomanist Light" w:eastAsia="Times New Roman" w:hAnsi="Geomanist Light" w:cs="Arial"/>
          <w:color w:val="000000"/>
          <w:lang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DE7B19">
        <w:rPr>
          <w:rFonts w:ascii="Calibri" w:eastAsia="Calibri" w:hAnsi="Calibri" w:cs="Calibri"/>
          <w:color w:val="000000"/>
          <w:lang w:eastAsia="es-MX"/>
        </w:rPr>
        <w:t> </w:t>
      </w:r>
    </w:p>
    <w:p w14:paraId="4818C139" w14:textId="77777777" w:rsidR="00C813A3" w:rsidRPr="00DE7B19" w:rsidRDefault="00C813A3" w:rsidP="00C813A3">
      <w:pPr>
        <w:tabs>
          <w:tab w:val="left" w:pos="426"/>
        </w:tabs>
        <w:spacing w:before="120" w:after="0"/>
        <w:ind w:firstLine="0"/>
        <w:rPr>
          <w:rFonts w:ascii="Geomanist Light" w:eastAsia="Times New Roman" w:hAnsi="Geomanist Light" w:cs="Arial"/>
          <w:color w:val="000000"/>
          <w:lang w:eastAsia="es-MX"/>
        </w:rPr>
      </w:pPr>
      <w:r w:rsidRPr="00DE7B19">
        <w:rPr>
          <w:rFonts w:ascii="Geomanist Light" w:eastAsia="Times New Roman" w:hAnsi="Geomanist Light" w:cs="Arial"/>
          <w:color w:val="000000"/>
          <w:lang w:eastAsia="es-MX"/>
        </w:rPr>
        <w:tab/>
      </w:r>
      <w:r w:rsidRPr="00DE7B19">
        <w:rPr>
          <w:rFonts w:ascii="Geomanist Light" w:eastAsia="Times New Roman" w:hAnsi="Geomanist Light" w:cs="Arial"/>
          <w:color w:val="000000"/>
          <w:lang w:eastAsia="es-MX"/>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DE7B19">
        <w:rPr>
          <w:rFonts w:ascii="Calibri" w:eastAsia="Calibri" w:hAnsi="Calibri" w:cs="Calibri"/>
          <w:bCs/>
          <w:color w:val="000000"/>
          <w:lang w:eastAsia="es-MX"/>
        </w:rPr>
        <w:t> </w:t>
      </w:r>
    </w:p>
    <w:p w14:paraId="78B984B1" w14:textId="77777777" w:rsidR="00C813A3" w:rsidRPr="00DE7B19" w:rsidRDefault="00C813A3" w:rsidP="00C813A3">
      <w:pPr>
        <w:tabs>
          <w:tab w:val="left" w:pos="426"/>
        </w:tabs>
        <w:spacing w:after="0" w:line="240" w:lineRule="auto"/>
        <w:ind w:left="709" w:right="709" w:firstLine="0"/>
        <w:rPr>
          <w:rFonts w:ascii="Geomanist Light" w:eastAsia="Times New Roman" w:hAnsi="Geomanist Light" w:cs="Arial"/>
          <w:color w:val="000000"/>
          <w:sz w:val="21"/>
          <w:szCs w:val="21"/>
          <w:lang w:eastAsia="es-MX"/>
        </w:rPr>
      </w:pPr>
    </w:p>
    <w:p w14:paraId="0024641B" w14:textId="3FD14C0D" w:rsidR="00C813A3" w:rsidRPr="00DE7B19" w:rsidRDefault="00C813A3" w:rsidP="00C813A3">
      <w:pPr>
        <w:tabs>
          <w:tab w:val="left" w:pos="426"/>
        </w:tabs>
        <w:spacing w:line="240" w:lineRule="auto"/>
        <w:ind w:left="709" w:right="709" w:firstLine="0"/>
        <w:rPr>
          <w:rFonts w:ascii="Geomanist Light" w:eastAsia="Calibri" w:hAnsi="Geomanist Light" w:cs="Arial"/>
          <w:bCs/>
          <w:color w:val="000000"/>
          <w:sz w:val="21"/>
          <w:szCs w:val="21"/>
          <w:lang w:eastAsia="es-MX"/>
        </w:rPr>
      </w:pPr>
      <w:r w:rsidRPr="00DE7B19">
        <w:rPr>
          <w:rFonts w:ascii="Geomanist Light" w:eastAsia="Times New Roman" w:hAnsi="Geomanist Light" w:cs="Arial"/>
          <w:color w:val="000000"/>
          <w:sz w:val="21"/>
          <w:szCs w:val="21"/>
          <w:lang w:eastAsia="es-MX"/>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DE7B19">
        <w:rPr>
          <w:rFonts w:ascii="Geomanist Light" w:eastAsia="Calibri" w:hAnsi="Geomanist Light" w:cs="Arial"/>
          <w:bCs/>
          <w:color w:val="000000"/>
          <w:sz w:val="21"/>
          <w:szCs w:val="21"/>
          <w:lang w:eastAsia="es-MX"/>
        </w:rPr>
        <w:t>.</w:t>
      </w:r>
    </w:p>
    <w:p w14:paraId="0F20FF35" w14:textId="77777777" w:rsidR="00C813A3" w:rsidRPr="00DE7B19" w:rsidRDefault="00C813A3" w:rsidP="00C813A3">
      <w:pPr>
        <w:tabs>
          <w:tab w:val="left" w:pos="426"/>
        </w:tabs>
        <w:spacing w:after="0" w:line="240" w:lineRule="auto"/>
        <w:ind w:left="709" w:right="709" w:firstLine="0"/>
        <w:rPr>
          <w:rFonts w:ascii="Geomanist Light" w:eastAsia="Times New Roman" w:hAnsi="Geomanist Light" w:cs="Arial"/>
          <w:color w:val="000000"/>
          <w:sz w:val="21"/>
          <w:szCs w:val="21"/>
          <w:lang w:eastAsia="es-MX"/>
        </w:rPr>
      </w:pPr>
    </w:p>
    <w:p w14:paraId="7FEB4BD9" w14:textId="77777777" w:rsidR="00C813A3" w:rsidRPr="00DE7B19" w:rsidRDefault="00C813A3" w:rsidP="00C813A3">
      <w:pPr>
        <w:tabs>
          <w:tab w:val="left" w:pos="426"/>
        </w:tabs>
        <w:ind w:firstLine="0"/>
        <w:rPr>
          <w:rFonts w:ascii="Geomanist Light" w:eastAsia="Times New Roman" w:hAnsi="Geomanist Light" w:cs="Arial"/>
          <w:color w:val="000000"/>
          <w:lang w:eastAsia="es-MX"/>
        </w:rPr>
      </w:pPr>
      <w:r w:rsidRPr="00DE7B19">
        <w:rPr>
          <w:rFonts w:ascii="Geomanist Light" w:eastAsia="Calibri" w:hAnsi="Geomanist Light" w:cs="Arial"/>
          <w:bCs/>
          <w:color w:val="000000"/>
          <w:lang w:eastAsia="es-MX"/>
        </w:rPr>
        <w:tab/>
      </w:r>
      <w:r w:rsidRPr="00DE7B19">
        <w:rPr>
          <w:rFonts w:ascii="Geomanist Light" w:eastAsia="Calibri" w:hAnsi="Geomanist Light" w:cs="Arial"/>
          <w:bCs/>
          <w:color w:val="000000"/>
          <w:lang w:eastAsia="es-MX"/>
        </w:rPr>
        <w:tab/>
      </w:r>
      <w:r w:rsidRPr="00DE7B19">
        <w:rPr>
          <w:rFonts w:ascii="Geomanist Light" w:eastAsia="Times New Roman" w:hAnsi="Geomanist Light" w:cs="Arial"/>
          <w:color w:val="000000"/>
          <w:lang w:eastAsia="es-MX"/>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w:t>
      </w:r>
      <w:r w:rsidRPr="00DE7B19">
        <w:rPr>
          <w:rFonts w:ascii="Geomanist Light" w:eastAsia="Times New Roman" w:hAnsi="Geomanist Light" w:cs="Arial"/>
          <w:color w:val="000000"/>
          <w:lang w:eastAsia="es-MX"/>
        </w:rPr>
        <w:lastRenderedPageBreak/>
        <w:t>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DE7B19">
        <w:rPr>
          <w:rFonts w:ascii="Calibri" w:eastAsia="Calibri" w:hAnsi="Calibri" w:cs="Calibri"/>
          <w:bCs/>
          <w:color w:val="000000"/>
          <w:lang w:eastAsia="es-MX"/>
        </w:rPr>
        <w:t> </w:t>
      </w:r>
    </w:p>
    <w:p w14:paraId="00C9C9DD" w14:textId="77777777" w:rsidR="00C813A3" w:rsidRPr="00DE7B19" w:rsidRDefault="00C813A3" w:rsidP="00C813A3">
      <w:pPr>
        <w:spacing w:before="120"/>
        <w:ind w:firstLine="708"/>
        <w:rPr>
          <w:rFonts w:ascii="Geomanist Light" w:eastAsia="Times New Roman" w:hAnsi="Geomanist Light" w:cs="Arial"/>
          <w:color w:val="000000"/>
          <w:lang w:eastAsia="es-MX"/>
        </w:rPr>
      </w:pPr>
      <w:r w:rsidRPr="00DE7B19">
        <w:rPr>
          <w:rFonts w:ascii="Geomanist Light" w:eastAsia="Times New Roman" w:hAnsi="Geomanist Light"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DE7B19">
        <w:rPr>
          <w:rFonts w:ascii="Calibri" w:eastAsia="Calibri" w:hAnsi="Calibri" w:cs="Calibri"/>
          <w:bCs/>
          <w:color w:val="000000"/>
          <w:lang w:eastAsia="es-MX"/>
        </w:rPr>
        <w:t> </w:t>
      </w:r>
    </w:p>
    <w:p w14:paraId="5851DCE7" w14:textId="77777777" w:rsidR="00C813A3" w:rsidRPr="00DE7B19" w:rsidRDefault="00C813A3" w:rsidP="00C813A3">
      <w:pPr>
        <w:tabs>
          <w:tab w:val="left" w:pos="709"/>
        </w:tabs>
        <w:spacing w:before="120" w:after="0"/>
        <w:ind w:firstLine="0"/>
        <w:rPr>
          <w:rFonts w:ascii="Geomanist Light" w:eastAsia="Times New Roman" w:hAnsi="Geomanist Light" w:cs="Arial"/>
          <w:color w:val="000000"/>
          <w:lang w:eastAsia="es-MX"/>
        </w:rPr>
      </w:pPr>
      <w:r w:rsidRPr="00DE7B19">
        <w:rPr>
          <w:rFonts w:ascii="Geomanist Light" w:eastAsia="Times New Roman" w:hAnsi="Geomanist Light" w:cs="Arial"/>
          <w:color w:val="000000"/>
          <w:shd w:val="clear" w:color="auto" w:fill="FFFFFF"/>
          <w:lang w:eastAsia="es-MX"/>
        </w:rPr>
        <w:tab/>
        <w:t>En concordancia con ello, es importante resaltar que e</w:t>
      </w:r>
      <w:r w:rsidRPr="00DE7B19">
        <w:rPr>
          <w:rFonts w:ascii="Geomanist Light" w:eastAsia="Times New Roman" w:hAnsi="Geomanist Light" w:cs="Arial"/>
          <w:color w:val="000000"/>
          <w:lang w:eastAsia="es-MX"/>
        </w:rPr>
        <w:t>sta posición es compartida por varias entidades públicas que ejercen similar función. Por ejemplo, la Procuraduría General de la Nación</w:t>
      </w:r>
      <w:r w:rsidRPr="00DE7B19">
        <w:rPr>
          <w:rFonts w:ascii="Geomanist Light" w:eastAsia="Times New Roman" w:hAnsi="Geomanist Light" w:cs="Arial"/>
          <w:color w:val="000000"/>
          <w:vertAlign w:val="superscript"/>
          <w:lang w:eastAsia="es-MX"/>
        </w:rPr>
        <w:footnoteReference w:id="2"/>
      </w:r>
      <w:r w:rsidRPr="00DE7B19">
        <w:rPr>
          <w:rFonts w:ascii="Geomanist Light" w:eastAsia="Times New Roman" w:hAnsi="Geomanist Light" w:cs="Arial"/>
          <w:color w:val="000000"/>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DE7B19">
        <w:rPr>
          <w:rFonts w:ascii="Geomanist Light" w:eastAsia="Times New Roman" w:hAnsi="Geomanist Light" w:cs="Arial"/>
          <w:color w:val="000000"/>
          <w:vertAlign w:val="superscript"/>
          <w:lang w:eastAsia="es-MX"/>
        </w:rPr>
        <w:footnoteReference w:id="3"/>
      </w:r>
      <w:r w:rsidRPr="00DE7B19">
        <w:rPr>
          <w:rFonts w:ascii="Geomanist Light" w:eastAsia="Times New Roman" w:hAnsi="Geomanist Light" w:cs="Arial"/>
          <w:color w:val="000000"/>
          <w:lang w:eastAsia="es-MX"/>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DE7B19">
        <w:rPr>
          <w:rFonts w:ascii="Calibri" w:eastAsia="Calibri" w:hAnsi="Calibri" w:cs="Calibri"/>
          <w:bCs/>
          <w:color w:val="000000"/>
          <w:lang w:eastAsia="es-MX"/>
        </w:rPr>
        <w:t> </w:t>
      </w:r>
    </w:p>
    <w:p w14:paraId="57947DE8" w14:textId="77777777" w:rsidR="00C813A3" w:rsidRPr="00DE7B19" w:rsidRDefault="00C813A3" w:rsidP="00C813A3">
      <w:pPr>
        <w:tabs>
          <w:tab w:val="left" w:pos="709"/>
        </w:tabs>
        <w:spacing w:before="120"/>
        <w:ind w:firstLine="0"/>
        <w:rPr>
          <w:rFonts w:ascii="Geomanist Light" w:eastAsia="Times New Roman" w:hAnsi="Geomanist Light" w:cs="Arial"/>
          <w:color w:val="000000"/>
          <w:lang w:eastAsia="es-MX"/>
        </w:rPr>
      </w:pPr>
      <w:r w:rsidRPr="00DE7B19">
        <w:rPr>
          <w:rFonts w:ascii="Geomanist Light" w:eastAsia="Calibri" w:hAnsi="Geomanist Light" w:cs="Arial"/>
          <w:bCs/>
          <w:color w:val="000000"/>
          <w:lang w:eastAsia="es-MX"/>
        </w:rPr>
        <w:tab/>
      </w:r>
      <w:r w:rsidRPr="00DE7B19">
        <w:rPr>
          <w:rFonts w:ascii="Geomanist Light" w:eastAsia="Times New Roman" w:hAnsi="Geomanist Light" w:cs="Arial"/>
          <w:color w:val="000000"/>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DE7B19">
        <w:rPr>
          <w:rFonts w:ascii="Geomanist Light" w:eastAsia="Times New Roman" w:hAnsi="Geomanist Light" w:cs="Arial"/>
          <w:color w:val="000000"/>
          <w:vertAlign w:val="superscript"/>
          <w:lang w:eastAsia="es-MX"/>
        </w:rPr>
        <w:footnoteReference w:id="4"/>
      </w:r>
      <w:r w:rsidRPr="00DE7B19">
        <w:rPr>
          <w:rFonts w:ascii="Geomanist Light" w:eastAsia="Times New Roman" w:hAnsi="Geomanist Light" w:cs="Arial"/>
          <w:color w:val="000000"/>
          <w:lang w:eastAsia="es-MX"/>
        </w:rPr>
        <w:t xml:space="preserve">. </w:t>
      </w:r>
    </w:p>
    <w:p w14:paraId="76AF197A" w14:textId="77777777" w:rsidR="00C813A3" w:rsidRPr="00DE7B19" w:rsidRDefault="00C813A3" w:rsidP="00C813A3">
      <w:pPr>
        <w:spacing w:before="120"/>
        <w:rPr>
          <w:rFonts w:ascii="Geomanist Light" w:eastAsia="Times New Roman" w:hAnsi="Geomanist Light" w:cs="Arial"/>
          <w:color w:val="000000"/>
          <w:lang w:eastAsia="es-MX"/>
        </w:rPr>
      </w:pPr>
      <w:r w:rsidRPr="00DE7B19">
        <w:rPr>
          <w:rFonts w:ascii="Geomanist Light" w:eastAsia="Times New Roman" w:hAnsi="Geomanist Light"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w:t>
      </w:r>
      <w:r w:rsidRPr="00DE7B19">
        <w:rPr>
          <w:rFonts w:ascii="Geomanist Light" w:eastAsia="Times New Roman" w:hAnsi="Geomanist Light" w:cs="Arial"/>
          <w:color w:val="000000"/>
          <w:lang w:eastAsia="es-MX"/>
        </w:rPr>
        <w:lastRenderedPageBreak/>
        <w:t xml:space="preserve">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36714240" w14:textId="77777777" w:rsidR="00C813A3" w:rsidRPr="00DE7B19" w:rsidRDefault="00C813A3" w:rsidP="00C813A3">
      <w:pPr>
        <w:spacing w:after="0"/>
        <w:ind w:firstLine="708"/>
        <w:rPr>
          <w:rFonts w:ascii="Geomanist Light" w:eastAsia="Times New Roman" w:hAnsi="Geomanist Light" w:cs="Arial"/>
          <w:color w:val="000000"/>
          <w:lang w:eastAsia="es-MX"/>
        </w:rPr>
      </w:pPr>
      <w:r w:rsidRPr="00DE7B19">
        <w:rPr>
          <w:rFonts w:ascii="Geomanist Light" w:eastAsia="Times New Roman" w:hAnsi="Geomanist Light" w:cs="Arial"/>
          <w:color w:val="000000"/>
          <w:lang w:eastAsia="es-MX"/>
        </w:rPr>
        <w:t xml:space="preserve">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«no serán de obligatorio cumplimiento o ejecución». Por lo anterior, a continuación, la Agencia Nacional de Contratación Pública – Colombia Compra Eficiente hará una interpretación </w:t>
      </w:r>
      <w:r w:rsidRPr="00DE7B19">
        <w:rPr>
          <w:rFonts w:ascii="Geomanist Light" w:eastAsia="Times New Roman" w:hAnsi="Geomanist Light" w:cs="Arial"/>
          <w:i/>
          <w:iCs/>
          <w:color w:val="000000"/>
          <w:lang w:eastAsia="es-MX"/>
        </w:rPr>
        <w:t>en abstracto</w:t>
      </w:r>
      <w:r w:rsidRPr="00DE7B19">
        <w:rPr>
          <w:rFonts w:ascii="Geomanist Light" w:eastAsia="Times New Roman" w:hAnsi="Geomanist Light" w:cs="Arial"/>
          <w:color w:val="000000"/>
          <w:lang w:eastAsia="es-MX"/>
        </w:rPr>
        <w:t xml:space="preserve"> de los temas que se relacionan con el objeto de su consulta, con la salvedad –fundamentada en los comentarios que acaban de hacerse– de que la opinión consultiva de la Agencia no es vinculante en el procedimiento de selección particular.</w:t>
      </w:r>
    </w:p>
    <w:p w14:paraId="5F4AE4C3" w14:textId="77777777" w:rsidR="00A5037A" w:rsidRPr="00DE7B19" w:rsidRDefault="00A5037A" w:rsidP="00DE42C7">
      <w:pPr>
        <w:spacing w:after="0"/>
        <w:rPr>
          <w:rFonts w:ascii="Geomanist Light" w:hAnsi="Geomanist Light" w:cs="Arial"/>
          <w:lang w:val="es-ES"/>
        </w:rPr>
      </w:pPr>
    </w:p>
    <w:p w14:paraId="65BFA6BA" w14:textId="5B5F6C28" w:rsidR="00190E0D" w:rsidRPr="00DE7B19" w:rsidRDefault="00AE00A0" w:rsidP="00633C1D">
      <w:pPr>
        <w:ind w:firstLine="0"/>
        <w:rPr>
          <w:rFonts w:ascii="Geomanist Light" w:eastAsia="Calibri" w:hAnsi="Geomanist Light" w:cs="Arial"/>
          <w:b/>
          <w:lang w:val="es-ES_tradnl"/>
        </w:rPr>
      </w:pPr>
      <w:r w:rsidRPr="00DE7B19">
        <w:rPr>
          <w:rFonts w:ascii="Geomanist Light" w:eastAsia="Calibri" w:hAnsi="Geomanist Light" w:cs="Arial"/>
          <w:b/>
          <w:lang w:val="es-ES_tradnl"/>
        </w:rPr>
        <w:t>2.</w:t>
      </w:r>
      <w:r w:rsidR="00A5037A" w:rsidRPr="00DE7B19">
        <w:rPr>
          <w:rFonts w:ascii="Geomanist Light" w:eastAsia="Calibri" w:hAnsi="Geomanist Light" w:cs="Arial"/>
          <w:b/>
          <w:lang w:val="es-ES_tradnl"/>
        </w:rPr>
        <w:t>2</w:t>
      </w:r>
      <w:r w:rsidR="00566E1E" w:rsidRPr="00DE7B19">
        <w:rPr>
          <w:rFonts w:ascii="Geomanist Light" w:eastAsia="Calibri" w:hAnsi="Geomanist Light" w:cs="Arial"/>
          <w:b/>
          <w:lang w:val="es-ES_tradnl"/>
        </w:rPr>
        <w:t xml:space="preserve">. </w:t>
      </w:r>
      <w:r w:rsidR="00190E0D" w:rsidRPr="00DE7B19">
        <w:rPr>
          <w:rFonts w:ascii="Geomanist Light" w:eastAsia="Calibri" w:hAnsi="Geomanist Light" w:cs="Arial"/>
          <w:b/>
          <w:lang w:val="es-ES_tradnl"/>
        </w:rPr>
        <w:t xml:space="preserve">Presentación de ofertas económicas en procesos de licitación </w:t>
      </w:r>
      <w:r w:rsidR="00C07005" w:rsidRPr="00DE7B19">
        <w:rPr>
          <w:rFonts w:ascii="Geomanist Light" w:eastAsia="Calibri" w:hAnsi="Geomanist Light" w:cs="Arial"/>
          <w:b/>
          <w:lang w:val="es-ES_tradnl"/>
        </w:rPr>
        <w:t>de</w:t>
      </w:r>
      <w:r w:rsidR="006A4161" w:rsidRPr="00DE7B19">
        <w:rPr>
          <w:rFonts w:ascii="Geomanist Light" w:eastAsia="Calibri" w:hAnsi="Geomanist Light" w:cs="Arial"/>
          <w:b/>
          <w:lang w:val="es-ES_tradnl"/>
        </w:rPr>
        <w:t xml:space="preserve"> obra</w:t>
      </w:r>
      <w:r w:rsidR="00C07005" w:rsidRPr="00DE7B19">
        <w:rPr>
          <w:rFonts w:ascii="Geomanist Light" w:eastAsia="Calibri" w:hAnsi="Geomanist Light" w:cs="Arial"/>
          <w:b/>
          <w:lang w:val="es-ES_tradnl"/>
        </w:rPr>
        <w:t xml:space="preserve"> </w:t>
      </w:r>
      <w:r w:rsidR="00190E0D" w:rsidRPr="00DE7B19">
        <w:rPr>
          <w:rFonts w:ascii="Geomanist Light" w:eastAsia="Calibri" w:hAnsi="Geomanist Light" w:cs="Arial"/>
          <w:b/>
          <w:lang w:val="es-ES_tradnl"/>
        </w:rPr>
        <w:t>pública</w:t>
      </w:r>
    </w:p>
    <w:p w14:paraId="2EC4276C" w14:textId="77777777" w:rsidR="00190E0D" w:rsidRPr="00DE7B19" w:rsidRDefault="00190E0D" w:rsidP="00DE42C7">
      <w:pPr>
        <w:spacing w:after="0"/>
        <w:ind w:firstLine="0"/>
        <w:jc w:val="left"/>
        <w:rPr>
          <w:rFonts w:ascii="Geomanist Light" w:eastAsia="Calibri" w:hAnsi="Geomanist Light" w:cs="Arial"/>
          <w:b/>
          <w:sz w:val="8"/>
          <w:szCs w:val="8"/>
          <w:lang w:val="es-ES_tradnl"/>
        </w:rPr>
      </w:pPr>
    </w:p>
    <w:p w14:paraId="4BBDF83C" w14:textId="72B66312" w:rsidR="00190E0D" w:rsidRPr="00DE7B19" w:rsidRDefault="00190E0D" w:rsidP="00633C1D">
      <w:pPr>
        <w:ind w:firstLine="0"/>
        <w:rPr>
          <w:rFonts w:ascii="Geomanist Light" w:hAnsi="Geomanist Light" w:cs="Arial"/>
          <w:color w:val="000000" w:themeColor="text1"/>
        </w:rPr>
      </w:pPr>
      <w:r w:rsidRPr="00DE7B19">
        <w:rPr>
          <w:rFonts w:ascii="Geomanist Light" w:hAnsi="Geomanist Light" w:cs="Arial"/>
          <w:color w:val="000000" w:themeColor="text1"/>
          <w:lang w:val="es-ES"/>
        </w:rPr>
        <w:t xml:space="preserve">El artículo 30 de la Ley 80 de 1993, el cual regula el procedimiento de selección de licitación pública y la presentación de ofertas en el marco de este, no obstante, esta norma fue adicionada por el artículo 1 de la Ley 1882 de 2018, el cual estableció reglas para la presentación de ofertas en licitaciones para la selección de contratistas de obra pública, </w:t>
      </w:r>
      <w:r w:rsidRPr="00DE7B19">
        <w:rPr>
          <w:rFonts w:ascii="Geomanist Light" w:hAnsi="Geomanist Light" w:cs="Arial"/>
          <w:color w:val="000000" w:themeColor="text1"/>
        </w:rPr>
        <w:t>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w:t>
      </w:r>
      <w:r w:rsidRPr="00DE7B19">
        <w:rPr>
          <w:rStyle w:val="Refdenotaalpie"/>
          <w:rFonts w:ascii="Geomanist Light" w:hAnsi="Geomanist Light" w:cs="Arial"/>
          <w:color w:val="000000" w:themeColor="text1"/>
        </w:rPr>
        <w:footnoteReference w:id="5"/>
      </w:r>
      <w:r w:rsidRPr="00DE7B19">
        <w:rPr>
          <w:rFonts w:ascii="Geomanist Light" w:hAnsi="Geomanist Light" w:cs="Arial"/>
          <w:color w:val="000000" w:themeColor="text1"/>
        </w:rPr>
        <w:t xml:space="preserve">. </w:t>
      </w:r>
    </w:p>
    <w:p w14:paraId="51E8F7EA" w14:textId="76C527C6" w:rsidR="00190E0D" w:rsidRPr="00DE7B19" w:rsidRDefault="00190E0D" w:rsidP="00190E0D">
      <w:pPr>
        <w:rPr>
          <w:rFonts w:ascii="Geomanist Light" w:hAnsi="Geomanist Light" w:cs="Arial"/>
          <w:color w:val="000000" w:themeColor="text1"/>
        </w:rPr>
      </w:pPr>
      <w:r w:rsidRPr="00DE7B19">
        <w:rPr>
          <w:rFonts w:ascii="Geomanist Light" w:hAnsi="Geomanist Light" w:cs="Arial"/>
          <w:color w:val="000000" w:themeColor="text1"/>
        </w:rPr>
        <w:lastRenderedPageBreak/>
        <w:t>Respecto del Sobre No. 2, el</w:t>
      </w:r>
      <w:r w:rsidR="00123D29" w:rsidRPr="00DE7B19">
        <w:rPr>
          <w:rFonts w:ascii="Geomanist Light" w:hAnsi="Geomanist Light" w:cs="Arial"/>
          <w:color w:val="000000" w:themeColor="text1"/>
        </w:rPr>
        <w:t xml:space="preserve"> parágrafo 3°del</w:t>
      </w:r>
      <w:r w:rsidRPr="00DE7B19">
        <w:rPr>
          <w:rFonts w:ascii="Geomanist Light" w:hAnsi="Geomanist Light" w:cs="Arial"/>
          <w:color w:val="000000" w:themeColor="text1"/>
        </w:rPr>
        <w:t xml:space="preserve"> artículo 30 de la Ley 80 de 1993</w:t>
      </w:r>
      <w:r w:rsidR="00123D29" w:rsidRPr="00DE7B19">
        <w:rPr>
          <w:rFonts w:ascii="Geomanist Light" w:hAnsi="Geomanist Light" w:cs="Arial"/>
          <w:color w:val="000000" w:themeColor="text1"/>
        </w:rPr>
        <w:t xml:space="preserve"> </w:t>
      </w:r>
      <w:r w:rsidRPr="00DE7B19">
        <w:rPr>
          <w:rFonts w:ascii="Geomanist Light" w:hAnsi="Geomanist Light" w:cs="Arial"/>
          <w:color w:val="000000" w:themeColor="text1"/>
        </w:rPr>
        <w:t>dispone:</w:t>
      </w:r>
    </w:p>
    <w:p w14:paraId="717BB38E" w14:textId="0493D0B1" w:rsidR="00190E0D" w:rsidRPr="00DE7B19" w:rsidRDefault="00190E0D" w:rsidP="00DE42C7">
      <w:pPr>
        <w:pStyle w:val="Textonotapie"/>
        <w:ind w:left="709" w:right="709" w:firstLine="0"/>
        <w:rPr>
          <w:rFonts w:ascii="Geomanist Light" w:hAnsi="Geomanist Light" w:cs="Arial"/>
          <w:color w:val="000000" w:themeColor="text1"/>
          <w:sz w:val="21"/>
          <w:szCs w:val="21"/>
        </w:rPr>
      </w:pPr>
      <w:r w:rsidRPr="00DE7B19">
        <w:rPr>
          <w:rFonts w:ascii="Geomanist Light" w:hAnsi="Geomanist Light" w:cs="Arial"/>
          <w:color w:val="000000" w:themeColor="text1"/>
          <w:sz w:val="21"/>
          <w:szCs w:val="21"/>
        </w:rPr>
        <w:t xml:space="preserve">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31A44FD7" w14:textId="77777777" w:rsidR="00190E0D" w:rsidRPr="00DE7B19" w:rsidRDefault="00190E0D" w:rsidP="00677461">
      <w:pPr>
        <w:pStyle w:val="Textonotapie"/>
        <w:ind w:left="709" w:right="709"/>
        <w:rPr>
          <w:rFonts w:ascii="Geomanist Light" w:hAnsi="Geomanist Light" w:cs="Arial"/>
          <w:color w:val="000000" w:themeColor="text1"/>
          <w:sz w:val="21"/>
          <w:szCs w:val="21"/>
        </w:rPr>
      </w:pPr>
    </w:p>
    <w:p w14:paraId="0797AB53" w14:textId="35B9D039" w:rsidR="00190E0D" w:rsidRPr="00DE7B19" w:rsidRDefault="00190E0D" w:rsidP="00DE42C7">
      <w:pPr>
        <w:pStyle w:val="Textonotapie"/>
        <w:ind w:left="709" w:right="709" w:firstLine="0"/>
        <w:rPr>
          <w:rFonts w:ascii="Geomanist Light" w:hAnsi="Geomanist Light" w:cs="Arial"/>
          <w:color w:val="000000" w:themeColor="text1"/>
          <w:sz w:val="21"/>
          <w:szCs w:val="21"/>
        </w:rPr>
      </w:pPr>
      <w:r w:rsidRPr="00DE7B19">
        <w:rPr>
          <w:rFonts w:ascii="Geomanist Light" w:hAnsi="Geomanist Light" w:cs="Arial"/>
          <w:color w:val="000000" w:themeColor="text1"/>
          <w:sz w:val="21"/>
          <w:szCs w:val="21"/>
        </w:rPr>
        <w:t xml:space="preserve">En estos procesos el informe permanecerá publicado en el </w:t>
      </w:r>
      <w:proofErr w:type="spellStart"/>
      <w:r w:rsidRPr="00DE7B19">
        <w:rPr>
          <w:rFonts w:ascii="Geomanist Light" w:hAnsi="Geomanist Light" w:cs="Arial"/>
          <w:color w:val="000000" w:themeColor="text1"/>
          <w:sz w:val="21"/>
          <w:szCs w:val="21"/>
        </w:rPr>
        <w:t>Secop</w:t>
      </w:r>
      <w:proofErr w:type="spellEnd"/>
      <w:r w:rsidRPr="00DE7B19">
        <w:rPr>
          <w:rFonts w:ascii="Geomanist Light" w:hAnsi="Geomanist Light" w:cs="Arial"/>
          <w:color w:val="000000" w:themeColor="text1"/>
          <w:sz w:val="21"/>
          <w:szCs w:val="21"/>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609435D0" w14:textId="77777777" w:rsidR="00190E0D" w:rsidRPr="00DE7B19" w:rsidRDefault="00190E0D" w:rsidP="00677461">
      <w:pPr>
        <w:spacing w:after="0" w:line="240" w:lineRule="auto"/>
        <w:ind w:left="709" w:right="709"/>
        <w:rPr>
          <w:rFonts w:ascii="Geomanist Light" w:hAnsi="Geomanist Light" w:cs="Arial"/>
          <w:color w:val="000000" w:themeColor="text1"/>
          <w:sz w:val="21"/>
          <w:szCs w:val="21"/>
        </w:rPr>
      </w:pPr>
    </w:p>
    <w:p w14:paraId="30E16247" w14:textId="28CC77B8" w:rsidR="00190E0D" w:rsidRPr="00DE7B19" w:rsidRDefault="00190E0D" w:rsidP="00DE42C7">
      <w:pPr>
        <w:spacing w:after="0" w:line="240" w:lineRule="auto"/>
        <w:ind w:left="709" w:right="709" w:firstLine="0"/>
        <w:rPr>
          <w:rFonts w:ascii="Geomanist Light" w:hAnsi="Geomanist Light" w:cs="Arial"/>
          <w:color w:val="000000" w:themeColor="text1"/>
          <w:sz w:val="21"/>
          <w:szCs w:val="21"/>
        </w:rPr>
      </w:pPr>
      <w:r w:rsidRPr="00DE7B19">
        <w:rPr>
          <w:rFonts w:ascii="Geomanist Light" w:hAnsi="Geomanist Light" w:cs="Arial"/>
          <w:color w:val="000000" w:themeColor="text1"/>
          <w:sz w:val="21"/>
          <w:szCs w:val="21"/>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14:paraId="5183FEFB" w14:textId="77777777" w:rsidR="00190E0D" w:rsidRPr="00DE7B19" w:rsidRDefault="00190E0D" w:rsidP="00190E0D">
      <w:pPr>
        <w:spacing w:after="0"/>
        <w:ind w:left="709" w:right="709"/>
        <w:rPr>
          <w:rFonts w:ascii="Geomanist Light" w:hAnsi="Geomanist Light" w:cs="Arial"/>
          <w:b/>
          <w:bCs/>
          <w:color w:val="000000" w:themeColor="text1"/>
          <w:sz w:val="21"/>
          <w:szCs w:val="21"/>
        </w:rPr>
      </w:pPr>
    </w:p>
    <w:p w14:paraId="6F5D9F0A" w14:textId="09F9F25B" w:rsidR="00190E0D" w:rsidRPr="00DE7B19" w:rsidRDefault="00190E0D" w:rsidP="00123D29">
      <w:pPr>
        <w:ind w:firstLine="720"/>
        <w:rPr>
          <w:rFonts w:ascii="Geomanist Light" w:hAnsi="Geomanist Light" w:cs="Arial"/>
          <w:color w:val="000000" w:themeColor="text1"/>
        </w:rPr>
      </w:pPr>
      <w:r w:rsidRPr="00DE7B19">
        <w:rPr>
          <w:rFonts w:ascii="Geomanist Light" w:hAnsi="Geomanist Light" w:cs="Arial"/>
          <w:color w:val="000000" w:themeColor="text1"/>
        </w:rPr>
        <w:t xml:space="preserve">Como se observa, la norma transcrita diferencia claramente dos momentos relacionados con la apertura y valoración de los distintos componentes de la oferta, los cuales están divididos, según la misma disposición, en dos sobres diferentes: por un lado, el sobre número 1 que contendrá los documentos e información relacionada con la acreditación de los requisitos habilitantes, así como los requisitos sometidos a asignación de puntaje, pero distintos a la oferta económica. El contenido de este primer sobre será valorado y evaluado mediante un informe «provisional» de evaluación que permanecerá publicado durante 5 días hábiles, término durante el cual los proponentes podrán presentar observaciones y presentar documentos e información solicitada por la entidad estatal, para que a partir de ello, esta proceda a pronunciarse sobre dichas </w:t>
      </w:r>
      <w:r w:rsidRPr="00DE7B19">
        <w:rPr>
          <w:rFonts w:ascii="Geomanist Light" w:hAnsi="Geomanist Light" w:cs="Arial"/>
          <w:color w:val="000000" w:themeColor="text1"/>
        </w:rPr>
        <w:lastRenderedPageBreak/>
        <w:t>observaciones y a publicar el informe final de evaluación de los requisitos habilitantes y los requisitos objeto de puntuación distintos a la oferta económica.</w:t>
      </w:r>
    </w:p>
    <w:p w14:paraId="38DB16C7" w14:textId="471995ED" w:rsidR="00CC50CC" w:rsidRPr="00DE7B19" w:rsidRDefault="00123D29" w:rsidP="00190E0D">
      <w:pPr>
        <w:ind w:firstLine="720"/>
        <w:rPr>
          <w:rFonts w:ascii="Geomanist Light" w:hAnsi="Geomanist Light" w:cs="Arial"/>
          <w:color w:val="000000" w:themeColor="text1"/>
        </w:rPr>
      </w:pPr>
      <w:r w:rsidRPr="00DE7B19">
        <w:rPr>
          <w:rFonts w:ascii="Geomanist Light" w:hAnsi="Geomanist Light" w:cs="Arial"/>
          <w:color w:val="000000" w:themeColor="text1"/>
        </w:rPr>
        <w:t>En cuanto</w:t>
      </w:r>
      <w:r w:rsidR="00190E0D" w:rsidRPr="00DE7B19">
        <w:rPr>
          <w:rFonts w:ascii="Geomanist Light" w:hAnsi="Geomanist Light" w:cs="Arial"/>
          <w:color w:val="000000" w:themeColor="text1"/>
        </w:rPr>
        <w:t xml:space="preserve"> al Sobre No. 2, de conformidad con lo establecido en la disposición comentada, deberá permanecer cerrado hasta tanto se realice la audiencia pública de adjudicación. En el curso de dicha audiencia, se procederán a abrir los sobres con las ofertas económicas, y se evaluarán en la misma siguiendo el mecanismo escogido a través del método aleatorio establecido en el respectivo pliego de condiciones.</w:t>
      </w:r>
      <w:r w:rsidR="00CC50CC" w:rsidRPr="00DE7B19">
        <w:rPr>
          <w:rFonts w:ascii="Geomanist Light" w:hAnsi="Geomanist Light" w:cs="Arial"/>
          <w:color w:val="000000" w:themeColor="text1"/>
        </w:rPr>
        <w:t xml:space="preserve"> </w:t>
      </w:r>
    </w:p>
    <w:p w14:paraId="75AB2F0D" w14:textId="3B9974E6" w:rsidR="00190E0D" w:rsidRPr="00DE7B19" w:rsidRDefault="00CC50CC" w:rsidP="00DE42C7">
      <w:pPr>
        <w:spacing w:after="0"/>
        <w:ind w:firstLine="720"/>
        <w:rPr>
          <w:rFonts w:ascii="Geomanist Light" w:hAnsi="Geomanist Light" w:cs="Arial"/>
          <w:color w:val="000000" w:themeColor="text1"/>
        </w:rPr>
      </w:pPr>
      <w:r w:rsidRPr="00DE7B19">
        <w:rPr>
          <w:rFonts w:ascii="Geomanist Light" w:hAnsi="Geomanist Light" w:cs="Arial"/>
          <w:color w:val="000000" w:themeColor="text1"/>
        </w:rPr>
        <w:t xml:space="preserve">En ese sentido, resulta claro que, en los procesos de licitación para la selección de contratistas de obra pública, el Sobre No. 2, contentivo </w:t>
      </w:r>
      <w:r w:rsidR="003C05D0" w:rsidRPr="00DE7B19">
        <w:rPr>
          <w:rFonts w:ascii="Geomanist Light" w:hAnsi="Geomanist Light" w:cs="Arial"/>
          <w:color w:val="000000" w:themeColor="text1"/>
        </w:rPr>
        <w:t>de la oferta económica debe permanecer cerrado</w:t>
      </w:r>
      <w:r w:rsidR="002F17F8" w:rsidRPr="00DE7B19">
        <w:rPr>
          <w:rFonts w:ascii="Geomanist Light" w:hAnsi="Geomanist Light" w:cs="Arial"/>
          <w:color w:val="000000" w:themeColor="text1"/>
        </w:rPr>
        <w:t xml:space="preserve"> hasta la audiencia de adjudicación</w:t>
      </w:r>
      <w:r w:rsidR="00BB7FC4" w:rsidRPr="00DE7B19">
        <w:rPr>
          <w:rFonts w:ascii="Geomanist Light" w:hAnsi="Geomanist Light" w:cs="Arial"/>
          <w:color w:val="000000" w:themeColor="text1"/>
        </w:rPr>
        <w:t xml:space="preserve">. Esto además supone que la información </w:t>
      </w:r>
      <w:r w:rsidR="002F536F" w:rsidRPr="00DE7B19">
        <w:rPr>
          <w:rFonts w:ascii="Geomanist Light" w:hAnsi="Geomanist Light" w:cs="Arial"/>
          <w:color w:val="000000" w:themeColor="text1"/>
        </w:rPr>
        <w:t xml:space="preserve">que determina el valor </w:t>
      </w:r>
      <w:r w:rsidR="00882E98" w:rsidRPr="00DE7B19">
        <w:rPr>
          <w:rFonts w:ascii="Geomanist Light" w:hAnsi="Geomanist Light" w:cs="Arial"/>
          <w:color w:val="000000" w:themeColor="text1"/>
        </w:rPr>
        <w:t xml:space="preserve">ofertado por los proponentes solo </w:t>
      </w:r>
      <w:r w:rsidR="00A112E3" w:rsidRPr="00DE7B19">
        <w:rPr>
          <w:rFonts w:ascii="Geomanist Light" w:hAnsi="Geomanist Light" w:cs="Arial"/>
          <w:color w:val="000000" w:themeColor="text1"/>
        </w:rPr>
        <w:t>puede</w:t>
      </w:r>
      <w:r w:rsidR="00882E98" w:rsidRPr="00DE7B19">
        <w:rPr>
          <w:rFonts w:ascii="Geomanist Light" w:hAnsi="Geomanist Light" w:cs="Arial"/>
          <w:color w:val="000000" w:themeColor="text1"/>
        </w:rPr>
        <w:t xml:space="preserve"> ser revelada </w:t>
      </w:r>
      <w:r w:rsidR="00A112E3" w:rsidRPr="00DE7B19">
        <w:rPr>
          <w:rFonts w:ascii="Geomanist Light" w:hAnsi="Geomanist Light" w:cs="Arial"/>
          <w:color w:val="000000" w:themeColor="text1"/>
        </w:rPr>
        <w:t xml:space="preserve">tras la apertura del Sobre No. 2. </w:t>
      </w:r>
      <w:r w:rsidR="00882E98" w:rsidRPr="00DE7B19">
        <w:rPr>
          <w:rFonts w:ascii="Geomanist Light" w:hAnsi="Geomanist Light" w:cs="Arial"/>
          <w:color w:val="000000" w:themeColor="text1"/>
        </w:rPr>
        <w:t xml:space="preserve"> </w:t>
      </w:r>
    </w:p>
    <w:p w14:paraId="5285C32C" w14:textId="77777777" w:rsidR="00634AD3" w:rsidRPr="00DE7B19" w:rsidRDefault="00634AD3" w:rsidP="00DE42C7">
      <w:pPr>
        <w:spacing w:after="0" w:line="240" w:lineRule="auto"/>
        <w:ind w:firstLine="0"/>
        <w:rPr>
          <w:rFonts w:ascii="Geomanist Light" w:hAnsi="Geomanist Light" w:cs="Arial"/>
          <w:b/>
          <w:bCs/>
          <w:color w:val="000000" w:themeColor="text1"/>
        </w:rPr>
      </w:pPr>
    </w:p>
    <w:p w14:paraId="38499035" w14:textId="14F9E9A9" w:rsidR="00C66990" w:rsidRPr="00DE7B19" w:rsidRDefault="00634AD3" w:rsidP="00DE42C7">
      <w:pPr>
        <w:spacing w:after="0"/>
        <w:ind w:firstLine="0"/>
        <w:rPr>
          <w:rFonts w:ascii="Geomanist Light" w:hAnsi="Geomanist Light" w:cs="Arial"/>
          <w:b/>
          <w:bCs/>
          <w:color w:val="000000" w:themeColor="text1"/>
        </w:rPr>
      </w:pPr>
      <w:r w:rsidRPr="00DE7B19">
        <w:rPr>
          <w:rFonts w:ascii="Geomanist Light" w:hAnsi="Geomanist Light" w:cs="Arial"/>
          <w:b/>
          <w:bCs/>
          <w:color w:val="000000" w:themeColor="text1"/>
        </w:rPr>
        <w:t xml:space="preserve">2.3. El sistema de precios unitarios como mecanismo para la fijación del precio en los contratos de obra pública </w:t>
      </w:r>
    </w:p>
    <w:p w14:paraId="1F9D9170" w14:textId="77777777" w:rsidR="00634AD3" w:rsidRPr="00DE7B19" w:rsidRDefault="00634AD3" w:rsidP="00DE42C7">
      <w:pPr>
        <w:spacing w:after="0"/>
        <w:ind w:firstLine="0"/>
        <w:rPr>
          <w:rFonts w:ascii="Geomanist Light" w:hAnsi="Geomanist Light" w:cs="Arial"/>
          <w:bCs/>
          <w:lang w:val="es-ES_tradnl"/>
        </w:rPr>
      </w:pPr>
    </w:p>
    <w:p w14:paraId="4D10798E" w14:textId="5C5763D4" w:rsidR="008E084F" w:rsidRPr="00DE7B19" w:rsidRDefault="00634AD3" w:rsidP="00DE42C7">
      <w:pPr>
        <w:ind w:firstLine="0"/>
        <w:rPr>
          <w:rFonts w:ascii="Geomanist Light" w:hAnsi="Geomanist Light" w:cs="Arial"/>
          <w:bCs/>
          <w:lang w:val="es-ES_tradnl"/>
        </w:rPr>
      </w:pPr>
      <w:r w:rsidRPr="00DE7B19">
        <w:rPr>
          <w:rFonts w:ascii="Geomanist Light" w:hAnsi="Geomanist Light" w:cs="Arial"/>
          <w:bCs/>
          <w:lang w:val="es-ES_tradnl"/>
        </w:rPr>
        <w:t>C</w:t>
      </w:r>
      <w:r w:rsidR="008E084F" w:rsidRPr="00DE7B19">
        <w:rPr>
          <w:rFonts w:ascii="Geomanist Light" w:hAnsi="Geomanist Light" w:cs="Arial"/>
          <w:bCs/>
          <w:lang w:val="es-ES_tradnl"/>
        </w:rPr>
        <w:t>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0C141FB8" w14:textId="77777777" w:rsidR="008E084F" w:rsidRPr="00DE7B19" w:rsidRDefault="008E084F" w:rsidP="008E084F">
      <w:pPr>
        <w:spacing w:before="120"/>
        <w:rPr>
          <w:rFonts w:ascii="Geomanist Light" w:hAnsi="Geomanist Light" w:cs="Arial"/>
          <w:bCs/>
          <w:lang w:val="es-ES_tradnl"/>
        </w:rPr>
      </w:pPr>
      <w:r w:rsidRPr="00DE7B19">
        <w:rPr>
          <w:rFonts w:ascii="Geomanist Light" w:hAnsi="Geomanist Light" w:cs="Arial"/>
          <w:bCs/>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DE7B19">
        <w:rPr>
          <w:rStyle w:val="Refdenotaalpie"/>
          <w:rFonts w:ascii="Geomanist Light" w:hAnsi="Geomanist Light" w:cs="Arial"/>
          <w:bCs/>
          <w:lang w:val="es-ES_tradnl"/>
        </w:rPr>
        <w:footnoteReference w:id="6"/>
      </w:r>
      <w:r w:rsidRPr="00DE7B19">
        <w:rPr>
          <w:rFonts w:ascii="Geomanist Light" w:hAnsi="Geomanist Light" w:cs="Arial"/>
          <w:bCs/>
          <w:lang w:val="es-ES_tradnl"/>
        </w:rPr>
        <w:t xml:space="preserve">. No hay, pues, una sola metodología para pactar el precio y, en gran </w:t>
      </w:r>
      <w:r w:rsidRPr="00DE7B19">
        <w:rPr>
          <w:rFonts w:ascii="Geomanist Light" w:hAnsi="Geomanist Light" w:cs="Arial"/>
          <w:bCs/>
          <w:lang w:val="es-ES_tradnl"/>
        </w:rPr>
        <w:lastRenderedPageBreak/>
        <w:t xml:space="preserve">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DE7B19">
        <w:rPr>
          <w:rFonts w:ascii="Geomanist Light" w:hAnsi="Geomanist Light" w:cs="Arial"/>
          <w:bCs/>
          <w:lang w:val="es-ES_tradnl"/>
        </w:rPr>
        <w:t>ii</w:t>
      </w:r>
      <w:proofErr w:type="spellEnd"/>
      <w:r w:rsidRPr="00DE7B19">
        <w:rPr>
          <w:rFonts w:ascii="Geomanist Light" w:hAnsi="Geomanist Light" w:cs="Arial"/>
          <w:bCs/>
          <w:lang w:val="es-ES_tradnl"/>
        </w:rPr>
        <w:t xml:space="preserve">) el precio global –que equivale al monto total, sin discriminar unidades–, y </w:t>
      </w:r>
      <w:proofErr w:type="spellStart"/>
      <w:r w:rsidRPr="00DE7B19">
        <w:rPr>
          <w:rFonts w:ascii="Geomanist Light" w:hAnsi="Geomanist Light" w:cs="Arial"/>
          <w:bCs/>
          <w:lang w:val="es-ES_tradnl"/>
        </w:rPr>
        <w:t>iii</w:t>
      </w:r>
      <w:proofErr w:type="spellEnd"/>
      <w:r w:rsidRPr="00DE7B19">
        <w:rPr>
          <w:rFonts w:ascii="Geomanist Light" w:hAnsi="Geomanist Light" w:cs="Arial"/>
          <w:bCs/>
          <w:lang w:val="es-ES_tradnl"/>
        </w:rPr>
        <w:t>) la administración delegada de recursos –en la que se distinguen los costos de inversión de los honorarios del administrador–.</w:t>
      </w:r>
    </w:p>
    <w:p w14:paraId="7B11953B" w14:textId="77777777" w:rsidR="008E084F" w:rsidRPr="00DE7B19" w:rsidRDefault="008E084F" w:rsidP="008E084F">
      <w:pPr>
        <w:rPr>
          <w:rFonts w:ascii="Geomanist Light" w:hAnsi="Geomanist Light" w:cs="Arial"/>
          <w:bCs/>
          <w:lang w:val="es-ES_tradnl"/>
        </w:rPr>
      </w:pPr>
      <w:r w:rsidRPr="00DE7B19">
        <w:rPr>
          <w:rFonts w:ascii="Geomanist Light" w:hAnsi="Geomanist Light" w:cs="Arial"/>
          <w:bCs/>
          <w:lang w:val="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DE7B19">
        <w:rPr>
          <w:rFonts w:ascii="Geomanist Light" w:hAnsi="Geomanist Light" w:cs="Arial"/>
          <w:bCs/>
          <w:i/>
          <w:iCs/>
          <w:lang w:val="es-ES_tradnl"/>
        </w:rPr>
        <w:t>ítems</w:t>
      </w:r>
      <w:r w:rsidRPr="00DE7B19">
        <w:rPr>
          <w:rFonts w:ascii="Geomanist Light" w:hAnsi="Geomanist Light" w:cs="Arial"/>
          <w:bCs/>
          <w:lang w:val="es-ES_tradnl"/>
        </w:rPr>
        <w:t xml:space="preserve"> según su unidad de medida, los costos indirectos se suelen abreviar en las variables que integran el acrónimo AIU –Administración, Imprevistos y Utilidad–, que se calcula como un porcentaje aplicado a los costos indirectos. </w:t>
      </w:r>
    </w:p>
    <w:p w14:paraId="0E824EA2" w14:textId="77777777" w:rsidR="00725BB6" w:rsidRPr="00DE7B19" w:rsidRDefault="00725BB6" w:rsidP="00DE42C7">
      <w:pPr>
        <w:spacing w:before="120" w:after="0"/>
        <w:rPr>
          <w:rFonts w:ascii="Geomanist Light" w:hAnsi="Geomanist Light" w:cs="Arial"/>
          <w:lang w:val="es-ES_tradnl"/>
        </w:rPr>
      </w:pPr>
      <w:r w:rsidRPr="00DE7B19">
        <w:rPr>
          <w:rFonts w:ascii="Geomanist Light" w:hAnsi="Geomanist Light" w:cs="Arial"/>
          <w:lang w:val="es-ES_tradnl"/>
        </w:rPr>
        <w:t xml:space="preserve">De acuerdo con la Sección Tercera del Consejo de Estado, el AIU, concepto de común utilización en los contratos de tracto sucesivo –entre ellos, los contratos de obra– no cuenta con una definición normativa, pero hay elementos que permiten precisar su alcance, así: </w:t>
      </w:r>
    </w:p>
    <w:p w14:paraId="380F5DF7" w14:textId="77777777" w:rsidR="00725BB6" w:rsidRPr="00DE7B19" w:rsidRDefault="00725BB6" w:rsidP="00DE42C7">
      <w:pPr>
        <w:spacing w:after="0"/>
        <w:ind w:left="709"/>
        <w:rPr>
          <w:rFonts w:ascii="Geomanist Light" w:hAnsi="Geomanist Light" w:cs="Arial"/>
          <w:lang w:val="es-ES_tradnl"/>
        </w:rPr>
      </w:pPr>
    </w:p>
    <w:p w14:paraId="4094AC27" w14:textId="77777777" w:rsidR="00725BB6" w:rsidRPr="00DE7B19" w:rsidRDefault="00725BB6" w:rsidP="00DE42C7">
      <w:pPr>
        <w:spacing w:line="240" w:lineRule="auto"/>
        <w:ind w:right="709"/>
        <w:rPr>
          <w:rFonts w:ascii="Geomanist Light" w:hAnsi="Geomanist Light" w:cs="Arial"/>
          <w:sz w:val="21"/>
          <w:szCs w:val="21"/>
          <w:lang w:val="es-ES_tradnl"/>
        </w:rPr>
      </w:pPr>
      <w:r w:rsidRPr="00DE7B19">
        <w:rPr>
          <w:rFonts w:ascii="Geomanist Light" w:hAnsi="Geomanist Light" w:cs="Arial"/>
          <w:sz w:val="21"/>
          <w:szCs w:val="21"/>
          <w:lang w:val="es-ES_tradnl"/>
        </w:rPr>
        <w:lastRenderedPageBreak/>
        <w:t xml:space="preserve">[…] el AIU propuesto para el contrato, corresponde a: </w:t>
      </w:r>
    </w:p>
    <w:p w14:paraId="01EF806E" w14:textId="77777777" w:rsidR="00725BB6" w:rsidRPr="00DE7B19" w:rsidRDefault="00725BB6" w:rsidP="00DE42C7">
      <w:pPr>
        <w:spacing w:line="240" w:lineRule="auto"/>
        <w:ind w:left="709" w:right="709" w:firstLine="0"/>
        <w:rPr>
          <w:rFonts w:ascii="Geomanist Light" w:hAnsi="Geomanist Light" w:cs="Arial"/>
          <w:sz w:val="21"/>
          <w:szCs w:val="21"/>
          <w:lang w:val="es-ES_tradnl"/>
        </w:rPr>
      </w:pPr>
      <w:r w:rsidRPr="00DE7B19">
        <w:rPr>
          <w:rFonts w:ascii="Geomanist Light" w:hAnsi="Geomanist Light" w:cs="Arial"/>
          <w:sz w:val="21"/>
          <w:szCs w:val="21"/>
          <w:lang w:val="es-ES_tradnl"/>
        </w:rPr>
        <w:t xml:space="preserve">i) los costos de administración o costos indirectos para la operación del contrato, tales como los gastos de disponibilidad de la organización del contratista, esto es: A; </w:t>
      </w:r>
    </w:p>
    <w:p w14:paraId="201D8EC9" w14:textId="77777777" w:rsidR="00725BB6" w:rsidRPr="00DE7B19" w:rsidRDefault="00725BB6" w:rsidP="00DE42C7">
      <w:pPr>
        <w:spacing w:line="240" w:lineRule="auto"/>
        <w:ind w:left="709" w:right="709" w:firstLine="0"/>
        <w:rPr>
          <w:rFonts w:ascii="Geomanist Light" w:hAnsi="Geomanist Light" w:cs="Arial"/>
          <w:sz w:val="21"/>
          <w:szCs w:val="21"/>
          <w:lang w:val="es-ES_tradnl"/>
        </w:rPr>
      </w:pPr>
      <w:proofErr w:type="spellStart"/>
      <w:r w:rsidRPr="00DE7B19">
        <w:rPr>
          <w:rFonts w:ascii="Geomanist Light" w:hAnsi="Geomanist Light" w:cs="Arial"/>
          <w:sz w:val="21"/>
          <w:szCs w:val="21"/>
          <w:lang w:val="es-ES_tradnl"/>
        </w:rPr>
        <w:t>ii</w:t>
      </w:r>
      <w:proofErr w:type="spellEnd"/>
      <w:r w:rsidRPr="00DE7B19">
        <w:rPr>
          <w:rFonts w:ascii="Geomanist Light" w:hAnsi="Geomanist Light" w:cs="Arial"/>
          <w:sz w:val="21"/>
          <w:szCs w:val="21"/>
          <w:lang w:val="es-ES_tradnl"/>
        </w:rPr>
        <w:t xml:space="preserve">) los imprevistos, que es el porcentaje destinado a cubrir los gastos con los que no se contaba y que se presenten durante la ejecución del contrato, esto es, el </w:t>
      </w:r>
      <w:proofErr w:type="spellStart"/>
      <w:r w:rsidRPr="00DE7B19">
        <w:rPr>
          <w:rFonts w:ascii="Geomanist Light" w:hAnsi="Geomanist Light" w:cs="Arial"/>
          <w:sz w:val="21"/>
          <w:szCs w:val="21"/>
          <w:lang w:val="es-ES_tradnl"/>
        </w:rPr>
        <w:t>álea</w:t>
      </w:r>
      <w:proofErr w:type="spellEnd"/>
      <w:r w:rsidRPr="00DE7B19">
        <w:rPr>
          <w:rFonts w:ascii="Geomanist Light" w:hAnsi="Geomanist Light" w:cs="Arial"/>
          <w:sz w:val="21"/>
          <w:szCs w:val="21"/>
          <w:lang w:val="es-ES_tradnl"/>
        </w:rPr>
        <w:t xml:space="preserve"> normal del contrato: I; </w:t>
      </w:r>
    </w:p>
    <w:p w14:paraId="54512EDA" w14:textId="77777777" w:rsidR="00725BB6" w:rsidRPr="00DE7B19" w:rsidRDefault="00725BB6" w:rsidP="00DE42C7">
      <w:pPr>
        <w:spacing w:line="240" w:lineRule="auto"/>
        <w:ind w:left="709" w:right="709" w:firstLine="0"/>
        <w:rPr>
          <w:rFonts w:ascii="Geomanist Light" w:hAnsi="Geomanist Light" w:cs="Arial"/>
          <w:sz w:val="21"/>
          <w:szCs w:val="21"/>
          <w:lang w:val="es-ES_tradnl"/>
        </w:rPr>
      </w:pPr>
      <w:proofErr w:type="spellStart"/>
      <w:r w:rsidRPr="00DE7B19">
        <w:rPr>
          <w:rFonts w:ascii="Geomanist Light" w:hAnsi="Geomanist Light" w:cs="Arial"/>
          <w:sz w:val="21"/>
          <w:szCs w:val="21"/>
          <w:lang w:val="es-ES_tradnl"/>
        </w:rPr>
        <w:t>iii</w:t>
      </w:r>
      <w:proofErr w:type="spellEnd"/>
      <w:r w:rsidRPr="00DE7B19">
        <w:rPr>
          <w:rFonts w:ascii="Geomanist Light" w:hAnsi="Geomanist Light" w:cs="Arial"/>
          <w:sz w:val="21"/>
          <w:szCs w:val="21"/>
          <w:lang w:val="es-ES_tradnl"/>
        </w:rPr>
        <w:t xml:space="preserve">) la utilidad o el beneficio económico que pretende percibir el contratista por la ejecución del contrato, esto es: U. </w:t>
      </w:r>
    </w:p>
    <w:p w14:paraId="278B2EC4" w14:textId="40A95F4A" w:rsidR="00725BB6" w:rsidRPr="00DE7B19" w:rsidRDefault="00725BB6" w:rsidP="00725BB6">
      <w:pPr>
        <w:spacing w:after="0" w:line="240" w:lineRule="auto"/>
        <w:ind w:left="709" w:right="709" w:firstLine="0"/>
        <w:rPr>
          <w:rFonts w:ascii="Geomanist Light" w:hAnsi="Geomanist Light" w:cs="Arial"/>
          <w:sz w:val="21"/>
          <w:szCs w:val="21"/>
          <w:lang w:val="es-ES_tradnl"/>
        </w:rPr>
      </w:pPr>
      <w:r w:rsidRPr="00DE7B19">
        <w:rPr>
          <w:rFonts w:ascii="Geomanist Light" w:hAnsi="Geomanist Light"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DE7B19">
        <w:rPr>
          <w:rStyle w:val="Refdenotaalpie"/>
          <w:rFonts w:ascii="Geomanist Light" w:hAnsi="Geomanist Light" w:cs="Arial"/>
          <w:sz w:val="21"/>
          <w:szCs w:val="21"/>
          <w:lang w:val="es-ES_tradnl"/>
        </w:rPr>
        <w:footnoteReference w:id="7"/>
      </w:r>
      <w:r w:rsidRPr="00DE7B19">
        <w:rPr>
          <w:rFonts w:ascii="Geomanist Light" w:hAnsi="Geomanist Light" w:cs="Arial"/>
          <w:sz w:val="21"/>
          <w:szCs w:val="21"/>
          <w:lang w:val="es-ES_tradnl"/>
        </w:rPr>
        <w:t>.</w:t>
      </w:r>
    </w:p>
    <w:p w14:paraId="4DD8E3E9" w14:textId="77777777" w:rsidR="00725BB6" w:rsidRPr="00DE7B19" w:rsidRDefault="00725BB6" w:rsidP="00DE42C7">
      <w:pPr>
        <w:spacing w:after="0" w:line="240" w:lineRule="auto"/>
        <w:ind w:left="709" w:right="709" w:firstLine="0"/>
        <w:rPr>
          <w:rFonts w:ascii="Geomanist Light" w:hAnsi="Geomanist Light" w:cs="Arial"/>
          <w:lang w:val="es-ES_tradnl"/>
        </w:rPr>
      </w:pPr>
    </w:p>
    <w:p w14:paraId="218DEFB8" w14:textId="77777777" w:rsidR="00725BB6" w:rsidRPr="00DE7B19" w:rsidRDefault="00725BB6" w:rsidP="00725BB6">
      <w:pPr>
        <w:rPr>
          <w:rFonts w:ascii="Geomanist Light" w:hAnsi="Geomanist Light" w:cs="Arial"/>
          <w:lang w:val="es-ES_tradnl"/>
        </w:rPr>
      </w:pPr>
      <w:r w:rsidRPr="00DE7B19">
        <w:rPr>
          <w:rFonts w:ascii="Geomanist Light" w:hAnsi="Geomanist Light" w:cs="Arial"/>
          <w:lang w:val="es-ES_tradnl"/>
        </w:rPr>
        <w:t>Por su parte, la Sala de Consulta y Servicio Civil del Consejo de Estado sostuvo en concepto del 5 de septiembre de 2018</w:t>
      </w:r>
      <w:r w:rsidRPr="00DE7B19">
        <w:rPr>
          <w:rStyle w:val="Refdenotaalpie"/>
          <w:rFonts w:ascii="Geomanist Light" w:hAnsi="Geomanist Light" w:cs="Arial"/>
          <w:lang w:val="es-ES_tradnl"/>
        </w:rPr>
        <w:footnoteReference w:id="8"/>
      </w:r>
      <w:r w:rsidRPr="00DE7B19">
        <w:rPr>
          <w:rFonts w:ascii="Geomanist Light" w:hAnsi="Geomanist Light" w:cs="Arial"/>
          <w:lang w:val="es-ES_tradnl"/>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DE7B19">
        <w:rPr>
          <w:rFonts w:ascii="Geomanist Light" w:hAnsi="Geomanist Light" w:cs="Arial"/>
          <w:lang w:val="es-ES_tradnl"/>
        </w:rPr>
        <w:t>la misma</w:t>
      </w:r>
      <w:proofErr w:type="gramEnd"/>
      <w:r w:rsidRPr="00DE7B19">
        <w:rPr>
          <w:rStyle w:val="Refdenotaalpie"/>
          <w:rFonts w:ascii="Geomanist Light" w:hAnsi="Geomanist Light" w:cs="Arial"/>
          <w:lang w:val="es-ES_tradnl"/>
        </w:rPr>
        <w:footnoteReference w:id="9"/>
      </w:r>
      <w:r w:rsidRPr="00DE7B19">
        <w:rPr>
          <w:rFonts w:ascii="Geomanist Light" w:hAnsi="Geomanist Light" w:cs="Arial"/>
          <w:lang w:val="es-ES_tradnl"/>
        </w:rPr>
        <w:t>, sin perjuicio que en otros contratos este valor no aparezca discriminado y se incorpore en el valor de los precios unitarios»</w:t>
      </w:r>
      <w:r w:rsidRPr="00DE7B19">
        <w:rPr>
          <w:rStyle w:val="Refdenotaalpie"/>
          <w:rFonts w:ascii="Geomanist Light" w:hAnsi="Geomanist Light" w:cs="Arial"/>
          <w:lang w:val="es-ES_tradnl"/>
        </w:rPr>
        <w:footnoteReference w:id="10"/>
      </w:r>
      <w:r w:rsidRPr="00DE7B19">
        <w:rPr>
          <w:rFonts w:ascii="Geomanist Light" w:hAnsi="Geomanist Light" w:cs="Arial"/>
          <w:lang w:val="es-ES_tradnl"/>
        </w:rPr>
        <w:t xml:space="preserve">. </w:t>
      </w:r>
    </w:p>
    <w:p w14:paraId="5D322981" w14:textId="77777777" w:rsidR="00725BB6" w:rsidRPr="00DE7B19" w:rsidRDefault="00725BB6" w:rsidP="00725BB6">
      <w:pPr>
        <w:spacing w:before="120"/>
        <w:rPr>
          <w:rFonts w:ascii="Geomanist Light" w:hAnsi="Geomanist Light" w:cs="Arial"/>
          <w:bCs/>
          <w:lang w:val="es-ES_tradnl"/>
        </w:rPr>
      </w:pPr>
      <w:r w:rsidRPr="00DE7B19">
        <w:rPr>
          <w:rFonts w:ascii="Geomanist Light" w:hAnsi="Geomanist Light" w:cs="Arial"/>
          <w:bCs/>
          <w:lang w:val="es-ES_tradnl"/>
        </w:rPr>
        <w:lastRenderedPageBreak/>
        <w:t>Así,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DE7B19">
        <w:rPr>
          <w:rStyle w:val="Refdenotaalpie"/>
          <w:rFonts w:ascii="Geomanist Light" w:hAnsi="Geomanist Light" w:cs="Arial"/>
          <w:lang w:val="es-ES_tradnl"/>
        </w:rPr>
        <w:footnoteReference w:id="11"/>
      </w:r>
      <w:r w:rsidRPr="00DE7B19">
        <w:rPr>
          <w:rFonts w:ascii="Geomanist Light" w:hAnsi="Geomanist Light" w:cs="Arial"/>
          <w:bCs/>
          <w:lang w:val="es-ES_tradnl"/>
        </w:rPr>
        <w:t xml:space="preserve">. De otro lado, quien define el valor de cada </w:t>
      </w:r>
      <w:r w:rsidRPr="00DE7B19">
        <w:rPr>
          <w:rFonts w:ascii="Geomanist Light" w:hAnsi="Geomanist Light" w:cs="Arial"/>
          <w:bCs/>
          <w:i/>
          <w:iCs/>
          <w:lang w:val="es-ES_tradnl"/>
        </w:rPr>
        <w:t>letra</w:t>
      </w:r>
      <w:r w:rsidRPr="00DE7B19">
        <w:rPr>
          <w:rFonts w:ascii="Geomanist Light" w:hAnsi="Geomanist Light" w:cs="Arial"/>
          <w:bCs/>
          <w:lang w:val="es-ES_tradnl"/>
        </w:rPr>
        <w:t xml:space="preserve"> –AIU– es el proponente, pues goza de libertad empresarial para hacerlo en la elaboración de su oferta</w:t>
      </w:r>
      <w:r w:rsidRPr="00DE7B19">
        <w:rPr>
          <w:rStyle w:val="Refdenotaalpie"/>
          <w:rFonts w:ascii="Geomanist Light" w:hAnsi="Geomanist Light" w:cs="Arial"/>
          <w:lang w:val="es-ES_tradnl"/>
        </w:rPr>
        <w:footnoteReference w:id="12"/>
      </w:r>
      <w:r w:rsidRPr="00DE7B19">
        <w:rPr>
          <w:rFonts w:ascii="Geomanist Light" w:hAnsi="Geomanist Light" w:cs="Arial"/>
          <w:bCs/>
          <w:lang w:val="es-ES_tradnl"/>
        </w:rPr>
        <w:t>.</w:t>
      </w:r>
    </w:p>
    <w:p w14:paraId="686F1486" w14:textId="77777777" w:rsidR="00725BB6" w:rsidRPr="00DE7B19" w:rsidRDefault="00725BB6" w:rsidP="00725BB6">
      <w:pPr>
        <w:spacing w:before="120"/>
        <w:rPr>
          <w:rFonts w:ascii="Geomanist Light" w:hAnsi="Geomanist Light" w:cs="Arial"/>
          <w:bCs/>
          <w:lang w:val="es-ES_tradnl"/>
        </w:rPr>
      </w:pPr>
      <w:r w:rsidRPr="00DE7B19">
        <w:rPr>
          <w:rFonts w:ascii="Geomanist Light" w:hAnsi="Geomanist Light" w:cs="Arial"/>
          <w:bCs/>
          <w:lang w:val="es-ES_tradnl"/>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w:t>
      </w:r>
    </w:p>
    <w:p w14:paraId="087350A5" w14:textId="77777777" w:rsidR="00725BB6" w:rsidRPr="00DE7B19" w:rsidRDefault="00725BB6" w:rsidP="00A84F11">
      <w:pPr>
        <w:spacing w:before="120"/>
        <w:rPr>
          <w:rFonts w:ascii="Geomanist Light" w:hAnsi="Geomanist Light" w:cs="Arial"/>
          <w:bCs/>
          <w:lang w:val="es-ES_tradnl"/>
        </w:rPr>
      </w:pPr>
      <w:r w:rsidRPr="00DE7B19">
        <w:rPr>
          <w:rFonts w:ascii="Geomanist Light" w:hAnsi="Geomanist Light" w:cs="Arial"/>
          <w:bCs/>
          <w:lang w:val="es-ES_tradnl"/>
        </w:rPr>
        <w:t>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14:paraId="56F24727" w14:textId="5741A387" w:rsidR="008E084F" w:rsidRPr="00DE7B19" w:rsidRDefault="00725BB6" w:rsidP="00A84F11">
      <w:pPr>
        <w:spacing w:before="120" w:after="160"/>
        <w:rPr>
          <w:rFonts w:ascii="Geomanist Light" w:hAnsi="Geomanist Light" w:cs="Arial"/>
          <w:color w:val="000000" w:themeColor="text1"/>
        </w:rPr>
      </w:pPr>
      <w:r w:rsidRPr="00DE7B19">
        <w:rPr>
          <w:rFonts w:ascii="Geomanist Light" w:hAnsi="Geomanist Light" w:cs="Arial"/>
          <w:bCs/>
          <w:lang w:val="es-ES_tradnl"/>
        </w:rPr>
        <w:t>Partiendo de las consideraciones anteriores, usualmente en los contratos cuyo valor se estructura bajo el sistema de precios unitarios y con el desglose del AIU, el precio se paga con base en el valor de los costos directos incrementados–APU– por el porcentaje del AIU, forma de pago que pueden incluir las entidades estatales en virtud de la autonomía de la voluntad a que remiten los artículos 13, 32 y 40 del Estatuto General de Contratación de la Administración Pública</w:t>
      </w:r>
      <w:r w:rsidR="003E0D0D" w:rsidRPr="00DE7B19">
        <w:rPr>
          <w:rFonts w:ascii="Geomanist Light" w:hAnsi="Geomanist Light" w:cs="Arial"/>
          <w:bCs/>
          <w:lang w:val="es-ES_tradnl"/>
        </w:rPr>
        <w:t>.</w:t>
      </w:r>
    </w:p>
    <w:p w14:paraId="24C13A57" w14:textId="6FCDA755" w:rsidR="008E084F" w:rsidRPr="00DE7B19" w:rsidRDefault="00BF194C" w:rsidP="00A84F11">
      <w:pPr>
        <w:spacing w:before="120" w:after="160"/>
        <w:rPr>
          <w:rFonts w:ascii="Geomanist Light" w:hAnsi="Geomanist Light" w:cs="Arial"/>
          <w:color w:val="000000" w:themeColor="text1"/>
        </w:rPr>
      </w:pPr>
      <w:r w:rsidRPr="00DE7B19">
        <w:rPr>
          <w:rFonts w:ascii="Geomanist Light" w:hAnsi="Geomanist Light" w:cs="Arial"/>
          <w:color w:val="000000" w:themeColor="text1"/>
        </w:rPr>
        <w:lastRenderedPageBreak/>
        <w:t>De acuerdo con lo anterior, en principio, en los con</w:t>
      </w:r>
      <w:r w:rsidR="00072B53" w:rsidRPr="00DE7B19">
        <w:rPr>
          <w:rFonts w:ascii="Geomanist Light" w:hAnsi="Geomanist Light" w:cs="Arial"/>
          <w:color w:val="000000" w:themeColor="text1"/>
        </w:rPr>
        <w:t>tratos</w:t>
      </w:r>
      <w:r w:rsidR="00CB4202" w:rsidRPr="00DE7B19">
        <w:rPr>
          <w:rFonts w:ascii="Geomanist Light" w:hAnsi="Geomanist Light" w:cs="Arial"/>
          <w:color w:val="000000" w:themeColor="text1"/>
        </w:rPr>
        <w:t xml:space="preserve"> de obra pública</w:t>
      </w:r>
      <w:r w:rsidR="00072B53" w:rsidRPr="00DE7B19">
        <w:rPr>
          <w:rFonts w:ascii="Geomanist Light" w:hAnsi="Geomanist Light" w:cs="Arial"/>
          <w:color w:val="000000" w:themeColor="text1"/>
        </w:rPr>
        <w:t xml:space="preserve"> </w:t>
      </w:r>
      <w:r w:rsidR="00CB4202" w:rsidRPr="00DE7B19">
        <w:rPr>
          <w:rFonts w:ascii="Geomanist Light" w:hAnsi="Geomanist Light" w:cs="Arial"/>
          <w:color w:val="000000" w:themeColor="text1"/>
        </w:rPr>
        <w:t>cuya contraprestación</w:t>
      </w:r>
      <w:r w:rsidR="00072B53" w:rsidRPr="00DE7B19">
        <w:rPr>
          <w:rFonts w:ascii="Geomanist Light" w:hAnsi="Geomanist Light" w:cs="Arial"/>
          <w:color w:val="000000" w:themeColor="text1"/>
        </w:rPr>
        <w:t xml:space="preserve"> </w:t>
      </w:r>
      <w:r w:rsidR="00CB4202" w:rsidRPr="00DE7B19">
        <w:rPr>
          <w:rFonts w:ascii="Geomanist Light" w:hAnsi="Geomanist Light" w:cs="Arial"/>
          <w:color w:val="000000" w:themeColor="text1"/>
        </w:rPr>
        <w:t>se estructure a partir del sistema de precios unitarios</w:t>
      </w:r>
      <w:r w:rsidR="00142399" w:rsidRPr="00DE7B19">
        <w:rPr>
          <w:rFonts w:ascii="Geomanist Light" w:hAnsi="Geomanist Light" w:cs="Arial"/>
          <w:color w:val="000000" w:themeColor="text1"/>
        </w:rPr>
        <w:t xml:space="preserve">, el valor de la oferta económica estaría determinado por el </w:t>
      </w:r>
      <w:r w:rsidR="000A352D" w:rsidRPr="00DE7B19">
        <w:rPr>
          <w:rFonts w:ascii="Geomanist Light" w:hAnsi="Geomanist Light" w:cs="Arial"/>
          <w:color w:val="000000" w:themeColor="text1"/>
        </w:rPr>
        <w:t xml:space="preserve">valor resultante del APU, incrementado en el porcentaje de AIU. En </w:t>
      </w:r>
      <w:r w:rsidR="00F947BD" w:rsidRPr="00DE7B19">
        <w:rPr>
          <w:rFonts w:ascii="Geomanist Light" w:hAnsi="Geomanist Light" w:cs="Arial"/>
          <w:color w:val="000000" w:themeColor="text1"/>
        </w:rPr>
        <w:t>ese sentido, en los procesos de licitación pública que se desarrollen para</w:t>
      </w:r>
      <w:r w:rsidR="00371FA4" w:rsidRPr="00DE7B19">
        <w:rPr>
          <w:rFonts w:ascii="Geomanist Light" w:hAnsi="Geomanist Light" w:cs="Arial"/>
          <w:color w:val="000000" w:themeColor="text1"/>
        </w:rPr>
        <w:t xml:space="preserve"> la contratación de este tipo de objetos contractuales, la información correspondiente al APU debería ser incluida en el Sobre No. 2, en el entendido de que hace parte de la </w:t>
      </w:r>
      <w:r w:rsidR="00F52967" w:rsidRPr="00DE7B19">
        <w:rPr>
          <w:rFonts w:ascii="Geomanist Light" w:hAnsi="Geomanist Light" w:cs="Arial"/>
          <w:color w:val="000000" w:themeColor="text1"/>
        </w:rPr>
        <w:t xml:space="preserve">oferta económica del proponente, por lo que no resultaría </w:t>
      </w:r>
      <w:r w:rsidR="00804D43" w:rsidRPr="00DE7B19">
        <w:rPr>
          <w:rFonts w:ascii="Geomanist Light" w:hAnsi="Geomanist Light" w:cs="Arial"/>
          <w:color w:val="000000" w:themeColor="text1"/>
        </w:rPr>
        <w:t>ajustado con lo</w:t>
      </w:r>
      <w:r w:rsidR="007C583B" w:rsidRPr="00DE7B19">
        <w:rPr>
          <w:rFonts w:ascii="Geomanist Light" w:hAnsi="Geomanist Light" w:cs="Arial"/>
          <w:color w:val="000000" w:themeColor="text1"/>
        </w:rPr>
        <w:t xml:space="preserve"> </w:t>
      </w:r>
      <w:r w:rsidR="00804D43" w:rsidRPr="00DE7B19">
        <w:rPr>
          <w:rFonts w:ascii="Geomanist Light" w:hAnsi="Geomanist Light" w:cs="Arial"/>
          <w:color w:val="000000" w:themeColor="text1"/>
        </w:rPr>
        <w:t xml:space="preserve">dispuesto </w:t>
      </w:r>
      <w:r w:rsidR="0044319F" w:rsidRPr="00DE7B19">
        <w:rPr>
          <w:rFonts w:ascii="Geomanist Light" w:hAnsi="Geomanist Light" w:cs="Arial"/>
          <w:color w:val="000000" w:themeColor="text1"/>
        </w:rPr>
        <w:t xml:space="preserve">en el parágrafo 2 del artículo 30 de </w:t>
      </w:r>
      <w:r w:rsidR="00C73B67" w:rsidRPr="00DE7B19">
        <w:rPr>
          <w:rFonts w:ascii="Geomanist Light" w:hAnsi="Geomanist Light" w:cs="Arial"/>
          <w:color w:val="000000" w:themeColor="text1"/>
        </w:rPr>
        <w:t>la</w:t>
      </w:r>
      <w:r w:rsidR="0044319F" w:rsidRPr="00DE7B19">
        <w:rPr>
          <w:rFonts w:ascii="Geomanist Light" w:hAnsi="Geomanist Light" w:cs="Arial"/>
          <w:color w:val="000000" w:themeColor="text1"/>
        </w:rPr>
        <w:t xml:space="preserve"> Ley 80 de 1993</w:t>
      </w:r>
      <w:r w:rsidR="00C73B67" w:rsidRPr="00DE7B19">
        <w:rPr>
          <w:rFonts w:ascii="Geomanist Light" w:hAnsi="Geomanist Light" w:cs="Arial"/>
          <w:color w:val="000000" w:themeColor="text1"/>
        </w:rPr>
        <w:t>, adicionado por la Ley 1882 de 2018</w:t>
      </w:r>
      <w:r w:rsidR="00F52967" w:rsidRPr="00DE7B19">
        <w:rPr>
          <w:rFonts w:ascii="Geomanist Light" w:hAnsi="Geomanist Light" w:cs="Arial"/>
          <w:color w:val="000000" w:themeColor="text1"/>
        </w:rPr>
        <w:t xml:space="preserve"> solicitar </w:t>
      </w:r>
      <w:r w:rsidR="00C73B67" w:rsidRPr="00DE7B19">
        <w:rPr>
          <w:rFonts w:ascii="Geomanist Light" w:hAnsi="Geomanist Light" w:cs="Arial"/>
          <w:color w:val="000000" w:themeColor="text1"/>
        </w:rPr>
        <w:t>la</w:t>
      </w:r>
      <w:r w:rsidR="00F52967" w:rsidRPr="00DE7B19">
        <w:rPr>
          <w:rFonts w:ascii="Geomanist Light" w:hAnsi="Geomanist Light" w:cs="Arial"/>
          <w:color w:val="000000" w:themeColor="text1"/>
        </w:rPr>
        <w:t xml:space="preserve"> inclusión </w:t>
      </w:r>
      <w:r w:rsidR="00C73B67" w:rsidRPr="00DE7B19">
        <w:rPr>
          <w:rFonts w:ascii="Geomanist Light" w:hAnsi="Geomanist Light" w:cs="Arial"/>
          <w:color w:val="000000" w:themeColor="text1"/>
        </w:rPr>
        <w:t>d</w:t>
      </w:r>
      <w:r w:rsidR="00F52967" w:rsidRPr="00DE7B19">
        <w:rPr>
          <w:rFonts w:ascii="Geomanist Light" w:hAnsi="Geomanist Light" w:cs="Arial"/>
          <w:color w:val="000000" w:themeColor="text1"/>
        </w:rPr>
        <w:t>el</w:t>
      </w:r>
      <w:r w:rsidR="00C73B67" w:rsidRPr="00DE7B19">
        <w:rPr>
          <w:rFonts w:ascii="Geomanist Light" w:hAnsi="Geomanist Light" w:cs="Arial"/>
          <w:color w:val="000000" w:themeColor="text1"/>
        </w:rPr>
        <w:t xml:space="preserve"> APU</w:t>
      </w:r>
      <w:r w:rsidR="007C583B" w:rsidRPr="00DE7B19">
        <w:rPr>
          <w:rFonts w:ascii="Geomanist Light" w:hAnsi="Geomanist Light" w:cs="Arial"/>
          <w:color w:val="000000" w:themeColor="text1"/>
        </w:rPr>
        <w:t xml:space="preserve"> en el</w:t>
      </w:r>
      <w:r w:rsidR="00F52967" w:rsidRPr="00DE7B19">
        <w:rPr>
          <w:rFonts w:ascii="Geomanist Light" w:hAnsi="Geomanist Light" w:cs="Arial"/>
          <w:color w:val="000000" w:themeColor="text1"/>
        </w:rPr>
        <w:t xml:space="preserve"> Sobre No. 1</w:t>
      </w:r>
      <w:r w:rsidR="00A84F11" w:rsidRPr="00DE7B19">
        <w:rPr>
          <w:rFonts w:ascii="Geomanist Light" w:hAnsi="Geomanist Light" w:cs="Arial"/>
          <w:color w:val="000000" w:themeColor="text1"/>
        </w:rPr>
        <w:t xml:space="preserve"> cuando el precio del contrato se determinó mediante el sistema de precios unitarios. </w:t>
      </w:r>
      <w:r w:rsidR="007C583B" w:rsidRPr="00DE7B19">
        <w:rPr>
          <w:rFonts w:ascii="Geomanist Light" w:hAnsi="Geomanist Light" w:cs="Arial"/>
          <w:color w:val="000000" w:themeColor="text1"/>
        </w:rPr>
        <w:t xml:space="preserve"> </w:t>
      </w:r>
      <w:r w:rsidR="00F52967" w:rsidRPr="00DE7B19">
        <w:rPr>
          <w:rFonts w:ascii="Geomanist Light" w:hAnsi="Geomanist Light" w:cs="Arial"/>
          <w:color w:val="000000" w:themeColor="text1"/>
        </w:rPr>
        <w:t xml:space="preserve"> </w:t>
      </w:r>
    </w:p>
    <w:p w14:paraId="7609FC32" w14:textId="3E3ADE1B" w:rsidR="000E3B7A" w:rsidRPr="00DE7B19" w:rsidRDefault="003E0D0D" w:rsidP="007D1DDA">
      <w:pPr>
        <w:spacing w:before="120" w:after="160"/>
        <w:rPr>
          <w:rFonts w:ascii="Geomanist Light" w:eastAsia="Calibri" w:hAnsi="Geomanist Light" w:cs="Arial"/>
          <w:color w:val="000000"/>
        </w:rPr>
      </w:pPr>
      <w:r w:rsidRPr="00DE7B19">
        <w:rPr>
          <w:rFonts w:ascii="Geomanist Light" w:hAnsi="Geomanist Light" w:cs="Arial"/>
          <w:color w:val="000000" w:themeColor="text1"/>
        </w:rPr>
        <w:t xml:space="preserve">De hecho, incluir información de la oferta </w:t>
      </w:r>
      <w:r w:rsidR="006E3A76" w:rsidRPr="00DE7B19">
        <w:rPr>
          <w:rFonts w:ascii="Geomanist Light" w:hAnsi="Geomanist Light" w:cs="Arial"/>
          <w:color w:val="000000" w:themeColor="text1"/>
        </w:rPr>
        <w:t xml:space="preserve">económica en el Sobre No. 1 podría ameritar el rechazo de la oferta, en el entendido de que </w:t>
      </w:r>
      <w:r w:rsidR="00315092" w:rsidRPr="00DE7B19">
        <w:rPr>
          <w:rFonts w:ascii="Geomanist Light" w:hAnsi="Geomanist Light" w:cs="Arial"/>
          <w:color w:val="000000" w:themeColor="text1"/>
        </w:rPr>
        <w:t>ello conlleva a la revelación del ofrecimiento de manera previa a la oportunidad para ello dispuesta</w:t>
      </w:r>
      <w:r w:rsidR="004E5B6E" w:rsidRPr="00DE7B19">
        <w:rPr>
          <w:rFonts w:ascii="Geomanist Light" w:hAnsi="Geomanist Light" w:cs="Arial"/>
          <w:color w:val="000000" w:themeColor="text1"/>
        </w:rPr>
        <w:t xml:space="preserve">, lo que dificulta una selección objetiva. </w:t>
      </w:r>
      <w:r w:rsidR="000C5060" w:rsidRPr="00DE7B19">
        <w:rPr>
          <w:rFonts w:ascii="Geomanist Light" w:eastAsia="Calibri" w:hAnsi="Geomanist Light" w:cs="Arial"/>
          <w:lang w:val="es-MX"/>
        </w:rPr>
        <w:t xml:space="preserve">A manera de ejemplo, se destaca </w:t>
      </w:r>
      <w:r w:rsidR="00896A48" w:rsidRPr="00DE7B19">
        <w:rPr>
          <w:rFonts w:ascii="Geomanist Light" w:eastAsia="Calibri" w:hAnsi="Geomanist Light" w:cs="Arial"/>
          <w:lang w:val="es-MX"/>
        </w:rPr>
        <w:t>que, el</w:t>
      </w:r>
      <w:r w:rsidR="000C5060" w:rsidRPr="00DE7B19">
        <w:rPr>
          <w:rFonts w:ascii="Geomanist Light" w:eastAsia="Calibri" w:hAnsi="Geomanist Light" w:cs="Arial"/>
          <w:color w:val="000000"/>
        </w:rPr>
        <w:t xml:space="preserve"> numeral 1.15</w:t>
      </w:r>
      <w:r w:rsidR="000C5060" w:rsidRPr="00DE7B19">
        <w:rPr>
          <w:rFonts w:ascii="Geomanist Light" w:eastAsia="Calibri" w:hAnsi="Geomanist Light" w:cs="Times New Roman"/>
        </w:rPr>
        <w:t xml:space="preserve"> </w:t>
      </w:r>
      <w:r w:rsidR="000C5060" w:rsidRPr="00DE7B19">
        <w:rPr>
          <w:rFonts w:ascii="Geomanist Light" w:eastAsia="Calibri" w:hAnsi="Geomanist Light" w:cs="Arial"/>
          <w:color w:val="000000"/>
        </w:rPr>
        <w:t>del Documento Base</w:t>
      </w:r>
      <w:r w:rsidR="004E5B6E" w:rsidRPr="00DE7B19">
        <w:rPr>
          <w:rFonts w:ascii="Geomanist Light" w:eastAsia="Calibri" w:hAnsi="Geomanist Light" w:cs="Arial"/>
          <w:color w:val="000000"/>
        </w:rPr>
        <w:t xml:space="preserve"> o</w:t>
      </w:r>
      <w:r w:rsidR="000C5060" w:rsidRPr="00DE7B19">
        <w:rPr>
          <w:rFonts w:ascii="Geomanist Light" w:eastAsia="Calibri" w:hAnsi="Geomanist Light" w:cs="Arial"/>
          <w:color w:val="000000"/>
        </w:rPr>
        <w:t xml:space="preserve"> </w:t>
      </w:r>
      <w:r w:rsidR="004E5B6E" w:rsidRPr="00DE7B19">
        <w:rPr>
          <w:rFonts w:ascii="Geomanist Light" w:eastAsia="Calibri" w:hAnsi="Geomanist Light" w:cs="Arial"/>
          <w:color w:val="000000"/>
        </w:rPr>
        <w:t xml:space="preserve">Pliego </w:t>
      </w:r>
      <w:r w:rsidR="000C5060" w:rsidRPr="00DE7B19">
        <w:rPr>
          <w:rFonts w:ascii="Geomanist Light" w:eastAsia="Calibri" w:hAnsi="Geomanist Light" w:cs="Arial"/>
          <w:color w:val="000000"/>
        </w:rPr>
        <w:t>Tipo</w:t>
      </w:r>
      <w:r w:rsidR="004E5B6E" w:rsidRPr="00DE7B19">
        <w:rPr>
          <w:rFonts w:ascii="Geomanist Light" w:eastAsia="Calibri" w:hAnsi="Geomanist Light" w:cs="Arial"/>
          <w:color w:val="000000"/>
        </w:rPr>
        <w:t xml:space="preserve"> </w:t>
      </w:r>
      <w:r w:rsidR="000C5060" w:rsidRPr="00DE7B19">
        <w:rPr>
          <w:rFonts w:ascii="Geomanist Light" w:eastAsia="Calibri" w:hAnsi="Geomanist Light" w:cs="Arial"/>
          <w:color w:val="000000"/>
        </w:rPr>
        <w:t xml:space="preserve">de </w:t>
      </w:r>
      <w:r w:rsidR="004E5B6E" w:rsidRPr="00DE7B19">
        <w:rPr>
          <w:rFonts w:ascii="Geomanist Light" w:eastAsia="Calibri" w:hAnsi="Geomanist Light" w:cs="Arial"/>
          <w:color w:val="000000"/>
        </w:rPr>
        <w:t>l</w:t>
      </w:r>
      <w:r w:rsidR="000C5060" w:rsidRPr="00DE7B19">
        <w:rPr>
          <w:rFonts w:ascii="Geomanist Light" w:eastAsia="Calibri" w:hAnsi="Geomanist Light" w:cs="Arial"/>
          <w:color w:val="000000"/>
        </w:rPr>
        <w:t>icitación de obra pública de infraestructura de transporte – Versión 3, consagra el listado de las causales de rechazo aplicables a estos procedimientos de selección</w:t>
      </w:r>
      <w:r w:rsidR="00A423C2" w:rsidRPr="00DE7B19">
        <w:rPr>
          <w:rFonts w:ascii="Geomanist Light" w:eastAsia="Calibri" w:hAnsi="Geomanist Light" w:cs="Arial"/>
          <w:color w:val="000000"/>
        </w:rPr>
        <w:t xml:space="preserve">, </w:t>
      </w:r>
      <w:r w:rsidR="00E150EB" w:rsidRPr="00DE7B19">
        <w:rPr>
          <w:rFonts w:ascii="Geomanist Light" w:eastAsia="Calibri" w:hAnsi="Geomanist Light" w:cs="Arial"/>
          <w:color w:val="000000"/>
        </w:rPr>
        <w:t xml:space="preserve">estableciendo </w:t>
      </w:r>
      <w:r w:rsidR="007D1DDA" w:rsidRPr="00DE7B19">
        <w:rPr>
          <w:rFonts w:ascii="Geomanist Light" w:eastAsia="Calibri" w:hAnsi="Geomanist Light" w:cs="Arial"/>
          <w:color w:val="000000"/>
        </w:rPr>
        <w:t xml:space="preserve">como motivo para el </w:t>
      </w:r>
      <w:r w:rsidR="000C5060" w:rsidRPr="00DE7B19">
        <w:rPr>
          <w:rFonts w:ascii="Geomanist Light" w:eastAsia="Calibri" w:hAnsi="Geomanist Light" w:cs="Arial"/>
          <w:color w:val="000000"/>
        </w:rPr>
        <w:t>rechazo de la oferta</w:t>
      </w:r>
      <w:r w:rsidR="007D1DDA" w:rsidRPr="00DE7B19">
        <w:rPr>
          <w:rFonts w:ascii="Geomanist Light" w:eastAsia="Calibri" w:hAnsi="Geomanist Light" w:cs="Arial"/>
          <w:color w:val="000000"/>
        </w:rPr>
        <w:t xml:space="preserve"> en el en el literal V</w:t>
      </w:r>
      <w:r w:rsidR="000C5060" w:rsidRPr="00DE7B19">
        <w:rPr>
          <w:rFonts w:ascii="Geomanist Light" w:eastAsia="Calibri" w:hAnsi="Geomanist Light" w:cs="Arial"/>
          <w:color w:val="000000"/>
        </w:rPr>
        <w:t xml:space="preserve">: </w:t>
      </w:r>
      <w:r w:rsidR="000C5060" w:rsidRPr="00DE7B19">
        <w:rPr>
          <w:rFonts w:ascii="Geomanist Light" w:eastAsia="Calibri" w:hAnsi="Geomanist Light" w:cs="Arial"/>
          <w:i/>
          <w:iCs/>
          <w:color w:val="000000"/>
        </w:rPr>
        <w:t>«</w:t>
      </w:r>
      <w:r w:rsidR="000C5060" w:rsidRPr="00DE7B19">
        <w:rPr>
          <w:rFonts w:ascii="Geomanist Light" w:hAnsi="Geomanist Light"/>
          <w:color w:val="000000" w:themeColor="text1"/>
          <w:lang w:val="es-MX"/>
        </w:rPr>
        <w:t>no presentar oferta económica.</w:t>
      </w:r>
      <w:r w:rsidR="000C5060" w:rsidRPr="00DE7B19">
        <w:rPr>
          <w:rFonts w:ascii="Geomanist Light" w:hAnsi="Geomanist Light"/>
          <w:i/>
          <w:iCs/>
          <w:color w:val="000000" w:themeColor="text1"/>
          <w:lang w:val="es-MX"/>
        </w:rPr>
        <w:t xml:space="preserve"> Entregar la información de la propuesta económica en el sobre que no corresponda</w:t>
      </w:r>
      <w:r w:rsidR="000C5060" w:rsidRPr="00DE7B19">
        <w:rPr>
          <w:rFonts w:ascii="Geomanist Light" w:eastAsia="Calibri" w:hAnsi="Geomanist Light" w:cs="Arial"/>
          <w:i/>
          <w:iCs/>
          <w:color w:val="000000"/>
        </w:rPr>
        <w:t>»</w:t>
      </w:r>
      <w:r w:rsidR="007D1DDA" w:rsidRPr="00DE7B19">
        <w:rPr>
          <w:rFonts w:ascii="Geomanist Light" w:eastAsia="Calibri" w:hAnsi="Geomanist Light" w:cs="Arial"/>
          <w:i/>
          <w:iCs/>
          <w:color w:val="000000"/>
        </w:rPr>
        <w:t xml:space="preserve">, </w:t>
      </w:r>
      <w:r w:rsidR="007D1DDA" w:rsidRPr="00DE7B19">
        <w:rPr>
          <w:rFonts w:ascii="Geomanist Light" w:eastAsia="Calibri" w:hAnsi="Geomanist Light" w:cs="Arial"/>
          <w:color w:val="000000"/>
        </w:rPr>
        <w:t xml:space="preserve">lo cual tienen sustento en </w:t>
      </w:r>
      <w:r w:rsidR="00A423C2" w:rsidRPr="00DE7B19">
        <w:rPr>
          <w:rFonts w:ascii="Geomanist Light" w:eastAsia="Calibri" w:hAnsi="Geomanist Light" w:cs="Arial"/>
          <w:color w:val="000000"/>
        </w:rPr>
        <w:t xml:space="preserve">el parágrafo del </w:t>
      </w:r>
      <w:r w:rsidR="000E3B7A" w:rsidRPr="00DE7B19">
        <w:rPr>
          <w:rFonts w:ascii="Geomanist Light" w:eastAsia="Calibri" w:hAnsi="Geomanist Light" w:cs="Arial"/>
          <w:lang w:val="es-MX"/>
        </w:rPr>
        <w:t xml:space="preserve">artículo 30 la Ley 80 de </w:t>
      </w:r>
      <w:proofErr w:type="gramStart"/>
      <w:r w:rsidR="000E3B7A" w:rsidRPr="00DE7B19">
        <w:rPr>
          <w:rFonts w:ascii="Geomanist Light" w:eastAsia="Calibri" w:hAnsi="Geomanist Light" w:cs="Arial"/>
          <w:lang w:val="es-MX"/>
        </w:rPr>
        <w:t>1993,</w:t>
      </w:r>
      <w:r w:rsidR="00A423C2" w:rsidRPr="00DE7B19">
        <w:rPr>
          <w:rFonts w:ascii="Geomanist Light" w:eastAsia="Calibri" w:hAnsi="Geomanist Light" w:cs="Arial"/>
          <w:lang w:val="es-MX"/>
        </w:rPr>
        <w:t xml:space="preserve"> </w:t>
      </w:r>
      <w:r w:rsidR="007D1DDA" w:rsidRPr="00DE7B19">
        <w:rPr>
          <w:rFonts w:ascii="Geomanist Light" w:eastAsia="Calibri" w:hAnsi="Geomanist Light" w:cs="Arial"/>
          <w:lang w:val="es-MX"/>
        </w:rPr>
        <w:t xml:space="preserve"> que</w:t>
      </w:r>
      <w:proofErr w:type="gramEnd"/>
      <w:r w:rsidR="007D1DDA" w:rsidRPr="00DE7B19">
        <w:rPr>
          <w:rFonts w:ascii="Geomanist Light" w:eastAsia="Calibri" w:hAnsi="Geomanist Light" w:cs="Arial"/>
          <w:lang w:val="es-MX"/>
        </w:rPr>
        <w:t xml:space="preserve"> </w:t>
      </w:r>
      <w:r w:rsidR="00A423C2" w:rsidRPr="00DE7B19">
        <w:rPr>
          <w:rFonts w:ascii="Geomanist Light" w:eastAsia="Calibri" w:hAnsi="Geomanist Light" w:cs="Arial"/>
          <w:lang w:val="es-MX"/>
        </w:rPr>
        <w:t>establece que,</w:t>
      </w:r>
      <w:r w:rsidR="000E3B7A" w:rsidRPr="00DE7B19">
        <w:rPr>
          <w:rFonts w:ascii="Geomanist Light" w:eastAsia="Calibri" w:hAnsi="Geomanist Light" w:cs="Arial"/>
          <w:lang w:val="es-MX"/>
        </w:rPr>
        <w:t xml:space="preserve"> en el </w:t>
      </w:r>
      <w:r w:rsidR="007D1DDA" w:rsidRPr="00DE7B19">
        <w:rPr>
          <w:rFonts w:ascii="Geomanist Light" w:eastAsia="Calibri" w:hAnsi="Geomanist Light" w:cs="Arial"/>
          <w:lang w:val="es-MX"/>
        </w:rPr>
        <w:t>S</w:t>
      </w:r>
      <w:r w:rsidR="000E3B7A" w:rsidRPr="00DE7B19">
        <w:rPr>
          <w:rFonts w:ascii="Geomanist Light" w:eastAsia="Calibri" w:hAnsi="Geomanist Light" w:cs="Arial"/>
          <w:lang w:val="es-MX"/>
        </w:rPr>
        <w:t>obre No</w:t>
      </w:r>
      <w:r w:rsidR="00A423C2" w:rsidRPr="00DE7B19">
        <w:rPr>
          <w:rFonts w:ascii="Geomanist Light" w:eastAsia="Calibri" w:hAnsi="Geomanist Light" w:cs="Arial"/>
          <w:lang w:val="es-MX"/>
        </w:rPr>
        <w:t>.</w:t>
      </w:r>
      <w:r w:rsidR="000E3B7A" w:rsidRPr="00DE7B19">
        <w:rPr>
          <w:rFonts w:ascii="Geomanist Light" w:eastAsia="Calibri" w:hAnsi="Geomanist Light" w:cs="Arial"/>
          <w:lang w:val="es-MX"/>
        </w:rPr>
        <w:t xml:space="preserve"> 2 deberá incluirse </w:t>
      </w:r>
      <w:r w:rsidR="000E3B7A" w:rsidRPr="00DE7B19">
        <w:rPr>
          <w:rFonts w:ascii="Geomanist Light" w:eastAsia="Calibri" w:hAnsi="Geomanist Light" w:cs="Arial"/>
          <w:i/>
          <w:iCs/>
          <w:color w:val="000000"/>
        </w:rPr>
        <w:t>«</w:t>
      </w:r>
      <w:r w:rsidR="007D1DDA" w:rsidRPr="00DE7B19">
        <w:rPr>
          <w:rFonts w:ascii="Geomanist Light" w:eastAsia="Calibri" w:hAnsi="Geomanist Light" w:cs="Arial"/>
          <w:color w:val="000000"/>
        </w:rPr>
        <w:t>[…]</w:t>
      </w:r>
      <w:r w:rsidR="007D1DDA" w:rsidRPr="00DE7B19">
        <w:rPr>
          <w:rFonts w:ascii="Geomanist Light" w:eastAsia="Calibri" w:hAnsi="Geomanist Light" w:cs="Arial"/>
          <w:i/>
          <w:iCs/>
          <w:color w:val="000000"/>
        </w:rPr>
        <w:t xml:space="preserve"> </w:t>
      </w:r>
      <w:r w:rsidR="000E3B7A" w:rsidRPr="00DE7B19">
        <w:rPr>
          <w:rFonts w:ascii="Geomanist Light" w:hAnsi="Geomanist Light" w:cs="Arial"/>
          <w:i/>
          <w:iCs/>
          <w:color w:val="000000"/>
        </w:rPr>
        <w:t>únicamente la propuesta económica de conformidad con todos los requisitos exigidos en el pliego de condiciones</w:t>
      </w:r>
      <w:r w:rsidR="000E3B7A" w:rsidRPr="00DE7B19">
        <w:rPr>
          <w:rFonts w:ascii="Geomanist Light" w:eastAsia="Calibri" w:hAnsi="Geomanist Light" w:cs="Arial"/>
          <w:color w:val="000000"/>
        </w:rPr>
        <w:t>»</w:t>
      </w:r>
      <w:r w:rsidR="000E3B7A" w:rsidRPr="00DE7B19">
        <w:rPr>
          <w:rFonts w:ascii="Geomanist Light" w:hAnsi="Geomanist Light" w:cs="Arial"/>
          <w:color w:val="000000"/>
        </w:rPr>
        <w:t>.</w:t>
      </w:r>
      <w:r w:rsidR="000E3B7A" w:rsidRPr="00DE7B19">
        <w:rPr>
          <w:rFonts w:ascii="Calibri" w:hAnsi="Calibri" w:cs="Calibri"/>
          <w:color w:val="000000"/>
        </w:rPr>
        <w:t> </w:t>
      </w:r>
    </w:p>
    <w:p w14:paraId="5C082F1E" w14:textId="736776F7" w:rsidR="00566E1E" w:rsidRPr="00DE7B19" w:rsidRDefault="000C5060" w:rsidP="007D1DDA">
      <w:pPr>
        <w:tabs>
          <w:tab w:val="left" w:pos="6096"/>
        </w:tabs>
        <w:spacing w:before="120" w:after="160"/>
        <w:rPr>
          <w:rFonts w:ascii="Geomanist Light" w:eastAsia="Calibri" w:hAnsi="Geomanist Light" w:cs="Arial"/>
          <w:lang w:val="es-MX"/>
        </w:rPr>
      </w:pPr>
      <w:r w:rsidRPr="00DE7B19">
        <w:rPr>
          <w:rFonts w:ascii="Geomanist Light" w:eastAsia="Calibri" w:hAnsi="Geomanist Light" w:cs="Arial"/>
          <w:color w:val="000000"/>
        </w:rPr>
        <w:t xml:space="preserve"> </w:t>
      </w:r>
      <w:r w:rsidRPr="00DE7B19">
        <w:rPr>
          <w:rFonts w:ascii="Geomanist Light" w:eastAsia="Calibri" w:hAnsi="Geomanist Light" w:cs="Arial"/>
          <w:lang w:val="es-MX"/>
        </w:rPr>
        <w:t>En ese sentido,</w:t>
      </w:r>
      <w:r w:rsidR="00A423C2" w:rsidRPr="00DE7B19">
        <w:rPr>
          <w:rFonts w:ascii="Geomanist Light" w:eastAsia="Calibri" w:hAnsi="Geomanist Light" w:cs="Arial"/>
          <w:lang w:val="es-MX"/>
        </w:rPr>
        <w:t xml:space="preserve"> es dable concluir que en caso de que se </w:t>
      </w:r>
      <w:r w:rsidRPr="00DE7B19">
        <w:rPr>
          <w:rFonts w:ascii="Geomanist Light" w:eastAsia="Calibri" w:hAnsi="Geomanist Light" w:cs="Arial"/>
          <w:lang w:val="es-MX"/>
        </w:rPr>
        <w:t>incluy</w:t>
      </w:r>
      <w:r w:rsidR="00A423C2" w:rsidRPr="00DE7B19">
        <w:rPr>
          <w:rFonts w:ascii="Geomanist Light" w:eastAsia="Calibri" w:hAnsi="Geomanist Light" w:cs="Arial"/>
          <w:lang w:val="es-MX"/>
        </w:rPr>
        <w:t>a</w:t>
      </w:r>
      <w:r w:rsidRPr="00DE7B19">
        <w:rPr>
          <w:rFonts w:ascii="Geomanist Light" w:eastAsia="Calibri" w:hAnsi="Geomanist Light" w:cs="Arial"/>
          <w:lang w:val="es-MX"/>
        </w:rPr>
        <w:t xml:space="preserve"> el Análisis de Precios Unitarios en un sobre que no corresponde al No 2, y por el contrario, este se incluye en el </w:t>
      </w:r>
      <w:r w:rsidR="007D1DDA" w:rsidRPr="00DE7B19">
        <w:rPr>
          <w:rFonts w:ascii="Geomanist Light" w:eastAsia="Calibri" w:hAnsi="Geomanist Light" w:cs="Arial"/>
          <w:lang w:val="es-MX"/>
        </w:rPr>
        <w:t>S</w:t>
      </w:r>
      <w:r w:rsidRPr="00DE7B19">
        <w:rPr>
          <w:rFonts w:ascii="Geomanist Light" w:eastAsia="Calibri" w:hAnsi="Geomanist Light" w:cs="Arial"/>
          <w:lang w:val="es-MX"/>
        </w:rPr>
        <w:t xml:space="preserve">obre No 1, el proponente estaría revelando información de </w:t>
      </w:r>
      <w:r w:rsidR="00896A48" w:rsidRPr="00DE7B19">
        <w:rPr>
          <w:rFonts w:ascii="Geomanist Light" w:eastAsia="Calibri" w:hAnsi="Geomanist Light" w:cs="Arial"/>
          <w:lang w:val="es-MX"/>
        </w:rPr>
        <w:t xml:space="preserve">su </w:t>
      </w:r>
      <w:r w:rsidRPr="00DE7B19">
        <w:rPr>
          <w:rFonts w:ascii="Geomanist Light" w:eastAsia="Calibri" w:hAnsi="Geomanist Light" w:cs="Arial"/>
          <w:lang w:val="es-MX"/>
        </w:rPr>
        <w:t xml:space="preserve">oferta económica, por lo cual la entidad podría </w:t>
      </w:r>
      <w:r w:rsidR="00896A48" w:rsidRPr="00DE7B19">
        <w:rPr>
          <w:rFonts w:ascii="Geomanist Light" w:eastAsia="Calibri" w:hAnsi="Geomanist Light" w:cs="Arial"/>
          <w:lang w:val="es-MX"/>
        </w:rPr>
        <w:t>contemplar el rechazo de la oferta atendiendo lo previsto en las normas señaladas anteriormente.</w:t>
      </w:r>
    </w:p>
    <w:p w14:paraId="62D4B0CA" w14:textId="46DD7DDB" w:rsidR="007D1DDA" w:rsidRPr="00DE7B19" w:rsidRDefault="007D1DDA" w:rsidP="005209AF">
      <w:pPr>
        <w:tabs>
          <w:tab w:val="left" w:pos="6096"/>
        </w:tabs>
        <w:spacing w:before="120" w:after="0"/>
        <w:rPr>
          <w:rFonts w:ascii="Geomanist Light" w:eastAsia="Calibri" w:hAnsi="Geomanist Light" w:cs="Arial"/>
          <w:lang w:val="es-MX"/>
        </w:rPr>
      </w:pPr>
      <w:r w:rsidRPr="00DE7B19">
        <w:rPr>
          <w:rFonts w:ascii="Geomanist Light" w:eastAsia="Calibri" w:hAnsi="Geomanist Light" w:cs="Arial"/>
          <w:lang w:val="es-MX"/>
        </w:rPr>
        <w:t xml:space="preserve">Con todo, no está de más advertir que el estudio </w:t>
      </w:r>
      <w:r w:rsidR="009C55AF" w:rsidRPr="00DE7B19">
        <w:rPr>
          <w:rFonts w:ascii="Geomanist Light" w:eastAsia="Calibri" w:hAnsi="Geomanist Light" w:cs="Arial"/>
          <w:lang w:val="es-MX"/>
        </w:rPr>
        <w:t xml:space="preserve">requerido para proceder al rechazo de la oferta </w:t>
      </w:r>
      <w:r w:rsidR="004A6F13" w:rsidRPr="00DE7B19">
        <w:rPr>
          <w:rFonts w:ascii="Geomanist Light" w:eastAsia="Calibri" w:hAnsi="Geomanist Light" w:cs="Arial"/>
          <w:lang w:val="es-MX"/>
        </w:rPr>
        <w:t xml:space="preserve">en un </w:t>
      </w:r>
      <w:r w:rsidR="00CE71BE" w:rsidRPr="00DE7B19">
        <w:rPr>
          <w:rFonts w:ascii="Geomanist Light" w:eastAsia="Calibri" w:hAnsi="Geomanist Light" w:cs="Arial"/>
          <w:lang w:val="es-MX"/>
        </w:rPr>
        <w:t>evento</w:t>
      </w:r>
      <w:r w:rsidR="004A6F13" w:rsidRPr="00DE7B19">
        <w:rPr>
          <w:rFonts w:ascii="Geomanist Light" w:eastAsia="Calibri" w:hAnsi="Geomanist Light" w:cs="Arial"/>
          <w:lang w:val="es-MX"/>
        </w:rPr>
        <w:t xml:space="preserve"> determinado debe hacerse con sustento en las reglas y especificaciones incluidas en el corr</w:t>
      </w:r>
      <w:r w:rsidR="00CE71BE" w:rsidRPr="00DE7B19">
        <w:rPr>
          <w:rFonts w:ascii="Geomanist Light" w:eastAsia="Calibri" w:hAnsi="Geomanist Light" w:cs="Arial"/>
          <w:lang w:val="es-MX"/>
        </w:rPr>
        <w:t>espondiente pliego de condiciones. En ese sentido, corresponde a las entidades estatales estudiar en cada caso concreto</w:t>
      </w:r>
      <w:r w:rsidR="00B8621D" w:rsidRPr="00DE7B19">
        <w:rPr>
          <w:rFonts w:ascii="Geomanist Light" w:eastAsia="Calibri" w:hAnsi="Geomanist Light" w:cs="Arial"/>
          <w:lang w:val="es-MX"/>
        </w:rPr>
        <w:t xml:space="preserve"> si el comportamiento </w:t>
      </w:r>
      <w:r w:rsidR="00E41014" w:rsidRPr="00DE7B19">
        <w:rPr>
          <w:rFonts w:ascii="Geomanist Light" w:eastAsia="Calibri" w:hAnsi="Geomanist Light" w:cs="Arial"/>
          <w:lang w:val="es-MX"/>
        </w:rPr>
        <w:t xml:space="preserve">del respectivo proponente en efecto corresponde una contravención al marco jurídico general y particular aplicable que amerite el rechazo de la oferta.  </w:t>
      </w:r>
      <w:r w:rsidR="00CE71BE" w:rsidRPr="00DE7B19">
        <w:rPr>
          <w:rFonts w:ascii="Geomanist Light" w:eastAsia="Calibri" w:hAnsi="Geomanist Light" w:cs="Arial"/>
          <w:lang w:val="es-MX"/>
        </w:rPr>
        <w:t xml:space="preserve">  </w:t>
      </w:r>
    </w:p>
    <w:p w14:paraId="0702DC23" w14:textId="77777777" w:rsidR="005209AF" w:rsidRPr="00DE7B19" w:rsidRDefault="005209AF" w:rsidP="00DE42C7">
      <w:pPr>
        <w:tabs>
          <w:tab w:val="left" w:pos="6096"/>
        </w:tabs>
        <w:spacing w:after="0"/>
        <w:rPr>
          <w:rFonts w:ascii="Geomanist Light" w:eastAsia="Calibri" w:hAnsi="Geomanist Light" w:cs="Arial"/>
          <w:lang w:val="es-MX"/>
        </w:rPr>
      </w:pPr>
    </w:p>
    <w:p w14:paraId="63599C3A" w14:textId="77777777" w:rsidR="00A5037A" w:rsidRPr="00DE7B19" w:rsidRDefault="00A5037A" w:rsidP="00A5037A">
      <w:pPr>
        <w:tabs>
          <w:tab w:val="left" w:pos="0"/>
        </w:tabs>
        <w:ind w:firstLine="0"/>
        <w:rPr>
          <w:rFonts w:ascii="Geomanist Light" w:eastAsia="Calibri" w:hAnsi="Geomanist Light" w:cs="Arial"/>
          <w:b/>
          <w:color w:val="000000" w:themeColor="text1"/>
          <w:lang w:val="es-ES_tradnl"/>
        </w:rPr>
      </w:pPr>
      <w:r w:rsidRPr="00DE7B19">
        <w:rPr>
          <w:rFonts w:ascii="Geomanist Light" w:eastAsia="Calibri" w:hAnsi="Geomanist Light" w:cs="Arial"/>
          <w:b/>
          <w:color w:val="000000" w:themeColor="text1"/>
          <w:lang w:val="es-ES_tradnl"/>
        </w:rPr>
        <w:t>3. Respuestas</w:t>
      </w:r>
    </w:p>
    <w:p w14:paraId="7FCB58EC" w14:textId="77777777" w:rsidR="00A5037A" w:rsidRPr="00DE7B19" w:rsidRDefault="00A5037A" w:rsidP="00DE42C7">
      <w:pPr>
        <w:spacing w:after="0"/>
        <w:ind w:left="709" w:right="757" w:firstLine="0"/>
        <w:rPr>
          <w:rFonts w:ascii="Geomanist Light" w:eastAsia="Calibri" w:hAnsi="Geomanist Light" w:cs="Arial"/>
          <w:b/>
          <w:color w:val="000000" w:themeColor="text1"/>
          <w:sz w:val="20"/>
          <w:szCs w:val="20"/>
          <w:lang w:val="es-ES_tradnl"/>
        </w:rPr>
      </w:pPr>
    </w:p>
    <w:p w14:paraId="2EF8755B" w14:textId="5E1C286C" w:rsidR="00896A48" w:rsidRPr="00DE7B19" w:rsidRDefault="00896A48" w:rsidP="00896A48">
      <w:pPr>
        <w:spacing w:after="0" w:line="240" w:lineRule="auto"/>
        <w:ind w:left="709" w:right="757" w:firstLine="0"/>
        <w:rPr>
          <w:rFonts w:ascii="Geomanist Light" w:eastAsia="Calibri" w:hAnsi="Geomanist Light" w:cs="Arial"/>
          <w:sz w:val="21"/>
          <w:szCs w:val="21"/>
          <w:lang w:val="es-ES"/>
        </w:rPr>
      </w:pPr>
      <w:r w:rsidRPr="00DE7B19">
        <w:rPr>
          <w:rFonts w:ascii="Geomanist Light" w:hAnsi="Geomanist Light" w:cs="Arial"/>
          <w:sz w:val="21"/>
          <w:szCs w:val="21"/>
          <w:lang w:val="es-MX"/>
        </w:rPr>
        <w:lastRenderedPageBreak/>
        <w:t>«</w:t>
      </w:r>
      <w:r w:rsidRPr="00DE7B19">
        <w:rPr>
          <w:rFonts w:ascii="Geomanist Light" w:eastAsia="Calibri" w:hAnsi="Geomanist Light" w:cs="Arial"/>
          <w:sz w:val="21"/>
          <w:szCs w:val="21"/>
          <w:lang w:val="es-ES"/>
        </w:rPr>
        <w:t>[…] La Agencia Nacional de Contratación Pública […]  conceptué sí existe alguna violación al Artículo 1 de la ley 1882 de 2019, cuando una entidad territorial en el marco de un proceso de licitación pública exige a los interesados la inclusión del análisis de precios unitarios APU en el sobre No 1 de la oferta</w:t>
      </w:r>
      <w:r w:rsidRPr="00DE7B19">
        <w:rPr>
          <w:rFonts w:ascii="Geomanist Light" w:hAnsi="Geomanist Light" w:cs="Arial"/>
          <w:sz w:val="21"/>
          <w:szCs w:val="21"/>
          <w:lang w:val="es-MX"/>
        </w:rPr>
        <w:t>».</w:t>
      </w:r>
    </w:p>
    <w:p w14:paraId="2331D372" w14:textId="77777777" w:rsidR="00A5037A" w:rsidRPr="00DE7B19" w:rsidRDefault="00A5037A" w:rsidP="00DE42C7">
      <w:pPr>
        <w:tabs>
          <w:tab w:val="left" w:pos="0"/>
        </w:tabs>
        <w:spacing w:after="0"/>
        <w:rPr>
          <w:rFonts w:ascii="Geomanist Light" w:eastAsia="Calibri" w:hAnsi="Geomanist Light" w:cs="Arial"/>
          <w:color w:val="000000" w:themeColor="text1"/>
          <w:lang w:val="es-ES_tradnl"/>
        </w:rPr>
      </w:pPr>
    </w:p>
    <w:p w14:paraId="53AA9352" w14:textId="2C4C0B30" w:rsidR="00896A48" w:rsidRPr="00DE7B19" w:rsidRDefault="00A5037A" w:rsidP="00896A48">
      <w:pPr>
        <w:ind w:firstLine="0"/>
        <w:rPr>
          <w:rFonts w:ascii="Geomanist Light" w:hAnsi="Geomanist Light" w:cs="Arial"/>
          <w:color w:val="000000" w:themeColor="text1"/>
        </w:rPr>
      </w:pPr>
      <w:r w:rsidRPr="00DE7B19">
        <w:rPr>
          <w:rFonts w:ascii="Geomanist Light" w:eastAsia="Calibri" w:hAnsi="Geomanist Light" w:cs="Arial"/>
          <w:lang w:val="es-ES"/>
        </w:rPr>
        <w:t>De conformidad con lo expuesto, se concluye que</w:t>
      </w:r>
      <w:r w:rsidR="00896A48" w:rsidRPr="00DE7B19">
        <w:rPr>
          <w:rFonts w:ascii="Geomanist Light" w:hAnsi="Geomanist Light" w:cs="Arial"/>
          <w:color w:val="000000" w:themeColor="text1"/>
          <w:lang w:val="es-ES"/>
        </w:rPr>
        <w:t xml:space="preserve"> el artículo 30 de la Ley 80 de 1993, establece las reglas para la presentación de ofertas en licitaciones para la selección de contratistas de obra pública, </w:t>
      </w:r>
      <w:r w:rsidR="00896A48" w:rsidRPr="00DE7B19">
        <w:rPr>
          <w:rFonts w:ascii="Geomanist Light" w:hAnsi="Geomanist Light" w:cs="Arial"/>
          <w:color w:val="000000" w:themeColor="text1"/>
        </w:rPr>
        <w:t xml:space="preserve">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 </w:t>
      </w:r>
    </w:p>
    <w:p w14:paraId="0CC7906A" w14:textId="7DE38B9E" w:rsidR="00DB4C48" w:rsidRPr="00DE7B19" w:rsidRDefault="00DB4C48" w:rsidP="00DB4C48">
      <w:pPr>
        <w:spacing w:before="120" w:after="160"/>
        <w:rPr>
          <w:rFonts w:ascii="Geomanist Light" w:hAnsi="Geomanist Light" w:cs="Arial"/>
          <w:color w:val="000000" w:themeColor="text1"/>
        </w:rPr>
      </w:pPr>
      <w:r w:rsidRPr="00DE7B19">
        <w:rPr>
          <w:rFonts w:ascii="Geomanist Light" w:hAnsi="Geomanist Light" w:cs="Arial"/>
          <w:color w:val="000000" w:themeColor="text1"/>
        </w:rPr>
        <w:t xml:space="preserve">En los contratos de obra pública cuya contraprestación se estructure a partir del sistema de precios unitarios, el valor de la oferta económica suele estar determinado por el valor resultante del APU, incrementado en el porcentaje de AIU. En ese sentido, en los procesos de licitación pública que se desarrollen para la contratación de este tipo de objetos contractuales, la información correspondiente al APU debería ser incluida en el Sobre No. 2, en el entendido de que hace parte de la oferta económica del proponente, por lo que no resultaría ajustado con lo dispuesto en el parágrafo 2 del artículo 30 de la Ley 80 de 1993, adicionado por la Ley 1882 de 2018 solicitar la inclusión del APU en el Sobre No. 1 cuando el precio del contrato se determinó mediante el sistema de precios unitarios.   </w:t>
      </w:r>
    </w:p>
    <w:p w14:paraId="72F85BD0" w14:textId="3358B3C2" w:rsidR="00DB4C48" w:rsidRPr="00DE7B19" w:rsidRDefault="00DB4C48" w:rsidP="00DE42C7">
      <w:pPr>
        <w:tabs>
          <w:tab w:val="left" w:pos="6096"/>
        </w:tabs>
        <w:spacing w:before="120" w:after="0"/>
        <w:rPr>
          <w:rFonts w:ascii="Geomanist Light" w:eastAsia="Calibri" w:hAnsi="Geomanist Light" w:cs="Arial"/>
          <w:lang w:val="es-MX"/>
        </w:rPr>
      </w:pPr>
      <w:r w:rsidRPr="00DE7B19">
        <w:rPr>
          <w:rFonts w:ascii="Geomanist Light" w:eastAsia="Calibri" w:hAnsi="Geomanist Light" w:cs="Arial"/>
          <w:lang w:val="es-MX"/>
        </w:rPr>
        <w:t xml:space="preserve">En todo caso, el estudio requerido para determinar si procede al rechazo de la oferta en un evento determinado debe hacerse con sustento en las reglas y especificaciones incluidas en el pliego de condiciones. Esto significa que, corresponde a las entidades estatales estudiar en cada caso concreto si </w:t>
      </w:r>
      <w:r w:rsidR="005209AF" w:rsidRPr="00DE7B19">
        <w:rPr>
          <w:rFonts w:ascii="Geomanist Light" w:eastAsia="Calibri" w:hAnsi="Geomanist Light" w:cs="Arial"/>
          <w:lang w:val="es-MX"/>
        </w:rPr>
        <w:t>el hecho de incluir información relacionada con el APU en el Sobre No. 1</w:t>
      </w:r>
      <w:r w:rsidRPr="00DE7B19">
        <w:rPr>
          <w:rFonts w:ascii="Geomanist Light" w:eastAsia="Calibri" w:hAnsi="Geomanist Light" w:cs="Arial"/>
          <w:lang w:val="es-MX"/>
        </w:rPr>
        <w:t xml:space="preserve"> corresponde una contravención al marco jurídico general y particular aplicable </w:t>
      </w:r>
      <w:r w:rsidR="005209AF" w:rsidRPr="00DE7B19">
        <w:rPr>
          <w:rFonts w:ascii="Geomanist Light" w:eastAsia="Calibri" w:hAnsi="Geomanist Light" w:cs="Arial"/>
          <w:lang w:val="es-MX"/>
        </w:rPr>
        <w:t>sancionable con</w:t>
      </w:r>
      <w:r w:rsidRPr="00DE7B19">
        <w:rPr>
          <w:rFonts w:ascii="Geomanist Light" w:eastAsia="Calibri" w:hAnsi="Geomanist Light" w:cs="Arial"/>
          <w:lang w:val="es-MX"/>
        </w:rPr>
        <w:t xml:space="preserve"> el rechazo de la oferta.    </w:t>
      </w:r>
    </w:p>
    <w:p w14:paraId="073D26ED" w14:textId="77777777" w:rsidR="005209AF" w:rsidRPr="00DE7B19" w:rsidRDefault="005209AF" w:rsidP="00A5037A">
      <w:pPr>
        <w:widowControl w:val="0"/>
        <w:autoSpaceDE w:val="0"/>
        <w:autoSpaceDN w:val="0"/>
        <w:spacing w:after="0"/>
        <w:ind w:firstLine="0"/>
        <w:rPr>
          <w:rFonts w:ascii="Geomanist Light" w:eastAsia="Times New Roman" w:hAnsi="Geomanist Light" w:cs="Arial"/>
          <w:color w:val="000000"/>
          <w:lang w:val="es-ES_tradnl" w:eastAsia="es-ES_tradnl"/>
        </w:rPr>
      </w:pPr>
    </w:p>
    <w:p w14:paraId="40821C5B" w14:textId="6CAB6B38" w:rsidR="00A5037A" w:rsidRPr="00DE7B19" w:rsidRDefault="00A5037A" w:rsidP="00A5037A">
      <w:pPr>
        <w:widowControl w:val="0"/>
        <w:autoSpaceDE w:val="0"/>
        <w:autoSpaceDN w:val="0"/>
        <w:spacing w:after="0"/>
        <w:ind w:firstLine="0"/>
        <w:rPr>
          <w:rFonts w:ascii="Geomanist Light" w:eastAsia="Times New Roman" w:hAnsi="Geomanist Light" w:cs="Arial"/>
          <w:color w:val="000000"/>
          <w:lang w:val="es-ES_tradnl" w:eastAsia="es-ES_tradnl" w:bidi="es-ES"/>
        </w:rPr>
      </w:pPr>
      <w:r w:rsidRPr="00DE7B19">
        <w:rPr>
          <w:rFonts w:ascii="Geomanist Light" w:eastAsia="Times New Roman" w:hAnsi="Geomanist Light" w:cs="Arial"/>
          <w:color w:val="000000"/>
          <w:lang w:val="es-ES_tradnl" w:eastAsia="es-ES_tradnl"/>
        </w:rPr>
        <w:t>Este concepto tiene el alcance previsto en el artículo 28 del</w:t>
      </w:r>
      <w:r w:rsidRPr="00DE7B19">
        <w:rPr>
          <w:rFonts w:ascii="Geomanist Light" w:eastAsia="Times New Roman" w:hAnsi="Geomanist Light" w:cs="Arial"/>
          <w:color w:val="000000"/>
          <w:szCs w:val="24"/>
          <w:lang w:val="es-ES_tradnl" w:eastAsia="es-ES_tradnl"/>
        </w:rPr>
        <w:t xml:space="preserve"> Código de Procedimiento Administrativo y de lo Contencioso Administrativo.</w:t>
      </w:r>
      <w:bookmarkEnd w:id="0"/>
      <w:bookmarkEnd w:id="1"/>
    </w:p>
    <w:p w14:paraId="5A86B410" w14:textId="77777777" w:rsidR="00A5037A" w:rsidRPr="00DE7B19" w:rsidRDefault="00A5037A" w:rsidP="00A5037A">
      <w:pPr>
        <w:widowControl w:val="0"/>
        <w:autoSpaceDE w:val="0"/>
        <w:autoSpaceDN w:val="0"/>
        <w:spacing w:after="0"/>
        <w:ind w:firstLine="0"/>
        <w:rPr>
          <w:rFonts w:ascii="Geomanist Light" w:eastAsia="Times New Roman" w:hAnsi="Geomanist Light" w:cs="Arial"/>
          <w:color w:val="000000"/>
          <w:lang w:val="es-ES_tradnl" w:eastAsia="es-ES_tradnl" w:bidi="es-ES"/>
        </w:rPr>
      </w:pPr>
    </w:p>
    <w:p w14:paraId="7CB69DF4" w14:textId="77777777" w:rsidR="00A5037A" w:rsidRPr="00DE7B19" w:rsidRDefault="00A5037A" w:rsidP="00A5037A">
      <w:pPr>
        <w:spacing w:after="0" w:line="240" w:lineRule="auto"/>
        <w:ind w:firstLine="0"/>
        <w:textAlignment w:val="baseline"/>
        <w:rPr>
          <w:rFonts w:ascii="Geomanist Light" w:eastAsia="Times New Roman" w:hAnsi="Geomanist Light" w:cs="Segoe UI"/>
          <w:lang w:val="es-ES_tradnl" w:eastAsia="es-CO"/>
        </w:rPr>
      </w:pPr>
      <w:r w:rsidRPr="00DE7B19">
        <w:rPr>
          <w:rFonts w:ascii="Geomanist Light" w:eastAsia="Times New Roman" w:hAnsi="Geomanist Light" w:cs="Arial"/>
          <w:lang w:val="es-ES_tradnl" w:eastAsia="es-CO"/>
        </w:rPr>
        <w:t>Atentamente,</w:t>
      </w:r>
      <w:r w:rsidRPr="00DE7B19">
        <w:rPr>
          <w:rFonts w:ascii="Calibri" w:eastAsia="Times New Roman" w:hAnsi="Calibri" w:cs="Calibri"/>
          <w:lang w:val="es-ES_tradnl" w:eastAsia="es-CO"/>
        </w:rPr>
        <w:t> </w:t>
      </w:r>
    </w:p>
    <w:p w14:paraId="04D6992C" w14:textId="370AA753" w:rsidR="00A5037A" w:rsidRPr="00DE7B19" w:rsidRDefault="00DE7B19" w:rsidP="00A5037A">
      <w:pPr>
        <w:spacing w:after="0" w:line="240" w:lineRule="auto"/>
        <w:ind w:firstLine="0"/>
        <w:jc w:val="center"/>
        <w:textAlignment w:val="baseline"/>
        <w:rPr>
          <w:rFonts w:ascii="Geomanist Light" w:eastAsia="Times New Roman" w:hAnsi="Geomanist Light" w:cs="Segoe UI"/>
          <w:sz w:val="18"/>
          <w:szCs w:val="18"/>
          <w:lang w:val="es-ES_tradnl" w:eastAsia="es-CO"/>
        </w:rPr>
      </w:pPr>
      <w:r w:rsidRPr="00DE7B19">
        <w:rPr>
          <w:rFonts w:ascii="Geomanist Light" w:hAnsi="Geomanist Light" w:cs="Arial"/>
          <w:noProof/>
          <w:sz w:val="18"/>
          <w:szCs w:val="20"/>
          <w:lang w:eastAsia="es-CO"/>
        </w:rPr>
        <w:lastRenderedPageBreak/>
        <w:drawing>
          <wp:inline distT="0" distB="0" distL="0" distR="0" wp14:anchorId="28AC87F4" wp14:editId="7DE85AF4">
            <wp:extent cx="3117850" cy="1211580"/>
            <wp:effectExtent l="0" t="0" r="635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r w:rsidR="00A5037A" w:rsidRPr="00DE7B19">
        <w:rPr>
          <w:rFonts w:ascii="Calibri" w:eastAsia="Times New Roman" w:hAnsi="Calibri" w:cs="Calibri"/>
          <w:sz w:val="18"/>
          <w:szCs w:val="18"/>
          <w:lang w:val="es-ES_tradnl" w:eastAsia="es-CO"/>
        </w:rPr>
        <w:t> </w:t>
      </w:r>
    </w:p>
    <w:p w14:paraId="37BEE675" w14:textId="77777777" w:rsidR="00A5037A" w:rsidRPr="00DE7B19" w:rsidRDefault="00A5037A" w:rsidP="00A5037A">
      <w:pPr>
        <w:spacing w:after="0" w:line="240" w:lineRule="auto"/>
        <w:ind w:firstLine="0"/>
        <w:jc w:val="left"/>
        <w:rPr>
          <w:rFonts w:ascii="Geomanist Light" w:eastAsia="Times New Roman" w:hAnsi="Geomanist Light" w:cs="Arial"/>
          <w:sz w:val="16"/>
          <w:szCs w:val="16"/>
          <w:lang w:val="es-MX"/>
        </w:rPr>
      </w:pPr>
    </w:p>
    <w:p w14:paraId="319BD632" w14:textId="77777777" w:rsidR="00A5037A" w:rsidRPr="00DE7B19" w:rsidRDefault="00A5037A" w:rsidP="00A5037A">
      <w:pPr>
        <w:spacing w:after="0" w:line="240" w:lineRule="auto"/>
        <w:ind w:firstLine="0"/>
        <w:jc w:val="left"/>
        <w:rPr>
          <w:rFonts w:ascii="Geomanist Light" w:eastAsia="Times New Roman" w:hAnsi="Geomanist Light" w:cs="Arial"/>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4717"/>
      </w:tblGrid>
      <w:tr w:rsidR="00A5037A" w:rsidRPr="00DE7B19" w14:paraId="4C1152C3" w14:textId="77777777" w:rsidTr="00DE42C7">
        <w:trPr>
          <w:trHeight w:val="315"/>
        </w:trPr>
        <w:tc>
          <w:tcPr>
            <w:tcW w:w="812" w:type="dxa"/>
            <w:vAlign w:val="center"/>
            <w:hideMark/>
          </w:tcPr>
          <w:p w14:paraId="4274FEC7" w14:textId="77777777" w:rsidR="00A5037A" w:rsidRPr="00DE7B19" w:rsidRDefault="00A5037A" w:rsidP="004B2644">
            <w:pPr>
              <w:rPr>
                <w:rFonts w:ascii="Geomanist Light" w:eastAsia="Times New Roman" w:hAnsi="Geomanist Light" w:cs="Arial"/>
                <w:sz w:val="18"/>
                <w:szCs w:val="18"/>
              </w:rPr>
            </w:pPr>
            <w:bookmarkStart w:id="5" w:name="_Hlk117588778"/>
            <w:r w:rsidRPr="00DE7B19">
              <w:rPr>
                <w:rFonts w:ascii="Geomanist Light" w:eastAsia="Times New Roman" w:hAnsi="Geomanist Light" w:cs="Arial"/>
                <w:sz w:val="18"/>
                <w:szCs w:val="18"/>
              </w:rPr>
              <w:t>Elaboró:</w:t>
            </w:r>
          </w:p>
        </w:tc>
        <w:tc>
          <w:tcPr>
            <w:tcW w:w="4717" w:type="dxa"/>
            <w:tcBorders>
              <w:top w:val="nil"/>
              <w:left w:val="nil"/>
              <w:bottom w:val="dotted" w:sz="4" w:space="0" w:color="7F7F7F" w:themeColor="text1" w:themeTint="80"/>
              <w:right w:val="nil"/>
            </w:tcBorders>
            <w:vAlign w:val="center"/>
            <w:hideMark/>
          </w:tcPr>
          <w:p w14:paraId="1D5EDE21" w14:textId="77777777" w:rsidR="00A5037A" w:rsidRPr="00DE7B19" w:rsidRDefault="00A5037A" w:rsidP="004B2644">
            <w:pPr>
              <w:rPr>
                <w:rFonts w:ascii="Geomanist Light" w:eastAsia="Times New Roman" w:hAnsi="Geomanist Light" w:cs="Arial"/>
                <w:sz w:val="18"/>
                <w:szCs w:val="18"/>
                <w:lang w:val="es-ES_tradnl"/>
              </w:rPr>
            </w:pPr>
            <w:r w:rsidRPr="00DE7B19">
              <w:rPr>
                <w:rFonts w:ascii="Geomanist Light" w:eastAsia="Times New Roman" w:hAnsi="Geomanist Light" w:cs="Arial"/>
                <w:sz w:val="18"/>
                <w:szCs w:val="18"/>
                <w:lang w:val="es-ES_tradnl"/>
              </w:rPr>
              <w:t>Melissa Fernández Reinoso</w:t>
            </w:r>
          </w:p>
          <w:p w14:paraId="5B7C568D" w14:textId="77777777" w:rsidR="00A5037A" w:rsidRPr="00DE7B19" w:rsidRDefault="00A5037A" w:rsidP="004B2644">
            <w:pPr>
              <w:rPr>
                <w:rFonts w:ascii="Geomanist Light" w:eastAsia="Times New Roman" w:hAnsi="Geomanist Light" w:cs="Arial"/>
                <w:sz w:val="18"/>
                <w:szCs w:val="18"/>
              </w:rPr>
            </w:pPr>
            <w:r w:rsidRPr="00DE7B19">
              <w:rPr>
                <w:rFonts w:ascii="Geomanist Light" w:eastAsia="Times New Roman" w:hAnsi="Geomanist Light" w:cs="Arial"/>
                <w:sz w:val="18"/>
                <w:szCs w:val="18"/>
                <w:lang w:val="es-ES_tradnl"/>
              </w:rPr>
              <w:t>Analista T2-2 de la Subdirección de Gestión Contractual</w:t>
            </w:r>
          </w:p>
        </w:tc>
      </w:tr>
      <w:tr w:rsidR="00A5037A" w:rsidRPr="00DE7B19" w14:paraId="33D9E454" w14:textId="77777777" w:rsidTr="00DE42C7">
        <w:trPr>
          <w:trHeight w:val="330"/>
        </w:trPr>
        <w:tc>
          <w:tcPr>
            <w:tcW w:w="812" w:type="dxa"/>
            <w:vAlign w:val="center"/>
            <w:hideMark/>
          </w:tcPr>
          <w:p w14:paraId="4FA0E020" w14:textId="77777777" w:rsidR="00A5037A" w:rsidRPr="00DE7B19" w:rsidRDefault="00A5037A" w:rsidP="004B2644">
            <w:pPr>
              <w:rPr>
                <w:rFonts w:ascii="Geomanist Light" w:eastAsia="Times New Roman" w:hAnsi="Geomanist Light" w:cs="Arial"/>
                <w:sz w:val="18"/>
                <w:szCs w:val="18"/>
              </w:rPr>
            </w:pPr>
            <w:r w:rsidRPr="00DE7B19">
              <w:rPr>
                <w:rFonts w:ascii="Geomanist Light" w:eastAsia="Times New Roman" w:hAnsi="Geomanist Light" w:cs="Arial"/>
                <w:sz w:val="18"/>
                <w:szCs w:val="18"/>
              </w:rPr>
              <w:t>Revisó: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69C30AEE" w14:textId="77777777" w:rsidR="00A5037A" w:rsidRPr="00DE7B19" w:rsidRDefault="00A5037A" w:rsidP="004B2644">
            <w:pPr>
              <w:spacing w:line="276" w:lineRule="auto"/>
              <w:rPr>
                <w:rFonts w:ascii="Geomanist Light" w:eastAsia="Times New Roman" w:hAnsi="Geomanist Light" w:cs="Arial"/>
                <w:sz w:val="18"/>
                <w:szCs w:val="18"/>
                <w:lang w:val="es-ES_tradnl" w:eastAsia="es-ES"/>
              </w:rPr>
            </w:pPr>
            <w:r w:rsidRPr="00DE7B19">
              <w:rPr>
                <w:rFonts w:ascii="Geomanist Light" w:eastAsia="Times New Roman" w:hAnsi="Geomanist Light" w:cs="Arial"/>
                <w:sz w:val="18"/>
                <w:szCs w:val="18"/>
                <w:lang w:val="es-ES_tradnl" w:eastAsia="es-ES"/>
              </w:rPr>
              <w:t>Alejandro Sarmiento Cantillo</w:t>
            </w:r>
          </w:p>
          <w:p w14:paraId="7A874E75" w14:textId="77777777" w:rsidR="00A5037A" w:rsidRPr="00DE7B19" w:rsidRDefault="00A5037A" w:rsidP="004B2644">
            <w:pPr>
              <w:rPr>
                <w:rFonts w:ascii="Geomanist Light" w:eastAsia="Times New Roman" w:hAnsi="Geomanist Light" w:cs="Arial"/>
                <w:sz w:val="18"/>
                <w:szCs w:val="18"/>
              </w:rPr>
            </w:pPr>
            <w:r w:rsidRPr="00DE7B19">
              <w:rPr>
                <w:rFonts w:ascii="Geomanist Light" w:eastAsia="Times New Roman" w:hAnsi="Geomanist Light" w:cs="Arial"/>
                <w:sz w:val="18"/>
                <w:szCs w:val="18"/>
                <w:lang w:val="es-ES_tradnl" w:eastAsia="es-ES"/>
              </w:rPr>
              <w:t>Gestor T1-15 de la Subdirección de Gestión Contractual</w:t>
            </w:r>
          </w:p>
        </w:tc>
      </w:tr>
      <w:tr w:rsidR="00A5037A" w:rsidRPr="00DE7B19" w14:paraId="3EA5AC8C" w14:textId="77777777" w:rsidTr="00DE42C7">
        <w:trPr>
          <w:trHeight w:val="300"/>
        </w:trPr>
        <w:tc>
          <w:tcPr>
            <w:tcW w:w="812" w:type="dxa"/>
            <w:vAlign w:val="center"/>
            <w:hideMark/>
          </w:tcPr>
          <w:p w14:paraId="49192DE0" w14:textId="77777777" w:rsidR="00A5037A" w:rsidRPr="00DE7B19" w:rsidRDefault="00A5037A" w:rsidP="004B2644">
            <w:pPr>
              <w:rPr>
                <w:rFonts w:ascii="Geomanist Light" w:eastAsia="Times New Roman" w:hAnsi="Geomanist Light" w:cs="Arial"/>
                <w:sz w:val="18"/>
                <w:szCs w:val="18"/>
              </w:rPr>
            </w:pPr>
            <w:r w:rsidRPr="00DE7B19">
              <w:rPr>
                <w:rFonts w:ascii="Geomanist Light" w:eastAsia="Times New Roman" w:hAnsi="Geomanist Light" w:cs="Arial"/>
                <w:sz w:val="18"/>
                <w:szCs w:val="18"/>
              </w:rPr>
              <w:t>Aprobó: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6601CF87" w14:textId="77777777" w:rsidR="00A5037A" w:rsidRPr="00DE7B19" w:rsidRDefault="00A5037A" w:rsidP="004B2644">
            <w:pPr>
              <w:rPr>
                <w:rFonts w:ascii="Geomanist Light" w:eastAsia="Times New Roman" w:hAnsi="Geomanist Light" w:cs="Arial"/>
                <w:sz w:val="18"/>
                <w:szCs w:val="18"/>
              </w:rPr>
            </w:pPr>
            <w:r w:rsidRPr="00DE7B19">
              <w:rPr>
                <w:rFonts w:ascii="Geomanist Light" w:eastAsia="Times New Roman" w:hAnsi="Geomanist Light" w:cs="Arial"/>
                <w:sz w:val="18"/>
                <w:szCs w:val="18"/>
              </w:rPr>
              <w:t>Juan David Marín López</w:t>
            </w:r>
          </w:p>
          <w:p w14:paraId="6E83501F" w14:textId="77777777" w:rsidR="00A5037A" w:rsidRPr="00DE7B19" w:rsidRDefault="00A5037A" w:rsidP="004B2644">
            <w:pPr>
              <w:rPr>
                <w:rFonts w:ascii="Geomanist Light" w:eastAsia="Times New Roman" w:hAnsi="Geomanist Light" w:cs="Arial"/>
                <w:sz w:val="18"/>
                <w:szCs w:val="18"/>
              </w:rPr>
            </w:pPr>
            <w:r w:rsidRPr="00DE7B19">
              <w:rPr>
                <w:rFonts w:ascii="Geomanist Light" w:eastAsia="Times New Roman" w:hAnsi="Geomanist Light" w:cs="Arial"/>
                <w:sz w:val="18"/>
                <w:szCs w:val="18"/>
              </w:rPr>
              <w:t>Subdirector de Gestión Contractual (E)</w:t>
            </w:r>
          </w:p>
        </w:tc>
      </w:tr>
      <w:bookmarkEnd w:id="5"/>
    </w:tbl>
    <w:p w14:paraId="74D9574A" w14:textId="77777777" w:rsidR="00A5037A" w:rsidRPr="00DE7B19" w:rsidRDefault="00A5037A" w:rsidP="00A5037A">
      <w:pPr>
        <w:spacing w:after="0" w:line="240" w:lineRule="auto"/>
        <w:ind w:firstLine="0"/>
        <w:jc w:val="left"/>
        <w:rPr>
          <w:rFonts w:ascii="Geomanist Light" w:hAnsi="Geomanist Light"/>
          <w:sz w:val="24"/>
          <w:lang w:val="es-MX"/>
        </w:rPr>
      </w:pPr>
    </w:p>
    <w:p w14:paraId="50F6A951" w14:textId="77777777" w:rsidR="00A5037A" w:rsidRPr="00DE7B19" w:rsidRDefault="00A5037A" w:rsidP="00A5037A">
      <w:pPr>
        <w:spacing w:after="0" w:line="240" w:lineRule="auto"/>
        <w:ind w:firstLine="0"/>
        <w:jc w:val="left"/>
        <w:rPr>
          <w:rFonts w:ascii="Geomanist Light" w:eastAsia="Times New Roman" w:hAnsi="Geomanist Light" w:cs="Times New Roman"/>
          <w:sz w:val="24"/>
          <w:szCs w:val="24"/>
          <w:lang w:val="es-MX" w:eastAsia="en-GB"/>
        </w:rPr>
      </w:pPr>
    </w:p>
    <w:p w14:paraId="21CA76F2" w14:textId="77777777" w:rsidR="00A5037A" w:rsidRPr="00DE7B19" w:rsidRDefault="00A5037A" w:rsidP="00A5037A">
      <w:pPr>
        <w:rPr>
          <w:rFonts w:ascii="Geomanist Light" w:eastAsia="Times New Roman" w:hAnsi="Geomanist Light" w:cs="Times New Roman"/>
          <w:sz w:val="24"/>
          <w:szCs w:val="24"/>
          <w:lang w:eastAsia="en-GB"/>
        </w:rPr>
      </w:pPr>
    </w:p>
    <w:p w14:paraId="6F41F8AE" w14:textId="77777777" w:rsidR="00A5037A" w:rsidRPr="00DE7B19" w:rsidRDefault="00A5037A" w:rsidP="00A5037A">
      <w:pPr>
        <w:widowControl w:val="0"/>
        <w:autoSpaceDE w:val="0"/>
        <w:autoSpaceDN w:val="0"/>
        <w:ind w:right="51"/>
        <w:rPr>
          <w:rFonts w:ascii="Geomanist Light" w:eastAsia="Times New Roman" w:hAnsi="Geomanist Light" w:cs="Arial"/>
          <w:bCs/>
          <w:lang w:val="es-MX" w:eastAsia="es-CO"/>
        </w:rPr>
      </w:pPr>
    </w:p>
    <w:p w14:paraId="50EE1216" w14:textId="77777777" w:rsidR="00A5037A" w:rsidRPr="00DE7B19" w:rsidRDefault="00A5037A" w:rsidP="00A5037A">
      <w:pPr>
        <w:rPr>
          <w:rFonts w:ascii="Geomanist Light" w:hAnsi="Geomanist Light" w:cs="Arial"/>
        </w:rPr>
      </w:pPr>
    </w:p>
    <w:p w14:paraId="5838BEF7" w14:textId="77777777" w:rsidR="00A5037A" w:rsidRPr="00DE7B19" w:rsidRDefault="00A5037A" w:rsidP="00A5037A">
      <w:pPr>
        <w:rPr>
          <w:rFonts w:ascii="Geomanist Light" w:hAnsi="Geomanist Light"/>
        </w:rPr>
      </w:pPr>
    </w:p>
    <w:bookmarkEnd w:id="2"/>
    <w:p w14:paraId="1D819211" w14:textId="77777777" w:rsidR="00C56FD2" w:rsidRPr="00DE7B19" w:rsidRDefault="00C56FD2">
      <w:pPr>
        <w:rPr>
          <w:rFonts w:ascii="Geomanist Light" w:hAnsi="Geomanist Light"/>
        </w:rPr>
      </w:pPr>
    </w:p>
    <w:sectPr w:rsidR="00C56FD2" w:rsidRPr="00DE7B19" w:rsidSect="006C082E">
      <w:headerReference w:type="default" r:id="rId12"/>
      <w:footerReference w:type="default" r:id="rId13"/>
      <w:pgSz w:w="12240" w:h="15840"/>
      <w:pgMar w:top="1381" w:right="1985" w:bottom="1985" w:left="1985"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5BFF" w14:textId="77777777" w:rsidR="004D16A2" w:rsidRDefault="004D16A2" w:rsidP="00A5037A">
      <w:pPr>
        <w:spacing w:after="0" w:line="240" w:lineRule="auto"/>
      </w:pPr>
      <w:r>
        <w:separator/>
      </w:r>
    </w:p>
  </w:endnote>
  <w:endnote w:type="continuationSeparator" w:id="0">
    <w:p w14:paraId="66FA50C3" w14:textId="77777777" w:rsidR="004D16A2" w:rsidRDefault="004D16A2" w:rsidP="00A5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77F7" w14:textId="77777777" w:rsidR="002A2C6E" w:rsidRDefault="00000000" w:rsidP="006C082E">
    <w:pPr>
      <w:pStyle w:val="Sinespaciado"/>
      <w:rPr>
        <w:rFonts w:ascii="Arial" w:hAnsi="Arial" w:cs="Arial"/>
        <w:sz w:val="18"/>
        <w:szCs w:val="18"/>
      </w:rPr>
    </w:pPr>
  </w:p>
  <w:p w14:paraId="36D600E5" w14:textId="77777777" w:rsidR="00FE42ED" w:rsidRPr="00413EA0" w:rsidRDefault="00CB0E60" w:rsidP="00FE42ED">
    <w:pPr>
      <w:pStyle w:val="Piedepgina"/>
      <w:jc w:val="right"/>
      <w:rPr>
        <w:rFonts w:ascii="Arial" w:hAnsi="Arial" w:cs="Arial"/>
        <w:color w:val="7F7F7F"/>
        <w:sz w:val="16"/>
        <w:szCs w:val="16"/>
      </w:rPr>
    </w:pPr>
    <w:r w:rsidRPr="00413EA0">
      <w:rPr>
        <w:rFonts w:ascii="Arial" w:hAnsi="Arial" w:cs="Arial"/>
        <w:bCs/>
        <w:color w:val="7F7F7F"/>
        <w:sz w:val="16"/>
        <w:szCs w:val="16"/>
      </w:rPr>
      <w:t xml:space="preserve">Página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PAGE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1</w:t>
    </w:r>
    <w:r w:rsidRPr="00413EA0">
      <w:rPr>
        <w:rFonts w:ascii="Arial" w:hAnsi="Arial" w:cs="Arial"/>
        <w:b/>
        <w:bCs/>
        <w:color w:val="7F7F7F"/>
        <w:sz w:val="16"/>
        <w:szCs w:val="16"/>
      </w:rPr>
      <w:fldChar w:fldCharType="end"/>
    </w:r>
    <w:r w:rsidRPr="00413EA0">
      <w:rPr>
        <w:rFonts w:ascii="Arial" w:hAnsi="Arial" w:cs="Arial"/>
        <w:color w:val="7F7F7F"/>
        <w:sz w:val="16"/>
        <w:szCs w:val="16"/>
      </w:rPr>
      <w:t xml:space="preserve"> de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NUMPAGES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2</w:t>
    </w:r>
    <w:r w:rsidRPr="00413EA0">
      <w:rPr>
        <w:rFonts w:ascii="Arial" w:hAnsi="Arial" w:cs="Arial"/>
        <w:b/>
        <w:bCs/>
        <w:color w:val="7F7F7F"/>
        <w:sz w:val="16"/>
        <w:szCs w:val="16"/>
      </w:rPr>
      <w:fldChar w:fldCharType="end"/>
    </w:r>
  </w:p>
  <w:p w14:paraId="4AED1394" w14:textId="77777777" w:rsidR="009047C5" w:rsidRDefault="00CB0E60" w:rsidP="00322937">
    <w:pPr>
      <w:pStyle w:val="Piedepgina"/>
      <w:jc w:val="center"/>
      <w:rPr>
        <w:lang w:val="es-ES"/>
      </w:rPr>
    </w:pPr>
    <w:r>
      <w:rPr>
        <w:noProof/>
        <w:lang w:val="es-ES"/>
      </w:rPr>
      <w:drawing>
        <wp:inline distT="0" distB="0" distL="0" distR="0" wp14:anchorId="3581C022" wp14:editId="4DB49DCF">
          <wp:extent cx="5251450" cy="809514"/>
          <wp:effectExtent l="0" t="0" r="0" b="0"/>
          <wp:docPr id="66" name="Imagen 6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0" cy="809514"/>
                  </a:xfrm>
                  <a:prstGeom prst="rect">
                    <a:avLst/>
                  </a:prstGeom>
                  <a:noFill/>
                </pic:spPr>
              </pic:pic>
            </a:graphicData>
          </a:graphic>
        </wp:inline>
      </w:drawing>
    </w:r>
  </w:p>
  <w:p w14:paraId="0414EC10" w14:textId="77777777" w:rsidR="00322937" w:rsidRDefault="00000000" w:rsidP="007B0854">
    <w:pPr>
      <w:pStyle w:val="Piedepgina"/>
      <w:jc w:val="center"/>
      <w:rPr>
        <w:sz w:val="18"/>
        <w:szCs w:val="18"/>
        <w:lang w:val="es-ES"/>
      </w:rPr>
    </w:pPr>
  </w:p>
  <w:p w14:paraId="31B0C661" w14:textId="77777777" w:rsidR="002A2C6E" w:rsidRPr="00E756AC" w:rsidRDefault="00000000" w:rsidP="007B0854">
    <w:pPr>
      <w:pStyle w:val="Piedepgina"/>
      <w:jc w:val="center"/>
      <w:rPr>
        <w:sz w:val="18"/>
        <w:szCs w:val="18"/>
        <w:lang w:val="es-ES"/>
      </w:rPr>
    </w:pPr>
  </w:p>
  <w:p w14:paraId="65B7434A" w14:textId="77777777" w:rsidR="004A34D2" w:rsidRPr="00E756AC" w:rsidRDefault="00000000"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8F7B" w14:textId="77777777" w:rsidR="004D16A2" w:rsidRDefault="004D16A2" w:rsidP="00A5037A">
      <w:pPr>
        <w:spacing w:after="0" w:line="240" w:lineRule="auto"/>
      </w:pPr>
      <w:r>
        <w:separator/>
      </w:r>
    </w:p>
  </w:footnote>
  <w:footnote w:type="continuationSeparator" w:id="0">
    <w:p w14:paraId="34DA26BD" w14:textId="77777777" w:rsidR="004D16A2" w:rsidRDefault="004D16A2" w:rsidP="00A5037A">
      <w:pPr>
        <w:spacing w:after="0" w:line="240" w:lineRule="auto"/>
      </w:pPr>
      <w:r>
        <w:continuationSeparator/>
      </w:r>
    </w:p>
  </w:footnote>
  <w:footnote w:id="1">
    <w:p w14:paraId="32075E81" w14:textId="77777777" w:rsidR="00C813A3" w:rsidRPr="003E3C72" w:rsidRDefault="00C813A3" w:rsidP="00C813A3">
      <w:pPr>
        <w:pStyle w:val="Textonotapie"/>
        <w:rPr>
          <w:rFonts w:ascii="Geomanist Light" w:hAnsi="Geomanist Light" w:cs="Arial"/>
          <w:sz w:val="19"/>
          <w:szCs w:val="19"/>
          <w:lang w:val="es-ES"/>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color w:val="000000"/>
          <w:sz w:val="19"/>
          <w:szCs w:val="19"/>
        </w:rPr>
        <w:t xml:space="preserve">La Agencia Nacional de Contratación Pública </w:t>
      </w:r>
      <w:r w:rsidRPr="003E3C72">
        <w:rPr>
          <w:rFonts w:ascii="Courier New" w:hAnsi="Courier New" w:cs="Courier New"/>
          <w:color w:val="000000"/>
          <w:sz w:val="19"/>
          <w:szCs w:val="19"/>
        </w:rPr>
        <w:t>‒</w:t>
      </w:r>
      <w:r w:rsidRPr="003E3C72">
        <w:rPr>
          <w:rFonts w:ascii="Geomanist Light" w:hAnsi="Geomanist Light" w:cs="Arial"/>
          <w:color w:val="000000"/>
          <w:sz w:val="19"/>
          <w:szCs w:val="19"/>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FC138C1" w14:textId="77777777" w:rsidR="00C813A3" w:rsidRPr="003E3C72" w:rsidRDefault="00C813A3" w:rsidP="00C813A3">
      <w:pPr>
        <w:pStyle w:val="Textonotapie"/>
        <w:rPr>
          <w:rFonts w:ascii="Geomanist Light" w:hAnsi="Geomanist Light" w:cs="Arial"/>
          <w:color w:val="000000"/>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color w:val="000000"/>
          <w:sz w:val="19"/>
          <w:szCs w:val="19"/>
        </w:rPr>
        <w:t xml:space="preserve">Procuraduría General de la Nación. Concepto del 15 de octubre de 2014. Procuraduría </w:t>
      </w:r>
      <w:r w:rsidRPr="003E3C72">
        <w:rPr>
          <w:rFonts w:ascii="Geomanist Light" w:hAnsi="Geomanist Light" w:cs="Arial"/>
          <w:color w:val="000000"/>
          <w:sz w:val="19"/>
          <w:szCs w:val="19"/>
        </w:rPr>
        <w:t>Delegada para Asuntos Disciplinarios. Radicado PAD C-114-2014.</w:t>
      </w:r>
    </w:p>
    <w:p w14:paraId="12AB1F4E" w14:textId="77777777" w:rsidR="00C813A3" w:rsidRPr="003E3C72" w:rsidRDefault="00C813A3" w:rsidP="00C813A3">
      <w:pPr>
        <w:pStyle w:val="Textonotapie"/>
        <w:rPr>
          <w:rFonts w:ascii="Geomanist Light" w:hAnsi="Geomanist Light" w:cs="Arial"/>
          <w:sz w:val="19"/>
          <w:szCs w:val="19"/>
          <w:lang w:val="es-ES"/>
        </w:rPr>
      </w:pPr>
    </w:p>
  </w:footnote>
  <w:footnote w:id="3">
    <w:p w14:paraId="49DCA8FC" w14:textId="77777777" w:rsidR="00C813A3" w:rsidRPr="003E3C72" w:rsidRDefault="00C813A3" w:rsidP="00C813A3">
      <w:pPr>
        <w:pStyle w:val="Textonotapie"/>
        <w:rPr>
          <w:rFonts w:ascii="Geomanist Light" w:hAnsi="Geomanist Light" w:cs="Arial"/>
          <w:color w:val="000000"/>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color w:val="000000"/>
          <w:sz w:val="19"/>
          <w:szCs w:val="19"/>
        </w:rPr>
        <w:t>Contraloría General de la República. Oficina Jurídica. Concepto 80112-OJ-008 2017.</w:t>
      </w:r>
    </w:p>
    <w:p w14:paraId="314BA77C" w14:textId="77777777" w:rsidR="00C813A3" w:rsidRPr="003E3C72" w:rsidRDefault="00C813A3" w:rsidP="00C813A3">
      <w:pPr>
        <w:pStyle w:val="Textonotapie"/>
        <w:rPr>
          <w:rFonts w:ascii="Geomanist Light" w:hAnsi="Geomanist Light" w:cs="Arial"/>
          <w:sz w:val="19"/>
          <w:szCs w:val="19"/>
          <w:lang w:val="es-ES"/>
        </w:rPr>
      </w:pPr>
    </w:p>
  </w:footnote>
  <w:footnote w:id="4">
    <w:p w14:paraId="3E651504" w14:textId="77777777" w:rsidR="00C813A3" w:rsidRPr="003E3C72" w:rsidRDefault="00C813A3" w:rsidP="00C813A3">
      <w:pPr>
        <w:pStyle w:val="Textonotapie"/>
        <w:rPr>
          <w:rFonts w:ascii="Geomanist Light" w:hAnsi="Geomanist Light" w:cs="Arial"/>
          <w:sz w:val="19"/>
          <w:szCs w:val="19"/>
          <w:lang w:val="es-ES"/>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color w:val="000000"/>
          <w:sz w:val="19"/>
          <w:szCs w:val="19"/>
        </w:rPr>
        <w:t>ARBOLEDA PERDOMO, Enrique José. Comentarios al Nuevo Código de Procedimiento Administrativo y de lo Contencioso Administrativo (2ª ed.). Editorial Legis. Bogotá. 2012. p. 59</w:t>
      </w:r>
    </w:p>
  </w:footnote>
  <w:footnote w:id="5">
    <w:p w14:paraId="0A7E9A3E" w14:textId="77777777" w:rsidR="00190E0D" w:rsidRPr="003E3C72" w:rsidRDefault="00190E0D" w:rsidP="00190E0D">
      <w:pPr>
        <w:pStyle w:val="Textonotapie"/>
        <w:ind w:firstLine="708"/>
        <w:rPr>
          <w:rFonts w:ascii="Geomanist Light" w:hAnsi="Geomanist Light" w:cs="Arial"/>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bookmarkStart w:id="4" w:name="_Hlk44446097"/>
      <w:r w:rsidRPr="003E3C72">
        <w:rPr>
          <w:rFonts w:ascii="Geomanist Light" w:hAnsi="Geomanist Light" w:cs="Arial"/>
          <w:sz w:val="19"/>
          <w:szCs w:val="19"/>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35EFE523" w14:textId="77777777" w:rsidR="00190E0D" w:rsidRPr="003E3C72" w:rsidRDefault="00190E0D" w:rsidP="00190E0D">
      <w:pPr>
        <w:pStyle w:val="Textonotapie"/>
        <w:ind w:firstLine="708"/>
        <w:rPr>
          <w:rFonts w:ascii="Geomanist Light" w:hAnsi="Geomanist Light" w:cs="Arial"/>
          <w:sz w:val="19"/>
          <w:szCs w:val="19"/>
        </w:rPr>
      </w:pPr>
      <w:r w:rsidRPr="003E3C72">
        <w:rPr>
          <w:rFonts w:ascii="Geomanist Light" w:hAnsi="Geomanist Light" w:cs="Arial"/>
          <w:sz w:val="19"/>
          <w:szCs w:val="19"/>
        </w:rPr>
        <w:t>»El segundo sobre deberá incluir únicamente la propuesta económica de conformidad con todos los requisitos exigidos en el pliego de condiciones».</w:t>
      </w:r>
    </w:p>
    <w:bookmarkEnd w:id="4"/>
    <w:p w14:paraId="4F36346C" w14:textId="77777777" w:rsidR="00190E0D" w:rsidRPr="003E3C72" w:rsidRDefault="00190E0D" w:rsidP="00190E0D">
      <w:pPr>
        <w:pStyle w:val="Textonotapie"/>
        <w:ind w:firstLine="708"/>
        <w:rPr>
          <w:rFonts w:ascii="Geomanist Light" w:hAnsi="Geomanist Light" w:cs="Arial"/>
          <w:sz w:val="19"/>
          <w:szCs w:val="19"/>
        </w:rPr>
      </w:pPr>
      <w:r w:rsidRPr="003E3C72">
        <w:rPr>
          <w:rFonts w:ascii="Geomanist Light" w:hAnsi="Geomanist Light" w:cs="Arial"/>
          <w:sz w:val="19"/>
          <w:szCs w:val="19"/>
        </w:rPr>
        <w:t>[…]».</w:t>
      </w:r>
    </w:p>
  </w:footnote>
  <w:footnote w:id="6">
    <w:p w14:paraId="6C96EBE5" w14:textId="77777777" w:rsidR="008E084F" w:rsidRPr="003E3C72" w:rsidRDefault="008E084F" w:rsidP="008E084F">
      <w:pPr>
        <w:pStyle w:val="Textonotapie"/>
        <w:rPr>
          <w:rFonts w:ascii="Geomanist Light" w:hAnsi="Geomanist Light" w:cs="Arial"/>
          <w:sz w:val="19"/>
          <w:szCs w:val="19"/>
          <w:lang w:val="es-ES"/>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74E4ACF2" w14:textId="77777777" w:rsidR="008E084F" w:rsidRPr="003E3C72" w:rsidRDefault="008E084F" w:rsidP="008E084F">
      <w:pPr>
        <w:pStyle w:val="Textonotapie"/>
        <w:rPr>
          <w:rFonts w:ascii="Geomanist Light" w:hAnsi="Geomanist Light" w:cs="Arial"/>
          <w:sz w:val="19"/>
          <w:szCs w:val="19"/>
          <w:lang w:val="es-ES"/>
        </w:rPr>
      </w:pPr>
      <w:r w:rsidRPr="003E3C72">
        <w:rPr>
          <w:rFonts w:ascii="Geomanist Light" w:hAnsi="Geomanist Light"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3E3C72">
        <w:rPr>
          <w:rFonts w:ascii="Geomanist Light" w:hAnsi="Geomanist Light" w:cs="Arial"/>
          <w:i/>
          <w:iCs/>
          <w:sz w:val="19"/>
          <w:szCs w:val="19"/>
          <w:lang w:val="es-ES"/>
        </w:rPr>
        <w:t>costos directos</w:t>
      </w:r>
      <w:r w:rsidRPr="003E3C72">
        <w:rPr>
          <w:rFonts w:ascii="Geomanist Light" w:hAnsi="Geomanist Light" w:cs="Arial"/>
          <w:sz w:val="19"/>
          <w:szCs w:val="19"/>
          <w:lang w:val="es-ES"/>
        </w:rPr>
        <w:t xml:space="preserve"> y los</w:t>
      </w:r>
      <w:r w:rsidRPr="003E3C72">
        <w:rPr>
          <w:rFonts w:ascii="Geomanist Light" w:hAnsi="Geomanist Light" w:cs="Arial"/>
          <w:i/>
          <w:iCs/>
          <w:sz w:val="19"/>
          <w:szCs w:val="19"/>
          <w:lang w:val="es-ES"/>
        </w:rPr>
        <w:t xml:space="preserve"> costos indirectos</w:t>
      </w:r>
      <w:r w:rsidRPr="003E3C72">
        <w:rPr>
          <w:rFonts w:ascii="Geomanist Light" w:hAnsi="Geomanist Light"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3E3C72">
        <w:rPr>
          <w:rFonts w:ascii="Geomanist Light" w:hAnsi="Geomanist Light" w:cs="Arial"/>
          <w:i/>
          <w:iCs/>
          <w:sz w:val="19"/>
          <w:szCs w:val="19"/>
          <w:lang w:val="es-ES"/>
        </w:rPr>
        <w:t>ítems</w:t>
      </w:r>
      <w:r w:rsidRPr="003E3C72">
        <w:rPr>
          <w:rFonts w:ascii="Geomanist Light" w:hAnsi="Geomanist Light" w:cs="Arial"/>
          <w:sz w:val="19"/>
          <w:szCs w:val="19"/>
          <w:lang w:val="es-ES"/>
        </w:rPr>
        <w:t xml:space="preserve"> que componen el contrato–. Los costos </w:t>
      </w:r>
      <w:r w:rsidRPr="003E3C72">
        <w:rPr>
          <w:rFonts w:ascii="Geomanist Light" w:hAnsi="Geomanist Light" w:cs="Arial"/>
          <w:i/>
          <w:iCs/>
          <w:sz w:val="19"/>
          <w:szCs w:val="19"/>
          <w:lang w:val="es-ES"/>
        </w:rPr>
        <w:t>indirectos</w:t>
      </w:r>
      <w:r w:rsidRPr="003E3C72">
        <w:rPr>
          <w:rFonts w:ascii="Geomanist Light" w:hAnsi="Geomanist Light"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7">
    <w:p w14:paraId="7960B058" w14:textId="6E14A805" w:rsidR="00725BB6" w:rsidRPr="003E3C72" w:rsidRDefault="00725BB6" w:rsidP="00725BB6">
      <w:pPr>
        <w:pStyle w:val="Textonotapie"/>
        <w:ind w:firstLine="708"/>
        <w:rPr>
          <w:rFonts w:ascii="Geomanist Light" w:hAnsi="Geomanist Light" w:cs="Arial"/>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CONSEJO DE ESTADO. Sección Tercera. Subsección B. Sentencia del 14 de octubre de 2011. </w:t>
      </w:r>
      <w:r w:rsidRPr="003E3C72">
        <w:rPr>
          <w:rFonts w:ascii="Geomanist Light" w:hAnsi="Geomanist Light" w:cs="Arial"/>
          <w:sz w:val="19"/>
          <w:szCs w:val="19"/>
        </w:rPr>
        <w:t>Exp. 20811, C.P. Ruth Stella Correa Palacio.</w:t>
      </w:r>
    </w:p>
    <w:p w14:paraId="0D5A11B7" w14:textId="77777777" w:rsidR="00725BB6" w:rsidRPr="003E3C72" w:rsidRDefault="00725BB6" w:rsidP="00725BB6">
      <w:pPr>
        <w:pStyle w:val="Textonotapie"/>
        <w:rPr>
          <w:rFonts w:ascii="Geomanist Light" w:hAnsi="Geomanist Light" w:cs="Arial"/>
          <w:sz w:val="19"/>
          <w:szCs w:val="19"/>
          <w:lang w:val="es-ES"/>
        </w:rPr>
      </w:pPr>
    </w:p>
  </w:footnote>
  <w:footnote w:id="8">
    <w:p w14:paraId="536642C4" w14:textId="068659F9" w:rsidR="00725BB6" w:rsidRPr="003E3C72" w:rsidRDefault="00725BB6" w:rsidP="00725BB6">
      <w:pPr>
        <w:pStyle w:val="Textonotapie"/>
        <w:ind w:firstLine="708"/>
        <w:rPr>
          <w:rFonts w:ascii="Geomanist Light" w:hAnsi="Geomanist Light" w:cs="Arial"/>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CONSEJO DE ESTADO. Sala de Consulta y Servicio Civil. Concepto del 5 de septiembre de 2018, radicado No. 11001-03-06-000-2018-00124-00 C.P. Édgar González López.</w:t>
      </w:r>
    </w:p>
    <w:p w14:paraId="151C3644" w14:textId="77777777" w:rsidR="00725BB6" w:rsidRPr="003E3C72" w:rsidRDefault="00725BB6" w:rsidP="00725BB6">
      <w:pPr>
        <w:pStyle w:val="Textonotapie"/>
        <w:rPr>
          <w:rFonts w:ascii="Geomanist Light" w:hAnsi="Geomanist Light" w:cs="Arial"/>
          <w:sz w:val="19"/>
          <w:szCs w:val="19"/>
          <w:lang w:val="es-ES"/>
        </w:rPr>
      </w:pPr>
    </w:p>
  </w:footnote>
  <w:footnote w:id="9">
    <w:p w14:paraId="765A991B" w14:textId="77777777" w:rsidR="00725BB6" w:rsidRPr="003E3C72" w:rsidRDefault="00725BB6" w:rsidP="00725BB6">
      <w:pPr>
        <w:pStyle w:val="Textonotapie"/>
        <w:ind w:firstLine="708"/>
        <w:rPr>
          <w:rFonts w:ascii="Geomanist Light" w:hAnsi="Geomanist Light" w:cs="Arial"/>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0CB088D0" w14:textId="77777777" w:rsidR="00725BB6" w:rsidRPr="003E3C72" w:rsidRDefault="00725BB6" w:rsidP="00725BB6">
      <w:pPr>
        <w:pStyle w:val="Textonotapie"/>
        <w:ind w:firstLine="708"/>
        <w:rPr>
          <w:rFonts w:ascii="Geomanist Light" w:hAnsi="Geomanist Light" w:cs="Arial"/>
          <w:sz w:val="19"/>
          <w:szCs w:val="19"/>
          <w:lang w:val="es-ES"/>
        </w:rPr>
      </w:pPr>
    </w:p>
  </w:footnote>
  <w:footnote w:id="10">
    <w:p w14:paraId="6B7D4B88" w14:textId="0EB9FAA1" w:rsidR="00725BB6" w:rsidRPr="003E3C72" w:rsidRDefault="00725BB6" w:rsidP="00725BB6">
      <w:pPr>
        <w:pStyle w:val="Textonotapie"/>
        <w:ind w:firstLine="708"/>
        <w:rPr>
          <w:rFonts w:ascii="Geomanist Light" w:hAnsi="Geomanist Light" w:cs="Arial"/>
          <w:sz w:val="19"/>
          <w:szCs w:val="19"/>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eastAsia="Times New Roman" w:hAnsi="Geomanist Light" w:cs="Arial"/>
          <w:sz w:val="19"/>
          <w:szCs w:val="19"/>
          <w:lang w:eastAsia="es-ES"/>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3E3C72">
        <w:rPr>
          <w:rFonts w:ascii="Geomanist Light" w:hAnsi="Geomanist Light" w:cs="Arial"/>
          <w:sz w:val="19"/>
          <w:szCs w:val="19"/>
        </w:rPr>
        <w:t xml:space="preserve">» (CONSEJO DE ESTADO. Sección Tercera. Consejero Ponente: Ramiro Saavedra Becerra. Sentencia del 28 de agosto de 2003. Radicado: 17.554). </w:t>
      </w:r>
    </w:p>
    <w:p w14:paraId="40C7948C" w14:textId="77777777" w:rsidR="00725BB6" w:rsidRPr="003E3C72" w:rsidRDefault="00725BB6" w:rsidP="00725BB6">
      <w:pPr>
        <w:pStyle w:val="Textonotapie"/>
        <w:ind w:firstLine="708"/>
        <w:rPr>
          <w:rFonts w:ascii="Geomanist Light" w:hAnsi="Geomanist Light" w:cs="Arial"/>
          <w:sz w:val="19"/>
          <w:szCs w:val="19"/>
        </w:rPr>
      </w:pPr>
    </w:p>
  </w:footnote>
  <w:footnote w:id="11">
    <w:p w14:paraId="439A8751" w14:textId="77777777" w:rsidR="00725BB6" w:rsidRPr="003E3C72" w:rsidRDefault="00725BB6" w:rsidP="00725BB6">
      <w:pPr>
        <w:pStyle w:val="Textonotapie"/>
        <w:rPr>
          <w:rFonts w:ascii="Geomanist Light" w:hAnsi="Geomanist Light" w:cs="Arial"/>
          <w:sz w:val="19"/>
          <w:szCs w:val="19"/>
          <w:lang w:val="es-ES"/>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sz w:val="19"/>
          <w:szCs w:val="19"/>
          <w:lang w:val="es-ES"/>
        </w:rPr>
        <w:t xml:space="preserve">MARÍN, </w:t>
      </w:r>
      <w:r w:rsidRPr="003E3C72">
        <w:rPr>
          <w:rFonts w:ascii="Geomanist Light" w:hAnsi="Geomanist Light" w:cs="Arial"/>
          <w:sz w:val="19"/>
          <w:szCs w:val="19"/>
          <w:lang w:val="es-ES"/>
        </w:rPr>
        <w:t>Op. Cit., pp. 64-65.</w:t>
      </w:r>
    </w:p>
    <w:p w14:paraId="1A45FAB5" w14:textId="77777777" w:rsidR="00725BB6" w:rsidRPr="003E3C72" w:rsidRDefault="00725BB6" w:rsidP="00725BB6">
      <w:pPr>
        <w:pStyle w:val="Textonotapie"/>
        <w:rPr>
          <w:rFonts w:ascii="Geomanist Light" w:hAnsi="Geomanist Light" w:cs="Arial"/>
          <w:sz w:val="19"/>
          <w:szCs w:val="19"/>
          <w:lang w:val="es-ES"/>
        </w:rPr>
      </w:pPr>
    </w:p>
  </w:footnote>
  <w:footnote w:id="12">
    <w:p w14:paraId="09AFA1C9" w14:textId="77777777" w:rsidR="00725BB6" w:rsidRPr="003E3C72" w:rsidRDefault="00725BB6" w:rsidP="00725BB6">
      <w:pPr>
        <w:pStyle w:val="Textonotapie"/>
        <w:rPr>
          <w:rFonts w:ascii="Geomanist Light" w:hAnsi="Geomanist Light" w:cs="Arial"/>
          <w:sz w:val="19"/>
          <w:szCs w:val="19"/>
          <w:lang w:val="es-ES"/>
        </w:rPr>
      </w:pPr>
      <w:r w:rsidRPr="003E3C72">
        <w:rPr>
          <w:rStyle w:val="Refdenotaalpie"/>
          <w:rFonts w:ascii="Geomanist Light" w:hAnsi="Geomanist Light" w:cs="Arial"/>
          <w:sz w:val="19"/>
          <w:szCs w:val="19"/>
        </w:rPr>
        <w:footnoteRef/>
      </w:r>
      <w:r w:rsidRPr="003E3C72">
        <w:rPr>
          <w:rFonts w:ascii="Geomanist Light" w:hAnsi="Geomanist Light" w:cs="Arial"/>
          <w:sz w:val="19"/>
          <w:szCs w:val="19"/>
        </w:rPr>
        <w:t xml:space="preserve"> </w:t>
      </w:r>
      <w:r w:rsidRPr="003E3C72">
        <w:rPr>
          <w:rFonts w:ascii="Geomanist Light" w:hAnsi="Geomanist Light" w:cs="Arial"/>
          <w:sz w:val="19"/>
          <w:szCs w:val="19"/>
          <w:lang w:val="es-ES"/>
        </w:rPr>
        <w:t>Ibíd., p.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5A83" w14:textId="53B37300" w:rsidR="006C082E" w:rsidRDefault="00CB0E60" w:rsidP="002A2786">
    <w:pPr>
      <w:pStyle w:val="Encabezado"/>
      <w:jc w:val="right"/>
    </w:pPr>
    <w:r>
      <w:rPr>
        <w:noProof/>
      </w:rPr>
      <w:drawing>
        <wp:inline distT="0" distB="0" distL="0" distR="0" wp14:anchorId="28EEDDB2" wp14:editId="6EBBCBAE">
          <wp:extent cx="1688465" cy="701040"/>
          <wp:effectExtent l="0" t="0" r="6985" b="3810"/>
          <wp:docPr id="65" name="Imagen 65"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p w14:paraId="264FA1D1" w14:textId="77777777" w:rsidR="00A5037A" w:rsidRDefault="00A5037A" w:rsidP="002A278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622230784">
    <w:abstractNumId w:val="0"/>
  </w:num>
  <w:num w:numId="2" w16cid:durableId="11250000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46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7A"/>
    <w:rsid w:val="00072B53"/>
    <w:rsid w:val="000A352D"/>
    <w:rsid w:val="000C0A86"/>
    <w:rsid w:val="000C5060"/>
    <w:rsid w:val="000E3B7A"/>
    <w:rsid w:val="00102406"/>
    <w:rsid w:val="00123D29"/>
    <w:rsid w:val="00142399"/>
    <w:rsid w:val="00154EB3"/>
    <w:rsid w:val="00190E0D"/>
    <w:rsid w:val="001F7297"/>
    <w:rsid w:val="0021137D"/>
    <w:rsid w:val="0023483E"/>
    <w:rsid w:val="002F17F8"/>
    <w:rsid w:val="002F536F"/>
    <w:rsid w:val="00315092"/>
    <w:rsid w:val="003157A5"/>
    <w:rsid w:val="00371FA4"/>
    <w:rsid w:val="003C05D0"/>
    <w:rsid w:val="003E0D0D"/>
    <w:rsid w:val="003E3C72"/>
    <w:rsid w:val="0044319F"/>
    <w:rsid w:val="00463BBE"/>
    <w:rsid w:val="00482F33"/>
    <w:rsid w:val="004A6F13"/>
    <w:rsid w:val="004D16A2"/>
    <w:rsid w:val="004E5B6E"/>
    <w:rsid w:val="00516773"/>
    <w:rsid w:val="005209AF"/>
    <w:rsid w:val="00566E1E"/>
    <w:rsid w:val="0058078C"/>
    <w:rsid w:val="00604F61"/>
    <w:rsid w:val="0060701A"/>
    <w:rsid w:val="00633C1D"/>
    <w:rsid w:val="00634AD3"/>
    <w:rsid w:val="006759B6"/>
    <w:rsid w:val="00677461"/>
    <w:rsid w:val="006A2289"/>
    <w:rsid w:val="006A4161"/>
    <w:rsid w:val="006E3A76"/>
    <w:rsid w:val="006F02D6"/>
    <w:rsid w:val="00724939"/>
    <w:rsid w:val="00725BB6"/>
    <w:rsid w:val="0078684F"/>
    <w:rsid w:val="007C583B"/>
    <w:rsid w:val="007D1DDA"/>
    <w:rsid w:val="00804D43"/>
    <w:rsid w:val="00882E98"/>
    <w:rsid w:val="00896A48"/>
    <w:rsid w:val="00896F88"/>
    <w:rsid w:val="008E084F"/>
    <w:rsid w:val="008E27E5"/>
    <w:rsid w:val="009319C5"/>
    <w:rsid w:val="00970E75"/>
    <w:rsid w:val="00983EC7"/>
    <w:rsid w:val="009C55AF"/>
    <w:rsid w:val="00A112E3"/>
    <w:rsid w:val="00A35B73"/>
    <w:rsid w:val="00A423C2"/>
    <w:rsid w:val="00A5037A"/>
    <w:rsid w:val="00A84F11"/>
    <w:rsid w:val="00AE00A0"/>
    <w:rsid w:val="00B13075"/>
    <w:rsid w:val="00B56FCF"/>
    <w:rsid w:val="00B8621D"/>
    <w:rsid w:val="00BB7FC4"/>
    <w:rsid w:val="00BF194C"/>
    <w:rsid w:val="00C07005"/>
    <w:rsid w:val="00C10B67"/>
    <w:rsid w:val="00C14214"/>
    <w:rsid w:val="00C56FD2"/>
    <w:rsid w:val="00C66990"/>
    <w:rsid w:val="00C73B67"/>
    <w:rsid w:val="00C813A3"/>
    <w:rsid w:val="00CB0E60"/>
    <w:rsid w:val="00CB4202"/>
    <w:rsid w:val="00CC50CC"/>
    <w:rsid w:val="00CE71BE"/>
    <w:rsid w:val="00D472DF"/>
    <w:rsid w:val="00DB4C48"/>
    <w:rsid w:val="00DE42C7"/>
    <w:rsid w:val="00DE7B19"/>
    <w:rsid w:val="00E150EB"/>
    <w:rsid w:val="00E26EA7"/>
    <w:rsid w:val="00E41014"/>
    <w:rsid w:val="00F2540F"/>
    <w:rsid w:val="00F52967"/>
    <w:rsid w:val="00F947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88F6"/>
  <w15:chartTrackingRefBased/>
  <w15:docId w15:val="{F93FA5F4-646E-404A-BC24-58E9986A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03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037A"/>
  </w:style>
  <w:style w:type="paragraph" w:styleId="Piedepgina">
    <w:name w:val="footer"/>
    <w:basedOn w:val="Normal"/>
    <w:link w:val="PiedepginaCar"/>
    <w:uiPriority w:val="99"/>
    <w:unhideWhenUsed/>
    <w:rsid w:val="00A5037A"/>
    <w:pPr>
      <w:tabs>
        <w:tab w:val="center" w:pos="4419"/>
        <w:tab w:val="right" w:pos="8838"/>
      </w:tabs>
      <w:spacing w:after="0" w:line="240" w:lineRule="auto"/>
      <w:ind w:firstLine="0"/>
      <w:jc w:val="left"/>
    </w:pPr>
    <w:rPr>
      <w:sz w:val="24"/>
      <w:lang w:val="es-MX"/>
    </w:rPr>
  </w:style>
  <w:style w:type="character" w:customStyle="1" w:styleId="PiedepginaCar">
    <w:name w:val="Pie de página Car"/>
    <w:basedOn w:val="Fuentedeprrafopredeter"/>
    <w:link w:val="Piedepgina"/>
    <w:uiPriority w:val="99"/>
    <w:rsid w:val="00A5037A"/>
    <w:rPr>
      <w:sz w:val="24"/>
      <w:lang w:val="es-MX"/>
    </w:rPr>
  </w:style>
  <w:style w:type="paragraph" w:styleId="Sinespaciado">
    <w:name w:val="No Spacing"/>
    <w:uiPriority w:val="1"/>
    <w:qFormat/>
    <w:rsid w:val="00A5037A"/>
    <w:pPr>
      <w:spacing w:after="0" w:line="240" w:lineRule="auto"/>
      <w:ind w:firstLine="0"/>
      <w:jc w:val="left"/>
    </w:pPr>
    <w:rPr>
      <w:sz w:val="24"/>
      <w:lang w:val="es-MX"/>
    </w:rPr>
  </w:style>
  <w:style w:type="table" w:styleId="Tablaconcuadrcula">
    <w:name w:val="Table Grid"/>
    <w:basedOn w:val="Tablanormal"/>
    <w:uiPriority w:val="39"/>
    <w:qFormat/>
    <w:rsid w:val="00A5037A"/>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5037A"/>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A5037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A5037A"/>
    <w:rPr>
      <w:vertAlign w:val="superscript"/>
    </w:rPr>
  </w:style>
  <w:style w:type="paragraph" w:customStyle="1" w:styleId="Appelnotedebasde">
    <w:name w:val="Appel note de bas de..."/>
    <w:basedOn w:val="Normal"/>
    <w:link w:val="Refdenotaalpie"/>
    <w:rsid w:val="00A5037A"/>
    <w:pPr>
      <w:spacing w:after="160" w:line="240" w:lineRule="exact"/>
    </w:pPr>
    <w:rPr>
      <w:vertAlign w:val="superscript"/>
    </w:rPr>
  </w:style>
  <w:style w:type="paragraph" w:styleId="Revisin">
    <w:name w:val="Revision"/>
    <w:hidden/>
    <w:uiPriority w:val="99"/>
    <w:semiHidden/>
    <w:rsid w:val="00677461"/>
    <w:pPr>
      <w:spacing w:after="0" w:line="240" w:lineRule="auto"/>
      <w:ind w:firstLine="0"/>
      <w:jc w:val="left"/>
    </w:pPr>
  </w:style>
  <w:style w:type="character" w:styleId="Refdecomentario">
    <w:name w:val="annotation reference"/>
    <w:basedOn w:val="Fuentedeprrafopredeter"/>
    <w:uiPriority w:val="99"/>
    <w:semiHidden/>
    <w:unhideWhenUsed/>
    <w:rsid w:val="00AE00A0"/>
    <w:rPr>
      <w:sz w:val="16"/>
      <w:szCs w:val="16"/>
    </w:rPr>
  </w:style>
  <w:style w:type="paragraph" w:styleId="Textocomentario">
    <w:name w:val="annotation text"/>
    <w:basedOn w:val="Normal"/>
    <w:link w:val="TextocomentarioCar"/>
    <w:uiPriority w:val="99"/>
    <w:unhideWhenUsed/>
    <w:rsid w:val="00AE00A0"/>
    <w:pPr>
      <w:spacing w:line="240" w:lineRule="auto"/>
    </w:pPr>
    <w:rPr>
      <w:sz w:val="20"/>
      <w:szCs w:val="20"/>
    </w:rPr>
  </w:style>
  <w:style w:type="character" w:customStyle="1" w:styleId="TextocomentarioCar">
    <w:name w:val="Texto comentario Car"/>
    <w:basedOn w:val="Fuentedeprrafopredeter"/>
    <w:link w:val="Textocomentario"/>
    <w:uiPriority w:val="99"/>
    <w:rsid w:val="00AE00A0"/>
    <w:rPr>
      <w:sz w:val="20"/>
      <w:szCs w:val="20"/>
    </w:rPr>
  </w:style>
  <w:style w:type="paragraph" w:styleId="Asuntodelcomentario">
    <w:name w:val="annotation subject"/>
    <w:basedOn w:val="Textocomentario"/>
    <w:next w:val="Textocomentario"/>
    <w:link w:val="AsuntodelcomentarioCar"/>
    <w:uiPriority w:val="99"/>
    <w:semiHidden/>
    <w:unhideWhenUsed/>
    <w:rsid w:val="00AE00A0"/>
    <w:rPr>
      <w:b/>
      <w:bCs/>
    </w:rPr>
  </w:style>
  <w:style w:type="character" w:customStyle="1" w:styleId="AsuntodelcomentarioCar">
    <w:name w:val="Asunto del comentario Car"/>
    <w:basedOn w:val="TextocomentarioCar"/>
    <w:link w:val="Asuntodelcomentario"/>
    <w:uiPriority w:val="99"/>
    <w:semiHidden/>
    <w:rsid w:val="00AE0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057EC-6CBE-4AD5-84FD-6C097EF4556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97E2505-2AEF-4BE3-BDB5-76F6AB590486}">
  <ds:schemaRefs>
    <ds:schemaRef ds:uri="http://schemas.microsoft.com/sharepoint/v3/contenttype/forms"/>
  </ds:schemaRefs>
</ds:datastoreItem>
</file>

<file path=customXml/itemProps3.xml><?xml version="1.0" encoding="utf-8"?>
<ds:datastoreItem xmlns:ds="http://schemas.openxmlformats.org/officeDocument/2006/customXml" ds:itemID="{1525F83C-2CB6-4E69-8B45-301A9DD6F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4591</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Jorge Eliecer Moran Buitrón</cp:lastModifiedBy>
  <cp:revision>10</cp:revision>
  <dcterms:created xsi:type="dcterms:W3CDTF">2022-10-25T16:34:00Z</dcterms:created>
  <dcterms:modified xsi:type="dcterms:W3CDTF">2022-10-28T21:17:00Z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