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CAF6" w14:textId="77777777" w:rsidR="004B29A8" w:rsidRPr="009F7AF2" w:rsidRDefault="004B29A8" w:rsidP="009F7AF2">
      <w:pPr>
        <w:jc w:val="right"/>
        <w:rPr>
          <w:rFonts w:ascii="Arial" w:eastAsia="Times New Roman" w:hAnsi="Arial" w:cs="Arial"/>
          <w:sz w:val="16"/>
          <w:szCs w:val="16"/>
          <w:lang w:eastAsia="es-ES"/>
        </w:rPr>
      </w:pPr>
      <w:r w:rsidRPr="009F7AF2">
        <w:rPr>
          <w:rFonts w:ascii="Arial" w:eastAsia="Times New Roman" w:hAnsi="Arial" w:cs="Arial"/>
          <w:sz w:val="16"/>
          <w:szCs w:val="16"/>
          <w:lang w:eastAsia="es-ES"/>
        </w:rPr>
        <w:t>CCE-DES-FM-17</w:t>
      </w:r>
    </w:p>
    <w:p w14:paraId="6EFE8324" w14:textId="77777777" w:rsidR="00174DDB" w:rsidRPr="009F7AF2" w:rsidRDefault="00174DDB" w:rsidP="009F7AF2">
      <w:pPr>
        <w:jc w:val="both"/>
        <w:rPr>
          <w:rFonts w:ascii="Arial" w:eastAsia="Calibri" w:hAnsi="Arial" w:cs="Arial"/>
          <w:b/>
          <w:bCs/>
          <w:color w:val="000000" w:themeColor="text1"/>
          <w:sz w:val="22"/>
          <w:lang w:val="es-ES" w:eastAsia="es-ES"/>
        </w:rPr>
      </w:pPr>
    </w:p>
    <w:p w14:paraId="3BEF24AB" w14:textId="64676E47" w:rsidR="00174DDB" w:rsidRPr="009F7AF2" w:rsidRDefault="00174DDB" w:rsidP="009F7AF2">
      <w:pPr>
        <w:jc w:val="both"/>
        <w:rPr>
          <w:rFonts w:ascii="Arial" w:eastAsia="Calibri" w:hAnsi="Arial" w:cs="Arial"/>
          <w:b/>
          <w:bCs/>
          <w:color w:val="000000" w:themeColor="text1"/>
          <w:sz w:val="22"/>
          <w:lang w:val="es-ES"/>
        </w:rPr>
      </w:pPr>
      <w:r w:rsidRPr="009F7AF2">
        <w:rPr>
          <w:rFonts w:ascii="Arial" w:eastAsia="Calibri" w:hAnsi="Arial" w:cs="Arial"/>
          <w:b/>
          <w:bCs/>
          <w:color w:val="000000" w:themeColor="text1"/>
          <w:sz w:val="22"/>
          <w:lang w:val="es-ES" w:eastAsia="es-ES"/>
        </w:rPr>
        <w:t xml:space="preserve">COLOMBIA COMPRA EFICIENTE </w:t>
      </w:r>
      <w:r w:rsidRPr="009F7AF2">
        <w:rPr>
          <w:rFonts w:ascii="Arial" w:eastAsia="Calibri" w:hAnsi="Arial" w:cs="Arial"/>
          <w:b/>
          <w:color w:val="000000" w:themeColor="text1"/>
          <w:sz w:val="22"/>
          <w:lang w:val="es-ES" w:eastAsia="es-ES"/>
        </w:rPr>
        <w:t>–</w:t>
      </w:r>
      <w:r w:rsidRPr="009F7AF2">
        <w:rPr>
          <w:rFonts w:ascii="Arial" w:eastAsia="Calibri" w:hAnsi="Arial" w:cs="Arial"/>
          <w:b/>
          <w:bCs/>
          <w:color w:val="000000" w:themeColor="text1"/>
          <w:sz w:val="22"/>
          <w:lang w:val="es-ES" w:eastAsia="es-ES"/>
        </w:rPr>
        <w:t xml:space="preserve"> Competencia Consultiva – Contratación Estatal – Normas Generales</w:t>
      </w:r>
    </w:p>
    <w:p w14:paraId="605E845E" w14:textId="77777777" w:rsidR="00174DDB" w:rsidRPr="009F7AF2" w:rsidRDefault="00174DDB" w:rsidP="009F7AF2">
      <w:pPr>
        <w:jc w:val="both"/>
        <w:rPr>
          <w:rFonts w:ascii="Arial" w:hAnsi="Arial" w:cs="Arial"/>
          <w:bCs/>
          <w:color w:val="000000" w:themeColor="text1"/>
          <w:sz w:val="20"/>
          <w:szCs w:val="20"/>
          <w:lang w:val="es-ES" w:eastAsia="es-ES"/>
        </w:rPr>
      </w:pPr>
    </w:p>
    <w:p w14:paraId="2508F898" w14:textId="77777777" w:rsidR="00174DDB" w:rsidRPr="009F7AF2" w:rsidRDefault="00174DDB" w:rsidP="009F7AF2">
      <w:pPr>
        <w:spacing w:after="120"/>
        <w:jc w:val="both"/>
        <w:rPr>
          <w:rFonts w:ascii="Arial" w:eastAsia="Times New Roman" w:hAnsi="Arial" w:cs="Arial"/>
          <w:bCs/>
          <w:color w:val="000000" w:themeColor="text1"/>
          <w:sz w:val="20"/>
          <w:szCs w:val="20"/>
          <w:lang w:val="es-ES" w:eastAsia="es-ES"/>
        </w:rPr>
      </w:pPr>
      <w:r w:rsidRPr="009F7AF2">
        <w:rPr>
          <w:rFonts w:ascii="Arial" w:eastAsia="Times New Roman" w:hAnsi="Arial" w:cs="Arial"/>
          <w:bCs/>
          <w:color w:val="000000" w:themeColor="text1"/>
          <w:sz w:val="20"/>
          <w:szCs w:val="20"/>
          <w:lang w:val="es-ES" w:eastAsia="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285F34C8" w14:textId="6435AF04" w:rsidR="004B29A8" w:rsidRPr="009F7AF2" w:rsidRDefault="00174DDB" w:rsidP="009F7AF2">
      <w:pPr>
        <w:jc w:val="both"/>
        <w:rPr>
          <w:rFonts w:ascii="Arial" w:eastAsia="Calibri" w:hAnsi="Arial" w:cs="Arial"/>
          <w:b/>
          <w:sz w:val="20"/>
          <w:szCs w:val="20"/>
        </w:rPr>
      </w:pPr>
      <w:r w:rsidRPr="009F7AF2">
        <w:rPr>
          <w:rFonts w:ascii="Arial" w:eastAsia="Times New Roman" w:hAnsi="Arial" w:cs="Arial"/>
          <w:bCs/>
          <w:color w:val="000000" w:themeColor="text1"/>
          <w:sz w:val="20"/>
          <w:szCs w:val="20"/>
          <w:lang w:val="es-ES"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347B3E0E" w14:textId="77777777" w:rsidR="00174DDB" w:rsidRPr="009F7AF2" w:rsidRDefault="00174DDB" w:rsidP="009F7AF2">
      <w:pPr>
        <w:jc w:val="both"/>
        <w:rPr>
          <w:rFonts w:ascii="Arial" w:eastAsia="Arial" w:hAnsi="Arial" w:cs="Arial"/>
          <w:b/>
          <w:bCs/>
          <w:sz w:val="20"/>
          <w:szCs w:val="20"/>
          <w:lang w:eastAsia="es-CO"/>
        </w:rPr>
      </w:pPr>
      <w:bookmarkStart w:id="0" w:name="_Hlk72942111"/>
    </w:p>
    <w:p w14:paraId="506FF87A" w14:textId="77777777" w:rsidR="00EF3BCE" w:rsidRPr="009F7AF2" w:rsidRDefault="00EF3BCE" w:rsidP="009F7AF2">
      <w:pPr>
        <w:jc w:val="both"/>
        <w:rPr>
          <w:rFonts w:ascii="Arial" w:eastAsia="Calibri" w:hAnsi="Arial" w:cs="Arial"/>
          <w:b/>
          <w:sz w:val="22"/>
          <w:lang w:val="es-ES_tradnl"/>
        </w:rPr>
      </w:pPr>
      <w:bookmarkStart w:id="1" w:name="_Hlk77165666"/>
      <w:bookmarkStart w:id="2" w:name="_Hlk97039670"/>
      <w:r w:rsidRPr="009F7AF2">
        <w:rPr>
          <w:rFonts w:ascii="Arial" w:eastAsia="Calibri" w:hAnsi="Arial" w:cs="Arial"/>
          <w:b/>
          <w:sz w:val="22"/>
          <w:lang w:val="es-ES_tradnl"/>
        </w:rPr>
        <w:t>DOCUMENTOS TIPO – Obligatoriedad – Implementación</w:t>
      </w:r>
    </w:p>
    <w:p w14:paraId="729C2DF1" w14:textId="77777777" w:rsidR="00EF3BCE" w:rsidRPr="009F7AF2" w:rsidRDefault="00EF3BCE" w:rsidP="009F7AF2">
      <w:pPr>
        <w:jc w:val="both"/>
        <w:rPr>
          <w:rFonts w:ascii="Arial" w:eastAsia="Calibri" w:hAnsi="Arial" w:cs="Arial"/>
          <w:sz w:val="20"/>
          <w:szCs w:val="20"/>
          <w:lang w:val="es-ES_tradnl"/>
        </w:rPr>
      </w:pPr>
    </w:p>
    <w:p w14:paraId="6C9B7DA5" w14:textId="322BCA21" w:rsidR="00EF3BCE" w:rsidRPr="009F7AF2" w:rsidRDefault="00AC6740" w:rsidP="009F7AF2">
      <w:pPr>
        <w:jc w:val="both"/>
        <w:rPr>
          <w:rFonts w:ascii="Arial" w:eastAsia="Calibri" w:hAnsi="Arial" w:cs="Arial"/>
          <w:sz w:val="20"/>
          <w:szCs w:val="20"/>
          <w:lang w:val="es-ES_tradnl"/>
        </w:rPr>
      </w:pPr>
      <w:r w:rsidRPr="00AC6740">
        <w:rPr>
          <w:rFonts w:ascii="Arial" w:eastAsia="Calibri" w:hAnsi="Arial" w:cs="Arial"/>
          <w:sz w:val="20"/>
          <w:szCs w:val="20"/>
          <w:lang w:val="es-ES_tradnl"/>
        </w:rPr>
        <w:t>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w:t>
      </w:r>
      <w:r w:rsidR="00EF3BCE" w:rsidRPr="009F7AF2">
        <w:rPr>
          <w:rFonts w:ascii="Arial" w:eastAsia="Calibri" w:hAnsi="Arial" w:cs="Arial"/>
          <w:sz w:val="20"/>
          <w:szCs w:val="20"/>
          <w:lang w:val="es-ES_tradnl"/>
        </w:rPr>
        <w:t xml:space="preserve"> </w:t>
      </w:r>
    </w:p>
    <w:p w14:paraId="24300FF7" w14:textId="77777777" w:rsidR="00EF3BCE" w:rsidRDefault="00EF3BCE" w:rsidP="009F7AF2">
      <w:pPr>
        <w:jc w:val="both"/>
        <w:rPr>
          <w:rFonts w:ascii="Arial" w:eastAsia="Calibri" w:hAnsi="Arial" w:cs="Arial"/>
          <w:sz w:val="20"/>
          <w:szCs w:val="20"/>
          <w:lang w:val="es-ES_tradnl"/>
        </w:rPr>
      </w:pPr>
    </w:p>
    <w:p w14:paraId="37ED2317" w14:textId="4D4B7E79" w:rsidR="00AC6740" w:rsidRDefault="00AC6740" w:rsidP="009F7AF2">
      <w:pPr>
        <w:jc w:val="both"/>
        <w:rPr>
          <w:rFonts w:ascii="Arial" w:eastAsia="Calibri" w:hAnsi="Arial" w:cs="Arial"/>
          <w:sz w:val="20"/>
          <w:szCs w:val="20"/>
          <w:lang w:val="es-ES_tradnl"/>
        </w:rPr>
      </w:pPr>
      <w:r w:rsidRPr="009F7AF2">
        <w:rPr>
          <w:rFonts w:ascii="Arial" w:hAnsi="Arial" w:cs="Arial"/>
          <w:sz w:val="20"/>
          <w:szCs w:val="20"/>
        </w:rPr>
        <w:t>[…]</w:t>
      </w:r>
      <w:r w:rsidRPr="009F7AF2">
        <w:rPr>
          <w:rFonts w:ascii="Arial" w:eastAsia="Calibri" w:hAnsi="Arial" w:cs="Arial"/>
          <w:sz w:val="20"/>
          <w:szCs w:val="20"/>
          <w:lang w:val="es-ES_tradnl"/>
        </w:rPr>
        <w:t xml:space="preserve"> </w:t>
      </w:r>
      <w:r w:rsidRPr="00AC6740">
        <w:rPr>
          <w:rFonts w:ascii="Arial" w:eastAsia="Calibri" w:hAnsi="Arial" w:cs="Arial"/>
          <w:sz w:val="20"/>
          <w:szCs w:val="20"/>
          <w:lang w:val="es-ES_tradnl"/>
        </w:rPr>
        <w:t xml:space="preserve">Con posterioridad a la adopción de los anteriores documentos tipo, se expidió la Ley 2022 del 22 de julio de 2020, norma que modificó 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específicamente, a la Agencia Nacional de Contratación Pública – Colombia Compra Eficiente la competencia para su adopción. </w:t>
      </w:r>
    </w:p>
    <w:p w14:paraId="1F67FF3A" w14:textId="77777777" w:rsidR="00AC6740" w:rsidRPr="009F7AF2" w:rsidRDefault="00AC6740" w:rsidP="009F7AF2">
      <w:pPr>
        <w:jc w:val="both"/>
        <w:rPr>
          <w:rFonts w:ascii="Arial" w:eastAsia="Calibri" w:hAnsi="Arial" w:cs="Arial"/>
          <w:sz w:val="20"/>
          <w:szCs w:val="20"/>
          <w:lang w:val="es-ES_tradnl"/>
        </w:rPr>
      </w:pPr>
    </w:p>
    <w:p w14:paraId="41891916" w14:textId="77777777" w:rsidR="00EF3BCE" w:rsidRPr="009F7AF2" w:rsidRDefault="00EF3BCE" w:rsidP="009F7AF2">
      <w:pPr>
        <w:jc w:val="both"/>
        <w:rPr>
          <w:rFonts w:ascii="Arial" w:eastAsia="Calibri" w:hAnsi="Arial" w:cs="Arial"/>
          <w:sz w:val="20"/>
          <w:szCs w:val="20"/>
          <w:lang w:val="es-ES_tradnl"/>
        </w:rPr>
      </w:pPr>
      <w:r w:rsidRPr="009F7AF2">
        <w:rPr>
          <w:rFonts w:ascii="Arial" w:eastAsia="Calibri" w:hAnsi="Arial" w:cs="Arial"/>
          <w:b/>
          <w:sz w:val="22"/>
          <w:lang w:val="es-ES_tradnl"/>
        </w:rPr>
        <w:t>DOCUMENTOS TIPO – Ámbito de aplicación</w:t>
      </w:r>
    </w:p>
    <w:p w14:paraId="43943D27" w14:textId="77777777" w:rsidR="00EF3BCE" w:rsidRPr="009F7AF2" w:rsidRDefault="00EF3BCE" w:rsidP="009F7AF2">
      <w:pPr>
        <w:jc w:val="both"/>
        <w:rPr>
          <w:rFonts w:ascii="Arial" w:eastAsia="Calibri" w:hAnsi="Arial" w:cs="Arial"/>
          <w:sz w:val="20"/>
          <w:szCs w:val="20"/>
          <w:lang w:val="es-ES_tradnl"/>
        </w:rPr>
      </w:pPr>
    </w:p>
    <w:p w14:paraId="2F749FF5" w14:textId="493639F3" w:rsidR="005D3CBE" w:rsidRPr="009F7AF2" w:rsidRDefault="00AC6740" w:rsidP="009F7AF2">
      <w:pPr>
        <w:jc w:val="both"/>
        <w:rPr>
          <w:rFonts w:ascii="Arial" w:eastAsia="Calibri" w:hAnsi="Arial" w:cs="Arial"/>
          <w:sz w:val="20"/>
          <w:szCs w:val="20"/>
          <w:lang w:val="es-ES_tradnl"/>
        </w:rPr>
      </w:pPr>
      <w:r w:rsidRPr="00AC6740">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w:t>
      </w:r>
      <w:r w:rsidRPr="00AC6740">
        <w:rPr>
          <w:rFonts w:ascii="Arial" w:eastAsia="Calibri" w:hAnsi="Arial" w:cs="Arial"/>
          <w:sz w:val="20"/>
          <w:szCs w:val="20"/>
          <w:lang w:val="es-ES_tradnl"/>
        </w:rPr>
        <w:lastRenderedPageBreak/>
        <w:t>entidad estará obligada a adelantar el Proceso de Contratación aplicando los documentos tipo del caso.</w:t>
      </w:r>
    </w:p>
    <w:p w14:paraId="74C671C8" w14:textId="77777777" w:rsidR="00EF3BCE" w:rsidRPr="009F7AF2" w:rsidRDefault="00EF3BCE" w:rsidP="009F7AF2">
      <w:pPr>
        <w:jc w:val="both"/>
        <w:rPr>
          <w:rFonts w:ascii="Arial" w:eastAsia="Calibri" w:hAnsi="Arial" w:cs="Arial"/>
          <w:sz w:val="20"/>
          <w:szCs w:val="20"/>
          <w:lang w:val="es-ES_tradnl"/>
        </w:rPr>
      </w:pPr>
    </w:p>
    <w:bookmarkEnd w:id="1"/>
    <w:bookmarkEnd w:id="2"/>
    <w:p w14:paraId="5B8A2F77" w14:textId="77777777" w:rsidR="00AE78FA" w:rsidRPr="009F7AF2" w:rsidRDefault="00AE78FA" w:rsidP="009F7AF2">
      <w:pPr>
        <w:jc w:val="both"/>
        <w:rPr>
          <w:rFonts w:ascii="Arial" w:eastAsia="Calibri" w:hAnsi="Arial" w:cs="Arial"/>
          <w:b/>
          <w:sz w:val="22"/>
        </w:rPr>
      </w:pPr>
      <w:r w:rsidRPr="009F7AF2">
        <w:rPr>
          <w:rFonts w:ascii="Arial" w:eastAsia="Calibri" w:hAnsi="Arial" w:cs="Arial"/>
          <w:b/>
          <w:bCs/>
          <w:sz w:val="22"/>
          <w:lang w:val="es-ES_tradnl"/>
        </w:rPr>
        <w:t xml:space="preserve">DOCUMENTOS TIPO – Infraestructura social – Sectores – Educativo – Salud – Cultura, recreación y deporte – Matriz de experiencia – Aplicación </w:t>
      </w:r>
    </w:p>
    <w:p w14:paraId="5F4BC823" w14:textId="77777777" w:rsidR="00AE78FA" w:rsidRPr="009F7AF2" w:rsidRDefault="00AE78FA" w:rsidP="009F7AF2">
      <w:pPr>
        <w:jc w:val="both"/>
        <w:rPr>
          <w:rFonts w:ascii="Arial" w:eastAsia="Calibri" w:hAnsi="Arial" w:cs="Arial"/>
          <w:sz w:val="20"/>
          <w:szCs w:val="20"/>
        </w:rPr>
      </w:pPr>
    </w:p>
    <w:p w14:paraId="7949D3BB" w14:textId="20C28C11"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 xml:space="preserve">Las Resoluciones 220, 392 y 454 del 2021, en el artículo 2, desarrollan el </w:t>
      </w:r>
      <w:r w:rsidRPr="009F7AF2">
        <w:rPr>
          <w:rFonts w:ascii="Arial" w:eastAsia="Calibri" w:hAnsi="Arial" w:cs="Arial"/>
          <w:i/>
          <w:iCs/>
          <w:sz w:val="20"/>
          <w:szCs w:val="20"/>
          <w:lang w:val="es-ES_tradnl"/>
        </w:rPr>
        <w:t>«Anexo − Glosario»</w:t>
      </w:r>
      <w:r w:rsidRPr="009F7AF2">
        <w:rPr>
          <w:rFonts w:ascii="Arial" w:eastAsia="Calibri" w:hAnsi="Arial" w:cs="Arial"/>
          <w:sz w:val="20"/>
          <w:szCs w:val="20"/>
          <w:lang w:val="es-ES_tradnl"/>
        </w:rPr>
        <w:t xml:space="preserve"> y la </w:t>
      </w:r>
      <w:r w:rsidRPr="009F7AF2">
        <w:rPr>
          <w:rFonts w:ascii="Arial" w:eastAsia="Calibri" w:hAnsi="Arial" w:cs="Arial"/>
          <w:i/>
          <w:iCs/>
          <w:sz w:val="20"/>
          <w:szCs w:val="20"/>
          <w:lang w:val="es-ES_tradnl"/>
        </w:rPr>
        <w:t xml:space="preserve">«Matriz − Experiencia» </w:t>
      </w:r>
      <w:r w:rsidRPr="009F7AF2">
        <w:rPr>
          <w:rFonts w:ascii="Arial" w:eastAsia="Calibri" w:hAnsi="Arial" w:cs="Arial"/>
          <w:sz w:val="20"/>
          <w:szCs w:val="20"/>
          <w:lang w:val="es-ES_tradnl"/>
        </w:rPr>
        <w:t xml:space="preserve">de cada sector en particular −educativo; salud; cultura, recreación y deporte− de los documentos tipo complementarios de licitación de obra pública de infraestructura social, lo que significa que estos documentos definen el alcance para cada sector. </w:t>
      </w:r>
    </w:p>
    <w:p w14:paraId="628425EA" w14:textId="77777777" w:rsidR="00AE78FA" w:rsidRPr="009F7AF2" w:rsidRDefault="00AE78FA" w:rsidP="009F7AF2">
      <w:pPr>
        <w:jc w:val="both"/>
        <w:rPr>
          <w:rFonts w:ascii="Arial" w:eastAsia="Calibri" w:hAnsi="Arial" w:cs="Arial"/>
          <w:sz w:val="20"/>
          <w:szCs w:val="20"/>
          <w:lang w:val="es-ES_tradnl"/>
        </w:rPr>
      </w:pPr>
    </w:p>
    <w:p w14:paraId="204CB827" w14:textId="58F663B0"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 xml:space="preserve">De esta forma, la Matriz de experiencia de cada sector mencionado consta de unas celdas en las que se describe la experiencia requerida en relación con el objeto a contratar,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respectiva. Por otro lado, el «Anexo 3 – Glosario», contiene las definiciones de los términos usados en los documentos del proceso. Utilizando estos dos documentos, la </w:t>
      </w:r>
      <w:r w:rsidR="00A66B2C" w:rsidRPr="009F7AF2">
        <w:rPr>
          <w:rFonts w:ascii="Arial" w:eastAsia="Calibri" w:hAnsi="Arial" w:cs="Arial"/>
          <w:sz w:val="20"/>
          <w:szCs w:val="20"/>
          <w:lang w:val="es-ES_tradnl"/>
        </w:rPr>
        <w:t>Entidad Estatal</w:t>
      </w:r>
      <w:r w:rsidRPr="009F7AF2">
        <w:rPr>
          <w:rFonts w:ascii="Arial" w:eastAsia="Calibri" w:hAnsi="Arial" w:cs="Arial"/>
          <w:sz w:val="20"/>
          <w:szCs w:val="20"/>
          <w:lang w:val="es-ES_tradnl"/>
        </w:rPr>
        <w:t xml:space="preserve"> puede definir si el objeto a contratarse debe aplicar los documentos tipo de licitación de obra pública de infraestructura social relacionados con el sector educativo, salud y cultura, recreación y deporte −según corresponda−. </w:t>
      </w:r>
    </w:p>
    <w:p w14:paraId="3B254B32" w14:textId="77777777" w:rsidR="00AE78FA" w:rsidRPr="009F7AF2" w:rsidRDefault="00AE78FA" w:rsidP="009F7AF2">
      <w:pPr>
        <w:jc w:val="both"/>
        <w:rPr>
          <w:rFonts w:ascii="Arial" w:eastAsia="Calibri" w:hAnsi="Arial" w:cs="Arial"/>
          <w:sz w:val="20"/>
          <w:szCs w:val="20"/>
          <w:lang w:val="es-ES_tradnl"/>
        </w:rPr>
      </w:pPr>
    </w:p>
    <w:p w14:paraId="3A417687" w14:textId="053E41DE"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De acuerdo con lo anterior, la Matriz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407185EA" w14:textId="77777777" w:rsidR="00AE78FA" w:rsidRPr="009F7AF2" w:rsidRDefault="00AE78FA" w:rsidP="009F7AF2">
      <w:pPr>
        <w:jc w:val="both"/>
        <w:rPr>
          <w:rFonts w:ascii="Arial" w:eastAsia="Calibri" w:hAnsi="Arial" w:cs="Arial"/>
          <w:sz w:val="20"/>
          <w:szCs w:val="20"/>
          <w:lang w:val="es-ES_tradnl"/>
        </w:rPr>
      </w:pPr>
    </w:p>
    <w:p w14:paraId="65B6B3D1" w14:textId="2FBBF3A6"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De esta manera, para saber a qué actividades deben aplicarse los documentos tipo de licitación de obra pública de infraestructura social relacionados con el sector educativo, salud y cultura, recreación y deporte,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p>
    <w:p w14:paraId="18F495CB" w14:textId="77777777" w:rsidR="00AE78FA" w:rsidRPr="009F7AF2" w:rsidRDefault="00AE78FA" w:rsidP="009F7AF2">
      <w:pPr>
        <w:jc w:val="both"/>
        <w:rPr>
          <w:rFonts w:ascii="Arial" w:eastAsia="Calibri" w:hAnsi="Arial" w:cs="Arial"/>
          <w:sz w:val="20"/>
          <w:szCs w:val="20"/>
          <w:lang w:val="es-ES_tradnl"/>
        </w:rPr>
      </w:pPr>
      <w:bookmarkStart w:id="3" w:name="_Hlk110436138"/>
    </w:p>
    <w:p w14:paraId="2D1D510A" w14:textId="52BF7BF3" w:rsidR="00AE78FA" w:rsidRPr="009F7AF2" w:rsidRDefault="00AE78FA" w:rsidP="009F7AF2">
      <w:pPr>
        <w:jc w:val="both"/>
        <w:rPr>
          <w:rFonts w:ascii="Arial" w:eastAsia="Calibri" w:hAnsi="Arial" w:cs="Arial"/>
          <w:b/>
          <w:bCs/>
          <w:sz w:val="22"/>
          <w:lang w:val="es-ES_tradnl"/>
        </w:rPr>
      </w:pPr>
      <w:r w:rsidRPr="009F7AF2">
        <w:rPr>
          <w:rFonts w:ascii="Arial" w:eastAsia="Calibri" w:hAnsi="Arial" w:cs="Arial"/>
          <w:b/>
          <w:bCs/>
          <w:sz w:val="22"/>
          <w:lang w:val="es-ES_tradnl"/>
        </w:rPr>
        <w:t>BIENES Y OBRAS ADICIONALES – Reglas de combinación de experiencia – Acreditación de magnitudes intervenidas</w:t>
      </w:r>
    </w:p>
    <w:p w14:paraId="170304BA" w14:textId="77777777" w:rsidR="00AE78FA" w:rsidRPr="009F7AF2" w:rsidRDefault="00AE78FA" w:rsidP="009F7AF2">
      <w:pPr>
        <w:jc w:val="both"/>
        <w:rPr>
          <w:rFonts w:ascii="Arial" w:eastAsia="Calibri" w:hAnsi="Arial" w:cs="Arial"/>
          <w:sz w:val="20"/>
          <w:szCs w:val="20"/>
          <w:lang w:val="es-ES_tradnl"/>
        </w:rPr>
      </w:pPr>
    </w:p>
    <w:bookmarkEnd w:id="3"/>
    <w:p w14:paraId="58BAA6A0" w14:textId="7951EA57" w:rsidR="00983221" w:rsidRPr="009F7AF2" w:rsidRDefault="00BA179A" w:rsidP="009F7AF2">
      <w:pPr>
        <w:jc w:val="both"/>
        <w:rPr>
          <w:rFonts w:ascii="Arial" w:eastAsia="Calibri" w:hAnsi="Arial" w:cs="Arial"/>
          <w:sz w:val="20"/>
          <w:szCs w:val="20"/>
        </w:rPr>
      </w:pPr>
      <w:r w:rsidRPr="009F7AF2">
        <w:rPr>
          <w:rFonts w:ascii="Arial" w:hAnsi="Arial" w:cs="Arial"/>
          <w:sz w:val="20"/>
          <w:szCs w:val="20"/>
        </w:rPr>
        <w:t>[…]</w:t>
      </w:r>
      <w:r w:rsidR="00AE78FA" w:rsidRPr="009F7AF2">
        <w:rPr>
          <w:rFonts w:ascii="Arial" w:eastAsia="Calibri" w:hAnsi="Arial" w:cs="Arial"/>
          <w:sz w:val="20"/>
          <w:szCs w:val="20"/>
          <w:lang w:val="es-ES_tradnl"/>
        </w:rPr>
        <w:t xml:space="preserve"> el literal A del numeral 3.5.1. «CARACTERÍSTICAS DE LOS CONTRATOS PRESENTADOS</w:t>
      </w:r>
      <w:r w:rsidR="00AE78FA" w:rsidRPr="009F7AF2">
        <w:rPr>
          <w:rFonts w:ascii="Arial" w:eastAsia="Calibri" w:hAnsi="Arial" w:cs="Arial"/>
          <w:sz w:val="20"/>
          <w:szCs w:val="20"/>
        </w:rPr>
        <w:t xml:space="preserve"> PARA ACREDITAR LA EXPERIENCIA EXIGIDA» del Documento Base de licitación de obra pública de infraestructura social, establece las reglas que deben tener en cuenta las entidades estatales y los particulares en caso de que se soliciten combinaciones de diferentes actividades a contratar de una misma o de diferentes matrices de experiencia:[…] Una vez definida la actividad principal y </w:t>
      </w:r>
      <w:r w:rsidR="00AE78FA" w:rsidRPr="009F7AF2">
        <w:rPr>
          <w:rFonts w:ascii="Arial" w:eastAsia="Calibri" w:hAnsi="Arial" w:cs="Arial"/>
          <w:sz w:val="20"/>
          <w:szCs w:val="20"/>
        </w:rPr>
        <w:lastRenderedPageBreak/>
        <w:t xml:space="preserve">secundaria, la </w:t>
      </w:r>
      <w:r w:rsidR="00A66B2C" w:rsidRPr="009F7AF2">
        <w:rPr>
          <w:rFonts w:ascii="Arial" w:eastAsia="Calibri" w:hAnsi="Arial" w:cs="Arial"/>
          <w:sz w:val="20"/>
          <w:szCs w:val="20"/>
        </w:rPr>
        <w:t>Entidad Estatal</w:t>
      </w:r>
      <w:r w:rsidR="00AE78FA" w:rsidRPr="009F7AF2">
        <w:rPr>
          <w:rFonts w:ascii="Arial" w:eastAsia="Calibri" w:hAnsi="Arial" w:cs="Arial"/>
          <w:sz w:val="20"/>
          <w:szCs w:val="20"/>
        </w:rPr>
        <w:t xml:space="preserve">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las matrices de experiencia de los documentos tipo de infraestructura social, o ii)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La experiencia exigible para las actividades principal y </w:t>
      </w:r>
      <w:r w:rsidR="001B32B8" w:rsidRPr="009F7AF2">
        <w:rPr>
          <w:rFonts w:ascii="Arial" w:eastAsia="Calibri" w:hAnsi="Arial" w:cs="Arial"/>
          <w:sz w:val="20"/>
          <w:szCs w:val="20"/>
        </w:rPr>
        <w:t>secundaria</w:t>
      </w:r>
      <w:r w:rsidR="00AE78FA" w:rsidRPr="009F7AF2">
        <w:rPr>
          <w:rFonts w:ascii="Arial" w:eastAsia="Calibri" w:hAnsi="Arial" w:cs="Arial"/>
          <w:sz w:val="20"/>
          <w:szCs w:val="20"/>
        </w:rPr>
        <w:t xml:space="preserve"> debe ser definida en función de los rangos de cuantías aplicables al respectivo </w:t>
      </w:r>
      <w:r w:rsidR="00A66B2C" w:rsidRPr="009F7AF2">
        <w:rPr>
          <w:rFonts w:ascii="Arial" w:eastAsia="Calibri" w:hAnsi="Arial" w:cs="Arial"/>
          <w:sz w:val="20"/>
          <w:szCs w:val="20"/>
        </w:rPr>
        <w:t>Proceso de Contratación</w:t>
      </w:r>
      <w:r w:rsidR="00AE78FA" w:rsidRPr="009F7AF2">
        <w:rPr>
          <w:rFonts w:ascii="Arial" w:eastAsia="Calibri" w:hAnsi="Arial" w:cs="Arial"/>
          <w:sz w:val="20"/>
          <w:szCs w:val="20"/>
        </w:rPr>
        <w:t>. En todo caso, la entidad contratante no puede incluir más de 2 combinaciones de experiencia adicionales a la prevista para la actividad principal.</w:t>
      </w:r>
    </w:p>
    <w:p w14:paraId="125F8C1A" w14:textId="77777777" w:rsidR="00983221" w:rsidRPr="009F7AF2" w:rsidRDefault="00983221" w:rsidP="009F7AF2">
      <w:pPr>
        <w:spacing w:after="200" w:line="276" w:lineRule="auto"/>
        <w:rPr>
          <w:rFonts w:ascii="Arial" w:eastAsia="Calibri" w:hAnsi="Arial" w:cs="Arial"/>
          <w:sz w:val="20"/>
          <w:szCs w:val="20"/>
        </w:rPr>
      </w:pPr>
      <w:r w:rsidRPr="009F7AF2">
        <w:rPr>
          <w:rFonts w:ascii="Arial" w:eastAsia="Calibri" w:hAnsi="Arial" w:cs="Arial"/>
          <w:sz w:val="20"/>
          <w:szCs w:val="20"/>
        </w:rPr>
        <w:br w:type="page"/>
      </w:r>
    </w:p>
    <w:p w14:paraId="4FEAAC09" w14:textId="77777777" w:rsidR="005D3CBE" w:rsidRPr="009F7AF2" w:rsidRDefault="005D3CBE" w:rsidP="009F7AF2">
      <w:pPr>
        <w:tabs>
          <w:tab w:val="left" w:pos="3374"/>
        </w:tabs>
        <w:rPr>
          <w:rFonts w:ascii="Arial" w:eastAsia="Calibri" w:hAnsi="Arial" w:cs="Arial"/>
        </w:rPr>
      </w:pPr>
    </w:p>
    <w:p w14:paraId="1B8938E7" w14:textId="6D713BDD" w:rsidR="00DE1E1A" w:rsidRPr="009F7AF2" w:rsidRDefault="004E2290" w:rsidP="009F7AF2">
      <w:pPr>
        <w:tabs>
          <w:tab w:val="left" w:pos="3374"/>
        </w:tabs>
        <w:rPr>
          <w:rFonts w:ascii="Arial" w:eastAsia="Calibri" w:hAnsi="Arial" w:cs="Arial"/>
        </w:rPr>
      </w:pPr>
      <w:r w:rsidRPr="009F7AF2">
        <w:rPr>
          <w:rFonts w:ascii="Arial" w:eastAsia="Calibri" w:hAnsi="Arial" w:cs="Arial"/>
        </w:rPr>
        <w:t xml:space="preserve">Bogotá D.C., </w:t>
      </w:r>
      <w:r w:rsidR="00AC6740">
        <w:rPr>
          <w:rFonts w:ascii="Arial" w:eastAsia="Calibri" w:hAnsi="Arial" w:cs="Arial"/>
        </w:rPr>
        <w:t>27 de octubre</w:t>
      </w:r>
      <w:r w:rsidR="00181B60" w:rsidRPr="009F7AF2">
        <w:rPr>
          <w:rFonts w:ascii="Arial" w:eastAsia="Calibri" w:hAnsi="Arial" w:cs="Arial"/>
        </w:rPr>
        <w:t xml:space="preserve"> de 2022</w:t>
      </w:r>
    </w:p>
    <w:p w14:paraId="04484D65" w14:textId="78D6AC2F" w:rsidR="004E2290" w:rsidRPr="009F7AF2" w:rsidRDefault="004E2290" w:rsidP="009F7AF2">
      <w:pPr>
        <w:tabs>
          <w:tab w:val="left" w:pos="3374"/>
        </w:tabs>
        <w:rPr>
          <w:rFonts w:ascii="Arial" w:eastAsia="Calibri" w:hAnsi="Arial" w:cs="Arial"/>
        </w:rPr>
      </w:pPr>
    </w:p>
    <w:p w14:paraId="5E987BE3" w14:textId="2F84A0D5" w:rsidR="005D3CBE" w:rsidRDefault="00046ECC" w:rsidP="00046ECC">
      <w:pPr>
        <w:tabs>
          <w:tab w:val="left" w:pos="3374"/>
        </w:tabs>
        <w:jc w:val="right"/>
        <w:rPr>
          <w:rFonts w:ascii="Arial" w:eastAsia="Calibri" w:hAnsi="Arial" w:cs="Arial"/>
        </w:rPr>
      </w:pPr>
      <w:r>
        <w:rPr>
          <w:noProof/>
        </w:rPr>
        <w:drawing>
          <wp:inline distT="0" distB="0" distL="0" distR="0" wp14:anchorId="0E1AE166" wp14:editId="6BE9655C">
            <wp:extent cx="3453149" cy="921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206" t="40499" r="10170" b="32610"/>
                    <a:stretch/>
                  </pic:blipFill>
                  <pic:spPr bwMode="auto">
                    <a:xfrm>
                      <a:off x="0" y="0"/>
                      <a:ext cx="3465682" cy="925251"/>
                    </a:xfrm>
                    <a:prstGeom prst="rect">
                      <a:avLst/>
                    </a:prstGeom>
                    <a:ln>
                      <a:noFill/>
                    </a:ln>
                    <a:extLst>
                      <a:ext uri="{53640926-AAD7-44D8-BBD7-CCE9431645EC}">
                        <a14:shadowObscured xmlns:a14="http://schemas.microsoft.com/office/drawing/2010/main"/>
                      </a:ext>
                    </a:extLst>
                  </pic:spPr>
                </pic:pic>
              </a:graphicData>
            </a:graphic>
          </wp:inline>
        </w:drawing>
      </w:r>
    </w:p>
    <w:p w14:paraId="203556DA" w14:textId="77777777" w:rsidR="00046ECC" w:rsidRDefault="00046ECC" w:rsidP="009F7AF2">
      <w:pPr>
        <w:tabs>
          <w:tab w:val="left" w:pos="3374"/>
        </w:tabs>
        <w:rPr>
          <w:rFonts w:ascii="Arial" w:eastAsia="Calibri" w:hAnsi="Arial" w:cs="Arial"/>
        </w:rPr>
      </w:pPr>
    </w:p>
    <w:p w14:paraId="712C8E98" w14:textId="3D5AE81B" w:rsidR="004B29A8" w:rsidRPr="009F7AF2" w:rsidRDefault="004B29A8" w:rsidP="009F7AF2">
      <w:pPr>
        <w:tabs>
          <w:tab w:val="left" w:pos="3374"/>
        </w:tabs>
        <w:rPr>
          <w:rFonts w:ascii="Arial" w:eastAsia="Calibri" w:hAnsi="Arial" w:cs="Arial"/>
          <w:sz w:val="22"/>
        </w:rPr>
      </w:pPr>
      <w:r w:rsidRPr="009F7AF2">
        <w:rPr>
          <w:rFonts w:ascii="Arial" w:eastAsia="Calibri" w:hAnsi="Arial" w:cs="Arial"/>
          <w:sz w:val="22"/>
        </w:rPr>
        <w:t>Señor</w:t>
      </w:r>
    </w:p>
    <w:p w14:paraId="164E2710" w14:textId="1E1580E1" w:rsidR="006B3014" w:rsidRPr="009F7AF2" w:rsidRDefault="00EF3BCE" w:rsidP="009F7AF2">
      <w:pPr>
        <w:rPr>
          <w:rFonts w:ascii="Arial" w:hAnsi="Arial" w:cs="Arial"/>
          <w:b/>
          <w:bCs/>
          <w:sz w:val="22"/>
          <w:lang w:val="es-ES"/>
        </w:rPr>
      </w:pPr>
      <w:r w:rsidRPr="009F7AF2">
        <w:rPr>
          <w:rFonts w:ascii="Arial" w:hAnsi="Arial" w:cs="Arial"/>
          <w:b/>
          <w:bCs/>
          <w:sz w:val="22"/>
          <w:lang w:val="es-ES"/>
        </w:rPr>
        <w:t>Flavio Caicedo</w:t>
      </w:r>
    </w:p>
    <w:p w14:paraId="787235AC" w14:textId="6699199B" w:rsidR="004B29A8" w:rsidRPr="009F7AF2" w:rsidRDefault="00EF3BCE" w:rsidP="009F7AF2">
      <w:pPr>
        <w:rPr>
          <w:rFonts w:ascii="Arial" w:eastAsia="Calibri" w:hAnsi="Arial" w:cs="Arial"/>
          <w:sz w:val="22"/>
        </w:rPr>
      </w:pPr>
      <w:r w:rsidRPr="009F7AF2">
        <w:rPr>
          <w:rFonts w:ascii="Arial" w:eastAsia="Calibri" w:hAnsi="Arial" w:cs="Arial"/>
          <w:sz w:val="22"/>
        </w:rPr>
        <w:t>Pasto</w:t>
      </w:r>
      <w:r w:rsidR="00E4412D" w:rsidRPr="009F7AF2">
        <w:rPr>
          <w:rFonts w:ascii="Arial" w:eastAsia="Calibri" w:hAnsi="Arial" w:cs="Arial"/>
          <w:sz w:val="22"/>
        </w:rPr>
        <w:t xml:space="preserve"> </w:t>
      </w:r>
      <w:r w:rsidR="005D3CBE" w:rsidRPr="009F7AF2">
        <w:rPr>
          <w:rFonts w:ascii="Arial" w:eastAsia="Calibri" w:hAnsi="Arial" w:cs="Arial"/>
          <w:sz w:val="22"/>
        </w:rPr>
        <w:t>–</w:t>
      </w:r>
      <w:r w:rsidR="00E4412D" w:rsidRPr="009F7AF2">
        <w:rPr>
          <w:rFonts w:ascii="Arial" w:eastAsia="Calibri" w:hAnsi="Arial" w:cs="Arial"/>
          <w:sz w:val="22"/>
        </w:rPr>
        <w:t xml:space="preserve"> </w:t>
      </w:r>
      <w:r w:rsidRPr="009F7AF2">
        <w:rPr>
          <w:rFonts w:ascii="Arial" w:eastAsia="Calibri" w:hAnsi="Arial" w:cs="Arial"/>
          <w:sz w:val="22"/>
        </w:rPr>
        <w:t>Nariño</w:t>
      </w:r>
    </w:p>
    <w:p w14:paraId="0174C0C8" w14:textId="1A784E9D" w:rsidR="005D3CBE" w:rsidRPr="009F7AF2" w:rsidRDefault="005D3CBE" w:rsidP="009F7AF2">
      <w:pPr>
        <w:rPr>
          <w:rFonts w:ascii="Arial" w:eastAsia="Calibri" w:hAnsi="Arial" w:cs="Arial"/>
          <w:sz w:val="22"/>
        </w:rPr>
      </w:pPr>
    </w:p>
    <w:p w14:paraId="146CA7D1" w14:textId="77777777" w:rsidR="005D3CBE" w:rsidRPr="009F7AF2" w:rsidRDefault="005D3CBE" w:rsidP="009F7AF2">
      <w:pPr>
        <w:rPr>
          <w:rFonts w:ascii="Arial" w:eastAsia="Calibri" w:hAnsi="Arial" w:cs="Arial"/>
          <w:sz w:val="22"/>
        </w:rPr>
      </w:pPr>
    </w:p>
    <w:p w14:paraId="2611EC69" w14:textId="77777777" w:rsidR="004B29A8" w:rsidRPr="009F7AF2" w:rsidRDefault="004B29A8" w:rsidP="009F7AF2">
      <w:pPr>
        <w:ind w:left="2116" w:firstLine="708"/>
        <w:rPr>
          <w:rFonts w:ascii="Arial" w:eastAsia="Calibri" w:hAnsi="Arial" w:cs="Arial"/>
          <w:b/>
          <w:sz w:val="22"/>
        </w:rPr>
      </w:pPr>
    </w:p>
    <w:p w14:paraId="18A73909" w14:textId="1031D4A3" w:rsidR="004B29A8" w:rsidRPr="009F7AF2" w:rsidRDefault="004B29A8" w:rsidP="009F7AF2">
      <w:pPr>
        <w:ind w:left="2116" w:firstLine="708"/>
        <w:rPr>
          <w:rFonts w:ascii="Arial" w:eastAsia="Calibri" w:hAnsi="Arial" w:cs="Arial"/>
          <w:b/>
          <w:sz w:val="22"/>
        </w:rPr>
      </w:pPr>
      <w:r w:rsidRPr="009F7AF2">
        <w:rPr>
          <w:rFonts w:ascii="Arial" w:eastAsia="Calibri" w:hAnsi="Arial" w:cs="Arial"/>
          <w:b/>
          <w:sz w:val="22"/>
        </w:rPr>
        <w:t xml:space="preserve">Concepto C – </w:t>
      </w:r>
      <w:r w:rsidR="00EF3BCE" w:rsidRPr="009F7AF2">
        <w:rPr>
          <w:rFonts w:ascii="Arial" w:eastAsia="Calibri" w:hAnsi="Arial" w:cs="Arial"/>
          <w:b/>
          <w:sz w:val="22"/>
        </w:rPr>
        <w:t>710</w:t>
      </w:r>
      <w:r w:rsidRPr="009F7AF2">
        <w:rPr>
          <w:rFonts w:ascii="Arial" w:eastAsia="Calibri" w:hAnsi="Arial" w:cs="Arial"/>
          <w:b/>
          <w:sz w:val="22"/>
        </w:rPr>
        <w:t xml:space="preserve"> de 2022</w:t>
      </w:r>
    </w:p>
    <w:p w14:paraId="29BFC81F" w14:textId="77777777" w:rsidR="004B29A8" w:rsidRPr="009F7AF2" w:rsidRDefault="004B29A8" w:rsidP="009F7AF2">
      <w:pPr>
        <w:ind w:left="2116" w:firstLine="708"/>
        <w:rPr>
          <w:rFonts w:ascii="Arial" w:eastAsia="Calibri" w:hAnsi="Arial" w:cs="Arial"/>
          <w:b/>
          <w:sz w:val="22"/>
        </w:rPr>
      </w:pPr>
    </w:p>
    <w:p w14:paraId="15C21DA5" w14:textId="7CB6A4DF" w:rsidR="003A2CD8" w:rsidRPr="009F7AF2" w:rsidRDefault="004B29A8" w:rsidP="009F7AF2">
      <w:pPr>
        <w:ind w:left="2824" w:hanging="2824"/>
        <w:jc w:val="both"/>
        <w:rPr>
          <w:rFonts w:ascii="Arial" w:eastAsia="Calibri" w:hAnsi="Arial" w:cs="Arial"/>
          <w:color w:val="161616" w:themeColor="background1" w:themeShade="1A"/>
          <w:sz w:val="22"/>
          <w:lang w:val="es-ES"/>
        </w:rPr>
      </w:pPr>
      <w:r w:rsidRPr="009F7AF2">
        <w:rPr>
          <w:rFonts w:ascii="Arial" w:eastAsia="Calibri" w:hAnsi="Arial" w:cs="Arial"/>
          <w:b/>
          <w:noProof/>
          <w:color w:val="161616" w:themeColor="background1" w:themeShade="1A"/>
          <w:sz w:val="22"/>
          <w:lang w:val="es-ES_tradnl"/>
        </w:rPr>
        <w:t>Temas</w:t>
      </w:r>
      <w:r w:rsidRPr="009F7AF2">
        <w:rPr>
          <w:rFonts w:ascii="Arial" w:eastAsia="Calibri" w:hAnsi="Arial" w:cs="Arial"/>
          <w:bCs/>
          <w:noProof/>
          <w:color w:val="161616" w:themeColor="background1" w:themeShade="1A"/>
          <w:sz w:val="22"/>
          <w:lang w:val="es-ES_tradnl"/>
        </w:rPr>
        <w:t xml:space="preserve">: </w:t>
      </w:r>
      <w:r w:rsidRPr="009F7AF2">
        <w:rPr>
          <w:rFonts w:ascii="Arial" w:eastAsia="Calibri" w:hAnsi="Arial" w:cs="Arial"/>
          <w:bCs/>
          <w:noProof/>
          <w:color w:val="161616" w:themeColor="background1" w:themeShade="1A"/>
          <w:sz w:val="22"/>
          <w:lang w:val="es-ES_tradnl"/>
        </w:rPr>
        <w:tab/>
      </w:r>
      <w:r w:rsidR="003A2CD8" w:rsidRPr="009F7AF2">
        <w:rPr>
          <w:rFonts w:ascii="Arial" w:eastAsia="Calibri" w:hAnsi="Arial" w:cs="Arial"/>
          <w:bCs/>
          <w:color w:val="161616" w:themeColor="background1" w:themeShade="1A"/>
          <w:sz w:val="22"/>
          <w:lang w:val="es-ES_tradnl"/>
        </w:rPr>
        <w:t xml:space="preserve">COLOMBIA COMPRA EFICIENTE – Competencia Consultiva – Contratación Estatal – Normas Generales / </w:t>
      </w:r>
      <w:r w:rsidR="00EF3BCE" w:rsidRPr="009F7AF2">
        <w:rPr>
          <w:rFonts w:ascii="Arial" w:eastAsia="Calibri" w:hAnsi="Arial" w:cs="Arial"/>
          <w:bCs/>
          <w:sz w:val="22"/>
          <w:lang w:val="es-ES_tradnl"/>
        </w:rPr>
        <w:t xml:space="preserve">DOCUMENTOS TIPO </w:t>
      </w:r>
      <w:r w:rsidR="00EF3BCE" w:rsidRPr="009F7AF2">
        <w:rPr>
          <w:rFonts w:ascii="Arial" w:eastAsia="Calibri" w:hAnsi="Arial" w:cs="Arial"/>
          <w:bCs/>
          <w:color w:val="161616" w:themeColor="background1" w:themeShade="1A"/>
          <w:sz w:val="22"/>
          <w:lang w:val="es-ES_tradnl"/>
        </w:rPr>
        <w:t xml:space="preserve">– Obligatoriedad – Implementación / </w:t>
      </w:r>
      <w:r w:rsidR="00EF3BCE" w:rsidRPr="009F7AF2">
        <w:rPr>
          <w:rFonts w:ascii="Arial" w:eastAsia="Calibri" w:hAnsi="Arial" w:cs="Arial"/>
          <w:bCs/>
          <w:sz w:val="22"/>
          <w:lang w:val="es-ES_tradnl"/>
        </w:rPr>
        <w:t xml:space="preserve">DOCUMENTOS TIPO – Ámbito de aplicación </w:t>
      </w:r>
      <w:r w:rsidR="00EF3BCE" w:rsidRPr="009F7AF2">
        <w:rPr>
          <w:rFonts w:ascii="Arial" w:eastAsia="Calibri" w:hAnsi="Arial" w:cs="Arial"/>
          <w:sz w:val="22"/>
          <w:lang w:val="es-ES_tradnl"/>
        </w:rPr>
        <w:t xml:space="preserve">/ </w:t>
      </w:r>
      <w:r w:rsidR="004356B6" w:rsidRPr="009F7AF2">
        <w:rPr>
          <w:rFonts w:ascii="Arial" w:eastAsia="Calibri" w:hAnsi="Arial" w:cs="Arial"/>
          <w:sz w:val="22"/>
          <w:lang w:val="es-ES_tradnl"/>
        </w:rPr>
        <w:t>DOCUMENTOS TIPO – Infraestructura social – Sectores – Educativo – Salud – Cultura, recreación y deporte – Matriz de experiencia – Aplicación</w:t>
      </w:r>
      <w:r w:rsidR="00EF3BCE" w:rsidRPr="009F7AF2">
        <w:rPr>
          <w:rFonts w:ascii="Arial" w:eastAsia="Calibri" w:hAnsi="Arial" w:cs="Arial"/>
          <w:sz w:val="22"/>
          <w:lang w:val="es-ES_tradnl"/>
        </w:rPr>
        <w:t xml:space="preserve"> / </w:t>
      </w:r>
      <w:r w:rsidR="004356B6" w:rsidRPr="009F7AF2">
        <w:rPr>
          <w:rFonts w:ascii="Arial" w:eastAsia="Calibri" w:hAnsi="Arial" w:cs="Arial"/>
          <w:sz w:val="22"/>
          <w:lang w:val="es-ES_tradnl"/>
        </w:rPr>
        <w:t>BIENES Y OBRAS ADICIONALES – Reglas de combinación de experiencia – Acreditación de magnitudes intervenidas</w:t>
      </w:r>
    </w:p>
    <w:p w14:paraId="6243CD48" w14:textId="1D7077A6" w:rsidR="004B29A8" w:rsidRPr="009F7AF2" w:rsidRDefault="004B29A8" w:rsidP="009F7AF2">
      <w:pPr>
        <w:ind w:left="2824" w:hanging="2818"/>
        <w:jc w:val="both"/>
        <w:rPr>
          <w:rFonts w:ascii="Arial" w:eastAsia="Calibri" w:hAnsi="Arial" w:cs="Arial"/>
          <w:bCs/>
          <w:color w:val="161616" w:themeColor="background1" w:themeShade="1A"/>
          <w:sz w:val="22"/>
          <w:lang w:val="es-ES_tradnl"/>
        </w:rPr>
      </w:pPr>
    </w:p>
    <w:p w14:paraId="5E273A24" w14:textId="1D5D3EC4" w:rsidR="004B29A8" w:rsidRPr="009F7AF2" w:rsidRDefault="004B29A8" w:rsidP="009F7AF2">
      <w:pPr>
        <w:ind w:left="2824" w:hanging="2818"/>
        <w:jc w:val="both"/>
        <w:rPr>
          <w:rFonts w:ascii="Arial" w:eastAsia="Calibri" w:hAnsi="Arial" w:cs="Arial"/>
          <w:bCs/>
          <w:noProof/>
          <w:color w:val="161616" w:themeColor="background1" w:themeShade="1A"/>
          <w:sz w:val="22"/>
          <w:lang w:val="es-ES_tradnl"/>
        </w:rPr>
      </w:pPr>
      <w:r w:rsidRPr="009F7AF2">
        <w:rPr>
          <w:rFonts w:ascii="Arial" w:eastAsia="Calibri" w:hAnsi="Arial" w:cs="Arial"/>
          <w:b/>
          <w:noProof/>
          <w:color w:val="161616" w:themeColor="background1" w:themeShade="1A"/>
          <w:sz w:val="22"/>
          <w:lang w:val="es-ES_tradnl"/>
        </w:rPr>
        <w:t>Radicación</w:t>
      </w:r>
      <w:r w:rsidRPr="009F7AF2">
        <w:rPr>
          <w:rFonts w:ascii="Arial" w:eastAsia="Calibri" w:hAnsi="Arial" w:cs="Arial"/>
          <w:bCs/>
          <w:noProof/>
          <w:color w:val="161616" w:themeColor="background1" w:themeShade="1A"/>
          <w:sz w:val="22"/>
          <w:lang w:val="es-ES_tradnl"/>
        </w:rPr>
        <w:t>:</w:t>
      </w:r>
      <w:r w:rsidRPr="009F7AF2">
        <w:rPr>
          <w:rFonts w:ascii="Arial" w:eastAsia="Calibri" w:hAnsi="Arial" w:cs="Arial"/>
          <w:bCs/>
          <w:noProof/>
          <w:color w:val="161616" w:themeColor="background1" w:themeShade="1A"/>
          <w:sz w:val="22"/>
          <w:lang w:val="es-ES_tradnl"/>
        </w:rPr>
        <w:tab/>
        <w:t xml:space="preserve">Respuesta a consulta </w:t>
      </w:r>
      <w:r w:rsidR="00617953" w:rsidRPr="009F7AF2">
        <w:rPr>
          <w:rFonts w:ascii="Arial" w:eastAsia="Calibri" w:hAnsi="Arial" w:cs="Arial"/>
          <w:bCs/>
          <w:noProof/>
          <w:color w:val="161616" w:themeColor="background1" w:themeShade="1A"/>
          <w:sz w:val="22"/>
          <w:lang w:val="es-ES_tradnl"/>
        </w:rPr>
        <w:t>P20220914009249</w:t>
      </w:r>
      <w:r w:rsidR="006B3014" w:rsidRPr="009F7AF2">
        <w:rPr>
          <w:rFonts w:ascii="Arial" w:eastAsia="Calibri" w:hAnsi="Arial" w:cs="Arial"/>
          <w:bCs/>
          <w:noProof/>
          <w:color w:val="161616" w:themeColor="background1" w:themeShade="1A"/>
          <w:sz w:val="22"/>
          <w:lang w:val="es-ES_tradnl"/>
        </w:rPr>
        <w:t xml:space="preserve">. </w:t>
      </w:r>
    </w:p>
    <w:p w14:paraId="21EE6201" w14:textId="0FE256F7" w:rsidR="004B29A8" w:rsidRPr="009F7AF2" w:rsidRDefault="004B29A8" w:rsidP="009F7AF2">
      <w:pPr>
        <w:ind w:left="2824" w:hanging="2818"/>
        <w:jc w:val="both"/>
        <w:rPr>
          <w:rFonts w:ascii="Arial" w:eastAsia="Calibri" w:hAnsi="Arial" w:cs="Arial"/>
          <w:sz w:val="22"/>
          <w:lang w:val="es-ES_tradnl"/>
        </w:rPr>
      </w:pPr>
    </w:p>
    <w:p w14:paraId="1BEF3540" w14:textId="5BFCE543" w:rsidR="009B398C" w:rsidRPr="009F7AF2" w:rsidRDefault="009B398C" w:rsidP="009F7AF2">
      <w:pPr>
        <w:tabs>
          <w:tab w:val="left" w:pos="3374"/>
        </w:tabs>
        <w:rPr>
          <w:rFonts w:ascii="Arial" w:eastAsia="Calibri" w:hAnsi="Arial" w:cs="Arial"/>
          <w:sz w:val="22"/>
        </w:rPr>
      </w:pPr>
    </w:p>
    <w:p w14:paraId="51327B8E" w14:textId="1E36BF88" w:rsidR="004B29A8" w:rsidRPr="009F7AF2" w:rsidRDefault="004B29A8" w:rsidP="009F7AF2">
      <w:pPr>
        <w:tabs>
          <w:tab w:val="left" w:pos="3374"/>
        </w:tabs>
        <w:rPr>
          <w:rFonts w:ascii="Arial" w:eastAsia="Calibri" w:hAnsi="Arial" w:cs="Arial"/>
          <w:sz w:val="22"/>
        </w:rPr>
      </w:pPr>
      <w:r w:rsidRPr="009F7AF2">
        <w:rPr>
          <w:rFonts w:ascii="Arial" w:eastAsia="Calibri" w:hAnsi="Arial" w:cs="Arial"/>
          <w:sz w:val="22"/>
        </w:rPr>
        <w:t>Estimad</w:t>
      </w:r>
      <w:r w:rsidR="00687DBF" w:rsidRPr="009F7AF2">
        <w:rPr>
          <w:rFonts w:ascii="Arial" w:eastAsia="Calibri" w:hAnsi="Arial" w:cs="Arial"/>
          <w:sz w:val="22"/>
        </w:rPr>
        <w:t>o</w:t>
      </w:r>
      <w:r w:rsidR="006B3014" w:rsidRPr="009F7AF2">
        <w:rPr>
          <w:rFonts w:ascii="Arial" w:eastAsia="Calibri" w:hAnsi="Arial" w:cs="Arial"/>
          <w:sz w:val="22"/>
        </w:rPr>
        <w:t xml:space="preserve"> </w:t>
      </w:r>
      <w:r w:rsidRPr="009F7AF2">
        <w:rPr>
          <w:rFonts w:ascii="Arial" w:eastAsia="Calibri" w:hAnsi="Arial" w:cs="Arial"/>
          <w:sz w:val="22"/>
        </w:rPr>
        <w:t>señor</w:t>
      </w:r>
      <w:r w:rsidRPr="009F7AF2">
        <w:rPr>
          <w:rFonts w:ascii="Arial" w:hAnsi="Arial" w:cs="Arial"/>
          <w:sz w:val="22"/>
        </w:rPr>
        <w:t xml:space="preserve"> </w:t>
      </w:r>
      <w:r w:rsidR="00687DBF" w:rsidRPr="009F7AF2">
        <w:rPr>
          <w:rFonts w:ascii="Arial" w:hAnsi="Arial" w:cs="Arial"/>
          <w:sz w:val="22"/>
        </w:rPr>
        <w:t>Caicedo</w:t>
      </w:r>
      <w:r w:rsidR="006B3014" w:rsidRPr="009F7AF2">
        <w:rPr>
          <w:rFonts w:ascii="Arial" w:hAnsi="Arial" w:cs="Arial"/>
          <w:sz w:val="22"/>
        </w:rPr>
        <w:t xml:space="preserve">, </w:t>
      </w:r>
      <w:r w:rsidR="009B398C" w:rsidRPr="009F7AF2">
        <w:rPr>
          <w:rFonts w:ascii="Arial" w:hAnsi="Arial" w:cs="Arial"/>
          <w:sz w:val="22"/>
        </w:rPr>
        <w:t xml:space="preserve"> </w:t>
      </w:r>
      <w:r w:rsidRPr="009F7AF2">
        <w:rPr>
          <w:rFonts w:ascii="Arial" w:hAnsi="Arial" w:cs="Arial"/>
          <w:sz w:val="22"/>
        </w:rPr>
        <w:t xml:space="preserve">  </w:t>
      </w:r>
    </w:p>
    <w:p w14:paraId="18BAE376" w14:textId="77777777" w:rsidR="004B29A8" w:rsidRPr="009F7AF2" w:rsidRDefault="004B29A8" w:rsidP="009F7AF2">
      <w:pPr>
        <w:spacing w:line="276" w:lineRule="auto"/>
        <w:jc w:val="both"/>
        <w:rPr>
          <w:rFonts w:ascii="Arial" w:eastAsia="Calibri" w:hAnsi="Arial" w:cs="Arial"/>
          <w:sz w:val="22"/>
        </w:rPr>
      </w:pPr>
    </w:p>
    <w:p w14:paraId="54B4D66B" w14:textId="08FEED8B" w:rsidR="004B29A8" w:rsidRPr="009F7AF2" w:rsidRDefault="004B29A8" w:rsidP="009F7AF2">
      <w:pPr>
        <w:spacing w:line="276" w:lineRule="auto"/>
        <w:jc w:val="both"/>
        <w:rPr>
          <w:rFonts w:ascii="Arial" w:eastAsia="Calibri" w:hAnsi="Arial" w:cs="Arial"/>
          <w:sz w:val="22"/>
        </w:rPr>
      </w:pPr>
      <w:r w:rsidRPr="009F7AF2">
        <w:rPr>
          <w:rFonts w:ascii="Arial" w:eastAsia="Calibri" w:hAnsi="Arial" w:cs="Arial"/>
          <w:sz w:val="22"/>
        </w:rPr>
        <w:t>En ejercicio de la competencia otorgada por el numeral 8 del artículo 11 y el numeral 5 del artículo 3 del Decreto Ley 4170 de 2011, la Agencia Nacional de Contratación Pública− Colombia Compra Eficiente responde su consulta de fecha</w:t>
      </w:r>
      <w:r w:rsidR="006B3014" w:rsidRPr="009F7AF2">
        <w:rPr>
          <w:rFonts w:ascii="Arial" w:eastAsia="Calibri" w:hAnsi="Arial" w:cs="Arial"/>
          <w:sz w:val="22"/>
        </w:rPr>
        <w:t xml:space="preserve"> </w:t>
      </w:r>
      <w:r w:rsidR="009D1211" w:rsidRPr="009F7AF2">
        <w:rPr>
          <w:rFonts w:ascii="Arial" w:eastAsia="Calibri" w:hAnsi="Arial" w:cs="Arial"/>
          <w:sz w:val="22"/>
        </w:rPr>
        <w:t>14</w:t>
      </w:r>
      <w:r w:rsidR="006B3014" w:rsidRPr="009F7AF2">
        <w:rPr>
          <w:rFonts w:ascii="Arial" w:eastAsia="Calibri" w:hAnsi="Arial" w:cs="Arial"/>
          <w:sz w:val="22"/>
        </w:rPr>
        <w:t xml:space="preserve"> </w:t>
      </w:r>
      <w:r w:rsidRPr="009F7AF2">
        <w:rPr>
          <w:rFonts w:ascii="Arial" w:eastAsia="Calibri" w:hAnsi="Arial" w:cs="Arial"/>
          <w:sz w:val="22"/>
        </w:rPr>
        <w:t xml:space="preserve">de </w:t>
      </w:r>
      <w:r w:rsidR="009D1211" w:rsidRPr="009F7AF2">
        <w:rPr>
          <w:rFonts w:ascii="Arial" w:eastAsia="Calibri" w:hAnsi="Arial" w:cs="Arial"/>
          <w:sz w:val="22"/>
        </w:rPr>
        <w:t>septiembre</w:t>
      </w:r>
      <w:r w:rsidR="006B3014" w:rsidRPr="009F7AF2">
        <w:rPr>
          <w:rFonts w:ascii="Arial" w:eastAsia="Calibri" w:hAnsi="Arial" w:cs="Arial"/>
          <w:sz w:val="22"/>
        </w:rPr>
        <w:t xml:space="preserve"> </w:t>
      </w:r>
      <w:r w:rsidRPr="009F7AF2">
        <w:rPr>
          <w:rFonts w:ascii="Arial" w:eastAsia="Calibri" w:hAnsi="Arial" w:cs="Arial"/>
          <w:sz w:val="22"/>
        </w:rPr>
        <w:t>de 2022.</w:t>
      </w:r>
    </w:p>
    <w:p w14:paraId="3892BBAF" w14:textId="77777777" w:rsidR="004B29A8" w:rsidRPr="009F7AF2" w:rsidRDefault="004B29A8" w:rsidP="009F7AF2">
      <w:pPr>
        <w:spacing w:line="276" w:lineRule="auto"/>
        <w:jc w:val="both"/>
        <w:rPr>
          <w:rFonts w:ascii="Arial" w:hAnsi="Arial" w:cs="Arial"/>
          <w:sz w:val="22"/>
          <w:lang w:val="es-ES_tradnl"/>
        </w:rPr>
      </w:pPr>
    </w:p>
    <w:p w14:paraId="7037093B" w14:textId="77777777" w:rsidR="004B29A8" w:rsidRPr="009F7AF2" w:rsidRDefault="004B29A8" w:rsidP="009F7AF2">
      <w:pPr>
        <w:tabs>
          <w:tab w:val="left" w:pos="284"/>
        </w:tabs>
        <w:spacing w:line="276" w:lineRule="auto"/>
        <w:contextualSpacing/>
        <w:jc w:val="both"/>
        <w:rPr>
          <w:rFonts w:ascii="Arial" w:eastAsia="Calibri" w:hAnsi="Arial" w:cs="Arial"/>
          <w:b/>
          <w:sz w:val="22"/>
        </w:rPr>
      </w:pPr>
      <w:r w:rsidRPr="009F7AF2">
        <w:rPr>
          <w:rFonts w:ascii="Arial" w:eastAsia="Calibri" w:hAnsi="Arial" w:cs="Arial"/>
          <w:b/>
          <w:sz w:val="22"/>
        </w:rPr>
        <w:t xml:space="preserve">1. Problema planteado </w:t>
      </w:r>
    </w:p>
    <w:p w14:paraId="0A6A026A" w14:textId="77777777" w:rsidR="004B29A8" w:rsidRPr="009F7AF2" w:rsidRDefault="004B29A8" w:rsidP="009F7AF2">
      <w:pPr>
        <w:tabs>
          <w:tab w:val="left" w:pos="426"/>
        </w:tabs>
        <w:spacing w:line="276" w:lineRule="auto"/>
        <w:jc w:val="both"/>
        <w:rPr>
          <w:rFonts w:ascii="Arial" w:eastAsia="Calibri" w:hAnsi="Arial" w:cs="Arial"/>
          <w:sz w:val="22"/>
        </w:rPr>
      </w:pPr>
    </w:p>
    <w:p w14:paraId="1FEB583A" w14:textId="08D22744" w:rsidR="004B29A8" w:rsidRPr="009F7AF2" w:rsidRDefault="004B29A8" w:rsidP="009F7AF2">
      <w:pPr>
        <w:jc w:val="both"/>
        <w:rPr>
          <w:rFonts w:ascii="Arial" w:hAnsi="Arial" w:cs="Arial"/>
          <w:color w:val="161616" w:themeColor="background1" w:themeShade="1A"/>
          <w:sz w:val="22"/>
          <w:lang w:val="es-ES_tradnl"/>
        </w:rPr>
      </w:pPr>
      <w:r w:rsidRPr="009F7AF2">
        <w:rPr>
          <w:rFonts w:ascii="Arial" w:hAnsi="Arial" w:cs="Arial"/>
          <w:color w:val="161616" w:themeColor="background1" w:themeShade="1A"/>
          <w:sz w:val="22"/>
          <w:lang w:val="es-ES_tradnl"/>
        </w:rPr>
        <w:t xml:space="preserve">Usted formula la siguiente consulta: </w:t>
      </w:r>
    </w:p>
    <w:p w14:paraId="01391F5E" w14:textId="77777777" w:rsidR="009B398C" w:rsidRPr="009F7AF2" w:rsidRDefault="009B398C" w:rsidP="009F7AF2">
      <w:pPr>
        <w:jc w:val="both"/>
        <w:rPr>
          <w:rFonts w:ascii="Arial" w:hAnsi="Arial" w:cs="Arial"/>
          <w:color w:val="161616" w:themeColor="background1" w:themeShade="1A"/>
          <w:sz w:val="22"/>
          <w:lang w:val="es-ES_tradnl"/>
        </w:rPr>
      </w:pPr>
    </w:p>
    <w:p w14:paraId="07D18CBC" w14:textId="2E42CD51" w:rsidR="00D01945" w:rsidRPr="009F7AF2" w:rsidRDefault="005F1B2B" w:rsidP="009F7AF2">
      <w:pPr>
        <w:ind w:left="567" w:right="900"/>
        <w:jc w:val="both"/>
        <w:rPr>
          <w:rFonts w:ascii="Arial" w:hAnsi="Arial" w:cs="Arial"/>
          <w:i/>
          <w:iCs/>
          <w:color w:val="000000"/>
          <w:sz w:val="21"/>
          <w:szCs w:val="21"/>
        </w:rPr>
      </w:pPr>
      <w:bookmarkStart w:id="4" w:name="_Hlk106025682"/>
      <w:r w:rsidRPr="009F7AF2">
        <w:rPr>
          <w:rFonts w:ascii="Arial" w:hAnsi="Arial" w:cs="Arial"/>
          <w:i/>
          <w:iCs/>
          <w:color w:val="000000"/>
          <w:sz w:val="21"/>
          <w:szCs w:val="21"/>
        </w:rPr>
        <w:lastRenderedPageBreak/>
        <w:t>«Me permito solicitar aclaración sobre la correcta aplicación de la matriz de experiencia en los procesos de contratación pertenecientes al sector de Cultura, Recreación y Deporte, adelantados por entidades públicas y en general para todos los sectores. Esto por cuanto en algunos procesos públicos adelantados por entidades se estaría dando una interpretación posiblemente errónea de la matriz de experiencia</w:t>
      </w:r>
      <w:r w:rsidR="005F2B88" w:rsidRPr="009F7AF2">
        <w:rPr>
          <w:rFonts w:ascii="Arial" w:hAnsi="Arial" w:cs="Arial"/>
          <w:i/>
          <w:iCs/>
          <w:color w:val="000000"/>
          <w:sz w:val="21"/>
          <w:szCs w:val="21"/>
        </w:rPr>
        <w:t xml:space="preserve"> que estarían llevando a pedir requisitos adicionales no contemplados dentro de la matriz </w:t>
      </w:r>
      <w:r w:rsidR="005F2B88"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w:t>
      </w:r>
      <w:r w:rsidR="00D01945" w:rsidRPr="009F7AF2">
        <w:rPr>
          <w:rFonts w:ascii="Arial" w:hAnsi="Arial" w:cs="Arial"/>
          <w:i/>
          <w:iCs/>
          <w:color w:val="000000"/>
          <w:sz w:val="21"/>
          <w:szCs w:val="21"/>
        </w:rPr>
        <w:t>algunas entidades estatales,  estarían haciendo  válida  para  la construcción o reconstrucción de parques, únicamente experiencia relacionada o similar al objeto a contratar, en este caso únicamente hacen válida la experiencia en  parques,  plazas  o  plazoletas,  dejando  de  lado  o no  permitiendo  certificar  la experiencia  general  con  obras  diferentes  como  centros  culturales,  escenarios deportivos o edificaciones públicas. Lo cual es una clara vulneración a nuestros derechos como oferentes y va en contravía de los requisitos plasmados en la matriz de experiencia, misma que no se puede modificar y no es susceptible de incluir condiciones adicionales.</w:t>
      </w:r>
    </w:p>
    <w:p w14:paraId="4C7BF48A" w14:textId="77777777" w:rsidR="005F1B2B" w:rsidRPr="009F7AF2" w:rsidRDefault="005F1B2B" w:rsidP="009F7AF2">
      <w:pPr>
        <w:ind w:left="567" w:right="900"/>
        <w:jc w:val="both"/>
        <w:rPr>
          <w:rFonts w:ascii="Arial" w:hAnsi="Arial" w:cs="Arial"/>
          <w:i/>
          <w:iCs/>
          <w:color w:val="000000"/>
          <w:sz w:val="21"/>
          <w:szCs w:val="21"/>
        </w:rPr>
      </w:pPr>
    </w:p>
    <w:p w14:paraId="103BB010" w14:textId="748F2833" w:rsidR="005F1B2B" w:rsidRPr="009F7AF2" w:rsidRDefault="005F1B2B" w:rsidP="009F7AF2">
      <w:pPr>
        <w:ind w:left="567" w:right="900"/>
        <w:jc w:val="both"/>
        <w:rPr>
          <w:rFonts w:ascii="Arial" w:hAnsi="Arial" w:cs="Arial"/>
          <w:i/>
          <w:iCs/>
          <w:color w:val="000000"/>
          <w:sz w:val="21"/>
          <w:szCs w:val="21"/>
        </w:rPr>
      </w:pPr>
      <w:r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solicito a la entidad Colombia Compra Eficiente, aclarar sobre la correcta aplicación de la </w:t>
      </w:r>
      <w:r w:rsidR="005F2B88" w:rsidRPr="009F7AF2">
        <w:rPr>
          <w:rFonts w:ascii="Arial" w:hAnsi="Arial" w:cs="Arial"/>
          <w:i/>
          <w:iCs/>
          <w:color w:val="000000"/>
          <w:sz w:val="21"/>
          <w:szCs w:val="21"/>
        </w:rPr>
        <w:t>matriz</w:t>
      </w:r>
      <w:r w:rsidRPr="009F7AF2">
        <w:rPr>
          <w:rFonts w:ascii="Arial" w:hAnsi="Arial" w:cs="Arial"/>
          <w:i/>
          <w:iCs/>
          <w:color w:val="000000"/>
          <w:sz w:val="21"/>
          <w:szCs w:val="21"/>
        </w:rPr>
        <w:t xml:space="preserve"> y si las entidades públicas pueden adiciona</w:t>
      </w:r>
      <w:r w:rsidR="00D01945" w:rsidRPr="009F7AF2">
        <w:rPr>
          <w:rFonts w:ascii="Arial" w:hAnsi="Arial" w:cs="Arial"/>
          <w:i/>
          <w:iCs/>
          <w:color w:val="000000"/>
          <w:sz w:val="21"/>
          <w:szCs w:val="21"/>
        </w:rPr>
        <w:t>r</w:t>
      </w:r>
      <w:r w:rsidRPr="009F7AF2">
        <w:rPr>
          <w:rFonts w:ascii="Arial" w:hAnsi="Arial" w:cs="Arial"/>
          <w:i/>
          <w:iCs/>
          <w:color w:val="000000"/>
          <w:sz w:val="21"/>
          <w:szCs w:val="21"/>
        </w:rPr>
        <w:t xml:space="preserve"> a los requisitos plasmados en la matriz, pedir requisitos adicionales como los dados a conocer en el caso anterior.»</w:t>
      </w:r>
    </w:p>
    <w:p w14:paraId="3DBD00A5" w14:textId="77777777" w:rsidR="002A7C02" w:rsidRPr="009F7AF2" w:rsidRDefault="002A7C02" w:rsidP="009F7AF2">
      <w:pPr>
        <w:ind w:left="567" w:right="900"/>
        <w:jc w:val="both"/>
        <w:rPr>
          <w:rFonts w:ascii="Arial" w:hAnsi="Arial" w:cs="Arial"/>
          <w:color w:val="000000"/>
          <w:sz w:val="21"/>
          <w:szCs w:val="21"/>
        </w:rPr>
      </w:pPr>
    </w:p>
    <w:bookmarkEnd w:id="4"/>
    <w:p w14:paraId="1AE8E5B5" w14:textId="77777777" w:rsidR="004B29A8" w:rsidRPr="009F7AF2" w:rsidRDefault="004B29A8" w:rsidP="009F7AF2">
      <w:pPr>
        <w:tabs>
          <w:tab w:val="left" w:pos="426"/>
        </w:tabs>
        <w:spacing w:after="240" w:line="276" w:lineRule="auto"/>
        <w:jc w:val="both"/>
        <w:rPr>
          <w:rFonts w:ascii="Arial" w:eastAsia="Calibri" w:hAnsi="Arial" w:cs="Arial"/>
          <w:b/>
          <w:sz w:val="22"/>
        </w:rPr>
      </w:pPr>
      <w:r w:rsidRPr="009F7AF2">
        <w:rPr>
          <w:rFonts w:ascii="Arial" w:eastAsia="Calibri" w:hAnsi="Arial" w:cs="Arial"/>
          <w:b/>
          <w:sz w:val="22"/>
        </w:rPr>
        <w:t>2. Consideraciones</w:t>
      </w:r>
    </w:p>
    <w:p w14:paraId="7AC07C49" w14:textId="77777777" w:rsidR="00E71A56" w:rsidRPr="009F7AF2" w:rsidRDefault="00E71A56" w:rsidP="009F7AF2">
      <w:pPr>
        <w:tabs>
          <w:tab w:val="left" w:pos="426"/>
        </w:tabs>
        <w:spacing w:after="240" w:line="276" w:lineRule="auto"/>
        <w:jc w:val="both"/>
        <w:rPr>
          <w:rFonts w:ascii="Arial" w:hAnsi="Arial" w:cs="Arial"/>
          <w:sz w:val="22"/>
        </w:rPr>
      </w:pPr>
      <w:r w:rsidRPr="009F7AF2">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456CF035" w14:textId="13730FDA" w:rsidR="00E71A56" w:rsidRPr="009F7AF2" w:rsidRDefault="00E71A56" w:rsidP="009F7AF2">
      <w:pPr>
        <w:tabs>
          <w:tab w:val="left" w:pos="426"/>
        </w:tabs>
        <w:spacing w:after="240" w:line="276" w:lineRule="auto"/>
        <w:jc w:val="both"/>
        <w:rPr>
          <w:rFonts w:ascii="Arial" w:hAnsi="Arial" w:cs="Arial"/>
          <w:sz w:val="22"/>
        </w:rPr>
      </w:pPr>
      <w:r w:rsidRPr="009F7AF2">
        <w:rPr>
          <w:rFonts w:ascii="Arial" w:hAnsi="Arial" w:cs="Arial"/>
          <w:sz w:val="22"/>
        </w:rPr>
        <w:tab/>
      </w:r>
      <w:r w:rsidRPr="009F7AF2">
        <w:rPr>
          <w:rFonts w:ascii="Arial" w:hAnsi="Arial" w:cs="Arial"/>
          <w:sz w:val="22"/>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w:t>
      </w:r>
      <w:r w:rsidRPr="009F7AF2">
        <w:rPr>
          <w:rFonts w:ascii="Arial" w:hAnsi="Arial" w:cs="Arial"/>
          <w:sz w:val="22"/>
        </w:rPr>
        <w:lastRenderedPageBreak/>
        <w:t xml:space="preserve">anterior, previo concepto de sus órganos asesores, la solución de estos temas corresponde a </w:t>
      </w:r>
      <w:r w:rsidR="002A7C02" w:rsidRPr="009F7AF2">
        <w:rPr>
          <w:rFonts w:ascii="Arial" w:hAnsi="Arial" w:cs="Arial"/>
          <w:sz w:val="22"/>
        </w:rPr>
        <w:t>cada</w:t>
      </w:r>
      <w:r w:rsidRPr="009F7AF2">
        <w:rPr>
          <w:rFonts w:ascii="Arial" w:hAnsi="Arial" w:cs="Arial"/>
          <w:sz w:val="22"/>
        </w:rPr>
        <w:t xml:space="preserve"> entidad y, en caso de conflicto, a las autoridades judiciales, fiscales y disciplinarias. </w:t>
      </w:r>
    </w:p>
    <w:p w14:paraId="0B15868E" w14:textId="0C4E0E38" w:rsidR="00E71A56" w:rsidRPr="009F7AF2" w:rsidRDefault="00E71A56" w:rsidP="009F7AF2">
      <w:pPr>
        <w:tabs>
          <w:tab w:val="left" w:pos="426"/>
        </w:tabs>
        <w:spacing w:after="240" w:line="276" w:lineRule="auto"/>
        <w:ind w:firstLine="709"/>
        <w:jc w:val="both"/>
        <w:rPr>
          <w:rFonts w:ascii="Arial" w:eastAsia="Arial" w:hAnsi="Arial" w:cs="Arial"/>
          <w:color w:val="000000" w:themeColor="text1"/>
          <w:sz w:val="22"/>
          <w:lang w:val="es-ES_tradnl"/>
        </w:rPr>
      </w:pPr>
      <w:r w:rsidRPr="009F7AF2">
        <w:rPr>
          <w:rFonts w:ascii="Arial" w:hAnsi="Arial" w:cs="Arial"/>
          <w:sz w:val="22"/>
        </w:rPr>
        <w:t xml:space="preserve">Sin perjuicio de lo anterior, la Subdirección </w:t>
      </w:r>
      <w:r w:rsidR="001B32B8" w:rsidRPr="009F7AF2">
        <w:rPr>
          <w:rFonts w:ascii="Arial" w:hAnsi="Arial" w:cs="Arial"/>
          <w:sz w:val="22"/>
        </w:rPr>
        <w:t xml:space="preserve">de Gestión Contractual, </w:t>
      </w:r>
      <w:r w:rsidRPr="009F7AF2">
        <w:rPr>
          <w:rFonts w:ascii="Arial" w:hAnsi="Arial" w:cs="Arial"/>
          <w:sz w:val="22"/>
        </w:rPr>
        <w:t>dentro de los límites de sus atribuciones, esto es, haciendo abstracción del caso particular expuesto por el peticionario</w:t>
      </w:r>
      <w:r w:rsidR="001B32B8" w:rsidRPr="009F7AF2">
        <w:rPr>
          <w:rFonts w:ascii="Arial" w:hAnsi="Arial" w:cs="Arial"/>
          <w:sz w:val="22"/>
        </w:rPr>
        <w:t xml:space="preserve">, </w:t>
      </w:r>
      <w:r w:rsidRPr="009F7AF2">
        <w:rPr>
          <w:rFonts w:ascii="Arial" w:hAnsi="Arial" w:cs="Arial"/>
          <w:sz w:val="22"/>
        </w:rPr>
        <w:t xml:space="preserve">resolverá la consulta conforme a las normas generales en materia de contratación estatal. </w:t>
      </w:r>
    </w:p>
    <w:p w14:paraId="71BED411" w14:textId="77777777" w:rsidR="00AE78FA" w:rsidRPr="009F7AF2" w:rsidRDefault="00571663" w:rsidP="009F7AF2">
      <w:pPr>
        <w:tabs>
          <w:tab w:val="left" w:pos="426"/>
        </w:tabs>
        <w:spacing w:after="240" w:line="276" w:lineRule="auto"/>
        <w:ind w:firstLine="709"/>
        <w:jc w:val="both"/>
        <w:rPr>
          <w:rFonts w:ascii="Arial" w:hAnsi="Arial" w:cs="Arial"/>
          <w:sz w:val="22"/>
        </w:rPr>
      </w:pPr>
      <w:r w:rsidRPr="009F7AF2">
        <w:rPr>
          <w:rFonts w:ascii="Arial" w:hAnsi="Arial" w:cs="Arial"/>
          <w:sz w:val="22"/>
          <w:lang w:val="es-ES"/>
        </w:rPr>
        <w:t xml:space="preserve">La Agencia Nacional de Contratación Pública – Colombia Compra Eficiente </w:t>
      </w:r>
      <w:r w:rsidR="00DB6A2A" w:rsidRPr="009F7AF2">
        <w:rPr>
          <w:rFonts w:ascii="Arial" w:hAnsi="Arial" w:cs="Arial"/>
          <w:noProof/>
          <w:sz w:val="22"/>
          <w:lang w:val="es-ES_tradnl"/>
        </w:rPr>
        <w:t xml:space="preserve">se ha pronunciado sobre </w:t>
      </w:r>
      <w:r w:rsidR="00DB6A2A" w:rsidRPr="009F7AF2">
        <w:rPr>
          <w:rFonts w:ascii="Arial" w:eastAsia="Arial" w:hAnsi="Arial" w:cs="Arial"/>
          <w:sz w:val="22"/>
          <w:lang w:val="es-ES_tradnl"/>
        </w:rPr>
        <w:t xml:space="preserve">los documentos tipo en la contratación estatal, entre otros, </w:t>
      </w:r>
      <w:r w:rsidR="00DB6A2A" w:rsidRPr="009F7AF2">
        <w:rPr>
          <w:rFonts w:ascii="Arial" w:eastAsia="Calibri" w:hAnsi="Arial" w:cs="Arial"/>
          <w:color w:val="000000" w:themeColor="text1"/>
          <w:sz w:val="22"/>
        </w:rPr>
        <w:t xml:space="preserve">en los conceptos del 13, 26 y 27 de agosto de 2019 radicados Nos. 2201913000005811, 2201913000005810, 2201913000006232, 2201913000006284, C-102 del 18 de marzo de 2020, C-144 del 2 de marzo 2020, C-263 del 25 de mayo de 2020, C-421 del 15 de julio de 2020, 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C-719 </w:t>
      </w:r>
      <w:r w:rsidR="00DB6A2A" w:rsidRPr="009F7AF2">
        <w:rPr>
          <w:rFonts w:ascii="Arial" w:hAnsi="Arial" w:cs="Arial"/>
          <w:sz w:val="22"/>
        </w:rPr>
        <w:t>de 24 de enero de 2022, C-090 de 16 de marzo de 2022, C-242 de 2 de mayo de 2022.</w:t>
      </w:r>
      <w:r w:rsidR="00540BD2" w:rsidRPr="009F7AF2">
        <w:rPr>
          <w:rFonts w:ascii="Arial" w:hAnsi="Arial" w:cs="Arial"/>
          <w:sz w:val="22"/>
        </w:rPr>
        <w:t xml:space="preserve"> </w:t>
      </w:r>
    </w:p>
    <w:p w14:paraId="178C1CE8" w14:textId="3E8EC711" w:rsidR="00AE78FA" w:rsidRPr="009F7AF2" w:rsidRDefault="00AE78FA" w:rsidP="009F7AF2">
      <w:pPr>
        <w:tabs>
          <w:tab w:val="left" w:pos="426"/>
        </w:tabs>
        <w:spacing w:after="240" w:line="276" w:lineRule="auto"/>
        <w:ind w:firstLine="709"/>
        <w:jc w:val="both"/>
        <w:rPr>
          <w:rFonts w:ascii="Arial" w:hAnsi="Arial" w:cs="Arial"/>
          <w:sz w:val="22"/>
        </w:rPr>
      </w:pPr>
      <w:r w:rsidRPr="009F7AF2">
        <w:rPr>
          <w:rFonts w:ascii="Arial" w:hAnsi="Arial" w:cs="Arial"/>
          <w:sz w:val="22"/>
        </w:rPr>
        <w:t xml:space="preserve">Del mismo modo, la Agencia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y C-152 del 12 de abril de 2021, C-403 del 10 de agosto de 2021, C-507 del 19 de septiembre de 2021, </w:t>
      </w:r>
      <w:r w:rsidRPr="009F7AF2">
        <w:rPr>
          <w:rFonts w:ascii="Arial" w:eastAsia="Calibri" w:hAnsi="Arial" w:cs="Arial"/>
          <w:color w:val="000000" w:themeColor="text1"/>
          <w:sz w:val="22"/>
        </w:rPr>
        <w:t>C-541 del 27 de septiembre de 2021, C-649 del 17 de noviembre de 2021, C-690 del 27 de diciembre de 2021, C-006 del 7 de marzo de 2022, C-130 del 22 de marzo de 2022, C-218 de 22 de abril de 2022 , C-242 del 3 de mayo de 2022</w:t>
      </w:r>
      <w:r w:rsidR="00983221" w:rsidRPr="009F7AF2">
        <w:rPr>
          <w:rFonts w:ascii="Arial" w:eastAsia="Calibri" w:hAnsi="Arial" w:cs="Arial"/>
          <w:color w:val="000000" w:themeColor="text1"/>
          <w:sz w:val="22"/>
        </w:rPr>
        <w:t>,</w:t>
      </w:r>
      <w:r w:rsidRPr="009F7AF2">
        <w:rPr>
          <w:rFonts w:ascii="Arial" w:eastAsia="Calibri" w:hAnsi="Arial" w:cs="Arial"/>
          <w:color w:val="000000" w:themeColor="text1"/>
          <w:sz w:val="22"/>
        </w:rPr>
        <w:t xml:space="preserve"> C-400 del 5 de julio de 2022</w:t>
      </w:r>
      <w:r w:rsidR="00983221" w:rsidRPr="009F7AF2">
        <w:rPr>
          <w:rFonts w:ascii="Arial" w:eastAsia="Calibri" w:hAnsi="Arial" w:cs="Arial"/>
          <w:color w:val="000000" w:themeColor="text1"/>
          <w:sz w:val="22"/>
        </w:rPr>
        <w:t xml:space="preserve"> y C-502 del 4 de julio de 2022</w:t>
      </w:r>
      <w:r w:rsidRPr="009F7AF2">
        <w:rPr>
          <w:rFonts w:ascii="Arial" w:eastAsia="Calibri" w:hAnsi="Arial" w:cs="Arial"/>
          <w:color w:val="000000" w:themeColor="text1"/>
          <w:sz w:val="22"/>
        </w:rPr>
        <w:t>.</w:t>
      </w:r>
    </w:p>
    <w:p w14:paraId="4851D72E" w14:textId="40DA7375" w:rsidR="002B7BD0" w:rsidRPr="009F7AF2" w:rsidRDefault="00540BD2" w:rsidP="009F7AF2">
      <w:pPr>
        <w:spacing w:after="240" w:line="276" w:lineRule="auto"/>
        <w:ind w:firstLine="708"/>
        <w:jc w:val="both"/>
        <w:rPr>
          <w:rFonts w:ascii="Arial" w:eastAsia="Arial" w:hAnsi="Arial" w:cs="Arial"/>
          <w:sz w:val="22"/>
        </w:rPr>
      </w:pPr>
      <w:r w:rsidRPr="009F7AF2">
        <w:rPr>
          <w:rFonts w:ascii="Arial" w:eastAsia="Calibri" w:hAnsi="Arial" w:cs="Arial"/>
          <w:color w:val="000000" w:themeColor="text1"/>
          <w:sz w:val="22"/>
        </w:rPr>
        <w:lastRenderedPageBreak/>
        <w:t>Las tesis expuestas en estos conceptos se desarrollan y se complementan en lo pertinente a continuación</w:t>
      </w:r>
      <w:r w:rsidR="00EA405F" w:rsidRPr="009F7AF2">
        <w:rPr>
          <w:rFonts w:ascii="Arial" w:eastAsia="Arial" w:hAnsi="Arial" w:cs="Arial"/>
          <w:sz w:val="22"/>
        </w:rPr>
        <w:t>.</w:t>
      </w:r>
    </w:p>
    <w:p w14:paraId="774D2AD1" w14:textId="0C561B4A" w:rsidR="001611B9" w:rsidRPr="009F7AF2" w:rsidRDefault="004B29A8" w:rsidP="009F7AF2">
      <w:pPr>
        <w:spacing w:line="276" w:lineRule="auto"/>
        <w:jc w:val="both"/>
        <w:rPr>
          <w:rFonts w:ascii="Arial" w:eastAsia="Arial" w:hAnsi="Arial" w:cs="Arial"/>
          <w:b/>
          <w:bCs/>
          <w:sz w:val="22"/>
          <w:szCs w:val="24"/>
          <w:lang w:val="es-ES_tradnl" w:eastAsia="es-ES_tradnl"/>
        </w:rPr>
      </w:pPr>
      <w:r w:rsidRPr="009F7AF2">
        <w:rPr>
          <w:rFonts w:ascii="Arial" w:hAnsi="Arial" w:cs="Arial"/>
          <w:b/>
          <w:bCs/>
          <w:sz w:val="22"/>
        </w:rPr>
        <w:t>2.1</w:t>
      </w:r>
      <w:r w:rsidR="001611B9" w:rsidRPr="009F7AF2">
        <w:rPr>
          <w:rFonts w:ascii="Arial" w:hAnsi="Arial" w:cs="Arial"/>
          <w:b/>
          <w:bCs/>
          <w:sz w:val="22"/>
        </w:rPr>
        <w:t xml:space="preserve">. </w:t>
      </w:r>
      <w:r w:rsidR="001611B9" w:rsidRPr="009F7AF2">
        <w:rPr>
          <w:rFonts w:ascii="Arial" w:eastAsia="Arial" w:hAnsi="Arial" w:cs="Arial"/>
          <w:b/>
          <w:bCs/>
          <w:sz w:val="22"/>
          <w:szCs w:val="24"/>
          <w:lang w:val="es-ES_tradnl" w:eastAsia="es-ES_tradnl"/>
        </w:rPr>
        <w:t xml:space="preserve">Fundamento normativo y ámbito de aplicación de los documentos tipo </w:t>
      </w:r>
    </w:p>
    <w:p w14:paraId="07E9C7FF" w14:textId="77777777" w:rsidR="001611B9" w:rsidRPr="009F7AF2" w:rsidRDefault="001611B9" w:rsidP="009F7AF2">
      <w:pPr>
        <w:spacing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La adopción de los documentos tipo obligatorios en el ordenamiento jurídico colombiano se incluyó por primera vez en el parágrafo 3 del artículo 2 de la Ley 1150 de 2007</w:t>
      </w:r>
      <w:r w:rsidRPr="009F7AF2">
        <w:rPr>
          <w:rFonts w:ascii="Arial" w:eastAsia="Calibri" w:hAnsi="Arial" w:cs="Arial"/>
          <w:szCs w:val="24"/>
          <w:vertAlign w:val="superscript"/>
          <w:lang w:val="es-CO" w:eastAsia="es-ES_tradnl"/>
        </w:rPr>
        <w:footnoteReference w:id="1"/>
      </w:r>
      <w:r w:rsidRPr="009F7AF2">
        <w:rPr>
          <w:rFonts w:ascii="Arial" w:eastAsia="Calibri" w:hAnsi="Arial" w:cs="Arial"/>
          <w:sz w:val="22"/>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EAA43E0" w14:textId="77777777" w:rsidR="001611B9" w:rsidRPr="009F7AF2" w:rsidRDefault="001611B9" w:rsidP="009F7AF2">
      <w:pPr>
        <w:spacing w:before="120" w:line="276" w:lineRule="auto"/>
        <w:ind w:firstLine="709"/>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54FAB1BB" w14:textId="77777777" w:rsidR="001611B9" w:rsidRPr="009F7AF2" w:rsidRDefault="001611B9" w:rsidP="009F7AF2">
      <w:pPr>
        <w:spacing w:before="120" w:line="276" w:lineRule="auto"/>
        <w:ind w:firstLine="708"/>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9F7AF2">
        <w:rPr>
          <w:rFonts w:ascii="Arial" w:eastAsia="Calibri" w:hAnsi="Arial" w:cs="Arial"/>
          <w:szCs w:val="24"/>
          <w:vertAlign w:val="superscript"/>
          <w:lang w:val="es-CO" w:eastAsia="es-ES_tradnl"/>
        </w:rPr>
        <w:footnoteReference w:id="2"/>
      </w:r>
      <w:r w:rsidRPr="009F7AF2">
        <w:rPr>
          <w:rFonts w:ascii="Arial" w:eastAsia="Calibri" w:hAnsi="Arial" w:cs="Arial"/>
          <w:sz w:val="22"/>
          <w:szCs w:val="24"/>
          <w:lang w:val="es-ES_tradnl" w:eastAsia="es-ES_tradnl"/>
        </w:rPr>
        <w:t>.</w:t>
      </w:r>
    </w:p>
    <w:p w14:paraId="3081261B"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lastRenderedPageBreak/>
        <w:tab/>
        <w:t xml:space="preserve">Así 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59FA51C"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88E1211"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9F7AF2">
        <w:rPr>
          <w:rFonts w:ascii="Arial" w:eastAsia="Calibri" w:hAnsi="Arial" w:cs="Arial"/>
          <w:sz w:val="22"/>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5"/>
      <w:r w:rsidRPr="009F7AF2">
        <w:rPr>
          <w:rFonts w:ascii="Arial" w:eastAsia="Calibri" w:hAnsi="Arial" w:cs="Arial"/>
          <w:sz w:val="22"/>
          <w:szCs w:val="24"/>
          <w:lang w:val="es-ES_tradnl" w:eastAsia="es-ES_tradnl"/>
        </w:rPr>
        <w:t>. De igual manera, se establece que esta autonomía se garantiza con la identificación autónoma de sus necesidades y la configuración de los elementos del contrato</w:t>
      </w:r>
      <w:r w:rsidRPr="009F7AF2">
        <w:rPr>
          <w:rFonts w:ascii="Arial" w:eastAsia="Calibri" w:hAnsi="Arial" w:cs="Arial"/>
          <w:szCs w:val="24"/>
          <w:vertAlign w:val="superscript"/>
          <w:lang w:val="es-CO" w:eastAsia="es-ES_tradnl"/>
        </w:rPr>
        <w:footnoteReference w:id="3"/>
      </w:r>
      <w:r w:rsidRPr="009F7AF2">
        <w:rPr>
          <w:rFonts w:ascii="Arial" w:eastAsia="Calibri" w:hAnsi="Arial" w:cs="Arial"/>
          <w:sz w:val="22"/>
          <w:szCs w:val="24"/>
          <w:lang w:val="es-ES_tradnl" w:eastAsia="es-ES_tradnl"/>
        </w:rPr>
        <w:t>.</w:t>
      </w:r>
    </w:p>
    <w:p w14:paraId="3D57E96C"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lastRenderedPageBreak/>
        <w:tab/>
        <w:t>De este modo, los documentos tipo no afectan la autonomía de las entidades territoriales. Lo anterior, debido a que la definición de los requisitos habilitantes y de aspectos técnicos de la escogencia del contratista en los Procesos de Contratación, son contenidos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70A2A681" w14:textId="77777777" w:rsidR="001611B9" w:rsidRPr="009F7AF2" w:rsidRDefault="001611B9" w:rsidP="009F7AF2">
      <w:pPr>
        <w:spacing w:before="120" w:line="276" w:lineRule="auto"/>
        <w:jc w:val="both"/>
        <w:rPr>
          <w:rFonts w:ascii="Arial" w:eastAsia="Calibri" w:hAnsi="Arial" w:cs="Arial"/>
          <w:sz w:val="22"/>
          <w:lang w:val="es-ES_tradnl"/>
        </w:rPr>
      </w:pPr>
      <w:r w:rsidRPr="009F7AF2">
        <w:rPr>
          <w:rFonts w:ascii="Arial" w:eastAsia="Calibri" w:hAnsi="Arial" w:cs="Arial"/>
          <w:sz w:val="22"/>
          <w:lang w:val="es-ES_tradnl" w:eastAsia="es-ES_tradnl"/>
        </w:rPr>
        <w:tab/>
      </w:r>
      <w:r w:rsidRPr="009F7AF2">
        <w:rPr>
          <w:rFonts w:ascii="Arial" w:eastAsia="Calibri" w:hAnsi="Arial" w:cs="Arial"/>
          <w:color w:val="000000"/>
          <w:sz w:val="22"/>
          <w:lang w:val="es-ES" w:eastAsia="es-ES_tradnl"/>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9F7AF2">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w:t>
      </w:r>
      <w:r w:rsidRPr="009F7AF2">
        <w:rPr>
          <w:rFonts w:ascii="Arial" w:eastAsia="Calibri" w:hAnsi="Arial" w:cs="Arial"/>
          <w:sz w:val="22"/>
          <w:lang w:val="es-ES" w:eastAsia="es-ES_tradnl"/>
        </w:rPr>
        <w:t>del 21 de noviembre de 2019</w:t>
      </w:r>
      <w:r w:rsidRPr="009F7AF2">
        <w:rPr>
          <w:rFonts w:ascii="Arial" w:eastAsia="Calibri" w:hAnsi="Arial" w:cs="Arial"/>
          <w:sz w:val="22"/>
          <w:lang w:val="es-ES_tradnl"/>
        </w:rPr>
        <w:t xml:space="preserve">, que permitió el desarrollo de los documentos tipo para los pliegos de condiciones de los procesos de obras públicas de infraestructura de transporte que se adelantaran por la modalidad de selección abreviada de menor cuantía. </w:t>
      </w:r>
    </w:p>
    <w:p w14:paraId="2ADA8DA3" w14:textId="77777777" w:rsidR="001611B9" w:rsidRPr="009F7AF2" w:rsidRDefault="001611B9" w:rsidP="009F7AF2">
      <w:pPr>
        <w:spacing w:before="120" w:line="276" w:lineRule="auto"/>
        <w:ind w:firstLine="708"/>
        <w:jc w:val="both"/>
        <w:rPr>
          <w:rFonts w:ascii="Arial" w:eastAsia="Calibri" w:hAnsi="Arial" w:cs="Arial"/>
          <w:sz w:val="22"/>
          <w:lang w:val="es-ES_tradnl" w:eastAsia="es-ES_tradnl"/>
        </w:rPr>
      </w:pPr>
      <w:r w:rsidRPr="009F7AF2">
        <w:rPr>
          <w:rFonts w:ascii="Arial" w:eastAsia="Calibri" w:hAnsi="Arial" w:cs="Arial"/>
          <w:sz w:val="22"/>
          <w:lang w:val="es-ES_tradnl"/>
        </w:rPr>
        <w:t>Finalmente, se profirió el Decreto 594 de 2020, frente a los documentos tipo para los contratos de obra pública</w:t>
      </w:r>
      <w:r w:rsidRPr="009F7AF2" w:rsidDel="00A434AB">
        <w:rPr>
          <w:rFonts w:ascii="Arial" w:eastAsia="Calibri" w:hAnsi="Arial" w:cs="Arial"/>
          <w:sz w:val="22"/>
          <w:lang w:val="es-ES_tradnl"/>
        </w:rPr>
        <w:t xml:space="preserve"> </w:t>
      </w:r>
      <w:r w:rsidRPr="009F7AF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6" w:name="_Hlk37841850"/>
      <w:r w:rsidRPr="009F7AF2">
        <w:rPr>
          <w:rFonts w:ascii="Arial" w:eastAsia="Calibri" w:hAnsi="Arial" w:cs="Arial"/>
          <w:sz w:val="22"/>
          <w:lang w:val="es-ES_tradnl"/>
        </w:rPr>
        <w:t xml:space="preserve">– Colombia Compra Eficiente, </w:t>
      </w:r>
      <w:bookmarkEnd w:id="6"/>
      <w:r w:rsidRPr="009F7AF2">
        <w:rPr>
          <w:rFonts w:ascii="Arial" w:eastAsia="Calibri" w:hAnsi="Arial" w:cs="Arial"/>
          <w:sz w:val="22"/>
          <w:lang w:val="es-ES_tradnl"/>
        </w:rPr>
        <w:t>por medio de la Resolución 1798 de 2019 –derogada por la Resolución 045 de 2020–, la Resolución 044 de 2020 y la Resolución 094 de 2020.</w:t>
      </w:r>
    </w:p>
    <w:p w14:paraId="1D7879EA" w14:textId="77777777" w:rsidR="001611B9" w:rsidRPr="009F7AF2" w:rsidRDefault="001611B9" w:rsidP="009F7AF2">
      <w:pPr>
        <w:spacing w:before="120" w:line="276" w:lineRule="auto"/>
        <w:ind w:firstLine="709"/>
        <w:jc w:val="both"/>
        <w:rPr>
          <w:rFonts w:ascii="Arial" w:eastAsia="Calibri" w:hAnsi="Arial" w:cs="Arial"/>
          <w:sz w:val="22"/>
          <w:lang w:val="es-ES_tradnl" w:eastAsia="es-ES"/>
        </w:rPr>
      </w:pPr>
      <w:r w:rsidRPr="009F7AF2">
        <w:rPr>
          <w:rFonts w:ascii="Arial" w:eastAsia="Calibri" w:hAnsi="Arial" w:cs="Arial"/>
          <w:sz w:val="22"/>
          <w:lang w:val="es-ES_tradnl" w:eastAsia="es-ES"/>
        </w:rPr>
        <w:t xml:space="preserve">Con posterioridad a la adopción de los anteriores documentos tipo, se expidió la Ley 2022 del </w:t>
      </w:r>
      <w:r w:rsidRPr="009F7AF2">
        <w:rPr>
          <w:rFonts w:ascii="Arial" w:eastAsia="Calibri" w:hAnsi="Arial" w:cs="Arial"/>
          <w:color w:val="000000"/>
          <w:sz w:val="22"/>
          <w:lang w:val="es-ES" w:eastAsia="es-ES"/>
        </w:rPr>
        <w:t>22 de julio de 2020</w:t>
      </w:r>
      <w:r w:rsidRPr="009F7AF2">
        <w:rPr>
          <w:rFonts w:ascii="Arial" w:eastAsia="Calibri" w:hAnsi="Arial" w:cs="Arial"/>
          <w:sz w:val="22"/>
          <w:lang w:val="es-ES_tradnl" w:eastAsia="es-ES"/>
        </w:rPr>
        <w:t>, norma que modificó el parágrafo 7 del artículo 2 de la Ley 1150 de 2007, que había sido adicionado por la Ley 1882 de 2018</w:t>
      </w:r>
      <w:r w:rsidRPr="009F7AF2">
        <w:rPr>
          <w:rFonts w:ascii="Arial" w:eastAsia="Calibri" w:hAnsi="Arial" w:cs="Arial"/>
          <w:color w:val="000000"/>
          <w:sz w:val="22"/>
          <w:vertAlign w:val="superscript"/>
          <w:lang w:val="es-ES_tradnl" w:eastAsia="es-ES"/>
        </w:rPr>
        <w:footnoteReference w:id="4"/>
      </w:r>
      <w:r w:rsidRPr="009F7AF2">
        <w:rPr>
          <w:rFonts w:ascii="Arial" w:eastAsia="Calibri" w:hAnsi="Arial" w:cs="Arial"/>
          <w:sz w:val="22"/>
          <w:lang w:val="es-ES_tradnl" w:eastAsia="es-ES"/>
        </w:rPr>
        <w:t xml:space="preserve">. Con esta modificación, </w:t>
      </w:r>
      <w:r w:rsidRPr="009F7AF2">
        <w:rPr>
          <w:rFonts w:ascii="Arial" w:eastAsia="Calibri" w:hAnsi="Arial" w:cs="Arial"/>
          <w:sz w:val="22"/>
          <w:lang w:val="es-ES_tradnl" w:eastAsia="es-ES"/>
        </w:rPr>
        <w:lastRenderedPageBreak/>
        <w:t xml:space="preserve">si bien se mantuvo el mandato de aplicación obligatoria de los documentos tipo por parte de las entidades sometidas al Estatuto General de Contratación de la Administración Pública, se atribuyó, específicamente, a la </w:t>
      </w:r>
      <w:r w:rsidRPr="009F7AF2">
        <w:rPr>
          <w:rFonts w:ascii="Arial" w:eastAsia="Calibri" w:hAnsi="Arial" w:cs="Arial"/>
          <w:sz w:val="22"/>
          <w:lang w:val="es-ES_tradnl"/>
        </w:rPr>
        <w:t xml:space="preserve">Agencia Nacional de Contratación Pública – Colombia Compra Eficiente la competencia para su adopción. </w:t>
      </w:r>
      <w:r w:rsidRPr="009F7AF2">
        <w:rPr>
          <w:rFonts w:ascii="Arial" w:eastAsia="Calibri" w:hAnsi="Arial" w:cs="Arial"/>
          <w:sz w:val="22"/>
          <w:lang w:val="es-ES_tradnl" w:eastAsia="es-ES"/>
        </w:rPr>
        <w:t>En este marco, con la finalidad de realizar un desarrollo armónico y ajustado a la ley que otorgó esta competencia, esta Agencia emitió la Resolución 160 de 2020 «</w:t>
      </w:r>
      <w:r w:rsidRPr="009F7AF2">
        <w:rPr>
          <w:rFonts w:ascii="Arial" w:eastAsia="Calibri" w:hAnsi="Arial" w:cs="Arial"/>
          <w:i/>
          <w:iCs/>
          <w:sz w:val="22"/>
          <w:lang w:val="es-ES_tradnl" w:eastAsia="es-ES"/>
        </w:rPr>
        <w:t>Por la cual se adopta el procedimiento para implementar los documentos tipo y se define el sistema para su revisión».</w:t>
      </w:r>
      <w:r w:rsidRPr="009F7AF2">
        <w:rPr>
          <w:rFonts w:ascii="Arial" w:eastAsia="Calibri" w:hAnsi="Arial" w:cs="Arial"/>
          <w:sz w:val="22"/>
          <w:lang w:val="es-ES_tradnl" w:eastAsia="es-ES"/>
        </w:rPr>
        <w:t xml:space="preserve"> Así mismo, con fundamento en dicha Ley, se profirió la Resolución 240 de 2020, </w:t>
      </w:r>
      <w:r w:rsidRPr="009F7AF2">
        <w:rPr>
          <w:rFonts w:ascii="Arial" w:eastAsia="Calibri" w:hAnsi="Arial" w:cs="Arial"/>
          <w:i/>
          <w:iCs/>
          <w:sz w:val="22"/>
          <w:lang w:val="es-ES_tradnl" w:eastAsia="es-ES"/>
        </w:rPr>
        <w:t>«Por la cual se actualizan los Documentos Tipo para los procesos de selección de licitación de obra pública de infraestructura de transporte y se deroga la Resolución 0045 de 2020».</w:t>
      </w:r>
      <w:r w:rsidRPr="009F7AF2">
        <w:rPr>
          <w:rFonts w:ascii="Arial" w:eastAsia="Calibri" w:hAnsi="Arial" w:cs="Arial"/>
          <w:sz w:val="22"/>
          <w:lang w:val="es-ES_tradnl" w:eastAsia="es-ES"/>
        </w:rPr>
        <w:t xml:space="preserve"> </w:t>
      </w:r>
    </w:p>
    <w:p w14:paraId="31E9B55D" w14:textId="6FA1463E" w:rsidR="001611B9" w:rsidRPr="009F7AF2" w:rsidRDefault="001611B9" w:rsidP="009F7AF2">
      <w:pPr>
        <w:spacing w:before="120" w:line="276" w:lineRule="auto"/>
        <w:ind w:firstLine="709"/>
        <w:jc w:val="both"/>
        <w:rPr>
          <w:rFonts w:ascii="Arial" w:eastAsia="Calibri" w:hAnsi="Arial" w:cs="Arial"/>
          <w:i/>
          <w:iCs/>
          <w:sz w:val="22"/>
          <w:lang w:val="es-ES_tradnl" w:eastAsia="es-ES"/>
        </w:rPr>
      </w:pPr>
      <w:r w:rsidRPr="009F7AF2">
        <w:rPr>
          <w:rFonts w:ascii="Arial" w:eastAsia="Calibri" w:hAnsi="Arial" w:cs="Arial"/>
          <w:sz w:val="22"/>
          <w:lang w:val="es-ES_tradnl" w:eastAsia="es-ES"/>
        </w:rPr>
        <w:t xml:space="preserve">De igual manera, se expidió la Resolución 241 de 2020, </w:t>
      </w:r>
      <w:r w:rsidRPr="009F7AF2">
        <w:rPr>
          <w:rFonts w:ascii="Arial" w:eastAsia="Calibri" w:hAnsi="Arial" w:cs="Arial"/>
          <w:i/>
          <w:iCs/>
          <w:sz w:val="22"/>
          <w:lang w:val="es-ES_tradnl" w:eastAsia="es-ES"/>
        </w:rPr>
        <w:t>«Por la cual se actualizan los Documentos Tipo para los procesos de selección abreviada de menor cuantía de obra pública de infraestructura de transporte y se deroga la Resolución 0044 de 2020».</w:t>
      </w:r>
      <w:r w:rsidRPr="009F7AF2">
        <w:rPr>
          <w:rFonts w:ascii="Arial" w:eastAsia="Calibri" w:hAnsi="Arial" w:cs="Arial"/>
          <w:sz w:val="22"/>
          <w:lang w:val="es-ES_tradnl" w:eastAsia="es-ES"/>
        </w:rPr>
        <w:t xml:space="preserve"> Adicionalmente, </w:t>
      </w:r>
      <w:r w:rsidR="00A62CCC" w:rsidRPr="009F7AF2">
        <w:rPr>
          <w:rFonts w:ascii="Arial" w:eastAsia="Calibri" w:hAnsi="Arial" w:cs="Arial"/>
          <w:sz w:val="22"/>
          <w:lang w:val="es-ES_tradnl" w:eastAsia="es-ES"/>
        </w:rPr>
        <w:t>entró en vigor</w:t>
      </w:r>
      <w:r w:rsidRPr="009F7AF2">
        <w:rPr>
          <w:rFonts w:ascii="Arial" w:eastAsia="Calibri" w:hAnsi="Arial" w:cs="Arial"/>
          <w:sz w:val="22"/>
          <w:lang w:val="es-ES_tradnl" w:eastAsia="es-ES"/>
        </w:rPr>
        <w:t xml:space="preserve"> la Resolución 256 de 2020, </w:t>
      </w:r>
      <w:r w:rsidRPr="009F7AF2">
        <w:rPr>
          <w:rFonts w:ascii="Arial" w:eastAsia="Calibri" w:hAnsi="Arial" w:cs="Arial"/>
          <w:i/>
          <w:iCs/>
          <w:sz w:val="22"/>
          <w:lang w:val="es-ES_tradnl" w:eastAsia="es-ES"/>
        </w:rPr>
        <w:t>«Por la cual se adoptan los documentos tipo para los procesos de selección de concursos de méritos, para contratar la interventoría de obras públicas de infraestructura de transporte».</w:t>
      </w:r>
      <w:r w:rsidRPr="009F7AF2">
        <w:rPr>
          <w:rFonts w:ascii="Arial" w:eastAsia="Calibri" w:hAnsi="Arial" w:cs="Arial"/>
          <w:sz w:val="22"/>
          <w:lang w:val="es-ES_tradnl" w:eastAsia="es-ES"/>
        </w:rPr>
        <w:t xml:space="preserve"> Por otra parte, se expidió la Resolución 248 de 2020, </w:t>
      </w:r>
      <w:r w:rsidRPr="009F7AF2">
        <w:rPr>
          <w:rFonts w:ascii="Arial" w:eastAsia="Calibri" w:hAnsi="Arial" w:cs="Arial"/>
          <w:i/>
          <w:iCs/>
          <w:sz w:val="22"/>
          <w:lang w:val="es-ES_tradnl" w:eastAsia="es-ES"/>
        </w:rPr>
        <w:t>«Por la cual se adoptan los documentos tipo para los procesos de licitación pública para obras de infraestructura de agua potable y saneamiento básico»</w:t>
      </w:r>
      <w:r w:rsidRPr="009F7AF2">
        <w:rPr>
          <w:rFonts w:ascii="Arial" w:eastAsia="Calibri" w:hAnsi="Arial" w:cs="Arial"/>
          <w:sz w:val="22"/>
          <w:lang w:val="es-ES_tradnl" w:eastAsia="es-ES"/>
        </w:rPr>
        <w:t xml:space="preserve">, la Resolución 249 de 2020, </w:t>
      </w:r>
      <w:r w:rsidRPr="009F7AF2">
        <w:rPr>
          <w:rFonts w:ascii="Arial" w:eastAsia="Calibri" w:hAnsi="Arial" w:cs="Arial"/>
          <w:i/>
          <w:iCs/>
          <w:sz w:val="22"/>
          <w:lang w:val="es-ES_tradnl" w:eastAsia="es-ES"/>
        </w:rPr>
        <w:t>«Por la cual se adoptan los documentos tipo para los procesos de licitación pública para obras de infraestructura de agua potable y saneamiento básico en la modalidad llave en mano»,</w:t>
      </w:r>
      <w:r w:rsidRPr="009F7AF2">
        <w:rPr>
          <w:rFonts w:ascii="Arial" w:eastAsia="Calibri" w:hAnsi="Arial" w:cs="Arial"/>
          <w:sz w:val="22"/>
          <w:lang w:val="es-ES_tradnl" w:eastAsia="es-ES"/>
        </w:rPr>
        <w:t xml:space="preserve"> y la Resolución 269 de 2020, </w:t>
      </w:r>
      <w:r w:rsidRPr="009F7AF2">
        <w:rPr>
          <w:rFonts w:ascii="Arial" w:eastAsia="Calibri" w:hAnsi="Arial" w:cs="Arial"/>
          <w:i/>
          <w:iCs/>
          <w:sz w:val="22"/>
          <w:lang w:val="es-ES_tradnl" w:eastAsia="es-ES"/>
        </w:rPr>
        <w:t xml:space="preserve">«Por la cual se adopta </w:t>
      </w:r>
      <w:r w:rsidRPr="009F7AF2">
        <w:rPr>
          <w:rFonts w:ascii="Arial" w:eastAsia="Calibri" w:hAnsi="Arial" w:cs="Arial"/>
          <w:i/>
          <w:iCs/>
          <w:sz w:val="22"/>
          <w:lang w:val="es-ES_tradnl" w:eastAsia="es-ES"/>
        </w:rPr>
        <w:lastRenderedPageBreak/>
        <w:t>el documento tipo para los procesos de gestión catastral con enfoque multipropósito que se celebren a través de contratos interadministrativos».</w:t>
      </w:r>
    </w:p>
    <w:p w14:paraId="6DDF82D4" w14:textId="77777777" w:rsidR="001611B9" w:rsidRPr="009F7AF2" w:rsidRDefault="001611B9" w:rsidP="009F7AF2">
      <w:pPr>
        <w:spacing w:before="120" w:line="276" w:lineRule="auto"/>
        <w:ind w:firstLine="709"/>
        <w:jc w:val="both"/>
        <w:rPr>
          <w:rFonts w:ascii="Arial" w:eastAsia="Times New Roman" w:hAnsi="Arial" w:cs="Arial"/>
          <w:sz w:val="22"/>
          <w:lang w:val="es-ES_tradnl" w:eastAsia="es-ES"/>
        </w:rPr>
      </w:pPr>
      <w:r w:rsidRPr="009F7AF2">
        <w:rPr>
          <w:rFonts w:ascii="Arial" w:eastAsia="Calibri" w:hAnsi="Arial" w:cs="Arial"/>
          <w:sz w:val="22"/>
          <w:lang w:val="es-ES_tradnl" w:eastAsia="es-ES"/>
        </w:rPr>
        <w:t xml:space="preserve">A los actos administrativos mencionados se suman: i) la Resolución 193 de 2021, </w:t>
      </w:r>
      <w:r w:rsidRPr="009F7AF2">
        <w:rPr>
          <w:rFonts w:ascii="Arial" w:eastAsia="Times New Roman" w:hAnsi="Arial" w:cs="Arial"/>
          <w:sz w:val="22"/>
          <w:lang w:val="es-ES_tradnl" w:eastAsia="es-ES"/>
        </w:rPr>
        <w:t>«Por la cual se adoptan los documentos tipo para los procesos de selección de concurso de méritos, para contratar la consultoría de estudios de ingeniería de infraestructura de transporte»,</w:t>
      </w:r>
      <w:r w:rsidRPr="009F7AF2">
        <w:rPr>
          <w:rFonts w:ascii="Arial" w:eastAsia="Calibri" w:hAnsi="Arial" w:cs="Arial"/>
          <w:sz w:val="22"/>
          <w:lang w:val="es-ES_tradnl" w:eastAsia="es-ES"/>
        </w:rPr>
        <w:t xml:space="preserve"> ii) la Resolución 219 de 2020,</w:t>
      </w:r>
      <w:r w:rsidRPr="009F7AF2">
        <w:rPr>
          <w:rFonts w:ascii="Arial" w:eastAsia="Times New Roman" w:hAnsi="Arial" w:cs="Arial"/>
          <w:sz w:val="22"/>
          <w:lang w:val="es-ES_tradnl" w:eastAsia="es-ES"/>
        </w:rPr>
        <w:t xml:space="preserve"> </w:t>
      </w:r>
      <w:r w:rsidRPr="009F7AF2">
        <w:rPr>
          <w:rFonts w:ascii="Arial" w:eastAsia="Times New Roman" w:hAnsi="Arial" w:cs="Arial"/>
          <w:i/>
          <w:iCs/>
          <w:sz w:val="22"/>
          <w:lang w:val="es-ES_tradnl" w:eastAsia="es-ES"/>
        </w:rPr>
        <w:t>«Por la cual se adoptan los documentos tipo para los procesos de licitación de obra pública de infraestructura social»,</w:t>
      </w:r>
      <w:r w:rsidRPr="009F7AF2">
        <w:rPr>
          <w:rFonts w:ascii="Arial" w:eastAsia="Times New Roman" w:hAnsi="Arial" w:cs="Arial"/>
          <w:sz w:val="22"/>
          <w:lang w:val="es-ES_tradnl" w:eastAsia="es-ES"/>
        </w:rPr>
        <w:t xml:space="preserve"> iii) la Resolución 220 de 2021, «</w:t>
      </w:r>
      <w:r w:rsidRPr="009F7AF2">
        <w:rPr>
          <w:rFonts w:ascii="Arial" w:eastAsia="Times New Roman" w:hAnsi="Arial" w:cs="Arial"/>
          <w:i/>
          <w:iCs/>
          <w:sz w:val="22"/>
          <w:lang w:val="es-ES_tradnl" w:eastAsia="es-ES"/>
        </w:rPr>
        <w:t>Por la cual se adoptan los documentos tipo complementarios para los procesos de licitación de obra pública de infraestructura social relacionados con el sector educativo»</w:t>
      </w:r>
      <w:r w:rsidRPr="009F7AF2">
        <w:rPr>
          <w:rFonts w:ascii="Arial" w:eastAsia="Times New Roman" w:hAnsi="Arial" w:cs="Arial"/>
          <w:sz w:val="22"/>
          <w:lang w:val="es-ES_tradnl" w:eastAsia="es-ES"/>
        </w:rPr>
        <w:t xml:space="preserve">, iv) </w:t>
      </w:r>
      <w:r w:rsidRPr="009F7AF2">
        <w:rPr>
          <w:rFonts w:ascii="Arial" w:eastAsia="Arial" w:hAnsi="Arial" w:cs="Arial"/>
          <w:bCs/>
          <w:color w:val="000000"/>
          <w:sz w:val="22"/>
          <w:lang w:val="es-ES_tradnl" w:eastAsia="es-ES" w:bidi="es-ES"/>
        </w:rPr>
        <w:t>la Resolución 304 del 2021</w:t>
      </w:r>
      <w:r w:rsidRPr="009F7AF2">
        <w:rPr>
          <w:rFonts w:ascii="Arial" w:eastAsia="Arial" w:hAnsi="Arial" w:cs="Arial"/>
          <w:color w:val="000000"/>
          <w:sz w:val="22"/>
          <w:lang w:val="es-ES_tradnl" w:eastAsia="es-ES" w:bidi="es-ES"/>
        </w:rPr>
        <w:t xml:space="preserve"> </w:t>
      </w:r>
      <w:r w:rsidRPr="009F7AF2">
        <w:rPr>
          <w:rFonts w:ascii="Arial" w:eastAsia="Arial" w:hAnsi="Arial" w:cs="Arial"/>
          <w:bCs/>
          <w:color w:val="000000"/>
          <w:sz w:val="22"/>
          <w:lang w:val="es-ES_tradnl" w:eastAsia="es-ES" w:bidi="es-ES"/>
        </w:rPr>
        <w:t>«Por la cual se modifican los Documentos Tipo adoptados por la Agencia Nacional de Contratación Pública – Colombia Compra Eficiente»</w:t>
      </w:r>
      <w:r w:rsidRPr="009F7AF2">
        <w:rPr>
          <w:rFonts w:ascii="Arial" w:eastAsia="Times New Roman" w:hAnsi="Arial" w:cs="Arial"/>
          <w:sz w:val="22"/>
          <w:lang w:val="es-ES_tradnl" w:eastAsia="es-ES"/>
        </w:rPr>
        <w:t xml:space="preserve">, v) la Resolución 392 de 2021, </w:t>
      </w:r>
      <w:r w:rsidRPr="009F7AF2">
        <w:rPr>
          <w:rFonts w:ascii="Arial" w:eastAsia="Times New Roman" w:hAnsi="Arial" w:cs="Arial"/>
          <w:i/>
          <w:iCs/>
          <w:sz w:val="22"/>
          <w:lang w:val="es-ES_tradnl" w:eastAsia="es-ES"/>
        </w:rPr>
        <w:t>«Por la cual se adoptan los documentos tipo complementarios para los procesos de licitación de obra pública de infraestructura social relacionados con el sector salud»</w:t>
      </w:r>
      <w:r w:rsidRPr="009F7AF2">
        <w:rPr>
          <w:rFonts w:ascii="Arial" w:eastAsia="Arial" w:hAnsi="Arial" w:cs="Arial"/>
          <w:bCs/>
          <w:color w:val="000000"/>
          <w:sz w:val="22"/>
          <w:lang w:val="es-ES_tradnl" w:eastAsia="es-ES" w:bidi="es-ES"/>
        </w:rPr>
        <w:t xml:space="preserve">, y vi) </w:t>
      </w:r>
      <w:r w:rsidRPr="009F7AF2">
        <w:rPr>
          <w:rFonts w:ascii="Arial" w:eastAsia="Times New Roman" w:hAnsi="Arial" w:cs="Arial"/>
          <w:sz w:val="22"/>
          <w:lang w:val="es-ES_tradnl" w:eastAsia="es-ES"/>
        </w:rPr>
        <w:t xml:space="preserve">la Resolución 454 de 2021, </w:t>
      </w:r>
      <w:r w:rsidRPr="009F7AF2">
        <w:rPr>
          <w:rFonts w:ascii="Arial" w:eastAsia="Times New Roman" w:hAnsi="Arial" w:cs="Arial"/>
          <w:i/>
          <w:iCs/>
          <w:sz w:val="22"/>
          <w:lang w:val="es-ES_tradnl" w:eastAsia="es-ES"/>
        </w:rPr>
        <w:t>«Por la cual se adoptan los documentos tipo complementarios para los procesos de licitación de obra pública de infraestructura social relacionados con el sector cultura, recreación y deporte».</w:t>
      </w:r>
      <w:r w:rsidRPr="009F7AF2">
        <w:rPr>
          <w:rFonts w:ascii="Arial" w:eastAsia="Times New Roman" w:hAnsi="Arial" w:cs="Arial"/>
          <w:sz w:val="22"/>
          <w:lang w:val="es-ES_tradnl" w:eastAsia="es-ES"/>
        </w:rPr>
        <w:t xml:space="preserve"> </w:t>
      </w:r>
    </w:p>
    <w:p w14:paraId="32AAFB3F" w14:textId="77777777" w:rsidR="001611B9" w:rsidRPr="009F7AF2" w:rsidRDefault="001611B9" w:rsidP="009F7AF2">
      <w:pPr>
        <w:spacing w:before="120" w:line="276" w:lineRule="auto"/>
        <w:ind w:firstLine="709"/>
        <w:jc w:val="both"/>
        <w:rPr>
          <w:rFonts w:ascii="Arial" w:eastAsia="Times New Roman" w:hAnsi="Arial" w:cs="Arial"/>
          <w:sz w:val="22"/>
          <w:lang w:val="es-ES_tradnl" w:eastAsia="es-ES"/>
        </w:rPr>
      </w:pPr>
      <w:r w:rsidRPr="009F7AF2">
        <w:rPr>
          <w:rFonts w:ascii="Arial" w:eastAsia="Calibri" w:hAnsi="Arial" w:cs="Arial"/>
          <w:color w:val="000000"/>
          <w:sz w:val="22"/>
          <w:lang w:val="es-ES_tradnl" w:eastAsia="es-ES"/>
        </w:rPr>
        <w:t xml:space="preserve">Las resoluciones señaladas </w:t>
      </w:r>
      <w:r w:rsidRPr="009F7AF2">
        <w:rPr>
          <w:rFonts w:ascii="Arial" w:eastAsia="Times New Roman" w:hAnsi="Arial" w:cs="Arial"/>
          <w:color w:val="000000"/>
          <w:sz w:val="22"/>
          <w:bdr w:val="none" w:sz="0" w:space="0" w:color="auto" w:frame="1"/>
          <w:lang w:val="es-ES_tradnl" w:eastAsia="es-ES"/>
        </w:rPr>
        <w:t>reiteran el alcance de la obligatoriedad de los documentos tipo en la materia</w:t>
      </w:r>
      <w:r w:rsidRPr="009F7AF2">
        <w:rPr>
          <w:rFonts w:ascii="Arial" w:eastAsia="Calibri" w:hAnsi="Arial" w:cs="Arial"/>
          <w:color w:val="000000"/>
          <w:sz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1 – Experiencia», de acuerdo con el documento tipo a aplicar. </w:t>
      </w:r>
      <w:r w:rsidRPr="009F7AF2">
        <w:rPr>
          <w:rFonts w:ascii="Arial" w:eastAsia="Calibri" w:hAnsi="Arial" w:cs="Arial"/>
          <w:color w:val="000000" w:themeColor="text1"/>
          <w:sz w:val="22"/>
          <w:lang w:val="es-ES_tradnl" w:eastAsia="es-ES"/>
        </w:rPr>
        <w:t>Así, para determinar el ámbito de aplicación de los documentos tipo debe acudirse a la «Matriz 1 – Experiencia», en la que se contemplan las clases de obra aplicables al sector, sean de infraestructura de transporte, agua potable y saneamiento básico o infraestructura social.</w:t>
      </w:r>
    </w:p>
    <w:p w14:paraId="64758005" w14:textId="31157EC6" w:rsidR="001611B9" w:rsidRPr="009F7AF2" w:rsidRDefault="001611B9" w:rsidP="009F7AF2">
      <w:pPr>
        <w:spacing w:before="120" w:line="276" w:lineRule="auto"/>
        <w:ind w:firstLine="709"/>
        <w:jc w:val="both"/>
        <w:rPr>
          <w:rFonts w:ascii="Arial" w:eastAsia="Times New Roman" w:hAnsi="Arial" w:cs="Arial"/>
          <w:sz w:val="22"/>
          <w:lang w:val="es-ES_tradnl" w:eastAsia="es-ES"/>
        </w:rPr>
      </w:pPr>
      <w:r w:rsidRPr="009F7AF2">
        <w:rPr>
          <w:rFonts w:ascii="Arial" w:eastAsia="Times New Roman" w:hAnsi="Arial" w:cs="Arial"/>
          <w:sz w:val="22"/>
          <w:lang w:val="es-ES_tradnl" w:eastAsia="es-ES"/>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w:t>
      </w:r>
      <w:r w:rsidR="00A66B2C" w:rsidRPr="009F7AF2">
        <w:rPr>
          <w:rFonts w:ascii="Arial" w:eastAsia="Times New Roman" w:hAnsi="Arial" w:cs="Arial"/>
          <w:sz w:val="22"/>
          <w:lang w:val="es-ES_tradnl" w:eastAsia="es-ES"/>
        </w:rPr>
        <w:t>Proceso de Contratación</w:t>
      </w:r>
      <w:r w:rsidRPr="009F7AF2">
        <w:rPr>
          <w:rFonts w:ascii="Arial" w:eastAsia="Times New Roman" w:hAnsi="Arial" w:cs="Arial"/>
          <w:sz w:val="22"/>
          <w:lang w:val="es-ES_tradnl" w:eastAsia="es-ES"/>
        </w:rPr>
        <w:t xml:space="preserve">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w:t>
      </w:r>
      <w:r w:rsidR="00A66B2C" w:rsidRPr="009F7AF2">
        <w:rPr>
          <w:rFonts w:ascii="Arial" w:eastAsia="Times New Roman" w:hAnsi="Arial" w:cs="Arial"/>
          <w:sz w:val="22"/>
          <w:lang w:val="es-ES_tradnl" w:eastAsia="es-ES"/>
        </w:rPr>
        <w:t>Proceso de Contratación</w:t>
      </w:r>
      <w:r w:rsidRPr="009F7AF2">
        <w:rPr>
          <w:rFonts w:ascii="Arial" w:eastAsia="Times New Roman" w:hAnsi="Arial" w:cs="Arial"/>
          <w:sz w:val="22"/>
          <w:lang w:val="es-ES_tradnl" w:eastAsia="es-ES"/>
        </w:rPr>
        <w:t xml:space="preserve"> aplicando los documentos tipo del caso. </w:t>
      </w:r>
    </w:p>
    <w:p w14:paraId="0ABD1B62" w14:textId="77777777" w:rsidR="001611B9" w:rsidRPr="009F7AF2" w:rsidRDefault="001611B9" w:rsidP="009F7AF2">
      <w:pPr>
        <w:spacing w:before="120" w:line="276" w:lineRule="auto"/>
        <w:ind w:firstLine="708"/>
        <w:jc w:val="both"/>
        <w:rPr>
          <w:rFonts w:ascii="Arial" w:eastAsia="Times New Roman" w:hAnsi="Arial" w:cs="Arial"/>
          <w:sz w:val="22"/>
          <w:szCs w:val="24"/>
          <w:shd w:val="clear" w:color="auto" w:fill="FFFFFF"/>
          <w:lang w:val="es-ES_tradnl" w:eastAsia="es-ES_tradnl"/>
        </w:rPr>
      </w:pPr>
      <w:r w:rsidRPr="009F7AF2">
        <w:rPr>
          <w:rFonts w:ascii="Arial" w:eastAsia="Times New Roman" w:hAnsi="Arial" w:cs="Arial"/>
          <w:sz w:val="22"/>
          <w:szCs w:val="24"/>
          <w:shd w:val="clear" w:color="auto" w:fill="FFFFFF"/>
          <w:lang w:val="es-ES_tradnl" w:eastAsia="es-ES_tradnl"/>
        </w:rPr>
        <w:t xml:space="preserve">Es importante advertir que, como se mencionó en los apartes anteriores, todas las resoluciones mediante las que se han adoptado documentos tipo consagran la regla de la </w:t>
      </w:r>
      <w:r w:rsidRPr="009F7AF2">
        <w:rPr>
          <w:rFonts w:ascii="Arial" w:eastAsia="Times New Roman" w:hAnsi="Arial" w:cs="Arial"/>
          <w:sz w:val="22"/>
          <w:szCs w:val="24"/>
          <w:shd w:val="clear" w:color="auto" w:fill="FFFFFF"/>
          <w:lang w:val="es-ES_tradnl" w:eastAsia="es-ES_tradnl"/>
        </w:rPr>
        <w:lastRenderedPageBreak/>
        <w:t xml:space="preserve">inalterabilidad. Esta prohibición consiste en que las entidades estatales no pueden incluir o modificar en los </w:t>
      </w:r>
      <w:r w:rsidRPr="009F7AF2">
        <w:rPr>
          <w:rFonts w:ascii="Arial" w:eastAsia="Times New Roman" w:hAnsi="Arial" w:cs="Arial"/>
          <w:i/>
          <w:iCs/>
          <w:sz w:val="22"/>
          <w:szCs w:val="24"/>
          <w:shd w:val="clear" w:color="auto" w:fill="FFFFFF"/>
          <w:lang w:val="es-ES_tradnl" w:eastAsia="es-ES_tradnl"/>
        </w:rPr>
        <w:t>Documentos del Proceso</w:t>
      </w:r>
      <w:r w:rsidRPr="009F7AF2">
        <w:rPr>
          <w:rFonts w:ascii="Arial" w:eastAsia="Times New Roman" w:hAnsi="Arial" w:cs="Arial"/>
          <w:sz w:val="22"/>
          <w:szCs w:val="24"/>
          <w:shd w:val="clear" w:color="auto" w:fill="FFFFFF"/>
          <w:lang w:val="es-ES_tradnl" w:eastAsia="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3D030BB"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34EA3D44"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193D308C"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ii) Documentos tipo para licitación de obra pública de infraestructura de transporte –versión 2–, obligatorios para los procesos cuyo aviso de convocatoria se haya publicado desde el 10 de marzo de 2020.</w:t>
      </w:r>
    </w:p>
    <w:p w14:paraId="5B7C3257"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iii) Documentos tipo para licitación de obra pública de infraestructura de transporte –versión 3–, obligatorios para los procesos cuyo aviso de convocatoria se haya publicado desde el 1 de enero de 2021.</w:t>
      </w:r>
    </w:p>
    <w:p w14:paraId="46A41862"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20484D35"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10C6A96C"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305E4C6F"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2CA6FAA5"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lastRenderedPageBreak/>
        <w:t>viii) Documentos tipo para procesos de licitación pública para obras de infraestructura de agua potable y saneamiento básico, obligatorios para los procesos cuyo aviso de convocatoria se haya publicado desde el 11 de diciembre de 2020.</w:t>
      </w:r>
    </w:p>
    <w:p w14:paraId="1CEA47E3"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2D48EED"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0F7C1489" w14:textId="77777777" w:rsidR="001611B9" w:rsidRPr="009F7AF2" w:rsidRDefault="001611B9" w:rsidP="009F7AF2">
      <w:pPr>
        <w:spacing w:before="120" w:after="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62C779B"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color w:val="000000"/>
          <w:sz w:val="22"/>
          <w:lang w:val="es-ES" w:eastAsia="es-ES"/>
        </w:rPr>
        <w:t xml:space="preserve">xii) Documentos tipo para procesos de licitación de obra pública de infraestructura social, que </w:t>
      </w:r>
      <w:r w:rsidRPr="009F7AF2">
        <w:rPr>
          <w:rFonts w:ascii="Arial" w:eastAsia="Times New Roman" w:hAnsi="Arial" w:cs="Arial"/>
          <w:sz w:val="22"/>
          <w:lang w:val="es-ES_tradnl" w:eastAsia="es-ES_tradnl"/>
        </w:rPr>
        <w:t>entrarán a regir de acuerdo con los términos establecidos en el artículo 6 de la Resolución 219 de 2021 −modificado por el artículo 1 de la Resolución 336 del 2 de noviembre de 2021−</w:t>
      </w:r>
      <w:r w:rsidRPr="009F7AF2">
        <w:rPr>
          <w:rFonts w:ascii="Arial" w:eastAsia="Calibri" w:hAnsi="Arial" w:cs="Arial"/>
          <w:sz w:val="22"/>
          <w:lang w:val="es-ES_tradnl" w:eastAsia="es-ES_tradnl"/>
        </w:rPr>
        <w:t>.</w:t>
      </w:r>
    </w:p>
    <w:p w14:paraId="12F532C1"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color w:val="000000"/>
          <w:sz w:val="22"/>
          <w:lang w:val="es-ES" w:eastAsia="es-ES"/>
        </w:rPr>
        <w:t xml:space="preserve">xiii) Documentos tipo complementarios para los procesos de licitación de obra pública de infraestructura social relacionados con el sector educativo, que </w:t>
      </w:r>
      <w:r w:rsidRPr="009F7AF2">
        <w:rPr>
          <w:rFonts w:ascii="Arial" w:eastAsia="Times New Roman" w:hAnsi="Arial" w:cs="Arial"/>
          <w:sz w:val="22"/>
          <w:lang w:val="es-ES_tradnl" w:eastAsia="es-ES_tradnl"/>
        </w:rPr>
        <w:t>entrarán a regir de acuerdo con los términos establecidos en el artículo 6 de la Resolución 219 de 2021 −modificado por el artículo 1 de la Resolución 336 del 2 de noviembre de 2021−.</w:t>
      </w:r>
    </w:p>
    <w:p w14:paraId="63A8C77D"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color w:val="000000"/>
          <w:sz w:val="22"/>
          <w:lang w:val="es-ES" w:eastAsia="es-ES"/>
        </w:rPr>
        <w:t xml:space="preserve">xiv) Documentos tipo complementarios para los procesos de licitación de obra pública de infraestructura social relacionados con el sector salud, que entrarán a regir </w:t>
      </w:r>
      <w:r w:rsidRPr="009F7AF2">
        <w:rPr>
          <w:rFonts w:ascii="Arial" w:eastAsia="Times New Roman" w:hAnsi="Arial" w:cs="Arial"/>
          <w:sz w:val="22"/>
          <w:lang w:val="es-ES_tradnl" w:eastAsia="es-ES_tradnl"/>
        </w:rPr>
        <w:t>de acuerdo con los términos establecidos en el artículo 6 de la Resolución 219 de 2021 −modificado por el artículo 1 de la Resolución 336 del 2 de noviembre de 2021− y en el artículo 4 de la Resolución 392 de 18 de noviembre de 2021</w:t>
      </w:r>
      <w:r w:rsidRPr="009F7AF2">
        <w:rPr>
          <w:rFonts w:ascii="Arial" w:eastAsia="Calibri" w:hAnsi="Arial" w:cs="Arial"/>
          <w:sz w:val="22"/>
          <w:lang w:val="es-ES_tradnl" w:eastAsia="es-ES_tradnl"/>
        </w:rPr>
        <w:t>.</w:t>
      </w:r>
    </w:p>
    <w:p w14:paraId="5CF9FB26"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sz w:val="22"/>
          <w:lang w:val="es-ES_tradnl" w:eastAsia="es-ES_tradnl"/>
        </w:rPr>
        <w:t xml:space="preserve">xv) </w:t>
      </w:r>
      <w:r w:rsidRPr="009F7AF2">
        <w:rPr>
          <w:rFonts w:ascii="Arial" w:eastAsia="Calibri" w:hAnsi="Arial" w:cs="Arial"/>
          <w:color w:val="000000"/>
          <w:sz w:val="22"/>
          <w:lang w:val="es-ES" w:eastAsia="es-ES"/>
        </w:rPr>
        <w:t>Documentos tipo complementarios para los procesos de licitación de obra pública de infraestructura social relacionados con el sector cultura, recreación y deporte</w:t>
      </w:r>
      <w:r w:rsidRPr="009F7AF2">
        <w:rPr>
          <w:rFonts w:ascii="Arial" w:eastAsia="Calibri" w:hAnsi="Arial" w:cs="Arial"/>
          <w:sz w:val="22"/>
          <w:lang w:val="es-ES_tradnl" w:eastAsia="es-ES_tradnl"/>
        </w:rPr>
        <w:t xml:space="preserve">, </w:t>
      </w:r>
      <w:r w:rsidRPr="009F7AF2">
        <w:rPr>
          <w:rFonts w:ascii="Arial" w:eastAsia="Calibri" w:hAnsi="Arial" w:cs="Arial"/>
          <w:color w:val="000000"/>
          <w:sz w:val="22"/>
          <w:lang w:val="es-ES" w:eastAsia="es-ES"/>
        </w:rPr>
        <w:t xml:space="preserve">que entrarán a regir </w:t>
      </w:r>
      <w:r w:rsidRPr="009F7AF2">
        <w:rPr>
          <w:rFonts w:ascii="Arial" w:eastAsia="Times New Roman" w:hAnsi="Arial" w:cs="Arial"/>
          <w:sz w:val="22"/>
          <w:lang w:val="es-ES_tradnl" w:eastAsia="es-ES_tradnl"/>
        </w:rPr>
        <w:t>de acuerdo con los términos establecidos en el artículo 4 de la Resolución 454 de 2021</w:t>
      </w:r>
      <w:r w:rsidRPr="009F7AF2">
        <w:rPr>
          <w:rFonts w:ascii="Arial" w:eastAsia="Times New Roman" w:hAnsi="Arial" w:cs="Arial"/>
          <w:sz w:val="22"/>
          <w:vertAlign w:val="superscript"/>
          <w:lang w:val="es-ES_tradnl" w:eastAsia="es-ES_tradnl"/>
        </w:rPr>
        <w:footnoteReference w:id="5"/>
      </w:r>
      <w:r w:rsidRPr="009F7AF2">
        <w:rPr>
          <w:rFonts w:ascii="Arial" w:eastAsia="Times New Roman" w:hAnsi="Arial" w:cs="Arial"/>
          <w:sz w:val="22"/>
          <w:lang w:val="es-ES_tradnl" w:eastAsia="es-ES_tradnl"/>
        </w:rPr>
        <w:t>.</w:t>
      </w:r>
    </w:p>
    <w:p w14:paraId="7D24BA7E" w14:textId="12443F9D" w:rsidR="001611B9" w:rsidRPr="009F7AF2" w:rsidRDefault="001611B9" w:rsidP="009F7AF2">
      <w:pPr>
        <w:spacing w:before="240" w:line="276" w:lineRule="auto"/>
        <w:ind w:firstLine="709"/>
        <w:jc w:val="both"/>
        <w:textAlignment w:val="baseline"/>
        <w:rPr>
          <w:rFonts w:ascii="Arial" w:eastAsia="Calibri" w:hAnsi="Arial" w:cs="Arial"/>
          <w:color w:val="000000"/>
          <w:sz w:val="22"/>
          <w:bdr w:val="none" w:sz="0" w:space="0" w:color="auto" w:frame="1"/>
          <w:lang w:val="es-ES_tradnl" w:eastAsia="es-ES_tradnl"/>
        </w:rPr>
      </w:pPr>
      <w:r w:rsidRPr="009F7AF2">
        <w:rPr>
          <w:rFonts w:ascii="Arial" w:eastAsia="Calibri" w:hAnsi="Arial" w:cs="Arial"/>
          <w:sz w:val="22"/>
          <w:lang w:val="es-CO" w:eastAsia="es-ES_tradnl"/>
        </w:rPr>
        <w:lastRenderedPageBreak/>
        <w:t xml:space="preserve">De acuerdo con lo expuesto, </w:t>
      </w:r>
      <w:r w:rsidRPr="009F7AF2">
        <w:rPr>
          <w:rFonts w:ascii="Arial" w:eastAsia="Calibri" w:hAnsi="Arial" w:cs="Arial"/>
          <w:color w:val="000000"/>
          <w:sz w:val="22"/>
          <w:bdr w:val="none" w:sz="0" w:space="0" w:color="auto" w:frame="1"/>
          <w:lang w:val="es-CO" w:eastAsia="es-ES_tradnl"/>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9F7AF2">
        <w:rPr>
          <w:rFonts w:ascii="Arial" w:eastAsia="Calibri" w:hAnsi="Arial" w:cs="Arial"/>
          <w:color w:val="000000"/>
          <w:sz w:val="22"/>
          <w:bdr w:val="none" w:sz="0" w:space="0" w:color="auto" w:frame="1"/>
          <w:lang w:val="es-ES_tradnl" w:eastAsia="es-ES_tradnl"/>
        </w:rPr>
        <w:t xml:space="preserve">Esto de tal manera que las entidades estatales regidas por el Estatuto General de Contratación de la Administración Pública, al momento de adelantar un </w:t>
      </w:r>
      <w:r w:rsidR="00A66B2C" w:rsidRPr="009F7AF2">
        <w:rPr>
          <w:rFonts w:ascii="Arial" w:eastAsia="Calibri" w:hAnsi="Arial" w:cs="Arial"/>
          <w:color w:val="000000"/>
          <w:sz w:val="22"/>
          <w:bdr w:val="none" w:sz="0" w:space="0" w:color="auto" w:frame="1"/>
          <w:lang w:val="es-ES_tradnl" w:eastAsia="es-ES_tradnl"/>
        </w:rPr>
        <w:t>Proceso de Contratación</w:t>
      </w:r>
      <w:r w:rsidRPr="009F7AF2">
        <w:rPr>
          <w:rFonts w:ascii="Arial" w:eastAsia="Calibri" w:hAnsi="Arial" w:cs="Arial"/>
          <w:color w:val="000000"/>
          <w:sz w:val="22"/>
          <w:bdr w:val="none" w:sz="0" w:space="0" w:color="auto" w:frame="1"/>
          <w:lang w:val="es-ES_tradnl" w:eastAsia="es-ES_tradnl"/>
        </w:rPr>
        <w:t xml:space="preserve">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w:t>
      </w:r>
      <w:r w:rsidR="00A66B2C" w:rsidRPr="009F7AF2">
        <w:rPr>
          <w:rFonts w:ascii="Arial" w:eastAsia="Calibri" w:hAnsi="Arial" w:cs="Arial"/>
          <w:color w:val="000000"/>
          <w:sz w:val="22"/>
          <w:bdr w:val="none" w:sz="0" w:space="0" w:color="auto" w:frame="1"/>
          <w:lang w:val="es-ES_tradnl" w:eastAsia="es-ES_tradnl"/>
        </w:rPr>
        <w:t>Proceso de Contratación</w:t>
      </w:r>
      <w:r w:rsidRPr="009F7AF2">
        <w:rPr>
          <w:rFonts w:ascii="Arial" w:eastAsia="Calibri" w:hAnsi="Arial" w:cs="Arial"/>
          <w:color w:val="000000"/>
          <w:sz w:val="22"/>
          <w:bdr w:val="none" w:sz="0" w:space="0" w:color="auto" w:frame="1"/>
          <w:lang w:val="es-ES_tradnl" w:eastAsia="es-ES_tradnl"/>
        </w:rPr>
        <w:t xml:space="preserve"> aplicando los documentos tipo del caso. </w:t>
      </w:r>
    </w:p>
    <w:p w14:paraId="13AB68E4" w14:textId="5F684EB7" w:rsidR="00F055FA" w:rsidRPr="009F7AF2" w:rsidRDefault="001611B9" w:rsidP="009F7AF2">
      <w:pPr>
        <w:spacing w:before="240" w:after="24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eastAsia="es-ES"/>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5B1D5FBF" w14:textId="14142666" w:rsidR="00C60112" w:rsidRPr="009F7AF2" w:rsidRDefault="00CA6A05" w:rsidP="009F7AF2">
      <w:pPr>
        <w:pStyle w:val="Normal11pt"/>
        <w:spacing w:line="276" w:lineRule="auto"/>
        <w:ind w:left="0"/>
        <w:rPr>
          <w:b/>
          <w:bCs/>
          <w:lang w:eastAsia="es-CO"/>
        </w:rPr>
      </w:pPr>
      <w:r w:rsidRPr="009F7AF2">
        <w:rPr>
          <w:rFonts w:eastAsia="Calibri"/>
          <w:b/>
        </w:rPr>
        <w:t xml:space="preserve">2.2. </w:t>
      </w:r>
      <w:r w:rsidR="00C60112" w:rsidRPr="009F7AF2">
        <w:rPr>
          <w:b/>
          <w:bCs/>
          <w:lang w:eastAsia="es-CO"/>
        </w:rPr>
        <w:t xml:space="preserve">Regla de inalterabilidad de los documentos tipo y sus excepciones </w:t>
      </w:r>
    </w:p>
    <w:p w14:paraId="10EF08F7" w14:textId="77777777" w:rsidR="00C60112" w:rsidRPr="009F7AF2" w:rsidRDefault="00C60112" w:rsidP="009F7AF2">
      <w:pPr>
        <w:spacing w:line="276" w:lineRule="auto"/>
        <w:jc w:val="both"/>
        <w:rPr>
          <w:rFonts w:ascii="Arial" w:eastAsia="Calibri" w:hAnsi="Arial" w:cs="Arial"/>
          <w:sz w:val="22"/>
          <w:lang w:val="es-ES_tradnl"/>
        </w:rPr>
      </w:pPr>
    </w:p>
    <w:p w14:paraId="3D37B8C2" w14:textId="77777777" w:rsidR="00C60112" w:rsidRPr="009F7AF2" w:rsidRDefault="00C60112" w:rsidP="009F7AF2">
      <w:pPr>
        <w:spacing w:after="120" w:line="276" w:lineRule="auto"/>
        <w:jc w:val="both"/>
        <w:rPr>
          <w:rFonts w:ascii="Arial" w:eastAsia="Calibri" w:hAnsi="Arial" w:cs="Arial"/>
          <w:sz w:val="22"/>
          <w:lang w:val="es-ES_tradnl"/>
        </w:rPr>
      </w:pPr>
      <w:r w:rsidRPr="009F7AF2">
        <w:rPr>
          <w:rFonts w:ascii="Arial" w:eastAsia="Calibri" w:hAnsi="Arial" w:cs="Arial"/>
          <w:sz w:val="22"/>
          <w:lang w:val="es-ES_tradnl"/>
        </w:rPr>
        <w:t>Todas las resoluciones</w:t>
      </w:r>
      <w:r w:rsidRPr="009F7AF2">
        <w:rPr>
          <w:rFonts w:ascii="Arial" w:eastAsia="Calibri" w:hAnsi="Arial" w:cs="Arial"/>
          <w:sz w:val="22"/>
          <w:vertAlign w:val="superscript"/>
          <w:lang w:val="es-ES_tradnl"/>
        </w:rPr>
        <w:footnoteReference w:id="6"/>
      </w:r>
      <w:r w:rsidRPr="009F7AF2">
        <w:rPr>
          <w:rFonts w:ascii="Arial" w:eastAsia="Calibri" w:hAnsi="Arial" w:cs="Arial"/>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9F7AF2">
        <w:rPr>
          <w:rFonts w:ascii="Arial" w:eastAsia="Calibri" w:hAnsi="Arial" w:cs="Arial"/>
          <w:i/>
          <w:iCs/>
          <w:sz w:val="22"/>
          <w:lang w:val="es-ES_tradnl"/>
        </w:rPr>
        <w:t>Documentos del Proceso</w:t>
      </w:r>
      <w:r w:rsidRPr="009F7AF2">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w:t>
      </w:r>
      <w:r w:rsidRPr="009F7AF2">
        <w:rPr>
          <w:rFonts w:ascii="Arial" w:eastAsia="Calibri" w:hAnsi="Arial" w:cs="Arial"/>
          <w:sz w:val="22"/>
          <w:lang w:val="es-ES_tradnl"/>
        </w:rPr>
        <w:lastRenderedPageBreak/>
        <w:t>fijados en ellos. Por lo tanto, las entidades estatales, al realizar sus procedimientos de selección, solo podrán modificarlos en los aspectos en que los documentos tipo lo permitan.</w:t>
      </w:r>
    </w:p>
    <w:p w14:paraId="1DB7B9D4" w14:textId="77777777" w:rsidR="00C60112" w:rsidRPr="009F7AF2" w:rsidRDefault="00C60112" w:rsidP="009F7AF2">
      <w:pPr>
        <w:spacing w:after="12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 xml:space="preserve">El fundamento legal vigente de la regla de la inalterabilidad está en el artículo 1 de la Ley 2022 de 2020, según el cual </w:t>
      </w:r>
      <w:r w:rsidRPr="009F7AF2">
        <w:rPr>
          <w:rFonts w:ascii="Arial" w:eastAsia="Calibri" w:hAnsi="Arial" w:cs="Arial"/>
          <w:i/>
          <w:iCs/>
          <w:sz w:val="22"/>
          <w:lang w:val="es-ES_tradnl"/>
        </w:rPr>
        <w:t>«[…] serán de obligatorio cumplimiento en la actividad contractual de todas las entidades sometidas al Estatuto General de Contratación de la Administración Pública».</w:t>
      </w:r>
      <w:r w:rsidRPr="009F7AF2">
        <w:rPr>
          <w:rFonts w:ascii="Arial" w:eastAsia="Calibri" w:hAnsi="Arial" w:cs="Arial"/>
          <w:sz w:val="22"/>
          <w:lang w:val="es-ES_tradnl"/>
        </w:rPr>
        <w:t xml:space="preserve">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p>
    <w:p w14:paraId="2C60BB34" w14:textId="120F6700" w:rsidR="00C60112" w:rsidRPr="009F7AF2" w:rsidRDefault="00C60112" w:rsidP="009F7AF2">
      <w:pPr>
        <w:spacing w:after="12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 xml:space="preserve">La inalterabilidad de los documentos tipo es una manifestación en mayor grado de las potestades regladas, lo cual implica una reducción de la discrecionalidad de la Administración en el momento de tomar una decisión en el </w:t>
      </w:r>
      <w:r w:rsidR="00A66B2C" w:rsidRPr="009F7AF2">
        <w:rPr>
          <w:rFonts w:ascii="Arial" w:eastAsia="Calibri" w:hAnsi="Arial" w:cs="Arial"/>
          <w:sz w:val="22"/>
          <w:lang w:val="es-ES_tradnl"/>
        </w:rPr>
        <w:t>Proceso de Contratación</w:t>
      </w:r>
      <w:r w:rsidRPr="009F7AF2">
        <w:rPr>
          <w:rStyle w:val="Refdenotaalpie"/>
          <w:rFonts w:ascii="Arial" w:eastAsia="Calibri" w:hAnsi="Arial" w:cs="Arial"/>
          <w:sz w:val="22"/>
          <w:lang w:val="es-ES_tradnl"/>
        </w:rPr>
        <w:footnoteReference w:id="7"/>
      </w:r>
      <w:r w:rsidRPr="009F7AF2">
        <w:rPr>
          <w:rFonts w:ascii="Arial" w:eastAsia="Calibri" w:hAnsi="Arial" w:cs="Arial"/>
          <w:sz w:val="22"/>
          <w:lang w:val="es-ES_tradnl"/>
        </w:rPr>
        <w:t xml:space="preserve">. Cada entidad pública sujeta a los documentos tipo deberá hacer una aplicación o constatación de las reglas y condiciones dispuestas en estos, salvo que las mismas posibiliten la discrecionalidad en determinados aspectos. </w:t>
      </w:r>
    </w:p>
    <w:p w14:paraId="15FA94C8" w14:textId="77777777" w:rsidR="00C60112" w:rsidRPr="009F7AF2" w:rsidRDefault="00C60112" w:rsidP="009F7AF2">
      <w:pPr>
        <w:spacing w:after="120" w:line="276" w:lineRule="auto"/>
        <w:ind w:firstLine="709"/>
        <w:jc w:val="both"/>
        <w:rPr>
          <w:rFonts w:ascii="Arial" w:eastAsia="Calibri" w:hAnsi="Arial" w:cs="Arial"/>
          <w:bCs/>
          <w:sz w:val="22"/>
          <w:lang w:val="es-ES_tradnl"/>
        </w:rPr>
      </w:pPr>
      <w:r w:rsidRPr="009F7AF2">
        <w:rPr>
          <w:rFonts w:ascii="Arial" w:eastAsia="Calibri" w:hAnsi="Arial" w:cs="Arial"/>
          <w:bCs/>
          <w:sz w:val="22"/>
          <w:lang w:val="es-ES_tradnl"/>
        </w:rPr>
        <w:t xml:space="preserve">Además, las entidades estatales deben garantizar el </w:t>
      </w:r>
      <w:r w:rsidRPr="009F7AF2">
        <w:rPr>
          <w:rFonts w:ascii="Arial" w:eastAsia="Calibri" w:hAnsi="Arial" w:cs="Arial"/>
          <w:bCs/>
          <w:i/>
          <w:iCs/>
          <w:sz w:val="22"/>
          <w:lang w:val="es-ES_tradnl"/>
        </w:rPr>
        <w:t>principio de economía</w:t>
      </w:r>
      <w:r w:rsidRPr="009F7AF2">
        <w:rPr>
          <w:rFonts w:ascii="Arial" w:eastAsia="Calibri" w:hAnsi="Arial" w:cs="Arial"/>
          <w:bCs/>
          <w:sz w:val="22"/>
          <w:lang w:val="es-ES_tradnl"/>
        </w:rPr>
        <w:t xml:space="preserve">, del cual se desprende que no pueden exigir documentos o requisitos más allá de los que permitan la Constitución, la ley y los reglamentos. Este postulado ha sido recogido no solo en la </w:t>
      </w:r>
      <w:r w:rsidRPr="009F7AF2">
        <w:rPr>
          <w:rFonts w:ascii="Arial" w:eastAsia="Calibri" w:hAnsi="Arial" w:cs="Arial"/>
          <w:bCs/>
          <w:sz w:val="22"/>
          <w:lang w:val="es-ES_tradnl"/>
        </w:rPr>
        <w:lastRenderedPageBreak/>
        <w:t>contratación estatal</w:t>
      </w:r>
      <w:r w:rsidRPr="009F7AF2">
        <w:rPr>
          <w:rFonts w:ascii="Arial" w:eastAsia="Calibri" w:hAnsi="Arial" w:cs="Arial"/>
          <w:bCs/>
          <w:sz w:val="22"/>
          <w:vertAlign w:val="superscript"/>
          <w:lang w:val="es-ES_tradnl"/>
        </w:rPr>
        <w:footnoteReference w:id="8"/>
      </w:r>
      <w:r w:rsidRPr="009F7AF2">
        <w:rPr>
          <w:rFonts w:ascii="Arial" w:eastAsia="Calibri" w:hAnsi="Arial" w:cs="Arial"/>
          <w:bCs/>
          <w:sz w:val="22"/>
          <w:lang w:val="es-ES_tradnl"/>
        </w:rPr>
        <w:t xml:space="preserve"> sino además en la normativa </w:t>
      </w:r>
      <w:proofErr w:type="spellStart"/>
      <w:r w:rsidRPr="009F7AF2">
        <w:rPr>
          <w:rFonts w:ascii="Arial" w:eastAsia="Calibri" w:hAnsi="Arial" w:cs="Arial"/>
          <w:bCs/>
          <w:sz w:val="22"/>
          <w:lang w:val="es-ES_tradnl"/>
        </w:rPr>
        <w:t>antitrámites</w:t>
      </w:r>
      <w:proofErr w:type="spellEnd"/>
      <w:r w:rsidRPr="009F7AF2">
        <w:rPr>
          <w:rFonts w:ascii="Arial" w:eastAsia="Calibri" w:hAnsi="Arial" w:cs="Arial"/>
          <w:bCs/>
          <w:sz w:val="22"/>
          <w:vertAlign w:val="superscript"/>
          <w:lang w:val="es-ES_tradnl"/>
        </w:rPr>
        <w:footnoteReference w:id="9"/>
      </w:r>
      <w:r w:rsidRPr="009F7AF2">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492A7CCB" w14:textId="77777777" w:rsidR="00C60112" w:rsidRPr="009F7AF2" w:rsidRDefault="00C60112" w:rsidP="009F7AF2">
      <w:pPr>
        <w:spacing w:after="120" w:line="276" w:lineRule="auto"/>
        <w:ind w:firstLine="709"/>
        <w:jc w:val="both"/>
        <w:rPr>
          <w:rFonts w:ascii="Arial" w:eastAsia="Calibri" w:hAnsi="Arial" w:cs="Arial"/>
          <w:bCs/>
          <w:sz w:val="22"/>
        </w:rPr>
      </w:pPr>
      <w:r w:rsidRPr="009F7AF2">
        <w:rPr>
          <w:rFonts w:ascii="Arial" w:eastAsia="Calibri" w:hAnsi="Arial" w:cs="Arial"/>
          <w:bCs/>
          <w:sz w:val="22"/>
        </w:rPr>
        <w:t xml:space="preserve">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7E02642A" w14:textId="77777777" w:rsidR="00C60112" w:rsidRPr="009F7AF2" w:rsidRDefault="00C60112" w:rsidP="009F7AF2">
      <w:pPr>
        <w:spacing w:after="120" w:line="276" w:lineRule="auto"/>
        <w:ind w:firstLine="709"/>
        <w:jc w:val="both"/>
        <w:rPr>
          <w:rFonts w:ascii="Arial" w:eastAsia="Calibri" w:hAnsi="Arial" w:cs="Arial"/>
          <w:sz w:val="22"/>
        </w:rPr>
      </w:pPr>
      <w:r w:rsidRPr="009F7AF2">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6D091612" w14:textId="1949A86C" w:rsidR="00C60112" w:rsidRPr="009F7AF2" w:rsidRDefault="00C60112" w:rsidP="009F7AF2">
      <w:pPr>
        <w:spacing w:line="276" w:lineRule="auto"/>
        <w:ind w:firstLine="709"/>
        <w:jc w:val="both"/>
        <w:rPr>
          <w:rFonts w:ascii="Arial" w:eastAsia="Arial" w:hAnsi="Arial" w:cs="Arial"/>
          <w:bCs/>
          <w:sz w:val="21"/>
          <w:szCs w:val="21"/>
          <w:lang w:val="es-ES"/>
        </w:rPr>
      </w:pPr>
      <w:r w:rsidRPr="009F7AF2">
        <w:rPr>
          <w:rFonts w:ascii="Arial" w:eastAsia="Calibri" w:hAnsi="Arial" w:cs="Arial"/>
          <w:bCs/>
          <w:sz w:val="22"/>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solo se podrán modificar aquellos contenidos que el mismo documento tipo permita</w:t>
      </w:r>
      <w:r w:rsidR="00A27C84" w:rsidRPr="009F7AF2">
        <w:rPr>
          <w:rFonts w:ascii="Arial" w:eastAsia="Calibri" w:hAnsi="Arial" w:cs="Arial"/>
          <w:bCs/>
          <w:sz w:val="22"/>
        </w:rPr>
        <w:t>.</w:t>
      </w:r>
      <w:r w:rsidRPr="009F7AF2">
        <w:rPr>
          <w:rFonts w:ascii="Arial" w:eastAsia="Arial" w:hAnsi="Arial" w:cs="Arial"/>
          <w:bCs/>
          <w:sz w:val="21"/>
          <w:szCs w:val="21"/>
          <w:lang w:val="es-ES"/>
        </w:rPr>
        <w:t xml:space="preserve"> </w:t>
      </w:r>
    </w:p>
    <w:p w14:paraId="10A0B4F1" w14:textId="77777777" w:rsidR="00C60112" w:rsidRPr="009F7AF2" w:rsidRDefault="00C60112" w:rsidP="009F7AF2">
      <w:pPr>
        <w:tabs>
          <w:tab w:val="left" w:pos="709"/>
        </w:tabs>
        <w:ind w:left="709" w:right="709"/>
        <w:jc w:val="both"/>
        <w:rPr>
          <w:rFonts w:ascii="Arial" w:eastAsia="Arial" w:hAnsi="Arial" w:cs="Arial"/>
          <w:sz w:val="21"/>
          <w:szCs w:val="21"/>
          <w:lang w:val="es-ES" w:eastAsia="es-ES" w:bidi="es-ES"/>
        </w:rPr>
      </w:pPr>
    </w:p>
    <w:p w14:paraId="71E64ABE" w14:textId="456D9FE3" w:rsidR="00CA6A05" w:rsidRPr="009F7AF2" w:rsidRDefault="00C60112" w:rsidP="009F7AF2">
      <w:pPr>
        <w:tabs>
          <w:tab w:val="left" w:pos="0"/>
        </w:tabs>
        <w:spacing w:after="240" w:line="276" w:lineRule="auto"/>
        <w:jc w:val="both"/>
        <w:rPr>
          <w:rFonts w:ascii="Arial" w:eastAsia="Calibri" w:hAnsi="Arial" w:cs="Arial"/>
          <w:sz w:val="20"/>
          <w:szCs w:val="20"/>
          <w:lang w:val="es-ES_tradnl"/>
        </w:rPr>
      </w:pPr>
      <w:r w:rsidRPr="009F7AF2">
        <w:rPr>
          <w:rFonts w:ascii="Arial" w:eastAsia="Calibri" w:hAnsi="Arial" w:cs="Arial"/>
          <w:b/>
          <w:sz w:val="22"/>
        </w:rPr>
        <w:lastRenderedPageBreak/>
        <w:t xml:space="preserve">2.3. </w:t>
      </w:r>
      <w:r w:rsidR="00CA6A05" w:rsidRPr="009F7AF2">
        <w:rPr>
          <w:rFonts w:ascii="Arial" w:eastAsia="Calibri" w:hAnsi="Arial" w:cs="Arial"/>
          <w:b/>
          <w:bCs/>
          <w:sz w:val="22"/>
        </w:rPr>
        <w:t xml:space="preserve">Documentos tipo para </w:t>
      </w:r>
      <w:r w:rsidR="00CA6A05" w:rsidRPr="009F7AF2">
        <w:rPr>
          <w:rFonts w:ascii="Arial" w:eastAsia="Calibri" w:hAnsi="Arial" w:cs="Arial"/>
          <w:b/>
          <w:sz w:val="22"/>
          <w:lang w:val="es-ES_tradnl"/>
        </w:rPr>
        <w:t>obra pública de infraestructura s</w:t>
      </w:r>
      <w:r w:rsidR="00CA6A05" w:rsidRPr="009F7AF2">
        <w:rPr>
          <w:rFonts w:ascii="Arial" w:eastAsia="Calibri" w:hAnsi="Arial" w:cs="Arial"/>
          <w:b/>
          <w:bCs/>
          <w:sz w:val="22"/>
          <w:lang w:val="es-ES_tradnl"/>
        </w:rPr>
        <w:t xml:space="preserve">ocial </w:t>
      </w:r>
      <w:r w:rsidR="002E4DEF" w:rsidRPr="009F7AF2">
        <w:rPr>
          <w:rFonts w:ascii="Arial" w:eastAsia="Calibri" w:hAnsi="Arial" w:cs="Arial"/>
          <w:b/>
          <w:bCs/>
          <w:sz w:val="22"/>
        </w:rPr>
        <w:t>relacionados con los sectores educativo, salud y cultura, recreación y deporte</w:t>
      </w:r>
      <w:r w:rsidR="00CA6A05" w:rsidRPr="009F7AF2">
        <w:rPr>
          <w:rFonts w:ascii="Arial" w:eastAsia="Calibri" w:hAnsi="Arial" w:cs="Arial"/>
          <w:b/>
          <w:bCs/>
          <w:sz w:val="22"/>
          <w:lang w:val="es-ES_tradnl"/>
        </w:rPr>
        <w:t xml:space="preserve">.  </w:t>
      </w:r>
    </w:p>
    <w:p w14:paraId="2ACE58FB" w14:textId="77777777" w:rsidR="00CA6A05" w:rsidRPr="009F7AF2" w:rsidRDefault="00CA6A05" w:rsidP="009F7AF2">
      <w:pPr>
        <w:spacing w:line="276" w:lineRule="auto"/>
        <w:jc w:val="both"/>
        <w:rPr>
          <w:rFonts w:ascii="Arial" w:hAnsi="Arial" w:cs="Arial"/>
          <w:sz w:val="22"/>
          <w:lang w:val="es-ES"/>
        </w:rPr>
      </w:pPr>
      <w:r w:rsidRPr="009F7AF2">
        <w:rPr>
          <w:rFonts w:ascii="Arial" w:eastAsia="Calibri" w:hAnsi="Arial" w:cs="Arial"/>
          <w:sz w:val="22"/>
        </w:rPr>
        <w:t xml:space="preserve">En desarrollo de la Ley 2022 de 2020, la Agencia Nacional de Contratación Pública – Colombia Compra Eficiente expidió la Resolución 219 </w:t>
      </w:r>
      <w:r w:rsidRPr="009F7AF2">
        <w:rPr>
          <w:rFonts w:ascii="Arial" w:hAnsi="Arial" w:cs="Arial"/>
          <w:bCs/>
          <w:color w:val="000000" w:themeColor="text1"/>
          <w:sz w:val="22"/>
          <w:lang w:eastAsia="es-ES_tradnl"/>
        </w:rPr>
        <w:t xml:space="preserve">del 6 de agosto </w:t>
      </w:r>
      <w:r w:rsidRPr="009F7AF2">
        <w:rPr>
          <w:rFonts w:ascii="Arial" w:eastAsia="Calibri" w:hAnsi="Arial" w:cs="Arial"/>
          <w:sz w:val="22"/>
        </w:rPr>
        <w:t xml:space="preserve">de 2021, </w:t>
      </w:r>
      <w:r w:rsidRPr="009F7AF2">
        <w:rPr>
          <w:rFonts w:ascii="Arial" w:eastAsia="Calibri" w:hAnsi="Arial" w:cs="Arial"/>
          <w:i/>
          <w:iCs/>
          <w:sz w:val="22"/>
        </w:rPr>
        <w:t>«Por la cual se adoptan los documentos tipo para los procesos de licitación de obra pública de infraestructura social»</w:t>
      </w:r>
      <w:r w:rsidRPr="009F7AF2">
        <w:rPr>
          <w:rFonts w:ascii="Arial" w:eastAsia="Calibri" w:hAnsi="Arial" w:cs="Arial"/>
          <w:sz w:val="22"/>
        </w:rPr>
        <w:t>. Dentro de esta categoría fue incluida la infraestructura asociada a los sectores de la salud, el educativo y el de cultura, recreación y deporte,</w:t>
      </w:r>
      <w:r w:rsidRPr="009F7AF2">
        <w:rPr>
          <w:rFonts w:ascii="Arial" w:hAnsi="Arial" w:cs="Arial"/>
          <w:sz w:val="22"/>
          <w:lang w:val="es-ES"/>
        </w:rPr>
        <w:t xml:space="preserve"> tal como lo establece</w:t>
      </w:r>
      <w:r w:rsidRPr="009F7AF2">
        <w:rPr>
          <w:rFonts w:ascii="Arial" w:hAnsi="Arial" w:cs="Arial"/>
          <w:color w:val="000000" w:themeColor="text1"/>
          <w:sz w:val="22"/>
          <w:lang w:val="es-ES"/>
        </w:rPr>
        <w:t xml:space="preserve"> </w:t>
      </w:r>
      <w:r w:rsidRPr="009F7AF2">
        <w:rPr>
          <w:rFonts w:ascii="Arial" w:hAnsi="Arial" w:cs="Arial"/>
          <w:sz w:val="22"/>
          <w:lang w:val="es-ES"/>
        </w:rPr>
        <w:t xml:space="preserve">el parágrafo 2 del artículo 2 de la resolución indicada, de la siguiente manera: </w:t>
      </w:r>
    </w:p>
    <w:p w14:paraId="493855B2" w14:textId="77777777" w:rsidR="00CA6A05" w:rsidRPr="009F7AF2" w:rsidRDefault="00CA6A05" w:rsidP="009F7AF2">
      <w:pPr>
        <w:spacing w:before="240" w:line="276" w:lineRule="auto"/>
        <w:ind w:left="709" w:right="709"/>
        <w:jc w:val="both"/>
        <w:rPr>
          <w:rFonts w:ascii="Arial" w:hAnsi="Arial" w:cs="Arial"/>
          <w:sz w:val="21"/>
          <w:szCs w:val="21"/>
          <w:lang w:val="es-ES"/>
        </w:rPr>
      </w:pPr>
      <w:r w:rsidRPr="009F7AF2">
        <w:rPr>
          <w:rFonts w:ascii="Arial" w:hAnsi="Arial" w:cs="Arial"/>
          <w:sz w:val="21"/>
          <w:szCs w:val="21"/>
          <w:lang w:val="es-ES"/>
        </w:rPr>
        <w:t xml:space="preserve">Estos documentos tipo aplicarán a los proyectos de infraestructura social, tales como, </w:t>
      </w:r>
      <w:r w:rsidRPr="009F7AF2">
        <w:rPr>
          <w:rFonts w:ascii="Arial" w:hAnsi="Arial" w:cs="Arial"/>
          <w:i/>
          <w:iCs/>
          <w:sz w:val="21"/>
          <w:szCs w:val="21"/>
          <w:lang w:val="es-ES"/>
        </w:rPr>
        <w:t>sector educativo</w:t>
      </w:r>
      <w:r w:rsidRPr="009F7AF2">
        <w:rPr>
          <w:rFonts w:ascii="Arial" w:hAnsi="Arial" w:cs="Arial"/>
          <w:sz w:val="21"/>
          <w:szCs w:val="21"/>
          <w:lang w:val="es-ES"/>
        </w:rPr>
        <w:t xml:space="preserve">, sector salud y sector cultural, recreación y deporte, </w:t>
      </w:r>
      <w:r w:rsidRPr="009F7AF2">
        <w:rPr>
          <w:rFonts w:ascii="Arial" w:hAnsi="Arial" w:cs="Arial"/>
          <w:i/>
          <w:iCs/>
          <w:sz w:val="21"/>
          <w:szCs w:val="21"/>
          <w:lang w:val="es-ES"/>
        </w:rPr>
        <w:t>de conformidad con cada una de las resoluciones que expida la Agencia Nacional de Contratación Pública -Colombia Compra Eficiente-</w:t>
      </w:r>
      <w:r w:rsidRPr="009F7AF2">
        <w:rPr>
          <w:rFonts w:ascii="Arial" w:hAnsi="Arial" w:cs="Arial"/>
          <w:sz w:val="21"/>
          <w:szCs w:val="21"/>
          <w:lang w:val="es-ES"/>
        </w:rPr>
        <w:t>, donde se precisará el alcance concreto de estos documentos tipo; sin perjuicio de que se incluyan otros tipos de infraestructura social. (Énfasis fuera del texto)</w:t>
      </w:r>
    </w:p>
    <w:p w14:paraId="113C7691" w14:textId="77777777" w:rsidR="00CA6A05"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sz w:val="22"/>
          <w:lang w:val="es-ES"/>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579D578A" w14:textId="77777777" w:rsidR="00CA6A05" w:rsidRPr="009F7AF2" w:rsidRDefault="00CA6A05" w:rsidP="009F7AF2">
      <w:pPr>
        <w:spacing w:before="240" w:line="276" w:lineRule="auto"/>
        <w:ind w:firstLine="709"/>
        <w:jc w:val="both"/>
        <w:rPr>
          <w:rFonts w:ascii="Arial" w:hAnsi="Arial" w:cs="Arial"/>
          <w:bCs/>
          <w:color w:val="000000" w:themeColor="text1"/>
          <w:sz w:val="22"/>
          <w:lang w:val="es-ES" w:eastAsia="es-ES_tradnl"/>
        </w:rPr>
      </w:pPr>
      <w:r w:rsidRPr="009F7AF2">
        <w:rPr>
          <w:rFonts w:ascii="Arial" w:hAnsi="Arial" w:cs="Arial"/>
          <w:sz w:val="22"/>
          <w:lang w:val="es-ES"/>
        </w:rPr>
        <w:t>Así lo señala el parágrafo 3 del artículo 2 que dispone lo siguiente:</w:t>
      </w:r>
      <w:r w:rsidRPr="009F7AF2">
        <w:rPr>
          <w:rFonts w:ascii="Arial" w:eastAsia="Calibri" w:hAnsi="Arial" w:cs="Arial"/>
          <w:sz w:val="22"/>
        </w:rPr>
        <w:t xml:space="preserve"> «</w:t>
      </w:r>
      <w:r w:rsidRPr="009F7AF2">
        <w:rPr>
          <w:rFonts w:ascii="Arial" w:hAnsi="Arial" w:cs="Arial"/>
          <w:i/>
          <w:iCs/>
          <w:sz w:val="22"/>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9F7AF2">
        <w:rPr>
          <w:rFonts w:ascii="Arial" w:eastAsia="Calibri" w:hAnsi="Arial" w:cs="Arial"/>
          <w:i/>
          <w:iCs/>
          <w:sz w:val="22"/>
        </w:rPr>
        <w:t>»</w:t>
      </w:r>
      <w:r w:rsidRPr="009F7AF2">
        <w:rPr>
          <w:rFonts w:ascii="Arial" w:eastAsia="Calibri" w:hAnsi="Arial" w:cs="Arial"/>
          <w:sz w:val="22"/>
        </w:rPr>
        <w:t>.</w:t>
      </w:r>
      <w:r w:rsidRPr="009F7AF2">
        <w:rPr>
          <w:rFonts w:ascii="Arial" w:hAnsi="Arial" w:cs="Arial"/>
          <w:sz w:val="22"/>
          <w:lang w:val="es-ES"/>
        </w:rPr>
        <w:t xml:space="preserve"> En concordancia, el «Documento Base» de </w:t>
      </w:r>
      <w:r w:rsidRPr="009F7AF2">
        <w:rPr>
          <w:rFonts w:ascii="Arial" w:eastAsia="Calibri" w:hAnsi="Arial" w:cs="Arial"/>
          <w:sz w:val="22"/>
        </w:rPr>
        <w:t>licitación de obra pública de infraestructura social</w:t>
      </w:r>
      <w:r w:rsidRPr="009F7AF2">
        <w:rPr>
          <w:rStyle w:val="Refdenotaalpie"/>
          <w:rFonts w:ascii="Arial" w:hAnsi="Arial" w:cs="Arial"/>
          <w:sz w:val="22"/>
          <w:lang w:val="es-ES"/>
        </w:rPr>
        <w:footnoteReference w:id="10"/>
      </w:r>
      <w:r w:rsidRPr="009F7AF2">
        <w:rPr>
          <w:rFonts w:ascii="Arial" w:eastAsia="Calibri" w:hAnsi="Arial" w:cs="Arial"/>
          <w:sz w:val="22"/>
        </w:rPr>
        <w:t xml:space="preserve"> prescribe en la parte introductoria que </w:t>
      </w:r>
      <w:r w:rsidRPr="009F7AF2">
        <w:rPr>
          <w:rFonts w:ascii="Arial" w:eastAsia="Calibri" w:hAnsi="Arial" w:cs="Arial"/>
          <w:i/>
          <w:iCs/>
          <w:sz w:val="22"/>
        </w:rPr>
        <w:t>«</w:t>
      </w:r>
      <w:r w:rsidRPr="009F7AF2">
        <w:rPr>
          <w:rFonts w:ascii="Arial" w:hAnsi="Arial" w:cs="Arial"/>
          <w:bCs/>
          <w:i/>
          <w:iCs/>
          <w:color w:val="000000"/>
          <w:sz w:val="22"/>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9F7AF2">
        <w:rPr>
          <w:rFonts w:ascii="Arial" w:eastAsia="Calibri" w:hAnsi="Arial" w:cs="Arial"/>
          <w:i/>
          <w:iCs/>
          <w:sz w:val="22"/>
        </w:rPr>
        <w:t>».</w:t>
      </w:r>
    </w:p>
    <w:p w14:paraId="4A34322F" w14:textId="77777777" w:rsidR="00CA6A05"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bCs/>
          <w:color w:val="000000" w:themeColor="text1"/>
          <w:sz w:val="22"/>
          <w:lang w:val="es-ES" w:eastAsia="es-ES_tradnl"/>
        </w:rPr>
        <w:lastRenderedPageBreak/>
        <w:t xml:space="preserve">Cabe anotar que </w:t>
      </w:r>
      <w:r w:rsidRPr="009F7AF2">
        <w:rPr>
          <w:rFonts w:ascii="Arial" w:hAnsi="Arial" w:cs="Arial"/>
          <w:bCs/>
          <w:color w:val="000000" w:themeColor="text1"/>
          <w:sz w:val="22"/>
          <w:lang w:eastAsia="es-ES_tradnl"/>
        </w:rPr>
        <w:t xml:space="preserve">la Resolución 219 del 6 de agosto de 2021 contiene los documentos tipo que aplican </w:t>
      </w:r>
      <w:r w:rsidRPr="009F7AF2">
        <w:rPr>
          <w:rFonts w:ascii="Arial" w:hAnsi="Arial" w:cs="Arial"/>
          <w:sz w:val="22"/>
          <w:lang w:val="es-ES"/>
        </w:rPr>
        <w:t>de forma transversal a los proyectos de infraestructura social en los sectores educativo; salud;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4F7601E0" w14:textId="77777777" w:rsidR="00CA6A05"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sz w:val="22"/>
          <w:lang w:val="es-ES"/>
        </w:rPr>
        <w:t xml:space="preserve">En consecuencia, en materia de infraestructura social debe tenerse en cuenta que existen dos (2) clases de documentos tipo que se integran en cada proceso: i) los documentos </w:t>
      </w:r>
      <w:r w:rsidRPr="009F7AF2">
        <w:rPr>
          <w:rFonts w:ascii="Arial" w:hAnsi="Arial" w:cs="Arial"/>
          <w:i/>
          <w:sz w:val="22"/>
          <w:lang w:val="es-ES"/>
        </w:rPr>
        <w:t>transversales</w:t>
      </w:r>
      <w:r w:rsidRPr="009F7AF2">
        <w:rPr>
          <w:rFonts w:ascii="Arial" w:hAnsi="Arial" w:cs="Arial"/>
          <w:sz w:val="22"/>
          <w:lang w:val="es-ES"/>
        </w:rPr>
        <w:t xml:space="preserve"> a todos los sectores de infraestructura social, es decir, el documento base, los anexos, los formatos, los formularios y las matrices adoptados mediante la Resolución No. 219 de 2021; y ii) los documentos tipo </w:t>
      </w:r>
      <w:r w:rsidRPr="009F7AF2">
        <w:rPr>
          <w:rFonts w:ascii="Arial" w:hAnsi="Arial" w:cs="Arial"/>
          <w:i/>
          <w:sz w:val="22"/>
          <w:lang w:val="es-ES"/>
        </w:rPr>
        <w:t>complementarios</w:t>
      </w:r>
      <w:r w:rsidRPr="009F7AF2">
        <w:rPr>
          <w:rFonts w:ascii="Arial" w:hAnsi="Arial" w:cs="Arial"/>
          <w:iCs/>
          <w:sz w:val="22"/>
          <w:lang w:val="es-ES"/>
        </w:rPr>
        <w:t>,</w:t>
      </w:r>
      <w:r w:rsidRPr="009F7AF2">
        <w:rPr>
          <w:rFonts w:ascii="Arial" w:hAnsi="Arial" w:cs="Arial"/>
          <w:i/>
          <w:sz w:val="22"/>
          <w:lang w:val="es-ES"/>
        </w:rPr>
        <w:t xml:space="preserve"> </w:t>
      </w:r>
      <w:r w:rsidRPr="009F7AF2">
        <w:rPr>
          <w:rFonts w:ascii="Arial" w:hAnsi="Arial" w:cs="Arial"/>
          <w:sz w:val="22"/>
          <w:lang w:val="es-ES"/>
        </w:rPr>
        <w:t>referentes a la matriz de experiencia y el glosario, los cuales han sido adoptados en la resolución para cada sector específico.</w:t>
      </w:r>
    </w:p>
    <w:p w14:paraId="533636E4" w14:textId="1FE07CDC" w:rsidR="002E4DEF" w:rsidRPr="009F7AF2" w:rsidRDefault="002E4DEF" w:rsidP="009F7AF2">
      <w:pPr>
        <w:spacing w:before="240" w:line="276" w:lineRule="auto"/>
        <w:ind w:firstLine="708"/>
        <w:jc w:val="both"/>
        <w:rPr>
          <w:rFonts w:ascii="Arial" w:hAnsi="Arial" w:cs="Arial"/>
          <w:bCs/>
          <w:color w:val="000000" w:themeColor="text1"/>
          <w:sz w:val="22"/>
          <w:lang w:val="es-ES" w:eastAsia="es-ES_tradnl"/>
        </w:rPr>
      </w:pPr>
      <w:r w:rsidRPr="009F7AF2">
        <w:rPr>
          <w:rFonts w:ascii="Arial" w:hAnsi="Arial" w:cs="Arial"/>
          <w:sz w:val="22"/>
        </w:rPr>
        <w:t>De esta forma, esta Agencia expidió distintos actos administrativos a partir de los cuales se adoptaron la</w:t>
      </w:r>
      <w:r w:rsidRPr="009F7AF2">
        <w:rPr>
          <w:rFonts w:ascii="Arial" w:hAnsi="Arial" w:cs="Arial"/>
          <w:sz w:val="20"/>
          <w:szCs w:val="20"/>
        </w:rPr>
        <w:t xml:space="preserve"> </w:t>
      </w:r>
      <w:r w:rsidRPr="009F7AF2">
        <w:rPr>
          <w:rFonts w:ascii="Arial" w:hAnsi="Arial" w:cs="Arial"/>
          <w:sz w:val="22"/>
        </w:rPr>
        <w:t>«Matriz – Experiencia» y el «Anexo – Glosario». Así las cosas, la Agencia expidió: i) la Resolución 220 del 6 de agosto de 2021, «</w:t>
      </w:r>
      <w:r w:rsidRPr="009F7AF2">
        <w:rPr>
          <w:rFonts w:ascii="Arial" w:hAnsi="Arial" w:cs="Arial"/>
          <w:i/>
          <w:iCs/>
          <w:sz w:val="22"/>
        </w:rPr>
        <w:t>Por la cual se adoptan los documentos tipo complementarios para los procesos de licitación de obra pública de infraestructura social relacionados con el sector educativo»</w:t>
      </w:r>
      <w:r w:rsidRPr="009F7AF2">
        <w:rPr>
          <w:rFonts w:ascii="Arial" w:hAnsi="Arial" w:cs="Arial"/>
          <w:sz w:val="22"/>
        </w:rPr>
        <w:t>;</w:t>
      </w:r>
      <w:r w:rsidRPr="009F7AF2">
        <w:rPr>
          <w:rFonts w:ascii="Arial" w:hAnsi="Arial" w:cs="Arial"/>
          <w:i/>
          <w:iCs/>
          <w:sz w:val="22"/>
        </w:rPr>
        <w:t xml:space="preserve"> </w:t>
      </w:r>
      <w:r w:rsidRPr="009F7AF2">
        <w:rPr>
          <w:rFonts w:ascii="Arial" w:hAnsi="Arial" w:cs="Arial"/>
          <w:sz w:val="22"/>
        </w:rPr>
        <w:t>ii)</w:t>
      </w:r>
      <w:r w:rsidRPr="009F7AF2">
        <w:rPr>
          <w:rFonts w:ascii="Arial" w:hAnsi="Arial" w:cs="Arial"/>
          <w:i/>
          <w:iCs/>
          <w:sz w:val="22"/>
        </w:rPr>
        <w:t xml:space="preserve"> </w:t>
      </w:r>
      <w:r w:rsidRPr="009F7AF2">
        <w:rPr>
          <w:rFonts w:ascii="Arial" w:hAnsi="Arial" w:cs="Arial"/>
          <w:sz w:val="22"/>
        </w:rPr>
        <w:t>la Resolución 392 del 18 de noviembre de 2021, «</w:t>
      </w:r>
      <w:r w:rsidRPr="009F7AF2">
        <w:rPr>
          <w:rFonts w:ascii="Arial" w:hAnsi="Arial" w:cs="Arial"/>
          <w:i/>
          <w:iCs/>
          <w:sz w:val="22"/>
        </w:rPr>
        <w:t>Por la cual se adoptan los documentos tipo complementarios para los procesos de licitación de obra pública de infraestructura social relacionados con el sector salud»</w:t>
      </w:r>
      <w:r w:rsidRPr="009F7AF2">
        <w:rPr>
          <w:rFonts w:ascii="Arial" w:hAnsi="Arial" w:cs="Arial"/>
          <w:sz w:val="22"/>
        </w:rPr>
        <w:t>; y iii) la Resolución 454 del 16 de diciembre de 2021,</w:t>
      </w:r>
      <w:r w:rsidRPr="009F7AF2">
        <w:rPr>
          <w:rFonts w:ascii="Calibri" w:eastAsia="Calibri" w:hAnsi="Calibri" w:cs="Arial"/>
          <w:sz w:val="22"/>
        </w:rPr>
        <w:t xml:space="preserve"> </w:t>
      </w:r>
      <w:r w:rsidRPr="009F7AF2">
        <w:rPr>
          <w:rFonts w:ascii="Arial" w:hAnsi="Arial" w:cs="Arial"/>
          <w:i/>
          <w:iCs/>
          <w:sz w:val="22"/>
        </w:rPr>
        <w:t>«Por la cual se adoptan los documentos tipo complementarios para los procesos de licitación de obra pública de infraestructura social relacionados con el sector cultura, recreación y deporte».</w:t>
      </w:r>
    </w:p>
    <w:p w14:paraId="7D32CF2E" w14:textId="60A51B4D" w:rsidR="00CA6A05" w:rsidRPr="009F7AF2" w:rsidRDefault="00CA6A05" w:rsidP="009F7AF2">
      <w:pPr>
        <w:spacing w:before="240" w:line="276" w:lineRule="auto"/>
        <w:ind w:firstLine="708"/>
        <w:jc w:val="both"/>
        <w:rPr>
          <w:rFonts w:ascii="Arial" w:hAnsi="Arial" w:cs="Arial"/>
          <w:sz w:val="22"/>
          <w:lang w:val="es-ES"/>
        </w:rPr>
      </w:pPr>
      <w:r w:rsidRPr="009F7AF2">
        <w:rPr>
          <w:rFonts w:ascii="Arial" w:hAnsi="Arial" w:cs="Arial"/>
          <w:bCs/>
          <w:color w:val="000000" w:themeColor="text1"/>
          <w:sz w:val="22"/>
          <w:lang w:val="es-ES" w:eastAsia="es-ES_tradnl"/>
        </w:rPr>
        <w:t xml:space="preserve">En tal sentido, la </w:t>
      </w:r>
      <w:r w:rsidRPr="009F7AF2">
        <w:rPr>
          <w:rFonts w:ascii="Arial" w:hAnsi="Arial" w:cs="Arial"/>
          <w:sz w:val="22"/>
          <w:lang w:val="es-ES"/>
        </w:rPr>
        <w:t>Resolución No. 454 de 2021 desarrolla el «Anexo: Glosario cultura, recreación y deporte» y la «Matriz: Experiencia cultura, recreación y deporte», lo que significa que tales documentos definen el alcance para ese sector específicamente. Igualmente, la Matriz de experiencia de cada sector, además de estandarizar el requisito habilitante de experiencia, señala las actividades a las cuales aplican los documentos tipo, en el entendido de que aplicarán a los procesos contractuales cuyo objeto se relacione con alguna de las actividades establecidas de forma detallada en la Matriz de experiencia respectiva.</w:t>
      </w:r>
    </w:p>
    <w:p w14:paraId="316FF1FA" w14:textId="3957EB7B" w:rsidR="00D10BB8"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sz w:val="22"/>
          <w:lang w:val="es-ES"/>
        </w:rPr>
        <w:lastRenderedPageBreak/>
        <w:t>Así las cosas, la matriz de experiencia de los documentos tipo complementarios que se adoptaron con la Resolución 454 del 16 de diciembre de 2021 aplica a dos (2) tipos de obras: (i) Obras en infraestructura cultural (ii) Obras en infraestructura recreo deportiva.</w:t>
      </w:r>
    </w:p>
    <w:p w14:paraId="34E99732" w14:textId="77777777" w:rsidR="00D65883" w:rsidRPr="009F7AF2" w:rsidRDefault="00CA6A05" w:rsidP="009F7AF2">
      <w:pPr>
        <w:spacing w:before="240" w:after="24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Bajo este panorama, para determinar si la contratación corresponde a una obra pública de infraestructura social relacionada con el sector cultura, recreación y deporte, y si en consecuencia procede la aplicación de los Documentos Tipo, se debe acudir a la Matriz 1 –</w:t>
      </w:r>
      <w:r w:rsidRPr="009F7AF2">
        <w:rPr>
          <w:rFonts w:ascii="Arial" w:eastAsia="Calibri" w:hAnsi="Arial" w:cs="Arial"/>
          <w:b/>
          <w:bCs/>
          <w:sz w:val="22"/>
          <w:lang w:val="es-ES_tradnl"/>
        </w:rPr>
        <w:t xml:space="preserve"> </w:t>
      </w:r>
      <w:r w:rsidRPr="009F7AF2">
        <w:rPr>
          <w:rFonts w:ascii="Arial" w:eastAsia="Calibri" w:hAnsi="Arial" w:cs="Arial"/>
          <w:sz w:val="22"/>
          <w:lang w:val="es-ES_tradnl"/>
        </w:rPr>
        <w:t xml:space="preserve">Experiencia, constituida por trece (13) tipos de obras de infraestructura social relacionados con el Sector cultura, recreación y deporte, </w:t>
      </w:r>
      <w:r w:rsidRPr="009F7AF2">
        <w:rPr>
          <w:rFonts w:ascii="Arial" w:eastAsia="Calibri" w:hAnsi="Arial" w:cs="Arial"/>
          <w:sz w:val="22"/>
        </w:rPr>
        <w:t xml:space="preserve">identificadas con un número y su descripción, los cuales </w:t>
      </w:r>
      <w:r w:rsidRPr="009F7AF2">
        <w:rPr>
          <w:rFonts w:ascii="Arial" w:eastAsia="Calibri" w:hAnsi="Arial" w:cs="Arial"/>
          <w:sz w:val="22"/>
          <w:lang w:val="es-ES_tradnl"/>
        </w:rPr>
        <w:t>se relacionan a continuación: 2.1. Proyectos de construcción y/o reconstrucción de parques. 2.2. Proyectos de ampliación y/o terminación y/o rehabilitación y/o mejoramiento y/o mantenimiento y/o adecuación y/o intervención de parques. 2.3. Proyectos de construcción y/o reconstrucción de senderos en parques. 2.4. Proyectos de ampliación y/o terminación y/o rehabilitación y/o mejoramiento y/o mantenimiento y/o adecuación y/o intervención de senderos en parques. 2.5. Proyectos de construcción y/o mejoramiento y/o rehabilitación y/o mantenimiento y/o adecuación y/o ampliación y/o intervención de canchas deportivas. 2.6. proyectos de construcción y/o mejoramiento y/o rehabilitación y/o mantenimiento y/o adecuación y/o reforzamiento y/o intervención de polideportivos y/o placas polideportivas. 2.7. proyectos de construcción y/o mejoramiento y/o rehabilitación y/o mantenimiento y/o adecuación y/o reforzamiento y/o intervención de coliseos. 2.8. proyectos de construcción y/o mejoramiento y/o rehabilitación y/o mantenimiento y/o adecuación y/o reforzamiento y/o intervención de conchas acústicas. 2.9. proyectos de construcción y/o mejoramiento y/o rehabilitación y/o mantenimiento y/o adecuación y/o reforzamiento y/o intervención de piscinas. 2.10. proyectos de construcción y/o mejoramiento y/o rehabilitación y/o mantenimiento y/o adecuación y/o reforzamiento y/o intervención de pistas. 2.11. proyectos de construcción y/o mejoramiento y/o rehabilitación y/o mantenimiento y/o adecuación y/o reforzamiento y/o intervención de zonas verdes, o actividades de urbanismo y paisajismo. 2.12. proyectos de construcción y/o ampliación y/o terminación y/o reconstrucción de instalaciones deportivas. 2.13. proyectos de mejoramiento y/o remodelación y/o adecuación y/o modificación y/o mantenimiento y/o reparación y/o intervención de instalaciones deportivas.</w:t>
      </w:r>
      <w:r w:rsidR="00D10BB8" w:rsidRPr="009F7AF2">
        <w:rPr>
          <w:rFonts w:ascii="Arial" w:eastAsia="Calibri" w:hAnsi="Arial" w:cs="Arial"/>
          <w:sz w:val="22"/>
          <w:lang w:val="es-ES_tradnl"/>
        </w:rPr>
        <w:t xml:space="preserve"> </w:t>
      </w:r>
    </w:p>
    <w:p w14:paraId="011EFEC4" w14:textId="3746279C" w:rsidR="002E4DEF" w:rsidRPr="009F7AF2" w:rsidRDefault="002E4DEF" w:rsidP="009F7AF2">
      <w:pPr>
        <w:spacing w:line="276" w:lineRule="auto"/>
        <w:jc w:val="both"/>
        <w:rPr>
          <w:rFonts w:ascii="Arial" w:eastAsia="Calibri" w:hAnsi="Arial" w:cs="Arial"/>
          <w:b/>
          <w:bCs/>
          <w:sz w:val="22"/>
          <w:lang w:val="es-ES" w:eastAsia="es-ES"/>
        </w:rPr>
      </w:pPr>
      <w:r w:rsidRPr="009F7AF2">
        <w:rPr>
          <w:rFonts w:ascii="Arial" w:eastAsia="Calibri" w:hAnsi="Arial" w:cs="Arial"/>
          <w:b/>
          <w:bCs/>
          <w:sz w:val="22"/>
          <w:lang w:val="es-ES" w:eastAsia="es-ES"/>
        </w:rPr>
        <w:t xml:space="preserve">2.4. </w:t>
      </w:r>
      <w:bookmarkStart w:id="8" w:name="_Hlk110433301"/>
      <w:r w:rsidRPr="009F7AF2">
        <w:rPr>
          <w:rFonts w:ascii="Arial" w:eastAsia="Calibri" w:hAnsi="Arial" w:cs="Arial"/>
          <w:b/>
          <w:bCs/>
          <w:sz w:val="22"/>
          <w:lang w:val="es-ES" w:eastAsia="es-ES"/>
        </w:rPr>
        <w:t xml:space="preserve">Acreditación de experiencia en los documentos tipo de licitación de obra pública de infraestructura social </w:t>
      </w:r>
      <w:bookmarkEnd w:id="8"/>
    </w:p>
    <w:p w14:paraId="1D20651F" w14:textId="77777777" w:rsidR="002E4DEF" w:rsidRPr="009F7AF2" w:rsidRDefault="002E4DEF" w:rsidP="009F7AF2">
      <w:pPr>
        <w:spacing w:line="276" w:lineRule="auto"/>
        <w:jc w:val="both"/>
        <w:rPr>
          <w:rFonts w:ascii="Arial" w:hAnsi="Arial" w:cs="Arial"/>
          <w:sz w:val="22"/>
        </w:rPr>
      </w:pPr>
    </w:p>
    <w:p w14:paraId="7ED4076A" w14:textId="77777777" w:rsidR="002E4DEF" w:rsidRPr="009F7AF2" w:rsidRDefault="002E4DEF" w:rsidP="009F7AF2">
      <w:pPr>
        <w:spacing w:after="120" w:line="276" w:lineRule="auto"/>
        <w:jc w:val="both"/>
        <w:rPr>
          <w:rFonts w:ascii="Arial" w:hAnsi="Arial" w:cs="Arial"/>
          <w:sz w:val="22"/>
          <w:lang w:val="es-ES"/>
        </w:rPr>
      </w:pPr>
      <w:r w:rsidRPr="009F7AF2">
        <w:rPr>
          <w:rFonts w:ascii="Arial" w:hAnsi="Arial" w:cs="Arial"/>
          <w:sz w:val="22"/>
          <w:lang w:val="es-ES"/>
        </w:rPr>
        <w:t xml:space="preserve">Las Resoluciones 220, 392 y 454 del 2021, en el artículo 2, desarrollan el «Anexo − Glosario» y la «Matriz − Experiencia» de cada sector en particular −educativo; salud; </w:t>
      </w:r>
      <w:r w:rsidRPr="009F7AF2">
        <w:rPr>
          <w:rFonts w:ascii="Arial" w:hAnsi="Arial" w:cs="Arial"/>
          <w:sz w:val="22"/>
          <w:lang w:val="es-ES"/>
        </w:rPr>
        <w:lastRenderedPageBreak/>
        <w:t xml:space="preserve">cultura, recreación y deporte− de los documentos tipo complementarios de licitación de obra pública de infraestructura social, lo que significa que estos documentos definen el alcance para cada sector. </w:t>
      </w:r>
    </w:p>
    <w:p w14:paraId="272D58D8" w14:textId="01C63B5D" w:rsidR="002E4DEF" w:rsidRPr="009F7AF2" w:rsidRDefault="002E4DEF" w:rsidP="009F7AF2">
      <w:pPr>
        <w:spacing w:after="120" w:line="276" w:lineRule="auto"/>
        <w:ind w:firstLine="708"/>
        <w:jc w:val="both"/>
        <w:rPr>
          <w:rFonts w:ascii="Arial" w:eastAsia="Calibri" w:hAnsi="Arial" w:cs="Arial"/>
          <w:color w:val="0D0D0D"/>
          <w:sz w:val="22"/>
        </w:rPr>
      </w:pPr>
      <w:r w:rsidRPr="009F7AF2">
        <w:rPr>
          <w:rFonts w:ascii="Arial" w:hAnsi="Arial" w:cs="Arial"/>
          <w:sz w:val="22"/>
          <w:lang w:val="es-ES"/>
        </w:rPr>
        <w:t xml:space="preserve">De esta forma, la Matriz de experiencia de cada sector mencionado </w:t>
      </w:r>
      <w:r w:rsidRPr="009F7AF2">
        <w:rPr>
          <w:rFonts w:ascii="Arial" w:eastAsia="Calibri" w:hAnsi="Arial" w:cs="Arial"/>
          <w:color w:val="0D0D0D"/>
          <w:sz w:val="22"/>
        </w:rPr>
        <w:t>consta de unas celdas en las que se describe la experiencia requerida en relación con el objeto a contratar</w:t>
      </w:r>
      <w:r w:rsidRPr="009F7AF2">
        <w:rPr>
          <w:rFonts w:ascii="Arial" w:hAnsi="Arial" w:cs="Arial"/>
          <w:sz w:val="22"/>
          <w:lang w:val="es-ES"/>
        </w:rPr>
        <w:t xml:space="preserve">,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respectiva. </w:t>
      </w:r>
      <w:r w:rsidRPr="009F7AF2">
        <w:rPr>
          <w:rFonts w:ascii="Arial" w:eastAsia="Calibri" w:hAnsi="Arial" w:cs="Arial"/>
          <w:color w:val="0D0D0D"/>
          <w:sz w:val="22"/>
        </w:rPr>
        <w:t xml:space="preserve">Por otro lado, el «Anexo 3 – Glosario», contiene las definiciones de los términos usados en los documentos del proceso. Utilizando estos dos documentos, la </w:t>
      </w:r>
      <w:r w:rsidR="00A62CCC" w:rsidRPr="009F7AF2">
        <w:rPr>
          <w:rFonts w:ascii="Arial" w:eastAsia="Calibri" w:hAnsi="Arial" w:cs="Arial"/>
          <w:color w:val="0D0D0D"/>
          <w:sz w:val="22"/>
        </w:rPr>
        <w:t>Entidad Estatal</w:t>
      </w:r>
      <w:r w:rsidRPr="009F7AF2">
        <w:rPr>
          <w:rFonts w:ascii="Arial" w:eastAsia="Calibri" w:hAnsi="Arial" w:cs="Arial"/>
          <w:color w:val="0D0D0D"/>
          <w:sz w:val="22"/>
        </w:rPr>
        <w:t xml:space="preserve"> puede definir si el objeto a contratarse debe aplicar los documentos tipo de licitación de obra pública de infraestructura social relacionados con el sector educativo, salud y cultura, recreación y deporte −según corresponda−. </w:t>
      </w:r>
    </w:p>
    <w:p w14:paraId="11B624EC" w14:textId="084A5982" w:rsidR="002E4DEF" w:rsidRPr="009F7AF2" w:rsidRDefault="002E4DEF" w:rsidP="009F7AF2">
      <w:pPr>
        <w:spacing w:before="120" w:after="120" w:line="276" w:lineRule="auto"/>
        <w:ind w:firstLine="709"/>
        <w:jc w:val="both"/>
        <w:rPr>
          <w:rFonts w:ascii="Arial" w:eastAsia="Calibri" w:hAnsi="Arial" w:cs="Arial"/>
          <w:color w:val="0D0D0D"/>
          <w:sz w:val="22"/>
        </w:rPr>
      </w:pPr>
      <w:r w:rsidRPr="009F7AF2">
        <w:rPr>
          <w:rFonts w:ascii="Arial" w:eastAsia="Calibri" w:hAnsi="Arial" w:cs="Arial"/>
          <w:color w:val="0D0D0D"/>
          <w:sz w:val="22"/>
        </w:rPr>
        <w:t>De acuerdo con lo anterior, la matriz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13B32C08" w14:textId="77777777" w:rsidR="002E4DEF" w:rsidRPr="009F7AF2" w:rsidRDefault="002E4DEF" w:rsidP="009F7AF2">
      <w:pPr>
        <w:spacing w:before="120" w:after="120" w:line="276" w:lineRule="auto"/>
        <w:ind w:firstLine="709"/>
        <w:jc w:val="both"/>
        <w:rPr>
          <w:rFonts w:ascii="Arial" w:eastAsia="Calibri" w:hAnsi="Arial" w:cs="Arial"/>
          <w:color w:val="0D0D0D"/>
          <w:sz w:val="22"/>
        </w:rPr>
      </w:pPr>
      <w:r w:rsidRPr="009F7AF2">
        <w:rPr>
          <w:rFonts w:ascii="Arial" w:eastAsia="Calibri" w:hAnsi="Arial" w:cs="Arial"/>
          <w:color w:val="0D0D0D"/>
          <w:sz w:val="22"/>
        </w:rPr>
        <w:t>De esta manera, para saber a qué actividades deben aplicarse los documentos tipo de licitación de obra pública de infraestructura social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p>
    <w:p w14:paraId="5BACEE85" w14:textId="2A40907E" w:rsidR="002E4DEF" w:rsidRPr="009F7AF2" w:rsidRDefault="002E4DEF" w:rsidP="009F7AF2">
      <w:pPr>
        <w:spacing w:line="276" w:lineRule="auto"/>
        <w:ind w:firstLine="708"/>
        <w:jc w:val="both"/>
        <w:rPr>
          <w:rFonts w:ascii="Arial" w:hAnsi="Arial" w:cs="Arial"/>
          <w:color w:val="000000"/>
          <w:sz w:val="22"/>
          <w:bdr w:val="none" w:sz="0" w:space="0" w:color="auto" w:frame="1"/>
          <w:lang w:val="es-ES_tradnl"/>
        </w:rPr>
      </w:pPr>
      <w:r w:rsidRPr="009F7AF2">
        <w:rPr>
          <w:rFonts w:ascii="Arial" w:eastAsia="Calibri" w:hAnsi="Arial" w:cs="Arial"/>
          <w:color w:val="0D0D0D"/>
          <w:sz w:val="22"/>
        </w:rPr>
        <w:t xml:space="preserve">A efectos de la estandarización de las condiciones de experiencia, cada una de las actividades descritas en las matrices de experiencia tienen asignados unos requisitos </w:t>
      </w:r>
      <w:r w:rsidRPr="009F7AF2">
        <w:rPr>
          <w:rFonts w:ascii="Arial" w:hAnsi="Arial" w:cs="Arial"/>
          <w:color w:val="000000"/>
          <w:sz w:val="22"/>
          <w:bdr w:val="none" w:sz="0" w:space="0" w:color="auto" w:frame="1"/>
          <w:lang w:val="es-ES_tradnl"/>
        </w:rPr>
        <w:t xml:space="preserve">generales y/o específicos, que puede exigir la </w:t>
      </w:r>
      <w:r w:rsidR="00A62CCC" w:rsidRPr="009F7AF2">
        <w:rPr>
          <w:rFonts w:ascii="Arial" w:hAnsi="Arial" w:cs="Arial"/>
          <w:color w:val="000000"/>
          <w:sz w:val="22"/>
          <w:bdr w:val="none" w:sz="0" w:space="0" w:color="auto" w:frame="1"/>
          <w:lang w:val="es-ES_tradnl"/>
        </w:rPr>
        <w:t>Entidad Estatal</w:t>
      </w:r>
      <w:r w:rsidRPr="009F7AF2">
        <w:rPr>
          <w:rFonts w:ascii="Arial" w:hAnsi="Arial" w:cs="Arial"/>
          <w:color w:val="000000"/>
          <w:sz w:val="22"/>
          <w:bdr w:val="none" w:sz="0" w:space="0" w:color="auto" w:frame="1"/>
          <w:lang w:val="es-ES_tradnl"/>
        </w:rPr>
        <w:t xml:space="preserve"> y que deben acreditar los proponentes para participar en los procesos de contratación cuyos objetos correspondan con la actividad para la que se contemplan los mencionados requerimientos. </w:t>
      </w:r>
    </w:p>
    <w:p w14:paraId="14474653" w14:textId="6EE913EF" w:rsidR="002E4DEF" w:rsidRPr="009F7AF2" w:rsidRDefault="002E4DEF" w:rsidP="009F7AF2">
      <w:pPr>
        <w:spacing w:before="120" w:after="120" w:line="276" w:lineRule="auto"/>
        <w:ind w:firstLine="708"/>
        <w:jc w:val="both"/>
        <w:rPr>
          <w:rFonts w:ascii="Arial" w:hAnsi="Arial" w:cs="Arial"/>
          <w:color w:val="000000"/>
          <w:sz w:val="22"/>
          <w:bdr w:val="none" w:sz="0" w:space="0" w:color="auto" w:frame="1"/>
          <w:lang w:val="es-ES_tradnl"/>
        </w:rPr>
      </w:pPr>
      <w:r w:rsidRPr="009F7AF2">
        <w:rPr>
          <w:rFonts w:ascii="Arial" w:hAnsi="Arial" w:cs="Arial"/>
          <w:color w:val="000000"/>
          <w:sz w:val="22"/>
          <w:bdr w:val="none" w:sz="0" w:space="0" w:color="auto" w:frame="1"/>
          <w:lang w:val="es-ES_tradnl"/>
        </w:rPr>
        <w:lastRenderedPageBreak/>
        <w:t xml:space="preserve">En ese orden, cada </w:t>
      </w:r>
      <w:r w:rsidR="00A62CCC" w:rsidRPr="009F7AF2">
        <w:rPr>
          <w:rFonts w:ascii="Arial" w:hAnsi="Arial" w:cs="Arial"/>
          <w:color w:val="000000"/>
          <w:sz w:val="22"/>
          <w:bdr w:val="none" w:sz="0" w:space="0" w:color="auto" w:frame="1"/>
          <w:lang w:val="es-ES_tradnl"/>
        </w:rPr>
        <w:t>Entidad Estatal</w:t>
      </w:r>
      <w:r w:rsidRPr="009F7AF2">
        <w:rPr>
          <w:rFonts w:ascii="Arial" w:hAnsi="Arial" w:cs="Arial"/>
          <w:color w:val="000000"/>
          <w:sz w:val="22"/>
          <w:bdr w:val="none" w:sz="0" w:space="0" w:color="auto" w:frame="1"/>
          <w:lang w:val="es-ES_tradnl"/>
        </w:rPr>
        <w:t xml:space="preserve"> deberá determinar la experiencia general y específica que debe acreditarse en cada procedimiento de selección, en función del objeto contractual. En desarrollo de ese análisis, teniendo en cuenta también las definiciones del Glosario, la </w:t>
      </w:r>
      <w:r w:rsidR="00A62CCC" w:rsidRPr="009F7AF2">
        <w:rPr>
          <w:rFonts w:ascii="Arial" w:hAnsi="Arial" w:cs="Arial"/>
          <w:color w:val="000000"/>
          <w:sz w:val="22"/>
          <w:bdr w:val="none" w:sz="0" w:space="0" w:color="auto" w:frame="1"/>
          <w:lang w:val="es-ES_tradnl"/>
        </w:rPr>
        <w:t>Entidad Estatal</w:t>
      </w:r>
      <w:r w:rsidRPr="009F7AF2">
        <w:rPr>
          <w:rFonts w:ascii="Arial" w:hAnsi="Arial" w:cs="Arial"/>
          <w:color w:val="000000"/>
          <w:sz w:val="22"/>
          <w:bdr w:val="none" w:sz="0" w:space="0" w:color="auto" w:frame="1"/>
          <w:lang w:val="es-ES_tradnl"/>
        </w:rPr>
        <w:t xml:space="preserve"> deberá determinar si el objeto contractual se enmarca en alguno de los tipos de actividades, identificadas con un número y su descripción en la matriz de experiencia. De esta manera, deberá aplicar estrictamente lo contenido en dicha matriz. Por tanto, no podrá incluir, modificar, suprimir o alterar las condiciones de experiencia allí establecidas, salvo cuando de forma expresa esta lo determine.</w:t>
      </w:r>
    </w:p>
    <w:p w14:paraId="0D61A81C" w14:textId="7777777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Conforme a lo anterior, las entidades estatales que adelanten procesos de contratación de licitación de obra pública de infraestructura social asociados a los sectores educativo, salud o cultura, recreación y deporte, deben definir la experiencia exigible, teniendo en cuenta las condiciones fijadas en las matrices de experiencia, de acuerdo con los siguientes pasos</w:t>
      </w:r>
      <w:r w:rsidRPr="009F7AF2">
        <w:rPr>
          <w:rFonts w:ascii="Arial" w:eastAsia="Calibri" w:hAnsi="Arial" w:cs="Arial"/>
          <w:color w:val="000000"/>
          <w:sz w:val="22"/>
          <w:vertAlign w:val="superscript"/>
        </w:rPr>
        <w:footnoteReference w:id="11"/>
      </w:r>
      <w:r w:rsidRPr="009F7AF2">
        <w:rPr>
          <w:rFonts w:ascii="Arial" w:eastAsia="Calibri" w:hAnsi="Arial" w:cs="Arial"/>
          <w:color w:val="000000"/>
          <w:sz w:val="22"/>
        </w:rPr>
        <w:t>:</w:t>
      </w:r>
    </w:p>
    <w:p w14:paraId="767AF85C" w14:textId="7777777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 xml:space="preserve">a) </w:t>
      </w:r>
      <w:r w:rsidRPr="009F7AF2">
        <w:rPr>
          <w:rFonts w:ascii="Arial" w:eastAsia="Calibri" w:hAnsi="Arial" w:cs="Arial"/>
          <w:sz w:val="22"/>
        </w:rPr>
        <w:t xml:space="preserve">Determinar la matriz de experiencia aplicable en atención al tipo de proyecto de infraestructura social a contratarse, ya sea de educación, salud o recreación, cultura y deporte. </w:t>
      </w:r>
    </w:p>
    <w:p w14:paraId="6696D87B" w14:textId="7777777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b) Identificada la respectiva Matriz de experiencia, la entidad deberá determinar el tipo de infraestructura sobre el cual recae la obra a ejecutar. Los tipos de infraestructuras se encuentran establecidos como un «título principal» en la Matriz de experiencia, el cual permitirá a la entidad establecer cuál sería la «actividad a contratar» requerida.</w:t>
      </w:r>
    </w:p>
    <w:p w14:paraId="43FBD8A6" w14:textId="2B27952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 xml:space="preserve">c) Definido el tipo de infraestructura, la columna denominada como «ACTIVIDAD A CONTRATAR» dispone las diferentes actividades contempladas en la Matriz de experiencia. Por lo tanto, la entidad identificará y establecerá la actividad a contratar en la cual se enmarca su </w:t>
      </w:r>
      <w:r w:rsidR="00A66B2C" w:rsidRPr="009F7AF2">
        <w:rPr>
          <w:rFonts w:ascii="Arial" w:eastAsia="Calibri" w:hAnsi="Arial" w:cs="Arial"/>
          <w:color w:val="000000"/>
          <w:sz w:val="22"/>
        </w:rPr>
        <w:t>Proceso de Contratación</w:t>
      </w:r>
      <w:r w:rsidRPr="009F7AF2">
        <w:rPr>
          <w:rFonts w:ascii="Arial" w:eastAsia="Calibri" w:hAnsi="Arial" w:cs="Arial"/>
          <w:color w:val="000000"/>
          <w:sz w:val="22"/>
        </w:rPr>
        <w:t>.</w:t>
      </w:r>
    </w:p>
    <w:p w14:paraId="2FB33CB6" w14:textId="7B985992" w:rsidR="002E4DEF" w:rsidRPr="009F7AF2" w:rsidRDefault="002E4DEF" w:rsidP="009F7AF2">
      <w:pPr>
        <w:spacing w:before="120" w:after="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 xml:space="preserve">d) Una vez determinada la «actividad a contratar» requerida por la </w:t>
      </w:r>
      <w:r w:rsidR="00A62CCC" w:rsidRPr="009F7AF2">
        <w:rPr>
          <w:rFonts w:ascii="Arial" w:eastAsia="Calibri" w:hAnsi="Arial" w:cs="Arial"/>
          <w:color w:val="000000"/>
          <w:sz w:val="22"/>
        </w:rPr>
        <w:t>Entidad Estatal</w:t>
      </w:r>
      <w:r w:rsidRPr="009F7AF2">
        <w:rPr>
          <w:rFonts w:ascii="Arial" w:eastAsia="Calibri" w:hAnsi="Arial" w:cs="Arial"/>
          <w:color w:val="000000"/>
          <w:sz w:val="22"/>
        </w:rPr>
        <w:t xml:space="preserve">, se procederá a identificar la experiencia general, específica y el porcentaje de dimensionamiento. Es importante mencionar que ciertas actividades a contratar contemplan como parte del requisito de experiencia específica un «% de dimensionamiento» el cual se encuentra en función de una magnitud física establecida; y que dicho porcentaje de dimensionamiento se determina en función del rango de valores expresados en SMMLV en el cual se encuentre el valor del presupuesto oficial del </w:t>
      </w:r>
      <w:r w:rsidR="00A66B2C" w:rsidRPr="009F7AF2">
        <w:rPr>
          <w:rFonts w:ascii="Arial" w:eastAsia="Calibri" w:hAnsi="Arial" w:cs="Arial"/>
          <w:color w:val="000000"/>
          <w:sz w:val="22"/>
        </w:rPr>
        <w:t xml:space="preserve">Proceso </w:t>
      </w:r>
      <w:r w:rsidR="00A66B2C" w:rsidRPr="009F7AF2">
        <w:rPr>
          <w:rFonts w:ascii="Arial" w:eastAsia="Calibri" w:hAnsi="Arial" w:cs="Arial"/>
          <w:color w:val="000000"/>
          <w:sz w:val="22"/>
        </w:rPr>
        <w:lastRenderedPageBreak/>
        <w:t>de Contratación</w:t>
      </w:r>
      <w:r w:rsidRPr="009F7AF2">
        <w:rPr>
          <w:rFonts w:ascii="Arial" w:eastAsia="Calibri" w:hAnsi="Arial" w:cs="Arial"/>
          <w:color w:val="000000"/>
          <w:sz w:val="22"/>
        </w:rPr>
        <w:t xml:space="preserve">. Finalmente, es necesario tener en cuenta que el valor de «% de dimensionamiento» establecerá el valor por el cual será reemplazado el factor (F%). </w:t>
      </w:r>
    </w:p>
    <w:p w14:paraId="0A2CD4E2" w14:textId="77777777" w:rsidR="002E4DEF" w:rsidRPr="009F7AF2" w:rsidRDefault="002E4DEF" w:rsidP="009F7AF2">
      <w:pPr>
        <w:spacing w:before="120" w:after="120" w:line="276" w:lineRule="auto"/>
        <w:ind w:firstLine="709"/>
        <w:jc w:val="both"/>
        <w:rPr>
          <w:rFonts w:ascii="Arial" w:hAnsi="Arial" w:cs="Arial"/>
          <w:sz w:val="22"/>
          <w:lang w:val="es-ES"/>
        </w:rPr>
      </w:pPr>
      <w:r w:rsidRPr="009F7AF2">
        <w:rPr>
          <w:rFonts w:ascii="Arial" w:eastAsia="Calibri" w:hAnsi="Arial" w:cs="Arial"/>
          <w:color w:val="000000"/>
          <w:sz w:val="22"/>
        </w:rPr>
        <w:t>e) Establecidos los requisitos de experiencia exigibles, la entidad deberá consignarlos en los apartados grises entre corchetes del literal A del numeral 3.5.1 del documento base, para que los oferentes puedan conocer los requisitos de experiencia general y específica exigidos por la entidad.</w:t>
      </w:r>
    </w:p>
    <w:p w14:paraId="74EF8F81" w14:textId="77777777" w:rsidR="002E4DEF" w:rsidRPr="009F7AF2" w:rsidRDefault="002E4DEF" w:rsidP="009F7AF2">
      <w:pPr>
        <w:spacing w:after="120" w:line="276" w:lineRule="auto"/>
        <w:jc w:val="both"/>
        <w:rPr>
          <w:rFonts w:ascii="Arial" w:hAnsi="Arial" w:cs="Arial"/>
          <w:sz w:val="22"/>
        </w:rPr>
      </w:pPr>
      <w:r w:rsidRPr="009F7AF2">
        <w:rPr>
          <w:rFonts w:ascii="Arial" w:hAnsi="Arial" w:cs="Arial"/>
          <w:sz w:val="22"/>
        </w:rPr>
        <w:tab/>
        <w:t xml:space="preserve">Conforme a lo anterior, si una entidad requiere adelantar una licitación pública para la construcción de un parque, debe acudir a la matriz de experiencia adoptada por la Resolución 454 de 2021 para el sector recreación, cultura y deporte, en la cual se encuentra prevista la actividad </w:t>
      </w:r>
      <w:r w:rsidRPr="009F7AF2">
        <w:rPr>
          <w:rFonts w:ascii="Arial" w:hAnsi="Arial" w:cs="Arial"/>
          <w:i/>
          <w:iCs/>
          <w:sz w:val="22"/>
        </w:rPr>
        <w:t>«2.1. PROYECTOS DE CONSTRUCCIÓN Y/O RECONSTRUCCIÓN DE PARQUES».</w:t>
      </w:r>
      <w:r w:rsidRPr="009F7AF2">
        <w:rPr>
          <w:rFonts w:ascii="Arial" w:hAnsi="Arial" w:cs="Arial"/>
          <w:sz w:val="22"/>
        </w:rPr>
        <w:t xml:space="preserve"> Para esta actividad, se establece como requisito de experiencia general </w:t>
      </w:r>
      <w:r w:rsidRPr="009F7AF2">
        <w:rPr>
          <w:rFonts w:ascii="Arial" w:hAnsi="Arial" w:cs="Arial"/>
          <w:i/>
          <w:iCs/>
          <w:sz w:val="22"/>
        </w:rPr>
        <w:t>«PROYECTOS QUE CORRESPONDAN O HAYAN CONTENIDO UNA O ALGUNAS DE LAS SIGUIENTES ACTIVIDADES: - CONSTRUCCIÓN Y/O RECONSTRUCCIÓN DE PARQUES – CONSTRUCCIÓN Y/O RECONSTRUCCIÓN DE ESPACIO PÚBLICO».</w:t>
      </w:r>
      <w:r w:rsidRPr="009F7AF2">
        <w:rPr>
          <w:rFonts w:ascii="Arial" w:hAnsi="Arial" w:cs="Arial"/>
          <w:sz w:val="22"/>
        </w:rPr>
        <w:t xml:space="preserve"> Respecto de este requisito la matriz establece dos notas relevantes para su acreditación y evaluación, la primera de las cuales establece que para el caso de experiencia de espacio público </w:t>
      </w:r>
      <w:r w:rsidRPr="009F7AF2">
        <w:rPr>
          <w:rFonts w:ascii="Arial" w:hAnsi="Arial" w:cs="Arial"/>
          <w:i/>
          <w:iCs/>
          <w:sz w:val="22"/>
        </w:rPr>
        <w:t>«[…] se excluyen de estos las vías destinadas al tránsito vehicular, así como la conservación y/o preservación de playas marítimas».</w:t>
      </w:r>
      <w:r w:rsidRPr="009F7AF2">
        <w:rPr>
          <w:rFonts w:ascii="Arial" w:hAnsi="Arial" w:cs="Arial"/>
          <w:sz w:val="22"/>
        </w:rPr>
        <w:t xml:space="preserve"> La segunda nota indica que en «En el caso en el cual el proceso de selección contemple actividades de dotación de mobiliario, la experiencia válida aportada deberá acreditar en por lo menos uno (1) de los contratos actividades de suministro e instalación de mobiliario». </w:t>
      </w:r>
      <w:r w:rsidRPr="009F7AF2">
        <w:rPr>
          <w:rFonts w:ascii="Arial" w:hAnsi="Arial" w:cs="Arial"/>
          <w:sz w:val="22"/>
        </w:rPr>
        <w:tab/>
      </w:r>
    </w:p>
    <w:p w14:paraId="25614AEA" w14:textId="77777777" w:rsidR="002E4DEF" w:rsidRPr="009F7AF2" w:rsidRDefault="002E4DEF" w:rsidP="009F7AF2">
      <w:pPr>
        <w:spacing w:after="120" w:line="276" w:lineRule="auto"/>
        <w:ind w:firstLine="709"/>
        <w:jc w:val="both"/>
        <w:rPr>
          <w:rFonts w:ascii="Arial" w:hAnsi="Arial" w:cs="Arial"/>
          <w:sz w:val="22"/>
        </w:rPr>
      </w:pPr>
      <w:r w:rsidRPr="009F7AF2">
        <w:rPr>
          <w:rFonts w:ascii="Arial" w:hAnsi="Arial" w:cs="Arial"/>
          <w:sz w:val="22"/>
        </w:rPr>
        <w:t xml:space="preserve">A su vez, como requisito de experiencia específica para la mencionada actividad se establece que </w:t>
      </w:r>
      <w:r w:rsidRPr="009F7AF2">
        <w:rPr>
          <w:rFonts w:ascii="Arial" w:hAnsi="Arial" w:cs="Arial"/>
          <w:i/>
          <w:iCs/>
          <w:sz w:val="22"/>
        </w:rPr>
        <w:t>«Con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w:t>
      </w:r>
      <w:r w:rsidRPr="009F7AF2">
        <w:rPr>
          <w:rFonts w:ascii="Arial" w:hAnsi="Arial" w:cs="Arial"/>
          <w:sz w:val="22"/>
        </w:rPr>
        <w:t xml:space="preserve"> El porcentaje de dimensionamiento previsto como equivalencia de (F%) es el 70%. Esto supone que si, por ejemplo, el alcance físico de la obra son 1000 m</w:t>
      </w:r>
      <w:r w:rsidRPr="009F7AF2">
        <w:rPr>
          <w:rFonts w:ascii="Arial" w:hAnsi="Arial" w:cs="Arial"/>
          <w:sz w:val="22"/>
          <w:vertAlign w:val="superscript"/>
        </w:rPr>
        <w:t>2,</w:t>
      </w:r>
      <w:r w:rsidRPr="009F7AF2">
        <w:rPr>
          <w:rFonts w:ascii="Arial" w:hAnsi="Arial" w:cs="Arial"/>
          <w:sz w:val="22"/>
        </w:rPr>
        <w:t xml:space="preserve"> para cumplir con el requisito los proponentes tendrán que acreditar que la sumatoria de las áreas intervenidas en dos de los contratos aportados para el requerimiento general, es mayor o igual al 70% del área a intervenirse en el proyecto en licitación, el cual equivale a 700 m</w:t>
      </w:r>
      <w:r w:rsidRPr="009F7AF2">
        <w:rPr>
          <w:rFonts w:ascii="Arial" w:hAnsi="Arial" w:cs="Arial"/>
          <w:sz w:val="22"/>
          <w:vertAlign w:val="superscript"/>
        </w:rPr>
        <w:t>2</w:t>
      </w:r>
      <w:r w:rsidRPr="009F7AF2">
        <w:rPr>
          <w:rFonts w:ascii="Arial" w:hAnsi="Arial" w:cs="Arial"/>
          <w:sz w:val="22"/>
        </w:rPr>
        <w:t xml:space="preserve">.   </w:t>
      </w:r>
    </w:p>
    <w:p w14:paraId="2083C103" w14:textId="5F952A04" w:rsidR="002E4DEF" w:rsidRPr="009F7AF2" w:rsidRDefault="002E4DEF" w:rsidP="009F7AF2">
      <w:pPr>
        <w:spacing w:after="120" w:line="276" w:lineRule="auto"/>
        <w:ind w:firstLine="708"/>
        <w:jc w:val="both"/>
        <w:rPr>
          <w:rFonts w:ascii="Arial" w:hAnsi="Arial" w:cs="Arial"/>
          <w:sz w:val="22"/>
        </w:rPr>
      </w:pPr>
      <w:r w:rsidRPr="009F7AF2">
        <w:rPr>
          <w:rFonts w:ascii="Arial" w:hAnsi="Arial" w:cs="Arial"/>
          <w:sz w:val="22"/>
        </w:rPr>
        <w:t>Lo anterior muestra como los requisitos de experiencia especifica establecidos en términos de dimensionamiento requieren de la acreditación de las magnitudes intervenidas, como</w:t>
      </w:r>
      <w:r w:rsidR="009D3E9B" w:rsidRPr="009F7AF2">
        <w:rPr>
          <w:rFonts w:ascii="Arial" w:hAnsi="Arial" w:cs="Arial"/>
          <w:sz w:val="22"/>
        </w:rPr>
        <w:t xml:space="preserve"> </w:t>
      </w:r>
      <w:r w:rsidRPr="009F7AF2">
        <w:rPr>
          <w:rFonts w:ascii="Arial" w:hAnsi="Arial" w:cs="Arial"/>
          <w:sz w:val="22"/>
        </w:rPr>
        <w:t xml:space="preserve">quiera que ello es un presupuesto para determinar su cumplimiento en el marco de </w:t>
      </w:r>
      <w:r w:rsidRPr="009F7AF2">
        <w:rPr>
          <w:rFonts w:ascii="Arial" w:hAnsi="Arial" w:cs="Arial"/>
          <w:sz w:val="22"/>
        </w:rPr>
        <w:lastRenderedPageBreak/>
        <w:t>la evaluación</w:t>
      </w:r>
      <w:r w:rsidR="009D3E9B" w:rsidRPr="009F7AF2">
        <w:rPr>
          <w:rFonts w:ascii="Arial" w:hAnsi="Arial" w:cs="Arial"/>
          <w:sz w:val="22"/>
        </w:rPr>
        <w:t xml:space="preserve"> y por ende </w:t>
      </w:r>
      <w:r w:rsidRPr="009F7AF2">
        <w:rPr>
          <w:rFonts w:ascii="Arial" w:hAnsi="Arial" w:cs="Arial"/>
          <w:sz w:val="22"/>
        </w:rPr>
        <w:t>la entidad debe verificar que hayan cumplido la actividad prevista como requisito de experiencia especifica en el alcance físico indicado por la matriz. Esto además encuentra sustento en reglas establecidas en el Documento Base, como la del numeral 3.5.4., literal D, en virtud de la cual, a efectos de la acreditación de la experiencia requerida, los proponentes deben acreditar para cada uno de los contratos aportados, mediante alguno, o algunos, de los documentos señalados en la sección 3.5.5 del Pliego de Condiciones</w:t>
      </w:r>
      <w:r w:rsidRPr="009F7AF2">
        <w:rPr>
          <w:rFonts w:ascii="Arial" w:hAnsi="Arial" w:cs="Arial"/>
          <w:sz w:val="21"/>
          <w:szCs w:val="21"/>
        </w:rPr>
        <w:t xml:space="preserve">: </w:t>
      </w:r>
      <w:r w:rsidRPr="009F7AF2">
        <w:rPr>
          <w:rFonts w:ascii="Arial" w:hAnsi="Arial" w:cs="Arial"/>
          <w:i/>
          <w:iCs/>
          <w:sz w:val="22"/>
        </w:rPr>
        <w:t>«D. La magnitud, área intervenida o construida y demás condiciones de experiencia contenida en la matriz de experiencia aplicable en el proyecto de infraestructura social que permita establecer su alcance, en los casos que aplique».</w:t>
      </w:r>
    </w:p>
    <w:p w14:paraId="799046EF" w14:textId="538F8167" w:rsidR="002E4DEF" w:rsidRPr="009F7AF2" w:rsidRDefault="002E4DEF" w:rsidP="009F7AF2">
      <w:pPr>
        <w:spacing w:before="120" w:line="276" w:lineRule="auto"/>
        <w:ind w:firstLine="708"/>
        <w:jc w:val="both"/>
        <w:rPr>
          <w:rFonts w:ascii="Arial" w:hAnsi="Arial" w:cs="Arial"/>
          <w:sz w:val="22"/>
        </w:rPr>
      </w:pPr>
      <w:r w:rsidRPr="009F7AF2">
        <w:rPr>
          <w:rFonts w:ascii="Arial" w:hAnsi="Arial" w:cs="Arial"/>
          <w:sz w:val="22"/>
        </w:rPr>
        <w:t xml:space="preserve">En consonancia con lo anterior, de las consideraciones para la validez de la experiencia requerida por las que se debe seguir la entidad, contempladas en el numeral 3.5.2 del Documento Base, se destaca la prevista en el literal I del numeral 3.5.2. Esta consideración señala que: </w:t>
      </w:r>
    </w:p>
    <w:p w14:paraId="2EFE3D88" w14:textId="77777777" w:rsidR="002E4DEF" w:rsidRPr="009F7AF2" w:rsidRDefault="002E4DEF" w:rsidP="009F7AF2">
      <w:pPr>
        <w:spacing w:line="276" w:lineRule="auto"/>
        <w:ind w:firstLine="708"/>
        <w:jc w:val="both"/>
        <w:rPr>
          <w:rFonts w:ascii="Arial" w:hAnsi="Arial" w:cs="Arial"/>
          <w:sz w:val="22"/>
        </w:rPr>
      </w:pPr>
    </w:p>
    <w:p w14:paraId="6A8B43E0" w14:textId="05D78C81" w:rsidR="002E4DEF" w:rsidRPr="009F7AF2" w:rsidRDefault="0043034B" w:rsidP="009F7AF2">
      <w:pPr>
        <w:pStyle w:val="Prrafodelista"/>
        <w:spacing w:after="160"/>
        <w:ind w:left="709" w:right="709"/>
        <w:jc w:val="both"/>
        <w:rPr>
          <w:rFonts w:ascii="Arial" w:hAnsi="Arial" w:cs="Arial"/>
          <w:sz w:val="20"/>
          <w:szCs w:val="20"/>
        </w:rPr>
      </w:pPr>
      <w:r w:rsidRPr="009F7AF2">
        <w:rPr>
          <w:rFonts w:ascii="Arial" w:hAnsi="Arial" w:cs="Arial"/>
          <w:sz w:val="20"/>
          <w:szCs w:val="20"/>
        </w:rPr>
        <w:t>«</w:t>
      </w:r>
      <w:r w:rsidR="002E4DEF" w:rsidRPr="009F7AF2">
        <w:rPr>
          <w:rFonts w:ascii="Arial" w:hAnsi="Arial" w:cs="Arial"/>
          <w:sz w:val="20"/>
          <w:szCs w:val="20"/>
        </w:rPr>
        <w:t>I. El cumplimiento de los requisitos de experiencia que impliquen la acreditación de valores y magnitudes intervenidas deberá evaluarse de acuerdo con lo señalado en la matriz de experiencia aplicable en atención al proyecto de infraestructura social a contratarse. En los contratos aportados como experiencia que contengan actividades ejecutadas ajenas a la obra de infraestructura social requerida, la Entidad Estatal solo tendrá en cuenta los valores y magnitudes ejecutadas relacionadas con este tipo de infraestructura.</w:t>
      </w:r>
    </w:p>
    <w:p w14:paraId="7BB7CE6D" w14:textId="77777777" w:rsidR="002E4DEF" w:rsidRPr="009F7AF2" w:rsidRDefault="002E4DEF" w:rsidP="009F7AF2">
      <w:pPr>
        <w:pStyle w:val="Prrafodelista"/>
        <w:ind w:left="709" w:right="709"/>
        <w:jc w:val="both"/>
        <w:rPr>
          <w:rFonts w:ascii="Arial" w:hAnsi="Arial" w:cs="Arial"/>
          <w:sz w:val="20"/>
          <w:szCs w:val="20"/>
        </w:rPr>
      </w:pPr>
    </w:p>
    <w:p w14:paraId="55771492" w14:textId="3935D25C" w:rsidR="002E4DEF" w:rsidRPr="009F7AF2" w:rsidRDefault="002E4DEF" w:rsidP="009F7AF2">
      <w:pPr>
        <w:pStyle w:val="Prrafodelista"/>
        <w:ind w:left="709" w:right="709"/>
        <w:jc w:val="both"/>
        <w:rPr>
          <w:rFonts w:ascii="Arial" w:hAnsi="Arial" w:cs="Arial"/>
          <w:sz w:val="20"/>
          <w:szCs w:val="20"/>
        </w:rPr>
      </w:pPr>
      <w:r w:rsidRPr="009F7AF2">
        <w:rPr>
          <w:rFonts w:ascii="Arial" w:hAnsi="Arial" w:cs="Arial"/>
          <w:sz w:val="20"/>
          <w:szCs w:val="20"/>
        </w:rPr>
        <w:t>Para estos efectos, el oferente deberá acreditar los valores y magnitudes intervenidas dentro del respectivo contrato, empleando alguno de los documentos válidos establecidos en el numeral 3.5.5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r w:rsidRPr="009F7AF2">
        <w:rPr>
          <w:rFonts w:ascii="ArialMT" w:hAnsi="ArialMT"/>
          <w:sz w:val="20"/>
          <w:szCs w:val="20"/>
          <w:lang w:eastAsia="es-MX"/>
        </w:rPr>
        <w:t>.</w:t>
      </w:r>
      <w:r w:rsidR="0043034B" w:rsidRPr="009F7AF2">
        <w:rPr>
          <w:rFonts w:ascii="ArialMT" w:hAnsi="ArialMT"/>
          <w:sz w:val="20"/>
          <w:szCs w:val="20"/>
          <w:lang w:eastAsia="es-MX"/>
        </w:rPr>
        <w:t>»</w:t>
      </w:r>
    </w:p>
    <w:p w14:paraId="545D114F" w14:textId="3418BF52" w:rsidR="002E4DEF" w:rsidRPr="009F7AF2" w:rsidRDefault="002E4DEF" w:rsidP="009F7AF2">
      <w:pPr>
        <w:pStyle w:val="NormalWeb"/>
        <w:spacing w:after="120" w:afterAutospacing="0" w:line="276" w:lineRule="auto"/>
        <w:ind w:firstLine="709"/>
        <w:jc w:val="both"/>
        <w:rPr>
          <w:rFonts w:ascii="Arial" w:eastAsiaTheme="minorHAnsi" w:hAnsi="Arial" w:cs="Arial"/>
          <w:sz w:val="22"/>
          <w:szCs w:val="22"/>
          <w:lang w:val="es-MX" w:eastAsia="en-US"/>
        </w:rPr>
      </w:pPr>
      <w:r w:rsidRPr="009F7AF2">
        <w:rPr>
          <w:rFonts w:ascii="Arial" w:eastAsiaTheme="minorHAnsi" w:hAnsi="Arial" w:cs="Arial"/>
          <w:sz w:val="22"/>
          <w:szCs w:val="22"/>
          <w:lang w:val="es-MX" w:eastAsia="en-US"/>
        </w:rPr>
        <w:t>Esta última regla transcrita, no alude nuevamente al deber de los proponentes de acreditar las magnitudes intervenidas en los contratos aportados como experiencia, sino que además establece que s</w:t>
      </w:r>
      <w:r w:rsidR="0043034B" w:rsidRPr="009F7AF2">
        <w:rPr>
          <w:rFonts w:ascii="Arial" w:eastAsiaTheme="minorHAnsi" w:hAnsi="Arial" w:cs="Arial"/>
          <w:sz w:val="22"/>
          <w:szCs w:val="22"/>
          <w:lang w:val="es-MX" w:eastAsia="en-US"/>
        </w:rPr>
        <w:t>ó</w:t>
      </w:r>
      <w:r w:rsidRPr="009F7AF2">
        <w:rPr>
          <w:rFonts w:ascii="Arial" w:eastAsiaTheme="minorHAnsi" w:hAnsi="Arial" w:cs="Arial"/>
          <w:sz w:val="22"/>
          <w:szCs w:val="22"/>
          <w:lang w:val="es-MX" w:eastAsia="en-US"/>
        </w:rPr>
        <w:t xml:space="preserve">lo podrán ser tenidas en cuenta aquellas que correspondan a la infraestructura social requerida. Esto significa que, para la evaluación de experiencia con contratos en el marco de las cuales se hayan ejecutado varias actividades, de las cuales solo alguna o algunas se ajustan al requisito de experiencia exigible, la entidad solo podrá validar las áreas o valores relacionados con estas últimas, descartando las </w:t>
      </w:r>
      <w:r w:rsidRPr="009F7AF2">
        <w:rPr>
          <w:rFonts w:ascii="Arial" w:eastAsiaTheme="minorHAnsi" w:hAnsi="Arial" w:cs="Arial"/>
          <w:sz w:val="22"/>
          <w:szCs w:val="22"/>
          <w:lang w:val="es-MX" w:eastAsia="en-US"/>
        </w:rPr>
        <w:lastRenderedPageBreak/>
        <w:t xml:space="preserve">magnitudes que, sin perjuicio de que hayan sido efectivamente intervenidas, no se enmarquen en el requisito de experiencia.    </w:t>
      </w:r>
    </w:p>
    <w:p w14:paraId="116DEF99" w14:textId="7833AE7D" w:rsidR="002E4DEF" w:rsidRPr="009F7AF2" w:rsidRDefault="002E4DEF" w:rsidP="009F7AF2">
      <w:pPr>
        <w:pStyle w:val="NormalWeb"/>
        <w:spacing w:before="120" w:beforeAutospacing="0" w:after="120" w:afterAutospacing="0" w:line="276" w:lineRule="auto"/>
        <w:ind w:firstLine="708"/>
        <w:jc w:val="both"/>
        <w:rPr>
          <w:rFonts w:ascii="Arial" w:eastAsiaTheme="minorHAnsi" w:hAnsi="Arial" w:cs="Arial"/>
          <w:sz w:val="22"/>
          <w:szCs w:val="22"/>
          <w:lang w:val="es-MX" w:eastAsia="en-US"/>
        </w:rPr>
      </w:pPr>
      <w:r w:rsidRPr="009F7AF2">
        <w:rPr>
          <w:rFonts w:ascii="Arial" w:eastAsiaTheme="minorHAnsi" w:hAnsi="Arial" w:cs="Arial"/>
          <w:sz w:val="22"/>
          <w:szCs w:val="22"/>
          <w:lang w:val="es-MX" w:eastAsia="en-US"/>
        </w:rPr>
        <w:t>Así pues, según lo establecido en los numerales 3.5.2 –literal I– y 3.5.4–literal D–, los proponentes tienen el deber de acreditar los valores y magnitudes intervenidas dentro de los contratos que aportan, empleando alguno de los documentos válidos establecidos en el numeral 3.5.5 del Documento Base</w:t>
      </w:r>
      <w:r w:rsidR="003F42E8" w:rsidRPr="009F7AF2">
        <w:rPr>
          <w:rStyle w:val="Refdenotaalpie"/>
          <w:rFonts w:ascii="Arial" w:eastAsiaTheme="minorHAnsi" w:hAnsi="Arial" w:cs="Arial"/>
          <w:sz w:val="22"/>
          <w:szCs w:val="22"/>
          <w:lang w:val="es-MX" w:eastAsia="en-US"/>
        </w:rPr>
        <w:footnoteReference w:id="12"/>
      </w:r>
      <w:r w:rsidRPr="009F7AF2">
        <w:rPr>
          <w:rFonts w:ascii="Arial" w:eastAsiaTheme="minorHAnsi" w:hAnsi="Arial" w:cs="Arial"/>
          <w:sz w:val="22"/>
          <w:szCs w:val="22"/>
          <w:lang w:val="es-MX" w:eastAsia="en-US"/>
        </w:rPr>
        <w:t xml:space="preserve">. En todo caso, conforme se desprende del segundo inciso de la primera de estas reglas, en caso de que la documentación en principio aportada por el proponente no surjan con claridad cuáles son las magnitudes susceptibles de ser validadas para el cumplimiento del requisito de experiencia, la entidad deberá permitir la subsanación conforme a lo señalado en el numeral 1.6, oportunidad en la cual el proponente deberá aportar la información objeto de requerimiento mediante los documentos aludidos en el numeral 3.5.5, so pena de que el respectivo contrato no sea tenido en cuenta como experiencia. </w:t>
      </w:r>
    </w:p>
    <w:p w14:paraId="418D89A3" w14:textId="774C4D33" w:rsidR="002E4DEF" w:rsidRPr="009F7AF2" w:rsidRDefault="002E4DEF" w:rsidP="009F7AF2">
      <w:pPr>
        <w:pStyle w:val="NormalWeb"/>
        <w:spacing w:before="120" w:beforeAutospacing="0" w:after="0" w:afterAutospacing="0" w:line="276" w:lineRule="auto"/>
        <w:ind w:firstLine="708"/>
        <w:jc w:val="both"/>
        <w:rPr>
          <w:rFonts w:ascii="ArialMT" w:hAnsi="ArialMT"/>
          <w:sz w:val="22"/>
          <w:szCs w:val="22"/>
          <w:lang w:eastAsia="es-MX"/>
        </w:rPr>
      </w:pPr>
      <w:r w:rsidRPr="009F7AF2">
        <w:rPr>
          <w:rFonts w:ascii="Arial" w:eastAsiaTheme="minorHAnsi" w:hAnsi="Arial" w:cs="Arial"/>
          <w:sz w:val="22"/>
          <w:szCs w:val="22"/>
          <w:lang w:val="es-MX" w:eastAsia="en-US"/>
        </w:rPr>
        <w:t xml:space="preserve">En tales términos, es forzoso concluir que, en virtud de lo señalado en los numeral 3.5.2, literal I y 3.5.4, literal D, los proponentes se encuentran en el deber de acreditar los </w:t>
      </w:r>
      <w:r w:rsidRPr="009F7AF2">
        <w:rPr>
          <w:rFonts w:ascii="Arial" w:eastAsiaTheme="minorHAnsi" w:hAnsi="Arial" w:cs="Arial"/>
          <w:sz w:val="22"/>
          <w:szCs w:val="22"/>
          <w:lang w:val="es-MX" w:eastAsia="en-US"/>
        </w:rPr>
        <w:lastRenderedPageBreak/>
        <w:t xml:space="preserve">valores ejecutados y las magnitudes intervenidas en los contratos aportados como experiencia. </w:t>
      </w:r>
      <w:r w:rsidR="003F42E8" w:rsidRPr="009F7AF2">
        <w:rPr>
          <w:rFonts w:ascii="Arial" w:eastAsiaTheme="minorHAnsi" w:hAnsi="Arial" w:cs="Arial"/>
          <w:sz w:val="22"/>
          <w:szCs w:val="22"/>
          <w:lang w:val="es-MX" w:eastAsia="en-US"/>
        </w:rPr>
        <w:t>Así mismo,</w:t>
      </w:r>
      <w:r w:rsidRPr="009F7AF2">
        <w:rPr>
          <w:rFonts w:ascii="Arial" w:eastAsiaTheme="minorHAnsi" w:hAnsi="Arial" w:cs="Arial"/>
          <w:sz w:val="22"/>
          <w:szCs w:val="22"/>
          <w:lang w:val="es-MX" w:eastAsia="en-US"/>
        </w:rPr>
        <w:t xml:space="preserve"> </w:t>
      </w:r>
      <w:r w:rsidR="003F42E8" w:rsidRPr="009F7AF2">
        <w:rPr>
          <w:rFonts w:ascii="Arial" w:eastAsiaTheme="minorHAnsi" w:hAnsi="Arial" w:cs="Arial"/>
          <w:sz w:val="22"/>
          <w:szCs w:val="22"/>
          <w:lang w:val="es-MX" w:eastAsia="en-US"/>
        </w:rPr>
        <w:t xml:space="preserve">para </w:t>
      </w:r>
      <w:r w:rsidRPr="009F7AF2">
        <w:rPr>
          <w:rFonts w:ascii="Arial" w:eastAsiaTheme="minorHAnsi" w:hAnsi="Arial" w:cs="Arial"/>
          <w:sz w:val="22"/>
          <w:szCs w:val="22"/>
          <w:lang w:val="es-MX" w:eastAsia="en-US"/>
        </w:rPr>
        <w:t>el cumplimiento de los requisitos de experiencia planteados en términos de dimensionamiento, los proponentes</w:t>
      </w:r>
      <w:r w:rsidRPr="009F7AF2">
        <w:rPr>
          <w:rFonts w:ascii="ArialMT" w:hAnsi="ArialMT"/>
          <w:sz w:val="22"/>
          <w:szCs w:val="22"/>
          <w:lang w:eastAsia="es-MX"/>
        </w:rPr>
        <w:t xml:space="preserve"> deben acreditar </w:t>
      </w:r>
      <w:r w:rsidR="003F42E8" w:rsidRPr="009F7AF2">
        <w:rPr>
          <w:rFonts w:ascii="ArialMT" w:hAnsi="ArialMT"/>
          <w:sz w:val="22"/>
          <w:szCs w:val="22"/>
          <w:lang w:eastAsia="es-MX"/>
        </w:rPr>
        <w:t>que</w:t>
      </w:r>
      <w:r w:rsidR="00A43E87" w:rsidRPr="009F7AF2">
        <w:rPr>
          <w:rFonts w:ascii="ArialMT" w:hAnsi="ArialMT"/>
          <w:sz w:val="22"/>
          <w:szCs w:val="22"/>
          <w:lang w:eastAsia="es-MX"/>
        </w:rPr>
        <w:t>,</w:t>
      </w:r>
      <w:r w:rsidR="003F42E8" w:rsidRPr="009F7AF2">
        <w:rPr>
          <w:rFonts w:ascii="ArialMT" w:hAnsi="ArialMT"/>
          <w:sz w:val="22"/>
          <w:szCs w:val="22"/>
          <w:lang w:eastAsia="es-MX"/>
        </w:rPr>
        <w:t xml:space="preserve"> </w:t>
      </w:r>
      <w:r w:rsidRPr="009F7AF2">
        <w:rPr>
          <w:rFonts w:ascii="ArialMT" w:hAnsi="ArialMT"/>
          <w:sz w:val="22"/>
          <w:szCs w:val="22"/>
          <w:lang w:eastAsia="es-MX"/>
        </w:rPr>
        <w:t>el alcance físico de las actividades ejecutadas en dichos contratos</w:t>
      </w:r>
      <w:r w:rsidR="005F2BC6" w:rsidRPr="009F7AF2">
        <w:rPr>
          <w:rFonts w:ascii="ArialMT" w:hAnsi="ArialMT"/>
          <w:sz w:val="22"/>
          <w:szCs w:val="22"/>
          <w:lang w:eastAsia="es-MX"/>
        </w:rPr>
        <w:t>,</w:t>
      </w:r>
      <w:r w:rsidRPr="009F7AF2">
        <w:rPr>
          <w:rFonts w:ascii="ArialMT" w:hAnsi="ArialMT"/>
          <w:sz w:val="22"/>
          <w:szCs w:val="22"/>
          <w:lang w:eastAsia="es-MX"/>
        </w:rPr>
        <w:t xml:space="preserve"> se ajusten al requisito de experiencia, de suerte que para establecer si se cumple o con el requisito, deberán ser descontadas las áreas o longitudes en las se ejecutaron obras o actividades que no coincidan con el requerimiento establecido en la matriz. </w:t>
      </w:r>
    </w:p>
    <w:p w14:paraId="254FA55E" w14:textId="0E050B16" w:rsidR="003C3664" w:rsidRPr="009F7AF2" w:rsidRDefault="003C3664" w:rsidP="009F7AF2">
      <w:pPr>
        <w:spacing w:before="240" w:after="24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 xml:space="preserve">Finalmente, por ser relevante para efectos de la consulta, es importante precisar que la Matriz - Experiencia para Proyectos de Infraestructura Social para el Sector Cultura, Recreación y Deporte, establece las </w:t>
      </w:r>
      <w:r w:rsidRPr="009F7AF2">
        <w:rPr>
          <w:rFonts w:ascii="Arial" w:hAnsi="Arial" w:cs="Arial"/>
          <w:i/>
          <w:iCs/>
          <w:color w:val="000000"/>
          <w:sz w:val="21"/>
          <w:szCs w:val="21"/>
        </w:rPr>
        <w:t>«</w:t>
      </w:r>
      <w:r w:rsidRPr="009F7AF2">
        <w:rPr>
          <w:rFonts w:ascii="Arial" w:eastAsia="Calibri" w:hAnsi="Arial" w:cs="Arial"/>
          <w:i/>
          <w:iCs/>
          <w:sz w:val="22"/>
          <w:lang w:val="es-ES_tradnl"/>
        </w:rPr>
        <w:t xml:space="preserve">Reglas para definir la experiencia exigible en el </w:t>
      </w:r>
      <w:r w:rsidR="00A66B2C" w:rsidRPr="009F7AF2">
        <w:rPr>
          <w:rFonts w:ascii="Arial" w:eastAsia="Calibri" w:hAnsi="Arial" w:cs="Arial"/>
          <w:i/>
          <w:iCs/>
          <w:sz w:val="22"/>
          <w:lang w:val="es-ES_tradnl"/>
        </w:rPr>
        <w:t>Proceso de Contratación</w:t>
      </w:r>
      <w:r w:rsidRPr="009F7AF2">
        <w:rPr>
          <w:rFonts w:ascii="Arial" w:hAnsi="Arial" w:cs="Arial"/>
          <w:i/>
          <w:iCs/>
          <w:color w:val="000000"/>
          <w:sz w:val="21"/>
          <w:szCs w:val="21"/>
        </w:rPr>
        <w:t>»</w:t>
      </w:r>
      <w:r w:rsidRPr="009F7AF2">
        <w:rPr>
          <w:rFonts w:ascii="Arial" w:hAnsi="Arial" w:cs="Arial"/>
          <w:color w:val="000000"/>
          <w:sz w:val="21"/>
          <w:szCs w:val="21"/>
        </w:rPr>
        <w:t xml:space="preserve"> de la siguiente manera</w:t>
      </w:r>
      <w:r w:rsidRPr="009F7AF2">
        <w:rPr>
          <w:rFonts w:ascii="Arial" w:eastAsia="Calibri" w:hAnsi="Arial" w:cs="Arial"/>
          <w:sz w:val="22"/>
          <w:lang w:val="es-ES_tradnl"/>
        </w:rPr>
        <w:t>:</w:t>
      </w:r>
    </w:p>
    <w:p w14:paraId="3C5E5F8A" w14:textId="40A36A58" w:rsidR="003C3664" w:rsidRPr="009F7AF2" w:rsidRDefault="003C3664" w:rsidP="009F7AF2">
      <w:pPr>
        <w:ind w:left="709" w:right="851"/>
        <w:jc w:val="both"/>
        <w:rPr>
          <w:rFonts w:ascii="Arial" w:eastAsia="Calibri" w:hAnsi="Arial" w:cs="Arial"/>
          <w:sz w:val="22"/>
          <w:lang w:val="es-ES_tradnl"/>
        </w:rPr>
      </w:pPr>
      <w:r w:rsidRPr="009F7AF2">
        <w:rPr>
          <w:rFonts w:ascii="Arial" w:eastAsia="Calibri" w:hAnsi="Arial" w:cs="Arial"/>
          <w:sz w:val="21"/>
          <w:szCs w:val="21"/>
          <w:lang w:val="es-ES_tradnl"/>
        </w:rPr>
        <w:t xml:space="preserve">A la </w:t>
      </w:r>
      <w:r w:rsidR="00A66B2C" w:rsidRPr="009F7AF2">
        <w:rPr>
          <w:rFonts w:ascii="Arial" w:eastAsia="Calibri" w:hAnsi="Arial" w:cs="Arial"/>
          <w:sz w:val="21"/>
          <w:szCs w:val="21"/>
          <w:lang w:val="es-ES_tradnl"/>
        </w:rPr>
        <w:t>Entidad Estatal</w:t>
      </w:r>
      <w:r w:rsidRPr="009F7AF2">
        <w:rPr>
          <w:rFonts w:ascii="Arial" w:eastAsia="Calibri" w:hAnsi="Arial" w:cs="Arial"/>
          <w:sz w:val="21"/>
          <w:szCs w:val="21"/>
          <w:lang w:val="es-ES_tradnl"/>
        </w:rPr>
        <w:t xml:space="preserve"> le corresponde definir la experiencia general y la experiencia especifica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de acuerdo con la Matriz – Experiencia "Sector cultura, recreación y deporte", teniendo en cuenta las siguientes reglas</w:t>
      </w:r>
      <w:r w:rsidRPr="009F7AF2">
        <w:rPr>
          <w:rFonts w:ascii="Arial" w:eastAsia="Calibri" w:hAnsi="Arial" w:cs="Arial"/>
          <w:sz w:val="22"/>
          <w:lang w:val="es-ES_tradnl"/>
        </w:rPr>
        <w:t xml:space="preserve">: </w:t>
      </w:r>
    </w:p>
    <w:p w14:paraId="6C41C14C" w14:textId="77777777" w:rsidR="00F6708C" w:rsidRPr="009F7AF2" w:rsidRDefault="00F6708C" w:rsidP="009F7AF2">
      <w:pPr>
        <w:ind w:left="709" w:right="851"/>
        <w:jc w:val="both"/>
        <w:rPr>
          <w:rFonts w:ascii="Arial" w:eastAsia="Calibri" w:hAnsi="Arial" w:cs="Arial"/>
          <w:sz w:val="22"/>
          <w:lang w:val="es-ES_tradnl"/>
        </w:rPr>
      </w:pPr>
    </w:p>
    <w:p w14:paraId="64BC9795" w14:textId="4A1A71CE"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 La Entidad Estatal no puede modificar, omitir o adicionar las actividades de la experiencia general y especifica definidas en la Matriz – Experiencia "Sector cultura, recreación y deporte" para cada “actividad a contratar”. Igual previsión aplica para el “% DE DIMENSIONAMIENTO (Según la longitud requerida en 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w:t>
      </w:r>
    </w:p>
    <w:p w14:paraId="19DAB447" w14:textId="77777777" w:rsidR="00F6708C" w:rsidRPr="009F7AF2" w:rsidRDefault="00F6708C" w:rsidP="009F7AF2">
      <w:pPr>
        <w:ind w:left="709" w:right="851"/>
        <w:jc w:val="both"/>
        <w:rPr>
          <w:rFonts w:ascii="Arial" w:eastAsia="Calibri" w:hAnsi="Arial" w:cs="Arial"/>
          <w:sz w:val="21"/>
          <w:szCs w:val="21"/>
          <w:lang w:val="es-ES_tradnl"/>
        </w:rPr>
      </w:pPr>
    </w:p>
    <w:p w14:paraId="2F795E22" w14:textId="31A1738D"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ii) “Experiencia General”: la experiencia general que solicite la entidad debe respetar toda la descripción prevista en la Matriz – Experiencia "Sector cultura, recreación y deporte" para la “actividad a contratar”, incluidas las Notas aclaratorias. </w:t>
      </w:r>
    </w:p>
    <w:p w14:paraId="5E1D0DC6" w14:textId="77777777" w:rsidR="003C3664" w:rsidRPr="009F7AF2" w:rsidRDefault="003C3664" w:rsidP="009F7AF2">
      <w:pPr>
        <w:ind w:left="709" w:right="851"/>
        <w:jc w:val="both"/>
        <w:rPr>
          <w:rFonts w:ascii="Arial" w:eastAsia="Calibri" w:hAnsi="Arial" w:cs="Arial"/>
          <w:sz w:val="21"/>
          <w:szCs w:val="21"/>
          <w:lang w:val="es-ES_tradnl"/>
        </w:rPr>
      </w:pPr>
    </w:p>
    <w:p w14:paraId="1BA65374" w14:textId="7BA202D8"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iii) “Experiencia Específica”: la entidad debe solicitar experiencia especifica cuando la Matriz – Experiencia "Sector cultura, recreación y deporte" lo exija, teniendo en cuenta las siguientes variables: a) “tipo de infraestructura”, b) “actividad a contratar” y c) “cuantías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w:t>
      </w:r>
    </w:p>
    <w:p w14:paraId="56DC398B" w14:textId="77777777" w:rsidR="003C3664" w:rsidRPr="009F7AF2" w:rsidRDefault="003C3664" w:rsidP="009F7AF2">
      <w:pPr>
        <w:ind w:left="709" w:right="851"/>
        <w:jc w:val="both"/>
        <w:rPr>
          <w:rFonts w:ascii="Arial" w:eastAsia="Calibri" w:hAnsi="Arial" w:cs="Arial"/>
          <w:sz w:val="21"/>
          <w:szCs w:val="21"/>
          <w:lang w:val="es-ES_tradnl"/>
        </w:rPr>
      </w:pPr>
    </w:p>
    <w:p w14:paraId="7BA1E16C" w14:textId="139DD16F"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iv)  Cuando el objeto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contemple la ejecución de una sola “actividad a contratar”, la </w:t>
      </w:r>
      <w:r w:rsidR="00A66B2C" w:rsidRPr="009F7AF2">
        <w:rPr>
          <w:rFonts w:ascii="Arial" w:eastAsia="Calibri" w:hAnsi="Arial" w:cs="Arial"/>
          <w:sz w:val="21"/>
          <w:szCs w:val="21"/>
          <w:lang w:val="es-ES_tradnl"/>
        </w:rPr>
        <w:t>Entidad Estatal</w:t>
      </w:r>
      <w:r w:rsidRPr="009F7AF2">
        <w:rPr>
          <w:rFonts w:ascii="Arial" w:eastAsia="Calibri" w:hAnsi="Arial" w:cs="Arial"/>
          <w:sz w:val="21"/>
          <w:szCs w:val="21"/>
          <w:lang w:val="es-ES_tradnl"/>
        </w:rPr>
        <w:t xml:space="preserve">, de acuerdo con la Matriz – Experiencia "Sector cultura, recreación y deporte", tendrá qué solicitar la experiencia general y la experiencia específica, cuando la cuantía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lo exija acorde con el “rango en SMMLV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Es decir, en este caso la entidad tiene que solicitar tanto la experiencia general como la experiencia específica en las condiciones previstas en la Matriz - Experiencia "Sector cultura, recreación y deporte" para </w:t>
      </w:r>
      <w:r w:rsidRPr="009F7AF2">
        <w:rPr>
          <w:rFonts w:ascii="Arial" w:eastAsia="Calibri" w:hAnsi="Arial" w:cs="Arial"/>
          <w:sz w:val="21"/>
          <w:szCs w:val="21"/>
          <w:lang w:val="es-ES_tradnl"/>
        </w:rPr>
        <w:lastRenderedPageBreak/>
        <w:t>la correspondiente actividad a contratar y solo prescindirá de la experiencia especifica cuando la Matriz - Experiencia "Sector cultura, recreación y deporte" así lo indique.</w:t>
      </w:r>
    </w:p>
    <w:p w14:paraId="6ED7025F" w14:textId="4982DF90" w:rsidR="003C3664" w:rsidRPr="009F7AF2" w:rsidRDefault="003C3664" w:rsidP="009F7AF2">
      <w:pPr>
        <w:ind w:left="709" w:right="851"/>
        <w:jc w:val="both"/>
        <w:rPr>
          <w:rFonts w:ascii="Arial" w:eastAsia="Calibri" w:hAnsi="Arial" w:cs="Arial"/>
          <w:sz w:val="21"/>
          <w:szCs w:val="21"/>
          <w:lang w:val="es-ES_tradnl"/>
        </w:rPr>
      </w:pPr>
    </w:p>
    <w:p w14:paraId="2936DB85" w14:textId="5E9CF33E"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v)  Para identificar la experiencia exigible de un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la </w:t>
      </w:r>
      <w:r w:rsidR="00A66B2C" w:rsidRPr="009F7AF2">
        <w:rPr>
          <w:rFonts w:ascii="Arial" w:eastAsia="Calibri" w:hAnsi="Arial" w:cs="Arial"/>
          <w:sz w:val="21"/>
          <w:szCs w:val="21"/>
          <w:lang w:val="es-ES_tradnl"/>
        </w:rPr>
        <w:t>Entidad Estatal</w:t>
      </w:r>
      <w:r w:rsidRPr="009F7AF2">
        <w:rPr>
          <w:rFonts w:ascii="Arial" w:eastAsia="Calibri" w:hAnsi="Arial" w:cs="Arial"/>
          <w:sz w:val="21"/>
          <w:szCs w:val="21"/>
          <w:lang w:val="es-ES_tradnl"/>
        </w:rPr>
        <w:t xml:space="preserve"> debe tener en cuenta: i) el alcance del objeto a contratar, ii) el tipo de infraestructura, iii) las actividades a contratar” definidas en la Matriz- Experiencia "Sector cultura, recreación y deporte" y iv) la cuantía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Por lo tanto, debe seguir los siguientes pasos: </w:t>
      </w:r>
    </w:p>
    <w:p w14:paraId="38903E48" w14:textId="77777777" w:rsidR="003C3664" w:rsidRPr="009F7AF2" w:rsidRDefault="003C3664" w:rsidP="009F7AF2">
      <w:pPr>
        <w:ind w:left="709" w:right="851"/>
        <w:jc w:val="both"/>
        <w:rPr>
          <w:rFonts w:ascii="Arial" w:eastAsia="Calibri" w:hAnsi="Arial" w:cs="Arial"/>
          <w:sz w:val="21"/>
          <w:szCs w:val="21"/>
          <w:lang w:val="es-ES_tradnl"/>
        </w:rPr>
      </w:pPr>
    </w:p>
    <w:p w14:paraId="10B21624" w14:textId="77777777"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a) Identificar en la Matriz - Experiencia "Sector cultura, recreación y deporte", el tipo de infraestructura sobre el cual recae la obra. </w:t>
      </w:r>
    </w:p>
    <w:p w14:paraId="1B082F95" w14:textId="77777777" w:rsidR="003C3664" w:rsidRPr="009F7AF2" w:rsidRDefault="003C3664" w:rsidP="009F7AF2">
      <w:pPr>
        <w:ind w:left="709" w:right="851"/>
        <w:jc w:val="both"/>
        <w:rPr>
          <w:rFonts w:ascii="Arial" w:eastAsia="Calibri" w:hAnsi="Arial" w:cs="Arial"/>
          <w:sz w:val="21"/>
          <w:szCs w:val="21"/>
          <w:lang w:val="es-ES_tradnl"/>
        </w:rPr>
      </w:pPr>
    </w:p>
    <w:p w14:paraId="24162C11" w14:textId="77777777"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b) Identificar la “ACTIVIDAD A CONTRATAR” acorde con la Matriz - Experiencia "Sector cultura, recreación y deporte". </w:t>
      </w:r>
    </w:p>
    <w:p w14:paraId="01A53FDA" w14:textId="77777777" w:rsidR="003C3664" w:rsidRPr="009F7AF2" w:rsidRDefault="003C3664" w:rsidP="009F7AF2">
      <w:pPr>
        <w:ind w:left="709" w:right="851"/>
        <w:jc w:val="both"/>
        <w:rPr>
          <w:rFonts w:ascii="Arial" w:eastAsia="Calibri" w:hAnsi="Arial" w:cs="Arial"/>
          <w:sz w:val="21"/>
          <w:szCs w:val="21"/>
          <w:lang w:val="es-ES_tradnl"/>
        </w:rPr>
      </w:pPr>
    </w:p>
    <w:p w14:paraId="3B8F4019" w14:textId="34D715A7"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c) Identificar el rango de las “Cuantías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de acuerdo con el presupuesto oficial. </w:t>
      </w:r>
    </w:p>
    <w:p w14:paraId="019AD7E1" w14:textId="77777777" w:rsidR="003C3664" w:rsidRPr="009F7AF2" w:rsidRDefault="003C3664" w:rsidP="009F7AF2">
      <w:pPr>
        <w:ind w:left="709" w:right="851"/>
        <w:jc w:val="both"/>
        <w:rPr>
          <w:rFonts w:ascii="Arial" w:eastAsia="Calibri" w:hAnsi="Arial" w:cs="Arial"/>
          <w:sz w:val="21"/>
          <w:szCs w:val="21"/>
          <w:lang w:val="es-ES_tradnl"/>
        </w:rPr>
      </w:pPr>
    </w:p>
    <w:p w14:paraId="3CC76444" w14:textId="063EAF89"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d) Identificar la “experiencia general” y la “experiencia específica” exigible acorde con la Matriz - Experiencia "Sector cultura, recreación y deporte" teniendo en cuenta la “actividad a contratar” y el rango de la cuantía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w:t>
      </w:r>
    </w:p>
    <w:p w14:paraId="704AD678" w14:textId="77777777" w:rsidR="00224504" w:rsidRPr="009F7AF2" w:rsidRDefault="00224504" w:rsidP="009F7AF2">
      <w:pPr>
        <w:ind w:left="709" w:right="851"/>
        <w:jc w:val="both"/>
        <w:rPr>
          <w:rFonts w:ascii="Arial" w:eastAsia="Calibri" w:hAnsi="Arial" w:cs="Arial"/>
          <w:sz w:val="21"/>
          <w:szCs w:val="21"/>
          <w:lang w:val="es-ES_tradnl"/>
        </w:rPr>
      </w:pPr>
    </w:p>
    <w:p w14:paraId="6C18CA24" w14:textId="25C22823"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vi) Cuando el objeto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contemple la ejecución de dos o más “Actividades a Contratar” (ej.: 1.1 y 2.1), la entidad procederá de acuerdo con lo indicado en el Documento Base en relación con la combinación de experiencia.</w:t>
      </w:r>
    </w:p>
    <w:p w14:paraId="71900BAF" w14:textId="071D71E3" w:rsidR="006C6355" w:rsidRPr="009F7AF2" w:rsidRDefault="006C6355" w:rsidP="009F7AF2">
      <w:pPr>
        <w:pStyle w:val="NormalWeb"/>
        <w:spacing w:before="0" w:beforeAutospacing="0" w:after="0" w:afterAutospacing="0"/>
        <w:rPr>
          <w:rFonts w:ascii="ArialMT" w:hAnsi="ArialMT"/>
          <w:b/>
          <w:bCs/>
          <w:sz w:val="22"/>
          <w:szCs w:val="22"/>
          <w:lang w:eastAsia="es-MX"/>
        </w:rPr>
      </w:pPr>
    </w:p>
    <w:p w14:paraId="66A007C5" w14:textId="628E9834" w:rsidR="006C6355" w:rsidRPr="009F7AF2" w:rsidRDefault="006C6355" w:rsidP="009F7AF2">
      <w:pPr>
        <w:pStyle w:val="NormalWeb"/>
        <w:spacing w:before="0" w:beforeAutospacing="0" w:after="0" w:afterAutospacing="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Conforme a lo anterior, y a la regla de inalterabilidad de los documentos tipo</w:t>
      </w:r>
      <w:r w:rsidR="009A4E7A" w:rsidRPr="009F7AF2">
        <w:rPr>
          <w:rFonts w:ascii="Arial" w:eastAsia="Calibri" w:hAnsi="Arial" w:cs="Arial"/>
          <w:sz w:val="22"/>
          <w:lang w:val="es-ES_tradnl"/>
        </w:rPr>
        <w:t>,</w:t>
      </w:r>
      <w:r w:rsidRPr="009F7AF2">
        <w:rPr>
          <w:rFonts w:ascii="Arial" w:hAnsi="Arial" w:cs="Arial"/>
          <w:sz w:val="22"/>
          <w:szCs w:val="22"/>
        </w:rPr>
        <w:t xml:space="preserve"> la</w:t>
      </w:r>
      <w:r w:rsidR="009A4E7A" w:rsidRPr="009F7AF2">
        <w:rPr>
          <w:rFonts w:ascii="Arial" w:hAnsi="Arial" w:cs="Arial"/>
          <w:sz w:val="22"/>
          <w:szCs w:val="22"/>
        </w:rPr>
        <w:t>s</w:t>
      </w:r>
      <w:r w:rsidRPr="009F7AF2">
        <w:rPr>
          <w:rFonts w:ascii="Arial" w:hAnsi="Arial" w:cs="Arial"/>
          <w:sz w:val="22"/>
          <w:szCs w:val="22"/>
        </w:rPr>
        <w:t xml:space="preserve"> entidades </w:t>
      </w:r>
      <w:r w:rsidR="009A4E7A" w:rsidRPr="009F7AF2">
        <w:rPr>
          <w:rFonts w:ascii="Arial" w:hAnsi="Arial" w:cs="Arial"/>
          <w:sz w:val="22"/>
          <w:szCs w:val="22"/>
        </w:rPr>
        <w:t xml:space="preserve">deberán establecer los factores de </w:t>
      </w:r>
      <w:r w:rsidR="009A4E7A" w:rsidRPr="009F7AF2">
        <w:rPr>
          <w:rFonts w:ascii="Arial" w:eastAsia="Calibri" w:hAnsi="Arial" w:cs="Arial"/>
          <w:sz w:val="22"/>
          <w:lang w:val="es-ES_tradnl"/>
        </w:rPr>
        <w:t>experiencia exigibles en los procesos de contratación</w:t>
      </w:r>
      <w:r w:rsidR="009A4E7A" w:rsidRPr="009F7AF2">
        <w:rPr>
          <w:rFonts w:ascii="Arial" w:hAnsi="Arial" w:cs="Arial"/>
          <w:sz w:val="22"/>
          <w:szCs w:val="22"/>
        </w:rPr>
        <w:t xml:space="preserve"> </w:t>
      </w:r>
      <w:r w:rsidR="009A4E7A" w:rsidRPr="009F7AF2">
        <w:rPr>
          <w:rFonts w:ascii="Arial" w:eastAsia="Calibri" w:hAnsi="Arial" w:cs="Arial"/>
          <w:sz w:val="22"/>
          <w:lang w:val="es-ES_tradnl"/>
        </w:rPr>
        <w:t>para Proyectos de Infraestructura Social para el Sector Cultura, Recreación y Deporte</w:t>
      </w:r>
      <w:r w:rsidR="009A4E7A" w:rsidRPr="009F7AF2">
        <w:rPr>
          <w:rFonts w:ascii="Arial" w:hAnsi="Arial" w:cs="Arial"/>
          <w:sz w:val="22"/>
          <w:szCs w:val="22"/>
        </w:rPr>
        <w:t xml:space="preserve"> con absoluto apego a dichas reglas. </w:t>
      </w:r>
    </w:p>
    <w:p w14:paraId="37A48FD9" w14:textId="77777777" w:rsidR="006C6355" w:rsidRPr="009F7AF2" w:rsidRDefault="006C6355" w:rsidP="009F7AF2">
      <w:pPr>
        <w:pStyle w:val="NormalWeb"/>
        <w:spacing w:before="0" w:beforeAutospacing="0" w:after="0" w:afterAutospacing="0" w:line="276" w:lineRule="auto"/>
        <w:ind w:firstLine="709"/>
        <w:jc w:val="both"/>
        <w:rPr>
          <w:rFonts w:ascii="Arial" w:eastAsia="Calibri" w:hAnsi="Arial" w:cs="Arial"/>
          <w:sz w:val="22"/>
          <w:lang w:val="es-ES_tradnl"/>
        </w:rPr>
      </w:pPr>
    </w:p>
    <w:p w14:paraId="52C3E587" w14:textId="7E9164A5" w:rsidR="006C6355" w:rsidRPr="009F7AF2" w:rsidRDefault="006C6355" w:rsidP="009F7AF2">
      <w:pPr>
        <w:spacing w:line="276" w:lineRule="auto"/>
        <w:jc w:val="both"/>
        <w:rPr>
          <w:rFonts w:ascii="Arial" w:eastAsia="Calibri" w:hAnsi="Arial" w:cs="Arial"/>
          <w:b/>
          <w:bCs/>
          <w:sz w:val="22"/>
          <w:lang w:val="es-ES" w:eastAsia="es-ES"/>
        </w:rPr>
      </w:pPr>
      <w:r w:rsidRPr="009F7AF2">
        <w:rPr>
          <w:rFonts w:ascii="Arial" w:eastAsia="Calibri" w:hAnsi="Arial" w:cs="Arial"/>
          <w:b/>
          <w:bCs/>
          <w:sz w:val="22"/>
          <w:lang w:val="es-ES" w:eastAsia="es-ES"/>
        </w:rPr>
        <w:t>2.5. Bienes, obras y/o servicios adicionales a la obra p</w:t>
      </w:r>
      <w:r w:rsidRPr="009F7AF2">
        <w:rPr>
          <w:rFonts w:ascii="Arial" w:eastAsia="Calibri" w:hAnsi="Arial" w:cs="Arial" w:hint="eastAsia"/>
          <w:b/>
          <w:bCs/>
          <w:sz w:val="22"/>
          <w:lang w:val="es-ES" w:eastAsia="es-ES"/>
        </w:rPr>
        <w:t>ú</w:t>
      </w:r>
      <w:r w:rsidRPr="009F7AF2">
        <w:rPr>
          <w:rFonts w:ascii="Arial" w:eastAsia="Calibri" w:hAnsi="Arial" w:cs="Arial"/>
          <w:b/>
          <w:bCs/>
          <w:sz w:val="22"/>
          <w:lang w:val="es-ES" w:eastAsia="es-ES"/>
        </w:rPr>
        <w:t>blica de infraestructura social, combinación de experiencia y acreditación de magnitudes intervenidas</w:t>
      </w:r>
    </w:p>
    <w:p w14:paraId="40493E64" w14:textId="77777777" w:rsidR="006C6355" w:rsidRPr="009F7AF2" w:rsidRDefault="006C6355" w:rsidP="009F7AF2">
      <w:pPr>
        <w:pStyle w:val="NormalWeb"/>
        <w:spacing w:before="0" w:beforeAutospacing="0" w:after="0" w:afterAutospacing="0"/>
        <w:jc w:val="both"/>
        <w:rPr>
          <w:rFonts w:ascii="ArialMT" w:hAnsi="ArialMT"/>
          <w:b/>
          <w:bCs/>
          <w:sz w:val="22"/>
          <w:szCs w:val="22"/>
          <w:lang w:eastAsia="es-MX"/>
        </w:rPr>
      </w:pPr>
    </w:p>
    <w:p w14:paraId="6210E840" w14:textId="77777777" w:rsidR="006C6355" w:rsidRPr="009F7AF2" w:rsidRDefault="006C6355" w:rsidP="009F7AF2">
      <w:pPr>
        <w:spacing w:after="120" w:line="276" w:lineRule="auto"/>
        <w:jc w:val="both"/>
        <w:rPr>
          <w:rFonts w:ascii="Arial" w:eastAsia="Calibri" w:hAnsi="Arial" w:cs="Arial"/>
          <w:sz w:val="22"/>
        </w:rPr>
      </w:pPr>
      <w:r w:rsidRPr="009F7AF2">
        <w:rPr>
          <w:rFonts w:ascii="Arial" w:eastAsia="Calibri" w:hAnsi="Arial" w:cs="Arial"/>
          <w:sz w:val="22"/>
        </w:rPr>
        <w:t xml:space="preserve">Según el parágrafo 2 del artículo 1 de la Resolución 219 de 2021, los documentos tipo para licitación pública de infraestructura social </w:t>
      </w:r>
      <w:r w:rsidRPr="009F7AF2">
        <w:rPr>
          <w:rFonts w:ascii="Arial" w:hAnsi="Arial" w:cs="Arial"/>
          <w:i/>
          <w:iCs/>
          <w:sz w:val="21"/>
          <w:szCs w:val="21"/>
        </w:rPr>
        <w:t xml:space="preserve">«[…] </w:t>
      </w:r>
      <w:r w:rsidRPr="009F7AF2">
        <w:rPr>
          <w:rFonts w:ascii="Arial" w:eastAsia="Calibri" w:hAnsi="Arial" w:cs="Arial"/>
          <w:i/>
          <w:iCs/>
          <w:sz w:val="22"/>
        </w:rPr>
        <w:t xml:space="preserve">aplicarán  a  los  proyectos  de  infraestructura  social,  tales como, sector educativo, sector salud y sector cultural,  recreación y deporte, de conformidad con cada una de las resoluciones que expida la Agencia Nacional de Contratación Pública -Colombia Compra  Eficiente-,  donde  se  </w:t>
      </w:r>
      <w:r w:rsidRPr="009F7AF2">
        <w:rPr>
          <w:rFonts w:ascii="Arial" w:eastAsia="Calibri" w:hAnsi="Arial" w:cs="Arial"/>
          <w:i/>
          <w:iCs/>
          <w:sz w:val="22"/>
        </w:rPr>
        <w:lastRenderedPageBreak/>
        <w:t>precisará  el  alcance  concreto  de  estos  documentos  tipo;  sin perjuicio de que se incluyan otros tipos de infraestructura social.</w:t>
      </w:r>
      <w:r w:rsidRPr="009F7AF2">
        <w:rPr>
          <w:rFonts w:ascii="Arial" w:hAnsi="Arial" w:cs="Arial"/>
          <w:i/>
          <w:iCs/>
          <w:sz w:val="21"/>
          <w:szCs w:val="21"/>
        </w:rPr>
        <w:t>»</w:t>
      </w:r>
      <w:r w:rsidRPr="009F7AF2">
        <w:rPr>
          <w:rFonts w:ascii="Arial" w:eastAsia="Calibri" w:hAnsi="Arial" w:cs="Arial"/>
          <w:sz w:val="22"/>
        </w:rPr>
        <w:t xml:space="preserve"> </w:t>
      </w:r>
    </w:p>
    <w:p w14:paraId="3DAAD4BD" w14:textId="12CFCDF9" w:rsidR="006C6355" w:rsidRPr="009F7AF2" w:rsidRDefault="006C6355" w:rsidP="009F7AF2">
      <w:pPr>
        <w:spacing w:after="120" w:line="276" w:lineRule="auto"/>
        <w:ind w:firstLine="708"/>
        <w:jc w:val="both"/>
        <w:rPr>
          <w:rFonts w:ascii="Arial" w:eastAsia="Calibri" w:hAnsi="Arial" w:cs="Arial"/>
          <w:sz w:val="22"/>
        </w:rPr>
      </w:pPr>
      <w:r w:rsidRPr="009F7AF2">
        <w:rPr>
          <w:rFonts w:ascii="Arial" w:eastAsia="Calibri" w:hAnsi="Arial" w:cs="Arial"/>
          <w:sz w:val="22"/>
        </w:rPr>
        <w:t>Una excepción a la regla anterior se encuentra prevista en el artículo 4 de la Resolución 219 de 2021, según el cual, para aquellos casos en los que, en el alcance de contratos principalmente dirigidos a la ejecución de obras de infraestructura social, se incluyen bienes o servicios adicionales o ajenos a este tipo de obras</w:t>
      </w:r>
      <w:r w:rsidRPr="009F7AF2">
        <w:rPr>
          <w:rStyle w:val="Refdenotaalpie"/>
          <w:rFonts w:ascii="Arial" w:eastAsia="Calibri" w:hAnsi="Arial" w:cs="Arial"/>
          <w:sz w:val="22"/>
        </w:rPr>
        <w:footnoteReference w:id="13"/>
      </w:r>
      <w:r w:rsidRPr="009F7AF2">
        <w:rPr>
          <w:rFonts w:ascii="Arial" w:eastAsia="Calibri" w:hAnsi="Arial" w:cs="Arial"/>
          <w:sz w:val="22"/>
        </w:rPr>
        <w:t xml:space="preserve">. Estos son definidos por el parágrafo 2 de dicho artículo como </w:t>
      </w:r>
      <w:r w:rsidRPr="009F7AF2">
        <w:rPr>
          <w:rFonts w:ascii="Arial" w:eastAsia="Calibri" w:hAnsi="Arial" w:cs="Arial"/>
          <w:i/>
          <w:iCs/>
          <w:sz w:val="22"/>
        </w:rPr>
        <w:t xml:space="preserve">«[…] </w:t>
      </w:r>
      <w:r w:rsidRPr="009F7AF2">
        <w:rPr>
          <w:rFonts w:ascii="Arial" w:hAnsi="Arial" w:cs="Arial"/>
          <w:i/>
          <w:iCs/>
          <w:sz w:val="22"/>
        </w:rPr>
        <w:t xml:space="preserve">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w:t>
      </w:r>
      <w:r w:rsidRPr="009F7AF2">
        <w:rPr>
          <w:rFonts w:ascii="Arial" w:hAnsi="Arial" w:cs="Arial"/>
          <w:i/>
          <w:iCs/>
          <w:sz w:val="22"/>
        </w:rPr>
        <w:lastRenderedPageBreak/>
        <w:t>pública en infraestructura de agua potable y saneamiento básico o las actividades de obra pública de infraestructura de transporte»</w:t>
      </w:r>
      <w:r w:rsidRPr="009F7AF2">
        <w:rPr>
          <w:rFonts w:ascii="Arial" w:hAnsi="Arial" w:cs="Arial"/>
          <w:sz w:val="22"/>
        </w:rPr>
        <w:t xml:space="preserve">. </w:t>
      </w:r>
    </w:p>
    <w:p w14:paraId="5DB0294E" w14:textId="66098AB6" w:rsidR="006C6355" w:rsidRPr="009F7AF2" w:rsidRDefault="006C6355" w:rsidP="009F7AF2">
      <w:pPr>
        <w:spacing w:after="120" w:line="276" w:lineRule="auto"/>
        <w:ind w:firstLine="708"/>
        <w:jc w:val="both"/>
        <w:rPr>
          <w:rFonts w:ascii="Arial" w:eastAsia="Calibri" w:hAnsi="Arial" w:cs="Arial"/>
          <w:sz w:val="22"/>
        </w:rPr>
      </w:pPr>
      <w:r w:rsidRPr="009F7AF2">
        <w:rPr>
          <w:rFonts w:ascii="Arial" w:eastAsia="Calibri" w:hAnsi="Arial" w:cs="Arial"/>
          <w:sz w:val="22"/>
        </w:rPr>
        <w:t xml:space="preserve">La norma se encarga de establecer unos parámetros que permiten la inclusión de requisitos de experiencia para la evaluación de la idoneidad de los proponentes en relación con los bienes y servicios adicionales a la obra pública de infraestructura social, que no cuentan con experiencia estandarizada. Aplicando estos parámetros la </w:t>
      </w:r>
      <w:r w:rsidR="00A66B2C" w:rsidRPr="009F7AF2">
        <w:rPr>
          <w:rFonts w:ascii="Arial" w:eastAsia="Calibri" w:hAnsi="Arial" w:cs="Arial"/>
          <w:sz w:val="22"/>
        </w:rPr>
        <w:t>Entidad Estatal</w:t>
      </w:r>
      <w:r w:rsidRPr="009F7AF2">
        <w:rPr>
          <w:rFonts w:ascii="Arial" w:eastAsia="Calibri" w:hAnsi="Arial" w:cs="Arial"/>
          <w:sz w:val="22"/>
        </w:rPr>
        <w:t xml:space="preserve"> puede solicitar experiencia adicional para evaluar la idoneidad del contratista en procesos de contratación que incluyen bienes o servicios adicionales al proceso que pretende adelantarse. </w:t>
      </w:r>
    </w:p>
    <w:p w14:paraId="4A2D7C96" w14:textId="0BCB3887" w:rsidR="006C6355" w:rsidRPr="009F7AF2" w:rsidRDefault="006C6355" w:rsidP="009F7AF2">
      <w:pPr>
        <w:spacing w:after="120" w:line="276" w:lineRule="auto"/>
        <w:ind w:firstLine="708"/>
        <w:jc w:val="both"/>
        <w:rPr>
          <w:rFonts w:ascii="Arial" w:eastAsia="Calibri" w:hAnsi="Arial" w:cs="Arial"/>
          <w:i/>
          <w:iCs/>
          <w:sz w:val="22"/>
        </w:rPr>
      </w:pPr>
      <w:r w:rsidRPr="009F7AF2">
        <w:rPr>
          <w:rFonts w:ascii="Arial" w:eastAsia="Calibri" w:hAnsi="Arial" w:cs="Arial"/>
          <w:sz w:val="22"/>
        </w:rPr>
        <w:t xml:space="preserve">Sin perjuicio de lo anterior, el parágrafo 1 del artículo 4 de la mencionada resolución establece una regla especial para los eventos en los que el componente adicional lo constituyen actividades cobijadas por otros documentos tipo expedidos por la Agencia Nacional de Contratación Pública. Para estos efectos se establece que </w:t>
      </w:r>
      <w:r w:rsidRPr="009F7AF2">
        <w:rPr>
          <w:rFonts w:ascii="Arial" w:eastAsia="Calibri" w:hAnsi="Arial" w:cs="Arial"/>
          <w:i/>
          <w:iCs/>
          <w:sz w:val="22"/>
        </w:rPr>
        <w:t>«[…] la entidad estatal podrá aplicar las reglas de combinación de experiencia previstas en el numeral 3.5.1 del documento base».</w:t>
      </w:r>
    </w:p>
    <w:p w14:paraId="4E116BDF" w14:textId="77777777" w:rsidR="006C6355" w:rsidRPr="009F7AF2" w:rsidRDefault="006C6355" w:rsidP="009F7AF2">
      <w:pPr>
        <w:spacing w:before="120" w:line="276" w:lineRule="auto"/>
        <w:ind w:firstLine="709"/>
        <w:jc w:val="both"/>
        <w:rPr>
          <w:rFonts w:ascii="Arial" w:hAnsi="Arial" w:cs="Arial"/>
          <w:sz w:val="22"/>
        </w:rPr>
      </w:pPr>
      <w:r w:rsidRPr="009F7AF2">
        <w:rPr>
          <w:rFonts w:ascii="Arial" w:hAnsi="Arial" w:cs="Arial"/>
          <w:sz w:val="22"/>
        </w:rPr>
        <w:t xml:space="preserve">En armonía con lo anterior, el literal A del numeral 3.5.1. </w:t>
      </w:r>
      <w:r w:rsidRPr="009F7AF2">
        <w:rPr>
          <w:rFonts w:ascii="Arial" w:hAnsi="Arial" w:cs="Arial"/>
          <w:i/>
          <w:iCs/>
          <w:sz w:val="22"/>
        </w:rPr>
        <w:t>«CARACTERÍSTICAS DE LOS CONTRATOS PRESENTADOS PARA ACREDITAR LA EXPERIENCIA EXIGIDA»</w:t>
      </w:r>
      <w:r w:rsidRPr="009F7AF2">
        <w:rPr>
          <w:rFonts w:ascii="Arial" w:hAnsi="Arial" w:cs="Arial"/>
          <w:sz w:val="22"/>
        </w:rPr>
        <w:t xml:space="preserve"> del Documento Base de licitación de obra pública de infraestructura social, establece las reglas que deben tener en cuenta las entidades estatales y los particulares en caso de que se soliciten combinaciones de diferentes actividades a contratar de una misma o de diferentes matrices de experiencia:</w:t>
      </w:r>
    </w:p>
    <w:p w14:paraId="0D641AA3" w14:textId="77777777" w:rsidR="006C6355" w:rsidRPr="009F7AF2" w:rsidRDefault="006C6355" w:rsidP="009F7AF2">
      <w:pPr>
        <w:spacing w:line="276" w:lineRule="auto"/>
        <w:jc w:val="both"/>
        <w:rPr>
          <w:rFonts w:ascii="Arial" w:hAnsi="Arial" w:cs="Arial"/>
          <w:sz w:val="22"/>
        </w:rPr>
      </w:pPr>
    </w:p>
    <w:p w14:paraId="545EA3C6" w14:textId="34707792" w:rsidR="006C6355" w:rsidRPr="009F7AF2" w:rsidRDefault="0043034B" w:rsidP="009F7AF2">
      <w:pPr>
        <w:ind w:left="709" w:right="709"/>
        <w:jc w:val="both"/>
        <w:rPr>
          <w:rFonts w:ascii="Arial" w:hAnsi="Arial" w:cs="Arial"/>
          <w:sz w:val="20"/>
          <w:szCs w:val="20"/>
        </w:rPr>
      </w:pPr>
      <w:r w:rsidRPr="009F7AF2">
        <w:rPr>
          <w:rFonts w:ascii="Arial" w:hAnsi="Arial" w:cs="Arial"/>
          <w:sz w:val="20"/>
          <w:szCs w:val="20"/>
        </w:rPr>
        <w:t>«</w:t>
      </w:r>
      <w:r w:rsidR="006C6355" w:rsidRPr="009F7AF2">
        <w:rPr>
          <w:rFonts w:ascii="Arial" w:hAnsi="Arial" w:cs="Arial"/>
          <w:sz w:val="20"/>
          <w:szCs w:val="20"/>
        </w:rPr>
        <w:t>i) [En el caso que eventualmente se soliciten combinaciones de diferentes actividades a contratar de una misma o de diferentes matrices de experiencia, la Entidad Estatal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4DBDC47C" w14:textId="77777777" w:rsidR="006C6355" w:rsidRPr="009F7AF2" w:rsidRDefault="006C6355" w:rsidP="009F7AF2">
      <w:pPr>
        <w:ind w:left="709" w:right="709"/>
        <w:jc w:val="both"/>
        <w:rPr>
          <w:rFonts w:ascii="Arial" w:hAnsi="Arial" w:cs="Arial"/>
          <w:sz w:val="20"/>
          <w:szCs w:val="20"/>
        </w:rPr>
      </w:pPr>
      <w:r w:rsidRPr="009F7AF2">
        <w:rPr>
          <w:rFonts w:ascii="Arial" w:hAnsi="Arial" w:cs="Arial"/>
          <w:sz w:val="20"/>
          <w:szCs w:val="20"/>
        </w:rPr>
        <w:tab/>
      </w:r>
      <w:r w:rsidRPr="009F7AF2">
        <w:rPr>
          <w:rFonts w:ascii="Arial" w:hAnsi="Arial" w:cs="Arial"/>
          <w:sz w:val="20"/>
          <w:szCs w:val="20"/>
        </w:rPr>
        <w:tab/>
      </w:r>
    </w:p>
    <w:p w14:paraId="0427B5EC" w14:textId="717B4494" w:rsidR="006C6355" w:rsidRPr="009F7AF2" w:rsidRDefault="006C6355" w:rsidP="009F7AF2">
      <w:pPr>
        <w:ind w:left="709" w:right="709"/>
        <w:jc w:val="both"/>
        <w:rPr>
          <w:rFonts w:ascii="Arial" w:hAnsi="Arial" w:cs="Arial"/>
          <w:sz w:val="20"/>
          <w:szCs w:val="20"/>
        </w:rPr>
      </w:pPr>
      <w:r w:rsidRPr="009F7AF2">
        <w:rPr>
          <w:rFonts w:ascii="Arial" w:hAnsi="Arial" w:cs="Arial"/>
          <w:b/>
          <w:bCs/>
          <w:sz w:val="20"/>
          <w:szCs w:val="20"/>
        </w:rPr>
        <w:t>Actividad Principal:</w:t>
      </w:r>
      <w:r w:rsidRPr="009F7AF2">
        <w:rPr>
          <w:rFonts w:ascii="Arial" w:hAnsi="Arial" w:cs="Arial"/>
          <w:sz w:val="20"/>
          <w:szCs w:val="20"/>
        </w:rPr>
        <w:t xml:space="preserve"> [La Entidad Estatal identificará y definirá la actividad a contratar principal aplicable en el </w:t>
      </w:r>
      <w:r w:rsidR="00A66B2C" w:rsidRPr="009F7AF2">
        <w:rPr>
          <w:rFonts w:ascii="Arial" w:hAnsi="Arial" w:cs="Arial"/>
          <w:sz w:val="20"/>
          <w:szCs w:val="20"/>
        </w:rPr>
        <w:t>Proceso de Contratación</w:t>
      </w:r>
      <w:r w:rsidRPr="009F7AF2">
        <w:rPr>
          <w:rFonts w:ascii="Arial" w:hAnsi="Arial" w:cs="Arial"/>
          <w:sz w:val="20"/>
          <w:szCs w:val="20"/>
        </w:rPr>
        <w:t xml:space="preserve"> de acuerdo con la respectiva matriz de experiencia. Para esta actividad principal se solicitará la experiencia general y específica de la respectiva actividad a contratar de mayor relevancia.]</w:t>
      </w:r>
    </w:p>
    <w:p w14:paraId="027ACF4B" w14:textId="77777777" w:rsidR="006C6355" w:rsidRPr="009F7AF2" w:rsidRDefault="006C6355" w:rsidP="009F7AF2">
      <w:pPr>
        <w:ind w:left="709" w:right="709"/>
        <w:jc w:val="both"/>
        <w:rPr>
          <w:rFonts w:ascii="Arial" w:hAnsi="Arial" w:cs="Arial"/>
          <w:sz w:val="20"/>
          <w:szCs w:val="20"/>
        </w:rPr>
      </w:pPr>
    </w:p>
    <w:p w14:paraId="3C6F1855" w14:textId="77777777" w:rsidR="006C6355" w:rsidRPr="009F7AF2" w:rsidRDefault="006C6355" w:rsidP="009F7AF2">
      <w:pPr>
        <w:ind w:left="709" w:right="709"/>
        <w:jc w:val="both"/>
        <w:rPr>
          <w:rFonts w:ascii="Arial" w:hAnsi="Arial" w:cs="Arial"/>
          <w:sz w:val="20"/>
          <w:szCs w:val="20"/>
        </w:rPr>
      </w:pPr>
      <w:r w:rsidRPr="009F7AF2">
        <w:rPr>
          <w:rFonts w:ascii="Arial" w:hAnsi="Arial" w:cs="Arial"/>
          <w:sz w:val="20"/>
          <w:szCs w:val="20"/>
        </w:rPr>
        <w:t xml:space="preserve">La Entidad deberá establecer como actividad principal alguna de las “actividades a contratar” definidas en la matriz de experiencia de infraestructura social aplicable (sector educativo, salud o cultura, recreación y deporte). </w:t>
      </w:r>
    </w:p>
    <w:p w14:paraId="0D05558B" w14:textId="77777777" w:rsidR="006C6355" w:rsidRPr="009F7AF2" w:rsidRDefault="006C6355" w:rsidP="009F7AF2">
      <w:pPr>
        <w:ind w:left="709" w:right="709"/>
        <w:jc w:val="both"/>
        <w:rPr>
          <w:rFonts w:ascii="Arial" w:hAnsi="Arial" w:cs="Arial"/>
          <w:sz w:val="20"/>
          <w:szCs w:val="20"/>
        </w:rPr>
      </w:pPr>
    </w:p>
    <w:p w14:paraId="20AF65C1" w14:textId="4CDA2697" w:rsidR="006C6355" w:rsidRPr="009F7AF2" w:rsidRDefault="006C6355" w:rsidP="009F7AF2">
      <w:pPr>
        <w:ind w:left="709" w:right="709"/>
        <w:jc w:val="both"/>
        <w:rPr>
          <w:rFonts w:ascii="Arial" w:hAnsi="Arial" w:cs="Arial"/>
          <w:sz w:val="20"/>
          <w:szCs w:val="20"/>
        </w:rPr>
      </w:pPr>
      <w:r w:rsidRPr="009F7AF2">
        <w:rPr>
          <w:rFonts w:ascii="Arial" w:hAnsi="Arial" w:cs="Arial"/>
          <w:b/>
          <w:bCs/>
          <w:sz w:val="20"/>
          <w:szCs w:val="20"/>
        </w:rPr>
        <w:t>Actividad Secundaria (1) :</w:t>
      </w:r>
      <w:r w:rsidRPr="009F7AF2">
        <w:rPr>
          <w:rFonts w:ascii="Arial" w:hAnsi="Arial" w:cs="Arial"/>
          <w:sz w:val="20"/>
          <w:szCs w:val="20"/>
        </w:rPr>
        <w:t xml:space="preserve"> [La Entidad Estatal definirá la actividad secundaria o accesoria aplicable en el </w:t>
      </w:r>
      <w:r w:rsidR="00A66B2C" w:rsidRPr="009F7AF2">
        <w:rPr>
          <w:rFonts w:ascii="Arial" w:hAnsi="Arial" w:cs="Arial"/>
          <w:sz w:val="20"/>
          <w:szCs w:val="20"/>
        </w:rPr>
        <w:t>Proceso de Contratación</w:t>
      </w:r>
      <w:r w:rsidRPr="009F7AF2">
        <w:rPr>
          <w:rFonts w:ascii="Arial" w:hAnsi="Arial" w:cs="Arial"/>
          <w:sz w:val="20"/>
          <w:szCs w:val="20"/>
        </w:rPr>
        <w:t xml:space="preserve"> de acuerdo con la matriz de experiencia aplicable, ya sea cuando: i) en un mismo proyecto se incluyen actividades definidas en una misma matriz de experiencia de infraestructura social, o ii) cuando en un mismo proyecto se incluyen actividades de infraestructura educativa, salud o cultura, recreación y deporte, o, iii) cuando en un </w:t>
      </w:r>
      <w:r w:rsidR="00A66B2C" w:rsidRPr="009F7AF2">
        <w:rPr>
          <w:rFonts w:ascii="Arial" w:hAnsi="Arial" w:cs="Arial"/>
          <w:sz w:val="20"/>
          <w:szCs w:val="20"/>
        </w:rPr>
        <w:t>Proceso de Contratación</w:t>
      </w:r>
      <w:r w:rsidRPr="009F7AF2">
        <w:rPr>
          <w:rFonts w:ascii="Arial" w:hAnsi="Arial" w:cs="Arial"/>
          <w:sz w:val="20"/>
          <w:szCs w:val="20"/>
        </w:rPr>
        <w:t xml:space="preserve"> aplican matrices de experiencia de otros documentos tipo como, por ejemplo, del sector de obra pública de infraestructura de transporte. </w:t>
      </w:r>
    </w:p>
    <w:p w14:paraId="03DF4FB2" w14:textId="77777777" w:rsidR="006C6355" w:rsidRPr="009F7AF2" w:rsidRDefault="006C6355" w:rsidP="009F7AF2">
      <w:pPr>
        <w:ind w:left="709" w:right="709"/>
        <w:jc w:val="both"/>
        <w:rPr>
          <w:rFonts w:ascii="Arial" w:hAnsi="Arial" w:cs="Arial"/>
          <w:sz w:val="20"/>
          <w:szCs w:val="20"/>
        </w:rPr>
      </w:pPr>
    </w:p>
    <w:p w14:paraId="29010415" w14:textId="59A7DA27" w:rsidR="006C6355" w:rsidRPr="009F7AF2" w:rsidRDefault="006C6355" w:rsidP="009F7AF2">
      <w:pPr>
        <w:ind w:left="709" w:right="709"/>
        <w:jc w:val="both"/>
        <w:rPr>
          <w:rFonts w:ascii="Arial" w:hAnsi="Arial" w:cs="Arial"/>
          <w:sz w:val="20"/>
          <w:szCs w:val="20"/>
        </w:rPr>
      </w:pPr>
      <w:r w:rsidRPr="009F7AF2">
        <w:rPr>
          <w:rFonts w:ascii="Arial" w:hAnsi="Arial" w:cs="Arial"/>
          <w:b/>
          <w:bCs/>
          <w:sz w:val="20"/>
          <w:szCs w:val="20"/>
        </w:rPr>
        <w:t>Actividad Secundaria (2):</w:t>
      </w:r>
      <w:r w:rsidRPr="009F7AF2">
        <w:rPr>
          <w:rFonts w:ascii="Arial" w:hAnsi="Arial" w:cs="Arial"/>
          <w:sz w:val="20"/>
          <w:szCs w:val="20"/>
        </w:rPr>
        <w:t xml:space="preserve"> [La Entidad Estatal diligenciará la experiencia aplicable a esta actividad secundaria de acuerdo con los lineamientos previstos en el párrafo anterior, en caso de que aplique]</w:t>
      </w:r>
      <w:r w:rsidR="0043034B" w:rsidRPr="009F7AF2">
        <w:rPr>
          <w:rFonts w:ascii="Arial" w:hAnsi="Arial" w:cs="Arial"/>
          <w:sz w:val="20"/>
          <w:szCs w:val="20"/>
        </w:rPr>
        <w:t>»</w:t>
      </w:r>
    </w:p>
    <w:p w14:paraId="270657BF" w14:textId="77777777" w:rsidR="006C6355" w:rsidRPr="009F7AF2" w:rsidRDefault="006C6355" w:rsidP="009F7AF2">
      <w:pPr>
        <w:spacing w:line="276" w:lineRule="auto"/>
        <w:jc w:val="both"/>
        <w:rPr>
          <w:rFonts w:ascii="Arial" w:hAnsi="Arial" w:cs="Arial"/>
          <w:sz w:val="22"/>
        </w:rPr>
      </w:pPr>
    </w:p>
    <w:p w14:paraId="3961041E" w14:textId="15AA259E" w:rsidR="006C6355" w:rsidRPr="009F7AF2" w:rsidRDefault="006C6355" w:rsidP="009F7AF2">
      <w:pPr>
        <w:spacing w:after="120" w:line="276" w:lineRule="auto"/>
        <w:ind w:firstLine="709"/>
        <w:jc w:val="both"/>
        <w:rPr>
          <w:rFonts w:ascii="Arial" w:hAnsi="Arial" w:cs="Arial"/>
          <w:sz w:val="22"/>
        </w:rPr>
      </w:pPr>
      <w:r w:rsidRPr="009F7AF2">
        <w:rPr>
          <w:rFonts w:ascii="Arial" w:hAnsi="Arial" w:cs="Arial"/>
          <w:sz w:val="22"/>
        </w:rPr>
        <w:t xml:space="preserve">Una vez definida la actividad principal y secundaria, la </w:t>
      </w:r>
      <w:r w:rsidR="00A66B2C" w:rsidRPr="009F7AF2">
        <w:rPr>
          <w:rFonts w:ascii="Arial" w:hAnsi="Arial" w:cs="Arial"/>
          <w:sz w:val="22"/>
        </w:rPr>
        <w:t>Entidad Estatal</w:t>
      </w:r>
      <w:r w:rsidRPr="009F7AF2">
        <w:rPr>
          <w:rFonts w:ascii="Arial" w:hAnsi="Arial" w:cs="Arial"/>
          <w:sz w:val="22"/>
        </w:rPr>
        <w:t xml:space="preserve">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las matrices de experiencia de los documentos tipo de infraestructura social, o ii)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La experiencia exigible para las actividades principal y </w:t>
      </w:r>
      <w:r w:rsidR="003B1365" w:rsidRPr="009F7AF2">
        <w:rPr>
          <w:rFonts w:ascii="Arial" w:hAnsi="Arial" w:cs="Arial"/>
          <w:sz w:val="22"/>
        </w:rPr>
        <w:t>secundaria</w:t>
      </w:r>
      <w:r w:rsidRPr="009F7AF2">
        <w:rPr>
          <w:rFonts w:ascii="Arial" w:hAnsi="Arial" w:cs="Arial"/>
          <w:sz w:val="22"/>
        </w:rPr>
        <w:t xml:space="preserve"> debe ser definida en función de los rangos de cuantías aplicables al respectivo </w:t>
      </w:r>
      <w:r w:rsidR="00A66B2C" w:rsidRPr="009F7AF2">
        <w:rPr>
          <w:rFonts w:ascii="Arial" w:hAnsi="Arial" w:cs="Arial"/>
          <w:sz w:val="22"/>
        </w:rPr>
        <w:t>Proceso de Contratación</w:t>
      </w:r>
      <w:r w:rsidRPr="009F7AF2">
        <w:rPr>
          <w:rFonts w:ascii="Arial" w:hAnsi="Arial" w:cs="Arial"/>
          <w:sz w:val="22"/>
        </w:rPr>
        <w:t>. En todo caso, la entidad contratante no puede incluir más de 2 combinaciones de experiencia adicionales a la prevista para la actividad principal.</w:t>
      </w:r>
    </w:p>
    <w:p w14:paraId="4EF99477" w14:textId="4756E93F" w:rsidR="002E4DEF" w:rsidRPr="009F7AF2" w:rsidRDefault="006C6355" w:rsidP="009F7AF2">
      <w:pPr>
        <w:spacing w:after="120" w:line="276" w:lineRule="auto"/>
        <w:ind w:firstLine="709"/>
        <w:jc w:val="both"/>
        <w:rPr>
          <w:rFonts w:ascii="Arial" w:eastAsia="Calibri" w:hAnsi="Arial" w:cs="Arial"/>
          <w:sz w:val="22"/>
          <w:lang w:val="es-ES_tradnl"/>
        </w:rPr>
      </w:pPr>
      <w:r w:rsidRPr="009F7AF2">
        <w:rPr>
          <w:rFonts w:ascii="Arial" w:hAnsi="Arial" w:cs="Arial"/>
          <w:sz w:val="22"/>
        </w:rPr>
        <w:t xml:space="preserve"> Ahora bien, la regla del literal I del numeral 3.5.2 también es aplicable en la evaluación de los requisitos configurados en virtud de la reglas de combinación de experiencia, lo que significa </w:t>
      </w:r>
      <w:r w:rsidR="00DD6D26" w:rsidRPr="009F7AF2">
        <w:rPr>
          <w:rFonts w:ascii="Arial" w:hAnsi="Arial" w:cs="Arial"/>
          <w:sz w:val="22"/>
        </w:rPr>
        <w:t xml:space="preserve">que </w:t>
      </w:r>
      <w:r w:rsidRPr="009F7AF2">
        <w:rPr>
          <w:rFonts w:ascii="Arial" w:hAnsi="Arial" w:cs="Arial"/>
          <w:sz w:val="22"/>
        </w:rPr>
        <w:t>todos aquellos requerimientos de experiencia que estén planteados en términos de dimensionamiento requieren que el proponente acredite las respectivas dimensiones, estando facultadas las entidades para descontar las áreas o longitudes no relacionadas con los requisitos de experiencia establecidos para la actividad principal–configurados a partir de la matriz de experiencia del sector recreación, cultura y deporte–, como los precisen para la actividad secundaría–establecidos a partir de la matriz de experiencia</w:t>
      </w:r>
      <w:r w:rsidRPr="009F7AF2">
        <w:rPr>
          <w:rFonts w:ascii="Arial" w:hAnsi="Arial" w:cs="Arial"/>
          <w:i/>
          <w:iCs/>
          <w:sz w:val="22"/>
        </w:rPr>
        <w:t xml:space="preserve">–. </w:t>
      </w:r>
      <w:r w:rsidRPr="009F7AF2">
        <w:rPr>
          <w:rFonts w:ascii="Arial" w:hAnsi="Arial" w:cs="Arial"/>
          <w:sz w:val="22"/>
        </w:rPr>
        <w:t>No obstante, la aplicación de la regla en este sentido no significa que las magnitudes descartadas para el cómputo de la experiencia establecida para la actividad principal no pueda</w:t>
      </w:r>
      <w:r w:rsidR="00CF343F" w:rsidRPr="009F7AF2">
        <w:rPr>
          <w:rFonts w:ascii="Arial" w:hAnsi="Arial" w:cs="Arial"/>
          <w:sz w:val="22"/>
        </w:rPr>
        <w:t>n</w:t>
      </w:r>
      <w:r w:rsidRPr="009F7AF2">
        <w:rPr>
          <w:rFonts w:ascii="Arial" w:hAnsi="Arial" w:cs="Arial"/>
          <w:sz w:val="22"/>
        </w:rPr>
        <w:t xml:space="preserve"> ser tenida</w:t>
      </w:r>
      <w:r w:rsidR="00CF343F" w:rsidRPr="009F7AF2">
        <w:rPr>
          <w:rFonts w:ascii="Arial" w:hAnsi="Arial" w:cs="Arial"/>
          <w:sz w:val="22"/>
        </w:rPr>
        <w:t>s</w:t>
      </w:r>
      <w:r w:rsidRPr="009F7AF2">
        <w:rPr>
          <w:rFonts w:ascii="Arial" w:hAnsi="Arial" w:cs="Arial"/>
          <w:sz w:val="22"/>
        </w:rPr>
        <w:t xml:space="preserve"> en cuenta para la actividad secundaria y viceversa. En ese </w:t>
      </w:r>
      <w:r w:rsidRPr="009F7AF2">
        <w:rPr>
          <w:rFonts w:ascii="Arial" w:hAnsi="Arial" w:cs="Arial"/>
          <w:sz w:val="22"/>
        </w:rPr>
        <w:lastRenderedPageBreak/>
        <w:t>sentido, la regla del literal I en casos de experiencia combinada debe ser aplicada en función de cada uno de los requisitos.</w:t>
      </w:r>
    </w:p>
    <w:p w14:paraId="39F1BDDC" w14:textId="4EE0D538" w:rsidR="00DD6D26" w:rsidRPr="009F7AF2" w:rsidRDefault="00DD6D26" w:rsidP="009F7AF2">
      <w:pPr>
        <w:pStyle w:val="Prrafodelista"/>
        <w:tabs>
          <w:tab w:val="left" w:pos="284"/>
        </w:tabs>
        <w:spacing w:after="240" w:line="276" w:lineRule="auto"/>
        <w:ind w:left="0"/>
        <w:jc w:val="both"/>
        <w:rPr>
          <w:rFonts w:ascii="Arial" w:eastAsia="Calibri" w:hAnsi="Arial" w:cs="Arial"/>
          <w:b/>
          <w:sz w:val="22"/>
          <w:lang w:val="es-CO"/>
        </w:rPr>
      </w:pPr>
    </w:p>
    <w:p w14:paraId="758A3D97" w14:textId="496EC7BF" w:rsidR="004B29A8" w:rsidRPr="009F7AF2" w:rsidRDefault="004B29A8" w:rsidP="009F7AF2">
      <w:pPr>
        <w:pStyle w:val="Prrafodelista"/>
        <w:tabs>
          <w:tab w:val="left" w:pos="284"/>
        </w:tabs>
        <w:spacing w:after="240" w:line="276" w:lineRule="auto"/>
        <w:ind w:left="0"/>
        <w:jc w:val="both"/>
        <w:rPr>
          <w:rFonts w:ascii="Arial" w:eastAsia="Calibri" w:hAnsi="Arial" w:cs="Arial"/>
          <w:b/>
          <w:sz w:val="22"/>
          <w:lang w:val="es-CO"/>
        </w:rPr>
      </w:pPr>
      <w:r w:rsidRPr="009F7AF2">
        <w:rPr>
          <w:rFonts w:ascii="Arial" w:eastAsia="Calibri" w:hAnsi="Arial" w:cs="Arial"/>
          <w:b/>
          <w:sz w:val="22"/>
          <w:lang w:val="es-CO"/>
        </w:rPr>
        <w:t>3. Respuesta</w:t>
      </w:r>
    </w:p>
    <w:p w14:paraId="4F90B23B" w14:textId="77777777" w:rsidR="003B1365" w:rsidRPr="009F7AF2" w:rsidRDefault="003C3664" w:rsidP="009F7AF2">
      <w:pPr>
        <w:ind w:left="567" w:right="900"/>
        <w:jc w:val="both"/>
        <w:rPr>
          <w:rFonts w:ascii="Arial" w:hAnsi="Arial" w:cs="Arial"/>
          <w:i/>
          <w:iCs/>
          <w:color w:val="000000"/>
          <w:sz w:val="21"/>
          <w:szCs w:val="21"/>
        </w:rPr>
      </w:pPr>
      <w:r w:rsidRPr="009F7AF2">
        <w:rPr>
          <w:rFonts w:ascii="Arial" w:hAnsi="Arial" w:cs="Arial"/>
          <w:i/>
          <w:iCs/>
          <w:color w:val="000000"/>
          <w:sz w:val="21"/>
          <w:szCs w:val="21"/>
        </w:rPr>
        <w:t xml:space="preserve">«Me permito solicitar aclaración sobre la correcta aplicación de la matriz de experiencia en los procesos de contratación pertenecientes al sector de Cultura, Recreación y Deporte, adelantados por entidades públicas y en general para todos los sectores. Esto por cuanto en algunos procesos públicos adelantados por entidades se estaría dando una interpretación posiblemente errónea de la matriz de experiencia que estarían llevando a pedir requisitos adicionales no contemplados dentro de la matriz </w:t>
      </w:r>
      <w:r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w:t>
      </w:r>
      <w:r w:rsidR="003B1365" w:rsidRPr="009F7AF2">
        <w:rPr>
          <w:rFonts w:ascii="Arial" w:hAnsi="Arial" w:cs="Arial"/>
          <w:i/>
          <w:iCs/>
          <w:color w:val="000000"/>
          <w:sz w:val="21"/>
          <w:szCs w:val="21"/>
        </w:rPr>
        <w:t>algunas entidades estatales,  estarían haciendo  válida  para  la construcción o reconstrucción de parques, únicamente experiencia relacionada o similar al objeto a contratar, en este caso únicamente hacen válida la experiencia en  parques,  plazas  o  plazoletas,  dejando  de  lado  o no  permitiendo  certificar  la experiencia  general  con  obras  diferentes  como  centros  culturales,  escenarios deportivos o edificaciones públicas. Lo cual es una clara vulneración a nuestros derechos como oferentes y va en contravía de los requisitos plasmados en la matriz de experiencia, misma que no se puede modificar y no es susceptible de incluir condiciones adicionales.</w:t>
      </w:r>
    </w:p>
    <w:p w14:paraId="4A22F05D" w14:textId="77777777" w:rsidR="003C3664" w:rsidRPr="009F7AF2" w:rsidRDefault="003C3664" w:rsidP="009F7AF2">
      <w:pPr>
        <w:ind w:left="567" w:right="900"/>
        <w:jc w:val="both"/>
        <w:rPr>
          <w:rFonts w:ascii="Arial" w:hAnsi="Arial" w:cs="Arial"/>
          <w:i/>
          <w:iCs/>
          <w:color w:val="000000"/>
          <w:sz w:val="21"/>
          <w:szCs w:val="21"/>
        </w:rPr>
      </w:pPr>
    </w:p>
    <w:p w14:paraId="396BFCC6" w14:textId="77777777" w:rsidR="003C3664" w:rsidRPr="009F7AF2" w:rsidRDefault="003C3664" w:rsidP="009F7AF2">
      <w:pPr>
        <w:spacing w:after="240"/>
        <w:ind w:left="567" w:right="900"/>
        <w:jc w:val="both"/>
        <w:rPr>
          <w:rFonts w:ascii="Arial" w:hAnsi="Arial" w:cs="Arial"/>
          <w:i/>
          <w:iCs/>
          <w:color w:val="000000"/>
          <w:sz w:val="21"/>
          <w:szCs w:val="21"/>
        </w:rPr>
      </w:pPr>
      <w:r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solicito a la entidad Colombia Compra Eficiente, aclarar sobre la correcta aplicación de la matriz y si las entidades públicas pueden adicional a los requisitos plasmados en la matriz, pedir requisitos adicionales como los dados a conocer en el caso anterior.»</w:t>
      </w:r>
    </w:p>
    <w:p w14:paraId="5DC72AFB" w14:textId="0E9E4BF7" w:rsidR="00DD6D26" w:rsidRPr="009F7AF2" w:rsidRDefault="00DD6D26" w:rsidP="009F7AF2">
      <w:pPr>
        <w:spacing w:after="240" w:line="276" w:lineRule="auto"/>
        <w:jc w:val="both"/>
        <w:rPr>
          <w:rFonts w:ascii="Arial" w:hAnsi="Arial" w:cs="Arial"/>
          <w:sz w:val="22"/>
        </w:rPr>
      </w:pPr>
      <w:r w:rsidRPr="009F7AF2">
        <w:rPr>
          <w:rFonts w:ascii="Arial" w:hAnsi="Arial" w:cs="Arial"/>
          <w:sz w:val="22"/>
        </w:rPr>
        <w:t>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w:t>
      </w:r>
      <w:r w:rsidR="00576F9E" w:rsidRPr="009F7AF2">
        <w:rPr>
          <w:rFonts w:ascii="Arial" w:hAnsi="Arial" w:cs="Arial"/>
          <w:sz w:val="22"/>
        </w:rPr>
        <w:t xml:space="preserve">, </w:t>
      </w:r>
      <w:r w:rsidRPr="009F7AF2">
        <w:rPr>
          <w:rFonts w:ascii="Arial" w:hAnsi="Arial" w:cs="Arial"/>
          <w:sz w:val="22"/>
        </w:rPr>
        <w:t>resolverá la consulta elevada conforme a las normas generales.</w:t>
      </w:r>
    </w:p>
    <w:p w14:paraId="3CC8D3B3" w14:textId="77777777" w:rsidR="00DD6D26" w:rsidRPr="009F7AF2" w:rsidRDefault="00DD6D26" w:rsidP="009F7AF2">
      <w:pPr>
        <w:spacing w:after="240" w:line="276" w:lineRule="auto"/>
        <w:ind w:firstLine="709"/>
        <w:jc w:val="both"/>
        <w:rPr>
          <w:rFonts w:ascii="Arial" w:hAnsi="Arial" w:cs="Arial"/>
          <w:sz w:val="22"/>
        </w:rPr>
      </w:pPr>
      <w:r w:rsidRPr="009F7AF2">
        <w:rPr>
          <w:rFonts w:ascii="Arial" w:hAnsi="Arial" w:cs="Arial"/>
          <w:sz w:val="22"/>
        </w:rPr>
        <w:t xml:space="preserve">El pasado 16 de diciembre de 2021, se adoptaron los documentos tipo complementarios para los procesos de licitación de obra pública de infraestructura social relacionados con el sector cultura, recreación y deporte, mediante la Resolución No. 454 de 2021. Dicha Resolución, desarrolla el </w:t>
      </w:r>
      <w:r w:rsidRPr="009F7AF2">
        <w:rPr>
          <w:rFonts w:ascii="Arial" w:hAnsi="Arial" w:cs="Arial"/>
          <w:i/>
          <w:iCs/>
          <w:sz w:val="22"/>
        </w:rPr>
        <w:t>«Anexo: Glosario cultura, recreación y deporte» y la «Matriz: Experiencia cultura, recreación y deporte»,</w:t>
      </w:r>
      <w:r w:rsidRPr="009F7AF2">
        <w:rPr>
          <w:rFonts w:ascii="Arial" w:hAnsi="Arial" w:cs="Arial"/>
          <w:sz w:val="22"/>
        </w:rPr>
        <w:t xml:space="preserve"> lo que significa que tales documentos definen el alcance para ese sector específicamente. Igualmente, la Matriz de experiencia de cada sector, además de estandarizar el requisito habilitante de experiencia, </w:t>
      </w:r>
      <w:r w:rsidRPr="009F7AF2">
        <w:rPr>
          <w:rFonts w:ascii="Arial" w:hAnsi="Arial" w:cs="Arial"/>
          <w:sz w:val="22"/>
        </w:rPr>
        <w:lastRenderedPageBreak/>
        <w:t>señala las actividades a las cuales aplican los documentos tipo, en el entendido de que aplicarán a los procesos contractuales cuyo objeto se relacione con alguna de las actividades establecidas de forma detallada en la Matriz de experiencia respectiva.</w:t>
      </w:r>
    </w:p>
    <w:p w14:paraId="436C81A9" w14:textId="30EBADD9" w:rsidR="00DD6D26" w:rsidRPr="009F7AF2" w:rsidRDefault="00DD6D26" w:rsidP="009F7AF2">
      <w:pPr>
        <w:spacing w:after="240" w:line="276" w:lineRule="auto"/>
        <w:ind w:firstLine="709"/>
        <w:jc w:val="both"/>
        <w:rPr>
          <w:rFonts w:ascii="Arial" w:hAnsi="Arial" w:cs="Arial"/>
          <w:sz w:val="22"/>
          <w:lang w:val="es-ES_tradnl"/>
        </w:rPr>
      </w:pPr>
      <w:r w:rsidRPr="009F7AF2">
        <w:rPr>
          <w:rFonts w:ascii="Arial" w:hAnsi="Arial" w:cs="Arial"/>
          <w:sz w:val="22"/>
        </w:rPr>
        <w:t>Así las cosas, y conforme a lo expuesto, esta Subdirección mantiene la postura que, por regla general, conforme al artículo 1 de la Ley 2022 de 2020 aplica la regla de la inalterabilidad de los documentos tipo, y en esta línea, las entidades públicas deberán sujetarse a las reglas establecidas en los documentos tipo, dispuestas en las diferentes resoluciones expedidas por la Agencia, por lo que no pueden hacer excepciones bajo una supuesta discrecionalidad a estas reglas que son</w:t>
      </w:r>
      <w:r w:rsidRPr="009F7AF2">
        <w:rPr>
          <w:rFonts w:ascii="Arial" w:hAnsi="Arial" w:cs="Arial"/>
          <w:sz w:val="20"/>
          <w:szCs w:val="20"/>
          <w:lang w:val="es-ES_tradnl"/>
        </w:rPr>
        <w:t xml:space="preserve"> </w:t>
      </w:r>
      <w:r w:rsidRPr="009F7AF2">
        <w:rPr>
          <w:rFonts w:ascii="Arial" w:hAnsi="Arial" w:cs="Arial"/>
          <w:sz w:val="22"/>
          <w:lang w:val="es-ES_tradnl"/>
        </w:rPr>
        <w:t>obligatorias. Lo anterior, sin perjuicio de las instrucciones establecidas en los mismos documentos tipo mediante las cuales se autoriza su modificación, por lo que las entidades podrán modificar el contenido de los documentos tipo en aquellos contenidos que estos lo permitan, de acuerdo con las mismas instrucciones establecidas en los documentos tipo.</w:t>
      </w:r>
    </w:p>
    <w:p w14:paraId="3202117B" w14:textId="77777777" w:rsidR="00CF343F" w:rsidRPr="009F7AF2" w:rsidRDefault="00CF343F" w:rsidP="009F7AF2">
      <w:pPr>
        <w:spacing w:after="120" w:line="276" w:lineRule="auto"/>
        <w:ind w:firstLine="709"/>
        <w:jc w:val="both"/>
        <w:rPr>
          <w:rFonts w:ascii="Arial" w:hAnsi="Arial" w:cs="Arial"/>
          <w:sz w:val="22"/>
        </w:rPr>
      </w:pPr>
      <w:r w:rsidRPr="009F7AF2">
        <w:rPr>
          <w:rFonts w:ascii="Arial" w:hAnsi="Arial" w:cs="Arial"/>
          <w:sz w:val="22"/>
        </w:rPr>
        <w:t>Conforme a lo anterior, si una entidad requiere adelantar una licitación pública para la construcción de un parque, debe acudir a la matriz de experiencia adoptada por la Resolución 454 de 2021 para el sector recreación, cultura y deporte, en la cual se encuentra prevista la actividad «</w:t>
      </w:r>
      <w:r w:rsidRPr="009F7AF2">
        <w:rPr>
          <w:rFonts w:ascii="Arial" w:hAnsi="Arial" w:cs="Arial"/>
          <w:i/>
          <w:iCs/>
          <w:sz w:val="22"/>
        </w:rPr>
        <w:t>2.1. PROYECTOS DE CONSTRUCCIÓN Y/O RECONSTRUCCIÓN DE PARQUES».</w:t>
      </w:r>
      <w:r w:rsidRPr="009F7AF2">
        <w:rPr>
          <w:rFonts w:ascii="Arial" w:hAnsi="Arial" w:cs="Arial"/>
          <w:sz w:val="22"/>
        </w:rPr>
        <w:t xml:space="preserve"> Para esta actividad, se establece como requisito de experiencia general </w:t>
      </w:r>
      <w:r w:rsidRPr="009F7AF2">
        <w:rPr>
          <w:rFonts w:ascii="Arial" w:hAnsi="Arial" w:cs="Arial"/>
          <w:i/>
          <w:iCs/>
          <w:sz w:val="22"/>
        </w:rPr>
        <w:t>«PROYECTOS QUE CORRESPONDAN O HAYAN CONTENIDO UNA O ALGUNAS DE LAS SIGUIENTES ACTIVIDADES: - CONSTRUCCIÓN Y/O RECONSTRUCCIÓN DE PARQUES – CONSTRUCCIÓN Y/O RECONSTRUCCIÓN DE ESPACIO PÚBLICO».</w:t>
      </w:r>
      <w:r w:rsidRPr="009F7AF2">
        <w:rPr>
          <w:rFonts w:ascii="Arial" w:hAnsi="Arial" w:cs="Arial"/>
          <w:sz w:val="22"/>
        </w:rPr>
        <w:t xml:space="preserve"> Respecto de este requisito la matriz establece dos notas relevantes para su acreditación y evaluación, la primera de las cuales establece que para el caso de experiencia de espacio público </w:t>
      </w:r>
      <w:r w:rsidRPr="009F7AF2">
        <w:rPr>
          <w:rFonts w:ascii="Arial" w:hAnsi="Arial" w:cs="Arial"/>
          <w:i/>
          <w:iCs/>
          <w:sz w:val="22"/>
        </w:rPr>
        <w:t>«[…] se excluyen de estos las vías destinadas al tránsito vehicular, así como la conservación y/o preservación de playas marítimas».</w:t>
      </w:r>
      <w:r w:rsidRPr="009F7AF2">
        <w:rPr>
          <w:rFonts w:ascii="Arial" w:hAnsi="Arial" w:cs="Arial"/>
          <w:sz w:val="22"/>
        </w:rPr>
        <w:t xml:space="preserve"> La segunda nota indica que en «</w:t>
      </w:r>
      <w:r w:rsidRPr="009F7AF2">
        <w:rPr>
          <w:rFonts w:ascii="Arial" w:hAnsi="Arial" w:cs="Arial"/>
          <w:i/>
          <w:iCs/>
          <w:sz w:val="22"/>
        </w:rPr>
        <w:t>En el caso en el cual el proceso de selección contemple actividades de dotación de mobiliario, la experiencia válida aportada deberá acreditar en por lo menos uno (1) de los contratos actividades de suministro e instalación de mobiliario».</w:t>
      </w:r>
      <w:r w:rsidRPr="009F7AF2">
        <w:rPr>
          <w:rFonts w:ascii="Arial" w:hAnsi="Arial" w:cs="Arial"/>
          <w:sz w:val="22"/>
        </w:rPr>
        <w:t xml:space="preserve"> </w:t>
      </w:r>
      <w:r w:rsidRPr="009F7AF2">
        <w:rPr>
          <w:rFonts w:ascii="Arial" w:hAnsi="Arial" w:cs="Arial"/>
          <w:sz w:val="22"/>
        </w:rPr>
        <w:tab/>
      </w:r>
    </w:p>
    <w:p w14:paraId="58F7B5B0" w14:textId="14656EC8" w:rsidR="00CF343F" w:rsidRPr="009F7AF2" w:rsidRDefault="00CF343F" w:rsidP="009F7AF2">
      <w:pPr>
        <w:spacing w:after="240" w:line="276" w:lineRule="auto"/>
        <w:ind w:firstLine="709"/>
        <w:jc w:val="both"/>
        <w:rPr>
          <w:rFonts w:ascii="Arial" w:hAnsi="Arial" w:cs="Arial"/>
          <w:sz w:val="20"/>
          <w:szCs w:val="20"/>
          <w:lang w:val="es-ES_tradnl"/>
        </w:rPr>
      </w:pPr>
      <w:r w:rsidRPr="009F7AF2">
        <w:rPr>
          <w:rFonts w:ascii="Arial" w:hAnsi="Arial" w:cs="Arial"/>
          <w:sz w:val="22"/>
        </w:rPr>
        <w:t>A su vez, como requisito de experiencia específica para la mencionada actividad se establece que «</w:t>
      </w:r>
      <w:r w:rsidRPr="009F7AF2">
        <w:rPr>
          <w:rFonts w:ascii="Arial" w:hAnsi="Arial" w:cs="Arial"/>
          <w:i/>
          <w:iCs/>
          <w:sz w:val="22"/>
        </w:rPr>
        <w:t>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w:t>
      </w:r>
      <w:r w:rsidRPr="009F7AF2">
        <w:rPr>
          <w:rFonts w:ascii="Arial" w:hAnsi="Arial" w:cs="Arial"/>
          <w:sz w:val="22"/>
        </w:rPr>
        <w:t xml:space="preserve">. El porcentaje de dimensionamiento previsto como equivalencia de </w:t>
      </w:r>
      <w:r w:rsidRPr="009F7AF2">
        <w:rPr>
          <w:rFonts w:ascii="Arial" w:hAnsi="Arial" w:cs="Arial"/>
          <w:sz w:val="22"/>
        </w:rPr>
        <w:lastRenderedPageBreak/>
        <w:t>(F%) es el 70%. Esto supone que si, por ejemplo, el alcance físico de la obra son 1000 m</w:t>
      </w:r>
      <w:r w:rsidRPr="009F7AF2">
        <w:rPr>
          <w:rFonts w:ascii="Arial" w:hAnsi="Arial" w:cs="Arial"/>
          <w:sz w:val="22"/>
          <w:vertAlign w:val="superscript"/>
        </w:rPr>
        <w:t>2,</w:t>
      </w:r>
      <w:r w:rsidRPr="009F7AF2">
        <w:rPr>
          <w:rFonts w:ascii="Arial" w:hAnsi="Arial" w:cs="Arial"/>
          <w:sz w:val="22"/>
        </w:rPr>
        <w:t xml:space="preserve"> para cumplir con el requisito los proponentes tendrán que acreditar que la sumatoria de las áreas intervenidas en dos de los contratos aportados para el requerimiento general, es mayor o igual al 70% del área a intervenirse en el proyecto en licitación, el cual equivale a 700 m</w:t>
      </w:r>
      <w:r w:rsidRPr="009F7AF2">
        <w:rPr>
          <w:rFonts w:ascii="Arial" w:hAnsi="Arial" w:cs="Arial"/>
          <w:sz w:val="22"/>
          <w:vertAlign w:val="superscript"/>
        </w:rPr>
        <w:t>2</w:t>
      </w:r>
      <w:r w:rsidRPr="009F7AF2">
        <w:rPr>
          <w:rFonts w:ascii="Arial" w:hAnsi="Arial" w:cs="Arial"/>
          <w:sz w:val="22"/>
        </w:rPr>
        <w:t>.</w:t>
      </w:r>
    </w:p>
    <w:p w14:paraId="5300B02B" w14:textId="4927C436" w:rsidR="00172DC1" w:rsidRPr="009F7AF2" w:rsidRDefault="00DD6D26" w:rsidP="009F7AF2">
      <w:pPr>
        <w:spacing w:after="240" w:line="276" w:lineRule="auto"/>
        <w:ind w:firstLine="709"/>
        <w:jc w:val="both"/>
        <w:rPr>
          <w:rFonts w:ascii="Arial" w:hAnsi="Arial" w:cs="Arial"/>
          <w:sz w:val="22"/>
        </w:rPr>
      </w:pPr>
      <w:r w:rsidRPr="009F7AF2">
        <w:rPr>
          <w:rFonts w:ascii="Arial" w:hAnsi="Arial" w:cs="Arial"/>
          <w:sz w:val="22"/>
        </w:rPr>
        <w:t>En</w:t>
      </w:r>
      <w:r w:rsidR="00172DC1" w:rsidRPr="009F7AF2">
        <w:rPr>
          <w:rFonts w:ascii="Arial" w:hAnsi="Arial" w:cs="Arial"/>
          <w:sz w:val="22"/>
        </w:rPr>
        <w:t xml:space="preserve"> tal medida, las entidades destinatarias, deberán dar aplicación a las actividades, condiciones y exclusiones establecidas en la Matriz - Experiencia para proyectos de Infraestructura Social para el Sector Cultura, Recreación y Deporte</w:t>
      </w:r>
      <w:r w:rsidR="00AC618D" w:rsidRPr="009F7AF2">
        <w:rPr>
          <w:rFonts w:ascii="Arial" w:hAnsi="Arial" w:cs="Arial"/>
          <w:sz w:val="22"/>
        </w:rPr>
        <w:t xml:space="preserve"> </w:t>
      </w:r>
      <w:r w:rsidR="00172DC1" w:rsidRPr="009F7AF2">
        <w:rPr>
          <w:rFonts w:ascii="Arial" w:hAnsi="Arial" w:cs="Arial"/>
          <w:sz w:val="22"/>
        </w:rPr>
        <w:t>tanto para la experiencia general como para la experiencia específica que la misma contiene.</w:t>
      </w:r>
    </w:p>
    <w:p w14:paraId="103EF053" w14:textId="4D45F735" w:rsidR="006001D9" w:rsidRPr="009F7AF2" w:rsidRDefault="00DD6D26" w:rsidP="009F7AF2">
      <w:pPr>
        <w:spacing w:after="240" w:line="276" w:lineRule="auto"/>
        <w:ind w:firstLine="709"/>
        <w:jc w:val="both"/>
        <w:rPr>
          <w:rFonts w:ascii="Arial" w:eastAsia="Calibri" w:hAnsi="Arial" w:cs="Arial"/>
          <w:sz w:val="21"/>
          <w:szCs w:val="21"/>
          <w:lang w:val="es-ES_tradnl"/>
        </w:rPr>
      </w:pPr>
      <w:r w:rsidRPr="009F7AF2">
        <w:rPr>
          <w:rFonts w:ascii="Arial" w:hAnsi="Arial" w:cs="Arial"/>
          <w:sz w:val="22"/>
        </w:rPr>
        <w:t xml:space="preserve">Al respecto debe precisarse que la </w:t>
      </w:r>
      <w:r w:rsidR="00AC618D" w:rsidRPr="009F7AF2">
        <w:rPr>
          <w:rFonts w:ascii="Arial" w:hAnsi="Arial" w:cs="Arial"/>
          <w:sz w:val="22"/>
        </w:rPr>
        <w:t>referida</w:t>
      </w:r>
      <w:r w:rsidRPr="009F7AF2">
        <w:rPr>
          <w:rFonts w:ascii="Arial" w:hAnsi="Arial" w:cs="Arial"/>
          <w:sz w:val="22"/>
        </w:rPr>
        <w:t xml:space="preserve"> matriz </w:t>
      </w:r>
      <w:r w:rsidR="00AC618D" w:rsidRPr="009F7AF2">
        <w:rPr>
          <w:rFonts w:ascii="Arial" w:hAnsi="Arial" w:cs="Arial"/>
          <w:sz w:val="22"/>
        </w:rPr>
        <w:t>establece</w:t>
      </w:r>
      <w:r w:rsidRPr="009F7AF2">
        <w:rPr>
          <w:rFonts w:ascii="Arial" w:hAnsi="Arial" w:cs="Arial"/>
          <w:sz w:val="22"/>
        </w:rPr>
        <w:t xml:space="preserve"> en forma expresa que “</w:t>
      </w:r>
      <w:r w:rsidRPr="009F7AF2">
        <w:rPr>
          <w:rFonts w:ascii="Arial" w:hAnsi="Arial" w:cs="Arial"/>
          <w:i/>
          <w:iCs/>
          <w:sz w:val="22"/>
        </w:rPr>
        <w:t>Las Entidades Estatales no podrán incluir, modificar, suprimir o alterar las condiciones de experiencia establecidas en esta Matriz, salvo cuando de forma expresa esta lo determine”</w:t>
      </w:r>
      <w:r w:rsidR="00AC618D" w:rsidRPr="009F7AF2">
        <w:rPr>
          <w:rFonts w:ascii="Arial" w:hAnsi="Arial" w:cs="Arial"/>
          <w:i/>
          <w:iCs/>
          <w:sz w:val="22"/>
        </w:rPr>
        <w:t>.</w:t>
      </w:r>
      <w:r w:rsidRPr="009F7AF2">
        <w:rPr>
          <w:rFonts w:ascii="Arial" w:hAnsi="Arial" w:cs="Arial"/>
          <w:sz w:val="22"/>
        </w:rPr>
        <w:t> </w:t>
      </w:r>
      <w:r w:rsidR="00AC618D" w:rsidRPr="009F7AF2">
        <w:rPr>
          <w:rFonts w:ascii="Arial" w:eastAsia="Times New Roman" w:hAnsi="Arial" w:cs="Arial"/>
          <w:color w:val="000000"/>
          <w:sz w:val="22"/>
          <w:lang w:eastAsia="es-CO"/>
        </w:rPr>
        <w:t xml:space="preserve">Lo anterior, sin perjuicio de las posibilidades y potestades </w:t>
      </w:r>
      <w:r w:rsidR="004E1974" w:rsidRPr="009F7AF2">
        <w:rPr>
          <w:rFonts w:ascii="Arial" w:eastAsia="Times New Roman" w:hAnsi="Arial" w:cs="Arial"/>
          <w:color w:val="000000"/>
          <w:sz w:val="22"/>
          <w:lang w:eastAsia="es-CO"/>
        </w:rPr>
        <w:t xml:space="preserve">otorgadas por la misma </w:t>
      </w:r>
      <w:r w:rsidR="004E1974" w:rsidRPr="009F7AF2">
        <w:rPr>
          <w:rFonts w:ascii="Arial" w:hAnsi="Arial" w:cs="Arial"/>
          <w:sz w:val="22"/>
        </w:rPr>
        <w:t xml:space="preserve">la Matriz - Experiencia para proyectos de Infraestructura Social para el Sector Cultura, Recreación y Deporte, en </w:t>
      </w:r>
      <w:r w:rsidR="00206142" w:rsidRPr="009F7AF2">
        <w:rPr>
          <w:rFonts w:ascii="Arial" w:hAnsi="Arial" w:cs="Arial"/>
          <w:sz w:val="22"/>
        </w:rPr>
        <w:t>el acápite denominado “</w:t>
      </w:r>
      <w:r w:rsidR="00206142" w:rsidRPr="009F7AF2">
        <w:rPr>
          <w:rFonts w:ascii="Arial" w:hAnsi="Arial" w:cs="Arial"/>
          <w:i/>
          <w:iCs/>
          <w:sz w:val="22"/>
        </w:rPr>
        <w:t xml:space="preserve">Reglas para definir la experiencia exigible en el </w:t>
      </w:r>
      <w:r w:rsidR="00A66B2C" w:rsidRPr="009F7AF2">
        <w:rPr>
          <w:rFonts w:ascii="Arial" w:hAnsi="Arial" w:cs="Arial"/>
          <w:i/>
          <w:iCs/>
          <w:sz w:val="22"/>
        </w:rPr>
        <w:t>Proceso de Contratación</w:t>
      </w:r>
      <w:r w:rsidR="00206142" w:rsidRPr="009F7AF2">
        <w:rPr>
          <w:rFonts w:ascii="Arial" w:hAnsi="Arial" w:cs="Arial"/>
          <w:i/>
          <w:iCs/>
          <w:sz w:val="22"/>
        </w:rPr>
        <w:t>”</w:t>
      </w:r>
      <w:r w:rsidR="006001D9" w:rsidRPr="009F7AF2">
        <w:rPr>
          <w:rFonts w:ascii="Arial" w:hAnsi="Arial" w:cs="Arial"/>
          <w:i/>
          <w:iCs/>
          <w:sz w:val="22"/>
        </w:rPr>
        <w:t>,</w:t>
      </w:r>
      <w:r w:rsidR="006001D9" w:rsidRPr="009F7AF2">
        <w:rPr>
          <w:rFonts w:ascii="Arial" w:hAnsi="Arial" w:cs="Arial"/>
          <w:sz w:val="22"/>
        </w:rPr>
        <w:t xml:space="preserve"> incluida la posibilidad de establecer combinaciones de experiencia conforme lo indicado en el Documento Base</w:t>
      </w:r>
      <w:r w:rsidR="006001D9" w:rsidRPr="009F7AF2">
        <w:rPr>
          <w:rFonts w:ascii="Arial" w:eastAsia="Calibri" w:hAnsi="Arial" w:cs="Arial"/>
          <w:sz w:val="21"/>
          <w:szCs w:val="21"/>
          <w:lang w:val="es-ES_tradnl"/>
        </w:rPr>
        <w:t>.</w:t>
      </w:r>
    </w:p>
    <w:p w14:paraId="073B8E8D" w14:textId="311EC1B3" w:rsidR="004B29A8" w:rsidRPr="009F7AF2" w:rsidRDefault="004B29A8" w:rsidP="009F7AF2">
      <w:pPr>
        <w:spacing w:after="240" w:line="276" w:lineRule="auto"/>
        <w:jc w:val="both"/>
        <w:rPr>
          <w:rFonts w:ascii="Arial" w:eastAsia="Times New Roman" w:hAnsi="Arial" w:cs="Arial"/>
          <w:color w:val="000000"/>
          <w:sz w:val="22"/>
          <w:lang w:eastAsia="es-CO"/>
        </w:rPr>
      </w:pPr>
      <w:r w:rsidRPr="009F7AF2">
        <w:rPr>
          <w:rFonts w:ascii="Arial" w:eastAsia="Times New Roman" w:hAnsi="Arial" w:cs="Arial"/>
          <w:color w:val="000000"/>
          <w:sz w:val="22"/>
          <w:lang w:eastAsia="es-CO"/>
        </w:rPr>
        <w:t>Este concepto tiene el alcance previsto en el artículo 28 del Código de Procedimiento Administrativo y de lo Contencioso Administrativo.</w:t>
      </w:r>
    </w:p>
    <w:p w14:paraId="12D865D5" w14:textId="4A1E5E2E" w:rsidR="004B29A8" w:rsidRPr="009F7AF2" w:rsidRDefault="004B29A8" w:rsidP="009F7AF2">
      <w:pPr>
        <w:spacing w:after="240" w:line="276" w:lineRule="auto"/>
        <w:jc w:val="both"/>
        <w:rPr>
          <w:rFonts w:ascii="Arial" w:eastAsia="Times New Roman" w:hAnsi="Arial" w:cs="Arial"/>
          <w:color w:val="000000"/>
          <w:sz w:val="22"/>
          <w:lang w:val="es-ES" w:eastAsia="es-CO"/>
        </w:rPr>
      </w:pPr>
      <w:r w:rsidRPr="009F7AF2">
        <w:rPr>
          <w:rFonts w:ascii="Arial" w:eastAsia="Times New Roman" w:hAnsi="Arial" w:cs="Arial"/>
          <w:color w:val="000000"/>
          <w:sz w:val="22"/>
          <w:lang w:val="es-ES" w:eastAsia="es-CO"/>
        </w:rPr>
        <w:t>Atentamente,</w:t>
      </w:r>
    </w:p>
    <w:bookmarkEnd w:id="0"/>
    <w:p w14:paraId="29F88100" w14:textId="58053E45" w:rsidR="00A15359" w:rsidRPr="009F7AF2" w:rsidRDefault="0073636B" w:rsidP="009F7AF2">
      <w:pPr>
        <w:spacing w:after="120" w:line="276" w:lineRule="auto"/>
        <w:jc w:val="center"/>
        <w:rPr>
          <w:rFonts w:ascii="Calibri" w:eastAsia="Calibri" w:hAnsi="Calibri" w:cs="Times New Roman"/>
        </w:rPr>
      </w:pPr>
      <w:r>
        <w:rPr>
          <w:rFonts w:ascii="Arial" w:hAnsi="Arial" w:cs="Arial"/>
          <w:noProof/>
          <w:color w:val="161616" w:themeColor="background1" w:themeShade="1A"/>
          <w:lang w:eastAsia="es-CO"/>
        </w:rPr>
        <w:drawing>
          <wp:inline distT="0" distB="0" distL="0" distR="0" wp14:anchorId="5C32CCA2" wp14:editId="23E14E73">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445"/>
      </w:tblGrid>
      <w:tr w:rsidR="000664C5" w:rsidRPr="009F7AF2" w14:paraId="2DA47E8B" w14:textId="77777777" w:rsidTr="005D3CBE">
        <w:trPr>
          <w:trHeight w:val="286"/>
        </w:trPr>
        <w:tc>
          <w:tcPr>
            <w:tcW w:w="887" w:type="dxa"/>
            <w:vAlign w:val="center"/>
          </w:tcPr>
          <w:p w14:paraId="06EAE4B2"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Elaboró:</w:t>
            </w:r>
          </w:p>
        </w:tc>
        <w:tc>
          <w:tcPr>
            <w:tcW w:w="4445" w:type="dxa"/>
            <w:tcBorders>
              <w:bottom w:val="dotted" w:sz="4" w:space="0" w:color="7F7F7F"/>
            </w:tcBorders>
            <w:vAlign w:val="center"/>
          </w:tcPr>
          <w:p w14:paraId="7C542DB1"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 xml:space="preserve">Diana Fabiola Herrera Hernández </w:t>
            </w:r>
          </w:p>
          <w:p w14:paraId="4469E5DF"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Contratista de la Subdirección de Gestión Contractual</w:t>
            </w:r>
          </w:p>
        </w:tc>
      </w:tr>
      <w:tr w:rsidR="000664C5" w:rsidRPr="009F7AF2" w14:paraId="2824D27B" w14:textId="77777777" w:rsidTr="005D3CBE">
        <w:trPr>
          <w:trHeight w:val="299"/>
        </w:trPr>
        <w:tc>
          <w:tcPr>
            <w:tcW w:w="887" w:type="dxa"/>
            <w:vAlign w:val="center"/>
          </w:tcPr>
          <w:p w14:paraId="1A976EDE"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Revisó:</w:t>
            </w:r>
          </w:p>
        </w:tc>
        <w:tc>
          <w:tcPr>
            <w:tcW w:w="4445" w:type="dxa"/>
            <w:tcBorders>
              <w:top w:val="dotted" w:sz="4" w:space="0" w:color="7F7F7F"/>
              <w:bottom w:val="dotted" w:sz="4" w:space="0" w:color="7F7F7F"/>
            </w:tcBorders>
            <w:vAlign w:val="center"/>
          </w:tcPr>
          <w:p w14:paraId="3E85025B" w14:textId="0D45FAF1" w:rsidR="000664C5" w:rsidRPr="009F7AF2" w:rsidRDefault="00317163" w:rsidP="009F7AF2">
            <w:pPr>
              <w:spacing w:before="0"/>
              <w:rPr>
                <w:rFonts w:ascii="Arial" w:hAnsi="Arial" w:cs="Arial"/>
                <w:sz w:val="18"/>
                <w:szCs w:val="18"/>
                <w:lang w:eastAsia="es-ES"/>
              </w:rPr>
            </w:pPr>
            <w:r w:rsidRPr="009F7AF2">
              <w:rPr>
                <w:rFonts w:ascii="Arial" w:hAnsi="Arial" w:cs="Arial"/>
                <w:sz w:val="18"/>
                <w:szCs w:val="18"/>
                <w:lang w:eastAsia="es-ES"/>
              </w:rPr>
              <w:t>Any Alejandra Tovar Castillo</w:t>
            </w:r>
          </w:p>
          <w:p w14:paraId="0FB83062"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Contratista de la Subdirección de Gestión Contractual</w:t>
            </w:r>
          </w:p>
        </w:tc>
      </w:tr>
      <w:tr w:rsidR="000664C5" w:rsidRPr="005D3CBE" w14:paraId="4ECAF313" w14:textId="77777777" w:rsidTr="009F7AF2">
        <w:trPr>
          <w:trHeight w:val="272"/>
        </w:trPr>
        <w:tc>
          <w:tcPr>
            <w:tcW w:w="887" w:type="dxa"/>
            <w:vAlign w:val="center"/>
          </w:tcPr>
          <w:p w14:paraId="27AB78F9"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Aprobó:</w:t>
            </w:r>
          </w:p>
        </w:tc>
        <w:tc>
          <w:tcPr>
            <w:tcW w:w="4445" w:type="dxa"/>
            <w:tcBorders>
              <w:top w:val="dotted" w:sz="4" w:space="0" w:color="7F7F7F"/>
              <w:bottom w:val="dotted" w:sz="4" w:space="0" w:color="7F7F7F"/>
            </w:tcBorders>
            <w:shd w:val="clear" w:color="auto" w:fill="auto"/>
            <w:vAlign w:val="center"/>
          </w:tcPr>
          <w:p w14:paraId="784CBC73" w14:textId="3B1359FC" w:rsidR="000664C5" w:rsidRPr="009F7AF2" w:rsidRDefault="005D3CBE" w:rsidP="009F7AF2">
            <w:pPr>
              <w:spacing w:before="0"/>
              <w:rPr>
                <w:rFonts w:ascii="Arial" w:hAnsi="Arial" w:cs="Arial"/>
                <w:sz w:val="18"/>
                <w:szCs w:val="18"/>
                <w:lang w:eastAsia="es-ES"/>
              </w:rPr>
            </w:pPr>
            <w:r w:rsidRPr="009F7AF2">
              <w:rPr>
                <w:rFonts w:ascii="Arial" w:hAnsi="Arial" w:cs="Arial"/>
                <w:sz w:val="18"/>
                <w:szCs w:val="18"/>
                <w:lang w:eastAsia="es-ES"/>
              </w:rPr>
              <w:t>Juan David Marín López</w:t>
            </w:r>
          </w:p>
          <w:p w14:paraId="32E6795F" w14:textId="6ADCD33C" w:rsidR="000664C5" w:rsidRPr="005D3CBE" w:rsidRDefault="000664C5" w:rsidP="009F7AF2">
            <w:pPr>
              <w:spacing w:before="0"/>
              <w:rPr>
                <w:rFonts w:ascii="Arial" w:hAnsi="Arial" w:cs="Arial"/>
                <w:sz w:val="18"/>
                <w:szCs w:val="18"/>
                <w:lang w:eastAsia="es-ES"/>
              </w:rPr>
            </w:pPr>
            <w:r w:rsidRPr="009F7AF2">
              <w:rPr>
                <w:rFonts w:ascii="Arial" w:hAnsi="Arial" w:cs="Arial"/>
                <w:sz w:val="18"/>
                <w:szCs w:val="18"/>
                <w:lang w:eastAsia="es-ES"/>
              </w:rPr>
              <w:t>Subdirector de Gestión Contractual ANCP – CCE</w:t>
            </w:r>
            <w:r w:rsidR="00BB12C4" w:rsidRPr="009F7AF2">
              <w:rPr>
                <w:rFonts w:ascii="Arial" w:hAnsi="Arial" w:cs="Arial"/>
                <w:sz w:val="18"/>
                <w:szCs w:val="18"/>
                <w:lang w:eastAsia="es-ES"/>
              </w:rPr>
              <w:t xml:space="preserve"> (E)</w:t>
            </w:r>
          </w:p>
        </w:tc>
      </w:tr>
    </w:tbl>
    <w:p w14:paraId="2B0777B6" w14:textId="7305C9A9" w:rsidR="000664C5" w:rsidRDefault="000664C5" w:rsidP="009F7AF2">
      <w:pPr>
        <w:spacing w:after="120" w:line="276" w:lineRule="auto"/>
        <w:jc w:val="center"/>
        <w:rPr>
          <w:rFonts w:ascii="Calibri" w:eastAsia="Calibri" w:hAnsi="Calibri" w:cs="Times New Roman"/>
        </w:rPr>
      </w:pPr>
    </w:p>
    <w:p w14:paraId="40165AB2" w14:textId="34A233B5" w:rsidR="000664C5" w:rsidRDefault="000664C5" w:rsidP="009F7AF2">
      <w:pPr>
        <w:spacing w:after="120" w:line="276" w:lineRule="auto"/>
        <w:jc w:val="center"/>
        <w:rPr>
          <w:rFonts w:ascii="Calibri" w:eastAsia="Calibri" w:hAnsi="Calibri" w:cs="Times New Roman"/>
        </w:rPr>
      </w:pPr>
    </w:p>
    <w:p w14:paraId="4DA686D0" w14:textId="088EAE29" w:rsidR="000664C5" w:rsidRDefault="000664C5" w:rsidP="009F7AF2">
      <w:pPr>
        <w:spacing w:after="120" w:line="276" w:lineRule="auto"/>
        <w:jc w:val="center"/>
        <w:rPr>
          <w:rFonts w:ascii="Calibri" w:eastAsia="Calibri" w:hAnsi="Calibri" w:cs="Times New Roman"/>
        </w:rPr>
      </w:pPr>
    </w:p>
    <w:sectPr w:rsidR="000664C5"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0205" w14:textId="77777777" w:rsidR="0017682F" w:rsidRDefault="0017682F">
      <w:r>
        <w:separator/>
      </w:r>
    </w:p>
  </w:endnote>
  <w:endnote w:type="continuationSeparator" w:id="0">
    <w:p w14:paraId="61A8DA01" w14:textId="77777777" w:rsidR="0017682F" w:rsidRDefault="0017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D0FBFE0" w:rsidR="005F6462" w:rsidRPr="008217B7" w:rsidRDefault="005F6462"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768C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768C4">
      <w:rPr>
        <w:rFonts w:ascii="Arial" w:hAnsi="Arial" w:cs="Arial"/>
        <w:b/>
        <w:bCs/>
        <w:noProof/>
        <w:color w:val="7F7F7F" w:themeColor="text1" w:themeTint="80"/>
        <w:sz w:val="16"/>
        <w:szCs w:val="16"/>
      </w:rPr>
      <w:t>32</w:t>
    </w:r>
    <w:r w:rsidRPr="00084B97">
      <w:rPr>
        <w:rFonts w:ascii="Arial" w:hAnsi="Arial" w:cs="Arial"/>
        <w:b/>
        <w:bCs/>
        <w:color w:val="7F7F7F" w:themeColor="text1" w:themeTint="80"/>
        <w:sz w:val="16"/>
        <w:szCs w:val="16"/>
      </w:rPr>
      <w:fldChar w:fldCharType="end"/>
    </w:r>
  </w:p>
  <w:p w14:paraId="218ACE78" w14:textId="7F9C1F3A" w:rsidR="005F6462" w:rsidRDefault="004B29A8" w:rsidP="00214878">
    <w:pPr>
      <w:pStyle w:val="Piedepgina"/>
      <w:jc w:val="center"/>
      <w:rPr>
        <w:lang w:val="es-ES"/>
      </w:rPr>
    </w:pPr>
    <w:r>
      <w:rPr>
        <w:noProof/>
        <w:lang w:val="es-CO" w:eastAsia="es-CO"/>
      </w:rPr>
      <w:drawing>
        <wp:inline distT="0" distB="0" distL="0" distR="0" wp14:anchorId="135D03D1" wp14:editId="271726CF">
          <wp:extent cx="5581015" cy="867021"/>
          <wp:effectExtent l="0" t="0" r="635" b="952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021"/>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360"/>
    </w:tblGrid>
    <w:tr w:rsidR="004B29A8" w:rsidRPr="00080DA3" w14:paraId="22F50FF6" w14:textId="77777777" w:rsidTr="004B29A8">
      <w:trPr>
        <w:trHeight w:val="229"/>
        <w:jc w:val="center"/>
      </w:trPr>
      <w:tc>
        <w:tcPr>
          <w:tcW w:w="999"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E21B16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DA0C291"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B552D4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DB81A7A" w14:textId="77777777" w:rsidR="004B29A8" w:rsidRPr="00080DA3" w:rsidRDefault="004B29A8" w:rsidP="004B29A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ADC67A6"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4814763" w14:textId="77777777" w:rsidR="004B29A8" w:rsidRPr="00080DA3" w:rsidRDefault="004B29A8" w:rsidP="004B29A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360"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9C7304" w14:textId="77777777" w:rsidR="004B29A8" w:rsidRPr="00080DA3" w:rsidRDefault="004B29A8" w:rsidP="004B29A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B768C4">
            <w:rPr>
              <w:rFonts w:ascii="Geomanist Light" w:hAnsi="Geomanist Light"/>
              <w:b/>
              <w:bCs/>
              <w:noProof/>
              <w:sz w:val="18"/>
              <w:szCs w:val="18"/>
            </w:rPr>
            <w:t>21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B768C4">
            <w:rPr>
              <w:rFonts w:ascii="Geomanist Light" w:hAnsi="Geomanist Light"/>
              <w:b/>
              <w:bCs/>
              <w:noProof/>
              <w:sz w:val="18"/>
              <w:szCs w:val="18"/>
            </w:rPr>
            <w:t>32</w:t>
          </w:r>
          <w:r w:rsidRPr="00080DA3">
            <w:rPr>
              <w:rFonts w:ascii="Geomanist Light" w:hAnsi="Geomanist Light"/>
              <w:b/>
              <w:bCs/>
              <w:sz w:val="18"/>
              <w:szCs w:val="18"/>
            </w:rPr>
            <w:fldChar w:fldCharType="end"/>
          </w:r>
        </w:p>
      </w:tc>
    </w:tr>
  </w:tbl>
  <w:p w14:paraId="19C43223" w14:textId="77777777" w:rsidR="004B29A8" w:rsidRDefault="004B29A8" w:rsidP="00214878">
    <w:pPr>
      <w:pStyle w:val="Piedepgina"/>
      <w:jc w:val="center"/>
      <w:rPr>
        <w:lang w:val="es-ES"/>
      </w:rPr>
    </w:pPr>
  </w:p>
  <w:p w14:paraId="651FA18A" w14:textId="77777777" w:rsidR="005F6462" w:rsidRDefault="005F6462" w:rsidP="00214878">
    <w:pPr>
      <w:pStyle w:val="Piedepgina"/>
      <w:jc w:val="center"/>
      <w:rPr>
        <w:lang w:val="es-ES"/>
      </w:rPr>
    </w:pPr>
  </w:p>
  <w:p w14:paraId="6C0EFC49" w14:textId="77777777" w:rsidR="005F6462" w:rsidRPr="00214878" w:rsidRDefault="005F646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7323" w14:textId="77777777" w:rsidR="0017682F" w:rsidRDefault="0017682F">
      <w:r>
        <w:separator/>
      </w:r>
    </w:p>
  </w:footnote>
  <w:footnote w:type="continuationSeparator" w:id="0">
    <w:p w14:paraId="51675F90" w14:textId="77777777" w:rsidR="0017682F" w:rsidRDefault="0017682F">
      <w:r>
        <w:continuationSeparator/>
      </w:r>
    </w:p>
  </w:footnote>
  <w:footnote w:id="1">
    <w:p w14:paraId="051C286C" w14:textId="77777777" w:rsidR="001611B9" w:rsidRPr="005D3CBE" w:rsidRDefault="001611B9" w:rsidP="001611B9">
      <w:pPr>
        <w:pStyle w:val="Textonotapie"/>
        <w:ind w:firstLine="709"/>
        <w:jc w:val="both"/>
        <w:rPr>
          <w:rFonts w:ascii="Arial" w:hAnsi="Arial" w:cs="Arial"/>
          <w:color w:val="000000" w:themeColor="text1"/>
          <w:sz w:val="18"/>
          <w:szCs w:val="18"/>
          <w:lang w:val="es-CO"/>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244763AB" w14:textId="77777777" w:rsidR="001611B9" w:rsidRPr="005D3CBE" w:rsidRDefault="001611B9" w:rsidP="001611B9">
      <w:pPr>
        <w:pStyle w:val="Textonotapie"/>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w:t>
      </w:r>
      <w:r w:rsidRPr="005D3CBE">
        <w:rPr>
          <w:rFonts w:ascii="Arial" w:hAnsi="Arial" w:cs="Arial"/>
          <w:color w:val="000000" w:themeColor="text1"/>
          <w:sz w:val="18"/>
          <w:szCs w:val="18"/>
          <w:lang w:val="es-CO"/>
        </w:rPr>
        <w:t xml:space="preserve">Ley 1882 de 2018: «Artículo 4. </w:t>
      </w:r>
      <w:r w:rsidRPr="005D3CBE">
        <w:rPr>
          <w:rFonts w:ascii="Arial" w:hAnsi="Arial" w:cs="Arial"/>
          <w:color w:val="000000" w:themeColor="text1"/>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1C765F2" w14:textId="77777777" w:rsidR="001611B9" w:rsidRPr="005D3CBE" w:rsidRDefault="001611B9" w:rsidP="001611B9">
      <w:pPr>
        <w:pStyle w:val="Textonotapie"/>
        <w:ind w:firstLine="709"/>
        <w:jc w:val="both"/>
        <w:rPr>
          <w:rFonts w:ascii="Arial" w:hAnsi="Arial" w:cs="Arial"/>
          <w:color w:val="000000" w:themeColor="text1"/>
          <w:sz w:val="18"/>
          <w:szCs w:val="18"/>
          <w:lang w:val="es-CO"/>
        </w:rPr>
      </w:pPr>
      <w:r w:rsidRPr="005D3CBE">
        <w:rPr>
          <w:rFonts w:ascii="Arial" w:hAnsi="Arial" w:cs="Arial"/>
          <w:color w:val="000000" w:themeColor="text1"/>
          <w:sz w:val="18"/>
          <w:szCs w:val="18"/>
          <w:lang w:val="es-CO"/>
        </w:rPr>
        <w:t>»La facultad de adoptar documentos tipo la tendrá el Gobierno nacional, cuando lo considere necesario, en relación con otros contratos o procesos de selección.</w:t>
      </w:r>
    </w:p>
    <w:p w14:paraId="399ED20D" w14:textId="77777777" w:rsidR="001611B9" w:rsidRPr="005D3CBE" w:rsidRDefault="001611B9" w:rsidP="001611B9">
      <w:pPr>
        <w:pStyle w:val="Textonotapie"/>
        <w:ind w:firstLine="709"/>
        <w:jc w:val="both"/>
        <w:rPr>
          <w:rFonts w:ascii="Arial" w:hAnsi="Arial" w:cs="Arial"/>
          <w:color w:val="000000" w:themeColor="text1"/>
          <w:sz w:val="18"/>
          <w:szCs w:val="18"/>
          <w:lang w:val="es-CO"/>
        </w:rPr>
      </w:pPr>
      <w:r w:rsidRPr="005D3CBE">
        <w:rPr>
          <w:rFonts w:ascii="Arial" w:hAnsi="Arial" w:cs="Arial"/>
          <w:color w:val="000000" w:themeColor="text1"/>
          <w:sz w:val="18"/>
          <w:szCs w:val="18"/>
          <w:lang w:val="es-CO"/>
        </w:rPr>
        <w:t>»Los pliegos tipo se adoptarán por categorías de acuerdo con la cuantía de la contratación, según la reglamentación que expida el Gobierno nacional».</w:t>
      </w:r>
    </w:p>
  </w:footnote>
  <w:footnote w:id="3">
    <w:p w14:paraId="1CED0E19" w14:textId="77777777" w:rsidR="001611B9" w:rsidRPr="005D3CBE" w:rsidRDefault="001611B9" w:rsidP="001611B9">
      <w:pPr>
        <w:pStyle w:val="Textonotapie"/>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4D429299"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Ley 2022 de 2020: «</w:t>
      </w:r>
      <w:r w:rsidRPr="005D3CBE">
        <w:rPr>
          <w:rStyle w:val="Textoennegrita"/>
          <w:rFonts w:ascii="Arial" w:hAnsi="Arial" w:cs="Arial"/>
          <w:color w:val="000000" w:themeColor="text1"/>
          <w:sz w:val="18"/>
          <w:szCs w:val="18"/>
        </w:rPr>
        <w:t>Artículo 1º.</w:t>
      </w:r>
      <w:r w:rsidRPr="005D3CBE">
        <w:rPr>
          <w:rFonts w:ascii="Arial" w:hAnsi="Arial" w:cs="Arial"/>
          <w:color w:val="000000" w:themeColor="text1"/>
          <w:sz w:val="18"/>
          <w:szCs w:val="18"/>
        </w:rPr>
        <w:t> Modifíquese el artículo 4º de la Ley 1882 de 2018, el cual quedará así: </w:t>
      </w:r>
    </w:p>
    <w:p w14:paraId="0DFED64B"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Style w:val="Textoennegrita"/>
          <w:rFonts w:ascii="Arial" w:hAnsi="Arial" w:cs="Arial"/>
          <w:color w:val="000000" w:themeColor="text1"/>
          <w:sz w:val="18"/>
          <w:szCs w:val="18"/>
        </w:rPr>
        <w:t>»Artículo 4º.</w:t>
      </w:r>
      <w:r w:rsidRPr="005D3CBE">
        <w:rPr>
          <w:rFonts w:ascii="Arial" w:hAnsi="Arial" w:cs="Arial"/>
          <w:color w:val="000000" w:themeColor="text1"/>
          <w:sz w:val="18"/>
          <w:szCs w:val="18"/>
        </w:rPr>
        <w:t> Adiciónese el siguiente parágrafo al artículo 2º de la Ley 1150 de 2007. </w:t>
      </w:r>
    </w:p>
    <w:p w14:paraId="046FC581"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Style w:val="Textoennegrita"/>
          <w:rFonts w:ascii="Arial" w:hAnsi="Arial" w:cs="Arial"/>
          <w:color w:val="000000" w:themeColor="text1"/>
          <w:sz w:val="18"/>
          <w:szCs w:val="18"/>
        </w:rPr>
        <w:t>»Parágrafo 7º.</w:t>
      </w:r>
      <w:r w:rsidRPr="005D3CBE">
        <w:rPr>
          <w:rFonts w:ascii="Arial" w:hAnsi="Arial" w:cs="Arial"/>
          <w:color w:val="000000" w:themeColor="text1"/>
          <w:sz w:val="18"/>
          <w:szCs w:val="18"/>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EF89990"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2280FE4"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5F66ADB"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96E22E9"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313E05D5" w14:textId="77777777" w:rsidR="001611B9" w:rsidRPr="005D3CBE" w:rsidRDefault="001611B9" w:rsidP="001611B9">
      <w:pPr>
        <w:pStyle w:val="Textonotapie"/>
        <w:ind w:firstLine="708"/>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Dichos documentos tipo pueden consultarse en el siguiente enlace: https://www.colombiacompra.gov.co/documentos-tipo/documentos-tipo</w:t>
      </w:r>
    </w:p>
  </w:footnote>
  <w:footnote w:id="6">
    <w:p w14:paraId="17DC8712" w14:textId="77777777" w:rsidR="00C60112" w:rsidRPr="005D3CBE" w:rsidRDefault="00C60112" w:rsidP="00C60112">
      <w:pPr>
        <w:pStyle w:val="Textonotapie"/>
        <w:ind w:firstLine="709"/>
        <w:jc w:val="both"/>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w:t>
      </w:r>
      <w:r w:rsidRPr="005D3CBE">
        <w:rPr>
          <w:rFonts w:ascii="Arial" w:hAnsi="Arial" w:cs="Arial"/>
          <w:sz w:val="18"/>
          <w:szCs w:val="18"/>
          <w:lang w:val="es-ES"/>
        </w:rPr>
        <w:t xml:space="preserve">En cuanto a las resoluciones vigentes, dicha regla se observa en el artículo 3 de las Resoluciones </w:t>
      </w:r>
      <w:bookmarkStart w:id="7" w:name="_Hlk82363077"/>
      <w:r w:rsidRPr="005D3CBE">
        <w:rPr>
          <w:rFonts w:ascii="Arial" w:hAnsi="Arial" w:cs="Arial"/>
          <w:sz w:val="18"/>
          <w:szCs w:val="18"/>
          <w:lang w:val="es-ES"/>
        </w:rPr>
        <w:t>240 de 2020, 241 de 2020, 248 de 2020, 249 de 2020, 269 de 2020, 219 de 2021, 392 de 2021, 454 de 2021, entre otras, así como lo dispuesto en el artículo 2 de la Resolución 094 de 2020</w:t>
      </w:r>
      <w:bookmarkEnd w:id="7"/>
      <w:r w:rsidRPr="005D3CBE">
        <w:rPr>
          <w:rFonts w:ascii="Arial" w:hAnsi="Arial" w:cs="Arial"/>
          <w:sz w:val="18"/>
          <w:szCs w:val="18"/>
          <w:lang w:val="es-ES"/>
        </w:rPr>
        <w:t>.</w:t>
      </w:r>
    </w:p>
    <w:p w14:paraId="02367E35" w14:textId="77777777" w:rsidR="00C60112" w:rsidRPr="005D3CBE" w:rsidRDefault="00C60112" w:rsidP="00C60112">
      <w:pPr>
        <w:pStyle w:val="Textonotapie"/>
        <w:ind w:firstLine="709"/>
        <w:jc w:val="both"/>
        <w:rPr>
          <w:rFonts w:ascii="Arial" w:hAnsi="Arial" w:cs="Arial"/>
          <w:sz w:val="18"/>
          <w:szCs w:val="18"/>
          <w:lang w:val="es-ES"/>
        </w:rPr>
      </w:pPr>
    </w:p>
  </w:footnote>
  <w:footnote w:id="7">
    <w:p w14:paraId="7F94615C" w14:textId="77777777" w:rsidR="00C60112" w:rsidRPr="005D3CBE" w:rsidRDefault="00C60112" w:rsidP="00C60112">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En torno a las potestades regladas, García de Enterría y Fernández manifiestan: «El ejercicio de las </w:t>
      </w:r>
      <w:r w:rsidRPr="005D3CBE">
        <w:rPr>
          <w:rFonts w:ascii="Arial" w:hAnsi="Arial" w:cs="Arial"/>
          <w:sz w:val="18"/>
          <w:szCs w:val="18"/>
        </w:rPr>
        <w:t>ptestades regladas reduce a la Administración a la constatación (accertamento,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Tomás-Ramón. Curso de derecho administrativo. Tomo I. Madrid: Civitas, 1997. pp. 444-445)</w:t>
      </w:r>
    </w:p>
    <w:p w14:paraId="7A6809C5" w14:textId="77777777" w:rsidR="00C60112" w:rsidRPr="005D3CBE" w:rsidRDefault="00C60112" w:rsidP="00C60112">
      <w:pPr>
        <w:pStyle w:val="Textonotapie"/>
        <w:ind w:firstLine="709"/>
        <w:jc w:val="both"/>
        <w:rPr>
          <w:rFonts w:ascii="Arial" w:hAnsi="Arial" w:cs="Arial"/>
          <w:sz w:val="18"/>
          <w:szCs w:val="18"/>
        </w:rPr>
      </w:pPr>
    </w:p>
  </w:footnote>
  <w:footnote w:id="8">
    <w:p w14:paraId="044BCB5F" w14:textId="77777777" w:rsidR="00C60112" w:rsidRPr="005D3CBE" w:rsidRDefault="00C60112" w:rsidP="00C60112">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AC5B847" w14:textId="77777777" w:rsidR="00C60112" w:rsidRPr="005D3CBE" w:rsidRDefault="00C60112" w:rsidP="00C60112">
      <w:pPr>
        <w:pStyle w:val="Textonotapie"/>
        <w:ind w:firstLine="709"/>
        <w:jc w:val="both"/>
        <w:rPr>
          <w:rFonts w:ascii="Arial" w:hAnsi="Arial" w:cs="Arial"/>
          <w:sz w:val="18"/>
          <w:szCs w:val="18"/>
        </w:rPr>
      </w:pPr>
    </w:p>
  </w:footnote>
  <w:footnote w:id="9">
    <w:p w14:paraId="3E3B618C" w14:textId="77777777" w:rsidR="00C60112" w:rsidRPr="005D3CBE" w:rsidRDefault="00C60112" w:rsidP="00C60112">
      <w:pPr>
        <w:ind w:firstLine="709"/>
        <w:jc w:val="both"/>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w:t>
      </w:r>
      <w:r w:rsidRPr="005D3CBE">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71A051D" w14:textId="77777777" w:rsidR="00C60112" w:rsidRPr="005D3CBE" w:rsidRDefault="00C60112" w:rsidP="00C60112">
      <w:pPr>
        <w:ind w:firstLine="709"/>
        <w:jc w:val="both"/>
        <w:rPr>
          <w:rFonts w:ascii="Arial" w:hAnsi="Arial" w:cs="Arial"/>
          <w:sz w:val="18"/>
          <w:szCs w:val="18"/>
          <w:lang w:val="es-ES"/>
        </w:rPr>
      </w:pPr>
    </w:p>
  </w:footnote>
  <w:footnote w:id="10">
    <w:p w14:paraId="32ACD614" w14:textId="77777777" w:rsidR="00CA6A05" w:rsidRPr="005D3CBE" w:rsidRDefault="00CA6A05" w:rsidP="00CA6A05">
      <w:pPr>
        <w:pStyle w:val="Textonotapie"/>
        <w:ind w:firstLine="708"/>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Código: CCE-EICP-GI-14. Versión 1</w:t>
      </w:r>
    </w:p>
  </w:footnote>
  <w:footnote w:id="11">
    <w:p w14:paraId="6DE60FDF" w14:textId="77777777" w:rsidR="002E4DEF" w:rsidRPr="005D3CBE" w:rsidRDefault="002E4DEF" w:rsidP="002E4DEF">
      <w:pPr>
        <w:pStyle w:val="Textonotapie"/>
        <w:ind w:firstLine="708"/>
        <w:rPr>
          <w:rFonts w:ascii="Arial" w:hAnsi="Arial" w:cs="Arial"/>
          <w:sz w:val="18"/>
          <w:szCs w:val="18"/>
          <w:lang w:val="es-CO"/>
        </w:rPr>
      </w:pPr>
      <w:r w:rsidRPr="005D3CBE">
        <w:rPr>
          <w:rStyle w:val="Refdenotaalpie"/>
          <w:rFonts w:ascii="Arial" w:hAnsi="Arial" w:cs="Arial"/>
          <w:sz w:val="18"/>
          <w:szCs w:val="18"/>
        </w:rPr>
        <w:footnoteRef/>
      </w:r>
      <w:r w:rsidRPr="005D3CBE">
        <w:rPr>
          <w:rFonts w:ascii="Arial" w:hAnsi="Arial" w:cs="Arial"/>
          <w:sz w:val="18"/>
          <w:szCs w:val="18"/>
        </w:rPr>
        <w:t xml:space="preserve"> Estos parámetros se encuentran dispuestos de forma gráfica en </w:t>
      </w:r>
      <w:r w:rsidRPr="005D3CBE">
        <w:rPr>
          <w:rFonts w:ascii="Arial" w:hAnsi="Arial" w:cs="Arial"/>
          <w:sz w:val="18"/>
          <w:szCs w:val="18"/>
          <w:lang w:val="es-CO"/>
        </w:rPr>
        <w:t xml:space="preserve">la segunda página “Interpretación de la matriz 1 – experiencia” de cada una de las Matrices de experiencia adoptadas mediante las </w:t>
      </w:r>
      <w:r w:rsidRPr="005D3CBE">
        <w:rPr>
          <w:rFonts w:ascii="Arial" w:eastAsia="Times New Roman" w:hAnsi="Arial" w:cs="Arial"/>
          <w:sz w:val="18"/>
          <w:szCs w:val="18"/>
          <w:lang w:val="es-ES" w:eastAsia="en-GB"/>
        </w:rPr>
        <w:t>Resoluciones Nos. 220, 392 y 454 del 2021.</w:t>
      </w:r>
    </w:p>
  </w:footnote>
  <w:footnote w:id="12">
    <w:p w14:paraId="19D99DB0" w14:textId="77777777" w:rsidR="003F42E8" w:rsidRPr="005D3CBE" w:rsidRDefault="003F42E8" w:rsidP="003F42E8">
      <w:pPr>
        <w:pStyle w:val="Ttulo3"/>
        <w:ind w:firstLine="708"/>
        <w:jc w:val="both"/>
        <w:rPr>
          <w:rFonts w:ascii="Arial" w:eastAsia="Calibri" w:hAnsi="Arial" w:cs="Arial"/>
          <w:color w:val="auto"/>
          <w:sz w:val="18"/>
          <w:szCs w:val="18"/>
          <w:lang w:val="es-MX" w:eastAsia="en-US"/>
        </w:rPr>
      </w:pPr>
      <w:r w:rsidRPr="005D3CBE">
        <w:rPr>
          <w:rStyle w:val="Refdenotaalpie"/>
          <w:sz w:val="18"/>
          <w:szCs w:val="18"/>
        </w:rPr>
        <w:footnoteRef/>
      </w:r>
      <w:r w:rsidRPr="005D3CBE">
        <w:rPr>
          <w:sz w:val="18"/>
          <w:szCs w:val="18"/>
        </w:rPr>
        <w:t xml:space="preserve"> </w:t>
      </w:r>
      <w:r w:rsidRPr="005D3CBE">
        <w:rPr>
          <w:rFonts w:ascii="Arial" w:hAnsi="Arial" w:cs="Arial"/>
          <w:color w:val="auto"/>
          <w:sz w:val="18"/>
          <w:szCs w:val="18"/>
        </w:rPr>
        <w:t xml:space="preserve">El numeral 3.5.5. </w:t>
      </w:r>
      <w:bookmarkStart w:id="9" w:name="_Toc67583307"/>
      <w:bookmarkStart w:id="10" w:name="_Toc78789456"/>
      <w:bookmarkStart w:id="11" w:name="_Toc84486072"/>
      <w:r w:rsidRPr="005D3CBE">
        <w:rPr>
          <w:rFonts w:ascii="Arial" w:hAnsi="Arial" w:cs="Arial"/>
          <w:color w:val="auto"/>
          <w:sz w:val="18"/>
          <w:szCs w:val="18"/>
        </w:rPr>
        <w:t>del Documento Base titulado «</w:t>
      </w:r>
      <w:r w:rsidRPr="005D3CBE">
        <w:rPr>
          <w:rFonts w:ascii="Arial" w:eastAsia="Yu Gothic Light" w:hAnsi="Arial" w:cs="Arial"/>
          <w:bCs/>
          <w:caps/>
          <w:color w:val="auto"/>
          <w:sz w:val="18"/>
          <w:szCs w:val="18"/>
          <w:lang w:eastAsia="en-US"/>
        </w:rPr>
        <w:t>DOCUMENTOS VÁLIDOS PARA LA ACREDITACIÓN DE LA EXPERIENCIA REQUERIDA</w:t>
      </w:r>
      <w:bookmarkEnd w:id="9"/>
      <w:bookmarkEnd w:id="10"/>
      <w:bookmarkEnd w:id="11"/>
      <w:r w:rsidRPr="005D3CBE">
        <w:rPr>
          <w:rFonts w:ascii="Arial" w:eastAsia="Yu Gothic Light" w:hAnsi="Arial" w:cs="Arial"/>
          <w:bCs/>
          <w:caps/>
          <w:color w:val="auto"/>
          <w:sz w:val="18"/>
          <w:szCs w:val="18"/>
          <w:lang w:eastAsia="en-US"/>
        </w:rPr>
        <w:t xml:space="preserve">» </w:t>
      </w:r>
      <w:r w:rsidRPr="005D3CBE">
        <w:rPr>
          <w:rFonts w:ascii="Arial" w:eastAsia="Calibri" w:hAnsi="Arial" w:cs="Arial"/>
          <w:color w:val="auto"/>
          <w:sz w:val="18"/>
          <w:szCs w:val="18"/>
          <w:lang w:val="es-MX" w:eastAsia="en-US"/>
        </w:rPr>
        <w:t>establece lo siguiente:</w:t>
      </w:r>
    </w:p>
    <w:p w14:paraId="4C832F25" w14:textId="77777777" w:rsidR="003F42E8" w:rsidRPr="005D3CBE" w:rsidRDefault="003F42E8" w:rsidP="003F42E8">
      <w:pPr>
        <w:pStyle w:val="Ttulo3"/>
        <w:ind w:firstLine="708"/>
        <w:jc w:val="both"/>
        <w:rPr>
          <w:rFonts w:ascii="Arial" w:eastAsia="Calibri" w:hAnsi="Arial" w:cs="Arial"/>
          <w:color w:val="auto"/>
          <w:sz w:val="18"/>
          <w:szCs w:val="18"/>
          <w:lang w:val="es-MX" w:eastAsia="en-US"/>
        </w:rPr>
      </w:pPr>
      <w:r w:rsidRPr="005D3CBE">
        <w:rPr>
          <w:rFonts w:ascii="Arial" w:eastAsia="Calibri" w:hAnsi="Arial" w:cs="Arial"/>
          <w:color w:val="auto"/>
          <w:sz w:val="18"/>
          <w:szCs w:val="18"/>
          <w:lang w:val="es-MX" w:eastAsia="en-US"/>
        </w:rPr>
        <w:t xml:space="preserve">«En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diligenciados y suscritos por el contratante, el Contratista o el interventor, según corresponda. En caso de existir discrepancias entre dos (2) o más documentos aportados por el Proponente para la acreditación de la experiencia, se tendrá en cuenta el orden de prevalencia indicado a continuación: </w:t>
      </w:r>
    </w:p>
    <w:p w14:paraId="5FB47FD9" w14:textId="77777777" w:rsidR="003F42E8" w:rsidRPr="005D3CBE" w:rsidRDefault="003F42E8" w:rsidP="003F42E8">
      <w:pPr>
        <w:pStyle w:val="Ttulo3"/>
        <w:ind w:firstLine="708"/>
        <w:jc w:val="both"/>
        <w:rPr>
          <w:rFonts w:ascii="Arial" w:eastAsia="Calibri" w:hAnsi="Arial" w:cs="Arial"/>
          <w:color w:val="auto"/>
          <w:sz w:val="18"/>
          <w:szCs w:val="18"/>
          <w:lang w:val="es-MX" w:eastAsia="en-US"/>
        </w:rPr>
      </w:pPr>
      <w:r w:rsidRPr="005D3CBE">
        <w:rPr>
          <w:rFonts w:ascii="Arial" w:eastAsia="Calibri" w:hAnsi="Arial" w:cs="Arial"/>
          <w:color w:val="auto"/>
          <w:sz w:val="18"/>
          <w:szCs w:val="18"/>
          <w:lang w:val="es-MX" w:eastAsia="en-US"/>
        </w:rPr>
        <w:t xml:space="preserve">A. Acta de liquidación. B. Acta de entrega, terminación, final o de recibo definitivo. C. Certificación de experiencia. Expedida con posterioridad a la fecha de terminación del Contrato en la que conste el recibo a satisfacción de la obra contratada debidamente suscrita por quien esté en capacidad u obligación de hacerlo. D. Acta de inicio o la orden de inicio. La misma solo será válida para efectos de acreditar la fecha de inicio. E. </w:t>
      </w:r>
      <w:r w:rsidRPr="005D3CBE">
        <w:rPr>
          <w:rFonts w:ascii="Arial" w:eastAsia="Calibri" w:hAnsi="Arial" w:cs="Arial"/>
          <w:color w:val="auto"/>
          <w:sz w:val="18"/>
          <w:szCs w:val="18"/>
          <w:highlight w:val="lightGray"/>
          <w:lang w:val="es-MX" w:eastAsia="en-US"/>
        </w:rPr>
        <w:t>[Para los proyectos de edificaciones emplee este literal, de lo contrario eliminarlo.]</w:t>
      </w:r>
      <w:r w:rsidRPr="005D3CBE">
        <w:rPr>
          <w:rFonts w:ascii="Arial" w:eastAsia="Calibri" w:hAnsi="Arial" w:cs="Arial"/>
          <w:color w:val="auto"/>
          <w:sz w:val="18"/>
          <w:szCs w:val="18"/>
          <w:lang w:val="es-MX" w:eastAsia="en-US"/>
        </w:rPr>
        <w:t xml:space="preserve"> Copia de la licencia de construcción y/o licencia de urbanismo. F. </w:t>
      </w:r>
      <w:r w:rsidRPr="005D3CBE">
        <w:rPr>
          <w:rFonts w:ascii="Arial" w:hAnsi="Arial" w:cs="Arial"/>
          <w:color w:val="auto"/>
          <w:sz w:val="18"/>
          <w:szCs w:val="18"/>
          <w:lang w:val="es-MX" w:eastAsia="en-US"/>
        </w:rPr>
        <w:t xml:space="preserve">Planos récord finales de obra. G. </w:t>
      </w:r>
      <w:r w:rsidRPr="005D3CBE">
        <w:rPr>
          <w:rFonts w:ascii="Arial" w:eastAsia="Calibri" w:hAnsi="Arial" w:cs="Arial"/>
          <w:color w:val="auto"/>
          <w:sz w:val="18"/>
          <w:szCs w:val="18"/>
          <w:lang w:val="es-MX" w:eastAsia="en-US"/>
        </w:rPr>
        <w:t xml:space="preserve">Para los contratos que hayan sido objeto de cesión, el Contrato deberá encontrarse inscrito y clasificado en el RUP o en uno o alguno de los documentos considerados como válidos para la acreditación de experiencia de la persona jurídica o natural cesionaria, según aplique. La experiencia se admitirá para el cesionario y no se reconocerá experiencia alguna al cedente. H. Cualquier otro documento idóneo que acredite la experiencia exigida, tales como: el Contrato y/o los Documentos del Proceso Contractual, los cuales deben estar suscritos por las personas que intervinieron en su formación o estar publicados en el SECOP. </w:t>
      </w:r>
    </w:p>
    <w:p w14:paraId="2A9986C5" w14:textId="77777777" w:rsidR="003F42E8" w:rsidRPr="005D3CBE" w:rsidRDefault="003F42E8" w:rsidP="003F42E8">
      <w:pPr>
        <w:ind w:firstLine="708"/>
        <w:jc w:val="both"/>
        <w:rPr>
          <w:rFonts w:ascii="Arial" w:eastAsia="Calibri" w:hAnsi="Arial" w:cs="Arial"/>
          <w:sz w:val="18"/>
          <w:szCs w:val="18"/>
        </w:rPr>
      </w:pPr>
      <w:r w:rsidRPr="005D3CBE">
        <w:rPr>
          <w:rFonts w:ascii="Arial" w:eastAsia="Calibri" w:hAnsi="Arial" w:cs="Arial"/>
          <w:sz w:val="18"/>
          <w:szCs w:val="18"/>
        </w:rPr>
        <w:t>»Para efectos de acreditación de experiencia entre particulares, el Proponente deberá aportar, además, la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de la Junta Central de Contadores, o los documentos equivalentes que hagan sus veces en el país donde se expide el documento del profesional.</w:t>
      </w:r>
    </w:p>
    <w:p w14:paraId="71B9F13C" w14:textId="5ED3EC5C" w:rsidR="003F42E8" w:rsidRPr="005D3CBE" w:rsidRDefault="003F42E8">
      <w:pPr>
        <w:pStyle w:val="Textonotapie"/>
        <w:rPr>
          <w:sz w:val="18"/>
          <w:szCs w:val="18"/>
          <w:lang w:val="es-CO"/>
        </w:rPr>
      </w:pPr>
    </w:p>
  </w:footnote>
  <w:footnote w:id="13">
    <w:p w14:paraId="6B969523" w14:textId="2761DF45" w:rsidR="006C6355" w:rsidRPr="005D3CBE" w:rsidRDefault="006C6355" w:rsidP="008202D8">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Resolución 219 de 2020: «Artículo 4. Bienes o servicios adicionales a la obra pública de infraestructura social. Cuando el objeto contractual incluya bienes o servicios ajenos a la obra pública de infraestructura social, la </w:t>
      </w:r>
      <w:r w:rsidR="00A66B2C" w:rsidRPr="005D3CBE">
        <w:rPr>
          <w:rFonts w:ascii="Arial" w:hAnsi="Arial" w:cs="Arial"/>
          <w:sz w:val="18"/>
          <w:szCs w:val="18"/>
        </w:rPr>
        <w:t>Entidad Estatal</w:t>
      </w:r>
      <w:r w:rsidRPr="005D3CBE">
        <w:rPr>
          <w:rFonts w:ascii="Arial" w:hAnsi="Arial" w:cs="Arial"/>
          <w:sz w:val="18"/>
          <w:szCs w:val="18"/>
        </w:rPr>
        <w:t xml:space="preserve"> deberá aplicar los documentos tipo. Si de manera excepcional requiere incluir experiencia adicional para evaluar la idoneidad respecto de los bienes o servicios ajenos a [a obra pública, deberá seguir los siguientes parámetros: </w:t>
      </w:r>
    </w:p>
    <w:p w14:paraId="0AE447B8"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»1. Demostrar en los estudios previos que ha verificado las condiciones de mercado para la adquisición de los bienes o servicios adicionales al componente de obra pública, de {al manera que la experiencia adicional que se exija para tales bienes o servicios procure la pluralidad de oferentes, y no limite la concurrencia de proponentes al proceso de contratación. Para tal efecto, la entidad realizará el estudio previo y el análisis del sector en los términos de los artículos 2.2.1.1.1.6.1 y 2.2.1.1.1.6.2 del Decreto 1082 de 2015, o la norma que los adicione, complemente o sustituya. </w:t>
      </w:r>
    </w:p>
    <w:p w14:paraId="72A015D0"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»2. Conservar los requisitos exigidos en los documentos tipo. </w:t>
      </w:r>
    </w:p>
    <w:p w14:paraId="0271C0B5"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»3. Abstenerse de pedir experiencia exclusiva con entidades de cualquier naturaleza, experiencia previa exclusiva en un territorio específico, limitada en el tiempo o que incluya volúmenes o cantidades de obra específica. </w:t>
      </w:r>
    </w:p>
    <w:p w14:paraId="60FA81D8"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»4. Clasificar la experiencia requerida solo hasta el tercer nivel del Clasificador de Bienes y Servicios e incluir exclusivamente los códigos que estén relacionados directamente con el objeto a contratar</w:t>
      </w:r>
    </w:p>
    <w:p w14:paraId="05542E1E" w14:textId="6DFB6DB5"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»Parágrafo 1. En los casos que el objeto contractual incluya actividades abarcadas por otros documentos tipo expedidos por la Agencia Nacional de Contratación Pública -Colombia Compra Eficiente-, la </w:t>
      </w:r>
      <w:r w:rsidR="00A66B2C" w:rsidRPr="005D3CBE">
        <w:rPr>
          <w:rFonts w:ascii="Arial" w:hAnsi="Arial" w:cs="Arial"/>
          <w:sz w:val="18"/>
          <w:szCs w:val="18"/>
        </w:rPr>
        <w:t>Entidad Estatal</w:t>
      </w:r>
      <w:r w:rsidRPr="005D3CBE">
        <w:rPr>
          <w:rFonts w:ascii="Arial" w:hAnsi="Arial" w:cs="Arial"/>
          <w:sz w:val="18"/>
          <w:szCs w:val="18"/>
        </w:rPr>
        <w:t xml:space="preserve"> podrá aplicar las reglas de combinación de experiencia previstas en el numeral 3.5.1 del documento base. </w:t>
      </w:r>
    </w:p>
    <w:p w14:paraId="0979D592"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»Parágrafo 2. Para los efectos de este artículo se entiende por "bienes o servicios adicionales"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p>
    <w:p w14:paraId="2202FD03" w14:textId="374F42A3" w:rsidR="006C6355" w:rsidRPr="005D3CBE" w:rsidRDefault="006C6355" w:rsidP="008202D8">
      <w:pPr>
        <w:pStyle w:val="Textonotapie"/>
        <w:ind w:firstLine="708"/>
        <w:jc w:val="both"/>
        <w:rPr>
          <w:rFonts w:ascii="Arial" w:hAnsi="Arial" w:cs="Arial"/>
          <w:sz w:val="18"/>
          <w:szCs w:val="18"/>
          <w:lang w:val="es-CO"/>
        </w:rPr>
      </w:pPr>
      <w:r w:rsidRPr="005D3CBE">
        <w:rPr>
          <w:rFonts w:ascii="Arial" w:hAnsi="Arial" w:cs="Arial"/>
          <w:sz w:val="18"/>
          <w:szCs w:val="18"/>
        </w:rPr>
        <w:t xml:space="preserve">»Parágrafo 3. Para la aplicación de este artículo, se entiende por experiencia adicional aquella que no está definida en la matriz de experiencia de infraestructura social aplicable, pero que la </w:t>
      </w:r>
      <w:r w:rsidR="00A66B2C" w:rsidRPr="005D3CBE">
        <w:rPr>
          <w:rFonts w:ascii="Arial" w:hAnsi="Arial" w:cs="Arial"/>
          <w:sz w:val="18"/>
          <w:szCs w:val="18"/>
        </w:rPr>
        <w:t>Entidad Estatal</w:t>
      </w:r>
      <w:r w:rsidRPr="005D3CBE">
        <w:rPr>
          <w:rFonts w:ascii="Arial" w:hAnsi="Arial" w:cs="Arial"/>
          <w:sz w:val="18"/>
          <w:szCs w:val="18"/>
        </w:rPr>
        <w:t xml:space="preserve"> considera necesaria para garantizar la idoneidad del contratista para la ejecución del proyecto, puesto que está relacionada con el objeto a ejecutar».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3ED8C382" w:rsidR="005F6462" w:rsidRDefault="005F6462" w:rsidP="00214878">
    <w:pPr>
      <w:pStyle w:val="Encabezado"/>
    </w:pPr>
  </w:p>
  <w:p w14:paraId="6520770B" w14:textId="1CD137AF" w:rsidR="005F6462" w:rsidRPr="00214878" w:rsidRDefault="004B29A8" w:rsidP="00214878">
    <w:pPr>
      <w:pStyle w:val="Encabezado"/>
    </w:pPr>
    <w:r>
      <w:rPr>
        <w:noProof/>
        <w:lang w:val="es-CO" w:eastAsia="es-CO"/>
      </w:rPr>
      <w:drawing>
        <wp:anchor distT="0" distB="0" distL="114300" distR="114300" simplePos="0" relativeHeight="251659264" behindDoc="0" locked="0" layoutInCell="1" allowOverlap="1" wp14:anchorId="60A4E309" wp14:editId="612736DE">
          <wp:simplePos x="0" y="0"/>
          <wp:positionH relativeFrom="margin">
            <wp:posOffset>4568190</wp:posOffset>
          </wp:positionH>
          <wp:positionV relativeFrom="paragraph">
            <wp:posOffset>36195</wp:posOffset>
          </wp:positionV>
          <wp:extent cx="1543050" cy="640616"/>
          <wp:effectExtent l="0" t="0" r="0" b="7620"/>
          <wp:wrapNone/>
          <wp:docPr id="19" name="Imagen 19"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050" cy="64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7"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041E8A"/>
    <w:multiLevelType w:val="multilevel"/>
    <w:tmpl w:val="A3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8"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20"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6"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31"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E097A"/>
    <w:multiLevelType w:val="hybridMultilevel"/>
    <w:tmpl w:val="F1E6C93C"/>
    <w:lvl w:ilvl="0" w:tplc="1020E43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60377032">
    <w:abstractNumId w:val="13"/>
  </w:num>
  <w:num w:numId="2" w16cid:durableId="1251235732">
    <w:abstractNumId w:val="12"/>
  </w:num>
  <w:num w:numId="3" w16cid:durableId="326907763">
    <w:abstractNumId w:val="21"/>
  </w:num>
  <w:num w:numId="4" w16cid:durableId="672419571">
    <w:abstractNumId w:val="28"/>
  </w:num>
  <w:num w:numId="5" w16cid:durableId="583074838">
    <w:abstractNumId w:val="34"/>
  </w:num>
  <w:num w:numId="6" w16cid:durableId="121951354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965496">
    <w:abstractNumId w:val="29"/>
  </w:num>
  <w:num w:numId="8" w16cid:durableId="1892232418">
    <w:abstractNumId w:val="4"/>
  </w:num>
  <w:num w:numId="9" w16cid:durableId="1766875624">
    <w:abstractNumId w:val="32"/>
  </w:num>
  <w:num w:numId="10" w16cid:durableId="2011256558">
    <w:abstractNumId w:val="25"/>
  </w:num>
  <w:num w:numId="11" w16cid:durableId="496919827">
    <w:abstractNumId w:val="22"/>
  </w:num>
  <w:num w:numId="12" w16cid:durableId="164247388">
    <w:abstractNumId w:val="2"/>
  </w:num>
  <w:num w:numId="13" w16cid:durableId="2115322503">
    <w:abstractNumId w:val="23"/>
  </w:num>
  <w:num w:numId="14" w16cid:durableId="1145463671">
    <w:abstractNumId w:val="27"/>
  </w:num>
  <w:num w:numId="15" w16cid:durableId="889148563">
    <w:abstractNumId w:val="24"/>
  </w:num>
  <w:num w:numId="16" w16cid:durableId="1340429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172537">
    <w:abstractNumId w:val="9"/>
  </w:num>
  <w:num w:numId="18" w16cid:durableId="2609198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33682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650055">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968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301912">
    <w:abstractNumId w:val="20"/>
  </w:num>
  <w:num w:numId="23" w16cid:durableId="1610115899">
    <w:abstractNumId w:val="11"/>
  </w:num>
  <w:num w:numId="24" w16cid:durableId="24988025">
    <w:abstractNumId w:val="36"/>
  </w:num>
  <w:num w:numId="25" w16cid:durableId="611785675">
    <w:abstractNumId w:val="17"/>
  </w:num>
  <w:num w:numId="26" w16cid:durableId="2035764300">
    <w:abstractNumId w:val="26"/>
  </w:num>
  <w:num w:numId="27" w16cid:durableId="406879278">
    <w:abstractNumId w:val="8"/>
  </w:num>
  <w:num w:numId="28" w16cid:durableId="558395364">
    <w:abstractNumId w:val="7"/>
  </w:num>
  <w:num w:numId="29" w16cid:durableId="2140099287">
    <w:abstractNumId w:val="14"/>
  </w:num>
  <w:num w:numId="30" w16cid:durableId="1477381416">
    <w:abstractNumId w:val="37"/>
  </w:num>
  <w:num w:numId="31" w16cid:durableId="1429811892">
    <w:abstractNumId w:val="31"/>
  </w:num>
  <w:num w:numId="32" w16cid:durableId="1907060723">
    <w:abstractNumId w:val="3"/>
  </w:num>
  <w:num w:numId="33" w16cid:durableId="1129515381">
    <w:abstractNumId w:val="15"/>
  </w:num>
  <w:num w:numId="34" w16cid:durableId="1091664182">
    <w:abstractNumId w:val="19"/>
  </w:num>
  <w:num w:numId="35" w16cid:durableId="1606303499">
    <w:abstractNumId w:val="6"/>
  </w:num>
  <w:num w:numId="36" w16cid:durableId="401683872">
    <w:abstractNumId w:val="10"/>
  </w:num>
  <w:num w:numId="37" w16cid:durableId="1252159925">
    <w:abstractNumId w:val="0"/>
  </w:num>
  <w:num w:numId="38" w16cid:durableId="11038410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CD3"/>
    <w:rsid w:val="00000DDB"/>
    <w:rsid w:val="00002386"/>
    <w:rsid w:val="00007845"/>
    <w:rsid w:val="00015DF9"/>
    <w:rsid w:val="00022430"/>
    <w:rsid w:val="00023BE4"/>
    <w:rsid w:val="00023C87"/>
    <w:rsid w:val="0002551F"/>
    <w:rsid w:val="000261BB"/>
    <w:rsid w:val="000268D8"/>
    <w:rsid w:val="0003099A"/>
    <w:rsid w:val="00031FC6"/>
    <w:rsid w:val="000328CD"/>
    <w:rsid w:val="0003293F"/>
    <w:rsid w:val="00033B21"/>
    <w:rsid w:val="00033F9B"/>
    <w:rsid w:val="00035210"/>
    <w:rsid w:val="00036204"/>
    <w:rsid w:val="0004125C"/>
    <w:rsid w:val="00043688"/>
    <w:rsid w:val="0004523D"/>
    <w:rsid w:val="00045377"/>
    <w:rsid w:val="00046ECC"/>
    <w:rsid w:val="00051B4F"/>
    <w:rsid w:val="0005490A"/>
    <w:rsid w:val="00054A7B"/>
    <w:rsid w:val="00056788"/>
    <w:rsid w:val="00060398"/>
    <w:rsid w:val="00060721"/>
    <w:rsid w:val="00060A56"/>
    <w:rsid w:val="000626DD"/>
    <w:rsid w:val="00063EA6"/>
    <w:rsid w:val="00064B28"/>
    <w:rsid w:val="00064E2F"/>
    <w:rsid w:val="0006542C"/>
    <w:rsid w:val="000664C5"/>
    <w:rsid w:val="000709B9"/>
    <w:rsid w:val="00071077"/>
    <w:rsid w:val="00071287"/>
    <w:rsid w:val="000738A4"/>
    <w:rsid w:val="00074108"/>
    <w:rsid w:val="000743F8"/>
    <w:rsid w:val="00075235"/>
    <w:rsid w:val="00077A71"/>
    <w:rsid w:val="000821B3"/>
    <w:rsid w:val="00084AF1"/>
    <w:rsid w:val="00086C1E"/>
    <w:rsid w:val="000902E3"/>
    <w:rsid w:val="0009126C"/>
    <w:rsid w:val="00091F03"/>
    <w:rsid w:val="00092172"/>
    <w:rsid w:val="00092C97"/>
    <w:rsid w:val="0009351A"/>
    <w:rsid w:val="000942EB"/>
    <w:rsid w:val="000950AA"/>
    <w:rsid w:val="00095F29"/>
    <w:rsid w:val="000A0382"/>
    <w:rsid w:val="000A1DB4"/>
    <w:rsid w:val="000A20ED"/>
    <w:rsid w:val="000A3D48"/>
    <w:rsid w:val="000A4AA5"/>
    <w:rsid w:val="000A6FC7"/>
    <w:rsid w:val="000A785D"/>
    <w:rsid w:val="000B103F"/>
    <w:rsid w:val="000B1F29"/>
    <w:rsid w:val="000B2127"/>
    <w:rsid w:val="000B3C08"/>
    <w:rsid w:val="000B5754"/>
    <w:rsid w:val="000B6AB4"/>
    <w:rsid w:val="000B742E"/>
    <w:rsid w:val="000B7E82"/>
    <w:rsid w:val="000C0959"/>
    <w:rsid w:val="000C0D2B"/>
    <w:rsid w:val="000C19E1"/>
    <w:rsid w:val="000C2F6D"/>
    <w:rsid w:val="000C3861"/>
    <w:rsid w:val="000C3872"/>
    <w:rsid w:val="000C400F"/>
    <w:rsid w:val="000C6F8D"/>
    <w:rsid w:val="000C7696"/>
    <w:rsid w:val="000C77F0"/>
    <w:rsid w:val="000D02B3"/>
    <w:rsid w:val="000D3A92"/>
    <w:rsid w:val="000D4A92"/>
    <w:rsid w:val="000E0550"/>
    <w:rsid w:val="000E1BF2"/>
    <w:rsid w:val="000E1FCB"/>
    <w:rsid w:val="000E2D78"/>
    <w:rsid w:val="000E4B5C"/>
    <w:rsid w:val="000E5799"/>
    <w:rsid w:val="000E699E"/>
    <w:rsid w:val="000E730C"/>
    <w:rsid w:val="000E7352"/>
    <w:rsid w:val="000E7F0F"/>
    <w:rsid w:val="000F14E8"/>
    <w:rsid w:val="000F18A6"/>
    <w:rsid w:val="000F22D6"/>
    <w:rsid w:val="000F4EAF"/>
    <w:rsid w:val="00101C4D"/>
    <w:rsid w:val="00103915"/>
    <w:rsid w:val="001055F3"/>
    <w:rsid w:val="001069A9"/>
    <w:rsid w:val="00110320"/>
    <w:rsid w:val="001103A2"/>
    <w:rsid w:val="00112839"/>
    <w:rsid w:val="00113958"/>
    <w:rsid w:val="00113AFB"/>
    <w:rsid w:val="00121CD3"/>
    <w:rsid w:val="00122B23"/>
    <w:rsid w:val="00123889"/>
    <w:rsid w:val="00124877"/>
    <w:rsid w:val="00125924"/>
    <w:rsid w:val="00125C5F"/>
    <w:rsid w:val="00130EF4"/>
    <w:rsid w:val="001319FF"/>
    <w:rsid w:val="001353DC"/>
    <w:rsid w:val="0013568D"/>
    <w:rsid w:val="0013799F"/>
    <w:rsid w:val="00137FFA"/>
    <w:rsid w:val="00140570"/>
    <w:rsid w:val="001407F6"/>
    <w:rsid w:val="00140A32"/>
    <w:rsid w:val="00141FAC"/>
    <w:rsid w:val="001428A2"/>
    <w:rsid w:val="00145C2E"/>
    <w:rsid w:val="00146306"/>
    <w:rsid w:val="001501C1"/>
    <w:rsid w:val="00151923"/>
    <w:rsid w:val="00152AD5"/>
    <w:rsid w:val="001550A3"/>
    <w:rsid w:val="0015628A"/>
    <w:rsid w:val="00156A2A"/>
    <w:rsid w:val="001611B9"/>
    <w:rsid w:val="00161B7E"/>
    <w:rsid w:val="00163902"/>
    <w:rsid w:val="00166598"/>
    <w:rsid w:val="00166B32"/>
    <w:rsid w:val="00172DC1"/>
    <w:rsid w:val="00172E61"/>
    <w:rsid w:val="001737C9"/>
    <w:rsid w:val="00174DDB"/>
    <w:rsid w:val="00175FDC"/>
    <w:rsid w:val="00176817"/>
    <w:rsid w:val="0017682F"/>
    <w:rsid w:val="0018007B"/>
    <w:rsid w:val="00181B60"/>
    <w:rsid w:val="00181C27"/>
    <w:rsid w:val="001821C5"/>
    <w:rsid w:val="00185A27"/>
    <w:rsid w:val="001929F9"/>
    <w:rsid w:val="00193DFB"/>
    <w:rsid w:val="00193EFC"/>
    <w:rsid w:val="00195745"/>
    <w:rsid w:val="001973B7"/>
    <w:rsid w:val="001A1A18"/>
    <w:rsid w:val="001A2276"/>
    <w:rsid w:val="001A36B8"/>
    <w:rsid w:val="001A44EB"/>
    <w:rsid w:val="001A695E"/>
    <w:rsid w:val="001A6D50"/>
    <w:rsid w:val="001A7009"/>
    <w:rsid w:val="001B32B8"/>
    <w:rsid w:val="001B493A"/>
    <w:rsid w:val="001B5E28"/>
    <w:rsid w:val="001B6613"/>
    <w:rsid w:val="001B6E03"/>
    <w:rsid w:val="001C01AC"/>
    <w:rsid w:val="001C092E"/>
    <w:rsid w:val="001C611F"/>
    <w:rsid w:val="001C6B55"/>
    <w:rsid w:val="001D05CC"/>
    <w:rsid w:val="001D088A"/>
    <w:rsid w:val="001D1419"/>
    <w:rsid w:val="001D175D"/>
    <w:rsid w:val="001D4B3D"/>
    <w:rsid w:val="001D5178"/>
    <w:rsid w:val="001D5C4D"/>
    <w:rsid w:val="001E0B25"/>
    <w:rsid w:val="001E0E4F"/>
    <w:rsid w:val="001E1DB9"/>
    <w:rsid w:val="001E62AF"/>
    <w:rsid w:val="001F07C0"/>
    <w:rsid w:val="001F2A9C"/>
    <w:rsid w:val="001F6CA5"/>
    <w:rsid w:val="001F7686"/>
    <w:rsid w:val="002002A3"/>
    <w:rsid w:val="00202A08"/>
    <w:rsid w:val="00202F2E"/>
    <w:rsid w:val="00206142"/>
    <w:rsid w:val="002109B6"/>
    <w:rsid w:val="0021312A"/>
    <w:rsid w:val="0021354E"/>
    <w:rsid w:val="00213765"/>
    <w:rsid w:val="00214878"/>
    <w:rsid w:val="00215E47"/>
    <w:rsid w:val="0022174A"/>
    <w:rsid w:val="00221DB1"/>
    <w:rsid w:val="00222E78"/>
    <w:rsid w:val="00223669"/>
    <w:rsid w:val="00224504"/>
    <w:rsid w:val="00224AFF"/>
    <w:rsid w:val="00233154"/>
    <w:rsid w:val="00233D41"/>
    <w:rsid w:val="002346FC"/>
    <w:rsid w:val="00234B84"/>
    <w:rsid w:val="00235A80"/>
    <w:rsid w:val="00237377"/>
    <w:rsid w:val="0024024C"/>
    <w:rsid w:val="00240C0E"/>
    <w:rsid w:val="002411E9"/>
    <w:rsid w:val="0024158B"/>
    <w:rsid w:val="0024213C"/>
    <w:rsid w:val="00242ED7"/>
    <w:rsid w:val="0024480D"/>
    <w:rsid w:val="002451C1"/>
    <w:rsid w:val="002454B3"/>
    <w:rsid w:val="002465CC"/>
    <w:rsid w:val="0024669C"/>
    <w:rsid w:val="002501E7"/>
    <w:rsid w:val="00250EB5"/>
    <w:rsid w:val="00252B8B"/>
    <w:rsid w:val="00252ED8"/>
    <w:rsid w:val="00253E65"/>
    <w:rsid w:val="00254CEF"/>
    <w:rsid w:val="0025799B"/>
    <w:rsid w:val="00260125"/>
    <w:rsid w:val="0026156A"/>
    <w:rsid w:val="0026186C"/>
    <w:rsid w:val="00261A2E"/>
    <w:rsid w:val="002630D9"/>
    <w:rsid w:val="00263252"/>
    <w:rsid w:val="002706B4"/>
    <w:rsid w:val="00271593"/>
    <w:rsid w:val="00274B3E"/>
    <w:rsid w:val="00275DB5"/>
    <w:rsid w:val="00277E34"/>
    <w:rsid w:val="00280E65"/>
    <w:rsid w:val="0028451A"/>
    <w:rsid w:val="00286EF9"/>
    <w:rsid w:val="00287A42"/>
    <w:rsid w:val="00291854"/>
    <w:rsid w:val="002918F7"/>
    <w:rsid w:val="00294025"/>
    <w:rsid w:val="00294A08"/>
    <w:rsid w:val="00294B09"/>
    <w:rsid w:val="00294E58"/>
    <w:rsid w:val="002A2CEC"/>
    <w:rsid w:val="002A31F8"/>
    <w:rsid w:val="002A3448"/>
    <w:rsid w:val="002A36A9"/>
    <w:rsid w:val="002A3EC3"/>
    <w:rsid w:val="002A4D54"/>
    <w:rsid w:val="002A62A8"/>
    <w:rsid w:val="002A7778"/>
    <w:rsid w:val="002A7C02"/>
    <w:rsid w:val="002B0A90"/>
    <w:rsid w:val="002B207F"/>
    <w:rsid w:val="002B3D4E"/>
    <w:rsid w:val="002B4EBC"/>
    <w:rsid w:val="002B79DC"/>
    <w:rsid w:val="002B7BD0"/>
    <w:rsid w:val="002C45D9"/>
    <w:rsid w:val="002C71CA"/>
    <w:rsid w:val="002C7B84"/>
    <w:rsid w:val="002C7E55"/>
    <w:rsid w:val="002C7E5B"/>
    <w:rsid w:val="002D1AA6"/>
    <w:rsid w:val="002D662E"/>
    <w:rsid w:val="002D7A0C"/>
    <w:rsid w:val="002E000E"/>
    <w:rsid w:val="002E1753"/>
    <w:rsid w:val="002E4DEF"/>
    <w:rsid w:val="002E5D84"/>
    <w:rsid w:val="002E709C"/>
    <w:rsid w:val="002E7375"/>
    <w:rsid w:val="002E7617"/>
    <w:rsid w:val="002E79A9"/>
    <w:rsid w:val="002F2195"/>
    <w:rsid w:val="002F3127"/>
    <w:rsid w:val="002F33C3"/>
    <w:rsid w:val="002F3B3F"/>
    <w:rsid w:val="002F4A45"/>
    <w:rsid w:val="002F723E"/>
    <w:rsid w:val="002F77A1"/>
    <w:rsid w:val="00300384"/>
    <w:rsid w:val="003011A3"/>
    <w:rsid w:val="00302E0A"/>
    <w:rsid w:val="00303001"/>
    <w:rsid w:val="003033BA"/>
    <w:rsid w:val="00305947"/>
    <w:rsid w:val="00306259"/>
    <w:rsid w:val="003067C4"/>
    <w:rsid w:val="00306FCD"/>
    <w:rsid w:val="0031354B"/>
    <w:rsid w:val="00313908"/>
    <w:rsid w:val="003159B5"/>
    <w:rsid w:val="00315C98"/>
    <w:rsid w:val="00316518"/>
    <w:rsid w:val="00317163"/>
    <w:rsid w:val="003177B8"/>
    <w:rsid w:val="00321084"/>
    <w:rsid w:val="00321A6D"/>
    <w:rsid w:val="00323084"/>
    <w:rsid w:val="00330E9B"/>
    <w:rsid w:val="0033352A"/>
    <w:rsid w:val="00333538"/>
    <w:rsid w:val="00333DA4"/>
    <w:rsid w:val="00333DBC"/>
    <w:rsid w:val="00334344"/>
    <w:rsid w:val="00337660"/>
    <w:rsid w:val="00342C0D"/>
    <w:rsid w:val="00345AC9"/>
    <w:rsid w:val="003463D9"/>
    <w:rsid w:val="0034680A"/>
    <w:rsid w:val="00346DA2"/>
    <w:rsid w:val="003471F9"/>
    <w:rsid w:val="00350DDF"/>
    <w:rsid w:val="00352311"/>
    <w:rsid w:val="0035408A"/>
    <w:rsid w:val="00354F7E"/>
    <w:rsid w:val="003559ED"/>
    <w:rsid w:val="003569FD"/>
    <w:rsid w:val="00356E6F"/>
    <w:rsid w:val="00356FAB"/>
    <w:rsid w:val="00361BB8"/>
    <w:rsid w:val="003644CA"/>
    <w:rsid w:val="003657FD"/>
    <w:rsid w:val="003664C6"/>
    <w:rsid w:val="00366E1B"/>
    <w:rsid w:val="00367DDB"/>
    <w:rsid w:val="0037000E"/>
    <w:rsid w:val="0037129B"/>
    <w:rsid w:val="003751BE"/>
    <w:rsid w:val="00382BB0"/>
    <w:rsid w:val="00386456"/>
    <w:rsid w:val="00387590"/>
    <w:rsid w:val="00391644"/>
    <w:rsid w:val="003925E0"/>
    <w:rsid w:val="00392F03"/>
    <w:rsid w:val="00393C53"/>
    <w:rsid w:val="003945B8"/>
    <w:rsid w:val="003948FC"/>
    <w:rsid w:val="003A1AAE"/>
    <w:rsid w:val="003A299C"/>
    <w:rsid w:val="003A2CD8"/>
    <w:rsid w:val="003A581E"/>
    <w:rsid w:val="003A5DF4"/>
    <w:rsid w:val="003A6038"/>
    <w:rsid w:val="003B0B5A"/>
    <w:rsid w:val="003B0B8D"/>
    <w:rsid w:val="003B1365"/>
    <w:rsid w:val="003B2D22"/>
    <w:rsid w:val="003B4F39"/>
    <w:rsid w:val="003B5BB8"/>
    <w:rsid w:val="003B743E"/>
    <w:rsid w:val="003B7F82"/>
    <w:rsid w:val="003C07D6"/>
    <w:rsid w:val="003C3664"/>
    <w:rsid w:val="003C5438"/>
    <w:rsid w:val="003D14E8"/>
    <w:rsid w:val="003D456C"/>
    <w:rsid w:val="003D7759"/>
    <w:rsid w:val="003E2919"/>
    <w:rsid w:val="003E3083"/>
    <w:rsid w:val="003E54F9"/>
    <w:rsid w:val="003E6461"/>
    <w:rsid w:val="003E788B"/>
    <w:rsid w:val="003F1231"/>
    <w:rsid w:val="003F2F99"/>
    <w:rsid w:val="003F42E8"/>
    <w:rsid w:val="003F5766"/>
    <w:rsid w:val="003F6F8C"/>
    <w:rsid w:val="00400DDE"/>
    <w:rsid w:val="00405662"/>
    <w:rsid w:val="00406008"/>
    <w:rsid w:val="00407293"/>
    <w:rsid w:val="00407636"/>
    <w:rsid w:val="00410870"/>
    <w:rsid w:val="00411B30"/>
    <w:rsid w:val="0041218E"/>
    <w:rsid w:val="0041247F"/>
    <w:rsid w:val="00412C58"/>
    <w:rsid w:val="00414A77"/>
    <w:rsid w:val="00415395"/>
    <w:rsid w:val="00416413"/>
    <w:rsid w:val="00416AC0"/>
    <w:rsid w:val="00416B88"/>
    <w:rsid w:val="00417402"/>
    <w:rsid w:val="00421001"/>
    <w:rsid w:val="0042114E"/>
    <w:rsid w:val="00425C7A"/>
    <w:rsid w:val="004268A3"/>
    <w:rsid w:val="00427E90"/>
    <w:rsid w:val="0043034B"/>
    <w:rsid w:val="0043152C"/>
    <w:rsid w:val="00432163"/>
    <w:rsid w:val="00434829"/>
    <w:rsid w:val="004348F9"/>
    <w:rsid w:val="00434BC9"/>
    <w:rsid w:val="004356B6"/>
    <w:rsid w:val="00440BFC"/>
    <w:rsid w:val="00441274"/>
    <w:rsid w:val="0044200A"/>
    <w:rsid w:val="004422D6"/>
    <w:rsid w:val="00443F10"/>
    <w:rsid w:val="00444865"/>
    <w:rsid w:val="00445186"/>
    <w:rsid w:val="00445F18"/>
    <w:rsid w:val="00447AF0"/>
    <w:rsid w:val="004513E8"/>
    <w:rsid w:val="004537E9"/>
    <w:rsid w:val="00454947"/>
    <w:rsid w:val="004552E9"/>
    <w:rsid w:val="00457177"/>
    <w:rsid w:val="00460793"/>
    <w:rsid w:val="004619B2"/>
    <w:rsid w:val="00462527"/>
    <w:rsid w:val="00463385"/>
    <w:rsid w:val="00466E78"/>
    <w:rsid w:val="00467950"/>
    <w:rsid w:val="00467F4F"/>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0FCA"/>
    <w:rsid w:val="004B1AFD"/>
    <w:rsid w:val="004B29A8"/>
    <w:rsid w:val="004B6213"/>
    <w:rsid w:val="004B62BE"/>
    <w:rsid w:val="004C035A"/>
    <w:rsid w:val="004C35C3"/>
    <w:rsid w:val="004C39C9"/>
    <w:rsid w:val="004C3E24"/>
    <w:rsid w:val="004C4714"/>
    <w:rsid w:val="004C56C4"/>
    <w:rsid w:val="004C64DF"/>
    <w:rsid w:val="004C6B9C"/>
    <w:rsid w:val="004D021E"/>
    <w:rsid w:val="004D076C"/>
    <w:rsid w:val="004D2202"/>
    <w:rsid w:val="004D2FE0"/>
    <w:rsid w:val="004D4D4E"/>
    <w:rsid w:val="004E1974"/>
    <w:rsid w:val="004E2290"/>
    <w:rsid w:val="004E2DEA"/>
    <w:rsid w:val="004E420A"/>
    <w:rsid w:val="004E51E3"/>
    <w:rsid w:val="004E52F0"/>
    <w:rsid w:val="004E5772"/>
    <w:rsid w:val="004E6117"/>
    <w:rsid w:val="004F128E"/>
    <w:rsid w:val="004F1A74"/>
    <w:rsid w:val="004F2FA6"/>
    <w:rsid w:val="004F3CEB"/>
    <w:rsid w:val="004F3E22"/>
    <w:rsid w:val="004F4091"/>
    <w:rsid w:val="004F6E46"/>
    <w:rsid w:val="004F7336"/>
    <w:rsid w:val="00500C4E"/>
    <w:rsid w:val="0050193D"/>
    <w:rsid w:val="0050196E"/>
    <w:rsid w:val="00501AD2"/>
    <w:rsid w:val="00502A6F"/>
    <w:rsid w:val="00502A9D"/>
    <w:rsid w:val="0050434E"/>
    <w:rsid w:val="00504B90"/>
    <w:rsid w:val="0051074C"/>
    <w:rsid w:val="00510EAF"/>
    <w:rsid w:val="00511ACB"/>
    <w:rsid w:val="00512714"/>
    <w:rsid w:val="00513AF2"/>
    <w:rsid w:val="0051416A"/>
    <w:rsid w:val="00516EA3"/>
    <w:rsid w:val="00517425"/>
    <w:rsid w:val="005175F9"/>
    <w:rsid w:val="00517832"/>
    <w:rsid w:val="00524D16"/>
    <w:rsid w:val="00525C51"/>
    <w:rsid w:val="00526D46"/>
    <w:rsid w:val="00531345"/>
    <w:rsid w:val="005318F6"/>
    <w:rsid w:val="00531A19"/>
    <w:rsid w:val="0053303D"/>
    <w:rsid w:val="005356EA"/>
    <w:rsid w:val="00536637"/>
    <w:rsid w:val="0053681E"/>
    <w:rsid w:val="00537683"/>
    <w:rsid w:val="00540BD2"/>
    <w:rsid w:val="00541DD0"/>
    <w:rsid w:val="0054229C"/>
    <w:rsid w:val="00542514"/>
    <w:rsid w:val="005427CF"/>
    <w:rsid w:val="005428CA"/>
    <w:rsid w:val="0054315A"/>
    <w:rsid w:val="00543CC9"/>
    <w:rsid w:val="0054413A"/>
    <w:rsid w:val="0054602D"/>
    <w:rsid w:val="00546387"/>
    <w:rsid w:val="00546A8C"/>
    <w:rsid w:val="00546CA7"/>
    <w:rsid w:val="00550BD9"/>
    <w:rsid w:val="00550FD8"/>
    <w:rsid w:val="00551AEB"/>
    <w:rsid w:val="00553EAD"/>
    <w:rsid w:val="005546BF"/>
    <w:rsid w:val="005564CA"/>
    <w:rsid w:val="00557C64"/>
    <w:rsid w:val="005637B5"/>
    <w:rsid w:val="0057006A"/>
    <w:rsid w:val="00570241"/>
    <w:rsid w:val="00570CBD"/>
    <w:rsid w:val="00571663"/>
    <w:rsid w:val="00572EF9"/>
    <w:rsid w:val="005747F3"/>
    <w:rsid w:val="00574D76"/>
    <w:rsid w:val="00576A4A"/>
    <w:rsid w:val="00576F9E"/>
    <w:rsid w:val="00577104"/>
    <w:rsid w:val="00577185"/>
    <w:rsid w:val="00581EEC"/>
    <w:rsid w:val="00590087"/>
    <w:rsid w:val="005909E4"/>
    <w:rsid w:val="00590CFC"/>
    <w:rsid w:val="00592702"/>
    <w:rsid w:val="00592E79"/>
    <w:rsid w:val="00593652"/>
    <w:rsid w:val="005940FB"/>
    <w:rsid w:val="00595AF8"/>
    <w:rsid w:val="005A0AC1"/>
    <w:rsid w:val="005A1E1D"/>
    <w:rsid w:val="005A3893"/>
    <w:rsid w:val="005A4AEC"/>
    <w:rsid w:val="005A7711"/>
    <w:rsid w:val="005B0CD4"/>
    <w:rsid w:val="005B11C6"/>
    <w:rsid w:val="005B20E7"/>
    <w:rsid w:val="005B274C"/>
    <w:rsid w:val="005B27C3"/>
    <w:rsid w:val="005B2CF7"/>
    <w:rsid w:val="005B2F7D"/>
    <w:rsid w:val="005B37EA"/>
    <w:rsid w:val="005B57CE"/>
    <w:rsid w:val="005B5B7D"/>
    <w:rsid w:val="005C1FC3"/>
    <w:rsid w:val="005C3EA1"/>
    <w:rsid w:val="005C4103"/>
    <w:rsid w:val="005C4795"/>
    <w:rsid w:val="005C4E28"/>
    <w:rsid w:val="005C50CF"/>
    <w:rsid w:val="005C6805"/>
    <w:rsid w:val="005C6BD0"/>
    <w:rsid w:val="005C7609"/>
    <w:rsid w:val="005C7CDD"/>
    <w:rsid w:val="005D096F"/>
    <w:rsid w:val="005D1B45"/>
    <w:rsid w:val="005D25BD"/>
    <w:rsid w:val="005D2E6E"/>
    <w:rsid w:val="005D3CBE"/>
    <w:rsid w:val="005D4405"/>
    <w:rsid w:val="005D4488"/>
    <w:rsid w:val="005E3FDC"/>
    <w:rsid w:val="005E5A01"/>
    <w:rsid w:val="005E5AD9"/>
    <w:rsid w:val="005E7B0B"/>
    <w:rsid w:val="005F05AC"/>
    <w:rsid w:val="005F1B2B"/>
    <w:rsid w:val="005F2B88"/>
    <w:rsid w:val="005F2BC6"/>
    <w:rsid w:val="005F3841"/>
    <w:rsid w:val="005F6462"/>
    <w:rsid w:val="006001D9"/>
    <w:rsid w:val="00600AC5"/>
    <w:rsid w:val="00601EE4"/>
    <w:rsid w:val="00603487"/>
    <w:rsid w:val="006043A3"/>
    <w:rsid w:val="00604F33"/>
    <w:rsid w:val="00615A40"/>
    <w:rsid w:val="00616FE7"/>
    <w:rsid w:val="00617953"/>
    <w:rsid w:val="0062065E"/>
    <w:rsid w:val="0062127A"/>
    <w:rsid w:val="00621E35"/>
    <w:rsid w:val="0062303B"/>
    <w:rsid w:val="0062539B"/>
    <w:rsid w:val="00627D61"/>
    <w:rsid w:val="00630230"/>
    <w:rsid w:val="00631EB4"/>
    <w:rsid w:val="00631FCB"/>
    <w:rsid w:val="00632B90"/>
    <w:rsid w:val="00636072"/>
    <w:rsid w:val="0063778D"/>
    <w:rsid w:val="006378B6"/>
    <w:rsid w:val="00637AC0"/>
    <w:rsid w:val="00640226"/>
    <w:rsid w:val="006402FD"/>
    <w:rsid w:val="00642C9D"/>
    <w:rsid w:val="00643774"/>
    <w:rsid w:val="00644299"/>
    <w:rsid w:val="006442AE"/>
    <w:rsid w:val="00645D51"/>
    <w:rsid w:val="00647C7A"/>
    <w:rsid w:val="006535D1"/>
    <w:rsid w:val="00653A0D"/>
    <w:rsid w:val="00654AA6"/>
    <w:rsid w:val="006551DC"/>
    <w:rsid w:val="00655371"/>
    <w:rsid w:val="00656629"/>
    <w:rsid w:val="006567DB"/>
    <w:rsid w:val="00657AFA"/>
    <w:rsid w:val="0066034E"/>
    <w:rsid w:val="006608BE"/>
    <w:rsid w:val="00660E4B"/>
    <w:rsid w:val="00662A05"/>
    <w:rsid w:val="00663864"/>
    <w:rsid w:val="00672538"/>
    <w:rsid w:val="0067336C"/>
    <w:rsid w:val="006735A6"/>
    <w:rsid w:val="006754C6"/>
    <w:rsid w:val="00676504"/>
    <w:rsid w:val="00676EE8"/>
    <w:rsid w:val="0067722F"/>
    <w:rsid w:val="006778AF"/>
    <w:rsid w:val="006819F5"/>
    <w:rsid w:val="00684886"/>
    <w:rsid w:val="00685F97"/>
    <w:rsid w:val="0068601F"/>
    <w:rsid w:val="00687DBF"/>
    <w:rsid w:val="00687EC0"/>
    <w:rsid w:val="00690936"/>
    <w:rsid w:val="00691623"/>
    <w:rsid w:val="00695958"/>
    <w:rsid w:val="00697665"/>
    <w:rsid w:val="006A07D6"/>
    <w:rsid w:val="006A1F7F"/>
    <w:rsid w:val="006A5A2E"/>
    <w:rsid w:val="006A61EC"/>
    <w:rsid w:val="006A71B0"/>
    <w:rsid w:val="006A7FD0"/>
    <w:rsid w:val="006B06BF"/>
    <w:rsid w:val="006B200D"/>
    <w:rsid w:val="006B2ADC"/>
    <w:rsid w:val="006B2FF8"/>
    <w:rsid w:val="006B3014"/>
    <w:rsid w:val="006B6ED7"/>
    <w:rsid w:val="006C0B8D"/>
    <w:rsid w:val="006C1038"/>
    <w:rsid w:val="006C1231"/>
    <w:rsid w:val="006C5C94"/>
    <w:rsid w:val="006C6355"/>
    <w:rsid w:val="006C6528"/>
    <w:rsid w:val="006C68E6"/>
    <w:rsid w:val="006C731D"/>
    <w:rsid w:val="006D1702"/>
    <w:rsid w:val="006D1878"/>
    <w:rsid w:val="006D1D47"/>
    <w:rsid w:val="006D25EE"/>
    <w:rsid w:val="006D32A2"/>
    <w:rsid w:val="006D7687"/>
    <w:rsid w:val="006D79C0"/>
    <w:rsid w:val="006E0572"/>
    <w:rsid w:val="006E0DD1"/>
    <w:rsid w:val="006E39EA"/>
    <w:rsid w:val="006E65A3"/>
    <w:rsid w:val="006E74A4"/>
    <w:rsid w:val="006E7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1C6E"/>
    <w:rsid w:val="00712A6A"/>
    <w:rsid w:val="007147F4"/>
    <w:rsid w:val="00715C9E"/>
    <w:rsid w:val="00716B0A"/>
    <w:rsid w:val="0071707F"/>
    <w:rsid w:val="0072181F"/>
    <w:rsid w:val="00722B21"/>
    <w:rsid w:val="00722C4F"/>
    <w:rsid w:val="00724C38"/>
    <w:rsid w:val="00727074"/>
    <w:rsid w:val="00727946"/>
    <w:rsid w:val="00727C3C"/>
    <w:rsid w:val="007343CE"/>
    <w:rsid w:val="00734B73"/>
    <w:rsid w:val="00734E1F"/>
    <w:rsid w:val="00735909"/>
    <w:rsid w:val="0073636B"/>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A0C"/>
    <w:rsid w:val="00756B38"/>
    <w:rsid w:val="00756EC8"/>
    <w:rsid w:val="007575ED"/>
    <w:rsid w:val="007609E9"/>
    <w:rsid w:val="007618B2"/>
    <w:rsid w:val="00761CAA"/>
    <w:rsid w:val="007634AD"/>
    <w:rsid w:val="0076405F"/>
    <w:rsid w:val="00764F47"/>
    <w:rsid w:val="0076747D"/>
    <w:rsid w:val="00771882"/>
    <w:rsid w:val="00772A72"/>
    <w:rsid w:val="007774E3"/>
    <w:rsid w:val="0078122E"/>
    <w:rsid w:val="00781AA8"/>
    <w:rsid w:val="0078365A"/>
    <w:rsid w:val="00783D11"/>
    <w:rsid w:val="007846C5"/>
    <w:rsid w:val="00787D3E"/>
    <w:rsid w:val="0079134A"/>
    <w:rsid w:val="0079377E"/>
    <w:rsid w:val="00795113"/>
    <w:rsid w:val="007A1954"/>
    <w:rsid w:val="007A457B"/>
    <w:rsid w:val="007A6A34"/>
    <w:rsid w:val="007B0854"/>
    <w:rsid w:val="007B393C"/>
    <w:rsid w:val="007B45EA"/>
    <w:rsid w:val="007B7D62"/>
    <w:rsid w:val="007C0CCA"/>
    <w:rsid w:val="007C171E"/>
    <w:rsid w:val="007C7CE4"/>
    <w:rsid w:val="007D0176"/>
    <w:rsid w:val="007D1B79"/>
    <w:rsid w:val="007D3323"/>
    <w:rsid w:val="007D4021"/>
    <w:rsid w:val="007D4803"/>
    <w:rsid w:val="007D59CF"/>
    <w:rsid w:val="007E0B27"/>
    <w:rsid w:val="007E193F"/>
    <w:rsid w:val="007E24A0"/>
    <w:rsid w:val="007E2640"/>
    <w:rsid w:val="007E331A"/>
    <w:rsid w:val="007E4092"/>
    <w:rsid w:val="007E6D71"/>
    <w:rsid w:val="007E7939"/>
    <w:rsid w:val="007F182A"/>
    <w:rsid w:val="007F44E6"/>
    <w:rsid w:val="007F7255"/>
    <w:rsid w:val="007F72CB"/>
    <w:rsid w:val="00800317"/>
    <w:rsid w:val="00800AD9"/>
    <w:rsid w:val="00800DEA"/>
    <w:rsid w:val="00801F73"/>
    <w:rsid w:val="00802FF0"/>
    <w:rsid w:val="0080456B"/>
    <w:rsid w:val="008065A8"/>
    <w:rsid w:val="0080762F"/>
    <w:rsid w:val="00811EDD"/>
    <w:rsid w:val="00816B40"/>
    <w:rsid w:val="00817EA3"/>
    <w:rsid w:val="008201C7"/>
    <w:rsid w:val="008202D8"/>
    <w:rsid w:val="008229F3"/>
    <w:rsid w:val="00823406"/>
    <w:rsid w:val="008238DA"/>
    <w:rsid w:val="00824A6D"/>
    <w:rsid w:val="008259A3"/>
    <w:rsid w:val="0082768D"/>
    <w:rsid w:val="00830103"/>
    <w:rsid w:val="00830306"/>
    <w:rsid w:val="00830BF0"/>
    <w:rsid w:val="0083119B"/>
    <w:rsid w:val="00833A0B"/>
    <w:rsid w:val="00835C7D"/>
    <w:rsid w:val="008361D3"/>
    <w:rsid w:val="0083646A"/>
    <w:rsid w:val="00836EAB"/>
    <w:rsid w:val="00837C23"/>
    <w:rsid w:val="00845A51"/>
    <w:rsid w:val="008464E9"/>
    <w:rsid w:val="00847C80"/>
    <w:rsid w:val="008502A5"/>
    <w:rsid w:val="0085092D"/>
    <w:rsid w:val="00850EFF"/>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7598F"/>
    <w:rsid w:val="0088027A"/>
    <w:rsid w:val="00884F75"/>
    <w:rsid w:val="008865C0"/>
    <w:rsid w:val="00886C7B"/>
    <w:rsid w:val="0088776A"/>
    <w:rsid w:val="008903AE"/>
    <w:rsid w:val="00892B83"/>
    <w:rsid w:val="00894063"/>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5E1F"/>
    <w:rsid w:val="008D7064"/>
    <w:rsid w:val="008E021A"/>
    <w:rsid w:val="008E1C15"/>
    <w:rsid w:val="008E25A3"/>
    <w:rsid w:val="008E65F4"/>
    <w:rsid w:val="008E7DD0"/>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5BC4"/>
    <w:rsid w:val="009272AE"/>
    <w:rsid w:val="009329A4"/>
    <w:rsid w:val="009329BE"/>
    <w:rsid w:val="009344B3"/>
    <w:rsid w:val="0093661C"/>
    <w:rsid w:val="00936B57"/>
    <w:rsid w:val="00941540"/>
    <w:rsid w:val="00941B45"/>
    <w:rsid w:val="00941F5E"/>
    <w:rsid w:val="00945A85"/>
    <w:rsid w:val="00947197"/>
    <w:rsid w:val="00947945"/>
    <w:rsid w:val="00950AE6"/>
    <w:rsid w:val="009513A9"/>
    <w:rsid w:val="00951524"/>
    <w:rsid w:val="0095340A"/>
    <w:rsid w:val="0095385A"/>
    <w:rsid w:val="00954AC6"/>
    <w:rsid w:val="009603B4"/>
    <w:rsid w:val="00965006"/>
    <w:rsid w:val="00966595"/>
    <w:rsid w:val="00967D10"/>
    <w:rsid w:val="00967ED9"/>
    <w:rsid w:val="00971321"/>
    <w:rsid w:val="00973017"/>
    <w:rsid w:val="00973C2B"/>
    <w:rsid w:val="0097455B"/>
    <w:rsid w:val="009751F0"/>
    <w:rsid w:val="00976CDB"/>
    <w:rsid w:val="00981254"/>
    <w:rsid w:val="00982F90"/>
    <w:rsid w:val="00983221"/>
    <w:rsid w:val="009839A9"/>
    <w:rsid w:val="009853D5"/>
    <w:rsid w:val="009859D4"/>
    <w:rsid w:val="00985F55"/>
    <w:rsid w:val="0098629E"/>
    <w:rsid w:val="00990443"/>
    <w:rsid w:val="0099187A"/>
    <w:rsid w:val="00995D22"/>
    <w:rsid w:val="00996AD7"/>
    <w:rsid w:val="009A035F"/>
    <w:rsid w:val="009A0487"/>
    <w:rsid w:val="009A4E7A"/>
    <w:rsid w:val="009A56E8"/>
    <w:rsid w:val="009A5CA2"/>
    <w:rsid w:val="009A6978"/>
    <w:rsid w:val="009A7840"/>
    <w:rsid w:val="009A7EAF"/>
    <w:rsid w:val="009B298B"/>
    <w:rsid w:val="009B398C"/>
    <w:rsid w:val="009B751B"/>
    <w:rsid w:val="009C2F8F"/>
    <w:rsid w:val="009C4045"/>
    <w:rsid w:val="009C501C"/>
    <w:rsid w:val="009C50D0"/>
    <w:rsid w:val="009C7373"/>
    <w:rsid w:val="009D02F9"/>
    <w:rsid w:val="009D1211"/>
    <w:rsid w:val="009D3E9B"/>
    <w:rsid w:val="009E1FEB"/>
    <w:rsid w:val="009E27E2"/>
    <w:rsid w:val="009E49CC"/>
    <w:rsid w:val="009E4A28"/>
    <w:rsid w:val="009E4AF0"/>
    <w:rsid w:val="009E56BA"/>
    <w:rsid w:val="009E5FD4"/>
    <w:rsid w:val="009E6E5C"/>
    <w:rsid w:val="009F12D8"/>
    <w:rsid w:val="009F15A3"/>
    <w:rsid w:val="009F2412"/>
    <w:rsid w:val="009F4103"/>
    <w:rsid w:val="009F7AF2"/>
    <w:rsid w:val="009F7D55"/>
    <w:rsid w:val="00A002DA"/>
    <w:rsid w:val="00A06772"/>
    <w:rsid w:val="00A074BF"/>
    <w:rsid w:val="00A0798E"/>
    <w:rsid w:val="00A12E39"/>
    <w:rsid w:val="00A13D9F"/>
    <w:rsid w:val="00A1500F"/>
    <w:rsid w:val="00A15359"/>
    <w:rsid w:val="00A15F44"/>
    <w:rsid w:val="00A17103"/>
    <w:rsid w:val="00A22A44"/>
    <w:rsid w:val="00A23994"/>
    <w:rsid w:val="00A23EDF"/>
    <w:rsid w:val="00A241AD"/>
    <w:rsid w:val="00A24322"/>
    <w:rsid w:val="00A24560"/>
    <w:rsid w:val="00A24780"/>
    <w:rsid w:val="00A24FCF"/>
    <w:rsid w:val="00A257F1"/>
    <w:rsid w:val="00A25B79"/>
    <w:rsid w:val="00A263E9"/>
    <w:rsid w:val="00A27C84"/>
    <w:rsid w:val="00A27EBA"/>
    <w:rsid w:val="00A34538"/>
    <w:rsid w:val="00A348FB"/>
    <w:rsid w:val="00A3528B"/>
    <w:rsid w:val="00A408C7"/>
    <w:rsid w:val="00A413DA"/>
    <w:rsid w:val="00A43E87"/>
    <w:rsid w:val="00A4436B"/>
    <w:rsid w:val="00A46AB8"/>
    <w:rsid w:val="00A504F9"/>
    <w:rsid w:val="00A50EA1"/>
    <w:rsid w:val="00A54843"/>
    <w:rsid w:val="00A5495C"/>
    <w:rsid w:val="00A54BEB"/>
    <w:rsid w:val="00A54C72"/>
    <w:rsid w:val="00A54FA1"/>
    <w:rsid w:val="00A56DCE"/>
    <w:rsid w:val="00A60147"/>
    <w:rsid w:val="00A60595"/>
    <w:rsid w:val="00A60725"/>
    <w:rsid w:val="00A620C8"/>
    <w:rsid w:val="00A62356"/>
    <w:rsid w:val="00A62CCC"/>
    <w:rsid w:val="00A64ADC"/>
    <w:rsid w:val="00A66B2C"/>
    <w:rsid w:val="00A72528"/>
    <w:rsid w:val="00A737CD"/>
    <w:rsid w:val="00A75A39"/>
    <w:rsid w:val="00A76494"/>
    <w:rsid w:val="00A76554"/>
    <w:rsid w:val="00A8084F"/>
    <w:rsid w:val="00A8663D"/>
    <w:rsid w:val="00A87CFC"/>
    <w:rsid w:val="00A9550C"/>
    <w:rsid w:val="00A95A3C"/>
    <w:rsid w:val="00A95E66"/>
    <w:rsid w:val="00AA442B"/>
    <w:rsid w:val="00AA6D04"/>
    <w:rsid w:val="00AA707B"/>
    <w:rsid w:val="00AB31E7"/>
    <w:rsid w:val="00AB41A9"/>
    <w:rsid w:val="00AB55A6"/>
    <w:rsid w:val="00AB7B09"/>
    <w:rsid w:val="00AC1C9A"/>
    <w:rsid w:val="00AC54C6"/>
    <w:rsid w:val="00AC618D"/>
    <w:rsid w:val="00AC654E"/>
    <w:rsid w:val="00AC6740"/>
    <w:rsid w:val="00AC7B70"/>
    <w:rsid w:val="00AD017C"/>
    <w:rsid w:val="00AD0BB9"/>
    <w:rsid w:val="00AD0C27"/>
    <w:rsid w:val="00AD0EDA"/>
    <w:rsid w:val="00AD64EA"/>
    <w:rsid w:val="00AE3229"/>
    <w:rsid w:val="00AE3C7C"/>
    <w:rsid w:val="00AE78FA"/>
    <w:rsid w:val="00AF02E3"/>
    <w:rsid w:val="00AF1059"/>
    <w:rsid w:val="00AF1718"/>
    <w:rsid w:val="00AF2440"/>
    <w:rsid w:val="00AF4CF9"/>
    <w:rsid w:val="00AF693C"/>
    <w:rsid w:val="00AF798A"/>
    <w:rsid w:val="00B04223"/>
    <w:rsid w:val="00B05FD5"/>
    <w:rsid w:val="00B06DB4"/>
    <w:rsid w:val="00B114C0"/>
    <w:rsid w:val="00B11CB1"/>
    <w:rsid w:val="00B13059"/>
    <w:rsid w:val="00B13ABC"/>
    <w:rsid w:val="00B13F5E"/>
    <w:rsid w:val="00B15F4A"/>
    <w:rsid w:val="00B174B9"/>
    <w:rsid w:val="00B17644"/>
    <w:rsid w:val="00B17EC0"/>
    <w:rsid w:val="00B20EEE"/>
    <w:rsid w:val="00B2165B"/>
    <w:rsid w:val="00B221A3"/>
    <w:rsid w:val="00B22E22"/>
    <w:rsid w:val="00B23C3C"/>
    <w:rsid w:val="00B27606"/>
    <w:rsid w:val="00B333CE"/>
    <w:rsid w:val="00B35AA5"/>
    <w:rsid w:val="00B36C98"/>
    <w:rsid w:val="00B37256"/>
    <w:rsid w:val="00B42559"/>
    <w:rsid w:val="00B444B2"/>
    <w:rsid w:val="00B46173"/>
    <w:rsid w:val="00B52462"/>
    <w:rsid w:val="00B525CB"/>
    <w:rsid w:val="00B53388"/>
    <w:rsid w:val="00B53816"/>
    <w:rsid w:val="00B54C59"/>
    <w:rsid w:val="00B55E9C"/>
    <w:rsid w:val="00B56418"/>
    <w:rsid w:val="00B5744B"/>
    <w:rsid w:val="00B61BDD"/>
    <w:rsid w:val="00B61FD8"/>
    <w:rsid w:val="00B624BF"/>
    <w:rsid w:val="00B6341B"/>
    <w:rsid w:val="00B63CB2"/>
    <w:rsid w:val="00B67F3A"/>
    <w:rsid w:val="00B70F76"/>
    <w:rsid w:val="00B722C9"/>
    <w:rsid w:val="00B72E99"/>
    <w:rsid w:val="00B74072"/>
    <w:rsid w:val="00B76167"/>
    <w:rsid w:val="00B761B6"/>
    <w:rsid w:val="00B768C4"/>
    <w:rsid w:val="00B775E8"/>
    <w:rsid w:val="00B800BA"/>
    <w:rsid w:val="00B81BD8"/>
    <w:rsid w:val="00B851DC"/>
    <w:rsid w:val="00B86854"/>
    <w:rsid w:val="00B91AD0"/>
    <w:rsid w:val="00B962FF"/>
    <w:rsid w:val="00BA179A"/>
    <w:rsid w:val="00BA52D6"/>
    <w:rsid w:val="00BA75AD"/>
    <w:rsid w:val="00BA7C60"/>
    <w:rsid w:val="00BB12C4"/>
    <w:rsid w:val="00BB2C01"/>
    <w:rsid w:val="00BB3E2C"/>
    <w:rsid w:val="00BB6F85"/>
    <w:rsid w:val="00BC1B41"/>
    <w:rsid w:val="00BC52A5"/>
    <w:rsid w:val="00BC6BDC"/>
    <w:rsid w:val="00BD0D6C"/>
    <w:rsid w:val="00BD1EF0"/>
    <w:rsid w:val="00BD367E"/>
    <w:rsid w:val="00BD422F"/>
    <w:rsid w:val="00BD5F69"/>
    <w:rsid w:val="00BD6ED0"/>
    <w:rsid w:val="00BD78FE"/>
    <w:rsid w:val="00BE03A7"/>
    <w:rsid w:val="00BE0EDB"/>
    <w:rsid w:val="00BE4A79"/>
    <w:rsid w:val="00BF00DE"/>
    <w:rsid w:val="00BF1906"/>
    <w:rsid w:val="00BF46F6"/>
    <w:rsid w:val="00BF4C56"/>
    <w:rsid w:val="00BF624E"/>
    <w:rsid w:val="00C03DC6"/>
    <w:rsid w:val="00C05841"/>
    <w:rsid w:val="00C0658B"/>
    <w:rsid w:val="00C0689F"/>
    <w:rsid w:val="00C07035"/>
    <w:rsid w:val="00C07469"/>
    <w:rsid w:val="00C074B4"/>
    <w:rsid w:val="00C07C55"/>
    <w:rsid w:val="00C172E8"/>
    <w:rsid w:val="00C17D54"/>
    <w:rsid w:val="00C217DB"/>
    <w:rsid w:val="00C22704"/>
    <w:rsid w:val="00C22B69"/>
    <w:rsid w:val="00C343AD"/>
    <w:rsid w:val="00C3521A"/>
    <w:rsid w:val="00C35F7C"/>
    <w:rsid w:val="00C36E40"/>
    <w:rsid w:val="00C371A6"/>
    <w:rsid w:val="00C429B4"/>
    <w:rsid w:val="00C474AC"/>
    <w:rsid w:val="00C5124A"/>
    <w:rsid w:val="00C5128E"/>
    <w:rsid w:val="00C523AA"/>
    <w:rsid w:val="00C5495E"/>
    <w:rsid w:val="00C55E36"/>
    <w:rsid w:val="00C56A09"/>
    <w:rsid w:val="00C56AE4"/>
    <w:rsid w:val="00C60112"/>
    <w:rsid w:val="00C60F20"/>
    <w:rsid w:val="00C61A73"/>
    <w:rsid w:val="00C61ED9"/>
    <w:rsid w:val="00C64FD0"/>
    <w:rsid w:val="00C6675D"/>
    <w:rsid w:val="00C6768A"/>
    <w:rsid w:val="00C67FE4"/>
    <w:rsid w:val="00C7160E"/>
    <w:rsid w:val="00C71C51"/>
    <w:rsid w:val="00C77A9F"/>
    <w:rsid w:val="00C8061B"/>
    <w:rsid w:val="00C80C66"/>
    <w:rsid w:val="00C82793"/>
    <w:rsid w:val="00C83A28"/>
    <w:rsid w:val="00C85959"/>
    <w:rsid w:val="00C85EF8"/>
    <w:rsid w:val="00C8716A"/>
    <w:rsid w:val="00C914CD"/>
    <w:rsid w:val="00C93A8A"/>
    <w:rsid w:val="00C93E70"/>
    <w:rsid w:val="00C968EC"/>
    <w:rsid w:val="00C97A89"/>
    <w:rsid w:val="00CA14F9"/>
    <w:rsid w:val="00CA3F2F"/>
    <w:rsid w:val="00CA6816"/>
    <w:rsid w:val="00CA6A05"/>
    <w:rsid w:val="00CA7D82"/>
    <w:rsid w:val="00CA7FEF"/>
    <w:rsid w:val="00CB1768"/>
    <w:rsid w:val="00CB1B6B"/>
    <w:rsid w:val="00CC00CD"/>
    <w:rsid w:val="00CC1FBB"/>
    <w:rsid w:val="00CC22E3"/>
    <w:rsid w:val="00CC79DE"/>
    <w:rsid w:val="00CC7FF4"/>
    <w:rsid w:val="00CD0562"/>
    <w:rsid w:val="00CD10EE"/>
    <w:rsid w:val="00CD3ACB"/>
    <w:rsid w:val="00CD5C88"/>
    <w:rsid w:val="00CD6009"/>
    <w:rsid w:val="00CE11B1"/>
    <w:rsid w:val="00CE14B9"/>
    <w:rsid w:val="00CE1F6E"/>
    <w:rsid w:val="00CE352A"/>
    <w:rsid w:val="00CE3995"/>
    <w:rsid w:val="00CE476B"/>
    <w:rsid w:val="00CE675D"/>
    <w:rsid w:val="00CF10C1"/>
    <w:rsid w:val="00CF2489"/>
    <w:rsid w:val="00CF2BDE"/>
    <w:rsid w:val="00CF2E86"/>
    <w:rsid w:val="00CF343F"/>
    <w:rsid w:val="00CF3EC4"/>
    <w:rsid w:val="00CF415E"/>
    <w:rsid w:val="00CF482F"/>
    <w:rsid w:val="00CF4890"/>
    <w:rsid w:val="00CF54E6"/>
    <w:rsid w:val="00CF62EA"/>
    <w:rsid w:val="00D00015"/>
    <w:rsid w:val="00D01945"/>
    <w:rsid w:val="00D10740"/>
    <w:rsid w:val="00D10BB8"/>
    <w:rsid w:val="00D10C4B"/>
    <w:rsid w:val="00D10C4C"/>
    <w:rsid w:val="00D10E69"/>
    <w:rsid w:val="00D117C5"/>
    <w:rsid w:val="00D1627F"/>
    <w:rsid w:val="00D16E39"/>
    <w:rsid w:val="00D22239"/>
    <w:rsid w:val="00D2531F"/>
    <w:rsid w:val="00D259D7"/>
    <w:rsid w:val="00D25C34"/>
    <w:rsid w:val="00D309A0"/>
    <w:rsid w:val="00D31956"/>
    <w:rsid w:val="00D32AF5"/>
    <w:rsid w:val="00D34176"/>
    <w:rsid w:val="00D40843"/>
    <w:rsid w:val="00D41357"/>
    <w:rsid w:val="00D433FD"/>
    <w:rsid w:val="00D44C1E"/>
    <w:rsid w:val="00D45789"/>
    <w:rsid w:val="00D50CDE"/>
    <w:rsid w:val="00D51773"/>
    <w:rsid w:val="00D52F10"/>
    <w:rsid w:val="00D531FA"/>
    <w:rsid w:val="00D55602"/>
    <w:rsid w:val="00D60615"/>
    <w:rsid w:val="00D61C8B"/>
    <w:rsid w:val="00D648B5"/>
    <w:rsid w:val="00D65883"/>
    <w:rsid w:val="00D6664E"/>
    <w:rsid w:val="00D721FE"/>
    <w:rsid w:val="00D72E9D"/>
    <w:rsid w:val="00D73D97"/>
    <w:rsid w:val="00D73D9F"/>
    <w:rsid w:val="00D74CDA"/>
    <w:rsid w:val="00D75DF3"/>
    <w:rsid w:val="00D763D4"/>
    <w:rsid w:val="00D76F4F"/>
    <w:rsid w:val="00D77683"/>
    <w:rsid w:val="00D802C1"/>
    <w:rsid w:val="00D8119D"/>
    <w:rsid w:val="00D81907"/>
    <w:rsid w:val="00D82CE5"/>
    <w:rsid w:val="00D851A1"/>
    <w:rsid w:val="00D8775D"/>
    <w:rsid w:val="00D908DB"/>
    <w:rsid w:val="00D92575"/>
    <w:rsid w:val="00D97C64"/>
    <w:rsid w:val="00DA3E32"/>
    <w:rsid w:val="00DA4606"/>
    <w:rsid w:val="00DA5AB1"/>
    <w:rsid w:val="00DB36AB"/>
    <w:rsid w:val="00DB4C4A"/>
    <w:rsid w:val="00DB5657"/>
    <w:rsid w:val="00DB6A2A"/>
    <w:rsid w:val="00DC09FD"/>
    <w:rsid w:val="00DC2432"/>
    <w:rsid w:val="00DC5121"/>
    <w:rsid w:val="00DC5FAA"/>
    <w:rsid w:val="00DC62E5"/>
    <w:rsid w:val="00DD07F7"/>
    <w:rsid w:val="00DD1061"/>
    <w:rsid w:val="00DD20BA"/>
    <w:rsid w:val="00DD38D8"/>
    <w:rsid w:val="00DD4605"/>
    <w:rsid w:val="00DD6D26"/>
    <w:rsid w:val="00DD735D"/>
    <w:rsid w:val="00DE1E1A"/>
    <w:rsid w:val="00DE208B"/>
    <w:rsid w:val="00DE3119"/>
    <w:rsid w:val="00DE60EA"/>
    <w:rsid w:val="00DE6CFD"/>
    <w:rsid w:val="00DF02DC"/>
    <w:rsid w:val="00DF05A6"/>
    <w:rsid w:val="00DF21D4"/>
    <w:rsid w:val="00DF236B"/>
    <w:rsid w:val="00DF248A"/>
    <w:rsid w:val="00DF2D13"/>
    <w:rsid w:val="00DF3046"/>
    <w:rsid w:val="00DF5076"/>
    <w:rsid w:val="00DF5488"/>
    <w:rsid w:val="00E03244"/>
    <w:rsid w:val="00E0587A"/>
    <w:rsid w:val="00E100EC"/>
    <w:rsid w:val="00E115B4"/>
    <w:rsid w:val="00E13AB8"/>
    <w:rsid w:val="00E17F6D"/>
    <w:rsid w:val="00E203DD"/>
    <w:rsid w:val="00E263C3"/>
    <w:rsid w:val="00E27716"/>
    <w:rsid w:val="00E27C85"/>
    <w:rsid w:val="00E302FA"/>
    <w:rsid w:val="00E315A2"/>
    <w:rsid w:val="00E318E0"/>
    <w:rsid w:val="00E33B62"/>
    <w:rsid w:val="00E357DC"/>
    <w:rsid w:val="00E412B7"/>
    <w:rsid w:val="00E429C9"/>
    <w:rsid w:val="00E4412D"/>
    <w:rsid w:val="00E44E00"/>
    <w:rsid w:val="00E461F1"/>
    <w:rsid w:val="00E46382"/>
    <w:rsid w:val="00E50C37"/>
    <w:rsid w:val="00E51329"/>
    <w:rsid w:val="00E51556"/>
    <w:rsid w:val="00E53964"/>
    <w:rsid w:val="00E554DC"/>
    <w:rsid w:val="00E57323"/>
    <w:rsid w:val="00E57B05"/>
    <w:rsid w:val="00E602F2"/>
    <w:rsid w:val="00E608C9"/>
    <w:rsid w:val="00E62A61"/>
    <w:rsid w:val="00E63AED"/>
    <w:rsid w:val="00E658C9"/>
    <w:rsid w:val="00E65F49"/>
    <w:rsid w:val="00E6610F"/>
    <w:rsid w:val="00E66F51"/>
    <w:rsid w:val="00E67BE3"/>
    <w:rsid w:val="00E7138C"/>
    <w:rsid w:val="00E71A56"/>
    <w:rsid w:val="00E73815"/>
    <w:rsid w:val="00E7595D"/>
    <w:rsid w:val="00E7756F"/>
    <w:rsid w:val="00E77706"/>
    <w:rsid w:val="00E80C82"/>
    <w:rsid w:val="00E82183"/>
    <w:rsid w:val="00E855D9"/>
    <w:rsid w:val="00E903AB"/>
    <w:rsid w:val="00E92199"/>
    <w:rsid w:val="00E93948"/>
    <w:rsid w:val="00E94241"/>
    <w:rsid w:val="00E9535F"/>
    <w:rsid w:val="00E95B00"/>
    <w:rsid w:val="00E96DEA"/>
    <w:rsid w:val="00E97CD5"/>
    <w:rsid w:val="00EA01D9"/>
    <w:rsid w:val="00EA0711"/>
    <w:rsid w:val="00EA1C4C"/>
    <w:rsid w:val="00EA2877"/>
    <w:rsid w:val="00EA3EDE"/>
    <w:rsid w:val="00EA405F"/>
    <w:rsid w:val="00EA4E7D"/>
    <w:rsid w:val="00EA6CBF"/>
    <w:rsid w:val="00EA728D"/>
    <w:rsid w:val="00EA76D7"/>
    <w:rsid w:val="00EB034A"/>
    <w:rsid w:val="00EB0BBE"/>
    <w:rsid w:val="00EB4B69"/>
    <w:rsid w:val="00EB5248"/>
    <w:rsid w:val="00EC5805"/>
    <w:rsid w:val="00EC7366"/>
    <w:rsid w:val="00EC7673"/>
    <w:rsid w:val="00ED1754"/>
    <w:rsid w:val="00ED305A"/>
    <w:rsid w:val="00ED438E"/>
    <w:rsid w:val="00ED676F"/>
    <w:rsid w:val="00ED718F"/>
    <w:rsid w:val="00ED7FE6"/>
    <w:rsid w:val="00EE2BD9"/>
    <w:rsid w:val="00EE7B12"/>
    <w:rsid w:val="00EF1C91"/>
    <w:rsid w:val="00EF3BCE"/>
    <w:rsid w:val="00EF5956"/>
    <w:rsid w:val="00EF7BAE"/>
    <w:rsid w:val="00F0190D"/>
    <w:rsid w:val="00F046A7"/>
    <w:rsid w:val="00F05293"/>
    <w:rsid w:val="00F055FA"/>
    <w:rsid w:val="00F06B82"/>
    <w:rsid w:val="00F070FE"/>
    <w:rsid w:val="00F10D45"/>
    <w:rsid w:val="00F13A3B"/>
    <w:rsid w:val="00F14031"/>
    <w:rsid w:val="00F157F7"/>
    <w:rsid w:val="00F163C8"/>
    <w:rsid w:val="00F22044"/>
    <w:rsid w:val="00F22827"/>
    <w:rsid w:val="00F30541"/>
    <w:rsid w:val="00F3057D"/>
    <w:rsid w:val="00F30772"/>
    <w:rsid w:val="00F3098F"/>
    <w:rsid w:val="00F30B95"/>
    <w:rsid w:val="00F33293"/>
    <w:rsid w:val="00F341A0"/>
    <w:rsid w:val="00F36A58"/>
    <w:rsid w:val="00F41499"/>
    <w:rsid w:val="00F4285A"/>
    <w:rsid w:val="00F444A4"/>
    <w:rsid w:val="00F45FE4"/>
    <w:rsid w:val="00F53A3E"/>
    <w:rsid w:val="00F55644"/>
    <w:rsid w:val="00F57426"/>
    <w:rsid w:val="00F6121F"/>
    <w:rsid w:val="00F61462"/>
    <w:rsid w:val="00F61483"/>
    <w:rsid w:val="00F617C8"/>
    <w:rsid w:val="00F61BBD"/>
    <w:rsid w:val="00F63CCC"/>
    <w:rsid w:val="00F64252"/>
    <w:rsid w:val="00F65E96"/>
    <w:rsid w:val="00F6642D"/>
    <w:rsid w:val="00F6708C"/>
    <w:rsid w:val="00F67D6E"/>
    <w:rsid w:val="00F70C89"/>
    <w:rsid w:val="00F710AE"/>
    <w:rsid w:val="00F74D1D"/>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80A"/>
    <w:rsid w:val="00FC4013"/>
    <w:rsid w:val="00FC750B"/>
    <w:rsid w:val="00FD22AE"/>
    <w:rsid w:val="00FD4DE7"/>
    <w:rsid w:val="00FD6AF5"/>
    <w:rsid w:val="00FD71FF"/>
    <w:rsid w:val="00FE141E"/>
    <w:rsid w:val="00FE1991"/>
    <w:rsid w:val="00FE2E07"/>
    <w:rsid w:val="00FE5042"/>
    <w:rsid w:val="00FE6583"/>
    <w:rsid w:val="00FE6C03"/>
    <w:rsid w:val="00FF3E2C"/>
    <w:rsid w:val="00FF4936"/>
    <w:rsid w:val="00FF4BB8"/>
    <w:rsid w:val="00FF4FDD"/>
    <w:rsid w:val="00FF51FE"/>
    <w:rsid w:val="00FF5580"/>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paragraph" w:styleId="Ttulo3">
    <w:name w:val="heading 3"/>
    <w:basedOn w:val="Normal"/>
    <w:next w:val="Normal"/>
    <w:link w:val="Ttulo3Car"/>
    <w:uiPriority w:val="9"/>
    <w:unhideWhenUsed/>
    <w:qFormat/>
    <w:rsid w:val="002E4DEF"/>
    <w:pPr>
      <w:keepNext/>
      <w:keepLines/>
      <w:spacing w:before="40"/>
      <w:outlineLvl w:val="2"/>
    </w:pPr>
    <w:rPr>
      <w:rFonts w:asciiTheme="majorHAnsi" w:eastAsiaTheme="majorEastAsia" w:hAnsiTheme="majorHAnsi" w:cstheme="majorBidi"/>
      <w:color w:val="243F60" w:themeColor="accent1" w:themeShade="7F"/>
      <w:szCs w:val="24"/>
      <w:lang w:val="es-CO"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 w:type="table" w:customStyle="1" w:styleId="Tablaconcuadrcula1">
    <w:name w:val="Tabla con cuadrícula1"/>
    <w:basedOn w:val="Tablanormal"/>
    <w:next w:val="Tablaconcuadrcula"/>
    <w:uiPriority w:val="59"/>
    <w:rsid w:val="004B29A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B29A8"/>
    <w:rPr>
      <w:color w:val="605E5C"/>
      <w:shd w:val="clear" w:color="auto" w:fill="E1DFDD"/>
    </w:rPr>
  </w:style>
  <w:style w:type="character" w:customStyle="1" w:styleId="Ttulo3Car">
    <w:name w:val="Título 3 Car"/>
    <w:basedOn w:val="Fuentedeprrafopredeter"/>
    <w:link w:val="Ttulo3"/>
    <w:uiPriority w:val="9"/>
    <w:rsid w:val="002E4DEF"/>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5127589">
      <w:bodyDiv w:val="1"/>
      <w:marLeft w:val="0"/>
      <w:marRight w:val="0"/>
      <w:marTop w:val="0"/>
      <w:marBottom w:val="0"/>
      <w:divBdr>
        <w:top w:val="none" w:sz="0" w:space="0" w:color="auto"/>
        <w:left w:val="none" w:sz="0" w:space="0" w:color="auto"/>
        <w:bottom w:val="none" w:sz="0" w:space="0" w:color="auto"/>
        <w:right w:val="none" w:sz="0" w:space="0" w:color="auto"/>
      </w:divBdr>
    </w:div>
    <w:div w:id="177039983">
      <w:bodyDiv w:val="1"/>
      <w:marLeft w:val="0"/>
      <w:marRight w:val="0"/>
      <w:marTop w:val="0"/>
      <w:marBottom w:val="0"/>
      <w:divBdr>
        <w:top w:val="none" w:sz="0" w:space="0" w:color="auto"/>
        <w:left w:val="none" w:sz="0" w:space="0" w:color="auto"/>
        <w:bottom w:val="none" w:sz="0" w:space="0" w:color="auto"/>
        <w:right w:val="none" w:sz="0" w:space="0" w:color="auto"/>
      </w:divBdr>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71923447">
      <w:bodyDiv w:val="1"/>
      <w:marLeft w:val="0"/>
      <w:marRight w:val="0"/>
      <w:marTop w:val="0"/>
      <w:marBottom w:val="0"/>
      <w:divBdr>
        <w:top w:val="none" w:sz="0" w:space="0" w:color="auto"/>
        <w:left w:val="none" w:sz="0" w:space="0" w:color="auto"/>
        <w:bottom w:val="none" w:sz="0" w:space="0" w:color="auto"/>
        <w:right w:val="none" w:sz="0" w:space="0" w:color="auto"/>
      </w:divBdr>
    </w:div>
    <w:div w:id="61433609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847450371">
      <w:bodyDiv w:val="1"/>
      <w:marLeft w:val="0"/>
      <w:marRight w:val="0"/>
      <w:marTop w:val="0"/>
      <w:marBottom w:val="0"/>
      <w:divBdr>
        <w:top w:val="none" w:sz="0" w:space="0" w:color="auto"/>
        <w:left w:val="none" w:sz="0" w:space="0" w:color="auto"/>
        <w:bottom w:val="none" w:sz="0" w:space="0" w:color="auto"/>
        <w:right w:val="none" w:sz="0" w:space="0" w:color="auto"/>
      </w:divBdr>
    </w:div>
    <w:div w:id="1020203048">
      <w:bodyDiv w:val="1"/>
      <w:marLeft w:val="0"/>
      <w:marRight w:val="0"/>
      <w:marTop w:val="0"/>
      <w:marBottom w:val="0"/>
      <w:divBdr>
        <w:top w:val="none" w:sz="0" w:space="0" w:color="auto"/>
        <w:left w:val="none" w:sz="0" w:space="0" w:color="auto"/>
        <w:bottom w:val="none" w:sz="0" w:space="0" w:color="auto"/>
        <w:right w:val="none" w:sz="0" w:space="0" w:color="auto"/>
      </w:divBdr>
    </w:div>
    <w:div w:id="1089036503">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313217510">
      <w:bodyDiv w:val="1"/>
      <w:marLeft w:val="0"/>
      <w:marRight w:val="0"/>
      <w:marTop w:val="0"/>
      <w:marBottom w:val="0"/>
      <w:divBdr>
        <w:top w:val="none" w:sz="0" w:space="0" w:color="auto"/>
        <w:left w:val="none" w:sz="0" w:space="0" w:color="auto"/>
        <w:bottom w:val="none" w:sz="0" w:space="0" w:color="auto"/>
        <w:right w:val="none" w:sz="0" w:space="0" w:color="auto"/>
      </w:divBdr>
    </w:div>
    <w:div w:id="1425148738">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1715109066">
      <w:bodyDiv w:val="1"/>
      <w:marLeft w:val="0"/>
      <w:marRight w:val="0"/>
      <w:marTop w:val="0"/>
      <w:marBottom w:val="0"/>
      <w:divBdr>
        <w:top w:val="none" w:sz="0" w:space="0" w:color="auto"/>
        <w:left w:val="none" w:sz="0" w:space="0" w:color="auto"/>
        <w:bottom w:val="none" w:sz="0" w:space="0" w:color="auto"/>
        <w:right w:val="none" w:sz="0" w:space="0" w:color="auto"/>
      </w:divBdr>
    </w:div>
    <w:div w:id="1807821409">
      <w:bodyDiv w:val="1"/>
      <w:marLeft w:val="0"/>
      <w:marRight w:val="0"/>
      <w:marTop w:val="0"/>
      <w:marBottom w:val="0"/>
      <w:divBdr>
        <w:top w:val="none" w:sz="0" w:space="0" w:color="auto"/>
        <w:left w:val="none" w:sz="0" w:space="0" w:color="auto"/>
        <w:bottom w:val="none" w:sz="0" w:space="0" w:color="auto"/>
        <w:right w:val="none" w:sz="0" w:space="0" w:color="auto"/>
      </w:divBdr>
    </w:div>
    <w:div w:id="1824347581">
      <w:bodyDiv w:val="1"/>
      <w:marLeft w:val="0"/>
      <w:marRight w:val="0"/>
      <w:marTop w:val="0"/>
      <w:marBottom w:val="0"/>
      <w:divBdr>
        <w:top w:val="none" w:sz="0" w:space="0" w:color="auto"/>
        <w:left w:val="none" w:sz="0" w:space="0" w:color="auto"/>
        <w:bottom w:val="none" w:sz="0" w:space="0" w:color="auto"/>
        <w:right w:val="none" w:sz="0" w:space="0" w:color="auto"/>
      </w:divBdr>
    </w:div>
    <w:div w:id="1833525111">
      <w:bodyDiv w:val="1"/>
      <w:marLeft w:val="0"/>
      <w:marRight w:val="0"/>
      <w:marTop w:val="0"/>
      <w:marBottom w:val="0"/>
      <w:divBdr>
        <w:top w:val="none" w:sz="0" w:space="0" w:color="auto"/>
        <w:left w:val="none" w:sz="0" w:space="0" w:color="auto"/>
        <w:bottom w:val="none" w:sz="0" w:space="0" w:color="auto"/>
        <w:right w:val="none" w:sz="0" w:space="0" w:color="auto"/>
      </w:divBdr>
      <w:divsChild>
        <w:div w:id="186606538">
          <w:marLeft w:val="0"/>
          <w:marRight w:val="0"/>
          <w:marTop w:val="0"/>
          <w:marBottom w:val="0"/>
          <w:divBdr>
            <w:top w:val="none" w:sz="0" w:space="0" w:color="auto"/>
            <w:left w:val="none" w:sz="0" w:space="0" w:color="auto"/>
            <w:bottom w:val="none" w:sz="0" w:space="0" w:color="auto"/>
            <w:right w:val="none" w:sz="0" w:space="0" w:color="auto"/>
          </w:divBdr>
          <w:divsChild>
            <w:div w:id="1528372486">
              <w:marLeft w:val="0"/>
              <w:marRight w:val="0"/>
              <w:marTop w:val="0"/>
              <w:marBottom w:val="0"/>
              <w:divBdr>
                <w:top w:val="none" w:sz="0" w:space="0" w:color="auto"/>
                <w:left w:val="none" w:sz="0" w:space="0" w:color="auto"/>
                <w:bottom w:val="none" w:sz="0" w:space="0" w:color="auto"/>
                <w:right w:val="none" w:sz="0" w:space="0" w:color="auto"/>
              </w:divBdr>
              <w:divsChild>
                <w:div w:id="1612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517">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9">
          <w:marLeft w:val="0"/>
          <w:marRight w:val="0"/>
          <w:marTop w:val="0"/>
          <w:marBottom w:val="0"/>
          <w:divBdr>
            <w:top w:val="none" w:sz="0" w:space="0" w:color="auto"/>
            <w:left w:val="none" w:sz="0" w:space="0" w:color="auto"/>
            <w:bottom w:val="none" w:sz="0" w:space="0" w:color="auto"/>
            <w:right w:val="none" w:sz="0" w:space="0" w:color="auto"/>
          </w:divBdr>
        </w:div>
        <w:div w:id="1168211000">
          <w:marLeft w:val="0"/>
          <w:marRight w:val="0"/>
          <w:marTop w:val="0"/>
          <w:marBottom w:val="0"/>
          <w:divBdr>
            <w:top w:val="none" w:sz="0" w:space="0" w:color="auto"/>
            <w:left w:val="none" w:sz="0" w:space="0" w:color="auto"/>
            <w:bottom w:val="none" w:sz="0" w:space="0" w:color="auto"/>
            <w:right w:val="none" w:sz="0" w:space="0" w:color="auto"/>
          </w:divBdr>
        </w:div>
        <w:div w:id="549194246">
          <w:marLeft w:val="0"/>
          <w:marRight w:val="0"/>
          <w:marTop w:val="0"/>
          <w:marBottom w:val="0"/>
          <w:divBdr>
            <w:top w:val="none" w:sz="0" w:space="0" w:color="auto"/>
            <w:left w:val="none" w:sz="0" w:space="0" w:color="auto"/>
            <w:bottom w:val="none" w:sz="0" w:space="0" w:color="auto"/>
            <w:right w:val="none" w:sz="0" w:space="0" w:color="auto"/>
          </w:divBdr>
        </w:div>
        <w:div w:id="150488438">
          <w:marLeft w:val="0"/>
          <w:marRight w:val="0"/>
          <w:marTop w:val="0"/>
          <w:marBottom w:val="0"/>
          <w:divBdr>
            <w:top w:val="none" w:sz="0" w:space="0" w:color="auto"/>
            <w:left w:val="none" w:sz="0" w:space="0" w:color="auto"/>
            <w:bottom w:val="none" w:sz="0" w:space="0" w:color="auto"/>
            <w:right w:val="none" w:sz="0" w:space="0" w:color="auto"/>
          </w:divBdr>
        </w:div>
        <w:div w:id="1853688882">
          <w:marLeft w:val="0"/>
          <w:marRight w:val="0"/>
          <w:marTop w:val="0"/>
          <w:marBottom w:val="0"/>
          <w:divBdr>
            <w:top w:val="none" w:sz="0" w:space="0" w:color="auto"/>
            <w:left w:val="none" w:sz="0" w:space="0" w:color="auto"/>
            <w:bottom w:val="none" w:sz="0" w:space="0" w:color="auto"/>
            <w:right w:val="none" w:sz="0" w:space="0" w:color="auto"/>
          </w:divBdr>
        </w:div>
        <w:div w:id="1569998106">
          <w:marLeft w:val="0"/>
          <w:marRight w:val="0"/>
          <w:marTop w:val="0"/>
          <w:marBottom w:val="0"/>
          <w:divBdr>
            <w:top w:val="none" w:sz="0" w:space="0" w:color="auto"/>
            <w:left w:val="none" w:sz="0" w:space="0" w:color="auto"/>
            <w:bottom w:val="none" w:sz="0" w:space="0" w:color="auto"/>
            <w:right w:val="none" w:sz="0" w:space="0" w:color="auto"/>
          </w:divBdr>
        </w:div>
        <w:div w:id="166868626">
          <w:marLeft w:val="0"/>
          <w:marRight w:val="0"/>
          <w:marTop w:val="0"/>
          <w:marBottom w:val="0"/>
          <w:divBdr>
            <w:top w:val="none" w:sz="0" w:space="0" w:color="auto"/>
            <w:left w:val="none" w:sz="0" w:space="0" w:color="auto"/>
            <w:bottom w:val="none" w:sz="0" w:space="0" w:color="auto"/>
            <w:right w:val="none" w:sz="0" w:space="0" w:color="auto"/>
          </w:divBdr>
        </w:div>
        <w:div w:id="678851948">
          <w:marLeft w:val="0"/>
          <w:marRight w:val="0"/>
          <w:marTop w:val="0"/>
          <w:marBottom w:val="0"/>
          <w:divBdr>
            <w:top w:val="none" w:sz="0" w:space="0" w:color="auto"/>
            <w:left w:val="none" w:sz="0" w:space="0" w:color="auto"/>
            <w:bottom w:val="none" w:sz="0" w:space="0" w:color="auto"/>
            <w:right w:val="none" w:sz="0" w:space="0" w:color="auto"/>
          </w:divBdr>
        </w:div>
        <w:div w:id="1313682877">
          <w:marLeft w:val="0"/>
          <w:marRight w:val="0"/>
          <w:marTop w:val="0"/>
          <w:marBottom w:val="0"/>
          <w:divBdr>
            <w:top w:val="none" w:sz="0" w:space="0" w:color="auto"/>
            <w:left w:val="none" w:sz="0" w:space="0" w:color="auto"/>
            <w:bottom w:val="none" w:sz="0" w:space="0" w:color="auto"/>
            <w:right w:val="none" w:sz="0" w:space="0" w:color="auto"/>
          </w:divBdr>
        </w:div>
        <w:div w:id="946545131">
          <w:marLeft w:val="0"/>
          <w:marRight w:val="0"/>
          <w:marTop w:val="0"/>
          <w:marBottom w:val="0"/>
          <w:divBdr>
            <w:top w:val="none" w:sz="0" w:space="0" w:color="auto"/>
            <w:left w:val="none" w:sz="0" w:space="0" w:color="auto"/>
            <w:bottom w:val="none" w:sz="0" w:space="0" w:color="auto"/>
            <w:right w:val="none" w:sz="0" w:space="0" w:color="auto"/>
          </w:divBdr>
        </w:div>
        <w:div w:id="1126511496">
          <w:marLeft w:val="0"/>
          <w:marRight w:val="0"/>
          <w:marTop w:val="0"/>
          <w:marBottom w:val="0"/>
          <w:divBdr>
            <w:top w:val="none" w:sz="0" w:space="0" w:color="auto"/>
            <w:left w:val="none" w:sz="0" w:space="0" w:color="auto"/>
            <w:bottom w:val="none" w:sz="0" w:space="0" w:color="auto"/>
            <w:right w:val="none" w:sz="0" w:space="0" w:color="auto"/>
          </w:divBdr>
        </w:div>
      </w:divsChild>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E59184C-E178-4340-BF0A-97B516EA974E}">
  <ds:schemaRefs>
    <ds:schemaRef ds:uri="http://schemas.openxmlformats.org/officeDocument/2006/bibliography"/>
  </ds:schemaRefs>
</ds:datastoreItem>
</file>

<file path=customXml/itemProps4.xml><?xml version="1.0" encoding="utf-8"?>
<ds:datastoreItem xmlns:ds="http://schemas.openxmlformats.org/officeDocument/2006/customXml" ds:itemID="{29527445-722A-4C3D-820A-E93D95D6F9B6}"/>
</file>

<file path=docProps/app.xml><?xml version="1.0" encoding="utf-8"?>
<Properties xmlns="http://schemas.openxmlformats.org/officeDocument/2006/extended-properties" xmlns:vt="http://schemas.openxmlformats.org/officeDocument/2006/docPropsVTypes">
  <Template>Respuesta a consultas</Template>
  <TotalTime>12</TotalTime>
  <Pages>1</Pages>
  <Words>11566</Words>
  <Characters>63616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Diana Fabiola Herrera Hernandez</cp:lastModifiedBy>
  <cp:revision>4</cp:revision>
  <dcterms:created xsi:type="dcterms:W3CDTF">2022-11-02T03:28:00Z</dcterms:created>
  <dcterms:modified xsi:type="dcterms:W3CDTF">2022-11-02T14:10:00Z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