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F434" w14:textId="77777777" w:rsidR="00EB6258" w:rsidRPr="00D51F9C" w:rsidRDefault="00EB6258" w:rsidP="00D51F9C">
      <w:pPr>
        <w:spacing w:line="276" w:lineRule="auto"/>
        <w:jc w:val="right"/>
        <w:rPr>
          <w:rFonts w:ascii="Arial" w:eastAsia="Times New Roman" w:hAnsi="Arial" w:cs="Arial"/>
          <w:sz w:val="16"/>
          <w:szCs w:val="16"/>
          <w:lang w:eastAsia="es-ES"/>
        </w:rPr>
      </w:pPr>
      <w:r w:rsidRPr="00D51F9C">
        <w:rPr>
          <w:rFonts w:ascii="Arial" w:eastAsia="Times New Roman" w:hAnsi="Arial" w:cs="Arial"/>
          <w:sz w:val="16"/>
          <w:szCs w:val="16"/>
          <w:lang w:eastAsia="es-ES"/>
        </w:rPr>
        <w:t>CCE-DES-FM-17</w:t>
      </w:r>
    </w:p>
    <w:p w14:paraId="0E402AB9" w14:textId="77777777" w:rsidR="00E34B1E" w:rsidRPr="00D51F9C" w:rsidRDefault="00E34B1E" w:rsidP="00D51F9C">
      <w:pPr>
        <w:pStyle w:val="paragraph"/>
        <w:spacing w:before="0" w:beforeAutospacing="0" w:after="0" w:afterAutospacing="0" w:line="276" w:lineRule="auto"/>
        <w:jc w:val="both"/>
        <w:textAlignment w:val="baseline"/>
        <w:rPr>
          <w:rFonts w:ascii="Arial" w:hAnsi="Arial" w:cs="Arial"/>
          <w:sz w:val="18"/>
          <w:szCs w:val="18"/>
        </w:rPr>
      </w:pPr>
      <w:r w:rsidRPr="00D51F9C">
        <w:rPr>
          <w:rFonts w:ascii="Arial" w:hAnsi="Arial" w:cs="Arial"/>
          <w:b/>
          <w:bCs/>
          <w:sz w:val="22"/>
          <w:szCs w:val="22"/>
        </w:rPr>
        <w:t>LEY DE EMPRENDIMIENTO – Ley 2069 de 2020 – Finalidad </w:t>
      </w:r>
      <w:r w:rsidRPr="00D51F9C">
        <w:rPr>
          <w:rFonts w:ascii="Arial" w:hAnsi="Arial" w:cs="Arial"/>
          <w:sz w:val="22"/>
          <w:szCs w:val="22"/>
        </w:rPr>
        <w:t> </w:t>
      </w:r>
    </w:p>
    <w:p w14:paraId="4EB3C263" w14:textId="77777777" w:rsidR="00E34B1E" w:rsidRPr="00D51F9C" w:rsidRDefault="00E34B1E" w:rsidP="00D51F9C">
      <w:pPr>
        <w:spacing w:after="0" w:line="276" w:lineRule="auto"/>
        <w:jc w:val="both"/>
        <w:textAlignment w:val="baseline"/>
        <w:rPr>
          <w:rFonts w:ascii="Arial" w:eastAsia="Times New Roman" w:hAnsi="Arial" w:cs="Arial"/>
          <w:sz w:val="18"/>
          <w:szCs w:val="18"/>
          <w:lang w:eastAsia="es-CO"/>
        </w:rPr>
      </w:pPr>
      <w:r w:rsidRPr="00D51F9C">
        <w:rPr>
          <w:rFonts w:ascii="Arial" w:eastAsia="Times New Roman" w:hAnsi="Arial" w:cs="Arial"/>
          <w:sz w:val="20"/>
          <w:szCs w:val="20"/>
          <w:lang w:eastAsia="es-CO"/>
        </w:rPr>
        <w:t> </w:t>
      </w:r>
    </w:p>
    <w:p w14:paraId="2EECF399" w14:textId="77777777" w:rsidR="00851F8B" w:rsidRPr="00851F8B" w:rsidRDefault="00851F8B" w:rsidP="00851F8B">
      <w:pPr>
        <w:spacing w:line="276" w:lineRule="auto"/>
        <w:jc w:val="both"/>
        <w:textAlignment w:val="baseline"/>
        <w:rPr>
          <w:rFonts w:ascii="Arial" w:eastAsia="Times New Roman" w:hAnsi="Arial" w:cs="Arial"/>
          <w:sz w:val="20"/>
          <w:szCs w:val="20"/>
          <w:lang w:eastAsia="es-CO"/>
        </w:rPr>
      </w:pPr>
      <w:r w:rsidRPr="00851F8B">
        <w:rPr>
          <w:rFonts w:ascii="Arial" w:eastAsia="Times New Roman" w:hAnsi="Arial" w:cs="Arial"/>
          <w:sz w:val="20"/>
          <w:szCs w:val="20"/>
          <w:lang w:eastAsia="es-CO"/>
        </w:rPr>
        <w:t xml:space="preserve">El 31 de diciembre de 2020 se promulgó la Ley 2069, «Por medio de la cual se impulsa el emprendimiento en Colombia», que empezó a regir desde la fecha de su promulgación. En su artículo 1 dispone que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w:t>
      </w:r>
    </w:p>
    <w:p w14:paraId="61353F3B" w14:textId="56554DBD" w:rsidR="00E34B1E" w:rsidRPr="00851F8B" w:rsidRDefault="00851F8B" w:rsidP="00851F8B">
      <w:pPr>
        <w:spacing w:after="0" w:line="276" w:lineRule="auto"/>
        <w:jc w:val="both"/>
        <w:textAlignment w:val="baseline"/>
        <w:rPr>
          <w:rFonts w:ascii="Arial" w:eastAsia="Times New Roman" w:hAnsi="Arial" w:cs="Arial"/>
          <w:sz w:val="20"/>
          <w:szCs w:val="20"/>
          <w:lang w:eastAsia="es-CO"/>
        </w:rPr>
      </w:pPr>
      <w:r w:rsidRPr="00851F8B">
        <w:rPr>
          <w:rFonts w:ascii="Arial" w:eastAsia="Times New Roman" w:hAnsi="Arial" w:cs="Arial"/>
          <w:sz w:val="20"/>
          <w:szCs w:val="20"/>
          <w:lang w:eastAsia="es-CO"/>
        </w:rPr>
        <w:t>En desarrollo de esta finalidad, dispuso medidas de apoyo para las micro, pequeñas y medianas empresas –MiPymes–, mediante la racionalización y simplificación de los trámites y tarifas, así como incentivos a favor de aquellas dentro del sistema de compras y contratación pública7. También se consagran mecanismos de acceso al financiamiento, se unifican las fuentes de emprendimiento y de desarrollo empresarial, para fortalecer y promover los distintos sectores de la economía9 y se prevén medidas de educación para el emprendimiento y la innovación.</w:t>
      </w:r>
      <w:r w:rsidR="00E34B1E" w:rsidRPr="00D51F9C">
        <w:rPr>
          <w:rFonts w:ascii="Arial" w:eastAsia="Times New Roman" w:hAnsi="Arial" w:cs="Arial"/>
          <w:sz w:val="20"/>
          <w:szCs w:val="20"/>
          <w:lang w:eastAsia="es-CO"/>
        </w:rPr>
        <w:t> </w:t>
      </w:r>
    </w:p>
    <w:p w14:paraId="52C7B085" w14:textId="77777777" w:rsidR="00E34B1E" w:rsidRPr="00D51F9C" w:rsidRDefault="00E34B1E" w:rsidP="00D51F9C">
      <w:pPr>
        <w:spacing w:after="0" w:line="276" w:lineRule="auto"/>
        <w:jc w:val="both"/>
        <w:textAlignment w:val="baseline"/>
        <w:rPr>
          <w:rFonts w:ascii="Arial" w:eastAsia="Times New Roman" w:hAnsi="Arial" w:cs="Arial"/>
          <w:sz w:val="18"/>
          <w:szCs w:val="18"/>
          <w:lang w:eastAsia="es-CO"/>
        </w:rPr>
      </w:pPr>
      <w:r w:rsidRPr="00D51F9C">
        <w:rPr>
          <w:rFonts w:ascii="Arial" w:eastAsia="Times New Roman" w:hAnsi="Arial" w:cs="Arial"/>
          <w:color w:val="000000"/>
          <w:lang w:eastAsia="es-CO"/>
        </w:rPr>
        <w:t> </w:t>
      </w:r>
    </w:p>
    <w:p w14:paraId="51CBC258" w14:textId="6E2A1E7C" w:rsidR="00E34B1E" w:rsidRPr="00D51F9C" w:rsidRDefault="00E34B1E" w:rsidP="00D51F9C">
      <w:pPr>
        <w:spacing w:after="0" w:line="276" w:lineRule="auto"/>
        <w:jc w:val="both"/>
        <w:textAlignment w:val="baseline"/>
        <w:rPr>
          <w:rFonts w:ascii="Arial" w:eastAsia="Times New Roman" w:hAnsi="Arial" w:cs="Arial"/>
          <w:sz w:val="18"/>
          <w:szCs w:val="18"/>
          <w:lang w:eastAsia="es-CO"/>
        </w:rPr>
      </w:pPr>
      <w:r w:rsidRPr="00D51F9C">
        <w:rPr>
          <w:rFonts w:ascii="Arial" w:eastAsia="Times New Roman" w:hAnsi="Arial" w:cs="Arial"/>
          <w:b/>
          <w:bCs/>
          <w:color w:val="000000"/>
          <w:lang w:val="es-ES" w:eastAsia="es-CO"/>
        </w:rPr>
        <w:t>LEY 2069 DE 2020 –</w:t>
      </w:r>
      <w:r w:rsidR="003A50A3">
        <w:rPr>
          <w:rFonts w:ascii="Arial" w:eastAsia="Times New Roman" w:hAnsi="Arial" w:cs="Arial"/>
          <w:b/>
          <w:bCs/>
          <w:color w:val="000000"/>
          <w:lang w:val="es-ES" w:eastAsia="es-CO"/>
        </w:rPr>
        <w:t xml:space="preserve"> </w:t>
      </w:r>
      <w:r w:rsidRPr="00D51F9C">
        <w:rPr>
          <w:rFonts w:ascii="Arial" w:eastAsia="Times New Roman" w:hAnsi="Arial" w:cs="Arial"/>
          <w:b/>
          <w:bCs/>
          <w:color w:val="000000"/>
          <w:lang w:val="es-ES" w:eastAsia="es-CO"/>
        </w:rPr>
        <w:t>Criterios diferenciales - reglamentación </w:t>
      </w:r>
      <w:r w:rsidRPr="00D51F9C">
        <w:rPr>
          <w:rFonts w:ascii="Arial" w:eastAsia="Times New Roman" w:hAnsi="Arial" w:cs="Arial"/>
          <w:color w:val="000000"/>
          <w:lang w:eastAsia="es-CO"/>
        </w:rPr>
        <w:t> </w:t>
      </w:r>
    </w:p>
    <w:p w14:paraId="10EB969E" w14:textId="77777777" w:rsidR="00E34B1E" w:rsidRPr="00D51F9C" w:rsidRDefault="00E34B1E" w:rsidP="00D96E86">
      <w:pPr>
        <w:spacing w:after="0" w:line="276" w:lineRule="auto"/>
        <w:jc w:val="both"/>
        <w:textAlignment w:val="baseline"/>
        <w:rPr>
          <w:rFonts w:ascii="Arial" w:eastAsia="Times New Roman" w:hAnsi="Arial" w:cs="Arial"/>
          <w:sz w:val="18"/>
          <w:szCs w:val="18"/>
          <w:lang w:eastAsia="es-CO"/>
        </w:rPr>
      </w:pPr>
      <w:r w:rsidRPr="00D51F9C">
        <w:rPr>
          <w:rFonts w:ascii="Arial" w:eastAsia="Times New Roman" w:hAnsi="Arial" w:cs="Arial"/>
          <w:color w:val="000000"/>
          <w:lang w:eastAsia="es-CO"/>
        </w:rPr>
        <w:t> </w:t>
      </w:r>
    </w:p>
    <w:p w14:paraId="32FCE18E" w14:textId="4679ADF0" w:rsidR="00650342" w:rsidRPr="00650342" w:rsidRDefault="00650342" w:rsidP="00D96E86">
      <w:pPr>
        <w:spacing w:line="276" w:lineRule="auto"/>
        <w:jc w:val="both"/>
        <w:textAlignment w:val="baseline"/>
        <w:rPr>
          <w:rFonts w:ascii="Arial" w:eastAsia="Times New Roman" w:hAnsi="Arial" w:cs="Arial"/>
          <w:sz w:val="20"/>
          <w:szCs w:val="20"/>
          <w:lang w:eastAsia="es-CO"/>
        </w:rPr>
      </w:pPr>
      <w:r w:rsidRPr="00650342">
        <w:rPr>
          <w:rFonts w:ascii="Arial" w:eastAsia="Times New Roman" w:hAnsi="Arial" w:cs="Arial"/>
          <w:sz w:val="20"/>
          <w:szCs w:val="20"/>
          <w:lang w:eastAsia="es-CO"/>
        </w:rPr>
        <w:t xml:space="preserve">Los artículos 30, 31,33, 34 y 35 de la Ley 2069 de 2020, crean una serie de incentivos para las personas interesadas en celebrar contratos con el Estado en su calidad de MiPymes y varios criterios diferenciales y de promoción de su acceso al mercado de compras públicas. Por un lado, el artículo 30 contempló la posibilidad de que las Entidades Estatales realicen adquisiciones hasta por mínima cuantía a MiPymes o establecimientos que correspondan a la definición de "gran almacén" señalada por la Superintendencia de Industria y Comercio que se determinarán por el reglamento que para el efecto expida el Gobierno Nacional. </w:t>
      </w:r>
    </w:p>
    <w:p w14:paraId="0754894E" w14:textId="798A520D" w:rsidR="003A50A3" w:rsidRPr="003A50A3" w:rsidRDefault="00650342" w:rsidP="00D96E86">
      <w:pPr>
        <w:spacing w:after="0" w:line="276" w:lineRule="auto"/>
        <w:jc w:val="both"/>
        <w:textAlignment w:val="baseline"/>
        <w:rPr>
          <w:rFonts w:ascii="Arial" w:eastAsia="Times New Roman" w:hAnsi="Arial" w:cs="Arial"/>
          <w:sz w:val="20"/>
          <w:szCs w:val="20"/>
          <w:lang w:eastAsia="es-CO"/>
        </w:rPr>
      </w:pPr>
      <w:r w:rsidRPr="00650342">
        <w:rPr>
          <w:rFonts w:ascii="Arial" w:eastAsia="Times New Roman" w:hAnsi="Arial" w:cs="Arial"/>
          <w:sz w:val="20"/>
          <w:szCs w:val="20"/>
          <w:lang w:eastAsia="es-CO"/>
        </w:rPr>
        <w:t>De igual forma, el artículo 31 introduce criterios diferenciales para el acceso de las MiPymes al sistema de compras y contratación pública, estableciendo que «Las Entidades Estatales de acuerdo con el análisis de Sector podrán incluir, en los Documentos del Proceso, requisitos diferenciales y puntajes adicionales, en función del tamaño empresarial para la promoción del acceso de las MIPYMES al mercado de Compras Públicas».</w:t>
      </w:r>
      <w:r w:rsidR="00E34B1E" w:rsidRPr="00D51F9C">
        <w:rPr>
          <w:rFonts w:ascii="Arial" w:eastAsia="Times New Roman" w:hAnsi="Arial" w:cs="Arial"/>
          <w:sz w:val="20"/>
          <w:szCs w:val="20"/>
          <w:lang w:eastAsia="es-CO"/>
        </w:rPr>
        <w:t> </w:t>
      </w:r>
      <w:r w:rsidR="003A50A3" w:rsidRPr="003A50A3">
        <w:rPr>
          <w:rFonts w:ascii="Arial" w:hAnsi="Arial" w:cs="Arial"/>
          <w:sz w:val="20"/>
          <w:szCs w:val="20"/>
        </w:rPr>
        <w:t xml:space="preserve">De igual forma, el artículo 33 y 34 de la Ley 2069 de 2020 contempló unos deberes para promover el acceso de las MiPymes den el mercado de compras públicas. En relación con este aspecto, el parágrafo de la primera norma citada prescribe que: «el incumplimiento de los deberes de que trata el presente artículo por parte de los servidores públicos constituirá causal de mala conducta». </w:t>
      </w:r>
    </w:p>
    <w:p w14:paraId="49CFD782" w14:textId="77777777" w:rsidR="00D96E86" w:rsidRDefault="00D96E86" w:rsidP="00D96E86">
      <w:pPr>
        <w:spacing w:after="0" w:line="276" w:lineRule="auto"/>
        <w:jc w:val="both"/>
        <w:textAlignment w:val="baseline"/>
        <w:rPr>
          <w:rFonts w:ascii="Arial" w:hAnsi="Arial" w:cs="Arial"/>
          <w:sz w:val="20"/>
          <w:szCs w:val="20"/>
        </w:rPr>
      </w:pPr>
    </w:p>
    <w:p w14:paraId="5124315A" w14:textId="2812AB93" w:rsidR="003A50A3" w:rsidRDefault="003A50A3" w:rsidP="00D96E86">
      <w:pPr>
        <w:spacing w:after="0" w:line="276" w:lineRule="auto"/>
        <w:jc w:val="both"/>
        <w:textAlignment w:val="baseline"/>
        <w:rPr>
          <w:rFonts w:ascii="Arial" w:hAnsi="Arial" w:cs="Arial"/>
          <w:sz w:val="20"/>
          <w:szCs w:val="20"/>
        </w:rPr>
      </w:pPr>
      <w:r w:rsidRPr="003A50A3">
        <w:rPr>
          <w:rFonts w:ascii="Arial" w:hAnsi="Arial" w:cs="Arial"/>
          <w:sz w:val="20"/>
          <w:szCs w:val="20"/>
        </w:rPr>
        <w:t xml:space="preserve">Por otra parte, el artículo 32 de la Ley 2069 de 2020 incluyó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w:t>
      </w:r>
      <w:r w:rsidRPr="003A50A3">
        <w:rPr>
          <w:rFonts w:ascii="Arial" w:hAnsi="Arial" w:cs="Arial"/>
          <w:sz w:val="20"/>
          <w:szCs w:val="20"/>
        </w:rPr>
        <w:lastRenderedPageBreak/>
        <w:t>medidas de acción afirmativa, para incentivar emprendimientos y empresas de mujeres en el sistema de compras públicas, sin perjuicio de los compromisos adquiridos por Colombia en los acuerdos comerciales en vigor. </w:t>
      </w:r>
    </w:p>
    <w:p w14:paraId="6F4CE317" w14:textId="77777777" w:rsidR="00D96E86" w:rsidRPr="003A50A3" w:rsidRDefault="00D96E86" w:rsidP="00D96E86">
      <w:pPr>
        <w:spacing w:after="0" w:line="276" w:lineRule="auto"/>
        <w:jc w:val="both"/>
        <w:textAlignment w:val="baseline"/>
        <w:rPr>
          <w:rFonts w:ascii="Arial" w:hAnsi="Arial" w:cs="Arial"/>
          <w:sz w:val="20"/>
          <w:szCs w:val="20"/>
        </w:rPr>
      </w:pPr>
    </w:p>
    <w:p w14:paraId="5BE54FB8" w14:textId="4305ADE1" w:rsidR="003A50A3" w:rsidRPr="003A50A3" w:rsidRDefault="00D96E86" w:rsidP="00D96E86">
      <w:pPr>
        <w:spacing w:line="276" w:lineRule="auto"/>
        <w:jc w:val="both"/>
        <w:textAlignment w:val="baseline"/>
        <w:rPr>
          <w:rFonts w:ascii="Arial" w:hAnsi="Arial" w:cs="Arial"/>
          <w:sz w:val="20"/>
          <w:szCs w:val="20"/>
        </w:rPr>
      </w:pPr>
      <w:r w:rsidRPr="00D51F9C">
        <w:rPr>
          <w:rFonts w:ascii="Arial" w:hAnsi="Arial" w:cs="Arial"/>
          <w:sz w:val="20"/>
          <w:szCs w:val="20"/>
        </w:rPr>
        <w:t>[…]</w:t>
      </w:r>
      <w:r w:rsidR="003A50A3" w:rsidRPr="003A50A3">
        <w:rPr>
          <w:rFonts w:ascii="Arial" w:hAnsi="Arial" w:cs="Arial"/>
          <w:sz w:val="20"/>
          <w:szCs w:val="20"/>
        </w:rPr>
        <w:t xml:space="preserve"> 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w:t>
      </w:r>
    </w:p>
    <w:p w14:paraId="44610192" w14:textId="6ADF7A6E" w:rsidR="0098651E" w:rsidRPr="00D51F9C" w:rsidRDefault="0098651E" w:rsidP="00D51F9C">
      <w:pPr>
        <w:spacing w:after="0" w:line="276" w:lineRule="auto"/>
        <w:contextualSpacing/>
        <w:jc w:val="both"/>
        <w:rPr>
          <w:rFonts w:ascii="Arial" w:eastAsia="Times New Roman" w:hAnsi="Arial" w:cs="Arial"/>
          <w:b/>
          <w:bCs/>
          <w:lang w:val="es-ES_tradnl" w:eastAsia="es-MX"/>
        </w:rPr>
      </w:pPr>
      <w:r w:rsidRPr="00D51F9C">
        <w:rPr>
          <w:rFonts w:ascii="Arial" w:eastAsia="Times New Roman" w:hAnsi="Arial" w:cs="Arial"/>
          <w:b/>
          <w:bCs/>
          <w:lang w:val="es-ES_tradnl" w:eastAsia="es-MX"/>
        </w:rPr>
        <w:t xml:space="preserve">REQUISITOS HABILITANTES – Concepto </w:t>
      </w:r>
    </w:p>
    <w:p w14:paraId="58862A3C" w14:textId="77777777" w:rsidR="0098651E" w:rsidRPr="00D51F9C" w:rsidRDefault="0098651E" w:rsidP="00D51F9C">
      <w:pPr>
        <w:spacing w:after="0" w:line="276" w:lineRule="auto"/>
        <w:contextualSpacing/>
        <w:jc w:val="both"/>
        <w:rPr>
          <w:rFonts w:ascii="Arial" w:eastAsia="Times New Roman" w:hAnsi="Arial" w:cs="Arial"/>
          <w:b/>
          <w:bCs/>
          <w:lang w:val="es-ES_tradnl" w:eastAsia="es-MX"/>
        </w:rPr>
      </w:pPr>
    </w:p>
    <w:p w14:paraId="2E0F24BA" w14:textId="3F782ABA" w:rsidR="0098651E" w:rsidRPr="00D51F9C" w:rsidRDefault="0098651E" w:rsidP="00D51F9C">
      <w:pPr>
        <w:spacing w:after="0" w:line="276" w:lineRule="auto"/>
        <w:contextualSpacing/>
        <w:jc w:val="both"/>
        <w:rPr>
          <w:rFonts w:ascii="Arial" w:hAnsi="Arial" w:cs="Arial"/>
          <w:sz w:val="20"/>
          <w:szCs w:val="20"/>
        </w:rPr>
      </w:pPr>
      <w:r w:rsidRPr="00D51F9C">
        <w:rPr>
          <w:rFonts w:ascii="Arial" w:hAnsi="Arial" w:cs="Arial"/>
          <w:sz w:val="20"/>
          <w:szCs w:val="20"/>
        </w:rPr>
        <w:t xml:space="preserve">Los requisitos habilitantes se definen como aquellas exigencias de participación en los procedimientos de selección, establecidas en disposiciones normativas, de carácter legal o reglamentario, o contenidas en el acto administrativo que regula las reglas de la convocatoria–es decir, en el pliego de condiciones o el documento equivalente a este–. Se diferencian de los criterios de evaluación –también conocidos como criterios de calificación– en que estos son los factores definidos por la </w:t>
      </w:r>
      <w:r w:rsidR="00C548DC" w:rsidRPr="00D51F9C">
        <w:rPr>
          <w:rFonts w:ascii="Arial" w:hAnsi="Arial" w:cs="Arial"/>
          <w:sz w:val="20"/>
          <w:szCs w:val="20"/>
        </w:rPr>
        <w:t>Entidad Estatal</w:t>
      </w:r>
      <w:r w:rsidRPr="00D51F9C">
        <w:rPr>
          <w:rFonts w:ascii="Arial" w:hAnsi="Arial" w:cs="Arial"/>
          <w:sz w:val="20"/>
          <w:szCs w:val="20"/>
        </w:rPr>
        <w:t xml:space="preserve"> para la asignación de puntaje en el momento de la comparación de las ofertas, y que, a partir de su ponderación, permiten establecer el orden de elegibilidad y, por ende, la propuesta ganadora. </w:t>
      </w:r>
    </w:p>
    <w:p w14:paraId="1600C0C0" w14:textId="77777777" w:rsidR="0098651E" w:rsidRPr="00D51F9C" w:rsidRDefault="0098651E" w:rsidP="00D51F9C">
      <w:pPr>
        <w:spacing w:after="0" w:line="276" w:lineRule="auto"/>
        <w:contextualSpacing/>
        <w:jc w:val="both"/>
        <w:rPr>
          <w:rFonts w:ascii="Arial" w:hAnsi="Arial" w:cs="Arial"/>
          <w:sz w:val="20"/>
          <w:szCs w:val="20"/>
        </w:rPr>
      </w:pPr>
    </w:p>
    <w:p w14:paraId="35EF3CAC" w14:textId="77777777" w:rsidR="0098651E" w:rsidRPr="00D51F9C" w:rsidRDefault="0098651E" w:rsidP="00D51F9C">
      <w:pPr>
        <w:spacing w:after="0" w:line="276" w:lineRule="auto"/>
        <w:contextualSpacing/>
        <w:jc w:val="both"/>
        <w:rPr>
          <w:rFonts w:ascii="Arial" w:eastAsia="Calibri" w:hAnsi="Arial" w:cs="Arial"/>
          <w:sz w:val="20"/>
          <w:szCs w:val="20"/>
          <w:lang w:val="es-ES_tradnl" w:eastAsia="es-MX"/>
        </w:rPr>
      </w:pPr>
      <w:r w:rsidRPr="00D51F9C">
        <w:rPr>
          <w:rFonts w:ascii="Arial" w:hAnsi="Arial" w:cs="Arial"/>
          <w:sz w:val="20"/>
          <w:szCs w:val="20"/>
        </w:rPr>
        <w:t xml:space="preserve">[…] </w:t>
      </w:r>
      <w:r w:rsidRPr="00D51F9C">
        <w:rPr>
          <w:rFonts w:ascii="Arial" w:eastAsia="Calibri" w:hAnsi="Arial" w:cs="Arial"/>
          <w:sz w:val="20"/>
          <w:szCs w:val="20"/>
          <w:lang w:val="es-ES_tradnl" w:eastAsia="es-MX"/>
        </w:rPr>
        <w:t xml:space="preserve">Específicamente, el numeral 1º del artículo referido establece que en los procesos de selección de contratistas serán objeto de verificación, como requisitos habilitantes, entre otros, los siguientes: i) la capacidad jurídica; </w:t>
      </w:r>
      <w:proofErr w:type="spellStart"/>
      <w:r w:rsidRPr="00D51F9C">
        <w:rPr>
          <w:rFonts w:ascii="Arial" w:eastAsia="Calibri" w:hAnsi="Arial" w:cs="Arial"/>
          <w:sz w:val="20"/>
          <w:szCs w:val="20"/>
          <w:lang w:val="es-ES_tradnl" w:eastAsia="es-MX"/>
        </w:rPr>
        <w:t>ii</w:t>
      </w:r>
      <w:proofErr w:type="spellEnd"/>
      <w:r w:rsidRPr="00D51F9C">
        <w:rPr>
          <w:rFonts w:ascii="Arial" w:eastAsia="Calibri" w:hAnsi="Arial" w:cs="Arial"/>
          <w:sz w:val="20"/>
          <w:szCs w:val="20"/>
          <w:lang w:val="es-ES_tradnl" w:eastAsia="es-MX"/>
        </w:rPr>
        <w:t xml:space="preserve">) la experiencia; </w:t>
      </w:r>
      <w:proofErr w:type="spellStart"/>
      <w:r w:rsidRPr="00D51F9C">
        <w:rPr>
          <w:rFonts w:ascii="Arial" w:eastAsia="Calibri" w:hAnsi="Arial" w:cs="Arial"/>
          <w:sz w:val="20"/>
          <w:szCs w:val="20"/>
          <w:lang w:val="es-ES_tradnl" w:eastAsia="es-MX"/>
        </w:rPr>
        <w:t>iii</w:t>
      </w:r>
      <w:proofErr w:type="spellEnd"/>
      <w:r w:rsidRPr="00D51F9C">
        <w:rPr>
          <w:rFonts w:ascii="Arial" w:eastAsia="Calibri" w:hAnsi="Arial" w:cs="Arial"/>
          <w:sz w:val="20"/>
          <w:szCs w:val="20"/>
          <w:lang w:val="es-ES_tradnl" w:eastAsia="es-MX"/>
        </w:rPr>
        <w:t xml:space="preserve">) la capacidad financiera y </w:t>
      </w:r>
      <w:proofErr w:type="spellStart"/>
      <w:r w:rsidRPr="00D51F9C">
        <w:rPr>
          <w:rFonts w:ascii="Arial" w:eastAsia="Calibri" w:hAnsi="Arial" w:cs="Arial"/>
          <w:sz w:val="20"/>
          <w:szCs w:val="20"/>
          <w:lang w:val="es-ES_tradnl" w:eastAsia="es-MX"/>
        </w:rPr>
        <w:t>iv</w:t>
      </w:r>
      <w:proofErr w:type="spellEnd"/>
      <w:r w:rsidRPr="00D51F9C">
        <w:rPr>
          <w:rFonts w:ascii="Arial" w:eastAsia="Calibri" w:hAnsi="Arial" w:cs="Arial"/>
          <w:sz w:val="20"/>
          <w:szCs w:val="20"/>
          <w:lang w:val="es-ES_tradnl" w:eastAsia="es-MX"/>
        </w:rPr>
        <w:t>) la capacidad de organización.</w:t>
      </w:r>
    </w:p>
    <w:p w14:paraId="35F771CB" w14:textId="77777777" w:rsidR="0098651E" w:rsidRPr="00D51F9C" w:rsidRDefault="0098651E" w:rsidP="00D51F9C">
      <w:pPr>
        <w:spacing w:after="0" w:line="276" w:lineRule="auto"/>
        <w:contextualSpacing/>
        <w:jc w:val="both"/>
        <w:rPr>
          <w:rFonts w:ascii="Arial" w:eastAsia="Calibri" w:hAnsi="Arial" w:cs="Arial"/>
          <w:lang w:val="es-ES_tradnl" w:eastAsia="es-MX"/>
        </w:rPr>
      </w:pPr>
    </w:p>
    <w:p w14:paraId="70D55461" w14:textId="77777777" w:rsidR="0098651E" w:rsidRPr="00D51F9C" w:rsidRDefault="0098651E" w:rsidP="00D51F9C">
      <w:pPr>
        <w:spacing w:after="0" w:line="276" w:lineRule="auto"/>
        <w:contextualSpacing/>
        <w:jc w:val="both"/>
        <w:rPr>
          <w:rFonts w:ascii="Arial" w:eastAsia="Times New Roman" w:hAnsi="Arial" w:cs="Arial"/>
          <w:b/>
          <w:bCs/>
          <w:lang w:val="es-ES_tradnl" w:eastAsia="es-MX"/>
        </w:rPr>
      </w:pPr>
      <w:r w:rsidRPr="00D51F9C">
        <w:rPr>
          <w:rFonts w:ascii="Arial" w:eastAsia="Times New Roman" w:hAnsi="Arial" w:cs="Arial"/>
          <w:b/>
          <w:bCs/>
          <w:lang w:val="es-ES_tradnl" w:eastAsia="es-MX"/>
        </w:rPr>
        <w:t>REQUISITOS HABILITANTES – Carácter enunciativo – Artículo 5 de la Ley 1150 de 2007</w:t>
      </w:r>
    </w:p>
    <w:p w14:paraId="4313130F" w14:textId="77777777" w:rsidR="0098651E" w:rsidRPr="00D51F9C" w:rsidRDefault="0098651E" w:rsidP="00D51F9C">
      <w:pPr>
        <w:spacing w:after="0" w:line="276" w:lineRule="auto"/>
        <w:contextualSpacing/>
        <w:jc w:val="both"/>
        <w:rPr>
          <w:rFonts w:ascii="Arial" w:eastAsia="Times New Roman" w:hAnsi="Arial" w:cs="Arial"/>
          <w:b/>
          <w:bCs/>
          <w:lang w:val="es-ES_tradnl" w:eastAsia="es-MX"/>
        </w:rPr>
      </w:pPr>
    </w:p>
    <w:p w14:paraId="4DCF102C" w14:textId="77777777" w:rsidR="0098651E" w:rsidRPr="00D51F9C" w:rsidRDefault="0098651E" w:rsidP="00D51F9C">
      <w:pPr>
        <w:spacing w:after="0" w:line="276" w:lineRule="auto"/>
        <w:contextualSpacing/>
        <w:jc w:val="both"/>
        <w:rPr>
          <w:rFonts w:ascii="Arial" w:hAnsi="Arial" w:cs="Arial"/>
          <w:sz w:val="20"/>
          <w:szCs w:val="20"/>
        </w:rPr>
      </w:pPr>
      <w:r w:rsidRPr="00D51F9C">
        <w:rPr>
          <w:rFonts w:ascii="Arial" w:hAnsi="Arial" w:cs="Arial"/>
          <w:sz w:val="20"/>
          <w:szCs w:val="20"/>
        </w:rPr>
        <w:t>La Agencia Nacional de Contratación Pública ha defendido el carácter enunciativo del listado de los requisitos habilitantes contenidos en el numeral 1 del artículo 5 de la Ley 1150 de 2007, en la medida en que la referida disposición, al referirse a los requisitos habilitantes, no contiene una expresión como «únicamente» o «solo», de la que pueda colegirse la taxatividad de los requisitos mencionados.</w:t>
      </w:r>
    </w:p>
    <w:p w14:paraId="1BAC4D24" w14:textId="77777777" w:rsidR="0098651E" w:rsidRPr="00D51F9C" w:rsidRDefault="0098651E" w:rsidP="00D51F9C">
      <w:pPr>
        <w:spacing w:after="0" w:line="276" w:lineRule="auto"/>
        <w:contextualSpacing/>
        <w:jc w:val="both"/>
        <w:rPr>
          <w:rFonts w:ascii="Arial" w:hAnsi="Arial" w:cs="Arial"/>
          <w:sz w:val="20"/>
          <w:szCs w:val="20"/>
        </w:rPr>
      </w:pPr>
    </w:p>
    <w:p w14:paraId="3C1819CC" w14:textId="68484AD7" w:rsidR="0098651E" w:rsidRPr="00D51F9C" w:rsidRDefault="0098651E" w:rsidP="00D51F9C">
      <w:pPr>
        <w:spacing w:after="0" w:line="276" w:lineRule="auto"/>
        <w:contextualSpacing/>
        <w:jc w:val="both"/>
        <w:rPr>
          <w:rFonts w:ascii="Arial" w:hAnsi="Arial" w:cs="Arial"/>
          <w:sz w:val="20"/>
          <w:szCs w:val="20"/>
        </w:rPr>
      </w:pPr>
      <w:r w:rsidRPr="00D51F9C">
        <w:rPr>
          <w:rFonts w:ascii="Arial" w:hAnsi="Arial" w:cs="Arial"/>
          <w:sz w:val="20"/>
          <w:szCs w:val="20"/>
        </w:rPr>
        <w:t xml:space="preserve">En ese sentido, si bien la Ley 1150 de 2007 estableció unos requisitos habilitantes para los proponentes –la capacidad jurídica, las condiciones de experiencia, la capacidad financiera y la capacidad de organización–, estos no son taxativos. En consecuencia, corresponde a las </w:t>
      </w:r>
      <w:r w:rsidR="00C548DC" w:rsidRPr="00D51F9C">
        <w:rPr>
          <w:rFonts w:ascii="Arial" w:hAnsi="Arial" w:cs="Arial"/>
          <w:sz w:val="20"/>
          <w:szCs w:val="20"/>
        </w:rPr>
        <w:t>E</w:t>
      </w:r>
      <w:r w:rsidRPr="00D51F9C">
        <w:rPr>
          <w:rFonts w:ascii="Arial" w:hAnsi="Arial" w:cs="Arial"/>
          <w:sz w:val="20"/>
          <w:szCs w:val="20"/>
        </w:rPr>
        <w:t xml:space="preserve">ntidades </w:t>
      </w:r>
      <w:r w:rsidR="00C548DC" w:rsidRPr="00D51F9C">
        <w:rPr>
          <w:rFonts w:ascii="Arial" w:hAnsi="Arial" w:cs="Arial"/>
          <w:sz w:val="20"/>
          <w:szCs w:val="20"/>
        </w:rPr>
        <w:lastRenderedPageBreak/>
        <w:t>E</w:t>
      </w:r>
      <w:r w:rsidRPr="00D51F9C">
        <w:rPr>
          <w:rFonts w:ascii="Arial" w:hAnsi="Arial" w:cs="Arial"/>
          <w:sz w:val="20"/>
          <w:szCs w:val="20"/>
        </w:rPr>
        <w:t xml:space="preserve">statales, durante la etapa de planeación del contrato estatal, estudiar y determinar los requisitos habilitantes que establecerán en los pliegos de condiciones, los cuales deben fijarse de forma adecuada y proporcional. </w:t>
      </w:r>
    </w:p>
    <w:p w14:paraId="03A27809" w14:textId="77777777" w:rsidR="0098651E" w:rsidRPr="00D51F9C" w:rsidRDefault="0098651E" w:rsidP="00D51F9C">
      <w:pPr>
        <w:spacing w:after="0" w:line="276" w:lineRule="auto"/>
        <w:contextualSpacing/>
        <w:jc w:val="both"/>
        <w:rPr>
          <w:rFonts w:ascii="Arial" w:hAnsi="Arial" w:cs="Arial"/>
          <w:sz w:val="20"/>
          <w:szCs w:val="20"/>
        </w:rPr>
      </w:pPr>
    </w:p>
    <w:p w14:paraId="0AE3AB58" w14:textId="644543EE" w:rsidR="0098651E" w:rsidRPr="00D51F9C" w:rsidRDefault="005B0FF4" w:rsidP="00D51F9C">
      <w:pPr>
        <w:spacing w:after="0" w:line="276" w:lineRule="auto"/>
        <w:contextualSpacing/>
        <w:jc w:val="both"/>
        <w:rPr>
          <w:rFonts w:ascii="Arial" w:hAnsi="Arial" w:cs="Arial"/>
          <w:sz w:val="20"/>
          <w:szCs w:val="20"/>
        </w:rPr>
      </w:pPr>
      <w:r w:rsidRPr="005B0FF4">
        <w:rPr>
          <w:rFonts w:ascii="Arial" w:hAnsi="Arial" w:cs="Arial"/>
          <w:sz w:val="20"/>
          <w:szCs w:val="20"/>
        </w:rPr>
        <w:t>En ese sentido, las entidades tienen autonomía para estructurar los requisitos habilitantes en los procesos que adelantan, pero tal facultad no puede ejercerse de forma arbitraria, caprichosa y, mucho menos, con el ánimo de direccionar el Proceso de Contratación o favorecer a alguno de los proponentes</w:t>
      </w:r>
      <w:r w:rsidR="0098651E" w:rsidRPr="00D51F9C">
        <w:rPr>
          <w:rFonts w:ascii="Arial" w:hAnsi="Arial" w:cs="Arial"/>
          <w:sz w:val="20"/>
          <w:szCs w:val="20"/>
        </w:rPr>
        <w:t xml:space="preserve">. </w:t>
      </w:r>
    </w:p>
    <w:p w14:paraId="5B30F9AD" w14:textId="77777777" w:rsidR="0098651E" w:rsidRPr="00D51F9C" w:rsidRDefault="0098651E" w:rsidP="00D51F9C">
      <w:pPr>
        <w:spacing w:after="0" w:line="276" w:lineRule="auto"/>
        <w:contextualSpacing/>
        <w:jc w:val="both"/>
        <w:rPr>
          <w:rFonts w:ascii="Arial" w:eastAsia="Times New Roman" w:hAnsi="Arial" w:cs="Arial"/>
          <w:lang w:val="es-ES_tradnl" w:eastAsia="es-MX"/>
        </w:rPr>
      </w:pPr>
    </w:p>
    <w:p w14:paraId="00E75039" w14:textId="77777777" w:rsidR="0098651E" w:rsidRPr="00D51F9C" w:rsidRDefault="0098651E" w:rsidP="00D51F9C">
      <w:pPr>
        <w:spacing w:after="0" w:line="276" w:lineRule="auto"/>
        <w:contextualSpacing/>
        <w:jc w:val="both"/>
        <w:rPr>
          <w:rFonts w:ascii="Arial" w:eastAsia="Times New Roman" w:hAnsi="Arial" w:cs="Arial"/>
          <w:b/>
          <w:bCs/>
          <w:lang w:val="es-ES_tradnl" w:eastAsia="es-MX"/>
        </w:rPr>
      </w:pPr>
      <w:r w:rsidRPr="00D51F9C">
        <w:rPr>
          <w:rFonts w:ascii="Arial" w:hAnsi="Arial" w:cs="Arial"/>
          <w:b/>
          <w:bCs/>
        </w:rPr>
        <w:t>EXPERIENCIA</w:t>
      </w:r>
      <w:r w:rsidRPr="00D51F9C">
        <w:rPr>
          <w:rFonts w:ascii="Arial" w:hAnsi="Arial" w:cs="Arial"/>
        </w:rPr>
        <w:t xml:space="preserve"> </w:t>
      </w:r>
      <w:r w:rsidRPr="00D51F9C">
        <w:rPr>
          <w:rFonts w:ascii="Arial" w:eastAsia="Times New Roman" w:hAnsi="Arial" w:cs="Arial"/>
          <w:b/>
          <w:bCs/>
          <w:lang w:val="es-ES_tradnl" w:eastAsia="es-MX"/>
        </w:rPr>
        <w:t>– Concepto</w:t>
      </w:r>
    </w:p>
    <w:p w14:paraId="44FD3D2D" w14:textId="77777777" w:rsidR="0098651E" w:rsidRPr="00D51F9C" w:rsidRDefault="0098651E" w:rsidP="00D51F9C">
      <w:pPr>
        <w:spacing w:after="0" w:line="276" w:lineRule="auto"/>
        <w:contextualSpacing/>
        <w:jc w:val="both"/>
        <w:rPr>
          <w:rFonts w:ascii="Arial" w:eastAsia="Times New Roman" w:hAnsi="Arial" w:cs="Arial"/>
          <w:b/>
          <w:bCs/>
          <w:lang w:val="es-ES_tradnl" w:eastAsia="es-MX"/>
        </w:rPr>
      </w:pPr>
    </w:p>
    <w:p w14:paraId="4220B01B" w14:textId="77777777" w:rsidR="0098651E" w:rsidRPr="00D51F9C" w:rsidRDefault="0098651E" w:rsidP="00D51F9C">
      <w:pPr>
        <w:spacing w:after="0" w:line="276" w:lineRule="auto"/>
        <w:contextualSpacing/>
        <w:jc w:val="both"/>
        <w:rPr>
          <w:rFonts w:ascii="Arial" w:hAnsi="Arial" w:cs="Arial"/>
          <w:sz w:val="20"/>
          <w:szCs w:val="20"/>
        </w:rPr>
      </w:pPr>
      <w:r w:rsidRPr="00D51F9C">
        <w:rPr>
          <w:rFonts w:ascii="Arial" w:hAnsi="Arial" w:cs="Arial"/>
          <w:sz w:val="20"/>
          <w:szCs w:val="20"/>
        </w:rPr>
        <w:t xml:space="preserve">Dentro de los requisitos habilitantes establecidos por el artículo 5 de la Ley 1150 de 2007 se destaca la experiencia. En el «Manual para determinar y verificar requisitos habilitantes en los procesos de contratación» expedido por Colombia Compra Eficiente se define a la experiencia como «[…] el conocimiento del proponente derivado de su participación previa en actividades iguales o similares a las previstas en el objeto del contrato». </w:t>
      </w:r>
    </w:p>
    <w:p w14:paraId="7B10C90E" w14:textId="77777777" w:rsidR="0098651E" w:rsidRPr="00D51F9C" w:rsidRDefault="0098651E" w:rsidP="00D51F9C">
      <w:pPr>
        <w:spacing w:after="0" w:line="276" w:lineRule="auto"/>
        <w:contextualSpacing/>
        <w:jc w:val="both"/>
        <w:rPr>
          <w:rFonts w:ascii="Arial" w:hAnsi="Arial" w:cs="Arial"/>
          <w:sz w:val="20"/>
          <w:szCs w:val="20"/>
        </w:rPr>
      </w:pPr>
    </w:p>
    <w:p w14:paraId="4DFE28B4" w14:textId="77777777" w:rsidR="0098651E" w:rsidRPr="00D51F9C" w:rsidRDefault="0098651E" w:rsidP="00D51F9C">
      <w:pPr>
        <w:spacing w:after="0" w:line="276" w:lineRule="auto"/>
        <w:contextualSpacing/>
        <w:jc w:val="both"/>
        <w:rPr>
          <w:rFonts w:ascii="Arial" w:hAnsi="Arial" w:cs="Arial"/>
          <w:sz w:val="20"/>
          <w:szCs w:val="20"/>
        </w:rPr>
      </w:pPr>
      <w:r w:rsidRPr="00D51F9C">
        <w:rPr>
          <w:rFonts w:ascii="Arial" w:hAnsi="Arial" w:cs="Arial"/>
          <w:sz w:val="20"/>
          <w:szCs w:val="20"/>
        </w:rPr>
        <w:t>Precisamente, de la experiencia se deriva el conocimiento del proponente, el cual en el marco de la contratación pública se reviste de particular importancia, en la medida en que garantiza en cierto grado que no habrá improvisación ni mayores costos por errores o dificultades originadas en realizar una actividad por primera vez. […]</w:t>
      </w:r>
    </w:p>
    <w:p w14:paraId="2A6C5CBB" w14:textId="77777777" w:rsidR="0098651E" w:rsidRPr="00D51F9C" w:rsidRDefault="0098651E" w:rsidP="00D51F9C">
      <w:pPr>
        <w:spacing w:after="0" w:line="276" w:lineRule="auto"/>
        <w:contextualSpacing/>
        <w:jc w:val="both"/>
        <w:rPr>
          <w:rFonts w:ascii="Arial" w:eastAsia="Calibri" w:hAnsi="Arial" w:cs="Arial"/>
          <w:b/>
        </w:rPr>
      </w:pPr>
    </w:p>
    <w:p w14:paraId="13C37191" w14:textId="5F563FDF" w:rsidR="00E34B1E" w:rsidRPr="00D51F9C" w:rsidRDefault="00E34B1E" w:rsidP="00D51F9C">
      <w:pPr>
        <w:spacing w:after="0" w:line="276" w:lineRule="auto"/>
        <w:jc w:val="both"/>
        <w:textAlignment w:val="baseline"/>
        <w:rPr>
          <w:rFonts w:ascii="Arial" w:eastAsia="Times New Roman" w:hAnsi="Arial" w:cs="Arial"/>
          <w:lang w:eastAsia="es-CO"/>
        </w:rPr>
      </w:pPr>
      <w:r w:rsidRPr="00D51F9C">
        <w:rPr>
          <w:rFonts w:ascii="Arial" w:eastAsia="Times New Roman" w:hAnsi="Arial" w:cs="Arial"/>
          <w:b/>
          <w:bCs/>
          <w:lang w:eastAsia="es-CO"/>
        </w:rPr>
        <w:t xml:space="preserve">REQUISITOS HABILITANTES – Incentivos para emprendimientos y empresas de mujeres y </w:t>
      </w:r>
      <w:r w:rsidR="00C548DC" w:rsidRPr="00D51F9C">
        <w:rPr>
          <w:rFonts w:ascii="Arial" w:eastAsia="Times New Roman" w:hAnsi="Arial" w:cs="Arial"/>
          <w:b/>
          <w:bCs/>
          <w:lang w:eastAsia="es-CO"/>
        </w:rPr>
        <w:t>MiPymes</w:t>
      </w:r>
      <w:r w:rsidRPr="00D51F9C">
        <w:rPr>
          <w:rFonts w:ascii="Arial" w:eastAsia="Times New Roman" w:hAnsi="Arial" w:cs="Arial"/>
          <w:b/>
          <w:bCs/>
          <w:lang w:eastAsia="es-CO"/>
        </w:rPr>
        <w:t>.  </w:t>
      </w:r>
      <w:r w:rsidRPr="00D51F9C">
        <w:rPr>
          <w:rFonts w:ascii="Arial" w:eastAsia="Times New Roman" w:hAnsi="Arial" w:cs="Arial"/>
          <w:lang w:eastAsia="es-CO"/>
        </w:rPr>
        <w:t> </w:t>
      </w:r>
    </w:p>
    <w:p w14:paraId="4BE8953A" w14:textId="77777777" w:rsidR="00E34B1E" w:rsidRPr="00D51F9C" w:rsidRDefault="00E34B1E" w:rsidP="00D51F9C">
      <w:pPr>
        <w:spacing w:after="0" w:line="276" w:lineRule="auto"/>
        <w:jc w:val="both"/>
        <w:textAlignment w:val="baseline"/>
        <w:rPr>
          <w:rFonts w:ascii="Arial" w:eastAsia="Times New Roman" w:hAnsi="Arial" w:cs="Arial"/>
          <w:sz w:val="18"/>
          <w:szCs w:val="18"/>
          <w:lang w:eastAsia="es-CO"/>
        </w:rPr>
      </w:pPr>
      <w:r w:rsidRPr="00D51F9C">
        <w:rPr>
          <w:rFonts w:ascii="Arial" w:eastAsia="Times New Roman" w:hAnsi="Arial" w:cs="Arial"/>
          <w:sz w:val="20"/>
          <w:szCs w:val="20"/>
          <w:lang w:eastAsia="es-CO"/>
        </w:rPr>
        <w:t> </w:t>
      </w:r>
    </w:p>
    <w:p w14:paraId="42D021ED" w14:textId="4F293478" w:rsidR="00E34B1E" w:rsidRPr="001F7A5B" w:rsidRDefault="001F7A5B" w:rsidP="00D51F9C">
      <w:pPr>
        <w:spacing w:after="0" w:line="276" w:lineRule="auto"/>
        <w:jc w:val="both"/>
        <w:textAlignment w:val="baseline"/>
        <w:rPr>
          <w:rFonts w:ascii="Arial" w:hAnsi="Arial" w:cs="Arial"/>
          <w:sz w:val="20"/>
          <w:szCs w:val="20"/>
        </w:rPr>
      </w:pPr>
      <w:r w:rsidRPr="001F7A5B">
        <w:rPr>
          <w:rFonts w:ascii="Arial" w:hAnsi="Arial" w:cs="Arial"/>
          <w:sz w:val="20"/>
          <w:szCs w:val="20"/>
        </w:rPr>
        <w:t>En virtud de los incentivos previstos en los artículos 31 y 32 de la Ley 2069 de 2020 y su reglamentación contenida en el Decreto 1860 de 2021, se establezca la selección objetiva del contratista del Estado acudiendo a factores habilitantes y de calificación de los participantes fijados en los pliegos de condiciones de forma diferencial, con el objeto de fomentar o facilitar el acceso a las compras públicas de sujetos de menor capacidad en el mercado, como es el caso de los emprendimientos y empresas de mujeres y las MiPymes, por razones de equidad, siempre y cuando el uso de estas medidas afirmativas resulte justificado y no ponga en riesgo el adecuado cumplimiento del contrato, según el análisis del sector y los estudios previos que soporten el proceso contractual. Para el efecto, dichos requisitos habilitantes contemplados en el pliego de condiciones o documento que haga sus veces podrán ser menos exigentes para los emprendimientos y empresas de mujeres y para las MiPymes, según lo justifiquen los instrumentos de planeación precontractual necesarios para cada contratación.</w:t>
      </w:r>
      <w:r w:rsidR="00E34B1E" w:rsidRPr="001F7A5B">
        <w:rPr>
          <w:rFonts w:ascii="Arial" w:hAnsi="Arial" w:cs="Arial"/>
          <w:sz w:val="20"/>
          <w:szCs w:val="20"/>
        </w:rPr>
        <w:t> </w:t>
      </w:r>
    </w:p>
    <w:p w14:paraId="32BA2073" w14:textId="577DD2C9" w:rsidR="0098651E" w:rsidRPr="00D51F9C" w:rsidRDefault="0098651E" w:rsidP="00D51F9C">
      <w:pPr>
        <w:spacing w:after="0" w:line="276" w:lineRule="auto"/>
        <w:contextualSpacing/>
        <w:jc w:val="both"/>
        <w:rPr>
          <w:rFonts w:ascii="Arial" w:hAnsi="Arial" w:cs="Arial"/>
          <w:sz w:val="20"/>
          <w:szCs w:val="20"/>
        </w:rPr>
      </w:pPr>
    </w:p>
    <w:p w14:paraId="4F39C066" w14:textId="77777777" w:rsidR="009F75C6" w:rsidRPr="00D51F9C" w:rsidRDefault="009F75C6" w:rsidP="00D51F9C">
      <w:pPr>
        <w:spacing w:line="276" w:lineRule="auto"/>
        <w:rPr>
          <w:rFonts w:ascii="Arial" w:eastAsia="Times New Roman" w:hAnsi="Arial" w:cs="Arial"/>
          <w:b/>
          <w:bCs/>
          <w:lang w:eastAsia="es-ES"/>
        </w:rPr>
      </w:pPr>
      <w:r w:rsidRPr="00D51F9C">
        <w:rPr>
          <w:rFonts w:ascii="Arial" w:eastAsia="Times New Roman" w:hAnsi="Arial" w:cs="Arial"/>
          <w:b/>
          <w:bCs/>
          <w:lang w:eastAsia="es-ES"/>
        </w:rPr>
        <w:br w:type="page"/>
      </w:r>
    </w:p>
    <w:p w14:paraId="1A0668D0" w14:textId="1A9AD77A" w:rsidR="00AF24DA" w:rsidRPr="00D51F9C" w:rsidRDefault="00AF24DA" w:rsidP="00951ECE">
      <w:pPr>
        <w:spacing w:after="0" w:line="276" w:lineRule="auto"/>
        <w:jc w:val="right"/>
        <w:rPr>
          <w:rFonts w:ascii="Arial" w:eastAsia="Times New Roman" w:hAnsi="Arial" w:cs="Arial"/>
          <w:b/>
          <w:bCs/>
          <w:sz w:val="16"/>
          <w:szCs w:val="16"/>
          <w:lang w:eastAsia="es-ES"/>
        </w:rPr>
      </w:pPr>
      <w:r w:rsidRPr="00D51F9C">
        <w:rPr>
          <w:rFonts w:ascii="Arial" w:eastAsia="Times New Roman" w:hAnsi="Arial" w:cs="Arial"/>
          <w:b/>
          <w:bCs/>
          <w:sz w:val="16"/>
          <w:szCs w:val="16"/>
          <w:lang w:eastAsia="es-ES"/>
        </w:rPr>
        <w:lastRenderedPageBreak/>
        <w:t>CCE-DES-FM-17</w:t>
      </w:r>
    </w:p>
    <w:p w14:paraId="3EC57930" w14:textId="0BEEEAF4" w:rsidR="00943C2B" w:rsidRPr="00D51F9C" w:rsidRDefault="00943C2B" w:rsidP="00951ECE">
      <w:pPr>
        <w:spacing w:after="0" w:line="276" w:lineRule="auto"/>
        <w:jc w:val="right"/>
        <w:rPr>
          <w:rFonts w:ascii="Arial" w:eastAsia="Calibri" w:hAnsi="Arial" w:cs="Arial"/>
          <w:b/>
          <w:bCs/>
        </w:rPr>
      </w:pPr>
    </w:p>
    <w:p w14:paraId="02EFBCC6" w14:textId="1EC1FB2C" w:rsidR="00AF24DA" w:rsidRPr="00D51F9C" w:rsidRDefault="00645CBD" w:rsidP="00D51F9C">
      <w:pPr>
        <w:tabs>
          <w:tab w:val="left" w:pos="3374"/>
        </w:tabs>
        <w:spacing w:after="0" w:line="276" w:lineRule="auto"/>
        <w:contextualSpacing/>
        <w:rPr>
          <w:rFonts w:ascii="Arial" w:eastAsia="Calibri" w:hAnsi="Arial" w:cs="Arial"/>
          <w:lang w:val="es-MX"/>
        </w:rPr>
      </w:pPr>
      <w:r w:rsidRPr="00D51F9C">
        <w:rPr>
          <w:rFonts w:ascii="Arial" w:eastAsia="Calibri" w:hAnsi="Arial" w:cs="Arial"/>
          <w:lang w:val="es-MX"/>
        </w:rPr>
        <w:t xml:space="preserve">Bogotá D.C., </w:t>
      </w:r>
      <w:r w:rsidR="00D51F9C" w:rsidRPr="00D51F9C">
        <w:rPr>
          <w:rFonts w:ascii="Arial" w:eastAsia="Calibri" w:hAnsi="Arial" w:cs="Arial"/>
          <w:lang w:val="es-MX"/>
        </w:rPr>
        <w:t>25</w:t>
      </w:r>
      <w:r w:rsidRPr="00D51F9C">
        <w:rPr>
          <w:rFonts w:ascii="Arial" w:eastAsia="Calibri" w:hAnsi="Arial" w:cs="Arial"/>
          <w:lang w:val="es-MX"/>
        </w:rPr>
        <w:t xml:space="preserve"> de octubre de 2022</w:t>
      </w:r>
    </w:p>
    <w:p w14:paraId="422996CD" w14:textId="37A943C9" w:rsidR="00AF24DA" w:rsidRDefault="00AF24DA" w:rsidP="00D51F9C">
      <w:pPr>
        <w:spacing w:after="0" w:line="276" w:lineRule="auto"/>
        <w:contextualSpacing/>
        <w:rPr>
          <w:rFonts w:ascii="Arial" w:eastAsia="Calibri" w:hAnsi="Arial" w:cs="Arial"/>
          <w:noProof/>
        </w:rPr>
      </w:pPr>
      <w:bookmarkStart w:id="0" w:name="_Hlk98867631"/>
    </w:p>
    <w:p w14:paraId="739A491D" w14:textId="5F38AB61" w:rsidR="00F96D59" w:rsidRPr="00D51F9C" w:rsidRDefault="00F96D59" w:rsidP="00F96D59">
      <w:pPr>
        <w:spacing w:after="0" w:line="276" w:lineRule="auto"/>
        <w:contextualSpacing/>
        <w:jc w:val="right"/>
        <w:rPr>
          <w:rFonts w:ascii="Arial" w:eastAsia="Calibri" w:hAnsi="Arial" w:cs="Arial"/>
          <w:noProof/>
        </w:rPr>
      </w:pPr>
      <w:r>
        <w:rPr>
          <w:noProof/>
        </w:rPr>
        <w:drawing>
          <wp:inline distT="0" distB="0" distL="0" distR="0" wp14:anchorId="1C1383CE" wp14:editId="2628656E">
            <wp:extent cx="2981055" cy="76002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535" t="54503" r="21028" b="25798"/>
                    <a:stretch/>
                  </pic:blipFill>
                  <pic:spPr bwMode="auto">
                    <a:xfrm>
                      <a:off x="0" y="0"/>
                      <a:ext cx="2992120" cy="762841"/>
                    </a:xfrm>
                    <a:prstGeom prst="rect">
                      <a:avLst/>
                    </a:prstGeom>
                    <a:ln>
                      <a:noFill/>
                    </a:ln>
                    <a:extLst>
                      <a:ext uri="{53640926-AAD7-44D8-BBD7-CCE9431645EC}">
                        <a14:shadowObscured xmlns:a14="http://schemas.microsoft.com/office/drawing/2010/main"/>
                      </a:ext>
                    </a:extLst>
                  </pic:spPr>
                </pic:pic>
              </a:graphicData>
            </a:graphic>
          </wp:inline>
        </w:drawing>
      </w:r>
    </w:p>
    <w:p w14:paraId="74CF6A54" w14:textId="77777777" w:rsidR="00645CBD" w:rsidRPr="00D51F9C" w:rsidRDefault="00645CBD" w:rsidP="00D51F9C">
      <w:pPr>
        <w:spacing w:after="0" w:line="276" w:lineRule="auto"/>
        <w:contextualSpacing/>
        <w:rPr>
          <w:rFonts w:ascii="Arial" w:eastAsia="Calibri" w:hAnsi="Arial" w:cs="Arial"/>
          <w:noProof/>
        </w:rPr>
      </w:pPr>
    </w:p>
    <w:p w14:paraId="508B0A05" w14:textId="1FAFF34E" w:rsidR="00AF24DA" w:rsidRPr="00D51F9C" w:rsidRDefault="00AF24DA" w:rsidP="00D51F9C">
      <w:pPr>
        <w:spacing w:after="0" w:line="276" w:lineRule="auto"/>
        <w:contextualSpacing/>
        <w:jc w:val="both"/>
        <w:rPr>
          <w:rFonts w:ascii="Arial" w:eastAsia="Calibri" w:hAnsi="Arial" w:cs="Arial"/>
        </w:rPr>
      </w:pPr>
      <w:bookmarkStart w:id="1" w:name="_Hlk96417464"/>
      <w:bookmarkStart w:id="2" w:name="_Hlk99546921"/>
      <w:r w:rsidRPr="00D51F9C">
        <w:rPr>
          <w:rFonts w:ascii="Arial" w:eastAsia="Calibri" w:hAnsi="Arial" w:cs="Arial"/>
        </w:rPr>
        <w:t>Señor</w:t>
      </w:r>
    </w:p>
    <w:p w14:paraId="010C409B" w14:textId="013D85CD" w:rsidR="00AF24DA" w:rsidRPr="00D51F9C" w:rsidRDefault="00C548DC" w:rsidP="00D51F9C">
      <w:pPr>
        <w:spacing w:after="0" w:line="276" w:lineRule="auto"/>
        <w:contextualSpacing/>
        <w:jc w:val="both"/>
        <w:rPr>
          <w:rFonts w:ascii="Arial" w:eastAsia="Calibri" w:hAnsi="Arial" w:cs="Arial"/>
          <w:b/>
          <w:bCs/>
        </w:rPr>
      </w:pPr>
      <w:r w:rsidRPr="00D51F9C">
        <w:rPr>
          <w:rFonts w:ascii="Arial" w:eastAsia="Calibri" w:hAnsi="Arial" w:cs="Arial"/>
          <w:b/>
          <w:bCs/>
        </w:rPr>
        <w:t xml:space="preserve">Anónimo </w:t>
      </w:r>
    </w:p>
    <w:p w14:paraId="7ABD0213" w14:textId="56D9136A" w:rsidR="00C113FB" w:rsidRPr="00D51F9C" w:rsidRDefault="00000000" w:rsidP="00D51F9C">
      <w:pPr>
        <w:spacing w:after="0" w:line="276" w:lineRule="auto"/>
        <w:contextualSpacing/>
        <w:jc w:val="both"/>
        <w:rPr>
          <w:rFonts w:ascii="Arial" w:eastAsia="Calibri" w:hAnsi="Arial" w:cs="Arial"/>
          <w:b/>
          <w:bCs/>
        </w:rPr>
      </w:pPr>
      <w:hyperlink r:id="rId12" w:history="1">
        <w:r w:rsidR="00C113FB" w:rsidRPr="00D51F9C">
          <w:rPr>
            <w:rStyle w:val="Hipervnculo"/>
            <w:rFonts w:ascii="Arial" w:hAnsi="Arial" w:cs="Arial"/>
            <w:sz w:val="24"/>
            <w:szCs w:val="24"/>
          </w:rPr>
          <w:t>asoplama2018@gmail.com</w:t>
        </w:r>
      </w:hyperlink>
      <w:r w:rsidR="00C113FB" w:rsidRPr="00D51F9C">
        <w:rPr>
          <w:rFonts w:ascii="Arial" w:hAnsi="Arial" w:cs="Arial"/>
          <w:sz w:val="24"/>
          <w:szCs w:val="24"/>
        </w:rPr>
        <w:t xml:space="preserve"> </w:t>
      </w:r>
    </w:p>
    <w:p w14:paraId="68F9B890" w14:textId="77777777" w:rsidR="00AF24DA" w:rsidRPr="00D51F9C" w:rsidRDefault="00AF24DA" w:rsidP="00D51F9C">
      <w:pPr>
        <w:spacing w:after="0" w:line="276" w:lineRule="auto"/>
        <w:contextualSpacing/>
        <w:jc w:val="both"/>
        <w:rPr>
          <w:rFonts w:ascii="Arial" w:eastAsia="Calibri" w:hAnsi="Arial" w:cs="Arial"/>
        </w:rPr>
      </w:pPr>
    </w:p>
    <w:p w14:paraId="4F2A5EBA" w14:textId="77777777" w:rsidR="00AF24DA" w:rsidRPr="00D51F9C" w:rsidRDefault="00AF24DA" w:rsidP="00D51F9C">
      <w:pPr>
        <w:spacing w:after="0" w:line="276" w:lineRule="auto"/>
        <w:contextualSpacing/>
        <w:jc w:val="both"/>
        <w:rPr>
          <w:rFonts w:ascii="Arial" w:eastAsia="Calibri" w:hAnsi="Arial" w:cs="Arial"/>
        </w:rPr>
      </w:pPr>
    </w:p>
    <w:p w14:paraId="2780ED6C" w14:textId="3337A989" w:rsidR="00AF24DA" w:rsidRPr="00D51F9C" w:rsidRDefault="00AF24DA" w:rsidP="00D51F9C">
      <w:pPr>
        <w:spacing w:after="0" w:line="276" w:lineRule="auto"/>
        <w:contextualSpacing/>
        <w:jc w:val="both"/>
        <w:rPr>
          <w:rFonts w:ascii="Arial" w:eastAsia="Calibri" w:hAnsi="Arial" w:cs="Arial"/>
        </w:rPr>
      </w:pPr>
      <w:r w:rsidRPr="00D51F9C">
        <w:rPr>
          <w:rFonts w:ascii="Arial" w:eastAsia="Calibri" w:hAnsi="Arial" w:cs="Arial"/>
        </w:rPr>
        <w:t xml:space="preserve">                                            </w:t>
      </w:r>
      <w:r w:rsidRPr="00D51F9C">
        <w:rPr>
          <w:rFonts w:ascii="Arial" w:eastAsia="Calibri" w:hAnsi="Arial" w:cs="Arial"/>
          <w:b/>
        </w:rPr>
        <w:t>Concepto C</w:t>
      </w:r>
      <w:r w:rsidR="00AA013F" w:rsidRPr="00D51F9C">
        <w:rPr>
          <w:rFonts w:ascii="Arial" w:eastAsia="Calibri" w:hAnsi="Arial" w:cs="Arial"/>
          <w:b/>
        </w:rPr>
        <w:t>-</w:t>
      </w:r>
      <w:r w:rsidR="00645CBD" w:rsidRPr="00D51F9C">
        <w:rPr>
          <w:rFonts w:ascii="Arial" w:eastAsia="Calibri" w:hAnsi="Arial" w:cs="Arial"/>
          <w:b/>
        </w:rPr>
        <w:t>677</w:t>
      </w:r>
      <w:r w:rsidRPr="00D51F9C">
        <w:rPr>
          <w:rFonts w:ascii="Arial" w:eastAsia="Calibri" w:hAnsi="Arial" w:cs="Arial"/>
          <w:b/>
        </w:rPr>
        <w:t xml:space="preserve"> de 2022</w:t>
      </w:r>
      <w:r w:rsidRPr="00D51F9C">
        <w:rPr>
          <w:rFonts w:ascii="Arial" w:eastAsia="Calibri" w:hAnsi="Arial" w:cs="Arial"/>
        </w:rPr>
        <w:t xml:space="preserve"> </w:t>
      </w:r>
    </w:p>
    <w:p w14:paraId="182118A3" w14:textId="77777777" w:rsidR="00AF24DA" w:rsidRPr="00D51F9C" w:rsidRDefault="00AF24DA" w:rsidP="00D51F9C">
      <w:pPr>
        <w:spacing w:after="0" w:line="276" w:lineRule="auto"/>
        <w:contextualSpacing/>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41CEB" w:rsidRPr="00D51F9C" w14:paraId="62A38662" w14:textId="77777777" w:rsidTr="000B036D">
        <w:trPr>
          <w:trHeight w:val="485"/>
        </w:trPr>
        <w:tc>
          <w:tcPr>
            <w:tcW w:w="2689" w:type="dxa"/>
            <w:hideMark/>
          </w:tcPr>
          <w:p w14:paraId="48BAD4DE" w14:textId="77777777" w:rsidR="00AF24DA" w:rsidRPr="00D51F9C" w:rsidRDefault="00AF24DA" w:rsidP="00D51F9C">
            <w:pPr>
              <w:spacing w:line="276" w:lineRule="auto"/>
              <w:contextualSpacing/>
              <w:rPr>
                <w:rFonts w:ascii="Arial" w:eastAsia="Calibri" w:hAnsi="Arial" w:cs="Arial"/>
                <w:noProof/>
                <w:lang w:val="es-ES_tradnl"/>
              </w:rPr>
            </w:pPr>
            <w:r w:rsidRPr="00D51F9C">
              <w:rPr>
                <w:rFonts w:ascii="Arial" w:eastAsia="Calibri" w:hAnsi="Arial" w:cs="Arial"/>
                <w:b/>
                <w:noProof/>
                <w:lang w:val="es-ES_tradnl"/>
              </w:rPr>
              <w:t>Temas:</w:t>
            </w:r>
            <w:r w:rsidRPr="00D51F9C">
              <w:rPr>
                <w:rFonts w:ascii="Arial" w:eastAsia="Calibri" w:hAnsi="Arial" w:cs="Arial"/>
                <w:noProof/>
                <w:lang w:val="es-ES_tradnl"/>
              </w:rPr>
              <w:t xml:space="preserve">        </w:t>
            </w:r>
          </w:p>
        </w:tc>
        <w:tc>
          <w:tcPr>
            <w:tcW w:w="6237" w:type="dxa"/>
            <w:hideMark/>
          </w:tcPr>
          <w:p w14:paraId="28395A8B" w14:textId="4A25C5E4" w:rsidR="00E34B1E" w:rsidRPr="00D51F9C" w:rsidRDefault="00E34B1E" w:rsidP="00D51F9C">
            <w:pPr>
              <w:spacing w:line="276" w:lineRule="auto"/>
              <w:contextualSpacing/>
              <w:jc w:val="both"/>
              <w:rPr>
                <w:rFonts w:ascii="Arial" w:eastAsia="Times New Roman" w:hAnsi="Arial" w:cs="Arial"/>
                <w:lang w:val="es-ES_tradnl" w:eastAsia="es-MX"/>
              </w:rPr>
            </w:pPr>
            <w:r w:rsidRPr="00D51F9C">
              <w:rPr>
                <w:rFonts w:ascii="Arial" w:hAnsi="Arial" w:cs="Arial"/>
                <w:lang w:val="es-ES_tradnl" w:eastAsia="es-MX"/>
              </w:rPr>
              <w:t xml:space="preserve">LEY DE EMPRENDIMIENTO – Ley 2069 de 2020 – Finalidad / </w:t>
            </w:r>
            <w:r w:rsidRPr="00D51F9C">
              <w:rPr>
                <w:rFonts w:ascii="Arial" w:eastAsia="Times New Roman" w:hAnsi="Arial" w:cs="Arial"/>
                <w:lang w:val="es-ES_tradnl" w:eastAsia="es-MX"/>
              </w:rPr>
              <w:t>LEY 2069 DE 2020 –</w:t>
            </w:r>
            <w:r w:rsidR="00D96E86">
              <w:rPr>
                <w:rFonts w:ascii="Arial" w:eastAsia="Times New Roman" w:hAnsi="Arial" w:cs="Arial"/>
                <w:lang w:val="es-ES_tradnl" w:eastAsia="es-MX"/>
              </w:rPr>
              <w:t xml:space="preserve"> </w:t>
            </w:r>
            <w:r w:rsidRPr="00D51F9C">
              <w:rPr>
                <w:rFonts w:ascii="Arial" w:eastAsia="Times New Roman" w:hAnsi="Arial" w:cs="Arial"/>
                <w:lang w:val="es-ES_tradnl" w:eastAsia="es-MX"/>
              </w:rPr>
              <w:t xml:space="preserve">Criterios diferenciales – reglamentación / </w:t>
            </w:r>
            <w:r w:rsidR="009F75C6" w:rsidRPr="00D51F9C">
              <w:rPr>
                <w:rFonts w:ascii="Arial" w:eastAsia="Times New Roman" w:hAnsi="Arial" w:cs="Arial"/>
                <w:lang w:val="es-ES_tradnl" w:eastAsia="es-MX"/>
              </w:rPr>
              <w:t xml:space="preserve">REQUISITOS HABILITANTES – Concepto / REQUISITOS HABILITANTES – Carácter enunciativo – Artículo 5 de la Ley 1150 de 2007 / </w:t>
            </w:r>
            <w:r w:rsidR="009F75C6" w:rsidRPr="00D51F9C">
              <w:rPr>
                <w:rFonts w:ascii="Arial" w:hAnsi="Arial" w:cs="Arial"/>
              </w:rPr>
              <w:t xml:space="preserve">EXPERIENCIA </w:t>
            </w:r>
            <w:r w:rsidR="009F75C6" w:rsidRPr="00D51F9C">
              <w:rPr>
                <w:rFonts w:ascii="Arial" w:eastAsia="Times New Roman" w:hAnsi="Arial" w:cs="Arial"/>
                <w:lang w:val="es-ES_tradnl" w:eastAsia="es-MX"/>
              </w:rPr>
              <w:t>– Concepto</w:t>
            </w:r>
            <w:r w:rsidRPr="00D51F9C">
              <w:rPr>
                <w:rFonts w:ascii="Arial" w:eastAsia="Times New Roman" w:hAnsi="Arial" w:cs="Arial"/>
                <w:lang w:val="es-ES_tradnl" w:eastAsia="es-MX"/>
              </w:rPr>
              <w:t xml:space="preserve"> / REQUISITOS HABILITANTES – Incentivos para emprendimientos y empresas de mujeres y </w:t>
            </w:r>
            <w:r w:rsidR="00C548DC" w:rsidRPr="00D51F9C">
              <w:rPr>
                <w:rFonts w:ascii="Arial" w:eastAsia="Times New Roman" w:hAnsi="Arial" w:cs="Arial"/>
                <w:lang w:val="es-ES_tradnl" w:eastAsia="es-MX"/>
              </w:rPr>
              <w:t>MiPymes</w:t>
            </w:r>
            <w:r w:rsidRPr="00D51F9C">
              <w:rPr>
                <w:rFonts w:ascii="Arial" w:eastAsia="Times New Roman" w:hAnsi="Arial" w:cs="Arial"/>
                <w:lang w:val="es-ES_tradnl" w:eastAsia="es-MX"/>
              </w:rPr>
              <w:t>  </w:t>
            </w:r>
          </w:p>
          <w:p w14:paraId="78CCC4B7" w14:textId="77777777" w:rsidR="00AF24DA" w:rsidRPr="00D51F9C" w:rsidRDefault="00AF24DA" w:rsidP="00D51F9C">
            <w:pPr>
              <w:spacing w:line="276" w:lineRule="auto"/>
              <w:ind w:right="703"/>
              <w:contextualSpacing/>
              <w:jc w:val="both"/>
              <w:rPr>
                <w:rFonts w:ascii="Arial" w:eastAsia="Calibri" w:hAnsi="Arial" w:cs="Arial"/>
                <w:bCs/>
                <w:lang w:val="es-MX"/>
              </w:rPr>
            </w:pPr>
          </w:p>
        </w:tc>
      </w:tr>
      <w:tr w:rsidR="00441CEB" w:rsidRPr="00D51F9C" w14:paraId="37831FD9" w14:textId="77777777" w:rsidTr="000B036D">
        <w:tc>
          <w:tcPr>
            <w:tcW w:w="2689" w:type="dxa"/>
          </w:tcPr>
          <w:p w14:paraId="270DF476" w14:textId="77777777" w:rsidR="00D63C6A" w:rsidRDefault="00AF24DA" w:rsidP="00D51F9C">
            <w:pPr>
              <w:spacing w:line="276" w:lineRule="auto"/>
              <w:contextualSpacing/>
              <w:rPr>
                <w:rFonts w:ascii="Arial" w:eastAsia="Calibri" w:hAnsi="Arial" w:cs="Arial"/>
                <w:b/>
                <w:noProof/>
                <w:lang w:val="es-ES_tradnl"/>
              </w:rPr>
            </w:pPr>
            <w:r w:rsidRPr="00D51F9C">
              <w:rPr>
                <w:rFonts w:ascii="Arial" w:eastAsia="Calibri" w:hAnsi="Arial" w:cs="Arial"/>
                <w:b/>
                <w:noProof/>
                <w:lang w:val="es-ES_tradnl"/>
              </w:rPr>
              <w:t xml:space="preserve"> </w:t>
            </w:r>
          </w:p>
          <w:p w14:paraId="366738A4" w14:textId="7383EC52" w:rsidR="00AF24DA" w:rsidRPr="00D51F9C" w:rsidRDefault="00AF24DA" w:rsidP="00D51F9C">
            <w:pPr>
              <w:spacing w:line="276" w:lineRule="auto"/>
              <w:contextualSpacing/>
              <w:rPr>
                <w:rFonts w:ascii="Arial" w:eastAsia="Calibri" w:hAnsi="Arial" w:cs="Arial"/>
                <w:b/>
                <w:noProof/>
                <w:lang w:val="es-ES_tradnl"/>
              </w:rPr>
            </w:pPr>
            <w:r w:rsidRPr="00D51F9C">
              <w:rPr>
                <w:rFonts w:ascii="Arial" w:eastAsia="Calibri" w:hAnsi="Arial" w:cs="Arial"/>
                <w:b/>
                <w:noProof/>
                <w:lang w:val="es-ES_tradnl"/>
              </w:rPr>
              <w:t>Radicación:</w:t>
            </w:r>
            <w:r w:rsidRPr="00D51F9C">
              <w:rPr>
                <w:rFonts w:ascii="Arial" w:eastAsia="Calibri" w:hAnsi="Arial" w:cs="Arial"/>
                <w:noProof/>
                <w:lang w:val="es-ES_tradnl"/>
              </w:rPr>
              <w:t xml:space="preserve">                              </w:t>
            </w:r>
          </w:p>
        </w:tc>
        <w:tc>
          <w:tcPr>
            <w:tcW w:w="6237" w:type="dxa"/>
          </w:tcPr>
          <w:p w14:paraId="7C6BDCC1" w14:textId="77777777" w:rsidR="00D63C6A" w:rsidRDefault="00D63C6A" w:rsidP="00D51F9C">
            <w:pPr>
              <w:spacing w:line="276" w:lineRule="auto"/>
              <w:contextualSpacing/>
              <w:jc w:val="both"/>
              <w:rPr>
                <w:rFonts w:ascii="Arial" w:eastAsia="Calibri" w:hAnsi="Arial" w:cs="Arial"/>
                <w:noProof/>
                <w:lang w:val="es-ES_tradnl"/>
              </w:rPr>
            </w:pPr>
          </w:p>
          <w:p w14:paraId="30F4B9A8" w14:textId="5D681148" w:rsidR="00AF24DA" w:rsidRPr="00D51F9C" w:rsidRDefault="00AF24DA" w:rsidP="00D51F9C">
            <w:pPr>
              <w:spacing w:line="276" w:lineRule="auto"/>
              <w:contextualSpacing/>
              <w:jc w:val="both"/>
              <w:rPr>
                <w:rFonts w:ascii="Arial" w:eastAsia="Calibri" w:hAnsi="Arial" w:cs="Arial"/>
                <w:noProof/>
                <w:lang w:val="es-ES_tradnl"/>
              </w:rPr>
            </w:pPr>
            <w:r w:rsidRPr="00D51F9C">
              <w:rPr>
                <w:rFonts w:ascii="Arial" w:eastAsia="Calibri" w:hAnsi="Arial" w:cs="Arial"/>
                <w:noProof/>
                <w:lang w:val="es-ES_tradnl"/>
              </w:rPr>
              <w:t xml:space="preserve">Respuesta a consulta </w:t>
            </w:r>
            <w:r w:rsidR="00645CBD" w:rsidRPr="00D51F9C">
              <w:rPr>
                <w:rFonts w:ascii="Arial" w:eastAsia="Calibri" w:hAnsi="Arial" w:cs="Arial"/>
                <w:noProof/>
                <w:lang w:val="es-ES_tradnl"/>
              </w:rPr>
              <w:t>P20220905008833</w:t>
            </w:r>
            <w:r w:rsidRPr="00D51F9C">
              <w:rPr>
                <w:rFonts w:ascii="Arial" w:hAnsi="Arial" w:cs="Arial"/>
                <w:b/>
                <w:bCs/>
                <w:sz w:val="32"/>
                <w:szCs w:val="32"/>
                <w:shd w:val="clear" w:color="auto" w:fill="FFFFFF"/>
              </w:rPr>
              <w:t xml:space="preserve"> </w:t>
            </w:r>
          </w:p>
        </w:tc>
      </w:tr>
    </w:tbl>
    <w:p w14:paraId="3C699C0D" w14:textId="77777777" w:rsidR="00AF24DA" w:rsidRPr="00D51F9C" w:rsidRDefault="00AF24DA" w:rsidP="00D51F9C">
      <w:pPr>
        <w:spacing w:after="0" w:line="276" w:lineRule="auto"/>
        <w:contextualSpacing/>
        <w:jc w:val="both"/>
        <w:rPr>
          <w:rFonts w:ascii="Arial" w:eastAsia="Calibri" w:hAnsi="Arial" w:cs="Arial"/>
        </w:rPr>
      </w:pPr>
    </w:p>
    <w:p w14:paraId="3A947EDB" w14:textId="77777777" w:rsidR="00AF24DA" w:rsidRPr="00D51F9C" w:rsidRDefault="00AF24DA" w:rsidP="00D51F9C">
      <w:pPr>
        <w:spacing w:after="0" w:line="276" w:lineRule="auto"/>
        <w:contextualSpacing/>
        <w:jc w:val="both"/>
        <w:rPr>
          <w:rFonts w:ascii="Arial" w:eastAsia="Calibri" w:hAnsi="Arial" w:cs="Arial"/>
        </w:rPr>
      </w:pPr>
    </w:p>
    <w:p w14:paraId="6DD3731E" w14:textId="27550B03" w:rsidR="00AF24DA" w:rsidRPr="00D51F9C" w:rsidRDefault="00C548DC" w:rsidP="00951ECE">
      <w:pPr>
        <w:spacing w:after="0" w:line="276" w:lineRule="auto"/>
        <w:contextualSpacing/>
        <w:jc w:val="both"/>
        <w:rPr>
          <w:rFonts w:ascii="Arial" w:eastAsia="Calibri" w:hAnsi="Arial" w:cs="Arial"/>
        </w:rPr>
      </w:pPr>
      <w:r w:rsidRPr="00D51F9C">
        <w:rPr>
          <w:rFonts w:ascii="Arial" w:eastAsia="Calibri" w:hAnsi="Arial" w:cs="Arial"/>
        </w:rPr>
        <w:t>Cordial saludo</w:t>
      </w:r>
      <w:r w:rsidR="00AF24DA" w:rsidRPr="00D51F9C">
        <w:rPr>
          <w:rFonts w:ascii="Arial" w:eastAsia="Calibri" w:hAnsi="Arial" w:cs="Arial"/>
        </w:rPr>
        <w:t>:</w:t>
      </w:r>
    </w:p>
    <w:p w14:paraId="63F444C0" w14:textId="77777777" w:rsidR="00AF24DA" w:rsidRPr="00D51F9C" w:rsidRDefault="00AF24DA" w:rsidP="00951ECE">
      <w:pPr>
        <w:spacing w:after="0" w:line="276" w:lineRule="auto"/>
        <w:ind w:firstLine="709"/>
        <w:contextualSpacing/>
        <w:jc w:val="both"/>
        <w:rPr>
          <w:rFonts w:ascii="Arial" w:eastAsia="Calibri" w:hAnsi="Arial" w:cs="Arial"/>
        </w:rPr>
      </w:pPr>
    </w:p>
    <w:p w14:paraId="2CFE6785" w14:textId="3115BB7A" w:rsidR="00AF24DA" w:rsidRPr="00D51F9C" w:rsidRDefault="00AF24DA" w:rsidP="00951ECE">
      <w:pPr>
        <w:spacing w:after="0" w:line="276" w:lineRule="auto"/>
        <w:ind w:right="51"/>
        <w:contextualSpacing/>
        <w:jc w:val="both"/>
        <w:rPr>
          <w:rFonts w:ascii="Arial" w:eastAsia="Calibri" w:hAnsi="Arial" w:cs="Arial"/>
        </w:rPr>
      </w:pPr>
      <w:r w:rsidRPr="00D51F9C">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w:t>
      </w:r>
      <w:r w:rsidR="00546675" w:rsidRPr="00D51F9C">
        <w:rPr>
          <w:rFonts w:ascii="Arial" w:eastAsia="Calibri" w:hAnsi="Arial" w:cs="Arial"/>
        </w:rPr>
        <w:t>su</w:t>
      </w:r>
      <w:r w:rsidRPr="00D51F9C">
        <w:rPr>
          <w:rFonts w:ascii="Arial" w:eastAsia="Calibri" w:hAnsi="Arial" w:cs="Arial"/>
        </w:rPr>
        <w:t xml:space="preserve"> consulta radicada el </w:t>
      </w:r>
      <w:r w:rsidR="00B41F62" w:rsidRPr="00D51F9C">
        <w:rPr>
          <w:rFonts w:ascii="Arial" w:eastAsia="Calibri" w:hAnsi="Arial" w:cs="Arial"/>
        </w:rPr>
        <w:t>5</w:t>
      </w:r>
      <w:r w:rsidRPr="00D51F9C">
        <w:rPr>
          <w:rFonts w:ascii="Arial" w:eastAsia="Calibri" w:hAnsi="Arial" w:cs="Arial"/>
        </w:rPr>
        <w:t xml:space="preserve"> de </w:t>
      </w:r>
      <w:r w:rsidR="00B41F62" w:rsidRPr="00D51F9C">
        <w:rPr>
          <w:rFonts w:ascii="Arial" w:eastAsia="Calibri" w:hAnsi="Arial" w:cs="Arial"/>
        </w:rPr>
        <w:t>septiembre</w:t>
      </w:r>
      <w:r w:rsidRPr="00D51F9C">
        <w:rPr>
          <w:rFonts w:ascii="Arial" w:eastAsia="Calibri" w:hAnsi="Arial" w:cs="Arial"/>
        </w:rPr>
        <w:t xml:space="preserve"> de 2022. </w:t>
      </w:r>
    </w:p>
    <w:p w14:paraId="36D63721" w14:textId="77777777" w:rsidR="00AF24DA" w:rsidRPr="00D51F9C" w:rsidRDefault="00AF24DA" w:rsidP="00951ECE">
      <w:pPr>
        <w:spacing w:line="276" w:lineRule="auto"/>
        <w:contextualSpacing/>
        <w:jc w:val="both"/>
        <w:rPr>
          <w:rFonts w:ascii="Arial" w:eastAsia="Calibri" w:hAnsi="Arial" w:cs="Arial"/>
        </w:rPr>
      </w:pPr>
    </w:p>
    <w:p w14:paraId="4F332B7C" w14:textId="06258499" w:rsidR="00AF24DA" w:rsidRPr="00D51F9C" w:rsidRDefault="00AF24DA" w:rsidP="00951ECE">
      <w:pPr>
        <w:tabs>
          <w:tab w:val="left" w:pos="284"/>
        </w:tabs>
        <w:spacing w:line="276" w:lineRule="auto"/>
        <w:contextualSpacing/>
        <w:jc w:val="both"/>
        <w:rPr>
          <w:rFonts w:ascii="Arial" w:eastAsia="Calibri" w:hAnsi="Arial" w:cs="Arial"/>
          <w:b/>
        </w:rPr>
      </w:pPr>
      <w:r w:rsidRPr="00D51F9C">
        <w:rPr>
          <w:rFonts w:ascii="Arial" w:eastAsia="Calibri" w:hAnsi="Arial" w:cs="Arial"/>
          <w:b/>
        </w:rPr>
        <w:t xml:space="preserve">1. Problema planteado </w:t>
      </w:r>
    </w:p>
    <w:p w14:paraId="3E1F642B" w14:textId="77777777" w:rsidR="00023689" w:rsidRPr="00D51F9C" w:rsidRDefault="00023689" w:rsidP="00951ECE">
      <w:pPr>
        <w:tabs>
          <w:tab w:val="left" w:pos="284"/>
        </w:tabs>
        <w:spacing w:line="276" w:lineRule="auto"/>
        <w:contextualSpacing/>
        <w:jc w:val="both"/>
        <w:rPr>
          <w:rFonts w:ascii="Arial" w:eastAsia="Calibri" w:hAnsi="Arial" w:cs="Arial"/>
          <w:b/>
        </w:rPr>
      </w:pPr>
    </w:p>
    <w:p w14:paraId="2C15C0EA" w14:textId="685C8E2A" w:rsidR="00AF24DA" w:rsidRPr="00D51F9C" w:rsidRDefault="00943C2B" w:rsidP="00951ECE">
      <w:pPr>
        <w:spacing w:line="276" w:lineRule="auto"/>
        <w:ind w:right="51"/>
        <w:contextualSpacing/>
        <w:jc w:val="both"/>
        <w:rPr>
          <w:rFonts w:ascii="Arial" w:eastAsia="Calibri" w:hAnsi="Arial" w:cs="Arial"/>
          <w:i/>
          <w:iCs/>
        </w:rPr>
      </w:pPr>
      <w:bookmarkStart w:id="3" w:name="_Hlk58917991"/>
      <w:bookmarkStart w:id="4" w:name="_Hlk56103000"/>
      <w:r w:rsidRPr="00D51F9C">
        <w:rPr>
          <w:rFonts w:ascii="Arial" w:eastAsia="Calibri" w:hAnsi="Arial" w:cs="Arial"/>
        </w:rPr>
        <w:t>U</w:t>
      </w:r>
      <w:r w:rsidR="00AF24DA" w:rsidRPr="00D51F9C">
        <w:rPr>
          <w:rFonts w:ascii="Arial" w:eastAsia="Calibri" w:hAnsi="Arial" w:cs="Arial"/>
        </w:rPr>
        <w:t>sted plantea la siguiente pregunta: «</w:t>
      </w:r>
      <w:r w:rsidR="00546675" w:rsidRPr="00D51F9C">
        <w:rPr>
          <w:rFonts w:ascii="Arial" w:eastAsia="Calibri" w:hAnsi="Arial" w:cs="Arial"/>
          <w:i/>
          <w:iCs/>
        </w:rPr>
        <w:t xml:space="preserve">Hay entidades que piden un solo contrato para acreditar todo el monto de la experiencia, y dejan a un lado el derecho de libre concurrencia; y la oportunidad de participar a los </w:t>
      </w:r>
      <w:proofErr w:type="spellStart"/>
      <w:r w:rsidR="00546675" w:rsidRPr="00D51F9C">
        <w:rPr>
          <w:rFonts w:ascii="Arial" w:eastAsia="Calibri" w:hAnsi="Arial" w:cs="Arial"/>
          <w:i/>
          <w:iCs/>
        </w:rPr>
        <w:t>Mipymes</w:t>
      </w:r>
      <w:proofErr w:type="spellEnd"/>
      <w:r w:rsidR="00546675" w:rsidRPr="00D51F9C">
        <w:rPr>
          <w:rFonts w:ascii="Arial" w:eastAsia="Calibri" w:hAnsi="Arial" w:cs="Arial"/>
          <w:i/>
          <w:iCs/>
        </w:rPr>
        <w:t xml:space="preserve"> y emprendimiento y empresa </w:t>
      </w:r>
      <w:r w:rsidR="00546675" w:rsidRPr="00D51F9C">
        <w:rPr>
          <w:rFonts w:ascii="Arial" w:eastAsia="Calibri" w:hAnsi="Arial" w:cs="Arial"/>
          <w:i/>
          <w:iCs/>
        </w:rPr>
        <w:lastRenderedPageBreak/>
        <w:t xml:space="preserve">de mujeres. Agradezco conforme a la ley el sustento jurídico con el que las Entidades deben solicitar </w:t>
      </w:r>
      <w:proofErr w:type="spellStart"/>
      <w:r w:rsidR="00546675" w:rsidRPr="00D51F9C">
        <w:rPr>
          <w:rFonts w:ascii="Arial" w:eastAsia="Calibri" w:hAnsi="Arial" w:cs="Arial"/>
          <w:i/>
          <w:iCs/>
        </w:rPr>
        <w:t>mas</w:t>
      </w:r>
      <w:proofErr w:type="spellEnd"/>
      <w:r w:rsidR="00546675" w:rsidRPr="00D51F9C">
        <w:rPr>
          <w:rFonts w:ascii="Arial" w:eastAsia="Calibri" w:hAnsi="Arial" w:cs="Arial"/>
          <w:i/>
          <w:iCs/>
        </w:rPr>
        <w:t xml:space="preserve"> de un contrato, para hacer la respectiva observación […]</w:t>
      </w:r>
      <w:r w:rsidR="00AF24DA" w:rsidRPr="00D51F9C">
        <w:rPr>
          <w:rFonts w:ascii="Arial" w:eastAsia="Calibri" w:hAnsi="Arial" w:cs="Arial"/>
          <w:i/>
          <w:iCs/>
        </w:rPr>
        <w:t xml:space="preserve">».     </w:t>
      </w:r>
    </w:p>
    <w:p w14:paraId="04332FBD" w14:textId="77777777" w:rsidR="00023689" w:rsidRPr="00D51F9C" w:rsidRDefault="00023689" w:rsidP="00951ECE">
      <w:pPr>
        <w:spacing w:line="276" w:lineRule="auto"/>
        <w:ind w:right="51"/>
        <w:contextualSpacing/>
        <w:jc w:val="both"/>
        <w:rPr>
          <w:rFonts w:ascii="Arial" w:eastAsia="Calibri" w:hAnsi="Arial" w:cs="Arial"/>
        </w:rPr>
      </w:pPr>
    </w:p>
    <w:bookmarkEnd w:id="3"/>
    <w:bookmarkEnd w:id="4"/>
    <w:p w14:paraId="59968B13" w14:textId="77777777" w:rsidR="00AF24DA" w:rsidRPr="00D51F9C" w:rsidRDefault="00AF24DA" w:rsidP="00951ECE">
      <w:pPr>
        <w:tabs>
          <w:tab w:val="left" w:pos="284"/>
        </w:tabs>
        <w:spacing w:line="276" w:lineRule="auto"/>
        <w:contextualSpacing/>
        <w:jc w:val="both"/>
        <w:rPr>
          <w:rFonts w:ascii="Arial" w:eastAsia="Calibri" w:hAnsi="Arial" w:cs="Arial"/>
          <w:b/>
        </w:rPr>
      </w:pPr>
      <w:r w:rsidRPr="00D51F9C">
        <w:rPr>
          <w:rFonts w:ascii="Arial" w:eastAsia="Calibri" w:hAnsi="Arial" w:cs="Arial"/>
          <w:b/>
        </w:rPr>
        <w:t>2. Consideraciones</w:t>
      </w:r>
    </w:p>
    <w:p w14:paraId="0285A0B7" w14:textId="77777777" w:rsidR="00023689" w:rsidRPr="00D51F9C" w:rsidRDefault="00023689" w:rsidP="00951ECE">
      <w:pPr>
        <w:tabs>
          <w:tab w:val="left" w:pos="284"/>
        </w:tabs>
        <w:spacing w:line="276" w:lineRule="auto"/>
        <w:contextualSpacing/>
        <w:jc w:val="both"/>
        <w:rPr>
          <w:rFonts w:ascii="Arial" w:eastAsia="Calibri" w:hAnsi="Arial" w:cs="Arial"/>
          <w:b/>
        </w:rPr>
      </w:pPr>
    </w:p>
    <w:p w14:paraId="6EB335B8" w14:textId="77777777" w:rsidR="00C548DC" w:rsidRPr="00D51F9C" w:rsidRDefault="00E0558B" w:rsidP="00951ECE">
      <w:pPr>
        <w:spacing w:line="276" w:lineRule="auto"/>
        <w:jc w:val="both"/>
        <w:rPr>
          <w:rFonts w:ascii="Arial" w:hAnsi="Arial" w:cs="Arial"/>
          <w:bCs/>
          <w:lang w:eastAsia="es-ES_tradnl"/>
        </w:rPr>
      </w:pPr>
      <w:r w:rsidRPr="00D51F9C">
        <w:rPr>
          <w:rStyle w:val="normaltextrun"/>
          <w:rFonts w:ascii="Arial" w:hAnsi="Arial" w:cs="Arial"/>
          <w:color w:val="000000"/>
          <w:shd w:val="clear" w:color="auto" w:fill="FFFFFF"/>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D51F9C">
        <w:rPr>
          <w:rStyle w:val="superscript"/>
          <w:rFonts w:ascii="Arial" w:hAnsi="Arial" w:cs="Arial"/>
          <w:color w:val="000000"/>
          <w:sz w:val="17"/>
          <w:szCs w:val="17"/>
          <w:shd w:val="clear" w:color="auto" w:fill="FFFFFF"/>
          <w:vertAlign w:val="superscript"/>
        </w:rPr>
        <w:t>1</w:t>
      </w:r>
      <w:r w:rsidRPr="00D51F9C">
        <w:rPr>
          <w:rStyle w:val="normaltextrun"/>
          <w:rFonts w:ascii="Arial" w:hAnsi="Arial" w:cs="Arial"/>
          <w:color w:val="000000"/>
          <w:shd w:val="clear" w:color="auto" w:fill="FFFFFF"/>
        </w:rPr>
        <w:t xml:space="preserve">. </w:t>
      </w:r>
      <w:r w:rsidR="00C548DC" w:rsidRPr="00D51F9C">
        <w:rPr>
          <w:rFonts w:ascii="Arial" w:hAnsi="Arial" w:cs="Arial"/>
          <w:lang w:val="es-ES" w:eastAsia="es-ES_tradnl"/>
        </w:rPr>
        <w:t>Es necesario tener en cuenta que 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00C548DC" w:rsidRPr="00D51F9C">
        <w:rPr>
          <w:rFonts w:ascii="Arial" w:hAnsi="Arial" w:cs="Arial"/>
          <w:bCs/>
          <w:lang w:eastAsia="es-ES_tradnl"/>
        </w:rPr>
        <w:t xml:space="preserve"> de todos los partícipes de la contratación estatal. </w:t>
      </w:r>
    </w:p>
    <w:p w14:paraId="56FA33A2" w14:textId="59B038D1" w:rsidR="00703924" w:rsidRPr="00D51F9C" w:rsidRDefault="00C548DC" w:rsidP="00951ECE">
      <w:pPr>
        <w:tabs>
          <w:tab w:val="left" w:pos="284"/>
        </w:tabs>
        <w:spacing w:line="276" w:lineRule="auto"/>
        <w:ind w:firstLine="709"/>
        <w:contextualSpacing/>
        <w:jc w:val="both"/>
        <w:rPr>
          <w:rStyle w:val="eop"/>
          <w:rFonts w:ascii="Arial" w:hAnsi="Arial" w:cs="Arial"/>
          <w:color w:val="000000"/>
          <w:shd w:val="clear" w:color="auto" w:fill="FFFFFF"/>
        </w:rPr>
      </w:pPr>
      <w:r w:rsidRPr="00D51F9C">
        <w:rPr>
          <w:rFonts w:ascii="Arial" w:hAnsi="Arial" w:cs="Arial"/>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51F9C">
        <w:rPr>
          <w:rFonts w:ascii="Arial" w:hAnsi="Arial" w:cs="Arial"/>
          <w:vertAlign w:val="superscript"/>
          <w:lang w:val="es-ES" w:eastAsia="es-ES_tradnl"/>
        </w:rPr>
        <w:footnoteReference w:id="1"/>
      </w:r>
      <w:r w:rsidRPr="00D51F9C">
        <w:rPr>
          <w:rFonts w:ascii="Arial" w:hAnsi="Arial" w:cs="Arial"/>
          <w:lang w:val="es-ES" w:eastAsia="es-ES_tradnl"/>
        </w:rPr>
        <w:t xml:space="preserve">. Esta competencia de interpretación de normas generales, por definición, no puede extenderse a la resolución de controversias, ni a brindar asesorías sobre casos puntuales. </w:t>
      </w:r>
      <w:r w:rsidR="00E0558B" w:rsidRPr="00D51F9C">
        <w:rPr>
          <w:rStyle w:val="normaltextrun"/>
          <w:rFonts w:ascii="Arial" w:hAnsi="Arial" w:cs="Arial"/>
          <w:color w:val="000000"/>
          <w:shd w:val="clear" w:color="auto" w:fill="FFFFFF"/>
        </w:rPr>
        <w:t xml:space="preserve">Conforme a lo anterior, esta Subdirección </w:t>
      </w:r>
      <w:r w:rsidR="007A2DDA" w:rsidRPr="00D51F9C">
        <w:rPr>
          <w:rStyle w:val="normaltextrun"/>
          <w:rFonts w:ascii="Arial" w:hAnsi="Arial" w:cs="Arial"/>
          <w:color w:val="000000"/>
          <w:shd w:val="clear" w:color="auto" w:fill="FFFFFF"/>
        </w:rPr>
        <w:t>de Gestión Contractual</w:t>
      </w:r>
      <w:r w:rsidR="00E0558B" w:rsidRPr="00D51F9C">
        <w:rPr>
          <w:rStyle w:val="normaltextrun"/>
          <w:rFonts w:ascii="Arial" w:hAnsi="Arial" w:cs="Arial"/>
          <w:color w:val="000000"/>
          <w:shd w:val="clear" w:color="auto" w:fill="FFFFFF"/>
        </w:rPr>
        <w:t>–dentro de los límites de sus atribuciones– resolverá los problemas planteados, conforme a las normas generales en materia de contratación estatal, previo análisis de</w:t>
      </w:r>
      <w:r w:rsidR="00E0558B" w:rsidRPr="00D51F9C">
        <w:rPr>
          <w:rStyle w:val="normaltextrun"/>
          <w:rFonts w:ascii="Arial" w:hAnsi="Arial" w:cs="Arial"/>
          <w:color w:val="000000"/>
          <w:shd w:val="clear" w:color="auto" w:fill="FFFFFF"/>
          <w:lang w:val="es-ES"/>
        </w:rPr>
        <w:t xml:space="preserve"> los siguientes temas</w:t>
      </w:r>
      <w:r w:rsidR="00E0558B" w:rsidRPr="00D51F9C">
        <w:rPr>
          <w:rStyle w:val="normaltextrun"/>
          <w:rFonts w:ascii="Arial" w:hAnsi="Arial" w:cs="Arial"/>
          <w:color w:val="000000"/>
          <w:shd w:val="clear" w:color="auto" w:fill="FFFFFF"/>
        </w:rPr>
        <w:t>: i) </w:t>
      </w:r>
      <w:r w:rsidR="00E0558B" w:rsidRPr="00D51F9C">
        <w:rPr>
          <w:rStyle w:val="normaltextrun"/>
          <w:rFonts w:ascii="Arial" w:hAnsi="Arial" w:cs="Arial"/>
          <w:color w:val="000000"/>
          <w:shd w:val="clear" w:color="auto" w:fill="FFFFFF"/>
          <w:lang w:val="es-ES"/>
        </w:rPr>
        <w:t xml:space="preserve"> vigencia y reglamentación de los criterios diferenciales de la Ley 2069 de 2020</w:t>
      </w:r>
      <w:r w:rsidRPr="00D51F9C">
        <w:rPr>
          <w:rStyle w:val="normaltextrun"/>
          <w:rFonts w:ascii="Arial" w:hAnsi="Arial" w:cs="Arial"/>
          <w:color w:val="000000"/>
          <w:shd w:val="clear" w:color="auto" w:fill="FFFFFF"/>
          <w:lang w:val="es-ES"/>
        </w:rPr>
        <w:t>;</w:t>
      </w:r>
      <w:r w:rsidR="00E0558B" w:rsidRPr="00D51F9C">
        <w:rPr>
          <w:rStyle w:val="normaltextrun"/>
          <w:rFonts w:ascii="Arial" w:hAnsi="Arial" w:cs="Arial"/>
          <w:color w:val="000000"/>
          <w:shd w:val="clear" w:color="auto" w:fill="FFFFFF"/>
          <w:lang w:val="es-ES"/>
        </w:rPr>
        <w:t xml:space="preserve"> </w:t>
      </w:r>
      <w:proofErr w:type="spellStart"/>
      <w:r w:rsidR="00E0558B" w:rsidRPr="00D51F9C">
        <w:rPr>
          <w:rStyle w:val="normaltextrun"/>
          <w:rFonts w:ascii="Arial" w:hAnsi="Arial" w:cs="Arial"/>
          <w:color w:val="000000"/>
          <w:shd w:val="clear" w:color="auto" w:fill="FFFFFF"/>
          <w:lang w:val="es-ES"/>
        </w:rPr>
        <w:t>ii</w:t>
      </w:r>
      <w:proofErr w:type="spellEnd"/>
      <w:r w:rsidR="00E0558B" w:rsidRPr="00D51F9C">
        <w:rPr>
          <w:rStyle w:val="normaltextrun"/>
          <w:rFonts w:ascii="Arial" w:hAnsi="Arial" w:cs="Arial"/>
          <w:color w:val="000000"/>
          <w:shd w:val="clear" w:color="auto" w:fill="FFFFFF"/>
          <w:lang w:val="es-ES"/>
        </w:rPr>
        <w:t xml:space="preserve">) </w:t>
      </w:r>
      <w:r w:rsidR="00E0558B" w:rsidRPr="00D51F9C">
        <w:rPr>
          <w:rFonts w:ascii="Arial" w:eastAsia="Calibri" w:hAnsi="Arial" w:cs="Arial"/>
          <w:lang w:val="es-ES_tradnl" w:eastAsia="es-MX"/>
        </w:rPr>
        <w:t xml:space="preserve">determinación de los requisitos habilitantes en los </w:t>
      </w:r>
      <w:r w:rsidR="007A2DDA" w:rsidRPr="00D51F9C">
        <w:rPr>
          <w:rFonts w:ascii="Arial" w:eastAsia="Calibri" w:hAnsi="Arial" w:cs="Arial"/>
          <w:lang w:val="es-ES_tradnl" w:eastAsia="es-MX"/>
        </w:rPr>
        <w:t>P</w:t>
      </w:r>
      <w:r w:rsidR="00E0558B" w:rsidRPr="00D51F9C">
        <w:rPr>
          <w:rFonts w:ascii="Arial" w:eastAsia="Calibri" w:hAnsi="Arial" w:cs="Arial"/>
          <w:lang w:val="es-ES_tradnl" w:eastAsia="es-MX"/>
        </w:rPr>
        <w:t xml:space="preserve">rocesos de </w:t>
      </w:r>
      <w:proofErr w:type="spellStart"/>
      <w:r w:rsidR="007A2DDA" w:rsidRPr="00D51F9C">
        <w:rPr>
          <w:rFonts w:ascii="Arial" w:eastAsia="Calibri" w:hAnsi="Arial" w:cs="Arial"/>
          <w:lang w:val="es-ES_tradnl" w:eastAsia="es-MX"/>
        </w:rPr>
        <w:t>C</w:t>
      </w:r>
      <w:r w:rsidR="00E0558B" w:rsidRPr="00D51F9C">
        <w:rPr>
          <w:rFonts w:ascii="Arial" w:eastAsia="Calibri" w:hAnsi="Arial" w:cs="Arial"/>
          <w:lang w:val="es-ES_tradnl" w:eastAsia="es-MX"/>
        </w:rPr>
        <w:t>ontratación</w:t>
      </w:r>
      <w:r w:rsidRPr="00D51F9C">
        <w:rPr>
          <w:rFonts w:ascii="Arial" w:eastAsia="Calibri" w:hAnsi="Arial" w:cs="Arial"/>
          <w:lang w:val="es-ES_tradnl" w:eastAsia="es-MX"/>
        </w:rPr>
        <w:t>;</w:t>
      </w:r>
      <w:r w:rsidR="00EB1C1D" w:rsidRPr="00D51F9C">
        <w:rPr>
          <w:rFonts w:ascii="Arial" w:eastAsia="Calibri" w:hAnsi="Arial" w:cs="Arial"/>
          <w:lang w:val="es-ES_tradnl" w:eastAsia="es-MX"/>
        </w:rPr>
        <w:t>iii</w:t>
      </w:r>
      <w:proofErr w:type="spellEnd"/>
      <w:r w:rsidR="00EB1C1D" w:rsidRPr="00D51F9C">
        <w:rPr>
          <w:rFonts w:ascii="Arial" w:eastAsia="Calibri" w:hAnsi="Arial" w:cs="Arial"/>
          <w:lang w:val="es-ES_tradnl" w:eastAsia="es-MX"/>
        </w:rPr>
        <w:t>)</w:t>
      </w:r>
      <w:r w:rsidR="00EB1C1D" w:rsidRPr="00D51F9C">
        <w:rPr>
          <w:rFonts w:ascii="Arial" w:eastAsia="Calibri" w:hAnsi="Arial" w:cs="Arial"/>
          <w:b/>
        </w:rPr>
        <w:t xml:space="preserve"> </w:t>
      </w:r>
      <w:r w:rsidR="00EB1C1D" w:rsidRPr="00D51F9C">
        <w:rPr>
          <w:rFonts w:ascii="Arial" w:eastAsia="Calibri" w:hAnsi="Arial" w:cs="Arial"/>
          <w:bCs/>
        </w:rPr>
        <w:t>aproximación general al concepto de experiencia como requisito habilitante en la contratación pública</w:t>
      </w:r>
      <w:r w:rsidR="00EB1C1D" w:rsidRPr="00D51F9C">
        <w:rPr>
          <w:rFonts w:ascii="Arial" w:eastAsia="Calibri" w:hAnsi="Arial" w:cs="Arial"/>
          <w:lang w:val="es-ES_tradnl" w:eastAsia="es-MX"/>
        </w:rPr>
        <w:t xml:space="preserve">; </w:t>
      </w:r>
      <w:r w:rsidRPr="00D51F9C">
        <w:rPr>
          <w:rFonts w:ascii="Arial" w:eastAsia="Calibri" w:hAnsi="Arial" w:cs="Arial"/>
          <w:lang w:val="es-ES_tradnl" w:eastAsia="es-MX"/>
        </w:rPr>
        <w:t>y</w:t>
      </w:r>
      <w:r w:rsidR="00E0558B" w:rsidRPr="00D51F9C">
        <w:rPr>
          <w:rFonts w:ascii="Arial" w:eastAsia="Calibri" w:hAnsi="Arial" w:cs="Arial"/>
          <w:lang w:val="es-ES_tradnl" w:eastAsia="es-MX"/>
        </w:rPr>
        <w:t xml:space="preserve"> </w:t>
      </w:r>
      <w:proofErr w:type="spellStart"/>
      <w:r w:rsidR="00E0558B" w:rsidRPr="00D51F9C">
        <w:rPr>
          <w:rFonts w:ascii="Arial" w:eastAsia="Calibri" w:hAnsi="Arial" w:cs="Arial"/>
          <w:lang w:val="es-ES_tradnl" w:eastAsia="es-MX"/>
        </w:rPr>
        <w:t>i</w:t>
      </w:r>
      <w:r w:rsidR="00EB1C1D" w:rsidRPr="00D51F9C">
        <w:rPr>
          <w:rFonts w:ascii="Arial" w:eastAsia="Calibri" w:hAnsi="Arial" w:cs="Arial"/>
          <w:lang w:val="es-ES_tradnl" w:eastAsia="es-MX"/>
        </w:rPr>
        <w:t>v</w:t>
      </w:r>
      <w:proofErr w:type="spellEnd"/>
      <w:r w:rsidR="00E0558B" w:rsidRPr="00D51F9C">
        <w:rPr>
          <w:rFonts w:ascii="Arial" w:eastAsia="Calibri" w:hAnsi="Arial" w:cs="Arial"/>
          <w:lang w:val="es-ES_tradnl" w:eastAsia="es-MX"/>
        </w:rPr>
        <w:t xml:space="preserve">) </w:t>
      </w:r>
      <w:r w:rsidR="00E0558B" w:rsidRPr="00D51F9C">
        <w:rPr>
          <w:rStyle w:val="normaltextrun"/>
          <w:rFonts w:ascii="Arial" w:hAnsi="Arial" w:cs="Arial"/>
          <w:color w:val="000000"/>
          <w:shd w:val="clear" w:color="auto" w:fill="FFFFFF"/>
          <w:lang w:val="es-ES"/>
        </w:rPr>
        <w:t>requisitos habilitantes diferenciales para emprendimientos y empresas de mujeres</w:t>
      </w:r>
      <w:r w:rsidR="007A2DDA" w:rsidRPr="00D51F9C">
        <w:rPr>
          <w:rStyle w:val="normaltextrun"/>
          <w:rFonts w:ascii="Arial" w:hAnsi="Arial" w:cs="Arial"/>
          <w:color w:val="000000"/>
          <w:shd w:val="clear" w:color="auto" w:fill="FFFFFF"/>
          <w:lang w:val="es-ES"/>
        </w:rPr>
        <w:t xml:space="preserve"> como también de</w:t>
      </w:r>
      <w:r w:rsidR="00E0558B" w:rsidRPr="00D51F9C">
        <w:rPr>
          <w:rStyle w:val="normaltextrun"/>
          <w:rFonts w:ascii="Arial" w:hAnsi="Arial" w:cs="Arial"/>
          <w:color w:val="000000"/>
          <w:shd w:val="clear" w:color="auto" w:fill="FFFFFF"/>
          <w:lang w:val="es-ES"/>
        </w:rPr>
        <w:t xml:space="preserve"> </w:t>
      </w:r>
      <w:r w:rsidRPr="00D51F9C">
        <w:rPr>
          <w:rStyle w:val="normaltextrun"/>
          <w:rFonts w:ascii="Arial" w:hAnsi="Arial" w:cs="Arial"/>
          <w:color w:val="000000"/>
          <w:shd w:val="clear" w:color="auto" w:fill="FFFFFF"/>
          <w:lang w:val="es-ES"/>
        </w:rPr>
        <w:t>MiPymes</w:t>
      </w:r>
      <w:r w:rsidR="00E0558B" w:rsidRPr="00D51F9C">
        <w:rPr>
          <w:rStyle w:val="normaltextrun"/>
          <w:rFonts w:ascii="Arial" w:hAnsi="Arial" w:cs="Arial"/>
          <w:color w:val="000000"/>
          <w:shd w:val="clear" w:color="auto" w:fill="FFFFFF"/>
          <w:lang w:val="es-ES"/>
        </w:rPr>
        <w:t xml:space="preserve"> </w:t>
      </w:r>
      <w:r w:rsidR="007A2DDA" w:rsidRPr="00D51F9C">
        <w:rPr>
          <w:rStyle w:val="normaltextrun"/>
          <w:rFonts w:ascii="Arial" w:hAnsi="Arial" w:cs="Arial"/>
          <w:color w:val="000000"/>
          <w:shd w:val="clear" w:color="auto" w:fill="FFFFFF"/>
          <w:lang w:val="es-ES"/>
        </w:rPr>
        <w:t xml:space="preserve">contenida </w:t>
      </w:r>
      <w:r w:rsidR="00E0558B" w:rsidRPr="00D51F9C">
        <w:rPr>
          <w:rStyle w:val="normaltextrun"/>
          <w:rFonts w:ascii="Arial" w:hAnsi="Arial" w:cs="Arial"/>
          <w:color w:val="000000"/>
          <w:shd w:val="clear" w:color="auto" w:fill="FFFFFF"/>
          <w:lang w:val="es-ES"/>
        </w:rPr>
        <w:t>en el Decreto 1860 de 2021.</w:t>
      </w:r>
      <w:r w:rsidR="00E0558B" w:rsidRPr="00D51F9C">
        <w:rPr>
          <w:rStyle w:val="eop"/>
          <w:rFonts w:ascii="Arial" w:hAnsi="Arial" w:cs="Arial"/>
          <w:color w:val="000000"/>
          <w:shd w:val="clear" w:color="auto" w:fill="FFFFFF"/>
        </w:rPr>
        <w:t> </w:t>
      </w:r>
    </w:p>
    <w:p w14:paraId="0A7B35BC" w14:textId="77777777" w:rsidR="00023689" w:rsidRPr="00D51F9C" w:rsidRDefault="00023689" w:rsidP="00951ECE">
      <w:pPr>
        <w:tabs>
          <w:tab w:val="left" w:pos="284"/>
        </w:tabs>
        <w:spacing w:line="276" w:lineRule="auto"/>
        <w:ind w:firstLine="709"/>
        <w:contextualSpacing/>
        <w:jc w:val="both"/>
        <w:rPr>
          <w:rFonts w:ascii="Arial" w:eastAsia="Calibri" w:hAnsi="Arial" w:cs="Arial"/>
          <w:lang w:val="es-ES_tradnl" w:eastAsia="es-MX"/>
        </w:rPr>
      </w:pPr>
    </w:p>
    <w:p w14:paraId="542513BC" w14:textId="59E8FD7D" w:rsidR="008366F1" w:rsidRPr="00D51F9C" w:rsidRDefault="00703924" w:rsidP="00951ECE">
      <w:pPr>
        <w:tabs>
          <w:tab w:val="left" w:pos="284"/>
        </w:tabs>
        <w:spacing w:line="276" w:lineRule="auto"/>
        <w:jc w:val="both"/>
        <w:rPr>
          <w:rFonts w:ascii="Arial" w:eastAsia="Calibri" w:hAnsi="Arial" w:cs="Arial"/>
          <w:lang w:val="es-ES_tradnl" w:eastAsia="es-MX"/>
        </w:rPr>
      </w:pPr>
      <w:r w:rsidRPr="00D51F9C">
        <w:rPr>
          <w:rFonts w:ascii="Arial" w:eastAsia="Calibri" w:hAnsi="Arial" w:cs="Arial"/>
          <w:lang w:val="es-ES_tradnl" w:eastAsia="es-MX"/>
        </w:rPr>
        <w:tab/>
      </w:r>
      <w:r w:rsidRPr="00D51F9C">
        <w:rPr>
          <w:rFonts w:ascii="Arial" w:eastAsia="Calibri" w:hAnsi="Arial" w:cs="Arial"/>
          <w:lang w:val="es-ES_tradnl" w:eastAsia="es-MX"/>
        </w:rPr>
        <w:tab/>
      </w:r>
      <w:r w:rsidR="00375396" w:rsidRPr="00D51F9C">
        <w:rPr>
          <w:rStyle w:val="normaltextrun"/>
          <w:rFonts w:ascii="Arial" w:hAnsi="Arial" w:cs="Arial"/>
          <w:color w:val="000000"/>
          <w:shd w:val="clear" w:color="auto" w:fill="FFFFFF"/>
          <w:lang w:val="es-ES"/>
        </w:rPr>
        <w:t xml:space="preserve">La Agencia Nacional de Contratación Pública – Colombia Compra Eficiente se ha pronunciado, en términos generales, sobre el contenido de la Ley de Emprendimiento en diferentes conceptos, refiriéndose, especialmente, a lo dispuesto en el artículo 32 de dicha </w:t>
      </w:r>
      <w:r w:rsidR="007A2DDA" w:rsidRPr="00D51F9C">
        <w:rPr>
          <w:rStyle w:val="normaltextrun"/>
          <w:rFonts w:ascii="Arial" w:hAnsi="Arial" w:cs="Arial"/>
          <w:color w:val="000000"/>
          <w:shd w:val="clear" w:color="auto" w:fill="FFFFFF"/>
          <w:lang w:val="es-ES"/>
        </w:rPr>
        <w:t>L</w:t>
      </w:r>
      <w:r w:rsidR="00375396" w:rsidRPr="00D51F9C">
        <w:rPr>
          <w:rStyle w:val="normaltextrun"/>
          <w:rFonts w:ascii="Arial" w:hAnsi="Arial" w:cs="Arial"/>
          <w:color w:val="000000"/>
          <w:shd w:val="clear" w:color="auto" w:fill="FFFFFF"/>
          <w:lang w:val="es-ES"/>
        </w:rPr>
        <w:t xml:space="preserve">ey, alusivo a los criterios diferenciales para emprendimientos y empresas de mujeres, en los conceptos </w:t>
      </w:r>
      <w:r w:rsidR="00375396" w:rsidRPr="00D51F9C">
        <w:rPr>
          <w:rStyle w:val="normaltextrun"/>
          <w:rFonts w:ascii="Arial" w:hAnsi="Arial" w:cs="Arial"/>
          <w:color w:val="000000"/>
          <w:shd w:val="clear" w:color="auto" w:fill="FFFFFF"/>
        </w:rPr>
        <w:t xml:space="preserve">C-029 de 21 de febrero de 2021, C-037 del 26 de febrero de 2021, C-141 del 8 de abril de 2021, C-114 del 13 de abril de 2021, C-031 de 1 de marzo de 2022, C-217 de 21 de abril de 2022 y C-326 del 18 de mayo de 2022, entre otros. Igualmente, </w:t>
      </w:r>
      <w:r w:rsidR="00EB2E11" w:rsidRPr="00D51F9C">
        <w:rPr>
          <w:rFonts w:ascii="Arial" w:eastAsia="Calibri" w:hAnsi="Arial" w:cs="Arial"/>
          <w:lang w:val="es-ES_tradnl" w:eastAsia="es-MX"/>
        </w:rPr>
        <w:t>en los conceptos del 15 de noviembre, del 28 de noviembre, 16 de diciembre de 2019 –radicados No. 2201913000008520, 4201912000007329 y 2201913000009295–, así como en los conceptos C-120 del 3 de marzo de 2020, C-204 del 31 de marzo de 2020, C-099 del 6 de abril  de 2020, C-195 del 13 de abril de 2020, C-013 del 17 de abril de 2020, C-330 del 27 de mayo de 2020</w:t>
      </w:r>
      <w:r w:rsidR="00E72C85" w:rsidRPr="00D51F9C">
        <w:rPr>
          <w:rFonts w:ascii="Arial" w:eastAsia="Calibri" w:hAnsi="Arial" w:cs="Arial"/>
          <w:lang w:val="es-ES_tradnl" w:eastAsia="es-MX"/>
        </w:rPr>
        <w:t>,</w:t>
      </w:r>
      <w:r w:rsidR="00EB2E11" w:rsidRPr="00D51F9C">
        <w:rPr>
          <w:rFonts w:ascii="Arial" w:eastAsia="Calibri" w:hAnsi="Arial" w:cs="Arial"/>
          <w:lang w:val="es-ES_tradnl" w:eastAsia="es-MX"/>
        </w:rPr>
        <w:t xml:space="preserve"> C-396 de 16 de julio de 2020</w:t>
      </w:r>
      <w:r w:rsidR="00E72C85" w:rsidRPr="00D51F9C">
        <w:rPr>
          <w:rFonts w:ascii="Arial" w:eastAsia="Calibri" w:hAnsi="Arial" w:cs="Arial"/>
          <w:lang w:val="es-ES_tradnl" w:eastAsia="es-MX"/>
        </w:rPr>
        <w:t xml:space="preserve"> y C–142 del 30 de marzo de 2022</w:t>
      </w:r>
      <w:r w:rsidR="00EB2E11" w:rsidRPr="00D51F9C">
        <w:rPr>
          <w:rFonts w:ascii="Arial" w:eastAsia="Calibri" w:hAnsi="Arial" w:cs="Arial"/>
          <w:lang w:val="es-ES_tradnl" w:eastAsia="es-MX"/>
        </w:rPr>
        <w:t>, analizó la naturaleza de los requisitos habilitantes y</w:t>
      </w:r>
      <w:r w:rsidR="00F77F1A" w:rsidRPr="00D51F9C">
        <w:rPr>
          <w:rFonts w:ascii="Arial" w:eastAsia="Calibri" w:hAnsi="Arial" w:cs="Arial"/>
          <w:lang w:val="es-ES_tradnl" w:eastAsia="es-MX"/>
        </w:rPr>
        <w:t xml:space="preserve"> el </w:t>
      </w:r>
      <w:r w:rsidR="00EB2E11" w:rsidRPr="00D51F9C">
        <w:rPr>
          <w:rFonts w:ascii="Arial" w:eastAsia="Calibri" w:hAnsi="Arial" w:cs="Arial"/>
          <w:lang w:val="es-ES_tradnl" w:eastAsia="es-MX"/>
        </w:rPr>
        <w:t xml:space="preserve">carácter enunciativo </w:t>
      </w:r>
      <w:r w:rsidR="00F77F1A" w:rsidRPr="00D51F9C">
        <w:rPr>
          <w:rFonts w:ascii="Arial" w:eastAsia="Calibri" w:hAnsi="Arial" w:cs="Arial"/>
          <w:lang w:val="es-ES_tradnl" w:eastAsia="es-MX"/>
        </w:rPr>
        <w:t xml:space="preserve">de los mencionados </w:t>
      </w:r>
      <w:r w:rsidR="00EB2E11" w:rsidRPr="00D51F9C">
        <w:rPr>
          <w:rFonts w:ascii="Arial" w:eastAsia="Calibri" w:hAnsi="Arial" w:cs="Arial"/>
          <w:lang w:val="es-ES_tradnl" w:eastAsia="es-MX"/>
        </w:rPr>
        <w:t>en el artículo 5</w:t>
      </w:r>
      <w:r w:rsidR="00F77F1A" w:rsidRPr="00D51F9C">
        <w:rPr>
          <w:rFonts w:ascii="Arial" w:eastAsia="Calibri" w:hAnsi="Arial" w:cs="Arial"/>
          <w:lang w:val="es-ES_tradnl" w:eastAsia="es-MX"/>
        </w:rPr>
        <w:t xml:space="preserve">-1 </w:t>
      </w:r>
      <w:r w:rsidR="00EB2E11" w:rsidRPr="00D51F9C">
        <w:rPr>
          <w:rFonts w:ascii="Arial" w:eastAsia="Calibri" w:hAnsi="Arial" w:cs="Arial"/>
          <w:lang w:val="es-ES_tradnl" w:eastAsia="es-MX"/>
        </w:rPr>
        <w:t>de la Ley 1150 de 2007.</w:t>
      </w:r>
      <w:r w:rsidRPr="00D51F9C">
        <w:rPr>
          <w:rFonts w:ascii="Arial" w:eastAsia="Calibri" w:hAnsi="Arial" w:cs="Arial"/>
          <w:lang w:val="es-ES_tradnl" w:eastAsia="es-MX"/>
        </w:rPr>
        <w:t xml:space="preserve"> </w:t>
      </w:r>
    </w:p>
    <w:p w14:paraId="2C97D9C4" w14:textId="33C91A68" w:rsidR="00023689" w:rsidRPr="00D51F9C" w:rsidRDefault="008366F1" w:rsidP="00951ECE">
      <w:pPr>
        <w:tabs>
          <w:tab w:val="left" w:pos="284"/>
        </w:tabs>
        <w:spacing w:line="276" w:lineRule="auto"/>
        <w:contextualSpacing/>
        <w:jc w:val="both"/>
        <w:rPr>
          <w:rFonts w:ascii="Arial" w:eastAsia="Calibri" w:hAnsi="Arial" w:cs="Arial"/>
          <w:lang w:val="es-ES_tradnl" w:eastAsia="es-MX"/>
        </w:rPr>
      </w:pPr>
      <w:r w:rsidRPr="00D51F9C">
        <w:rPr>
          <w:rFonts w:ascii="Arial" w:eastAsia="Calibri" w:hAnsi="Arial" w:cs="Arial"/>
          <w:lang w:val="es-ES_tradnl" w:eastAsia="es-MX"/>
        </w:rPr>
        <w:tab/>
      </w:r>
      <w:r w:rsidRPr="00D51F9C">
        <w:rPr>
          <w:rFonts w:ascii="Arial" w:eastAsia="Calibri" w:hAnsi="Arial" w:cs="Arial"/>
          <w:lang w:val="es-ES_tradnl" w:eastAsia="es-MX"/>
        </w:rPr>
        <w:tab/>
      </w:r>
      <w:r w:rsidR="00703924" w:rsidRPr="00D51F9C">
        <w:rPr>
          <w:rFonts w:ascii="Arial" w:eastAsia="Calibri" w:hAnsi="Arial" w:cs="Arial"/>
          <w:lang w:val="es-ES_tradnl" w:eastAsia="es-MX"/>
        </w:rPr>
        <w:t>Por otro lado, e</w:t>
      </w:r>
      <w:r w:rsidR="00EB2E11" w:rsidRPr="00D51F9C">
        <w:rPr>
          <w:rFonts w:ascii="Arial" w:eastAsia="Calibri" w:hAnsi="Arial" w:cs="Arial"/>
          <w:lang w:val="es-ES_tradnl" w:eastAsia="es-MX"/>
        </w:rPr>
        <w:t>n los conceptos C-002 del 20 de febrero de 2020, C-491 del 27 de julio de 2020</w:t>
      </w:r>
      <w:r w:rsidR="00703924" w:rsidRPr="00D51F9C">
        <w:rPr>
          <w:rFonts w:ascii="Arial" w:eastAsia="Calibri" w:hAnsi="Arial" w:cs="Arial"/>
          <w:lang w:val="es-ES_tradnl" w:eastAsia="es-MX"/>
        </w:rPr>
        <w:t>,</w:t>
      </w:r>
      <w:r w:rsidR="00EB2E11" w:rsidRPr="00D51F9C">
        <w:rPr>
          <w:rFonts w:ascii="Arial" w:eastAsia="Calibri" w:hAnsi="Arial" w:cs="Arial"/>
          <w:lang w:val="es-ES_tradnl" w:eastAsia="es-MX"/>
        </w:rPr>
        <w:t xml:space="preserve"> C-708 del 9 de diciembre de 2020, C-052 de 8 de marzo de 2021, </w:t>
      </w:r>
      <w:r w:rsidR="00703924" w:rsidRPr="00D51F9C">
        <w:rPr>
          <w:rFonts w:ascii="Arial" w:eastAsia="Calibri" w:hAnsi="Arial" w:cs="Arial"/>
          <w:lang w:val="es-ES_tradnl" w:eastAsia="es-MX"/>
        </w:rPr>
        <w:t>C</w:t>
      </w:r>
      <w:r w:rsidR="00EB2E11" w:rsidRPr="00D51F9C">
        <w:rPr>
          <w:rFonts w:ascii="Arial" w:eastAsia="Calibri" w:hAnsi="Arial" w:cs="Arial"/>
          <w:lang w:val="es-ES_tradnl" w:eastAsia="es-MX"/>
        </w:rPr>
        <w:t xml:space="preserve">-727, </w:t>
      </w:r>
      <w:r w:rsidR="005C7BE9" w:rsidRPr="00D51F9C">
        <w:rPr>
          <w:rFonts w:ascii="Arial" w:eastAsia="Calibri" w:hAnsi="Arial" w:cs="Arial"/>
          <w:lang w:val="es-ES_tradnl" w:eastAsia="es-MX"/>
        </w:rPr>
        <w:t>del 26</w:t>
      </w:r>
      <w:r w:rsidR="00EB2E11" w:rsidRPr="00D51F9C">
        <w:rPr>
          <w:rFonts w:ascii="Arial" w:eastAsia="Calibri" w:hAnsi="Arial" w:cs="Arial"/>
          <w:lang w:val="es-ES_tradnl" w:eastAsia="es-MX"/>
        </w:rPr>
        <w:t xml:space="preserve"> de enero de 2022</w:t>
      </w:r>
      <w:r w:rsidR="00E36240" w:rsidRPr="00D51F9C">
        <w:rPr>
          <w:rFonts w:ascii="Arial" w:eastAsia="Calibri" w:hAnsi="Arial" w:cs="Arial"/>
          <w:lang w:val="es-ES_tradnl" w:eastAsia="es-MX"/>
        </w:rPr>
        <w:t xml:space="preserve"> y C-467 del 22 de julio de 2022</w:t>
      </w:r>
      <w:r w:rsidR="00EB2E11" w:rsidRPr="00D51F9C">
        <w:rPr>
          <w:rFonts w:ascii="Arial" w:eastAsia="Calibri" w:hAnsi="Arial" w:cs="Arial"/>
          <w:lang w:val="es-ES_tradnl" w:eastAsia="es-MX"/>
        </w:rPr>
        <w:t xml:space="preserve">, </w:t>
      </w:r>
      <w:r w:rsidR="00F77F1A" w:rsidRPr="00D51F9C">
        <w:rPr>
          <w:rFonts w:ascii="Arial" w:eastAsia="Calibri" w:hAnsi="Arial" w:cs="Arial"/>
          <w:lang w:val="es-ES_tradnl" w:eastAsia="es-MX"/>
        </w:rPr>
        <w:t xml:space="preserve">la Agencia </w:t>
      </w:r>
      <w:r w:rsidR="00EB2E11" w:rsidRPr="00D51F9C">
        <w:rPr>
          <w:rFonts w:ascii="Arial" w:eastAsia="Calibri" w:hAnsi="Arial" w:cs="Arial"/>
          <w:lang w:val="es-ES_tradnl" w:eastAsia="es-MX"/>
        </w:rPr>
        <w:t>se pronunció sobre la experiencia</w:t>
      </w:r>
      <w:r w:rsidR="00703924" w:rsidRPr="00D51F9C">
        <w:rPr>
          <w:rFonts w:ascii="Arial" w:eastAsia="Calibri" w:hAnsi="Arial" w:cs="Arial"/>
          <w:lang w:val="es-ES_tradnl" w:eastAsia="es-MX"/>
        </w:rPr>
        <w:t xml:space="preserve"> como requisito habilitante</w:t>
      </w:r>
      <w:r w:rsidR="00EB2E11" w:rsidRPr="00D51F9C">
        <w:rPr>
          <w:rFonts w:ascii="Arial" w:eastAsia="Calibri" w:hAnsi="Arial" w:cs="Arial"/>
          <w:lang w:val="es-ES_tradnl" w:eastAsia="es-MX"/>
        </w:rPr>
        <w:t xml:space="preserve"> en la contratación pública.</w:t>
      </w:r>
      <w:r w:rsidRPr="00D51F9C">
        <w:rPr>
          <w:rFonts w:ascii="Arial" w:eastAsia="Calibri" w:hAnsi="Arial" w:cs="Arial"/>
          <w:lang w:val="es-ES_tradnl" w:eastAsia="es-MX"/>
        </w:rPr>
        <w:t xml:space="preserve"> </w:t>
      </w:r>
      <w:r w:rsidR="00356968" w:rsidRPr="00D51F9C">
        <w:rPr>
          <w:rFonts w:ascii="Arial" w:eastAsia="Times New Roman" w:hAnsi="Arial" w:cs="Arial"/>
          <w:lang w:val="es-ES_tradnl" w:eastAsia="es-MX"/>
        </w:rPr>
        <w:t>Algunos de los argumentos expuestos en estos</w:t>
      </w:r>
      <w:r w:rsidR="005C7BE9" w:rsidRPr="00D51F9C">
        <w:rPr>
          <w:rFonts w:ascii="Arial" w:eastAsia="Times New Roman" w:hAnsi="Arial" w:cs="Arial"/>
          <w:lang w:val="es-ES_tradnl" w:eastAsia="es-MX"/>
        </w:rPr>
        <w:t xml:space="preserve"> conceptos se reiteran y complementan a continuación</w:t>
      </w:r>
      <w:r w:rsidR="00356968" w:rsidRPr="00D51F9C">
        <w:rPr>
          <w:rFonts w:ascii="Arial" w:eastAsia="Calibri" w:hAnsi="Arial" w:cs="Arial"/>
          <w:lang w:val="es-ES" w:eastAsia="es-MX"/>
        </w:rPr>
        <w:t>.</w:t>
      </w:r>
    </w:p>
    <w:p w14:paraId="79D4616C" w14:textId="5A51836B" w:rsidR="00023689" w:rsidRPr="00D51F9C" w:rsidRDefault="005C7BE9" w:rsidP="00D51F9C">
      <w:pPr>
        <w:pStyle w:val="paragraph"/>
        <w:spacing w:before="0" w:beforeAutospacing="0" w:after="160" w:afterAutospacing="0" w:line="276" w:lineRule="auto"/>
        <w:jc w:val="both"/>
        <w:textAlignment w:val="baseline"/>
        <w:rPr>
          <w:rFonts w:ascii="Arial" w:hAnsi="Arial" w:cs="Arial"/>
          <w:sz w:val="22"/>
          <w:szCs w:val="22"/>
        </w:rPr>
      </w:pPr>
      <w:r w:rsidRPr="00D51F9C">
        <w:rPr>
          <w:rFonts w:ascii="Arial" w:hAnsi="Arial" w:cs="Arial"/>
          <w:b/>
          <w:bCs/>
          <w:sz w:val="22"/>
          <w:szCs w:val="22"/>
          <w:lang w:val="es-ES_tradnl" w:eastAsia="es-MX"/>
        </w:rPr>
        <w:t xml:space="preserve">2.1. </w:t>
      </w:r>
      <w:r w:rsidR="003E4432" w:rsidRPr="00D51F9C">
        <w:rPr>
          <w:rFonts w:ascii="Arial" w:hAnsi="Arial" w:cs="Arial"/>
          <w:b/>
          <w:bCs/>
          <w:sz w:val="22"/>
          <w:szCs w:val="22"/>
          <w:lang w:val="es-ES_tradnl" w:eastAsia="es-MX"/>
        </w:rPr>
        <w:t>R</w:t>
      </w:r>
      <w:proofErr w:type="spellStart"/>
      <w:r w:rsidR="003E4432" w:rsidRPr="00D51F9C">
        <w:rPr>
          <w:rFonts w:ascii="Arial" w:hAnsi="Arial" w:cs="Arial"/>
          <w:b/>
          <w:bCs/>
          <w:sz w:val="22"/>
          <w:szCs w:val="22"/>
          <w:lang w:val="es-ES"/>
        </w:rPr>
        <w:t>eglamentación</w:t>
      </w:r>
      <w:proofErr w:type="spellEnd"/>
      <w:r w:rsidR="00023689" w:rsidRPr="00D51F9C">
        <w:rPr>
          <w:rFonts w:ascii="Arial" w:hAnsi="Arial" w:cs="Arial"/>
          <w:b/>
          <w:bCs/>
          <w:sz w:val="22"/>
          <w:szCs w:val="22"/>
          <w:lang w:val="es-ES"/>
        </w:rPr>
        <w:t xml:space="preserve"> de los criterios diferenciales de la Ley 2069 de 2020 </w:t>
      </w:r>
    </w:p>
    <w:p w14:paraId="2AD6A0C1" w14:textId="6EFFCF39" w:rsidR="007A2DDA" w:rsidRPr="00D51F9C" w:rsidRDefault="00023689" w:rsidP="00A1212D">
      <w:pPr>
        <w:spacing w:line="276" w:lineRule="auto"/>
        <w:jc w:val="both"/>
        <w:textAlignment w:val="baseline"/>
        <w:rPr>
          <w:rFonts w:ascii="Arial" w:eastAsia="Times New Roman" w:hAnsi="Arial" w:cs="Arial"/>
          <w:lang w:val="es-ES" w:eastAsia="es-CO"/>
        </w:rPr>
      </w:pPr>
      <w:r w:rsidRPr="00D51F9C">
        <w:rPr>
          <w:rFonts w:ascii="Arial" w:eastAsia="Times New Roman" w:hAnsi="Arial" w:cs="Arial"/>
          <w:lang w:val="es-ES" w:eastAsia="es-CO"/>
        </w:rPr>
        <w:t>El 31 de diciembre de 2020 se promulgó la Ley 2069, «</w:t>
      </w:r>
      <w:r w:rsidRPr="00D51F9C">
        <w:rPr>
          <w:rFonts w:ascii="Arial" w:eastAsia="Times New Roman" w:hAnsi="Arial" w:cs="Arial"/>
          <w:i/>
          <w:iCs/>
          <w:lang w:val="es-ES" w:eastAsia="es-CO"/>
        </w:rPr>
        <w:t>Por medio de la cual se impulsa el emprendimiento en Colombia»</w:t>
      </w:r>
      <w:r w:rsidR="007A2DDA" w:rsidRPr="00D51F9C">
        <w:rPr>
          <w:rFonts w:ascii="Arial" w:eastAsia="Times New Roman" w:hAnsi="Arial" w:cs="Arial"/>
          <w:i/>
          <w:iCs/>
          <w:lang w:val="es-ES" w:eastAsia="es-CO"/>
        </w:rPr>
        <w:t xml:space="preserve">, </w:t>
      </w:r>
      <w:r w:rsidR="007A2DDA" w:rsidRPr="00D51F9C">
        <w:rPr>
          <w:rFonts w:ascii="Arial" w:eastAsia="Times New Roman" w:hAnsi="Arial" w:cs="Arial"/>
          <w:lang w:val="es-ES" w:eastAsia="es-CO"/>
        </w:rPr>
        <w:t>que empezó a regir desde la fecha de su promulgación.</w:t>
      </w:r>
      <w:r w:rsidRPr="00D51F9C">
        <w:rPr>
          <w:rFonts w:ascii="Arial" w:eastAsia="Times New Roman" w:hAnsi="Arial" w:cs="Arial"/>
          <w:lang w:val="es-ES" w:eastAsia="es-CO"/>
        </w:rPr>
        <w:t xml:space="preserve"> </w:t>
      </w:r>
      <w:r w:rsidR="007A2DDA" w:rsidRPr="00D51F9C">
        <w:rPr>
          <w:rFonts w:ascii="Arial" w:eastAsia="Times New Roman" w:hAnsi="Arial" w:cs="Arial"/>
          <w:lang w:val="es-ES" w:eastAsia="es-CO"/>
        </w:rPr>
        <w:t xml:space="preserve">En su artículo 1 </w:t>
      </w:r>
      <w:r w:rsidRPr="00D51F9C">
        <w:rPr>
          <w:rFonts w:ascii="Arial" w:eastAsia="Times New Roman" w:hAnsi="Arial" w:cs="Arial"/>
          <w:lang w:val="es-ES" w:eastAsia="es-CO"/>
        </w:rPr>
        <w:t xml:space="preserve">dispone </w:t>
      </w:r>
      <w:r w:rsidR="007A2DDA" w:rsidRPr="00D51F9C">
        <w:rPr>
          <w:rFonts w:ascii="Arial" w:eastAsia="Times New Roman" w:hAnsi="Arial" w:cs="Arial"/>
          <w:lang w:val="es-ES" w:eastAsia="es-CO"/>
        </w:rPr>
        <w:t xml:space="preserve">que </w:t>
      </w:r>
      <w:r w:rsidRPr="00D51F9C">
        <w:rPr>
          <w:rFonts w:ascii="Arial" w:eastAsia="Times New Roman" w:hAnsi="Arial" w:cs="Arial"/>
          <w:lang w:val="es-ES" w:eastAsia="es-CO"/>
        </w:rPr>
        <w:t>aquella «</w:t>
      </w:r>
      <w:r w:rsidRPr="00D51F9C">
        <w:rPr>
          <w:rFonts w:ascii="Arial" w:eastAsia="Times New Roman" w:hAnsi="Arial" w:cs="Arial"/>
          <w:i/>
          <w:iCs/>
          <w:lang w:val="es-ES" w:eastAsia="es-CO"/>
        </w:rPr>
        <w:t>tiene por objeto establecer un marco regulatorio que propicie el emprendimiento y el crecimiento, consolidación y sostenibilidad de las empresas, con el fin de aumentar el bienestar social y generar equidad»</w:t>
      </w:r>
      <w:r w:rsidRPr="00D51F9C">
        <w:rPr>
          <w:rFonts w:ascii="Arial" w:eastAsia="Times New Roman" w:hAnsi="Arial" w:cs="Arial"/>
          <w:lang w:val="es-ES" w:eastAsia="es-CO"/>
        </w:rPr>
        <w:t xml:space="preserve">. Esto, a partir de </w:t>
      </w:r>
      <w:r w:rsidRPr="00D51F9C">
        <w:rPr>
          <w:rFonts w:ascii="Arial" w:eastAsia="Times New Roman" w:hAnsi="Arial" w:cs="Arial"/>
          <w:i/>
          <w:iCs/>
          <w:lang w:val="es-ES" w:eastAsia="es-CO"/>
        </w:rPr>
        <w:t xml:space="preserve">«[…] un enfoque regionalizado </w:t>
      </w:r>
      <w:r w:rsidR="00C548DC" w:rsidRPr="00D51F9C">
        <w:rPr>
          <w:rFonts w:ascii="Arial" w:eastAsia="Times New Roman" w:hAnsi="Arial" w:cs="Arial"/>
          <w:i/>
          <w:iCs/>
          <w:lang w:val="es-ES" w:eastAsia="es-CO"/>
        </w:rPr>
        <w:t>de acuerdo con</w:t>
      </w:r>
      <w:r w:rsidRPr="00D51F9C">
        <w:rPr>
          <w:rFonts w:ascii="Arial" w:eastAsia="Times New Roman" w:hAnsi="Arial" w:cs="Arial"/>
          <w:i/>
          <w:iCs/>
          <w:lang w:val="es-ES" w:eastAsia="es-CO"/>
        </w:rPr>
        <w:t xml:space="preserve"> las realidades socioeconómicas de cada región»</w:t>
      </w:r>
      <w:r w:rsidRPr="00D51F9C">
        <w:rPr>
          <w:rFonts w:ascii="Arial" w:eastAsia="Times New Roman" w:hAnsi="Arial" w:cs="Arial"/>
          <w:lang w:val="es-ES" w:eastAsia="es-CO"/>
        </w:rPr>
        <w:t xml:space="preserve">. </w:t>
      </w:r>
    </w:p>
    <w:p w14:paraId="06382717" w14:textId="1DD69554" w:rsidR="00023689" w:rsidRPr="00D51F9C" w:rsidRDefault="00023689" w:rsidP="00951ECE">
      <w:pPr>
        <w:spacing w:line="276" w:lineRule="auto"/>
        <w:ind w:firstLine="705"/>
        <w:jc w:val="both"/>
        <w:textAlignment w:val="baseline"/>
        <w:rPr>
          <w:rFonts w:ascii="Arial" w:eastAsia="Times New Roman" w:hAnsi="Arial" w:cs="Arial"/>
          <w:sz w:val="18"/>
          <w:szCs w:val="18"/>
          <w:lang w:eastAsia="es-CO"/>
        </w:rPr>
      </w:pPr>
      <w:r w:rsidRPr="00D51F9C">
        <w:rPr>
          <w:rFonts w:ascii="Arial" w:eastAsia="Times New Roman" w:hAnsi="Arial" w:cs="Arial"/>
          <w:lang w:val="es-ES" w:eastAsia="es-CO"/>
        </w:rPr>
        <w:t xml:space="preserve">En desarrollo de esta finalidad, </w:t>
      </w:r>
      <w:r w:rsidR="007A2DDA" w:rsidRPr="00D51F9C">
        <w:rPr>
          <w:rFonts w:ascii="Arial" w:eastAsia="Times New Roman" w:hAnsi="Arial" w:cs="Arial"/>
          <w:lang w:val="es-ES" w:eastAsia="es-CO"/>
        </w:rPr>
        <w:t>dispuso</w:t>
      </w:r>
      <w:r w:rsidRPr="00D51F9C">
        <w:rPr>
          <w:rFonts w:ascii="Arial" w:eastAsia="Times New Roman" w:hAnsi="Arial" w:cs="Arial"/>
          <w:lang w:val="es-ES" w:eastAsia="es-CO"/>
        </w:rPr>
        <w:t xml:space="preserve"> medidas de apoyo para las micro, pequeñas y medianas empresas –</w:t>
      </w:r>
      <w:r w:rsidR="00C548DC" w:rsidRPr="00D51F9C">
        <w:rPr>
          <w:rFonts w:ascii="Arial" w:eastAsia="Times New Roman" w:hAnsi="Arial" w:cs="Arial"/>
          <w:lang w:val="es-ES" w:eastAsia="es-CO"/>
        </w:rPr>
        <w:t>MiPymes</w:t>
      </w:r>
      <w:r w:rsidRPr="00D51F9C">
        <w:rPr>
          <w:rFonts w:ascii="Arial" w:eastAsia="Times New Roman" w:hAnsi="Arial" w:cs="Arial"/>
          <w:lang w:val="es-ES" w:eastAsia="es-CO"/>
        </w:rPr>
        <w:t>–, mediante la racionalización y simplificación de los trámites y tarifas, así como incentivos a favor de aquellas dentro del sistema de compras y contratación pública</w:t>
      </w:r>
      <w:r w:rsidRPr="00D51F9C">
        <w:rPr>
          <w:rFonts w:ascii="Arial" w:eastAsia="Times New Roman" w:hAnsi="Arial" w:cs="Arial"/>
          <w:sz w:val="17"/>
          <w:szCs w:val="17"/>
          <w:vertAlign w:val="superscript"/>
          <w:lang w:val="es-ES" w:eastAsia="es-CO"/>
        </w:rPr>
        <w:t>7</w:t>
      </w:r>
      <w:r w:rsidRPr="00D51F9C">
        <w:rPr>
          <w:rFonts w:ascii="Arial" w:eastAsia="Times New Roman" w:hAnsi="Arial" w:cs="Arial"/>
          <w:lang w:val="es-ES" w:eastAsia="es-CO"/>
        </w:rPr>
        <w:t>. También se consagran mecanismos de acceso al financiamiento, se unifican las fuentes de emprendimiento y de desarrollo empresarial, para fortalecer y promover los distintos sectores de la economía</w:t>
      </w:r>
      <w:r w:rsidRPr="00D51F9C">
        <w:rPr>
          <w:rFonts w:ascii="Arial" w:eastAsia="Times New Roman" w:hAnsi="Arial" w:cs="Arial"/>
          <w:sz w:val="17"/>
          <w:szCs w:val="17"/>
          <w:vertAlign w:val="superscript"/>
          <w:lang w:val="es-ES" w:eastAsia="es-CO"/>
        </w:rPr>
        <w:t>9</w:t>
      </w:r>
      <w:r w:rsidRPr="00D51F9C">
        <w:rPr>
          <w:rFonts w:ascii="Arial" w:eastAsia="Times New Roman" w:hAnsi="Arial" w:cs="Arial"/>
          <w:lang w:val="es-ES" w:eastAsia="es-CO"/>
        </w:rPr>
        <w:t xml:space="preserve"> y se prevén medidas de educación para el emprendimiento y la innovación.</w:t>
      </w:r>
      <w:r w:rsidRPr="00D51F9C">
        <w:rPr>
          <w:rFonts w:ascii="Arial" w:eastAsia="Times New Roman" w:hAnsi="Arial" w:cs="Arial"/>
          <w:lang w:eastAsia="es-CO"/>
        </w:rPr>
        <w:t> </w:t>
      </w:r>
    </w:p>
    <w:p w14:paraId="33405F38" w14:textId="30BA2423" w:rsidR="00023689" w:rsidRPr="00D51F9C" w:rsidRDefault="00023689" w:rsidP="00951ECE">
      <w:pPr>
        <w:spacing w:line="276" w:lineRule="auto"/>
        <w:ind w:firstLine="705"/>
        <w:jc w:val="both"/>
        <w:textAlignment w:val="baseline"/>
        <w:rPr>
          <w:rFonts w:ascii="Arial" w:eastAsia="Times New Roman" w:hAnsi="Arial" w:cs="Arial"/>
          <w:sz w:val="18"/>
          <w:szCs w:val="18"/>
          <w:lang w:eastAsia="es-CO"/>
        </w:rPr>
      </w:pPr>
      <w:r w:rsidRPr="00D51F9C">
        <w:rPr>
          <w:rFonts w:ascii="Arial" w:eastAsia="Times New Roman" w:hAnsi="Arial" w:cs="Arial"/>
          <w:lang w:val="es-ES" w:eastAsia="es-CO"/>
        </w:rPr>
        <w:lastRenderedPageBreak/>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r w:rsidR="00C548DC" w:rsidRPr="00D51F9C">
        <w:rPr>
          <w:rFonts w:ascii="Arial" w:eastAsia="Times New Roman" w:hAnsi="Arial" w:cs="Arial"/>
          <w:lang w:val="es-ES" w:eastAsia="es-CO"/>
        </w:rPr>
        <w:t>MiPymes</w:t>
      </w:r>
      <w:r w:rsidRPr="00D51F9C">
        <w:rPr>
          <w:rFonts w:ascii="Arial" w:eastAsia="Times New Roman" w:hAnsi="Arial" w:cs="Arial"/>
          <w:lang w:val="es-ES" w:eastAsia="es-CO"/>
        </w:rPr>
        <w:t xml:space="preserve"> en el procedimiento de mínima cuantía, </w:t>
      </w:r>
      <w:proofErr w:type="spellStart"/>
      <w:r w:rsidRPr="00D51F9C">
        <w:rPr>
          <w:rFonts w:ascii="Arial" w:eastAsia="Times New Roman" w:hAnsi="Arial" w:cs="Arial"/>
          <w:lang w:val="es-ES" w:eastAsia="es-CO"/>
        </w:rPr>
        <w:t>ii</w:t>
      </w:r>
      <w:proofErr w:type="spellEnd"/>
      <w:r w:rsidRPr="00D51F9C">
        <w:rPr>
          <w:rFonts w:ascii="Arial" w:eastAsia="Times New Roman" w:hAnsi="Arial" w:cs="Arial"/>
          <w:lang w:val="es-ES" w:eastAsia="es-CO"/>
        </w:rPr>
        <w:t xml:space="preserve">) criterios diferenciales para </w:t>
      </w:r>
      <w:r w:rsidR="00C548DC" w:rsidRPr="00D51F9C">
        <w:rPr>
          <w:rFonts w:ascii="Arial" w:eastAsia="Times New Roman" w:hAnsi="Arial" w:cs="Arial"/>
          <w:lang w:val="es-ES" w:eastAsia="es-CO"/>
        </w:rPr>
        <w:t>MiPymes</w:t>
      </w:r>
      <w:r w:rsidRPr="00D51F9C">
        <w:rPr>
          <w:rFonts w:ascii="Arial" w:eastAsia="Times New Roman" w:hAnsi="Arial" w:cs="Arial"/>
          <w:lang w:val="es-ES" w:eastAsia="es-CO"/>
        </w:rPr>
        <w:t xml:space="preserve"> en el sistema de compras públicas, </w:t>
      </w:r>
      <w:proofErr w:type="spellStart"/>
      <w:r w:rsidRPr="00D51F9C">
        <w:rPr>
          <w:rFonts w:ascii="Arial" w:eastAsia="Times New Roman" w:hAnsi="Arial" w:cs="Arial"/>
          <w:lang w:val="es-ES" w:eastAsia="es-CO"/>
        </w:rPr>
        <w:t>iii</w:t>
      </w:r>
      <w:proofErr w:type="spellEnd"/>
      <w:r w:rsidRPr="00D51F9C">
        <w:rPr>
          <w:rFonts w:ascii="Arial" w:eastAsia="Times New Roman" w:hAnsi="Arial" w:cs="Arial"/>
          <w:lang w:val="es-ES" w:eastAsia="es-CO"/>
        </w:rPr>
        <w:t xml:space="preserve">) criterios diferenciales para emprendimientos y empresas de mujeres en el sistema de compras públicas, </w:t>
      </w:r>
      <w:proofErr w:type="spellStart"/>
      <w:r w:rsidRPr="00D51F9C">
        <w:rPr>
          <w:rFonts w:ascii="Arial" w:eastAsia="Times New Roman" w:hAnsi="Arial" w:cs="Arial"/>
          <w:lang w:val="es-ES" w:eastAsia="es-CO"/>
        </w:rPr>
        <w:t>iv</w:t>
      </w:r>
      <w:proofErr w:type="spellEnd"/>
      <w:r w:rsidRPr="00D51F9C">
        <w:rPr>
          <w:rFonts w:ascii="Arial" w:eastAsia="Times New Roman" w:hAnsi="Arial" w:cs="Arial"/>
          <w:lang w:val="es-ES" w:eastAsia="es-CO"/>
        </w:rPr>
        <w:t xml:space="preserve">) promoción del acceso de las </w:t>
      </w:r>
      <w:r w:rsidR="00C548DC" w:rsidRPr="00D51F9C">
        <w:rPr>
          <w:rFonts w:ascii="Arial" w:eastAsia="Times New Roman" w:hAnsi="Arial" w:cs="Arial"/>
          <w:lang w:val="es-ES" w:eastAsia="es-CO"/>
        </w:rPr>
        <w:t>MiPymes</w:t>
      </w:r>
      <w:r w:rsidRPr="00D51F9C">
        <w:rPr>
          <w:rFonts w:ascii="Arial" w:eastAsia="Times New Roman" w:hAnsi="Arial" w:cs="Arial"/>
          <w:lang w:val="es-ES" w:eastAsia="es-CO"/>
        </w:rPr>
        <w:t xml:space="preserve"> al mercado de compras públicas, v) promoción del desarrollo en la contratación pública, vi) un nuevo régimen de factores de desempate y vi) un llamado a las </w:t>
      </w:r>
      <w:r w:rsidR="00C548DC" w:rsidRPr="00D51F9C">
        <w:rPr>
          <w:rFonts w:ascii="Arial" w:eastAsia="Times New Roman" w:hAnsi="Arial" w:cs="Arial"/>
          <w:lang w:val="es-ES" w:eastAsia="es-CO"/>
        </w:rPr>
        <w:t>E</w:t>
      </w:r>
      <w:r w:rsidRPr="00D51F9C">
        <w:rPr>
          <w:rFonts w:ascii="Arial" w:eastAsia="Times New Roman" w:hAnsi="Arial" w:cs="Arial"/>
          <w:lang w:val="es-ES" w:eastAsia="es-CO"/>
        </w:rPr>
        <w:t xml:space="preserve">ntidades </w:t>
      </w:r>
      <w:r w:rsidR="00C548DC" w:rsidRPr="00D51F9C">
        <w:rPr>
          <w:rFonts w:ascii="Arial" w:eastAsia="Times New Roman" w:hAnsi="Arial" w:cs="Arial"/>
          <w:lang w:val="es-ES" w:eastAsia="es-CO"/>
        </w:rPr>
        <w:t>E</w:t>
      </w:r>
      <w:r w:rsidRPr="00D51F9C">
        <w:rPr>
          <w:rFonts w:ascii="Arial" w:eastAsia="Times New Roman" w:hAnsi="Arial" w:cs="Arial"/>
          <w:lang w:val="es-ES" w:eastAsia="es-CO"/>
        </w:rPr>
        <w:t>statales para que promuevan compras públicas en el marco de la tecnología y la innovación.  </w:t>
      </w:r>
      <w:r w:rsidRPr="00D51F9C">
        <w:rPr>
          <w:rFonts w:ascii="Arial" w:eastAsia="Times New Roman" w:hAnsi="Arial" w:cs="Arial"/>
          <w:lang w:eastAsia="es-CO"/>
        </w:rPr>
        <w:t> </w:t>
      </w:r>
    </w:p>
    <w:p w14:paraId="26A1767A" w14:textId="700926A2" w:rsidR="008531D2" w:rsidRPr="00D51F9C" w:rsidRDefault="00023689" w:rsidP="00951ECE">
      <w:pPr>
        <w:spacing w:line="276" w:lineRule="auto"/>
        <w:ind w:firstLine="705"/>
        <w:jc w:val="both"/>
        <w:textAlignment w:val="baseline"/>
        <w:rPr>
          <w:rFonts w:ascii="Arial" w:eastAsia="Times New Roman" w:hAnsi="Arial" w:cs="Arial"/>
          <w:lang w:val="es-ES" w:eastAsia="es-CO"/>
        </w:rPr>
      </w:pPr>
      <w:r w:rsidRPr="00D51F9C">
        <w:rPr>
          <w:rFonts w:ascii="Arial" w:eastAsia="Times New Roman" w:hAnsi="Arial" w:cs="Arial"/>
          <w:lang w:eastAsia="es-CO"/>
        </w:rPr>
        <w:t xml:space="preserve">Dentro del referido capítulo se encuentran los artículos </w:t>
      </w:r>
      <w:r w:rsidR="008531D2" w:rsidRPr="00D51F9C">
        <w:rPr>
          <w:rFonts w:ascii="Arial" w:eastAsia="Times New Roman" w:hAnsi="Arial" w:cs="Arial"/>
          <w:lang w:eastAsia="es-CO"/>
        </w:rPr>
        <w:t xml:space="preserve">30, </w:t>
      </w:r>
      <w:r w:rsidRPr="00D51F9C">
        <w:rPr>
          <w:rFonts w:ascii="Arial" w:eastAsia="Times New Roman" w:hAnsi="Arial" w:cs="Arial"/>
          <w:lang w:eastAsia="es-CO"/>
        </w:rPr>
        <w:t>31</w:t>
      </w:r>
      <w:r w:rsidR="008531D2" w:rsidRPr="00D51F9C">
        <w:rPr>
          <w:rFonts w:ascii="Arial" w:eastAsia="Times New Roman" w:hAnsi="Arial" w:cs="Arial"/>
          <w:lang w:eastAsia="es-CO"/>
        </w:rPr>
        <w:t>,33, 34</w:t>
      </w:r>
      <w:r w:rsidRPr="00D51F9C">
        <w:rPr>
          <w:rFonts w:ascii="Arial" w:eastAsia="Times New Roman" w:hAnsi="Arial" w:cs="Arial"/>
          <w:lang w:eastAsia="es-CO"/>
        </w:rPr>
        <w:t xml:space="preserve"> y 3</w:t>
      </w:r>
      <w:r w:rsidR="008531D2" w:rsidRPr="00D51F9C">
        <w:rPr>
          <w:rFonts w:ascii="Arial" w:eastAsia="Times New Roman" w:hAnsi="Arial" w:cs="Arial"/>
          <w:lang w:eastAsia="es-CO"/>
        </w:rPr>
        <w:t>5</w:t>
      </w:r>
      <w:r w:rsidRPr="00D51F9C">
        <w:rPr>
          <w:rFonts w:ascii="Arial" w:eastAsia="Times New Roman" w:hAnsi="Arial" w:cs="Arial"/>
          <w:lang w:eastAsia="es-CO"/>
        </w:rPr>
        <w:t xml:space="preserve"> de la Ley 2069 de 2020, los cuales crean una serie de incentivos para las personas interesadas en celebrar contratos con el Estado</w:t>
      </w:r>
      <w:r w:rsidR="008531D2" w:rsidRPr="00D51F9C">
        <w:rPr>
          <w:rFonts w:ascii="Arial" w:eastAsia="Times New Roman" w:hAnsi="Arial" w:cs="Arial"/>
          <w:lang w:eastAsia="es-CO"/>
        </w:rPr>
        <w:t xml:space="preserve"> en su calidad de MiPymes y varios criterios diferenciales y de promoción de su acceso al mercado de compras públicas</w:t>
      </w:r>
      <w:r w:rsidRPr="00D51F9C">
        <w:rPr>
          <w:rFonts w:ascii="Arial" w:eastAsia="Times New Roman" w:hAnsi="Arial" w:cs="Arial"/>
          <w:lang w:eastAsia="es-CO"/>
        </w:rPr>
        <w:t xml:space="preserve">. </w:t>
      </w:r>
      <w:r w:rsidRPr="00D51F9C">
        <w:rPr>
          <w:rFonts w:ascii="Arial" w:eastAsia="Times New Roman" w:hAnsi="Arial" w:cs="Arial"/>
          <w:lang w:val="es-ES" w:eastAsia="es-CO"/>
        </w:rPr>
        <w:t xml:space="preserve">Por un lado, </w:t>
      </w:r>
      <w:r w:rsidR="008531D2" w:rsidRPr="00D51F9C">
        <w:rPr>
          <w:rFonts w:ascii="Arial" w:eastAsia="Times New Roman" w:hAnsi="Arial" w:cs="Arial"/>
          <w:lang w:val="es-ES" w:eastAsia="es-CO"/>
        </w:rPr>
        <w:t xml:space="preserve">el artículo 30 contempló la posibilidad </w:t>
      </w:r>
      <w:r w:rsidR="00814E65" w:rsidRPr="00D51F9C">
        <w:rPr>
          <w:rFonts w:ascii="Arial" w:eastAsia="Times New Roman" w:hAnsi="Arial" w:cs="Arial"/>
          <w:lang w:val="es-ES" w:eastAsia="es-CO"/>
        </w:rPr>
        <w:t xml:space="preserve">de que las Entidades Estatales realicen adquisiciones hasta por mínima cuantía a MiPymes o establecimientos que correspondan a la definición de "gran almacén" señalada por la Superintendencia de Industria y Comercio </w:t>
      </w:r>
      <w:r w:rsidR="004D6807" w:rsidRPr="00D51F9C">
        <w:rPr>
          <w:rFonts w:ascii="Arial" w:eastAsia="Times New Roman" w:hAnsi="Arial" w:cs="Arial"/>
          <w:lang w:val="es-ES" w:eastAsia="es-CO"/>
        </w:rPr>
        <w:t>que</w:t>
      </w:r>
      <w:r w:rsidR="00814E65" w:rsidRPr="00D51F9C">
        <w:rPr>
          <w:rFonts w:ascii="Arial" w:eastAsia="Times New Roman" w:hAnsi="Arial" w:cs="Arial"/>
          <w:lang w:val="es-ES" w:eastAsia="es-CO"/>
        </w:rPr>
        <w:t xml:space="preserve"> se determinarán por el reglamento que para el efecto expida el Gobierno Nacional. </w:t>
      </w:r>
    </w:p>
    <w:p w14:paraId="4791B438" w14:textId="2A1BFF7A" w:rsidR="00023689" w:rsidRPr="00D51F9C" w:rsidRDefault="00814E65" w:rsidP="00951ECE">
      <w:pPr>
        <w:spacing w:line="276" w:lineRule="auto"/>
        <w:ind w:firstLine="705"/>
        <w:jc w:val="both"/>
        <w:textAlignment w:val="baseline"/>
        <w:rPr>
          <w:rFonts w:ascii="Arial" w:eastAsia="Times New Roman" w:hAnsi="Arial" w:cs="Arial"/>
          <w:sz w:val="18"/>
          <w:szCs w:val="18"/>
          <w:lang w:eastAsia="es-CO"/>
        </w:rPr>
      </w:pPr>
      <w:r w:rsidRPr="00D51F9C">
        <w:rPr>
          <w:rFonts w:ascii="Arial" w:eastAsia="Times New Roman" w:hAnsi="Arial" w:cs="Arial"/>
          <w:lang w:val="es-ES" w:eastAsia="es-CO"/>
        </w:rPr>
        <w:t xml:space="preserve">De igual forma, </w:t>
      </w:r>
      <w:r w:rsidR="00023689" w:rsidRPr="00D51F9C">
        <w:rPr>
          <w:rFonts w:ascii="Arial" w:eastAsia="Times New Roman" w:hAnsi="Arial" w:cs="Arial"/>
          <w:lang w:val="es-ES" w:eastAsia="es-CO"/>
        </w:rPr>
        <w:t xml:space="preserve">el artículo 31 </w:t>
      </w:r>
      <w:r w:rsidR="00023689" w:rsidRPr="00D51F9C">
        <w:rPr>
          <w:rFonts w:ascii="Arial" w:eastAsia="Times New Roman" w:hAnsi="Arial" w:cs="Arial"/>
          <w:lang w:eastAsia="es-CO"/>
        </w:rPr>
        <w:t xml:space="preserve">introduce criterios diferenciales para el acceso de las </w:t>
      </w:r>
      <w:r w:rsidR="00C548DC" w:rsidRPr="00D51F9C">
        <w:rPr>
          <w:rFonts w:ascii="Arial" w:eastAsia="Times New Roman" w:hAnsi="Arial" w:cs="Arial"/>
          <w:lang w:eastAsia="es-CO"/>
        </w:rPr>
        <w:t>MiPymes</w:t>
      </w:r>
      <w:r w:rsidR="00023689" w:rsidRPr="00D51F9C">
        <w:rPr>
          <w:rFonts w:ascii="Arial" w:eastAsia="Times New Roman" w:hAnsi="Arial" w:cs="Arial"/>
          <w:lang w:eastAsia="es-CO"/>
        </w:rPr>
        <w:t xml:space="preserve"> al sistema de compras y contratación pública, estableciendo que </w:t>
      </w:r>
      <w:r w:rsidR="00023689" w:rsidRPr="00D51F9C">
        <w:rPr>
          <w:rFonts w:ascii="Arial" w:eastAsia="Times New Roman" w:hAnsi="Arial" w:cs="Arial"/>
          <w:i/>
          <w:iCs/>
          <w:lang w:eastAsia="es-CO"/>
        </w:rPr>
        <w:t>«Las Entidades Estatales de acuerdo con el análisis de Sector podrán incluir, en los Documentos del Proceso, requisitos diferenciales y puntajes adicionales, en función del tamaño empresarial para la promoción del acceso de las MIPYMES al mercado de Compras Públicas».</w:t>
      </w:r>
      <w:r w:rsidR="00023689" w:rsidRPr="00D51F9C">
        <w:rPr>
          <w:rFonts w:ascii="Arial" w:eastAsia="Times New Roman" w:hAnsi="Arial" w:cs="Arial"/>
          <w:lang w:eastAsia="es-CO"/>
        </w:rPr>
        <w:t>   </w:t>
      </w:r>
    </w:p>
    <w:p w14:paraId="3BBBB01F" w14:textId="77777777" w:rsidR="00023689" w:rsidRPr="00D51F9C" w:rsidRDefault="00023689" w:rsidP="00951ECE">
      <w:pPr>
        <w:spacing w:line="276" w:lineRule="auto"/>
        <w:ind w:firstLine="705"/>
        <w:jc w:val="both"/>
        <w:textAlignment w:val="baseline"/>
        <w:rPr>
          <w:rFonts w:ascii="Arial" w:eastAsia="Times New Roman" w:hAnsi="Arial" w:cs="Arial"/>
          <w:sz w:val="18"/>
          <w:szCs w:val="18"/>
          <w:lang w:eastAsia="es-CO"/>
        </w:rPr>
      </w:pPr>
      <w:r w:rsidRPr="00D51F9C">
        <w:rPr>
          <w:rFonts w:ascii="Arial" w:eastAsia="Times New Roman" w:hAnsi="Arial" w:cs="Arial"/>
          <w:lang w:eastAsia="es-CO"/>
        </w:rPr>
        <w:t xml:space="preserve">Además, el inciso segundo y el parágrafo del </w:t>
      </w:r>
      <w:r w:rsidRPr="00D51F9C">
        <w:rPr>
          <w:rFonts w:ascii="Arial" w:eastAsia="Times New Roman" w:hAnsi="Arial" w:cs="Arial"/>
          <w:lang w:val="es-ES" w:eastAsia="es-CO"/>
        </w:rPr>
        <w:t xml:space="preserve">artículo 31 </w:t>
      </w:r>
      <w:r w:rsidRPr="00D51F9C">
        <w:rPr>
          <w:rFonts w:ascii="Arial" w:eastAsia="Times New Roman" w:hAnsi="Arial" w:cs="Arial"/>
          <w:lang w:eastAsia="es-CO"/>
        </w:rPr>
        <w:t xml:space="preserve">de la Ley 2069 de 2020 disponen, respectivamente, </w:t>
      </w:r>
      <w:r w:rsidRPr="00D51F9C">
        <w:rPr>
          <w:rFonts w:ascii="Arial" w:eastAsia="Times New Roman" w:hAnsi="Arial" w:cs="Arial"/>
          <w:i/>
          <w:iCs/>
          <w:lang w:eastAsia="es-CO"/>
        </w:rPr>
        <w:t>que «El Gobierno Nacional reglamentará la definición de los criterios diferenciales, sobre reglas objetivas [relacionadas con «requisitos diferenciales» y «puntajes adicionales»] que podrán implementar las Entidades Estatales»</w:t>
      </w:r>
      <w:r w:rsidRPr="00D51F9C">
        <w:rPr>
          <w:rFonts w:ascii="Arial" w:eastAsia="Times New Roman" w:hAnsi="Arial" w:cs="Arial"/>
          <w:lang w:eastAsia="es-CO"/>
        </w:rPr>
        <w:t xml:space="preserve"> (Corchetes fuera de texto) y que «</w:t>
      </w:r>
      <w:r w:rsidRPr="00D51F9C">
        <w:rPr>
          <w:rFonts w:ascii="Arial" w:eastAsia="Times New Roman" w:hAnsi="Arial" w:cs="Arial"/>
          <w:i/>
          <w:iCs/>
          <w:lang w:eastAsia="es-CO"/>
        </w:rPr>
        <w:t>Dentro de los criterios diferenciales que reglamente el Gobierno Nacional se dará prioridad a la contratación de producción nacional sin perjuicio de los compromisos comerciales adquiridos con otros Estados».</w:t>
      </w:r>
      <w:r w:rsidRPr="00D51F9C">
        <w:rPr>
          <w:rFonts w:ascii="Arial" w:eastAsia="Times New Roman" w:hAnsi="Arial" w:cs="Arial"/>
          <w:lang w:eastAsia="es-CO"/>
        </w:rPr>
        <w:t xml:space="preserve"> Es decir, esta norma requiere el desarrollo reglamentario como una condición previa para su aplicación. </w:t>
      </w:r>
    </w:p>
    <w:p w14:paraId="43ADC7CA" w14:textId="12A4FB3B" w:rsidR="0054413B" w:rsidRPr="00D51F9C" w:rsidRDefault="0054413B" w:rsidP="00951ECE">
      <w:pPr>
        <w:spacing w:line="276" w:lineRule="auto"/>
        <w:ind w:firstLine="705"/>
        <w:jc w:val="both"/>
        <w:textAlignment w:val="baseline"/>
        <w:rPr>
          <w:rFonts w:ascii="Arial" w:eastAsia="Times New Roman" w:hAnsi="Arial" w:cs="Arial"/>
          <w:sz w:val="21"/>
          <w:szCs w:val="21"/>
          <w:lang w:eastAsia="es-CO"/>
        </w:rPr>
      </w:pPr>
      <w:r w:rsidRPr="00D51F9C">
        <w:rPr>
          <w:rFonts w:ascii="Arial" w:eastAsia="Times New Roman" w:hAnsi="Arial" w:cs="Arial"/>
          <w:lang w:eastAsia="es-CO"/>
        </w:rPr>
        <w:t>De igual forma</w:t>
      </w:r>
      <w:r w:rsidR="00023689" w:rsidRPr="00D51F9C">
        <w:rPr>
          <w:rFonts w:ascii="Arial" w:eastAsia="Times New Roman" w:hAnsi="Arial" w:cs="Arial"/>
          <w:lang w:eastAsia="es-CO"/>
        </w:rPr>
        <w:t>, el artículo 3</w:t>
      </w:r>
      <w:r w:rsidR="00814E65" w:rsidRPr="00D51F9C">
        <w:rPr>
          <w:rFonts w:ascii="Arial" w:eastAsia="Times New Roman" w:hAnsi="Arial" w:cs="Arial"/>
          <w:lang w:eastAsia="es-CO"/>
        </w:rPr>
        <w:t xml:space="preserve">3 y 34 </w:t>
      </w:r>
      <w:r w:rsidR="00A1212D">
        <w:rPr>
          <w:rFonts w:ascii="Arial" w:eastAsia="Times New Roman" w:hAnsi="Arial" w:cs="Arial"/>
          <w:lang w:eastAsia="es-CO"/>
        </w:rPr>
        <w:t>d</w:t>
      </w:r>
      <w:r w:rsidR="00023689" w:rsidRPr="00D51F9C">
        <w:rPr>
          <w:rFonts w:ascii="Arial" w:eastAsia="Times New Roman" w:hAnsi="Arial" w:cs="Arial"/>
          <w:lang w:eastAsia="es-CO"/>
        </w:rPr>
        <w:t xml:space="preserve">e la Ley 2069 de 2020 </w:t>
      </w:r>
      <w:r w:rsidR="006242A4" w:rsidRPr="00D51F9C">
        <w:rPr>
          <w:rFonts w:ascii="Arial" w:eastAsia="Times New Roman" w:hAnsi="Arial" w:cs="Arial"/>
          <w:lang w:eastAsia="es-CO"/>
        </w:rPr>
        <w:t xml:space="preserve">contempló unos deberes para promover el acceso de las MiPymes den el mercado de </w:t>
      </w:r>
      <w:r w:rsidR="00023689" w:rsidRPr="00D51F9C">
        <w:rPr>
          <w:rFonts w:ascii="Arial" w:eastAsia="Times New Roman" w:hAnsi="Arial" w:cs="Arial"/>
          <w:lang w:eastAsia="es-CO"/>
        </w:rPr>
        <w:t>compras pública</w:t>
      </w:r>
      <w:r w:rsidR="006242A4" w:rsidRPr="00D51F9C">
        <w:rPr>
          <w:rFonts w:ascii="Arial" w:eastAsia="Times New Roman" w:hAnsi="Arial" w:cs="Arial"/>
          <w:lang w:eastAsia="es-CO"/>
        </w:rPr>
        <w:t>s</w:t>
      </w:r>
      <w:r w:rsidR="00A1212D">
        <w:rPr>
          <w:rFonts w:ascii="Arial" w:eastAsia="Times New Roman" w:hAnsi="Arial" w:cs="Arial"/>
          <w:lang w:eastAsia="es-CO"/>
        </w:rPr>
        <w:t xml:space="preserve">. </w:t>
      </w:r>
      <w:r w:rsidR="00023689" w:rsidRPr="00D51F9C">
        <w:rPr>
          <w:rFonts w:ascii="Arial" w:eastAsia="Times New Roman" w:hAnsi="Arial" w:cs="Arial"/>
          <w:lang w:eastAsia="es-CO"/>
        </w:rPr>
        <w:t xml:space="preserve">En relación con este aspecto, el </w:t>
      </w:r>
      <w:r w:rsidR="006242A4" w:rsidRPr="00D51F9C">
        <w:rPr>
          <w:rFonts w:ascii="Arial" w:eastAsia="Times New Roman" w:hAnsi="Arial" w:cs="Arial"/>
          <w:lang w:eastAsia="es-CO"/>
        </w:rPr>
        <w:t xml:space="preserve">parágrafo </w:t>
      </w:r>
      <w:r w:rsidR="00023689" w:rsidRPr="00D51F9C">
        <w:rPr>
          <w:rFonts w:ascii="Arial" w:eastAsia="Times New Roman" w:hAnsi="Arial" w:cs="Arial"/>
          <w:lang w:eastAsia="es-CO"/>
        </w:rPr>
        <w:t xml:space="preserve">de la </w:t>
      </w:r>
      <w:r w:rsidR="006242A4" w:rsidRPr="00D51F9C">
        <w:rPr>
          <w:rFonts w:ascii="Arial" w:eastAsia="Times New Roman" w:hAnsi="Arial" w:cs="Arial"/>
          <w:lang w:eastAsia="es-CO"/>
        </w:rPr>
        <w:t xml:space="preserve">primera </w:t>
      </w:r>
      <w:r w:rsidR="00023689" w:rsidRPr="00D51F9C">
        <w:rPr>
          <w:rFonts w:ascii="Arial" w:eastAsia="Times New Roman" w:hAnsi="Arial" w:cs="Arial"/>
          <w:lang w:eastAsia="es-CO"/>
        </w:rPr>
        <w:t xml:space="preserve">norma citada prescribe </w:t>
      </w:r>
      <w:r w:rsidR="006242A4" w:rsidRPr="00D51F9C">
        <w:rPr>
          <w:rFonts w:ascii="Arial" w:eastAsia="Times New Roman" w:hAnsi="Arial" w:cs="Arial"/>
          <w:lang w:eastAsia="es-CO"/>
        </w:rPr>
        <w:t xml:space="preserve">que: «el </w:t>
      </w:r>
      <w:r w:rsidR="006242A4" w:rsidRPr="00D51F9C">
        <w:rPr>
          <w:rFonts w:ascii="Arial" w:eastAsia="Times New Roman" w:hAnsi="Arial" w:cs="Arial"/>
          <w:sz w:val="21"/>
          <w:szCs w:val="21"/>
          <w:lang w:eastAsia="es-CO"/>
        </w:rPr>
        <w:t>incumplimiento de los deberes de que trata el presente artículo por parte de los servidores públicos constituirá causal de mala conducta»</w:t>
      </w:r>
      <w:r w:rsidRPr="00D51F9C">
        <w:rPr>
          <w:rFonts w:ascii="Arial" w:eastAsia="Times New Roman" w:hAnsi="Arial" w:cs="Arial"/>
          <w:sz w:val="21"/>
          <w:szCs w:val="21"/>
          <w:lang w:eastAsia="es-CO"/>
        </w:rPr>
        <w:t>.</w:t>
      </w:r>
      <w:r w:rsidR="006242A4" w:rsidRPr="00D51F9C">
        <w:rPr>
          <w:rFonts w:ascii="Arial" w:eastAsia="Times New Roman" w:hAnsi="Arial" w:cs="Arial"/>
          <w:sz w:val="21"/>
          <w:szCs w:val="21"/>
          <w:lang w:eastAsia="es-CO"/>
        </w:rPr>
        <w:t xml:space="preserve"> </w:t>
      </w:r>
    </w:p>
    <w:p w14:paraId="79011AB3" w14:textId="3DBBE670" w:rsidR="00023689" w:rsidRPr="00D51F9C" w:rsidRDefault="0054413B" w:rsidP="00D51F9C">
      <w:pPr>
        <w:spacing w:line="276" w:lineRule="auto"/>
        <w:ind w:firstLine="705"/>
        <w:jc w:val="both"/>
        <w:textAlignment w:val="baseline"/>
        <w:rPr>
          <w:rFonts w:ascii="Arial" w:eastAsia="Times New Roman" w:hAnsi="Arial" w:cs="Arial"/>
          <w:sz w:val="21"/>
          <w:szCs w:val="21"/>
          <w:lang w:eastAsia="es-CO"/>
        </w:rPr>
      </w:pPr>
      <w:r w:rsidRPr="00D51F9C">
        <w:rPr>
          <w:rFonts w:ascii="Arial" w:eastAsia="Times New Roman" w:hAnsi="Arial" w:cs="Arial"/>
          <w:sz w:val="21"/>
          <w:szCs w:val="21"/>
          <w:lang w:eastAsia="es-CO"/>
        </w:rPr>
        <w:lastRenderedPageBreak/>
        <w:t xml:space="preserve">Por otra parte, el artículo 32 de la </w:t>
      </w:r>
      <w:r w:rsidRPr="00D51F9C">
        <w:rPr>
          <w:rFonts w:ascii="Arial" w:eastAsia="Times New Roman" w:hAnsi="Arial" w:cs="Arial"/>
          <w:lang w:eastAsia="es-CO"/>
        </w:rPr>
        <w:t>Ley 2069 de 2020</w:t>
      </w:r>
      <w:r w:rsidRPr="00D51F9C">
        <w:rPr>
          <w:rFonts w:ascii="Arial" w:eastAsia="Times New Roman" w:hAnsi="Arial" w:cs="Arial"/>
          <w:sz w:val="21"/>
          <w:szCs w:val="21"/>
          <w:lang w:eastAsia="es-CO"/>
        </w:rPr>
        <w:t xml:space="preserve"> </w:t>
      </w:r>
      <w:r w:rsidR="00023689" w:rsidRPr="00D51F9C">
        <w:rPr>
          <w:rFonts w:ascii="Arial" w:eastAsia="Times New Roman" w:hAnsi="Arial" w:cs="Arial"/>
          <w:sz w:val="21"/>
          <w:szCs w:val="21"/>
          <w:lang w:eastAsia="es-CO"/>
        </w:rPr>
        <w:t>inclu</w:t>
      </w:r>
      <w:r w:rsidRPr="00D51F9C">
        <w:rPr>
          <w:rFonts w:ascii="Arial" w:eastAsia="Times New Roman" w:hAnsi="Arial" w:cs="Arial"/>
          <w:sz w:val="21"/>
          <w:szCs w:val="21"/>
          <w:lang w:eastAsia="es-CO"/>
        </w:rPr>
        <w:t xml:space="preserve">yó </w:t>
      </w:r>
      <w:r w:rsidR="00023689" w:rsidRPr="00D51F9C">
        <w:rPr>
          <w:rFonts w:ascii="Arial" w:eastAsia="Times New Roman" w:hAnsi="Arial" w:cs="Arial"/>
          <w:sz w:val="21"/>
          <w:szCs w:val="21"/>
          <w:lang w:eastAsia="es-CO"/>
        </w:rPr>
        <w:t xml:space="preserve">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3A6A3B1D" w14:textId="24387462" w:rsidR="00023689" w:rsidRPr="00D51F9C" w:rsidRDefault="00023689" w:rsidP="00951ECE">
      <w:pPr>
        <w:spacing w:line="276" w:lineRule="auto"/>
        <w:ind w:firstLine="705"/>
        <w:jc w:val="both"/>
        <w:textAlignment w:val="baseline"/>
        <w:rPr>
          <w:rFonts w:ascii="Arial" w:eastAsia="Times New Roman" w:hAnsi="Arial" w:cs="Arial"/>
          <w:sz w:val="18"/>
          <w:szCs w:val="18"/>
          <w:lang w:eastAsia="es-CO"/>
        </w:rPr>
      </w:pPr>
      <w:r w:rsidRPr="00D51F9C">
        <w:rPr>
          <w:rFonts w:ascii="Arial" w:eastAsia="Times New Roman" w:hAnsi="Arial" w:cs="Arial"/>
          <w:lang w:eastAsia="es-CO"/>
        </w:rPr>
        <w:t xml:space="preserve">El contraste con la norma analizada anteriormente salta a la vista. Por un lado, a diferencia del artículo 31 de la Ley de Emprendimiento, los «criterios diferenciales» del artículo 32 </w:t>
      </w:r>
      <w:r w:rsidRPr="00D51F9C">
        <w:rPr>
          <w:rFonts w:ascii="Arial" w:eastAsia="Times New Roman" w:hAnsi="Arial" w:cs="Arial"/>
          <w:i/>
          <w:iCs/>
          <w:lang w:eastAsia="es-CO"/>
        </w:rPr>
        <w:t>ibidem</w:t>
      </w:r>
      <w:r w:rsidRPr="00D51F9C">
        <w:rPr>
          <w:rFonts w:ascii="Arial" w:eastAsia="Times New Roman" w:hAnsi="Arial" w:cs="Arial"/>
          <w:lang w:eastAsia="es-CO"/>
        </w:rPr>
        <w:t xml:space="preserve"> –que incluyen tanto los «requisitos diferenciales» como los «puntajes </w:t>
      </w:r>
      <w:r w:rsidR="007F153D" w:rsidRPr="00D51F9C">
        <w:rPr>
          <w:rFonts w:ascii="Arial" w:eastAsia="Times New Roman" w:hAnsi="Arial" w:cs="Arial"/>
          <w:lang w:eastAsia="es-CO"/>
        </w:rPr>
        <w:t>a</w:t>
      </w:r>
      <w:r w:rsidRPr="00D51F9C">
        <w:rPr>
          <w:rFonts w:ascii="Arial" w:eastAsia="Times New Roman" w:hAnsi="Arial" w:cs="Arial"/>
          <w:lang w:eastAsia="es-CO"/>
        </w:rPr>
        <w:t xml:space="preserve">dicionales»– aplican a </w:t>
      </w:r>
      <w:r w:rsidRPr="00D51F9C">
        <w:rPr>
          <w:rFonts w:ascii="Arial" w:eastAsia="Times New Roman" w:hAnsi="Arial" w:cs="Arial"/>
          <w:i/>
          <w:iCs/>
          <w:lang w:eastAsia="es-CO"/>
        </w:rPr>
        <w:t>«[…] los procesos de licitación pública, selección abreviada de menor cuantía y concurso de méritos […]»,</w:t>
      </w:r>
      <w:r w:rsidRPr="00D51F9C">
        <w:rPr>
          <w:rFonts w:ascii="Arial" w:eastAsia="Times New Roman" w:hAnsi="Arial" w:cs="Arial"/>
          <w:lang w:eastAsia="es-CO"/>
        </w:rPr>
        <w:t xml:space="preserve"> excluyendo las demás modalidades de selección del artículo 2 de la Ley 1150 de 2007. Por otra parte, sin distinciones ulteriores, la norma en comento también se extiende a todos los procedimientos que realicen las </w:t>
      </w:r>
      <w:r w:rsidR="00C548DC" w:rsidRPr="00D51F9C">
        <w:rPr>
          <w:rFonts w:ascii="Arial" w:eastAsia="Times New Roman" w:hAnsi="Arial" w:cs="Arial"/>
          <w:lang w:eastAsia="es-CO"/>
        </w:rPr>
        <w:t>E</w:t>
      </w:r>
      <w:r w:rsidRPr="00D51F9C">
        <w:rPr>
          <w:rFonts w:ascii="Arial" w:eastAsia="Times New Roman" w:hAnsi="Arial" w:cs="Arial"/>
          <w:lang w:eastAsia="es-CO"/>
        </w:rPr>
        <w:t xml:space="preserve">ntidades </w:t>
      </w:r>
      <w:r w:rsidR="00C548DC" w:rsidRPr="00D51F9C">
        <w:rPr>
          <w:rFonts w:ascii="Arial" w:eastAsia="Times New Roman" w:hAnsi="Arial" w:cs="Arial"/>
          <w:lang w:eastAsia="es-CO"/>
        </w:rPr>
        <w:t>E</w:t>
      </w:r>
      <w:r w:rsidRPr="00D51F9C">
        <w:rPr>
          <w:rFonts w:ascii="Arial" w:eastAsia="Times New Roman" w:hAnsi="Arial" w:cs="Arial"/>
          <w:lang w:eastAsia="es-CO"/>
        </w:rPr>
        <w:t>statales excluidas de la Ley 80 de 1993.      </w:t>
      </w:r>
    </w:p>
    <w:p w14:paraId="4F449FF5" w14:textId="0117F089" w:rsidR="00023689" w:rsidRPr="00D51F9C" w:rsidRDefault="00023689" w:rsidP="00951ECE">
      <w:pPr>
        <w:spacing w:line="276" w:lineRule="auto"/>
        <w:ind w:firstLine="705"/>
        <w:jc w:val="both"/>
        <w:textAlignment w:val="baseline"/>
        <w:rPr>
          <w:rFonts w:ascii="Arial" w:eastAsia="Times New Roman" w:hAnsi="Arial" w:cs="Arial"/>
          <w:sz w:val="18"/>
          <w:szCs w:val="18"/>
          <w:lang w:eastAsia="es-CO"/>
        </w:rPr>
      </w:pPr>
      <w:r w:rsidRPr="00D51F9C">
        <w:rPr>
          <w:rFonts w:ascii="Arial" w:eastAsia="Times New Roman" w:hAnsi="Arial" w:cs="Arial"/>
          <w:lang w:val="es-ES" w:eastAsia="es-CO"/>
        </w:rPr>
        <w:t>En este contexto, el pasado 24 de diciembre, el gobierno nacional expidió el Decreto 1860 de 2021</w:t>
      </w:r>
      <w:r w:rsidRPr="00D51F9C">
        <w:rPr>
          <w:rFonts w:ascii="Arial" w:eastAsia="Times New Roman" w:hAnsi="Arial" w:cs="Arial"/>
          <w:sz w:val="24"/>
          <w:szCs w:val="24"/>
          <w:lang w:eastAsia="es-CO"/>
        </w:rPr>
        <w:t xml:space="preserve"> </w:t>
      </w:r>
      <w:r w:rsidRPr="00D51F9C">
        <w:rPr>
          <w:rFonts w:ascii="Arial" w:eastAsia="Times New Roman" w:hAnsi="Arial" w:cs="Arial"/>
          <w:i/>
          <w:iCs/>
          <w:lang w:val="es-ES" w:eastAsia="es-CO"/>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Pr="00D51F9C">
        <w:rPr>
          <w:rFonts w:ascii="Arial" w:eastAsia="Times New Roman" w:hAnsi="Arial" w:cs="Arial"/>
          <w:lang w:val="es-ES" w:eastAsia="es-CO"/>
        </w:rPr>
        <w:t xml:space="preserve">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w:t>
      </w:r>
      <w:r w:rsidRPr="00D51F9C">
        <w:rPr>
          <w:rFonts w:ascii="Arial" w:eastAsia="Times New Roman" w:hAnsi="Arial" w:cs="Arial"/>
          <w:lang w:eastAsia="es-CO"/>
        </w:rPr>
        <w:t> </w:t>
      </w:r>
    </w:p>
    <w:p w14:paraId="16B96262" w14:textId="0E737789" w:rsidR="00023689" w:rsidRPr="00D51F9C" w:rsidRDefault="00023689" w:rsidP="00951ECE">
      <w:pPr>
        <w:spacing w:line="276" w:lineRule="auto"/>
        <w:ind w:firstLine="705"/>
        <w:jc w:val="both"/>
        <w:textAlignment w:val="baseline"/>
        <w:rPr>
          <w:rFonts w:ascii="Arial" w:eastAsia="Times New Roman" w:hAnsi="Arial" w:cs="Arial"/>
          <w:sz w:val="18"/>
          <w:szCs w:val="18"/>
          <w:lang w:eastAsia="es-CO"/>
        </w:rPr>
      </w:pPr>
      <w:r w:rsidRPr="00D51F9C">
        <w:rPr>
          <w:rFonts w:ascii="Arial" w:eastAsia="Times New Roman" w:hAnsi="Arial" w:cs="Arial"/>
          <w:lang w:val="es-ES" w:eastAsia="es-CO"/>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A su turno los criterios diferenciales para las </w:t>
      </w:r>
      <w:proofErr w:type="gramStart"/>
      <w:r w:rsidR="00C548DC" w:rsidRPr="00D51F9C">
        <w:rPr>
          <w:rFonts w:ascii="Arial" w:eastAsia="Times New Roman" w:hAnsi="Arial" w:cs="Arial"/>
          <w:lang w:val="es-ES" w:eastAsia="es-CO"/>
        </w:rPr>
        <w:t>MiPymes</w:t>
      </w:r>
      <w:r w:rsidRPr="00D51F9C">
        <w:rPr>
          <w:rFonts w:ascii="Arial" w:eastAsia="Times New Roman" w:hAnsi="Arial" w:cs="Arial"/>
          <w:lang w:val="es-ES" w:eastAsia="es-CO"/>
        </w:rPr>
        <w:t>,</w:t>
      </w:r>
      <w:proofErr w:type="gramEnd"/>
      <w:r w:rsidRPr="00D51F9C">
        <w:rPr>
          <w:rFonts w:ascii="Arial" w:eastAsia="Times New Roman" w:hAnsi="Arial" w:cs="Arial"/>
          <w:lang w:val="es-ES" w:eastAsia="es-CO"/>
        </w:rPr>
        <w:t xml:space="preserve"> quedaron en el artículo 2.2.1.2.4.2.18.</w:t>
      </w:r>
      <w:r w:rsidR="0071223B" w:rsidRPr="00D51F9C">
        <w:rPr>
          <w:rFonts w:ascii="Arial" w:eastAsia="Times New Roman" w:hAnsi="Arial" w:cs="Arial"/>
          <w:lang w:val="es-ES" w:eastAsia="es-CO"/>
        </w:rPr>
        <w:t>,</w:t>
      </w:r>
      <w:r w:rsidRPr="00D51F9C">
        <w:rPr>
          <w:rFonts w:ascii="Arial" w:eastAsia="Times New Roman" w:hAnsi="Arial" w:cs="Arial"/>
          <w:lang w:val="es-ES" w:eastAsia="es-CO"/>
        </w:rPr>
        <w:t xml:space="preserve"> adicionado por el mismo artículo del referido reglamento. </w:t>
      </w:r>
      <w:r w:rsidRPr="00D51F9C">
        <w:rPr>
          <w:rFonts w:ascii="Arial" w:eastAsia="Times New Roman" w:hAnsi="Arial" w:cs="Arial"/>
          <w:lang w:eastAsia="es-CO"/>
        </w:rPr>
        <w:t> </w:t>
      </w:r>
    </w:p>
    <w:p w14:paraId="57C21841" w14:textId="7E302204" w:rsidR="00023689" w:rsidRPr="00D51F9C" w:rsidRDefault="00023689" w:rsidP="00951ECE">
      <w:pPr>
        <w:spacing w:line="276" w:lineRule="auto"/>
        <w:ind w:firstLine="705"/>
        <w:jc w:val="both"/>
        <w:textAlignment w:val="baseline"/>
        <w:rPr>
          <w:rFonts w:ascii="Arial" w:eastAsia="Times New Roman" w:hAnsi="Arial" w:cs="Arial"/>
          <w:sz w:val="18"/>
          <w:szCs w:val="18"/>
          <w:lang w:eastAsia="es-CO"/>
        </w:rPr>
      </w:pPr>
      <w:r w:rsidRPr="00D51F9C">
        <w:rPr>
          <w:rFonts w:ascii="Arial" w:eastAsia="Times New Roman" w:hAnsi="Arial" w:cs="Arial"/>
          <w:lang w:eastAsia="es-CO"/>
        </w:rPr>
        <w:t xml:space="preserve">Debe precisarse </w:t>
      </w:r>
      <w:r w:rsidR="004D6807" w:rsidRPr="00D51F9C">
        <w:rPr>
          <w:rFonts w:ascii="Arial" w:eastAsia="Times New Roman" w:hAnsi="Arial" w:cs="Arial"/>
          <w:lang w:eastAsia="es-CO"/>
        </w:rPr>
        <w:t>l</w:t>
      </w:r>
      <w:r w:rsidRPr="00D51F9C">
        <w:rPr>
          <w:rFonts w:ascii="Arial" w:eastAsia="Times New Roman" w:hAnsi="Arial" w:cs="Arial"/>
          <w:lang w:eastAsia="es-CO"/>
        </w:rPr>
        <w:t xml:space="preserve">as disposiciones contenidas en el presente Decreto </w:t>
      </w:r>
      <w:r w:rsidR="004D6807" w:rsidRPr="00D51F9C">
        <w:rPr>
          <w:rFonts w:ascii="Arial" w:eastAsia="Times New Roman" w:hAnsi="Arial" w:cs="Arial"/>
          <w:lang w:eastAsia="es-CO"/>
        </w:rPr>
        <w:t xml:space="preserve">1860 de 2021 </w:t>
      </w:r>
      <w:r w:rsidRPr="00D51F9C">
        <w:rPr>
          <w:rFonts w:ascii="Arial" w:eastAsia="Times New Roman" w:hAnsi="Arial" w:cs="Arial"/>
          <w:lang w:eastAsia="es-CO"/>
        </w:rPr>
        <w:t>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comenz</w:t>
      </w:r>
      <w:r w:rsidR="0071223B" w:rsidRPr="00D51F9C">
        <w:rPr>
          <w:rFonts w:ascii="Arial" w:eastAsia="Times New Roman" w:hAnsi="Arial" w:cs="Arial"/>
          <w:lang w:eastAsia="es-CO"/>
        </w:rPr>
        <w:t>ó</w:t>
      </w:r>
      <w:r w:rsidRPr="00D51F9C">
        <w:rPr>
          <w:rFonts w:ascii="Arial" w:eastAsia="Times New Roman" w:hAnsi="Arial" w:cs="Arial"/>
          <w:lang w:eastAsia="es-CO"/>
        </w:rPr>
        <w:t xml:space="preserve"> </w:t>
      </w:r>
      <w:r w:rsidR="004D6807" w:rsidRPr="00D51F9C">
        <w:rPr>
          <w:rFonts w:ascii="Arial" w:eastAsia="Times New Roman" w:hAnsi="Arial" w:cs="Arial"/>
          <w:lang w:eastAsia="es-CO"/>
        </w:rPr>
        <w:t>a partir del 25 de marzo de 2021.</w:t>
      </w:r>
      <w:r w:rsidRPr="00D51F9C">
        <w:rPr>
          <w:rFonts w:ascii="Arial" w:eastAsia="Times New Roman" w:hAnsi="Arial" w:cs="Arial"/>
          <w:lang w:eastAsia="es-CO"/>
        </w:rPr>
        <w:t>  </w:t>
      </w:r>
    </w:p>
    <w:p w14:paraId="632AF5BE" w14:textId="49E19838" w:rsidR="005C7BE9" w:rsidRPr="00D51F9C" w:rsidRDefault="0071223B" w:rsidP="00951ECE">
      <w:pPr>
        <w:spacing w:after="0" w:line="276" w:lineRule="auto"/>
        <w:contextualSpacing/>
        <w:jc w:val="both"/>
        <w:rPr>
          <w:rFonts w:ascii="Arial" w:eastAsia="Times New Roman" w:hAnsi="Arial" w:cs="Arial"/>
          <w:b/>
          <w:bCs/>
          <w:lang w:val="es-ES_tradnl" w:eastAsia="es-MX"/>
        </w:rPr>
      </w:pPr>
      <w:r w:rsidRPr="00D51F9C">
        <w:rPr>
          <w:rFonts w:ascii="Arial" w:eastAsia="Times New Roman" w:hAnsi="Arial" w:cs="Arial"/>
          <w:b/>
          <w:bCs/>
          <w:lang w:val="es-ES_tradnl" w:eastAsia="es-MX"/>
        </w:rPr>
        <w:lastRenderedPageBreak/>
        <w:t xml:space="preserve">2.2. </w:t>
      </w:r>
      <w:r w:rsidR="00A92A11" w:rsidRPr="00D51F9C">
        <w:rPr>
          <w:rFonts w:ascii="Arial" w:eastAsia="Times New Roman" w:hAnsi="Arial" w:cs="Arial"/>
          <w:b/>
          <w:bCs/>
          <w:lang w:val="es-ES_tradnl" w:eastAsia="es-MX"/>
        </w:rPr>
        <w:t>Determinación de los requisitos habilitantes en los procesos de contratación</w:t>
      </w:r>
    </w:p>
    <w:p w14:paraId="35B158A1" w14:textId="77777777" w:rsidR="00021D58" w:rsidRPr="00D51F9C" w:rsidRDefault="00021D58" w:rsidP="00951ECE">
      <w:pPr>
        <w:spacing w:after="0" w:line="276" w:lineRule="auto"/>
        <w:contextualSpacing/>
        <w:jc w:val="both"/>
        <w:rPr>
          <w:rFonts w:ascii="Arial" w:eastAsia="Times New Roman" w:hAnsi="Arial" w:cs="Arial"/>
          <w:b/>
          <w:bCs/>
          <w:lang w:val="es-ES_tradnl" w:eastAsia="es-MX"/>
        </w:rPr>
      </w:pPr>
    </w:p>
    <w:p w14:paraId="02227236" w14:textId="261331F6" w:rsidR="005C7BE9" w:rsidRPr="00D51F9C" w:rsidRDefault="005C7BE9" w:rsidP="00951ECE">
      <w:pPr>
        <w:spacing w:after="120" w:line="276" w:lineRule="auto"/>
        <w:jc w:val="both"/>
        <w:rPr>
          <w:rFonts w:ascii="Arial" w:eastAsia="Calibri" w:hAnsi="Arial" w:cs="Arial"/>
          <w:lang w:val="es-ES_tradnl" w:eastAsia="es-MX"/>
        </w:rPr>
      </w:pPr>
      <w:bookmarkStart w:id="5" w:name="_Hlk99546562"/>
      <w:r w:rsidRPr="00D51F9C">
        <w:rPr>
          <w:rFonts w:ascii="Arial" w:eastAsia="Calibri" w:hAnsi="Arial" w:cs="Arial"/>
          <w:lang w:val="es-ES_tradnl" w:eastAsia="es-MX"/>
        </w:rPr>
        <w:t xml:space="preserve">Los </w:t>
      </w:r>
      <w:r w:rsidRPr="00D51F9C">
        <w:rPr>
          <w:rFonts w:ascii="Arial" w:eastAsia="Calibri" w:hAnsi="Arial" w:cs="Arial"/>
          <w:i/>
          <w:iCs/>
          <w:lang w:val="es-ES_tradnl" w:eastAsia="es-MX"/>
        </w:rPr>
        <w:t>requisitos habilitantes</w:t>
      </w:r>
      <w:r w:rsidRPr="00D51F9C">
        <w:rPr>
          <w:rFonts w:ascii="Arial" w:eastAsia="Calibri" w:hAnsi="Arial" w:cs="Arial"/>
          <w:lang w:val="es-ES_tradnl" w:eastAsia="es-MX"/>
        </w:rPr>
        <w:t xml:space="preserve"> se definen como aquellas exigencias de participación en los procedimientos de selección, establecidas en disposiciones normativas, de carácter legal o reglamentario, o contenidas en el acto administrativo que regula las reglas de la convocatoria</w:t>
      </w:r>
      <w:r w:rsidR="00AD6421" w:rsidRPr="00D51F9C">
        <w:rPr>
          <w:rFonts w:ascii="Arial" w:eastAsia="Calibri" w:hAnsi="Arial" w:cs="Arial"/>
          <w:lang w:val="es-ES_tradnl" w:eastAsia="es-MX"/>
        </w:rPr>
        <w:t>–</w:t>
      </w:r>
      <w:r w:rsidRPr="00D51F9C">
        <w:rPr>
          <w:rFonts w:ascii="Arial" w:eastAsia="Calibri" w:hAnsi="Arial" w:cs="Arial"/>
          <w:lang w:val="es-ES_tradnl" w:eastAsia="es-MX"/>
        </w:rPr>
        <w:t>es decir, en el pliego de condiciones o el documento equivalente a este</w:t>
      </w:r>
      <w:r w:rsidR="00AD6421" w:rsidRPr="00D51F9C">
        <w:rPr>
          <w:rFonts w:ascii="Arial" w:eastAsia="Calibri" w:hAnsi="Arial" w:cs="Arial"/>
          <w:lang w:val="es-ES_tradnl" w:eastAsia="es-MX"/>
        </w:rPr>
        <w:t>–</w:t>
      </w:r>
      <w:r w:rsidRPr="00D51F9C">
        <w:rPr>
          <w:rFonts w:ascii="Arial" w:eastAsia="Calibri" w:hAnsi="Arial" w:cs="Arial"/>
          <w:lang w:val="es-ES_tradnl" w:eastAsia="es-MX"/>
        </w:rPr>
        <w:t xml:space="preserve">. Se diferencian de los </w:t>
      </w:r>
      <w:r w:rsidRPr="00D51F9C">
        <w:rPr>
          <w:rFonts w:ascii="Arial" w:eastAsia="Calibri" w:hAnsi="Arial" w:cs="Arial"/>
          <w:i/>
          <w:iCs/>
          <w:lang w:val="es-ES_tradnl" w:eastAsia="es-MX"/>
        </w:rPr>
        <w:t>criterios de evaluación</w:t>
      </w:r>
      <w:r w:rsidRPr="00D51F9C">
        <w:rPr>
          <w:rFonts w:ascii="Arial" w:eastAsia="Calibri" w:hAnsi="Arial" w:cs="Arial"/>
          <w:lang w:val="es-ES_tradnl" w:eastAsia="es-MX"/>
        </w:rPr>
        <w:t xml:space="preserve"> –también conocidos como criterios de calificación– en que estos son los factores definidos por la </w:t>
      </w:r>
      <w:r w:rsidR="00C548DC" w:rsidRPr="00D51F9C">
        <w:rPr>
          <w:rFonts w:ascii="Arial" w:eastAsia="Calibri" w:hAnsi="Arial" w:cs="Arial"/>
          <w:lang w:val="es-ES_tradnl" w:eastAsia="es-MX"/>
        </w:rPr>
        <w:t>Entidad Estatal</w:t>
      </w:r>
      <w:r w:rsidRPr="00D51F9C">
        <w:rPr>
          <w:rFonts w:ascii="Arial" w:eastAsia="Calibri" w:hAnsi="Arial" w:cs="Arial"/>
          <w:lang w:val="es-ES_tradnl" w:eastAsia="es-MX"/>
        </w:rPr>
        <w:t xml:space="preserve"> para la asignación de puntaje en el momento de la comparación de las ofertas, y que, a partir de su ponderación, permiten establecer el orden de elegibilidad y, por ende, la propuesta ganadora. </w:t>
      </w:r>
    </w:p>
    <w:bookmarkEnd w:id="5"/>
    <w:p w14:paraId="7E844294" w14:textId="49706855" w:rsidR="005C7BE9" w:rsidRPr="00D51F9C" w:rsidRDefault="00A81E53" w:rsidP="00951ECE">
      <w:pPr>
        <w:spacing w:after="120" w:line="276" w:lineRule="auto"/>
        <w:ind w:firstLine="708"/>
        <w:jc w:val="both"/>
        <w:rPr>
          <w:rFonts w:ascii="Arial" w:eastAsia="Calibri" w:hAnsi="Arial" w:cs="Arial"/>
          <w:lang w:val="es-ES_tradnl" w:eastAsia="es-MX"/>
        </w:rPr>
      </w:pPr>
      <w:r w:rsidRPr="00D51F9C">
        <w:rPr>
          <w:rFonts w:ascii="Arial" w:eastAsia="Calibri" w:hAnsi="Arial" w:cs="Arial"/>
          <w:lang w:val="es-ES_tradnl" w:eastAsia="es-MX"/>
        </w:rPr>
        <w:t>L</w:t>
      </w:r>
      <w:r w:rsidR="005C7BE9" w:rsidRPr="00D51F9C">
        <w:rPr>
          <w:rFonts w:ascii="Arial" w:eastAsia="Calibri" w:hAnsi="Arial" w:cs="Arial"/>
          <w:lang w:val="es-ES_tradnl" w:eastAsia="es-MX"/>
        </w:rPr>
        <w:t xml:space="preserve">os requisitos habilitantes constituyen </w:t>
      </w:r>
      <w:r w:rsidR="00872FEB" w:rsidRPr="00D51F9C">
        <w:rPr>
          <w:rFonts w:ascii="Arial" w:eastAsia="Calibri" w:hAnsi="Arial" w:cs="Arial"/>
          <w:lang w:val="es-ES_tradnl" w:eastAsia="es-MX"/>
        </w:rPr>
        <w:t xml:space="preserve">los requerimientos mínimos con </w:t>
      </w:r>
      <w:r w:rsidR="005C7BE9" w:rsidRPr="00D51F9C">
        <w:rPr>
          <w:rFonts w:ascii="Arial" w:eastAsia="Calibri" w:hAnsi="Arial" w:cs="Arial"/>
          <w:lang w:val="es-ES_tradnl" w:eastAsia="es-MX"/>
        </w:rPr>
        <w:t xml:space="preserve">los </w:t>
      </w:r>
      <w:r w:rsidR="00872FEB" w:rsidRPr="00D51F9C">
        <w:rPr>
          <w:rFonts w:ascii="Arial" w:eastAsia="Calibri" w:hAnsi="Arial" w:cs="Arial"/>
          <w:lang w:val="es-ES_tradnl" w:eastAsia="es-MX"/>
        </w:rPr>
        <w:t xml:space="preserve">que </w:t>
      </w:r>
      <w:r w:rsidR="005C7BE9" w:rsidRPr="00D51F9C">
        <w:rPr>
          <w:rFonts w:ascii="Arial" w:eastAsia="Calibri" w:hAnsi="Arial" w:cs="Arial"/>
          <w:lang w:val="es-ES_tradnl" w:eastAsia="es-MX"/>
        </w:rPr>
        <w:t>deben</w:t>
      </w:r>
      <w:r w:rsidR="00BF49D1" w:rsidRPr="00D51F9C">
        <w:rPr>
          <w:rFonts w:ascii="Arial" w:eastAsia="Calibri" w:hAnsi="Arial" w:cs="Arial"/>
          <w:lang w:val="es-ES_tradnl" w:eastAsia="es-MX"/>
        </w:rPr>
        <w:t xml:space="preserve"> </w:t>
      </w:r>
      <w:r w:rsidR="005C7BE9" w:rsidRPr="00D51F9C">
        <w:rPr>
          <w:rFonts w:ascii="Arial" w:eastAsia="Calibri" w:hAnsi="Arial" w:cs="Arial"/>
          <w:lang w:val="es-ES_tradnl" w:eastAsia="es-MX"/>
        </w:rPr>
        <w:t xml:space="preserve">cumplir </w:t>
      </w:r>
      <w:r w:rsidR="00872FEB" w:rsidRPr="00D51F9C">
        <w:rPr>
          <w:rFonts w:ascii="Arial" w:eastAsia="Calibri" w:hAnsi="Arial" w:cs="Arial"/>
          <w:lang w:val="es-ES_tradnl" w:eastAsia="es-MX"/>
        </w:rPr>
        <w:t xml:space="preserve">los proponentes </w:t>
      </w:r>
      <w:r w:rsidR="005C7BE9" w:rsidRPr="00D51F9C">
        <w:rPr>
          <w:rFonts w:ascii="Arial" w:eastAsia="Calibri" w:hAnsi="Arial" w:cs="Arial"/>
          <w:lang w:val="es-ES_tradnl" w:eastAsia="es-MX"/>
        </w:rPr>
        <w:t>para</w:t>
      </w:r>
      <w:r w:rsidR="00BF49D1" w:rsidRPr="00D51F9C">
        <w:rPr>
          <w:rFonts w:ascii="Arial" w:eastAsia="Calibri" w:hAnsi="Arial" w:cs="Arial"/>
          <w:lang w:val="es-ES_tradnl" w:eastAsia="es-MX"/>
        </w:rPr>
        <w:t xml:space="preserve"> poder</w:t>
      </w:r>
      <w:r w:rsidR="005C7BE9" w:rsidRPr="00D51F9C">
        <w:rPr>
          <w:rFonts w:ascii="Arial" w:eastAsia="Calibri" w:hAnsi="Arial" w:cs="Arial"/>
          <w:lang w:val="es-ES_tradnl" w:eastAsia="es-MX"/>
        </w:rPr>
        <w:t xml:space="preserve"> participar en el procedimiento de selección, </w:t>
      </w:r>
      <w:r w:rsidR="00A424A2" w:rsidRPr="00D51F9C">
        <w:rPr>
          <w:rFonts w:ascii="Arial" w:eastAsia="Calibri" w:hAnsi="Arial" w:cs="Arial"/>
          <w:lang w:val="es-ES_tradnl" w:eastAsia="es-MX"/>
        </w:rPr>
        <w:t xml:space="preserve">razón por la que los mismos </w:t>
      </w:r>
      <w:r w:rsidR="005C7BE9" w:rsidRPr="00D51F9C">
        <w:rPr>
          <w:rFonts w:ascii="Arial" w:eastAsia="Calibri" w:hAnsi="Arial" w:cs="Arial"/>
          <w:lang w:val="es-ES_tradnl" w:eastAsia="es-MX"/>
        </w:rPr>
        <w:t xml:space="preserve">no se valoran con un puntaje </w:t>
      </w:r>
      <w:r w:rsidR="00A424A2" w:rsidRPr="00D51F9C">
        <w:rPr>
          <w:rFonts w:ascii="Arial" w:eastAsia="Calibri" w:hAnsi="Arial" w:cs="Arial"/>
          <w:lang w:val="es-ES_tradnl" w:eastAsia="es-MX"/>
        </w:rPr>
        <w:t xml:space="preserve">tendiente a </w:t>
      </w:r>
      <w:r w:rsidR="005C7BE9" w:rsidRPr="00D51F9C">
        <w:rPr>
          <w:rFonts w:ascii="Arial" w:eastAsia="Calibri" w:hAnsi="Arial" w:cs="Arial"/>
          <w:lang w:val="es-ES_tradnl" w:eastAsia="es-MX"/>
        </w:rPr>
        <w:t>determin</w:t>
      </w:r>
      <w:r w:rsidR="00A424A2" w:rsidRPr="00D51F9C">
        <w:rPr>
          <w:rFonts w:ascii="Arial" w:eastAsia="Calibri" w:hAnsi="Arial" w:cs="Arial"/>
          <w:lang w:val="es-ES_tradnl" w:eastAsia="es-MX"/>
        </w:rPr>
        <w:t>ar</w:t>
      </w:r>
      <w:r w:rsidR="005C7BE9" w:rsidRPr="00D51F9C">
        <w:rPr>
          <w:rFonts w:ascii="Arial" w:eastAsia="Calibri" w:hAnsi="Arial" w:cs="Arial"/>
          <w:lang w:val="es-ES_tradnl" w:eastAsia="es-MX"/>
        </w:rPr>
        <w:t xml:space="preserve"> el orden de escogencia, sino que se analizan como criterios previos a la evaluación en sentido estricto, de manera que quienes no los reúnan no pueden continuar en el procedimiento de selección, </w:t>
      </w:r>
      <w:r w:rsidR="004334D8" w:rsidRPr="00D51F9C">
        <w:rPr>
          <w:rFonts w:ascii="Arial" w:eastAsia="Calibri" w:hAnsi="Arial" w:cs="Arial"/>
          <w:lang w:val="es-ES_tradnl" w:eastAsia="es-MX"/>
        </w:rPr>
        <w:t>es decir</w:t>
      </w:r>
      <w:r w:rsidR="005C7BE9" w:rsidRPr="00D51F9C">
        <w:rPr>
          <w:rFonts w:ascii="Arial" w:eastAsia="Calibri" w:hAnsi="Arial" w:cs="Arial"/>
          <w:lang w:val="es-ES_tradnl" w:eastAsia="es-MX"/>
        </w:rPr>
        <w:t xml:space="preserve">, incurren en causal de rechazo. Esto sin perjuicio del derecho que tienen los oferentes de subsanar los defectos que se presenten en la prueba de tales requisitos, de conformidad con el artículo 5, parágrafos 1º al </w:t>
      </w:r>
      <w:r w:rsidR="00B760B9" w:rsidRPr="00D51F9C">
        <w:rPr>
          <w:rFonts w:ascii="Arial" w:eastAsia="Calibri" w:hAnsi="Arial" w:cs="Arial"/>
          <w:lang w:val="es-ES_tradnl" w:eastAsia="es-MX"/>
        </w:rPr>
        <w:t>5</w:t>
      </w:r>
      <w:r w:rsidR="005C7BE9" w:rsidRPr="00D51F9C">
        <w:rPr>
          <w:rFonts w:ascii="Arial" w:eastAsia="Calibri" w:hAnsi="Arial" w:cs="Arial"/>
          <w:lang w:val="es-ES_tradnl" w:eastAsia="es-MX"/>
        </w:rPr>
        <w:t>º, de la Ley 1150 de 2007.</w:t>
      </w:r>
    </w:p>
    <w:p w14:paraId="32FB141E" w14:textId="5C535FA9" w:rsidR="005C7BE9" w:rsidRPr="00D51F9C" w:rsidRDefault="005C7BE9" w:rsidP="00951ECE">
      <w:pPr>
        <w:spacing w:after="120" w:line="276" w:lineRule="auto"/>
        <w:ind w:firstLine="708"/>
        <w:jc w:val="both"/>
        <w:rPr>
          <w:rFonts w:ascii="Arial" w:eastAsia="Calibri" w:hAnsi="Arial" w:cs="Arial"/>
          <w:lang w:val="es-ES_tradnl" w:eastAsia="es-MX"/>
        </w:rPr>
      </w:pPr>
      <w:r w:rsidRPr="00D51F9C">
        <w:rPr>
          <w:rFonts w:ascii="Arial" w:eastAsia="Calibri" w:hAnsi="Arial" w:cs="Arial"/>
          <w:lang w:val="es-ES_tradnl" w:eastAsia="es-MX"/>
        </w:rPr>
        <w:t xml:space="preserve">El mencionado artículo dispone que se considera </w:t>
      </w:r>
      <w:r w:rsidRPr="00D51F9C">
        <w:rPr>
          <w:rFonts w:ascii="Arial" w:eastAsia="Calibri" w:hAnsi="Arial" w:cs="Arial"/>
          <w:i/>
          <w:iCs/>
          <w:lang w:val="es-ES_tradnl" w:eastAsia="es-MX"/>
        </w:rPr>
        <w:t>«</w:t>
      </w:r>
      <w:r w:rsidR="00413385" w:rsidRPr="00D51F9C">
        <w:rPr>
          <w:rFonts w:ascii="Arial" w:eastAsia="Calibri" w:hAnsi="Arial" w:cs="Arial"/>
          <w:i/>
          <w:iCs/>
          <w:lang w:val="es-ES_tradnl" w:eastAsia="es-MX"/>
        </w:rPr>
        <w:t xml:space="preserve">[…] </w:t>
      </w:r>
      <w:r w:rsidRPr="00D51F9C">
        <w:rPr>
          <w:rFonts w:ascii="Arial" w:eastAsia="Calibri" w:hAnsi="Arial" w:cs="Arial"/>
          <w:i/>
          <w:iCs/>
          <w:lang w:val="es-ES_tradnl" w:eastAsia="es-MX"/>
        </w:rPr>
        <w:t>objetiva la selección en la cual la escogencia se haga al ofrecimiento más favorable a la entidad y a los fines que ella busca, sin tener en consideración factores de afecto o de interés y, en general, cualquier clase de motivación subjetiva».</w:t>
      </w:r>
      <w:r w:rsidRPr="00D51F9C">
        <w:rPr>
          <w:rFonts w:ascii="Arial" w:eastAsia="Calibri" w:hAnsi="Arial" w:cs="Arial"/>
          <w:lang w:val="es-ES_tradnl" w:eastAsia="es-MX"/>
        </w:rPr>
        <w:t xml:space="preserve"> En ese contexto, los factores de escogencia y calificación que establezcan las entidades en los pliegos de condiciones o sus documentos equivalentes deberán tener en cuenta, entre otras cuestiones, los criterios establecidos en dicha disposición. </w:t>
      </w:r>
    </w:p>
    <w:p w14:paraId="653F801D" w14:textId="3A24CD68" w:rsidR="005C7BE9" w:rsidRPr="00D51F9C" w:rsidRDefault="005C7BE9" w:rsidP="00951ECE">
      <w:pPr>
        <w:spacing w:after="0" w:line="276" w:lineRule="auto"/>
        <w:ind w:firstLine="709"/>
        <w:contextualSpacing/>
        <w:jc w:val="both"/>
        <w:rPr>
          <w:rFonts w:ascii="Arial" w:eastAsia="Calibri" w:hAnsi="Arial" w:cs="Arial"/>
          <w:lang w:val="es-ES_tradnl" w:eastAsia="es-MX"/>
        </w:rPr>
      </w:pPr>
      <w:r w:rsidRPr="00D51F9C">
        <w:rPr>
          <w:rFonts w:ascii="Arial" w:eastAsia="Calibri" w:hAnsi="Arial" w:cs="Arial"/>
          <w:lang w:val="es-ES_tradnl" w:eastAsia="es-MX"/>
        </w:rPr>
        <w:t xml:space="preserve">Específicamente, el numeral 1º del artículo referido establece que en los procesos de selección de contratistas serán objeto de verificación, como requisitos habilitantes, entre otros, los siguientes: i) la capacidad jurídica; </w:t>
      </w:r>
      <w:proofErr w:type="spellStart"/>
      <w:r w:rsidRPr="00D51F9C">
        <w:rPr>
          <w:rFonts w:ascii="Arial" w:eastAsia="Calibri" w:hAnsi="Arial" w:cs="Arial"/>
          <w:lang w:val="es-ES_tradnl" w:eastAsia="es-MX"/>
        </w:rPr>
        <w:t>ii</w:t>
      </w:r>
      <w:proofErr w:type="spellEnd"/>
      <w:r w:rsidRPr="00D51F9C">
        <w:rPr>
          <w:rFonts w:ascii="Arial" w:eastAsia="Calibri" w:hAnsi="Arial" w:cs="Arial"/>
          <w:lang w:val="es-ES_tradnl" w:eastAsia="es-MX"/>
        </w:rPr>
        <w:t xml:space="preserve">) la experiencia; </w:t>
      </w:r>
      <w:proofErr w:type="spellStart"/>
      <w:r w:rsidRPr="00D51F9C">
        <w:rPr>
          <w:rFonts w:ascii="Arial" w:eastAsia="Calibri" w:hAnsi="Arial" w:cs="Arial"/>
          <w:lang w:val="es-ES_tradnl" w:eastAsia="es-MX"/>
        </w:rPr>
        <w:t>iii</w:t>
      </w:r>
      <w:proofErr w:type="spellEnd"/>
      <w:r w:rsidRPr="00D51F9C">
        <w:rPr>
          <w:rFonts w:ascii="Arial" w:eastAsia="Calibri" w:hAnsi="Arial" w:cs="Arial"/>
          <w:lang w:val="es-ES_tradnl" w:eastAsia="es-MX"/>
        </w:rPr>
        <w:t xml:space="preserve">) la capacidad financiera y </w:t>
      </w:r>
      <w:proofErr w:type="spellStart"/>
      <w:r w:rsidRPr="00D51F9C">
        <w:rPr>
          <w:rFonts w:ascii="Arial" w:eastAsia="Calibri" w:hAnsi="Arial" w:cs="Arial"/>
          <w:lang w:val="es-ES_tradnl" w:eastAsia="es-MX"/>
        </w:rPr>
        <w:t>iv</w:t>
      </w:r>
      <w:proofErr w:type="spellEnd"/>
      <w:r w:rsidRPr="00D51F9C">
        <w:rPr>
          <w:rFonts w:ascii="Arial" w:eastAsia="Calibri" w:hAnsi="Arial" w:cs="Arial"/>
          <w:lang w:val="es-ES_tradnl" w:eastAsia="es-MX"/>
        </w:rPr>
        <w:t xml:space="preserve">) la capacidad de organización. En efecto, la normativa citada dispone: </w:t>
      </w:r>
    </w:p>
    <w:p w14:paraId="30E8DD3B" w14:textId="77777777" w:rsidR="0002796A" w:rsidRPr="00D51F9C" w:rsidRDefault="0002796A" w:rsidP="00951ECE">
      <w:pPr>
        <w:spacing w:after="0" w:line="276" w:lineRule="auto"/>
        <w:ind w:firstLine="709"/>
        <w:contextualSpacing/>
        <w:jc w:val="both"/>
        <w:rPr>
          <w:rFonts w:ascii="Arial" w:eastAsia="Calibri" w:hAnsi="Arial" w:cs="Arial"/>
          <w:lang w:val="es-ES_tradnl" w:eastAsia="es-MX"/>
        </w:rPr>
      </w:pPr>
    </w:p>
    <w:p w14:paraId="5B9500CD" w14:textId="77777777" w:rsidR="000B6050" w:rsidRPr="00D51F9C" w:rsidRDefault="005C7BE9" w:rsidP="00D51F9C">
      <w:pPr>
        <w:spacing w:line="276" w:lineRule="auto"/>
        <w:ind w:left="709" w:right="709"/>
        <w:contextualSpacing/>
        <w:jc w:val="both"/>
        <w:rPr>
          <w:rFonts w:ascii="Arial" w:eastAsia="Calibri" w:hAnsi="Arial" w:cs="Arial"/>
          <w:sz w:val="21"/>
          <w:szCs w:val="21"/>
          <w:lang w:val="es-ES_tradnl" w:eastAsia="es-MX"/>
        </w:rPr>
      </w:pPr>
      <w:r w:rsidRPr="00D51F9C">
        <w:rPr>
          <w:rFonts w:ascii="Arial" w:eastAsia="Calibri" w:hAnsi="Arial" w:cs="Arial"/>
          <w:sz w:val="21"/>
          <w:szCs w:val="21"/>
          <w:lang w:val="es-ES_tradnl" w:eastAsia="es-MX"/>
        </w:rPr>
        <w:t xml:space="preserve">Artículo 5. De la Selección Objetiva. </w:t>
      </w:r>
    </w:p>
    <w:p w14:paraId="432002DB" w14:textId="77777777" w:rsidR="000B6050" w:rsidRPr="00D51F9C" w:rsidRDefault="000B6050" w:rsidP="00D51F9C">
      <w:pPr>
        <w:spacing w:line="276" w:lineRule="auto"/>
        <w:ind w:left="709" w:right="709"/>
        <w:contextualSpacing/>
        <w:jc w:val="both"/>
        <w:rPr>
          <w:rFonts w:ascii="Arial" w:eastAsia="Calibri" w:hAnsi="Arial" w:cs="Arial"/>
          <w:sz w:val="21"/>
          <w:szCs w:val="21"/>
          <w:lang w:val="es-ES_tradnl" w:eastAsia="es-MX"/>
        </w:rPr>
      </w:pPr>
    </w:p>
    <w:p w14:paraId="74149059" w14:textId="50B1769B" w:rsidR="000B6050" w:rsidRPr="00D51F9C" w:rsidRDefault="005C7BE9" w:rsidP="00D51F9C">
      <w:pPr>
        <w:spacing w:line="276" w:lineRule="auto"/>
        <w:ind w:left="709" w:right="709"/>
        <w:contextualSpacing/>
        <w:jc w:val="both"/>
        <w:rPr>
          <w:rFonts w:ascii="Arial" w:eastAsia="Calibri" w:hAnsi="Arial" w:cs="Arial"/>
          <w:sz w:val="21"/>
          <w:szCs w:val="21"/>
          <w:lang w:val="es-ES_tradnl" w:eastAsia="es-MX"/>
        </w:rPr>
      </w:pPr>
      <w:r w:rsidRPr="00D51F9C">
        <w:rPr>
          <w:rFonts w:ascii="Arial" w:eastAsia="Calibri" w:hAnsi="Arial" w:cs="Arial"/>
          <w:sz w:val="21"/>
          <w:szCs w:val="21"/>
          <w:lang w:val="es-ES_tradnl" w:eastAsia="es-MX"/>
        </w:rPr>
        <w:t>[…]</w:t>
      </w:r>
    </w:p>
    <w:p w14:paraId="175FF855" w14:textId="77777777" w:rsidR="000B6050" w:rsidRPr="00D51F9C" w:rsidRDefault="000B6050" w:rsidP="00D51F9C">
      <w:pPr>
        <w:spacing w:line="276" w:lineRule="auto"/>
        <w:ind w:left="709" w:right="709"/>
        <w:contextualSpacing/>
        <w:jc w:val="both"/>
        <w:rPr>
          <w:rFonts w:ascii="Arial" w:eastAsia="Calibri" w:hAnsi="Arial" w:cs="Arial"/>
          <w:sz w:val="21"/>
          <w:szCs w:val="21"/>
          <w:lang w:val="es-ES_tradnl"/>
        </w:rPr>
      </w:pPr>
    </w:p>
    <w:p w14:paraId="22C645D6" w14:textId="3E1A70A3" w:rsidR="005C7BE9" w:rsidRPr="00D51F9C" w:rsidRDefault="005C7BE9" w:rsidP="00D51F9C">
      <w:pPr>
        <w:spacing w:line="276" w:lineRule="auto"/>
        <w:ind w:left="709" w:right="709"/>
        <w:contextualSpacing/>
        <w:jc w:val="both"/>
        <w:rPr>
          <w:rFonts w:ascii="Arial" w:eastAsia="Calibri" w:hAnsi="Arial" w:cs="Arial"/>
          <w:sz w:val="21"/>
          <w:szCs w:val="21"/>
          <w:lang w:val="es-ES_tradnl"/>
        </w:rPr>
      </w:pPr>
      <w:r w:rsidRPr="00D51F9C">
        <w:rPr>
          <w:rFonts w:ascii="Arial" w:eastAsia="Calibri" w:hAnsi="Arial" w:cs="Arial"/>
          <w:sz w:val="21"/>
          <w:szCs w:val="21"/>
          <w:lang w:val="es-ES_tradnl"/>
        </w:rPr>
        <w:t xml:space="preserve">1. La capacidad jurídica y las condiciones de experiencia, capacidad financiera y de organización de los proponentes serán objeto de verificación de </w:t>
      </w:r>
      <w:r w:rsidRPr="00D51F9C">
        <w:rPr>
          <w:rFonts w:ascii="Arial" w:eastAsia="Calibri" w:hAnsi="Arial" w:cs="Arial"/>
          <w:sz w:val="21"/>
          <w:szCs w:val="21"/>
          <w:lang w:val="es-ES_tradnl"/>
        </w:rPr>
        <w:lastRenderedPageBreak/>
        <w:t>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7ACB5E15" w14:textId="1A43759E" w:rsidR="0002796A" w:rsidRPr="00D51F9C" w:rsidRDefault="0002796A" w:rsidP="00D51F9C">
      <w:pPr>
        <w:spacing w:after="0" w:line="276" w:lineRule="auto"/>
        <w:ind w:left="709" w:right="709"/>
        <w:contextualSpacing/>
        <w:jc w:val="both"/>
        <w:rPr>
          <w:rFonts w:ascii="Arial" w:eastAsia="Calibri" w:hAnsi="Arial" w:cs="Arial"/>
          <w:sz w:val="21"/>
          <w:szCs w:val="21"/>
          <w:lang w:val="es-ES_tradnl"/>
        </w:rPr>
      </w:pPr>
    </w:p>
    <w:p w14:paraId="3F12F392" w14:textId="389FCF15" w:rsidR="003744E5" w:rsidRPr="00D51F9C" w:rsidRDefault="0002796A" w:rsidP="00951ECE">
      <w:pPr>
        <w:spacing w:after="120" w:line="276" w:lineRule="auto"/>
        <w:ind w:firstLine="708"/>
        <w:jc w:val="both"/>
        <w:rPr>
          <w:rFonts w:ascii="Arial" w:eastAsia="Times New Roman" w:hAnsi="Arial" w:cs="Arial"/>
          <w:lang w:val="es-ES_tradnl" w:eastAsia="es-MX"/>
        </w:rPr>
      </w:pPr>
      <w:bookmarkStart w:id="6" w:name="_Hlk99547809"/>
      <w:bookmarkStart w:id="7" w:name="_Hlk99546625"/>
      <w:r w:rsidRPr="00D51F9C">
        <w:rPr>
          <w:rFonts w:ascii="Arial" w:eastAsia="Times New Roman" w:hAnsi="Arial" w:cs="Arial"/>
          <w:lang w:val="es-ES_tradnl" w:eastAsia="es-MX"/>
        </w:rPr>
        <w:t xml:space="preserve">La Agencia Nacional de Contratación Pública ha </w:t>
      </w:r>
      <w:r w:rsidR="003744E5" w:rsidRPr="00D51F9C">
        <w:rPr>
          <w:rFonts w:ascii="Arial" w:eastAsia="Times New Roman" w:hAnsi="Arial" w:cs="Arial"/>
          <w:lang w:val="es-ES_tradnl" w:eastAsia="es-MX"/>
        </w:rPr>
        <w:t xml:space="preserve">defendido el carácter </w:t>
      </w:r>
      <w:bookmarkStart w:id="8" w:name="_Hlk99547799"/>
      <w:r w:rsidR="003744E5" w:rsidRPr="00D51F9C">
        <w:rPr>
          <w:rFonts w:ascii="Arial" w:eastAsia="Times New Roman" w:hAnsi="Arial" w:cs="Arial"/>
          <w:lang w:val="es-ES_tradnl" w:eastAsia="es-MX"/>
        </w:rPr>
        <w:t>enunciativo del listado de</w:t>
      </w:r>
      <w:r w:rsidRPr="00D51F9C">
        <w:rPr>
          <w:rFonts w:ascii="Arial" w:eastAsia="Times New Roman" w:hAnsi="Arial" w:cs="Arial"/>
          <w:lang w:val="es-ES_tradnl" w:eastAsia="es-MX"/>
        </w:rPr>
        <w:t xml:space="preserve"> los requisitos habilitantes contenidos en el numeral </w:t>
      </w:r>
      <w:r w:rsidR="003744E5" w:rsidRPr="00D51F9C">
        <w:rPr>
          <w:rFonts w:ascii="Arial" w:eastAsia="Times New Roman" w:hAnsi="Arial" w:cs="Arial"/>
          <w:lang w:val="es-ES_tradnl" w:eastAsia="es-MX"/>
        </w:rPr>
        <w:t>1 del artículo 5 de la Ley 1150 de 2007, en la medida</w:t>
      </w:r>
      <w:r w:rsidR="00413385" w:rsidRPr="00D51F9C">
        <w:rPr>
          <w:rFonts w:ascii="Arial" w:eastAsia="Times New Roman" w:hAnsi="Arial" w:cs="Arial"/>
          <w:lang w:val="es-ES_tradnl" w:eastAsia="es-MX"/>
        </w:rPr>
        <w:t xml:space="preserve"> en</w:t>
      </w:r>
      <w:r w:rsidR="003744E5" w:rsidRPr="00D51F9C">
        <w:rPr>
          <w:rFonts w:ascii="Arial" w:eastAsia="Times New Roman" w:hAnsi="Arial" w:cs="Arial"/>
          <w:lang w:val="es-ES_tradnl" w:eastAsia="es-MX"/>
        </w:rPr>
        <w:t xml:space="preserve"> que la referida disposición</w:t>
      </w:r>
      <w:r w:rsidR="0094555A" w:rsidRPr="00D51F9C">
        <w:rPr>
          <w:rFonts w:ascii="Arial" w:eastAsia="Times New Roman" w:hAnsi="Arial" w:cs="Arial"/>
          <w:lang w:val="es-ES_tradnl" w:eastAsia="es-MX"/>
        </w:rPr>
        <w:t>, al referirse a los requisitos habilitantes,</w:t>
      </w:r>
      <w:r w:rsidR="003744E5" w:rsidRPr="00D51F9C">
        <w:rPr>
          <w:rFonts w:ascii="Arial" w:eastAsia="Times New Roman" w:hAnsi="Arial" w:cs="Arial"/>
          <w:lang w:val="es-ES_tradnl" w:eastAsia="es-MX"/>
        </w:rPr>
        <w:t xml:space="preserve"> no contiene una expresión como «únicamente» o «solo»</w:t>
      </w:r>
      <w:r w:rsidR="004D2F29" w:rsidRPr="00D51F9C">
        <w:rPr>
          <w:rFonts w:ascii="Arial" w:eastAsia="Times New Roman" w:hAnsi="Arial" w:cs="Arial"/>
          <w:lang w:val="es-ES_tradnl" w:eastAsia="es-MX"/>
        </w:rPr>
        <w:t xml:space="preserve">, de la que pueda colegirse la </w:t>
      </w:r>
      <w:r w:rsidR="00467FAC" w:rsidRPr="00D51F9C">
        <w:rPr>
          <w:rFonts w:ascii="Arial" w:eastAsia="Times New Roman" w:hAnsi="Arial" w:cs="Arial"/>
          <w:lang w:val="es-ES_tradnl" w:eastAsia="es-MX"/>
        </w:rPr>
        <w:t xml:space="preserve">taxatividad de los </w:t>
      </w:r>
      <w:r w:rsidR="003D726C" w:rsidRPr="00D51F9C">
        <w:rPr>
          <w:rFonts w:ascii="Arial" w:eastAsia="Times New Roman" w:hAnsi="Arial" w:cs="Arial"/>
          <w:lang w:val="es-ES_tradnl" w:eastAsia="es-MX"/>
        </w:rPr>
        <w:t xml:space="preserve">requisitos mencionados. </w:t>
      </w:r>
      <w:bookmarkEnd w:id="6"/>
      <w:bookmarkEnd w:id="8"/>
      <w:r w:rsidR="003D726C" w:rsidRPr="00D51F9C">
        <w:rPr>
          <w:rFonts w:ascii="Arial" w:eastAsia="Times New Roman" w:hAnsi="Arial" w:cs="Arial"/>
          <w:lang w:val="es-ES_tradnl" w:eastAsia="es-MX"/>
        </w:rPr>
        <w:t>Esta conclusión además se apoya en una</w:t>
      </w:r>
      <w:r w:rsidR="003744E5" w:rsidRPr="00D51F9C">
        <w:rPr>
          <w:rFonts w:ascii="Arial" w:eastAsia="Times New Roman" w:hAnsi="Arial" w:cs="Arial"/>
          <w:lang w:val="es-ES_tradnl" w:eastAsia="es-MX"/>
        </w:rPr>
        <w:t xml:space="preserve"> la lectura integral</w:t>
      </w:r>
      <w:r w:rsidR="003D726C" w:rsidRPr="00D51F9C">
        <w:rPr>
          <w:rFonts w:ascii="Arial" w:eastAsia="Times New Roman" w:hAnsi="Arial" w:cs="Arial"/>
          <w:lang w:val="es-ES_tradnl" w:eastAsia="es-MX"/>
        </w:rPr>
        <w:t xml:space="preserve"> </w:t>
      </w:r>
      <w:r w:rsidR="003744E5" w:rsidRPr="00D51F9C">
        <w:rPr>
          <w:rFonts w:ascii="Arial" w:eastAsia="Times New Roman" w:hAnsi="Arial" w:cs="Arial"/>
          <w:lang w:val="es-ES_tradnl" w:eastAsia="es-MX"/>
        </w:rPr>
        <w:t>de las normas que regulan la contratación estatal</w:t>
      </w:r>
      <w:r w:rsidR="003D726C" w:rsidRPr="00D51F9C">
        <w:rPr>
          <w:rFonts w:ascii="Arial" w:eastAsia="Times New Roman" w:hAnsi="Arial" w:cs="Arial"/>
          <w:lang w:val="es-ES_tradnl" w:eastAsia="es-MX"/>
        </w:rPr>
        <w:t>, en virtud de la cual</w:t>
      </w:r>
      <w:r w:rsidR="00D52A4D" w:rsidRPr="00D51F9C">
        <w:rPr>
          <w:rFonts w:ascii="Arial" w:eastAsia="Times New Roman" w:hAnsi="Arial" w:cs="Arial"/>
          <w:lang w:val="es-ES_tradnl" w:eastAsia="es-MX"/>
        </w:rPr>
        <w:t xml:space="preserve"> es posible evidenciar </w:t>
      </w:r>
      <w:r w:rsidR="003744E5" w:rsidRPr="00D51F9C">
        <w:rPr>
          <w:rFonts w:ascii="Arial" w:eastAsia="Times New Roman" w:hAnsi="Arial" w:cs="Arial"/>
          <w:lang w:val="es-ES_tradnl" w:eastAsia="es-MX"/>
        </w:rPr>
        <w:t>que existen otras condiciones que deben cumplirse para la contratación con entidad</w:t>
      </w:r>
      <w:r w:rsidR="00D52A4D" w:rsidRPr="00D51F9C">
        <w:rPr>
          <w:rFonts w:ascii="Arial" w:eastAsia="Times New Roman" w:hAnsi="Arial" w:cs="Arial"/>
          <w:lang w:val="es-ES_tradnl" w:eastAsia="es-MX"/>
        </w:rPr>
        <w:t>es</w:t>
      </w:r>
      <w:r w:rsidR="003744E5" w:rsidRPr="00D51F9C">
        <w:rPr>
          <w:rFonts w:ascii="Arial" w:eastAsia="Times New Roman" w:hAnsi="Arial" w:cs="Arial"/>
          <w:lang w:val="es-ES_tradnl" w:eastAsia="es-MX"/>
        </w:rPr>
        <w:t xml:space="preserve"> pública</w:t>
      </w:r>
      <w:r w:rsidR="00D52A4D" w:rsidRPr="00D51F9C">
        <w:rPr>
          <w:rFonts w:ascii="Arial" w:eastAsia="Times New Roman" w:hAnsi="Arial" w:cs="Arial"/>
          <w:lang w:val="es-ES_tradnl" w:eastAsia="es-MX"/>
        </w:rPr>
        <w:t>s</w:t>
      </w:r>
      <w:r w:rsidR="003744E5" w:rsidRPr="00D51F9C">
        <w:rPr>
          <w:rFonts w:ascii="Arial" w:eastAsia="Times New Roman" w:hAnsi="Arial" w:cs="Arial"/>
          <w:lang w:val="es-ES_tradnl" w:eastAsia="es-MX"/>
        </w:rPr>
        <w:t>,</w:t>
      </w:r>
      <w:r w:rsidR="00D52A4D" w:rsidRPr="00D51F9C">
        <w:rPr>
          <w:rFonts w:ascii="Arial" w:eastAsia="Times New Roman" w:hAnsi="Arial" w:cs="Arial"/>
          <w:lang w:val="es-ES_tradnl" w:eastAsia="es-MX"/>
        </w:rPr>
        <w:t xml:space="preserve"> de las que derivan requisitos habilitantes,</w:t>
      </w:r>
      <w:r w:rsidR="003744E5" w:rsidRPr="00D51F9C">
        <w:rPr>
          <w:rFonts w:ascii="Arial" w:eastAsia="Times New Roman" w:hAnsi="Arial" w:cs="Arial"/>
          <w:lang w:val="es-ES_tradnl" w:eastAsia="es-MX"/>
        </w:rPr>
        <w:t xml:space="preserve"> como </w:t>
      </w:r>
      <w:r w:rsidR="00D52A4D" w:rsidRPr="00D51F9C">
        <w:rPr>
          <w:rFonts w:ascii="Arial" w:eastAsia="Times New Roman" w:hAnsi="Arial" w:cs="Arial"/>
          <w:lang w:val="es-ES_tradnl" w:eastAsia="es-MX"/>
        </w:rPr>
        <w:t>sucede</w:t>
      </w:r>
      <w:r w:rsidR="003744E5" w:rsidRPr="00D51F9C">
        <w:rPr>
          <w:rFonts w:ascii="Arial" w:eastAsia="Times New Roman" w:hAnsi="Arial" w:cs="Arial"/>
          <w:lang w:val="es-ES_tradnl" w:eastAsia="es-MX"/>
        </w:rPr>
        <w:t>, por ejemplo, con la capacidad residual a la que se refiere el artículo 6º, parágrafo 1, de la Ley 1150 de 2007</w:t>
      </w:r>
      <w:bookmarkEnd w:id="7"/>
      <w:r w:rsidR="003744E5" w:rsidRPr="00D51F9C">
        <w:rPr>
          <w:rFonts w:ascii="Arial" w:eastAsia="Times New Roman" w:hAnsi="Arial" w:cs="Arial"/>
          <w:vertAlign w:val="superscript"/>
          <w:lang w:val="es-ES_tradnl" w:eastAsia="es-MX"/>
        </w:rPr>
        <w:footnoteReference w:id="2"/>
      </w:r>
      <w:r w:rsidR="003744E5" w:rsidRPr="00D51F9C">
        <w:rPr>
          <w:rFonts w:ascii="Arial" w:eastAsia="Times New Roman" w:hAnsi="Arial" w:cs="Arial"/>
          <w:lang w:val="es-ES_tradnl" w:eastAsia="es-MX"/>
        </w:rPr>
        <w:t xml:space="preserve">. </w:t>
      </w:r>
    </w:p>
    <w:p w14:paraId="50222CD8" w14:textId="2B71C56C" w:rsidR="00790D11" w:rsidRPr="00D51F9C" w:rsidRDefault="00790D11" w:rsidP="00951ECE">
      <w:pPr>
        <w:spacing w:before="120" w:after="120" w:line="276" w:lineRule="auto"/>
        <w:ind w:firstLine="709"/>
        <w:jc w:val="both"/>
        <w:rPr>
          <w:rFonts w:ascii="Arial" w:eastAsia="Times New Roman" w:hAnsi="Arial" w:cs="Arial"/>
          <w:lang w:val="es-ES_tradnl" w:eastAsia="es-MX"/>
        </w:rPr>
      </w:pPr>
      <w:r w:rsidRPr="00D51F9C">
        <w:rPr>
          <w:rFonts w:ascii="Arial" w:eastAsia="Times New Roman" w:hAnsi="Arial" w:cs="Arial"/>
          <w:lang w:val="es-ES_tradnl" w:eastAsia="es-MX"/>
        </w:rPr>
        <w:t xml:space="preserve">Por otro lado, en el </w:t>
      </w:r>
      <w:r w:rsidRPr="00D51F9C">
        <w:rPr>
          <w:rFonts w:ascii="Arial" w:eastAsia="Times New Roman" w:hAnsi="Arial" w:cs="Arial"/>
          <w:i/>
          <w:iCs/>
          <w:lang w:val="es-ES_tradnl" w:eastAsia="es-MX"/>
        </w:rPr>
        <w:t>«Manual para determinar y verificar los requisitos habilitantes en los Procesos de Contratación»</w:t>
      </w:r>
      <w:r w:rsidRPr="00D51F9C">
        <w:rPr>
          <w:rFonts w:ascii="Arial" w:eastAsia="Calibri" w:hAnsi="Arial" w:cs="Arial"/>
          <w:lang w:val="es-ES_tradnl" w:eastAsia="es-MX"/>
        </w:rPr>
        <w:t>,</w:t>
      </w:r>
      <w:r w:rsidRPr="00D51F9C">
        <w:rPr>
          <w:rFonts w:ascii="Arial" w:eastAsia="Times New Roman" w:hAnsi="Arial" w:cs="Arial"/>
          <w:lang w:val="es-ES_tradnl" w:eastAsia="es-MX"/>
        </w:rPr>
        <w:t xml:space="preserve"> expedido por la </w:t>
      </w:r>
      <w:r w:rsidRPr="00D51F9C">
        <w:rPr>
          <w:rFonts w:ascii="Arial" w:eastAsia="Calibri" w:hAnsi="Arial" w:cs="Arial"/>
          <w:lang w:val="es-ES_tradnl" w:eastAsia="es-MX"/>
        </w:rPr>
        <w:t>Agencia Nacional de Contratación Pública – Colombia Compra Eficiente</w:t>
      </w:r>
      <w:r w:rsidR="00B760B9" w:rsidRPr="00D51F9C">
        <w:rPr>
          <w:rFonts w:ascii="Arial" w:eastAsia="Calibri" w:hAnsi="Arial" w:cs="Arial"/>
          <w:lang w:val="es-ES_tradnl" w:eastAsia="es-MX"/>
        </w:rPr>
        <w:t>,</w:t>
      </w:r>
      <w:r w:rsidRPr="00D51F9C">
        <w:rPr>
          <w:rFonts w:ascii="Arial" w:eastAsia="Times New Roman" w:hAnsi="Arial" w:cs="Arial"/>
          <w:lang w:val="es-ES_tradnl" w:eastAsia="es-MX"/>
        </w:rPr>
        <w:t xml:space="preserve"> se determinaron los parámetros para establecer, acreditar y subsanar los requisitos habilitantes. Allí también se precisó que estos tienen como fin primordial medir </w:t>
      </w:r>
      <w:r w:rsidRPr="00D51F9C">
        <w:rPr>
          <w:rFonts w:ascii="Arial" w:eastAsia="Times New Roman" w:hAnsi="Arial" w:cs="Arial"/>
          <w:i/>
          <w:iCs/>
          <w:lang w:val="es-ES_tradnl" w:eastAsia="es-MX"/>
        </w:rPr>
        <w:t>«la aptitud del proponente para participar en un Proceso de Contratación como oferente y están referidos a su capacidad jurídica, financiera, organizacional y su experiencia».</w:t>
      </w:r>
      <w:r w:rsidRPr="00D51F9C">
        <w:rPr>
          <w:rFonts w:ascii="Arial" w:eastAsia="Times New Roman" w:hAnsi="Arial" w:cs="Arial"/>
          <w:lang w:val="es-ES_tradnl" w:eastAsia="es-MX"/>
        </w:rPr>
        <w:t xml:space="preserve"> De acuerdo con el Manual, su propósito consiste en </w:t>
      </w:r>
      <w:r w:rsidRPr="00D51F9C">
        <w:rPr>
          <w:rFonts w:ascii="Arial" w:eastAsia="Times New Roman" w:hAnsi="Arial" w:cs="Arial"/>
          <w:i/>
          <w:iCs/>
          <w:lang w:val="es-ES_tradnl" w:eastAsia="es-MX"/>
        </w:rPr>
        <w:t>«establecer unas condiciones mínimas para los proponentes de tal manera que la Entidad Estatal sólo evalúe las ofertas de aquellos que están en condiciones de cumplir con el objeto del Proceso de Contratación</w:t>
      </w:r>
      <w:r w:rsidRPr="00D51F9C">
        <w:rPr>
          <w:rFonts w:ascii="Arial" w:eastAsia="Times New Roman" w:hAnsi="Arial" w:cs="Arial"/>
          <w:lang w:val="es-ES_tradnl" w:eastAsia="es-MX"/>
        </w:rPr>
        <w:t xml:space="preserve">». </w:t>
      </w:r>
      <w:r w:rsidR="00F63992" w:rsidRPr="00D51F9C">
        <w:rPr>
          <w:rFonts w:ascii="Arial" w:eastAsia="Times New Roman" w:hAnsi="Arial" w:cs="Arial"/>
          <w:lang w:val="es-ES_tradnl" w:eastAsia="es-MX"/>
        </w:rPr>
        <w:t>Así las cosas</w:t>
      </w:r>
      <w:r w:rsidRPr="00D51F9C">
        <w:rPr>
          <w:rFonts w:ascii="Arial" w:eastAsia="Times New Roman" w:hAnsi="Arial" w:cs="Arial"/>
          <w:lang w:val="es-ES_tradnl" w:eastAsia="es-MX"/>
        </w:rPr>
        <w:t xml:space="preserve">, al tratarse de condiciones mínimas, significa que las entidades podrían establecer otras, según su autonomía de la voluntad, y </w:t>
      </w:r>
      <w:r w:rsidRPr="00D51F9C">
        <w:rPr>
          <w:rFonts w:ascii="Arial" w:eastAsia="Times New Roman" w:hAnsi="Arial" w:cs="Arial"/>
          <w:lang w:val="es-ES_tradnl" w:eastAsia="es-MX"/>
        </w:rPr>
        <w:lastRenderedPageBreak/>
        <w:t>teniendo en cuenta el objeto del contrato, los riesgos detectados en los estudios previos, el presupuesto oficial, entre otros factores.</w:t>
      </w:r>
    </w:p>
    <w:p w14:paraId="587E0B42" w14:textId="7ED9A85D" w:rsidR="00790D11" w:rsidRPr="00D51F9C" w:rsidRDefault="00790D11" w:rsidP="00951ECE">
      <w:pPr>
        <w:spacing w:before="120" w:after="120" w:line="276" w:lineRule="auto"/>
        <w:ind w:firstLine="709"/>
        <w:jc w:val="both"/>
        <w:rPr>
          <w:rFonts w:ascii="Arial" w:eastAsia="Times New Roman" w:hAnsi="Arial" w:cs="Arial"/>
          <w:lang w:val="es-ES_tradnl" w:eastAsia="es-MX"/>
        </w:rPr>
      </w:pPr>
      <w:r w:rsidRPr="00D51F9C">
        <w:rPr>
          <w:rFonts w:ascii="Arial" w:eastAsia="Times New Roman" w:hAnsi="Arial" w:cs="Arial"/>
          <w:lang w:val="es-ES_tradnl" w:eastAsia="es-MX"/>
        </w:rPr>
        <w:t xml:space="preserve">Al respecto, en la Sentencia C-004 de 2017, la Corte Constitucional señaló que </w:t>
      </w:r>
      <w:r w:rsidRPr="00D51F9C">
        <w:rPr>
          <w:rFonts w:ascii="Arial" w:eastAsia="Times New Roman" w:hAnsi="Arial" w:cs="Arial"/>
          <w:b/>
          <w:bCs/>
          <w:i/>
          <w:iCs/>
          <w:lang w:val="es-ES_tradnl" w:eastAsia="es-MX"/>
        </w:rPr>
        <w:t>«[l]a determinación de dichas condiciones habilitantes para participar, es competencia de la entidad que planee la celebración del contrato</w:t>
      </w:r>
      <w:r w:rsidRPr="00D51F9C">
        <w:rPr>
          <w:rFonts w:ascii="Arial" w:eastAsia="Times New Roman" w:hAnsi="Arial" w:cs="Arial"/>
          <w:i/>
          <w:iCs/>
          <w:lang w:val="es-ES_tradnl" w:eastAsia="es-MX"/>
        </w:rPr>
        <w:t>, a través de la valoración en concreto de las características mínimas de idoneidad, experiencia, capacidad jurídica y financiera para que la realización del objeto contractual resulte eficiente y eficaz frente a la necesidad identificada».</w:t>
      </w:r>
      <w:r w:rsidR="00B760B9" w:rsidRPr="00D51F9C">
        <w:rPr>
          <w:rFonts w:ascii="Arial" w:eastAsia="Times New Roman" w:hAnsi="Arial" w:cs="Arial"/>
          <w:i/>
          <w:iCs/>
          <w:lang w:val="es-ES_tradnl" w:eastAsia="es-MX"/>
        </w:rPr>
        <w:t xml:space="preserve"> (</w:t>
      </w:r>
      <w:r w:rsidR="00B760B9" w:rsidRPr="00D51F9C">
        <w:rPr>
          <w:rFonts w:ascii="Arial" w:eastAsia="Times New Roman" w:hAnsi="Arial" w:cs="Arial"/>
          <w:lang w:val="es-ES_tradnl" w:eastAsia="es-MX"/>
        </w:rPr>
        <w:t>negrilla fuera de texto)</w:t>
      </w:r>
    </w:p>
    <w:p w14:paraId="4A2CD311" w14:textId="7F009C28" w:rsidR="00787591" w:rsidRPr="00D51F9C" w:rsidRDefault="002E1DA4" w:rsidP="00951ECE">
      <w:pPr>
        <w:tabs>
          <w:tab w:val="left" w:pos="426"/>
        </w:tabs>
        <w:spacing w:before="120" w:after="120" w:line="276" w:lineRule="auto"/>
        <w:ind w:firstLine="709"/>
        <w:jc w:val="both"/>
        <w:rPr>
          <w:rFonts w:ascii="Arial" w:eastAsia="Times New Roman" w:hAnsi="Arial" w:cs="Arial"/>
          <w:lang w:val="es-ES_tradnl" w:eastAsia="es-MX"/>
        </w:rPr>
      </w:pPr>
      <w:bookmarkStart w:id="9" w:name="_Hlk99548027"/>
      <w:r w:rsidRPr="00D51F9C">
        <w:rPr>
          <w:rFonts w:ascii="Arial" w:eastAsia="Times New Roman" w:hAnsi="Arial" w:cs="Arial"/>
          <w:lang w:val="es-ES_tradnl" w:eastAsia="es-MX"/>
        </w:rPr>
        <w:t xml:space="preserve">En ese sentido, </w:t>
      </w:r>
      <w:r w:rsidR="004A6B83" w:rsidRPr="00D51F9C">
        <w:rPr>
          <w:rFonts w:ascii="Arial" w:eastAsia="Times New Roman" w:hAnsi="Arial" w:cs="Arial"/>
          <w:lang w:val="es-ES_tradnl" w:eastAsia="es-MX"/>
        </w:rPr>
        <w:t xml:space="preserve">si bien </w:t>
      </w:r>
      <w:r w:rsidR="00926764" w:rsidRPr="00D51F9C">
        <w:rPr>
          <w:rFonts w:ascii="Arial" w:eastAsia="Calibri" w:hAnsi="Arial" w:cs="Arial"/>
          <w:lang w:val="es-ES_tradnl" w:eastAsia="es-MX"/>
        </w:rPr>
        <w:t xml:space="preserve">la Ley 1150 de 2007 estableció unos requisitos habilitantes para los proponentes </w:t>
      </w:r>
      <w:r w:rsidR="004A6B83" w:rsidRPr="00D51F9C">
        <w:rPr>
          <w:rFonts w:ascii="Arial" w:eastAsia="Calibri" w:hAnsi="Arial" w:cs="Arial"/>
          <w:lang w:val="es-ES_tradnl" w:eastAsia="es-MX"/>
        </w:rPr>
        <w:t>–</w:t>
      </w:r>
      <w:r w:rsidR="00926764" w:rsidRPr="00D51F9C">
        <w:rPr>
          <w:rFonts w:ascii="Arial" w:eastAsia="Calibri" w:hAnsi="Arial" w:cs="Arial"/>
          <w:lang w:val="es-ES_tradnl" w:eastAsia="es-MX"/>
        </w:rPr>
        <w:t>la capacidad jurídica, las condiciones de experiencia, la capacidad financiera y la capacidad de organización</w:t>
      </w:r>
      <w:r w:rsidR="00A2385B" w:rsidRPr="00D51F9C">
        <w:rPr>
          <w:rFonts w:ascii="Arial" w:eastAsia="Calibri" w:hAnsi="Arial" w:cs="Arial"/>
          <w:lang w:val="es-ES_tradnl" w:eastAsia="es-MX"/>
        </w:rPr>
        <w:t>–</w:t>
      </w:r>
      <w:r w:rsidR="00926764" w:rsidRPr="00D51F9C">
        <w:rPr>
          <w:rFonts w:ascii="Arial" w:eastAsia="Calibri" w:hAnsi="Arial" w:cs="Arial"/>
          <w:lang w:val="es-ES_tradnl" w:eastAsia="es-MX"/>
        </w:rPr>
        <w:t>,</w:t>
      </w:r>
      <w:r w:rsidR="004A6B83" w:rsidRPr="00D51F9C">
        <w:rPr>
          <w:rFonts w:ascii="Arial" w:eastAsia="Calibri" w:hAnsi="Arial" w:cs="Arial"/>
          <w:lang w:val="es-ES_tradnl" w:eastAsia="es-MX"/>
        </w:rPr>
        <w:t xml:space="preserve"> </w:t>
      </w:r>
      <w:r w:rsidR="00E77B5F" w:rsidRPr="00D51F9C">
        <w:rPr>
          <w:rFonts w:ascii="Arial" w:eastAsia="Calibri" w:hAnsi="Arial" w:cs="Arial"/>
          <w:lang w:val="es-ES_tradnl" w:eastAsia="es-MX"/>
        </w:rPr>
        <w:t>estos no</w:t>
      </w:r>
      <w:r w:rsidR="00926764" w:rsidRPr="00D51F9C">
        <w:rPr>
          <w:rFonts w:ascii="Arial" w:eastAsia="Calibri" w:hAnsi="Arial" w:cs="Arial"/>
          <w:lang w:val="es-ES_tradnl" w:eastAsia="es-MX"/>
        </w:rPr>
        <w:t xml:space="preserve"> son taxativos. </w:t>
      </w:r>
      <w:bookmarkStart w:id="10" w:name="_Hlk34917473"/>
      <w:r w:rsidR="00926764" w:rsidRPr="00D51F9C">
        <w:rPr>
          <w:rFonts w:ascii="Arial" w:eastAsia="Times New Roman" w:hAnsi="Arial" w:cs="Arial"/>
          <w:lang w:val="es-ES_tradnl" w:eastAsia="es-MX"/>
        </w:rPr>
        <w:t xml:space="preserve">En consecuencia, corresponde a las </w:t>
      </w:r>
      <w:r w:rsidR="00C548DC" w:rsidRPr="00D51F9C">
        <w:rPr>
          <w:rFonts w:ascii="Arial" w:eastAsia="Times New Roman" w:hAnsi="Arial" w:cs="Arial"/>
          <w:lang w:val="es-ES_tradnl" w:eastAsia="es-MX"/>
        </w:rPr>
        <w:t>E</w:t>
      </w:r>
      <w:r w:rsidR="00926764" w:rsidRPr="00D51F9C">
        <w:rPr>
          <w:rFonts w:ascii="Arial" w:eastAsia="Times New Roman" w:hAnsi="Arial" w:cs="Arial"/>
          <w:lang w:val="es-ES_tradnl" w:eastAsia="es-MX"/>
        </w:rPr>
        <w:t xml:space="preserve">ntidades </w:t>
      </w:r>
      <w:r w:rsidR="00C548DC" w:rsidRPr="00D51F9C">
        <w:rPr>
          <w:rFonts w:ascii="Arial" w:eastAsia="Times New Roman" w:hAnsi="Arial" w:cs="Arial"/>
          <w:lang w:val="es-ES_tradnl" w:eastAsia="es-MX"/>
        </w:rPr>
        <w:t>E</w:t>
      </w:r>
      <w:r w:rsidR="00926764" w:rsidRPr="00D51F9C">
        <w:rPr>
          <w:rFonts w:ascii="Arial" w:eastAsia="Times New Roman" w:hAnsi="Arial" w:cs="Arial"/>
          <w:lang w:val="es-ES_tradnl" w:eastAsia="es-MX"/>
        </w:rPr>
        <w:t xml:space="preserve">statales, durante la etapa de planeación del contrato estatal, estudiar y </w:t>
      </w:r>
      <w:r w:rsidR="00926764" w:rsidRPr="00D51F9C">
        <w:rPr>
          <w:rFonts w:ascii="Arial" w:eastAsia="Times New Roman" w:hAnsi="Arial" w:cs="Arial"/>
          <w:bCs/>
          <w:iCs/>
          <w:lang w:val="es-ES_tradnl" w:eastAsia="es-MX"/>
        </w:rPr>
        <w:t>determinar</w:t>
      </w:r>
      <w:r w:rsidR="00926764" w:rsidRPr="00D51F9C">
        <w:rPr>
          <w:rFonts w:ascii="Arial" w:eastAsia="Times New Roman" w:hAnsi="Arial" w:cs="Arial"/>
          <w:lang w:val="es-ES_tradnl" w:eastAsia="es-MX"/>
        </w:rPr>
        <w:t xml:space="preserve"> los requisitos habilitantes que establecerán en los pliegos de condiciones, los cuales deben fijarse de forma adecuada y proporcional. </w:t>
      </w:r>
    </w:p>
    <w:bookmarkEnd w:id="9"/>
    <w:p w14:paraId="6222B9BE" w14:textId="51CB7BA5" w:rsidR="005A2421" w:rsidRPr="00D51F9C" w:rsidRDefault="000C799C" w:rsidP="00951ECE">
      <w:pPr>
        <w:tabs>
          <w:tab w:val="left" w:pos="426"/>
        </w:tabs>
        <w:spacing w:before="120" w:after="120" w:line="276" w:lineRule="auto"/>
        <w:ind w:firstLine="709"/>
        <w:jc w:val="both"/>
        <w:rPr>
          <w:rFonts w:ascii="Arial" w:eastAsia="Times New Roman" w:hAnsi="Arial" w:cs="Arial"/>
          <w:lang w:val="es-ES_tradnl" w:eastAsia="es-MX"/>
        </w:rPr>
      </w:pPr>
      <w:r w:rsidRPr="00D51F9C">
        <w:rPr>
          <w:rFonts w:ascii="Arial" w:eastAsia="Times New Roman" w:hAnsi="Arial" w:cs="Arial"/>
          <w:lang w:val="es-ES_tradnl" w:eastAsia="es-MX"/>
        </w:rPr>
        <w:t>El Decreto 1082 de 2015</w:t>
      </w:r>
      <w:r w:rsidR="00D1771B" w:rsidRPr="00D51F9C">
        <w:rPr>
          <w:rFonts w:ascii="Arial" w:eastAsia="Times New Roman" w:hAnsi="Arial" w:cs="Arial"/>
          <w:lang w:val="es-ES_tradnl" w:eastAsia="es-MX"/>
        </w:rPr>
        <w:t xml:space="preserve"> en su artículo 2.2.1.1.1.6.2 </w:t>
      </w:r>
      <w:r w:rsidR="00C27036" w:rsidRPr="00D51F9C">
        <w:rPr>
          <w:rFonts w:ascii="Arial" w:eastAsia="Times New Roman" w:hAnsi="Arial" w:cs="Arial"/>
          <w:lang w:val="es-ES_tradnl" w:eastAsia="es-MX"/>
        </w:rPr>
        <w:t>reglamenta</w:t>
      </w:r>
      <w:r w:rsidR="00A51F86" w:rsidRPr="00D51F9C">
        <w:rPr>
          <w:rFonts w:ascii="Arial" w:eastAsia="Times New Roman" w:hAnsi="Arial" w:cs="Arial"/>
          <w:lang w:val="es-ES_tradnl" w:eastAsia="es-MX"/>
        </w:rPr>
        <w:t xml:space="preserve"> los </w:t>
      </w:r>
      <w:r w:rsidRPr="00D51F9C">
        <w:rPr>
          <w:rFonts w:ascii="Arial" w:eastAsia="Times New Roman" w:hAnsi="Arial" w:cs="Arial"/>
          <w:lang w:val="es-ES_tradnl" w:eastAsia="es-MX"/>
        </w:rPr>
        <w:t>requisitos habilitantes</w:t>
      </w:r>
      <w:r w:rsidR="00D1771B" w:rsidRPr="00D51F9C">
        <w:rPr>
          <w:rFonts w:ascii="Arial" w:eastAsia="Times New Roman" w:hAnsi="Arial" w:cs="Arial"/>
          <w:lang w:val="es-ES_tradnl" w:eastAsia="es-MX"/>
        </w:rPr>
        <w:t>, estableciendo que estos deben ser señalados en los</w:t>
      </w:r>
      <w:r w:rsidRPr="00D51F9C">
        <w:rPr>
          <w:rFonts w:ascii="Arial" w:eastAsia="Times New Roman" w:hAnsi="Arial" w:cs="Arial"/>
          <w:lang w:val="es-ES_tradnl" w:eastAsia="es-MX"/>
        </w:rPr>
        <w:t xml:space="preserve"> pliego</w:t>
      </w:r>
      <w:r w:rsidR="00D1771B" w:rsidRPr="00D51F9C">
        <w:rPr>
          <w:rFonts w:ascii="Arial" w:eastAsia="Times New Roman" w:hAnsi="Arial" w:cs="Arial"/>
          <w:lang w:val="es-ES_tradnl" w:eastAsia="es-MX"/>
        </w:rPr>
        <w:t>s</w:t>
      </w:r>
      <w:r w:rsidRPr="00D51F9C">
        <w:rPr>
          <w:rFonts w:ascii="Arial" w:eastAsia="Times New Roman" w:hAnsi="Arial" w:cs="Arial"/>
          <w:lang w:val="es-ES_tradnl" w:eastAsia="es-MX"/>
        </w:rPr>
        <w:t xml:space="preserve"> de con</w:t>
      </w:r>
      <w:r w:rsidR="007A7E46" w:rsidRPr="00D51F9C">
        <w:rPr>
          <w:rFonts w:ascii="Arial" w:eastAsia="Times New Roman" w:hAnsi="Arial" w:cs="Arial"/>
          <w:lang w:val="es-ES_tradnl" w:eastAsia="es-MX"/>
        </w:rPr>
        <w:t xml:space="preserve">diciones </w:t>
      </w:r>
      <w:r w:rsidR="00D1771B" w:rsidRPr="00D51F9C">
        <w:rPr>
          <w:rFonts w:ascii="Arial" w:eastAsia="Times New Roman" w:hAnsi="Arial" w:cs="Arial"/>
          <w:lang w:val="es-ES_tradnl" w:eastAsia="es-MX"/>
        </w:rPr>
        <w:t>o en la invitación</w:t>
      </w:r>
      <w:r w:rsidR="00A0611B" w:rsidRPr="00D51F9C">
        <w:rPr>
          <w:rStyle w:val="Refdenotaalpie"/>
          <w:rFonts w:ascii="Arial" w:eastAsia="Times New Roman" w:hAnsi="Arial" w:cs="Arial"/>
          <w:lang w:val="es-ES_tradnl" w:eastAsia="es-MX"/>
        </w:rPr>
        <w:footnoteReference w:id="3"/>
      </w:r>
      <w:r w:rsidR="006C15AE" w:rsidRPr="00D51F9C">
        <w:rPr>
          <w:rFonts w:ascii="Arial" w:eastAsia="Times New Roman" w:hAnsi="Arial" w:cs="Arial"/>
          <w:lang w:val="es-ES_tradnl" w:eastAsia="es-MX"/>
        </w:rPr>
        <w:t xml:space="preserve">, lo cual es concordante con el numeral 5 </w:t>
      </w:r>
      <w:r w:rsidR="009D0908" w:rsidRPr="00D51F9C">
        <w:rPr>
          <w:rFonts w:ascii="Arial" w:eastAsia="Times New Roman" w:hAnsi="Arial" w:cs="Arial"/>
          <w:lang w:val="es-ES_tradnl" w:eastAsia="es-MX"/>
        </w:rPr>
        <w:t>del artículo 2.2.1.1.2.1.3</w:t>
      </w:r>
      <w:r w:rsidR="00FD4679" w:rsidRPr="00D51F9C">
        <w:rPr>
          <w:rFonts w:ascii="Arial" w:eastAsia="Times New Roman" w:hAnsi="Arial" w:cs="Arial"/>
          <w:lang w:val="es-ES_tradnl" w:eastAsia="es-MX"/>
        </w:rPr>
        <w:t xml:space="preserve">, en el que se establece </w:t>
      </w:r>
      <w:r w:rsidR="009C1B37" w:rsidRPr="00D51F9C">
        <w:rPr>
          <w:rFonts w:ascii="Arial" w:eastAsia="Times New Roman" w:hAnsi="Arial" w:cs="Arial"/>
          <w:lang w:val="es-ES_tradnl" w:eastAsia="es-MX"/>
        </w:rPr>
        <w:t>como uno de los componentes mínimos de los pliegos de condiciones</w:t>
      </w:r>
      <w:r w:rsidR="006C15AE" w:rsidRPr="00D51F9C">
        <w:rPr>
          <w:rFonts w:ascii="Arial" w:hAnsi="Arial" w:cs="Arial"/>
          <w:color w:val="000000"/>
        </w:rPr>
        <w:t xml:space="preserve"> </w:t>
      </w:r>
      <w:r w:rsidR="007A1275" w:rsidRPr="00D51F9C">
        <w:rPr>
          <w:rFonts w:ascii="Arial" w:hAnsi="Arial" w:cs="Arial"/>
          <w:color w:val="000000"/>
        </w:rPr>
        <w:t>a l</w:t>
      </w:r>
      <w:r w:rsidR="006C15AE" w:rsidRPr="00D51F9C">
        <w:rPr>
          <w:rFonts w:ascii="Arial" w:hAnsi="Arial" w:cs="Arial"/>
          <w:color w:val="000000"/>
        </w:rPr>
        <w:t>as reglas aplicables a la presentación</w:t>
      </w:r>
      <w:r w:rsidR="007A1275" w:rsidRPr="00D51F9C">
        <w:rPr>
          <w:rFonts w:ascii="Arial" w:hAnsi="Arial" w:cs="Arial"/>
          <w:color w:val="000000"/>
        </w:rPr>
        <w:t xml:space="preserve"> y evaluación</w:t>
      </w:r>
      <w:r w:rsidR="006C15AE" w:rsidRPr="00D51F9C">
        <w:rPr>
          <w:rFonts w:ascii="Arial" w:hAnsi="Arial" w:cs="Arial"/>
          <w:color w:val="000000"/>
        </w:rPr>
        <w:t xml:space="preserve"> de las ofertas,</w:t>
      </w:r>
      <w:r w:rsidR="007A1275" w:rsidRPr="00D51F9C">
        <w:rPr>
          <w:rFonts w:ascii="Arial" w:hAnsi="Arial" w:cs="Arial"/>
          <w:color w:val="000000"/>
        </w:rPr>
        <w:t xml:space="preserve"> entre las que se inscriben las relativas a la acreditación de las condiciones habilitantes. </w:t>
      </w:r>
      <w:r w:rsidR="00094C13" w:rsidRPr="00D51F9C">
        <w:rPr>
          <w:rFonts w:ascii="Arial" w:eastAsia="Times New Roman" w:hAnsi="Arial" w:cs="Arial"/>
          <w:lang w:val="es-ES_tradnl" w:eastAsia="es-MX"/>
        </w:rPr>
        <w:t>E</w:t>
      </w:r>
      <w:r w:rsidR="006B6FCF" w:rsidRPr="00D51F9C">
        <w:rPr>
          <w:rFonts w:ascii="Arial" w:eastAsia="Times New Roman" w:hAnsi="Arial" w:cs="Arial"/>
          <w:lang w:val="es-ES_tradnl" w:eastAsia="es-MX"/>
        </w:rPr>
        <w:t>stablece</w:t>
      </w:r>
      <w:r w:rsidR="00094C13" w:rsidRPr="00D51F9C">
        <w:rPr>
          <w:rFonts w:ascii="Arial" w:eastAsia="Times New Roman" w:hAnsi="Arial" w:cs="Arial"/>
          <w:lang w:val="es-ES_tradnl" w:eastAsia="es-MX"/>
        </w:rPr>
        <w:t xml:space="preserve"> </w:t>
      </w:r>
      <w:r w:rsidR="007A1275" w:rsidRPr="00D51F9C">
        <w:rPr>
          <w:rFonts w:ascii="Arial" w:eastAsia="Times New Roman" w:hAnsi="Arial" w:cs="Arial"/>
          <w:lang w:val="es-ES_tradnl" w:eastAsia="es-MX"/>
        </w:rPr>
        <w:t>ade</w:t>
      </w:r>
      <w:r w:rsidR="00F278F2" w:rsidRPr="00D51F9C">
        <w:rPr>
          <w:rFonts w:ascii="Arial" w:eastAsia="Times New Roman" w:hAnsi="Arial" w:cs="Arial"/>
          <w:lang w:val="es-ES_tradnl" w:eastAsia="es-MX"/>
        </w:rPr>
        <w:t>más el artículo 2.2.1.1.1.6.2 que</w:t>
      </w:r>
      <w:r w:rsidR="00A2385B" w:rsidRPr="00D51F9C">
        <w:rPr>
          <w:rFonts w:ascii="Arial" w:eastAsia="Times New Roman" w:hAnsi="Arial" w:cs="Arial"/>
          <w:lang w:val="es-ES_tradnl" w:eastAsia="es-MX"/>
        </w:rPr>
        <w:t xml:space="preserve"> l</w:t>
      </w:r>
      <w:r w:rsidR="006B6FCF" w:rsidRPr="00D51F9C">
        <w:rPr>
          <w:rFonts w:ascii="Arial" w:eastAsia="Times New Roman" w:hAnsi="Arial" w:cs="Arial"/>
          <w:lang w:val="es-ES_tradnl" w:eastAsia="es-MX"/>
        </w:rPr>
        <w:t>a determinación de los</w:t>
      </w:r>
      <w:r w:rsidR="00A2385B" w:rsidRPr="00D51F9C">
        <w:rPr>
          <w:rFonts w:ascii="Arial" w:eastAsia="Times New Roman" w:hAnsi="Arial" w:cs="Arial"/>
          <w:lang w:val="es-ES_tradnl" w:eastAsia="es-MX"/>
        </w:rPr>
        <w:t xml:space="preserve"> requisitos habilitantes</w:t>
      </w:r>
      <w:r w:rsidR="00926764" w:rsidRPr="00D51F9C">
        <w:rPr>
          <w:rFonts w:ascii="Arial" w:eastAsia="Times New Roman" w:hAnsi="Arial" w:cs="Arial"/>
          <w:lang w:val="es-ES_tradnl" w:eastAsia="es-MX"/>
        </w:rPr>
        <w:t xml:space="preserve"> </w:t>
      </w:r>
      <w:r w:rsidR="006B6FCF" w:rsidRPr="00D51F9C">
        <w:rPr>
          <w:rFonts w:ascii="Arial" w:eastAsia="Times New Roman" w:hAnsi="Arial" w:cs="Arial"/>
          <w:lang w:val="es-ES_tradnl" w:eastAsia="es-MX"/>
        </w:rPr>
        <w:t xml:space="preserve">debe ser realizada </w:t>
      </w:r>
      <w:r w:rsidR="001D76A8" w:rsidRPr="00D51F9C">
        <w:rPr>
          <w:rFonts w:ascii="Arial" w:eastAsia="Times New Roman" w:hAnsi="Arial" w:cs="Arial"/>
          <w:lang w:val="es-ES_tradnl" w:eastAsia="es-MX"/>
        </w:rPr>
        <w:t>en función de criterios como</w:t>
      </w:r>
      <w:r w:rsidR="00926764" w:rsidRPr="00D51F9C">
        <w:rPr>
          <w:rFonts w:ascii="Arial" w:eastAsia="Times New Roman" w:hAnsi="Arial" w:cs="Arial"/>
          <w:lang w:val="es-ES_tradnl" w:eastAsia="es-MX"/>
        </w:rPr>
        <w:t xml:space="preserve"> </w:t>
      </w:r>
      <w:r w:rsidR="00CF6D19" w:rsidRPr="00D51F9C">
        <w:rPr>
          <w:rFonts w:ascii="Arial" w:eastAsia="Times New Roman" w:hAnsi="Arial" w:cs="Arial"/>
          <w:lang w:val="es-ES_tradnl" w:eastAsia="es-MX"/>
        </w:rPr>
        <w:t xml:space="preserve">el riesgo del </w:t>
      </w:r>
      <w:r w:rsidR="00C548DC" w:rsidRPr="00D51F9C">
        <w:rPr>
          <w:rFonts w:ascii="Arial" w:eastAsia="Times New Roman" w:hAnsi="Arial" w:cs="Arial"/>
          <w:lang w:val="es-ES_tradnl" w:eastAsia="es-MX"/>
        </w:rPr>
        <w:t>P</w:t>
      </w:r>
      <w:r w:rsidR="00CF6D19" w:rsidRPr="00D51F9C">
        <w:rPr>
          <w:rFonts w:ascii="Arial" w:eastAsia="Times New Roman" w:hAnsi="Arial" w:cs="Arial"/>
          <w:lang w:val="es-ES_tradnl" w:eastAsia="es-MX"/>
        </w:rPr>
        <w:t xml:space="preserve">roceso de </w:t>
      </w:r>
      <w:r w:rsidR="00C548DC" w:rsidRPr="00D51F9C">
        <w:rPr>
          <w:rFonts w:ascii="Arial" w:eastAsia="Times New Roman" w:hAnsi="Arial" w:cs="Arial"/>
          <w:lang w:val="es-ES_tradnl" w:eastAsia="es-MX"/>
        </w:rPr>
        <w:t>C</w:t>
      </w:r>
      <w:r w:rsidR="00CF6D19" w:rsidRPr="00D51F9C">
        <w:rPr>
          <w:rFonts w:ascii="Arial" w:eastAsia="Times New Roman" w:hAnsi="Arial" w:cs="Arial"/>
          <w:lang w:val="es-ES_tradnl" w:eastAsia="es-MX"/>
        </w:rPr>
        <w:t>ontratación</w:t>
      </w:r>
      <w:r w:rsidR="00AD57FD" w:rsidRPr="00D51F9C">
        <w:rPr>
          <w:rFonts w:ascii="Arial" w:eastAsia="Times New Roman" w:hAnsi="Arial" w:cs="Arial"/>
          <w:lang w:val="es-ES_tradnl" w:eastAsia="es-MX"/>
        </w:rPr>
        <w:t xml:space="preserve">, el valor del contrato, el </w:t>
      </w:r>
      <w:r w:rsidR="00AD57FD" w:rsidRPr="00D51F9C">
        <w:rPr>
          <w:rFonts w:ascii="Arial" w:eastAsia="Times New Roman" w:hAnsi="Arial" w:cs="Arial"/>
          <w:lang w:val="es-ES_tradnl" w:eastAsia="es-MX"/>
        </w:rPr>
        <w:lastRenderedPageBreak/>
        <w:t xml:space="preserve">análisis del sector </w:t>
      </w:r>
      <w:r w:rsidR="008A3273" w:rsidRPr="00D51F9C">
        <w:rPr>
          <w:rFonts w:ascii="Arial" w:eastAsia="Times New Roman" w:hAnsi="Arial" w:cs="Arial"/>
          <w:lang w:val="es-ES_tradnl" w:eastAsia="es-MX"/>
        </w:rPr>
        <w:t>económico respectivo y el conocimiento de fondo de los posibles oferentes d</w:t>
      </w:r>
      <w:r w:rsidR="00162E67" w:rsidRPr="00D51F9C">
        <w:rPr>
          <w:rFonts w:ascii="Arial" w:eastAsia="Times New Roman" w:hAnsi="Arial" w:cs="Arial"/>
          <w:lang w:val="es-ES_tradnl" w:eastAsia="es-MX"/>
        </w:rPr>
        <w:t xml:space="preserve">esde la perspectiva comercial. </w:t>
      </w:r>
    </w:p>
    <w:p w14:paraId="5397D8E7" w14:textId="279D40EF" w:rsidR="001A7D60" w:rsidRPr="00D51F9C" w:rsidRDefault="000C3ED0" w:rsidP="00951ECE">
      <w:pPr>
        <w:tabs>
          <w:tab w:val="left" w:pos="426"/>
        </w:tabs>
        <w:spacing w:before="120" w:after="0" w:line="276" w:lineRule="auto"/>
        <w:ind w:firstLine="709"/>
        <w:jc w:val="both"/>
        <w:rPr>
          <w:rFonts w:ascii="Arial" w:eastAsia="Times New Roman" w:hAnsi="Arial" w:cs="Arial"/>
          <w:lang w:val="es-ES_tradnl" w:eastAsia="es-MX"/>
        </w:rPr>
      </w:pPr>
      <w:r w:rsidRPr="00D51F9C">
        <w:rPr>
          <w:rFonts w:ascii="Arial" w:eastAsia="Times New Roman" w:hAnsi="Arial" w:cs="Arial"/>
          <w:lang w:val="es-ES_tradnl" w:eastAsia="es-MX"/>
        </w:rPr>
        <w:t>Los mencionados</w:t>
      </w:r>
      <w:r w:rsidR="000B00D4" w:rsidRPr="00D51F9C">
        <w:rPr>
          <w:rFonts w:ascii="Arial" w:eastAsia="Times New Roman" w:hAnsi="Arial" w:cs="Arial"/>
          <w:lang w:val="es-ES_tradnl" w:eastAsia="es-MX"/>
        </w:rPr>
        <w:t xml:space="preserve"> criterios </w:t>
      </w:r>
      <w:r w:rsidR="00C70B02" w:rsidRPr="00D51F9C">
        <w:rPr>
          <w:rFonts w:ascii="Arial" w:eastAsia="Times New Roman" w:hAnsi="Arial" w:cs="Arial"/>
          <w:lang w:val="es-ES_tradnl" w:eastAsia="es-MX"/>
        </w:rPr>
        <w:t xml:space="preserve">deben ser aplicados de manera tal que </w:t>
      </w:r>
      <w:r w:rsidR="009D0F5D" w:rsidRPr="00D51F9C">
        <w:rPr>
          <w:rFonts w:ascii="Arial" w:eastAsia="Times New Roman" w:hAnsi="Arial" w:cs="Arial"/>
          <w:lang w:val="es-ES_tradnl" w:eastAsia="es-MX"/>
        </w:rPr>
        <w:t xml:space="preserve">de </w:t>
      </w:r>
      <w:r w:rsidR="00B8049E" w:rsidRPr="00D51F9C">
        <w:rPr>
          <w:rFonts w:ascii="Arial" w:eastAsia="Times New Roman" w:hAnsi="Arial" w:cs="Arial"/>
          <w:lang w:val="es-ES_tradnl" w:eastAsia="es-MX"/>
        </w:rPr>
        <w:t xml:space="preserve">la </w:t>
      </w:r>
      <w:r w:rsidR="00C70B02" w:rsidRPr="00D51F9C">
        <w:rPr>
          <w:rFonts w:ascii="Arial" w:eastAsia="Times New Roman" w:hAnsi="Arial" w:cs="Arial"/>
          <w:lang w:val="es-ES_tradnl" w:eastAsia="es-MX"/>
        </w:rPr>
        <w:t>po</w:t>
      </w:r>
      <w:r w:rsidR="009D0F5D" w:rsidRPr="00D51F9C">
        <w:rPr>
          <w:rFonts w:ascii="Arial" w:eastAsia="Times New Roman" w:hAnsi="Arial" w:cs="Arial"/>
          <w:lang w:val="es-ES_tradnl" w:eastAsia="es-MX"/>
        </w:rPr>
        <w:t>n</w:t>
      </w:r>
      <w:r w:rsidR="00C70B02" w:rsidRPr="00D51F9C">
        <w:rPr>
          <w:rFonts w:ascii="Arial" w:eastAsia="Times New Roman" w:hAnsi="Arial" w:cs="Arial"/>
          <w:lang w:val="es-ES_tradnl" w:eastAsia="es-MX"/>
        </w:rPr>
        <w:t>deración</w:t>
      </w:r>
      <w:r w:rsidR="00B8049E" w:rsidRPr="00D51F9C">
        <w:rPr>
          <w:rFonts w:ascii="Arial" w:eastAsia="Times New Roman" w:hAnsi="Arial" w:cs="Arial"/>
          <w:lang w:val="es-ES_tradnl" w:eastAsia="es-MX"/>
        </w:rPr>
        <w:t xml:space="preserve"> de </w:t>
      </w:r>
      <w:r w:rsidR="00C548DC" w:rsidRPr="00D51F9C">
        <w:rPr>
          <w:rFonts w:ascii="Arial" w:eastAsia="Times New Roman" w:hAnsi="Arial" w:cs="Arial"/>
          <w:lang w:val="es-ES_tradnl" w:eastAsia="es-MX"/>
        </w:rPr>
        <w:t>estos</w:t>
      </w:r>
      <w:r w:rsidR="00B8049E" w:rsidRPr="00D51F9C">
        <w:rPr>
          <w:rFonts w:ascii="Arial" w:eastAsia="Times New Roman" w:hAnsi="Arial" w:cs="Arial"/>
          <w:lang w:val="es-ES_tradnl" w:eastAsia="es-MX"/>
        </w:rPr>
        <w:t xml:space="preserve"> </w:t>
      </w:r>
      <w:r w:rsidR="00BC12BF" w:rsidRPr="00D51F9C">
        <w:rPr>
          <w:rFonts w:ascii="Arial" w:eastAsia="Times New Roman" w:hAnsi="Arial" w:cs="Arial"/>
          <w:lang w:val="es-ES_tradnl" w:eastAsia="es-MX"/>
        </w:rPr>
        <w:t xml:space="preserve">resulten requisitos que permitan medir la aptitud de los oferentes para </w:t>
      </w:r>
      <w:r w:rsidR="0071547E" w:rsidRPr="00D51F9C">
        <w:rPr>
          <w:rFonts w:ascii="Arial" w:eastAsia="Times New Roman" w:hAnsi="Arial" w:cs="Arial"/>
          <w:lang w:val="es-ES_tradnl" w:eastAsia="es-MX"/>
        </w:rPr>
        <w:t xml:space="preserve">cumplir con el </w:t>
      </w:r>
      <w:r w:rsidR="00BC12BF" w:rsidRPr="00D51F9C">
        <w:rPr>
          <w:rFonts w:ascii="Arial" w:eastAsia="Times New Roman" w:hAnsi="Arial" w:cs="Arial"/>
          <w:lang w:val="es-ES_tradnl" w:eastAsia="es-MX"/>
        </w:rPr>
        <w:t>contrato</w:t>
      </w:r>
      <w:r w:rsidR="00F863E5" w:rsidRPr="00D51F9C">
        <w:rPr>
          <w:rFonts w:ascii="Arial" w:eastAsia="Times New Roman" w:hAnsi="Arial" w:cs="Arial"/>
          <w:lang w:val="es-ES_tradnl" w:eastAsia="es-MX"/>
        </w:rPr>
        <w:t xml:space="preserve">, </w:t>
      </w:r>
      <w:r w:rsidR="008E62D5" w:rsidRPr="00D51F9C">
        <w:rPr>
          <w:rFonts w:ascii="Arial" w:eastAsia="Times New Roman" w:hAnsi="Arial" w:cs="Arial"/>
          <w:lang w:val="es-ES_tradnl" w:eastAsia="es-MX"/>
        </w:rPr>
        <w:t>y que, además</w:t>
      </w:r>
      <w:r w:rsidR="00F863E5" w:rsidRPr="00D51F9C">
        <w:rPr>
          <w:rFonts w:ascii="Arial" w:eastAsia="Times New Roman" w:hAnsi="Arial" w:cs="Arial"/>
          <w:lang w:val="es-ES_tradnl" w:eastAsia="es-MX"/>
        </w:rPr>
        <w:t xml:space="preserve"> </w:t>
      </w:r>
      <w:r w:rsidR="008E62D5" w:rsidRPr="00D51F9C">
        <w:rPr>
          <w:rFonts w:ascii="Arial" w:eastAsia="Times New Roman" w:hAnsi="Arial" w:cs="Arial"/>
          <w:lang w:val="es-ES_tradnl" w:eastAsia="es-MX"/>
        </w:rPr>
        <w:t>de ser</w:t>
      </w:r>
      <w:r w:rsidR="00F863E5" w:rsidRPr="00D51F9C">
        <w:rPr>
          <w:rFonts w:ascii="Arial" w:eastAsia="Times New Roman" w:hAnsi="Arial" w:cs="Arial"/>
          <w:lang w:val="es-ES_tradnl" w:eastAsia="es-MX"/>
        </w:rPr>
        <w:t xml:space="preserve"> proporcionales</w:t>
      </w:r>
      <w:r w:rsidR="0071547E" w:rsidRPr="00D51F9C">
        <w:rPr>
          <w:rFonts w:ascii="Arial" w:eastAsia="Times New Roman" w:hAnsi="Arial" w:cs="Arial"/>
          <w:lang w:val="es-ES_tradnl" w:eastAsia="es-MX"/>
        </w:rPr>
        <w:t xml:space="preserve"> y</w:t>
      </w:r>
      <w:r w:rsidR="00F863E5" w:rsidRPr="00D51F9C">
        <w:rPr>
          <w:rFonts w:ascii="Arial" w:eastAsia="Times New Roman" w:hAnsi="Arial" w:cs="Arial"/>
          <w:lang w:val="es-ES_tradnl" w:eastAsia="es-MX"/>
        </w:rPr>
        <w:t xml:space="preserve"> adecuados</w:t>
      </w:r>
      <w:r w:rsidR="008E62D5" w:rsidRPr="00D51F9C">
        <w:rPr>
          <w:rFonts w:ascii="Arial" w:eastAsia="Times New Roman" w:hAnsi="Arial" w:cs="Arial"/>
          <w:lang w:val="es-ES_tradnl" w:eastAsia="es-MX"/>
        </w:rPr>
        <w:t xml:space="preserve"> al objeto del contrato,</w:t>
      </w:r>
      <w:r w:rsidR="00BE5ADC" w:rsidRPr="00D51F9C">
        <w:rPr>
          <w:rFonts w:ascii="Arial" w:eastAsia="Times New Roman" w:hAnsi="Arial" w:cs="Arial"/>
          <w:lang w:val="es-ES_tradnl" w:eastAsia="es-MX"/>
        </w:rPr>
        <w:t xml:space="preserve"> no limiten la </w:t>
      </w:r>
      <w:r w:rsidR="000D2399" w:rsidRPr="00D51F9C">
        <w:rPr>
          <w:rFonts w:ascii="Arial" w:eastAsia="Times New Roman" w:hAnsi="Arial" w:cs="Arial"/>
          <w:lang w:val="es-ES_tradnl" w:eastAsia="es-MX"/>
        </w:rPr>
        <w:t>participación en el proceso de selección.</w:t>
      </w:r>
      <w:r w:rsidRPr="00D51F9C">
        <w:rPr>
          <w:rFonts w:ascii="Arial" w:eastAsia="Times New Roman" w:hAnsi="Arial" w:cs="Arial"/>
          <w:lang w:val="es-ES_tradnl" w:eastAsia="es-MX"/>
        </w:rPr>
        <w:t xml:space="preserve"> </w:t>
      </w:r>
      <w:r w:rsidRPr="00D51F9C">
        <w:rPr>
          <w:rFonts w:ascii="Arial" w:eastAsia="Times New Roman" w:hAnsi="Arial" w:cs="Arial"/>
          <w:b/>
          <w:bCs/>
          <w:lang w:val="es-ES_tradnl" w:eastAsia="es-MX"/>
        </w:rPr>
        <w:t>En ese sentido</w:t>
      </w:r>
      <w:r w:rsidR="00162E67" w:rsidRPr="00D51F9C">
        <w:rPr>
          <w:rFonts w:ascii="Arial" w:eastAsia="Times New Roman" w:hAnsi="Arial" w:cs="Arial"/>
          <w:b/>
          <w:bCs/>
          <w:lang w:val="es-ES_tradnl" w:eastAsia="es-MX"/>
        </w:rPr>
        <w:t xml:space="preserve">, </w:t>
      </w:r>
      <w:r w:rsidR="000C6040" w:rsidRPr="00D51F9C">
        <w:rPr>
          <w:rFonts w:ascii="Arial" w:eastAsia="Times New Roman" w:hAnsi="Arial" w:cs="Arial"/>
          <w:b/>
          <w:bCs/>
          <w:lang w:val="es-ES_tradnl" w:eastAsia="es-MX"/>
        </w:rPr>
        <w:t>las entidades tienen autonomía para estructura</w:t>
      </w:r>
      <w:r w:rsidR="00E90800" w:rsidRPr="00D51F9C">
        <w:rPr>
          <w:rFonts w:ascii="Arial" w:eastAsia="Times New Roman" w:hAnsi="Arial" w:cs="Arial"/>
          <w:b/>
          <w:bCs/>
          <w:lang w:val="es-ES_tradnl" w:eastAsia="es-MX"/>
        </w:rPr>
        <w:t xml:space="preserve">r los requisitos habilitantes en los procesos que adelantan, pero </w:t>
      </w:r>
      <w:r w:rsidR="00EC68CB" w:rsidRPr="00D51F9C">
        <w:rPr>
          <w:rFonts w:ascii="Arial" w:eastAsia="Times New Roman" w:hAnsi="Arial" w:cs="Arial"/>
          <w:b/>
          <w:bCs/>
          <w:lang w:val="es-ES_tradnl" w:eastAsia="es-MX"/>
        </w:rPr>
        <w:t>tal facultad</w:t>
      </w:r>
      <w:r w:rsidR="00926764" w:rsidRPr="00D51F9C">
        <w:rPr>
          <w:rFonts w:ascii="Arial" w:eastAsia="Times New Roman" w:hAnsi="Arial" w:cs="Arial"/>
          <w:b/>
          <w:bCs/>
          <w:lang w:val="es-ES_tradnl" w:eastAsia="es-MX"/>
        </w:rPr>
        <w:t xml:space="preserve"> no puede ejercerse de forma arbitraria, caprichosa y, mucho menos, con el ánimo de direccionar el </w:t>
      </w:r>
      <w:r w:rsidR="00C548DC" w:rsidRPr="00D51F9C">
        <w:rPr>
          <w:rFonts w:ascii="Arial" w:eastAsia="Times New Roman" w:hAnsi="Arial" w:cs="Arial"/>
          <w:b/>
          <w:bCs/>
          <w:lang w:val="es-ES_tradnl" w:eastAsia="es-MX"/>
        </w:rPr>
        <w:t>P</w:t>
      </w:r>
      <w:r w:rsidR="00926764" w:rsidRPr="00D51F9C">
        <w:rPr>
          <w:rFonts w:ascii="Arial" w:eastAsia="Times New Roman" w:hAnsi="Arial" w:cs="Arial"/>
          <w:b/>
          <w:bCs/>
          <w:lang w:val="es-ES_tradnl" w:eastAsia="es-MX"/>
        </w:rPr>
        <w:t xml:space="preserve">roceso de </w:t>
      </w:r>
      <w:r w:rsidR="00C548DC" w:rsidRPr="00D51F9C">
        <w:rPr>
          <w:rFonts w:ascii="Arial" w:eastAsia="Times New Roman" w:hAnsi="Arial" w:cs="Arial"/>
          <w:b/>
          <w:bCs/>
          <w:lang w:val="es-ES_tradnl" w:eastAsia="es-MX"/>
        </w:rPr>
        <w:t>C</w:t>
      </w:r>
      <w:r w:rsidR="00926764" w:rsidRPr="00D51F9C">
        <w:rPr>
          <w:rFonts w:ascii="Arial" w:eastAsia="Times New Roman" w:hAnsi="Arial" w:cs="Arial"/>
          <w:b/>
          <w:bCs/>
          <w:lang w:val="es-ES_tradnl" w:eastAsia="es-MX"/>
        </w:rPr>
        <w:t>ontratación o favorecer a alguno de los proponentes</w:t>
      </w:r>
      <w:r w:rsidR="00D86AE2" w:rsidRPr="00D51F9C">
        <w:rPr>
          <w:rFonts w:ascii="Arial" w:eastAsia="Times New Roman" w:hAnsi="Arial" w:cs="Arial"/>
          <w:lang w:val="es-ES_tradnl" w:eastAsia="es-MX"/>
        </w:rPr>
        <w:t>.</w:t>
      </w:r>
      <w:r w:rsidR="00926764" w:rsidRPr="00D51F9C">
        <w:rPr>
          <w:rFonts w:ascii="Arial" w:eastAsia="Times New Roman" w:hAnsi="Arial" w:cs="Arial"/>
          <w:lang w:val="es-ES_tradnl" w:eastAsia="es-MX"/>
        </w:rPr>
        <w:t xml:space="preserve"> </w:t>
      </w:r>
      <w:r w:rsidR="00D86AE2" w:rsidRPr="00D51F9C">
        <w:rPr>
          <w:rFonts w:ascii="Arial" w:eastAsia="Times New Roman" w:hAnsi="Arial" w:cs="Arial"/>
          <w:lang w:val="es-ES_tradnl" w:eastAsia="es-MX"/>
        </w:rPr>
        <w:t>T</w:t>
      </w:r>
      <w:r w:rsidR="00926764" w:rsidRPr="00D51F9C">
        <w:rPr>
          <w:rFonts w:ascii="Arial" w:eastAsia="Times New Roman" w:hAnsi="Arial" w:cs="Arial"/>
          <w:lang w:val="es-ES_tradnl" w:eastAsia="es-MX"/>
        </w:rPr>
        <w:t xml:space="preserve">ampoco puede </w:t>
      </w:r>
      <w:r w:rsidR="00C67EC5" w:rsidRPr="00D51F9C">
        <w:rPr>
          <w:rFonts w:ascii="Arial" w:eastAsia="Times New Roman" w:hAnsi="Arial" w:cs="Arial"/>
          <w:lang w:val="es-ES_tradnl" w:eastAsia="es-MX"/>
        </w:rPr>
        <w:t xml:space="preserve">suceder que el </w:t>
      </w:r>
      <w:r w:rsidR="00EC68CB" w:rsidRPr="00D51F9C">
        <w:rPr>
          <w:rFonts w:ascii="Arial" w:eastAsia="Times New Roman" w:hAnsi="Arial" w:cs="Arial"/>
          <w:lang w:val="es-ES_tradnl" w:eastAsia="es-MX"/>
        </w:rPr>
        <w:t>ejercicio de</w:t>
      </w:r>
      <w:r w:rsidR="00C67EC5" w:rsidRPr="00D51F9C">
        <w:rPr>
          <w:rFonts w:ascii="Arial" w:eastAsia="Times New Roman" w:hAnsi="Arial" w:cs="Arial"/>
          <w:lang w:val="es-ES_tradnl" w:eastAsia="es-MX"/>
        </w:rPr>
        <w:t xml:space="preserve"> dicha atribución se haga con </w:t>
      </w:r>
      <w:r w:rsidR="00926764" w:rsidRPr="00D51F9C">
        <w:rPr>
          <w:rFonts w:ascii="Arial" w:eastAsia="Times New Roman" w:hAnsi="Arial" w:cs="Arial"/>
          <w:lang w:val="es-ES_tradnl" w:eastAsia="es-MX"/>
        </w:rPr>
        <w:t>desconoci</w:t>
      </w:r>
      <w:r w:rsidR="00C67EC5" w:rsidRPr="00D51F9C">
        <w:rPr>
          <w:rFonts w:ascii="Arial" w:eastAsia="Times New Roman" w:hAnsi="Arial" w:cs="Arial"/>
          <w:lang w:val="es-ES_tradnl" w:eastAsia="es-MX"/>
        </w:rPr>
        <w:t>miento de los</w:t>
      </w:r>
      <w:r w:rsidR="00926764" w:rsidRPr="00D51F9C">
        <w:rPr>
          <w:rFonts w:ascii="Arial" w:eastAsia="Times New Roman" w:hAnsi="Arial" w:cs="Arial"/>
          <w:lang w:val="es-ES_tradnl" w:eastAsia="es-MX"/>
        </w:rPr>
        <w:t xml:space="preserve"> límites</w:t>
      </w:r>
      <w:r w:rsidR="00C67EC5" w:rsidRPr="00D51F9C">
        <w:rPr>
          <w:rFonts w:ascii="Arial" w:eastAsia="Times New Roman" w:hAnsi="Arial" w:cs="Arial"/>
          <w:lang w:val="es-ES_tradnl" w:eastAsia="es-MX"/>
        </w:rPr>
        <w:t xml:space="preserve"> impuestos por la normativa vigente</w:t>
      </w:r>
      <w:r w:rsidR="00926764" w:rsidRPr="00D51F9C">
        <w:rPr>
          <w:rFonts w:ascii="Arial" w:eastAsia="Times New Roman" w:hAnsi="Arial" w:cs="Arial"/>
          <w:lang w:val="es-ES_tradnl" w:eastAsia="es-MX"/>
        </w:rPr>
        <w:t>, como, por ejemplo, el</w:t>
      </w:r>
      <w:r w:rsidR="001A7D60" w:rsidRPr="00D51F9C">
        <w:rPr>
          <w:rFonts w:ascii="Arial" w:eastAsia="Times New Roman" w:hAnsi="Arial" w:cs="Arial"/>
          <w:lang w:val="es-ES_tradnl" w:eastAsia="es-MX"/>
        </w:rPr>
        <w:t xml:space="preserve"> parágrafo 2 del</w:t>
      </w:r>
      <w:r w:rsidR="00926764" w:rsidRPr="00D51F9C">
        <w:rPr>
          <w:rFonts w:ascii="Arial" w:eastAsia="Times New Roman" w:hAnsi="Arial" w:cs="Arial"/>
          <w:lang w:val="es-ES_tradnl" w:eastAsia="es-MX"/>
        </w:rPr>
        <w:t xml:space="preserve"> artículo 5</w:t>
      </w:r>
      <w:r w:rsidR="001A7D60" w:rsidRPr="00D51F9C">
        <w:rPr>
          <w:rFonts w:ascii="Arial" w:eastAsia="Times New Roman" w:hAnsi="Arial" w:cs="Arial"/>
          <w:lang w:val="es-ES_tradnl" w:eastAsia="es-MX"/>
        </w:rPr>
        <w:t xml:space="preserve"> </w:t>
      </w:r>
      <w:r w:rsidR="00926764" w:rsidRPr="00D51F9C">
        <w:rPr>
          <w:rFonts w:ascii="Arial" w:eastAsia="Times New Roman" w:hAnsi="Arial" w:cs="Arial"/>
          <w:lang w:val="es-ES_tradnl" w:eastAsia="es-MX"/>
        </w:rPr>
        <w:t xml:space="preserve">de la Ley 1150 de 2007, </w:t>
      </w:r>
      <w:r w:rsidR="002604E7" w:rsidRPr="00D51F9C">
        <w:rPr>
          <w:rFonts w:ascii="Arial" w:eastAsia="Times New Roman" w:hAnsi="Arial" w:cs="Arial"/>
          <w:lang w:val="es-ES_tradnl" w:eastAsia="es-MX"/>
        </w:rPr>
        <w:t>que</w:t>
      </w:r>
      <w:r w:rsidR="00926764" w:rsidRPr="00D51F9C">
        <w:rPr>
          <w:rFonts w:ascii="Arial" w:eastAsia="Times New Roman" w:hAnsi="Arial" w:cs="Arial"/>
          <w:lang w:val="es-ES_tradnl" w:eastAsia="es-MX"/>
        </w:rPr>
        <w:t xml:space="preserve"> </w:t>
      </w:r>
      <w:r w:rsidR="002604E7" w:rsidRPr="00D51F9C">
        <w:rPr>
          <w:rFonts w:ascii="Arial" w:eastAsia="Times New Roman" w:hAnsi="Arial" w:cs="Arial"/>
          <w:lang w:val="es-ES_tradnl" w:eastAsia="es-MX"/>
        </w:rPr>
        <w:t>prohíbe</w:t>
      </w:r>
      <w:r w:rsidR="00926764" w:rsidRPr="00D51F9C">
        <w:rPr>
          <w:rFonts w:ascii="Arial" w:eastAsia="Times New Roman" w:hAnsi="Arial" w:cs="Arial"/>
          <w:lang w:val="es-ES_tradnl" w:eastAsia="es-MX"/>
        </w:rPr>
        <w:t xml:space="preserve"> exigir certificaciones de sistemas de gestión de calidad como requisito habilitante. </w:t>
      </w:r>
    </w:p>
    <w:p w14:paraId="22A3A9A7" w14:textId="6A99F6B5" w:rsidR="00926764" w:rsidRPr="00D51F9C" w:rsidRDefault="00F536E9" w:rsidP="00951ECE">
      <w:pPr>
        <w:tabs>
          <w:tab w:val="left" w:pos="426"/>
        </w:tabs>
        <w:spacing w:before="120" w:after="0" w:line="276" w:lineRule="auto"/>
        <w:ind w:firstLine="709"/>
        <w:jc w:val="both"/>
        <w:rPr>
          <w:rFonts w:ascii="Arial" w:eastAsia="Times New Roman" w:hAnsi="Arial" w:cs="Arial"/>
          <w:lang w:val="es-ES_tradnl" w:eastAsia="es-MX"/>
        </w:rPr>
      </w:pPr>
      <w:bookmarkStart w:id="11" w:name="_Hlk99547936"/>
      <w:r w:rsidRPr="00D51F9C">
        <w:rPr>
          <w:rFonts w:ascii="Arial" w:eastAsia="Times New Roman" w:hAnsi="Arial" w:cs="Arial"/>
          <w:lang w:val="es-ES_tradnl" w:eastAsia="es-MX"/>
        </w:rPr>
        <w:t xml:space="preserve">En ese sentido, las </w:t>
      </w:r>
      <w:r w:rsidR="00C548DC" w:rsidRPr="00D51F9C">
        <w:rPr>
          <w:rFonts w:ascii="Arial" w:eastAsia="Times New Roman" w:hAnsi="Arial" w:cs="Arial"/>
          <w:lang w:val="es-ES_tradnl" w:eastAsia="es-MX"/>
        </w:rPr>
        <w:t>E</w:t>
      </w:r>
      <w:r w:rsidRPr="00D51F9C">
        <w:rPr>
          <w:rFonts w:ascii="Arial" w:eastAsia="Times New Roman" w:hAnsi="Arial" w:cs="Arial"/>
          <w:lang w:val="es-ES_tradnl" w:eastAsia="es-MX"/>
        </w:rPr>
        <w:t xml:space="preserve">ntidades </w:t>
      </w:r>
      <w:r w:rsidR="00C548DC" w:rsidRPr="00D51F9C">
        <w:rPr>
          <w:rFonts w:ascii="Arial" w:eastAsia="Times New Roman" w:hAnsi="Arial" w:cs="Arial"/>
          <w:lang w:val="es-ES_tradnl" w:eastAsia="es-MX"/>
        </w:rPr>
        <w:t>E</w:t>
      </w:r>
      <w:r w:rsidRPr="00D51F9C">
        <w:rPr>
          <w:rFonts w:ascii="Arial" w:eastAsia="Times New Roman" w:hAnsi="Arial" w:cs="Arial"/>
          <w:lang w:val="es-ES_tradnl" w:eastAsia="es-MX"/>
        </w:rPr>
        <w:t>statales</w:t>
      </w:r>
      <w:r w:rsidR="00E90800" w:rsidRPr="00D51F9C">
        <w:rPr>
          <w:rFonts w:ascii="Arial" w:eastAsia="Times New Roman" w:hAnsi="Arial" w:cs="Arial"/>
          <w:lang w:val="es-ES_tradnl" w:eastAsia="es-MX"/>
        </w:rPr>
        <w:t xml:space="preserve"> son </w:t>
      </w:r>
      <w:r w:rsidR="00752AFA" w:rsidRPr="00D51F9C">
        <w:rPr>
          <w:rFonts w:ascii="Arial" w:eastAsia="Times New Roman" w:hAnsi="Arial" w:cs="Arial"/>
          <w:lang w:val="es-ES_tradnl" w:eastAsia="es-MX"/>
        </w:rPr>
        <w:t xml:space="preserve">autónomas para definir los requisitos habilitantes, pero tal facultad debe ser </w:t>
      </w:r>
      <w:r w:rsidR="00574527" w:rsidRPr="00D51F9C">
        <w:rPr>
          <w:rFonts w:ascii="Arial" w:eastAsia="Times New Roman" w:hAnsi="Arial" w:cs="Arial"/>
          <w:lang w:val="es-ES_tradnl" w:eastAsia="es-MX"/>
        </w:rPr>
        <w:t>ejercida procuran</w:t>
      </w:r>
      <w:r w:rsidR="00DB2DED" w:rsidRPr="00D51F9C">
        <w:rPr>
          <w:rFonts w:ascii="Arial" w:eastAsia="Times New Roman" w:hAnsi="Arial" w:cs="Arial"/>
          <w:lang w:val="es-ES_tradnl" w:eastAsia="es-MX"/>
        </w:rPr>
        <w:t>do</w:t>
      </w:r>
      <w:r w:rsidR="00574527" w:rsidRPr="00D51F9C">
        <w:rPr>
          <w:rFonts w:ascii="Arial" w:eastAsia="Times New Roman" w:hAnsi="Arial" w:cs="Arial"/>
          <w:lang w:val="es-ES_tradnl" w:eastAsia="es-MX"/>
        </w:rPr>
        <w:t xml:space="preserve"> </w:t>
      </w:r>
      <w:r w:rsidRPr="00D51F9C">
        <w:rPr>
          <w:rFonts w:ascii="Arial" w:eastAsia="Times New Roman" w:hAnsi="Arial" w:cs="Arial"/>
          <w:lang w:val="es-ES_tradnl" w:eastAsia="es-MX"/>
        </w:rPr>
        <w:t xml:space="preserve">diseñar </w:t>
      </w:r>
      <w:r w:rsidR="003062C5" w:rsidRPr="00D51F9C">
        <w:rPr>
          <w:rFonts w:ascii="Arial" w:eastAsia="Times New Roman" w:hAnsi="Arial" w:cs="Arial"/>
          <w:lang w:val="es-ES_tradnl" w:eastAsia="es-MX"/>
        </w:rPr>
        <w:t>condiciones</w:t>
      </w:r>
      <w:r w:rsidRPr="00D51F9C">
        <w:rPr>
          <w:rFonts w:ascii="Arial" w:eastAsia="Times New Roman" w:hAnsi="Arial" w:cs="Arial"/>
          <w:lang w:val="es-ES_tradnl" w:eastAsia="es-MX"/>
        </w:rPr>
        <w:t xml:space="preserve"> habilitantes de manera objetiva</w:t>
      </w:r>
      <w:r w:rsidR="00EB6665" w:rsidRPr="00D51F9C">
        <w:rPr>
          <w:rFonts w:ascii="Arial" w:eastAsia="Times New Roman" w:hAnsi="Arial" w:cs="Arial"/>
          <w:lang w:val="es-ES_tradnl" w:eastAsia="es-MX"/>
        </w:rPr>
        <w:t xml:space="preserve">, </w:t>
      </w:r>
      <w:r w:rsidR="00FA2236" w:rsidRPr="00D51F9C">
        <w:rPr>
          <w:rFonts w:ascii="Arial" w:eastAsia="Times New Roman" w:hAnsi="Arial" w:cs="Arial"/>
          <w:lang w:val="es-ES_tradnl" w:eastAsia="es-MX"/>
        </w:rPr>
        <w:t xml:space="preserve">de </w:t>
      </w:r>
      <w:r w:rsidR="00A1741E" w:rsidRPr="00D51F9C">
        <w:rPr>
          <w:rFonts w:ascii="Arial" w:eastAsia="Times New Roman" w:hAnsi="Arial" w:cs="Arial"/>
          <w:lang w:val="es-ES_tradnl" w:eastAsia="es-MX"/>
        </w:rPr>
        <w:t>suerte</w:t>
      </w:r>
      <w:r w:rsidR="00FA2236" w:rsidRPr="00D51F9C">
        <w:rPr>
          <w:rFonts w:ascii="Arial" w:eastAsia="Times New Roman" w:hAnsi="Arial" w:cs="Arial"/>
          <w:lang w:val="es-ES_tradnl" w:eastAsia="es-MX"/>
        </w:rPr>
        <w:t xml:space="preserve"> que est</w:t>
      </w:r>
      <w:r w:rsidR="003062C5" w:rsidRPr="00D51F9C">
        <w:rPr>
          <w:rFonts w:ascii="Arial" w:eastAsia="Times New Roman" w:hAnsi="Arial" w:cs="Arial"/>
          <w:lang w:val="es-ES_tradnl" w:eastAsia="es-MX"/>
        </w:rPr>
        <w:t>a</w:t>
      </w:r>
      <w:r w:rsidR="00FA2236" w:rsidRPr="00D51F9C">
        <w:rPr>
          <w:rFonts w:ascii="Arial" w:eastAsia="Times New Roman" w:hAnsi="Arial" w:cs="Arial"/>
          <w:lang w:val="es-ES_tradnl" w:eastAsia="es-MX"/>
        </w:rPr>
        <w:t xml:space="preserve">s sirvan </w:t>
      </w:r>
      <w:r w:rsidR="00A1741E" w:rsidRPr="00D51F9C">
        <w:rPr>
          <w:rFonts w:ascii="Arial" w:eastAsia="Times New Roman" w:hAnsi="Arial" w:cs="Arial"/>
          <w:lang w:val="es-ES_tradnl" w:eastAsia="es-MX"/>
        </w:rPr>
        <w:t>para</w:t>
      </w:r>
      <w:r w:rsidR="00FA2236" w:rsidRPr="00D51F9C">
        <w:rPr>
          <w:rFonts w:ascii="Arial" w:eastAsia="Times New Roman" w:hAnsi="Arial" w:cs="Arial"/>
          <w:lang w:val="es-ES_tradnl" w:eastAsia="es-MX"/>
        </w:rPr>
        <w:t xml:space="preserve"> </w:t>
      </w:r>
      <w:r w:rsidR="00A1741E" w:rsidRPr="00D51F9C">
        <w:rPr>
          <w:rFonts w:ascii="Arial" w:eastAsia="Times New Roman" w:hAnsi="Arial" w:cs="Arial"/>
          <w:lang w:val="es-ES_tradnl" w:eastAsia="es-MX"/>
        </w:rPr>
        <w:t xml:space="preserve">determinar si </w:t>
      </w:r>
      <w:r w:rsidR="00FA2236" w:rsidRPr="00D51F9C">
        <w:rPr>
          <w:rFonts w:ascii="Arial" w:eastAsia="Times New Roman" w:hAnsi="Arial" w:cs="Arial"/>
          <w:lang w:val="es-ES_tradnl" w:eastAsia="es-MX"/>
        </w:rPr>
        <w:t>los p</w:t>
      </w:r>
      <w:r w:rsidR="00A1741E" w:rsidRPr="00D51F9C">
        <w:rPr>
          <w:rFonts w:ascii="Arial" w:eastAsia="Times New Roman" w:hAnsi="Arial" w:cs="Arial"/>
          <w:lang w:val="es-ES_tradnl" w:eastAsia="es-MX"/>
        </w:rPr>
        <w:t xml:space="preserve">articipantes del </w:t>
      </w:r>
      <w:r w:rsidR="00C548DC" w:rsidRPr="00D51F9C">
        <w:rPr>
          <w:rFonts w:ascii="Arial" w:eastAsia="Times New Roman" w:hAnsi="Arial" w:cs="Arial"/>
          <w:lang w:val="es-ES_tradnl" w:eastAsia="es-MX"/>
        </w:rPr>
        <w:t>P</w:t>
      </w:r>
      <w:r w:rsidR="00A1741E" w:rsidRPr="00D51F9C">
        <w:rPr>
          <w:rFonts w:ascii="Arial" w:eastAsia="Times New Roman" w:hAnsi="Arial" w:cs="Arial"/>
          <w:lang w:val="es-ES_tradnl" w:eastAsia="es-MX"/>
        </w:rPr>
        <w:t xml:space="preserve">roceso de </w:t>
      </w:r>
      <w:r w:rsidR="00C548DC" w:rsidRPr="00D51F9C">
        <w:rPr>
          <w:rFonts w:ascii="Arial" w:eastAsia="Times New Roman" w:hAnsi="Arial" w:cs="Arial"/>
          <w:lang w:val="es-ES_tradnl" w:eastAsia="es-MX"/>
        </w:rPr>
        <w:t>C</w:t>
      </w:r>
      <w:r w:rsidR="00A1741E" w:rsidRPr="00D51F9C">
        <w:rPr>
          <w:rFonts w:ascii="Arial" w:eastAsia="Times New Roman" w:hAnsi="Arial" w:cs="Arial"/>
          <w:lang w:val="es-ES_tradnl" w:eastAsia="es-MX"/>
        </w:rPr>
        <w:t>ontratación cuentan con las capacidades que los hacen aptos</w:t>
      </w:r>
      <w:r w:rsidR="00FA2236" w:rsidRPr="00D51F9C">
        <w:rPr>
          <w:rFonts w:ascii="Arial" w:eastAsia="Times New Roman" w:hAnsi="Arial" w:cs="Arial"/>
          <w:lang w:val="es-ES_tradnl" w:eastAsia="es-MX"/>
        </w:rPr>
        <w:t xml:space="preserve"> para </w:t>
      </w:r>
      <w:r w:rsidR="00A11773" w:rsidRPr="00D51F9C">
        <w:rPr>
          <w:rFonts w:ascii="Arial" w:eastAsia="Times New Roman" w:hAnsi="Arial" w:cs="Arial"/>
          <w:lang w:val="es-ES_tradnl" w:eastAsia="es-MX"/>
        </w:rPr>
        <w:t>ejecutar el objeto contractual</w:t>
      </w:r>
      <w:r w:rsidR="005E5CE2" w:rsidRPr="00D51F9C">
        <w:rPr>
          <w:rFonts w:ascii="Arial" w:eastAsia="Times New Roman" w:hAnsi="Arial" w:cs="Arial"/>
          <w:lang w:val="es-ES_tradnl" w:eastAsia="es-MX"/>
        </w:rPr>
        <w:t xml:space="preserve">. Para esto resulta indispensable que los requisitos establecidos por la entidad, además se fijen </w:t>
      </w:r>
      <w:r w:rsidR="007A035E" w:rsidRPr="00D51F9C">
        <w:rPr>
          <w:rFonts w:ascii="Arial" w:eastAsia="Times New Roman" w:hAnsi="Arial" w:cs="Arial"/>
          <w:lang w:val="es-ES_tradnl" w:eastAsia="es-MX"/>
        </w:rPr>
        <w:t xml:space="preserve">de manera </w:t>
      </w:r>
      <w:r w:rsidR="005E5CE2" w:rsidRPr="00D51F9C">
        <w:rPr>
          <w:rFonts w:ascii="Arial" w:eastAsia="Times New Roman" w:hAnsi="Arial" w:cs="Arial"/>
          <w:lang w:val="es-ES_tradnl" w:eastAsia="es-MX"/>
        </w:rPr>
        <w:t>adecuada</w:t>
      </w:r>
      <w:r w:rsidR="007A035E" w:rsidRPr="00D51F9C">
        <w:rPr>
          <w:rFonts w:ascii="Arial" w:eastAsia="Times New Roman" w:hAnsi="Arial" w:cs="Arial"/>
          <w:lang w:val="es-ES_tradnl" w:eastAsia="es-MX"/>
        </w:rPr>
        <w:t xml:space="preserve"> y proporcional a las </w:t>
      </w:r>
      <w:r w:rsidR="00A1741E" w:rsidRPr="00D51F9C">
        <w:rPr>
          <w:rFonts w:ascii="Arial" w:eastAsia="Times New Roman" w:hAnsi="Arial" w:cs="Arial"/>
          <w:lang w:val="es-ES_tradnl" w:eastAsia="es-MX"/>
        </w:rPr>
        <w:t xml:space="preserve">características del </w:t>
      </w:r>
      <w:r w:rsidR="007A035E" w:rsidRPr="00D51F9C">
        <w:rPr>
          <w:rFonts w:ascii="Arial" w:eastAsia="Times New Roman" w:hAnsi="Arial" w:cs="Arial"/>
          <w:lang w:val="es-ES_tradnl" w:eastAsia="es-MX"/>
        </w:rPr>
        <w:t xml:space="preserve">objeto ofertado, </w:t>
      </w:r>
      <w:r w:rsidR="003062C5" w:rsidRPr="00D51F9C">
        <w:rPr>
          <w:rFonts w:ascii="Arial" w:eastAsia="Times New Roman" w:hAnsi="Arial" w:cs="Arial"/>
          <w:lang w:val="es-ES_tradnl" w:eastAsia="es-MX"/>
        </w:rPr>
        <w:t xml:space="preserve">procurando </w:t>
      </w:r>
      <w:r w:rsidR="005E5CE2" w:rsidRPr="00D51F9C">
        <w:rPr>
          <w:rFonts w:ascii="Arial" w:eastAsia="Times New Roman" w:hAnsi="Arial" w:cs="Arial"/>
          <w:lang w:val="es-ES_tradnl" w:eastAsia="es-MX"/>
        </w:rPr>
        <w:t xml:space="preserve">además </w:t>
      </w:r>
      <w:r w:rsidR="00057838" w:rsidRPr="00D51F9C">
        <w:rPr>
          <w:rFonts w:ascii="Arial" w:eastAsia="Times New Roman" w:hAnsi="Arial" w:cs="Arial"/>
          <w:lang w:val="es-ES_tradnl" w:eastAsia="es-MX"/>
        </w:rPr>
        <w:t xml:space="preserve">ceñirse a la normativa que resulte aplicable. </w:t>
      </w:r>
    </w:p>
    <w:bookmarkEnd w:id="10"/>
    <w:bookmarkEnd w:id="11"/>
    <w:p w14:paraId="1305FDC9" w14:textId="77777777" w:rsidR="00845CC7" w:rsidRPr="00D51F9C" w:rsidRDefault="00845CC7" w:rsidP="00951ECE">
      <w:pPr>
        <w:spacing w:after="0" w:line="276" w:lineRule="auto"/>
        <w:ind w:firstLine="709"/>
        <w:contextualSpacing/>
        <w:jc w:val="both"/>
        <w:rPr>
          <w:rFonts w:ascii="Arial" w:eastAsia="Calibri" w:hAnsi="Arial" w:cs="Arial"/>
          <w:bCs/>
          <w:lang w:val="es-ES_tradnl" w:eastAsia="es-MX"/>
        </w:rPr>
      </w:pPr>
    </w:p>
    <w:p w14:paraId="3214CFBD" w14:textId="0F779BD7" w:rsidR="00926764" w:rsidRPr="00D51F9C" w:rsidRDefault="00845CC7" w:rsidP="00951ECE">
      <w:pPr>
        <w:spacing w:after="0" w:line="276" w:lineRule="auto"/>
        <w:contextualSpacing/>
        <w:jc w:val="both"/>
        <w:rPr>
          <w:rFonts w:ascii="Arial" w:eastAsia="Calibri" w:hAnsi="Arial" w:cs="Arial"/>
          <w:b/>
        </w:rPr>
      </w:pPr>
      <w:r w:rsidRPr="00D51F9C">
        <w:rPr>
          <w:rFonts w:ascii="Arial" w:eastAsia="Calibri" w:hAnsi="Arial" w:cs="Arial"/>
          <w:b/>
        </w:rPr>
        <w:t>2.</w:t>
      </w:r>
      <w:r w:rsidR="0071223B" w:rsidRPr="00D51F9C">
        <w:rPr>
          <w:rFonts w:ascii="Arial" w:eastAsia="Calibri" w:hAnsi="Arial" w:cs="Arial"/>
          <w:b/>
        </w:rPr>
        <w:t>3</w:t>
      </w:r>
      <w:r w:rsidR="00423EA7" w:rsidRPr="00D51F9C">
        <w:rPr>
          <w:rFonts w:ascii="Arial" w:eastAsia="Calibri" w:hAnsi="Arial" w:cs="Arial"/>
          <w:b/>
        </w:rPr>
        <w:t xml:space="preserve">. </w:t>
      </w:r>
      <w:r w:rsidR="00926764" w:rsidRPr="00D51F9C">
        <w:rPr>
          <w:rFonts w:ascii="Arial" w:eastAsia="Calibri" w:hAnsi="Arial" w:cs="Arial"/>
          <w:b/>
        </w:rPr>
        <w:t xml:space="preserve">Aproximación general al concepto de experiencia </w:t>
      </w:r>
      <w:r w:rsidR="0041174E" w:rsidRPr="00D51F9C">
        <w:rPr>
          <w:rFonts w:ascii="Arial" w:eastAsia="Calibri" w:hAnsi="Arial" w:cs="Arial"/>
          <w:b/>
        </w:rPr>
        <w:t>como requisito habilitante en</w:t>
      </w:r>
      <w:r w:rsidR="00926764" w:rsidRPr="00D51F9C">
        <w:rPr>
          <w:rFonts w:ascii="Arial" w:eastAsia="Calibri" w:hAnsi="Arial" w:cs="Arial"/>
          <w:b/>
        </w:rPr>
        <w:t xml:space="preserve"> la contratación pública</w:t>
      </w:r>
    </w:p>
    <w:p w14:paraId="71D2BA44" w14:textId="77777777" w:rsidR="00845CC7" w:rsidRPr="00D51F9C" w:rsidRDefault="00845CC7" w:rsidP="00951ECE">
      <w:pPr>
        <w:spacing w:after="0" w:line="276" w:lineRule="auto"/>
        <w:contextualSpacing/>
        <w:jc w:val="both"/>
        <w:rPr>
          <w:rFonts w:ascii="Arial" w:eastAsia="Calibri" w:hAnsi="Arial" w:cs="Arial"/>
        </w:rPr>
      </w:pPr>
    </w:p>
    <w:p w14:paraId="0E8A6807" w14:textId="11AED796" w:rsidR="00935414" w:rsidRPr="00D51F9C" w:rsidRDefault="00FE0DA3" w:rsidP="00951ECE">
      <w:pPr>
        <w:spacing w:after="120" w:line="276" w:lineRule="auto"/>
        <w:jc w:val="both"/>
        <w:rPr>
          <w:rFonts w:ascii="Arial" w:eastAsia="Calibri" w:hAnsi="Arial" w:cs="Arial"/>
        </w:rPr>
      </w:pPr>
      <w:bookmarkStart w:id="12" w:name="_Hlk99548082"/>
      <w:r w:rsidRPr="00D51F9C">
        <w:rPr>
          <w:rFonts w:ascii="Arial" w:eastAsia="Calibri" w:hAnsi="Arial" w:cs="Arial"/>
        </w:rPr>
        <w:t>D</w:t>
      </w:r>
      <w:r w:rsidR="00926764" w:rsidRPr="00D51F9C">
        <w:rPr>
          <w:rFonts w:ascii="Arial" w:eastAsia="Calibri" w:hAnsi="Arial" w:cs="Arial"/>
        </w:rPr>
        <w:t>entro de los requisitos habilitantes</w:t>
      </w:r>
      <w:r w:rsidRPr="00D51F9C">
        <w:rPr>
          <w:rFonts w:ascii="Arial" w:eastAsia="Calibri" w:hAnsi="Arial" w:cs="Arial"/>
        </w:rPr>
        <w:t xml:space="preserve"> establecidos por el artículo 5 de la Ley 1150 de 2007</w:t>
      </w:r>
      <w:r w:rsidR="00926764" w:rsidRPr="00D51F9C">
        <w:rPr>
          <w:rFonts w:ascii="Arial" w:eastAsia="Calibri" w:hAnsi="Arial" w:cs="Arial"/>
        </w:rPr>
        <w:t xml:space="preserve"> se destaca la </w:t>
      </w:r>
      <w:r w:rsidR="00926764" w:rsidRPr="00D51F9C">
        <w:rPr>
          <w:rFonts w:ascii="Arial" w:eastAsia="Calibri" w:hAnsi="Arial" w:cs="Arial"/>
          <w:i/>
          <w:iCs/>
        </w:rPr>
        <w:t>experiencia</w:t>
      </w:r>
      <w:r w:rsidR="002B34BE" w:rsidRPr="00D51F9C">
        <w:rPr>
          <w:rFonts w:ascii="Arial" w:eastAsia="Calibri" w:hAnsi="Arial" w:cs="Arial"/>
        </w:rPr>
        <w:t xml:space="preserve">. </w:t>
      </w:r>
      <w:r w:rsidR="00845CC7" w:rsidRPr="00D51F9C">
        <w:rPr>
          <w:rFonts w:ascii="Arial" w:eastAsia="Calibri" w:hAnsi="Arial" w:cs="Arial"/>
        </w:rPr>
        <w:t>E</w:t>
      </w:r>
      <w:r w:rsidR="00642F91" w:rsidRPr="00D51F9C">
        <w:rPr>
          <w:rFonts w:ascii="Arial" w:eastAsia="Calibri" w:hAnsi="Arial" w:cs="Arial"/>
        </w:rPr>
        <w:t>n e</w:t>
      </w:r>
      <w:r w:rsidR="00935414" w:rsidRPr="00D51F9C">
        <w:rPr>
          <w:rFonts w:ascii="Arial" w:eastAsia="Calibri" w:hAnsi="Arial" w:cs="Arial"/>
        </w:rPr>
        <w:t xml:space="preserve">l </w:t>
      </w:r>
      <w:r w:rsidR="00642F91" w:rsidRPr="00D51F9C">
        <w:rPr>
          <w:rFonts w:ascii="Arial" w:eastAsia="Calibri" w:hAnsi="Arial" w:cs="Arial"/>
          <w:i/>
          <w:iCs/>
        </w:rPr>
        <w:t>«</w:t>
      </w:r>
      <w:r w:rsidR="00935414" w:rsidRPr="00D51F9C">
        <w:rPr>
          <w:rFonts w:ascii="Arial" w:eastAsia="Calibri" w:hAnsi="Arial" w:cs="Arial"/>
          <w:i/>
          <w:iCs/>
        </w:rPr>
        <w:t>Manual para determinar y verificar requisitos habilitantes en los procesos de contratación</w:t>
      </w:r>
      <w:r w:rsidR="00642F91" w:rsidRPr="00D51F9C">
        <w:rPr>
          <w:rFonts w:ascii="Arial" w:eastAsia="Calibri" w:hAnsi="Arial" w:cs="Arial"/>
          <w:i/>
          <w:iCs/>
        </w:rPr>
        <w:t>»</w:t>
      </w:r>
      <w:r w:rsidR="00935414" w:rsidRPr="00D51F9C">
        <w:rPr>
          <w:rFonts w:ascii="Arial" w:eastAsia="Calibri" w:hAnsi="Arial" w:cs="Arial"/>
        </w:rPr>
        <w:t xml:space="preserve"> </w:t>
      </w:r>
      <w:r w:rsidR="00247C03" w:rsidRPr="00D51F9C">
        <w:rPr>
          <w:rFonts w:ascii="Arial" w:eastAsia="Calibri" w:hAnsi="Arial" w:cs="Arial"/>
        </w:rPr>
        <w:t>expedido por</w:t>
      </w:r>
      <w:r w:rsidR="00935414" w:rsidRPr="00D51F9C">
        <w:rPr>
          <w:rFonts w:ascii="Arial" w:eastAsia="Calibri" w:hAnsi="Arial" w:cs="Arial"/>
        </w:rPr>
        <w:t xml:space="preserve"> Colombia Compra Eficiente se </w:t>
      </w:r>
      <w:r w:rsidR="002B34BE" w:rsidRPr="00D51F9C">
        <w:rPr>
          <w:rFonts w:ascii="Arial" w:eastAsia="Calibri" w:hAnsi="Arial" w:cs="Arial"/>
        </w:rPr>
        <w:t>def</w:t>
      </w:r>
      <w:r w:rsidR="00B7462E" w:rsidRPr="00D51F9C">
        <w:rPr>
          <w:rFonts w:ascii="Arial" w:eastAsia="Calibri" w:hAnsi="Arial" w:cs="Arial"/>
        </w:rPr>
        <w:t>ine</w:t>
      </w:r>
      <w:r w:rsidR="00935414" w:rsidRPr="00D51F9C">
        <w:rPr>
          <w:rFonts w:ascii="Arial" w:eastAsia="Calibri" w:hAnsi="Arial" w:cs="Arial"/>
        </w:rPr>
        <w:t xml:space="preserve"> </w:t>
      </w:r>
      <w:r w:rsidR="00B7462E" w:rsidRPr="00D51F9C">
        <w:rPr>
          <w:rFonts w:ascii="Arial" w:eastAsia="Calibri" w:hAnsi="Arial" w:cs="Arial"/>
        </w:rPr>
        <w:t xml:space="preserve">a la </w:t>
      </w:r>
      <w:r w:rsidR="00935414" w:rsidRPr="00D51F9C">
        <w:rPr>
          <w:rFonts w:ascii="Arial" w:eastAsia="Calibri" w:hAnsi="Arial" w:cs="Arial"/>
        </w:rPr>
        <w:t xml:space="preserve">experiencia </w:t>
      </w:r>
      <w:r w:rsidR="00B7462E" w:rsidRPr="00D51F9C">
        <w:rPr>
          <w:rFonts w:ascii="Arial" w:eastAsia="Calibri" w:hAnsi="Arial" w:cs="Arial"/>
        </w:rPr>
        <w:t xml:space="preserve">como </w:t>
      </w:r>
      <w:r w:rsidR="00B7462E" w:rsidRPr="00D51F9C">
        <w:rPr>
          <w:rFonts w:ascii="Arial" w:eastAsia="Calibri" w:hAnsi="Arial" w:cs="Arial"/>
          <w:i/>
          <w:iCs/>
        </w:rPr>
        <w:t>«[…]</w:t>
      </w:r>
      <w:r w:rsidR="00935414" w:rsidRPr="00D51F9C">
        <w:rPr>
          <w:rFonts w:ascii="Arial" w:eastAsia="Calibri" w:hAnsi="Arial" w:cs="Arial"/>
          <w:i/>
          <w:iCs/>
        </w:rPr>
        <w:t xml:space="preserve"> el conocimiento del proponente derivado de su participación previa en actividades iguales o similares a las previstas en el objeto del contrato».</w:t>
      </w:r>
      <w:r w:rsidR="00935414" w:rsidRPr="00D51F9C">
        <w:rPr>
          <w:rFonts w:ascii="Arial" w:eastAsia="Calibri" w:hAnsi="Arial" w:cs="Arial"/>
        </w:rPr>
        <w:t xml:space="preserve"> </w:t>
      </w:r>
    </w:p>
    <w:p w14:paraId="14130DC0" w14:textId="43D30061" w:rsidR="00642F91" w:rsidRPr="00D51F9C" w:rsidRDefault="00935414" w:rsidP="00951ECE">
      <w:pPr>
        <w:spacing w:before="120" w:after="120" w:line="276" w:lineRule="auto"/>
        <w:ind w:firstLine="708"/>
        <w:jc w:val="both"/>
        <w:rPr>
          <w:rFonts w:ascii="Arial" w:eastAsia="Calibri" w:hAnsi="Arial" w:cs="Arial"/>
        </w:rPr>
      </w:pPr>
      <w:r w:rsidRPr="00D51F9C">
        <w:rPr>
          <w:rFonts w:ascii="Arial" w:eastAsia="Calibri" w:hAnsi="Arial" w:cs="Arial"/>
        </w:rPr>
        <w:t xml:space="preserve">Precisamente, de la experiencia se deriva el conocimiento del proponente, </w:t>
      </w:r>
      <w:r w:rsidR="00060D73" w:rsidRPr="00D51F9C">
        <w:rPr>
          <w:rFonts w:ascii="Arial" w:eastAsia="Calibri" w:hAnsi="Arial" w:cs="Arial"/>
        </w:rPr>
        <w:t>el cual en el marco de</w:t>
      </w:r>
      <w:r w:rsidRPr="00D51F9C">
        <w:rPr>
          <w:rFonts w:ascii="Arial" w:eastAsia="Calibri" w:hAnsi="Arial" w:cs="Arial"/>
        </w:rPr>
        <w:t xml:space="preserve"> la contratación pública </w:t>
      </w:r>
      <w:r w:rsidR="00060D73" w:rsidRPr="00D51F9C">
        <w:rPr>
          <w:rFonts w:ascii="Arial" w:eastAsia="Calibri" w:hAnsi="Arial" w:cs="Arial"/>
        </w:rPr>
        <w:t>se reviste de particular</w:t>
      </w:r>
      <w:r w:rsidRPr="00D51F9C">
        <w:rPr>
          <w:rFonts w:ascii="Arial" w:eastAsia="Calibri" w:hAnsi="Arial" w:cs="Arial"/>
        </w:rPr>
        <w:t xml:space="preserve"> importan</w:t>
      </w:r>
      <w:r w:rsidR="00060D73" w:rsidRPr="00D51F9C">
        <w:rPr>
          <w:rFonts w:ascii="Arial" w:eastAsia="Calibri" w:hAnsi="Arial" w:cs="Arial"/>
        </w:rPr>
        <w:t>cia</w:t>
      </w:r>
      <w:r w:rsidRPr="00D51F9C">
        <w:rPr>
          <w:rFonts w:ascii="Arial" w:eastAsia="Calibri" w:hAnsi="Arial" w:cs="Arial"/>
        </w:rPr>
        <w:t xml:space="preserve">, </w:t>
      </w:r>
      <w:r w:rsidR="00060D73" w:rsidRPr="00D51F9C">
        <w:rPr>
          <w:rFonts w:ascii="Arial" w:eastAsia="Calibri" w:hAnsi="Arial" w:cs="Arial"/>
        </w:rPr>
        <w:t>en la medida</w:t>
      </w:r>
      <w:r w:rsidR="00D175C9" w:rsidRPr="00D51F9C">
        <w:rPr>
          <w:rFonts w:ascii="Arial" w:eastAsia="Calibri" w:hAnsi="Arial" w:cs="Arial"/>
        </w:rPr>
        <w:t xml:space="preserve"> en que </w:t>
      </w:r>
      <w:r w:rsidRPr="00D51F9C">
        <w:rPr>
          <w:rFonts w:ascii="Arial" w:eastAsia="Calibri" w:hAnsi="Arial" w:cs="Arial"/>
        </w:rPr>
        <w:t>garantiza</w:t>
      </w:r>
      <w:r w:rsidR="0015148E" w:rsidRPr="00D51F9C">
        <w:rPr>
          <w:rFonts w:ascii="Arial" w:eastAsia="Calibri" w:hAnsi="Arial" w:cs="Arial"/>
        </w:rPr>
        <w:t xml:space="preserve"> en cierto grado</w:t>
      </w:r>
      <w:r w:rsidRPr="00D51F9C">
        <w:rPr>
          <w:rFonts w:ascii="Arial" w:eastAsia="Calibri" w:hAnsi="Arial" w:cs="Arial"/>
        </w:rPr>
        <w:t xml:space="preserve"> que no habrá improvisación ni mayores costos por errores o dificultades originadas en realizar una actividad por primera vez. </w:t>
      </w:r>
      <w:bookmarkEnd w:id="12"/>
      <w:r w:rsidRPr="00D51F9C">
        <w:rPr>
          <w:rFonts w:ascii="Arial" w:eastAsia="Calibri" w:hAnsi="Arial" w:cs="Arial"/>
        </w:rPr>
        <w:t>Adicionalmente, el Manual explica que la experiencia puede obtenerse directamente o por participar asociado con otra persona, como es el caso de los proponentes plurales, en cuyo evento la experiencia no deja de ser personal</w:t>
      </w:r>
      <w:r w:rsidR="00642F91" w:rsidRPr="00D51F9C">
        <w:rPr>
          <w:rFonts w:ascii="Arial" w:eastAsia="Calibri" w:hAnsi="Arial" w:cs="Arial"/>
        </w:rPr>
        <w:t>,</w:t>
      </w:r>
      <w:r w:rsidRPr="00D51F9C">
        <w:rPr>
          <w:rFonts w:ascii="Arial" w:eastAsia="Calibri" w:hAnsi="Arial" w:cs="Arial"/>
        </w:rPr>
        <w:t xml:space="preserve"> sino que es proporcional a la participación como miembro de un </w:t>
      </w:r>
      <w:r w:rsidRPr="00D51F9C">
        <w:rPr>
          <w:rFonts w:ascii="Arial" w:eastAsia="Calibri" w:hAnsi="Arial" w:cs="Arial"/>
        </w:rPr>
        <w:lastRenderedPageBreak/>
        <w:t xml:space="preserve">consorcio o unión temporal, evento en el cual, por tratarse de esquemas asociativos, la experiencia es compartida. </w:t>
      </w:r>
    </w:p>
    <w:p w14:paraId="6D1C79BC" w14:textId="28DF0CD1" w:rsidR="003C22CA" w:rsidRPr="00D51F9C" w:rsidRDefault="007E4D12" w:rsidP="00951ECE">
      <w:pPr>
        <w:spacing w:before="120" w:after="120" w:line="276" w:lineRule="auto"/>
        <w:ind w:firstLine="708"/>
        <w:jc w:val="both"/>
        <w:rPr>
          <w:rFonts w:ascii="Arial" w:eastAsia="Calibri" w:hAnsi="Arial" w:cs="Arial"/>
        </w:rPr>
      </w:pPr>
      <w:r w:rsidRPr="00D51F9C">
        <w:rPr>
          <w:rFonts w:ascii="Arial" w:eastAsia="Calibri" w:hAnsi="Arial" w:cs="Arial"/>
        </w:rPr>
        <w:t>Conforme se viene explicando, l</w:t>
      </w:r>
      <w:r w:rsidR="003C22CA" w:rsidRPr="00D51F9C">
        <w:rPr>
          <w:rFonts w:ascii="Arial" w:eastAsia="Calibri" w:hAnsi="Arial" w:cs="Arial"/>
        </w:rPr>
        <w:t>as entidades contratantes, como responsables de la estructuración de los procedimientos de contratación, son autónoma</w:t>
      </w:r>
      <w:r w:rsidR="00DD088A" w:rsidRPr="00D51F9C">
        <w:rPr>
          <w:rFonts w:ascii="Arial" w:eastAsia="Calibri" w:hAnsi="Arial" w:cs="Arial"/>
        </w:rPr>
        <w:t>s</w:t>
      </w:r>
      <w:r w:rsidR="003C22CA" w:rsidRPr="00D51F9C">
        <w:rPr>
          <w:rFonts w:ascii="Arial" w:eastAsia="Calibri" w:hAnsi="Arial" w:cs="Arial"/>
        </w:rPr>
        <w:t xml:space="preserve"> para establecer los</w:t>
      </w:r>
      <w:r w:rsidR="002E14CC" w:rsidRPr="00D51F9C">
        <w:rPr>
          <w:rFonts w:ascii="Arial" w:eastAsia="Calibri" w:hAnsi="Arial" w:cs="Arial"/>
        </w:rPr>
        <w:t xml:space="preserve"> requisitos habilitantes </w:t>
      </w:r>
      <w:r w:rsidR="00472B61" w:rsidRPr="00D51F9C">
        <w:rPr>
          <w:rFonts w:ascii="Arial" w:eastAsia="Calibri" w:hAnsi="Arial" w:cs="Arial"/>
        </w:rPr>
        <w:t>cuya exigencia</w:t>
      </w:r>
      <w:r w:rsidR="00E50FFA" w:rsidRPr="00D51F9C">
        <w:rPr>
          <w:rFonts w:ascii="Arial" w:eastAsia="Calibri" w:hAnsi="Arial" w:cs="Arial"/>
        </w:rPr>
        <w:t xml:space="preserve"> estiman </w:t>
      </w:r>
      <w:r w:rsidR="003C22CA" w:rsidRPr="00D51F9C">
        <w:rPr>
          <w:rFonts w:ascii="Arial" w:eastAsia="Calibri" w:hAnsi="Arial" w:cs="Arial"/>
        </w:rPr>
        <w:t>necesari</w:t>
      </w:r>
      <w:r w:rsidR="00472B61" w:rsidRPr="00D51F9C">
        <w:rPr>
          <w:rFonts w:ascii="Arial" w:eastAsia="Calibri" w:hAnsi="Arial" w:cs="Arial"/>
        </w:rPr>
        <w:t>a</w:t>
      </w:r>
      <w:r w:rsidR="003C22CA" w:rsidRPr="00D51F9C">
        <w:rPr>
          <w:rFonts w:ascii="Arial" w:eastAsia="Calibri" w:hAnsi="Arial" w:cs="Arial"/>
        </w:rPr>
        <w:t xml:space="preserve"> para </w:t>
      </w:r>
      <w:r w:rsidR="006F7F78" w:rsidRPr="00D51F9C">
        <w:rPr>
          <w:rFonts w:ascii="Arial" w:eastAsia="Calibri" w:hAnsi="Arial" w:cs="Arial"/>
        </w:rPr>
        <w:t>garantizar la aptitud de los participantes, entre estos por requerimientos por su supuesto se encuentra el de experiencia</w:t>
      </w:r>
      <w:r w:rsidR="00A13487" w:rsidRPr="00D51F9C">
        <w:rPr>
          <w:rFonts w:ascii="Arial" w:eastAsia="Calibri" w:hAnsi="Arial" w:cs="Arial"/>
        </w:rPr>
        <w:t xml:space="preserve">. </w:t>
      </w:r>
      <w:r w:rsidR="00CB5EC5" w:rsidRPr="00D51F9C">
        <w:rPr>
          <w:rFonts w:ascii="Arial" w:eastAsia="Calibri" w:hAnsi="Arial" w:cs="Arial"/>
        </w:rPr>
        <w:t>No obstante, el</w:t>
      </w:r>
      <w:r w:rsidR="003C22CA" w:rsidRPr="00D51F9C">
        <w:rPr>
          <w:rFonts w:ascii="Arial" w:eastAsia="Calibri" w:hAnsi="Arial" w:cs="Arial"/>
        </w:rPr>
        <w:t xml:space="preserve"> artículo 2.2.1.1.1.6.2. del Decreto 1082 de 2015 </w:t>
      </w:r>
      <w:r w:rsidR="00CB5EC5" w:rsidRPr="00D51F9C">
        <w:rPr>
          <w:rFonts w:ascii="Arial" w:eastAsia="Calibri" w:hAnsi="Arial" w:cs="Arial"/>
        </w:rPr>
        <w:t>resulta aplicable</w:t>
      </w:r>
      <w:r w:rsidR="003C22CA" w:rsidRPr="00D51F9C">
        <w:rPr>
          <w:rFonts w:ascii="Arial" w:eastAsia="Calibri" w:hAnsi="Arial" w:cs="Arial"/>
        </w:rPr>
        <w:t xml:space="preserve"> al momento establecer los requisitos de experiencia</w:t>
      </w:r>
      <w:r w:rsidR="005421BB" w:rsidRPr="00D51F9C">
        <w:rPr>
          <w:rFonts w:ascii="Arial" w:eastAsia="Calibri" w:hAnsi="Arial" w:cs="Arial"/>
        </w:rPr>
        <w:t xml:space="preserve">, </w:t>
      </w:r>
      <w:r w:rsidR="009D389B" w:rsidRPr="00D51F9C">
        <w:rPr>
          <w:rFonts w:ascii="Arial" w:eastAsia="Calibri" w:hAnsi="Arial" w:cs="Arial"/>
        </w:rPr>
        <w:t xml:space="preserve">por </w:t>
      </w:r>
      <w:r w:rsidR="00A26A5D" w:rsidRPr="00D51F9C">
        <w:rPr>
          <w:rFonts w:ascii="Arial" w:eastAsia="Calibri" w:hAnsi="Arial" w:cs="Arial"/>
        </w:rPr>
        <w:t xml:space="preserve">lo que </w:t>
      </w:r>
      <w:r w:rsidR="003C22CA" w:rsidRPr="00D51F9C">
        <w:rPr>
          <w:rFonts w:ascii="Arial" w:eastAsia="Calibri" w:hAnsi="Arial" w:cs="Arial"/>
        </w:rPr>
        <w:t>debe</w:t>
      </w:r>
      <w:r w:rsidR="001A33E8" w:rsidRPr="00D51F9C">
        <w:rPr>
          <w:rFonts w:ascii="Arial" w:eastAsia="Calibri" w:hAnsi="Arial" w:cs="Arial"/>
        </w:rPr>
        <w:t>n</w:t>
      </w:r>
      <w:r w:rsidR="003C22CA" w:rsidRPr="00D51F9C">
        <w:rPr>
          <w:rFonts w:ascii="Arial" w:eastAsia="Calibri" w:hAnsi="Arial" w:cs="Arial"/>
        </w:rPr>
        <w:t xml:space="preserve"> tener en cuenta</w:t>
      </w:r>
      <w:r w:rsidR="001A33E8" w:rsidRPr="00D51F9C">
        <w:rPr>
          <w:rFonts w:ascii="Arial" w:eastAsia="Calibri" w:hAnsi="Arial" w:cs="Arial"/>
        </w:rPr>
        <w:t xml:space="preserve"> aspectos como</w:t>
      </w:r>
      <w:r w:rsidR="003C22CA" w:rsidRPr="00D51F9C">
        <w:rPr>
          <w:rFonts w:ascii="Arial" w:eastAsia="Calibri" w:hAnsi="Arial" w:cs="Arial"/>
        </w:rPr>
        <w:t xml:space="preserve"> el estudio del sector y sus componentes, la identificación de riesgos, así como el mercado y precio del bien, obra o servicio a contratar, dentro de los </w:t>
      </w:r>
      <w:r w:rsidR="00A13487" w:rsidRPr="00D51F9C">
        <w:rPr>
          <w:rFonts w:ascii="Arial" w:eastAsia="Calibri" w:hAnsi="Arial" w:cs="Arial"/>
        </w:rPr>
        <w:t>límites</w:t>
      </w:r>
      <w:r w:rsidR="003C22CA" w:rsidRPr="00D51F9C">
        <w:rPr>
          <w:rFonts w:ascii="Arial" w:eastAsia="Calibri" w:hAnsi="Arial" w:cs="Arial"/>
        </w:rPr>
        <w:t xml:space="preserve"> que le impone el principio de proporcionalidad. </w:t>
      </w:r>
    </w:p>
    <w:p w14:paraId="5D01B23B" w14:textId="10C2579E" w:rsidR="00935414" w:rsidRPr="00D51F9C" w:rsidRDefault="00935414" w:rsidP="00951ECE">
      <w:pPr>
        <w:spacing w:before="120" w:after="120" w:line="276" w:lineRule="auto"/>
        <w:ind w:firstLine="708"/>
        <w:jc w:val="both"/>
        <w:rPr>
          <w:rFonts w:ascii="Arial" w:eastAsia="Calibri" w:hAnsi="Arial" w:cs="Arial"/>
        </w:rPr>
      </w:pPr>
      <w:r w:rsidRPr="00D51F9C">
        <w:rPr>
          <w:rFonts w:ascii="Arial" w:eastAsia="Calibri" w:hAnsi="Arial" w:cs="Arial"/>
          <w:b/>
          <w:bCs/>
        </w:rPr>
        <w:t xml:space="preserve">Por otra parte, la Agencia recomienda que la experiencia que se solicite sea proporcional y no igual al objeto que se va a contratar, </w:t>
      </w:r>
      <w:r w:rsidRPr="00D51F9C">
        <w:rPr>
          <w:rFonts w:ascii="Arial" w:eastAsia="Calibri" w:hAnsi="Arial" w:cs="Arial"/>
        </w:rPr>
        <w:t xml:space="preserve">ya que esto puede limitar la participación de los proveedores, por no haber ejecutado un objeto igual pero sí similar, que puede funcionar para las exigencias de la entidad ayudando a que exista pluralidad de oferentes. </w:t>
      </w:r>
      <w:bookmarkStart w:id="13" w:name="_Hlk86133842"/>
      <w:r w:rsidRPr="00D51F9C">
        <w:rPr>
          <w:rFonts w:ascii="Arial" w:eastAsia="Calibri" w:hAnsi="Arial" w:cs="Arial"/>
        </w:rPr>
        <w:t xml:space="preserve">De no ser así, se limitaría injustificadamente la participación de los proveedores que han ejecutado contratos no iguales, pero sí similares, y que pueden aportar trayectoria para satisfacer las exigencias de la entidad, ayudando a que exista pluralidad de oferentes. </w:t>
      </w:r>
      <w:bookmarkEnd w:id="13"/>
      <w:r w:rsidRPr="00D51F9C">
        <w:rPr>
          <w:rFonts w:ascii="Arial" w:eastAsia="Calibri" w:hAnsi="Arial" w:cs="Arial"/>
        </w:rPr>
        <w:t xml:space="preserve">Así, en el </w:t>
      </w:r>
      <w:r w:rsidRPr="00D51F9C">
        <w:rPr>
          <w:rFonts w:ascii="Arial" w:eastAsia="Calibri" w:hAnsi="Arial" w:cs="Arial"/>
          <w:i/>
          <w:iCs/>
        </w:rPr>
        <w:t>«Manual para determinar y verificar los requisitos habilitantes en los procesos de contratación»,</w:t>
      </w:r>
      <w:r w:rsidRPr="00D51F9C">
        <w:rPr>
          <w:rFonts w:ascii="Arial" w:eastAsia="Calibri" w:hAnsi="Arial" w:cs="Arial"/>
        </w:rPr>
        <w:t xml:space="preserve"> se ejemplifica la forma en la que la experiencia exigida puede ser proporcional al objeto a contratar: </w:t>
      </w:r>
    </w:p>
    <w:p w14:paraId="251F6863" w14:textId="04A47AA4" w:rsidR="00935414" w:rsidRPr="00D51F9C" w:rsidRDefault="00935414" w:rsidP="00D51F9C">
      <w:pPr>
        <w:spacing w:after="0" w:line="276" w:lineRule="auto"/>
        <w:ind w:left="709" w:right="709"/>
        <w:contextualSpacing/>
        <w:jc w:val="both"/>
        <w:rPr>
          <w:rFonts w:ascii="Arial" w:eastAsia="Calibri" w:hAnsi="Arial" w:cs="Arial"/>
          <w:sz w:val="21"/>
          <w:szCs w:val="21"/>
        </w:rPr>
      </w:pPr>
      <w:r w:rsidRPr="00D51F9C">
        <w:rPr>
          <w:rFonts w:ascii="Arial" w:eastAsia="Calibri" w:hAnsi="Arial" w:cs="Arial"/>
          <w:sz w:val="21"/>
          <w:szCs w:val="21"/>
        </w:rPr>
        <w:t xml:space="preserve">Por ejemplo, en un Proceso de Contratación de obra pública con un presupuesto oficial de 100 SMMLV, la experiencia exigida es proporcional si la Entidad Estatal exige que los proponentes hayan participado en Procesos de Contratación de 50 SMMLV del mismo tipo de obra.  </w:t>
      </w:r>
    </w:p>
    <w:p w14:paraId="35018786" w14:textId="77777777" w:rsidR="00642F91" w:rsidRPr="00D51F9C" w:rsidRDefault="00642F91" w:rsidP="00D51F9C">
      <w:pPr>
        <w:spacing w:after="0" w:line="276" w:lineRule="auto"/>
        <w:ind w:left="709" w:right="709"/>
        <w:contextualSpacing/>
        <w:jc w:val="both"/>
        <w:rPr>
          <w:rFonts w:ascii="Arial" w:eastAsia="Calibri" w:hAnsi="Arial" w:cs="Arial"/>
          <w:sz w:val="21"/>
          <w:szCs w:val="21"/>
        </w:rPr>
      </w:pPr>
    </w:p>
    <w:p w14:paraId="305A367F" w14:textId="4F54AAFA" w:rsidR="00935414" w:rsidRPr="00D51F9C" w:rsidRDefault="00935414" w:rsidP="00951ECE">
      <w:pPr>
        <w:spacing w:after="0" w:line="276" w:lineRule="auto"/>
        <w:ind w:firstLine="708"/>
        <w:jc w:val="both"/>
        <w:rPr>
          <w:rFonts w:ascii="Arial" w:eastAsia="Calibri" w:hAnsi="Arial" w:cs="Arial"/>
        </w:rPr>
      </w:pPr>
      <w:r w:rsidRPr="00D51F9C">
        <w:rPr>
          <w:rFonts w:ascii="Arial" w:eastAsia="Calibri" w:hAnsi="Arial" w:cs="Arial"/>
        </w:rPr>
        <w:t>Como se observa de dicho ejemplo, si bien la experiencia exigida no es exactamente la misma del proyecto a contratar –</w:t>
      </w:r>
      <w:bookmarkStart w:id="14" w:name="_Hlk86133942"/>
      <w:r w:rsidRPr="00D51F9C">
        <w:rPr>
          <w:rFonts w:ascii="Arial" w:eastAsia="Calibri" w:hAnsi="Arial" w:cs="Arial"/>
        </w:rPr>
        <w:t>pues la cuantía que se solicita es inferior a la del contrato a celebrar</w:t>
      </w:r>
      <w:bookmarkEnd w:id="14"/>
      <w:r w:rsidRPr="00D51F9C">
        <w:rPr>
          <w:rFonts w:ascii="Arial" w:eastAsia="Calibri" w:hAnsi="Arial" w:cs="Arial"/>
        </w:rPr>
        <w:t xml:space="preserve">–, se permite que los proponentes puedan acreditar experiencia por la ejecución de contratos que certifiquen un valor de 50 SMMLV del mismo tipo de </w:t>
      </w:r>
      <w:r w:rsidR="00EB1C1D" w:rsidRPr="00D51F9C">
        <w:rPr>
          <w:rFonts w:ascii="Arial" w:eastAsia="Calibri" w:hAnsi="Arial" w:cs="Arial"/>
        </w:rPr>
        <w:t xml:space="preserve">obra. Así las cosas, </w:t>
      </w:r>
      <w:bookmarkStart w:id="15" w:name="_Hlk86155584"/>
      <w:r w:rsidR="00A1212D">
        <w:rPr>
          <w:rFonts w:ascii="Arial" w:eastAsia="Calibri" w:hAnsi="Arial" w:cs="Arial"/>
        </w:rPr>
        <w:t>e</w:t>
      </w:r>
      <w:r w:rsidRPr="00D51F9C">
        <w:rPr>
          <w:rFonts w:ascii="Arial" w:eastAsia="Calibri" w:hAnsi="Arial" w:cs="Arial"/>
        </w:rPr>
        <w:t xml:space="preserve">s necesario aclarar que la proporcionalidad de la experiencia exigida la determina la </w:t>
      </w:r>
      <w:r w:rsidR="00C548DC" w:rsidRPr="00D51F9C">
        <w:rPr>
          <w:rFonts w:ascii="Arial" w:eastAsia="Calibri" w:hAnsi="Arial" w:cs="Arial"/>
        </w:rPr>
        <w:t>Entidad Estatal</w:t>
      </w:r>
      <w:r w:rsidRPr="00D51F9C">
        <w:rPr>
          <w:rFonts w:ascii="Arial" w:eastAsia="Calibri" w:hAnsi="Arial" w:cs="Arial"/>
        </w:rPr>
        <w:t xml:space="preserve"> de manera autónoma, con posterioridad al análisis del alcance, la cuantía y complejidad del contrato a celebrar. </w:t>
      </w:r>
      <w:bookmarkEnd w:id="15"/>
    </w:p>
    <w:p w14:paraId="08AE41E2" w14:textId="77777777" w:rsidR="0041174E" w:rsidRPr="00D51F9C" w:rsidRDefault="0041174E" w:rsidP="00951ECE">
      <w:pPr>
        <w:spacing w:after="0" w:line="276" w:lineRule="auto"/>
        <w:contextualSpacing/>
        <w:jc w:val="both"/>
        <w:rPr>
          <w:rFonts w:ascii="Arial" w:eastAsia="Calibri" w:hAnsi="Arial" w:cs="Arial"/>
          <w:b/>
        </w:rPr>
      </w:pPr>
    </w:p>
    <w:p w14:paraId="3D71AF02" w14:textId="35FA53A6" w:rsidR="0071223B" w:rsidRPr="00D51F9C" w:rsidRDefault="0071223B" w:rsidP="00951ECE">
      <w:pPr>
        <w:spacing w:line="276" w:lineRule="auto"/>
        <w:jc w:val="both"/>
        <w:textAlignment w:val="baseline"/>
        <w:rPr>
          <w:rFonts w:ascii="Arial" w:eastAsia="Times New Roman" w:hAnsi="Arial" w:cs="Arial"/>
          <w:sz w:val="18"/>
          <w:szCs w:val="18"/>
          <w:lang w:eastAsia="es-CO"/>
        </w:rPr>
      </w:pPr>
      <w:bookmarkStart w:id="16" w:name="_Hlk99548433"/>
      <w:r w:rsidRPr="00D51F9C">
        <w:rPr>
          <w:rFonts w:ascii="Arial" w:eastAsia="Times New Roman" w:hAnsi="Arial" w:cs="Arial"/>
          <w:b/>
          <w:bCs/>
          <w:lang w:val="es-ES" w:eastAsia="es-CO"/>
        </w:rPr>
        <w:t xml:space="preserve">2.4. Requisitos habilitantes diferenciales para emprendimientos y empresas de mujeres y </w:t>
      </w:r>
      <w:r w:rsidR="00C548DC" w:rsidRPr="00D51F9C">
        <w:rPr>
          <w:rFonts w:ascii="Arial" w:eastAsia="Times New Roman" w:hAnsi="Arial" w:cs="Arial"/>
          <w:b/>
          <w:bCs/>
          <w:lang w:val="es-ES" w:eastAsia="es-CO"/>
        </w:rPr>
        <w:t>MiPymes</w:t>
      </w:r>
      <w:r w:rsidRPr="00D51F9C">
        <w:rPr>
          <w:rFonts w:ascii="Arial" w:eastAsia="Times New Roman" w:hAnsi="Arial" w:cs="Arial"/>
          <w:b/>
          <w:bCs/>
          <w:lang w:val="es-ES" w:eastAsia="es-CO"/>
        </w:rPr>
        <w:t xml:space="preserve"> en el Decreto 1860 de 2021 </w:t>
      </w:r>
      <w:r w:rsidRPr="00D51F9C">
        <w:rPr>
          <w:rFonts w:ascii="Arial" w:eastAsia="Times New Roman" w:hAnsi="Arial" w:cs="Arial"/>
          <w:lang w:eastAsia="es-CO"/>
        </w:rPr>
        <w:t> </w:t>
      </w:r>
    </w:p>
    <w:p w14:paraId="21C96B4A" w14:textId="2F5C6265" w:rsidR="0071223B" w:rsidRPr="00D51F9C" w:rsidRDefault="00F20807" w:rsidP="00951ECE">
      <w:pPr>
        <w:spacing w:line="276" w:lineRule="auto"/>
        <w:jc w:val="both"/>
        <w:textAlignment w:val="baseline"/>
        <w:rPr>
          <w:rFonts w:ascii="Arial" w:eastAsia="Times New Roman" w:hAnsi="Arial" w:cs="Arial"/>
          <w:sz w:val="18"/>
          <w:szCs w:val="18"/>
          <w:lang w:eastAsia="es-CO"/>
        </w:rPr>
      </w:pPr>
      <w:r w:rsidRPr="00D51F9C">
        <w:rPr>
          <w:rFonts w:ascii="Arial" w:eastAsia="Times New Roman" w:hAnsi="Arial" w:cs="Arial"/>
          <w:lang w:val="es-ES" w:eastAsia="es-CO"/>
        </w:rPr>
        <w:lastRenderedPageBreak/>
        <w:t xml:space="preserve">Conforme a todas las consideraciones expuestas </w:t>
      </w:r>
      <w:r w:rsidRPr="00D51F9C">
        <w:rPr>
          <w:rFonts w:ascii="Arial" w:eastAsia="Times New Roman" w:hAnsi="Arial" w:cs="Arial"/>
          <w:iCs/>
          <w:lang w:val="es-ES" w:eastAsia="es-CO"/>
        </w:rPr>
        <w:t>en los acápites anteriores,</w:t>
      </w:r>
      <w:r w:rsidRPr="00D51F9C">
        <w:rPr>
          <w:rFonts w:ascii="Arial" w:eastAsia="Times New Roman" w:hAnsi="Arial" w:cs="Arial"/>
          <w:lang w:val="es-ES" w:eastAsia="es-CO"/>
        </w:rPr>
        <w:t xml:space="preserve"> con relación a l</w:t>
      </w:r>
      <w:r w:rsidR="0071223B" w:rsidRPr="00D51F9C">
        <w:rPr>
          <w:rFonts w:ascii="Arial" w:eastAsia="Times New Roman" w:hAnsi="Arial" w:cs="Arial"/>
          <w:lang w:val="es-ES" w:eastAsia="es-CO"/>
        </w:rPr>
        <w:t xml:space="preserve">os </w:t>
      </w:r>
      <w:r w:rsidR="0071223B" w:rsidRPr="00D51F9C">
        <w:rPr>
          <w:rFonts w:ascii="Arial" w:eastAsia="Times New Roman" w:hAnsi="Arial" w:cs="Arial"/>
          <w:i/>
          <w:iCs/>
          <w:lang w:val="es-ES" w:eastAsia="es-CO"/>
        </w:rPr>
        <w:t>requisitos habilitantes</w:t>
      </w:r>
      <w:r w:rsidRPr="00D51F9C">
        <w:rPr>
          <w:rFonts w:ascii="Arial" w:eastAsia="Times New Roman" w:hAnsi="Arial" w:cs="Arial"/>
          <w:i/>
          <w:iCs/>
          <w:lang w:val="es-ES" w:eastAsia="es-CO"/>
        </w:rPr>
        <w:t xml:space="preserve">, </w:t>
      </w:r>
      <w:r w:rsidRPr="00D51F9C">
        <w:rPr>
          <w:rFonts w:ascii="Arial" w:eastAsia="Times New Roman" w:hAnsi="Arial" w:cs="Arial"/>
          <w:iCs/>
          <w:lang w:val="es-ES" w:eastAsia="es-CO"/>
        </w:rPr>
        <w:t xml:space="preserve">así como frente a los </w:t>
      </w:r>
      <w:r w:rsidRPr="00D51F9C">
        <w:rPr>
          <w:rFonts w:ascii="Arial" w:eastAsia="Times New Roman" w:hAnsi="Arial" w:cs="Arial"/>
          <w:lang w:eastAsia="es-CO"/>
        </w:rPr>
        <w:t xml:space="preserve">incentivos para las personas interesadas en celebrar contratos con el Estado, especialmente, criterios diferenciales para el acceso de las </w:t>
      </w:r>
      <w:r w:rsidR="00C548DC" w:rsidRPr="00D51F9C">
        <w:rPr>
          <w:rFonts w:ascii="Arial" w:eastAsia="Times New Roman" w:hAnsi="Arial" w:cs="Arial"/>
          <w:lang w:eastAsia="es-CO"/>
        </w:rPr>
        <w:t>MiPymes</w:t>
      </w:r>
      <w:r w:rsidRPr="00D51F9C">
        <w:rPr>
          <w:rFonts w:ascii="Arial" w:eastAsia="Times New Roman" w:hAnsi="Arial" w:cs="Arial"/>
          <w:lang w:eastAsia="es-CO"/>
        </w:rPr>
        <w:t xml:space="preserve"> y criterios diferenciales para los </w:t>
      </w:r>
      <w:r w:rsidRPr="00D51F9C">
        <w:rPr>
          <w:rFonts w:ascii="Arial" w:eastAsia="Times New Roman" w:hAnsi="Arial" w:cs="Arial"/>
          <w:i/>
          <w:iCs/>
          <w:lang w:eastAsia="es-CO"/>
        </w:rPr>
        <w:t>«emprendimientos y empresas de mujeres»</w:t>
      </w:r>
      <w:r w:rsidRPr="00D51F9C">
        <w:rPr>
          <w:rFonts w:ascii="Arial" w:eastAsia="Times New Roman" w:hAnsi="Arial" w:cs="Arial"/>
          <w:lang w:eastAsia="es-CO"/>
        </w:rPr>
        <w:t xml:space="preserve"> en el sistema de compras y contratación pública, es claro que</w:t>
      </w:r>
      <w:r w:rsidR="0071223B" w:rsidRPr="00D51F9C">
        <w:rPr>
          <w:rFonts w:ascii="Arial" w:eastAsia="Times New Roman" w:hAnsi="Arial" w:cs="Arial"/>
          <w:lang w:val="es-ES" w:eastAsia="es-CO"/>
        </w:rPr>
        <w:t xml:space="preserve">, los artículos 31 y 32 de la Ley 2069 de 2021 introducen la posibilidad de las Entidades Estatales de incluir </w:t>
      </w:r>
      <w:r w:rsidR="0071223B" w:rsidRPr="00D51F9C">
        <w:rPr>
          <w:rFonts w:ascii="Arial" w:eastAsia="Times New Roman" w:hAnsi="Arial" w:cs="Arial"/>
          <w:shd w:val="clear" w:color="auto" w:fill="FFFFFF"/>
          <w:lang w:val="es-ES" w:eastAsia="es-CO"/>
        </w:rPr>
        <w:t xml:space="preserve">en los procesos de licitación pública, selección abreviada de menor cuantía y concurso de méritos, así como en los procesos competitivos que adelanten las </w:t>
      </w:r>
      <w:r w:rsidR="00C548DC" w:rsidRPr="00D51F9C">
        <w:rPr>
          <w:rFonts w:ascii="Arial" w:eastAsia="Times New Roman" w:hAnsi="Arial" w:cs="Arial"/>
          <w:shd w:val="clear" w:color="auto" w:fill="FFFFFF"/>
          <w:lang w:val="es-ES" w:eastAsia="es-CO"/>
        </w:rPr>
        <w:t>E</w:t>
      </w:r>
      <w:r w:rsidR="0071223B" w:rsidRPr="00D51F9C">
        <w:rPr>
          <w:rFonts w:ascii="Arial" w:eastAsia="Times New Roman" w:hAnsi="Arial" w:cs="Arial"/>
          <w:shd w:val="clear" w:color="auto" w:fill="FFFFFF"/>
          <w:lang w:val="es-ES" w:eastAsia="es-CO"/>
        </w:rPr>
        <w:t xml:space="preserve">ntidades </w:t>
      </w:r>
      <w:r w:rsidR="00C548DC" w:rsidRPr="00D51F9C">
        <w:rPr>
          <w:rFonts w:ascii="Arial" w:eastAsia="Times New Roman" w:hAnsi="Arial" w:cs="Arial"/>
          <w:shd w:val="clear" w:color="auto" w:fill="FFFFFF"/>
          <w:lang w:val="es-ES" w:eastAsia="es-CO"/>
        </w:rPr>
        <w:t>E</w:t>
      </w:r>
      <w:r w:rsidR="0071223B" w:rsidRPr="00D51F9C">
        <w:rPr>
          <w:rFonts w:ascii="Arial" w:eastAsia="Times New Roman" w:hAnsi="Arial" w:cs="Arial"/>
          <w:shd w:val="clear" w:color="auto" w:fill="FFFFFF"/>
          <w:lang w:val="es-ES" w:eastAsia="es-CO"/>
        </w:rPr>
        <w:t xml:space="preserve">statales exceptuadas de aplicar el Estatuto General de Contratación de la Administración Pública, requisitos diferenciales y puntajes adicionales para </w:t>
      </w:r>
      <w:r w:rsidR="00C548DC" w:rsidRPr="00D51F9C">
        <w:rPr>
          <w:rFonts w:ascii="Arial" w:eastAsia="Times New Roman" w:hAnsi="Arial" w:cs="Arial"/>
          <w:shd w:val="clear" w:color="auto" w:fill="FFFFFF"/>
          <w:lang w:val="es-ES" w:eastAsia="es-CO"/>
        </w:rPr>
        <w:t>MiPymes</w:t>
      </w:r>
      <w:r w:rsidR="0071223B" w:rsidRPr="00D51F9C">
        <w:rPr>
          <w:rFonts w:ascii="Arial" w:eastAsia="Times New Roman" w:hAnsi="Arial" w:cs="Arial"/>
          <w:shd w:val="clear" w:color="auto" w:fill="FFFFFF"/>
          <w:lang w:val="es-ES" w:eastAsia="es-CO"/>
        </w:rPr>
        <w:t xml:space="preserve"> y para emprendimientos y empresas de mujeres. Esto a título de medidas de acción afirmativa para incentivar la participación de estos sujetos en el sistema de compras públicas, sin perjuicio de los compromisos adquiridos por Colombia en los acuerdos comerciales en vigor.</w:t>
      </w:r>
      <w:r w:rsidR="0071223B" w:rsidRPr="00D51F9C">
        <w:rPr>
          <w:rFonts w:ascii="Arial" w:eastAsia="Times New Roman" w:hAnsi="Arial" w:cs="Arial"/>
          <w:shd w:val="clear" w:color="auto" w:fill="FFFFFF"/>
          <w:lang w:eastAsia="es-CO"/>
        </w:rPr>
        <w:t> </w:t>
      </w:r>
      <w:r w:rsidR="0071223B" w:rsidRPr="00D51F9C">
        <w:rPr>
          <w:rFonts w:ascii="Arial" w:eastAsia="Times New Roman" w:hAnsi="Arial" w:cs="Arial"/>
          <w:lang w:eastAsia="es-CO"/>
        </w:rPr>
        <w:t> </w:t>
      </w:r>
    </w:p>
    <w:p w14:paraId="0E0C7B7F" w14:textId="06377A10" w:rsidR="0071223B" w:rsidRPr="00D51F9C" w:rsidRDefault="0071223B" w:rsidP="00951ECE">
      <w:pPr>
        <w:spacing w:line="276" w:lineRule="auto"/>
        <w:ind w:firstLine="705"/>
        <w:jc w:val="both"/>
        <w:textAlignment w:val="baseline"/>
        <w:rPr>
          <w:rFonts w:ascii="Arial" w:eastAsia="Times New Roman" w:hAnsi="Arial" w:cs="Arial"/>
          <w:sz w:val="18"/>
          <w:szCs w:val="18"/>
          <w:lang w:eastAsia="es-CO"/>
        </w:rPr>
      </w:pPr>
      <w:r w:rsidRPr="00D51F9C">
        <w:rPr>
          <w:rFonts w:ascii="Arial" w:eastAsia="Times New Roman" w:hAnsi="Arial" w:cs="Arial"/>
          <w:lang w:val="es-ES" w:eastAsia="es-CO"/>
        </w:rPr>
        <w:t>En relación con el significado de emprendimientos y empresas de mujeres y conforme a lo dicho en el parágrafo del artículo 32 de la Ley 2069 de 2020, el Decreto 1860 de 2021 adicionó el artículo 2.2.1.2.4.2.14 al Decreto 1082 de 2015. Esta norma establece las condiciones y requisitos en atención a los cuales se definen l</w:t>
      </w:r>
      <w:r w:rsidR="003E4432" w:rsidRPr="00D51F9C">
        <w:rPr>
          <w:rFonts w:ascii="Arial" w:eastAsia="Times New Roman" w:hAnsi="Arial" w:cs="Arial"/>
          <w:lang w:val="es-ES" w:eastAsia="es-CO"/>
        </w:rPr>
        <w:t>a</w:t>
      </w:r>
      <w:r w:rsidRPr="00D51F9C">
        <w:rPr>
          <w:rFonts w:ascii="Arial" w:eastAsia="Times New Roman" w:hAnsi="Arial" w:cs="Arial"/>
          <w:lang w:val="es-ES" w:eastAsia="es-CO"/>
        </w:rPr>
        <w:t>s empresas y emprendimientos de mujeres, a las que les aplican los criterios diferenciales. </w:t>
      </w:r>
      <w:r w:rsidRPr="00D51F9C">
        <w:rPr>
          <w:rFonts w:ascii="Arial" w:eastAsia="Times New Roman" w:hAnsi="Arial" w:cs="Arial"/>
          <w:lang w:eastAsia="es-CO"/>
        </w:rPr>
        <w:t> </w:t>
      </w:r>
    </w:p>
    <w:p w14:paraId="0FEA812B" w14:textId="0F873B84" w:rsidR="0071223B" w:rsidRPr="00D51F9C" w:rsidRDefault="0071223B" w:rsidP="00951ECE">
      <w:pPr>
        <w:spacing w:line="276" w:lineRule="auto"/>
        <w:ind w:firstLine="705"/>
        <w:jc w:val="both"/>
        <w:textAlignment w:val="baseline"/>
        <w:rPr>
          <w:rFonts w:ascii="Arial" w:eastAsia="Times New Roman" w:hAnsi="Arial" w:cs="Arial"/>
          <w:sz w:val="18"/>
          <w:szCs w:val="18"/>
          <w:lang w:eastAsia="es-CO"/>
        </w:rPr>
      </w:pPr>
      <w:r w:rsidRPr="00D51F9C">
        <w:rPr>
          <w:rFonts w:ascii="Arial" w:eastAsia="Times New Roman" w:hAnsi="Arial" w:cs="Arial"/>
          <w:lang w:eastAsia="es-CO"/>
        </w:rPr>
        <w:t>Por su parte el artículo 2.2.1.2.4.2.15 del Decreto 1082 de 2015</w:t>
      </w:r>
      <w:r w:rsidR="0013739E" w:rsidRPr="00D51F9C">
        <w:rPr>
          <w:rStyle w:val="Refdenotaalpie"/>
          <w:rFonts w:ascii="Arial" w:eastAsia="Times New Roman" w:hAnsi="Arial" w:cs="Arial"/>
          <w:lang w:eastAsia="es-CO"/>
        </w:rPr>
        <w:footnoteReference w:id="4"/>
      </w:r>
      <w:r w:rsidRPr="00D51F9C">
        <w:rPr>
          <w:rFonts w:ascii="Arial" w:eastAsia="Times New Roman" w:hAnsi="Arial" w:cs="Arial"/>
          <w:lang w:eastAsia="es-CO"/>
        </w:rPr>
        <w:t xml:space="preserve">, adicionado por el Decreto 1860 de 2021, complementa la regulación de criterios diferenciales estableciendo </w:t>
      </w:r>
      <w:r w:rsidRPr="00D51F9C">
        <w:rPr>
          <w:rFonts w:ascii="Arial" w:eastAsia="Times New Roman" w:hAnsi="Arial" w:cs="Arial"/>
          <w:lang w:eastAsia="es-CO"/>
        </w:rPr>
        <w:lastRenderedPageBreak/>
        <w:t xml:space="preserve">la posibilidad de unos requisitos habilitantes diferenciales para incentivar emprendimientos y empresas de mujeres, que deben ser menos rigurosos respecto a los contemplados para los otros proponentes que no cumplan con alguno de los criterios del artículo 2.2.1.2.4.2.14. los mismos requisitos habilitantes diferenciales podrán ser utilizados para fomentar la participación de </w:t>
      </w:r>
      <w:r w:rsidR="00C548DC" w:rsidRPr="00D51F9C">
        <w:rPr>
          <w:rFonts w:ascii="Arial" w:eastAsia="Times New Roman" w:hAnsi="Arial" w:cs="Arial"/>
          <w:lang w:eastAsia="es-CO"/>
        </w:rPr>
        <w:t>MiPymes</w:t>
      </w:r>
      <w:r w:rsidRPr="00D51F9C">
        <w:rPr>
          <w:rFonts w:ascii="Arial" w:eastAsia="Times New Roman" w:hAnsi="Arial" w:cs="Arial"/>
          <w:lang w:eastAsia="es-CO"/>
        </w:rPr>
        <w:t>, en los términos previstos en el artículo 2.2.1.2.4.2.18</w:t>
      </w:r>
      <w:r w:rsidR="0013739E" w:rsidRPr="00D51F9C">
        <w:rPr>
          <w:rStyle w:val="Refdenotaalpie"/>
          <w:rFonts w:ascii="Arial" w:eastAsia="Times New Roman" w:hAnsi="Arial" w:cs="Arial"/>
          <w:lang w:eastAsia="es-CO"/>
        </w:rPr>
        <w:footnoteReference w:id="5"/>
      </w:r>
      <w:r w:rsidR="0013739E" w:rsidRPr="00D51F9C">
        <w:rPr>
          <w:rFonts w:ascii="Arial" w:eastAsia="Times New Roman" w:hAnsi="Arial" w:cs="Arial"/>
          <w:sz w:val="17"/>
          <w:szCs w:val="17"/>
          <w:lang w:eastAsia="es-CO"/>
        </w:rPr>
        <w:t xml:space="preserve"> </w:t>
      </w:r>
      <w:r w:rsidR="0013739E" w:rsidRPr="00D51F9C">
        <w:rPr>
          <w:rFonts w:ascii="Arial" w:eastAsia="Times New Roman" w:hAnsi="Arial" w:cs="Arial"/>
          <w:lang w:eastAsia="es-CO"/>
        </w:rPr>
        <w:t>adicionado por el Decreto 1860 de 2021.</w:t>
      </w:r>
    </w:p>
    <w:p w14:paraId="326A13C8" w14:textId="384AC5D1" w:rsidR="0071223B" w:rsidRPr="00D51F9C" w:rsidRDefault="0071223B" w:rsidP="00951ECE">
      <w:pPr>
        <w:spacing w:line="276" w:lineRule="auto"/>
        <w:ind w:firstLine="709"/>
        <w:jc w:val="both"/>
        <w:textAlignment w:val="baseline"/>
        <w:rPr>
          <w:rFonts w:ascii="Arial" w:eastAsia="Times New Roman" w:hAnsi="Arial" w:cs="Arial"/>
          <w:sz w:val="18"/>
          <w:szCs w:val="18"/>
          <w:lang w:eastAsia="es-CO"/>
        </w:rPr>
      </w:pPr>
      <w:r w:rsidRPr="00D51F9C">
        <w:rPr>
          <w:rFonts w:ascii="Arial" w:eastAsia="Times New Roman" w:hAnsi="Arial" w:cs="Arial"/>
          <w:lang w:eastAsia="es-CO"/>
        </w:rPr>
        <w:lastRenderedPageBreak/>
        <w:t xml:space="preserve">Del mismo modo, el artículo 2.2.1.2.4.2.15 </w:t>
      </w:r>
      <w:r w:rsidR="0013739E" w:rsidRPr="00D51F9C">
        <w:rPr>
          <w:rFonts w:ascii="Arial" w:eastAsia="Times New Roman" w:hAnsi="Arial" w:cs="Arial"/>
          <w:lang w:eastAsia="es-CO"/>
        </w:rPr>
        <w:t xml:space="preserve">del Decreto 1082 de 2015 </w:t>
      </w:r>
      <w:r w:rsidRPr="00D51F9C">
        <w:rPr>
          <w:rFonts w:ascii="Arial" w:eastAsia="Times New Roman" w:hAnsi="Arial" w:cs="Arial"/>
          <w:lang w:eastAsia="es-CO"/>
        </w:rPr>
        <w:t>también regula un puntaje adicional de hasta el 0,25% del valor total de los puntos establecidos en los pliegos de condiciones o documentos equivalentes, para los proponentes que acrediten alguno de los supuestos del artículo 2.2.1.2.4.2.14</w:t>
      </w:r>
      <w:r w:rsidR="0013739E" w:rsidRPr="00D51F9C">
        <w:rPr>
          <w:rFonts w:ascii="Arial" w:eastAsia="Times New Roman" w:hAnsi="Arial" w:cs="Arial"/>
          <w:lang w:eastAsia="es-CO"/>
        </w:rPr>
        <w:t xml:space="preserve"> del Decreto 1082 de 2015</w:t>
      </w:r>
      <w:r w:rsidRPr="00D51F9C">
        <w:rPr>
          <w:rFonts w:ascii="Arial" w:eastAsia="Times New Roman" w:hAnsi="Arial" w:cs="Arial"/>
          <w:lang w:eastAsia="es-CO"/>
        </w:rPr>
        <w:t>.  </w:t>
      </w:r>
    </w:p>
    <w:p w14:paraId="2A85AC3C" w14:textId="536CE0B4" w:rsidR="0071223B" w:rsidRPr="00D51F9C" w:rsidRDefault="0071223B" w:rsidP="00951ECE">
      <w:pPr>
        <w:spacing w:line="276" w:lineRule="auto"/>
        <w:ind w:firstLine="705"/>
        <w:jc w:val="both"/>
        <w:textAlignment w:val="baseline"/>
        <w:rPr>
          <w:rFonts w:ascii="Arial" w:eastAsia="Times New Roman" w:hAnsi="Arial" w:cs="Arial"/>
          <w:sz w:val="18"/>
          <w:szCs w:val="18"/>
          <w:lang w:eastAsia="es-CO"/>
        </w:rPr>
      </w:pPr>
      <w:r w:rsidRPr="00D51F9C">
        <w:rPr>
          <w:rFonts w:ascii="Arial" w:eastAsia="Times New Roman" w:hAnsi="Arial" w:cs="Arial"/>
          <w:lang w:eastAsia="es-CO"/>
        </w:rPr>
        <w:t xml:space="preserve">De acuerdo con lo anterior, 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w:t>
      </w:r>
      <w:r w:rsidRPr="00D51F9C">
        <w:rPr>
          <w:rFonts w:ascii="Arial" w:eastAsia="Times New Roman" w:hAnsi="Arial" w:cs="Arial"/>
          <w:i/>
          <w:iCs/>
          <w:lang w:eastAsia="es-CO"/>
        </w:rPr>
        <w:t>«Es objetiva la selección en la cual la escogencia se haga al ofrecimiento más favorable a la entidad y a los fines que ella busca, sin tener en consideración factores de afecto o de interés y, en general, cualquier clase de motivación subjetiva».</w:t>
      </w:r>
      <w:r w:rsidRPr="00D51F9C">
        <w:rPr>
          <w:rFonts w:ascii="Arial" w:eastAsia="Times New Roman" w:hAnsi="Arial" w:cs="Arial"/>
          <w:lang w:eastAsia="es-CO"/>
        </w:rPr>
        <w:t xml:space="preserve"> Además, la norma citada agrega que los factores de escogencia y calificación que establezcan las entidades en los pliegos de </w:t>
      </w:r>
      <w:r w:rsidRPr="00D51F9C">
        <w:rPr>
          <w:rFonts w:ascii="Arial" w:eastAsia="Times New Roman" w:hAnsi="Arial" w:cs="Arial"/>
          <w:lang w:eastAsia="es-CO"/>
        </w:rPr>
        <w:lastRenderedPageBreak/>
        <w:t xml:space="preserve">condiciones o sus </w:t>
      </w:r>
      <w:r w:rsidR="00C548DC" w:rsidRPr="00D51F9C">
        <w:rPr>
          <w:rFonts w:ascii="Arial" w:eastAsia="Times New Roman" w:hAnsi="Arial" w:cs="Arial"/>
          <w:lang w:eastAsia="es-CO"/>
        </w:rPr>
        <w:t>equivalentes</w:t>
      </w:r>
      <w:r w:rsidRPr="00D51F9C">
        <w:rPr>
          <w:rFonts w:ascii="Arial" w:eastAsia="Times New Roman" w:hAnsi="Arial" w:cs="Arial"/>
          <w:lang w:eastAsia="es-CO"/>
        </w:rPr>
        <w:t xml:space="preserve"> tendrán en cuenta criterios como la experiencia y la capacidad jurídica, financiera y de organización, entre otros elementos que garanticen la escogencia de la mejor opción de negocio para la </w:t>
      </w:r>
      <w:r w:rsidR="00C548DC" w:rsidRPr="00D51F9C">
        <w:rPr>
          <w:rFonts w:ascii="Arial" w:eastAsia="Times New Roman" w:hAnsi="Arial" w:cs="Arial"/>
          <w:lang w:eastAsia="es-CO"/>
        </w:rPr>
        <w:t>Entidad Estatal</w:t>
      </w:r>
      <w:r w:rsidRPr="00D51F9C">
        <w:rPr>
          <w:rFonts w:ascii="Arial" w:eastAsia="Times New Roman" w:hAnsi="Arial" w:cs="Arial"/>
          <w:lang w:eastAsia="es-CO"/>
        </w:rPr>
        <w:t>.  </w:t>
      </w:r>
    </w:p>
    <w:p w14:paraId="6356D3C4" w14:textId="12F539AD" w:rsidR="0013739E" w:rsidRPr="00D51F9C" w:rsidRDefault="0071223B" w:rsidP="00951ECE">
      <w:pPr>
        <w:spacing w:line="276" w:lineRule="auto"/>
        <w:ind w:firstLine="705"/>
        <w:jc w:val="both"/>
        <w:textAlignment w:val="baseline"/>
        <w:rPr>
          <w:rFonts w:ascii="Arial" w:eastAsia="Times New Roman" w:hAnsi="Arial" w:cs="Arial"/>
          <w:lang w:eastAsia="es-CO"/>
        </w:rPr>
      </w:pPr>
      <w:r w:rsidRPr="00D51F9C">
        <w:rPr>
          <w:rFonts w:ascii="Arial" w:eastAsia="Times New Roman" w:hAnsi="Arial" w:cs="Arial"/>
          <w:lang w:eastAsia="es-CO"/>
        </w:rPr>
        <w:t xml:space="preserve">No obstante, en virtud de los incentivos previstos en los artículos 31 y 32 de la Ley 2069 de 2020 y su reglamentación contenida en el Decreto 1860 de 2021, es posible que la selección objetiva del contratista del Estado se escoja por las entidades contratantes acudiendo a factores habilitantes y de calificación de los participantes fijados en los pliegos de condiciones de forma </w:t>
      </w:r>
      <w:r w:rsidRPr="00D51F9C">
        <w:rPr>
          <w:rFonts w:ascii="Arial" w:eastAsia="Times New Roman" w:hAnsi="Arial" w:cs="Arial"/>
          <w:i/>
          <w:iCs/>
          <w:lang w:eastAsia="es-CO"/>
        </w:rPr>
        <w:t>diferencial</w:t>
      </w:r>
      <w:r w:rsidRPr="00D51F9C">
        <w:rPr>
          <w:rFonts w:ascii="Arial" w:eastAsia="Times New Roman" w:hAnsi="Arial" w:cs="Arial"/>
          <w:lang w:eastAsia="es-CO"/>
        </w:rPr>
        <w:t xml:space="preserve">, con el objeto de fomentar o facilitar el acceso a las compras públicas de sujetos de menor capacidad en el mercado, como es el caso de los emprendimientos y empresas de mujeres y las </w:t>
      </w:r>
      <w:r w:rsidR="00C548DC" w:rsidRPr="00D51F9C">
        <w:rPr>
          <w:rFonts w:ascii="Arial" w:eastAsia="Times New Roman" w:hAnsi="Arial" w:cs="Arial"/>
          <w:lang w:eastAsia="es-CO"/>
        </w:rPr>
        <w:t>MiPymes</w:t>
      </w:r>
      <w:r w:rsidRPr="00D51F9C">
        <w:rPr>
          <w:rFonts w:ascii="Arial" w:eastAsia="Times New Roman" w:hAnsi="Arial" w:cs="Arial"/>
          <w:lang w:eastAsia="es-CO"/>
        </w:rPr>
        <w:t xml:space="preserve">, por razones de equidad, siempre y cuando el uso de estas medidas afirmativas resulte justificado y no ponga en riesgo el adecuado cumplimiento del contrato, según el análisis del sector y los estudios previos que soporten el proceso contractual. </w:t>
      </w:r>
    </w:p>
    <w:p w14:paraId="324C3CEA" w14:textId="0908389A" w:rsidR="0013739E" w:rsidRPr="00D51F9C" w:rsidRDefault="0071223B" w:rsidP="00951ECE">
      <w:pPr>
        <w:spacing w:line="276" w:lineRule="auto"/>
        <w:ind w:firstLine="705"/>
        <w:jc w:val="both"/>
        <w:textAlignment w:val="baseline"/>
        <w:rPr>
          <w:rFonts w:ascii="Arial" w:eastAsia="Times New Roman" w:hAnsi="Arial" w:cs="Arial"/>
          <w:lang w:eastAsia="es-CO"/>
        </w:rPr>
      </w:pPr>
      <w:r w:rsidRPr="00D51F9C">
        <w:rPr>
          <w:rFonts w:ascii="Arial" w:eastAsia="Times New Roman" w:hAnsi="Arial" w:cs="Arial"/>
          <w:lang w:eastAsia="es-CO"/>
        </w:rPr>
        <w:t xml:space="preserve">Para el efecto dichos requisitos habilitantes contemplados en el pliego de condiciones podrán ser menos exigentes para los emprendimientos y empresas de mujeres y para las </w:t>
      </w:r>
      <w:r w:rsidR="00C548DC" w:rsidRPr="00D51F9C">
        <w:rPr>
          <w:rFonts w:ascii="Arial" w:eastAsia="Times New Roman" w:hAnsi="Arial" w:cs="Arial"/>
          <w:lang w:eastAsia="es-CO"/>
        </w:rPr>
        <w:t>MiPymes</w:t>
      </w:r>
      <w:r w:rsidRPr="00D51F9C">
        <w:rPr>
          <w:rFonts w:ascii="Arial" w:eastAsia="Times New Roman" w:hAnsi="Arial" w:cs="Arial"/>
          <w:lang w:eastAsia="es-CO"/>
        </w:rPr>
        <w:t xml:space="preserve">, según lo justifiquen los instrumentos de planeación precontractual </w:t>
      </w:r>
      <w:r w:rsidR="0013739E" w:rsidRPr="00D51F9C">
        <w:rPr>
          <w:rFonts w:ascii="Arial" w:eastAsia="Times New Roman" w:hAnsi="Arial" w:cs="Arial"/>
          <w:lang w:eastAsia="es-CO"/>
        </w:rPr>
        <w:t xml:space="preserve">que determine las Entidades Estatales, por lo tanto, y de conformidad con el articulado adicionado por el Decreto 1860 de 2021, los requisitos </w:t>
      </w:r>
      <w:bookmarkEnd w:id="16"/>
      <w:r w:rsidR="0013739E" w:rsidRPr="00D51F9C">
        <w:rPr>
          <w:rFonts w:ascii="Arial" w:eastAsia="Times New Roman" w:hAnsi="Arial" w:cs="Arial"/>
          <w:lang w:eastAsia="es-CO"/>
        </w:rPr>
        <w:t xml:space="preserve">habilitantes diferenciales </w:t>
      </w:r>
      <w:r w:rsidR="00951ECE" w:rsidRPr="00D51F9C">
        <w:rPr>
          <w:rFonts w:ascii="Arial" w:eastAsia="Times New Roman" w:hAnsi="Arial" w:cs="Arial"/>
          <w:lang w:eastAsia="es-CO"/>
        </w:rPr>
        <w:t>que deberán incluir en los Documentos del Proceso deberán estar relacionados</w:t>
      </w:r>
      <w:r w:rsidR="0013739E" w:rsidRPr="00D51F9C">
        <w:rPr>
          <w:rFonts w:ascii="Arial" w:eastAsia="Times New Roman" w:hAnsi="Arial" w:cs="Arial"/>
          <w:lang w:eastAsia="es-CO"/>
        </w:rPr>
        <w:t xml:space="preserve"> siguientes aspectos:</w:t>
      </w:r>
    </w:p>
    <w:p w14:paraId="1EC99EED" w14:textId="4801D524" w:rsidR="0013739E" w:rsidRPr="00D51F9C" w:rsidRDefault="00951ECE" w:rsidP="00951ECE">
      <w:pPr>
        <w:spacing w:line="276" w:lineRule="auto"/>
        <w:ind w:firstLine="705"/>
        <w:jc w:val="both"/>
        <w:textAlignment w:val="baseline"/>
        <w:rPr>
          <w:rFonts w:ascii="Arial" w:eastAsia="Times New Roman" w:hAnsi="Arial" w:cs="Arial"/>
          <w:i/>
          <w:iCs/>
          <w:lang w:eastAsia="es-CO"/>
        </w:rPr>
      </w:pPr>
      <w:r w:rsidRPr="00D51F9C">
        <w:rPr>
          <w:rFonts w:ascii="Arial" w:eastAsia="Times New Roman" w:hAnsi="Arial" w:cs="Arial"/>
          <w:i/>
          <w:iCs/>
          <w:lang w:eastAsia="es-CO"/>
        </w:rPr>
        <w:t>«</w:t>
      </w:r>
      <w:r w:rsidR="0013739E" w:rsidRPr="00D51F9C">
        <w:rPr>
          <w:rFonts w:ascii="Arial" w:eastAsia="Times New Roman" w:hAnsi="Arial" w:cs="Arial"/>
          <w:i/>
          <w:iCs/>
          <w:lang w:eastAsia="es-CO"/>
        </w:rPr>
        <w:t>1. Tiempo de experiencia.</w:t>
      </w:r>
    </w:p>
    <w:p w14:paraId="0D0B9356" w14:textId="77777777" w:rsidR="0013739E" w:rsidRPr="00D51F9C" w:rsidRDefault="0013739E" w:rsidP="00951ECE">
      <w:pPr>
        <w:spacing w:line="276" w:lineRule="auto"/>
        <w:ind w:firstLine="705"/>
        <w:jc w:val="both"/>
        <w:textAlignment w:val="baseline"/>
        <w:rPr>
          <w:rFonts w:ascii="Arial" w:eastAsia="Times New Roman" w:hAnsi="Arial" w:cs="Arial"/>
          <w:b/>
          <w:bCs/>
          <w:i/>
          <w:iCs/>
          <w:lang w:eastAsia="es-CO"/>
        </w:rPr>
      </w:pPr>
      <w:r w:rsidRPr="00D51F9C">
        <w:rPr>
          <w:rFonts w:ascii="Arial" w:eastAsia="Times New Roman" w:hAnsi="Arial" w:cs="Arial"/>
          <w:b/>
          <w:bCs/>
          <w:i/>
          <w:iCs/>
          <w:lang w:eastAsia="es-CO"/>
        </w:rPr>
        <w:t>2. Número de contratos para la acreditación de la experiencia.</w:t>
      </w:r>
    </w:p>
    <w:p w14:paraId="34D9DE96" w14:textId="77777777" w:rsidR="0013739E" w:rsidRPr="00D51F9C" w:rsidRDefault="0013739E" w:rsidP="00951ECE">
      <w:pPr>
        <w:spacing w:line="276" w:lineRule="auto"/>
        <w:ind w:firstLine="705"/>
        <w:jc w:val="both"/>
        <w:textAlignment w:val="baseline"/>
        <w:rPr>
          <w:rFonts w:ascii="Arial" w:eastAsia="Times New Roman" w:hAnsi="Arial" w:cs="Arial"/>
          <w:i/>
          <w:iCs/>
          <w:lang w:eastAsia="es-CO"/>
        </w:rPr>
      </w:pPr>
      <w:r w:rsidRPr="00D51F9C">
        <w:rPr>
          <w:rFonts w:ascii="Arial" w:eastAsia="Times New Roman" w:hAnsi="Arial" w:cs="Arial"/>
          <w:i/>
          <w:iCs/>
          <w:lang w:eastAsia="es-CO"/>
        </w:rPr>
        <w:t>3. Índices de capacidad financiera.</w:t>
      </w:r>
    </w:p>
    <w:p w14:paraId="3053956E" w14:textId="77777777" w:rsidR="0013739E" w:rsidRPr="00D51F9C" w:rsidRDefault="0013739E" w:rsidP="00951ECE">
      <w:pPr>
        <w:spacing w:line="276" w:lineRule="auto"/>
        <w:ind w:firstLine="705"/>
        <w:jc w:val="both"/>
        <w:textAlignment w:val="baseline"/>
        <w:rPr>
          <w:rFonts w:ascii="Arial" w:eastAsia="Times New Roman" w:hAnsi="Arial" w:cs="Arial"/>
          <w:i/>
          <w:iCs/>
          <w:lang w:eastAsia="es-CO"/>
        </w:rPr>
      </w:pPr>
      <w:r w:rsidRPr="00D51F9C">
        <w:rPr>
          <w:rFonts w:ascii="Arial" w:eastAsia="Times New Roman" w:hAnsi="Arial" w:cs="Arial"/>
          <w:i/>
          <w:iCs/>
          <w:lang w:eastAsia="es-CO"/>
        </w:rPr>
        <w:t>4. Índices de capacidad organizacional.</w:t>
      </w:r>
    </w:p>
    <w:p w14:paraId="1FA278B3" w14:textId="6BFAAE90" w:rsidR="0013739E" w:rsidRPr="00D51F9C" w:rsidRDefault="0013739E" w:rsidP="00951ECE">
      <w:pPr>
        <w:spacing w:line="276" w:lineRule="auto"/>
        <w:ind w:firstLine="705"/>
        <w:jc w:val="both"/>
        <w:textAlignment w:val="baseline"/>
        <w:rPr>
          <w:rFonts w:ascii="Arial" w:eastAsia="Times New Roman" w:hAnsi="Arial" w:cs="Arial"/>
          <w:lang w:eastAsia="es-CO"/>
        </w:rPr>
      </w:pPr>
      <w:r w:rsidRPr="00D51F9C">
        <w:rPr>
          <w:rFonts w:ascii="Arial" w:eastAsia="Times New Roman" w:hAnsi="Arial" w:cs="Arial"/>
          <w:i/>
          <w:iCs/>
          <w:lang w:eastAsia="es-CO"/>
        </w:rPr>
        <w:t>5. Valor de la garantía de seriedad de la oferta.</w:t>
      </w:r>
      <w:r w:rsidR="00951ECE" w:rsidRPr="00D51F9C">
        <w:rPr>
          <w:rFonts w:ascii="Arial" w:eastAsia="Times New Roman" w:hAnsi="Arial" w:cs="Arial"/>
          <w:i/>
          <w:iCs/>
          <w:lang w:eastAsia="es-CO"/>
        </w:rPr>
        <w:t>» (</w:t>
      </w:r>
      <w:r w:rsidR="00951ECE" w:rsidRPr="00D51F9C">
        <w:rPr>
          <w:rFonts w:ascii="Arial" w:eastAsia="Times New Roman" w:hAnsi="Arial" w:cs="Arial"/>
          <w:lang w:eastAsia="es-CO"/>
        </w:rPr>
        <w:t>negrilla fuera de texto)</w:t>
      </w:r>
    </w:p>
    <w:p w14:paraId="13181B0D" w14:textId="1C0C4B5D" w:rsidR="000E67AB" w:rsidRPr="00D51F9C" w:rsidRDefault="0013739E" w:rsidP="00951ECE">
      <w:pPr>
        <w:spacing w:line="276" w:lineRule="auto"/>
        <w:ind w:firstLine="705"/>
        <w:jc w:val="both"/>
        <w:textAlignment w:val="baseline"/>
        <w:rPr>
          <w:rFonts w:ascii="Arial" w:eastAsia="Times New Roman" w:hAnsi="Arial" w:cs="Arial"/>
          <w:sz w:val="18"/>
          <w:szCs w:val="18"/>
          <w:lang w:eastAsia="es-CO"/>
        </w:rPr>
      </w:pPr>
      <w:r w:rsidRPr="00D51F9C">
        <w:rPr>
          <w:rFonts w:ascii="Arial" w:eastAsia="Times New Roman" w:hAnsi="Arial" w:cs="Arial"/>
          <w:lang w:eastAsia="es-CO"/>
        </w:rPr>
        <w:t>Los requisitos mencionados deberán fijarse respetando las condiciones habilitantes requeridas para el cumplimiento adecuado del contrato, teniendo en cuenta el alcance de las obligaciones. En desarrollo de lo anterior, con la finalidad de beneficiar a las Mipyme</w:t>
      </w:r>
      <w:r w:rsidR="00951ECE" w:rsidRPr="00D51F9C">
        <w:rPr>
          <w:rFonts w:ascii="Arial" w:eastAsia="Times New Roman" w:hAnsi="Arial" w:cs="Arial"/>
          <w:lang w:eastAsia="es-CO"/>
        </w:rPr>
        <w:t xml:space="preserve"> o los emprendimientos y empresas de mujeres</w:t>
      </w:r>
      <w:r w:rsidRPr="00D51F9C">
        <w:rPr>
          <w:rFonts w:ascii="Arial" w:eastAsia="Times New Roman" w:hAnsi="Arial" w:cs="Arial"/>
          <w:lang w:eastAsia="es-CO"/>
        </w:rPr>
        <w:t>, se establecerán condiciones más exigentes respecto a alguno o algunos de los criterios de participación antes enunciados frente a los demás proponentes que concurran al procedimiento de selección</w:t>
      </w:r>
      <w:r w:rsidR="00951ECE" w:rsidRPr="00D51F9C">
        <w:rPr>
          <w:rFonts w:ascii="Arial" w:eastAsia="Times New Roman" w:hAnsi="Arial" w:cs="Arial"/>
          <w:lang w:eastAsia="es-CO"/>
        </w:rPr>
        <w:t>.</w:t>
      </w:r>
    </w:p>
    <w:p w14:paraId="127E1E57" w14:textId="77777777" w:rsidR="00AF24DA" w:rsidRPr="00D51F9C" w:rsidRDefault="00AF24DA" w:rsidP="00951ECE">
      <w:pPr>
        <w:spacing w:after="0" w:line="276" w:lineRule="auto"/>
        <w:contextualSpacing/>
        <w:jc w:val="both"/>
        <w:rPr>
          <w:rFonts w:ascii="Arial" w:eastAsia="Calibri" w:hAnsi="Arial" w:cs="Arial"/>
          <w:b/>
        </w:rPr>
      </w:pPr>
      <w:r w:rsidRPr="00D51F9C">
        <w:rPr>
          <w:rFonts w:ascii="Arial" w:eastAsia="Calibri" w:hAnsi="Arial" w:cs="Arial"/>
          <w:b/>
        </w:rPr>
        <w:t>3. Respuesta</w:t>
      </w:r>
    </w:p>
    <w:p w14:paraId="0B5EB6CA" w14:textId="77777777" w:rsidR="00AF24DA" w:rsidRPr="00D51F9C" w:rsidRDefault="00AF24DA" w:rsidP="00D51F9C">
      <w:pPr>
        <w:tabs>
          <w:tab w:val="left" w:pos="709"/>
        </w:tabs>
        <w:spacing w:after="0" w:line="276" w:lineRule="auto"/>
        <w:ind w:left="709" w:right="709"/>
        <w:contextualSpacing/>
        <w:jc w:val="both"/>
        <w:rPr>
          <w:rFonts w:ascii="Arial" w:eastAsia="Calibri" w:hAnsi="Arial" w:cs="Arial"/>
          <w:sz w:val="21"/>
          <w:szCs w:val="21"/>
          <w:lang w:val="es-ES" w:eastAsia="es-MX"/>
        </w:rPr>
      </w:pPr>
    </w:p>
    <w:p w14:paraId="55BF58AA" w14:textId="5F6198DE" w:rsidR="00995684" w:rsidRPr="00D51F9C" w:rsidRDefault="000E67AB" w:rsidP="00D51F9C">
      <w:pPr>
        <w:spacing w:after="0" w:line="276" w:lineRule="auto"/>
        <w:ind w:left="709" w:right="709"/>
        <w:contextualSpacing/>
        <w:jc w:val="both"/>
        <w:rPr>
          <w:rFonts w:ascii="Arial" w:eastAsia="Calibri" w:hAnsi="Arial" w:cs="Arial"/>
          <w:i/>
          <w:iCs/>
        </w:rPr>
      </w:pPr>
      <w:r w:rsidRPr="00D51F9C">
        <w:rPr>
          <w:rFonts w:ascii="Arial" w:eastAsia="Calibri" w:hAnsi="Arial" w:cs="Arial"/>
          <w:i/>
          <w:iCs/>
        </w:rPr>
        <w:t>«</w:t>
      </w:r>
      <w:r w:rsidR="00995684" w:rsidRPr="00D51F9C">
        <w:rPr>
          <w:rFonts w:ascii="Arial" w:eastAsia="Calibri" w:hAnsi="Arial" w:cs="Arial"/>
          <w:i/>
          <w:iCs/>
          <w:sz w:val="21"/>
          <w:szCs w:val="21"/>
        </w:rPr>
        <w:t xml:space="preserve">Hay entidades que piden un solo contrato para acreditar todo el monto de la experiencia, y dejan a un lado el derecho de libre concurrencia; y la oportunidad de participar a los </w:t>
      </w:r>
      <w:proofErr w:type="spellStart"/>
      <w:r w:rsidR="00995684" w:rsidRPr="00D51F9C">
        <w:rPr>
          <w:rFonts w:ascii="Arial" w:eastAsia="Calibri" w:hAnsi="Arial" w:cs="Arial"/>
          <w:i/>
          <w:iCs/>
          <w:sz w:val="21"/>
          <w:szCs w:val="21"/>
        </w:rPr>
        <w:t>Mipymes</w:t>
      </w:r>
      <w:proofErr w:type="spellEnd"/>
      <w:r w:rsidR="00995684" w:rsidRPr="00D51F9C">
        <w:rPr>
          <w:rFonts w:ascii="Arial" w:eastAsia="Calibri" w:hAnsi="Arial" w:cs="Arial"/>
          <w:i/>
          <w:iCs/>
          <w:sz w:val="21"/>
          <w:szCs w:val="21"/>
        </w:rPr>
        <w:t xml:space="preserve"> y emprendimiento y empresa de mujeres. Agradezco conforme a la ley el sustento jurídico con el que las Entidades deben solicitar </w:t>
      </w:r>
      <w:proofErr w:type="spellStart"/>
      <w:r w:rsidR="00995684" w:rsidRPr="00D51F9C">
        <w:rPr>
          <w:rFonts w:ascii="Arial" w:eastAsia="Calibri" w:hAnsi="Arial" w:cs="Arial"/>
          <w:i/>
          <w:iCs/>
          <w:sz w:val="21"/>
          <w:szCs w:val="21"/>
        </w:rPr>
        <w:t>mas</w:t>
      </w:r>
      <w:proofErr w:type="spellEnd"/>
      <w:r w:rsidR="00995684" w:rsidRPr="00D51F9C">
        <w:rPr>
          <w:rFonts w:ascii="Arial" w:eastAsia="Calibri" w:hAnsi="Arial" w:cs="Arial"/>
          <w:i/>
          <w:iCs/>
          <w:sz w:val="21"/>
          <w:szCs w:val="21"/>
        </w:rPr>
        <w:t xml:space="preserve"> de un contrato, para hacer la respectiva observación […]»</w:t>
      </w:r>
    </w:p>
    <w:p w14:paraId="4B972C4A" w14:textId="6BB023FD" w:rsidR="00AF24DA" w:rsidRPr="00D51F9C" w:rsidRDefault="00AF24DA" w:rsidP="00D51F9C">
      <w:pPr>
        <w:spacing w:after="0" w:line="276" w:lineRule="auto"/>
        <w:ind w:right="709"/>
        <w:contextualSpacing/>
        <w:jc w:val="both"/>
        <w:rPr>
          <w:rFonts w:ascii="Arial" w:eastAsia="Times New Roman" w:hAnsi="Arial" w:cs="Arial"/>
          <w:sz w:val="21"/>
          <w:szCs w:val="21"/>
          <w:lang w:val="es-ES" w:eastAsia="es-CO"/>
        </w:rPr>
      </w:pPr>
    </w:p>
    <w:p w14:paraId="321EF8BD" w14:textId="72D4DA8A" w:rsidR="003E4432" w:rsidRPr="00D51F9C" w:rsidRDefault="00951ECE" w:rsidP="00951ECE">
      <w:pPr>
        <w:spacing w:after="120" w:line="276" w:lineRule="auto"/>
        <w:jc w:val="both"/>
        <w:rPr>
          <w:rFonts w:ascii="Arial" w:eastAsia="Calibri" w:hAnsi="Arial" w:cs="Arial"/>
        </w:rPr>
      </w:pPr>
      <w:bookmarkStart w:id="18" w:name="_Hlk57650395"/>
      <w:r w:rsidRPr="00D51F9C">
        <w:rPr>
          <w:rFonts w:ascii="Arial" w:hAnsi="Arial" w:cs="Arial"/>
        </w:rPr>
        <w:t xml:space="preserve">De la revisión de la </w:t>
      </w:r>
      <w:r w:rsidR="003E4432" w:rsidRPr="00D51F9C">
        <w:rPr>
          <w:rFonts w:ascii="Arial" w:eastAsia="Times New Roman" w:hAnsi="Arial" w:cs="Arial"/>
          <w:lang w:val="es-ES" w:eastAsia="es-CO"/>
        </w:rPr>
        <w:t>Ley 2069</w:t>
      </w:r>
      <w:r w:rsidRPr="00D51F9C">
        <w:rPr>
          <w:rFonts w:ascii="Arial" w:eastAsia="Times New Roman" w:hAnsi="Arial" w:cs="Arial"/>
          <w:lang w:val="es-ES" w:eastAsia="es-CO"/>
        </w:rPr>
        <w:t xml:space="preserve"> de 2020</w:t>
      </w:r>
      <w:r w:rsidR="003E4432" w:rsidRPr="00D51F9C">
        <w:rPr>
          <w:rFonts w:ascii="Arial" w:eastAsia="Times New Roman" w:hAnsi="Arial" w:cs="Arial"/>
          <w:lang w:val="es-ES" w:eastAsia="es-CO"/>
        </w:rPr>
        <w:t xml:space="preserve">, </w:t>
      </w:r>
      <w:r w:rsidR="003E4432" w:rsidRPr="00D51F9C">
        <w:rPr>
          <w:rFonts w:ascii="Arial" w:eastAsia="Times New Roman" w:hAnsi="Arial" w:cs="Arial"/>
          <w:i/>
          <w:iCs/>
          <w:lang w:val="es-ES" w:eastAsia="es-CO"/>
        </w:rPr>
        <w:t>«Por medio de la cual se impulsa el emprendimiento en Colombia»</w:t>
      </w:r>
      <w:r w:rsidR="00081B49" w:rsidRPr="00D51F9C">
        <w:rPr>
          <w:rFonts w:ascii="Arial" w:eastAsia="Times New Roman" w:hAnsi="Arial" w:cs="Arial"/>
          <w:lang w:val="es-ES" w:eastAsia="es-CO"/>
        </w:rPr>
        <w:t>,</w:t>
      </w:r>
      <w:r w:rsidRPr="00D51F9C">
        <w:rPr>
          <w:rFonts w:ascii="Arial" w:eastAsia="Times New Roman" w:hAnsi="Arial" w:cs="Arial"/>
          <w:lang w:val="es-ES" w:eastAsia="es-CO"/>
        </w:rPr>
        <w:t xml:space="preserve"> su Decreto reglamentario 1860 de 2021</w:t>
      </w:r>
      <w:r w:rsidR="003E4432" w:rsidRPr="00D51F9C">
        <w:rPr>
          <w:rFonts w:ascii="Arial" w:eastAsia="Times New Roman" w:hAnsi="Arial" w:cs="Arial"/>
          <w:lang w:val="es-ES" w:eastAsia="es-CO"/>
        </w:rPr>
        <w:t xml:space="preserve"> </w:t>
      </w:r>
      <w:r w:rsidR="00081B49" w:rsidRPr="00D51F9C">
        <w:rPr>
          <w:rFonts w:ascii="Arial" w:eastAsia="Calibri" w:hAnsi="Arial" w:cs="Arial"/>
        </w:rPr>
        <w:t>y las demás referencias</w:t>
      </w:r>
      <w:r w:rsidR="003E4432" w:rsidRPr="00D51F9C">
        <w:rPr>
          <w:rFonts w:ascii="Arial" w:eastAsia="Calibri" w:hAnsi="Arial" w:cs="Arial"/>
        </w:rPr>
        <w:t xml:space="preserve"> normativas y doctrinarias sobre la experiencia, analizadas en desarrollo del concepto, tales como el artículo 5 de la Ley 1150 de 2007, el artículo 2.2.1.1.1.5.3. del Decreto 1082 de 2015 y el </w:t>
      </w:r>
      <w:bookmarkStart w:id="19" w:name="_Hlk109301466"/>
      <w:r w:rsidR="003E4432" w:rsidRPr="00D51F9C">
        <w:rPr>
          <w:rFonts w:ascii="Arial" w:eastAsia="Calibri" w:hAnsi="Arial" w:cs="Arial"/>
          <w:i/>
          <w:iCs/>
        </w:rPr>
        <w:t>«Manual para determinar y verificar los requisitos habilitantes en los procesos de contratación»,</w:t>
      </w:r>
      <w:r w:rsidR="003E4432" w:rsidRPr="00D51F9C">
        <w:rPr>
          <w:rFonts w:ascii="Arial" w:eastAsia="Calibri" w:hAnsi="Arial" w:cs="Arial"/>
        </w:rPr>
        <w:t xml:space="preserve"> se concluye que el ordenamiento jurídico no establece una noción </w:t>
      </w:r>
      <w:r w:rsidR="007927FA" w:rsidRPr="00D51F9C">
        <w:rPr>
          <w:rFonts w:ascii="Arial" w:eastAsia="Calibri" w:hAnsi="Arial" w:cs="Arial"/>
        </w:rPr>
        <w:t xml:space="preserve">explicita </w:t>
      </w:r>
      <w:r w:rsidR="003E4432" w:rsidRPr="00D51F9C">
        <w:rPr>
          <w:rFonts w:ascii="Arial" w:eastAsia="Calibri" w:hAnsi="Arial" w:cs="Arial"/>
        </w:rPr>
        <w:t xml:space="preserve">de experiencia </w:t>
      </w:r>
      <w:r w:rsidR="007927FA" w:rsidRPr="00D51F9C">
        <w:rPr>
          <w:rFonts w:ascii="Arial" w:eastAsia="Calibri" w:hAnsi="Arial" w:cs="Arial"/>
        </w:rPr>
        <w:t xml:space="preserve">general o </w:t>
      </w:r>
      <w:r w:rsidR="003E4432" w:rsidRPr="00D51F9C">
        <w:rPr>
          <w:rFonts w:ascii="Arial" w:eastAsia="Calibri" w:hAnsi="Arial" w:cs="Arial"/>
        </w:rPr>
        <w:t>específica. Además, conviene precisar que la experiencia tiene una doble funcionalidad en la contratación estatal, como «requisito habilitante» y, por otro lado, como «criterio de asignación de puntaje», en los procesos de selección de consultores. En todo caso, partiendo de un análisis funcional, se concluye que la noción de experiencia, tanto general como específica, atiende a un razonamiento eminentemente técnico, más que a uno jurídico, pese a las referencias realizadas a algunas normas que acuden al concepto de experiencia.</w:t>
      </w:r>
    </w:p>
    <w:p w14:paraId="41A68E10" w14:textId="6AB6AF80" w:rsidR="00081B49" w:rsidRPr="00D51F9C" w:rsidRDefault="003E4432" w:rsidP="000B342A">
      <w:pPr>
        <w:spacing w:after="120" w:line="276" w:lineRule="auto"/>
        <w:ind w:firstLine="708"/>
        <w:jc w:val="both"/>
        <w:rPr>
          <w:rFonts w:ascii="Arial" w:eastAsia="Calibri" w:hAnsi="Arial" w:cs="Arial"/>
        </w:rPr>
      </w:pPr>
      <w:r w:rsidRPr="00D51F9C">
        <w:rPr>
          <w:rFonts w:ascii="Arial" w:eastAsia="Calibri" w:hAnsi="Arial" w:cs="Arial"/>
        </w:rPr>
        <w:t>Visto</w:t>
      </w:r>
      <w:r w:rsidR="007927FA" w:rsidRPr="00D51F9C">
        <w:rPr>
          <w:rFonts w:ascii="Arial" w:eastAsia="Calibri" w:hAnsi="Arial" w:cs="Arial"/>
        </w:rPr>
        <w:t>s</w:t>
      </w:r>
      <w:r w:rsidRPr="00D51F9C">
        <w:rPr>
          <w:rFonts w:ascii="Arial" w:eastAsia="Calibri" w:hAnsi="Arial" w:cs="Arial"/>
        </w:rPr>
        <w:t xml:space="preserve"> los aportes normativos y doctrinarios sobre la experiencia, , atendiendo a la pregunta del peticionario, esta Agencia considera que la experiencia es </w:t>
      </w:r>
      <w:r w:rsidRPr="00D51F9C">
        <w:rPr>
          <w:rFonts w:ascii="Arial" w:eastAsia="Calibri" w:hAnsi="Arial" w:cs="Arial"/>
          <w:i/>
          <w:iCs/>
        </w:rPr>
        <w:t>«[…] el conocimiento del proponente derivado de su participación previa en actividades iguales o similares a las previstas en el objeto del contrato»</w:t>
      </w:r>
      <w:r w:rsidR="000B342A" w:rsidRPr="00D51F9C">
        <w:rPr>
          <w:rFonts w:ascii="Arial" w:eastAsia="Calibri" w:hAnsi="Arial" w:cs="Arial"/>
          <w:i/>
          <w:iCs/>
        </w:rPr>
        <w:t xml:space="preserve">, </w:t>
      </w:r>
      <w:r w:rsidR="000B342A" w:rsidRPr="00D51F9C">
        <w:rPr>
          <w:rFonts w:ascii="Arial" w:eastAsia="Calibri" w:hAnsi="Arial" w:cs="Arial"/>
        </w:rPr>
        <w:t>y teniendo en cuenta que la</w:t>
      </w:r>
      <w:r w:rsidR="00E62A9B" w:rsidRPr="00D51F9C">
        <w:rPr>
          <w:rFonts w:ascii="Arial" w:eastAsia="Calibri" w:hAnsi="Arial" w:cs="Arial"/>
        </w:rPr>
        <w:t xml:space="preserve"> </w:t>
      </w:r>
      <w:r w:rsidR="000B342A" w:rsidRPr="00D51F9C">
        <w:rPr>
          <w:rFonts w:ascii="Arial" w:eastAsia="Calibri" w:hAnsi="Arial" w:cs="Arial"/>
        </w:rPr>
        <w:t xml:space="preserve">Entidad Estatal </w:t>
      </w:r>
      <w:r w:rsidRPr="00D51F9C">
        <w:rPr>
          <w:rFonts w:ascii="Arial" w:eastAsia="Calibri" w:hAnsi="Arial" w:cs="Arial"/>
        </w:rPr>
        <w:t xml:space="preserve"> </w:t>
      </w:r>
      <w:r w:rsidR="00081B49" w:rsidRPr="00D51F9C">
        <w:rPr>
          <w:rFonts w:ascii="Arial" w:eastAsia="Calibri" w:hAnsi="Arial" w:cs="Arial"/>
        </w:rPr>
        <w:t xml:space="preserve">tiene plena autonomía y libertad </w:t>
      </w:r>
      <w:r w:rsidR="000B342A" w:rsidRPr="00D51F9C">
        <w:rPr>
          <w:rFonts w:ascii="Arial" w:eastAsia="Calibri" w:hAnsi="Arial" w:cs="Arial"/>
        </w:rPr>
        <w:t xml:space="preserve">para </w:t>
      </w:r>
      <w:r w:rsidRPr="00D51F9C">
        <w:rPr>
          <w:rFonts w:ascii="Arial" w:eastAsia="Calibri" w:hAnsi="Arial" w:cs="Arial"/>
        </w:rPr>
        <w:t>configur</w:t>
      </w:r>
      <w:r w:rsidR="00081B49" w:rsidRPr="00D51F9C">
        <w:rPr>
          <w:rFonts w:ascii="Arial" w:eastAsia="Calibri" w:hAnsi="Arial" w:cs="Arial"/>
        </w:rPr>
        <w:t>ar</w:t>
      </w:r>
      <w:r w:rsidRPr="00D51F9C">
        <w:rPr>
          <w:rFonts w:ascii="Arial" w:eastAsia="Calibri" w:hAnsi="Arial" w:cs="Arial"/>
        </w:rPr>
        <w:t xml:space="preserve"> </w:t>
      </w:r>
      <w:r w:rsidR="000B342A" w:rsidRPr="00D51F9C">
        <w:rPr>
          <w:rFonts w:ascii="Arial" w:eastAsia="Times New Roman" w:hAnsi="Arial" w:cs="Arial"/>
          <w:b/>
          <w:bCs/>
          <w:lang w:val="es-ES_tradnl" w:eastAsia="es-MX"/>
        </w:rPr>
        <w:t xml:space="preserve">para estructurar los requisitos habilitantes en los procesos que adelantan, pero tal facultad no puede ejercerse de forma arbitraria, caprichosa y, mucho menos, con el ánimo de direccionar el Proceso de Contratación o favorecer a alguno de los proponentes, </w:t>
      </w:r>
      <w:r w:rsidR="000B342A" w:rsidRPr="00D51F9C">
        <w:rPr>
          <w:rFonts w:ascii="Arial" w:eastAsia="Calibri" w:hAnsi="Arial" w:cs="Arial"/>
          <w:b/>
          <w:bCs/>
        </w:rPr>
        <w:t xml:space="preserve">la Agencia recomienda que la experiencia que se solicite sea proporcional y no igual al objeto que se va a contratar. </w:t>
      </w:r>
      <w:r w:rsidR="000B342A" w:rsidRPr="00D51F9C">
        <w:rPr>
          <w:rFonts w:ascii="Arial" w:eastAsia="Calibri" w:hAnsi="Arial" w:cs="Arial"/>
        </w:rPr>
        <w:t>ya que esto puede limitar la participación de los proveedores</w:t>
      </w:r>
      <w:r w:rsidR="00D51F9C">
        <w:rPr>
          <w:rFonts w:ascii="Arial" w:eastAsia="Calibri" w:hAnsi="Arial" w:cs="Arial"/>
        </w:rPr>
        <w:t>.</w:t>
      </w:r>
      <w:r w:rsidRPr="00D51F9C">
        <w:rPr>
          <w:rFonts w:ascii="Arial" w:eastAsia="Calibri" w:hAnsi="Arial" w:cs="Arial"/>
        </w:rPr>
        <w:t xml:space="preserve"> </w:t>
      </w:r>
    </w:p>
    <w:bookmarkEnd w:id="19"/>
    <w:p w14:paraId="45A0B3B1" w14:textId="36C14639" w:rsidR="003E4432" w:rsidRPr="00D51F9C" w:rsidRDefault="003E4432" w:rsidP="00951ECE">
      <w:pPr>
        <w:spacing w:line="276" w:lineRule="auto"/>
        <w:ind w:firstLine="708"/>
        <w:jc w:val="both"/>
        <w:rPr>
          <w:rFonts w:ascii="Arial" w:eastAsia="Calibri" w:hAnsi="Arial" w:cs="Arial"/>
        </w:rPr>
      </w:pPr>
      <w:r w:rsidRPr="00D51F9C">
        <w:rPr>
          <w:rFonts w:ascii="Arial" w:eastAsia="Calibri" w:hAnsi="Arial" w:cs="Arial"/>
        </w:rPr>
        <w:t xml:space="preserve">De igual forma, y con fundamento en el </w:t>
      </w:r>
      <w:r w:rsidRPr="00D51F9C">
        <w:rPr>
          <w:rFonts w:ascii="Arial" w:eastAsia="Calibri" w:hAnsi="Arial" w:cs="Arial"/>
          <w:i/>
          <w:iCs/>
        </w:rPr>
        <w:t>«Manual para determinar y verificar los requisitos habilitantes en los procesos de contratación»,</w:t>
      </w:r>
      <w:r w:rsidRPr="00D51F9C">
        <w:rPr>
          <w:rFonts w:ascii="Arial" w:eastAsia="Calibri" w:hAnsi="Arial" w:cs="Arial"/>
        </w:rPr>
        <w:t xml:space="preserve"> </w:t>
      </w:r>
      <w:r w:rsidR="000B342A" w:rsidRPr="00D51F9C">
        <w:rPr>
          <w:rFonts w:ascii="Arial" w:eastAsia="Calibri" w:hAnsi="Arial" w:cs="Arial"/>
        </w:rPr>
        <w:t>se tiene que</w:t>
      </w:r>
      <w:r w:rsidR="00D51F9C">
        <w:rPr>
          <w:rFonts w:ascii="Arial" w:eastAsia="Calibri" w:hAnsi="Arial" w:cs="Arial"/>
        </w:rPr>
        <w:t>,</w:t>
      </w:r>
      <w:r w:rsidR="000B342A" w:rsidRPr="00D51F9C">
        <w:rPr>
          <w:rFonts w:ascii="Arial" w:eastAsia="Calibri" w:hAnsi="Arial" w:cs="Arial"/>
        </w:rPr>
        <w:t xml:space="preserve"> </w:t>
      </w:r>
      <w:r w:rsidR="000B342A" w:rsidRPr="00D51F9C">
        <w:rPr>
          <w:rFonts w:ascii="Arial" w:eastAsia="Calibri" w:hAnsi="Arial" w:cs="Arial"/>
          <w:i/>
          <w:iCs/>
        </w:rPr>
        <w:t>«l</w:t>
      </w:r>
      <w:r w:rsidRPr="00D51F9C">
        <w:rPr>
          <w:rFonts w:ascii="Arial" w:eastAsia="Calibri" w:hAnsi="Arial" w:cs="Arial"/>
          <w:i/>
          <w:iCs/>
        </w:rPr>
        <w:t>a experiencia es adecuada cuando es afín al tipo de actividades previstas en el objeto del contrato a celebrar. […] La experiencia es proporcional cuando tiene relación con el alcance, la cuantía y complejidad del contrato a celebrar».</w:t>
      </w:r>
    </w:p>
    <w:p w14:paraId="3D817447" w14:textId="5070DCDB" w:rsidR="007A2DDA" w:rsidRPr="00D51F9C" w:rsidRDefault="00E62A9B" w:rsidP="00D51F9C">
      <w:pPr>
        <w:spacing w:after="120" w:line="276" w:lineRule="auto"/>
        <w:ind w:firstLine="709"/>
        <w:jc w:val="both"/>
        <w:rPr>
          <w:rFonts w:ascii="Arial" w:eastAsia="Times New Roman" w:hAnsi="Arial" w:cs="Arial"/>
          <w:lang w:eastAsia="es-CO"/>
        </w:rPr>
      </w:pPr>
      <w:r w:rsidRPr="00D51F9C">
        <w:rPr>
          <w:rFonts w:ascii="Arial" w:eastAsia="Times New Roman" w:hAnsi="Arial" w:cs="Arial"/>
          <w:lang w:val="es-ES" w:eastAsia="es-CO"/>
        </w:rPr>
        <w:lastRenderedPageBreak/>
        <w:t xml:space="preserve">Lo anterior, sin perjuicio </w:t>
      </w:r>
      <w:r w:rsidR="000B342A" w:rsidRPr="00D51F9C">
        <w:rPr>
          <w:rFonts w:ascii="Arial" w:eastAsia="Times New Roman" w:hAnsi="Arial" w:cs="Arial"/>
          <w:lang w:val="es-ES" w:eastAsia="es-CO"/>
        </w:rPr>
        <w:t>del deber</w:t>
      </w:r>
      <w:r w:rsidRPr="00D51F9C">
        <w:rPr>
          <w:rFonts w:ascii="Arial" w:eastAsia="Times New Roman" w:hAnsi="Arial" w:cs="Arial"/>
          <w:lang w:val="es-ES" w:eastAsia="es-CO"/>
        </w:rPr>
        <w:t xml:space="preserve"> que tienen las entidades </w:t>
      </w:r>
      <w:r w:rsidR="00532AAF" w:rsidRPr="00D51F9C">
        <w:rPr>
          <w:rFonts w:ascii="Arial" w:eastAsia="Times New Roman" w:hAnsi="Arial" w:cs="Arial"/>
          <w:lang w:eastAsia="es-CO"/>
        </w:rPr>
        <w:t>contratantes</w:t>
      </w:r>
      <w:r w:rsidR="00532AAF" w:rsidRPr="00D51F9C">
        <w:rPr>
          <w:rFonts w:ascii="Arial" w:eastAsia="Times New Roman" w:hAnsi="Arial" w:cs="Arial"/>
          <w:lang w:val="es-ES" w:eastAsia="es-CO"/>
        </w:rPr>
        <w:t xml:space="preserve"> </w:t>
      </w:r>
      <w:r w:rsidRPr="00D51F9C">
        <w:rPr>
          <w:rFonts w:ascii="Arial" w:eastAsia="Times New Roman" w:hAnsi="Arial" w:cs="Arial"/>
          <w:lang w:val="es-ES" w:eastAsia="es-CO"/>
        </w:rPr>
        <w:t xml:space="preserve">para </w:t>
      </w:r>
      <w:r w:rsidR="00532AAF" w:rsidRPr="00D51F9C">
        <w:rPr>
          <w:rFonts w:ascii="Arial" w:eastAsia="Times New Roman" w:hAnsi="Arial" w:cs="Arial"/>
          <w:lang w:val="es-ES" w:eastAsia="es-CO"/>
        </w:rPr>
        <w:t xml:space="preserve">que, </w:t>
      </w:r>
      <w:r w:rsidR="00532AAF" w:rsidRPr="00D51F9C">
        <w:rPr>
          <w:rFonts w:ascii="Arial" w:eastAsia="Times New Roman" w:hAnsi="Arial" w:cs="Arial"/>
          <w:lang w:eastAsia="es-CO"/>
        </w:rPr>
        <w:t xml:space="preserve">en virtud de los incentivos previstos en los artículos 31 y 32 de la Ley 2069 de 2020 y su reglamentación contenida en el Decreto 1860 de 2021, se establezca la selección objetiva del contratista del Estado acudiendo a factores habilitantes y de calificación de los participantes fijados en los pliegos de condiciones de forma </w:t>
      </w:r>
      <w:r w:rsidR="00532AAF" w:rsidRPr="00D51F9C">
        <w:rPr>
          <w:rFonts w:ascii="Arial" w:eastAsia="Times New Roman" w:hAnsi="Arial" w:cs="Arial"/>
          <w:i/>
          <w:iCs/>
          <w:lang w:eastAsia="es-CO"/>
        </w:rPr>
        <w:t>diferencial</w:t>
      </w:r>
      <w:r w:rsidR="00532AAF" w:rsidRPr="00D51F9C">
        <w:rPr>
          <w:rFonts w:ascii="Arial" w:eastAsia="Times New Roman" w:hAnsi="Arial" w:cs="Arial"/>
          <w:lang w:eastAsia="es-CO"/>
        </w:rPr>
        <w:t xml:space="preserve">, con el objeto de fomentar o facilitar el acceso a las compras públicas de sujetos de menor capacidad en el mercado, como es el caso de los emprendimientos y empresas de mujeres y las </w:t>
      </w:r>
      <w:r w:rsidR="00C548DC" w:rsidRPr="00D51F9C">
        <w:rPr>
          <w:rFonts w:ascii="Arial" w:eastAsia="Times New Roman" w:hAnsi="Arial" w:cs="Arial"/>
          <w:lang w:eastAsia="es-CO"/>
        </w:rPr>
        <w:t>MiPymes</w:t>
      </w:r>
      <w:r w:rsidR="00532AAF" w:rsidRPr="00D51F9C">
        <w:rPr>
          <w:rFonts w:ascii="Arial" w:eastAsia="Times New Roman" w:hAnsi="Arial" w:cs="Arial"/>
          <w:lang w:eastAsia="es-CO"/>
        </w:rPr>
        <w:t>, por razones de equidad, siempre y cuando el uso de estas medidas afirmativas resulte justificado y no ponga en riesgo el adecuado cumplimiento del contrato, según el análisis del sector y los estudios previos que soporten el proceso contractual. Para el efecto</w:t>
      </w:r>
      <w:r w:rsidR="000B342A" w:rsidRPr="00D51F9C">
        <w:rPr>
          <w:rFonts w:ascii="Arial" w:eastAsia="Times New Roman" w:hAnsi="Arial" w:cs="Arial"/>
          <w:lang w:eastAsia="es-CO"/>
        </w:rPr>
        <w:t>,</w:t>
      </w:r>
      <w:r w:rsidR="00532AAF" w:rsidRPr="00D51F9C">
        <w:rPr>
          <w:rFonts w:ascii="Arial" w:eastAsia="Times New Roman" w:hAnsi="Arial" w:cs="Arial"/>
          <w:lang w:eastAsia="es-CO"/>
        </w:rPr>
        <w:t xml:space="preserve"> dichos requisitos habilitantes contemplados en el pliego de condiciones </w:t>
      </w:r>
      <w:r w:rsidR="000B342A" w:rsidRPr="00D51F9C">
        <w:rPr>
          <w:rFonts w:ascii="Arial" w:eastAsia="Times New Roman" w:hAnsi="Arial" w:cs="Arial"/>
          <w:lang w:eastAsia="es-CO"/>
        </w:rPr>
        <w:t xml:space="preserve">o documento que haga sus veces </w:t>
      </w:r>
      <w:r w:rsidR="00532AAF" w:rsidRPr="00D51F9C">
        <w:rPr>
          <w:rFonts w:ascii="Arial" w:eastAsia="Times New Roman" w:hAnsi="Arial" w:cs="Arial"/>
          <w:lang w:eastAsia="es-CO"/>
        </w:rPr>
        <w:t xml:space="preserve">podrán ser menos exigentes para los emprendimientos y empresas de mujeres y para las </w:t>
      </w:r>
      <w:r w:rsidR="00C548DC" w:rsidRPr="00D51F9C">
        <w:rPr>
          <w:rFonts w:ascii="Arial" w:eastAsia="Times New Roman" w:hAnsi="Arial" w:cs="Arial"/>
          <w:lang w:eastAsia="es-CO"/>
        </w:rPr>
        <w:t>MiPymes</w:t>
      </w:r>
      <w:r w:rsidR="00532AAF" w:rsidRPr="00D51F9C">
        <w:rPr>
          <w:rFonts w:ascii="Arial" w:eastAsia="Times New Roman" w:hAnsi="Arial" w:cs="Arial"/>
          <w:lang w:eastAsia="es-CO"/>
        </w:rPr>
        <w:t>, según lo justifiquen los instrumentos de planeación precontractual necesarios para cada contratación.</w:t>
      </w:r>
    </w:p>
    <w:p w14:paraId="69B6F940" w14:textId="60FB7747" w:rsidR="00AF24DA" w:rsidRDefault="00AF24DA" w:rsidP="00D51F9C">
      <w:pPr>
        <w:widowControl w:val="0"/>
        <w:autoSpaceDE w:val="0"/>
        <w:autoSpaceDN w:val="0"/>
        <w:spacing w:after="0" w:line="276" w:lineRule="auto"/>
        <w:contextualSpacing/>
        <w:jc w:val="both"/>
        <w:rPr>
          <w:rFonts w:ascii="Arial" w:eastAsia="Times New Roman" w:hAnsi="Arial" w:cs="Arial"/>
          <w:lang w:eastAsia="es-ES_tradnl"/>
        </w:rPr>
      </w:pPr>
      <w:r w:rsidRPr="00D51F9C">
        <w:rPr>
          <w:rFonts w:ascii="Arial" w:eastAsia="Calibri" w:hAnsi="Arial" w:cs="Arial"/>
        </w:rPr>
        <w:t>Este concepto tiene el alcance previsto en el artículo 28 del Código de Procedimiento Administrativo y de lo Contencioso Administrativo</w:t>
      </w:r>
      <w:r w:rsidR="007A2DDA" w:rsidRPr="00D51F9C">
        <w:rPr>
          <w:rFonts w:ascii="Arial" w:eastAsia="Calibri" w:hAnsi="Arial" w:cs="Arial"/>
        </w:rPr>
        <w:t xml:space="preserve"> y las expresiones aquí utilizadas con mayúscula inicial deben ser entendidas con el significado otorgado por el Decreto 1082 de 2015</w:t>
      </w:r>
    </w:p>
    <w:p w14:paraId="2A1BC346" w14:textId="77777777" w:rsidR="00D51F9C" w:rsidRPr="00D51F9C" w:rsidRDefault="00D51F9C" w:rsidP="00D51F9C">
      <w:pPr>
        <w:widowControl w:val="0"/>
        <w:autoSpaceDE w:val="0"/>
        <w:autoSpaceDN w:val="0"/>
        <w:spacing w:after="0" w:line="276" w:lineRule="auto"/>
        <w:contextualSpacing/>
        <w:jc w:val="both"/>
        <w:rPr>
          <w:rFonts w:ascii="Arial" w:eastAsia="Times New Roman" w:hAnsi="Arial" w:cs="Arial"/>
          <w:lang w:eastAsia="es-ES_tradnl"/>
        </w:rPr>
      </w:pPr>
    </w:p>
    <w:p w14:paraId="2B84F05B" w14:textId="496FEA8D" w:rsidR="00AF24DA" w:rsidRPr="00D51F9C" w:rsidRDefault="00AF24DA" w:rsidP="00951ECE">
      <w:pPr>
        <w:spacing w:after="200" w:line="276" w:lineRule="auto"/>
        <w:jc w:val="both"/>
        <w:rPr>
          <w:rFonts w:ascii="Arial" w:eastAsia="Times New Roman" w:hAnsi="Arial" w:cs="Arial"/>
          <w:lang w:eastAsia="es-CO"/>
        </w:rPr>
      </w:pPr>
      <w:r w:rsidRPr="00D51F9C">
        <w:rPr>
          <w:rFonts w:ascii="Arial" w:eastAsia="Times New Roman" w:hAnsi="Arial" w:cs="Arial"/>
          <w:lang w:eastAsia="es-CO"/>
        </w:rPr>
        <w:t>Atentamente,</w:t>
      </w:r>
    </w:p>
    <w:p w14:paraId="289CF0D7" w14:textId="25D9BE3E" w:rsidR="00A95BD1" w:rsidRPr="00D51F9C" w:rsidRDefault="00FB50F3" w:rsidP="00951ECE">
      <w:pPr>
        <w:spacing w:after="120" w:line="276" w:lineRule="auto"/>
        <w:jc w:val="center"/>
        <w:rPr>
          <w:rFonts w:ascii="Arial" w:eastAsia="Calibri" w:hAnsi="Arial" w:cs="Arial"/>
        </w:rPr>
      </w:pPr>
      <w:r>
        <w:rPr>
          <w:rFonts w:ascii="Arial" w:hAnsi="Arial" w:cs="Arial"/>
          <w:noProof/>
          <w:color w:val="1A1A1A" w:themeColor="background1" w:themeShade="1A"/>
          <w:lang w:eastAsia="es-CO"/>
        </w:rPr>
        <w:drawing>
          <wp:inline distT="0" distB="0" distL="0" distR="0" wp14:anchorId="2D6427E4" wp14:editId="765B27B9">
            <wp:extent cx="2533650" cy="98107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A95BD1" w:rsidRPr="00D51F9C" w14:paraId="3C16596C" w14:textId="77777777" w:rsidTr="00F77448">
        <w:trPr>
          <w:trHeight w:val="286"/>
        </w:trPr>
        <w:tc>
          <w:tcPr>
            <w:tcW w:w="817" w:type="dxa"/>
            <w:vAlign w:val="center"/>
          </w:tcPr>
          <w:p w14:paraId="27D0379B" w14:textId="77777777" w:rsidR="00A95BD1" w:rsidRPr="00D51F9C" w:rsidRDefault="00A95BD1" w:rsidP="00D51F9C">
            <w:pPr>
              <w:spacing w:line="276" w:lineRule="auto"/>
              <w:rPr>
                <w:rFonts w:ascii="Arial" w:hAnsi="Arial" w:cs="Arial"/>
                <w:sz w:val="16"/>
                <w:szCs w:val="16"/>
                <w:lang w:eastAsia="es-ES"/>
              </w:rPr>
            </w:pPr>
            <w:r w:rsidRPr="00D51F9C">
              <w:rPr>
                <w:rFonts w:ascii="Arial" w:hAnsi="Arial" w:cs="Arial"/>
                <w:sz w:val="16"/>
                <w:szCs w:val="16"/>
                <w:lang w:eastAsia="es-ES"/>
              </w:rPr>
              <w:t>Elaboró:</w:t>
            </w:r>
          </w:p>
        </w:tc>
        <w:tc>
          <w:tcPr>
            <w:tcW w:w="4445" w:type="dxa"/>
            <w:tcBorders>
              <w:bottom w:val="dotted" w:sz="4" w:space="0" w:color="7F7F7F"/>
            </w:tcBorders>
            <w:vAlign w:val="center"/>
          </w:tcPr>
          <w:p w14:paraId="79F2046E" w14:textId="77777777" w:rsidR="00A95BD1" w:rsidRPr="00D51F9C" w:rsidRDefault="00A95BD1" w:rsidP="00D51F9C">
            <w:pPr>
              <w:spacing w:line="276" w:lineRule="auto"/>
              <w:rPr>
                <w:rFonts w:ascii="Arial" w:hAnsi="Arial" w:cs="Arial"/>
                <w:sz w:val="16"/>
                <w:szCs w:val="16"/>
                <w:lang w:eastAsia="es-ES"/>
              </w:rPr>
            </w:pPr>
            <w:r w:rsidRPr="00D51F9C">
              <w:rPr>
                <w:rFonts w:ascii="Arial" w:hAnsi="Arial" w:cs="Arial"/>
                <w:sz w:val="16"/>
                <w:szCs w:val="16"/>
                <w:lang w:eastAsia="es-ES"/>
              </w:rPr>
              <w:t xml:space="preserve">Diana Fabiola Herrera Hernández </w:t>
            </w:r>
          </w:p>
          <w:p w14:paraId="54A0E8F8" w14:textId="77777777" w:rsidR="00A95BD1" w:rsidRPr="00D51F9C" w:rsidRDefault="00A95BD1" w:rsidP="00D51F9C">
            <w:pPr>
              <w:spacing w:line="276" w:lineRule="auto"/>
              <w:rPr>
                <w:rFonts w:ascii="Arial" w:hAnsi="Arial" w:cs="Arial"/>
                <w:sz w:val="16"/>
                <w:szCs w:val="16"/>
                <w:lang w:eastAsia="es-ES"/>
              </w:rPr>
            </w:pPr>
            <w:r w:rsidRPr="00D51F9C">
              <w:rPr>
                <w:rFonts w:ascii="Arial" w:hAnsi="Arial" w:cs="Arial"/>
                <w:sz w:val="16"/>
                <w:szCs w:val="16"/>
                <w:lang w:eastAsia="es-ES"/>
              </w:rPr>
              <w:t>Contratista de la Subdirección de Gestión Contractual</w:t>
            </w:r>
          </w:p>
        </w:tc>
      </w:tr>
      <w:tr w:rsidR="00A95BD1" w:rsidRPr="00D51F9C" w14:paraId="2D8CE43D" w14:textId="77777777" w:rsidTr="00F77448">
        <w:trPr>
          <w:trHeight w:val="299"/>
        </w:trPr>
        <w:tc>
          <w:tcPr>
            <w:tcW w:w="817" w:type="dxa"/>
            <w:vAlign w:val="center"/>
          </w:tcPr>
          <w:p w14:paraId="40714A38" w14:textId="77777777" w:rsidR="00A95BD1" w:rsidRPr="00D51F9C" w:rsidRDefault="00A95BD1" w:rsidP="00D51F9C">
            <w:pPr>
              <w:spacing w:line="276" w:lineRule="auto"/>
              <w:rPr>
                <w:rFonts w:ascii="Arial" w:hAnsi="Arial" w:cs="Arial"/>
                <w:sz w:val="16"/>
                <w:szCs w:val="16"/>
                <w:lang w:eastAsia="es-ES"/>
              </w:rPr>
            </w:pPr>
            <w:r w:rsidRPr="00D51F9C">
              <w:rPr>
                <w:rFonts w:ascii="Arial" w:hAnsi="Arial" w:cs="Arial"/>
                <w:sz w:val="16"/>
                <w:szCs w:val="16"/>
                <w:lang w:eastAsia="es-ES"/>
              </w:rPr>
              <w:t>Revisó:</w:t>
            </w:r>
          </w:p>
        </w:tc>
        <w:tc>
          <w:tcPr>
            <w:tcW w:w="4445" w:type="dxa"/>
            <w:tcBorders>
              <w:top w:val="dotted" w:sz="4" w:space="0" w:color="7F7F7F"/>
              <w:bottom w:val="dotted" w:sz="4" w:space="0" w:color="7F7F7F"/>
            </w:tcBorders>
            <w:vAlign w:val="center"/>
          </w:tcPr>
          <w:p w14:paraId="553912D8" w14:textId="06F045D9" w:rsidR="00A95BD1" w:rsidRPr="00D51F9C" w:rsidRDefault="00A95BD1" w:rsidP="00D51F9C">
            <w:pPr>
              <w:spacing w:line="276" w:lineRule="auto"/>
              <w:rPr>
                <w:rFonts w:ascii="Arial" w:hAnsi="Arial" w:cs="Arial"/>
                <w:sz w:val="16"/>
                <w:szCs w:val="16"/>
                <w:lang w:eastAsia="es-ES"/>
              </w:rPr>
            </w:pPr>
            <w:r w:rsidRPr="00D51F9C">
              <w:rPr>
                <w:rFonts w:ascii="Arial" w:hAnsi="Arial" w:cs="Arial"/>
                <w:sz w:val="16"/>
                <w:szCs w:val="16"/>
                <w:lang w:eastAsia="es-ES"/>
              </w:rPr>
              <w:t>Any Alejandra Tovar Castillo</w:t>
            </w:r>
          </w:p>
          <w:p w14:paraId="0994D3C5" w14:textId="77777777" w:rsidR="00A95BD1" w:rsidRPr="00D51F9C" w:rsidRDefault="00A95BD1" w:rsidP="00D51F9C">
            <w:pPr>
              <w:spacing w:line="276" w:lineRule="auto"/>
              <w:rPr>
                <w:rFonts w:ascii="Arial" w:hAnsi="Arial" w:cs="Arial"/>
                <w:sz w:val="16"/>
                <w:szCs w:val="16"/>
                <w:lang w:eastAsia="es-ES"/>
              </w:rPr>
            </w:pPr>
            <w:r w:rsidRPr="00D51F9C">
              <w:rPr>
                <w:rFonts w:ascii="Arial" w:hAnsi="Arial" w:cs="Arial"/>
                <w:sz w:val="16"/>
                <w:szCs w:val="16"/>
                <w:lang w:eastAsia="es-ES"/>
              </w:rPr>
              <w:t>Contratista de la Subdirección de Gestión Contractual</w:t>
            </w:r>
          </w:p>
        </w:tc>
      </w:tr>
      <w:tr w:rsidR="00A95BD1" w:rsidRPr="0013739E" w14:paraId="008AC159" w14:textId="77777777" w:rsidTr="00F77448">
        <w:trPr>
          <w:trHeight w:val="272"/>
        </w:trPr>
        <w:tc>
          <w:tcPr>
            <w:tcW w:w="817" w:type="dxa"/>
            <w:vAlign w:val="center"/>
          </w:tcPr>
          <w:p w14:paraId="111CD06E" w14:textId="77777777" w:rsidR="00A95BD1" w:rsidRPr="00D51F9C" w:rsidRDefault="00A95BD1" w:rsidP="00D51F9C">
            <w:pPr>
              <w:spacing w:line="276" w:lineRule="auto"/>
              <w:rPr>
                <w:rFonts w:ascii="Arial" w:hAnsi="Arial" w:cs="Arial"/>
                <w:sz w:val="16"/>
                <w:szCs w:val="16"/>
                <w:lang w:eastAsia="es-ES"/>
              </w:rPr>
            </w:pPr>
            <w:r w:rsidRPr="00D51F9C">
              <w:rPr>
                <w:rFonts w:ascii="Arial" w:hAnsi="Arial" w:cs="Arial"/>
                <w:sz w:val="16"/>
                <w:szCs w:val="16"/>
                <w:lang w:eastAsia="es-ES"/>
              </w:rPr>
              <w:t>Aprobó:</w:t>
            </w:r>
          </w:p>
        </w:tc>
        <w:tc>
          <w:tcPr>
            <w:tcW w:w="4445" w:type="dxa"/>
            <w:tcBorders>
              <w:top w:val="dotted" w:sz="4" w:space="0" w:color="7F7F7F"/>
              <w:bottom w:val="dotted" w:sz="4" w:space="0" w:color="7F7F7F"/>
            </w:tcBorders>
            <w:vAlign w:val="center"/>
          </w:tcPr>
          <w:p w14:paraId="1974BE64" w14:textId="77777777" w:rsidR="00A95BD1" w:rsidRPr="00D51F9C" w:rsidRDefault="00A95BD1" w:rsidP="00D51F9C">
            <w:pPr>
              <w:spacing w:line="276" w:lineRule="auto"/>
              <w:rPr>
                <w:rFonts w:ascii="Arial" w:hAnsi="Arial" w:cs="Arial"/>
                <w:sz w:val="16"/>
                <w:szCs w:val="16"/>
                <w:lang w:eastAsia="es-ES"/>
              </w:rPr>
            </w:pPr>
            <w:r w:rsidRPr="00D51F9C">
              <w:rPr>
                <w:rFonts w:ascii="Arial" w:hAnsi="Arial" w:cs="Arial"/>
                <w:sz w:val="16"/>
                <w:szCs w:val="16"/>
                <w:lang w:eastAsia="es-ES"/>
              </w:rPr>
              <w:t xml:space="preserve">Juan David Marín López </w:t>
            </w:r>
          </w:p>
          <w:p w14:paraId="2EB8BF2C" w14:textId="77777777" w:rsidR="00A95BD1" w:rsidRPr="0013739E" w:rsidRDefault="00A95BD1" w:rsidP="00D51F9C">
            <w:pPr>
              <w:spacing w:line="276" w:lineRule="auto"/>
              <w:rPr>
                <w:rFonts w:ascii="Arial" w:hAnsi="Arial" w:cs="Arial"/>
                <w:sz w:val="16"/>
                <w:szCs w:val="16"/>
                <w:lang w:eastAsia="es-ES"/>
              </w:rPr>
            </w:pPr>
            <w:r w:rsidRPr="00D51F9C">
              <w:rPr>
                <w:rFonts w:ascii="Arial" w:hAnsi="Arial" w:cs="Arial"/>
                <w:sz w:val="16"/>
                <w:szCs w:val="16"/>
                <w:lang w:eastAsia="es-ES"/>
              </w:rPr>
              <w:t>Subdirector de Gestión Contractual ANCP – CCE (E)</w:t>
            </w:r>
          </w:p>
        </w:tc>
      </w:tr>
      <w:bookmarkEnd w:id="0"/>
      <w:bookmarkEnd w:id="1"/>
      <w:bookmarkEnd w:id="2"/>
      <w:bookmarkEnd w:id="18"/>
    </w:tbl>
    <w:p w14:paraId="6585F5F1" w14:textId="77777777" w:rsidR="00A95BD1" w:rsidRPr="0013739E" w:rsidRDefault="00A95BD1" w:rsidP="00951ECE">
      <w:pPr>
        <w:spacing w:after="200" w:line="276" w:lineRule="auto"/>
        <w:jc w:val="both"/>
        <w:rPr>
          <w:rFonts w:ascii="Arial" w:eastAsia="Times New Roman" w:hAnsi="Arial" w:cs="Arial"/>
          <w:lang w:eastAsia="es-CO"/>
        </w:rPr>
      </w:pPr>
    </w:p>
    <w:sectPr w:rsidR="00A95BD1" w:rsidRPr="0013739E" w:rsidSect="00EB6258">
      <w:headerReference w:type="default" r:id="rId14"/>
      <w:footerReference w:type="default" r:id="rId15"/>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0E85" w14:textId="77777777" w:rsidR="00CF720E" w:rsidRDefault="00CF720E" w:rsidP="00AF24DA">
      <w:pPr>
        <w:spacing w:after="0" w:line="240" w:lineRule="auto"/>
      </w:pPr>
      <w:r>
        <w:separator/>
      </w:r>
    </w:p>
  </w:endnote>
  <w:endnote w:type="continuationSeparator" w:id="0">
    <w:p w14:paraId="7F22BAB6" w14:textId="77777777" w:rsidR="00CF720E" w:rsidRDefault="00CF720E" w:rsidP="00AF2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A502" w14:textId="77777777" w:rsidR="00412132" w:rsidRDefault="00000000" w:rsidP="00B6444C">
    <w:pPr>
      <w:pStyle w:val="Sinespaciado"/>
      <w:rPr>
        <w:rFonts w:ascii="Arial" w:hAnsi="Arial" w:cs="Arial"/>
        <w:sz w:val="18"/>
        <w:szCs w:val="18"/>
      </w:rPr>
    </w:pPr>
  </w:p>
  <w:p w14:paraId="73F6D0CF" w14:textId="363DC544" w:rsidR="00EB6258" w:rsidRDefault="009F75C6" w:rsidP="00EB6258">
    <w:pPr>
      <w:pStyle w:val="Piedepgina"/>
      <w:jc w:val="right"/>
      <w:rPr>
        <w:lang w:val="es-ES"/>
      </w:rPr>
    </w:pPr>
    <w:r w:rsidRPr="00921225">
      <w:rPr>
        <w:rFonts w:ascii="Arial" w:hAnsi="Arial" w:cs="Arial"/>
        <w:bCs/>
        <w:color w:val="7F7F7F"/>
        <w:sz w:val="16"/>
        <w:szCs w:val="16"/>
      </w:rPr>
      <w:t xml:space="preserve">Página </w:t>
    </w:r>
    <w:r w:rsidRPr="00921225">
      <w:rPr>
        <w:rFonts w:ascii="Arial" w:hAnsi="Arial" w:cs="Arial"/>
        <w:b/>
        <w:bCs/>
        <w:color w:val="7F7F7F"/>
        <w:sz w:val="16"/>
        <w:szCs w:val="16"/>
      </w:rPr>
      <w:fldChar w:fldCharType="begin"/>
    </w:r>
    <w:r w:rsidRPr="00921225">
      <w:rPr>
        <w:rFonts w:ascii="Arial" w:hAnsi="Arial" w:cs="Arial"/>
        <w:b/>
        <w:bCs/>
        <w:color w:val="7F7F7F"/>
        <w:sz w:val="16"/>
        <w:szCs w:val="16"/>
      </w:rPr>
      <w:instrText>PAGE  \* Arabic  \* MERGEFORMAT</w:instrText>
    </w:r>
    <w:r w:rsidRPr="00921225">
      <w:rPr>
        <w:rFonts w:ascii="Arial" w:hAnsi="Arial" w:cs="Arial"/>
        <w:b/>
        <w:bCs/>
        <w:color w:val="7F7F7F"/>
        <w:sz w:val="16"/>
        <w:szCs w:val="16"/>
      </w:rPr>
      <w:fldChar w:fldCharType="separate"/>
    </w:r>
    <w:r w:rsidR="00C113FB">
      <w:rPr>
        <w:rFonts w:ascii="Arial" w:hAnsi="Arial" w:cs="Arial"/>
        <w:b/>
        <w:bCs/>
        <w:noProof/>
        <w:color w:val="7F7F7F"/>
        <w:sz w:val="16"/>
        <w:szCs w:val="16"/>
      </w:rPr>
      <w:t>17</w:t>
    </w:r>
    <w:r w:rsidRPr="00921225">
      <w:rPr>
        <w:rFonts w:ascii="Arial" w:hAnsi="Arial" w:cs="Arial"/>
        <w:b/>
        <w:bCs/>
        <w:color w:val="7F7F7F"/>
        <w:sz w:val="16"/>
        <w:szCs w:val="16"/>
      </w:rPr>
      <w:fldChar w:fldCharType="end"/>
    </w:r>
    <w:r w:rsidRPr="00921225">
      <w:rPr>
        <w:rFonts w:ascii="Arial" w:hAnsi="Arial" w:cs="Arial"/>
        <w:color w:val="7F7F7F"/>
        <w:sz w:val="16"/>
        <w:szCs w:val="16"/>
      </w:rPr>
      <w:t xml:space="preserve"> de </w:t>
    </w:r>
    <w:r w:rsidRPr="00921225">
      <w:rPr>
        <w:rFonts w:ascii="Arial" w:hAnsi="Arial" w:cs="Arial"/>
        <w:b/>
        <w:bCs/>
        <w:color w:val="7F7F7F"/>
        <w:sz w:val="16"/>
        <w:szCs w:val="16"/>
      </w:rPr>
      <w:fldChar w:fldCharType="begin"/>
    </w:r>
    <w:r w:rsidRPr="00921225">
      <w:rPr>
        <w:rFonts w:ascii="Arial" w:hAnsi="Arial" w:cs="Arial"/>
        <w:b/>
        <w:bCs/>
        <w:color w:val="7F7F7F"/>
        <w:sz w:val="16"/>
        <w:szCs w:val="16"/>
      </w:rPr>
      <w:instrText>NUMPAGES  \* Arabic  \* MERGEFORMAT</w:instrText>
    </w:r>
    <w:r w:rsidRPr="00921225">
      <w:rPr>
        <w:rFonts w:ascii="Arial" w:hAnsi="Arial" w:cs="Arial"/>
        <w:b/>
        <w:bCs/>
        <w:color w:val="7F7F7F"/>
        <w:sz w:val="16"/>
        <w:szCs w:val="16"/>
      </w:rPr>
      <w:fldChar w:fldCharType="separate"/>
    </w:r>
    <w:r w:rsidR="00C113FB">
      <w:rPr>
        <w:rFonts w:ascii="Arial" w:hAnsi="Arial" w:cs="Arial"/>
        <w:b/>
        <w:bCs/>
        <w:noProof/>
        <w:color w:val="7F7F7F"/>
        <w:sz w:val="16"/>
        <w:szCs w:val="16"/>
      </w:rPr>
      <w:t>17</w:t>
    </w:r>
    <w:r w:rsidRPr="00921225">
      <w:rPr>
        <w:rFonts w:ascii="Arial" w:hAnsi="Arial" w:cs="Arial"/>
        <w:b/>
        <w:bCs/>
        <w:color w:val="7F7F7F"/>
        <w:sz w:val="16"/>
        <w:szCs w:val="16"/>
      </w:rPr>
      <w:fldChar w:fldCharType="end"/>
    </w:r>
  </w:p>
  <w:p w14:paraId="5E29D96E" w14:textId="77777777" w:rsidR="002C1833" w:rsidRPr="007B0854" w:rsidRDefault="002C1833" w:rsidP="002C1833">
    <w:pPr>
      <w:pStyle w:val="Piedepgina"/>
      <w:spacing w:after="0" w:line="240" w:lineRule="auto"/>
      <w:rPr>
        <w:lang w:val="es-ES"/>
      </w:rPr>
    </w:pPr>
    <w:r>
      <w:rPr>
        <w:noProof/>
        <w:lang w:val="es-CO" w:eastAsia="es-CO"/>
      </w:rPr>
      <w:drawing>
        <wp:inline distT="0" distB="0" distL="0" distR="0" wp14:anchorId="062F18B1" wp14:editId="5BAF8264">
          <wp:extent cx="5581015" cy="866775"/>
          <wp:effectExtent l="0" t="0" r="635" b="9525"/>
          <wp:docPr id="20" name="Imagen 20"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81015" cy="8667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419"/>
      <w:gridCol w:w="838"/>
      <w:gridCol w:w="1954"/>
      <w:gridCol w:w="718"/>
      <w:gridCol w:w="2491"/>
      <w:gridCol w:w="1360"/>
    </w:tblGrid>
    <w:tr w:rsidR="002C1833" w:rsidRPr="00080DA3" w14:paraId="33BD688E" w14:textId="77777777" w:rsidTr="00F77448">
      <w:trPr>
        <w:trHeight w:val="229"/>
        <w:jc w:val="center"/>
      </w:trPr>
      <w:tc>
        <w:tcPr>
          <w:tcW w:w="999"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687378B" w14:textId="77777777" w:rsidR="002C1833" w:rsidRPr="00080DA3" w:rsidRDefault="002C1833" w:rsidP="002C1833">
          <w:pPr>
            <w:pStyle w:val="Piedepgina"/>
            <w:spacing w:after="0" w:line="240" w:lineRule="auto"/>
            <w:jc w:val="center"/>
            <w:rPr>
              <w:rFonts w:ascii="Geomanist Light" w:hAnsi="Geomanist Light"/>
              <w:sz w:val="18"/>
              <w:szCs w:val="18"/>
            </w:rPr>
          </w:pPr>
          <w:r w:rsidRPr="00080DA3">
            <w:rPr>
              <w:rFonts w:ascii="Geomanist Light" w:hAnsi="Geomanist Light"/>
              <w:sz w:val="18"/>
              <w:szCs w:val="18"/>
            </w:rPr>
            <w:t>Versión:</w:t>
          </w:r>
        </w:p>
      </w:tc>
      <w:tc>
        <w:tcPr>
          <w:tcW w:w="419"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C6A762A" w14:textId="77777777" w:rsidR="002C1833" w:rsidRPr="00080DA3" w:rsidRDefault="002C1833" w:rsidP="002C1833">
          <w:pPr>
            <w:pStyle w:val="Piedepgina"/>
            <w:spacing w:after="0" w:line="240" w:lineRule="auto"/>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B43D23E" w14:textId="77777777" w:rsidR="002C1833" w:rsidRPr="00080DA3" w:rsidRDefault="002C1833" w:rsidP="002C1833">
          <w:pPr>
            <w:pStyle w:val="Piedepgina"/>
            <w:spacing w:after="0" w:line="240" w:lineRule="auto"/>
            <w:jc w:val="center"/>
            <w:rPr>
              <w:rFonts w:ascii="Geomanist Light" w:hAnsi="Geomanist Light"/>
              <w:sz w:val="18"/>
              <w:szCs w:val="18"/>
            </w:rPr>
          </w:pPr>
          <w:r w:rsidRPr="00080DA3">
            <w:rPr>
              <w:rFonts w:ascii="Geomanist Light" w:hAnsi="Geomanist Light"/>
              <w:sz w:val="18"/>
              <w:szCs w:val="18"/>
            </w:rPr>
            <w:t>Código:</w:t>
          </w:r>
        </w:p>
      </w:tc>
      <w:tc>
        <w:tcPr>
          <w:tcW w:w="195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3E57C14" w14:textId="77777777" w:rsidR="002C1833" w:rsidRPr="00080DA3" w:rsidRDefault="002C1833" w:rsidP="002C1833">
          <w:pPr>
            <w:pStyle w:val="Encabezado"/>
            <w:tabs>
              <w:tab w:val="center" w:pos="5400"/>
            </w:tabs>
            <w:spacing w:after="0" w:line="240" w:lineRule="auto"/>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1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5D5BFF1" w14:textId="77777777" w:rsidR="002C1833" w:rsidRPr="00080DA3" w:rsidRDefault="002C1833" w:rsidP="002C1833">
          <w:pPr>
            <w:pStyle w:val="Piedepgina"/>
            <w:spacing w:after="0" w:line="240" w:lineRule="auto"/>
            <w:jc w:val="center"/>
            <w:rPr>
              <w:rFonts w:ascii="Geomanist Light" w:hAnsi="Geomanist Light"/>
              <w:sz w:val="18"/>
              <w:szCs w:val="18"/>
            </w:rPr>
          </w:pPr>
          <w:r w:rsidRPr="00080DA3">
            <w:rPr>
              <w:rFonts w:ascii="Geomanist Light" w:hAnsi="Geomanist Light"/>
              <w:sz w:val="18"/>
              <w:szCs w:val="18"/>
            </w:rPr>
            <w:t>Fecha:</w:t>
          </w:r>
        </w:p>
      </w:tc>
      <w:tc>
        <w:tcPr>
          <w:tcW w:w="249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4314EA0" w14:textId="77777777" w:rsidR="002C1833" w:rsidRPr="00080DA3" w:rsidRDefault="002C1833" w:rsidP="002C1833">
          <w:pPr>
            <w:pStyle w:val="Piedepgina"/>
            <w:spacing w:after="0" w:line="240" w:lineRule="auto"/>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36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2A2344E" w14:textId="77777777" w:rsidR="002C1833" w:rsidRPr="00080DA3" w:rsidRDefault="002C1833" w:rsidP="002C1833">
          <w:pPr>
            <w:pStyle w:val="Piedepgina"/>
            <w:spacing w:after="0" w:line="240" w:lineRule="auto"/>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C113FB">
            <w:rPr>
              <w:rFonts w:ascii="Geomanist Light" w:hAnsi="Geomanist Light"/>
              <w:b/>
              <w:bCs/>
              <w:noProof/>
              <w:sz w:val="18"/>
              <w:szCs w:val="18"/>
            </w:rPr>
            <w:t>17</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C113FB">
            <w:rPr>
              <w:rFonts w:ascii="Geomanist Light" w:hAnsi="Geomanist Light"/>
              <w:b/>
              <w:bCs/>
              <w:noProof/>
              <w:sz w:val="18"/>
              <w:szCs w:val="18"/>
            </w:rPr>
            <w:t>17</w:t>
          </w:r>
          <w:r w:rsidRPr="00080DA3">
            <w:rPr>
              <w:rFonts w:ascii="Geomanist Light" w:hAnsi="Geomanist Light"/>
              <w:b/>
              <w:bCs/>
              <w:sz w:val="18"/>
              <w:szCs w:val="18"/>
            </w:rPr>
            <w:fldChar w:fldCharType="end"/>
          </w:r>
        </w:p>
      </w:tc>
    </w:tr>
  </w:tbl>
  <w:p w14:paraId="0C804B3B" w14:textId="2ED28AF6" w:rsidR="00412132" w:rsidRPr="007B0854" w:rsidRDefault="00000000"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9D6FA" w14:textId="77777777" w:rsidR="00CF720E" w:rsidRDefault="00CF720E" w:rsidP="00AF24DA">
      <w:pPr>
        <w:spacing w:after="0" w:line="240" w:lineRule="auto"/>
      </w:pPr>
      <w:r>
        <w:separator/>
      </w:r>
    </w:p>
  </w:footnote>
  <w:footnote w:type="continuationSeparator" w:id="0">
    <w:p w14:paraId="412B3A08" w14:textId="77777777" w:rsidR="00CF720E" w:rsidRDefault="00CF720E" w:rsidP="00AF24DA">
      <w:pPr>
        <w:spacing w:after="0" w:line="240" w:lineRule="auto"/>
      </w:pPr>
      <w:r>
        <w:continuationSeparator/>
      </w:r>
    </w:p>
  </w:footnote>
  <w:footnote w:id="1">
    <w:p w14:paraId="1504BD2E" w14:textId="77777777" w:rsidR="00C548DC" w:rsidRPr="0013739E" w:rsidRDefault="00C548DC" w:rsidP="00D51F9C">
      <w:pPr>
        <w:pStyle w:val="Textonotapie"/>
        <w:spacing w:line="240" w:lineRule="auto"/>
        <w:ind w:firstLine="708"/>
        <w:rPr>
          <w:rFonts w:ascii="Arial" w:hAnsi="Arial" w:cs="Arial"/>
          <w:sz w:val="18"/>
          <w:szCs w:val="18"/>
          <w:lang w:val="es-ES"/>
        </w:rPr>
      </w:pPr>
      <w:r w:rsidRPr="0013739E">
        <w:rPr>
          <w:rStyle w:val="Refdenotaalpie"/>
          <w:rFonts w:ascii="Arial" w:hAnsi="Arial" w:cs="Arial"/>
          <w:sz w:val="18"/>
          <w:szCs w:val="18"/>
        </w:rPr>
        <w:footnoteRef/>
      </w:r>
      <w:r w:rsidRPr="0013739E">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proofErr w:type="spellStart"/>
      <w:r w:rsidRPr="0013739E">
        <w:rPr>
          <w:rFonts w:ascii="Arial" w:hAnsi="Arial" w:cs="Arial"/>
          <w:i/>
          <w:iCs/>
          <w:sz w:val="18"/>
          <w:szCs w:val="18"/>
        </w:rPr>
        <w:t>ibídem</w:t>
      </w:r>
      <w:proofErr w:type="spellEnd"/>
      <w:r w:rsidRPr="0013739E">
        <w:rPr>
          <w:rFonts w:ascii="Arial" w:hAnsi="Arial" w:cs="Arial"/>
          <w:i/>
          <w:iCs/>
          <w:sz w:val="18"/>
          <w:szCs w:val="18"/>
        </w:rPr>
        <w:t xml:space="preserve"> </w:t>
      </w:r>
      <w:r w:rsidRPr="0013739E">
        <w:rPr>
          <w:rFonts w:ascii="Arial" w:hAnsi="Arial" w:cs="Arial"/>
          <w:sz w:val="18"/>
          <w:szCs w:val="18"/>
        </w:rPr>
        <w:t>señala, de manera precisa, las funciones de Colombia Compra Eficiente. Concretamente, el numeral 5º de este artículo establece que le corresponde a esta entidad: «[a]</w:t>
      </w:r>
      <w:proofErr w:type="spellStart"/>
      <w:r w:rsidRPr="0013739E">
        <w:rPr>
          <w:rFonts w:ascii="Arial" w:hAnsi="Arial" w:cs="Arial"/>
          <w:sz w:val="18"/>
          <w:szCs w:val="18"/>
        </w:rPr>
        <w:t>bsolver</w:t>
      </w:r>
      <w:proofErr w:type="spellEnd"/>
      <w:r w:rsidRPr="0013739E">
        <w:rPr>
          <w:rFonts w:ascii="Arial" w:hAnsi="Arial" w:cs="Arial"/>
          <w:sz w:val="18"/>
          <w:szCs w:val="18"/>
        </w:rPr>
        <w:t xml:space="preserve"> consultas sobre la aplicación de normas de carácter general y expedir circulares externas en materia de compras y contratación pública». Seguidamente, el numeral 8º del artículo 11 </w:t>
      </w:r>
      <w:proofErr w:type="spellStart"/>
      <w:r w:rsidRPr="0013739E">
        <w:rPr>
          <w:rFonts w:ascii="Arial" w:hAnsi="Arial" w:cs="Arial"/>
          <w:sz w:val="18"/>
          <w:szCs w:val="18"/>
        </w:rPr>
        <w:t>ibídem</w:t>
      </w:r>
      <w:proofErr w:type="spellEnd"/>
      <w:r w:rsidRPr="0013739E">
        <w:rPr>
          <w:rFonts w:ascii="Arial" w:hAnsi="Arial" w:cs="Arial"/>
          <w:sz w:val="18"/>
          <w:szCs w:val="18"/>
        </w:rPr>
        <w:t xml:space="preserve"> señala que es función de la Subdirección de Gestión Contractual: «[a]</w:t>
      </w:r>
      <w:proofErr w:type="spellStart"/>
      <w:r w:rsidRPr="0013739E">
        <w:rPr>
          <w:rFonts w:ascii="Arial" w:hAnsi="Arial" w:cs="Arial"/>
          <w:sz w:val="18"/>
          <w:szCs w:val="18"/>
        </w:rPr>
        <w:t>bsolver</w:t>
      </w:r>
      <w:proofErr w:type="spellEnd"/>
      <w:r w:rsidRPr="0013739E">
        <w:rPr>
          <w:rFonts w:ascii="Arial" w:hAnsi="Arial" w:cs="Arial"/>
          <w:sz w:val="18"/>
          <w:szCs w:val="18"/>
        </w:rPr>
        <w:t xml:space="preserve"> consultas sobre la aplicación de normas de carácter general».</w:t>
      </w:r>
    </w:p>
  </w:footnote>
  <w:footnote w:id="2">
    <w:p w14:paraId="708FF0CF" w14:textId="312D72FE" w:rsidR="003744E5" w:rsidRPr="00D51F9C" w:rsidRDefault="003744E5" w:rsidP="00951ECE">
      <w:pPr>
        <w:pStyle w:val="NormalWeb"/>
        <w:spacing w:before="0" w:beforeAutospacing="0" w:after="0" w:afterAutospacing="0" w:line="240" w:lineRule="auto"/>
        <w:ind w:firstLine="709"/>
        <w:contextualSpacing/>
        <w:rPr>
          <w:rFonts w:ascii="Arial" w:hAnsi="Arial" w:cs="Arial"/>
          <w:sz w:val="18"/>
          <w:szCs w:val="18"/>
        </w:rPr>
      </w:pPr>
      <w:r w:rsidRPr="00D51F9C">
        <w:rPr>
          <w:rStyle w:val="Refdenotaalpie"/>
          <w:rFonts w:ascii="Arial" w:hAnsi="Arial" w:cs="Arial"/>
          <w:sz w:val="18"/>
          <w:szCs w:val="18"/>
        </w:rPr>
        <w:footnoteRef/>
      </w:r>
      <w:r w:rsidRPr="00D51F9C">
        <w:rPr>
          <w:rFonts w:ascii="Arial" w:hAnsi="Arial" w:cs="Arial"/>
          <w:sz w:val="18"/>
          <w:szCs w:val="18"/>
        </w:rPr>
        <w:t xml:space="preserve"> </w:t>
      </w:r>
      <w:r w:rsidRPr="00D51F9C">
        <w:rPr>
          <w:rFonts w:ascii="Arial" w:hAnsi="Arial" w:cs="Arial"/>
          <w:sz w:val="18"/>
          <w:szCs w:val="18"/>
          <w:lang w:val="es-ES"/>
        </w:rPr>
        <w:t>“</w:t>
      </w:r>
      <w:r w:rsidRPr="00D51F9C">
        <w:rPr>
          <w:rFonts w:ascii="Arial" w:hAnsi="Arial" w:cs="Arial"/>
          <w:sz w:val="18"/>
          <w:szCs w:val="18"/>
        </w:rPr>
        <w:t>Para poder participar en los procesos de selección de los contratos de obra, la capacidad residual del proponente o K de contratación deberá ser igual o superior al que la entidad haya establecido para el efecto en los pliegos de condiciones</w:t>
      </w:r>
      <w:r w:rsidR="00A63DFE" w:rsidRPr="00D51F9C">
        <w:rPr>
          <w:rFonts w:ascii="Arial" w:hAnsi="Arial" w:cs="Arial"/>
          <w:sz w:val="18"/>
          <w:szCs w:val="18"/>
        </w:rPr>
        <w:t xml:space="preserve">. </w:t>
      </w:r>
    </w:p>
    <w:p w14:paraId="37A13DEF" w14:textId="77777777" w:rsidR="00A63DFE" w:rsidRPr="00D51F9C" w:rsidRDefault="00A63DFE" w:rsidP="00951ECE">
      <w:pPr>
        <w:pStyle w:val="NormalWeb"/>
        <w:spacing w:before="0" w:beforeAutospacing="0" w:after="0" w:afterAutospacing="0" w:line="240" w:lineRule="auto"/>
        <w:ind w:firstLine="709"/>
        <w:contextualSpacing/>
        <w:rPr>
          <w:rFonts w:ascii="Arial" w:hAnsi="Arial" w:cs="Arial"/>
          <w:sz w:val="18"/>
          <w:szCs w:val="18"/>
        </w:rPr>
      </w:pPr>
    </w:p>
    <w:p w14:paraId="5D163746" w14:textId="77777777" w:rsidR="003744E5" w:rsidRPr="00D51F9C" w:rsidRDefault="003744E5" w:rsidP="00951ECE">
      <w:pPr>
        <w:spacing w:after="0" w:line="240" w:lineRule="auto"/>
        <w:ind w:firstLine="709"/>
        <w:contextualSpacing/>
        <w:jc w:val="both"/>
        <w:rPr>
          <w:rFonts w:ascii="Arial" w:hAnsi="Arial" w:cs="Arial"/>
          <w:sz w:val="18"/>
          <w:szCs w:val="18"/>
        </w:rPr>
      </w:pPr>
      <w:r w:rsidRPr="00D51F9C">
        <w:rPr>
          <w:rFonts w:ascii="Arial" w:hAnsi="Arial" w:cs="Arial"/>
          <w:sz w:val="18"/>
          <w:szCs w:val="18"/>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footnote>
  <w:footnote w:id="3">
    <w:p w14:paraId="70B8C943" w14:textId="77777777" w:rsidR="00A0611B" w:rsidRPr="00D51F9C" w:rsidRDefault="00A0611B" w:rsidP="00951ECE">
      <w:pPr>
        <w:pStyle w:val="NormalWeb"/>
        <w:spacing w:before="0" w:beforeAutospacing="0" w:after="0" w:afterAutospacing="0" w:line="240" w:lineRule="auto"/>
        <w:ind w:firstLine="709"/>
        <w:contextualSpacing/>
        <w:rPr>
          <w:rFonts w:ascii="Arial" w:hAnsi="Arial" w:cs="Arial"/>
          <w:sz w:val="18"/>
          <w:szCs w:val="18"/>
          <w:lang w:val="es-ES"/>
        </w:rPr>
      </w:pPr>
      <w:r w:rsidRPr="00D51F9C">
        <w:rPr>
          <w:rStyle w:val="Refdenotaalpie"/>
          <w:rFonts w:ascii="Arial" w:hAnsi="Arial" w:cs="Arial"/>
          <w:sz w:val="18"/>
          <w:szCs w:val="18"/>
        </w:rPr>
        <w:footnoteRef/>
      </w:r>
      <w:r w:rsidRPr="00D51F9C">
        <w:rPr>
          <w:rStyle w:val="Refdenotaalpie"/>
          <w:rFonts w:ascii="Arial" w:hAnsi="Arial" w:cs="Arial"/>
          <w:sz w:val="18"/>
          <w:szCs w:val="18"/>
        </w:rPr>
        <w:t xml:space="preserve"> «</w:t>
      </w:r>
      <w:r w:rsidRPr="00D51F9C">
        <w:rPr>
          <w:rFonts w:ascii="Arial" w:hAnsi="Arial" w:cs="Arial"/>
          <w:sz w:val="18"/>
          <w:szCs w:val="18"/>
          <w:lang w:val="es-ES"/>
        </w:rPr>
        <w:t>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7C0E0A98" w14:textId="56781EA1" w:rsidR="00A0611B" w:rsidRPr="00D51F9C" w:rsidRDefault="00A0611B" w:rsidP="00951ECE">
      <w:pPr>
        <w:pStyle w:val="NormalWeb"/>
        <w:spacing w:before="0" w:beforeAutospacing="0" w:after="0" w:afterAutospacing="0" w:line="240" w:lineRule="auto"/>
        <w:ind w:firstLine="709"/>
        <w:contextualSpacing/>
        <w:rPr>
          <w:rFonts w:ascii="Arial" w:hAnsi="Arial" w:cs="Arial"/>
          <w:sz w:val="18"/>
          <w:szCs w:val="18"/>
          <w:lang w:val="es-ES"/>
        </w:rPr>
      </w:pPr>
      <w:r w:rsidRPr="00D51F9C">
        <w:rPr>
          <w:rFonts w:ascii="Arial" w:hAnsi="Arial" w:cs="Arial"/>
          <w:sz w:val="18"/>
          <w:szCs w:val="18"/>
          <w:lang w:val="es-ES"/>
        </w:rPr>
        <w:t>»</w:t>
      </w:r>
      <w:r w:rsidR="00C548DC" w:rsidRPr="00D51F9C">
        <w:rPr>
          <w:rFonts w:ascii="Arial" w:hAnsi="Arial" w:cs="Arial"/>
          <w:sz w:val="18"/>
          <w:szCs w:val="18"/>
          <w:lang w:val="es-ES"/>
        </w:rPr>
        <w:t xml:space="preserve"> </w:t>
      </w:r>
      <w:r w:rsidRPr="00D51F9C">
        <w:rPr>
          <w:rFonts w:ascii="Arial" w:hAnsi="Arial" w:cs="Arial"/>
          <w:sz w:val="18"/>
          <w:szCs w:val="18"/>
          <w:lang w:val="es-ES"/>
        </w:rPr>
        <w:t>Parágrafo Transitorio. </w:t>
      </w:r>
      <w:hyperlink r:id="rId1" w:tgtFrame="_blank" w:history="1"/>
      <w:r w:rsidRPr="00D51F9C">
        <w:rPr>
          <w:rFonts w:ascii="Arial" w:hAnsi="Arial" w:cs="Arial"/>
          <w:sz w:val="18"/>
          <w:szCs w:val="18"/>
          <w:lang w:val="es-ES"/>
        </w:rPr>
        <w:t>De conformidad con los parágrafos transitorios de los artículos 2.2.1.1.1.5.2. y 2.2.1.1.1.5.6., yen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41B961C7" w14:textId="04778121" w:rsidR="00A0611B" w:rsidRPr="00D51F9C" w:rsidRDefault="00A0611B" w:rsidP="00951ECE">
      <w:pPr>
        <w:pStyle w:val="NormalWeb"/>
        <w:spacing w:before="0" w:beforeAutospacing="0" w:after="0" w:afterAutospacing="0" w:line="240" w:lineRule="auto"/>
        <w:ind w:firstLine="709"/>
        <w:contextualSpacing/>
        <w:rPr>
          <w:rFonts w:ascii="Arial" w:hAnsi="Arial" w:cs="Arial"/>
          <w:sz w:val="18"/>
          <w:szCs w:val="18"/>
          <w:lang w:val="es-ES"/>
        </w:rPr>
      </w:pPr>
      <w:r w:rsidRPr="00D51F9C">
        <w:rPr>
          <w:rFonts w:ascii="Arial" w:hAnsi="Arial" w:cs="Arial"/>
          <w:sz w:val="18"/>
          <w:szCs w:val="18"/>
          <w:lang w:val="es-ES"/>
        </w:rPr>
        <w:t>»</w:t>
      </w:r>
      <w:r w:rsidR="00C548DC" w:rsidRPr="00D51F9C">
        <w:rPr>
          <w:rFonts w:ascii="Arial" w:hAnsi="Arial" w:cs="Arial"/>
          <w:sz w:val="18"/>
          <w:szCs w:val="18"/>
          <w:lang w:val="es-ES"/>
        </w:rPr>
        <w:t xml:space="preserve"> </w:t>
      </w:r>
      <w:r w:rsidRPr="00D51F9C">
        <w:rPr>
          <w:rFonts w:ascii="Arial" w:hAnsi="Arial" w:cs="Arial"/>
          <w:sz w:val="18"/>
          <w:szCs w:val="18"/>
          <w:lang w:val="es-ES"/>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w:t>
      </w:r>
      <w:proofErr w:type="spellStart"/>
      <w:r w:rsidRPr="00D51F9C">
        <w:rPr>
          <w:rFonts w:ascii="Arial" w:hAnsi="Arial" w:cs="Arial"/>
          <w:sz w:val="18"/>
          <w:szCs w:val="18"/>
          <w:lang w:val="es-ES"/>
        </w:rPr>
        <w:t>índicadores</w:t>
      </w:r>
      <w:proofErr w:type="spellEnd"/>
      <w:r w:rsidRPr="00D51F9C">
        <w:rPr>
          <w:rFonts w:ascii="Arial" w:hAnsi="Arial" w:cs="Arial"/>
          <w:sz w:val="18"/>
          <w:szCs w:val="18"/>
          <w:lang w:val="es-ES"/>
        </w:rPr>
        <w:t xml:space="preserve">, teniendo en cuenta el mejor año fiscal que se refleje en el </w:t>
      </w:r>
      <w:r w:rsidR="00C548DC" w:rsidRPr="00D51F9C">
        <w:rPr>
          <w:rFonts w:ascii="Arial" w:hAnsi="Arial" w:cs="Arial"/>
          <w:sz w:val="18"/>
          <w:szCs w:val="18"/>
          <w:lang w:val="es-ES"/>
        </w:rPr>
        <w:t>registro</w:t>
      </w:r>
      <w:r w:rsidRPr="00D51F9C">
        <w:rPr>
          <w:rFonts w:ascii="Arial" w:hAnsi="Arial" w:cs="Arial"/>
          <w:sz w:val="18"/>
          <w:szCs w:val="18"/>
          <w:lang w:val="es-ES"/>
        </w:rPr>
        <w:t xml:space="preserve"> de cada proponente​».</w:t>
      </w:r>
    </w:p>
    <w:p w14:paraId="7FE8F32B" w14:textId="77777777" w:rsidR="00A0611B" w:rsidRPr="00D51F9C" w:rsidRDefault="00A0611B" w:rsidP="00951ECE">
      <w:pPr>
        <w:pStyle w:val="NormalWeb"/>
        <w:spacing w:before="0" w:beforeAutospacing="0" w:after="0" w:afterAutospacing="0" w:line="240" w:lineRule="auto"/>
        <w:ind w:firstLine="709"/>
        <w:contextualSpacing/>
        <w:rPr>
          <w:rStyle w:val="Refdenotaalpie"/>
          <w:rFonts w:ascii="Arial" w:hAnsi="Arial" w:cs="Arial"/>
          <w:sz w:val="18"/>
          <w:szCs w:val="18"/>
        </w:rPr>
      </w:pPr>
    </w:p>
  </w:footnote>
  <w:footnote w:id="4">
    <w:p w14:paraId="4C577891" w14:textId="538406B7" w:rsidR="0013739E" w:rsidRPr="00D51F9C" w:rsidRDefault="0013739E" w:rsidP="00D51F9C">
      <w:pPr>
        <w:pStyle w:val="NormalWeb"/>
        <w:shd w:val="clear" w:color="auto" w:fill="FFFFFF"/>
        <w:spacing w:before="0" w:beforeAutospacing="0" w:line="240" w:lineRule="auto"/>
        <w:rPr>
          <w:rFonts w:ascii="Arial" w:hAnsi="Arial" w:cs="Arial"/>
          <w:color w:val="333333"/>
          <w:sz w:val="18"/>
          <w:szCs w:val="18"/>
        </w:rPr>
      </w:pPr>
      <w:r w:rsidRPr="00D51F9C">
        <w:rPr>
          <w:rStyle w:val="Refdenotaalpie"/>
          <w:rFonts w:ascii="Arial" w:hAnsi="Arial" w:cs="Arial"/>
          <w:sz w:val="18"/>
          <w:szCs w:val="18"/>
        </w:rPr>
        <w:footnoteRef/>
      </w:r>
      <w:r w:rsidRPr="0013739E">
        <w:rPr>
          <w:rFonts w:ascii="Arial" w:hAnsi="Arial" w:cs="Arial"/>
          <w:sz w:val="18"/>
          <w:szCs w:val="18"/>
        </w:rPr>
        <w:t>«</w:t>
      </w:r>
      <w:r w:rsidRPr="00D51F9C">
        <w:rPr>
          <w:rFonts w:ascii="Arial" w:hAnsi="Arial" w:cs="Arial"/>
          <w:b/>
          <w:bCs/>
          <w:color w:val="333333"/>
          <w:sz w:val="18"/>
          <w:szCs w:val="18"/>
        </w:rPr>
        <w:t>ARTÍCULO 2.2.1.2.4.2.15. Criterios diferenciales para emprendimientos y empresas de mujeres en el sistema de compras públicas.</w:t>
      </w:r>
      <w:r w:rsidRPr="00D51F9C">
        <w:rPr>
          <w:rFonts w:ascii="Arial" w:hAnsi="Arial" w:cs="Arial"/>
          <w:color w:val="333333"/>
          <w:sz w:val="18"/>
          <w:szCs w:val="18"/>
        </w:rPr>
        <w:t>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w:t>
      </w:r>
    </w:p>
    <w:p w14:paraId="52B93641" w14:textId="77777777" w:rsidR="0013739E" w:rsidRPr="00D51F9C" w:rsidRDefault="0013739E" w:rsidP="00D51F9C">
      <w:pPr>
        <w:shd w:val="clear" w:color="auto" w:fill="FFFFFF"/>
        <w:spacing w:after="100" w:afterAutospacing="1" w:line="240" w:lineRule="auto"/>
        <w:jc w:val="both"/>
        <w:rPr>
          <w:rFonts w:ascii="Arial" w:eastAsia="Times New Roman" w:hAnsi="Arial" w:cs="Arial"/>
          <w:color w:val="333333"/>
          <w:sz w:val="18"/>
          <w:szCs w:val="18"/>
          <w:lang w:eastAsia="es-CO"/>
        </w:rPr>
      </w:pPr>
      <w:r w:rsidRPr="00D51F9C">
        <w:rPr>
          <w:rFonts w:ascii="Arial" w:eastAsia="Times New Roman" w:hAnsi="Arial" w:cs="Arial"/>
          <w:color w:val="333333"/>
          <w:sz w:val="18"/>
          <w:szCs w:val="18"/>
          <w:lang w:eastAsia="es-CO"/>
        </w:rPr>
        <w:t>1. Tiempo de experiencia.</w:t>
      </w:r>
    </w:p>
    <w:p w14:paraId="266344D1" w14:textId="77777777" w:rsidR="0013739E" w:rsidRPr="00D51F9C" w:rsidRDefault="0013739E" w:rsidP="00D51F9C">
      <w:pPr>
        <w:shd w:val="clear" w:color="auto" w:fill="FFFFFF"/>
        <w:spacing w:after="100" w:afterAutospacing="1" w:line="240" w:lineRule="auto"/>
        <w:jc w:val="both"/>
        <w:rPr>
          <w:rFonts w:ascii="Arial" w:eastAsia="Times New Roman" w:hAnsi="Arial" w:cs="Arial"/>
          <w:color w:val="333333"/>
          <w:sz w:val="18"/>
          <w:szCs w:val="18"/>
          <w:lang w:eastAsia="es-CO"/>
        </w:rPr>
      </w:pPr>
      <w:r w:rsidRPr="00D51F9C">
        <w:rPr>
          <w:rFonts w:ascii="Arial" w:eastAsia="Times New Roman" w:hAnsi="Arial" w:cs="Arial"/>
          <w:color w:val="333333"/>
          <w:sz w:val="18"/>
          <w:szCs w:val="18"/>
          <w:lang w:eastAsia="es-CO"/>
        </w:rPr>
        <w:t>2. Número de contratos para la acreditación de la experiencia.</w:t>
      </w:r>
    </w:p>
    <w:p w14:paraId="4953BA4D" w14:textId="77777777" w:rsidR="0013739E" w:rsidRPr="00D51F9C" w:rsidRDefault="0013739E" w:rsidP="00D51F9C">
      <w:pPr>
        <w:shd w:val="clear" w:color="auto" w:fill="FFFFFF"/>
        <w:spacing w:after="100" w:afterAutospacing="1" w:line="240" w:lineRule="auto"/>
        <w:jc w:val="both"/>
        <w:rPr>
          <w:rFonts w:ascii="Arial" w:eastAsia="Times New Roman" w:hAnsi="Arial" w:cs="Arial"/>
          <w:color w:val="333333"/>
          <w:sz w:val="18"/>
          <w:szCs w:val="18"/>
          <w:lang w:eastAsia="es-CO"/>
        </w:rPr>
      </w:pPr>
      <w:r w:rsidRPr="00D51F9C">
        <w:rPr>
          <w:rFonts w:ascii="Arial" w:eastAsia="Times New Roman" w:hAnsi="Arial" w:cs="Arial"/>
          <w:color w:val="333333"/>
          <w:sz w:val="18"/>
          <w:szCs w:val="18"/>
          <w:lang w:eastAsia="es-CO"/>
        </w:rPr>
        <w:t>3. Índices de capacidad financiera.</w:t>
      </w:r>
    </w:p>
    <w:p w14:paraId="2C1EF48A" w14:textId="77777777" w:rsidR="0013739E" w:rsidRPr="00D51F9C" w:rsidRDefault="0013739E" w:rsidP="00D51F9C">
      <w:pPr>
        <w:shd w:val="clear" w:color="auto" w:fill="FFFFFF"/>
        <w:spacing w:after="100" w:afterAutospacing="1" w:line="240" w:lineRule="auto"/>
        <w:jc w:val="both"/>
        <w:rPr>
          <w:rFonts w:ascii="Arial" w:eastAsia="Times New Roman" w:hAnsi="Arial" w:cs="Arial"/>
          <w:color w:val="333333"/>
          <w:sz w:val="18"/>
          <w:szCs w:val="18"/>
          <w:lang w:eastAsia="es-CO"/>
        </w:rPr>
      </w:pPr>
      <w:r w:rsidRPr="00D51F9C">
        <w:rPr>
          <w:rFonts w:ascii="Arial" w:eastAsia="Times New Roman" w:hAnsi="Arial" w:cs="Arial"/>
          <w:color w:val="333333"/>
          <w:sz w:val="18"/>
          <w:szCs w:val="18"/>
          <w:lang w:eastAsia="es-CO"/>
        </w:rPr>
        <w:t>4. Índices de capacidad organizacional.</w:t>
      </w:r>
    </w:p>
    <w:p w14:paraId="3A98206F" w14:textId="77777777" w:rsidR="0013739E" w:rsidRPr="00D51F9C" w:rsidRDefault="0013739E" w:rsidP="00D51F9C">
      <w:pPr>
        <w:shd w:val="clear" w:color="auto" w:fill="FFFFFF"/>
        <w:spacing w:after="100" w:afterAutospacing="1" w:line="240" w:lineRule="auto"/>
        <w:jc w:val="both"/>
        <w:rPr>
          <w:rFonts w:ascii="Arial" w:eastAsia="Times New Roman" w:hAnsi="Arial" w:cs="Arial"/>
          <w:color w:val="333333"/>
          <w:sz w:val="18"/>
          <w:szCs w:val="18"/>
          <w:lang w:eastAsia="es-CO"/>
        </w:rPr>
      </w:pPr>
      <w:r w:rsidRPr="00D51F9C">
        <w:rPr>
          <w:rFonts w:ascii="Arial" w:eastAsia="Times New Roman" w:hAnsi="Arial" w:cs="Arial"/>
          <w:color w:val="333333"/>
          <w:sz w:val="18"/>
          <w:szCs w:val="18"/>
          <w:lang w:eastAsia="es-CO"/>
        </w:rPr>
        <w:t>5. Valor de la garantía de seriedad de la oferta.</w:t>
      </w:r>
    </w:p>
    <w:p w14:paraId="7921150B" w14:textId="77777777" w:rsidR="0013739E" w:rsidRPr="00D51F9C" w:rsidRDefault="0013739E" w:rsidP="00D51F9C">
      <w:pPr>
        <w:shd w:val="clear" w:color="auto" w:fill="FFFFFF"/>
        <w:spacing w:after="100" w:afterAutospacing="1" w:line="240" w:lineRule="auto"/>
        <w:jc w:val="both"/>
        <w:rPr>
          <w:rFonts w:ascii="Arial" w:eastAsia="Times New Roman" w:hAnsi="Arial" w:cs="Arial"/>
          <w:color w:val="333333"/>
          <w:sz w:val="18"/>
          <w:szCs w:val="18"/>
          <w:lang w:eastAsia="es-CO"/>
        </w:rPr>
      </w:pPr>
      <w:r w:rsidRPr="00D51F9C">
        <w:rPr>
          <w:rFonts w:ascii="Arial" w:eastAsia="Times New Roman" w:hAnsi="Arial" w:cs="Arial"/>
          <w:color w:val="333333"/>
          <w:sz w:val="18"/>
          <w:szCs w:val="18"/>
          <w:lang w:eastAsia="es-CO"/>
        </w:rPr>
        <w:t>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w:t>
      </w:r>
    </w:p>
    <w:p w14:paraId="05313538" w14:textId="77777777" w:rsidR="0013739E" w:rsidRPr="00D51F9C" w:rsidRDefault="0013739E" w:rsidP="00D51F9C">
      <w:pPr>
        <w:shd w:val="clear" w:color="auto" w:fill="FFFFFF"/>
        <w:spacing w:after="100" w:afterAutospacing="1" w:line="240" w:lineRule="auto"/>
        <w:jc w:val="both"/>
        <w:rPr>
          <w:rFonts w:ascii="Arial" w:eastAsia="Times New Roman" w:hAnsi="Arial" w:cs="Arial"/>
          <w:color w:val="333333"/>
          <w:sz w:val="18"/>
          <w:szCs w:val="18"/>
          <w:lang w:eastAsia="es-CO"/>
        </w:rPr>
      </w:pPr>
      <w:r w:rsidRPr="00D51F9C">
        <w:rPr>
          <w:rFonts w:ascii="Arial" w:eastAsia="Times New Roman" w:hAnsi="Arial" w:cs="Arial"/>
          <w:color w:val="333333"/>
          <w:sz w:val="18"/>
          <w:szCs w:val="18"/>
          <w:lang w:eastAsia="es-CO"/>
        </w:rPr>
        <w:t>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14:paraId="4BD36050" w14:textId="77777777" w:rsidR="0013739E" w:rsidRPr="00D51F9C" w:rsidRDefault="0013739E" w:rsidP="00D51F9C">
      <w:pPr>
        <w:shd w:val="clear" w:color="auto" w:fill="FFFFFF"/>
        <w:spacing w:after="100" w:afterAutospacing="1" w:line="240" w:lineRule="auto"/>
        <w:jc w:val="both"/>
        <w:rPr>
          <w:rFonts w:ascii="Arial" w:eastAsia="Times New Roman" w:hAnsi="Arial" w:cs="Arial"/>
          <w:color w:val="333333"/>
          <w:sz w:val="18"/>
          <w:szCs w:val="18"/>
          <w:lang w:eastAsia="es-CO"/>
        </w:rPr>
      </w:pPr>
      <w:r w:rsidRPr="00D51F9C">
        <w:rPr>
          <w:rFonts w:ascii="Arial" w:eastAsia="Times New Roman" w:hAnsi="Arial" w:cs="Arial"/>
          <w:color w:val="333333"/>
          <w:sz w:val="18"/>
          <w:szCs w:val="18"/>
          <w:lang w:eastAsia="es-CO"/>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0722B508" w14:textId="77777777" w:rsidR="0013739E" w:rsidRPr="00D51F9C" w:rsidRDefault="0013739E" w:rsidP="00D51F9C">
      <w:pPr>
        <w:shd w:val="clear" w:color="auto" w:fill="FFFFFF"/>
        <w:spacing w:after="100" w:afterAutospacing="1" w:line="240" w:lineRule="auto"/>
        <w:jc w:val="both"/>
        <w:rPr>
          <w:rFonts w:ascii="Arial" w:eastAsia="Times New Roman" w:hAnsi="Arial" w:cs="Arial"/>
          <w:color w:val="333333"/>
          <w:sz w:val="18"/>
          <w:szCs w:val="18"/>
          <w:lang w:eastAsia="es-CO"/>
        </w:rPr>
      </w:pPr>
      <w:r w:rsidRPr="00D51F9C">
        <w:rPr>
          <w:rFonts w:ascii="Arial" w:eastAsia="Times New Roman" w:hAnsi="Arial" w:cs="Arial"/>
          <w:b/>
          <w:bCs/>
          <w:color w:val="333333"/>
          <w:sz w:val="18"/>
          <w:szCs w:val="18"/>
          <w:lang w:eastAsia="es-CO"/>
        </w:rPr>
        <w:t>PARÁGRAFO 1.</w:t>
      </w:r>
      <w:r w:rsidRPr="00D51F9C">
        <w:rPr>
          <w:rFonts w:ascii="Arial" w:eastAsia="Times New Roman" w:hAnsi="Arial" w:cs="Arial"/>
          <w:color w:val="333333"/>
          <w:sz w:val="18"/>
          <w:szCs w:val="18"/>
          <w:lang w:eastAsia="es-CO"/>
        </w:rPr>
        <w:t>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193B28DF" w14:textId="7105E25C" w:rsidR="0013739E" w:rsidRPr="00D51F9C" w:rsidRDefault="0013739E" w:rsidP="00D51F9C">
      <w:pPr>
        <w:shd w:val="clear" w:color="auto" w:fill="FFFFFF"/>
        <w:spacing w:after="100" w:afterAutospacing="1" w:line="240" w:lineRule="auto"/>
        <w:jc w:val="both"/>
        <w:rPr>
          <w:rFonts w:ascii="Arial" w:hAnsi="Arial" w:cs="Arial"/>
          <w:sz w:val="18"/>
          <w:szCs w:val="18"/>
        </w:rPr>
      </w:pPr>
      <w:r w:rsidRPr="00D51F9C">
        <w:rPr>
          <w:rFonts w:ascii="Arial" w:eastAsia="Times New Roman" w:hAnsi="Arial" w:cs="Arial"/>
          <w:b/>
          <w:bCs/>
          <w:color w:val="333333"/>
          <w:sz w:val="18"/>
          <w:szCs w:val="18"/>
          <w:lang w:eastAsia="es-CO"/>
        </w:rPr>
        <w:t>PARÁGRAFO 2.</w:t>
      </w:r>
      <w:r w:rsidRPr="00D51F9C">
        <w:rPr>
          <w:rFonts w:ascii="Arial" w:eastAsia="Times New Roman" w:hAnsi="Arial" w:cs="Arial"/>
          <w:color w:val="333333"/>
          <w:sz w:val="18"/>
          <w:szCs w:val="18"/>
          <w:lang w:eastAsia="es-CO"/>
        </w:rPr>
        <w:t> Los incentivos contractuales para las empresas y emprendimientos de mujeres no excluyen la aplicación de los criterios diferenciales para Mipyme en el sistema de compras públicas.</w:t>
      </w:r>
      <w:r w:rsidRPr="0013739E">
        <w:rPr>
          <w:rFonts w:ascii="Arial" w:eastAsia="Times New Roman" w:hAnsi="Arial" w:cs="Arial"/>
          <w:color w:val="333333"/>
          <w:sz w:val="18"/>
          <w:szCs w:val="18"/>
          <w:lang w:eastAsia="es-CO"/>
        </w:rPr>
        <w:t>»</w:t>
      </w:r>
    </w:p>
  </w:footnote>
  <w:footnote w:id="5">
    <w:p w14:paraId="3E350E98" w14:textId="2ED53693" w:rsidR="0013739E" w:rsidRPr="00D51F9C" w:rsidRDefault="0013739E" w:rsidP="00D51F9C">
      <w:pPr>
        <w:pStyle w:val="NormalWeb"/>
        <w:shd w:val="clear" w:color="auto" w:fill="FFFFFF"/>
        <w:spacing w:before="0" w:beforeAutospacing="0" w:line="240" w:lineRule="auto"/>
        <w:rPr>
          <w:rFonts w:ascii="Arial" w:hAnsi="Arial" w:cs="Arial"/>
          <w:color w:val="333333"/>
          <w:sz w:val="18"/>
          <w:szCs w:val="18"/>
        </w:rPr>
      </w:pPr>
      <w:r w:rsidRPr="00D51F9C">
        <w:rPr>
          <w:rStyle w:val="Refdenotaalpie"/>
          <w:rFonts w:ascii="Arial" w:hAnsi="Arial" w:cs="Arial"/>
          <w:sz w:val="18"/>
          <w:szCs w:val="18"/>
        </w:rPr>
        <w:footnoteRef/>
      </w:r>
      <w:r w:rsidRPr="00D51F9C">
        <w:rPr>
          <w:rFonts w:ascii="Arial" w:hAnsi="Arial" w:cs="Arial"/>
          <w:sz w:val="18"/>
          <w:szCs w:val="18"/>
        </w:rPr>
        <w:t xml:space="preserve"> </w:t>
      </w:r>
      <w:r>
        <w:rPr>
          <w:rFonts w:ascii="Arial" w:hAnsi="Arial" w:cs="Arial"/>
          <w:sz w:val="18"/>
          <w:szCs w:val="18"/>
        </w:rPr>
        <w:t>«</w:t>
      </w:r>
      <w:r w:rsidRPr="00D51F9C">
        <w:rPr>
          <w:rStyle w:val="Textoennegrita"/>
          <w:rFonts w:ascii="Arial" w:hAnsi="Arial" w:cs="Arial"/>
          <w:color w:val="333333"/>
          <w:sz w:val="18"/>
          <w:szCs w:val="18"/>
        </w:rPr>
        <w:t>ARTÍCULO 2.2.1.2.4.2.18. Criterios diferenciales para Mipyme en el sistema de compras públicas.</w:t>
      </w:r>
      <w:r w:rsidRPr="00D51F9C">
        <w:rPr>
          <w:rFonts w:ascii="Arial" w:hAnsi="Arial" w:cs="Arial"/>
          <w:color w:val="333333"/>
          <w:sz w:val="18"/>
          <w:szCs w:val="18"/>
        </w:rPr>
        <w:t> De acuerdo con el numeral </w:t>
      </w:r>
      <w:hyperlink r:id="rId2" w:anchor="12.1" w:history="1">
        <w:r w:rsidRPr="00A1212D">
          <w:rPr>
            <w:rFonts w:ascii="Arial" w:hAnsi="Arial" w:cs="Arial"/>
            <w:color w:val="333333"/>
            <w:sz w:val="18"/>
            <w:szCs w:val="18"/>
          </w:rPr>
          <w:t>1 </w:t>
        </w:r>
      </w:hyperlink>
      <w:r w:rsidRPr="00D51F9C">
        <w:rPr>
          <w:rFonts w:ascii="Arial" w:hAnsi="Arial" w:cs="Arial"/>
          <w:color w:val="333333"/>
          <w:sz w:val="18"/>
          <w:szCs w:val="18"/>
        </w:rPr>
        <w:t>del artículo </w:t>
      </w:r>
      <w:hyperlink r:id="rId3" w:anchor="12" w:history="1">
        <w:r w:rsidRPr="00A1212D">
          <w:rPr>
            <w:rFonts w:ascii="Arial" w:hAnsi="Arial" w:cs="Arial"/>
            <w:color w:val="333333"/>
            <w:sz w:val="18"/>
            <w:szCs w:val="18"/>
          </w:rPr>
          <w:t>12 </w:t>
        </w:r>
      </w:hyperlink>
      <w:r w:rsidRPr="00D51F9C">
        <w:rPr>
          <w:rFonts w:ascii="Arial" w:hAnsi="Arial" w:cs="Arial"/>
          <w:color w:val="333333"/>
          <w:sz w:val="18"/>
          <w:szCs w:val="18"/>
        </w:rPr>
        <w:t>de la Ley 590 de 2000, según los resultados del análisis del sector,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 Para el efecto, en función de los criterios de clasificación empresarial, los Documentos del Proceso deberán incorporar requisitos habilitantes diferenciales relacionados con alguno o algunos de los siguientes aspectos:</w:t>
      </w:r>
    </w:p>
    <w:p w14:paraId="147DA8D3" w14:textId="77777777" w:rsidR="0013739E" w:rsidRPr="00D51F9C" w:rsidRDefault="0013739E" w:rsidP="00D51F9C">
      <w:pPr>
        <w:pStyle w:val="NormalWeb"/>
        <w:shd w:val="clear" w:color="auto" w:fill="FFFFFF"/>
        <w:spacing w:before="0" w:beforeAutospacing="0" w:line="240" w:lineRule="auto"/>
        <w:rPr>
          <w:rFonts w:ascii="Arial" w:hAnsi="Arial" w:cs="Arial"/>
          <w:color w:val="333333"/>
          <w:sz w:val="18"/>
          <w:szCs w:val="18"/>
        </w:rPr>
      </w:pPr>
      <w:r w:rsidRPr="00D51F9C">
        <w:rPr>
          <w:rFonts w:ascii="Arial" w:hAnsi="Arial" w:cs="Arial"/>
          <w:color w:val="333333"/>
          <w:sz w:val="18"/>
          <w:szCs w:val="18"/>
        </w:rPr>
        <w:t>1. Tiempo de experiencia.</w:t>
      </w:r>
    </w:p>
    <w:p w14:paraId="33C264B2" w14:textId="77777777" w:rsidR="0013739E" w:rsidRPr="00D51F9C" w:rsidRDefault="0013739E" w:rsidP="00D51F9C">
      <w:pPr>
        <w:pStyle w:val="NormalWeb"/>
        <w:shd w:val="clear" w:color="auto" w:fill="FFFFFF"/>
        <w:spacing w:before="0" w:beforeAutospacing="0" w:line="240" w:lineRule="auto"/>
        <w:rPr>
          <w:rFonts w:ascii="Arial" w:hAnsi="Arial" w:cs="Arial"/>
          <w:color w:val="333333"/>
          <w:sz w:val="18"/>
          <w:szCs w:val="18"/>
        </w:rPr>
      </w:pPr>
      <w:r w:rsidRPr="00D51F9C">
        <w:rPr>
          <w:rFonts w:ascii="Arial" w:hAnsi="Arial" w:cs="Arial"/>
          <w:color w:val="333333"/>
          <w:sz w:val="18"/>
          <w:szCs w:val="18"/>
        </w:rPr>
        <w:t>2. Número de contratos para la acreditación de la experiencia.</w:t>
      </w:r>
    </w:p>
    <w:p w14:paraId="439DC36D" w14:textId="77777777" w:rsidR="0013739E" w:rsidRPr="00D51F9C" w:rsidRDefault="0013739E" w:rsidP="00D51F9C">
      <w:pPr>
        <w:pStyle w:val="NormalWeb"/>
        <w:shd w:val="clear" w:color="auto" w:fill="FFFFFF"/>
        <w:spacing w:before="0" w:beforeAutospacing="0" w:line="240" w:lineRule="auto"/>
        <w:rPr>
          <w:rFonts w:ascii="Arial" w:hAnsi="Arial" w:cs="Arial"/>
          <w:color w:val="333333"/>
          <w:sz w:val="18"/>
          <w:szCs w:val="18"/>
        </w:rPr>
      </w:pPr>
      <w:r w:rsidRPr="00D51F9C">
        <w:rPr>
          <w:rFonts w:ascii="Arial" w:hAnsi="Arial" w:cs="Arial"/>
          <w:color w:val="333333"/>
          <w:sz w:val="18"/>
          <w:szCs w:val="18"/>
        </w:rPr>
        <w:t>3. Índices de capacidad financiera.</w:t>
      </w:r>
    </w:p>
    <w:p w14:paraId="165F005F" w14:textId="77777777" w:rsidR="0013739E" w:rsidRPr="00D51F9C" w:rsidRDefault="0013739E" w:rsidP="00D51F9C">
      <w:pPr>
        <w:pStyle w:val="NormalWeb"/>
        <w:shd w:val="clear" w:color="auto" w:fill="FFFFFF"/>
        <w:spacing w:before="0" w:beforeAutospacing="0" w:line="240" w:lineRule="auto"/>
        <w:rPr>
          <w:rFonts w:ascii="Arial" w:hAnsi="Arial" w:cs="Arial"/>
          <w:color w:val="333333"/>
          <w:sz w:val="18"/>
          <w:szCs w:val="18"/>
        </w:rPr>
      </w:pPr>
      <w:r w:rsidRPr="00D51F9C">
        <w:rPr>
          <w:rFonts w:ascii="Arial" w:hAnsi="Arial" w:cs="Arial"/>
          <w:color w:val="333333"/>
          <w:sz w:val="18"/>
          <w:szCs w:val="18"/>
        </w:rPr>
        <w:t>4. Índices de capacidad organizacional.</w:t>
      </w:r>
    </w:p>
    <w:p w14:paraId="559DF2D5" w14:textId="77777777" w:rsidR="0013739E" w:rsidRPr="00D51F9C" w:rsidRDefault="0013739E" w:rsidP="00D51F9C">
      <w:pPr>
        <w:pStyle w:val="NormalWeb"/>
        <w:shd w:val="clear" w:color="auto" w:fill="FFFFFF"/>
        <w:spacing w:before="0" w:beforeAutospacing="0" w:line="240" w:lineRule="auto"/>
        <w:rPr>
          <w:rFonts w:ascii="Arial" w:hAnsi="Arial" w:cs="Arial"/>
          <w:color w:val="333333"/>
          <w:sz w:val="18"/>
          <w:szCs w:val="18"/>
        </w:rPr>
      </w:pPr>
      <w:r w:rsidRPr="00D51F9C">
        <w:rPr>
          <w:rFonts w:ascii="Arial" w:hAnsi="Arial" w:cs="Arial"/>
          <w:color w:val="333333"/>
          <w:sz w:val="18"/>
          <w:szCs w:val="18"/>
        </w:rPr>
        <w:t>5. Valor de la garantía de seriedad de la oferta.</w:t>
      </w:r>
    </w:p>
    <w:p w14:paraId="2779C9AB" w14:textId="77777777" w:rsidR="0013739E" w:rsidRPr="00D51F9C" w:rsidRDefault="0013739E" w:rsidP="00D51F9C">
      <w:pPr>
        <w:pStyle w:val="NormalWeb"/>
        <w:shd w:val="clear" w:color="auto" w:fill="FFFFFF"/>
        <w:spacing w:before="0" w:beforeAutospacing="0" w:line="240" w:lineRule="auto"/>
        <w:rPr>
          <w:rFonts w:ascii="Arial" w:hAnsi="Arial" w:cs="Arial"/>
          <w:color w:val="333333"/>
          <w:sz w:val="18"/>
          <w:szCs w:val="18"/>
        </w:rPr>
      </w:pPr>
      <w:r w:rsidRPr="00D51F9C">
        <w:rPr>
          <w:rFonts w:ascii="Arial" w:hAnsi="Arial" w:cs="Arial"/>
          <w:color w:val="333333"/>
          <w:sz w:val="18"/>
          <w:szCs w:val="18"/>
        </w:rPr>
        <w:t>Los requisitos mencionados deberán fijarse respetando las condiciones habilitantes requeridas para el cumplimiento adecuado del contrato, teniendo en cuenta el alcance de las obligaciones. En desarrollo de lo anterior, con la finalidad de beneficiar a las Mipyme, se establecerán condiciones más exigentes respecto a alguno o algunos de los criterios de participación antes enunciados frente a los demás proponentes que concurran al procedimiento de selección que no sean Mipyme.</w:t>
      </w:r>
    </w:p>
    <w:p w14:paraId="063A7B5E" w14:textId="77777777" w:rsidR="0013739E" w:rsidRPr="00D51F9C" w:rsidRDefault="0013739E" w:rsidP="00D51F9C">
      <w:pPr>
        <w:pStyle w:val="NormalWeb"/>
        <w:shd w:val="clear" w:color="auto" w:fill="FFFFFF"/>
        <w:spacing w:before="0" w:beforeAutospacing="0" w:line="240" w:lineRule="auto"/>
        <w:rPr>
          <w:rFonts w:ascii="Arial" w:hAnsi="Arial" w:cs="Arial"/>
          <w:color w:val="333333"/>
          <w:sz w:val="18"/>
          <w:szCs w:val="18"/>
        </w:rPr>
      </w:pPr>
      <w:r w:rsidRPr="00D51F9C">
        <w:rPr>
          <w:rFonts w:ascii="Arial" w:hAnsi="Arial" w:cs="Arial"/>
          <w:color w:val="333333"/>
          <w:sz w:val="18"/>
          <w:szCs w:val="18"/>
        </w:rPr>
        <w:t>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para Mipyme. En ningún caso, estos podrán superar el cero punto veinticinco por ciento (0.25%) del total de los puntos establecidos en el pliego de condiciones.</w:t>
      </w:r>
    </w:p>
    <w:p w14:paraId="0C9B7B40" w14:textId="77777777" w:rsidR="0013739E" w:rsidRPr="00D51F9C" w:rsidRDefault="0013739E" w:rsidP="00D51F9C">
      <w:pPr>
        <w:pStyle w:val="NormalWeb"/>
        <w:shd w:val="clear" w:color="auto" w:fill="FFFFFF"/>
        <w:spacing w:before="0" w:beforeAutospacing="0" w:line="240" w:lineRule="auto"/>
        <w:rPr>
          <w:rFonts w:ascii="Arial" w:hAnsi="Arial" w:cs="Arial"/>
          <w:color w:val="333333"/>
          <w:sz w:val="18"/>
          <w:szCs w:val="18"/>
        </w:rPr>
      </w:pPr>
      <w:r w:rsidRPr="00D51F9C">
        <w:rPr>
          <w:rStyle w:val="Textoennegrita"/>
          <w:rFonts w:ascii="Arial" w:hAnsi="Arial" w:cs="Arial"/>
          <w:color w:val="333333"/>
          <w:sz w:val="18"/>
          <w:szCs w:val="18"/>
        </w:rPr>
        <w:t>PARÁGRAFO 1.</w:t>
      </w:r>
      <w:r w:rsidRPr="00D51F9C">
        <w:rPr>
          <w:rFonts w:ascii="Arial" w:hAnsi="Arial" w:cs="Arial"/>
          <w:color w:val="333333"/>
          <w:sz w:val="18"/>
          <w:szCs w:val="18"/>
        </w:rPr>
        <w:t> Para los efectos de este artículo, los criterios de clasificación empresarial son los definidos en el artículo </w:t>
      </w:r>
      <w:hyperlink r:id="rId4" w:anchor="2.2.1.13.2.2" w:history="1">
        <w:r w:rsidRPr="00A1212D">
          <w:rPr>
            <w:rFonts w:ascii="Arial" w:hAnsi="Arial" w:cs="Arial"/>
            <w:color w:val="333333"/>
            <w:sz w:val="18"/>
            <w:szCs w:val="18"/>
          </w:rPr>
          <w:t>2.2.1.13.2.2</w:t>
        </w:r>
      </w:hyperlink>
      <w:r w:rsidRPr="00D51F9C">
        <w:rPr>
          <w:rFonts w:ascii="Arial" w:hAnsi="Arial" w:cs="Arial"/>
          <w:color w:val="333333"/>
          <w:sz w:val="18"/>
          <w:szCs w:val="18"/>
        </w:rPr>
        <w:t> del Decreto 1074 de 2015, Único Reglamentario del Sector Comercio, Industria y Turismo, o la norma que lo modifique, derogue o sustituya.</w:t>
      </w:r>
    </w:p>
    <w:p w14:paraId="43D3FF45" w14:textId="77777777" w:rsidR="0013739E" w:rsidRPr="00D51F9C" w:rsidRDefault="0013739E" w:rsidP="00D51F9C">
      <w:pPr>
        <w:pStyle w:val="NormalWeb"/>
        <w:shd w:val="clear" w:color="auto" w:fill="FFFFFF"/>
        <w:spacing w:before="0" w:beforeAutospacing="0" w:line="240" w:lineRule="auto"/>
        <w:rPr>
          <w:rFonts w:ascii="Arial" w:hAnsi="Arial" w:cs="Arial"/>
          <w:color w:val="333333"/>
          <w:sz w:val="18"/>
          <w:szCs w:val="18"/>
        </w:rPr>
      </w:pPr>
      <w:r w:rsidRPr="00D51F9C">
        <w:rPr>
          <w:rStyle w:val="Textoennegrita"/>
          <w:rFonts w:ascii="Arial" w:hAnsi="Arial" w:cs="Arial"/>
          <w:color w:val="333333"/>
          <w:sz w:val="18"/>
          <w:szCs w:val="18"/>
        </w:rPr>
        <w:t>PARÁGRAFO 2.</w:t>
      </w:r>
      <w:r w:rsidRPr="00D51F9C">
        <w:rPr>
          <w:rFonts w:ascii="Arial" w:hAnsi="Arial" w:cs="Arial"/>
          <w:color w:val="333333"/>
          <w:sz w:val="18"/>
          <w:szCs w:val="18"/>
        </w:rPr>
        <w:t> Tratándose de proponentes plurales, los criterios diferenciales y los puntajes adicionales solo se aplicarán si por lo menos uno de los integrantes acredita la calidad de Mipyme y tiene una participación igual o superior al diez por ciento (10%) en el consorcio o la unión temporal.</w:t>
      </w:r>
    </w:p>
    <w:p w14:paraId="55C78930" w14:textId="20ED0674" w:rsidR="0013739E" w:rsidRPr="00D51F9C" w:rsidRDefault="0013739E" w:rsidP="00D51F9C">
      <w:pPr>
        <w:pStyle w:val="NormalWeb"/>
        <w:shd w:val="clear" w:color="auto" w:fill="FFFFFF"/>
        <w:spacing w:before="0" w:beforeAutospacing="0" w:line="240" w:lineRule="auto"/>
        <w:rPr>
          <w:rFonts w:ascii="Arial" w:hAnsi="Arial" w:cs="Arial"/>
          <w:color w:val="333333"/>
          <w:sz w:val="18"/>
          <w:szCs w:val="18"/>
        </w:rPr>
      </w:pPr>
      <w:r w:rsidRPr="00D51F9C">
        <w:rPr>
          <w:rStyle w:val="Textoennegrita"/>
          <w:rFonts w:ascii="Arial" w:hAnsi="Arial" w:cs="Arial"/>
          <w:color w:val="333333"/>
          <w:sz w:val="18"/>
          <w:szCs w:val="18"/>
        </w:rPr>
        <w:t>PARÁGRAFO 3.</w:t>
      </w:r>
      <w:r w:rsidRPr="00D51F9C">
        <w:rPr>
          <w:rFonts w:ascii="Arial" w:hAnsi="Arial" w:cs="Arial"/>
          <w:color w:val="333333"/>
          <w:sz w:val="18"/>
          <w:szCs w:val="18"/>
        </w:rPr>
        <w:t> Lo previsto en esta norma aplica sin perjuicio de lo dispuesto en los Acuerdos Comerciales suscritos por el Estado colombiano, pero no rige en las convocatorias limitadas que se realicen conforme a los artículos 2.2.1.2.4.2.2 y 2.2.1.2.4.2.3 de este Decreto."</w:t>
      </w:r>
      <w:bookmarkStart w:id="17" w:name="4"/>
      <w:bookmarkEnd w:id="17"/>
      <w:r>
        <w:rPr>
          <w:rFonts w:ascii="Arial" w:hAnsi="Arial" w:cs="Arial"/>
          <w:color w:val="333333"/>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EF45" w14:textId="1E9D4BBB" w:rsidR="00412132" w:rsidRDefault="00EB6258" w:rsidP="00EB6258">
    <w:pPr>
      <w:pStyle w:val="Encabezado"/>
      <w:tabs>
        <w:tab w:val="clear" w:pos="8504"/>
        <w:tab w:val="right" w:pos="8789"/>
      </w:tabs>
    </w:pPr>
    <w:r>
      <w:rPr>
        <w:noProof/>
        <w:lang w:val="es-CO" w:eastAsia="es-CO"/>
      </w:rPr>
      <w:drawing>
        <wp:anchor distT="0" distB="0" distL="114300" distR="114300" simplePos="0" relativeHeight="251659264" behindDoc="0" locked="0" layoutInCell="1" allowOverlap="1" wp14:anchorId="136F03BA" wp14:editId="569847BE">
          <wp:simplePos x="0" y="0"/>
          <wp:positionH relativeFrom="margin">
            <wp:align>right</wp:align>
          </wp:positionH>
          <wp:positionV relativeFrom="paragraph">
            <wp:posOffset>116323</wp:posOffset>
          </wp:positionV>
          <wp:extent cx="1543050" cy="640616"/>
          <wp:effectExtent l="0" t="0" r="0" b="7620"/>
          <wp:wrapNone/>
          <wp:docPr id="25" name="Imagen 2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050" cy="640616"/>
                  </a:xfrm>
                  <a:prstGeom prst="rect">
                    <a:avLst/>
                  </a:prstGeom>
                </pic:spPr>
              </pic:pic>
            </a:graphicData>
          </a:graphic>
          <wp14:sizeRelH relativeFrom="page">
            <wp14:pctWidth>0</wp14:pctWidth>
          </wp14:sizeRelH>
          <wp14:sizeRelV relativeFrom="page">
            <wp14:pctHeight>0</wp14:pctHeight>
          </wp14:sizeRelV>
        </wp:anchor>
      </w:drawing>
    </w:r>
  </w:p>
  <w:p w14:paraId="63E60933" w14:textId="30942A63" w:rsidR="00412132" w:rsidRDefault="00000000">
    <w:pPr>
      <w:pStyle w:val="Encabezado"/>
    </w:pPr>
  </w:p>
  <w:p w14:paraId="3F2ADC86" w14:textId="77777777" w:rsidR="00602393" w:rsidRDefault="006023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F41"/>
    <w:multiLevelType w:val="hybridMultilevel"/>
    <w:tmpl w:val="57E0A038"/>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90058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4DA"/>
    <w:rsid w:val="00014E7A"/>
    <w:rsid w:val="00021D58"/>
    <w:rsid w:val="00023689"/>
    <w:rsid w:val="0002796A"/>
    <w:rsid w:val="0004520F"/>
    <w:rsid w:val="00057838"/>
    <w:rsid w:val="00060D73"/>
    <w:rsid w:val="00061637"/>
    <w:rsid w:val="00076D4F"/>
    <w:rsid w:val="00081B49"/>
    <w:rsid w:val="00094C13"/>
    <w:rsid w:val="000A4C36"/>
    <w:rsid w:val="000B00D4"/>
    <w:rsid w:val="000B342A"/>
    <w:rsid w:val="000B6050"/>
    <w:rsid w:val="000C1319"/>
    <w:rsid w:val="000C3ED0"/>
    <w:rsid w:val="000C6040"/>
    <w:rsid w:val="000C799C"/>
    <w:rsid w:val="000D2399"/>
    <w:rsid w:val="000E67AB"/>
    <w:rsid w:val="000F3200"/>
    <w:rsid w:val="0013739E"/>
    <w:rsid w:val="0015148E"/>
    <w:rsid w:val="00153350"/>
    <w:rsid w:val="00162E67"/>
    <w:rsid w:val="00190900"/>
    <w:rsid w:val="001936EE"/>
    <w:rsid w:val="001A33E8"/>
    <w:rsid w:val="001A7D60"/>
    <w:rsid w:val="001B2C9A"/>
    <w:rsid w:val="001C7F0C"/>
    <w:rsid w:val="001D76A8"/>
    <w:rsid w:val="001F7A5B"/>
    <w:rsid w:val="00241F70"/>
    <w:rsid w:val="00247C03"/>
    <w:rsid w:val="002604E7"/>
    <w:rsid w:val="00291C2D"/>
    <w:rsid w:val="002B34BE"/>
    <w:rsid w:val="002C1833"/>
    <w:rsid w:val="002D08F9"/>
    <w:rsid w:val="002E14CC"/>
    <w:rsid w:val="002E1DA4"/>
    <w:rsid w:val="002F0DAA"/>
    <w:rsid w:val="00301FA7"/>
    <w:rsid w:val="003062C5"/>
    <w:rsid w:val="00334DAD"/>
    <w:rsid w:val="00356968"/>
    <w:rsid w:val="003744E5"/>
    <w:rsid w:val="00375396"/>
    <w:rsid w:val="003A50A3"/>
    <w:rsid w:val="003B585F"/>
    <w:rsid w:val="003B5D02"/>
    <w:rsid w:val="003C22CA"/>
    <w:rsid w:val="003D726C"/>
    <w:rsid w:val="003E4432"/>
    <w:rsid w:val="003F2175"/>
    <w:rsid w:val="0040111D"/>
    <w:rsid w:val="0041174E"/>
    <w:rsid w:val="00413385"/>
    <w:rsid w:val="0042020B"/>
    <w:rsid w:val="00423EA7"/>
    <w:rsid w:val="004334D8"/>
    <w:rsid w:val="00441CEB"/>
    <w:rsid w:val="0044399D"/>
    <w:rsid w:val="00445DEC"/>
    <w:rsid w:val="0046115B"/>
    <w:rsid w:val="00467F96"/>
    <w:rsid w:val="00467FAC"/>
    <w:rsid w:val="00472687"/>
    <w:rsid w:val="00472B61"/>
    <w:rsid w:val="004A6B83"/>
    <w:rsid w:val="004C234A"/>
    <w:rsid w:val="004D2F29"/>
    <w:rsid w:val="004D6807"/>
    <w:rsid w:val="005308FB"/>
    <w:rsid w:val="00532AAF"/>
    <w:rsid w:val="005421BB"/>
    <w:rsid w:val="0054413B"/>
    <w:rsid w:val="00546675"/>
    <w:rsid w:val="00551A16"/>
    <w:rsid w:val="00553A86"/>
    <w:rsid w:val="005608C0"/>
    <w:rsid w:val="00564685"/>
    <w:rsid w:val="00574527"/>
    <w:rsid w:val="00596D36"/>
    <w:rsid w:val="005976C9"/>
    <w:rsid w:val="005A2421"/>
    <w:rsid w:val="005B0FF4"/>
    <w:rsid w:val="005C7BE9"/>
    <w:rsid w:val="005D2424"/>
    <w:rsid w:val="005E5CE2"/>
    <w:rsid w:val="006000E1"/>
    <w:rsid w:val="00602393"/>
    <w:rsid w:val="00614A0F"/>
    <w:rsid w:val="006242A4"/>
    <w:rsid w:val="00624548"/>
    <w:rsid w:val="0062783C"/>
    <w:rsid w:val="00642F91"/>
    <w:rsid w:val="00645CBD"/>
    <w:rsid w:val="00650342"/>
    <w:rsid w:val="0067781D"/>
    <w:rsid w:val="00696B99"/>
    <w:rsid w:val="006A06D4"/>
    <w:rsid w:val="006B6FCF"/>
    <w:rsid w:val="006C15AE"/>
    <w:rsid w:val="006F526C"/>
    <w:rsid w:val="006F7F78"/>
    <w:rsid w:val="00703924"/>
    <w:rsid w:val="00707123"/>
    <w:rsid w:val="00711407"/>
    <w:rsid w:val="0071223B"/>
    <w:rsid w:val="0071547E"/>
    <w:rsid w:val="00724F42"/>
    <w:rsid w:val="00740F63"/>
    <w:rsid w:val="00752AFA"/>
    <w:rsid w:val="00777B61"/>
    <w:rsid w:val="0078088A"/>
    <w:rsid w:val="007847B1"/>
    <w:rsid w:val="00787591"/>
    <w:rsid w:val="00790D11"/>
    <w:rsid w:val="00790FE3"/>
    <w:rsid w:val="007927FA"/>
    <w:rsid w:val="007A035E"/>
    <w:rsid w:val="007A1275"/>
    <w:rsid w:val="007A2DDA"/>
    <w:rsid w:val="007A7E46"/>
    <w:rsid w:val="007E4D12"/>
    <w:rsid w:val="007F153D"/>
    <w:rsid w:val="007F5BB2"/>
    <w:rsid w:val="0081404D"/>
    <w:rsid w:val="00814E65"/>
    <w:rsid w:val="00833B17"/>
    <w:rsid w:val="008366F1"/>
    <w:rsid w:val="00845CC7"/>
    <w:rsid w:val="00851F8B"/>
    <w:rsid w:val="008531D2"/>
    <w:rsid w:val="00871F5E"/>
    <w:rsid w:val="00872FEB"/>
    <w:rsid w:val="00882434"/>
    <w:rsid w:val="008A3273"/>
    <w:rsid w:val="008E62D5"/>
    <w:rsid w:val="009138A4"/>
    <w:rsid w:val="00926764"/>
    <w:rsid w:val="00935414"/>
    <w:rsid w:val="00943C2B"/>
    <w:rsid w:val="0094555A"/>
    <w:rsid w:val="00951ECE"/>
    <w:rsid w:val="0098651E"/>
    <w:rsid w:val="00995684"/>
    <w:rsid w:val="009C1B37"/>
    <w:rsid w:val="009D0908"/>
    <w:rsid w:val="009D0F5D"/>
    <w:rsid w:val="009D389B"/>
    <w:rsid w:val="009E5198"/>
    <w:rsid w:val="009F5FC9"/>
    <w:rsid w:val="009F75C6"/>
    <w:rsid w:val="00A0611B"/>
    <w:rsid w:val="00A11773"/>
    <w:rsid w:val="00A1212D"/>
    <w:rsid w:val="00A13487"/>
    <w:rsid w:val="00A1741E"/>
    <w:rsid w:val="00A2385B"/>
    <w:rsid w:val="00A2552B"/>
    <w:rsid w:val="00A26A5D"/>
    <w:rsid w:val="00A424A2"/>
    <w:rsid w:val="00A51F86"/>
    <w:rsid w:val="00A63DFE"/>
    <w:rsid w:val="00A711B2"/>
    <w:rsid w:val="00A81E53"/>
    <w:rsid w:val="00A92A11"/>
    <w:rsid w:val="00A95BD1"/>
    <w:rsid w:val="00AA013F"/>
    <w:rsid w:val="00AD57FD"/>
    <w:rsid w:val="00AD6421"/>
    <w:rsid w:val="00AF24DA"/>
    <w:rsid w:val="00B41F62"/>
    <w:rsid w:val="00B460EE"/>
    <w:rsid w:val="00B46998"/>
    <w:rsid w:val="00B55C9E"/>
    <w:rsid w:val="00B56082"/>
    <w:rsid w:val="00B607A1"/>
    <w:rsid w:val="00B7462E"/>
    <w:rsid w:val="00B7607E"/>
    <w:rsid w:val="00B760B9"/>
    <w:rsid w:val="00B8049E"/>
    <w:rsid w:val="00B95201"/>
    <w:rsid w:val="00BB72C5"/>
    <w:rsid w:val="00BC12BF"/>
    <w:rsid w:val="00BE547A"/>
    <w:rsid w:val="00BE5ADC"/>
    <w:rsid w:val="00BF49D1"/>
    <w:rsid w:val="00BF5EB1"/>
    <w:rsid w:val="00C113FB"/>
    <w:rsid w:val="00C14DFC"/>
    <w:rsid w:val="00C15E08"/>
    <w:rsid w:val="00C27036"/>
    <w:rsid w:val="00C3638A"/>
    <w:rsid w:val="00C548DC"/>
    <w:rsid w:val="00C57007"/>
    <w:rsid w:val="00C627FA"/>
    <w:rsid w:val="00C67EC5"/>
    <w:rsid w:val="00C70B02"/>
    <w:rsid w:val="00C730B4"/>
    <w:rsid w:val="00C76B37"/>
    <w:rsid w:val="00C91BE7"/>
    <w:rsid w:val="00CA6E19"/>
    <w:rsid w:val="00CB42E7"/>
    <w:rsid w:val="00CB5EC5"/>
    <w:rsid w:val="00CD1515"/>
    <w:rsid w:val="00CD34DC"/>
    <w:rsid w:val="00CF6D19"/>
    <w:rsid w:val="00CF720E"/>
    <w:rsid w:val="00D0229D"/>
    <w:rsid w:val="00D03D7C"/>
    <w:rsid w:val="00D0528B"/>
    <w:rsid w:val="00D15821"/>
    <w:rsid w:val="00D175C9"/>
    <w:rsid w:val="00D1771B"/>
    <w:rsid w:val="00D27608"/>
    <w:rsid w:val="00D51F9C"/>
    <w:rsid w:val="00D52A4D"/>
    <w:rsid w:val="00D63C6A"/>
    <w:rsid w:val="00D759F8"/>
    <w:rsid w:val="00D85A1F"/>
    <w:rsid w:val="00D86AE2"/>
    <w:rsid w:val="00D92B7D"/>
    <w:rsid w:val="00D96E86"/>
    <w:rsid w:val="00DB2DED"/>
    <w:rsid w:val="00DB65F4"/>
    <w:rsid w:val="00DD088A"/>
    <w:rsid w:val="00E04BFC"/>
    <w:rsid w:val="00E0558B"/>
    <w:rsid w:val="00E34B1E"/>
    <w:rsid w:val="00E36240"/>
    <w:rsid w:val="00E50FFA"/>
    <w:rsid w:val="00E61C43"/>
    <w:rsid w:val="00E62A9B"/>
    <w:rsid w:val="00E66876"/>
    <w:rsid w:val="00E72C85"/>
    <w:rsid w:val="00E77B5F"/>
    <w:rsid w:val="00E90800"/>
    <w:rsid w:val="00E952A5"/>
    <w:rsid w:val="00EB1C1D"/>
    <w:rsid w:val="00EB2E11"/>
    <w:rsid w:val="00EB6258"/>
    <w:rsid w:val="00EB6665"/>
    <w:rsid w:val="00EC68CB"/>
    <w:rsid w:val="00EC6B2B"/>
    <w:rsid w:val="00ED6980"/>
    <w:rsid w:val="00ED7696"/>
    <w:rsid w:val="00F20807"/>
    <w:rsid w:val="00F24A2F"/>
    <w:rsid w:val="00F278F2"/>
    <w:rsid w:val="00F369B7"/>
    <w:rsid w:val="00F536E9"/>
    <w:rsid w:val="00F63992"/>
    <w:rsid w:val="00F66FAF"/>
    <w:rsid w:val="00F77F1A"/>
    <w:rsid w:val="00F81A14"/>
    <w:rsid w:val="00F863E5"/>
    <w:rsid w:val="00F96D59"/>
    <w:rsid w:val="00FA2236"/>
    <w:rsid w:val="00FB50F3"/>
    <w:rsid w:val="00FD4679"/>
    <w:rsid w:val="00FE0D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53E97"/>
  <w15:chartTrackingRefBased/>
  <w15:docId w15:val="{4EF38CD0-9B2B-4770-B368-04942F00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F24DA"/>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AF24DA"/>
    <w:rPr>
      <w:sz w:val="24"/>
      <w:lang w:val="es-MX"/>
    </w:rPr>
  </w:style>
  <w:style w:type="paragraph" w:styleId="Encabezado">
    <w:name w:val="header"/>
    <w:basedOn w:val="Normal"/>
    <w:link w:val="EncabezadoCar"/>
    <w:uiPriority w:val="99"/>
    <w:unhideWhenUsed/>
    <w:rsid w:val="00AF24DA"/>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AF24DA"/>
    <w:rPr>
      <w:sz w:val="24"/>
      <w:lang w:val="es-MX"/>
    </w:rPr>
  </w:style>
  <w:style w:type="table" w:styleId="Tablaconcuadrcula">
    <w:name w:val="Table Grid"/>
    <w:basedOn w:val="Tablanormal"/>
    <w:uiPriority w:val="39"/>
    <w:rsid w:val="00AF24D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AF24DA"/>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uiPriority w:val="1"/>
    <w:qFormat/>
    <w:rsid w:val="00AF24DA"/>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F24D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AF24DA"/>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AF24DA"/>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nhideWhenUsed/>
    <w:qFormat/>
    <w:rsid w:val="00AF24DA"/>
    <w:rPr>
      <w:vertAlign w:val="superscript"/>
    </w:rPr>
  </w:style>
  <w:style w:type="paragraph" w:customStyle="1" w:styleId="Appelnotedebasde">
    <w:name w:val="Appel note de bas de..."/>
    <w:basedOn w:val="Normal"/>
    <w:link w:val="Refdenotaalpie"/>
    <w:rsid w:val="00AF24DA"/>
    <w:pPr>
      <w:spacing w:line="240" w:lineRule="exact"/>
      <w:jc w:val="both"/>
    </w:pPr>
    <w:rPr>
      <w:vertAlign w:val="superscript"/>
    </w:rPr>
  </w:style>
  <w:style w:type="character" w:customStyle="1" w:styleId="NormalWebCar">
    <w:name w:val="Normal (Web) Car"/>
    <w:link w:val="NormalWeb"/>
    <w:uiPriority w:val="99"/>
    <w:locked/>
    <w:rsid w:val="00AF24DA"/>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59"/>
    <w:rsid w:val="00AF2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AF24DA"/>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02796A"/>
    <w:pPr>
      <w:ind w:left="720"/>
      <w:contextualSpacing/>
    </w:pPr>
  </w:style>
  <w:style w:type="character" w:styleId="Textoennegrita">
    <w:name w:val="Strong"/>
    <w:basedOn w:val="Fuentedeprrafopredeter"/>
    <w:uiPriority w:val="22"/>
    <w:qFormat/>
    <w:rsid w:val="00A63DFE"/>
    <w:rPr>
      <w:b/>
      <w:bCs/>
    </w:rPr>
  </w:style>
  <w:style w:type="character" w:styleId="nfasis">
    <w:name w:val="Emphasis"/>
    <w:basedOn w:val="Fuentedeprrafopredeter"/>
    <w:uiPriority w:val="20"/>
    <w:qFormat/>
    <w:rsid w:val="00A63DFE"/>
    <w:rPr>
      <w:i/>
      <w:iCs/>
    </w:rPr>
  </w:style>
  <w:style w:type="character" w:styleId="Hipervnculo">
    <w:name w:val="Hyperlink"/>
    <w:basedOn w:val="Fuentedeprrafopredeter"/>
    <w:uiPriority w:val="99"/>
    <w:unhideWhenUsed/>
    <w:rsid w:val="00A63DFE"/>
    <w:rPr>
      <w:color w:val="0000FF"/>
      <w:u w:val="single"/>
    </w:rPr>
  </w:style>
  <w:style w:type="paragraph" w:customStyle="1" w:styleId="paragraph">
    <w:name w:val="paragraph"/>
    <w:basedOn w:val="Normal"/>
    <w:rsid w:val="00ED769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ED7696"/>
  </w:style>
  <w:style w:type="character" w:customStyle="1" w:styleId="superscript">
    <w:name w:val="superscript"/>
    <w:basedOn w:val="Fuentedeprrafopredeter"/>
    <w:rsid w:val="00ED7696"/>
  </w:style>
  <w:style w:type="character" w:customStyle="1" w:styleId="eop">
    <w:name w:val="eop"/>
    <w:basedOn w:val="Fuentedeprrafopredeter"/>
    <w:rsid w:val="00ED7696"/>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A2552B"/>
  </w:style>
  <w:style w:type="character" w:styleId="Refdecomentario">
    <w:name w:val="annotation reference"/>
    <w:basedOn w:val="Fuentedeprrafopredeter"/>
    <w:uiPriority w:val="99"/>
    <w:semiHidden/>
    <w:unhideWhenUsed/>
    <w:rsid w:val="001B2C9A"/>
    <w:rPr>
      <w:sz w:val="16"/>
      <w:szCs w:val="16"/>
    </w:rPr>
  </w:style>
  <w:style w:type="paragraph" w:styleId="Textocomentario">
    <w:name w:val="annotation text"/>
    <w:basedOn w:val="Normal"/>
    <w:link w:val="TextocomentarioCar"/>
    <w:uiPriority w:val="99"/>
    <w:semiHidden/>
    <w:unhideWhenUsed/>
    <w:rsid w:val="001B2C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2C9A"/>
    <w:rPr>
      <w:sz w:val="20"/>
      <w:szCs w:val="20"/>
    </w:rPr>
  </w:style>
  <w:style w:type="paragraph" w:styleId="Asuntodelcomentario">
    <w:name w:val="annotation subject"/>
    <w:basedOn w:val="Textocomentario"/>
    <w:next w:val="Textocomentario"/>
    <w:link w:val="AsuntodelcomentarioCar"/>
    <w:uiPriority w:val="99"/>
    <w:semiHidden/>
    <w:unhideWhenUsed/>
    <w:rsid w:val="001B2C9A"/>
    <w:rPr>
      <w:b/>
      <w:bCs/>
    </w:rPr>
  </w:style>
  <w:style w:type="character" w:customStyle="1" w:styleId="AsuntodelcomentarioCar">
    <w:name w:val="Asunto del comentario Car"/>
    <w:basedOn w:val="TextocomentarioCar"/>
    <w:link w:val="Asuntodelcomentario"/>
    <w:uiPriority w:val="99"/>
    <w:semiHidden/>
    <w:rsid w:val="001B2C9A"/>
    <w:rPr>
      <w:b/>
      <w:bCs/>
      <w:sz w:val="20"/>
      <w:szCs w:val="20"/>
    </w:rPr>
  </w:style>
  <w:style w:type="character" w:customStyle="1" w:styleId="Hipervnculo1">
    <w:name w:val="Hipervínculo1"/>
    <w:basedOn w:val="Fuentedeprrafopredeter"/>
    <w:uiPriority w:val="99"/>
    <w:unhideWhenUsed/>
    <w:rsid w:val="00D85A1F"/>
    <w:rPr>
      <w:color w:val="F2F2F2"/>
      <w:u w:val="single"/>
    </w:rPr>
  </w:style>
  <w:style w:type="paragraph" w:styleId="Textodeglobo">
    <w:name w:val="Balloon Text"/>
    <w:basedOn w:val="Normal"/>
    <w:link w:val="TextodegloboCar"/>
    <w:uiPriority w:val="99"/>
    <w:semiHidden/>
    <w:unhideWhenUsed/>
    <w:rsid w:val="00C113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13FB"/>
    <w:rPr>
      <w:rFonts w:ascii="Segoe UI" w:hAnsi="Segoe UI" w:cs="Segoe UI"/>
      <w:sz w:val="18"/>
      <w:szCs w:val="18"/>
    </w:rPr>
  </w:style>
  <w:style w:type="paragraph" w:styleId="Revisin">
    <w:name w:val="Revision"/>
    <w:hidden/>
    <w:uiPriority w:val="99"/>
    <w:semiHidden/>
    <w:rsid w:val="00C54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53355">
      <w:bodyDiv w:val="1"/>
      <w:marLeft w:val="0"/>
      <w:marRight w:val="0"/>
      <w:marTop w:val="0"/>
      <w:marBottom w:val="0"/>
      <w:divBdr>
        <w:top w:val="none" w:sz="0" w:space="0" w:color="auto"/>
        <w:left w:val="none" w:sz="0" w:space="0" w:color="auto"/>
        <w:bottom w:val="none" w:sz="0" w:space="0" w:color="auto"/>
        <w:right w:val="none" w:sz="0" w:space="0" w:color="auto"/>
      </w:divBdr>
    </w:div>
    <w:div w:id="817184140">
      <w:bodyDiv w:val="1"/>
      <w:marLeft w:val="0"/>
      <w:marRight w:val="0"/>
      <w:marTop w:val="0"/>
      <w:marBottom w:val="0"/>
      <w:divBdr>
        <w:top w:val="none" w:sz="0" w:space="0" w:color="auto"/>
        <w:left w:val="none" w:sz="0" w:space="0" w:color="auto"/>
        <w:bottom w:val="none" w:sz="0" w:space="0" w:color="auto"/>
        <w:right w:val="none" w:sz="0" w:space="0" w:color="auto"/>
      </w:divBdr>
      <w:divsChild>
        <w:div w:id="724375911">
          <w:marLeft w:val="0"/>
          <w:marRight w:val="0"/>
          <w:marTop w:val="0"/>
          <w:marBottom w:val="0"/>
          <w:divBdr>
            <w:top w:val="none" w:sz="0" w:space="0" w:color="auto"/>
            <w:left w:val="none" w:sz="0" w:space="0" w:color="auto"/>
            <w:bottom w:val="none" w:sz="0" w:space="0" w:color="auto"/>
            <w:right w:val="none" w:sz="0" w:space="0" w:color="auto"/>
          </w:divBdr>
        </w:div>
        <w:div w:id="480121701">
          <w:marLeft w:val="0"/>
          <w:marRight w:val="0"/>
          <w:marTop w:val="0"/>
          <w:marBottom w:val="0"/>
          <w:divBdr>
            <w:top w:val="none" w:sz="0" w:space="0" w:color="auto"/>
            <w:left w:val="none" w:sz="0" w:space="0" w:color="auto"/>
            <w:bottom w:val="none" w:sz="0" w:space="0" w:color="auto"/>
            <w:right w:val="none" w:sz="0" w:space="0" w:color="auto"/>
          </w:divBdr>
        </w:div>
        <w:div w:id="502009505">
          <w:marLeft w:val="0"/>
          <w:marRight w:val="0"/>
          <w:marTop w:val="0"/>
          <w:marBottom w:val="0"/>
          <w:divBdr>
            <w:top w:val="none" w:sz="0" w:space="0" w:color="auto"/>
            <w:left w:val="none" w:sz="0" w:space="0" w:color="auto"/>
            <w:bottom w:val="none" w:sz="0" w:space="0" w:color="auto"/>
            <w:right w:val="none" w:sz="0" w:space="0" w:color="auto"/>
          </w:divBdr>
        </w:div>
        <w:div w:id="1366561342">
          <w:marLeft w:val="0"/>
          <w:marRight w:val="0"/>
          <w:marTop w:val="0"/>
          <w:marBottom w:val="0"/>
          <w:divBdr>
            <w:top w:val="none" w:sz="0" w:space="0" w:color="auto"/>
            <w:left w:val="none" w:sz="0" w:space="0" w:color="auto"/>
            <w:bottom w:val="none" w:sz="0" w:space="0" w:color="auto"/>
            <w:right w:val="none" w:sz="0" w:space="0" w:color="auto"/>
          </w:divBdr>
        </w:div>
        <w:div w:id="1812555192">
          <w:marLeft w:val="0"/>
          <w:marRight w:val="0"/>
          <w:marTop w:val="0"/>
          <w:marBottom w:val="0"/>
          <w:divBdr>
            <w:top w:val="none" w:sz="0" w:space="0" w:color="auto"/>
            <w:left w:val="none" w:sz="0" w:space="0" w:color="auto"/>
            <w:bottom w:val="none" w:sz="0" w:space="0" w:color="auto"/>
            <w:right w:val="none" w:sz="0" w:space="0" w:color="auto"/>
          </w:divBdr>
        </w:div>
        <w:div w:id="1487210496">
          <w:marLeft w:val="0"/>
          <w:marRight w:val="0"/>
          <w:marTop w:val="0"/>
          <w:marBottom w:val="0"/>
          <w:divBdr>
            <w:top w:val="none" w:sz="0" w:space="0" w:color="auto"/>
            <w:left w:val="none" w:sz="0" w:space="0" w:color="auto"/>
            <w:bottom w:val="none" w:sz="0" w:space="0" w:color="auto"/>
            <w:right w:val="none" w:sz="0" w:space="0" w:color="auto"/>
          </w:divBdr>
        </w:div>
        <w:div w:id="83695187">
          <w:marLeft w:val="0"/>
          <w:marRight w:val="0"/>
          <w:marTop w:val="0"/>
          <w:marBottom w:val="0"/>
          <w:divBdr>
            <w:top w:val="none" w:sz="0" w:space="0" w:color="auto"/>
            <w:left w:val="none" w:sz="0" w:space="0" w:color="auto"/>
            <w:bottom w:val="none" w:sz="0" w:space="0" w:color="auto"/>
            <w:right w:val="none" w:sz="0" w:space="0" w:color="auto"/>
          </w:divBdr>
        </w:div>
        <w:div w:id="1946688881">
          <w:marLeft w:val="0"/>
          <w:marRight w:val="0"/>
          <w:marTop w:val="0"/>
          <w:marBottom w:val="0"/>
          <w:divBdr>
            <w:top w:val="none" w:sz="0" w:space="0" w:color="auto"/>
            <w:left w:val="none" w:sz="0" w:space="0" w:color="auto"/>
            <w:bottom w:val="none" w:sz="0" w:space="0" w:color="auto"/>
            <w:right w:val="none" w:sz="0" w:space="0" w:color="auto"/>
          </w:divBdr>
        </w:div>
        <w:div w:id="31612698">
          <w:marLeft w:val="0"/>
          <w:marRight w:val="0"/>
          <w:marTop w:val="0"/>
          <w:marBottom w:val="0"/>
          <w:divBdr>
            <w:top w:val="none" w:sz="0" w:space="0" w:color="auto"/>
            <w:left w:val="none" w:sz="0" w:space="0" w:color="auto"/>
            <w:bottom w:val="none" w:sz="0" w:space="0" w:color="auto"/>
            <w:right w:val="none" w:sz="0" w:space="0" w:color="auto"/>
          </w:divBdr>
        </w:div>
        <w:div w:id="2140148230">
          <w:marLeft w:val="0"/>
          <w:marRight w:val="0"/>
          <w:marTop w:val="0"/>
          <w:marBottom w:val="0"/>
          <w:divBdr>
            <w:top w:val="none" w:sz="0" w:space="0" w:color="auto"/>
            <w:left w:val="none" w:sz="0" w:space="0" w:color="auto"/>
            <w:bottom w:val="none" w:sz="0" w:space="0" w:color="auto"/>
            <w:right w:val="none" w:sz="0" w:space="0" w:color="auto"/>
          </w:divBdr>
        </w:div>
        <w:div w:id="1799102074">
          <w:marLeft w:val="0"/>
          <w:marRight w:val="0"/>
          <w:marTop w:val="0"/>
          <w:marBottom w:val="0"/>
          <w:divBdr>
            <w:top w:val="none" w:sz="0" w:space="0" w:color="auto"/>
            <w:left w:val="none" w:sz="0" w:space="0" w:color="auto"/>
            <w:bottom w:val="none" w:sz="0" w:space="0" w:color="auto"/>
            <w:right w:val="none" w:sz="0" w:space="0" w:color="auto"/>
          </w:divBdr>
        </w:div>
        <w:div w:id="910846952">
          <w:marLeft w:val="0"/>
          <w:marRight w:val="0"/>
          <w:marTop w:val="0"/>
          <w:marBottom w:val="0"/>
          <w:divBdr>
            <w:top w:val="none" w:sz="0" w:space="0" w:color="auto"/>
            <w:left w:val="none" w:sz="0" w:space="0" w:color="auto"/>
            <w:bottom w:val="none" w:sz="0" w:space="0" w:color="auto"/>
            <w:right w:val="none" w:sz="0" w:space="0" w:color="auto"/>
          </w:divBdr>
        </w:div>
        <w:div w:id="1265459551">
          <w:marLeft w:val="0"/>
          <w:marRight w:val="0"/>
          <w:marTop w:val="0"/>
          <w:marBottom w:val="0"/>
          <w:divBdr>
            <w:top w:val="none" w:sz="0" w:space="0" w:color="auto"/>
            <w:left w:val="none" w:sz="0" w:space="0" w:color="auto"/>
            <w:bottom w:val="none" w:sz="0" w:space="0" w:color="auto"/>
            <w:right w:val="none" w:sz="0" w:space="0" w:color="auto"/>
          </w:divBdr>
        </w:div>
        <w:div w:id="402726988">
          <w:marLeft w:val="0"/>
          <w:marRight w:val="0"/>
          <w:marTop w:val="0"/>
          <w:marBottom w:val="0"/>
          <w:divBdr>
            <w:top w:val="none" w:sz="0" w:space="0" w:color="auto"/>
            <w:left w:val="none" w:sz="0" w:space="0" w:color="auto"/>
            <w:bottom w:val="none" w:sz="0" w:space="0" w:color="auto"/>
            <w:right w:val="none" w:sz="0" w:space="0" w:color="auto"/>
          </w:divBdr>
        </w:div>
        <w:div w:id="280570691">
          <w:marLeft w:val="0"/>
          <w:marRight w:val="0"/>
          <w:marTop w:val="0"/>
          <w:marBottom w:val="0"/>
          <w:divBdr>
            <w:top w:val="none" w:sz="0" w:space="0" w:color="auto"/>
            <w:left w:val="none" w:sz="0" w:space="0" w:color="auto"/>
            <w:bottom w:val="none" w:sz="0" w:space="0" w:color="auto"/>
            <w:right w:val="none" w:sz="0" w:space="0" w:color="auto"/>
          </w:divBdr>
        </w:div>
        <w:div w:id="1002002456">
          <w:marLeft w:val="0"/>
          <w:marRight w:val="0"/>
          <w:marTop w:val="0"/>
          <w:marBottom w:val="0"/>
          <w:divBdr>
            <w:top w:val="none" w:sz="0" w:space="0" w:color="auto"/>
            <w:left w:val="none" w:sz="0" w:space="0" w:color="auto"/>
            <w:bottom w:val="none" w:sz="0" w:space="0" w:color="auto"/>
            <w:right w:val="none" w:sz="0" w:space="0" w:color="auto"/>
          </w:divBdr>
        </w:div>
        <w:div w:id="1077944723">
          <w:marLeft w:val="0"/>
          <w:marRight w:val="0"/>
          <w:marTop w:val="0"/>
          <w:marBottom w:val="0"/>
          <w:divBdr>
            <w:top w:val="none" w:sz="0" w:space="0" w:color="auto"/>
            <w:left w:val="none" w:sz="0" w:space="0" w:color="auto"/>
            <w:bottom w:val="none" w:sz="0" w:space="0" w:color="auto"/>
            <w:right w:val="none" w:sz="0" w:space="0" w:color="auto"/>
          </w:divBdr>
        </w:div>
        <w:div w:id="345910592">
          <w:marLeft w:val="0"/>
          <w:marRight w:val="0"/>
          <w:marTop w:val="0"/>
          <w:marBottom w:val="0"/>
          <w:divBdr>
            <w:top w:val="none" w:sz="0" w:space="0" w:color="auto"/>
            <w:left w:val="none" w:sz="0" w:space="0" w:color="auto"/>
            <w:bottom w:val="none" w:sz="0" w:space="0" w:color="auto"/>
            <w:right w:val="none" w:sz="0" w:space="0" w:color="auto"/>
          </w:divBdr>
        </w:div>
        <w:div w:id="1965840268">
          <w:marLeft w:val="0"/>
          <w:marRight w:val="0"/>
          <w:marTop w:val="0"/>
          <w:marBottom w:val="0"/>
          <w:divBdr>
            <w:top w:val="none" w:sz="0" w:space="0" w:color="auto"/>
            <w:left w:val="none" w:sz="0" w:space="0" w:color="auto"/>
            <w:bottom w:val="none" w:sz="0" w:space="0" w:color="auto"/>
            <w:right w:val="none" w:sz="0" w:space="0" w:color="auto"/>
          </w:divBdr>
        </w:div>
        <w:div w:id="758526531">
          <w:marLeft w:val="0"/>
          <w:marRight w:val="0"/>
          <w:marTop w:val="0"/>
          <w:marBottom w:val="0"/>
          <w:divBdr>
            <w:top w:val="none" w:sz="0" w:space="0" w:color="auto"/>
            <w:left w:val="none" w:sz="0" w:space="0" w:color="auto"/>
            <w:bottom w:val="none" w:sz="0" w:space="0" w:color="auto"/>
            <w:right w:val="none" w:sz="0" w:space="0" w:color="auto"/>
          </w:divBdr>
        </w:div>
        <w:div w:id="1424642764">
          <w:marLeft w:val="0"/>
          <w:marRight w:val="0"/>
          <w:marTop w:val="0"/>
          <w:marBottom w:val="0"/>
          <w:divBdr>
            <w:top w:val="none" w:sz="0" w:space="0" w:color="auto"/>
            <w:left w:val="none" w:sz="0" w:space="0" w:color="auto"/>
            <w:bottom w:val="none" w:sz="0" w:space="0" w:color="auto"/>
            <w:right w:val="none" w:sz="0" w:space="0" w:color="auto"/>
          </w:divBdr>
        </w:div>
        <w:div w:id="1994333343">
          <w:marLeft w:val="0"/>
          <w:marRight w:val="0"/>
          <w:marTop w:val="0"/>
          <w:marBottom w:val="0"/>
          <w:divBdr>
            <w:top w:val="none" w:sz="0" w:space="0" w:color="auto"/>
            <w:left w:val="none" w:sz="0" w:space="0" w:color="auto"/>
            <w:bottom w:val="none" w:sz="0" w:space="0" w:color="auto"/>
            <w:right w:val="none" w:sz="0" w:space="0" w:color="auto"/>
          </w:divBdr>
        </w:div>
        <w:div w:id="476802023">
          <w:marLeft w:val="0"/>
          <w:marRight w:val="0"/>
          <w:marTop w:val="0"/>
          <w:marBottom w:val="0"/>
          <w:divBdr>
            <w:top w:val="none" w:sz="0" w:space="0" w:color="auto"/>
            <w:left w:val="none" w:sz="0" w:space="0" w:color="auto"/>
            <w:bottom w:val="none" w:sz="0" w:space="0" w:color="auto"/>
            <w:right w:val="none" w:sz="0" w:space="0" w:color="auto"/>
          </w:divBdr>
        </w:div>
        <w:div w:id="382757481">
          <w:marLeft w:val="0"/>
          <w:marRight w:val="0"/>
          <w:marTop w:val="0"/>
          <w:marBottom w:val="0"/>
          <w:divBdr>
            <w:top w:val="none" w:sz="0" w:space="0" w:color="auto"/>
            <w:left w:val="none" w:sz="0" w:space="0" w:color="auto"/>
            <w:bottom w:val="none" w:sz="0" w:space="0" w:color="auto"/>
            <w:right w:val="none" w:sz="0" w:space="0" w:color="auto"/>
          </w:divBdr>
        </w:div>
        <w:div w:id="1855027361">
          <w:marLeft w:val="0"/>
          <w:marRight w:val="0"/>
          <w:marTop w:val="0"/>
          <w:marBottom w:val="0"/>
          <w:divBdr>
            <w:top w:val="none" w:sz="0" w:space="0" w:color="auto"/>
            <w:left w:val="none" w:sz="0" w:space="0" w:color="auto"/>
            <w:bottom w:val="none" w:sz="0" w:space="0" w:color="auto"/>
            <w:right w:val="none" w:sz="0" w:space="0" w:color="auto"/>
          </w:divBdr>
        </w:div>
        <w:div w:id="1753698811">
          <w:marLeft w:val="0"/>
          <w:marRight w:val="0"/>
          <w:marTop w:val="0"/>
          <w:marBottom w:val="0"/>
          <w:divBdr>
            <w:top w:val="none" w:sz="0" w:space="0" w:color="auto"/>
            <w:left w:val="none" w:sz="0" w:space="0" w:color="auto"/>
            <w:bottom w:val="none" w:sz="0" w:space="0" w:color="auto"/>
            <w:right w:val="none" w:sz="0" w:space="0" w:color="auto"/>
          </w:divBdr>
        </w:div>
        <w:div w:id="628441819">
          <w:marLeft w:val="0"/>
          <w:marRight w:val="0"/>
          <w:marTop w:val="0"/>
          <w:marBottom w:val="0"/>
          <w:divBdr>
            <w:top w:val="none" w:sz="0" w:space="0" w:color="auto"/>
            <w:left w:val="none" w:sz="0" w:space="0" w:color="auto"/>
            <w:bottom w:val="none" w:sz="0" w:space="0" w:color="auto"/>
            <w:right w:val="none" w:sz="0" w:space="0" w:color="auto"/>
          </w:divBdr>
        </w:div>
        <w:div w:id="1575360098">
          <w:marLeft w:val="0"/>
          <w:marRight w:val="0"/>
          <w:marTop w:val="0"/>
          <w:marBottom w:val="0"/>
          <w:divBdr>
            <w:top w:val="none" w:sz="0" w:space="0" w:color="auto"/>
            <w:left w:val="none" w:sz="0" w:space="0" w:color="auto"/>
            <w:bottom w:val="none" w:sz="0" w:space="0" w:color="auto"/>
            <w:right w:val="none" w:sz="0" w:space="0" w:color="auto"/>
          </w:divBdr>
        </w:div>
        <w:div w:id="776758399">
          <w:marLeft w:val="0"/>
          <w:marRight w:val="0"/>
          <w:marTop w:val="0"/>
          <w:marBottom w:val="0"/>
          <w:divBdr>
            <w:top w:val="none" w:sz="0" w:space="0" w:color="auto"/>
            <w:left w:val="none" w:sz="0" w:space="0" w:color="auto"/>
            <w:bottom w:val="none" w:sz="0" w:space="0" w:color="auto"/>
            <w:right w:val="none" w:sz="0" w:space="0" w:color="auto"/>
          </w:divBdr>
        </w:div>
        <w:div w:id="1919826948">
          <w:marLeft w:val="0"/>
          <w:marRight w:val="0"/>
          <w:marTop w:val="0"/>
          <w:marBottom w:val="0"/>
          <w:divBdr>
            <w:top w:val="none" w:sz="0" w:space="0" w:color="auto"/>
            <w:left w:val="none" w:sz="0" w:space="0" w:color="auto"/>
            <w:bottom w:val="none" w:sz="0" w:space="0" w:color="auto"/>
            <w:right w:val="none" w:sz="0" w:space="0" w:color="auto"/>
          </w:divBdr>
        </w:div>
        <w:div w:id="69929923">
          <w:marLeft w:val="0"/>
          <w:marRight w:val="0"/>
          <w:marTop w:val="0"/>
          <w:marBottom w:val="0"/>
          <w:divBdr>
            <w:top w:val="none" w:sz="0" w:space="0" w:color="auto"/>
            <w:left w:val="none" w:sz="0" w:space="0" w:color="auto"/>
            <w:bottom w:val="none" w:sz="0" w:space="0" w:color="auto"/>
            <w:right w:val="none" w:sz="0" w:space="0" w:color="auto"/>
          </w:divBdr>
        </w:div>
        <w:div w:id="1152720825">
          <w:marLeft w:val="0"/>
          <w:marRight w:val="0"/>
          <w:marTop w:val="0"/>
          <w:marBottom w:val="0"/>
          <w:divBdr>
            <w:top w:val="none" w:sz="0" w:space="0" w:color="auto"/>
            <w:left w:val="none" w:sz="0" w:space="0" w:color="auto"/>
            <w:bottom w:val="none" w:sz="0" w:space="0" w:color="auto"/>
            <w:right w:val="none" w:sz="0" w:space="0" w:color="auto"/>
          </w:divBdr>
        </w:div>
        <w:div w:id="229998202">
          <w:marLeft w:val="0"/>
          <w:marRight w:val="0"/>
          <w:marTop w:val="0"/>
          <w:marBottom w:val="0"/>
          <w:divBdr>
            <w:top w:val="none" w:sz="0" w:space="0" w:color="auto"/>
            <w:left w:val="none" w:sz="0" w:space="0" w:color="auto"/>
            <w:bottom w:val="none" w:sz="0" w:space="0" w:color="auto"/>
            <w:right w:val="none" w:sz="0" w:space="0" w:color="auto"/>
          </w:divBdr>
        </w:div>
      </w:divsChild>
    </w:div>
    <w:div w:id="867641151">
      <w:bodyDiv w:val="1"/>
      <w:marLeft w:val="0"/>
      <w:marRight w:val="0"/>
      <w:marTop w:val="0"/>
      <w:marBottom w:val="0"/>
      <w:divBdr>
        <w:top w:val="none" w:sz="0" w:space="0" w:color="auto"/>
        <w:left w:val="none" w:sz="0" w:space="0" w:color="auto"/>
        <w:bottom w:val="none" w:sz="0" w:space="0" w:color="auto"/>
        <w:right w:val="none" w:sz="0" w:space="0" w:color="auto"/>
      </w:divBdr>
      <w:divsChild>
        <w:div w:id="1809198962">
          <w:marLeft w:val="0"/>
          <w:marRight w:val="0"/>
          <w:marTop w:val="0"/>
          <w:marBottom w:val="0"/>
          <w:divBdr>
            <w:top w:val="none" w:sz="0" w:space="0" w:color="auto"/>
            <w:left w:val="none" w:sz="0" w:space="0" w:color="auto"/>
            <w:bottom w:val="none" w:sz="0" w:space="0" w:color="auto"/>
            <w:right w:val="none" w:sz="0" w:space="0" w:color="auto"/>
          </w:divBdr>
        </w:div>
        <w:div w:id="1296107242">
          <w:marLeft w:val="0"/>
          <w:marRight w:val="0"/>
          <w:marTop w:val="0"/>
          <w:marBottom w:val="0"/>
          <w:divBdr>
            <w:top w:val="none" w:sz="0" w:space="0" w:color="auto"/>
            <w:left w:val="none" w:sz="0" w:space="0" w:color="auto"/>
            <w:bottom w:val="none" w:sz="0" w:space="0" w:color="auto"/>
            <w:right w:val="none" w:sz="0" w:space="0" w:color="auto"/>
          </w:divBdr>
        </w:div>
        <w:div w:id="1107311976">
          <w:marLeft w:val="0"/>
          <w:marRight w:val="0"/>
          <w:marTop w:val="0"/>
          <w:marBottom w:val="0"/>
          <w:divBdr>
            <w:top w:val="none" w:sz="0" w:space="0" w:color="auto"/>
            <w:left w:val="none" w:sz="0" w:space="0" w:color="auto"/>
            <w:bottom w:val="none" w:sz="0" w:space="0" w:color="auto"/>
            <w:right w:val="none" w:sz="0" w:space="0" w:color="auto"/>
          </w:divBdr>
        </w:div>
        <w:div w:id="1798182495">
          <w:marLeft w:val="0"/>
          <w:marRight w:val="0"/>
          <w:marTop w:val="0"/>
          <w:marBottom w:val="0"/>
          <w:divBdr>
            <w:top w:val="none" w:sz="0" w:space="0" w:color="auto"/>
            <w:left w:val="none" w:sz="0" w:space="0" w:color="auto"/>
            <w:bottom w:val="none" w:sz="0" w:space="0" w:color="auto"/>
            <w:right w:val="none" w:sz="0" w:space="0" w:color="auto"/>
          </w:divBdr>
        </w:div>
        <w:div w:id="1413429090">
          <w:marLeft w:val="0"/>
          <w:marRight w:val="0"/>
          <w:marTop w:val="0"/>
          <w:marBottom w:val="0"/>
          <w:divBdr>
            <w:top w:val="none" w:sz="0" w:space="0" w:color="auto"/>
            <w:left w:val="none" w:sz="0" w:space="0" w:color="auto"/>
            <w:bottom w:val="none" w:sz="0" w:space="0" w:color="auto"/>
            <w:right w:val="none" w:sz="0" w:space="0" w:color="auto"/>
          </w:divBdr>
        </w:div>
        <w:div w:id="1167667755">
          <w:marLeft w:val="0"/>
          <w:marRight w:val="0"/>
          <w:marTop w:val="0"/>
          <w:marBottom w:val="0"/>
          <w:divBdr>
            <w:top w:val="none" w:sz="0" w:space="0" w:color="auto"/>
            <w:left w:val="none" w:sz="0" w:space="0" w:color="auto"/>
            <w:bottom w:val="none" w:sz="0" w:space="0" w:color="auto"/>
            <w:right w:val="none" w:sz="0" w:space="0" w:color="auto"/>
          </w:divBdr>
        </w:div>
      </w:divsChild>
    </w:div>
    <w:div w:id="972058074">
      <w:bodyDiv w:val="1"/>
      <w:marLeft w:val="0"/>
      <w:marRight w:val="0"/>
      <w:marTop w:val="0"/>
      <w:marBottom w:val="0"/>
      <w:divBdr>
        <w:top w:val="none" w:sz="0" w:space="0" w:color="auto"/>
        <w:left w:val="none" w:sz="0" w:space="0" w:color="auto"/>
        <w:bottom w:val="none" w:sz="0" w:space="0" w:color="auto"/>
        <w:right w:val="none" w:sz="0" w:space="0" w:color="auto"/>
      </w:divBdr>
    </w:div>
    <w:div w:id="1114204658">
      <w:bodyDiv w:val="1"/>
      <w:marLeft w:val="0"/>
      <w:marRight w:val="0"/>
      <w:marTop w:val="0"/>
      <w:marBottom w:val="0"/>
      <w:divBdr>
        <w:top w:val="none" w:sz="0" w:space="0" w:color="auto"/>
        <w:left w:val="none" w:sz="0" w:space="0" w:color="auto"/>
        <w:bottom w:val="none" w:sz="0" w:space="0" w:color="auto"/>
        <w:right w:val="none" w:sz="0" w:space="0" w:color="auto"/>
      </w:divBdr>
    </w:div>
    <w:div w:id="1579443955">
      <w:bodyDiv w:val="1"/>
      <w:marLeft w:val="0"/>
      <w:marRight w:val="0"/>
      <w:marTop w:val="0"/>
      <w:marBottom w:val="0"/>
      <w:divBdr>
        <w:top w:val="none" w:sz="0" w:space="0" w:color="auto"/>
        <w:left w:val="none" w:sz="0" w:space="0" w:color="auto"/>
        <w:bottom w:val="none" w:sz="0" w:space="0" w:color="auto"/>
        <w:right w:val="none" w:sz="0" w:space="0" w:color="auto"/>
      </w:divBdr>
      <w:divsChild>
        <w:div w:id="630135989">
          <w:marLeft w:val="0"/>
          <w:marRight w:val="0"/>
          <w:marTop w:val="0"/>
          <w:marBottom w:val="0"/>
          <w:divBdr>
            <w:top w:val="none" w:sz="0" w:space="0" w:color="auto"/>
            <w:left w:val="none" w:sz="0" w:space="0" w:color="auto"/>
            <w:bottom w:val="none" w:sz="0" w:space="0" w:color="auto"/>
            <w:right w:val="none" w:sz="0" w:space="0" w:color="auto"/>
          </w:divBdr>
        </w:div>
        <w:div w:id="1343707272">
          <w:marLeft w:val="0"/>
          <w:marRight w:val="0"/>
          <w:marTop w:val="0"/>
          <w:marBottom w:val="0"/>
          <w:divBdr>
            <w:top w:val="none" w:sz="0" w:space="0" w:color="auto"/>
            <w:left w:val="none" w:sz="0" w:space="0" w:color="auto"/>
            <w:bottom w:val="none" w:sz="0" w:space="0" w:color="auto"/>
            <w:right w:val="none" w:sz="0" w:space="0" w:color="auto"/>
          </w:divBdr>
        </w:div>
        <w:div w:id="2028099845">
          <w:marLeft w:val="0"/>
          <w:marRight w:val="0"/>
          <w:marTop w:val="0"/>
          <w:marBottom w:val="0"/>
          <w:divBdr>
            <w:top w:val="none" w:sz="0" w:space="0" w:color="auto"/>
            <w:left w:val="none" w:sz="0" w:space="0" w:color="auto"/>
            <w:bottom w:val="none" w:sz="0" w:space="0" w:color="auto"/>
            <w:right w:val="none" w:sz="0" w:space="0" w:color="auto"/>
          </w:divBdr>
        </w:div>
        <w:div w:id="852493196">
          <w:marLeft w:val="0"/>
          <w:marRight w:val="0"/>
          <w:marTop w:val="0"/>
          <w:marBottom w:val="0"/>
          <w:divBdr>
            <w:top w:val="none" w:sz="0" w:space="0" w:color="auto"/>
            <w:left w:val="none" w:sz="0" w:space="0" w:color="auto"/>
            <w:bottom w:val="none" w:sz="0" w:space="0" w:color="auto"/>
            <w:right w:val="none" w:sz="0" w:space="0" w:color="auto"/>
          </w:divBdr>
        </w:div>
        <w:div w:id="341974940">
          <w:marLeft w:val="0"/>
          <w:marRight w:val="0"/>
          <w:marTop w:val="0"/>
          <w:marBottom w:val="0"/>
          <w:divBdr>
            <w:top w:val="none" w:sz="0" w:space="0" w:color="auto"/>
            <w:left w:val="none" w:sz="0" w:space="0" w:color="auto"/>
            <w:bottom w:val="none" w:sz="0" w:space="0" w:color="auto"/>
            <w:right w:val="none" w:sz="0" w:space="0" w:color="auto"/>
          </w:divBdr>
        </w:div>
        <w:div w:id="1132407109">
          <w:marLeft w:val="0"/>
          <w:marRight w:val="0"/>
          <w:marTop w:val="0"/>
          <w:marBottom w:val="0"/>
          <w:divBdr>
            <w:top w:val="none" w:sz="0" w:space="0" w:color="auto"/>
            <w:left w:val="none" w:sz="0" w:space="0" w:color="auto"/>
            <w:bottom w:val="none" w:sz="0" w:space="0" w:color="auto"/>
            <w:right w:val="none" w:sz="0" w:space="0" w:color="auto"/>
          </w:divBdr>
        </w:div>
        <w:div w:id="1351033845">
          <w:marLeft w:val="0"/>
          <w:marRight w:val="0"/>
          <w:marTop w:val="0"/>
          <w:marBottom w:val="0"/>
          <w:divBdr>
            <w:top w:val="none" w:sz="0" w:space="0" w:color="auto"/>
            <w:left w:val="none" w:sz="0" w:space="0" w:color="auto"/>
            <w:bottom w:val="none" w:sz="0" w:space="0" w:color="auto"/>
            <w:right w:val="none" w:sz="0" w:space="0" w:color="auto"/>
          </w:divBdr>
        </w:div>
        <w:div w:id="44910867">
          <w:marLeft w:val="0"/>
          <w:marRight w:val="0"/>
          <w:marTop w:val="0"/>
          <w:marBottom w:val="0"/>
          <w:divBdr>
            <w:top w:val="none" w:sz="0" w:space="0" w:color="auto"/>
            <w:left w:val="none" w:sz="0" w:space="0" w:color="auto"/>
            <w:bottom w:val="none" w:sz="0" w:space="0" w:color="auto"/>
            <w:right w:val="none" w:sz="0" w:space="0" w:color="auto"/>
          </w:divBdr>
        </w:div>
        <w:div w:id="1926458126">
          <w:marLeft w:val="0"/>
          <w:marRight w:val="0"/>
          <w:marTop w:val="0"/>
          <w:marBottom w:val="0"/>
          <w:divBdr>
            <w:top w:val="none" w:sz="0" w:space="0" w:color="auto"/>
            <w:left w:val="none" w:sz="0" w:space="0" w:color="auto"/>
            <w:bottom w:val="none" w:sz="0" w:space="0" w:color="auto"/>
            <w:right w:val="none" w:sz="0" w:space="0" w:color="auto"/>
          </w:divBdr>
        </w:div>
        <w:div w:id="532889040">
          <w:marLeft w:val="0"/>
          <w:marRight w:val="0"/>
          <w:marTop w:val="0"/>
          <w:marBottom w:val="0"/>
          <w:divBdr>
            <w:top w:val="none" w:sz="0" w:space="0" w:color="auto"/>
            <w:left w:val="none" w:sz="0" w:space="0" w:color="auto"/>
            <w:bottom w:val="none" w:sz="0" w:space="0" w:color="auto"/>
            <w:right w:val="none" w:sz="0" w:space="0" w:color="auto"/>
          </w:divBdr>
        </w:div>
        <w:div w:id="1837257069">
          <w:marLeft w:val="0"/>
          <w:marRight w:val="0"/>
          <w:marTop w:val="0"/>
          <w:marBottom w:val="0"/>
          <w:divBdr>
            <w:top w:val="none" w:sz="0" w:space="0" w:color="auto"/>
            <w:left w:val="none" w:sz="0" w:space="0" w:color="auto"/>
            <w:bottom w:val="none" w:sz="0" w:space="0" w:color="auto"/>
            <w:right w:val="none" w:sz="0" w:space="0" w:color="auto"/>
          </w:divBdr>
        </w:div>
      </w:divsChild>
    </w:div>
    <w:div w:id="1825077770">
      <w:bodyDiv w:val="1"/>
      <w:marLeft w:val="0"/>
      <w:marRight w:val="0"/>
      <w:marTop w:val="0"/>
      <w:marBottom w:val="0"/>
      <w:divBdr>
        <w:top w:val="none" w:sz="0" w:space="0" w:color="auto"/>
        <w:left w:val="none" w:sz="0" w:space="0" w:color="auto"/>
        <w:bottom w:val="none" w:sz="0" w:space="0" w:color="auto"/>
        <w:right w:val="none" w:sz="0" w:space="0" w:color="auto"/>
      </w:divBdr>
      <w:divsChild>
        <w:div w:id="1179781864">
          <w:marLeft w:val="0"/>
          <w:marRight w:val="0"/>
          <w:marTop w:val="0"/>
          <w:marBottom w:val="0"/>
          <w:divBdr>
            <w:top w:val="none" w:sz="0" w:space="0" w:color="auto"/>
            <w:left w:val="none" w:sz="0" w:space="0" w:color="auto"/>
            <w:bottom w:val="none" w:sz="0" w:space="0" w:color="auto"/>
            <w:right w:val="none" w:sz="0" w:space="0" w:color="auto"/>
          </w:divBdr>
        </w:div>
        <w:div w:id="1609118983">
          <w:marLeft w:val="0"/>
          <w:marRight w:val="0"/>
          <w:marTop w:val="0"/>
          <w:marBottom w:val="0"/>
          <w:divBdr>
            <w:top w:val="none" w:sz="0" w:space="0" w:color="auto"/>
            <w:left w:val="none" w:sz="0" w:space="0" w:color="auto"/>
            <w:bottom w:val="none" w:sz="0" w:space="0" w:color="auto"/>
            <w:right w:val="none" w:sz="0" w:space="0" w:color="auto"/>
          </w:divBdr>
        </w:div>
      </w:divsChild>
    </w:div>
    <w:div w:id="194040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oplama2018@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12672" TargetMode="External"/><Relationship Id="rId2" Type="http://schemas.openxmlformats.org/officeDocument/2006/relationships/hyperlink" Target="https://www.funcionpublica.gov.co/eva/gestornormativo/norma.php?i=12672" TargetMode="External"/><Relationship Id="rId1" Type="http://schemas.openxmlformats.org/officeDocument/2006/relationships/hyperlink" Target="https://colaboracion.dnp.gov.co/CDT/Normatividad/DECRETO%20579%20DEL%2031%20DE%20MAYO%20DE%202021.pdf" TargetMode="External"/><Relationship Id="rId4" Type="http://schemas.openxmlformats.org/officeDocument/2006/relationships/hyperlink" Target="https://www.funcionpublica.gov.co/eva/gestornormativo/norma.php?i=766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720F9-9DF5-4BF7-B8AA-8049FB575514}">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E3231858-2BDA-4EFC-AE97-7F887D7DE15E}">
  <ds:schemaRefs>
    <ds:schemaRef ds:uri="http://schemas.microsoft.com/sharepoint/v3/contenttype/forms"/>
  </ds:schemaRefs>
</ds:datastoreItem>
</file>

<file path=customXml/itemProps3.xml><?xml version="1.0" encoding="utf-8"?>
<ds:datastoreItem xmlns:ds="http://schemas.openxmlformats.org/officeDocument/2006/customXml" ds:itemID="{05C0ADD3-3AFC-4116-961F-58A6F5A16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A7968-B4A4-4A96-9DCF-2A37D09B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6587</Words>
  <Characters>36231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Fabiola Herrera Hernandez</cp:lastModifiedBy>
  <cp:revision>4</cp:revision>
  <dcterms:created xsi:type="dcterms:W3CDTF">2022-11-02T03:07:00Z</dcterms:created>
  <dcterms:modified xsi:type="dcterms:W3CDTF">2022-11-02T03:10:00Z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