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38B0" w14:textId="77777777" w:rsidR="00114AAC" w:rsidRPr="00840085" w:rsidRDefault="00114AAC" w:rsidP="00114AAC">
      <w:pPr>
        <w:jc w:val="both"/>
        <w:rPr>
          <w:rFonts w:ascii="Arial" w:eastAsia="Calibri" w:hAnsi="Arial" w:cs="Arial"/>
          <w:b/>
          <w:sz w:val="18"/>
          <w:szCs w:val="18"/>
          <w:lang w:val="es-ES_tradnl"/>
        </w:rPr>
      </w:pPr>
      <w:r w:rsidRPr="00840085">
        <w:rPr>
          <w:rFonts w:ascii="Arial" w:eastAsia="Calibri" w:hAnsi="Arial" w:cs="Arial"/>
          <w:b/>
          <w:sz w:val="18"/>
          <w:szCs w:val="18"/>
          <w:lang w:val="es-ES_tradnl"/>
        </w:rPr>
        <w:t xml:space="preserve">LEY DE EMPRENDIMIENTO – Ley 2069 de 2020 – Vigencia </w:t>
      </w:r>
    </w:p>
    <w:p w14:paraId="2A91AF61" w14:textId="77777777" w:rsidR="00114AAC" w:rsidRPr="00840085" w:rsidRDefault="00114AAC" w:rsidP="00114AAC">
      <w:pPr>
        <w:jc w:val="both"/>
        <w:rPr>
          <w:rFonts w:ascii="Arial" w:eastAsia="Calibri" w:hAnsi="Arial" w:cs="Arial"/>
          <w:b/>
          <w:sz w:val="18"/>
          <w:szCs w:val="18"/>
          <w:lang w:val="es-ES_tradnl"/>
        </w:rPr>
      </w:pPr>
    </w:p>
    <w:p w14:paraId="3201D4E3" w14:textId="0E2AB78B" w:rsidR="00114AAC" w:rsidRPr="00840085" w:rsidRDefault="00114AAC" w:rsidP="00114AAC">
      <w:pPr>
        <w:jc w:val="both"/>
        <w:rPr>
          <w:rFonts w:ascii="Arial" w:eastAsia="Calibri" w:hAnsi="Arial" w:cs="Arial"/>
          <w:sz w:val="18"/>
          <w:szCs w:val="18"/>
          <w:lang w:val="es-ES_tradnl"/>
        </w:rPr>
      </w:pPr>
      <w:r w:rsidRPr="00840085">
        <w:rPr>
          <w:rFonts w:ascii="Arial" w:eastAsia="Calibri" w:hAnsi="Arial" w:cs="Arial"/>
          <w:sz w:val="18"/>
          <w:szCs w:val="18"/>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w:t>
      </w:r>
      <w:r w:rsidRPr="00840085">
        <w:rPr>
          <w:rFonts w:ascii="Arial" w:eastAsia="Calibri" w:hAnsi="Arial" w:cs="Arial"/>
          <w:sz w:val="18"/>
          <w:szCs w:val="18"/>
          <w:vertAlign w:val="superscript"/>
          <w:lang w:val="es-ES_tradnl"/>
        </w:rPr>
        <w:t xml:space="preserve"> </w:t>
      </w:r>
      <w:r w:rsidRPr="00840085">
        <w:rPr>
          <w:rFonts w:ascii="Arial" w:eastAsia="Calibri" w:hAnsi="Arial" w:cs="Arial"/>
          <w:sz w:val="18"/>
          <w:szCs w:val="18"/>
          <w:lang w:val="es-ES_tradnl"/>
        </w:rPr>
        <w:t>y se prevén medidas de educación para el emprendimiento y la innovación</w:t>
      </w:r>
      <w:r w:rsidR="00E75437">
        <w:rPr>
          <w:rFonts w:ascii="Arial" w:eastAsia="Calibri" w:hAnsi="Arial" w:cs="Arial"/>
          <w:sz w:val="18"/>
          <w:szCs w:val="18"/>
          <w:lang w:val="es-ES_tradnl"/>
        </w:rPr>
        <w:t>.</w:t>
      </w:r>
    </w:p>
    <w:p w14:paraId="0B50C83B" w14:textId="77777777" w:rsidR="00114AAC" w:rsidRPr="00840085" w:rsidRDefault="00114AAC" w:rsidP="00114AAC">
      <w:pPr>
        <w:jc w:val="both"/>
        <w:rPr>
          <w:rFonts w:ascii="Arial" w:eastAsia="Calibri" w:hAnsi="Arial" w:cs="Arial"/>
          <w:sz w:val="18"/>
          <w:szCs w:val="18"/>
          <w:lang w:val="es-ES_tradnl"/>
        </w:rPr>
      </w:pPr>
    </w:p>
    <w:p w14:paraId="351E4904" w14:textId="77777777" w:rsidR="00114AAC" w:rsidRPr="00840085" w:rsidRDefault="00114AAC" w:rsidP="00114AAC">
      <w:pPr>
        <w:jc w:val="both"/>
        <w:rPr>
          <w:rFonts w:ascii="Arial" w:eastAsia="Calibri" w:hAnsi="Arial" w:cs="Arial"/>
          <w:b/>
          <w:sz w:val="18"/>
          <w:szCs w:val="18"/>
          <w:lang w:val="es-ES_tradnl"/>
        </w:rPr>
      </w:pPr>
      <w:r w:rsidRPr="00840085">
        <w:rPr>
          <w:rFonts w:ascii="Arial" w:eastAsia="Calibri" w:hAnsi="Arial" w:cs="Arial"/>
          <w:b/>
          <w:sz w:val="18"/>
          <w:szCs w:val="18"/>
          <w:lang w:val="es-ES_tradnl"/>
        </w:rPr>
        <w:t xml:space="preserve">MIPYMES – Artículo 34 de la Ley 2069 de 2020 – artículo 5 del Decreto 1860 de 2021 Convocatorias limitadas territorialmente - Vigencia </w:t>
      </w:r>
    </w:p>
    <w:p w14:paraId="65E3E02A" w14:textId="77777777" w:rsidR="00114AAC" w:rsidRPr="00840085" w:rsidRDefault="00114AAC" w:rsidP="00114AAC">
      <w:pPr>
        <w:jc w:val="both"/>
        <w:rPr>
          <w:rFonts w:ascii="Arial" w:eastAsia="Calibri" w:hAnsi="Arial" w:cs="Arial"/>
          <w:sz w:val="18"/>
          <w:szCs w:val="18"/>
          <w:lang w:val="es-ES_tradnl"/>
        </w:rPr>
      </w:pPr>
    </w:p>
    <w:p w14:paraId="721B908F" w14:textId="77777777" w:rsidR="00114AAC" w:rsidRDefault="00114AAC" w:rsidP="00114AAC">
      <w:pPr>
        <w:jc w:val="both"/>
        <w:rPr>
          <w:rFonts w:ascii="Arial" w:eastAsia="Calibri" w:hAnsi="Arial" w:cs="Arial"/>
          <w:sz w:val="18"/>
          <w:szCs w:val="18"/>
          <w:lang w:val="es-ES_tradnl"/>
        </w:rPr>
      </w:pPr>
      <w:r w:rsidRPr="000A6A0D">
        <w:rPr>
          <w:rFonts w:ascii="Arial" w:eastAsia="Calibri" w:hAnsi="Arial" w:cs="Arial"/>
          <w:sz w:val="18"/>
          <w:szCs w:val="18"/>
          <w:lang w:val="es-ES_tradnl"/>
        </w:rPr>
        <w:t>El artículo 34 de la Ley 2069 de 2020 establece nuevas reglas sobre la promoción al desarrollo en la contratación estatal. Concretamente la citada disposición modifica el contenido del artículo 12 de la Ley 1150 de 2007, prescribiendo lo que se indica a continuación:i) Encomienda al Gobierno Nacional el deber de definir las condiciones y los montos para que las entidades estatales –cualquiera sea su régimen contractual–, los patrimonios autónomos constituidos por aquellas y los particulares que administren recursos públicos efectúen convocatorias limitadas a Mipymes en los procesos de contratación. Y agrega que estas convocatorias se pueden realizar también en el ámbito municipal o departamental en el que se ejecute el contrato. ii) Indica que dichas convocatorias se deben efectuar siempre y cuando, antes del acto administrativo de apertura del proceso de selección, por lo menos dos (2) Mipymes hayan manifestado su interés.iii)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Estados.iv) Establece que, en el reglamento, el Gobierno Nacional podría establecer condiciones preferenciales para los bienes y servicios producidos por las Mipymes, sin contrariar los compromisos internacionales vigentes.</w:t>
      </w:r>
    </w:p>
    <w:p w14:paraId="2685ADF8" w14:textId="77777777" w:rsidR="00114AAC" w:rsidRPr="00840085" w:rsidRDefault="00114AAC" w:rsidP="00114AAC">
      <w:pPr>
        <w:jc w:val="both"/>
        <w:rPr>
          <w:rFonts w:ascii="Arial" w:eastAsia="Calibri" w:hAnsi="Arial" w:cs="Arial"/>
          <w:b/>
          <w:sz w:val="18"/>
          <w:szCs w:val="18"/>
          <w:lang w:val="es-ES_tradnl"/>
        </w:rPr>
      </w:pPr>
    </w:p>
    <w:p w14:paraId="716FCBD9" w14:textId="77777777" w:rsidR="00114AAC" w:rsidRPr="00840085" w:rsidRDefault="00114AAC" w:rsidP="00114AAC">
      <w:pPr>
        <w:jc w:val="both"/>
        <w:rPr>
          <w:rFonts w:ascii="Arial" w:eastAsia="Arial" w:hAnsi="Arial" w:cs="Arial"/>
          <w:b/>
          <w:sz w:val="18"/>
          <w:szCs w:val="18"/>
        </w:rPr>
      </w:pPr>
      <w:bookmarkStart w:id="0" w:name="_Hlk57736164"/>
      <w:r w:rsidRPr="00840085">
        <w:rPr>
          <w:rFonts w:ascii="Arial" w:eastAsia="Arial" w:hAnsi="Arial" w:cs="Arial"/>
          <w:b/>
          <w:sz w:val="18"/>
          <w:szCs w:val="18"/>
        </w:rPr>
        <w:t>CONVOCATORIAS LIMITADAS A MIPYMES NACIONALES – Limitación territorial – Relevancia del domicilio de la Mipymes</w:t>
      </w:r>
    </w:p>
    <w:bookmarkEnd w:id="0"/>
    <w:p w14:paraId="68EC2BFB" w14:textId="77777777" w:rsidR="00114AAC" w:rsidRPr="00840085" w:rsidRDefault="00114AAC" w:rsidP="00114AAC">
      <w:pPr>
        <w:jc w:val="both"/>
        <w:rPr>
          <w:rFonts w:ascii="Arial" w:eastAsia="Arial" w:hAnsi="Arial" w:cs="Arial"/>
          <w:b/>
          <w:sz w:val="18"/>
          <w:szCs w:val="18"/>
        </w:rPr>
      </w:pPr>
    </w:p>
    <w:p w14:paraId="4760289B" w14:textId="77777777" w:rsidR="00114AAC" w:rsidRDefault="00114AAC" w:rsidP="00114AAC">
      <w:pPr>
        <w:jc w:val="both"/>
        <w:rPr>
          <w:rFonts w:ascii="Arial" w:eastAsia="Calibri" w:hAnsi="Arial" w:cs="Arial"/>
          <w:sz w:val="18"/>
          <w:szCs w:val="18"/>
          <w:lang w:val="es-ES_tradnl"/>
        </w:rPr>
      </w:pPr>
      <w:r w:rsidRPr="000A6A0D">
        <w:rPr>
          <w:rFonts w:ascii="Arial" w:eastAsia="Calibri" w:hAnsi="Arial" w:cs="Arial"/>
          <w:sz w:val="18"/>
          <w:szCs w:val="18"/>
          <w:lang w:val="es-ES_tradnl"/>
        </w:rPr>
        <w:t>Para entender las implicaciones de las anteriores disposiciones, debe analizarse el alcance del término «domicilio» que, para el caso de las sociedades, se constituye en uno de los atributos de su personalidad, que, de acuerdo con el ordenamiento jurídico colombiano, son aquellas propiedades o características de identidad, propias de las personas, sean estas naturales o jurídicas, como titulares de derechos. En esta línea, este término es definido por el Código Civil en el artículo 76, el cual lo concibe como la residencia acompañada real o presuntivamente del ánimo de permanecer en ella, lo cual, para el caso de las sociedades se interpreta como el sitio donde éstas tienen el asiento principal de sus negocios. Por tanto, a partir de esta conceptualización, es posible concluir que la limitación territorial, regulada en el artículo 2.2.1.2.4.2.3 del Decreto 1082 de 2015, modificada por el Decreto 1860 de 2021, será aplicada para aquellas Mipymes que tengan su domicilio principal en el municipio o departamento respectivo. De este modo, la participación de los diferentes procesos de contratación cuando la convocatoria se encuentra limitada territorialmente está condicionada al domicilio principal de la Mipyme respectiva. Así las cosas, de cara a la consulta plateada, no es posible, en el marco de una convocatoria limitada territorialmente - a nivel departamental-, contratar a una Mipyme cuyo domicilio no se encuentre en el departamento donde se va a ejecutar el contrato. Así mismo, se hace necesario señalar que este artículo no aplicaría frente a la ubicación de las sucursales de las Mipymes</w:t>
      </w:r>
    </w:p>
    <w:p w14:paraId="4F0295C7" w14:textId="77777777" w:rsidR="00114AAC" w:rsidRDefault="00114AAC" w:rsidP="00114AAC">
      <w:pPr>
        <w:jc w:val="both"/>
        <w:rPr>
          <w:rFonts w:ascii="Arial" w:eastAsia="Calibri" w:hAnsi="Arial" w:cs="Arial"/>
          <w:sz w:val="18"/>
          <w:szCs w:val="18"/>
          <w:lang w:val="es-ES_tradnl"/>
        </w:rPr>
      </w:pPr>
    </w:p>
    <w:p w14:paraId="3138DA78" w14:textId="77777777" w:rsidR="00114AAC" w:rsidRPr="00840085" w:rsidRDefault="00114AAC" w:rsidP="00114AAC">
      <w:pPr>
        <w:jc w:val="both"/>
        <w:rPr>
          <w:rFonts w:ascii="Arial" w:hAnsi="Arial" w:cs="Arial"/>
          <w:noProof/>
          <w:sz w:val="22"/>
          <w:lang w:val="es-ES_tradnl"/>
        </w:rPr>
      </w:pPr>
    </w:p>
    <w:p w14:paraId="6D220C00" w14:textId="77777777" w:rsidR="00114AAC" w:rsidRPr="00840085" w:rsidRDefault="00114AAC" w:rsidP="00114AAC">
      <w:pPr>
        <w:spacing w:line="276" w:lineRule="auto"/>
        <w:jc w:val="right"/>
        <w:rPr>
          <w:rFonts w:ascii="Arial" w:hAnsi="Arial" w:cs="Arial"/>
          <w:noProof/>
          <w:sz w:val="22"/>
          <w:lang w:val="es-ES_tradnl"/>
        </w:rPr>
      </w:pPr>
      <w:r w:rsidRPr="00CB73E1">
        <w:rPr>
          <w:rFonts w:ascii="Arial" w:hAnsi="Arial" w:cs="Arial"/>
          <w:noProof/>
          <w:sz w:val="22"/>
          <w:lang w:val="es-ES_tradnl"/>
        </w:rPr>
        <w:drawing>
          <wp:inline distT="0" distB="0" distL="0" distR="0" wp14:anchorId="12E8E5D3" wp14:editId="0BC587C7">
            <wp:extent cx="2724571" cy="711200"/>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1"/>
                    <a:stretch>
                      <a:fillRect/>
                    </a:stretch>
                  </pic:blipFill>
                  <pic:spPr>
                    <a:xfrm>
                      <a:off x="0" y="0"/>
                      <a:ext cx="2729621" cy="712518"/>
                    </a:xfrm>
                    <a:prstGeom prst="rect">
                      <a:avLst/>
                    </a:prstGeom>
                  </pic:spPr>
                </pic:pic>
              </a:graphicData>
            </a:graphic>
          </wp:inline>
        </w:drawing>
      </w:r>
    </w:p>
    <w:p w14:paraId="4E33571B" w14:textId="36F79A29" w:rsidR="00114AAC" w:rsidRPr="00840085" w:rsidRDefault="00114AAC" w:rsidP="00114AAC">
      <w:pPr>
        <w:spacing w:line="276" w:lineRule="auto"/>
        <w:jc w:val="both"/>
        <w:rPr>
          <w:rFonts w:ascii="Arial" w:eastAsia="Calibri" w:hAnsi="Arial" w:cs="Arial"/>
          <w:noProof/>
          <w:sz w:val="22"/>
          <w:szCs w:val="22"/>
          <w:lang w:val="es-ES_tradnl"/>
        </w:rPr>
      </w:pPr>
      <w:bookmarkStart w:id="1" w:name="_Hlk117610265"/>
      <w:r w:rsidRPr="00840085">
        <w:rPr>
          <w:rFonts w:ascii="Arial" w:hAnsi="Arial" w:cs="Arial"/>
          <w:noProof/>
          <w:sz w:val="22"/>
          <w:lang w:val="es-ES_tradnl"/>
        </w:rPr>
        <w:t xml:space="preserve">Bogotá D.C., </w:t>
      </w:r>
      <w:r w:rsidR="004835F1">
        <w:rPr>
          <w:rFonts w:ascii="Arial" w:hAnsi="Arial" w:cs="Arial"/>
          <w:noProof/>
          <w:sz w:val="22"/>
          <w:lang w:val="es-ES_tradnl"/>
        </w:rPr>
        <w:t>25 octubre 2022</w:t>
      </w:r>
    </w:p>
    <w:p w14:paraId="22A1916F" w14:textId="77777777" w:rsidR="00114AAC" w:rsidRPr="00840085" w:rsidRDefault="00114AAC" w:rsidP="00114AAC">
      <w:pPr>
        <w:jc w:val="both"/>
      </w:pPr>
    </w:p>
    <w:p w14:paraId="2B551502" w14:textId="77777777" w:rsidR="00114AAC" w:rsidRPr="00840085" w:rsidRDefault="00114AAC" w:rsidP="00114AAC">
      <w:pPr>
        <w:jc w:val="both"/>
        <w:rPr>
          <w:rFonts w:ascii="Arial" w:hAnsi="Arial" w:cs="Arial"/>
          <w:b/>
          <w:sz w:val="22"/>
          <w:lang w:val="es-ES_tradnl"/>
        </w:rPr>
      </w:pPr>
    </w:p>
    <w:p w14:paraId="7A13C4B7" w14:textId="77777777" w:rsidR="00114AAC" w:rsidRPr="00840085" w:rsidRDefault="00114AAC" w:rsidP="00114AAC">
      <w:pPr>
        <w:jc w:val="both"/>
        <w:rPr>
          <w:rFonts w:ascii="Arial" w:eastAsia="Calibri" w:hAnsi="Arial" w:cs="Arial"/>
          <w:sz w:val="22"/>
          <w:lang w:val="es-ES_tradnl"/>
        </w:rPr>
      </w:pPr>
      <w:r w:rsidRPr="00840085">
        <w:rPr>
          <w:rFonts w:ascii="Arial" w:eastAsia="Calibri" w:hAnsi="Arial" w:cs="Arial"/>
          <w:sz w:val="22"/>
          <w:lang w:val="es-ES_tradnl"/>
        </w:rPr>
        <w:t>Señor</w:t>
      </w:r>
    </w:p>
    <w:p w14:paraId="636E9C43" w14:textId="77777777" w:rsidR="00114AAC" w:rsidRPr="00840085" w:rsidRDefault="00114AAC" w:rsidP="00114AAC">
      <w:pPr>
        <w:jc w:val="both"/>
        <w:rPr>
          <w:rFonts w:ascii="Arial" w:eastAsia="Calibri" w:hAnsi="Arial" w:cs="Arial"/>
          <w:b/>
          <w:sz w:val="22"/>
          <w:lang w:val="es-ES_tradnl"/>
        </w:rPr>
      </w:pPr>
      <w:r w:rsidRPr="00840085">
        <w:rPr>
          <w:rFonts w:ascii="Arial" w:eastAsia="Calibri" w:hAnsi="Arial" w:cs="Arial"/>
          <w:b/>
          <w:sz w:val="22"/>
          <w:lang w:val="es-ES_tradnl"/>
        </w:rPr>
        <w:t>Oscar Fabian López Sierra</w:t>
      </w:r>
    </w:p>
    <w:p w14:paraId="256D92E1" w14:textId="77777777" w:rsidR="00114AAC" w:rsidRPr="00840085" w:rsidRDefault="00114AAC" w:rsidP="00114AAC">
      <w:pPr>
        <w:jc w:val="both"/>
        <w:rPr>
          <w:rFonts w:ascii="Arial" w:eastAsia="Calibri" w:hAnsi="Arial" w:cs="Arial"/>
          <w:sz w:val="22"/>
          <w:lang w:val="es-ES_tradnl"/>
        </w:rPr>
      </w:pPr>
      <w:r w:rsidRPr="00840085">
        <w:rPr>
          <w:rFonts w:ascii="Arial" w:eastAsia="Calibri" w:hAnsi="Arial" w:cs="Arial"/>
          <w:sz w:val="22"/>
          <w:lang w:val="es-ES_tradnl"/>
        </w:rPr>
        <w:t xml:space="preserve">Tunja, Boyacá </w:t>
      </w:r>
    </w:p>
    <w:p w14:paraId="77A881B9" w14:textId="77777777" w:rsidR="00114AAC" w:rsidRPr="00840085" w:rsidRDefault="00114AAC" w:rsidP="00114AAC">
      <w:pPr>
        <w:jc w:val="both"/>
        <w:rPr>
          <w:rFonts w:ascii="Arial" w:eastAsia="Calibri" w:hAnsi="Arial" w:cs="Arial"/>
          <w:sz w:val="22"/>
          <w:lang w:val="es-ES_tradnl"/>
        </w:rPr>
      </w:pPr>
    </w:p>
    <w:p w14:paraId="16859B0F" w14:textId="77777777" w:rsidR="00114AAC" w:rsidRPr="00840085" w:rsidRDefault="00114AAC" w:rsidP="00114AAC">
      <w:pPr>
        <w:jc w:val="both"/>
        <w:rPr>
          <w:rFonts w:ascii="Arial" w:eastAsia="Calibri" w:hAnsi="Arial" w:cs="Arial"/>
          <w:sz w:val="22"/>
          <w:lang w:val="es-ES_tradnl"/>
        </w:rPr>
      </w:pPr>
    </w:p>
    <w:p w14:paraId="1E9A43E0" w14:textId="77777777" w:rsidR="00114AAC" w:rsidRPr="00840085" w:rsidRDefault="00114AAC" w:rsidP="00114AAC">
      <w:pPr>
        <w:jc w:val="both"/>
        <w:rPr>
          <w:rFonts w:ascii="Arial" w:eastAsia="Calibri" w:hAnsi="Arial" w:cs="Arial"/>
          <w:b/>
          <w:bCs/>
          <w:sz w:val="22"/>
          <w:lang w:val="es-ES_tradnl"/>
        </w:rPr>
      </w:pPr>
      <w:r w:rsidRPr="00840085">
        <w:rPr>
          <w:rFonts w:ascii="Arial" w:eastAsia="Calibri" w:hAnsi="Arial" w:cs="Arial"/>
          <w:b/>
          <w:bCs/>
          <w:sz w:val="22"/>
          <w:lang w:val="es-ES_tradnl"/>
        </w:rPr>
        <w:t xml:space="preserve">                                            Concepto C ‒ 699 de 2022</w:t>
      </w:r>
    </w:p>
    <w:p w14:paraId="1F2AAF69" w14:textId="77777777" w:rsidR="00114AAC" w:rsidRPr="00840085" w:rsidRDefault="00114AAC" w:rsidP="00114AAC">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14AAC" w:rsidRPr="00840085" w14:paraId="45405BC8" w14:textId="77777777" w:rsidTr="00CD7CCF">
        <w:tc>
          <w:tcPr>
            <w:tcW w:w="2689" w:type="dxa"/>
          </w:tcPr>
          <w:p w14:paraId="43980A1D" w14:textId="77777777" w:rsidR="00114AAC" w:rsidRPr="00840085" w:rsidRDefault="00114AAC" w:rsidP="00CD7CCF">
            <w:pPr>
              <w:jc w:val="both"/>
              <w:rPr>
                <w:rFonts w:ascii="Arial" w:eastAsia="Calibri" w:hAnsi="Arial" w:cs="Arial"/>
                <w:sz w:val="22"/>
                <w:lang w:val="es-ES_tradnl"/>
              </w:rPr>
            </w:pPr>
            <w:r w:rsidRPr="00840085">
              <w:rPr>
                <w:rFonts w:ascii="Arial" w:eastAsia="Calibri" w:hAnsi="Arial" w:cs="Arial"/>
                <w:b/>
                <w:sz w:val="22"/>
                <w:lang w:val="es-ES_tradnl"/>
              </w:rPr>
              <w:t>Temas:</w:t>
            </w:r>
            <w:r w:rsidRPr="00840085">
              <w:rPr>
                <w:rFonts w:ascii="Arial" w:eastAsia="Calibri" w:hAnsi="Arial" w:cs="Arial"/>
                <w:sz w:val="22"/>
                <w:lang w:val="es-ES_tradnl"/>
              </w:rPr>
              <w:t xml:space="preserve">                                      </w:t>
            </w:r>
          </w:p>
        </w:tc>
        <w:tc>
          <w:tcPr>
            <w:tcW w:w="6237" w:type="dxa"/>
          </w:tcPr>
          <w:p w14:paraId="3AC8D280" w14:textId="77777777" w:rsidR="00114AAC" w:rsidRPr="00840085" w:rsidRDefault="00114AAC" w:rsidP="00CD7CCF">
            <w:pPr>
              <w:pStyle w:val="Sinespaciado"/>
              <w:jc w:val="both"/>
              <w:rPr>
                <w:rFonts w:ascii="Arial" w:hAnsi="Arial" w:cs="Arial"/>
                <w:bCs/>
                <w:sz w:val="22"/>
                <w:lang w:val="es-ES_tradnl"/>
              </w:rPr>
            </w:pPr>
            <w:r w:rsidRPr="00840085">
              <w:rPr>
                <w:rFonts w:ascii="Arial" w:eastAsia="Calibri" w:hAnsi="Arial" w:cs="Arial"/>
                <w:sz w:val="22"/>
              </w:rPr>
              <w:t>LEY DE EMPRENDIMIENTO – Ley 2069 de 2020 – Vigencia / MIPYMES – Artículo 34 de la Ley 2069 de 2020 – artículo 5 del Decreto 1860 de 2021 – Convocatorias limitadas territorialmente - Vigencia / CONVOCATORIAS LIMITADAS A MIPYMES NACIONALES – Limitación territorial – Relevancia del domicilio de la Mipyme.</w:t>
            </w:r>
          </w:p>
        </w:tc>
      </w:tr>
      <w:tr w:rsidR="00114AAC" w:rsidRPr="00840085" w14:paraId="020748DA" w14:textId="77777777" w:rsidTr="00CD7CCF">
        <w:tc>
          <w:tcPr>
            <w:tcW w:w="2689" w:type="dxa"/>
          </w:tcPr>
          <w:p w14:paraId="510DD4FB" w14:textId="77777777" w:rsidR="00114AAC" w:rsidRPr="00840085" w:rsidRDefault="00114AAC" w:rsidP="00CD7CCF">
            <w:pPr>
              <w:spacing w:before="120"/>
              <w:jc w:val="both"/>
              <w:rPr>
                <w:rFonts w:ascii="Arial" w:eastAsia="Calibri" w:hAnsi="Arial" w:cs="Arial"/>
                <w:b/>
                <w:sz w:val="22"/>
                <w:lang w:val="es-ES_tradnl"/>
              </w:rPr>
            </w:pPr>
            <w:r w:rsidRPr="00840085">
              <w:rPr>
                <w:rFonts w:ascii="Arial" w:eastAsia="Calibri" w:hAnsi="Arial" w:cs="Arial"/>
                <w:b/>
                <w:sz w:val="22"/>
                <w:lang w:val="es-ES_tradnl"/>
              </w:rPr>
              <w:t>Radicación:</w:t>
            </w:r>
            <w:r w:rsidRPr="00840085">
              <w:rPr>
                <w:rFonts w:ascii="Arial" w:eastAsia="Calibri" w:hAnsi="Arial" w:cs="Arial"/>
                <w:sz w:val="22"/>
                <w:lang w:val="es-ES_tradnl"/>
              </w:rPr>
              <w:t xml:space="preserve">                              </w:t>
            </w:r>
          </w:p>
        </w:tc>
        <w:tc>
          <w:tcPr>
            <w:tcW w:w="6237" w:type="dxa"/>
          </w:tcPr>
          <w:p w14:paraId="1AB08C69" w14:textId="77777777" w:rsidR="00114AAC" w:rsidRPr="00840085" w:rsidRDefault="00114AAC" w:rsidP="00CD7CCF">
            <w:pPr>
              <w:spacing w:before="120"/>
              <w:jc w:val="both"/>
              <w:rPr>
                <w:rFonts w:ascii="Arial" w:eastAsia="Calibri" w:hAnsi="Arial" w:cs="Arial"/>
                <w:sz w:val="22"/>
                <w:lang w:val="es-ES_tradnl"/>
              </w:rPr>
            </w:pPr>
            <w:r w:rsidRPr="00840085">
              <w:rPr>
                <w:rFonts w:ascii="Arial" w:eastAsia="Calibri" w:hAnsi="Arial" w:cs="Arial"/>
                <w:sz w:val="22"/>
                <w:lang w:val="es-ES_tradnl"/>
              </w:rPr>
              <w:t>Respuesta a consulta #P20220912009127</w:t>
            </w:r>
          </w:p>
        </w:tc>
      </w:tr>
    </w:tbl>
    <w:p w14:paraId="6C828937" w14:textId="77777777" w:rsidR="00114AAC" w:rsidRPr="00840085" w:rsidRDefault="00114AAC" w:rsidP="00114AAC">
      <w:pPr>
        <w:jc w:val="both"/>
        <w:rPr>
          <w:rFonts w:ascii="Arial" w:eastAsia="Calibri" w:hAnsi="Arial" w:cs="Arial"/>
          <w:sz w:val="22"/>
          <w:lang w:val="es-ES_tradnl"/>
        </w:rPr>
      </w:pPr>
    </w:p>
    <w:p w14:paraId="66D701C2" w14:textId="77777777" w:rsidR="00114AAC" w:rsidRPr="00840085" w:rsidRDefault="00114AAC" w:rsidP="00114AAC">
      <w:pPr>
        <w:jc w:val="both"/>
        <w:rPr>
          <w:rFonts w:ascii="Arial" w:eastAsia="Calibri" w:hAnsi="Arial" w:cs="Arial"/>
          <w:sz w:val="22"/>
          <w:lang w:val="es-ES_tradnl"/>
        </w:rPr>
      </w:pPr>
    </w:p>
    <w:p w14:paraId="616B6D48" w14:textId="77777777" w:rsidR="00114AAC" w:rsidRPr="00840085" w:rsidRDefault="00114AAC" w:rsidP="00114AAC">
      <w:pPr>
        <w:jc w:val="both"/>
        <w:rPr>
          <w:rFonts w:ascii="Arial" w:eastAsia="Calibri" w:hAnsi="Arial" w:cs="Arial"/>
          <w:sz w:val="22"/>
          <w:lang w:val="es-ES_tradnl"/>
        </w:rPr>
      </w:pPr>
      <w:r w:rsidRPr="00840085">
        <w:rPr>
          <w:rFonts w:ascii="Arial" w:eastAsia="Calibri" w:hAnsi="Arial" w:cs="Arial"/>
          <w:sz w:val="22"/>
          <w:lang w:val="es-ES_tradnl"/>
        </w:rPr>
        <w:t>Estimado señor López Sierra:</w:t>
      </w:r>
    </w:p>
    <w:p w14:paraId="714C3C05" w14:textId="77777777" w:rsidR="00114AAC" w:rsidRPr="00840085" w:rsidRDefault="00114AAC" w:rsidP="00114AAC">
      <w:pPr>
        <w:jc w:val="both"/>
        <w:rPr>
          <w:rFonts w:ascii="Arial" w:eastAsia="Calibri" w:hAnsi="Arial" w:cs="Arial"/>
          <w:sz w:val="22"/>
          <w:lang w:val="es-ES_tradnl"/>
        </w:rPr>
      </w:pPr>
    </w:p>
    <w:p w14:paraId="14A775FE" w14:textId="77777777" w:rsidR="00114AAC" w:rsidRPr="00840085" w:rsidRDefault="00114AAC" w:rsidP="00114AAC">
      <w:pPr>
        <w:spacing w:line="276" w:lineRule="auto"/>
        <w:jc w:val="both"/>
        <w:rPr>
          <w:rFonts w:ascii="Arial" w:eastAsia="Calibri" w:hAnsi="Arial" w:cs="Arial"/>
          <w:sz w:val="22"/>
          <w:lang w:val="es-ES_tradnl"/>
        </w:rPr>
      </w:pPr>
      <w:r w:rsidRPr="00840085">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 responde su consulta del 12 de septiembre del 2022.</w:t>
      </w:r>
    </w:p>
    <w:p w14:paraId="77665395" w14:textId="77777777" w:rsidR="00114AAC" w:rsidRPr="00840085" w:rsidRDefault="00114AAC" w:rsidP="00114AAC">
      <w:pPr>
        <w:spacing w:line="276" w:lineRule="auto"/>
        <w:contextualSpacing/>
        <w:jc w:val="both"/>
        <w:rPr>
          <w:rFonts w:ascii="Arial" w:eastAsia="Calibri" w:hAnsi="Arial" w:cs="Arial"/>
          <w:b/>
          <w:sz w:val="22"/>
          <w:lang w:val="es-ES_tradnl"/>
        </w:rPr>
      </w:pPr>
    </w:p>
    <w:p w14:paraId="2BA171D1" w14:textId="77777777" w:rsidR="00114AAC" w:rsidRPr="00840085" w:rsidRDefault="00114AAC" w:rsidP="00114AAC">
      <w:pPr>
        <w:pStyle w:val="Prrafodelista"/>
        <w:numPr>
          <w:ilvl w:val="0"/>
          <w:numId w:val="3"/>
        </w:numPr>
        <w:tabs>
          <w:tab w:val="left" w:pos="0"/>
          <w:tab w:val="left" w:pos="142"/>
          <w:tab w:val="left" w:pos="284"/>
        </w:tabs>
        <w:spacing w:after="0" w:line="276" w:lineRule="auto"/>
        <w:ind w:left="0" w:firstLine="0"/>
        <w:jc w:val="both"/>
        <w:rPr>
          <w:rFonts w:ascii="Arial" w:eastAsia="Calibri" w:hAnsi="Arial" w:cs="Arial"/>
          <w:b/>
          <w:lang w:val="es-ES_tradnl"/>
        </w:rPr>
      </w:pPr>
      <w:r w:rsidRPr="00840085">
        <w:rPr>
          <w:rFonts w:ascii="Arial" w:eastAsia="Calibri" w:hAnsi="Arial" w:cs="Arial"/>
          <w:b/>
          <w:lang w:val="es-ES_tradnl"/>
        </w:rPr>
        <w:t xml:space="preserve">Problema planteado </w:t>
      </w:r>
    </w:p>
    <w:p w14:paraId="6B982DF9" w14:textId="77777777" w:rsidR="00114AAC" w:rsidRPr="00840085" w:rsidRDefault="00114AAC" w:rsidP="00114AAC">
      <w:pPr>
        <w:tabs>
          <w:tab w:val="left" w:pos="426"/>
        </w:tabs>
        <w:spacing w:line="276" w:lineRule="auto"/>
        <w:contextualSpacing/>
        <w:jc w:val="both"/>
        <w:rPr>
          <w:rFonts w:ascii="Arial" w:eastAsia="Calibri" w:hAnsi="Arial" w:cs="Arial"/>
          <w:b/>
          <w:sz w:val="20"/>
          <w:szCs w:val="20"/>
          <w:lang w:val="es-ES_tradnl"/>
        </w:rPr>
      </w:pPr>
    </w:p>
    <w:p w14:paraId="48289B7F" w14:textId="77777777" w:rsidR="00114AAC" w:rsidRPr="00840085" w:rsidRDefault="00114AAC" w:rsidP="00114AAC">
      <w:pPr>
        <w:spacing w:line="276" w:lineRule="auto"/>
        <w:contextualSpacing/>
        <w:jc w:val="both"/>
        <w:rPr>
          <w:rFonts w:ascii="Arial" w:hAnsi="Arial" w:cs="Arial"/>
          <w:sz w:val="28"/>
          <w:szCs w:val="28"/>
          <w:lang w:val="es-ES_tradnl"/>
        </w:rPr>
      </w:pPr>
      <w:r w:rsidRPr="00840085">
        <w:rPr>
          <w:rFonts w:ascii="Arial" w:hAnsi="Arial" w:cs="Arial"/>
          <w:sz w:val="22"/>
          <w:szCs w:val="22"/>
          <w:lang w:val="es-ES_tradnl"/>
        </w:rPr>
        <w:t>En relación con la limitación territorial a Mipyme, usted realiza la siguiente pregunta:</w:t>
      </w:r>
      <w:r w:rsidRPr="00840085">
        <w:rPr>
          <w:rFonts w:ascii="Arial" w:hAnsi="Arial" w:cs="Arial"/>
          <w:sz w:val="28"/>
          <w:szCs w:val="28"/>
          <w:lang w:val="es-ES_tradnl"/>
        </w:rPr>
        <w:t xml:space="preserve"> </w:t>
      </w:r>
    </w:p>
    <w:p w14:paraId="58E242A8" w14:textId="77777777" w:rsidR="00114AAC" w:rsidRPr="00840085" w:rsidRDefault="00114AAC" w:rsidP="00114AAC">
      <w:pPr>
        <w:spacing w:line="276" w:lineRule="auto"/>
        <w:contextualSpacing/>
        <w:jc w:val="both"/>
        <w:rPr>
          <w:rFonts w:ascii="Arial" w:hAnsi="Arial" w:cs="Arial"/>
          <w:sz w:val="22"/>
          <w:szCs w:val="22"/>
          <w:lang w:val="es-ES_tradnl"/>
        </w:rPr>
      </w:pPr>
    </w:p>
    <w:p w14:paraId="7B2419F8" w14:textId="77777777" w:rsidR="00114AAC" w:rsidRPr="00840085" w:rsidRDefault="00114AAC" w:rsidP="00114AAC">
      <w:pPr>
        <w:ind w:left="709" w:right="709"/>
        <w:contextualSpacing/>
        <w:jc w:val="both"/>
        <w:rPr>
          <w:rFonts w:ascii="Arial" w:hAnsi="Arial" w:cs="Arial"/>
          <w:sz w:val="21"/>
          <w:szCs w:val="21"/>
        </w:rPr>
      </w:pPr>
      <w:r w:rsidRPr="00840085">
        <w:rPr>
          <w:rFonts w:ascii="Arial" w:hAnsi="Arial" w:cs="Arial"/>
          <w:sz w:val="21"/>
          <w:szCs w:val="21"/>
          <w:lang w:val="es-ES_tradnl"/>
        </w:rPr>
        <w:t>«</w:t>
      </w:r>
      <w:r w:rsidRPr="00840085">
        <w:rPr>
          <w:rFonts w:ascii="Arial" w:hAnsi="Arial" w:cs="Arial"/>
          <w:sz w:val="21"/>
          <w:szCs w:val="21"/>
        </w:rPr>
        <w:t>Es procedente contratar en un proceso limitado a Mipymes departamentales, a un contratista que no tiene su domicilio en dicho Departamento</w:t>
      </w:r>
      <w:r w:rsidRPr="00840085">
        <w:rPr>
          <w:rFonts w:ascii="Arial" w:hAnsi="Arial" w:cs="Arial"/>
          <w:sz w:val="21"/>
          <w:szCs w:val="21"/>
          <w:lang w:val="es-ES_tradnl"/>
        </w:rPr>
        <w:t>».</w:t>
      </w:r>
    </w:p>
    <w:p w14:paraId="3305315C" w14:textId="77777777" w:rsidR="00114AAC" w:rsidRPr="00840085" w:rsidRDefault="00114AAC" w:rsidP="00114AAC">
      <w:pPr>
        <w:spacing w:line="276" w:lineRule="auto"/>
        <w:contextualSpacing/>
        <w:jc w:val="both"/>
        <w:rPr>
          <w:rFonts w:ascii="Arial" w:hAnsi="Arial" w:cs="Arial"/>
          <w:sz w:val="22"/>
          <w:szCs w:val="22"/>
          <w:lang w:val="es-ES_tradnl"/>
        </w:rPr>
      </w:pPr>
    </w:p>
    <w:p w14:paraId="69437069" w14:textId="77777777" w:rsidR="00114AAC" w:rsidRPr="00840085" w:rsidRDefault="00114AAC" w:rsidP="00114AAC">
      <w:pPr>
        <w:pStyle w:val="Prrafodelista"/>
        <w:numPr>
          <w:ilvl w:val="0"/>
          <w:numId w:val="3"/>
        </w:numPr>
        <w:tabs>
          <w:tab w:val="left" w:pos="0"/>
          <w:tab w:val="left" w:pos="284"/>
        </w:tabs>
        <w:spacing w:after="0" w:line="276" w:lineRule="auto"/>
        <w:ind w:left="0" w:firstLine="0"/>
        <w:jc w:val="both"/>
        <w:rPr>
          <w:rFonts w:ascii="Arial" w:eastAsia="Calibri" w:hAnsi="Arial" w:cs="Arial"/>
          <w:b/>
          <w:lang w:val="es-ES_tradnl"/>
        </w:rPr>
      </w:pPr>
      <w:r w:rsidRPr="00840085">
        <w:rPr>
          <w:rFonts w:ascii="Arial" w:eastAsia="Calibri" w:hAnsi="Arial" w:cs="Arial"/>
          <w:b/>
          <w:lang w:val="es-ES_tradnl"/>
        </w:rPr>
        <w:t>Consideraciones</w:t>
      </w:r>
    </w:p>
    <w:p w14:paraId="5B3C4BC0" w14:textId="77777777" w:rsidR="00114AAC" w:rsidRPr="00840085" w:rsidRDefault="00114AAC" w:rsidP="00114AAC">
      <w:pPr>
        <w:spacing w:line="276" w:lineRule="auto"/>
        <w:contextualSpacing/>
        <w:jc w:val="both"/>
        <w:rPr>
          <w:rFonts w:ascii="Arial" w:hAnsi="Arial" w:cs="Arial"/>
          <w:sz w:val="22"/>
          <w:szCs w:val="22"/>
          <w:lang w:val="es-ES_tradnl"/>
        </w:rPr>
      </w:pPr>
    </w:p>
    <w:p w14:paraId="3332FC43" w14:textId="77777777" w:rsidR="00114AAC" w:rsidRPr="00840085" w:rsidRDefault="00114AAC" w:rsidP="00114AAC">
      <w:pPr>
        <w:tabs>
          <w:tab w:val="left" w:pos="709"/>
        </w:tabs>
        <w:spacing w:line="276" w:lineRule="auto"/>
        <w:jc w:val="both"/>
        <w:rPr>
          <w:rFonts w:ascii="Arial" w:eastAsia="Calibri" w:hAnsi="Arial" w:cs="Arial"/>
          <w:bCs/>
          <w:sz w:val="22"/>
          <w:szCs w:val="22"/>
          <w:lang w:val="es-ES"/>
        </w:rPr>
      </w:pPr>
      <w:r w:rsidRPr="00840085">
        <w:rPr>
          <w:rFonts w:ascii="Arial" w:eastAsia="Calibri" w:hAnsi="Arial" w:cs="Arial"/>
          <w:bCs/>
          <w:sz w:val="22"/>
          <w:szCs w:val="22"/>
          <w:lang w:val="es-ES"/>
        </w:rPr>
        <w:t>La Subdirección de Gestión Contractual –dentro de los límites de sus atribuciones– resolverá la consulta conforme a las normas generales que rigen en materia de contratación estatal</w:t>
      </w:r>
      <w:r w:rsidRPr="00840085">
        <w:rPr>
          <w:rFonts w:ascii="Arial" w:eastAsia="Calibri" w:hAnsi="Arial" w:cs="Arial"/>
          <w:bCs/>
          <w:sz w:val="22"/>
          <w:szCs w:val="22"/>
          <w:lang w:val="es-ES_tradnl"/>
        </w:rPr>
        <w:t xml:space="preserve">. </w:t>
      </w:r>
      <w:r w:rsidRPr="00840085">
        <w:rPr>
          <w:rFonts w:ascii="Arial" w:eastAsia="Calibri" w:hAnsi="Arial" w:cs="Arial"/>
          <w:bCs/>
          <w:sz w:val="22"/>
          <w:szCs w:val="22"/>
        </w:rPr>
        <w:t xml:space="preserve">Con este objetivo, </w:t>
      </w:r>
      <w:r w:rsidRPr="00840085">
        <w:rPr>
          <w:rFonts w:ascii="Arial" w:eastAsia="Calibri" w:hAnsi="Arial" w:cs="Arial"/>
          <w:bCs/>
          <w:sz w:val="22"/>
          <w:szCs w:val="22"/>
          <w:lang w:val="es-ES"/>
        </w:rPr>
        <w:t>se analizarán los siguientes temas</w:t>
      </w:r>
      <w:r w:rsidRPr="00840085">
        <w:rPr>
          <w:rFonts w:ascii="Arial" w:eastAsia="Calibri" w:hAnsi="Arial" w:cs="Arial"/>
          <w:sz w:val="22"/>
          <w:szCs w:val="22"/>
          <w:lang w:val="es-ES_tradnl"/>
        </w:rPr>
        <w:t>:</w:t>
      </w:r>
      <w:r w:rsidRPr="00840085">
        <w:rPr>
          <w:rFonts w:ascii="Arial" w:eastAsia="Calibri" w:hAnsi="Arial" w:cs="Arial"/>
          <w:sz w:val="22"/>
          <w:szCs w:val="22"/>
          <w:lang w:val="es-ES"/>
        </w:rPr>
        <w:t xml:space="preserve"> </w:t>
      </w:r>
      <w:r w:rsidRPr="00840085">
        <w:rPr>
          <w:rFonts w:ascii="Arial" w:eastAsia="Calibri" w:hAnsi="Arial" w:cs="Arial"/>
          <w:bCs/>
          <w:sz w:val="22"/>
          <w:szCs w:val="22"/>
        </w:rPr>
        <w:t>i)</w:t>
      </w:r>
      <w:r w:rsidRPr="00840085">
        <w:rPr>
          <w:rFonts w:ascii="Arial" w:hAnsi="Arial" w:cs="Arial"/>
          <w:sz w:val="22"/>
          <w:szCs w:val="22"/>
        </w:rPr>
        <w:t xml:space="preserve"> </w:t>
      </w:r>
      <w:r w:rsidRPr="00840085">
        <w:rPr>
          <w:rFonts w:ascii="Arial" w:eastAsia="Calibri" w:hAnsi="Arial" w:cs="Arial"/>
          <w:sz w:val="22"/>
          <w:szCs w:val="22"/>
          <w:lang w:val="es-ES_tradnl"/>
        </w:rPr>
        <w:t xml:space="preserve">vigencia y ámbito de aplicación de la Ley 2069 de 2020 y </w:t>
      </w:r>
      <w:r w:rsidRPr="00840085">
        <w:rPr>
          <w:rFonts w:ascii="Arial" w:eastAsia="Calibri" w:hAnsi="Arial" w:cs="Arial"/>
          <w:sz w:val="22"/>
          <w:szCs w:val="22"/>
          <w:lang w:val="es-ES_tradnl" w:eastAsia="en-US"/>
        </w:rPr>
        <w:t xml:space="preserve">ii) convocatorias limitadas a Mipyme de conformidad con </w:t>
      </w:r>
      <w:r w:rsidRPr="00840085">
        <w:rPr>
          <w:rFonts w:ascii="Arial" w:eastAsia="Calibri" w:hAnsi="Arial" w:cs="Arial"/>
          <w:sz w:val="22"/>
          <w:szCs w:val="22"/>
          <w:lang w:val="es-ES_tradnl"/>
        </w:rPr>
        <w:t>el artículo 34 de la Ley 2069 de 2020 y</w:t>
      </w:r>
      <w:r w:rsidRPr="00840085">
        <w:rPr>
          <w:rFonts w:ascii="Arial" w:eastAsia="Calibri" w:hAnsi="Arial" w:cs="Arial"/>
          <w:sz w:val="22"/>
          <w:szCs w:val="22"/>
          <w:lang w:val="es-ES_tradnl" w:eastAsia="en-US"/>
        </w:rPr>
        <w:t xml:space="preserve"> el Decreto 1860 de 2021. </w:t>
      </w:r>
    </w:p>
    <w:p w14:paraId="46046550" w14:textId="77777777" w:rsidR="00114AAC" w:rsidRPr="00840085" w:rsidRDefault="00114AAC" w:rsidP="00114AAC">
      <w:pPr>
        <w:spacing w:before="120" w:line="276" w:lineRule="auto"/>
        <w:ind w:firstLine="709"/>
        <w:jc w:val="both"/>
        <w:rPr>
          <w:rFonts w:ascii="Arial" w:eastAsia="Calibri" w:hAnsi="Arial" w:cs="Arial"/>
          <w:sz w:val="22"/>
          <w:szCs w:val="22"/>
          <w:lang w:val="es-ES_tradnl"/>
        </w:rPr>
      </w:pPr>
      <w:r w:rsidRPr="00840085">
        <w:rPr>
          <w:rFonts w:ascii="Arial" w:eastAsia="Calibri" w:hAnsi="Arial" w:cs="Arial"/>
          <w:sz w:val="22"/>
          <w:szCs w:val="22"/>
          <w:lang w:val="es-ES_tradnl"/>
        </w:rPr>
        <w:t xml:space="preserve">Es importante destacar que la Agencia Nacional de Contratación Pública – Colombia Compra Eficiente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C-455 del 31 de agosto de 2021, C-041 del 2 de marzo de 2022, C-213 del 21 de abril de 2022, C-281 del 12 de mayo de 2022, C-293 del 12 de mayo de 2022, C-296 del 12 de mayo de 2022, C-315 del 18 de mayo de 2022, C-330 del 23 de mayo de 2022, C-340 del 26 de mayo de 2022, C-437 del 25 de julio de 2022 C-340 del 26 de mayo de 2022, C-346 del 27 de mayo de 2022, C-361 del 20 de mayo de 2022, C-377 del 13 de junio de 2022, C-395 del 17 de junio de 2022, C-445 del 12 de julio de 2022, C-459 del 18 de julio de 2022, C-460 del 18 de julio de 2022, C-464 del 19 de julio de 2022, C-473 del 25 de julio de 2022, C-474 del 26 de julio de 2022, C-485 del 26 de julio de 2022, C-490 del 26 de julio de 2022, C-523 del 16 de agosto de 2022, C-539 del 29 de agosto de 2022, C-585 del 19 de septiembre de 2022, C-587 del 21 de septiembre de 2022, C-597 del 9 de septiembre de 2022, C-627 del 12 de septiembre de 2022, C-643 del 10 de octubre de 2022 y C-662 del 13 de octubre de 2022 se pronunció sobre la nueva regulación de la promoción del desarrollo en la contratación estatal contenida en el artículo 34 de la Ley 2069 de 2020, específicamente sobre las </w:t>
      </w:r>
      <w:r w:rsidRPr="00840085">
        <w:rPr>
          <w:rFonts w:ascii="Arial" w:eastAsia="Calibri" w:hAnsi="Arial" w:cs="Arial"/>
          <w:sz w:val="22"/>
          <w:szCs w:val="22"/>
          <w:lang w:val="es-ES_tradnl" w:eastAsia="en-US"/>
        </w:rPr>
        <w:t>convocatorias limitadas a Mipyme</w:t>
      </w:r>
      <w:r w:rsidRPr="00840085">
        <w:rPr>
          <w:rStyle w:val="Refdenotaalpie"/>
          <w:rFonts w:ascii="Arial" w:eastAsia="Calibri" w:hAnsi="Arial" w:cs="Arial"/>
          <w:sz w:val="22"/>
          <w:szCs w:val="22"/>
          <w:lang w:val="es-ES_tradnl"/>
        </w:rPr>
        <w:footnoteReference w:id="1"/>
      </w:r>
      <w:r w:rsidRPr="00840085">
        <w:rPr>
          <w:rFonts w:ascii="Arial" w:eastAsia="Calibri" w:hAnsi="Arial" w:cs="Arial"/>
          <w:sz w:val="22"/>
          <w:szCs w:val="22"/>
          <w:lang w:val="es-ES_tradnl"/>
        </w:rPr>
        <w:t xml:space="preserve">. Las tesis expuestas en estos conceptos se reiteran a continuación y se complementan en lo pertinente. </w:t>
      </w:r>
    </w:p>
    <w:p w14:paraId="31AF9923" w14:textId="77777777" w:rsidR="00114AAC" w:rsidRPr="00840085" w:rsidRDefault="00114AAC" w:rsidP="00114AAC">
      <w:pPr>
        <w:spacing w:line="276" w:lineRule="auto"/>
        <w:contextualSpacing/>
        <w:jc w:val="both"/>
        <w:rPr>
          <w:rFonts w:ascii="Arial" w:eastAsia="Calibri" w:hAnsi="Arial" w:cs="Arial"/>
          <w:sz w:val="22"/>
          <w:szCs w:val="22"/>
          <w:lang w:val="es-ES_tradnl"/>
        </w:rPr>
      </w:pPr>
    </w:p>
    <w:p w14:paraId="38929CD8" w14:textId="77777777" w:rsidR="00114AAC" w:rsidRPr="00840085" w:rsidRDefault="00114AAC" w:rsidP="00114AAC">
      <w:pPr>
        <w:spacing w:line="276" w:lineRule="auto"/>
        <w:contextualSpacing/>
        <w:jc w:val="both"/>
        <w:rPr>
          <w:rFonts w:ascii="Arial" w:eastAsia="Calibri" w:hAnsi="Arial" w:cs="Arial"/>
          <w:b/>
          <w:bCs/>
          <w:sz w:val="22"/>
          <w:szCs w:val="22"/>
          <w:lang w:val="es-ES_tradnl" w:eastAsia="en-US"/>
        </w:rPr>
      </w:pPr>
      <w:r w:rsidRPr="00840085">
        <w:rPr>
          <w:rFonts w:ascii="Arial" w:eastAsia="Calibri" w:hAnsi="Arial" w:cs="Arial"/>
          <w:b/>
          <w:bCs/>
          <w:sz w:val="22"/>
          <w:szCs w:val="22"/>
          <w:lang w:val="es-ES_tradnl"/>
        </w:rPr>
        <w:t xml:space="preserve">2.1 </w:t>
      </w:r>
      <w:bookmarkStart w:id="2" w:name="_Hlk94169601"/>
      <w:r w:rsidRPr="00840085">
        <w:rPr>
          <w:rFonts w:ascii="Arial" w:eastAsia="Calibri" w:hAnsi="Arial" w:cs="Arial"/>
          <w:b/>
          <w:bCs/>
          <w:sz w:val="22"/>
          <w:szCs w:val="22"/>
          <w:lang w:val="es-ES_tradnl" w:eastAsia="en-US"/>
        </w:rPr>
        <w:t>Vigencia y ámbito de aplicación de la Ley 2069 de 2020</w:t>
      </w:r>
    </w:p>
    <w:p w14:paraId="6B97EF18" w14:textId="77777777" w:rsidR="00114AAC" w:rsidRPr="00840085" w:rsidRDefault="00114AAC" w:rsidP="00114AAC">
      <w:pPr>
        <w:spacing w:line="276" w:lineRule="auto"/>
        <w:contextualSpacing/>
        <w:jc w:val="both"/>
        <w:rPr>
          <w:rFonts w:ascii="Arial" w:eastAsia="Calibri" w:hAnsi="Arial" w:cs="Arial"/>
          <w:b/>
          <w:bCs/>
          <w:sz w:val="22"/>
          <w:szCs w:val="22"/>
          <w:lang w:val="es-ES_tradnl" w:eastAsia="en-US"/>
        </w:rPr>
      </w:pPr>
    </w:p>
    <w:p w14:paraId="3EBC69C0" w14:textId="77777777" w:rsidR="00114AAC" w:rsidRPr="00840085" w:rsidRDefault="00114AAC" w:rsidP="00114AAC">
      <w:pPr>
        <w:spacing w:after="120" w:line="276" w:lineRule="auto"/>
        <w:jc w:val="both"/>
        <w:rPr>
          <w:rFonts w:ascii="Arial" w:eastAsia="Calibri" w:hAnsi="Arial" w:cs="Arial"/>
          <w:sz w:val="22"/>
          <w:szCs w:val="22"/>
          <w:lang w:val="es-ES_tradnl"/>
        </w:rPr>
      </w:pPr>
      <w:r w:rsidRPr="00840085">
        <w:rPr>
          <w:rFonts w:ascii="Arial" w:eastAsia="Calibri" w:hAnsi="Arial" w:cs="Arial"/>
          <w:sz w:val="22"/>
          <w:szCs w:val="22"/>
          <w:lang w:val="es-ES_tradnl" w:eastAsia="en-US"/>
        </w:rPr>
        <w:t xml:space="preserve">El 31 de diciembre de 2020 se promulgó la Ley 2069, «Por medio de la cual se impulsa el emprendimiento en Colombia». De acuerdo con su artículo 84, «La presente Ley rige a partir del momento de su promulgación […]», lo que significa que es obligatoria para sus destinatarios desde esa fecha. </w:t>
      </w:r>
      <w:r w:rsidRPr="00840085">
        <w:rPr>
          <w:rFonts w:ascii="Arial" w:eastAsia="Calibri" w:hAnsi="Arial" w:cs="Arial"/>
          <w:sz w:val="22"/>
          <w:szCs w:val="22"/>
          <w:lang w:val="es-ES_tradnl"/>
        </w:rPr>
        <w:t xml:space="preserve">Lo anterior, sin perjuicio de la posibilidad de que el Gobierno Nacional, en ejercicio de la potestad reglamentaria que le confiere el numeral 11 del artículo 189de la Constitución Política, expida el decreto correspondiente que permita la cumplida ejecución de esta Ley, potestad que fue ejercida con la expedición del Decreto 1860 de 2021, al cual se hará referencia más adelante. </w:t>
      </w:r>
    </w:p>
    <w:p w14:paraId="5D31B24E" w14:textId="77777777" w:rsidR="00114AAC" w:rsidRPr="00840085" w:rsidRDefault="00114AAC" w:rsidP="00114AAC">
      <w:pPr>
        <w:spacing w:after="120" w:line="276" w:lineRule="auto"/>
        <w:ind w:firstLine="709"/>
        <w:jc w:val="both"/>
        <w:rPr>
          <w:rFonts w:ascii="Arial" w:eastAsia="Calibri" w:hAnsi="Arial" w:cs="Arial"/>
          <w:sz w:val="22"/>
          <w:szCs w:val="22"/>
          <w:lang w:val="es-ES_tradnl" w:eastAsia="en-US"/>
        </w:rPr>
      </w:pPr>
      <w:r w:rsidRPr="00840085">
        <w:rPr>
          <w:rFonts w:ascii="Arial" w:eastAsia="Calibri" w:hAnsi="Arial" w:cs="Arial"/>
          <w:sz w:val="22"/>
          <w:szCs w:val="22"/>
          <w:lang w:val="es-ES_tradnl" w:eastAsia="en-US"/>
        </w:rPr>
        <w:t>En cuanto a su contenido, es importante señalar que, conforme lo previsto en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con las realidades socioeconómicas de cada región». En desarrollo de esta finalidad, se establecen medidas de apoyo para las micro, pequeñas y medianas empresas –Mipymes–, mediante la racionalización y simplificación de los trámites y tarifas</w:t>
      </w:r>
      <w:r w:rsidRPr="00840085">
        <w:rPr>
          <w:rFonts w:ascii="Arial" w:eastAsia="Calibri" w:hAnsi="Arial" w:cs="Arial"/>
          <w:sz w:val="22"/>
          <w:szCs w:val="22"/>
          <w:vertAlign w:val="superscript"/>
          <w:lang w:val="es-ES_tradnl" w:eastAsia="en-US"/>
        </w:rPr>
        <w:footnoteReference w:id="2"/>
      </w:r>
      <w:r w:rsidRPr="00840085">
        <w:rPr>
          <w:rFonts w:ascii="Arial" w:eastAsia="Calibri" w:hAnsi="Arial" w:cs="Arial"/>
          <w:sz w:val="22"/>
          <w:szCs w:val="22"/>
          <w:lang w:val="es-ES_tradnl" w:eastAsia="en-US"/>
        </w:rPr>
        <w:t>, así como incentivos a favor de aquellas dentro del sistema de compras y contratación pública</w:t>
      </w:r>
      <w:r w:rsidRPr="00840085">
        <w:rPr>
          <w:rFonts w:ascii="Arial" w:eastAsia="Calibri" w:hAnsi="Arial" w:cs="Arial"/>
          <w:sz w:val="22"/>
          <w:szCs w:val="22"/>
          <w:vertAlign w:val="superscript"/>
          <w:lang w:val="es-ES_tradnl" w:eastAsia="en-US"/>
        </w:rPr>
        <w:footnoteReference w:id="3"/>
      </w:r>
      <w:r w:rsidRPr="00840085">
        <w:rPr>
          <w:rFonts w:ascii="Arial" w:eastAsia="Calibri" w:hAnsi="Arial" w:cs="Arial"/>
          <w:sz w:val="22"/>
          <w:szCs w:val="22"/>
          <w:lang w:val="es-ES_tradnl" w:eastAsia="en-US"/>
        </w:rPr>
        <w:t>. También se consagran mecanismos de acceso al financiamiento</w:t>
      </w:r>
      <w:r w:rsidRPr="00840085">
        <w:rPr>
          <w:rFonts w:ascii="Arial" w:eastAsia="Calibri" w:hAnsi="Arial" w:cs="Arial"/>
          <w:sz w:val="22"/>
          <w:szCs w:val="22"/>
          <w:vertAlign w:val="superscript"/>
          <w:lang w:val="es-ES_tradnl" w:eastAsia="en-US"/>
        </w:rPr>
        <w:footnoteReference w:id="4"/>
      </w:r>
      <w:r w:rsidRPr="00840085">
        <w:rPr>
          <w:rFonts w:ascii="Arial" w:eastAsia="Calibri" w:hAnsi="Arial" w:cs="Arial"/>
          <w:sz w:val="22"/>
          <w:szCs w:val="22"/>
          <w:lang w:val="es-ES_tradnl" w:eastAsia="en-US"/>
        </w:rPr>
        <w:t>, se unifican las fuentes de emprendimiento y de desarrollo empresarial, para fortalecer y promover los distintos sectores de la economía</w:t>
      </w:r>
      <w:r w:rsidRPr="00840085">
        <w:rPr>
          <w:rFonts w:ascii="Arial" w:eastAsia="Calibri" w:hAnsi="Arial" w:cs="Arial"/>
          <w:sz w:val="22"/>
          <w:szCs w:val="22"/>
          <w:vertAlign w:val="superscript"/>
          <w:lang w:val="es-ES_tradnl" w:eastAsia="en-US"/>
        </w:rPr>
        <w:footnoteReference w:id="5"/>
      </w:r>
      <w:r w:rsidRPr="00840085">
        <w:rPr>
          <w:rFonts w:ascii="Arial" w:eastAsia="Calibri" w:hAnsi="Arial" w:cs="Arial"/>
          <w:sz w:val="22"/>
          <w:szCs w:val="22"/>
          <w:lang w:val="es-ES_tradnl" w:eastAsia="en-US"/>
        </w:rPr>
        <w:t xml:space="preserve"> y se prevén medidas de educación para el emprendimiento y la innovación</w:t>
      </w:r>
      <w:r w:rsidRPr="00840085">
        <w:rPr>
          <w:rFonts w:ascii="Arial" w:eastAsia="Calibri" w:hAnsi="Arial" w:cs="Arial"/>
          <w:sz w:val="22"/>
          <w:szCs w:val="22"/>
          <w:vertAlign w:val="superscript"/>
          <w:lang w:val="es-ES_tradnl" w:eastAsia="en-US"/>
        </w:rPr>
        <w:footnoteReference w:id="6"/>
      </w:r>
      <w:r w:rsidRPr="00840085">
        <w:rPr>
          <w:rFonts w:ascii="Arial" w:eastAsia="Calibri" w:hAnsi="Arial" w:cs="Arial"/>
          <w:sz w:val="22"/>
          <w:szCs w:val="22"/>
          <w:lang w:val="es-ES_tradnl" w:eastAsia="en-US"/>
        </w:rPr>
        <w:t>.</w:t>
      </w:r>
    </w:p>
    <w:p w14:paraId="56924615" w14:textId="77777777" w:rsidR="00114AAC" w:rsidRPr="00840085" w:rsidRDefault="00114AAC" w:rsidP="00114AAC">
      <w:pPr>
        <w:spacing w:after="120" w:line="276" w:lineRule="auto"/>
        <w:ind w:firstLine="709"/>
        <w:jc w:val="both"/>
        <w:rPr>
          <w:rFonts w:ascii="Arial" w:eastAsia="Calibri" w:hAnsi="Arial" w:cs="Arial"/>
          <w:sz w:val="22"/>
          <w:szCs w:val="22"/>
          <w:lang w:val="es-ES_tradnl" w:eastAsia="en-US"/>
        </w:rPr>
      </w:pPr>
      <w:r w:rsidRPr="00840085">
        <w:rPr>
          <w:rFonts w:ascii="Arial" w:eastAsia="Calibri" w:hAnsi="Arial" w:cs="Arial"/>
          <w:sz w:val="22"/>
          <w:szCs w:val="22"/>
          <w:lang w:val="es-ES_tradnl" w:eastAsia="en-US"/>
        </w:rPr>
        <w:t xml:space="preserve">La Ley 2069 de 2020 guarda </w:t>
      </w:r>
      <w:r w:rsidRPr="00840085">
        <w:rPr>
          <w:rFonts w:ascii="Arial" w:eastAsia="Calibri" w:hAnsi="Arial" w:cs="Arial"/>
          <w:bCs/>
          <w:sz w:val="22"/>
          <w:szCs w:val="22"/>
          <w:lang w:val="es-ES_tradnl" w:eastAsia="en-US"/>
        </w:rPr>
        <w:t>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r w:rsidRPr="00840085">
        <w:rPr>
          <w:rFonts w:ascii="Arial" w:eastAsia="Calibri" w:hAnsi="Arial" w:cs="Arial"/>
          <w:bCs/>
          <w:sz w:val="22"/>
          <w:szCs w:val="22"/>
          <w:vertAlign w:val="superscript"/>
          <w:lang w:val="es-ES_tradnl" w:eastAsia="en-US"/>
        </w:rPr>
        <w:footnoteReference w:id="7"/>
      </w:r>
      <w:r w:rsidRPr="00840085">
        <w:rPr>
          <w:rFonts w:ascii="Arial" w:eastAsia="Calibri" w:hAnsi="Arial" w:cs="Arial"/>
          <w:bCs/>
          <w:sz w:val="22"/>
          <w:szCs w:val="22"/>
          <w:lang w:val="es-ES_tradnl" w:eastAsia="en-US"/>
        </w:rPr>
        <w:t>.</w:t>
      </w:r>
    </w:p>
    <w:p w14:paraId="4497751C" w14:textId="77777777" w:rsidR="00114AAC" w:rsidRPr="00840085" w:rsidRDefault="00114AAC" w:rsidP="00114AAC">
      <w:pPr>
        <w:tabs>
          <w:tab w:val="left" w:pos="709"/>
        </w:tabs>
        <w:spacing w:after="120" w:line="276" w:lineRule="auto"/>
        <w:jc w:val="both"/>
        <w:rPr>
          <w:rFonts w:ascii="Arial" w:eastAsia="Calibri" w:hAnsi="Arial" w:cs="Arial"/>
          <w:bCs/>
          <w:sz w:val="22"/>
          <w:szCs w:val="22"/>
          <w:lang w:val="es-ES_tradnl" w:eastAsia="en-US"/>
        </w:rPr>
      </w:pPr>
      <w:r w:rsidRPr="00840085">
        <w:rPr>
          <w:rFonts w:ascii="Arial" w:eastAsia="Calibri" w:hAnsi="Arial" w:cs="Arial"/>
          <w:bCs/>
          <w:sz w:val="22"/>
          <w:szCs w:val="22"/>
          <w:lang w:val="es-ES_tradnl" w:eastAsia="en-US"/>
        </w:rPr>
        <w:tab/>
        <w:t>Por ello, la ley impulsa medidas para: i) reducir cargas y trámites para los emprendedores del país, ii) 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840085">
        <w:rPr>
          <w:rFonts w:ascii="Arial" w:eastAsia="Calibri" w:hAnsi="Arial" w:cs="Arial"/>
          <w:bCs/>
          <w:sz w:val="22"/>
          <w:szCs w:val="22"/>
          <w:vertAlign w:val="superscript"/>
          <w:lang w:val="es-ES_tradnl" w:eastAsia="en-US"/>
        </w:rPr>
        <w:footnoteReference w:id="8"/>
      </w:r>
      <w:r w:rsidRPr="00840085">
        <w:rPr>
          <w:rFonts w:ascii="Arial" w:eastAsia="Calibri" w:hAnsi="Arial" w:cs="Arial"/>
          <w:bCs/>
          <w:sz w:val="22"/>
          <w:szCs w:val="22"/>
          <w:lang w:val="es-ES_tradnl" w:eastAsia="en-US"/>
        </w:rPr>
        <w:t>.</w:t>
      </w:r>
    </w:p>
    <w:p w14:paraId="01749914" w14:textId="77777777" w:rsidR="00114AAC" w:rsidRPr="00840085" w:rsidRDefault="00114AAC" w:rsidP="00114AAC">
      <w:pPr>
        <w:spacing w:line="276" w:lineRule="auto"/>
        <w:ind w:firstLine="709"/>
        <w:jc w:val="both"/>
        <w:rPr>
          <w:rFonts w:ascii="Arial" w:eastAsia="Calibri" w:hAnsi="Arial" w:cs="Arial"/>
          <w:sz w:val="22"/>
          <w:szCs w:val="22"/>
          <w:lang w:val="es-ES_tradnl" w:eastAsia="en-US"/>
        </w:rPr>
      </w:pPr>
      <w:r w:rsidRPr="00840085">
        <w:rPr>
          <w:rFonts w:ascii="Arial" w:eastAsia="Calibri" w:hAnsi="Arial" w:cs="Arial"/>
          <w:sz w:val="22"/>
          <w:szCs w:val="22"/>
          <w:lang w:val="es-ES_tradnl" w:eastAsia="en-US"/>
        </w:rPr>
        <w:t>Además,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 en el procedimiento de mínima cuantía, ii) criterios diferenciales para Mipyme en el sistema de compras públicas, iii) criterios diferenciales para emprendimientos y empresas de mujeres en el sistema de compras públicas, iv) promoción del acceso de las Mipyme al mercado de compras públicas, v) promoción del desarrollo en la contratación pública, vi) un nuevo régimen de factores de desempate y vi) un llamado a las entidades estatales para que promuevan compras públicas en el marco de la tecnología y la innovación.</w:t>
      </w:r>
    </w:p>
    <w:p w14:paraId="712148F0" w14:textId="77777777" w:rsidR="00114AAC" w:rsidRPr="00840085" w:rsidRDefault="00114AAC" w:rsidP="00114AAC">
      <w:pPr>
        <w:tabs>
          <w:tab w:val="left" w:pos="709"/>
        </w:tabs>
        <w:spacing w:line="276" w:lineRule="auto"/>
        <w:contextualSpacing/>
        <w:jc w:val="both"/>
        <w:rPr>
          <w:rFonts w:ascii="Arial" w:eastAsia="Calibri" w:hAnsi="Arial" w:cs="Arial"/>
          <w:sz w:val="22"/>
          <w:szCs w:val="22"/>
          <w:lang w:val="es-MX"/>
        </w:rPr>
      </w:pPr>
    </w:p>
    <w:bookmarkEnd w:id="2"/>
    <w:p w14:paraId="24F813A1" w14:textId="77777777" w:rsidR="00114AAC" w:rsidRPr="00840085" w:rsidRDefault="00114AAC" w:rsidP="00114AAC">
      <w:pPr>
        <w:spacing w:line="276" w:lineRule="auto"/>
        <w:contextualSpacing/>
        <w:jc w:val="both"/>
        <w:rPr>
          <w:rFonts w:ascii="Arial" w:eastAsia="Calibri" w:hAnsi="Arial" w:cs="Arial"/>
          <w:b/>
          <w:bCs/>
          <w:sz w:val="22"/>
          <w:lang w:val="es-ES_tradnl"/>
        </w:rPr>
      </w:pPr>
      <w:r w:rsidRPr="00840085">
        <w:rPr>
          <w:rFonts w:ascii="Arial" w:eastAsia="Calibri" w:hAnsi="Arial" w:cs="Arial"/>
          <w:b/>
          <w:bCs/>
          <w:sz w:val="22"/>
          <w:lang w:val="es-ES_tradnl"/>
        </w:rPr>
        <w:t xml:space="preserve">2.2. Regulación de las convocatorias limitadas a Mipymes en el ámbito territorial en el artículo 34 de la Ley 2069 de 2020 y el Decreto 1860 de 2021 </w:t>
      </w:r>
    </w:p>
    <w:p w14:paraId="5C15D0D7" w14:textId="77777777" w:rsidR="00114AAC" w:rsidRPr="00840085" w:rsidRDefault="00114AAC" w:rsidP="00114AAC">
      <w:pPr>
        <w:spacing w:line="276" w:lineRule="auto"/>
        <w:contextualSpacing/>
        <w:jc w:val="both"/>
        <w:rPr>
          <w:rFonts w:ascii="Arial" w:eastAsia="Calibri" w:hAnsi="Arial" w:cs="Arial"/>
          <w:sz w:val="22"/>
          <w:lang w:val="es-ES_tradnl"/>
        </w:rPr>
      </w:pPr>
    </w:p>
    <w:p w14:paraId="4BF9C1A4" w14:textId="77777777" w:rsidR="00114AAC" w:rsidRPr="00840085" w:rsidRDefault="00114AAC" w:rsidP="00114AAC">
      <w:pPr>
        <w:spacing w:after="120" w:line="276" w:lineRule="auto"/>
        <w:jc w:val="both"/>
        <w:rPr>
          <w:rFonts w:ascii="Arial" w:eastAsia="Calibri" w:hAnsi="Arial" w:cs="Arial"/>
          <w:sz w:val="22"/>
          <w:lang w:val="es-ES_tradnl"/>
        </w:rPr>
      </w:pPr>
      <w:r w:rsidRPr="00840085">
        <w:rPr>
          <w:rFonts w:ascii="Arial" w:eastAsia="Calibri" w:hAnsi="Arial" w:cs="Arial"/>
          <w:sz w:val="22"/>
          <w:lang w:val="es-ES_tradnl"/>
        </w:rPr>
        <w:t>El artículo 34 de la Ley 2069 de 2020 establece nuevas reglas sobre la promoción al desarrollo en la contratación estatal. Concretamente la citada disposición modifica el contenido del artículo 12 de la Ley 1150 de 2007</w:t>
      </w:r>
      <w:r w:rsidRPr="00840085">
        <w:rPr>
          <w:rFonts w:ascii="Arial" w:eastAsia="Calibri" w:hAnsi="Arial" w:cs="Arial"/>
          <w:sz w:val="22"/>
          <w:vertAlign w:val="superscript"/>
          <w:lang w:val="es-ES_tradnl"/>
        </w:rPr>
        <w:footnoteReference w:id="9"/>
      </w:r>
      <w:r w:rsidRPr="00840085">
        <w:rPr>
          <w:rFonts w:ascii="Arial" w:eastAsia="Calibri" w:hAnsi="Arial" w:cs="Arial"/>
          <w:sz w:val="22"/>
          <w:lang w:val="es-ES_tradnl"/>
        </w:rPr>
        <w:t>, prescribiendo lo que se indica a continuación:</w:t>
      </w:r>
    </w:p>
    <w:p w14:paraId="47867BE2" w14:textId="77777777" w:rsidR="00114AAC" w:rsidRPr="00840085" w:rsidRDefault="00114AAC" w:rsidP="00114AAC">
      <w:pPr>
        <w:spacing w:before="120" w:after="120" w:line="276" w:lineRule="auto"/>
        <w:ind w:firstLine="709"/>
        <w:jc w:val="both"/>
        <w:rPr>
          <w:rFonts w:ascii="Arial" w:eastAsia="Calibri" w:hAnsi="Arial" w:cs="Arial"/>
          <w:sz w:val="22"/>
          <w:lang w:val="es-ES_tradnl"/>
        </w:rPr>
      </w:pPr>
      <w:r w:rsidRPr="00840085">
        <w:rPr>
          <w:rFonts w:ascii="Arial" w:eastAsia="Calibri" w:hAnsi="Arial" w:cs="Arial"/>
          <w:sz w:val="22"/>
          <w:lang w:val="es-ES_tradnl"/>
        </w:rPr>
        <w:t>i) Encomienda al Gobierno Nacional el deber de</w:t>
      </w:r>
      <w:r w:rsidRPr="00840085" w:rsidDel="004B12C3">
        <w:rPr>
          <w:rFonts w:ascii="Arial" w:eastAsia="Calibri" w:hAnsi="Arial" w:cs="Arial"/>
          <w:sz w:val="22"/>
          <w:lang w:val="es-ES_tradnl"/>
        </w:rPr>
        <w:t xml:space="preserve"> </w:t>
      </w:r>
      <w:r w:rsidRPr="00840085">
        <w:rPr>
          <w:rFonts w:ascii="Arial" w:eastAsia="Calibri" w:hAnsi="Arial" w:cs="Arial"/>
          <w:sz w:val="22"/>
          <w:lang w:val="es-ES_tradnl"/>
        </w:rPr>
        <w:t xml:space="preserve">definir las condiciones y los montos para que las entidades estatales –cualquiera sea su régimen contractual–, los patrimonios autónomos constituidos por aquellas y los particulares que administren recursos públicos efectúen convocatorias limitadas a Mipymes en los procesos de contratación. Y agrega que estas convocatorias se pueden realizar también en el ámbito municipal o departamental en el que se ejecute el contrato. </w:t>
      </w:r>
    </w:p>
    <w:p w14:paraId="0D4B55A3" w14:textId="77777777" w:rsidR="00114AAC" w:rsidRPr="00840085" w:rsidRDefault="00114AAC" w:rsidP="00114AAC">
      <w:pPr>
        <w:spacing w:before="120" w:after="120" w:line="276" w:lineRule="auto"/>
        <w:ind w:firstLine="709"/>
        <w:jc w:val="both"/>
        <w:rPr>
          <w:rFonts w:ascii="Arial" w:eastAsia="Calibri" w:hAnsi="Arial" w:cs="Arial"/>
          <w:sz w:val="22"/>
          <w:lang w:val="es-ES_tradnl"/>
        </w:rPr>
      </w:pPr>
      <w:r w:rsidRPr="00840085">
        <w:rPr>
          <w:rFonts w:ascii="Arial" w:eastAsia="Calibri" w:hAnsi="Arial" w:cs="Arial"/>
          <w:sz w:val="22"/>
          <w:lang w:val="es-ES_tradnl"/>
        </w:rPr>
        <w:t>ii) Indica que dichas convocatorias se deben efectuar siempre y cuando, antes del acto administrativo de apertura del proceso de selección, por lo menos dos (2) Mipymes hayan manifestado su interés.</w:t>
      </w:r>
    </w:p>
    <w:p w14:paraId="1E20FB19" w14:textId="77777777" w:rsidR="00114AAC" w:rsidRPr="00840085" w:rsidRDefault="00114AAC" w:rsidP="00114AAC">
      <w:pPr>
        <w:spacing w:before="120" w:after="120" w:line="276" w:lineRule="auto"/>
        <w:ind w:firstLine="709"/>
        <w:jc w:val="both"/>
        <w:rPr>
          <w:rFonts w:ascii="Arial" w:eastAsia="Calibri" w:hAnsi="Arial" w:cs="Arial"/>
          <w:sz w:val="22"/>
          <w:lang w:val="es-ES_tradnl"/>
        </w:rPr>
      </w:pPr>
      <w:r w:rsidRPr="00840085">
        <w:rPr>
          <w:rFonts w:ascii="Arial" w:eastAsia="Calibri" w:hAnsi="Arial" w:cs="Arial"/>
          <w:sz w:val="22"/>
          <w:lang w:val="es-ES_tradnl"/>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724DC05A" w14:textId="77777777" w:rsidR="00114AAC" w:rsidRPr="00840085" w:rsidRDefault="00114AAC" w:rsidP="00114AAC">
      <w:pPr>
        <w:spacing w:before="120" w:after="120" w:line="276" w:lineRule="auto"/>
        <w:ind w:firstLine="709"/>
        <w:jc w:val="both"/>
        <w:rPr>
          <w:rFonts w:ascii="Arial" w:eastAsia="Calibri" w:hAnsi="Arial" w:cs="Arial"/>
          <w:sz w:val="22"/>
          <w:lang w:val="es-ES_tradnl"/>
        </w:rPr>
      </w:pPr>
      <w:r w:rsidRPr="00840085">
        <w:rPr>
          <w:rFonts w:ascii="Arial" w:eastAsia="Calibri" w:hAnsi="Arial" w:cs="Arial"/>
          <w:sz w:val="22"/>
          <w:lang w:val="es-ES_tradnl"/>
        </w:rPr>
        <w:t>iv) Establece que, en el reglamento, el Gobierno Nacional podría establecer condiciones preferenciales para los bienes y servicios producidos por las Mipymes, sin contrariar los compromisos internacionales vigentes.</w:t>
      </w:r>
    </w:p>
    <w:p w14:paraId="2BD92778" w14:textId="77777777" w:rsidR="00114AAC" w:rsidRPr="00840085" w:rsidRDefault="00114AAC" w:rsidP="00114AAC">
      <w:pPr>
        <w:spacing w:before="120" w:after="120" w:line="276" w:lineRule="auto"/>
        <w:ind w:firstLine="709"/>
        <w:jc w:val="both"/>
        <w:rPr>
          <w:rFonts w:ascii="Arial" w:eastAsia="Calibri" w:hAnsi="Arial" w:cs="Arial"/>
          <w:sz w:val="22"/>
          <w:lang w:val="es-ES_tradnl"/>
        </w:rPr>
      </w:pPr>
      <w:r w:rsidRPr="00840085">
        <w:rPr>
          <w:rFonts w:ascii="Arial" w:eastAsia="Calibri" w:hAnsi="Arial" w:cs="Arial"/>
          <w:sz w:val="22"/>
          <w:lang w:val="es-ES_tradnl"/>
        </w:rPr>
        <w:t>v)  Aclara que tanto las convocatorias limitadas a Mipymes, como las condiciones preferenciales a favor de los bienes y servicios producidos por estas, no es óbice para que deban cumplir las exigencias técnicas y económicas del proceso de selección.</w:t>
      </w:r>
    </w:p>
    <w:p w14:paraId="44CBFA4A" w14:textId="77777777" w:rsidR="00114AAC" w:rsidRPr="00840085" w:rsidRDefault="00114AAC" w:rsidP="00114AAC">
      <w:pPr>
        <w:spacing w:before="120" w:after="120" w:line="276" w:lineRule="auto"/>
        <w:ind w:firstLine="709"/>
        <w:jc w:val="both"/>
        <w:rPr>
          <w:rFonts w:ascii="Arial" w:eastAsia="Calibri" w:hAnsi="Arial" w:cs="Arial"/>
          <w:sz w:val="22"/>
          <w:lang w:val="es-ES_tradnl"/>
        </w:rPr>
      </w:pPr>
      <w:r w:rsidRPr="00840085">
        <w:rPr>
          <w:rFonts w:ascii="Arial" w:eastAsia="Calibri" w:hAnsi="Arial" w:cs="Arial"/>
          <w:sz w:val="22"/>
          <w:lang w:val="es-ES_tradnl"/>
        </w:rPr>
        <w:t>vi) Señala que el reglamento a cargo del Gobierno Nacional, además de lo referente a las convocatorias limitadas a Mipymes, deberá contener disposiciones que fomenten en la ejecución de los contratos estatales la provisión de bienes y servicios por parte de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604DBE99" w14:textId="77777777" w:rsidR="00114AAC" w:rsidRPr="00840085" w:rsidRDefault="00114AAC" w:rsidP="00114AAC">
      <w:pPr>
        <w:spacing w:before="120" w:after="120" w:line="276" w:lineRule="auto"/>
        <w:ind w:firstLine="709"/>
        <w:jc w:val="both"/>
        <w:rPr>
          <w:rFonts w:ascii="Arial" w:eastAsia="Calibri" w:hAnsi="Arial" w:cs="Arial"/>
          <w:sz w:val="22"/>
          <w:lang w:val="es-ES_tradnl"/>
        </w:rPr>
      </w:pPr>
      <w:r w:rsidRPr="00840085">
        <w:rPr>
          <w:rFonts w:ascii="Arial" w:eastAsia="Calibri" w:hAnsi="Arial" w:cs="Arial"/>
          <w:sz w:val="22"/>
          <w:lang w:val="es-ES_tradnl"/>
        </w:rPr>
        <w:t>vii) Precisa que la posibilidad de participar en convocatorias limitadas a Mipymes se encuentra condicionada a que estas acrediten como mínimo un (1) año de existencia, con el certificado expedido por la cámara de comercio respectiva o por la autoridad que sea competente para ello.</w:t>
      </w:r>
    </w:p>
    <w:p w14:paraId="2195EBFE" w14:textId="77777777" w:rsidR="00114AAC" w:rsidRPr="00840085" w:rsidRDefault="00114AAC" w:rsidP="00114AAC">
      <w:pPr>
        <w:spacing w:before="120" w:after="120" w:line="276" w:lineRule="auto"/>
        <w:ind w:firstLine="709"/>
        <w:jc w:val="both"/>
        <w:rPr>
          <w:rFonts w:ascii="Arial" w:eastAsia="Calibri" w:hAnsi="Arial" w:cs="Arial"/>
          <w:sz w:val="22"/>
          <w:lang w:val="es-ES_tradnl"/>
        </w:rPr>
      </w:pPr>
      <w:r w:rsidRPr="00840085">
        <w:rPr>
          <w:rFonts w:ascii="Arial" w:eastAsia="Calibri" w:hAnsi="Arial" w:cs="Arial"/>
          <w:sz w:val="22"/>
          <w:lang w:val="es-ES_tradnl"/>
        </w:rPr>
        <w:t>viii)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0F8B4525" w14:textId="77777777" w:rsidR="00114AAC" w:rsidRPr="00840085" w:rsidRDefault="00114AAC" w:rsidP="00114AAC">
      <w:pPr>
        <w:spacing w:before="120" w:after="120" w:line="276" w:lineRule="auto"/>
        <w:ind w:firstLine="709"/>
        <w:jc w:val="both"/>
        <w:rPr>
          <w:rFonts w:ascii="Arial" w:eastAsia="Calibri" w:hAnsi="Arial" w:cs="Arial"/>
          <w:sz w:val="22"/>
          <w:lang w:val="es-ES_tradnl"/>
        </w:rPr>
      </w:pPr>
      <w:r w:rsidRPr="00840085">
        <w:rPr>
          <w:rFonts w:ascii="Arial" w:eastAsia="Calibri" w:hAnsi="Arial" w:cs="Arial"/>
          <w:sz w:val="22"/>
          <w:szCs w:val="22"/>
          <w:lang w:val="es-ES_tradnl"/>
        </w:rPr>
        <w:t>A partir de lo anterior, resulta importante precisar que el artículo 34 de la Ley 2069 de 2020 sustituyó íntegramente el contenido del artículo 12 de la Ley 1150 de 2007. En este sentido, frente a esta última norma se produjo el fenómeno de la subrogación</w:t>
      </w:r>
      <w:r w:rsidRPr="00840085">
        <w:rPr>
          <w:rStyle w:val="Refdenotaalpie"/>
          <w:rFonts w:ascii="Arial" w:eastAsia="Calibri" w:hAnsi="Arial" w:cs="Arial"/>
          <w:sz w:val="22"/>
          <w:szCs w:val="22"/>
          <w:lang w:val="es-ES_tradnl"/>
        </w:rPr>
        <w:footnoteReference w:id="10"/>
      </w:r>
      <w:r w:rsidRPr="00840085">
        <w:rPr>
          <w:rFonts w:ascii="Arial" w:eastAsia="Calibri" w:hAnsi="Arial" w:cs="Arial"/>
          <w:sz w:val="22"/>
          <w:szCs w:val="22"/>
          <w:lang w:val="es-ES_tradnl"/>
        </w:rPr>
        <w:t>.</w:t>
      </w:r>
    </w:p>
    <w:p w14:paraId="6CE8560F" w14:textId="77777777" w:rsidR="00114AAC" w:rsidRPr="00840085" w:rsidRDefault="00114AAC" w:rsidP="00114AAC">
      <w:pPr>
        <w:spacing w:before="120" w:line="276" w:lineRule="auto"/>
        <w:ind w:firstLine="709"/>
        <w:jc w:val="both"/>
        <w:rPr>
          <w:rFonts w:ascii="Arial" w:eastAsia="Calibri" w:hAnsi="Arial" w:cs="Arial"/>
          <w:sz w:val="22"/>
          <w:lang w:val="es-ES_tradnl"/>
        </w:rPr>
      </w:pPr>
      <w:r w:rsidRPr="00840085">
        <w:rPr>
          <w:rFonts w:ascii="Arial" w:eastAsia="Calibri" w:hAnsi="Arial" w:cs="Arial"/>
          <w:sz w:val="22"/>
          <w:lang w:val="es-ES_tradnl"/>
        </w:rPr>
        <w:t xml:space="preserve">Luego de exponer las reglas incluidas en la nueva regulación de la promoción del desarrollo en la contratación estatal, previstas en el artículo 34 de la Ley 2069 de 2020, y habiendo aclarado que dicha norma modificó el artículo 12 de la Ley 1150 de 2007, conviene preguntarse qué sucedió con la vigencia del artículo 2.2.1.2.4.2.2. original del Decreto 1082 de 2015, que, hasta la expedición de la Ley 2069 de 2020, regía las convocatorias limitadas a Mipymes. En opinión de esta Agencia, dicho artículo del Decreto reglamentario perdió vigencia, porque su contenido era contrario al del artículo 34 de la Ley 2069 de 2020. En tal sentido, operó la pérdida de fuerza ejecutoria, de conformidad con el numeral 2 del artículo 91 de la Ley 1437 de 2011, que establece que los actos administrativos –categoría que, como es sabido, incluye los decretos reglamentarios– dejan de ser obligatorios o decaen «Cuando desaparezcan sus fundamentos de hecho o de derecho». </w:t>
      </w:r>
    </w:p>
    <w:p w14:paraId="283A7171" w14:textId="77777777" w:rsidR="00114AAC" w:rsidRPr="00840085" w:rsidRDefault="00114AAC" w:rsidP="00114AAC">
      <w:pPr>
        <w:spacing w:before="120" w:line="276" w:lineRule="auto"/>
        <w:ind w:firstLine="709"/>
        <w:jc w:val="both"/>
        <w:rPr>
          <w:rFonts w:ascii="Arial" w:eastAsia="Calibri" w:hAnsi="Arial" w:cs="Arial"/>
          <w:sz w:val="22"/>
          <w:lang w:val="es-ES_tradnl"/>
        </w:rPr>
      </w:pPr>
      <w:r w:rsidRPr="00840085">
        <w:rPr>
          <w:rFonts w:ascii="Arial" w:eastAsia="Calibri" w:hAnsi="Arial" w:cs="Arial"/>
          <w:sz w:val="22"/>
          <w:lang w:val="es-ES_tradnl"/>
        </w:rPr>
        <w:t>Lo anterior quedó reafirmado con la expedición del Decreto 1860 de 24 de diciembre de 2021, reglamento que modificó, entre otros aspectos, la Subsección 5 de la Sección 1 del Capítulo 2 del Título 1 de la Parte 2 del Libro 2 y los artículos 2.2.1.2.4.2.2. y 2.2.1.2.4.2.3. y siguientes del Decreto 1082 de 2015, Único Reglamentario del Sector Administrativo de Planeación Nacional. Estas modificaciones, de acuerdo con el artículo 8 del Decreto 1860 de 2021 «aplicarán a los procedimientos de selección cuya invitación, aviso de convocatoria o documento equivalente se publique a los tres (3) meses contados a partir de su expedición», esto es, a partir del 24 de marzo de 2022.</w:t>
      </w:r>
    </w:p>
    <w:p w14:paraId="651EB66B" w14:textId="77777777" w:rsidR="00114AAC" w:rsidRPr="00840085" w:rsidRDefault="00114AAC" w:rsidP="00114AAC">
      <w:pPr>
        <w:spacing w:before="120" w:line="276" w:lineRule="auto"/>
        <w:ind w:firstLine="709"/>
        <w:jc w:val="both"/>
        <w:rPr>
          <w:rFonts w:ascii="Arial" w:eastAsia="Calibri" w:hAnsi="Arial" w:cs="Arial"/>
          <w:sz w:val="22"/>
          <w:lang w:val="es-ES_tradnl"/>
        </w:rPr>
      </w:pPr>
      <w:r w:rsidRPr="00840085">
        <w:rPr>
          <w:rFonts w:ascii="Arial" w:eastAsia="Calibri" w:hAnsi="Arial" w:cs="Arial"/>
          <w:sz w:val="22"/>
          <w:lang w:val="es-ES_tradnl"/>
        </w:rPr>
        <w:t>Por otro lado, en cuanto a lo dispuesto por el antiguo artículo 2.2.1.2.4.2.3 del Decreto 1082 de 2015</w:t>
      </w:r>
      <w:r w:rsidRPr="00840085">
        <w:rPr>
          <w:rFonts w:ascii="Arial" w:eastAsia="Calibri" w:hAnsi="Arial" w:cs="Arial"/>
          <w:sz w:val="22"/>
          <w:vertAlign w:val="superscript"/>
          <w:lang w:val="es-ES_tradnl"/>
        </w:rPr>
        <w:footnoteReference w:id="11"/>
      </w:r>
      <w:r w:rsidRPr="00840085">
        <w:rPr>
          <w:rFonts w:ascii="Arial" w:eastAsia="Calibri" w:hAnsi="Arial" w:cs="Arial"/>
          <w:sz w:val="22"/>
          <w:lang w:val="es-ES_tradnl"/>
        </w:rPr>
        <w:t xml:space="preserve">, que regulaba la posibilidad de limitar convocatorias a Mipymes domiciliadas en un determinado ámbito territorial, se estima que este, al igual que el artículo 2.2.1.2.4.2.2, también se afectó por el fenómeno del decaimiento y actualmente quedó sustituido por lo dispuesto en el Decreto 1860 de 2021. </w:t>
      </w:r>
    </w:p>
    <w:p w14:paraId="664913D1" w14:textId="77777777" w:rsidR="00114AAC" w:rsidRPr="00840085" w:rsidRDefault="00114AAC" w:rsidP="00114AAC">
      <w:pPr>
        <w:spacing w:before="120" w:line="276" w:lineRule="auto"/>
        <w:ind w:firstLine="709"/>
        <w:jc w:val="both"/>
        <w:rPr>
          <w:rFonts w:ascii="Arial" w:eastAsia="Calibri" w:hAnsi="Arial" w:cs="Arial"/>
          <w:sz w:val="22"/>
        </w:rPr>
      </w:pPr>
      <w:r w:rsidRPr="00840085">
        <w:rPr>
          <w:rFonts w:ascii="Arial" w:eastAsia="Calibri" w:hAnsi="Arial" w:cs="Arial"/>
          <w:sz w:val="22"/>
          <w:lang w:val="es-ES_tradnl"/>
        </w:rPr>
        <w:t>Sin perjuicio de lo anterior, es necesario tener en cuenta que sobre las limitaciones territoriales para convocatorias de Mipymes a la luz del antiguo artículo 2.2.1.2.4.2.3 del Decreto 1082 de 2015, esta Agencia –</w:t>
      </w:r>
      <w:r w:rsidRPr="00840085">
        <w:rPr>
          <w:rFonts w:ascii="Arial" w:hAnsi="Arial" w:cs="Arial"/>
          <w:sz w:val="22"/>
        </w:rPr>
        <w:t>en los conceptos del 29 de enero de 2018 −radicado No. 4201714000006924−,</w:t>
      </w:r>
      <w:r w:rsidRPr="00840085">
        <w:rPr>
          <w:rFonts w:ascii="Arial" w:eastAsia="Calibri" w:hAnsi="Arial" w:cs="Arial"/>
          <w:sz w:val="22"/>
        </w:rPr>
        <w:t xml:space="preserve"> C – 045 del 17 de marzo de 2020, C – 162 del 16 de abril de 2020, C – 214 del 21 de abril de 2020, C – 258 del 17 de abril de 2020, C – 364 del 4 de junio de 2020, C – 413 del 30 de junio de 2020</w:t>
      </w:r>
      <w:r w:rsidRPr="00840085">
        <w:rPr>
          <w:rFonts w:ascii="Arial" w:hAnsi="Arial" w:cs="Arial"/>
          <w:sz w:val="22"/>
        </w:rPr>
        <w:t xml:space="preserve">, </w:t>
      </w:r>
      <w:r w:rsidRPr="00840085">
        <w:rPr>
          <w:rFonts w:ascii="Arial" w:eastAsia="Calibri" w:hAnsi="Arial" w:cs="Arial"/>
          <w:sz w:val="22"/>
        </w:rPr>
        <w:t>C – 492 del 24 de julio de 2020, C – 523 del 11 de agosto de 2020, C – 610 del 14 de septiembre de 2020 y C-700 de 1 de diciembre de 2020–</w:t>
      </w:r>
      <w:r w:rsidRPr="00840085">
        <w:rPr>
          <w:rFonts w:ascii="Arial" w:eastAsia="Calibri" w:hAnsi="Arial" w:cs="Arial"/>
          <w:sz w:val="22"/>
          <w:lang w:val="es-ES_tradnl"/>
        </w:rPr>
        <w:t xml:space="preserve"> había sostenido que, para que se permitiera la participación de una Mipyme en uno de estos procesos, era necesario que esta demostrara estar domiciliada en el municipio o departamento en el que se ejecutaría el contrato. La tesis se expuso en los siguientes términos</w:t>
      </w:r>
      <w:r w:rsidRPr="00840085">
        <w:rPr>
          <w:rFonts w:ascii="Arial" w:eastAsia="Calibri" w:hAnsi="Arial" w:cs="Arial"/>
          <w:sz w:val="22"/>
        </w:rPr>
        <w:t xml:space="preserve">: </w:t>
      </w:r>
    </w:p>
    <w:p w14:paraId="1C8A16D0" w14:textId="77777777" w:rsidR="00114AAC" w:rsidRPr="00840085" w:rsidRDefault="00114AAC" w:rsidP="00114AAC">
      <w:pPr>
        <w:ind w:firstLine="709"/>
        <w:jc w:val="both"/>
        <w:rPr>
          <w:rFonts w:ascii="Arial" w:eastAsia="Calibri" w:hAnsi="Arial" w:cs="Arial"/>
          <w:sz w:val="22"/>
        </w:rPr>
      </w:pPr>
    </w:p>
    <w:p w14:paraId="7899F3E3" w14:textId="77777777" w:rsidR="00114AAC" w:rsidRPr="00840085" w:rsidRDefault="00114AAC" w:rsidP="00114AAC">
      <w:pPr>
        <w:ind w:left="709" w:right="709"/>
        <w:contextualSpacing/>
        <w:jc w:val="both"/>
        <w:rPr>
          <w:rFonts w:ascii="Arial" w:hAnsi="Arial" w:cs="Arial"/>
          <w:sz w:val="21"/>
          <w:szCs w:val="21"/>
        </w:rPr>
      </w:pPr>
      <w:r w:rsidRPr="00840085">
        <w:rPr>
          <w:rFonts w:ascii="Arial" w:hAnsi="Arial" w:cs="Arial"/>
          <w:sz w:val="21"/>
          <w:szCs w:val="21"/>
        </w:rPr>
        <w:t xml:space="preserve">Es de resaltar que </w:t>
      </w:r>
      <w:r w:rsidRPr="00840085">
        <w:rPr>
          <w:rFonts w:ascii="Arial" w:hAnsi="Arial" w:cs="Arial"/>
          <w:i/>
          <w:iCs/>
          <w:sz w:val="21"/>
          <w:szCs w:val="21"/>
        </w:rPr>
        <w:t>estas normas se refieren a las Mipymes nacionales genéricamente y, particularmente, a las Mipymes nacionales «domiciliadas en los departamentos o municipios en donde se va a ejecutar el contrato».</w:t>
      </w:r>
      <w:r w:rsidRPr="00840085">
        <w:rPr>
          <w:rFonts w:ascii="Arial" w:hAnsi="Arial" w:cs="Arial"/>
          <w:sz w:val="21"/>
          <w:szCs w:val="21"/>
        </w:rPr>
        <w:t xml:space="preserve">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«domicilio» en un municipio o departamento puedan beneficiarse en la ejecución de un contrato dentro de la entidad territorial en la que tienen su «domicilio».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452E52DC" w14:textId="77777777" w:rsidR="00114AAC" w:rsidRPr="00840085" w:rsidRDefault="00114AAC" w:rsidP="00114AAC">
      <w:pPr>
        <w:ind w:left="709" w:right="709"/>
        <w:contextualSpacing/>
        <w:jc w:val="both"/>
        <w:rPr>
          <w:rFonts w:ascii="Arial" w:hAnsi="Arial" w:cs="Arial"/>
          <w:sz w:val="21"/>
          <w:szCs w:val="21"/>
        </w:rPr>
      </w:pPr>
    </w:p>
    <w:p w14:paraId="1D2DA474" w14:textId="77777777" w:rsidR="00114AAC" w:rsidRPr="00840085" w:rsidRDefault="00114AAC" w:rsidP="00114AAC">
      <w:pPr>
        <w:ind w:left="709" w:right="709"/>
        <w:contextualSpacing/>
        <w:jc w:val="both"/>
        <w:rPr>
          <w:rFonts w:ascii="Arial" w:hAnsi="Arial" w:cs="Arial"/>
          <w:sz w:val="21"/>
          <w:szCs w:val="21"/>
        </w:rPr>
      </w:pPr>
      <w:r w:rsidRPr="00840085">
        <w:rPr>
          <w:rFonts w:ascii="Arial" w:hAnsi="Arial" w:cs="Arial"/>
          <w:sz w:val="21"/>
          <w:szCs w:val="21"/>
        </w:rPr>
        <w:t xml:space="preserve">Igualmente, se debe precisar que </w:t>
      </w:r>
      <w:r w:rsidRPr="00840085">
        <w:rPr>
          <w:rFonts w:ascii="Arial" w:hAnsi="Arial" w:cs="Arial"/>
          <w:i/>
          <w:iCs/>
          <w:sz w:val="21"/>
          <w:szCs w:val="21"/>
        </w:rPr>
        <w:t>el artículo 2.2.1.2.4.2.3. del Decreto 1082 de 2015 se refiere a las «Mipyme nacionales domiciliadas en los departamentos o municipios en donde se va a ejecutar el contrato» «cursivas propias», esto es, al «domicilio» y no a las «sucursales». Esta distinción es importante porque el beneficio normativo únicamente aplica en el lugar en el que la Mipyme tiene su «domicilio», y no en donde tiene sucursales</w:t>
      </w:r>
      <w:r w:rsidRPr="00840085">
        <w:rPr>
          <w:rFonts w:ascii="Arial" w:hAnsi="Arial" w:cs="Arial"/>
          <w:i/>
          <w:iCs/>
          <w:sz w:val="21"/>
          <w:szCs w:val="21"/>
          <w:vertAlign w:val="superscript"/>
        </w:rPr>
        <w:footnoteReference w:id="12"/>
      </w:r>
      <w:r w:rsidRPr="00840085">
        <w:rPr>
          <w:rFonts w:ascii="Arial" w:hAnsi="Arial" w:cs="Arial"/>
          <w:sz w:val="21"/>
          <w:szCs w:val="21"/>
        </w:rPr>
        <w:t>. (Énfasis fuera de texto)</w:t>
      </w:r>
    </w:p>
    <w:p w14:paraId="7B0ACA82" w14:textId="77777777" w:rsidR="00114AAC" w:rsidRPr="00840085" w:rsidRDefault="00114AAC" w:rsidP="00114AAC">
      <w:pPr>
        <w:ind w:left="709" w:right="709"/>
        <w:jc w:val="both"/>
        <w:rPr>
          <w:rFonts w:ascii="Arial" w:hAnsi="Arial" w:cs="Arial"/>
          <w:sz w:val="22"/>
        </w:rPr>
      </w:pPr>
    </w:p>
    <w:p w14:paraId="6807CB4B" w14:textId="77777777" w:rsidR="00114AAC" w:rsidRPr="00840085" w:rsidRDefault="00114AAC" w:rsidP="00114AAC">
      <w:pPr>
        <w:spacing w:after="120" w:line="276" w:lineRule="auto"/>
        <w:ind w:firstLine="709"/>
        <w:jc w:val="both"/>
        <w:rPr>
          <w:rFonts w:ascii="Arial" w:eastAsia="Calibri" w:hAnsi="Arial" w:cs="Arial"/>
          <w:sz w:val="22"/>
          <w:lang w:val="es-ES_tradnl"/>
        </w:rPr>
      </w:pPr>
      <w:r w:rsidRPr="00840085">
        <w:rPr>
          <w:rFonts w:ascii="Arial" w:hAnsi="Arial" w:cs="Arial"/>
          <w:sz w:val="22"/>
        </w:rPr>
        <w:t xml:space="preserve">Como se aprecia, la postura sostenida por esta Agencia en vigencia del artículo </w:t>
      </w:r>
      <w:r w:rsidRPr="00840085">
        <w:rPr>
          <w:rFonts w:ascii="Arial" w:eastAsia="Calibri" w:hAnsi="Arial" w:cs="Arial"/>
          <w:sz w:val="22"/>
          <w:lang w:val="es-ES_tradnl"/>
        </w:rPr>
        <w:t xml:space="preserve">2.2.1.2.4.2.3 original del Decreto 1082 de 2015 no contemplaba la posibilidad de que una Mipyme domiciliada en un departamento o municipio diferentes al lugar de ejecución del contrato, siempre que el proceso se hubiera limitado territorialmente a ciertas Mipymes, participara en un proceso de selección por el hecho de tener una sucursal en este, puesto que lo relevante es el domicilio de la Mipyme. </w:t>
      </w:r>
    </w:p>
    <w:p w14:paraId="0E0EF602" w14:textId="77777777" w:rsidR="00114AAC" w:rsidRPr="00840085" w:rsidRDefault="00114AAC" w:rsidP="00114AAC">
      <w:pPr>
        <w:spacing w:line="276" w:lineRule="auto"/>
        <w:ind w:firstLine="708"/>
        <w:jc w:val="both"/>
        <w:rPr>
          <w:rFonts w:ascii="Arial" w:eastAsia="Calibri" w:hAnsi="Arial" w:cs="Arial"/>
          <w:sz w:val="22"/>
          <w:lang w:val="es-ES_tradnl"/>
        </w:rPr>
      </w:pPr>
      <w:r w:rsidRPr="00840085">
        <w:rPr>
          <w:rFonts w:ascii="Arial" w:eastAsia="Calibri" w:hAnsi="Arial" w:cs="Arial"/>
          <w:sz w:val="22"/>
          <w:lang w:val="es-ES_tradnl"/>
        </w:rPr>
        <w:t xml:space="preserve">Ahora bien, el texto del actual artículo 2.2.1.2.4.2.3, modificado por el artículo 5 del Decreto 1860 de 2021, no cambia la tesis adoptada en conceptos de la Agencia Nacional de Contratación Pública - Colombia Compra Eficiente emitidos antes de la expedición de este reglamento. Lo anterior en la medida que, respecto del domicilio de las Mipymes en el departamento o municipio donde se ejecuta el contrato, la reglamentación no tuvo cambios. Así se desprende del texto de la nueva norma que es del siguiente tenor: </w:t>
      </w:r>
    </w:p>
    <w:p w14:paraId="6F006492" w14:textId="77777777" w:rsidR="00114AAC" w:rsidRPr="00840085" w:rsidRDefault="00114AAC" w:rsidP="00114AAC">
      <w:pPr>
        <w:ind w:right="709"/>
        <w:jc w:val="both"/>
        <w:rPr>
          <w:rFonts w:ascii="Arial" w:hAnsi="Arial" w:cs="Arial"/>
          <w:sz w:val="21"/>
          <w:szCs w:val="21"/>
        </w:rPr>
      </w:pPr>
    </w:p>
    <w:p w14:paraId="7D1F1791" w14:textId="77777777" w:rsidR="00114AAC" w:rsidRPr="00840085" w:rsidRDefault="00114AAC" w:rsidP="00114AAC">
      <w:pPr>
        <w:ind w:left="709" w:right="709"/>
        <w:contextualSpacing/>
        <w:jc w:val="both"/>
        <w:rPr>
          <w:rFonts w:ascii="Arial" w:hAnsi="Arial" w:cs="Arial"/>
          <w:sz w:val="21"/>
          <w:szCs w:val="21"/>
        </w:rPr>
      </w:pPr>
      <w:r w:rsidRPr="00840085">
        <w:rPr>
          <w:rFonts w:ascii="Arial" w:hAnsi="Arial" w:cs="Arial"/>
          <w:sz w:val="21"/>
          <w:szCs w:val="21"/>
        </w:rPr>
        <w:t>ARTÍCULO  5. Modificación de la Subsección 2 de la Sección 4 del Capítulo 2 del Título 1 de la Parte 2 del Libro 2 del Decreto 1082 de 2015. Modifíquense los artículos 2.2.1.2.4.2.2., 2.2.1.2.4.2.3. y 2.2.1.2.4.2.4. de la Subsección 2 de la Sección 4 del Capítulo 2 del Título 1 de la Parte 2 del Libro 2 del Decreto 1082 de 2015, los cuales quedarán así:</w:t>
      </w:r>
    </w:p>
    <w:p w14:paraId="2CD8107C" w14:textId="77777777" w:rsidR="00114AAC" w:rsidRPr="00840085" w:rsidRDefault="00114AAC" w:rsidP="00114AAC">
      <w:pPr>
        <w:ind w:left="709" w:right="709"/>
        <w:contextualSpacing/>
        <w:jc w:val="both"/>
        <w:rPr>
          <w:rFonts w:ascii="Arial" w:hAnsi="Arial" w:cs="Arial"/>
          <w:sz w:val="21"/>
          <w:szCs w:val="21"/>
        </w:rPr>
      </w:pPr>
    </w:p>
    <w:p w14:paraId="77FD33CB" w14:textId="77777777" w:rsidR="00114AAC" w:rsidRPr="00840085" w:rsidRDefault="00114AAC" w:rsidP="00114AAC">
      <w:pPr>
        <w:ind w:left="709" w:right="709"/>
        <w:contextualSpacing/>
        <w:jc w:val="both"/>
        <w:rPr>
          <w:rFonts w:ascii="Arial" w:hAnsi="Arial" w:cs="Arial"/>
          <w:sz w:val="21"/>
          <w:szCs w:val="21"/>
        </w:rPr>
      </w:pPr>
      <w:r w:rsidRPr="00840085">
        <w:rPr>
          <w:rFonts w:ascii="Arial" w:hAnsi="Arial" w:cs="Arial"/>
          <w:sz w:val="21"/>
          <w:szCs w:val="21"/>
        </w:rPr>
        <w:t>[…]</w:t>
      </w:r>
    </w:p>
    <w:p w14:paraId="47B8EF47" w14:textId="77777777" w:rsidR="00114AAC" w:rsidRPr="00840085" w:rsidRDefault="00114AAC" w:rsidP="00114AAC">
      <w:pPr>
        <w:ind w:left="709" w:right="709"/>
        <w:contextualSpacing/>
        <w:jc w:val="both"/>
        <w:rPr>
          <w:rFonts w:ascii="Arial" w:hAnsi="Arial" w:cs="Arial"/>
          <w:sz w:val="21"/>
          <w:szCs w:val="21"/>
        </w:rPr>
      </w:pPr>
    </w:p>
    <w:p w14:paraId="1CC04C70" w14:textId="77777777" w:rsidR="00114AAC" w:rsidRPr="00840085" w:rsidRDefault="00114AAC" w:rsidP="00114AAC">
      <w:pPr>
        <w:ind w:left="709" w:right="709"/>
        <w:contextualSpacing/>
        <w:jc w:val="both"/>
        <w:rPr>
          <w:rFonts w:ascii="Arial" w:eastAsia="Calibri" w:hAnsi="Arial" w:cs="Arial"/>
          <w:sz w:val="22"/>
          <w:lang w:val="es-ES_tradnl"/>
        </w:rPr>
      </w:pPr>
      <w:r w:rsidRPr="00840085">
        <w:rPr>
          <w:rFonts w:ascii="Arial" w:hAnsi="Arial" w:cs="Arial"/>
          <w:sz w:val="21"/>
          <w:szCs w:val="21"/>
        </w:rPr>
        <w:t xml:space="preserve">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Mipyme colombianas que tengan </w:t>
      </w:r>
      <w:r w:rsidRPr="00840085">
        <w:rPr>
          <w:rFonts w:ascii="Arial" w:hAnsi="Arial" w:cs="Arial"/>
          <w:i/>
          <w:iCs/>
          <w:sz w:val="21"/>
          <w:szCs w:val="21"/>
        </w:rPr>
        <w:t>domicilio</w:t>
      </w:r>
      <w:r w:rsidRPr="00840085">
        <w:rPr>
          <w:rFonts w:ascii="Arial" w:hAnsi="Arial" w:cs="Arial"/>
          <w:sz w:val="21"/>
          <w:szCs w:val="21"/>
        </w:rPr>
        <w:t xml:space="preserve"> en los departamentos o municipios en donde se va a ejecutar el contrato. Cada Mipyme deberá acreditar su domicilio con los documentos a los que se refiere el siguiente artículo.  (Énfasis fuera del texto).</w:t>
      </w:r>
    </w:p>
    <w:p w14:paraId="18412FC5" w14:textId="77777777" w:rsidR="00114AAC" w:rsidRPr="00840085" w:rsidRDefault="00114AAC" w:rsidP="00114AAC">
      <w:pPr>
        <w:ind w:left="709" w:right="709"/>
        <w:contextualSpacing/>
        <w:jc w:val="both"/>
        <w:rPr>
          <w:rFonts w:ascii="Arial" w:eastAsia="Calibri" w:hAnsi="Arial" w:cs="Arial"/>
          <w:sz w:val="22"/>
          <w:lang w:val="es-ES_tradnl"/>
        </w:rPr>
      </w:pPr>
    </w:p>
    <w:p w14:paraId="17D24C32" w14:textId="77777777" w:rsidR="00114AAC" w:rsidRPr="00840085" w:rsidRDefault="00114AAC" w:rsidP="00114AAC">
      <w:pPr>
        <w:spacing w:line="276" w:lineRule="auto"/>
        <w:ind w:firstLine="709"/>
        <w:jc w:val="both"/>
        <w:rPr>
          <w:rFonts w:ascii="Arial" w:hAnsi="Arial" w:cs="Arial"/>
          <w:sz w:val="22"/>
        </w:rPr>
      </w:pPr>
      <w:bookmarkStart w:id="3" w:name="_Hlk117529644"/>
      <w:r w:rsidRPr="00840085">
        <w:rPr>
          <w:rFonts w:ascii="Arial" w:hAnsi="Arial" w:cs="Arial"/>
          <w:bCs/>
          <w:sz w:val="22"/>
          <w:lang w:eastAsia="es-ES"/>
        </w:rPr>
        <w:t xml:space="preserve">Para explicar las implicaciones del artículo, </w:t>
      </w:r>
      <w:r w:rsidRPr="00840085">
        <w:rPr>
          <w:rFonts w:ascii="Arial" w:hAnsi="Arial" w:cs="Arial"/>
          <w:sz w:val="22"/>
        </w:rPr>
        <w:t>en primera instancia, debe analizarse el alcance del término «domicilio» que, para el caso de las sociedades, se constituye en uno de los atributos de su personalidad, que de acuerdo con el ordenamiento jurídico colombiano, son aquellas propiedades o características de identidad, propias de las personas, sean estas naturales o jurídicas, como titulares de derechos</w:t>
      </w:r>
      <w:r w:rsidRPr="00840085">
        <w:rPr>
          <w:rStyle w:val="Refdenotaalpie"/>
          <w:rFonts w:ascii="Arial" w:hAnsi="Arial" w:cs="Arial"/>
          <w:sz w:val="22"/>
        </w:rPr>
        <w:footnoteReference w:id="13"/>
      </w:r>
      <w:r w:rsidRPr="00840085">
        <w:rPr>
          <w:rFonts w:ascii="Arial" w:hAnsi="Arial" w:cs="Arial"/>
          <w:sz w:val="22"/>
        </w:rPr>
        <w:t>. En esta línea, este término es definido por el Código Civil en el artículo 76</w:t>
      </w:r>
      <w:r w:rsidRPr="00840085">
        <w:rPr>
          <w:rStyle w:val="Refdenotaalpie"/>
          <w:rFonts w:ascii="Arial" w:hAnsi="Arial" w:cs="Arial"/>
          <w:sz w:val="22"/>
        </w:rPr>
        <w:footnoteReference w:id="14"/>
      </w:r>
      <w:r w:rsidRPr="00840085">
        <w:rPr>
          <w:rFonts w:ascii="Arial" w:hAnsi="Arial" w:cs="Arial"/>
          <w:sz w:val="22"/>
        </w:rPr>
        <w:t xml:space="preserve">, el cual lo concibe como la residencia acompañada real o presuntivamente del ánimo de permanecer en ella, lo cual, para el caso de las sociedades se interpreta como el sitio donde éstas tienen el asiento principal de sus negocios. </w:t>
      </w:r>
    </w:p>
    <w:p w14:paraId="79C1D368" w14:textId="77777777" w:rsidR="00114AAC" w:rsidRPr="00840085" w:rsidRDefault="00114AAC" w:rsidP="00114AAC">
      <w:pPr>
        <w:spacing w:before="120" w:after="120" w:line="276" w:lineRule="auto"/>
        <w:ind w:firstLine="709"/>
        <w:jc w:val="both"/>
        <w:rPr>
          <w:rFonts w:ascii="Arial" w:eastAsia="Arial" w:hAnsi="Arial" w:cs="Arial"/>
          <w:sz w:val="22"/>
        </w:rPr>
      </w:pPr>
      <w:r w:rsidRPr="00840085">
        <w:rPr>
          <w:rFonts w:ascii="Arial" w:hAnsi="Arial" w:cs="Arial"/>
          <w:sz w:val="22"/>
        </w:rPr>
        <w:t xml:space="preserve">Por otro lado, el </w:t>
      </w:r>
      <w:r w:rsidRPr="00840085">
        <w:rPr>
          <w:rFonts w:ascii="Arial" w:eastAsia="Arial" w:hAnsi="Arial" w:cs="Arial"/>
          <w:sz w:val="22"/>
        </w:rPr>
        <w:t xml:space="preserve">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Nótese que la norma se refiere a los conceptos de «sucursal» y «domicilio» de forma diferente, de lo que se deriva que las sociedades comerciales tienen un domicilio y pueden tener una o varias sucursales que son establecimientos de comercio, esto es, bienes mercantiles pertenecientes a la sociedad. En ese mismo sentido, los artículos 110 y 111 </w:t>
      </w:r>
      <w:r w:rsidRPr="00840085">
        <w:rPr>
          <w:rFonts w:ascii="Arial" w:eastAsia="Arial" w:hAnsi="Arial" w:cs="Arial"/>
          <w:i/>
          <w:sz w:val="22"/>
        </w:rPr>
        <w:t>ibídem</w:t>
      </w:r>
      <w:r w:rsidRPr="00840085">
        <w:rPr>
          <w:rFonts w:ascii="Arial" w:eastAsia="Arial" w:hAnsi="Arial" w:cs="Arial"/>
          <w:sz w:val="22"/>
        </w:rPr>
        <w:t xml:space="preserve"> se refieren a tales conceptos de forma independiente</w:t>
      </w:r>
      <w:r w:rsidRPr="00840085">
        <w:rPr>
          <w:rStyle w:val="Refdenotaalpie"/>
          <w:rFonts w:ascii="Arial" w:eastAsia="Arial" w:hAnsi="Arial" w:cs="Arial"/>
          <w:sz w:val="22"/>
        </w:rPr>
        <w:footnoteReference w:id="15"/>
      </w:r>
      <w:r w:rsidRPr="00840085">
        <w:rPr>
          <w:rFonts w:ascii="Arial" w:eastAsia="Arial" w:hAnsi="Arial" w:cs="Arial"/>
          <w:sz w:val="22"/>
        </w:rPr>
        <w:t xml:space="preserve">. El uno para referirse a los requisitos de constitución de una sociedad comercial y el otro para determinar el lugar donde se debe inscribir la escritura pública de constitución de la sociedad comercial. De esta manera, si el legislador distinguió entre uno y otro, y si el reglamento se refiere al «domicilio», se entiende que no es procedente extender el beneficio contenido en el artículo 2.2.1.2.4.2.3. </w:t>
      </w:r>
      <w:r w:rsidRPr="00840085">
        <w:rPr>
          <w:rFonts w:ascii="Arial" w:eastAsia="Arial" w:hAnsi="Arial" w:cs="Arial"/>
          <w:i/>
          <w:sz w:val="22"/>
        </w:rPr>
        <w:t xml:space="preserve">ibídem </w:t>
      </w:r>
      <w:r w:rsidRPr="00840085">
        <w:rPr>
          <w:rFonts w:ascii="Arial" w:eastAsia="Arial" w:hAnsi="Arial" w:cs="Arial"/>
          <w:sz w:val="22"/>
        </w:rPr>
        <w:t>a las sociedades que tienen «sucursales» en el municipio o departamento en donde se va a ejecutar el contrato estatal.</w:t>
      </w:r>
    </w:p>
    <w:p w14:paraId="1BD8344B" w14:textId="77777777" w:rsidR="00114AAC" w:rsidRPr="00840085" w:rsidRDefault="00114AAC" w:rsidP="00114AAC">
      <w:pPr>
        <w:spacing w:after="120" w:line="276" w:lineRule="auto"/>
        <w:ind w:firstLine="709"/>
        <w:jc w:val="both"/>
        <w:rPr>
          <w:rFonts w:ascii="Arial" w:eastAsia="Arial" w:hAnsi="Arial" w:cs="Arial"/>
          <w:sz w:val="22"/>
          <w:szCs w:val="22"/>
          <w:lang w:val="es-ES_tradnl"/>
        </w:rPr>
      </w:pPr>
      <w:r w:rsidRPr="00840085">
        <w:rPr>
          <w:rFonts w:ascii="Arial" w:hAnsi="Arial" w:cs="Arial"/>
          <w:sz w:val="22"/>
          <w:szCs w:val="22"/>
        </w:rPr>
        <w:t xml:space="preserve">De conformidad con lo anterior, se evidencia que la limitación territorial regulada en </w:t>
      </w:r>
      <w:r w:rsidRPr="00840085">
        <w:rPr>
          <w:rFonts w:ascii="Arial" w:eastAsia="Arial" w:hAnsi="Arial" w:cs="Arial"/>
          <w:sz w:val="22"/>
          <w:szCs w:val="22"/>
          <w:lang w:val="es-ES_tradnl"/>
        </w:rPr>
        <w:t xml:space="preserve">el artículo 2.2.1.2.4.2.3 del Decreto 1082 de 2015 será aplicada para aquellas Mipymes que tengan su domicilio principal en el municipio o departamento respectivo. Por tanto, este artículo no aplicaría frente a la ubicación de las sucursales de las Mipymes. De este modo, la participación de los diferentes procesos de contratación cuando está limitada territorialmente está condicionada al domicilio principal de la Mipyme respectiva. </w:t>
      </w:r>
    </w:p>
    <w:p w14:paraId="505AF04B" w14:textId="77777777" w:rsidR="00114AAC" w:rsidRPr="00840085" w:rsidRDefault="00114AAC" w:rsidP="00114AAC">
      <w:pPr>
        <w:spacing w:after="120" w:line="276" w:lineRule="auto"/>
        <w:ind w:firstLine="709"/>
        <w:jc w:val="both"/>
        <w:rPr>
          <w:rFonts w:ascii="Arial" w:eastAsia="Arial" w:hAnsi="Arial" w:cs="Arial"/>
          <w:sz w:val="22"/>
          <w:szCs w:val="22"/>
        </w:rPr>
      </w:pPr>
      <w:r w:rsidRPr="00840085">
        <w:rPr>
          <w:rFonts w:ascii="Arial" w:eastAsia="Arial" w:hAnsi="Arial" w:cs="Arial"/>
          <w:sz w:val="22"/>
          <w:szCs w:val="22"/>
        </w:rPr>
        <w:t xml:space="preserve">Así, el domicilio de la Mipyme que quiera participar en una convocatoria limitada territorialmente se acredita con los documentos definidos en el artículo 2.2.1.2.4.2.4. del Decreto 1082 de 2015, modificado por el Decreto 1860 de 2021. En consecuencia, el requisito podrá acreditarse con una copia del registro mercantil –persona natural–, del certificado de existencia y representación legal –persona jurídica– o del Registro Único de Proponentes – RUP, en donde conste el domicilio de la Mipyme interesada en la limitación territorial de la convocatoria pública para celebrar el contrato, que corresponda con el lugar de ejecución del mismo, ya sea departamento o municipio, dependiendo de las reglas establecidas respecto a la limitación territorial.  </w:t>
      </w:r>
    </w:p>
    <w:p w14:paraId="4BC15F49" w14:textId="77777777" w:rsidR="00114AAC" w:rsidRPr="00840085" w:rsidRDefault="00114AAC" w:rsidP="00114AAC">
      <w:pPr>
        <w:spacing w:after="120" w:line="276" w:lineRule="auto"/>
        <w:ind w:firstLine="708"/>
        <w:jc w:val="both"/>
        <w:rPr>
          <w:rFonts w:ascii="Arial" w:eastAsia="Arial" w:hAnsi="Arial" w:cs="Arial"/>
          <w:sz w:val="22"/>
          <w:szCs w:val="22"/>
        </w:rPr>
      </w:pPr>
      <w:r w:rsidRPr="00840085">
        <w:rPr>
          <w:rFonts w:ascii="Arial" w:eastAsia="Arial" w:hAnsi="Arial" w:cs="Arial"/>
          <w:sz w:val="22"/>
          <w:szCs w:val="22"/>
        </w:rPr>
        <w:t>Finalmente, resta precisar que tratándose de consorcios o uniones temporales formados exclusivamente por Mipymes, habilitados para solicitar la limitación del proceso contractual, todas las Mipymes que participarán en la figura asociativa deben tener su domicilio en el departamento o municipio en relación con el cual se limitará el proceso contractual. En este caso, la exigencia de estar domiciliado en el lugar de ejecución del contrato se entiende acreditada cuando todas las Mipymes tienen su domicilio en el lugar de ejecución del contrato, no cuando una o varias de ellas lo tienen, pues con una sola que no acredite dicha exigencia, el consorcio o unión temporal estaría imposibilitado para participar en el proceso de selección. De esta forma, si el consorcio o unión temporal está conformado por tres sociedades, y la entidad decide ejercer la facultad que le otorga el artículo 2.2.1.2.4.2.3. del Decreto 1082 de 2015, modificado por el Decreto 1860 de 2021, las tres sociedades deberán acreditar que tienen su domicilio en el lugar de ejecución del contrato, so pena de que la figura asociativa no pueda participar en el proceso de contratación estatal, aceptar lo contrario, implicaría hacer nugatorios los efectos de la mencionada disposición normativa.</w:t>
      </w:r>
    </w:p>
    <w:p w14:paraId="54715EE4" w14:textId="77777777" w:rsidR="00114AAC" w:rsidRPr="00840085" w:rsidRDefault="00114AAC" w:rsidP="00114AAC">
      <w:pPr>
        <w:spacing w:line="276" w:lineRule="auto"/>
        <w:ind w:firstLine="709"/>
        <w:jc w:val="both"/>
        <w:rPr>
          <w:rFonts w:ascii="Arial" w:hAnsi="Arial" w:cs="Arial"/>
          <w:sz w:val="22"/>
          <w:szCs w:val="22"/>
          <w:shd w:val="clear" w:color="auto" w:fill="FFFFFF"/>
        </w:rPr>
      </w:pPr>
      <w:r w:rsidRPr="00840085">
        <w:rPr>
          <w:rFonts w:ascii="Arial" w:eastAsia="Arial" w:hAnsi="Arial" w:cs="Arial"/>
          <w:sz w:val="22"/>
          <w:szCs w:val="22"/>
        </w:rPr>
        <w:t>Sin perjuicio de lo anterior, no puede perderse de vista que la decisión de limitar «a Mipyme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w:t>
      </w:r>
      <w:r w:rsidRPr="00840085">
        <w:rPr>
          <w:rFonts w:ascii="Arial" w:eastAsia="Arial" w:hAnsi="Arial" w:cs="Arial"/>
          <w:sz w:val="22"/>
          <w:szCs w:val="22"/>
          <w:vertAlign w:val="superscript"/>
        </w:rPr>
        <w:footnoteReference w:id="16"/>
      </w:r>
      <w:r w:rsidRPr="00840085">
        <w:rPr>
          <w:rFonts w:ascii="Arial" w:eastAsia="Arial" w:hAnsi="Arial" w:cs="Arial"/>
          <w:sz w:val="22"/>
          <w:szCs w:val="22"/>
        </w:rPr>
        <w:t xml:space="preserve">,  esto es que: i) el valor del proceso de contratación sea menor a </w:t>
      </w:r>
      <w:r w:rsidRPr="00840085">
        <w:rPr>
          <w:rFonts w:ascii="Arial" w:hAnsi="Arial" w:cs="Arial"/>
          <w:sz w:val="22"/>
          <w:szCs w:val="22"/>
          <w:shd w:val="clear" w:color="auto" w:fill="FFFFFF"/>
        </w:rPr>
        <w:t>ciento veinticinco mil dólares de los Estados Unidos de América (US$125.000), liquidados con la tasa de cambio que para el efecto determina cada dos años el Ministerio de Comercio, Industria y Turismo, y ii) se hayan recibido solicitudes de mínimo dos (2) Mipyme colombianas para limitar la convocatoria a Mipyme colombianas, por lo menos un (1) día hábil antes de la expedición del acto administrativo de apertura. Adicionalmente, el inciso segundo del referido artículo enfatiza, para el caso de las personas jurídicas, que las solicitudes solo las podrán realizar Mipyme cuyo objeto social les permita ejecutar el contrato relacionado con el proceso contractual.</w:t>
      </w:r>
    </w:p>
    <w:bookmarkEnd w:id="3"/>
    <w:p w14:paraId="1C5235D5" w14:textId="77777777" w:rsidR="00114AAC" w:rsidRPr="00840085" w:rsidRDefault="00114AAC" w:rsidP="00114AAC">
      <w:pPr>
        <w:spacing w:line="276" w:lineRule="auto"/>
        <w:ind w:firstLine="709"/>
        <w:contextualSpacing/>
        <w:jc w:val="both"/>
        <w:rPr>
          <w:rFonts w:ascii="Arial" w:hAnsi="Arial" w:cs="Arial"/>
          <w:bCs/>
          <w:sz w:val="22"/>
          <w:lang w:eastAsia="es-ES"/>
        </w:rPr>
      </w:pPr>
    </w:p>
    <w:p w14:paraId="18E80087" w14:textId="77777777" w:rsidR="00114AAC" w:rsidRPr="00840085" w:rsidRDefault="00114AAC" w:rsidP="00114AAC">
      <w:pPr>
        <w:tabs>
          <w:tab w:val="left" w:pos="284"/>
          <w:tab w:val="left" w:pos="7938"/>
        </w:tabs>
        <w:spacing w:line="276" w:lineRule="auto"/>
        <w:contextualSpacing/>
        <w:jc w:val="both"/>
        <w:rPr>
          <w:rFonts w:ascii="Arial" w:eastAsia="Calibri" w:hAnsi="Arial" w:cs="Arial"/>
          <w:b/>
          <w:sz w:val="22"/>
        </w:rPr>
      </w:pPr>
      <w:bookmarkStart w:id="5" w:name="_Hlk57650395"/>
      <w:r w:rsidRPr="00840085">
        <w:rPr>
          <w:rFonts w:ascii="Arial" w:eastAsia="Calibri" w:hAnsi="Arial" w:cs="Arial"/>
          <w:b/>
          <w:sz w:val="22"/>
        </w:rPr>
        <w:t>3. Respuesta</w:t>
      </w:r>
    </w:p>
    <w:p w14:paraId="1768EDD9" w14:textId="77777777" w:rsidR="00114AAC" w:rsidRPr="00840085" w:rsidRDefault="00114AAC" w:rsidP="00114AAC">
      <w:pPr>
        <w:tabs>
          <w:tab w:val="left" w:pos="0"/>
        </w:tabs>
        <w:spacing w:line="276" w:lineRule="auto"/>
        <w:ind w:left="1418" w:right="1418"/>
        <w:contextualSpacing/>
        <w:jc w:val="both"/>
        <w:rPr>
          <w:rFonts w:ascii="Arial" w:eastAsia="Calibri" w:hAnsi="Arial" w:cs="Arial"/>
          <w:sz w:val="21"/>
          <w:szCs w:val="21"/>
          <w:lang w:val="es-ES_tradnl"/>
        </w:rPr>
      </w:pPr>
    </w:p>
    <w:p w14:paraId="2F795727" w14:textId="77777777" w:rsidR="00114AAC" w:rsidRPr="00840085" w:rsidRDefault="00114AAC" w:rsidP="00114AAC">
      <w:pPr>
        <w:ind w:left="709" w:right="709"/>
        <w:contextualSpacing/>
        <w:jc w:val="both"/>
        <w:rPr>
          <w:rFonts w:ascii="Arial" w:hAnsi="Arial" w:cs="Arial"/>
          <w:sz w:val="21"/>
          <w:szCs w:val="21"/>
        </w:rPr>
      </w:pPr>
      <w:r w:rsidRPr="00840085">
        <w:rPr>
          <w:rFonts w:ascii="Arial" w:hAnsi="Arial" w:cs="Arial"/>
          <w:sz w:val="21"/>
          <w:szCs w:val="21"/>
          <w:lang w:val="es-ES_tradnl"/>
        </w:rPr>
        <w:t>«</w:t>
      </w:r>
      <w:r w:rsidRPr="00840085">
        <w:rPr>
          <w:rFonts w:ascii="Arial" w:hAnsi="Arial" w:cs="Arial"/>
          <w:sz w:val="21"/>
          <w:szCs w:val="21"/>
        </w:rPr>
        <w:t>Es procedente contratar en un proceso limitado a Mipymes departamentales, a un contratista que no tiene su domicilio en dicho Departamento</w:t>
      </w:r>
      <w:r w:rsidRPr="00840085">
        <w:rPr>
          <w:rFonts w:ascii="Arial" w:hAnsi="Arial" w:cs="Arial"/>
          <w:sz w:val="21"/>
          <w:szCs w:val="21"/>
          <w:lang w:val="es-ES_tradnl"/>
        </w:rPr>
        <w:t>».</w:t>
      </w:r>
    </w:p>
    <w:p w14:paraId="5D114B48" w14:textId="77777777" w:rsidR="00114AAC" w:rsidRPr="00840085" w:rsidRDefault="00114AAC" w:rsidP="00114AAC">
      <w:pPr>
        <w:ind w:left="709" w:right="709"/>
        <w:contextualSpacing/>
        <w:jc w:val="both"/>
        <w:rPr>
          <w:rFonts w:ascii="Arial" w:eastAsia="Calibri" w:hAnsi="Arial" w:cs="Arial"/>
          <w:sz w:val="21"/>
          <w:szCs w:val="21"/>
          <w:lang w:val="es-ES_tradnl"/>
        </w:rPr>
      </w:pPr>
    </w:p>
    <w:p w14:paraId="7B81FA5F" w14:textId="77777777" w:rsidR="00114AAC" w:rsidRPr="00840085" w:rsidRDefault="00114AAC" w:rsidP="00114AAC">
      <w:pPr>
        <w:spacing w:after="120" w:line="276" w:lineRule="auto"/>
        <w:jc w:val="both"/>
        <w:rPr>
          <w:rFonts w:ascii="Arial" w:eastAsia="Arial" w:hAnsi="Arial" w:cs="Arial"/>
          <w:sz w:val="22"/>
        </w:rPr>
      </w:pPr>
      <w:r w:rsidRPr="00840085">
        <w:rPr>
          <w:rFonts w:ascii="Arial" w:hAnsi="Arial" w:cs="Arial"/>
          <w:sz w:val="22"/>
        </w:rPr>
        <w:t xml:space="preserve">Como se señaló en las consideraciones expuestas en el presente concepto, </w:t>
      </w:r>
      <w:r w:rsidRPr="00840085">
        <w:rPr>
          <w:rFonts w:ascii="Arial" w:eastAsia="Arial" w:hAnsi="Arial" w:cs="Arial"/>
          <w:sz w:val="22"/>
        </w:rPr>
        <w:t xml:space="preserve">el artículo 2.2.1.2.4.2.3. del Decreto 1082 de 2015, modificado por el artículo 5 del Decreto 1860 de 2021, se refiere a las «mipyme colombianas que tengan </w:t>
      </w:r>
      <w:r w:rsidRPr="00840085">
        <w:rPr>
          <w:rFonts w:ascii="Arial" w:eastAsia="Arial" w:hAnsi="Arial" w:cs="Arial"/>
          <w:i/>
          <w:iCs/>
          <w:sz w:val="22"/>
        </w:rPr>
        <w:t>domicilio</w:t>
      </w:r>
      <w:r w:rsidRPr="00840085">
        <w:rPr>
          <w:rFonts w:ascii="Arial" w:eastAsia="Arial" w:hAnsi="Arial" w:cs="Arial"/>
          <w:sz w:val="22"/>
        </w:rPr>
        <w:t xml:space="preserve"> en los departamentos o municipios en donde se va a ejecutar el contrato». Esta precisión es importante, pues el incentivo previsto en la norma únicamente aplica en el lugar de ejecución del contrato en el que la Mipyme tiene su «domicilio» y no en donde tiene sucursales o establecimientos de comercio. </w:t>
      </w:r>
    </w:p>
    <w:p w14:paraId="446EF9F5" w14:textId="77777777" w:rsidR="00114AAC" w:rsidRPr="00840085" w:rsidRDefault="00114AAC" w:rsidP="00114AAC">
      <w:pPr>
        <w:spacing w:after="120" w:line="276" w:lineRule="auto"/>
        <w:ind w:firstLine="709"/>
        <w:jc w:val="both"/>
        <w:rPr>
          <w:rFonts w:ascii="Arial" w:eastAsia="Calibri" w:hAnsi="Arial" w:cs="Arial"/>
          <w:sz w:val="22"/>
          <w:lang w:val="es-ES_tradnl"/>
        </w:rPr>
      </w:pPr>
      <w:r w:rsidRPr="00840085">
        <w:rPr>
          <w:rFonts w:ascii="Arial" w:eastAsia="Calibri" w:hAnsi="Arial" w:cs="Arial"/>
          <w:sz w:val="22"/>
          <w:lang w:val="es-ES_tradnl"/>
        </w:rPr>
        <w:t xml:space="preserve">La norma reglamentaria coincide con la redacción del parágrafo 1 del artículo 34 de la Ley 2069 de 2020, según el cual, solo es posible limitar convocatorias a la participación de Mipymes «[…] </w:t>
      </w:r>
      <w:r w:rsidRPr="00840085">
        <w:rPr>
          <w:rFonts w:ascii="Arial" w:eastAsia="Calibri" w:hAnsi="Arial" w:cs="Arial"/>
          <w:sz w:val="22"/>
        </w:rPr>
        <w:t>del ámbito municipal o departamental correspondiente al de la ejecución del contrato</w:t>
      </w:r>
      <w:r w:rsidRPr="00840085">
        <w:rPr>
          <w:rFonts w:ascii="Arial" w:eastAsia="Calibri" w:hAnsi="Arial" w:cs="Arial"/>
          <w:sz w:val="22"/>
          <w:lang w:val="es-ES_tradnl"/>
        </w:rPr>
        <w:t xml:space="preserve">». En tales términos, la norma citada contempla la posibilidad de limitar convocatorias a Mipymes con domicilio en esos dos tipos de ámbitos territoriales. </w:t>
      </w:r>
    </w:p>
    <w:p w14:paraId="7078181F" w14:textId="77777777" w:rsidR="00114AAC" w:rsidRPr="00840085" w:rsidRDefault="00114AAC" w:rsidP="00114AAC">
      <w:pPr>
        <w:spacing w:before="120" w:after="120" w:line="276" w:lineRule="auto"/>
        <w:ind w:firstLine="709"/>
        <w:jc w:val="both"/>
        <w:rPr>
          <w:rFonts w:ascii="Arial" w:hAnsi="Arial" w:cs="Arial"/>
          <w:sz w:val="22"/>
        </w:rPr>
      </w:pPr>
      <w:r w:rsidRPr="00840085">
        <w:rPr>
          <w:rFonts w:ascii="Arial" w:hAnsi="Arial" w:cs="Arial"/>
          <w:bCs/>
          <w:sz w:val="22"/>
          <w:lang w:eastAsia="es-ES"/>
        </w:rPr>
        <w:t xml:space="preserve">Para entender las implicaciones de las anteriores disposiciones, </w:t>
      </w:r>
      <w:r w:rsidRPr="00840085">
        <w:rPr>
          <w:rFonts w:ascii="Arial" w:hAnsi="Arial" w:cs="Arial"/>
          <w:sz w:val="22"/>
        </w:rPr>
        <w:t xml:space="preserve">debe analizarse el alcance del término «domicilio» que, para el caso de las sociedades, se constituye en uno de los atributos de su personalidad, que, de acuerdo con el ordenamiento jurídico colombiano, son aquellas propiedades o características de identidad, propias de las personas, sean estas naturales o jurídicas, como titulares de derechos. En esta línea, este término es definido por el Código Civil en el artículo 76, el cual lo concibe como la residencia acompañada real o presuntivamente del ánimo de permanecer en ella, lo cual, para el caso de las sociedades se interpreta como el sitio donde éstas tienen el asiento principal de sus negocios. </w:t>
      </w:r>
    </w:p>
    <w:p w14:paraId="4A426196" w14:textId="77777777" w:rsidR="00114AAC" w:rsidRPr="00840085" w:rsidRDefault="00114AAC" w:rsidP="00114AAC">
      <w:pPr>
        <w:spacing w:before="120" w:after="120" w:line="276" w:lineRule="auto"/>
        <w:ind w:firstLine="709"/>
        <w:jc w:val="both"/>
        <w:rPr>
          <w:rFonts w:ascii="Arial" w:eastAsia="Arial" w:hAnsi="Arial" w:cs="Arial"/>
          <w:sz w:val="22"/>
          <w:lang w:val="es-ES_tradnl"/>
        </w:rPr>
      </w:pPr>
      <w:r w:rsidRPr="00840085">
        <w:rPr>
          <w:rFonts w:ascii="Arial" w:hAnsi="Arial" w:cs="Arial"/>
          <w:sz w:val="22"/>
        </w:rPr>
        <w:t xml:space="preserve">Por tanto, a partir de esta conceptualización, es posible concluir que la limitación territorial, regulada en </w:t>
      </w:r>
      <w:r w:rsidRPr="00840085">
        <w:rPr>
          <w:rFonts w:ascii="Arial" w:eastAsia="Arial" w:hAnsi="Arial" w:cs="Arial"/>
          <w:sz w:val="22"/>
          <w:lang w:val="es-ES_tradnl"/>
        </w:rPr>
        <w:t xml:space="preserve">el artículo 2.2.1.2.4.2.3 del Decreto 1082 de 2015, modificada por el Decreto 1860 de 2021, será aplicada para aquellas Mipymes que tengan su domicilio principal en el municipio o departamento respectivo. De este modo, la participación de los diferentes procesos de contratación cuando la convocatoria se encuentra limitada territorialmente está condicionada al domicilio principal de la Mipyme respectiva. </w:t>
      </w:r>
      <w:r w:rsidRPr="00840085">
        <w:rPr>
          <w:rFonts w:ascii="Arial" w:eastAsia="Arial" w:hAnsi="Arial" w:cs="Arial"/>
          <w:sz w:val="22"/>
          <w:szCs w:val="22"/>
          <w:lang w:val="es-ES_tradnl"/>
        </w:rPr>
        <w:t xml:space="preserve">Así las cosas, </w:t>
      </w:r>
      <w:r w:rsidRPr="00840085">
        <w:rPr>
          <w:rFonts w:ascii="Arial" w:hAnsi="Arial" w:cs="Arial"/>
          <w:sz w:val="22"/>
          <w:szCs w:val="22"/>
        </w:rPr>
        <w:t xml:space="preserve">de cara a la consulta plateada, </w:t>
      </w:r>
      <w:r w:rsidRPr="00840085">
        <w:rPr>
          <w:rFonts w:ascii="Arial" w:eastAsia="Arial" w:hAnsi="Arial" w:cs="Arial"/>
          <w:sz w:val="22"/>
          <w:szCs w:val="22"/>
          <w:lang w:val="es-ES_tradnl"/>
        </w:rPr>
        <w:t>no es posible, en el marco de una convocatoria limitada territorialmente - a nivel departamental-, contratar a una Mipyme cuyo domicilio no se encuentre en el departamento donde se va a ejecutar el contrato.</w:t>
      </w:r>
      <w:r w:rsidRPr="00840085">
        <w:rPr>
          <w:rFonts w:ascii="Arial" w:eastAsia="Arial" w:hAnsi="Arial" w:cs="Arial"/>
          <w:sz w:val="22"/>
          <w:lang w:val="es-ES_tradnl"/>
        </w:rPr>
        <w:t xml:space="preserve"> Así mismo, se hace necesario señalar que este artículo no aplicaría frente a la ubicación de las sucursales de las Mipymes.</w:t>
      </w:r>
    </w:p>
    <w:p w14:paraId="6FA688F0" w14:textId="77777777" w:rsidR="00114AAC" w:rsidRPr="00840085" w:rsidRDefault="00114AAC" w:rsidP="00114AAC">
      <w:pPr>
        <w:spacing w:after="120" w:line="276" w:lineRule="auto"/>
        <w:ind w:firstLine="709"/>
        <w:jc w:val="both"/>
        <w:rPr>
          <w:rFonts w:ascii="Arial" w:eastAsia="Arial" w:hAnsi="Arial" w:cs="Arial"/>
          <w:sz w:val="22"/>
          <w:szCs w:val="22"/>
        </w:rPr>
      </w:pPr>
      <w:r w:rsidRPr="00840085">
        <w:rPr>
          <w:rFonts w:ascii="Arial" w:eastAsia="Arial" w:hAnsi="Arial" w:cs="Arial"/>
          <w:sz w:val="22"/>
          <w:szCs w:val="22"/>
        </w:rPr>
        <w:t xml:space="preserve">Ahora bien, conviene precisar que el domicilio de la Mipymes que quieran participar en una convocatoria limitada territorialmente se acredita con los documentos definidos en el artículo 2.2.1.2.4.2.4. del Decreto 1082 de 2015, modificado por el Decreto 1860 de 2021. En consecuencia, el requisito podrá acreditarse con una copia del registro mercantil –persona natural–, del certificado de existencia y representación legal –persona jurídica– o del Registro Único de Proponentes – RUP, en donde conste el domicilio de la Mipyme interesada en la limitación territorial de la convocatoria pública para celebrar el contrato, que corresponda con el lugar de ejecución del mismo, ya sea departamento o municipio, dependiendo de las reglas establecidas respecto a la limitación territorial. </w:t>
      </w:r>
    </w:p>
    <w:p w14:paraId="62E04A09" w14:textId="77777777" w:rsidR="00114AAC" w:rsidRPr="00840085" w:rsidRDefault="00114AAC" w:rsidP="00114AAC">
      <w:pPr>
        <w:spacing w:line="276" w:lineRule="auto"/>
        <w:ind w:firstLine="708"/>
        <w:jc w:val="both"/>
        <w:rPr>
          <w:rFonts w:ascii="Arial" w:eastAsia="Arial" w:hAnsi="Arial" w:cs="Arial"/>
          <w:sz w:val="22"/>
          <w:szCs w:val="22"/>
        </w:rPr>
      </w:pPr>
      <w:r w:rsidRPr="00840085">
        <w:rPr>
          <w:rFonts w:ascii="Arial" w:eastAsia="Arial" w:hAnsi="Arial" w:cs="Arial"/>
          <w:sz w:val="22"/>
          <w:szCs w:val="22"/>
        </w:rPr>
        <w:t>Finalmente, no puede perderse de vista que la decisión de limitar «a Mipyme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w:t>
      </w:r>
      <w:r w:rsidRPr="00840085">
        <w:rPr>
          <w:rFonts w:ascii="Arial" w:eastAsia="Arial" w:hAnsi="Arial" w:cs="Arial"/>
          <w:sz w:val="22"/>
          <w:szCs w:val="22"/>
          <w:vertAlign w:val="superscript"/>
        </w:rPr>
        <w:footnoteReference w:id="17"/>
      </w:r>
      <w:r w:rsidRPr="00840085">
        <w:rPr>
          <w:rFonts w:ascii="Arial" w:eastAsia="Arial" w:hAnsi="Arial" w:cs="Arial"/>
          <w:sz w:val="22"/>
          <w:szCs w:val="22"/>
        </w:rPr>
        <w:t xml:space="preserve">,  esto es que: i) el valor del proceso de contratación sea menor a </w:t>
      </w:r>
      <w:r w:rsidRPr="00840085">
        <w:rPr>
          <w:rFonts w:ascii="Arial" w:hAnsi="Arial" w:cs="Arial"/>
          <w:sz w:val="22"/>
          <w:szCs w:val="22"/>
          <w:shd w:val="clear" w:color="auto" w:fill="FFFFFF"/>
        </w:rPr>
        <w:t>ciento veinticinco mil dólares de los Estados Unidos de América (US$125.000), liquidados con la tasa de cambio que para el efecto determina cada dos años el Ministerio de Comercio, Industria y Turismo, y ii) se hayan recibido solicitudes de mínimo dos (2) Mipyme colombianas para limitar la convocatoria a Mipyme colombianas, por lo menos un (1) día hábil antes de la expedición del acto administrativo de apertura.</w:t>
      </w:r>
    </w:p>
    <w:p w14:paraId="51851602" w14:textId="77777777" w:rsidR="00114AAC" w:rsidRPr="00840085" w:rsidRDefault="00114AAC" w:rsidP="00114AAC">
      <w:pPr>
        <w:spacing w:line="276" w:lineRule="auto"/>
        <w:ind w:right="709"/>
        <w:jc w:val="both"/>
        <w:rPr>
          <w:rFonts w:ascii="Arial" w:hAnsi="Arial" w:cs="Arial"/>
          <w:sz w:val="22"/>
        </w:rPr>
      </w:pPr>
    </w:p>
    <w:p w14:paraId="79AA234A" w14:textId="77777777" w:rsidR="00114AAC" w:rsidRPr="00840085" w:rsidRDefault="00114AAC" w:rsidP="00114AAC">
      <w:pPr>
        <w:spacing w:line="276" w:lineRule="auto"/>
        <w:jc w:val="both"/>
        <w:rPr>
          <w:rFonts w:ascii="Arial" w:hAnsi="Arial" w:cs="Arial"/>
          <w:sz w:val="22"/>
          <w:lang w:val="es-ES_tradnl"/>
        </w:rPr>
      </w:pPr>
      <w:r w:rsidRPr="00840085">
        <w:rPr>
          <w:rFonts w:ascii="Arial" w:hAnsi="Arial" w:cs="Arial"/>
          <w:sz w:val="22"/>
          <w:lang w:val="es-ES_tradnl"/>
        </w:rPr>
        <w:t>Este concepto tiene el alcance previsto en el artículo 28 del Código de Procedimiento Administrativo y de lo Contencioso Administrativo.</w:t>
      </w:r>
    </w:p>
    <w:p w14:paraId="0F18C28D" w14:textId="77777777" w:rsidR="00114AAC" w:rsidRPr="00840085" w:rsidRDefault="00114AAC" w:rsidP="00114AAC">
      <w:pPr>
        <w:jc w:val="both"/>
        <w:rPr>
          <w:rFonts w:ascii="Arial" w:hAnsi="Arial" w:cs="Arial"/>
          <w:sz w:val="22"/>
          <w:lang w:val="es-ES_tradnl" w:eastAsia="es-CO"/>
        </w:rPr>
      </w:pPr>
    </w:p>
    <w:p w14:paraId="43EC47A8" w14:textId="77777777" w:rsidR="00114AAC" w:rsidRPr="00840085" w:rsidRDefault="00114AAC" w:rsidP="00114AAC">
      <w:pPr>
        <w:jc w:val="both"/>
        <w:rPr>
          <w:rFonts w:ascii="Arial" w:hAnsi="Arial" w:cs="Arial"/>
          <w:sz w:val="22"/>
          <w:lang w:val="es-ES_tradnl" w:eastAsia="es-CO"/>
        </w:rPr>
      </w:pPr>
      <w:r w:rsidRPr="00840085">
        <w:rPr>
          <w:rFonts w:ascii="Arial" w:hAnsi="Arial" w:cs="Arial"/>
          <w:sz w:val="22"/>
          <w:lang w:val="es-ES_tradnl" w:eastAsia="es-CO"/>
        </w:rPr>
        <w:t>Atentamente,</w:t>
      </w:r>
    </w:p>
    <w:p w14:paraId="5A85C6DB" w14:textId="77777777" w:rsidR="00114AAC" w:rsidRPr="00840085" w:rsidRDefault="00114AAC" w:rsidP="00114AAC">
      <w:pPr>
        <w:jc w:val="both"/>
        <w:rPr>
          <w:lang w:val="es-ES_tradnl" w:eastAsia="es-CO"/>
        </w:rPr>
      </w:pPr>
    </w:p>
    <w:bookmarkEnd w:id="5"/>
    <w:p w14:paraId="592A9CB1" w14:textId="77777777" w:rsidR="00114AAC" w:rsidRPr="00840085" w:rsidRDefault="00114AAC" w:rsidP="00114AAC">
      <w:pPr>
        <w:jc w:val="center"/>
        <w:rPr>
          <w:rFonts w:ascii="Arial" w:eastAsia="Calibri" w:hAnsi="Arial" w:cs="Arial"/>
          <w:lang w:val="es-ES_tradnl" w:eastAsia="es-CO"/>
        </w:rPr>
      </w:pPr>
      <w:r>
        <w:rPr>
          <w:rFonts w:ascii="Arial" w:hAnsi="Arial" w:cs="Arial"/>
          <w:noProof/>
          <w:color w:val="1A1A1A" w:themeColor="background1" w:themeShade="1A"/>
        </w:rPr>
        <w:drawing>
          <wp:inline distT="0" distB="0" distL="0" distR="0" wp14:anchorId="33F692A5" wp14:editId="15648402">
            <wp:extent cx="2533650" cy="981075"/>
            <wp:effectExtent l="0" t="0" r="0" b="9525"/>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tbl>
      <w:tblPr>
        <w:tblStyle w:val="Tablaconcuadrcula3"/>
        <w:tblW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4742"/>
      </w:tblGrid>
      <w:tr w:rsidR="00114AAC" w:rsidRPr="00840085" w14:paraId="23389936" w14:textId="77777777" w:rsidTr="00CD7CCF">
        <w:trPr>
          <w:trHeight w:val="315"/>
        </w:trPr>
        <w:tc>
          <w:tcPr>
            <w:tcW w:w="1070" w:type="dxa"/>
            <w:tcBorders>
              <w:top w:val="nil"/>
              <w:left w:val="nil"/>
              <w:bottom w:val="dotted" w:sz="4" w:space="0" w:color="7F7F7F"/>
              <w:right w:val="nil"/>
            </w:tcBorders>
            <w:vAlign w:val="center"/>
          </w:tcPr>
          <w:p w14:paraId="52CA2A09" w14:textId="77777777" w:rsidR="00114AAC" w:rsidRPr="00840085" w:rsidRDefault="00114AAC" w:rsidP="00CD7CCF">
            <w:pPr>
              <w:jc w:val="both"/>
              <w:rPr>
                <w:rFonts w:ascii="Arial" w:eastAsia="Calibri" w:hAnsi="Arial" w:cs="Arial"/>
                <w:sz w:val="16"/>
                <w:szCs w:val="16"/>
                <w:lang w:val="es-ES_tradnl" w:eastAsia="es-ES"/>
              </w:rPr>
            </w:pPr>
            <w:r w:rsidRPr="00840085">
              <w:rPr>
                <w:rFonts w:ascii="Arial" w:eastAsia="Calibri" w:hAnsi="Arial" w:cs="Arial"/>
                <w:sz w:val="16"/>
                <w:szCs w:val="16"/>
                <w:lang w:val="es-ES_tradnl" w:eastAsia="es-ES"/>
              </w:rPr>
              <w:t>Elaboró:</w:t>
            </w:r>
          </w:p>
        </w:tc>
        <w:tc>
          <w:tcPr>
            <w:tcW w:w="4742" w:type="dxa"/>
            <w:tcBorders>
              <w:top w:val="nil"/>
              <w:left w:val="nil"/>
              <w:bottom w:val="dotted" w:sz="4" w:space="0" w:color="7F7F7F"/>
              <w:right w:val="nil"/>
            </w:tcBorders>
            <w:vAlign w:val="center"/>
            <w:hideMark/>
          </w:tcPr>
          <w:p w14:paraId="30BB7F26" w14:textId="77777777" w:rsidR="00114AAC" w:rsidRPr="00840085" w:rsidRDefault="00114AAC" w:rsidP="00CD7CCF">
            <w:pPr>
              <w:jc w:val="both"/>
              <w:rPr>
                <w:rFonts w:ascii="Arial" w:eastAsia="Calibri" w:hAnsi="Arial" w:cs="Arial"/>
                <w:sz w:val="16"/>
                <w:szCs w:val="16"/>
                <w:lang w:val="es-ES_tradnl" w:eastAsia="es-ES"/>
              </w:rPr>
            </w:pPr>
            <w:r w:rsidRPr="00840085">
              <w:rPr>
                <w:rFonts w:ascii="Arial" w:eastAsia="Calibri" w:hAnsi="Arial" w:cs="Arial"/>
                <w:sz w:val="16"/>
                <w:szCs w:val="16"/>
                <w:lang w:val="es-ES_tradnl" w:eastAsia="es-ES"/>
              </w:rPr>
              <w:t xml:space="preserve">Edwin Johan Chocontá Quintero </w:t>
            </w:r>
          </w:p>
          <w:p w14:paraId="2409B384" w14:textId="77777777" w:rsidR="00114AAC" w:rsidRPr="00840085" w:rsidRDefault="00114AAC" w:rsidP="00CD7CCF">
            <w:pPr>
              <w:jc w:val="both"/>
              <w:rPr>
                <w:rFonts w:ascii="Arial" w:eastAsia="Calibri" w:hAnsi="Arial" w:cs="Arial"/>
                <w:sz w:val="16"/>
                <w:szCs w:val="16"/>
                <w:lang w:val="es-ES_tradnl" w:eastAsia="es-ES"/>
              </w:rPr>
            </w:pPr>
            <w:r w:rsidRPr="00840085">
              <w:rPr>
                <w:rFonts w:ascii="Arial" w:eastAsia="Calibri" w:hAnsi="Arial" w:cs="Arial"/>
                <w:sz w:val="16"/>
                <w:szCs w:val="16"/>
                <w:lang w:val="es-ES_tradnl" w:eastAsia="es-ES"/>
              </w:rPr>
              <w:t>Analista T2-02 de la Subdirección de Gestión Contractual</w:t>
            </w:r>
          </w:p>
        </w:tc>
      </w:tr>
      <w:tr w:rsidR="00114AAC" w:rsidRPr="00840085" w14:paraId="51B0CCAD" w14:textId="77777777" w:rsidTr="00CD7CCF">
        <w:trPr>
          <w:trHeight w:val="330"/>
        </w:trPr>
        <w:tc>
          <w:tcPr>
            <w:tcW w:w="1070" w:type="dxa"/>
            <w:tcBorders>
              <w:top w:val="dotted" w:sz="4" w:space="0" w:color="7F7F7F"/>
              <w:left w:val="nil"/>
              <w:right w:val="nil"/>
            </w:tcBorders>
            <w:vAlign w:val="center"/>
          </w:tcPr>
          <w:p w14:paraId="4D5A6051" w14:textId="77777777" w:rsidR="00114AAC" w:rsidRPr="00840085" w:rsidRDefault="00114AAC" w:rsidP="00CD7CCF">
            <w:pPr>
              <w:jc w:val="both"/>
              <w:rPr>
                <w:rFonts w:ascii="Arial" w:eastAsia="Calibri" w:hAnsi="Arial" w:cs="Arial"/>
                <w:sz w:val="16"/>
                <w:szCs w:val="16"/>
                <w:lang w:val="es-ES_tradnl" w:eastAsia="es-ES"/>
              </w:rPr>
            </w:pPr>
            <w:r w:rsidRPr="00840085">
              <w:rPr>
                <w:rFonts w:ascii="Arial" w:eastAsia="Calibri" w:hAnsi="Arial" w:cs="Arial"/>
                <w:sz w:val="16"/>
                <w:szCs w:val="16"/>
                <w:lang w:val="es-ES_tradnl" w:eastAsia="es-ES"/>
              </w:rPr>
              <w:t>Revisó:</w:t>
            </w:r>
          </w:p>
        </w:tc>
        <w:tc>
          <w:tcPr>
            <w:tcW w:w="4742" w:type="dxa"/>
            <w:tcBorders>
              <w:top w:val="dotted" w:sz="4" w:space="0" w:color="7F7F7F"/>
              <w:left w:val="nil"/>
              <w:bottom w:val="dotted" w:sz="4" w:space="0" w:color="7F7F7F"/>
              <w:right w:val="nil"/>
            </w:tcBorders>
            <w:vAlign w:val="center"/>
            <w:hideMark/>
          </w:tcPr>
          <w:p w14:paraId="1F2DEA01" w14:textId="77777777" w:rsidR="00114AAC" w:rsidRPr="00840085" w:rsidRDefault="00114AAC" w:rsidP="00CD7CCF">
            <w:pPr>
              <w:jc w:val="both"/>
              <w:rPr>
                <w:rFonts w:ascii="Arial" w:eastAsia="Calibri" w:hAnsi="Arial" w:cs="Arial"/>
                <w:sz w:val="16"/>
                <w:szCs w:val="16"/>
                <w:lang w:val="es-ES_tradnl" w:eastAsia="es-ES"/>
              </w:rPr>
            </w:pPr>
            <w:r w:rsidRPr="00840085">
              <w:rPr>
                <w:rFonts w:ascii="Arial" w:eastAsia="Calibri" w:hAnsi="Arial" w:cs="Arial"/>
                <w:sz w:val="16"/>
                <w:szCs w:val="16"/>
                <w:lang w:val="es-ES_tradnl" w:eastAsia="es-ES"/>
              </w:rPr>
              <w:t>Diana Lucia Saavedra Castañeda</w:t>
            </w:r>
          </w:p>
          <w:p w14:paraId="3F76F564" w14:textId="77777777" w:rsidR="00114AAC" w:rsidRPr="00840085" w:rsidRDefault="00114AAC" w:rsidP="00CD7CCF">
            <w:pPr>
              <w:jc w:val="both"/>
              <w:rPr>
                <w:rFonts w:ascii="Arial" w:eastAsia="Calibri" w:hAnsi="Arial" w:cs="Arial"/>
                <w:sz w:val="16"/>
                <w:szCs w:val="16"/>
                <w:lang w:val="es-ES_tradnl" w:eastAsia="es-ES"/>
              </w:rPr>
            </w:pPr>
            <w:r w:rsidRPr="00840085">
              <w:rPr>
                <w:rFonts w:ascii="Arial" w:eastAsia="Calibri" w:hAnsi="Arial" w:cs="Arial"/>
                <w:sz w:val="16"/>
                <w:szCs w:val="16"/>
                <w:lang w:val="es-ES_tradnl" w:eastAsia="es-ES"/>
              </w:rPr>
              <w:t xml:space="preserve">Contratista de la de la Subdirección de Gestión Contractual </w:t>
            </w:r>
          </w:p>
        </w:tc>
      </w:tr>
      <w:tr w:rsidR="00114AAC" w:rsidRPr="00840085" w14:paraId="5B307E24" w14:textId="77777777" w:rsidTr="00CD7CCF">
        <w:trPr>
          <w:trHeight w:val="300"/>
        </w:trPr>
        <w:tc>
          <w:tcPr>
            <w:tcW w:w="1070" w:type="dxa"/>
            <w:tcBorders>
              <w:top w:val="dotted" w:sz="4" w:space="0" w:color="7F7F7F"/>
              <w:left w:val="nil"/>
              <w:bottom w:val="dotted" w:sz="4" w:space="0" w:color="7F7F7F"/>
              <w:right w:val="nil"/>
            </w:tcBorders>
            <w:vAlign w:val="center"/>
          </w:tcPr>
          <w:p w14:paraId="06A8F067" w14:textId="77777777" w:rsidR="00114AAC" w:rsidRPr="00840085" w:rsidRDefault="00114AAC" w:rsidP="00CD7CCF">
            <w:pPr>
              <w:jc w:val="both"/>
              <w:rPr>
                <w:rFonts w:ascii="Arial" w:eastAsia="Calibri" w:hAnsi="Arial" w:cs="Arial"/>
                <w:sz w:val="16"/>
                <w:szCs w:val="16"/>
                <w:lang w:val="pt-BR" w:eastAsia="es-ES"/>
              </w:rPr>
            </w:pPr>
            <w:r w:rsidRPr="00840085">
              <w:rPr>
                <w:rFonts w:ascii="Arial" w:eastAsia="Calibri" w:hAnsi="Arial" w:cs="Arial"/>
                <w:sz w:val="16"/>
                <w:szCs w:val="16"/>
                <w:lang w:val="es-ES_tradnl" w:eastAsia="es-ES"/>
              </w:rPr>
              <w:t>Aprobó:</w:t>
            </w:r>
          </w:p>
        </w:tc>
        <w:tc>
          <w:tcPr>
            <w:tcW w:w="4742" w:type="dxa"/>
            <w:tcBorders>
              <w:top w:val="dotted" w:sz="4" w:space="0" w:color="7F7F7F"/>
              <w:left w:val="nil"/>
              <w:bottom w:val="dotted" w:sz="4" w:space="0" w:color="7F7F7F"/>
              <w:right w:val="nil"/>
            </w:tcBorders>
            <w:vAlign w:val="center"/>
            <w:hideMark/>
          </w:tcPr>
          <w:p w14:paraId="1A1B53F2" w14:textId="77777777" w:rsidR="00114AAC" w:rsidRPr="00840085" w:rsidRDefault="00114AAC" w:rsidP="00CD7CCF">
            <w:pPr>
              <w:jc w:val="both"/>
              <w:rPr>
                <w:rFonts w:ascii="Arial" w:eastAsia="Calibri" w:hAnsi="Arial" w:cs="Arial"/>
                <w:sz w:val="16"/>
                <w:szCs w:val="16"/>
                <w:lang w:val="pt-BR" w:eastAsia="es-ES"/>
              </w:rPr>
            </w:pPr>
            <w:r w:rsidRPr="00840085">
              <w:rPr>
                <w:rFonts w:ascii="Arial" w:eastAsia="Calibri" w:hAnsi="Arial" w:cs="Arial"/>
                <w:sz w:val="16"/>
                <w:szCs w:val="16"/>
                <w:lang w:val="pt-BR" w:eastAsia="es-ES"/>
              </w:rPr>
              <w:t>Juan David Marín López</w:t>
            </w:r>
          </w:p>
          <w:p w14:paraId="25702B0E" w14:textId="77777777" w:rsidR="00114AAC" w:rsidRPr="00840085" w:rsidRDefault="00114AAC" w:rsidP="00CD7CCF">
            <w:pPr>
              <w:jc w:val="both"/>
              <w:rPr>
                <w:rFonts w:ascii="Arial" w:eastAsia="Calibri" w:hAnsi="Arial" w:cs="Arial"/>
                <w:sz w:val="16"/>
                <w:szCs w:val="16"/>
                <w:lang w:val="pt-BR" w:eastAsia="es-ES"/>
              </w:rPr>
            </w:pPr>
            <w:r w:rsidRPr="00840085">
              <w:rPr>
                <w:rFonts w:ascii="Arial" w:eastAsia="Calibri" w:hAnsi="Arial" w:cs="Arial"/>
                <w:sz w:val="16"/>
                <w:szCs w:val="16"/>
                <w:lang w:eastAsia="es-ES"/>
              </w:rPr>
              <w:t xml:space="preserve">Subdirector de Gestión Contractual </w:t>
            </w:r>
            <w:r w:rsidRPr="00840085">
              <w:rPr>
                <w:rFonts w:ascii="Arial" w:eastAsia="Calibri" w:hAnsi="Arial" w:cs="Arial"/>
                <w:sz w:val="16"/>
                <w:szCs w:val="16"/>
                <w:lang w:val="pt-BR" w:eastAsia="es-ES"/>
              </w:rPr>
              <w:t>(E)</w:t>
            </w:r>
          </w:p>
        </w:tc>
      </w:tr>
      <w:bookmarkEnd w:id="1"/>
    </w:tbl>
    <w:p w14:paraId="6E6424E9" w14:textId="77777777" w:rsidR="00114AAC" w:rsidRPr="00840085" w:rsidRDefault="00114AAC" w:rsidP="00114AAC">
      <w:pPr>
        <w:spacing w:before="120" w:line="276" w:lineRule="auto"/>
        <w:jc w:val="both"/>
        <w:rPr>
          <w:rFonts w:ascii="Arial" w:eastAsia="Arial" w:hAnsi="Arial" w:cs="Arial"/>
          <w:sz w:val="22"/>
          <w:szCs w:val="22"/>
          <w:lang w:val="es-ES_tradnl"/>
        </w:rPr>
      </w:pPr>
    </w:p>
    <w:p w14:paraId="0A804ED9" w14:textId="06FC5858" w:rsidR="000C6439" w:rsidRPr="00114AAC" w:rsidRDefault="000C6439" w:rsidP="00114AAC"/>
    <w:sectPr w:rsidR="000C6439" w:rsidRPr="00114AAC" w:rsidSect="00AF2438">
      <w:headerReference w:type="default" r:id="rId13"/>
      <w:footerReference w:type="default" r:id="rId14"/>
      <w:pgSz w:w="12240" w:h="15840"/>
      <w:pgMar w:top="1701" w:right="1440" w:bottom="1701" w:left="1440"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4694" w14:textId="77777777" w:rsidR="001D7DD4" w:rsidRDefault="001D7DD4" w:rsidP="004A1847">
      <w:r>
        <w:separator/>
      </w:r>
    </w:p>
  </w:endnote>
  <w:endnote w:type="continuationSeparator" w:id="0">
    <w:p w14:paraId="1C0A6EDE" w14:textId="77777777" w:rsidR="001D7DD4" w:rsidRDefault="001D7DD4" w:rsidP="004A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4B5F" w14:textId="77777777" w:rsidR="002838AC" w:rsidRDefault="002838AC">
    <w:pPr>
      <w:pStyle w:val="Piedepgina"/>
    </w:pPr>
  </w:p>
  <w:p w14:paraId="18911A32" w14:textId="77692E11" w:rsidR="00DD0F8F" w:rsidRDefault="00DD0F8F">
    <w:pPr>
      <w:pStyle w:val="Piedepgina"/>
    </w:pPr>
    <w:r>
      <w:rPr>
        <w:noProof/>
        <w:lang w:val="en-US"/>
      </w:rPr>
      <w:drawing>
        <wp:inline distT="0" distB="0" distL="0" distR="0" wp14:anchorId="1F77499E" wp14:editId="58F58CA2">
          <wp:extent cx="5885180" cy="914400"/>
          <wp:effectExtent l="0" t="0" r="1270" b="0"/>
          <wp:docPr id="3" name="Imagen 3"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21"/>
      <w:gridCol w:w="844"/>
      <w:gridCol w:w="2073"/>
      <w:gridCol w:w="720"/>
      <w:gridCol w:w="2643"/>
      <w:gridCol w:w="1416"/>
    </w:tblGrid>
    <w:tr w:rsidR="00DD0F8F" w:rsidRPr="00080DA3" w14:paraId="0534DA7F" w14:textId="77777777" w:rsidTr="006219F8">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77777777" w:rsidR="00DD0F8F" w:rsidRPr="00080DA3" w:rsidRDefault="00DD0F8F" w:rsidP="006219F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35D725DD" w:rsidR="00DD0F8F" w:rsidRPr="00080DA3" w:rsidRDefault="00DD0F8F" w:rsidP="006219F8">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77777777" w:rsidR="00DD0F8F" w:rsidRPr="00080DA3" w:rsidRDefault="00DD0F8F" w:rsidP="006219F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77777777" w:rsidR="00DD0F8F" w:rsidRPr="00080DA3" w:rsidRDefault="00DD0F8F" w:rsidP="006219F8">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DD0F8F" w:rsidRPr="00080DA3" w:rsidRDefault="00DD0F8F" w:rsidP="006219F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4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4D8152F8" w:rsidR="00DD0F8F" w:rsidRPr="00080DA3" w:rsidRDefault="00DD0F8F" w:rsidP="006219F8">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41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19AC18A5" w:rsidR="00DD0F8F" w:rsidRPr="00080DA3" w:rsidRDefault="00DD0F8F" w:rsidP="006219F8">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6F0BA5">
            <w:rPr>
              <w:rFonts w:ascii="Geomanist Light" w:hAnsi="Geomanist Light"/>
              <w:b/>
              <w:bCs/>
              <w:noProof/>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6F0BA5">
            <w:rPr>
              <w:rFonts w:ascii="Geomanist Light" w:hAnsi="Geomanist Light"/>
              <w:b/>
              <w:bCs/>
              <w:noProof/>
              <w:sz w:val="18"/>
              <w:szCs w:val="18"/>
            </w:rPr>
            <w:t>12</w:t>
          </w:r>
          <w:r w:rsidRPr="00080DA3">
            <w:rPr>
              <w:rFonts w:ascii="Geomanist Light" w:hAnsi="Geomanist Light"/>
              <w:b/>
              <w:bCs/>
              <w:sz w:val="18"/>
              <w:szCs w:val="18"/>
            </w:rPr>
            <w:fldChar w:fldCharType="end"/>
          </w:r>
        </w:p>
      </w:tc>
    </w:tr>
  </w:tbl>
  <w:p w14:paraId="744661F5" w14:textId="77777777" w:rsidR="00DD0F8F" w:rsidRDefault="00DD0F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4886F" w14:textId="77777777" w:rsidR="001D7DD4" w:rsidRDefault="001D7DD4" w:rsidP="004A1847">
      <w:r>
        <w:separator/>
      </w:r>
    </w:p>
  </w:footnote>
  <w:footnote w:type="continuationSeparator" w:id="0">
    <w:p w14:paraId="138795A9" w14:textId="77777777" w:rsidR="001D7DD4" w:rsidRDefault="001D7DD4" w:rsidP="004A1847">
      <w:r>
        <w:continuationSeparator/>
      </w:r>
    </w:p>
  </w:footnote>
  <w:footnote w:id="1">
    <w:p w14:paraId="4C28FFD1" w14:textId="77777777" w:rsidR="00114AAC" w:rsidRPr="00866561" w:rsidRDefault="00114AAC" w:rsidP="00114AAC">
      <w:pPr>
        <w:pStyle w:val="Textonotapie"/>
        <w:ind w:firstLine="709"/>
        <w:jc w:val="both"/>
        <w:rPr>
          <w:rFonts w:ascii="Arial" w:hAnsi="Arial" w:cs="Arial"/>
          <w:color w:val="44546A" w:themeColor="text2"/>
          <w:sz w:val="19"/>
          <w:szCs w:val="19"/>
          <w:lang w:val="es-CO"/>
        </w:rPr>
      </w:pPr>
      <w:r w:rsidRPr="00866561">
        <w:rPr>
          <w:rStyle w:val="Refdenotaalpie"/>
          <w:rFonts w:ascii="Arial" w:hAnsi="Arial" w:cs="Arial"/>
          <w:sz w:val="19"/>
          <w:szCs w:val="19"/>
        </w:rPr>
        <w:footnoteRef/>
      </w:r>
      <w:r w:rsidRPr="00866561">
        <w:rPr>
          <w:rFonts w:ascii="Arial" w:hAnsi="Arial" w:cs="Arial"/>
          <w:sz w:val="19"/>
          <w:szCs w:val="19"/>
        </w:rPr>
        <w:t xml:space="preserve"> </w:t>
      </w:r>
      <w:r w:rsidRPr="00866561">
        <w:rPr>
          <w:rFonts w:ascii="Arial" w:hAnsi="Arial" w:cs="Arial"/>
          <w:sz w:val="19"/>
          <w:szCs w:val="19"/>
          <w:lang w:val="es-CO"/>
        </w:rPr>
        <w:t xml:space="preserve">Estos conceptos pueden consultarse en la página web: </w:t>
      </w:r>
      <w:hyperlink r:id="rId1" w:history="1">
        <w:r w:rsidRPr="00866561">
          <w:rPr>
            <w:rStyle w:val="Hipervnculo"/>
            <w:rFonts w:ascii="Arial" w:hAnsi="Arial" w:cs="Arial"/>
            <w:color w:val="44546A" w:themeColor="text2"/>
            <w:sz w:val="19"/>
            <w:szCs w:val="19"/>
            <w:lang w:val="es-CO"/>
          </w:rPr>
          <w:t>https://relatoria.colombiacompra.gov.co/busqueda/conceptos#</w:t>
        </w:r>
      </w:hyperlink>
      <w:r w:rsidRPr="00866561">
        <w:rPr>
          <w:rFonts w:ascii="Arial" w:hAnsi="Arial" w:cs="Arial"/>
          <w:sz w:val="19"/>
          <w:szCs w:val="19"/>
          <w:lang w:val="es-CO"/>
        </w:rPr>
        <w:t>.</w:t>
      </w:r>
    </w:p>
    <w:p w14:paraId="5BEACC84" w14:textId="77777777" w:rsidR="00114AAC" w:rsidRPr="00866561" w:rsidRDefault="00114AAC" w:rsidP="00114AAC">
      <w:pPr>
        <w:pStyle w:val="Textonotapie"/>
        <w:ind w:firstLine="709"/>
        <w:jc w:val="both"/>
        <w:rPr>
          <w:rFonts w:ascii="Arial" w:hAnsi="Arial" w:cs="Arial"/>
          <w:sz w:val="19"/>
          <w:szCs w:val="19"/>
          <w:lang w:val="es-CO"/>
        </w:rPr>
      </w:pPr>
    </w:p>
  </w:footnote>
  <w:footnote w:id="2">
    <w:p w14:paraId="59B4CAC1" w14:textId="77777777" w:rsidR="00114AAC" w:rsidRPr="00866561" w:rsidRDefault="00114AAC" w:rsidP="00114AAC">
      <w:pPr>
        <w:pStyle w:val="Textonotapie"/>
        <w:ind w:firstLine="709"/>
        <w:jc w:val="both"/>
        <w:rPr>
          <w:rFonts w:ascii="Arial" w:hAnsi="Arial" w:cs="Arial"/>
          <w:color w:val="000000"/>
          <w:sz w:val="19"/>
          <w:szCs w:val="19"/>
          <w:lang w:val="es-ES"/>
        </w:rPr>
      </w:pPr>
      <w:r w:rsidRPr="00866561">
        <w:rPr>
          <w:rStyle w:val="Refdenotaalpie"/>
          <w:rFonts w:ascii="Arial" w:hAnsi="Arial" w:cs="Arial"/>
          <w:color w:val="000000"/>
          <w:sz w:val="19"/>
          <w:szCs w:val="19"/>
        </w:rPr>
        <w:footnoteRef/>
      </w:r>
      <w:r w:rsidRPr="00866561">
        <w:rPr>
          <w:rFonts w:ascii="Arial" w:hAnsi="Arial" w:cs="Arial"/>
          <w:color w:val="000000"/>
          <w:sz w:val="19"/>
          <w:szCs w:val="19"/>
        </w:rPr>
        <w:t xml:space="preserve"> </w:t>
      </w:r>
      <w:r w:rsidRPr="00866561">
        <w:rPr>
          <w:rFonts w:ascii="Arial" w:hAnsi="Arial" w:cs="Arial"/>
          <w:color w:val="000000"/>
          <w:sz w:val="19"/>
          <w:szCs w:val="19"/>
          <w:lang w:val="es-ES"/>
        </w:rPr>
        <w:t>Artículos 2 al 29.</w:t>
      </w:r>
    </w:p>
    <w:p w14:paraId="07D3300C" w14:textId="77777777" w:rsidR="00114AAC" w:rsidRPr="00866561" w:rsidRDefault="00114AAC" w:rsidP="00114AAC">
      <w:pPr>
        <w:pStyle w:val="Textonotapie"/>
        <w:ind w:firstLine="709"/>
        <w:jc w:val="both"/>
        <w:rPr>
          <w:rFonts w:ascii="Arial" w:hAnsi="Arial" w:cs="Arial"/>
          <w:color w:val="000000"/>
          <w:sz w:val="19"/>
          <w:szCs w:val="19"/>
          <w:lang w:val="es-ES"/>
        </w:rPr>
      </w:pPr>
    </w:p>
  </w:footnote>
  <w:footnote w:id="3">
    <w:p w14:paraId="4BE6FF58" w14:textId="77777777" w:rsidR="00114AAC" w:rsidRPr="00866561" w:rsidRDefault="00114AAC" w:rsidP="00114AAC">
      <w:pPr>
        <w:pStyle w:val="Textonotapie"/>
        <w:ind w:firstLine="709"/>
        <w:jc w:val="both"/>
        <w:rPr>
          <w:rFonts w:ascii="Arial" w:hAnsi="Arial" w:cs="Arial"/>
          <w:color w:val="000000"/>
          <w:sz w:val="19"/>
          <w:szCs w:val="19"/>
          <w:lang w:val="es-ES"/>
        </w:rPr>
      </w:pPr>
      <w:r w:rsidRPr="00866561">
        <w:rPr>
          <w:rStyle w:val="Refdenotaalpie"/>
          <w:rFonts w:ascii="Arial" w:hAnsi="Arial" w:cs="Arial"/>
          <w:color w:val="000000"/>
          <w:sz w:val="19"/>
          <w:szCs w:val="19"/>
        </w:rPr>
        <w:footnoteRef/>
      </w:r>
      <w:r w:rsidRPr="00866561">
        <w:rPr>
          <w:rFonts w:ascii="Arial" w:hAnsi="Arial" w:cs="Arial"/>
          <w:color w:val="000000"/>
          <w:sz w:val="19"/>
          <w:szCs w:val="19"/>
        </w:rPr>
        <w:t xml:space="preserve"> </w:t>
      </w:r>
      <w:r w:rsidRPr="00866561">
        <w:rPr>
          <w:rFonts w:ascii="Arial" w:hAnsi="Arial" w:cs="Arial"/>
          <w:color w:val="000000"/>
          <w:sz w:val="19"/>
          <w:szCs w:val="19"/>
          <w:lang w:val="es-ES"/>
        </w:rPr>
        <w:t>Artículos 30 al 36.</w:t>
      </w:r>
    </w:p>
    <w:p w14:paraId="77DEBBA4" w14:textId="77777777" w:rsidR="00114AAC" w:rsidRPr="00866561" w:rsidRDefault="00114AAC" w:rsidP="00114AAC">
      <w:pPr>
        <w:pStyle w:val="Textonotapie"/>
        <w:ind w:firstLine="709"/>
        <w:jc w:val="both"/>
        <w:rPr>
          <w:rFonts w:ascii="Arial" w:hAnsi="Arial" w:cs="Arial"/>
          <w:color w:val="000000"/>
          <w:sz w:val="19"/>
          <w:szCs w:val="19"/>
          <w:lang w:val="es-ES"/>
        </w:rPr>
      </w:pPr>
    </w:p>
  </w:footnote>
  <w:footnote w:id="4">
    <w:p w14:paraId="36D17944" w14:textId="77777777" w:rsidR="00114AAC" w:rsidRPr="00866561" w:rsidRDefault="00114AAC" w:rsidP="00114AAC">
      <w:pPr>
        <w:pStyle w:val="Textonotapie"/>
        <w:ind w:firstLine="709"/>
        <w:jc w:val="both"/>
        <w:rPr>
          <w:rFonts w:ascii="Arial" w:hAnsi="Arial" w:cs="Arial"/>
          <w:color w:val="000000"/>
          <w:sz w:val="19"/>
          <w:szCs w:val="19"/>
          <w:lang w:val="es-ES"/>
        </w:rPr>
      </w:pPr>
      <w:r w:rsidRPr="00866561">
        <w:rPr>
          <w:rStyle w:val="Refdenotaalpie"/>
          <w:rFonts w:ascii="Arial" w:hAnsi="Arial" w:cs="Arial"/>
          <w:color w:val="000000"/>
          <w:sz w:val="19"/>
          <w:szCs w:val="19"/>
        </w:rPr>
        <w:footnoteRef/>
      </w:r>
      <w:r w:rsidRPr="00866561">
        <w:rPr>
          <w:rFonts w:ascii="Arial" w:hAnsi="Arial" w:cs="Arial"/>
          <w:color w:val="000000"/>
          <w:sz w:val="19"/>
          <w:szCs w:val="19"/>
        </w:rPr>
        <w:t xml:space="preserve"> </w:t>
      </w:r>
      <w:r w:rsidRPr="00866561">
        <w:rPr>
          <w:rFonts w:ascii="Arial" w:hAnsi="Arial" w:cs="Arial"/>
          <w:color w:val="000000"/>
          <w:sz w:val="19"/>
          <w:szCs w:val="19"/>
          <w:lang w:val="es-ES"/>
        </w:rPr>
        <w:t>Artículos 37 al 45.</w:t>
      </w:r>
    </w:p>
    <w:p w14:paraId="1D25F4C1" w14:textId="77777777" w:rsidR="00114AAC" w:rsidRPr="00866561" w:rsidRDefault="00114AAC" w:rsidP="00114AAC">
      <w:pPr>
        <w:pStyle w:val="Textonotapie"/>
        <w:ind w:firstLine="709"/>
        <w:jc w:val="both"/>
        <w:rPr>
          <w:rFonts w:ascii="Arial" w:hAnsi="Arial" w:cs="Arial"/>
          <w:color w:val="000000"/>
          <w:sz w:val="19"/>
          <w:szCs w:val="19"/>
          <w:lang w:val="es-ES"/>
        </w:rPr>
      </w:pPr>
    </w:p>
  </w:footnote>
  <w:footnote w:id="5">
    <w:p w14:paraId="542B5BCA" w14:textId="77777777" w:rsidR="00114AAC" w:rsidRPr="00866561" w:rsidRDefault="00114AAC" w:rsidP="00114AAC">
      <w:pPr>
        <w:pStyle w:val="Textonotapie"/>
        <w:ind w:firstLine="709"/>
        <w:jc w:val="both"/>
        <w:rPr>
          <w:rFonts w:ascii="Arial" w:hAnsi="Arial" w:cs="Arial"/>
          <w:color w:val="000000"/>
          <w:sz w:val="19"/>
          <w:szCs w:val="19"/>
          <w:lang w:val="es-ES"/>
        </w:rPr>
      </w:pPr>
      <w:r w:rsidRPr="00866561">
        <w:rPr>
          <w:rStyle w:val="Refdenotaalpie"/>
          <w:rFonts w:ascii="Arial" w:hAnsi="Arial" w:cs="Arial"/>
          <w:color w:val="000000"/>
          <w:sz w:val="19"/>
          <w:szCs w:val="19"/>
        </w:rPr>
        <w:footnoteRef/>
      </w:r>
      <w:r w:rsidRPr="00866561">
        <w:rPr>
          <w:rFonts w:ascii="Arial" w:hAnsi="Arial" w:cs="Arial"/>
          <w:color w:val="000000"/>
          <w:sz w:val="19"/>
          <w:szCs w:val="19"/>
        </w:rPr>
        <w:t xml:space="preserve"> </w:t>
      </w:r>
      <w:r w:rsidRPr="00866561">
        <w:rPr>
          <w:rFonts w:ascii="Arial" w:hAnsi="Arial" w:cs="Arial"/>
          <w:color w:val="000000"/>
          <w:sz w:val="19"/>
          <w:szCs w:val="19"/>
          <w:lang w:val="es-ES"/>
        </w:rPr>
        <w:t>Artículos 46 al 73.</w:t>
      </w:r>
    </w:p>
    <w:p w14:paraId="1E6D3FC2" w14:textId="77777777" w:rsidR="00114AAC" w:rsidRPr="00866561" w:rsidRDefault="00114AAC" w:rsidP="00114AAC">
      <w:pPr>
        <w:pStyle w:val="Textonotapie"/>
        <w:ind w:firstLine="709"/>
        <w:jc w:val="both"/>
        <w:rPr>
          <w:rFonts w:ascii="Arial" w:hAnsi="Arial" w:cs="Arial"/>
          <w:color w:val="000000"/>
          <w:sz w:val="19"/>
          <w:szCs w:val="19"/>
          <w:lang w:val="es-ES"/>
        </w:rPr>
      </w:pPr>
    </w:p>
  </w:footnote>
  <w:footnote w:id="6">
    <w:p w14:paraId="6033B41D" w14:textId="77777777" w:rsidR="00114AAC" w:rsidRPr="00866561" w:rsidRDefault="00114AAC" w:rsidP="00114AAC">
      <w:pPr>
        <w:pStyle w:val="Textonotapie"/>
        <w:ind w:firstLine="709"/>
        <w:jc w:val="both"/>
        <w:rPr>
          <w:rFonts w:ascii="Arial" w:hAnsi="Arial" w:cs="Arial"/>
          <w:color w:val="000000"/>
          <w:sz w:val="19"/>
          <w:szCs w:val="19"/>
          <w:lang w:val="es-ES"/>
        </w:rPr>
      </w:pPr>
      <w:r w:rsidRPr="00866561">
        <w:rPr>
          <w:rStyle w:val="Refdenotaalpie"/>
          <w:rFonts w:ascii="Arial" w:hAnsi="Arial" w:cs="Arial"/>
          <w:color w:val="000000"/>
          <w:sz w:val="19"/>
          <w:szCs w:val="19"/>
        </w:rPr>
        <w:footnoteRef/>
      </w:r>
      <w:r w:rsidRPr="00866561">
        <w:rPr>
          <w:rFonts w:ascii="Arial" w:hAnsi="Arial" w:cs="Arial"/>
          <w:color w:val="000000"/>
          <w:sz w:val="19"/>
          <w:szCs w:val="19"/>
        </w:rPr>
        <w:t xml:space="preserve"> </w:t>
      </w:r>
      <w:r w:rsidRPr="00866561">
        <w:rPr>
          <w:rFonts w:ascii="Arial" w:hAnsi="Arial" w:cs="Arial"/>
          <w:color w:val="000000"/>
          <w:sz w:val="19"/>
          <w:szCs w:val="19"/>
          <w:lang w:val="es-ES"/>
        </w:rPr>
        <w:t>Artículos 74 al 83.</w:t>
      </w:r>
    </w:p>
    <w:p w14:paraId="3A91B70B" w14:textId="77777777" w:rsidR="00114AAC" w:rsidRPr="00866561" w:rsidRDefault="00114AAC" w:rsidP="00114AAC">
      <w:pPr>
        <w:pStyle w:val="Textonotapie"/>
        <w:ind w:firstLine="709"/>
        <w:jc w:val="both"/>
        <w:rPr>
          <w:rFonts w:ascii="Arial" w:hAnsi="Arial" w:cs="Arial"/>
          <w:color w:val="000000"/>
          <w:sz w:val="19"/>
          <w:szCs w:val="19"/>
          <w:lang w:val="es-ES"/>
        </w:rPr>
      </w:pPr>
    </w:p>
  </w:footnote>
  <w:footnote w:id="7">
    <w:p w14:paraId="0327FA2A" w14:textId="77777777" w:rsidR="00114AAC" w:rsidRPr="00866561" w:rsidRDefault="00114AAC" w:rsidP="00114AAC">
      <w:pPr>
        <w:pStyle w:val="Textonotapie"/>
        <w:ind w:firstLine="709"/>
        <w:jc w:val="both"/>
        <w:rPr>
          <w:rFonts w:ascii="Arial" w:hAnsi="Arial" w:cs="Arial"/>
          <w:color w:val="000000"/>
          <w:sz w:val="19"/>
          <w:szCs w:val="19"/>
        </w:rPr>
      </w:pPr>
      <w:r w:rsidRPr="00866561">
        <w:rPr>
          <w:rStyle w:val="Refdenotaalpie"/>
          <w:rFonts w:ascii="Arial" w:hAnsi="Arial" w:cs="Arial"/>
          <w:color w:val="000000"/>
          <w:sz w:val="19"/>
          <w:szCs w:val="19"/>
        </w:rPr>
        <w:footnoteRef/>
      </w:r>
      <w:r w:rsidRPr="00866561">
        <w:rPr>
          <w:rFonts w:ascii="Arial" w:hAnsi="Arial" w:cs="Arial"/>
          <w:color w:val="000000"/>
          <w:sz w:val="19"/>
          <w:szCs w:val="19"/>
        </w:rPr>
        <w:t xml:space="preserve"> </w:t>
      </w:r>
      <w:r w:rsidRPr="00866561">
        <w:rPr>
          <w:rFonts w:ascii="Arial" w:hAnsi="Arial" w:cs="Arial"/>
          <w:bCs/>
          <w:color w:val="000000"/>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866561">
        <w:rPr>
          <w:rFonts w:ascii="Arial" w:hAnsi="Arial" w:cs="Arial"/>
          <w:color w:val="000000"/>
          <w:sz w:val="19"/>
          <w:szCs w:val="19"/>
        </w:rPr>
        <w:t xml:space="preserve">CONSEJO NACIONAL DE POLÍTICA ECONÓMICA Y SOCIAL. Documento 3956 del 8 de enero de 2019: «Política de formalización empresarial». Archivo consultado el 8 de febrero de 2021 en la página web </w:t>
      </w:r>
      <w:hyperlink r:id="rId2" w:history="1">
        <w:r w:rsidRPr="00866561">
          <w:rPr>
            <w:rStyle w:val="Hipervnculo"/>
            <w:rFonts w:ascii="Arial" w:hAnsi="Arial" w:cs="Arial"/>
            <w:color w:val="000000"/>
            <w:sz w:val="19"/>
            <w:szCs w:val="19"/>
          </w:rPr>
          <w:t>https://colaboracion.dnp.gov.co/CDT/Conpes/Econ%C3%B3micos/3956.pdf</w:t>
        </w:r>
      </w:hyperlink>
      <w:r w:rsidRPr="00866561">
        <w:rPr>
          <w:rFonts w:ascii="Arial" w:hAnsi="Arial" w:cs="Arial"/>
          <w:color w:val="000000"/>
          <w:sz w:val="19"/>
          <w:szCs w:val="19"/>
        </w:rPr>
        <w:t xml:space="preserve">). </w:t>
      </w:r>
    </w:p>
    <w:p w14:paraId="2FB4D694" w14:textId="77777777" w:rsidR="00114AAC" w:rsidRPr="00866561" w:rsidRDefault="00114AAC" w:rsidP="00114AAC">
      <w:pPr>
        <w:pStyle w:val="Textonotapie"/>
        <w:ind w:firstLine="709"/>
        <w:jc w:val="both"/>
        <w:rPr>
          <w:rFonts w:ascii="Arial" w:hAnsi="Arial" w:cs="Arial"/>
          <w:color w:val="000000"/>
          <w:sz w:val="19"/>
          <w:szCs w:val="19"/>
          <w:lang w:val="es-ES"/>
        </w:rPr>
      </w:pPr>
    </w:p>
  </w:footnote>
  <w:footnote w:id="8">
    <w:p w14:paraId="4798C3E2" w14:textId="77777777" w:rsidR="00114AAC" w:rsidRDefault="00114AAC" w:rsidP="00114AAC">
      <w:pPr>
        <w:pStyle w:val="Textonotapie"/>
        <w:ind w:firstLine="709"/>
        <w:jc w:val="both"/>
        <w:rPr>
          <w:rFonts w:ascii="Arial" w:hAnsi="Arial" w:cs="Arial"/>
          <w:color w:val="000000"/>
          <w:sz w:val="19"/>
          <w:szCs w:val="19"/>
        </w:rPr>
      </w:pPr>
      <w:r w:rsidRPr="00866561">
        <w:rPr>
          <w:rStyle w:val="Refdenotaalpie"/>
          <w:rFonts w:ascii="Arial" w:hAnsi="Arial" w:cs="Arial"/>
          <w:color w:val="000000"/>
          <w:sz w:val="19"/>
          <w:szCs w:val="19"/>
        </w:rPr>
        <w:footnoteRef/>
      </w:r>
      <w:r w:rsidRPr="00866561">
        <w:rPr>
          <w:rFonts w:ascii="Arial" w:hAnsi="Arial" w:cs="Arial"/>
          <w:color w:val="000000"/>
          <w:sz w:val="19"/>
          <w:szCs w:val="19"/>
        </w:rPr>
        <w:t xml:space="preserve"> CONGRESO DE LA REPÚBLICA. Gaceta No. 670 del 11 de agosto de 2020. Exposición de motivos del Proyecto de Ley No. 122 de 2020 Cámara. p. 13. </w:t>
      </w:r>
    </w:p>
    <w:p w14:paraId="4A9F96F5" w14:textId="77777777" w:rsidR="00114AAC" w:rsidRPr="00866561" w:rsidRDefault="00114AAC" w:rsidP="00114AAC">
      <w:pPr>
        <w:pStyle w:val="Textonotapie"/>
        <w:ind w:firstLine="709"/>
        <w:jc w:val="both"/>
        <w:rPr>
          <w:rFonts w:ascii="Arial" w:hAnsi="Arial" w:cs="Arial"/>
          <w:color w:val="000000"/>
          <w:sz w:val="19"/>
          <w:szCs w:val="19"/>
          <w:lang w:val="es-ES"/>
        </w:rPr>
      </w:pPr>
    </w:p>
  </w:footnote>
  <w:footnote w:id="9">
    <w:p w14:paraId="676F1762" w14:textId="77777777" w:rsidR="00114AAC" w:rsidRPr="00866561" w:rsidRDefault="00114AAC" w:rsidP="00114AAC">
      <w:pPr>
        <w:ind w:firstLine="709"/>
        <w:jc w:val="both"/>
        <w:rPr>
          <w:rFonts w:ascii="Arial" w:hAnsi="Arial" w:cs="Arial"/>
          <w:sz w:val="19"/>
          <w:szCs w:val="19"/>
        </w:rPr>
      </w:pPr>
      <w:r w:rsidRPr="00866561">
        <w:rPr>
          <w:rStyle w:val="Refdenotaalpie"/>
          <w:rFonts w:ascii="Arial" w:hAnsi="Arial" w:cs="Arial"/>
          <w:sz w:val="19"/>
          <w:szCs w:val="19"/>
        </w:rPr>
        <w:footnoteRef/>
      </w:r>
      <w:r w:rsidRPr="00866561">
        <w:rPr>
          <w:rFonts w:ascii="Arial" w:hAnsi="Arial" w:cs="Arial"/>
          <w:sz w:val="19"/>
          <w:szCs w:val="19"/>
        </w:rPr>
        <w:t xml:space="preserve"> </w:t>
      </w:r>
      <w:r w:rsidRPr="00866561">
        <w:rPr>
          <w:rFonts w:ascii="Arial" w:hAnsi="Arial" w:cs="Arial"/>
          <w:sz w:val="19"/>
          <w:szCs w:val="19"/>
          <w:lang w:val="es-ES"/>
        </w:rPr>
        <w:t>En efecto, el artículo 34 de la Ley 2069 de 2020 establece: «</w:t>
      </w:r>
      <w:r w:rsidRPr="00866561">
        <w:rPr>
          <w:rFonts w:ascii="Arial" w:hAnsi="Arial" w:cs="Arial"/>
          <w:sz w:val="19"/>
          <w:szCs w:val="19"/>
        </w:rPr>
        <w:t xml:space="preserve">Modifíquese el artículo 12 de la Ley 1150 de 2007, el cual quedará así: </w:t>
      </w:r>
    </w:p>
    <w:p w14:paraId="2BE0F766" w14:textId="77777777" w:rsidR="00114AAC" w:rsidRPr="00866561" w:rsidRDefault="00114AAC" w:rsidP="00114AAC">
      <w:pPr>
        <w:ind w:firstLine="709"/>
        <w:jc w:val="both"/>
        <w:rPr>
          <w:rFonts w:ascii="Arial" w:eastAsia="Calibri" w:hAnsi="Arial" w:cs="Arial"/>
          <w:color w:val="000000"/>
          <w:sz w:val="19"/>
          <w:szCs w:val="19"/>
          <w:lang w:val="es-ES_tradnl"/>
        </w:rPr>
      </w:pPr>
      <w:r w:rsidRPr="00866561">
        <w:rPr>
          <w:rFonts w:ascii="Arial" w:eastAsia="Calibri" w:hAnsi="Arial" w:cs="Arial"/>
          <w:color w:val="000000"/>
          <w:sz w:val="19"/>
          <w:szCs w:val="19"/>
        </w:rPr>
        <w:t>»</w:t>
      </w:r>
      <w:r w:rsidRPr="00866561">
        <w:rPr>
          <w:rFonts w:ascii="Arial" w:eastAsia="Calibri" w:hAnsi="Arial" w:cs="Arial"/>
          <w:color w:val="000000"/>
          <w:sz w:val="19"/>
          <w:szCs w:val="19"/>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707FD400" w14:textId="77777777" w:rsidR="00114AAC" w:rsidRPr="00866561" w:rsidRDefault="00114AAC" w:rsidP="00114AAC">
      <w:pPr>
        <w:ind w:firstLine="709"/>
        <w:jc w:val="both"/>
        <w:rPr>
          <w:rFonts w:ascii="Arial" w:eastAsia="Calibri" w:hAnsi="Arial" w:cs="Arial"/>
          <w:color w:val="000000"/>
          <w:sz w:val="19"/>
          <w:szCs w:val="19"/>
          <w:lang w:val="es-ES_tradnl"/>
        </w:rPr>
      </w:pPr>
      <w:r w:rsidRPr="00866561">
        <w:rPr>
          <w:rFonts w:ascii="Arial" w:eastAsia="Calibri" w:hAnsi="Arial" w:cs="Arial"/>
          <w:color w:val="000000"/>
          <w:sz w:val="19"/>
          <w:szCs w:val="19"/>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72F4FCEE" w14:textId="77777777" w:rsidR="00114AAC" w:rsidRPr="00866561" w:rsidRDefault="00114AAC" w:rsidP="00114AAC">
      <w:pPr>
        <w:ind w:firstLine="709"/>
        <w:jc w:val="both"/>
        <w:rPr>
          <w:rFonts w:ascii="Arial" w:eastAsia="Calibri" w:hAnsi="Arial" w:cs="Arial"/>
          <w:color w:val="000000"/>
          <w:sz w:val="19"/>
          <w:szCs w:val="19"/>
          <w:lang w:val="es-ES_tradnl"/>
        </w:rPr>
      </w:pPr>
      <w:r w:rsidRPr="00866561">
        <w:rPr>
          <w:rFonts w:ascii="Arial" w:eastAsia="Calibri" w:hAnsi="Arial" w:cs="Arial"/>
          <w:color w:val="000000"/>
          <w:sz w:val="19"/>
          <w:szCs w:val="19"/>
          <w:lang w:val="es-ES_tradnl"/>
        </w:rPr>
        <w:t>»En todo caso, se deberá garantizar la satisfacción de las condiciones técnicas y económicas requeridas en el Proceso de Contratación.</w:t>
      </w:r>
    </w:p>
    <w:p w14:paraId="3B983D42" w14:textId="77777777" w:rsidR="00114AAC" w:rsidRPr="00866561" w:rsidRDefault="00114AAC" w:rsidP="00114AAC">
      <w:pPr>
        <w:ind w:firstLine="709"/>
        <w:jc w:val="both"/>
        <w:rPr>
          <w:rFonts w:ascii="Arial" w:eastAsia="Calibri" w:hAnsi="Arial" w:cs="Arial"/>
          <w:color w:val="000000"/>
          <w:sz w:val="19"/>
          <w:szCs w:val="19"/>
          <w:lang w:val="es-ES_tradnl"/>
        </w:rPr>
      </w:pPr>
      <w:r w:rsidRPr="00866561">
        <w:rPr>
          <w:rFonts w:ascii="Arial" w:eastAsia="Calibri" w:hAnsi="Arial" w:cs="Arial"/>
          <w:color w:val="000000"/>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5A72DE1F" w14:textId="77777777" w:rsidR="00114AAC" w:rsidRPr="00866561" w:rsidRDefault="00114AAC" w:rsidP="00114AAC">
      <w:pPr>
        <w:ind w:firstLine="709"/>
        <w:jc w:val="both"/>
        <w:rPr>
          <w:rFonts w:ascii="Arial" w:eastAsia="Calibri" w:hAnsi="Arial" w:cs="Arial"/>
          <w:color w:val="000000"/>
          <w:sz w:val="19"/>
          <w:szCs w:val="19"/>
          <w:lang w:val="es-ES_tradnl"/>
        </w:rPr>
      </w:pPr>
      <w:r w:rsidRPr="00866561">
        <w:rPr>
          <w:rFonts w:ascii="Arial" w:eastAsia="Calibri" w:hAnsi="Arial" w:cs="Arial"/>
          <w:color w:val="000000"/>
          <w:sz w:val="19"/>
          <w:szCs w:val="19"/>
          <w:lang w:val="es-ES_tradnl"/>
        </w:rPr>
        <w:t>»Parágrafo Primero. En los Procesos de Contratación que se desarrollen con base en el primer inciso, las entidades podrán realizar las convocatorias limitadas que beneficien a las Mipyme del ámbito municipal o departamental correspondiente al de la ejecución del contrato.</w:t>
      </w:r>
    </w:p>
    <w:p w14:paraId="03C0409A" w14:textId="77777777" w:rsidR="00114AAC" w:rsidRPr="00866561" w:rsidRDefault="00114AAC" w:rsidP="00114AAC">
      <w:pPr>
        <w:ind w:firstLine="709"/>
        <w:jc w:val="both"/>
        <w:rPr>
          <w:rFonts w:ascii="Arial" w:eastAsia="Calibri" w:hAnsi="Arial" w:cs="Arial"/>
          <w:color w:val="000000"/>
          <w:sz w:val="19"/>
          <w:szCs w:val="19"/>
          <w:lang w:val="es-ES_tradnl"/>
        </w:rPr>
      </w:pPr>
      <w:r w:rsidRPr="00866561">
        <w:rPr>
          <w:rFonts w:ascii="Arial" w:eastAsia="Calibri" w:hAnsi="Arial" w:cs="Arial"/>
          <w:color w:val="000000"/>
          <w:sz w:val="19"/>
          <w:szCs w:val="19"/>
          <w:lang w:val="es-ES_tradnl"/>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017B18A9" w14:textId="77777777" w:rsidR="00114AAC" w:rsidRPr="00866561" w:rsidRDefault="00114AAC" w:rsidP="00114AAC">
      <w:pPr>
        <w:ind w:firstLine="709"/>
        <w:jc w:val="both"/>
        <w:rPr>
          <w:rFonts w:ascii="Arial" w:eastAsia="Calibri" w:hAnsi="Arial" w:cs="Arial"/>
          <w:color w:val="000000"/>
          <w:sz w:val="19"/>
          <w:szCs w:val="19"/>
          <w:lang w:val="es-ES_tradnl"/>
        </w:rPr>
      </w:pPr>
      <w:r w:rsidRPr="00866561">
        <w:rPr>
          <w:rFonts w:ascii="Arial" w:eastAsia="Calibri" w:hAnsi="Arial" w:cs="Arial"/>
          <w:color w:val="000000"/>
          <w:sz w:val="19"/>
          <w:szCs w:val="19"/>
          <w:lang w:val="es-ES_tradnl"/>
        </w:rPr>
        <w:t xml:space="preserve">»Parágrafo Tercero. En la ejecución de los contratos a que se refiere el presente artículo, las entidades y los contratistas, deberán observar lo dispuesto en los artículos 90 a 95 de la Ley 418 de 1997 y las normas que la modifiquen, adicionen o subroguen."»  </w:t>
      </w:r>
    </w:p>
    <w:p w14:paraId="6A6DAE29" w14:textId="77777777" w:rsidR="00114AAC" w:rsidRPr="00866561" w:rsidRDefault="00114AAC" w:rsidP="00114AAC">
      <w:pPr>
        <w:pStyle w:val="Textonotapie"/>
        <w:ind w:firstLine="709"/>
        <w:jc w:val="both"/>
        <w:rPr>
          <w:rFonts w:ascii="Arial" w:hAnsi="Arial" w:cs="Arial"/>
          <w:sz w:val="19"/>
          <w:szCs w:val="19"/>
          <w:lang w:val="es-ES_tradnl"/>
        </w:rPr>
      </w:pPr>
    </w:p>
  </w:footnote>
  <w:footnote w:id="10">
    <w:p w14:paraId="0CBF3F87" w14:textId="77777777" w:rsidR="00114AAC" w:rsidRPr="00866561" w:rsidRDefault="00114AAC" w:rsidP="00114AAC">
      <w:pPr>
        <w:pStyle w:val="Textonotapie"/>
        <w:ind w:firstLine="708"/>
        <w:jc w:val="both"/>
        <w:rPr>
          <w:rFonts w:ascii="Arial" w:hAnsi="Arial" w:cs="Arial"/>
          <w:sz w:val="19"/>
          <w:szCs w:val="19"/>
        </w:rPr>
      </w:pPr>
      <w:r w:rsidRPr="00866561">
        <w:rPr>
          <w:rStyle w:val="Refdenotaalpie"/>
          <w:rFonts w:ascii="Arial" w:hAnsi="Arial" w:cs="Arial"/>
          <w:sz w:val="19"/>
          <w:szCs w:val="19"/>
        </w:rPr>
        <w:footnoteRef/>
      </w:r>
      <w:r w:rsidRPr="00866561">
        <w:rPr>
          <w:rFonts w:ascii="Arial" w:hAnsi="Arial" w:cs="Arial"/>
          <w:sz w:val="19"/>
          <w:szCs w:val="19"/>
        </w:rPr>
        <w:t xml:space="preserve"> El fenómeno de la subrogación ha sido explicado por la Corte Constitucional</w:t>
      </w:r>
      <w:r w:rsidRPr="004A03F5">
        <w:rPr>
          <w:rFonts w:ascii="Arial" w:hAnsi="Arial" w:cs="Arial"/>
          <w:sz w:val="19"/>
          <w:szCs w:val="19"/>
        </w:rPr>
        <w:t xml:space="preserve">, en sentencias como la </w:t>
      </w:r>
      <w:r w:rsidRPr="004A03F5">
        <w:rPr>
          <w:rFonts w:ascii="Arial" w:hAnsi="Arial" w:cs="Arial"/>
          <w:sz w:val="19"/>
          <w:szCs w:val="19"/>
          <w:lang w:val="es-ES"/>
        </w:rPr>
        <w:t>C-502 de 2012</w:t>
      </w:r>
      <w:r>
        <w:rPr>
          <w:rFonts w:ascii="Arial" w:hAnsi="Arial" w:cs="Arial"/>
          <w:sz w:val="19"/>
          <w:szCs w:val="19"/>
          <w:lang w:val="es-ES"/>
        </w:rPr>
        <w:t xml:space="preserve">, </w:t>
      </w:r>
      <w:r w:rsidRPr="004A03F5">
        <w:rPr>
          <w:rFonts w:ascii="Arial" w:hAnsi="Arial" w:cs="Arial"/>
          <w:sz w:val="19"/>
          <w:szCs w:val="19"/>
          <w:lang w:val="es-ES"/>
        </w:rPr>
        <w:t>Magistrada Ponente: Adriana María Guillén Arango,</w:t>
      </w:r>
      <w:r w:rsidRPr="00866561">
        <w:rPr>
          <w:rFonts w:ascii="Arial" w:hAnsi="Arial" w:cs="Arial"/>
          <w:sz w:val="19"/>
          <w:szCs w:val="19"/>
        </w:rPr>
        <w:t xml:space="preserve"> en los siguientes términos: «</w:t>
      </w:r>
      <w:r w:rsidRPr="00866561">
        <w:rPr>
          <w:rFonts w:ascii="Arial" w:eastAsia="Calibri" w:hAnsi="Arial" w:cs="Arial"/>
          <w:sz w:val="19"/>
          <w:szCs w:val="19"/>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866561">
        <w:rPr>
          <w:rFonts w:ascii="Arial" w:hAnsi="Arial" w:cs="Arial"/>
          <w:color w:val="000000"/>
          <w:sz w:val="19"/>
          <w:szCs w:val="19"/>
        </w:rPr>
        <w:t>»</w:t>
      </w:r>
      <w:r>
        <w:rPr>
          <w:rFonts w:ascii="Arial" w:hAnsi="Arial" w:cs="Arial"/>
          <w:color w:val="000000"/>
          <w:sz w:val="19"/>
          <w:szCs w:val="19"/>
        </w:rPr>
        <w:t xml:space="preserve">. </w:t>
      </w:r>
    </w:p>
    <w:p w14:paraId="1FF4DAD0" w14:textId="77777777" w:rsidR="00114AAC" w:rsidRPr="00866561" w:rsidRDefault="00114AAC" w:rsidP="00114AAC">
      <w:pPr>
        <w:pStyle w:val="Textonotapie"/>
        <w:ind w:firstLine="708"/>
        <w:jc w:val="both"/>
        <w:rPr>
          <w:rFonts w:ascii="Arial" w:hAnsi="Arial" w:cs="Arial"/>
          <w:sz w:val="19"/>
          <w:szCs w:val="19"/>
          <w:lang w:val="es-ES"/>
        </w:rPr>
      </w:pPr>
      <w:r w:rsidRPr="00866561">
        <w:rPr>
          <w:rFonts w:ascii="Arial" w:hAnsi="Arial" w:cs="Arial"/>
          <w:sz w:val="19"/>
          <w:szCs w:val="19"/>
        </w:rPr>
        <w:t xml:space="preserve"> </w:t>
      </w:r>
    </w:p>
  </w:footnote>
  <w:footnote w:id="11">
    <w:p w14:paraId="0F7B1CF5" w14:textId="77777777" w:rsidR="00114AAC" w:rsidRDefault="00114AAC" w:rsidP="00114AAC">
      <w:pPr>
        <w:pStyle w:val="Textonotapie"/>
        <w:ind w:firstLine="708"/>
        <w:jc w:val="both"/>
        <w:rPr>
          <w:rFonts w:ascii="Arial" w:hAnsi="Arial" w:cs="Arial"/>
          <w:sz w:val="19"/>
          <w:szCs w:val="19"/>
        </w:rPr>
      </w:pPr>
      <w:r w:rsidRPr="00866561">
        <w:rPr>
          <w:rStyle w:val="Refdenotaalpie"/>
          <w:rFonts w:ascii="Arial" w:hAnsi="Arial" w:cs="Arial"/>
          <w:sz w:val="19"/>
          <w:szCs w:val="19"/>
        </w:rPr>
        <w:footnoteRef/>
      </w:r>
      <w:r w:rsidRPr="00866561">
        <w:rPr>
          <w:rFonts w:ascii="Arial" w:hAnsi="Arial" w:cs="Arial"/>
          <w:sz w:val="19"/>
          <w:szCs w:val="19"/>
        </w:rPr>
        <w:t xml:space="preserve"> Dicho artículo establecía que: «</w:t>
      </w:r>
      <w:r w:rsidRPr="00866561">
        <w:rPr>
          <w:rFonts w:ascii="Arial" w:hAnsi="Arial" w:cs="Arial"/>
          <w:color w:val="000000"/>
          <w:sz w:val="19"/>
          <w:szCs w:val="19"/>
        </w:rPr>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 </w:t>
      </w:r>
      <w:r w:rsidRPr="00866561">
        <w:rPr>
          <w:rFonts w:ascii="Arial" w:hAnsi="Arial" w:cs="Arial"/>
          <w:sz w:val="19"/>
          <w:szCs w:val="19"/>
        </w:rPr>
        <w:t xml:space="preserve"> </w:t>
      </w:r>
    </w:p>
    <w:p w14:paraId="011289BF" w14:textId="77777777" w:rsidR="00114AAC" w:rsidRPr="00866561" w:rsidRDefault="00114AAC" w:rsidP="00114AAC">
      <w:pPr>
        <w:pStyle w:val="Textonotapie"/>
        <w:ind w:firstLine="708"/>
        <w:jc w:val="both"/>
        <w:rPr>
          <w:rFonts w:ascii="Arial" w:hAnsi="Arial" w:cs="Arial"/>
          <w:sz w:val="19"/>
          <w:szCs w:val="19"/>
          <w:lang w:val="es-CO"/>
        </w:rPr>
      </w:pPr>
    </w:p>
  </w:footnote>
  <w:footnote w:id="12">
    <w:p w14:paraId="3F3B1457" w14:textId="77777777" w:rsidR="00114AAC" w:rsidRDefault="00114AAC" w:rsidP="00114AAC">
      <w:pPr>
        <w:pStyle w:val="Textonotapie"/>
        <w:ind w:firstLine="708"/>
        <w:jc w:val="both"/>
        <w:rPr>
          <w:rFonts w:ascii="Arial" w:hAnsi="Arial" w:cs="Arial"/>
          <w:sz w:val="19"/>
          <w:szCs w:val="19"/>
        </w:rPr>
      </w:pPr>
      <w:r w:rsidRPr="00866561">
        <w:rPr>
          <w:rStyle w:val="Refdenotaalpie"/>
          <w:rFonts w:ascii="Arial" w:hAnsi="Arial" w:cs="Arial"/>
          <w:sz w:val="19"/>
          <w:szCs w:val="19"/>
        </w:rPr>
        <w:footnoteRef/>
      </w:r>
      <w:r w:rsidRPr="00866561">
        <w:rPr>
          <w:rFonts w:ascii="Arial" w:hAnsi="Arial" w:cs="Arial"/>
          <w:sz w:val="19"/>
          <w:szCs w:val="19"/>
        </w:rPr>
        <w:t xml:space="preserve">  Agencia Nacional de Contratación Pública – Colombia Compra Eficiente. Concepto C-045 del 17 de marzo de 2020. Radicado de salida No. 2202013000001974.</w:t>
      </w:r>
    </w:p>
    <w:p w14:paraId="58883109" w14:textId="77777777" w:rsidR="00114AAC" w:rsidRPr="00866561" w:rsidRDefault="00114AAC" w:rsidP="00114AAC">
      <w:pPr>
        <w:pStyle w:val="Textonotapie"/>
        <w:ind w:firstLine="708"/>
        <w:jc w:val="both"/>
        <w:rPr>
          <w:rFonts w:ascii="Arial" w:hAnsi="Arial" w:cs="Arial"/>
          <w:sz w:val="19"/>
          <w:szCs w:val="19"/>
        </w:rPr>
      </w:pPr>
    </w:p>
  </w:footnote>
  <w:footnote w:id="13">
    <w:p w14:paraId="7BCE0CFE" w14:textId="77777777" w:rsidR="00114AAC" w:rsidRPr="00866561" w:rsidRDefault="00114AAC" w:rsidP="00114AAC">
      <w:pPr>
        <w:ind w:firstLine="708"/>
        <w:jc w:val="both"/>
        <w:rPr>
          <w:rFonts w:ascii="Arial" w:hAnsi="Arial" w:cs="Arial"/>
          <w:sz w:val="19"/>
          <w:szCs w:val="19"/>
        </w:rPr>
      </w:pPr>
      <w:r w:rsidRPr="00866561">
        <w:rPr>
          <w:rStyle w:val="Refdenotaalpie"/>
          <w:rFonts w:ascii="Arial" w:hAnsi="Arial" w:cs="Arial"/>
          <w:sz w:val="19"/>
          <w:szCs w:val="19"/>
        </w:rPr>
        <w:footnoteRef/>
      </w:r>
      <w:r w:rsidRPr="00866561">
        <w:rPr>
          <w:rFonts w:ascii="Arial" w:hAnsi="Arial" w:cs="Arial"/>
          <w:sz w:val="19"/>
          <w:szCs w:val="19"/>
        </w:rPr>
        <w:t xml:space="preserve"> SUPERINTENDENCIA DE SOCIEDADES. Oficio 220-065565 del 22 de agosto de 2012. </w:t>
      </w:r>
    </w:p>
    <w:p w14:paraId="2AD56D9A" w14:textId="77777777" w:rsidR="00114AAC" w:rsidRPr="00866561" w:rsidRDefault="00114AAC" w:rsidP="00114AAC">
      <w:pPr>
        <w:ind w:firstLine="708"/>
        <w:jc w:val="both"/>
        <w:rPr>
          <w:rFonts w:ascii="Arial" w:hAnsi="Arial" w:cs="Arial"/>
          <w:sz w:val="19"/>
          <w:szCs w:val="19"/>
          <w:lang w:val="es-ES"/>
        </w:rPr>
      </w:pPr>
    </w:p>
  </w:footnote>
  <w:footnote w:id="14">
    <w:p w14:paraId="58DA7433" w14:textId="77777777" w:rsidR="00114AAC" w:rsidRPr="00866561" w:rsidRDefault="00114AAC" w:rsidP="00114AAC">
      <w:pPr>
        <w:pStyle w:val="Textonotapie"/>
        <w:ind w:firstLine="708"/>
        <w:jc w:val="both"/>
        <w:rPr>
          <w:rFonts w:ascii="Arial" w:hAnsi="Arial" w:cs="Arial"/>
          <w:sz w:val="19"/>
          <w:szCs w:val="19"/>
        </w:rPr>
      </w:pPr>
      <w:r w:rsidRPr="00866561">
        <w:rPr>
          <w:rStyle w:val="Refdenotaalpie"/>
          <w:rFonts w:ascii="Arial" w:hAnsi="Arial" w:cs="Arial"/>
          <w:sz w:val="19"/>
          <w:szCs w:val="19"/>
        </w:rPr>
        <w:footnoteRef/>
      </w:r>
      <w:r w:rsidRPr="00866561">
        <w:rPr>
          <w:rFonts w:ascii="Arial" w:hAnsi="Arial" w:cs="Arial"/>
          <w:sz w:val="19"/>
          <w:szCs w:val="19"/>
        </w:rPr>
        <w:t xml:space="preserve"> </w:t>
      </w:r>
      <w:bookmarkStart w:id="4" w:name="76"/>
      <w:r w:rsidRPr="00866561">
        <w:rPr>
          <w:rFonts w:ascii="Arial" w:hAnsi="Arial" w:cs="Arial"/>
          <w:bCs/>
          <w:sz w:val="19"/>
          <w:szCs w:val="19"/>
        </w:rPr>
        <w:t>Artículo 76. Domicilio.</w:t>
      </w:r>
      <w:bookmarkEnd w:id="4"/>
      <w:r w:rsidRPr="00866561">
        <w:rPr>
          <w:rFonts w:ascii="Arial" w:hAnsi="Arial" w:cs="Arial"/>
          <w:sz w:val="19"/>
          <w:szCs w:val="19"/>
        </w:rPr>
        <w:t> El domicilio consiste en la residencia acompañada, real o presuntivamente del ánimo de permanecer en ella.</w:t>
      </w:r>
    </w:p>
    <w:p w14:paraId="4FA8BEC3" w14:textId="77777777" w:rsidR="00114AAC" w:rsidRPr="00866561" w:rsidRDefault="00114AAC" w:rsidP="00114AAC">
      <w:pPr>
        <w:pStyle w:val="Textonotapie"/>
        <w:ind w:firstLine="708"/>
        <w:jc w:val="both"/>
        <w:rPr>
          <w:rFonts w:ascii="Arial" w:hAnsi="Arial" w:cs="Arial"/>
          <w:sz w:val="19"/>
          <w:szCs w:val="19"/>
          <w:lang w:val="es-ES"/>
        </w:rPr>
      </w:pPr>
    </w:p>
  </w:footnote>
  <w:footnote w:id="15">
    <w:p w14:paraId="17AB30CF" w14:textId="77777777" w:rsidR="00114AAC" w:rsidRPr="00866561" w:rsidRDefault="00114AAC" w:rsidP="00114AAC">
      <w:pPr>
        <w:pStyle w:val="Textonotapie"/>
        <w:ind w:firstLine="708"/>
        <w:jc w:val="both"/>
        <w:rPr>
          <w:rFonts w:ascii="Arial" w:hAnsi="Arial" w:cs="Arial"/>
          <w:bCs/>
          <w:sz w:val="19"/>
          <w:szCs w:val="19"/>
        </w:rPr>
      </w:pPr>
      <w:r w:rsidRPr="00866561">
        <w:rPr>
          <w:rStyle w:val="Refdenotaalpie"/>
          <w:rFonts w:ascii="Arial" w:hAnsi="Arial" w:cs="Arial"/>
          <w:sz w:val="19"/>
          <w:szCs w:val="19"/>
        </w:rPr>
        <w:footnoteRef/>
      </w:r>
      <w:r w:rsidRPr="00866561">
        <w:rPr>
          <w:rFonts w:ascii="Arial" w:hAnsi="Arial" w:cs="Arial"/>
          <w:sz w:val="19"/>
          <w:szCs w:val="19"/>
        </w:rPr>
        <w:t xml:space="preserve"> </w:t>
      </w:r>
      <w:r w:rsidRPr="00866561">
        <w:rPr>
          <w:rFonts w:ascii="Arial" w:hAnsi="Arial" w:cs="Arial"/>
          <w:bCs/>
          <w:sz w:val="19"/>
          <w:szCs w:val="19"/>
        </w:rPr>
        <w:t>En este sentido, el artículo 110 del Código de Comercio establece: ARTÍCULO 110. &lt;REQUISITOS PARA LA CONSTITUCIÓN DE UNA SOCIEDAD&gt;. La sociedad comercial se constituirá por escritura pública en la cual se expresará:</w:t>
      </w:r>
    </w:p>
    <w:p w14:paraId="1D7C333E" w14:textId="77777777" w:rsidR="00114AAC" w:rsidRPr="00866561" w:rsidRDefault="00114AAC" w:rsidP="00114AAC">
      <w:pPr>
        <w:pStyle w:val="Textonotapie"/>
        <w:ind w:firstLine="708"/>
        <w:jc w:val="both"/>
        <w:rPr>
          <w:rFonts w:ascii="Arial" w:hAnsi="Arial" w:cs="Arial"/>
          <w:bCs/>
          <w:sz w:val="19"/>
          <w:szCs w:val="19"/>
        </w:rPr>
      </w:pPr>
      <w:r w:rsidRPr="00866561">
        <w:rPr>
          <w:rFonts w:ascii="Arial" w:hAnsi="Arial" w:cs="Arial"/>
          <w:bCs/>
          <w:sz w:val="19"/>
          <w:szCs w:val="19"/>
        </w:rPr>
        <w:t>[…]</w:t>
      </w:r>
    </w:p>
    <w:p w14:paraId="40C69449" w14:textId="77777777" w:rsidR="00114AAC" w:rsidRDefault="00114AAC" w:rsidP="00114AAC">
      <w:pPr>
        <w:pStyle w:val="Textonotapie"/>
        <w:ind w:firstLine="708"/>
        <w:jc w:val="both"/>
        <w:rPr>
          <w:rFonts w:ascii="Arial" w:hAnsi="Arial" w:cs="Arial"/>
          <w:bCs/>
          <w:sz w:val="19"/>
          <w:szCs w:val="19"/>
        </w:rPr>
      </w:pPr>
      <w:r w:rsidRPr="00866561">
        <w:rPr>
          <w:rFonts w:ascii="Arial" w:hAnsi="Arial" w:cs="Arial"/>
          <w:bCs/>
          <w:sz w:val="19"/>
          <w:szCs w:val="19"/>
        </w:rPr>
        <w:t xml:space="preserve">»3) </w:t>
      </w:r>
      <w:r w:rsidRPr="00866561">
        <w:rPr>
          <w:rFonts w:ascii="Arial" w:hAnsi="Arial" w:cs="Arial"/>
          <w:bCs/>
          <w:i/>
          <w:iCs/>
          <w:sz w:val="19"/>
          <w:szCs w:val="19"/>
        </w:rPr>
        <w:t>El domicilio de la sociedad</w:t>
      </w:r>
      <w:r w:rsidRPr="00866561">
        <w:rPr>
          <w:rFonts w:ascii="Arial" w:hAnsi="Arial" w:cs="Arial"/>
          <w:bCs/>
          <w:sz w:val="19"/>
          <w:szCs w:val="19"/>
        </w:rPr>
        <w:t xml:space="preserve"> y el de las </w:t>
      </w:r>
      <w:r w:rsidRPr="00866561">
        <w:rPr>
          <w:rFonts w:ascii="Arial" w:hAnsi="Arial" w:cs="Arial"/>
          <w:bCs/>
          <w:i/>
          <w:iCs/>
          <w:sz w:val="19"/>
          <w:szCs w:val="19"/>
        </w:rPr>
        <w:t>distintas sucursales</w:t>
      </w:r>
      <w:r w:rsidRPr="00866561">
        <w:rPr>
          <w:rFonts w:ascii="Arial" w:hAnsi="Arial" w:cs="Arial"/>
          <w:bCs/>
          <w:sz w:val="19"/>
          <w:szCs w:val="19"/>
        </w:rPr>
        <w:t xml:space="preserve"> que se establezcan en el mismo acto de constitución; […]».</w:t>
      </w:r>
    </w:p>
    <w:p w14:paraId="1D33884B" w14:textId="77777777" w:rsidR="00114AAC" w:rsidRPr="00866561" w:rsidRDefault="00114AAC" w:rsidP="00114AAC">
      <w:pPr>
        <w:pStyle w:val="Textonotapie"/>
        <w:ind w:firstLine="708"/>
        <w:jc w:val="both"/>
        <w:rPr>
          <w:rFonts w:ascii="Arial" w:hAnsi="Arial" w:cs="Arial"/>
          <w:sz w:val="19"/>
          <w:szCs w:val="19"/>
          <w:lang w:val="es-CO"/>
        </w:rPr>
      </w:pPr>
    </w:p>
  </w:footnote>
  <w:footnote w:id="16">
    <w:p w14:paraId="5D005B91" w14:textId="77777777" w:rsidR="00114AAC" w:rsidRPr="00866561" w:rsidRDefault="00114AAC" w:rsidP="00114AAC">
      <w:pPr>
        <w:pStyle w:val="Textonotapie"/>
        <w:ind w:firstLine="708"/>
        <w:jc w:val="both"/>
        <w:rPr>
          <w:rFonts w:ascii="Arial" w:hAnsi="Arial" w:cs="Arial"/>
          <w:sz w:val="19"/>
          <w:szCs w:val="19"/>
        </w:rPr>
      </w:pPr>
      <w:r w:rsidRPr="00866561">
        <w:rPr>
          <w:rStyle w:val="Refdenotaalpie"/>
          <w:rFonts w:ascii="Arial" w:hAnsi="Arial" w:cs="Arial"/>
          <w:sz w:val="19"/>
          <w:szCs w:val="19"/>
        </w:rPr>
        <w:footnoteRef/>
      </w:r>
      <w:r w:rsidRPr="00866561">
        <w:rPr>
          <w:rFonts w:ascii="Arial" w:hAnsi="Arial" w:cs="Arial"/>
          <w:sz w:val="19"/>
          <w:szCs w:val="19"/>
        </w:rPr>
        <w:t xml:space="preserve"> ARTÍCULO 2.2.1.2.4.2.2. Convocatorias limitadas a Mípyme.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71C5BDF6" w14:textId="77777777" w:rsidR="00114AAC" w:rsidRPr="00866561" w:rsidRDefault="00114AAC" w:rsidP="00114AAC">
      <w:pPr>
        <w:pStyle w:val="Textonotapie"/>
        <w:ind w:firstLine="708"/>
        <w:jc w:val="both"/>
        <w:rPr>
          <w:rFonts w:ascii="Arial" w:hAnsi="Arial" w:cs="Arial"/>
          <w:sz w:val="19"/>
          <w:szCs w:val="19"/>
        </w:rPr>
      </w:pPr>
      <w:r w:rsidRPr="00866561">
        <w:rPr>
          <w:rFonts w:ascii="Arial" w:hAnsi="Arial" w:cs="Arial"/>
          <w:sz w:val="19"/>
          <w:szCs w:val="19"/>
        </w:rPr>
        <w:t xml:space="preserve">1. El valor del Proceso de Contratación sea menor a ciento veinticinco mil dólares de los Estados Unidos de América (US$125.000), liquidados con la tasa de cambio que para el efecto determina cada dos años el Ministerio de Comercio, Industria y Turismo. </w:t>
      </w:r>
    </w:p>
    <w:p w14:paraId="4A1582F9" w14:textId="77777777" w:rsidR="00114AAC" w:rsidRPr="00866561" w:rsidRDefault="00114AAC" w:rsidP="00114AAC">
      <w:pPr>
        <w:pStyle w:val="Textonotapie"/>
        <w:ind w:firstLine="708"/>
        <w:jc w:val="both"/>
        <w:rPr>
          <w:rFonts w:ascii="Arial" w:hAnsi="Arial" w:cs="Arial"/>
          <w:sz w:val="19"/>
          <w:szCs w:val="19"/>
        </w:rPr>
      </w:pPr>
      <w:r w:rsidRPr="00866561">
        <w:rPr>
          <w:rFonts w:ascii="Arial" w:hAnsi="Arial" w:cs="Arial"/>
          <w:sz w:val="19"/>
          <w:szCs w:val="19"/>
        </w:rPr>
        <w:t xml:space="preserve">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w:t>
      </w:r>
    </w:p>
    <w:p w14:paraId="364E66FF" w14:textId="77777777" w:rsidR="00114AAC" w:rsidRPr="00866561" w:rsidRDefault="00114AAC" w:rsidP="00114AAC">
      <w:pPr>
        <w:pStyle w:val="Textonotapie"/>
        <w:ind w:firstLine="708"/>
        <w:jc w:val="both"/>
        <w:rPr>
          <w:rFonts w:ascii="Arial" w:hAnsi="Arial" w:cs="Arial"/>
          <w:sz w:val="19"/>
          <w:szCs w:val="19"/>
        </w:rPr>
      </w:pPr>
      <w:r w:rsidRPr="00866561">
        <w:rPr>
          <w:rFonts w:ascii="Arial" w:hAnsi="Arial" w:cs="Arial"/>
          <w:sz w:val="19"/>
          <w:szCs w:val="19"/>
        </w:rPr>
        <w:t xml:space="preserve">Tratándose de personas jurídicas, las solicitudes solo las podrán realizar Mipyme, cuyo objeto social les permita ejecutar el contrato relacionado con el proceso contractual. </w:t>
      </w:r>
    </w:p>
    <w:p w14:paraId="78D2049F" w14:textId="77777777" w:rsidR="00114AAC" w:rsidRDefault="00114AAC" w:rsidP="00114AAC">
      <w:pPr>
        <w:pStyle w:val="Textonotapie"/>
        <w:ind w:firstLine="708"/>
        <w:jc w:val="both"/>
        <w:rPr>
          <w:rFonts w:ascii="Arial" w:hAnsi="Arial" w:cs="Arial"/>
          <w:sz w:val="19"/>
          <w:szCs w:val="19"/>
        </w:rPr>
      </w:pPr>
      <w:r w:rsidRPr="00866561">
        <w:rPr>
          <w:rFonts w:ascii="Arial" w:hAnsi="Arial" w:cs="Arial"/>
          <w:sz w:val="19"/>
          <w:szCs w:val="19"/>
        </w:rPr>
        <w:t>PARÁGRAFO. Las cooperativas y demás entidades de economía solidaria, siempre que tengan la calidad de Mípyme, podrán solicitar y participar en las convocatorias limitadas en las mismas condiciones dispuestas en el presente artículo.</w:t>
      </w:r>
    </w:p>
    <w:p w14:paraId="2C084C9C" w14:textId="77777777" w:rsidR="00114AAC" w:rsidRPr="00866561" w:rsidRDefault="00114AAC" w:rsidP="00114AAC">
      <w:pPr>
        <w:pStyle w:val="Textonotapie"/>
        <w:ind w:firstLine="708"/>
        <w:jc w:val="both"/>
        <w:rPr>
          <w:rFonts w:ascii="Arial" w:hAnsi="Arial" w:cs="Arial"/>
          <w:sz w:val="19"/>
          <w:szCs w:val="19"/>
        </w:rPr>
      </w:pPr>
    </w:p>
  </w:footnote>
  <w:footnote w:id="17">
    <w:p w14:paraId="556FD875" w14:textId="77777777" w:rsidR="00114AAC" w:rsidRPr="00D66A96" w:rsidRDefault="00114AAC" w:rsidP="00114AAC">
      <w:pPr>
        <w:pStyle w:val="Textonotapie"/>
        <w:ind w:firstLine="708"/>
        <w:jc w:val="both"/>
        <w:rPr>
          <w:rFonts w:ascii="Arial" w:hAnsi="Arial" w:cs="Arial"/>
          <w:sz w:val="19"/>
          <w:szCs w:val="19"/>
        </w:rPr>
      </w:pPr>
      <w:r w:rsidRPr="00D66A96">
        <w:rPr>
          <w:rStyle w:val="Refdenotaalpie"/>
          <w:rFonts w:ascii="Arial" w:hAnsi="Arial" w:cs="Arial"/>
          <w:sz w:val="19"/>
          <w:szCs w:val="19"/>
        </w:rPr>
        <w:footnoteRef/>
      </w:r>
      <w:r w:rsidRPr="00D66A96">
        <w:rPr>
          <w:rFonts w:ascii="Arial" w:hAnsi="Arial" w:cs="Arial"/>
          <w:sz w:val="19"/>
          <w:szCs w:val="19"/>
        </w:rPr>
        <w:t xml:space="preserve"> ARTÍCULO 2.2.1.2.4.2.2. Convocatorias limitadas a Mípyme.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3ECFEDE6" w14:textId="77777777" w:rsidR="00114AAC" w:rsidRPr="00D66A96" w:rsidRDefault="00114AAC" w:rsidP="00114AAC">
      <w:pPr>
        <w:pStyle w:val="Textonotapie"/>
        <w:ind w:firstLine="708"/>
        <w:jc w:val="both"/>
        <w:rPr>
          <w:rFonts w:ascii="Arial" w:hAnsi="Arial" w:cs="Arial"/>
          <w:sz w:val="19"/>
          <w:szCs w:val="19"/>
        </w:rPr>
      </w:pPr>
      <w:r w:rsidRPr="00D66A96">
        <w:rPr>
          <w:rFonts w:ascii="Arial" w:hAnsi="Arial" w:cs="Arial"/>
          <w:sz w:val="19"/>
          <w:szCs w:val="19"/>
        </w:rPr>
        <w:t xml:space="preserve">1. El valor del Proceso de Contratación sea menor a ciento veinticinco mil dólares de los Estados Unidos de América (US$125.000), liquidados con la tasa de cambio que para el efecto determina cada dos años el Ministerio de Comercio, Industria y Turismo. </w:t>
      </w:r>
    </w:p>
    <w:p w14:paraId="49E671E3" w14:textId="77777777" w:rsidR="00114AAC" w:rsidRPr="00D66A96" w:rsidRDefault="00114AAC" w:rsidP="00114AAC">
      <w:pPr>
        <w:pStyle w:val="Textonotapie"/>
        <w:ind w:firstLine="708"/>
        <w:jc w:val="both"/>
        <w:rPr>
          <w:rFonts w:ascii="Arial" w:hAnsi="Arial" w:cs="Arial"/>
          <w:sz w:val="19"/>
          <w:szCs w:val="19"/>
        </w:rPr>
      </w:pPr>
      <w:r w:rsidRPr="00D66A96">
        <w:rPr>
          <w:rFonts w:ascii="Arial" w:hAnsi="Arial" w:cs="Arial"/>
          <w:sz w:val="19"/>
          <w:szCs w:val="19"/>
        </w:rPr>
        <w:t xml:space="preserve">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w:t>
      </w:r>
    </w:p>
    <w:p w14:paraId="28ABE96F" w14:textId="77777777" w:rsidR="00114AAC" w:rsidRPr="00D66A96" w:rsidRDefault="00114AAC" w:rsidP="00114AAC">
      <w:pPr>
        <w:pStyle w:val="Textonotapie"/>
        <w:ind w:firstLine="708"/>
        <w:jc w:val="both"/>
        <w:rPr>
          <w:rFonts w:ascii="Arial" w:hAnsi="Arial" w:cs="Arial"/>
          <w:sz w:val="19"/>
          <w:szCs w:val="19"/>
        </w:rPr>
      </w:pPr>
      <w:r w:rsidRPr="00D66A96">
        <w:rPr>
          <w:rFonts w:ascii="Arial" w:hAnsi="Arial" w:cs="Arial"/>
          <w:sz w:val="19"/>
          <w:szCs w:val="19"/>
        </w:rPr>
        <w:t xml:space="preserve">Tratándose de personas jurídicas, las solicitudes solo las podrán realizar Mipyme, cuyo objeto social les permita ejecutar el contrato relacionado con el proceso contractual. </w:t>
      </w:r>
    </w:p>
    <w:p w14:paraId="6627043D" w14:textId="77777777" w:rsidR="00114AAC" w:rsidRDefault="00114AAC" w:rsidP="00114AAC">
      <w:pPr>
        <w:pStyle w:val="Textonotapie"/>
        <w:ind w:firstLine="708"/>
        <w:jc w:val="both"/>
        <w:rPr>
          <w:rFonts w:ascii="Arial" w:hAnsi="Arial" w:cs="Arial"/>
          <w:sz w:val="19"/>
          <w:szCs w:val="19"/>
        </w:rPr>
      </w:pPr>
      <w:r w:rsidRPr="00D66A96">
        <w:rPr>
          <w:rFonts w:ascii="Arial" w:hAnsi="Arial" w:cs="Arial"/>
          <w:sz w:val="19"/>
          <w:szCs w:val="19"/>
        </w:rPr>
        <w:t>PARÁGRAFO. Las cooperativas y demás entidades de economía solidaria, siempre que tengan la calidad de Mípyme, podrán solicitar y participar en las convocatorias limitadas en las mismas condiciones dispuestas en el presente artículo.</w:t>
      </w:r>
    </w:p>
    <w:p w14:paraId="01DA8BDB" w14:textId="77777777" w:rsidR="00114AAC" w:rsidRPr="00D66A96" w:rsidRDefault="00114AAC" w:rsidP="00114AAC">
      <w:pPr>
        <w:pStyle w:val="Textonotapie"/>
        <w:ind w:firstLine="708"/>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D711" w14:textId="77617239" w:rsidR="00DD0F8F" w:rsidRDefault="00DD0F8F">
    <w:pPr>
      <w:pStyle w:val="Encabezado"/>
    </w:pPr>
    <w:r>
      <w:rPr>
        <w:noProof/>
        <w:lang w:val="en-US"/>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2" name="Imagen 2"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C97A57"/>
    <w:multiLevelType w:val="hybridMultilevel"/>
    <w:tmpl w:val="DD7A11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447A913"/>
    <w:multiLevelType w:val="hybridMultilevel"/>
    <w:tmpl w:val="841EFB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CB4C620"/>
    <w:multiLevelType w:val="hybridMultilevel"/>
    <w:tmpl w:val="96EDC8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29280335">
    <w:abstractNumId w:val="3"/>
  </w:num>
  <w:num w:numId="2" w16cid:durableId="141776721">
    <w:abstractNumId w:val="2"/>
  </w:num>
  <w:num w:numId="3" w16cid:durableId="304966675">
    <w:abstractNumId w:val="1"/>
  </w:num>
  <w:num w:numId="4" w16cid:durableId="352614828">
    <w:abstractNumId w:val="0"/>
  </w:num>
  <w:num w:numId="5" w16cid:durableId="733040064">
    <w:abstractNumId w:val="5"/>
  </w:num>
  <w:num w:numId="6" w16cid:durableId="1332414826">
    <w:abstractNumId w:val="4"/>
  </w:num>
  <w:num w:numId="7" w16cid:durableId="134678935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51BB"/>
    <w:rsid w:val="0002644E"/>
    <w:rsid w:val="00053C6E"/>
    <w:rsid w:val="000667AB"/>
    <w:rsid w:val="000831F5"/>
    <w:rsid w:val="000845C8"/>
    <w:rsid w:val="000A1D2C"/>
    <w:rsid w:val="000B79BD"/>
    <w:rsid w:val="000C145F"/>
    <w:rsid w:val="000C6439"/>
    <w:rsid w:val="000C67C7"/>
    <w:rsid w:val="000E3474"/>
    <w:rsid w:val="000E44B3"/>
    <w:rsid w:val="000E4816"/>
    <w:rsid w:val="00112EA7"/>
    <w:rsid w:val="00114AAC"/>
    <w:rsid w:val="00127233"/>
    <w:rsid w:val="00154B2C"/>
    <w:rsid w:val="00157D6F"/>
    <w:rsid w:val="00160480"/>
    <w:rsid w:val="00160CD3"/>
    <w:rsid w:val="00161C60"/>
    <w:rsid w:val="001A0E21"/>
    <w:rsid w:val="001B28F8"/>
    <w:rsid w:val="001C1878"/>
    <w:rsid w:val="001D1D1B"/>
    <w:rsid w:val="001D7DD4"/>
    <w:rsid w:val="001F06DF"/>
    <w:rsid w:val="0020524A"/>
    <w:rsid w:val="0023186C"/>
    <w:rsid w:val="00242DD1"/>
    <w:rsid w:val="002747CA"/>
    <w:rsid w:val="002838AC"/>
    <w:rsid w:val="002951A0"/>
    <w:rsid w:val="002A64FD"/>
    <w:rsid w:val="002C500D"/>
    <w:rsid w:val="002F1A52"/>
    <w:rsid w:val="00307A23"/>
    <w:rsid w:val="00315DC1"/>
    <w:rsid w:val="00343B38"/>
    <w:rsid w:val="003553D1"/>
    <w:rsid w:val="0037654C"/>
    <w:rsid w:val="003A2CA7"/>
    <w:rsid w:val="003A7E42"/>
    <w:rsid w:val="003B60EC"/>
    <w:rsid w:val="003C3368"/>
    <w:rsid w:val="003D0F4D"/>
    <w:rsid w:val="003D2EB6"/>
    <w:rsid w:val="003F4ADC"/>
    <w:rsid w:val="004057BF"/>
    <w:rsid w:val="00430BEC"/>
    <w:rsid w:val="004431A4"/>
    <w:rsid w:val="004646EA"/>
    <w:rsid w:val="004661B2"/>
    <w:rsid w:val="004835F1"/>
    <w:rsid w:val="00485CEE"/>
    <w:rsid w:val="004A1847"/>
    <w:rsid w:val="004C5B01"/>
    <w:rsid w:val="004D69C9"/>
    <w:rsid w:val="004E0B2A"/>
    <w:rsid w:val="004E59DC"/>
    <w:rsid w:val="005132DD"/>
    <w:rsid w:val="00520021"/>
    <w:rsid w:val="0052079C"/>
    <w:rsid w:val="005566E8"/>
    <w:rsid w:val="00567075"/>
    <w:rsid w:val="005716C4"/>
    <w:rsid w:val="00576BD0"/>
    <w:rsid w:val="00597E16"/>
    <w:rsid w:val="005A74B0"/>
    <w:rsid w:val="005F582C"/>
    <w:rsid w:val="00607F39"/>
    <w:rsid w:val="0061066D"/>
    <w:rsid w:val="00614ACC"/>
    <w:rsid w:val="006219F8"/>
    <w:rsid w:val="00636030"/>
    <w:rsid w:val="00675E6A"/>
    <w:rsid w:val="0068093C"/>
    <w:rsid w:val="006A2E67"/>
    <w:rsid w:val="006D15FF"/>
    <w:rsid w:val="006E6934"/>
    <w:rsid w:val="006E7E91"/>
    <w:rsid w:val="006F0BA5"/>
    <w:rsid w:val="00703654"/>
    <w:rsid w:val="0070772C"/>
    <w:rsid w:val="007703FC"/>
    <w:rsid w:val="00792B8A"/>
    <w:rsid w:val="007A6055"/>
    <w:rsid w:val="008115CD"/>
    <w:rsid w:val="00832CC0"/>
    <w:rsid w:val="00835669"/>
    <w:rsid w:val="008359F7"/>
    <w:rsid w:val="008407C5"/>
    <w:rsid w:val="00876E61"/>
    <w:rsid w:val="0088518F"/>
    <w:rsid w:val="00887E27"/>
    <w:rsid w:val="0089488B"/>
    <w:rsid w:val="008A046F"/>
    <w:rsid w:val="008A79B3"/>
    <w:rsid w:val="008C093E"/>
    <w:rsid w:val="00923A6F"/>
    <w:rsid w:val="009322E2"/>
    <w:rsid w:val="00952CDB"/>
    <w:rsid w:val="009825BF"/>
    <w:rsid w:val="00990E95"/>
    <w:rsid w:val="009B161E"/>
    <w:rsid w:val="009B3A50"/>
    <w:rsid w:val="009D79CC"/>
    <w:rsid w:val="009E537C"/>
    <w:rsid w:val="009E581F"/>
    <w:rsid w:val="00A00879"/>
    <w:rsid w:val="00A42156"/>
    <w:rsid w:val="00A70C96"/>
    <w:rsid w:val="00A81B68"/>
    <w:rsid w:val="00A938A1"/>
    <w:rsid w:val="00AB4327"/>
    <w:rsid w:val="00AD448E"/>
    <w:rsid w:val="00AF2438"/>
    <w:rsid w:val="00B14279"/>
    <w:rsid w:val="00B43413"/>
    <w:rsid w:val="00B61E2B"/>
    <w:rsid w:val="00B80283"/>
    <w:rsid w:val="00BA2473"/>
    <w:rsid w:val="00BF1B8F"/>
    <w:rsid w:val="00C56B5A"/>
    <w:rsid w:val="00C636F5"/>
    <w:rsid w:val="00C754BE"/>
    <w:rsid w:val="00CC1B26"/>
    <w:rsid w:val="00CC3DC2"/>
    <w:rsid w:val="00D038FE"/>
    <w:rsid w:val="00D0472D"/>
    <w:rsid w:val="00D07091"/>
    <w:rsid w:val="00D116D9"/>
    <w:rsid w:val="00D16C89"/>
    <w:rsid w:val="00D43C25"/>
    <w:rsid w:val="00D505B1"/>
    <w:rsid w:val="00D60542"/>
    <w:rsid w:val="00D644B7"/>
    <w:rsid w:val="00D904FC"/>
    <w:rsid w:val="00DA2FFF"/>
    <w:rsid w:val="00DA48B6"/>
    <w:rsid w:val="00DA6ED1"/>
    <w:rsid w:val="00DD0F8F"/>
    <w:rsid w:val="00DF55AB"/>
    <w:rsid w:val="00E04A00"/>
    <w:rsid w:val="00E05216"/>
    <w:rsid w:val="00E20894"/>
    <w:rsid w:val="00E5613E"/>
    <w:rsid w:val="00E60D06"/>
    <w:rsid w:val="00E75437"/>
    <w:rsid w:val="00E878DC"/>
    <w:rsid w:val="00E8791A"/>
    <w:rsid w:val="00EC4D29"/>
    <w:rsid w:val="00F074CF"/>
    <w:rsid w:val="00F20105"/>
    <w:rsid w:val="00F21F25"/>
    <w:rsid w:val="00F37366"/>
    <w:rsid w:val="00F56AB0"/>
    <w:rsid w:val="00F64049"/>
    <w:rsid w:val="00F66123"/>
    <w:rsid w:val="00F76AFC"/>
    <w:rsid w:val="00FC012F"/>
    <w:rsid w:val="00FC0899"/>
    <w:rsid w:val="00FE023E"/>
    <w:rsid w:val="00FE2B77"/>
    <w:rsid w:val="00FE5AFF"/>
    <w:rsid w:val="00FF35B3"/>
    <w:rsid w:val="00FF5490"/>
    <w:rsid w:val="00FF5818"/>
    <w:rsid w:val="00FF72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6B062142-15FF-4DA0-8777-0A944A26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AA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spacing w:after="160" w:line="259" w:lineRule="auto"/>
      <w:ind w:left="720"/>
      <w:contextualSpacing/>
    </w:pPr>
    <w:rPr>
      <w:rFonts w:ascii="Geomanist Light" w:eastAsiaTheme="minorHAnsi" w:hAnsi="Geomanist Light" w:cstheme="minorBidi"/>
      <w:sz w:val="22"/>
      <w:szCs w:val="22"/>
      <w:lang w:val="es-ES" w:eastAsia="en-U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 w:val="22"/>
      <w:szCs w:val="56"/>
      <w:lang w:val="es-ES" w:eastAsia="en-U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D50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D505B1"/>
    <w:rPr>
      <w:color w:val="F2F2F2"/>
      <w:u w:val="single"/>
    </w:rPr>
  </w:style>
  <w:style w:type="paragraph" w:customStyle="1" w:styleId="Appelnotedebasde">
    <w:name w:val="Appel note de bas de..."/>
    <w:basedOn w:val="Normal"/>
    <w:link w:val="Refdenotaalpie"/>
    <w:uiPriority w:val="99"/>
    <w:rsid w:val="00D505B1"/>
    <w:pPr>
      <w:spacing w:after="160" w:line="240" w:lineRule="exact"/>
    </w:pPr>
    <w:rPr>
      <w:rFonts w:asciiTheme="minorHAnsi" w:eastAsiaTheme="minorHAnsi" w:hAnsiTheme="minorHAnsi" w:cstheme="minorBidi"/>
      <w:sz w:val="22"/>
      <w:szCs w:val="22"/>
      <w:vertAlign w:val="superscript"/>
      <w:lang w:eastAsia="en-US"/>
    </w:rPr>
  </w:style>
  <w:style w:type="character" w:styleId="Hipervnculo">
    <w:name w:val="Hyperlink"/>
    <w:basedOn w:val="Fuentedeprrafopredeter"/>
    <w:uiPriority w:val="99"/>
    <w:unhideWhenUsed/>
    <w:rsid w:val="00D505B1"/>
    <w:rPr>
      <w:color w:val="0563C1" w:themeColor="hyperlink"/>
      <w:u w:val="single"/>
    </w:rPr>
  </w:style>
  <w:style w:type="paragraph" w:styleId="NormalWeb">
    <w:name w:val="Normal (Web)"/>
    <w:basedOn w:val="Normal"/>
    <w:uiPriority w:val="99"/>
    <w:unhideWhenUsed/>
    <w:rsid w:val="00D16C89"/>
    <w:pPr>
      <w:spacing w:after="160" w:line="259" w:lineRule="auto"/>
    </w:pPr>
    <w:rPr>
      <w:rFonts w:eastAsiaTheme="minorHAnsi"/>
      <w:lang w:eastAsia="en-US"/>
    </w:rPr>
  </w:style>
  <w:style w:type="paragraph" w:styleId="Revisin">
    <w:name w:val="Revision"/>
    <w:hidden/>
    <w:uiPriority w:val="99"/>
    <w:semiHidden/>
    <w:rsid w:val="00D43C25"/>
    <w:pPr>
      <w:spacing w:after="0" w:line="240" w:lineRule="auto"/>
    </w:pPr>
  </w:style>
  <w:style w:type="character" w:customStyle="1" w:styleId="Mencinsinresolver1">
    <w:name w:val="Mención sin resolver1"/>
    <w:basedOn w:val="Fuentedeprrafopredeter"/>
    <w:uiPriority w:val="99"/>
    <w:semiHidden/>
    <w:unhideWhenUsed/>
    <w:rsid w:val="00E04A00"/>
    <w:rPr>
      <w:color w:val="605E5C"/>
      <w:shd w:val="clear" w:color="auto" w:fill="E1DFDD"/>
    </w:rPr>
  </w:style>
  <w:style w:type="character" w:styleId="Refdecomentario">
    <w:name w:val="annotation reference"/>
    <w:basedOn w:val="Fuentedeprrafopredeter"/>
    <w:uiPriority w:val="99"/>
    <w:semiHidden/>
    <w:unhideWhenUsed/>
    <w:rsid w:val="009B3A50"/>
    <w:rPr>
      <w:sz w:val="16"/>
      <w:szCs w:val="16"/>
    </w:rPr>
  </w:style>
  <w:style w:type="paragraph" w:styleId="Textocomentario">
    <w:name w:val="annotation text"/>
    <w:basedOn w:val="Normal"/>
    <w:link w:val="TextocomentarioCar"/>
    <w:uiPriority w:val="99"/>
    <w:unhideWhenUsed/>
    <w:rsid w:val="009B3A50"/>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9B3A50"/>
    <w:rPr>
      <w:sz w:val="20"/>
      <w:szCs w:val="20"/>
    </w:rPr>
  </w:style>
  <w:style w:type="paragraph" w:styleId="Asuntodelcomentario">
    <w:name w:val="annotation subject"/>
    <w:basedOn w:val="Textocomentario"/>
    <w:next w:val="Textocomentario"/>
    <w:link w:val="AsuntodelcomentarioCar"/>
    <w:uiPriority w:val="99"/>
    <w:semiHidden/>
    <w:unhideWhenUsed/>
    <w:rsid w:val="009B3A50"/>
    <w:rPr>
      <w:b/>
      <w:bCs/>
    </w:rPr>
  </w:style>
  <w:style w:type="character" w:customStyle="1" w:styleId="AsuntodelcomentarioCar">
    <w:name w:val="Asunto del comentario Car"/>
    <w:basedOn w:val="TextocomentarioCar"/>
    <w:link w:val="Asuntodelcomentario"/>
    <w:uiPriority w:val="99"/>
    <w:semiHidden/>
    <w:rsid w:val="009B3A50"/>
    <w:rPr>
      <w:b/>
      <w:bCs/>
      <w:sz w:val="20"/>
      <w:szCs w:val="20"/>
    </w:rPr>
  </w:style>
  <w:style w:type="paragraph" w:styleId="Textodeglobo">
    <w:name w:val="Balloon Text"/>
    <w:basedOn w:val="Normal"/>
    <w:link w:val="TextodegloboCar"/>
    <w:uiPriority w:val="99"/>
    <w:semiHidden/>
    <w:unhideWhenUsed/>
    <w:rsid w:val="00D047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472D"/>
    <w:rPr>
      <w:rFonts w:ascii="Segoe UI" w:hAnsi="Segoe UI" w:cs="Segoe UI"/>
      <w:sz w:val="18"/>
      <w:szCs w:val="18"/>
    </w:rPr>
  </w:style>
  <w:style w:type="character" w:customStyle="1" w:styleId="baj">
    <w:name w:val="b_aj"/>
    <w:basedOn w:val="Fuentedeprrafopredeter"/>
    <w:rsid w:val="001D1D1B"/>
  </w:style>
  <w:style w:type="table" w:customStyle="1" w:styleId="Tablaconcuadrcula12">
    <w:name w:val="Tabla con cuadrícula12"/>
    <w:basedOn w:val="Tablanormal"/>
    <w:next w:val="Tablaconcuadrcula"/>
    <w:uiPriority w:val="59"/>
    <w:rsid w:val="000C6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Fuentedeprrafopredeter"/>
    <w:rsid w:val="00307A23"/>
    <w:rPr>
      <w:rFonts w:ascii="Bookman Old Style" w:eastAsia="Bookman Old Style" w:hAnsi="Bookman Old Style" w:cs="Bookman Old Style"/>
      <w:u w:val="single"/>
    </w:rPr>
  </w:style>
  <w:style w:type="character" w:styleId="Mencinsinresolver">
    <w:name w:val="Unresolved Mention"/>
    <w:basedOn w:val="Fuentedeprrafopredeter"/>
    <w:uiPriority w:val="99"/>
    <w:semiHidden/>
    <w:unhideWhenUsed/>
    <w:rsid w:val="00F074CF"/>
    <w:rPr>
      <w:color w:val="605E5C"/>
      <w:shd w:val="clear" w:color="auto" w:fill="E1DFDD"/>
    </w:rPr>
  </w:style>
  <w:style w:type="character" w:styleId="nfasis">
    <w:name w:val="Emphasis"/>
    <w:basedOn w:val="Fuentedeprrafopredeter"/>
    <w:uiPriority w:val="20"/>
    <w:qFormat/>
    <w:rsid w:val="0020524A"/>
    <w:rPr>
      <w:i/>
      <w:iCs/>
    </w:rPr>
  </w:style>
  <w:style w:type="paragraph" w:styleId="Sinespaciado">
    <w:name w:val="No Spacing"/>
    <w:aliases w:val="No Indent"/>
    <w:uiPriority w:val="3"/>
    <w:qFormat/>
    <w:rsid w:val="00114AAC"/>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14AAC"/>
    <w:rPr>
      <w:rFonts w:ascii="Geomanist Light" w:hAnsi="Geomanist Light"/>
      <w:lang w:val="es-ES"/>
    </w:rPr>
  </w:style>
  <w:style w:type="table" w:customStyle="1" w:styleId="Tablaconcuadrcula3">
    <w:name w:val="Tabla con cuadrícula3"/>
    <w:basedOn w:val="Tablanormal"/>
    <w:next w:val="Tablaconcuadrcula"/>
    <w:uiPriority w:val="59"/>
    <w:rsid w:val="00114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0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2" Type="http://schemas.openxmlformats.org/officeDocument/2006/relationships/hyperlink" Target="https://colaboracion.dnp.gov.co/CDT/Conpes/Econ%C3%B3micos/3956.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7F582E2E-F2D9-43C0-921A-29D6046E9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95326-FED0-456D-8452-05D7316B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5133</Words>
  <Characters>28233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Jorge Eliecer Moran Buitrón</cp:lastModifiedBy>
  <cp:revision>4</cp:revision>
  <dcterms:created xsi:type="dcterms:W3CDTF">2022-10-28T16:48:00Z</dcterms:created>
  <dcterms:modified xsi:type="dcterms:W3CDTF">2022-11-08T19:51:00Z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