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69C8" w14:textId="77777777" w:rsidR="00A43ECC" w:rsidRPr="003D6A52" w:rsidRDefault="00A43ECC" w:rsidP="00A43ECC">
      <w:pPr>
        <w:jc w:val="right"/>
        <w:rPr>
          <w:rFonts w:ascii="Arial" w:hAnsi="Arial" w:cs="Arial"/>
          <w:b/>
          <w:color w:val="000000" w:themeColor="text1"/>
          <w:sz w:val="22"/>
          <w:szCs w:val="22"/>
          <w:lang w:val="es-ES_tradnl" w:eastAsia="es-ES"/>
        </w:rPr>
      </w:pPr>
      <w:bookmarkStart w:id="0" w:name="_Hlk28946138"/>
      <w:bookmarkStart w:id="1" w:name="_Hlk29548183"/>
      <w:bookmarkStart w:id="2" w:name="_Hlk117850197"/>
      <w:r w:rsidRPr="003D6A52">
        <w:rPr>
          <w:rFonts w:ascii="Arial" w:hAnsi="Arial" w:cs="Arial"/>
          <w:b/>
          <w:color w:val="000000" w:themeColor="text1"/>
          <w:sz w:val="22"/>
          <w:szCs w:val="22"/>
          <w:lang w:val="es-ES_tradnl" w:eastAsia="es-ES"/>
        </w:rPr>
        <w:tab/>
      </w:r>
    </w:p>
    <w:p w14:paraId="0D02C66C" w14:textId="758401C1" w:rsidR="00A43ECC" w:rsidRPr="003D6A52" w:rsidRDefault="00A43ECC" w:rsidP="00A43ECC">
      <w:pPr>
        <w:jc w:val="both"/>
        <w:rPr>
          <w:rFonts w:ascii="Arial" w:eastAsia="Calibri" w:hAnsi="Arial" w:cs="Arial"/>
          <w:b/>
          <w:bCs/>
          <w:color w:val="000000" w:themeColor="text1"/>
          <w:sz w:val="20"/>
          <w:szCs w:val="20"/>
          <w:lang w:val="es-ES_tradnl"/>
        </w:rPr>
      </w:pPr>
      <w:r w:rsidRPr="003D6A52">
        <w:rPr>
          <w:rFonts w:ascii="Arial" w:eastAsia="Calibri" w:hAnsi="Arial" w:cs="Arial"/>
          <w:b/>
          <w:bCs/>
          <w:color w:val="000000" w:themeColor="text1"/>
          <w:sz w:val="20"/>
          <w:szCs w:val="20"/>
          <w:lang w:val="es-ES_tradnl"/>
        </w:rPr>
        <w:t xml:space="preserve">ENAJENACIÓN DE BIENES </w:t>
      </w:r>
      <w:r w:rsidRPr="003D6A52">
        <w:rPr>
          <w:rFonts w:ascii="Arial" w:eastAsia="Calibri" w:hAnsi="Arial" w:cs="Arial"/>
          <w:b/>
          <w:color w:val="000000" w:themeColor="text1"/>
          <w:sz w:val="20"/>
          <w:szCs w:val="20"/>
        </w:rPr>
        <w:t>–</w:t>
      </w:r>
      <w:r w:rsidRPr="003D6A52">
        <w:rPr>
          <w:rFonts w:ascii="Arial" w:eastAsia="Calibri" w:hAnsi="Arial" w:cs="Arial"/>
          <w:b/>
          <w:bCs/>
          <w:color w:val="000000" w:themeColor="text1"/>
          <w:sz w:val="20"/>
          <w:szCs w:val="20"/>
          <w:lang w:val="es-ES_tradnl"/>
        </w:rPr>
        <w:t xml:space="preserve"> Alcance de la expresión </w:t>
      </w:r>
      <w:r w:rsidRPr="003D6A52">
        <w:rPr>
          <w:rFonts w:ascii="Arial" w:eastAsia="Calibri" w:hAnsi="Arial" w:cs="Arial"/>
          <w:b/>
          <w:color w:val="000000" w:themeColor="text1"/>
          <w:sz w:val="20"/>
          <w:szCs w:val="20"/>
        </w:rPr>
        <w:t>–</w:t>
      </w:r>
      <w:r w:rsidRPr="003D6A52">
        <w:rPr>
          <w:rFonts w:ascii="Arial" w:eastAsia="Calibri" w:hAnsi="Arial" w:cs="Arial"/>
          <w:b/>
          <w:bCs/>
          <w:color w:val="000000" w:themeColor="text1"/>
          <w:sz w:val="20"/>
          <w:szCs w:val="20"/>
          <w:lang w:val="es-ES_tradnl"/>
        </w:rPr>
        <w:t xml:space="preserve"> Bienes </w:t>
      </w:r>
      <w:r w:rsidRPr="003D6A52">
        <w:rPr>
          <w:rFonts w:ascii="Arial" w:eastAsia="Calibri" w:hAnsi="Arial" w:cs="Arial"/>
          <w:b/>
          <w:color w:val="000000" w:themeColor="text1"/>
          <w:sz w:val="20"/>
          <w:szCs w:val="20"/>
        </w:rPr>
        <w:t>–</w:t>
      </w:r>
      <w:r w:rsidRPr="003D6A52">
        <w:rPr>
          <w:rFonts w:ascii="Arial" w:eastAsia="Calibri" w:hAnsi="Arial" w:cs="Arial"/>
          <w:b/>
          <w:bCs/>
          <w:color w:val="000000" w:themeColor="text1"/>
          <w:sz w:val="20"/>
          <w:szCs w:val="20"/>
          <w:lang w:val="es-ES_tradnl"/>
        </w:rPr>
        <w:t xml:space="preserve"> Clasificación </w:t>
      </w:r>
      <w:r w:rsidRPr="003D6A52">
        <w:rPr>
          <w:rFonts w:ascii="Arial" w:eastAsia="Calibri" w:hAnsi="Arial" w:cs="Arial"/>
          <w:b/>
          <w:color w:val="000000" w:themeColor="text1"/>
          <w:sz w:val="20"/>
          <w:szCs w:val="20"/>
        </w:rPr>
        <w:t>–</w:t>
      </w:r>
      <w:r w:rsidRPr="003D6A52">
        <w:rPr>
          <w:rFonts w:ascii="Arial" w:eastAsia="Calibri" w:hAnsi="Arial" w:cs="Arial"/>
          <w:b/>
          <w:bCs/>
          <w:color w:val="000000" w:themeColor="text1"/>
          <w:sz w:val="20"/>
          <w:szCs w:val="20"/>
          <w:lang w:val="es-ES_tradnl"/>
        </w:rPr>
        <w:t xml:space="preserve"> Muebles </w:t>
      </w:r>
      <w:r w:rsidRPr="003D6A52">
        <w:rPr>
          <w:rFonts w:ascii="Arial" w:eastAsia="Calibri" w:hAnsi="Arial" w:cs="Arial"/>
          <w:b/>
          <w:color w:val="000000" w:themeColor="text1"/>
          <w:sz w:val="20"/>
          <w:szCs w:val="20"/>
        </w:rPr>
        <w:t>–</w:t>
      </w:r>
      <w:r w:rsidRPr="003D6A52">
        <w:rPr>
          <w:rFonts w:ascii="Arial" w:eastAsia="Calibri" w:hAnsi="Arial" w:cs="Arial"/>
          <w:b/>
          <w:bCs/>
          <w:color w:val="000000" w:themeColor="text1"/>
          <w:sz w:val="20"/>
          <w:szCs w:val="20"/>
          <w:lang w:val="es-ES_tradnl"/>
        </w:rPr>
        <w:t xml:space="preserve"> Inmueble</w:t>
      </w:r>
      <w:r w:rsidR="008C2C1A">
        <w:rPr>
          <w:rFonts w:ascii="Arial" w:eastAsia="Calibri" w:hAnsi="Arial" w:cs="Arial"/>
          <w:b/>
          <w:bCs/>
          <w:color w:val="000000" w:themeColor="text1"/>
          <w:sz w:val="20"/>
          <w:szCs w:val="20"/>
          <w:lang w:val="es-ES_tradnl"/>
        </w:rPr>
        <w:t>s</w:t>
      </w:r>
    </w:p>
    <w:p w14:paraId="3E82C984" w14:textId="77777777" w:rsidR="00A43ECC" w:rsidRPr="00F83135" w:rsidRDefault="00A43ECC" w:rsidP="00A43ECC">
      <w:pPr>
        <w:rPr>
          <w:rFonts w:ascii="Arial" w:eastAsia="Calibri" w:hAnsi="Arial" w:cs="Arial"/>
          <w:b/>
          <w:bCs/>
          <w:color w:val="000000" w:themeColor="text1"/>
          <w:sz w:val="20"/>
          <w:szCs w:val="20"/>
          <w:lang w:val="es-ES_tradnl"/>
        </w:rPr>
      </w:pPr>
    </w:p>
    <w:p w14:paraId="3A79B434" w14:textId="77777777" w:rsidR="00A43ECC" w:rsidRPr="00F83135" w:rsidRDefault="00A43ECC" w:rsidP="00A43ECC">
      <w:pPr>
        <w:jc w:val="both"/>
        <w:rPr>
          <w:rFonts w:ascii="Arial" w:hAnsi="Arial" w:cs="Arial"/>
          <w:color w:val="000000" w:themeColor="text1"/>
          <w:sz w:val="20"/>
          <w:szCs w:val="20"/>
          <w:lang w:val="es-ES_tradnl"/>
        </w:rPr>
      </w:pPr>
      <w:r w:rsidRPr="00F83135">
        <w:rPr>
          <w:rFonts w:ascii="Arial" w:hAnsi="Arial" w:cs="Arial"/>
          <w:color w:val="000000" w:themeColor="text1"/>
          <w:sz w:val="20"/>
          <w:szCs w:val="20"/>
          <w:lang w:val="es-ES_tradnl"/>
        </w:rPr>
        <w:t>La enajenación se define como la transferencia del derecho real sobre un bien. Como indica la doctrina, «Dar –en sentido restringido–, traditar, enajenar, disponer, son conceptos sinónimos en el Código Civil. Cuando se da, se enajena. Cuando se tradita, se enajena, Cuando se enajena, se da o se tradita. Y, finalmente, cuando ocurre cualquiera de tales fenómenos, se dispone». Lo más usual es que la enajenación se lleve a cabo respecto del derecho de propiedad; y en tal caso se efectúa a través de los modos señalados en el artículo 673 del Código Civil, pudiendo recaer tanto sobre los bienes muebles, como inmuebles, aunque frente a estos la ley exige solemnidades especiales. Entretanto, el artículo 1521 del Código Civil dispone que se presenta objeto ilícito en la enajenación i) «De las cosas que no están en el comercio», ii) «De los derechos o privilegios que no pueden transferirse a otra persona» y iii) «De las cosas embargadas por decreto judicial, a menos que el juez lo autorice o el acreedor consienta en ello».</w:t>
      </w:r>
    </w:p>
    <w:p w14:paraId="6A031444" w14:textId="77777777" w:rsidR="00A43ECC" w:rsidRPr="00F83135" w:rsidRDefault="00A43ECC" w:rsidP="00A43ECC">
      <w:pPr>
        <w:jc w:val="both"/>
        <w:rPr>
          <w:rFonts w:ascii="Arial" w:hAnsi="Arial" w:cs="Arial"/>
          <w:color w:val="000000" w:themeColor="text1"/>
          <w:sz w:val="20"/>
          <w:szCs w:val="20"/>
          <w:lang w:val="es-ES_tradnl"/>
        </w:rPr>
      </w:pPr>
      <w:r w:rsidRPr="00F83135">
        <w:rPr>
          <w:rFonts w:ascii="Arial" w:hAnsi="Arial" w:cs="Arial"/>
          <w:color w:val="000000" w:themeColor="text1"/>
          <w:sz w:val="20"/>
          <w:szCs w:val="20"/>
          <w:lang w:val="es-ES_tradnl"/>
        </w:rPr>
        <w:t>[…]</w:t>
      </w:r>
    </w:p>
    <w:p w14:paraId="132D6BB1" w14:textId="77777777" w:rsidR="00A43ECC" w:rsidRPr="003D6A52" w:rsidRDefault="00A43ECC" w:rsidP="00A43ECC">
      <w:pPr>
        <w:jc w:val="both"/>
        <w:rPr>
          <w:rFonts w:ascii="Arial" w:eastAsia="Calibri" w:hAnsi="Arial" w:cs="Arial"/>
          <w:b/>
          <w:color w:val="000000" w:themeColor="text1"/>
          <w:sz w:val="20"/>
          <w:szCs w:val="20"/>
        </w:rPr>
      </w:pPr>
    </w:p>
    <w:p w14:paraId="508929DC" w14:textId="77777777" w:rsidR="00A43ECC" w:rsidRPr="003D6A52" w:rsidRDefault="00A43ECC" w:rsidP="00A43ECC">
      <w:pPr>
        <w:jc w:val="both"/>
        <w:rPr>
          <w:rFonts w:ascii="Arial" w:eastAsia="Calibri" w:hAnsi="Arial" w:cs="Arial"/>
          <w:b/>
          <w:color w:val="000000" w:themeColor="text1"/>
          <w:sz w:val="20"/>
          <w:szCs w:val="20"/>
        </w:rPr>
      </w:pPr>
      <w:r w:rsidRPr="003D6A52">
        <w:rPr>
          <w:rFonts w:ascii="Arial" w:eastAsia="Calibri" w:hAnsi="Arial" w:cs="Arial"/>
          <w:b/>
          <w:color w:val="000000" w:themeColor="text1"/>
          <w:sz w:val="20"/>
          <w:szCs w:val="20"/>
        </w:rPr>
        <w:t xml:space="preserve">ENAJENACIÓN DE BIENES – Muebles – Modalidad </w:t>
      </w:r>
    </w:p>
    <w:p w14:paraId="3917BE7B" w14:textId="77777777" w:rsidR="00A43ECC" w:rsidRPr="00F83135" w:rsidRDefault="00A43ECC" w:rsidP="00A43ECC">
      <w:pPr>
        <w:jc w:val="both"/>
        <w:rPr>
          <w:rFonts w:ascii="Arial" w:eastAsia="Calibri" w:hAnsi="Arial" w:cs="Arial"/>
          <w:b/>
          <w:color w:val="000000" w:themeColor="text1"/>
          <w:sz w:val="20"/>
          <w:szCs w:val="20"/>
        </w:rPr>
      </w:pPr>
    </w:p>
    <w:p w14:paraId="5EF33B31" w14:textId="77777777" w:rsidR="00A43ECC" w:rsidRPr="00F83135" w:rsidRDefault="00A43ECC" w:rsidP="00A43ECC">
      <w:pPr>
        <w:jc w:val="both"/>
        <w:rPr>
          <w:rFonts w:ascii="Arial" w:eastAsia="Calibri" w:hAnsi="Arial" w:cs="Arial"/>
          <w:color w:val="000000" w:themeColor="text1"/>
          <w:sz w:val="20"/>
          <w:szCs w:val="20"/>
        </w:rPr>
      </w:pPr>
      <w:r w:rsidRPr="00F83135">
        <w:rPr>
          <w:rFonts w:ascii="Arial" w:eastAsia="Calibri" w:hAnsi="Arial" w:cs="Arial"/>
          <w:color w:val="000000" w:themeColor="text1"/>
          <w:sz w:val="20"/>
          <w:szCs w:val="20"/>
        </w:rPr>
        <w:t>El Decreto 1082 de 2015 […] en el artículo 2.2.1.2.2.1.1., establece que la selección abreviada es la modalidad de selección por excelencia para la enajenación de bienes del Estado.</w:t>
      </w:r>
    </w:p>
    <w:p w14:paraId="34329DB8" w14:textId="77777777" w:rsidR="00A43ECC" w:rsidRPr="00F83135" w:rsidRDefault="00A43ECC" w:rsidP="00A43ECC">
      <w:pPr>
        <w:jc w:val="both"/>
        <w:rPr>
          <w:rFonts w:ascii="Arial" w:eastAsia="Calibri" w:hAnsi="Arial" w:cs="Arial"/>
          <w:color w:val="000000" w:themeColor="text1"/>
          <w:sz w:val="20"/>
          <w:szCs w:val="20"/>
        </w:rPr>
      </w:pPr>
    </w:p>
    <w:p w14:paraId="14D96A4C" w14:textId="77777777" w:rsidR="00A43ECC" w:rsidRPr="00F83135" w:rsidRDefault="00A43ECC" w:rsidP="00A43ECC">
      <w:pPr>
        <w:jc w:val="both"/>
        <w:rPr>
          <w:rFonts w:ascii="Arial" w:eastAsia="Calibri" w:hAnsi="Arial" w:cs="Arial"/>
          <w:color w:val="000000" w:themeColor="text1"/>
          <w:sz w:val="20"/>
          <w:szCs w:val="20"/>
        </w:rPr>
      </w:pPr>
      <w:r w:rsidRPr="00F83135">
        <w:rPr>
          <w:rFonts w:ascii="Arial" w:eastAsia="Calibri" w:hAnsi="Arial" w:cs="Arial"/>
          <w:color w:val="000000" w:themeColor="text1"/>
          <w:sz w:val="20"/>
          <w:szCs w:val="20"/>
        </w:rPr>
        <w:t xml:space="preserve">La Entidad Estatal que vaya a dar de baja sus bienes muebles que no utilizan debe hacer un inventario y ofrecerlos a título gratuito a las Entidades Estatales a través de un acto administrativo motivado. Dentro de los treinta (30) días calendario siguientes a la fecha de publicación del acto administrativo, la Entidad Estatal interesada debe manifestar interés y señalar la necesidad funcional que pretende justificar la necesidad que pretende satisfacer con el bien y las razones que justifican su solicitud. </w:t>
      </w:r>
    </w:p>
    <w:p w14:paraId="73CF9FE7" w14:textId="77777777" w:rsidR="00A43ECC" w:rsidRPr="00F83135" w:rsidRDefault="00A43ECC" w:rsidP="00A43ECC">
      <w:pPr>
        <w:jc w:val="both"/>
        <w:rPr>
          <w:rFonts w:ascii="Arial" w:eastAsia="Calibri" w:hAnsi="Arial" w:cs="Arial"/>
          <w:color w:val="000000" w:themeColor="text1"/>
          <w:sz w:val="20"/>
          <w:szCs w:val="20"/>
        </w:rPr>
      </w:pPr>
    </w:p>
    <w:p w14:paraId="7F3646E4" w14:textId="77777777" w:rsidR="00A43ECC" w:rsidRPr="003D6A52" w:rsidRDefault="00A43ECC" w:rsidP="00A43ECC">
      <w:pPr>
        <w:jc w:val="both"/>
        <w:rPr>
          <w:rFonts w:ascii="Arial" w:hAnsi="Arial" w:cs="Arial"/>
          <w:color w:val="000000" w:themeColor="text1"/>
          <w:sz w:val="22"/>
          <w:szCs w:val="22"/>
          <w:lang w:val="es-ES_tradnl"/>
        </w:rPr>
      </w:pPr>
    </w:p>
    <w:p w14:paraId="604AA145" w14:textId="77777777" w:rsidR="00A43ECC" w:rsidRDefault="00A43ECC" w:rsidP="00A43ECC">
      <w:pPr>
        <w:jc w:val="both"/>
        <w:rPr>
          <w:rFonts w:ascii="Arial" w:hAnsi="Arial" w:cs="Arial"/>
          <w:color w:val="000000" w:themeColor="text1"/>
          <w:sz w:val="22"/>
          <w:szCs w:val="22"/>
        </w:rPr>
      </w:pPr>
    </w:p>
    <w:p w14:paraId="2A19CB6E" w14:textId="77777777" w:rsidR="00A43ECC" w:rsidRDefault="00A43ECC" w:rsidP="00A43ECC">
      <w:pPr>
        <w:jc w:val="both"/>
        <w:rPr>
          <w:rFonts w:ascii="Arial" w:hAnsi="Arial" w:cs="Arial"/>
          <w:color w:val="000000" w:themeColor="text1"/>
          <w:sz w:val="22"/>
          <w:szCs w:val="22"/>
        </w:rPr>
      </w:pPr>
    </w:p>
    <w:p w14:paraId="3A9DFC00" w14:textId="77777777" w:rsidR="00A43ECC" w:rsidRDefault="00A43ECC" w:rsidP="00A43ECC">
      <w:pPr>
        <w:jc w:val="both"/>
        <w:rPr>
          <w:rFonts w:ascii="Arial" w:hAnsi="Arial" w:cs="Arial"/>
          <w:color w:val="000000" w:themeColor="text1"/>
          <w:sz w:val="22"/>
          <w:szCs w:val="22"/>
        </w:rPr>
      </w:pPr>
    </w:p>
    <w:p w14:paraId="59D958F3" w14:textId="77777777" w:rsidR="00A43ECC" w:rsidRDefault="00A43ECC" w:rsidP="00A43ECC">
      <w:pPr>
        <w:jc w:val="both"/>
        <w:rPr>
          <w:rFonts w:ascii="Arial" w:hAnsi="Arial" w:cs="Arial"/>
          <w:color w:val="000000" w:themeColor="text1"/>
          <w:sz w:val="22"/>
          <w:szCs w:val="22"/>
        </w:rPr>
      </w:pPr>
    </w:p>
    <w:p w14:paraId="02365107" w14:textId="77777777" w:rsidR="00A43ECC" w:rsidRDefault="00A43ECC" w:rsidP="00A43ECC">
      <w:pPr>
        <w:jc w:val="both"/>
        <w:rPr>
          <w:rFonts w:ascii="Arial" w:hAnsi="Arial" w:cs="Arial"/>
          <w:color w:val="000000" w:themeColor="text1"/>
          <w:sz w:val="22"/>
          <w:szCs w:val="22"/>
        </w:rPr>
      </w:pPr>
    </w:p>
    <w:p w14:paraId="78CF187C" w14:textId="77777777" w:rsidR="00A43ECC" w:rsidRDefault="00A43ECC" w:rsidP="00A43ECC">
      <w:pPr>
        <w:jc w:val="both"/>
        <w:rPr>
          <w:rFonts w:ascii="Arial" w:hAnsi="Arial" w:cs="Arial"/>
          <w:color w:val="000000" w:themeColor="text1"/>
          <w:sz w:val="22"/>
          <w:szCs w:val="22"/>
        </w:rPr>
      </w:pPr>
    </w:p>
    <w:p w14:paraId="3BEB4DED" w14:textId="77777777" w:rsidR="00A43ECC" w:rsidRDefault="00A43ECC" w:rsidP="00A43ECC">
      <w:pPr>
        <w:jc w:val="both"/>
        <w:rPr>
          <w:rFonts w:ascii="Arial" w:hAnsi="Arial" w:cs="Arial"/>
          <w:color w:val="000000" w:themeColor="text1"/>
          <w:sz w:val="22"/>
          <w:szCs w:val="22"/>
        </w:rPr>
      </w:pPr>
    </w:p>
    <w:p w14:paraId="4D1957D6" w14:textId="77777777" w:rsidR="00A43ECC" w:rsidRDefault="00A43ECC" w:rsidP="00A43ECC">
      <w:pPr>
        <w:jc w:val="both"/>
        <w:rPr>
          <w:rFonts w:ascii="Arial" w:hAnsi="Arial" w:cs="Arial"/>
          <w:color w:val="000000" w:themeColor="text1"/>
          <w:sz w:val="22"/>
          <w:szCs w:val="22"/>
        </w:rPr>
      </w:pPr>
    </w:p>
    <w:p w14:paraId="604B854E" w14:textId="77777777" w:rsidR="00A43ECC" w:rsidRDefault="00A43ECC" w:rsidP="00A43ECC">
      <w:pPr>
        <w:jc w:val="both"/>
        <w:rPr>
          <w:rFonts w:ascii="Arial" w:hAnsi="Arial" w:cs="Arial"/>
          <w:color w:val="000000" w:themeColor="text1"/>
          <w:sz w:val="22"/>
          <w:szCs w:val="22"/>
        </w:rPr>
      </w:pPr>
    </w:p>
    <w:p w14:paraId="4C45F600" w14:textId="77777777" w:rsidR="00A43ECC" w:rsidRDefault="00A43ECC" w:rsidP="00A43ECC">
      <w:pPr>
        <w:jc w:val="both"/>
        <w:rPr>
          <w:rFonts w:ascii="Arial" w:hAnsi="Arial" w:cs="Arial"/>
          <w:color w:val="000000" w:themeColor="text1"/>
          <w:sz w:val="22"/>
          <w:szCs w:val="22"/>
        </w:rPr>
      </w:pPr>
    </w:p>
    <w:p w14:paraId="32FB30B9" w14:textId="77777777" w:rsidR="00A43ECC" w:rsidRDefault="00A43ECC" w:rsidP="00A43ECC">
      <w:pPr>
        <w:jc w:val="both"/>
        <w:rPr>
          <w:rFonts w:ascii="Arial" w:hAnsi="Arial" w:cs="Arial"/>
          <w:color w:val="000000" w:themeColor="text1"/>
          <w:sz w:val="22"/>
          <w:szCs w:val="22"/>
        </w:rPr>
      </w:pPr>
    </w:p>
    <w:p w14:paraId="6988F110" w14:textId="77777777" w:rsidR="00A43ECC" w:rsidRDefault="00A43ECC" w:rsidP="00A43ECC">
      <w:pPr>
        <w:jc w:val="both"/>
        <w:rPr>
          <w:rFonts w:ascii="Arial" w:hAnsi="Arial" w:cs="Arial"/>
          <w:color w:val="000000" w:themeColor="text1"/>
          <w:sz w:val="22"/>
          <w:szCs w:val="22"/>
        </w:rPr>
      </w:pPr>
    </w:p>
    <w:p w14:paraId="4594D412" w14:textId="77777777" w:rsidR="00A43ECC" w:rsidRDefault="00A43ECC" w:rsidP="00A43ECC">
      <w:pPr>
        <w:jc w:val="both"/>
        <w:rPr>
          <w:rFonts w:ascii="Arial" w:hAnsi="Arial" w:cs="Arial"/>
          <w:color w:val="000000" w:themeColor="text1"/>
          <w:sz w:val="22"/>
          <w:szCs w:val="22"/>
        </w:rPr>
      </w:pPr>
    </w:p>
    <w:p w14:paraId="79988789" w14:textId="77777777" w:rsidR="00A43ECC" w:rsidRDefault="00A43ECC" w:rsidP="00A43ECC">
      <w:pPr>
        <w:jc w:val="both"/>
        <w:rPr>
          <w:rFonts w:ascii="Arial" w:hAnsi="Arial" w:cs="Arial"/>
          <w:color w:val="000000" w:themeColor="text1"/>
          <w:sz w:val="22"/>
          <w:szCs w:val="22"/>
        </w:rPr>
      </w:pPr>
    </w:p>
    <w:p w14:paraId="6B947A2B" w14:textId="77777777" w:rsidR="00A43ECC" w:rsidRDefault="00A43ECC" w:rsidP="00A43ECC">
      <w:pPr>
        <w:jc w:val="both"/>
        <w:rPr>
          <w:rFonts w:ascii="Arial" w:hAnsi="Arial" w:cs="Arial"/>
          <w:color w:val="000000" w:themeColor="text1"/>
          <w:sz w:val="22"/>
          <w:szCs w:val="22"/>
        </w:rPr>
      </w:pPr>
    </w:p>
    <w:p w14:paraId="3A1FB6F0" w14:textId="77777777" w:rsidR="00A43ECC" w:rsidRDefault="00A43ECC" w:rsidP="00A43ECC">
      <w:pPr>
        <w:jc w:val="both"/>
        <w:rPr>
          <w:rFonts w:ascii="Arial" w:hAnsi="Arial" w:cs="Arial"/>
          <w:color w:val="000000" w:themeColor="text1"/>
          <w:sz w:val="22"/>
          <w:szCs w:val="22"/>
        </w:rPr>
      </w:pPr>
    </w:p>
    <w:p w14:paraId="6DB9DDA4" w14:textId="77777777" w:rsidR="00A43ECC" w:rsidRDefault="00A43ECC" w:rsidP="00A43ECC">
      <w:pPr>
        <w:jc w:val="both"/>
        <w:rPr>
          <w:rFonts w:ascii="Arial" w:hAnsi="Arial" w:cs="Arial"/>
          <w:color w:val="000000" w:themeColor="text1"/>
          <w:sz w:val="22"/>
          <w:szCs w:val="22"/>
        </w:rPr>
      </w:pPr>
    </w:p>
    <w:p w14:paraId="0E78CF39" w14:textId="77777777" w:rsidR="00A43ECC" w:rsidRDefault="00A43ECC" w:rsidP="00A43ECC">
      <w:pPr>
        <w:jc w:val="both"/>
        <w:rPr>
          <w:rFonts w:ascii="Arial" w:hAnsi="Arial" w:cs="Arial"/>
          <w:color w:val="000000" w:themeColor="text1"/>
          <w:sz w:val="22"/>
          <w:szCs w:val="22"/>
        </w:rPr>
      </w:pPr>
    </w:p>
    <w:p w14:paraId="4BB26DE3" w14:textId="77777777" w:rsidR="00A43ECC" w:rsidRDefault="00A43ECC" w:rsidP="00A43ECC">
      <w:pPr>
        <w:jc w:val="both"/>
        <w:rPr>
          <w:rFonts w:ascii="Arial" w:hAnsi="Arial" w:cs="Arial"/>
          <w:color w:val="000000" w:themeColor="text1"/>
          <w:sz w:val="22"/>
          <w:szCs w:val="22"/>
        </w:rPr>
      </w:pPr>
    </w:p>
    <w:p w14:paraId="172E6F70" w14:textId="77777777" w:rsidR="00A43ECC" w:rsidRPr="003D6A52" w:rsidRDefault="00A43ECC" w:rsidP="00A43ECC">
      <w:pPr>
        <w:jc w:val="both"/>
        <w:rPr>
          <w:rFonts w:ascii="Arial" w:hAnsi="Arial" w:cs="Arial"/>
          <w:color w:val="000000" w:themeColor="text1"/>
          <w:sz w:val="22"/>
          <w:szCs w:val="22"/>
        </w:rPr>
      </w:pPr>
    </w:p>
    <w:p w14:paraId="3A600CFA" w14:textId="77777777" w:rsidR="00E21C25" w:rsidRDefault="00E21C25" w:rsidP="00A43ECC">
      <w:pPr>
        <w:widowControl w:val="0"/>
        <w:spacing w:after="120"/>
        <w:rPr>
          <w:rFonts w:ascii="Arial" w:hAnsi="Arial" w:cs="Arial"/>
          <w:sz w:val="22"/>
          <w:szCs w:val="22"/>
        </w:rPr>
      </w:pPr>
      <w:bookmarkStart w:id="3" w:name="_Hlk117700162"/>
    </w:p>
    <w:p w14:paraId="254AEFD0" w14:textId="31297DA1" w:rsidR="00E21C25" w:rsidRDefault="00E21C25" w:rsidP="00E21C25">
      <w:pPr>
        <w:widowControl w:val="0"/>
        <w:spacing w:after="120"/>
        <w:jc w:val="right"/>
        <w:rPr>
          <w:rFonts w:ascii="Arial" w:hAnsi="Arial" w:cs="Arial"/>
          <w:sz w:val="22"/>
          <w:szCs w:val="22"/>
        </w:rPr>
      </w:pPr>
      <w:r w:rsidRPr="00E21C25">
        <w:rPr>
          <w:rFonts w:ascii="Arial" w:hAnsi="Arial" w:cs="Arial"/>
          <w:noProof/>
          <w:sz w:val="22"/>
          <w:szCs w:val="22"/>
        </w:rPr>
        <w:drawing>
          <wp:inline distT="0" distB="0" distL="0" distR="0" wp14:anchorId="1FC556E5" wp14:editId="16915DEF">
            <wp:extent cx="3228340" cy="855833"/>
            <wp:effectExtent l="0" t="0" r="0" b="190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236172" cy="857909"/>
                    </a:xfrm>
                    <a:prstGeom prst="rect">
                      <a:avLst/>
                    </a:prstGeom>
                  </pic:spPr>
                </pic:pic>
              </a:graphicData>
            </a:graphic>
          </wp:inline>
        </w:drawing>
      </w:r>
    </w:p>
    <w:p w14:paraId="1A1AC507" w14:textId="4463B610" w:rsidR="00E21C25" w:rsidRDefault="00E21C25" w:rsidP="00A43ECC">
      <w:pPr>
        <w:widowControl w:val="0"/>
        <w:spacing w:after="120"/>
        <w:rPr>
          <w:rFonts w:ascii="Arial" w:hAnsi="Arial" w:cs="Arial"/>
          <w:sz w:val="22"/>
          <w:szCs w:val="22"/>
        </w:rPr>
      </w:pPr>
    </w:p>
    <w:p w14:paraId="404C5350" w14:textId="77777777" w:rsidR="00E21C25" w:rsidRDefault="00E21C25" w:rsidP="00A43ECC">
      <w:pPr>
        <w:widowControl w:val="0"/>
        <w:spacing w:after="120"/>
        <w:rPr>
          <w:rFonts w:ascii="Arial" w:hAnsi="Arial" w:cs="Arial"/>
          <w:sz w:val="22"/>
          <w:szCs w:val="22"/>
        </w:rPr>
      </w:pPr>
    </w:p>
    <w:p w14:paraId="3846CFE0" w14:textId="77777777" w:rsidR="00E21C25" w:rsidRDefault="00E21C25" w:rsidP="00A43ECC">
      <w:pPr>
        <w:widowControl w:val="0"/>
        <w:spacing w:after="120"/>
        <w:rPr>
          <w:rFonts w:ascii="Arial" w:hAnsi="Arial" w:cs="Arial"/>
          <w:sz w:val="22"/>
          <w:szCs w:val="22"/>
        </w:rPr>
      </w:pPr>
    </w:p>
    <w:p w14:paraId="6B75EA96" w14:textId="06980537" w:rsidR="00A43ECC" w:rsidRPr="00F83135" w:rsidRDefault="00A43ECC" w:rsidP="00A43ECC">
      <w:pPr>
        <w:widowControl w:val="0"/>
        <w:spacing w:after="120"/>
        <w:rPr>
          <w:rFonts w:ascii="Arial" w:hAnsi="Arial" w:cs="Arial"/>
          <w:b/>
          <w:sz w:val="22"/>
          <w:szCs w:val="22"/>
        </w:rPr>
      </w:pPr>
      <w:r w:rsidRPr="00F83135">
        <w:rPr>
          <w:rFonts w:ascii="Arial" w:hAnsi="Arial" w:cs="Arial"/>
          <w:sz w:val="22"/>
          <w:szCs w:val="22"/>
        </w:rPr>
        <w:t xml:space="preserve">Bogotá D.C., </w:t>
      </w:r>
      <w:r w:rsidR="00E21C25">
        <w:rPr>
          <w:rFonts w:ascii="Arial" w:hAnsi="Arial" w:cs="Arial"/>
          <w:sz w:val="22"/>
          <w:szCs w:val="22"/>
        </w:rPr>
        <w:t xml:space="preserve">26 </w:t>
      </w:r>
      <w:r w:rsidR="006568FC">
        <w:rPr>
          <w:rFonts w:ascii="Arial" w:hAnsi="Arial" w:cs="Arial"/>
          <w:sz w:val="22"/>
          <w:szCs w:val="22"/>
        </w:rPr>
        <w:t>O</w:t>
      </w:r>
      <w:r w:rsidR="00E21C25">
        <w:rPr>
          <w:rFonts w:ascii="Arial" w:hAnsi="Arial" w:cs="Arial"/>
          <w:sz w:val="22"/>
          <w:szCs w:val="22"/>
        </w:rPr>
        <w:t>ctubre 2022</w:t>
      </w:r>
    </w:p>
    <w:p w14:paraId="25B56099" w14:textId="4B24F330" w:rsidR="00A43ECC" w:rsidRDefault="00A43ECC" w:rsidP="00A43ECC">
      <w:pPr>
        <w:rPr>
          <w:rFonts w:ascii="Arial" w:hAnsi="Arial" w:cs="Arial"/>
          <w:b/>
          <w:sz w:val="22"/>
          <w:szCs w:val="22"/>
        </w:rPr>
      </w:pPr>
    </w:p>
    <w:p w14:paraId="63924B15" w14:textId="77777777" w:rsidR="00E21C25" w:rsidRPr="00F83135" w:rsidRDefault="00E21C25" w:rsidP="00A43ECC">
      <w:pPr>
        <w:rPr>
          <w:rFonts w:ascii="Arial" w:hAnsi="Arial" w:cs="Arial"/>
          <w:b/>
          <w:sz w:val="22"/>
          <w:szCs w:val="22"/>
        </w:rPr>
      </w:pPr>
    </w:p>
    <w:p w14:paraId="45621F9C" w14:textId="77777777" w:rsidR="00E21C25" w:rsidRDefault="00E21C25" w:rsidP="00A43ECC">
      <w:pPr>
        <w:jc w:val="right"/>
        <w:rPr>
          <w:rFonts w:ascii="Arial" w:hAnsi="Arial" w:cs="Arial"/>
          <w:b/>
          <w:sz w:val="22"/>
          <w:szCs w:val="22"/>
        </w:rPr>
      </w:pPr>
    </w:p>
    <w:p w14:paraId="3A479AD5" w14:textId="0FA19873" w:rsidR="00A43ECC" w:rsidRPr="00F83135" w:rsidRDefault="00A43ECC" w:rsidP="00A43ECC">
      <w:pPr>
        <w:jc w:val="right"/>
        <w:rPr>
          <w:rFonts w:ascii="Arial" w:hAnsi="Arial" w:cs="Arial"/>
          <w:b/>
          <w:sz w:val="22"/>
          <w:szCs w:val="22"/>
        </w:rPr>
      </w:pPr>
      <w:r w:rsidRPr="00F83135">
        <w:rPr>
          <w:rFonts w:ascii="Arial" w:hAnsi="Arial" w:cs="Arial"/>
          <w:b/>
          <w:sz w:val="22"/>
          <w:szCs w:val="22"/>
        </w:rPr>
        <w:t xml:space="preserve">                                                                                  </w:t>
      </w:r>
    </w:p>
    <w:p w14:paraId="680BC1A1" w14:textId="77777777" w:rsidR="00A43ECC" w:rsidRPr="00F83135" w:rsidRDefault="00A43ECC" w:rsidP="00A43ECC">
      <w:pPr>
        <w:spacing w:line="276" w:lineRule="auto"/>
        <w:rPr>
          <w:rFonts w:ascii="Arial" w:eastAsia="Calibri" w:hAnsi="Arial" w:cs="Arial"/>
          <w:color w:val="000000" w:themeColor="text1"/>
          <w:sz w:val="22"/>
          <w:szCs w:val="22"/>
          <w:lang w:val="es-ES_tradnl"/>
        </w:rPr>
      </w:pPr>
      <w:bookmarkStart w:id="4" w:name="_Hlk109047182"/>
      <w:r w:rsidRPr="00F83135">
        <w:rPr>
          <w:rFonts w:ascii="Arial" w:eastAsia="Calibri" w:hAnsi="Arial" w:cs="Arial"/>
          <w:color w:val="000000" w:themeColor="text1"/>
          <w:sz w:val="22"/>
          <w:szCs w:val="22"/>
          <w:lang w:val="es-ES_tradnl"/>
        </w:rPr>
        <w:t>Señor</w:t>
      </w:r>
    </w:p>
    <w:p w14:paraId="26103F0B" w14:textId="77777777" w:rsidR="00A43ECC" w:rsidRPr="00F83135" w:rsidRDefault="00A43ECC" w:rsidP="00A43ECC">
      <w:pPr>
        <w:spacing w:line="276" w:lineRule="auto"/>
        <w:rPr>
          <w:rFonts w:ascii="Arial" w:eastAsia="Calibri" w:hAnsi="Arial" w:cs="Arial"/>
          <w:b/>
          <w:color w:val="000000" w:themeColor="text1"/>
          <w:sz w:val="22"/>
          <w:szCs w:val="22"/>
          <w:lang w:val="es-ES_tradnl"/>
        </w:rPr>
      </w:pPr>
      <w:r w:rsidRPr="00F83135">
        <w:rPr>
          <w:rFonts w:ascii="Arial" w:eastAsia="Calibri" w:hAnsi="Arial" w:cs="Arial"/>
          <w:b/>
          <w:color w:val="000000" w:themeColor="text1"/>
          <w:sz w:val="22"/>
          <w:szCs w:val="22"/>
          <w:lang w:val="es-ES_tradnl"/>
        </w:rPr>
        <w:t>Jhon Fredy Orozco Bedoya</w:t>
      </w:r>
    </w:p>
    <w:p w14:paraId="584F3EA5" w14:textId="77777777" w:rsidR="00A43ECC" w:rsidRPr="00F83135" w:rsidRDefault="00A43ECC" w:rsidP="00A43ECC">
      <w:pPr>
        <w:spacing w:line="276" w:lineRule="auto"/>
        <w:rPr>
          <w:rFonts w:ascii="Arial" w:eastAsia="Calibri" w:hAnsi="Arial" w:cs="Arial"/>
          <w:color w:val="000000" w:themeColor="text1"/>
          <w:sz w:val="22"/>
          <w:szCs w:val="22"/>
          <w:lang w:val="es-ES_tradnl"/>
        </w:rPr>
      </w:pPr>
      <w:r w:rsidRPr="00F83135">
        <w:rPr>
          <w:rFonts w:ascii="Arial" w:eastAsia="Calibri" w:hAnsi="Arial" w:cs="Arial"/>
          <w:color w:val="000000" w:themeColor="text1"/>
          <w:sz w:val="22"/>
          <w:szCs w:val="22"/>
          <w:lang w:val="es-ES_tradnl"/>
        </w:rPr>
        <w:t xml:space="preserve">Dosquebradas, Risaralda </w:t>
      </w:r>
    </w:p>
    <w:p w14:paraId="73231BE0" w14:textId="6063877A" w:rsidR="00A43ECC" w:rsidRDefault="00A43ECC" w:rsidP="00A43ECC">
      <w:pPr>
        <w:spacing w:line="276" w:lineRule="auto"/>
        <w:jc w:val="center"/>
        <w:rPr>
          <w:rFonts w:ascii="Arial" w:eastAsia="Calibri" w:hAnsi="Arial" w:cs="Arial"/>
          <w:b/>
          <w:color w:val="000000" w:themeColor="text1"/>
          <w:sz w:val="22"/>
          <w:szCs w:val="22"/>
          <w:lang w:val="es-ES_tradnl"/>
        </w:rPr>
      </w:pPr>
    </w:p>
    <w:p w14:paraId="65512B0F" w14:textId="7E574BE0" w:rsidR="00E21C25" w:rsidRDefault="00E21C25" w:rsidP="00A43ECC">
      <w:pPr>
        <w:spacing w:line="276" w:lineRule="auto"/>
        <w:jc w:val="center"/>
        <w:rPr>
          <w:rFonts w:ascii="Arial" w:eastAsia="Calibri" w:hAnsi="Arial" w:cs="Arial"/>
          <w:b/>
          <w:color w:val="000000" w:themeColor="text1"/>
          <w:sz w:val="22"/>
          <w:szCs w:val="22"/>
          <w:lang w:val="es-ES_tradnl"/>
        </w:rPr>
      </w:pPr>
    </w:p>
    <w:p w14:paraId="7606DC1D" w14:textId="77777777" w:rsidR="00E21C25" w:rsidRDefault="00E21C25" w:rsidP="00A43ECC">
      <w:pPr>
        <w:spacing w:line="276" w:lineRule="auto"/>
        <w:jc w:val="center"/>
        <w:rPr>
          <w:rFonts w:ascii="Arial" w:eastAsia="Calibri" w:hAnsi="Arial" w:cs="Arial"/>
          <w:b/>
          <w:color w:val="000000" w:themeColor="text1"/>
          <w:sz w:val="22"/>
          <w:szCs w:val="22"/>
          <w:lang w:val="es-ES_tradnl"/>
        </w:rPr>
      </w:pPr>
    </w:p>
    <w:p w14:paraId="3FCBB221" w14:textId="77777777" w:rsidR="00E21C25" w:rsidRPr="00F83135" w:rsidRDefault="00E21C25" w:rsidP="00A43ECC">
      <w:pPr>
        <w:spacing w:line="276" w:lineRule="auto"/>
        <w:jc w:val="center"/>
        <w:rPr>
          <w:rFonts w:ascii="Arial" w:eastAsia="Calibri" w:hAnsi="Arial" w:cs="Arial"/>
          <w:b/>
          <w:color w:val="000000" w:themeColor="text1"/>
          <w:sz w:val="22"/>
          <w:szCs w:val="22"/>
          <w:lang w:val="es-ES_tradnl"/>
        </w:rPr>
      </w:pPr>
    </w:p>
    <w:p w14:paraId="24F15BB5" w14:textId="047D5FCD" w:rsidR="00A43ECC" w:rsidRDefault="00A43ECC" w:rsidP="00A43ECC">
      <w:pPr>
        <w:spacing w:line="276" w:lineRule="auto"/>
        <w:ind w:left="2124"/>
        <w:rPr>
          <w:rFonts w:ascii="Arial" w:eastAsia="Calibri" w:hAnsi="Arial" w:cs="Arial"/>
          <w:b/>
          <w:color w:val="000000" w:themeColor="text1"/>
          <w:sz w:val="22"/>
          <w:szCs w:val="22"/>
          <w:lang w:val="es-ES_tradnl"/>
        </w:rPr>
      </w:pPr>
      <w:r w:rsidRPr="00F83135">
        <w:rPr>
          <w:rFonts w:ascii="Arial" w:eastAsia="Calibri" w:hAnsi="Arial" w:cs="Arial"/>
          <w:b/>
          <w:color w:val="000000" w:themeColor="text1"/>
          <w:sz w:val="22"/>
          <w:szCs w:val="22"/>
          <w:lang w:val="es-ES_tradnl"/>
        </w:rPr>
        <w:t xml:space="preserve">         Concepto C ─ 704 de 2022</w:t>
      </w:r>
    </w:p>
    <w:p w14:paraId="58D0FDB5" w14:textId="64A1F878" w:rsidR="00E21C25" w:rsidRDefault="00E21C25" w:rsidP="00A43ECC">
      <w:pPr>
        <w:spacing w:line="276" w:lineRule="auto"/>
        <w:ind w:left="2124"/>
        <w:rPr>
          <w:rFonts w:ascii="Arial" w:eastAsia="Calibri" w:hAnsi="Arial" w:cs="Arial"/>
          <w:b/>
          <w:color w:val="000000" w:themeColor="text1"/>
          <w:sz w:val="22"/>
          <w:szCs w:val="22"/>
          <w:lang w:val="es-ES_tradnl"/>
        </w:rPr>
      </w:pPr>
    </w:p>
    <w:p w14:paraId="34C60D21" w14:textId="00373B9A" w:rsidR="00E21C25" w:rsidRDefault="00E21C25" w:rsidP="00A43ECC">
      <w:pPr>
        <w:spacing w:line="276" w:lineRule="auto"/>
        <w:ind w:left="2124"/>
        <w:rPr>
          <w:rFonts w:ascii="Arial" w:eastAsia="Calibri" w:hAnsi="Arial" w:cs="Arial"/>
          <w:b/>
          <w:color w:val="000000" w:themeColor="text1"/>
          <w:sz w:val="22"/>
          <w:szCs w:val="22"/>
          <w:lang w:val="es-ES_tradnl"/>
        </w:rPr>
      </w:pPr>
    </w:p>
    <w:p w14:paraId="61F6282F" w14:textId="77777777" w:rsidR="00E21C25" w:rsidRPr="00F83135" w:rsidRDefault="00E21C25" w:rsidP="00A43ECC">
      <w:pPr>
        <w:spacing w:line="276" w:lineRule="auto"/>
        <w:ind w:left="2124"/>
        <w:rPr>
          <w:rFonts w:ascii="Arial" w:eastAsia="Calibri" w:hAnsi="Arial" w:cs="Arial"/>
          <w:b/>
          <w:color w:val="000000" w:themeColor="text1"/>
          <w:sz w:val="22"/>
          <w:szCs w:val="22"/>
          <w:lang w:val="es-ES_tradnl"/>
        </w:rPr>
      </w:pPr>
    </w:p>
    <w:p w14:paraId="5A5807FE" w14:textId="77777777" w:rsidR="00A43ECC" w:rsidRPr="00F83135" w:rsidRDefault="00A43ECC" w:rsidP="00A43ECC">
      <w:pPr>
        <w:spacing w:line="276" w:lineRule="auto"/>
        <w:jc w:val="center"/>
        <w:rPr>
          <w:rFonts w:ascii="Arial" w:eastAsia="Calibri" w:hAnsi="Arial" w:cs="Arial"/>
          <w:b/>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43ECC" w:rsidRPr="00F83135" w14:paraId="37A49FB6" w14:textId="77777777" w:rsidTr="00440318">
        <w:tc>
          <w:tcPr>
            <w:tcW w:w="2689" w:type="dxa"/>
            <w:hideMark/>
          </w:tcPr>
          <w:p w14:paraId="7E3781EC" w14:textId="77777777" w:rsidR="00A43ECC" w:rsidRPr="00F83135" w:rsidRDefault="00A43ECC" w:rsidP="00440318">
            <w:pPr>
              <w:spacing w:line="276" w:lineRule="auto"/>
              <w:rPr>
                <w:rFonts w:ascii="Arial" w:eastAsia="Calibri" w:hAnsi="Arial" w:cs="Arial"/>
                <w:color w:val="000000" w:themeColor="text1"/>
                <w:sz w:val="22"/>
                <w:szCs w:val="22"/>
                <w:lang w:val="es-ES_tradnl"/>
              </w:rPr>
            </w:pPr>
            <w:r w:rsidRPr="00F83135">
              <w:rPr>
                <w:rFonts w:ascii="Arial" w:eastAsia="Calibri" w:hAnsi="Arial" w:cs="Arial"/>
                <w:b/>
                <w:color w:val="000000" w:themeColor="text1"/>
                <w:sz w:val="22"/>
                <w:szCs w:val="22"/>
                <w:lang w:val="es-ES_tradnl"/>
              </w:rPr>
              <w:t>Temas:</w:t>
            </w:r>
            <w:r w:rsidRPr="00F83135">
              <w:rPr>
                <w:rFonts w:ascii="Arial" w:eastAsia="Calibri" w:hAnsi="Arial" w:cs="Arial"/>
                <w:color w:val="000000" w:themeColor="text1"/>
                <w:sz w:val="22"/>
                <w:szCs w:val="22"/>
                <w:lang w:val="es-ES_tradnl"/>
              </w:rPr>
              <w:t xml:space="preserve">           </w:t>
            </w:r>
          </w:p>
          <w:p w14:paraId="32803518" w14:textId="77777777" w:rsidR="00A43ECC" w:rsidRPr="00F83135" w:rsidRDefault="00A43ECC" w:rsidP="00440318">
            <w:pPr>
              <w:spacing w:line="276" w:lineRule="auto"/>
              <w:rPr>
                <w:rFonts w:ascii="Arial" w:eastAsia="Calibri" w:hAnsi="Arial" w:cs="Arial"/>
                <w:color w:val="000000" w:themeColor="text1"/>
                <w:sz w:val="22"/>
                <w:szCs w:val="22"/>
                <w:lang w:val="es-ES_tradnl"/>
              </w:rPr>
            </w:pPr>
            <w:r w:rsidRPr="00F83135">
              <w:rPr>
                <w:rFonts w:ascii="Arial" w:eastAsia="Calibri" w:hAnsi="Arial" w:cs="Arial"/>
                <w:color w:val="000000" w:themeColor="text1"/>
                <w:sz w:val="22"/>
                <w:szCs w:val="22"/>
                <w:lang w:val="es-ES_tradnl"/>
              </w:rPr>
              <w:t xml:space="preserve">                           </w:t>
            </w:r>
          </w:p>
        </w:tc>
        <w:tc>
          <w:tcPr>
            <w:tcW w:w="6237" w:type="dxa"/>
            <w:hideMark/>
          </w:tcPr>
          <w:p w14:paraId="64A47AD4" w14:textId="77777777" w:rsidR="00A43ECC" w:rsidRDefault="00A43ECC" w:rsidP="00440318">
            <w:pPr>
              <w:widowControl w:val="0"/>
              <w:autoSpaceDE w:val="0"/>
              <w:autoSpaceDN w:val="0"/>
              <w:adjustRightInd w:val="0"/>
              <w:spacing w:after="120"/>
              <w:jc w:val="both"/>
              <w:rPr>
                <w:rFonts w:ascii="Arial" w:eastAsiaTheme="minorHAnsi" w:hAnsi="Arial" w:cs="Arial"/>
                <w:color w:val="000000" w:themeColor="text1"/>
                <w:sz w:val="22"/>
                <w:szCs w:val="22"/>
                <w:lang w:val="es-ES_tradnl" w:eastAsia="en-US"/>
              </w:rPr>
            </w:pPr>
            <w:r w:rsidRPr="00F83135">
              <w:rPr>
                <w:rFonts w:ascii="Arial" w:eastAsiaTheme="minorHAnsi" w:hAnsi="Arial" w:cs="Arial"/>
                <w:color w:val="000000" w:themeColor="text1"/>
                <w:sz w:val="22"/>
                <w:szCs w:val="22"/>
                <w:lang w:val="es-ES_tradnl" w:eastAsia="en-US"/>
              </w:rPr>
              <w:t>ENAJENACIÓN DE BIENES –BIENES – Muebles – Modalidad a título gratuito entre Entidades Estatales</w:t>
            </w:r>
          </w:p>
          <w:p w14:paraId="7B81A505" w14:textId="3B70777B" w:rsidR="00E21C25" w:rsidRPr="00F83135" w:rsidRDefault="00E21C25" w:rsidP="00440318">
            <w:pPr>
              <w:widowControl w:val="0"/>
              <w:autoSpaceDE w:val="0"/>
              <w:autoSpaceDN w:val="0"/>
              <w:adjustRightInd w:val="0"/>
              <w:spacing w:after="120"/>
              <w:jc w:val="both"/>
              <w:rPr>
                <w:rFonts w:ascii="Arial" w:eastAsiaTheme="minorHAnsi" w:hAnsi="Arial" w:cs="Arial"/>
                <w:color w:val="000000" w:themeColor="text1"/>
                <w:sz w:val="22"/>
                <w:szCs w:val="22"/>
                <w:lang w:val="es-ES_tradnl" w:eastAsia="en-US"/>
              </w:rPr>
            </w:pPr>
          </w:p>
        </w:tc>
      </w:tr>
      <w:tr w:rsidR="00A43ECC" w:rsidRPr="00F83135" w14:paraId="3FF339DC" w14:textId="77777777" w:rsidTr="00440318">
        <w:tc>
          <w:tcPr>
            <w:tcW w:w="2689" w:type="dxa"/>
          </w:tcPr>
          <w:p w14:paraId="418FDC5D" w14:textId="77777777" w:rsidR="00A43ECC" w:rsidRPr="00F83135" w:rsidRDefault="00A43ECC" w:rsidP="00440318">
            <w:pPr>
              <w:spacing w:line="276" w:lineRule="auto"/>
              <w:rPr>
                <w:rFonts w:ascii="Arial" w:eastAsia="Calibri" w:hAnsi="Arial" w:cs="Arial"/>
                <w:b/>
                <w:color w:val="000000" w:themeColor="text1"/>
                <w:sz w:val="22"/>
                <w:szCs w:val="22"/>
                <w:lang w:val="es-ES_tradnl"/>
              </w:rPr>
            </w:pPr>
            <w:r w:rsidRPr="00F83135">
              <w:rPr>
                <w:rFonts w:ascii="Arial" w:eastAsia="Calibri" w:hAnsi="Arial" w:cs="Arial"/>
                <w:b/>
                <w:color w:val="000000" w:themeColor="text1"/>
                <w:sz w:val="22"/>
                <w:szCs w:val="22"/>
                <w:lang w:val="es-ES_tradnl"/>
              </w:rPr>
              <w:t>Radicación:</w:t>
            </w:r>
            <w:r w:rsidRPr="00F83135">
              <w:rPr>
                <w:rFonts w:ascii="Arial" w:eastAsia="Calibri" w:hAnsi="Arial" w:cs="Arial"/>
                <w:color w:val="000000" w:themeColor="text1"/>
                <w:sz w:val="22"/>
                <w:szCs w:val="22"/>
                <w:lang w:val="es-ES_tradnl"/>
              </w:rPr>
              <w:t xml:space="preserve">                              </w:t>
            </w:r>
          </w:p>
        </w:tc>
        <w:tc>
          <w:tcPr>
            <w:tcW w:w="6237" w:type="dxa"/>
          </w:tcPr>
          <w:p w14:paraId="6CB0E3C6" w14:textId="77777777" w:rsidR="00A43ECC" w:rsidRDefault="00A43ECC" w:rsidP="00440318">
            <w:pPr>
              <w:widowControl w:val="0"/>
              <w:autoSpaceDE w:val="0"/>
              <w:autoSpaceDN w:val="0"/>
              <w:adjustRightInd w:val="0"/>
              <w:spacing w:after="120"/>
              <w:jc w:val="both"/>
              <w:rPr>
                <w:rFonts w:ascii="Arial" w:eastAsiaTheme="minorHAnsi" w:hAnsi="Arial" w:cs="Arial"/>
                <w:color w:val="000000" w:themeColor="text1"/>
                <w:sz w:val="22"/>
                <w:szCs w:val="22"/>
                <w:lang w:val="es-ES_tradnl" w:eastAsia="en-US"/>
              </w:rPr>
            </w:pPr>
            <w:r w:rsidRPr="00F83135">
              <w:rPr>
                <w:rFonts w:ascii="Arial" w:eastAsiaTheme="minorHAnsi" w:hAnsi="Arial" w:cs="Arial"/>
                <w:color w:val="000000" w:themeColor="text1"/>
                <w:sz w:val="22"/>
                <w:szCs w:val="22"/>
                <w:lang w:val="es-ES_tradnl" w:eastAsia="en-US"/>
              </w:rPr>
              <w:t>Respuesta a consulta P20220913009215</w:t>
            </w:r>
          </w:p>
          <w:p w14:paraId="4705AE0E" w14:textId="2CF2764B" w:rsidR="00E21C25" w:rsidRPr="00F83135" w:rsidRDefault="00E21C25" w:rsidP="00440318">
            <w:pPr>
              <w:widowControl w:val="0"/>
              <w:autoSpaceDE w:val="0"/>
              <w:autoSpaceDN w:val="0"/>
              <w:adjustRightInd w:val="0"/>
              <w:spacing w:after="120"/>
              <w:jc w:val="both"/>
              <w:rPr>
                <w:rFonts w:ascii="Arial" w:eastAsiaTheme="minorHAnsi" w:hAnsi="Arial" w:cs="Arial"/>
                <w:color w:val="000000" w:themeColor="text1"/>
                <w:sz w:val="22"/>
                <w:szCs w:val="22"/>
                <w:lang w:val="es-ES_tradnl" w:eastAsia="en-US"/>
              </w:rPr>
            </w:pPr>
          </w:p>
        </w:tc>
      </w:tr>
    </w:tbl>
    <w:p w14:paraId="70FF808A" w14:textId="15090C5B" w:rsidR="00A43ECC" w:rsidRDefault="00A43ECC" w:rsidP="00A43ECC">
      <w:pPr>
        <w:spacing w:line="276" w:lineRule="auto"/>
        <w:rPr>
          <w:rFonts w:ascii="Arial" w:eastAsia="Calibri" w:hAnsi="Arial" w:cs="Arial"/>
          <w:color w:val="000000" w:themeColor="text1"/>
          <w:sz w:val="22"/>
          <w:szCs w:val="22"/>
          <w:lang w:val="es-ES_tradnl"/>
        </w:rPr>
      </w:pPr>
    </w:p>
    <w:p w14:paraId="172BC3C5" w14:textId="77777777" w:rsidR="00E21C25" w:rsidRPr="00F83135" w:rsidRDefault="00E21C25" w:rsidP="00A43ECC">
      <w:pPr>
        <w:spacing w:line="276" w:lineRule="auto"/>
        <w:rPr>
          <w:rFonts w:ascii="Arial" w:eastAsia="Calibri" w:hAnsi="Arial" w:cs="Arial"/>
          <w:color w:val="000000" w:themeColor="text1"/>
          <w:sz w:val="22"/>
          <w:szCs w:val="22"/>
          <w:lang w:val="es-ES_tradnl"/>
        </w:rPr>
      </w:pPr>
    </w:p>
    <w:p w14:paraId="14F32340" w14:textId="591F1C89" w:rsidR="00A43ECC" w:rsidRDefault="00A43ECC" w:rsidP="00A43ECC">
      <w:pPr>
        <w:spacing w:line="276" w:lineRule="auto"/>
        <w:rPr>
          <w:rFonts w:ascii="Arial" w:eastAsia="Calibri" w:hAnsi="Arial" w:cs="Arial"/>
          <w:color w:val="000000" w:themeColor="text1"/>
          <w:sz w:val="22"/>
          <w:szCs w:val="22"/>
          <w:lang w:val="es-ES_tradnl"/>
        </w:rPr>
      </w:pPr>
      <w:r w:rsidRPr="00F83135">
        <w:rPr>
          <w:rFonts w:ascii="Arial" w:eastAsia="Calibri" w:hAnsi="Arial" w:cs="Arial"/>
          <w:color w:val="000000" w:themeColor="text1"/>
          <w:sz w:val="22"/>
          <w:szCs w:val="22"/>
          <w:lang w:val="es-ES_tradnl"/>
        </w:rPr>
        <w:t>Estimado señor Orozco Bedoya:</w:t>
      </w:r>
    </w:p>
    <w:p w14:paraId="1996AC7B" w14:textId="77777777" w:rsidR="00E21C25" w:rsidRPr="00F83135" w:rsidRDefault="00E21C25" w:rsidP="00A43ECC">
      <w:pPr>
        <w:spacing w:line="276" w:lineRule="auto"/>
        <w:rPr>
          <w:rFonts w:ascii="Arial" w:eastAsia="Calibri" w:hAnsi="Arial" w:cs="Arial"/>
          <w:color w:val="000000" w:themeColor="text1"/>
          <w:sz w:val="22"/>
          <w:szCs w:val="22"/>
          <w:lang w:val="es-ES_tradnl"/>
        </w:rPr>
      </w:pPr>
    </w:p>
    <w:p w14:paraId="4E9BFE21" w14:textId="77777777" w:rsidR="00A43ECC" w:rsidRPr="00F83135" w:rsidRDefault="00A43ECC" w:rsidP="00A43ECC">
      <w:pPr>
        <w:spacing w:line="276" w:lineRule="auto"/>
        <w:rPr>
          <w:rFonts w:ascii="Arial" w:eastAsia="Calibri" w:hAnsi="Arial" w:cs="Arial"/>
          <w:color w:val="000000" w:themeColor="text1"/>
          <w:sz w:val="22"/>
          <w:szCs w:val="22"/>
          <w:lang w:val="es-ES_tradnl"/>
        </w:rPr>
      </w:pPr>
    </w:p>
    <w:p w14:paraId="51711473" w14:textId="77777777" w:rsidR="00A43ECC" w:rsidRPr="00F83135" w:rsidRDefault="00A43ECC" w:rsidP="00A43ECC">
      <w:pPr>
        <w:spacing w:line="276" w:lineRule="auto"/>
        <w:ind w:right="49"/>
        <w:jc w:val="both"/>
        <w:rPr>
          <w:rFonts w:ascii="Arial" w:eastAsia="Calibri" w:hAnsi="Arial" w:cs="Arial"/>
          <w:color w:val="000000" w:themeColor="text1"/>
          <w:sz w:val="22"/>
          <w:szCs w:val="22"/>
          <w:lang w:val="es-ES_tradnl"/>
        </w:rPr>
      </w:pPr>
      <w:r w:rsidRPr="00F83135">
        <w:rPr>
          <w:rFonts w:ascii="Arial" w:eastAsia="Calibri" w:hAnsi="Arial" w:cs="Arial"/>
          <w:color w:val="000000" w:themeColor="text1"/>
          <w:sz w:val="22"/>
          <w:szCs w:val="22"/>
          <w:lang w:val="es-ES_tradnl"/>
        </w:rPr>
        <w:t>La Agencia Nacional de Contratación Pública – Colombia Compra Eficiente, en ejercicio de la competencia otorgada por el numeral 8 del artículo 11 y el numeral 5 del artículo 3 del Decreto Ley 4170 de 2011, responde su consulta del 13 de septiembre de 2022. Esta consulta fue remitida por el Departamento Administrativo de la Función Pública, mediante Oficio con Radicado No. 20229000455222 del mismo mes y año.</w:t>
      </w:r>
    </w:p>
    <w:p w14:paraId="7A2A5F28" w14:textId="77777777" w:rsidR="00A43ECC" w:rsidRPr="00F83135" w:rsidRDefault="00A43ECC" w:rsidP="00A43ECC">
      <w:pPr>
        <w:tabs>
          <w:tab w:val="left" w:pos="426"/>
        </w:tabs>
        <w:spacing w:line="276" w:lineRule="auto"/>
        <w:jc w:val="both"/>
        <w:rPr>
          <w:rFonts w:ascii="Arial" w:eastAsia="Calibri" w:hAnsi="Arial" w:cs="Arial"/>
          <w:color w:val="000000" w:themeColor="text1"/>
          <w:sz w:val="22"/>
          <w:szCs w:val="22"/>
          <w:lang w:val="es-ES_tradnl"/>
        </w:rPr>
      </w:pPr>
    </w:p>
    <w:p w14:paraId="46918A80" w14:textId="77777777" w:rsidR="00A43ECC" w:rsidRPr="00F83135" w:rsidRDefault="00A43ECC" w:rsidP="00A43ECC">
      <w:pPr>
        <w:pStyle w:val="Prrafodelista"/>
        <w:numPr>
          <w:ilvl w:val="0"/>
          <w:numId w:val="5"/>
        </w:numPr>
        <w:tabs>
          <w:tab w:val="left" w:pos="284"/>
        </w:tabs>
        <w:spacing w:line="276" w:lineRule="auto"/>
        <w:ind w:left="0" w:firstLine="0"/>
        <w:jc w:val="both"/>
        <w:rPr>
          <w:rFonts w:ascii="Arial" w:eastAsia="Calibri" w:hAnsi="Arial" w:cs="Arial"/>
          <w:b/>
          <w:color w:val="000000" w:themeColor="text1"/>
          <w:sz w:val="22"/>
          <w:szCs w:val="22"/>
          <w:lang w:val="es-ES_tradnl"/>
        </w:rPr>
      </w:pPr>
      <w:r w:rsidRPr="00F83135">
        <w:rPr>
          <w:rFonts w:ascii="Arial" w:eastAsia="Calibri" w:hAnsi="Arial" w:cs="Arial"/>
          <w:b/>
          <w:color w:val="000000" w:themeColor="text1"/>
          <w:sz w:val="22"/>
          <w:szCs w:val="22"/>
          <w:lang w:val="es-ES_tradnl"/>
        </w:rPr>
        <w:t xml:space="preserve">Problemas planteados </w:t>
      </w:r>
    </w:p>
    <w:p w14:paraId="587B2BD6" w14:textId="77777777" w:rsidR="00A43ECC" w:rsidRPr="00F83135" w:rsidRDefault="00A43ECC" w:rsidP="00A43ECC">
      <w:pPr>
        <w:tabs>
          <w:tab w:val="left" w:pos="426"/>
        </w:tabs>
        <w:spacing w:line="276" w:lineRule="auto"/>
        <w:jc w:val="both"/>
        <w:rPr>
          <w:rFonts w:ascii="Arial" w:eastAsia="Calibri" w:hAnsi="Arial" w:cs="Arial"/>
          <w:b/>
          <w:color w:val="000000" w:themeColor="text1"/>
          <w:sz w:val="22"/>
          <w:szCs w:val="22"/>
          <w:lang w:val="es-ES_tradnl"/>
        </w:rPr>
      </w:pPr>
    </w:p>
    <w:p w14:paraId="084D9AB2" w14:textId="77777777" w:rsidR="00A43ECC" w:rsidRPr="00F83135" w:rsidRDefault="00A43ECC" w:rsidP="00A43ECC">
      <w:pPr>
        <w:tabs>
          <w:tab w:val="left" w:pos="426"/>
        </w:tabs>
        <w:spacing w:line="276" w:lineRule="auto"/>
        <w:jc w:val="both"/>
        <w:rPr>
          <w:rFonts w:ascii="Arial" w:eastAsia="Calibri" w:hAnsi="Arial" w:cs="Arial"/>
          <w:color w:val="000000" w:themeColor="text1"/>
          <w:sz w:val="22"/>
          <w:szCs w:val="22"/>
          <w:lang w:val="es-ES_tradnl"/>
        </w:rPr>
      </w:pPr>
      <w:r w:rsidRPr="00F83135">
        <w:rPr>
          <w:rFonts w:ascii="Arial" w:eastAsia="Calibri" w:hAnsi="Arial" w:cs="Arial"/>
          <w:color w:val="000000" w:themeColor="text1"/>
          <w:sz w:val="22"/>
          <w:szCs w:val="22"/>
          <w:lang w:val="es-ES_tradnl"/>
        </w:rPr>
        <w:t>Respecto de la enajenación de bienes a título gratuito, usted realiza la siguiente consulta:</w:t>
      </w:r>
    </w:p>
    <w:p w14:paraId="24344BFF" w14:textId="77777777" w:rsidR="00A43ECC" w:rsidRPr="003D6A52" w:rsidRDefault="00A43ECC" w:rsidP="00A43ECC">
      <w:pPr>
        <w:ind w:left="709" w:right="709"/>
        <w:jc w:val="both"/>
        <w:rPr>
          <w:rFonts w:ascii="Arial" w:hAnsi="Arial" w:cs="Arial"/>
          <w:sz w:val="22"/>
          <w:szCs w:val="22"/>
        </w:rPr>
      </w:pPr>
    </w:p>
    <w:p w14:paraId="05544B5C" w14:textId="77777777" w:rsidR="00A43ECC" w:rsidRPr="003D6A52" w:rsidRDefault="00A43ECC" w:rsidP="00A43ECC">
      <w:pPr>
        <w:spacing w:line="276" w:lineRule="auto"/>
        <w:ind w:left="709" w:right="709"/>
        <w:jc w:val="both"/>
        <w:rPr>
          <w:rFonts w:ascii="Arial" w:hAnsi="Arial" w:cs="Arial"/>
          <w:i/>
          <w:iCs/>
          <w:sz w:val="22"/>
          <w:szCs w:val="22"/>
        </w:rPr>
      </w:pPr>
      <w:r w:rsidRPr="003D6A52">
        <w:rPr>
          <w:rFonts w:ascii="Arial" w:hAnsi="Arial" w:cs="Arial"/>
          <w:i/>
          <w:iCs/>
          <w:sz w:val="22"/>
          <w:szCs w:val="22"/>
        </w:rPr>
        <w:t>«conforme a lo establecido en el artículo ARTICULO 2.2.1.2.2.4.3. del Decreto 1082 de 2015 en cuanto Enajenación de bienes muebles a título gratuito entre Entidades Estatales. Las Entidades Estatales deben hacer un inventario de los bienes muebles que no utilizan y ofrecerlos a título gratuito a las Entidades Estatales a través de un acto administrativo motivado que deben publicar en su página web, la inquietud es la siguiente, ¿se puede direccionar una enajenación a título gratuito hacia el sector educativo por la naturaleza de los bienes muebles?»</w:t>
      </w:r>
    </w:p>
    <w:p w14:paraId="0DDBB41C" w14:textId="77777777" w:rsidR="00A43ECC" w:rsidRPr="003D6A52" w:rsidRDefault="00A43ECC" w:rsidP="00A43ECC">
      <w:pPr>
        <w:spacing w:line="276" w:lineRule="auto"/>
        <w:jc w:val="both"/>
        <w:rPr>
          <w:rFonts w:ascii="Arial" w:eastAsia="Calibri" w:hAnsi="Arial" w:cs="Arial"/>
          <w:color w:val="000000" w:themeColor="text1"/>
          <w:sz w:val="22"/>
          <w:szCs w:val="22"/>
          <w:lang w:val="es-ES_tradnl"/>
        </w:rPr>
      </w:pPr>
    </w:p>
    <w:p w14:paraId="409945AD" w14:textId="77777777" w:rsidR="00A43ECC" w:rsidRPr="00F83135" w:rsidRDefault="00A43ECC" w:rsidP="00A43ECC">
      <w:pPr>
        <w:tabs>
          <w:tab w:val="left" w:pos="426"/>
        </w:tabs>
        <w:spacing w:line="276" w:lineRule="auto"/>
        <w:jc w:val="both"/>
        <w:rPr>
          <w:rFonts w:ascii="Arial" w:eastAsia="Calibri" w:hAnsi="Arial" w:cs="Arial"/>
          <w:b/>
          <w:color w:val="000000" w:themeColor="text1"/>
          <w:sz w:val="22"/>
          <w:szCs w:val="22"/>
          <w:lang w:val="es-ES_tradnl"/>
        </w:rPr>
      </w:pPr>
      <w:r w:rsidRPr="00F83135">
        <w:rPr>
          <w:rFonts w:ascii="Arial" w:eastAsia="Calibri" w:hAnsi="Arial" w:cs="Arial"/>
          <w:b/>
          <w:color w:val="000000" w:themeColor="text1"/>
          <w:sz w:val="22"/>
          <w:szCs w:val="22"/>
          <w:lang w:val="es-ES_tradnl"/>
        </w:rPr>
        <w:t>2. Consideraciones</w:t>
      </w:r>
    </w:p>
    <w:bookmarkEnd w:id="0"/>
    <w:bookmarkEnd w:id="1"/>
    <w:p w14:paraId="5312DDD4" w14:textId="77777777" w:rsidR="00A43ECC" w:rsidRPr="00F83135" w:rsidRDefault="00A43ECC" w:rsidP="00A43ECC">
      <w:pPr>
        <w:spacing w:line="276" w:lineRule="auto"/>
        <w:jc w:val="both"/>
        <w:rPr>
          <w:rFonts w:ascii="Arial" w:hAnsi="Arial" w:cs="Arial"/>
          <w:color w:val="000000" w:themeColor="text1"/>
          <w:sz w:val="22"/>
          <w:szCs w:val="22"/>
          <w:lang w:val="es-ES_tradnl"/>
        </w:rPr>
      </w:pPr>
    </w:p>
    <w:p w14:paraId="15D50202" w14:textId="77777777" w:rsidR="00A43ECC" w:rsidRPr="00F83135" w:rsidRDefault="00A43ECC" w:rsidP="00A43ECC">
      <w:pPr>
        <w:spacing w:after="120" w:line="276" w:lineRule="auto"/>
        <w:jc w:val="both"/>
        <w:rPr>
          <w:rFonts w:ascii="Arial" w:hAnsi="Arial" w:cs="Arial"/>
          <w:bCs/>
          <w:sz w:val="22"/>
          <w:szCs w:val="22"/>
          <w:lang w:val="es-ES_tradnl"/>
        </w:rPr>
      </w:pPr>
      <w:bookmarkStart w:id="5" w:name="_Hlk61701014"/>
      <w:bookmarkStart w:id="6" w:name="_Hlk62136649"/>
      <w:r w:rsidRPr="00F83135">
        <w:rPr>
          <w:rFonts w:ascii="Arial" w:eastAsia="Calibri" w:hAnsi="Arial" w:cs="Arial"/>
          <w:color w:val="000000" w:themeColor="text1"/>
          <w:sz w:val="22"/>
          <w:szCs w:val="22"/>
          <w:lang w:val="es-ES_tradnl"/>
        </w:rPr>
        <w:t xml:space="preserve">De manera preliminar, </w:t>
      </w:r>
      <w:r w:rsidRPr="00F83135">
        <w:rPr>
          <w:rFonts w:ascii="Arial" w:hAnsi="Arial" w:cs="Arial"/>
          <w:bCs/>
          <w:sz w:val="22"/>
          <w:szCs w:val="22"/>
          <w:lang w:val="es-ES_tradnl"/>
        </w:rPr>
        <w:t>es pertinente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27BAC119" w14:textId="77777777" w:rsidR="00A43ECC" w:rsidRPr="00F83135" w:rsidRDefault="00A43ECC" w:rsidP="00A43ECC">
      <w:pPr>
        <w:spacing w:after="120" w:line="276" w:lineRule="auto"/>
        <w:ind w:firstLine="708"/>
        <w:jc w:val="both"/>
        <w:rPr>
          <w:rFonts w:ascii="Arial" w:hAnsi="Arial" w:cs="Arial"/>
          <w:sz w:val="22"/>
          <w:szCs w:val="22"/>
          <w:lang w:val="es-ES_tradnl"/>
        </w:rPr>
      </w:pPr>
      <w:r w:rsidRPr="00F83135">
        <w:rPr>
          <w:rFonts w:ascii="Arial" w:hAnsi="Arial" w:cs="Arial"/>
          <w:sz w:val="22"/>
          <w:szCs w:val="22"/>
          <w:lang w:val="es-ES_tradnl"/>
        </w:rPr>
        <w:t xml:space="preserve">Es necesario tener en cuenta que </w:t>
      </w:r>
      <w:bookmarkStart w:id="7" w:name="_Hlk61026958"/>
      <w:r w:rsidRPr="00F83135">
        <w:rPr>
          <w:rFonts w:ascii="Arial" w:hAnsi="Arial" w:cs="Arial"/>
          <w:sz w:val="22"/>
          <w:szCs w:val="22"/>
          <w:lang w:val="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83135">
        <w:rPr>
          <w:rFonts w:ascii="Arial" w:hAnsi="Arial" w:cs="Arial"/>
          <w:bCs/>
          <w:sz w:val="22"/>
          <w:szCs w:val="22"/>
          <w:lang w:val="es-ES_tradnl"/>
        </w:rPr>
        <w:t xml:space="preserve"> de todos los partícipes de la contratación estatal.</w:t>
      </w:r>
    </w:p>
    <w:p w14:paraId="428EA2AA" w14:textId="77777777" w:rsidR="00A43ECC" w:rsidRPr="00F83135" w:rsidRDefault="00A43ECC" w:rsidP="00A43ECC">
      <w:pPr>
        <w:spacing w:after="120" w:line="276" w:lineRule="auto"/>
        <w:ind w:firstLine="708"/>
        <w:jc w:val="both"/>
        <w:rPr>
          <w:rFonts w:ascii="Arial" w:hAnsi="Arial" w:cs="Arial"/>
          <w:sz w:val="22"/>
          <w:szCs w:val="22"/>
          <w:lang w:val="es-ES_tradnl"/>
        </w:rPr>
      </w:pPr>
      <w:r w:rsidRPr="00F83135">
        <w:rPr>
          <w:rFonts w:ascii="Arial" w:hAnsi="Arial" w:cs="Arial"/>
          <w:sz w:val="22"/>
          <w:szCs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83135">
        <w:rPr>
          <w:rFonts w:ascii="Arial" w:hAnsi="Arial" w:cs="Arial"/>
          <w:sz w:val="22"/>
          <w:szCs w:val="22"/>
          <w:vertAlign w:val="superscript"/>
          <w:lang w:val="es-ES_tradnl"/>
        </w:rPr>
        <w:footnoteReference w:id="2"/>
      </w:r>
      <w:r w:rsidRPr="00F83135">
        <w:rPr>
          <w:rFonts w:ascii="Arial" w:hAnsi="Arial" w:cs="Arial"/>
          <w:sz w:val="22"/>
          <w:szCs w:val="22"/>
          <w:lang w:val="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7"/>
      <w:r w:rsidRPr="00F83135">
        <w:rPr>
          <w:rFonts w:ascii="Arial" w:hAnsi="Arial" w:cs="Arial"/>
          <w:sz w:val="22"/>
          <w:szCs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5"/>
      <w:bookmarkEnd w:id="6"/>
    </w:p>
    <w:p w14:paraId="750331A4" w14:textId="77777777" w:rsidR="00A43ECC" w:rsidRPr="00F83135" w:rsidRDefault="00A43ECC" w:rsidP="00A43ECC">
      <w:pPr>
        <w:spacing w:after="120" w:line="276" w:lineRule="auto"/>
        <w:ind w:firstLine="708"/>
        <w:jc w:val="both"/>
        <w:rPr>
          <w:rFonts w:ascii="Arial" w:eastAsia="Calibri" w:hAnsi="Arial" w:cs="Arial"/>
          <w:color w:val="000000" w:themeColor="text1"/>
          <w:sz w:val="22"/>
          <w:szCs w:val="22"/>
          <w:lang w:val="es-ES"/>
        </w:rPr>
      </w:pPr>
      <w:r w:rsidRPr="00F83135">
        <w:rPr>
          <w:rFonts w:ascii="Arial" w:eastAsia="Calibri" w:hAnsi="Arial" w:cs="Arial"/>
          <w:sz w:val="22"/>
          <w:szCs w:val="22"/>
          <w:lang w:val="es-ES_tradnl"/>
        </w:rPr>
        <w:t xml:space="preserve">Sin perjuicio de lo anterior, la Agencia dentro de los límites de sus atribuciones, resolverá la consulta conforme a las normas generales del sistema de compras públicas. Para estos efectos, se reiterarán los pronunciamientos en los que se ha analizado </w:t>
      </w:r>
      <w:r w:rsidRPr="00F83135">
        <w:rPr>
          <w:rFonts w:ascii="Arial" w:eastAsia="Calibri" w:hAnsi="Arial" w:cs="Arial"/>
          <w:color w:val="000000" w:themeColor="text1"/>
          <w:sz w:val="22"/>
          <w:szCs w:val="22"/>
          <w:lang w:val="es-ES"/>
        </w:rPr>
        <w:t>la normativa que prevé la enajenación de bienes</w:t>
      </w:r>
      <w:r>
        <w:rPr>
          <w:rFonts w:ascii="Arial" w:eastAsia="Calibri" w:hAnsi="Arial" w:cs="Arial"/>
          <w:b/>
          <w:bCs/>
          <w:color w:val="000000" w:themeColor="text1"/>
          <w:sz w:val="22"/>
          <w:szCs w:val="22"/>
          <w:lang w:val="es-ES_tradnl"/>
        </w:rPr>
        <w:t xml:space="preserve">, </w:t>
      </w:r>
      <w:r w:rsidRPr="003D6A52">
        <w:rPr>
          <w:rFonts w:ascii="Arial" w:eastAsia="Calibri" w:hAnsi="Arial" w:cs="Arial"/>
          <w:color w:val="000000" w:themeColor="text1"/>
          <w:sz w:val="22"/>
          <w:szCs w:val="22"/>
          <w:lang w:val="es-ES_tradnl"/>
        </w:rPr>
        <w:t>incluyendo su alcance y clasificación</w:t>
      </w:r>
      <w:r>
        <w:rPr>
          <w:rFonts w:ascii="Arial" w:eastAsia="Calibri" w:hAnsi="Arial" w:cs="Arial"/>
          <w:b/>
          <w:bCs/>
          <w:color w:val="000000" w:themeColor="text1"/>
          <w:sz w:val="22"/>
          <w:szCs w:val="22"/>
          <w:lang w:val="es-ES_tradnl"/>
        </w:rPr>
        <w:t xml:space="preserve"> </w:t>
      </w:r>
      <w:r w:rsidRPr="00377CD5">
        <w:rPr>
          <w:rFonts w:ascii="Arial" w:eastAsia="Calibri" w:hAnsi="Arial" w:cs="Arial"/>
          <w:color w:val="000000" w:themeColor="text1"/>
          <w:sz w:val="22"/>
          <w:szCs w:val="22"/>
          <w:lang w:val="es-ES"/>
        </w:rPr>
        <w:t xml:space="preserve">así como la modalidad </w:t>
      </w:r>
      <w:r w:rsidRPr="003D6A52">
        <w:rPr>
          <w:rFonts w:ascii="Arial" w:hAnsi="Arial" w:cs="Arial"/>
          <w:sz w:val="22"/>
          <w:szCs w:val="22"/>
        </w:rPr>
        <w:t>selección aplicable para la enajenación de bienes muebles del</w:t>
      </w:r>
      <w:r w:rsidRPr="00F83135">
        <w:rPr>
          <w:rFonts w:ascii="Arial" w:hAnsi="Arial" w:cs="Arial"/>
          <w:b/>
          <w:sz w:val="22"/>
          <w:szCs w:val="22"/>
        </w:rPr>
        <w:t xml:space="preserve"> </w:t>
      </w:r>
      <w:r w:rsidRPr="003D6A52">
        <w:rPr>
          <w:rFonts w:ascii="Arial" w:hAnsi="Arial" w:cs="Arial"/>
          <w:bCs/>
          <w:sz w:val="22"/>
          <w:szCs w:val="22"/>
        </w:rPr>
        <w:t>Estado</w:t>
      </w:r>
      <w:r w:rsidRPr="00377CD5" w:rsidDel="00377CD5">
        <w:rPr>
          <w:rFonts w:ascii="Arial" w:eastAsia="Calibri" w:hAnsi="Arial" w:cs="Arial"/>
          <w:bCs/>
          <w:color w:val="000000" w:themeColor="text1"/>
          <w:sz w:val="22"/>
          <w:szCs w:val="22"/>
          <w:lang w:val="es-ES"/>
        </w:rPr>
        <w:t xml:space="preserve"> </w:t>
      </w:r>
      <w:r w:rsidRPr="00377CD5">
        <w:rPr>
          <w:rFonts w:ascii="Arial" w:eastAsia="Calibri" w:hAnsi="Arial" w:cs="Arial"/>
          <w:bCs/>
          <w:color w:val="000000" w:themeColor="text1"/>
          <w:sz w:val="22"/>
          <w:szCs w:val="22"/>
          <w:lang w:val="es-ES"/>
        </w:rPr>
        <w:t>a título gratuito.</w:t>
      </w:r>
    </w:p>
    <w:p w14:paraId="16945146" w14:textId="77777777" w:rsidR="00A43ECC" w:rsidRPr="00F83135" w:rsidRDefault="00A43ECC" w:rsidP="00A43ECC">
      <w:pPr>
        <w:spacing w:line="276" w:lineRule="auto"/>
        <w:ind w:firstLine="708"/>
        <w:jc w:val="both"/>
        <w:rPr>
          <w:rFonts w:ascii="Arial" w:hAnsi="Arial" w:cs="Arial"/>
          <w:sz w:val="22"/>
          <w:szCs w:val="22"/>
          <w:shd w:val="clear" w:color="auto" w:fill="FFFFFF"/>
        </w:rPr>
      </w:pPr>
      <w:r w:rsidRPr="00F83135">
        <w:rPr>
          <w:rFonts w:ascii="Arial" w:eastAsia="Calibri" w:hAnsi="Arial" w:cs="Arial"/>
          <w:color w:val="000000" w:themeColor="text1"/>
          <w:sz w:val="22"/>
          <w:szCs w:val="22"/>
          <w:lang w:val="es-ES_tradnl"/>
        </w:rPr>
        <w:t xml:space="preserve">La Agencia Nacional de Contratación Pública – Colombia Compra Eficiente ha analizado la enajenación de bienes a título gratuito entre Entidades Estatales en los conceptos identificados con el radicado No. 2201913000007905 del 23 de octubre de 2019, 2201913000008259 del 6 de noviembre de 2019, C-186 del 17 de marzo de 2020, </w:t>
      </w:r>
      <w:r w:rsidRPr="00F83135">
        <w:rPr>
          <w:rFonts w:ascii="Arial" w:hAnsi="Arial" w:cs="Arial"/>
          <w:sz w:val="22"/>
          <w:szCs w:val="22"/>
        </w:rPr>
        <w:t>C-661 del 17 de noviembre de 2020y C-397 del 18 de julio de 2022</w:t>
      </w:r>
      <w:r w:rsidRPr="00F83135">
        <w:rPr>
          <w:rStyle w:val="Refdenotaalpie"/>
          <w:rFonts w:ascii="Arial" w:hAnsi="Arial" w:cs="Arial"/>
          <w:sz w:val="22"/>
          <w:szCs w:val="22"/>
        </w:rPr>
        <w:footnoteReference w:id="3"/>
      </w:r>
      <w:r w:rsidRPr="00F83135">
        <w:rPr>
          <w:rFonts w:ascii="Arial" w:hAnsi="Arial" w:cs="Arial"/>
          <w:sz w:val="22"/>
          <w:szCs w:val="22"/>
        </w:rPr>
        <w:t xml:space="preserve">, entre otros.  </w:t>
      </w:r>
      <w:r w:rsidRPr="00F83135">
        <w:rPr>
          <w:rStyle w:val="normaltextrun"/>
          <w:rFonts w:ascii="Arial" w:hAnsi="Arial" w:cs="Arial"/>
          <w:sz w:val="22"/>
          <w:szCs w:val="22"/>
          <w:shd w:val="clear" w:color="auto" w:fill="FFFFFF"/>
        </w:rPr>
        <w:t>Las tesis desarrolladas en estos conceptos se reiteran a continuación y se complementan en lo pertinente.</w:t>
      </w:r>
    </w:p>
    <w:p w14:paraId="52FEA519" w14:textId="77777777" w:rsidR="00A43ECC" w:rsidRPr="00F83135" w:rsidRDefault="00A43ECC" w:rsidP="00A43ECC">
      <w:pPr>
        <w:spacing w:line="276" w:lineRule="auto"/>
        <w:jc w:val="both"/>
        <w:rPr>
          <w:rFonts w:ascii="Arial" w:eastAsia="Calibri" w:hAnsi="Arial" w:cs="Arial"/>
          <w:b/>
          <w:bCs/>
          <w:sz w:val="22"/>
          <w:szCs w:val="22"/>
        </w:rPr>
      </w:pPr>
    </w:p>
    <w:p w14:paraId="0E10928B" w14:textId="77777777" w:rsidR="00A43ECC" w:rsidRPr="00F83135" w:rsidRDefault="00A43ECC" w:rsidP="00A43ECC">
      <w:pPr>
        <w:spacing w:line="276" w:lineRule="auto"/>
        <w:jc w:val="both"/>
        <w:rPr>
          <w:rFonts w:ascii="Arial" w:eastAsia="Calibri" w:hAnsi="Arial" w:cs="Arial"/>
          <w:b/>
          <w:bCs/>
          <w:color w:val="000000" w:themeColor="text1"/>
          <w:sz w:val="22"/>
          <w:szCs w:val="22"/>
          <w:lang w:val="es-ES_tradnl"/>
        </w:rPr>
      </w:pPr>
      <w:r w:rsidRPr="00F83135">
        <w:rPr>
          <w:rFonts w:ascii="Arial" w:eastAsia="Calibri" w:hAnsi="Arial" w:cs="Arial"/>
          <w:b/>
          <w:bCs/>
          <w:color w:val="000000" w:themeColor="text1"/>
          <w:sz w:val="22"/>
          <w:szCs w:val="22"/>
          <w:lang w:val="es-ES_tradnl"/>
        </w:rPr>
        <w:t>2.1. Enajenación de bienes: alcance de la expresión y clasificación de los bienes</w:t>
      </w:r>
    </w:p>
    <w:p w14:paraId="2CD28589" w14:textId="77777777" w:rsidR="00A43ECC" w:rsidRPr="00F83135" w:rsidRDefault="00A43ECC" w:rsidP="00A43ECC">
      <w:pPr>
        <w:spacing w:line="276" w:lineRule="auto"/>
        <w:jc w:val="both"/>
        <w:rPr>
          <w:rFonts w:ascii="Arial" w:eastAsia="Calibri" w:hAnsi="Arial" w:cs="Arial"/>
          <w:b/>
          <w:bCs/>
          <w:color w:val="000000" w:themeColor="text1"/>
          <w:sz w:val="22"/>
          <w:szCs w:val="22"/>
          <w:lang w:val="es-ES_tradnl"/>
        </w:rPr>
      </w:pPr>
    </w:p>
    <w:p w14:paraId="2359A499" w14:textId="77777777" w:rsidR="00A43ECC" w:rsidRPr="00F83135" w:rsidRDefault="00A43ECC" w:rsidP="00A43ECC">
      <w:pPr>
        <w:spacing w:after="120" w:line="276" w:lineRule="auto"/>
        <w:jc w:val="both"/>
        <w:rPr>
          <w:rFonts w:ascii="Arial" w:hAnsi="Arial" w:cs="Arial"/>
          <w:color w:val="000000" w:themeColor="text1"/>
          <w:sz w:val="22"/>
          <w:szCs w:val="22"/>
        </w:rPr>
      </w:pPr>
      <w:r w:rsidRPr="00F83135">
        <w:rPr>
          <w:rFonts w:ascii="Arial" w:hAnsi="Arial" w:cs="Arial"/>
          <w:color w:val="000000" w:themeColor="text1"/>
          <w:sz w:val="22"/>
          <w:szCs w:val="22"/>
        </w:rPr>
        <w:t xml:space="preserve">La </w:t>
      </w:r>
      <w:r w:rsidRPr="00F83135">
        <w:rPr>
          <w:rFonts w:ascii="Arial" w:hAnsi="Arial" w:cs="Arial"/>
          <w:color w:val="000000" w:themeColor="text1"/>
          <w:sz w:val="22"/>
          <w:szCs w:val="22"/>
          <w:lang w:val="es-ES"/>
        </w:rPr>
        <w:t>enajenación</w:t>
      </w:r>
      <w:r w:rsidRPr="00F83135">
        <w:rPr>
          <w:rFonts w:ascii="Arial" w:hAnsi="Arial" w:cs="Arial"/>
          <w:color w:val="000000" w:themeColor="text1"/>
          <w:sz w:val="22"/>
          <w:szCs w:val="22"/>
        </w:rPr>
        <w:t xml:space="preserve"> se define como la transferencia del derecho real</w:t>
      </w:r>
      <w:r w:rsidRPr="00F83135">
        <w:rPr>
          <w:rStyle w:val="Refdenotaalpie"/>
          <w:rFonts w:ascii="Arial" w:hAnsi="Arial" w:cs="Arial"/>
          <w:color w:val="000000" w:themeColor="text1"/>
          <w:sz w:val="22"/>
          <w:szCs w:val="22"/>
        </w:rPr>
        <w:footnoteReference w:id="4"/>
      </w:r>
      <w:r w:rsidRPr="00F83135">
        <w:rPr>
          <w:rFonts w:ascii="Arial" w:hAnsi="Arial" w:cs="Arial"/>
          <w:color w:val="000000" w:themeColor="text1"/>
          <w:sz w:val="22"/>
          <w:szCs w:val="22"/>
        </w:rPr>
        <w:t xml:space="preserve"> sobre un bien</w:t>
      </w:r>
      <w:r w:rsidRPr="00F83135">
        <w:rPr>
          <w:rStyle w:val="Refdenotaalpie"/>
          <w:rFonts w:ascii="Arial" w:hAnsi="Arial" w:cs="Arial"/>
          <w:color w:val="000000" w:themeColor="text1"/>
          <w:sz w:val="22"/>
          <w:szCs w:val="22"/>
        </w:rPr>
        <w:footnoteReference w:id="5"/>
      </w:r>
      <w:r w:rsidRPr="00F83135">
        <w:rPr>
          <w:rFonts w:ascii="Arial" w:hAnsi="Arial" w:cs="Arial"/>
          <w:color w:val="000000" w:themeColor="text1"/>
          <w:sz w:val="22"/>
          <w:szCs w:val="22"/>
        </w:rPr>
        <w:t>. Como indica la doctrina, «</w:t>
      </w:r>
      <w:r w:rsidRPr="003D6A52">
        <w:rPr>
          <w:rFonts w:ascii="Arial" w:hAnsi="Arial" w:cs="Arial"/>
          <w:i/>
          <w:iCs/>
          <w:color w:val="000000" w:themeColor="text1"/>
          <w:sz w:val="22"/>
          <w:szCs w:val="22"/>
        </w:rPr>
        <w:t>Dar –en sentido restringido–, traditar, enajenar, disponer, son conceptos sinónimos en el Código Civil. Cuando se da, se enajena. Cuando se tradita, se enajena, Cuando se enajena, se da o se tradita. Y, finalmente, cuando ocurre cualquiera de tales fenómenos, se dispone»</w:t>
      </w:r>
      <w:r w:rsidRPr="003D6A52">
        <w:rPr>
          <w:rStyle w:val="Refdenotaalpie"/>
          <w:rFonts w:ascii="Arial" w:hAnsi="Arial" w:cs="Arial"/>
          <w:i/>
          <w:iCs/>
          <w:color w:val="000000" w:themeColor="text1"/>
          <w:sz w:val="22"/>
          <w:szCs w:val="22"/>
        </w:rPr>
        <w:footnoteReference w:id="6"/>
      </w:r>
      <w:r w:rsidRPr="003D6A52">
        <w:rPr>
          <w:rFonts w:ascii="Arial" w:hAnsi="Arial" w:cs="Arial"/>
          <w:i/>
          <w:iCs/>
          <w:color w:val="000000" w:themeColor="text1"/>
          <w:sz w:val="22"/>
          <w:szCs w:val="22"/>
        </w:rPr>
        <w:t>.</w:t>
      </w:r>
      <w:r w:rsidRPr="00F83135">
        <w:rPr>
          <w:rFonts w:ascii="Arial" w:hAnsi="Arial" w:cs="Arial"/>
          <w:color w:val="000000" w:themeColor="text1"/>
          <w:sz w:val="22"/>
          <w:szCs w:val="22"/>
        </w:rPr>
        <w:t xml:space="preserve"> Lo más usual es que la enajenación se lleve a cabo respecto del derecho de propiedad</w:t>
      </w:r>
      <w:r w:rsidRPr="00F83135">
        <w:rPr>
          <w:rStyle w:val="Refdenotaalpie"/>
          <w:rFonts w:ascii="Arial" w:hAnsi="Arial" w:cs="Arial"/>
          <w:color w:val="000000" w:themeColor="text1"/>
          <w:sz w:val="22"/>
          <w:szCs w:val="22"/>
        </w:rPr>
        <w:footnoteReference w:id="7"/>
      </w:r>
      <w:r w:rsidRPr="00F83135">
        <w:rPr>
          <w:rFonts w:ascii="Arial" w:hAnsi="Arial" w:cs="Arial"/>
          <w:color w:val="000000" w:themeColor="text1"/>
          <w:sz w:val="22"/>
          <w:szCs w:val="22"/>
        </w:rPr>
        <w:t>; y en tal caso se efectúa a través de los modos señalados en el artículo 673 del Código Civil</w:t>
      </w:r>
      <w:r w:rsidRPr="00F83135">
        <w:rPr>
          <w:rStyle w:val="Refdenotaalpie"/>
          <w:rFonts w:ascii="Arial" w:hAnsi="Arial" w:cs="Arial"/>
          <w:color w:val="000000" w:themeColor="text1"/>
          <w:sz w:val="22"/>
          <w:szCs w:val="22"/>
        </w:rPr>
        <w:footnoteReference w:id="8"/>
      </w:r>
      <w:r w:rsidRPr="00F83135">
        <w:rPr>
          <w:rFonts w:ascii="Arial" w:hAnsi="Arial" w:cs="Arial"/>
          <w:color w:val="000000" w:themeColor="text1"/>
          <w:sz w:val="22"/>
          <w:szCs w:val="22"/>
        </w:rPr>
        <w:t>, pudiendo recaer tanto sobre los bienes muebles, como inmuebles, aunque frente a estos la ley exige solemnidades especiales</w:t>
      </w:r>
      <w:r w:rsidRPr="00F83135">
        <w:rPr>
          <w:rStyle w:val="Refdenotaalpie"/>
          <w:rFonts w:ascii="Arial" w:hAnsi="Arial" w:cs="Arial"/>
          <w:color w:val="000000" w:themeColor="text1"/>
          <w:sz w:val="22"/>
          <w:szCs w:val="22"/>
        </w:rPr>
        <w:footnoteReference w:id="9"/>
      </w:r>
      <w:r w:rsidRPr="00F83135">
        <w:rPr>
          <w:rFonts w:ascii="Arial" w:hAnsi="Arial" w:cs="Arial"/>
          <w:color w:val="000000" w:themeColor="text1"/>
          <w:sz w:val="22"/>
          <w:szCs w:val="22"/>
        </w:rPr>
        <w:t>. Entretanto, el artículo 1521 del Código Civil dispone que se presenta objeto ilícito en la enajenación: i) «De las cosas que no están en el comercio», ii) «De los derechos o privilegios que no pueden transferirse a otra persona» y iii) «De las cosas embargadas por decreto judicial, a menos que el juez lo autorice o el acreedor consienta en ello».</w:t>
      </w:r>
    </w:p>
    <w:p w14:paraId="410C5487" w14:textId="77777777" w:rsidR="00A43ECC" w:rsidRPr="00F83135" w:rsidRDefault="00A43ECC" w:rsidP="00A43ECC">
      <w:pPr>
        <w:spacing w:after="120" w:line="276" w:lineRule="auto"/>
        <w:ind w:firstLine="709"/>
        <w:jc w:val="both"/>
        <w:rPr>
          <w:rFonts w:ascii="Arial" w:hAnsi="Arial" w:cs="Arial"/>
          <w:sz w:val="22"/>
          <w:szCs w:val="22"/>
        </w:rPr>
      </w:pPr>
      <w:r w:rsidRPr="00F83135">
        <w:rPr>
          <w:rFonts w:ascii="Arial" w:hAnsi="Arial" w:cs="Arial"/>
          <w:color w:val="000000" w:themeColor="text1"/>
          <w:sz w:val="22"/>
          <w:szCs w:val="22"/>
        </w:rPr>
        <w:t xml:space="preserve">La enajenación de bienes a título gratuito está relacionada con el contrato de donación, definido en </w:t>
      </w:r>
      <w:r w:rsidRPr="00F83135">
        <w:rPr>
          <w:rFonts w:ascii="Arial" w:hAnsi="Arial" w:cs="Arial"/>
          <w:sz w:val="22"/>
          <w:szCs w:val="22"/>
        </w:rPr>
        <w:t>Código Civil como «</w:t>
      </w:r>
      <w:r w:rsidRPr="003D6A52">
        <w:rPr>
          <w:rFonts w:ascii="Arial" w:hAnsi="Arial" w:cs="Arial"/>
          <w:i/>
          <w:iCs/>
          <w:sz w:val="22"/>
          <w:szCs w:val="22"/>
        </w:rPr>
        <w:t>un acto por el cual una persona transfiere, gratuita e irrevocablemente, una parte de sus bienes a otra persona que la acepta»</w:t>
      </w:r>
      <w:r w:rsidRPr="00F83135">
        <w:rPr>
          <w:rFonts w:ascii="Arial" w:hAnsi="Arial" w:cs="Arial"/>
          <w:sz w:val="22"/>
          <w:szCs w:val="22"/>
          <w:vertAlign w:val="superscript"/>
        </w:rPr>
        <w:t>8</w:t>
      </w:r>
      <w:r w:rsidRPr="00F83135">
        <w:rPr>
          <w:rFonts w:ascii="Arial" w:hAnsi="Arial" w:cs="Arial"/>
          <w:sz w:val="22"/>
          <w:szCs w:val="22"/>
        </w:rPr>
        <w:t>. El Consejo de Estado</w:t>
      </w:r>
      <w:r w:rsidRPr="00F83135">
        <w:rPr>
          <w:rStyle w:val="Refdenotaalpie"/>
          <w:rFonts w:ascii="Arial" w:hAnsi="Arial" w:cs="Arial"/>
          <w:sz w:val="22"/>
          <w:szCs w:val="22"/>
        </w:rPr>
        <w:footnoteReference w:id="10"/>
      </w:r>
      <w:r w:rsidRPr="00F83135">
        <w:rPr>
          <w:rFonts w:ascii="Arial" w:hAnsi="Arial" w:cs="Arial"/>
          <w:sz w:val="22"/>
          <w:szCs w:val="22"/>
        </w:rPr>
        <w:t xml:space="preserve"> sostuvo respecto de la definición de la donación del Código Civil, que era naturalmente imprecisa toda vez que la donación es un verdadero «contrato» y no solo un acto, lo anterior porque para el perfeccionamiento del «contrato» concurre i) la voluntad dispositiva de la persona que pretende entregar parte de su patrimonio –donante– y ii) la aceptación de quien recibirá el beneficio económico –donatario–</w:t>
      </w:r>
      <w:r w:rsidRPr="00F83135">
        <w:rPr>
          <w:rFonts w:ascii="Arial" w:hAnsi="Arial" w:cs="Arial"/>
          <w:sz w:val="22"/>
          <w:szCs w:val="22"/>
          <w:vertAlign w:val="superscript"/>
        </w:rPr>
        <w:t>9</w:t>
      </w:r>
      <w:r w:rsidRPr="00F83135">
        <w:rPr>
          <w:rFonts w:ascii="Arial" w:hAnsi="Arial" w:cs="Arial"/>
          <w:sz w:val="22"/>
          <w:szCs w:val="22"/>
        </w:rPr>
        <w:t>.  Conforme a lo anterior, la celebración de un contrato de donación se constituye como un verdadero acto traslaticio del dominio</w:t>
      </w:r>
      <w:r w:rsidRPr="00F83135">
        <w:rPr>
          <w:rFonts w:ascii="Arial" w:hAnsi="Arial" w:cs="Arial"/>
          <w:sz w:val="22"/>
          <w:szCs w:val="22"/>
          <w:vertAlign w:val="superscript"/>
        </w:rPr>
        <w:t>10</w:t>
      </w:r>
      <w:r w:rsidRPr="00F83135">
        <w:rPr>
          <w:rFonts w:ascii="Arial" w:hAnsi="Arial" w:cs="Arial"/>
          <w:sz w:val="22"/>
          <w:szCs w:val="22"/>
          <w:vertAlign w:val="subscript"/>
        </w:rPr>
        <w:t>.</w:t>
      </w:r>
      <w:r w:rsidRPr="00F83135">
        <w:rPr>
          <w:rFonts w:ascii="Arial" w:hAnsi="Arial" w:cs="Arial"/>
          <w:sz w:val="22"/>
          <w:szCs w:val="22"/>
          <w:vertAlign w:val="superscript"/>
        </w:rPr>
        <w:t xml:space="preserve"> </w:t>
      </w:r>
    </w:p>
    <w:p w14:paraId="11139BCF" w14:textId="77777777" w:rsidR="00A43ECC" w:rsidRPr="00F83135" w:rsidRDefault="00A43ECC" w:rsidP="00A43ECC">
      <w:pPr>
        <w:spacing w:after="120" w:line="276" w:lineRule="auto"/>
        <w:ind w:firstLine="708"/>
        <w:jc w:val="both"/>
        <w:rPr>
          <w:rFonts w:ascii="Arial" w:hAnsi="Arial" w:cs="Arial"/>
          <w:color w:val="000000" w:themeColor="text1"/>
          <w:sz w:val="22"/>
          <w:szCs w:val="22"/>
          <w:lang w:val="es-ES"/>
        </w:rPr>
      </w:pPr>
      <w:r w:rsidRPr="00F83135">
        <w:rPr>
          <w:rFonts w:ascii="Arial" w:hAnsi="Arial" w:cs="Arial"/>
          <w:color w:val="000000" w:themeColor="text1"/>
          <w:sz w:val="22"/>
          <w:szCs w:val="22"/>
        </w:rPr>
        <w:t>Respecto del tipo de bienes que pueden ser objeto de donación es importante resaltar, en primer lugar, que e</w:t>
      </w:r>
      <w:r w:rsidRPr="00F83135">
        <w:rPr>
          <w:rFonts w:ascii="Arial" w:hAnsi="Arial" w:cs="Arial"/>
          <w:color w:val="000000" w:themeColor="text1"/>
          <w:sz w:val="22"/>
          <w:szCs w:val="22"/>
          <w:lang w:val="es-ES"/>
        </w:rPr>
        <w:t xml:space="preserve">l artículo 654 del Código Civil clasifica las cosas corporales en muebles e inmuebles. El artículo 655 define los bienes muebles como los que </w:t>
      </w:r>
      <w:r w:rsidRPr="003D6A52">
        <w:rPr>
          <w:rFonts w:ascii="Arial" w:hAnsi="Arial" w:cs="Arial"/>
          <w:i/>
          <w:iCs/>
          <w:color w:val="000000" w:themeColor="text1"/>
          <w:sz w:val="22"/>
          <w:szCs w:val="22"/>
          <w:lang w:val="es-ES"/>
        </w:rPr>
        <w:t>«pueden transportarse de un lugar a otro, sea moviéndose ellas a sí mismas como los animales</w:t>
      </w:r>
      <w:r w:rsidRPr="00F83135">
        <w:rPr>
          <w:rFonts w:ascii="Arial" w:hAnsi="Arial" w:cs="Arial"/>
          <w:color w:val="000000" w:themeColor="text1"/>
          <w:sz w:val="22"/>
          <w:szCs w:val="22"/>
          <w:lang w:val="es-ES"/>
        </w:rPr>
        <w:t xml:space="preserve"> (</w:t>
      </w:r>
      <w:r w:rsidRPr="003D6A52">
        <w:rPr>
          <w:rFonts w:ascii="Arial" w:hAnsi="Arial" w:cs="Arial"/>
          <w:i/>
          <w:iCs/>
          <w:color w:val="000000" w:themeColor="text1"/>
          <w:sz w:val="22"/>
          <w:szCs w:val="22"/>
          <w:lang w:val="es-ES"/>
        </w:rPr>
        <w:t>que por eso se llaman semovientes), sea que sólo se muevan por una fuerza externa, como las cosas inanimadas»</w:t>
      </w:r>
      <w:r w:rsidRPr="00F83135">
        <w:rPr>
          <w:rFonts w:ascii="Arial" w:hAnsi="Arial" w:cs="Arial"/>
          <w:color w:val="000000" w:themeColor="text1"/>
          <w:sz w:val="22"/>
          <w:szCs w:val="22"/>
          <w:lang w:val="es-ES"/>
        </w:rPr>
        <w:t xml:space="preserve">, mientras que el artículo 656 define los inmuebles así: </w:t>
      </w:r>
      <w:r w:rsidRPr="003D6A52">
        <w:rPr>
          <w:rFonts w:ascii="Arial" w:hAnsi="Arial" w:cs="Arial"/>
          <w:i/>
          <w:iCs/>
          <w:color w:val="000000" w:themeColor="text1"/>
          <w:sz w:val="22"/>
          <w:szCs w:val="22"/>
          <w:lang w:val="es-ES"/>
        </w:rPr>
        <w:t>«Inmuebles o fincas o bienes raíces son las cosas que no pueden transportarse de un lugar a otro; como las tierras y minas, y las que adhieren permanentemente a ellas, como los edificios, los árboles. Las casas y veredas se llaman predios o fundos».</w:t>
      </w:r>
      <w:r w:rsidRPr="00F83135">
        <w:rPr>
          <w:rFonts w:ascii="Arial" w:hAnsi="Arial" w:cs="Arial"/>
          <w:color w:val="000000" w:themeColor="text1"/>
          <w:sz w:val="22"/>
          <w:szCs w:val="22"/>
          <w:lang w:val="es-ES"/>
        </w:rPr>
        <w:t xml:space="preserve"> No obstante, esta definición se refiere a los inmuebles por naturaleza, pues el Código también considera inmuebles a las cosas que en principio eran muebles, pero que por su destinación o adhesión mutan su categoría. </w:t>
      </w:r>
    </w:p>
    <w:p w14:paraId="384D02BB" w14:textId="77777777" w:rsidR="00A43ECC" w:rsidRPr="003D6A52" w:rsidRDefault="00A43ECC" w:rsidP="00A43ECC">
      <w:pPr>
        <w:pStyle w:val="Textonotapie"/>
        <w:spacing w:after="120" w:line="276" w:lineRule="auto"/>
        <w:ind w:firstLine="708"/>
        <w:jc w:val="both"/>
        <w:rPr>
          <w:rFonts w:ascii="Arial" w:hAnsi="Arial" w:cs="Arial"/>
          <w:i/>
          <w:iCs/>
          <w:sz w:val="22"/>
          <w:szCs w:val="22"/>
        </w:rPr>
      </w:pPr>
      <w:r w:rsidRPr="00F83135">
        <w:rPr>
          <w:rFonts w:ascii="Arial" w:hAnsi="Arial" w:cs="Arial"/>
          <w:sz w:val="22"/>
          <w:szCs w:val="22"/>
          <w:lang w:val="es-ES"/>
        </w:rPr>
        <w:t>Por otro lado, e</w:t>
      </w:r>
      <w:r w:rsidRPr="00F83135">
        <w:rPr>
          <w:rFonts w:ascii="Arial" w:hAnsi="Arial" w:cs="Arial"/>
          <w:sz w:val="22"/>
          <w:szCs w:val="22"/>
        </w:rPr>
        <w:t xml:space="preserve">l artículo 674 del Código Civil define los bienes de dominio público como aquellos que </w:t>
      </w:r>
      <w:r w:rsidRPr="003D6A52">
        <w:rPr>
          <w:rFonts w:ascii="Arial" w:hAnsi="Arial" w:cs="Arial"/>
          <w:i/>
          <w:iCs/>
          <w:sz w:val="22"/>
          <w:szCs w:val="22"/>
        </w:rPr>
        <w:t>«(…) pertenece a todos los habitantes de un Territorio, como el de calles, plazas, puentes y caminos, se llaman bienes de la Unión o de uso público o bienes públicos del Territorio».</w:t>
      </w:r>
    </w:p>
    <w:p w14:paraId="7D6E920D" w14:textId="77777777" w:rsidR="00A43ECC" w:rsidRPr="00F83135" w:rsidRDefault="00A43ECC" w:rsidP="00A43ECC">
      <w:pPr>
        <w:pStyle w:val="Textonotapie"/>
        <w:spacing w:after="120" w:line="276" w:lineRule="auto"/>
        <w:ind w:firstLine="720"/>
        <w:jc w:val="both"/>
        <w:rPr>
          <w:rFonts w:ascii="Arial" w:hAnsi="Arial" w:cs="Arial"/>
          <w:sz w:val="22"/>
          <w:szCs w:val="22"/>
        </w:rPr>
      </w:pPr>
      <w:r w:rsidRPr="00F83135">
        <w:rPr>
          <w:rFonts w:ascii="Arial" w:hAnsi="Arial" w:cs="Arial"/>
          <w:sz w:val="22"/>
          <w:szCs w:val="22"/>
        </w:rPr>
        <w:t>Los bienes de dominio público, de acuerdo con la sentencia C- 183 de 2003 de la Corte Constitucional, son «</w:t>
      </w:r>
      <w:r w:rsidRPr="003D6A52">
        <w:rPr>
          <w:rFonts w:ascii="Arial" w:hAnsi="Arial" w:cs="Arial"/>
          <w:i/>
          <w:iCs/>
          <w:sz w:val="22"/>
          <w:szCs w:val="22"/>
        </w:rPr>
        <w:t>el conjunto de bienes que la administración afecta al uso directo de la comunidad o que lo utiliza para servir a la sociedad»</w:t>
      </w:r>
      <w:r w:rsidRPr="00F83135">
        <w:rPr>
          <w:rFonts w:ascii="Arial" w:hAnsi="Arial" w:cs="Arial"/>
          <w:sz w:val="22"/>
          <w:szCs w:val="22"/>
        </w:rPr>
        <w:t>. Dentro de esta categoría se encuentran los bienes fiscales y los bienes de uso público.</w:t>
      </w:r>
      <w:r w:rsidRPr="00F83135">
        <w:rPr>
          <w:rStyle w:val="Refdenotaalpie"/>
          <w:rFonts w:ascii="Arial" w:hAnsi="Arial" w:cs="Arial"/>
          <w:sz w:val="22"/>
          <w:szCs w:val="22"/>
        </w:rPr>
        <w:footnoteReference w:id="11"/>
      </w:r>
      <w:r w:rsidRPr="00F83135">
        <w:rPr>
          <w:rFonts w:ascii="Arial" w:hAnsi="Arial" w:cs="Arial"/>
          <w:sz w:val="22"/>
          <w:szCs w:val="22"/>
        </w:rPr>
        <w:t xml:space="preserve"> Los bienes fiscales, de acuerdo con el Alto Tribunal Constitucional</w:t>
      </w:r>
      <w:r w:rsidRPr="00F83135">
        <w:rPr>
          <w:rStyle w:val="Refdenotaalpie"/>
          <w:rFonts w:ascii="Arial" w:hAnsi="Arial" w:cs="Arial"/>
          <w:sz w:val="22"/>
          <w:szCs w:val="22"/>
        </w:rPr>
        <w:footnoteReference w:id="12"/>
      </w:r>
      <w:r w:rsidRPr="00F83135">
        <w:rPr>
          <w:rFonts w:ascii="Arial" w:hAnsi="Arial" w:cs="Arial"/>
          <w:sz w:val="22"/>
          <w:szCs w:val="22"/>
        </w:rPr>
        <w:t xml:space="preserve">, están destinados a la prestación de servicios públicos que la Administración utiliza de forma inmediata, como los edificios donde funcionan las oficinas públicas. </w:t>
      </w:r>
    </w:p>
    <w:p w14:paraId="15E5FFED" w14:textId="77777777" w:rsidR="00A43ECC" w:rsidRPr="00F83135" w:rsidRDefault="00A43ECC" w:rsidP="00A43ECC">
      <w:pPr>
        <w:pStyle w:val="Textonotapie"/>
        <w:spacing w:after="120" w:line="276" w:lineRule="auto"/>
        <w:ind w:firstLine="720"/>
        <w:jc w:val="both"/>
        <w:rPr>
          <w:rFonts w:ascii="Arial" w:hAnsi="Arial" w:cs="Arial"/>
          <w:sz w:val="22"/>
          <w:szCs w:val="22"/>
        </w:rPr>
      </w:pPr>
      <w:r w:rsidRPr="00F83135">
        <w:rPr>
          <w:rFonts w:ascii="Arial" w:hAnsi="Arial" w:cs="Arial"/>
          <w:sz w:val="22"/>
          <w:szCs w:val="22"/>
        </w:rPr>
        <w:t xml:space="preserve">A su vez, el Consejo de Estado, define los bienes fiscales como </w:t>
      </w:r>
      <w:r w:rsidRPr="003D6A52">
        <w:rPr>
          <w:rFonts w:ascii="Arial" w:hAnsi="Arial" w:cs="Arial"/>
          <w:i/>
          <w:iCs/>
          <w:sz w:val="22"/>
          <w:szCs w:val="22"/>
        </w:rPr>
        <w:t xml:space="preserve">«aquellos que pertenecen  </w:t>
      </w:r>
      <w:r w:rsidRPr="003D6A52">
        <w:rPr>
          <w:rFonts w:ascii="Arial" w:hAnsi="Arial" w:cs="Arial"/>
          <w:i/>
          <w:iCs/>
          <w:color w:val="000000" w:themeColor="text1"/>
          <w:sz w:val="22"/>
          <w:szCs w:val="22"/>
        </w:rPr>
        <w:t>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w:t>
      </w:r>
      <w:r w:rsidRPr="003D6A52">
        <w:rPr>
          <w:rFonts w:ascii="Arial" w:hAnsi="Arial" w:cs="Arial"/>
          <w:i/>
          <w:iCs/>
          <w:color w:val="000000" w:themeColor="text1"/>
          <w:spacing w:val="-27"/>
          <w:sz w:val="22"/>
          <w:szCs w:val="22"/>
        </w:rPr>
        <w:t xml:space="preserve"> </w:t>
      </w:r>
      <w:r w:rsidRPr="003D6A52">
        <w:rPr>
          <w:rFonts w:ascii="Arial" w:hAnsi="Arial" w:cs="Arial"/>
          <w:i/>
          <w:iCs/>
          <w:color w:val="000000" w:themeColor="text1"/>
          <w:sz w:val="22"/>
          <w:szCs w:val="22"/>
        </w:rPr>
        <w:t>propiedad»</w:t>
      </w:r>
      <w:r w:rsidRPr="003D6A52">
        <w:rPr>
          <w:rStyle w:val="Refdenotaalpie"/>
          <w:rFonts w:ascii="Arial" w:hAnsi="Arial" w:cs="Arial"/>
          <w:i/>
          <w:iCs/>
          <w:sz w:val="22"/>
          <w:szCs w:val="22"/>
        </w:rPr>
        <w:footnoteReference w:id="13"/>
      </w:r>
      <w:r w:rsidRPr="00F83135">
        <w:rPr>
          <w:rStyle w:val="Refdenotaalpie"/>
          <w:rFonts w:ascii="Arial" w:hAnsi="Arial" w:cs="Arial"/>
          <w:sz w:val="22"/>
          <w:szCs w:val="22"/>
        </w:rPr>
        <w:t>.</w:t>
      </w:r>
      <w:r w:rsidRPr="00F83135">
        <w:rPr>
          <w:rFonts w:ascii="Arial" w:hAnsi="Arial" w:cs="Arial"/>
          <w:color w:val="000000" w:themeColor="text1"/>
          <w:sz w:val="22"/>
          <w:szCs w:val="22"/>
        </w:rPr>
        <w:t xml:space="preserve"> </w:t>
      </w:r>
      <w:r w:rsidRPr="00F83135">
        <w:rPr>
          <w:rFonts w:ascii="Arial" w:hAnsi="Arial" w:cs="Arial"/>
          <w:sz w:val="22"/>
          <w:szCs w:val="22"/>
        </w:rPr>
        <w:t>De esta forma, sobre los bienes fiscales, a pesar de estar destinados a la prestación de servicios públicos, las Entidades Estatales tienen la facultad de disponer de ellos a través de un acto jurídico como la compraventa, la donación, el arriendo, entre</w:t>
      </w:r>
      <w:r w:rsidRPr="00F83135">
        <w:rPr>
          <w:rFonts w:ascii="Arial" w:hAnsi="Arial" w:cs="Arial"/>
          <w:spacing w:val="-3"/>
          <w:sz w:val="22"/>
          <w:szCs w:val="22"/>
        </w:rPr>
        <w:t xml:space="preserve"> </w:t>
      </w:r>
      <w:r w:rsidRPr="00F83135">
        <w:rPr>
          <w:rFonts w:ascii="Arial" w:hAnsi="Arial" w:cs="Arial"/>
          <w:sz w:val="22"/>
          <w:szCs w:val="22"/>
        </w:rPr>
        <w:t>otros.</w:t>
      </w:r>
      <w:r w:rsidRPr="00F83135">
        <w:rPr>
          <w:rStyle w:val="Refdenotaalpie"/>
          <w:rFonts w:ascii="Arial" w:hAnsi="Arial" w:cs="Arial"/>
          <w:sz w:val="22"/>
          <w:szCs w:val="22"/>
        </w:rPr>
        <w:t xml:space="preserve"> </w:t>
      </w:r>
    </w:p>
    <w:p w14:paraId="3397DCAC" w14:textId="77777777" w:rsidR="00A43ECC" w:rsidRPr="00F83135" w:rsidRDefault="00A43ECC" w:rsidP="00A43ECC">
      <w:pPr>
        <w:pStyle w:val="Textonotapie"/>
        <w:spacing w:after="120" w:line="276" w:lineRule="auto"/>
        <w:ind w:firstLine="720"/>
        <w:jc w:val="both"/>
        <w:rPr>
          <w:rFonts w:ascii="Arial" w:hAnsi="Arial" w:cs="Arial"/>
          <w:sz w:val="22"/>
          <w:szCs w:val="22"/>
        </w:rPr>
      </w:pPr>
      <w:r w:rsidRPr="00F83135">
        <w:rPr>
          <w:rFonts w:ascii="Arial" w:hAnsi="Arial" w:cs="Arial"/>
          <w:sz w:val="22"/>
          <w:szCs w:val="22"/>
        </w:rPr>
        <w:t xml:space="preserve">Acerca de los bienes de uso público, el Consejo de Estado los define como </w:t>
      </w:r>
      <w:r w:rsidRPr="003D6A52">
        <w:rPr>
          <w:rFonts w:ascii="Arial" w:hAnsi="Arial" w:cs="Arial"/>
          <w:i/>
          <w:iCs/>
          <w:sz w:val="22"/>
          <w:szCs w:val="22"/>
        </w:rPr>
        <w:t>«aquellos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w:t>
      </w:r>
      <w:r w:rsidRPr="003D6A52">
        <w:rPr>
          <w:rStyle w:val="Refdenotaalpie"/>
          <w:rFonts w:ascii="Arial" w:hAnsi="Arial" w:cs="Arial"/>
          <w:i/>
          <w:iCs/>
          <w:sz w:val="22"/>
          <w:szCs w:val="22"/>
        </w:rPr>
        <w:footnoteReference w:id="14"/>
      </w:r>
      <w:r w:rsidRPr="003D6A52">
        <w:rPr>
          <w:rFonts w:ascii="Arial" w:hAnsi="Arial" w:cs="Arial"/>
          <w:i/>
          <w:iCs/>
          <w:sz w:val="22"/>
          <w:szCs w:val="22"/>
        </w:rPr>
        <w:t>.</w:t>
      </w:r>
      <w:r w:rsidRPr="003D6A52">
        <w:rPr>
          <w:rFonts w:ascii="Arial" w:hAnsi="Arial" w:cs="Arial"/>
          <w:sz w:val="22"/>
          <w:szCs w:val="22"/>
        </w:rPr>
        <w:t xml:space="preserve"> </w:t>
      </w:r>
      <w:r w:rsidRPr="00F83135">
        <w:rPr>
          <w:rFonts w:ascii="Arial" w:hAnsi="Arial" w:cs="Arial"/>
          <w:sz w:val="22"/>
          <w:szCs w:val="22"/>
        </w:rPr>
        <w:t>Por lo tanto, como estos bienes están destinados al uso de los habitantes de un territorio, el Estado no puede disponer de ellos por encontrarse fuera del comercio</w:t>
      </w:r>
      <w:r w:rsidRPr="00F83135">
        <w:rPr>
          <w:rStyle w:val="Refdenotaalpie"/>
          <w:rFonts w:ascii="Arial" w:hAnsi="Arial" w:cs="Arial"/>
          <w:sz w:val="22"/>
          <w:szCs w:val="22"/>
        </w:rPr>
        <w:footnoteReference w:id="15"/>
      </w:r>
      <w:r w:rsidRPr="00F83135">
        <w:rPr>
          <w:rFonts w:ascii="Arial" w:hAnsi="Arial" w:cs="Arial"/>
          <w:sz w:val="22"/>
          <w:szCs w:val="22"/>
        </w:rPr>
        <w:t>.</w:t>
      </w:r>
      <w:r w:rsidRPr="00F83135">
        <w:rPr>
          <w:rStyle w:val="Refdenotaalpie"/>
          <w:rFonts w:ascii="Arial" w:hAnsi="Arial" w:cs="Arial"/>
          <w:sz w:val="22"/>
          <w:szCs w:val="22"/>
        </w:rPr>
        <w:t xml:space="preserve"> </w:t>
      </w:r>
    </w:p>
    <w:p w14:paraId="63F98774" w14:textId="77777777" w:rsidR="00A43ECC" w:rsidRPr="00F83135" w:rsidRDefault="00A43ECC" w:rsidP="00A43ECC">
      <w:pPr>
        <w:pStyle w:val="Textonotapie"/>
        <w:spacing w:line="276" w:lineRule="auto"/>
        <w:ind w:firstLine="720"/>
        <w:jc w:val="both"/>
        <w:rPr>
          <w:rFonts w:ascii="Arial" w:hAnsi="Arial" w:cs="Arial"/>
          <w:sz w:val="22"/>
          <w:szCs w:val="22"/>
        </w:rPr>
      </w:pPr>
      <w:r w:rsidRPr="00F83135">
        <w:rPr>
          <w:rFonts w:ascii="Arial" w:hAnsi="Arial" w:cs="Arial"/>
          <w:sz w:val="22"/>
          <w:szCs w:val="22"/>
        </w:rPr>
        <w:t>En ese orden de ideas, los bienes sobre los cuales puede recaer el acto de enajenación</w:t>
      </w:r>
      <w:r>
        <w:rPr>
          <w:rFonts w:ascii="Arial" w:hAnsi="Arial" w:cs="Arial"/>
          <w:sz w:val="22"/>
          <w:szCs w:val="22"/>
        </w:rPr>
        <w:t xml:space="preserve"> a título gratuito (</w:t>
      </w:r>
      <w:r w:rsidRPr="00F83135">
        <w:rPr>
          <w:rFonts w:ascii="Arial" w:hAnsi="Arial" w:cs="Arial"/>
          <w:sz w:val="22"/>
          <w:szCs w:val="22"/>
        </w:rPr>
        <w:t>donación</w:t>
      </w:r>
      <w:r>
        <w:rPr>
          <w:rFonts w:ascii="Arial" w:hAnsi="Arial" w:cs="Arial"/>
          <w:sz w:val="22"/>
          <w:szCs w:val="22"/>
        </w:rPr>
        <w:t xml:space="preserve">) </w:t>
      </w:r>
      <w:r w:rsidRPr="00F83135">
        <w:rPr>
          <w:rFonts w:ascii="Arial" w:hAnsi="Arial" w:cs="Arial"/>
          <w:sz w:val="22"/>
          <w:szCs w:val="22"/>
        </w:rPr>
        <w:t>son los bienes fiscales muebles o inmuebles y no los bienes de uso público.</w:t>
      </w:r>
    </w:p>
    <w:p w14:paraId="76CE463A" w14:textId="77777777" w:rsidR="00A43ECC" w:rsidRPr="00F83135" w:rsidRDefault="00A43ECC" w:rsidP="00A43ECC">
      <w:pPr>
        <w:pStyle w:val="Textonotapie"/>
        <w:spacing w:line="276" w:lineRule="auto"/>
        <w:jc w:val="both"/>
        <w:rPr>
          <w:rFonts w:ascii="Arial" w:hAnsi="Arial" w:cs="Arial"/>
          <w:b/>
          <w:sz w:val="22"/>
          <w:szCs w:val="22"/>
        </w:rPr>
      </w:pPr>
    </w:p>
    <w:p w14:paraId="62691E26" w14:textId="77777777" w:rsidR="00A43ECC" w:rsidRPr="00F83135" w:rsidRDefault="00A43ECC" w:rsidP="00A43ECC">
      <w:pPr>
        <w:pStyle w:val="Textonotapie"/>
        <w:spacing w:line="276" w:lineRule="auto"/>
        <w:jc w:val="both"/>
        <w:rPr>
          <w:rFonts w:ascii="Arial" w:hAnsi="Arial" w:cs="Arial"/>
          <w:b/>
          <w:sz w:val="22"/>
          <w:szCs w:val="22"/>
        </w:rPr>
      </w:pPr>
      <w:r w:rsidRPr="00F83135">
        <w:rPr>
          <w:rFonts w:ascii="Arial" w:hAnsi="Arial" w:cs="Arial"/>
          <w:b/>
          <w:sz w:val="22"/>
          <w:szCs w:val="22"/>
        </w:rPr>
        <w:t xml:space="preserve">2.2. Modalidad de selección aplicable para la enajenación de bienes </w:t>
      </w:r>
      <w:r>
        <w:rPr>
          <w:rFonts w:ascii="Arial" w:hAnsi="Arial" w:cs="Arial"/>
          <w:b/>
          <w:sz w:val="22"/>
          <w:szCs w:val="22"/>
        </w:rPr>
        <w:t xml:space="preserve">muebles </w:t>
      </w:r>
      <w:r w:rsidRPr="00F83135">
        <w:rPr>
          <w:rFonts w:ascii="Arial" w:hAnsi="Arial" w:cs="Arial"/>
          <w:b/>
          <w:sz w:val="22"/>
          <w:szCs w:val="22"/>
        </w:rPr>
        <w:t>del Estado</w:t>
      </w:r>
      <w:r>
        <w:rPr>
          <w:rFonts w:ascii="Arial" w:hAnsi="Arial" w:cs="Arial"/>
          <w:b/>
          <w:sz w:val="22"/>
          <w:szCs w:val="22"/>
        </w:rPr>
        <w:t xml:space="preserve"> a título gratuito.</w:t>
      </w:r>
    </w:p>
    <w:p w14:paraId="75B6740A" w14:textId="77777777" w:rsidR="00A43ECC" w:rsidRPr="00F83135" w:rsidRDefault="00A43ECC" w:rsidP="00A43ECC">
      <w:pPr>
        <w:pStyle w:val="Textoindependiente"/>
        <w:spacing w:line="276" w:lineRule="auto"/>
        <w:jc w:val="both"/>
      </w:pPr>
    </w:p>
    <w:p w14:paraId="738E9479" w14:textId="77777777" w:rsidR="00A43ECC" w:rsidRDefault="00A43ECC" w:rsidP="00A43ECC">
      <w:pPr>
        <w:pStyle w:val="Textoindependiente"/>
        <w:spacing w:after="120" w:line="276" w:lineRule="auto"/>
        <w:jc w:val="both"/>
      </w:pPr>
      <w:r>
        <w:t xml:space="preserve">El </w:t>
      </w:r>
      <w:r w:rsidRPr="00F83135">
        <w:t>literal e) del numeral 2 de</w:t>
      </w:r>
      <w:r>
        <w:t xml:space="preserve">l </w:t>
      </w:r>
      <w:r w:rsidRPr="00F83135">
        <w:t>artículo 2</w:t>
      </w:r>
      <w:r>
        <w:t xml:space="preserve"> de la </w:t>
      </w:r>
      <w:r w:rsidRPr="00F83135">
        <w:t>Ley 1150 de 2007 dispone que la enajenación de bienes del Estado, con excepción de aquellos a que se refiere la Ley 226 de 1995, se realiza a través de la modalidad de selección abreviada</w:t>
      </w:r>
      <w:r>
        <w:t>. En virtud de ello</w:t>
      </w:r>
      <w:r w:rsidRPr="00F83135">
        <w:t>, el Decreto 1082 de 2015, por medio del cual se expide el Decreto Único Reglamentario del Sector Administrativo de Planeación Nacional, dispuso en los artículos 2.2.1.2.2.1.1. y siguientes</w:t>
      </w:r>
      <w:r>
        <w:t>,</w:t>
      </w:r>
      <w:r w:rsidRPr="00F83135">
        <w:t xml:space="preserve"> las reglas </w:t>
      </w:r>
      <w:r>
        <w:t xml:space="preserve">que deben </w:t>
      </w:r>
      <w:r w:rsidRPr="00F83135">
        <w:t xml:space="preserve">tener en cuenta las Entidades Estatales, cuando utilicen </w:t>
      </w:r>
      <w:r>
        <w:t>dicha</w:t>
      </w:r>
      <w:r w:rsidRPr="00F83135">
        <w:t xml:space="preserve"> </w:t>
      </w:r>
      <w:r>
        <w:t xml:space="preserve"> modalidad</w:t>
      </w:r>
      <w:r w:rsidRPr="00F83135">
        <w:t xml:space="preserve"> </w:t>
      </w:r>
      <w:r>
        <w:t xml:space="preserve">de selección </w:t>
      </w:r>
      <w:r w:rsidRPr="00F83135">
        <w:t>para enajenar</w:t>
      </w:r>
      <w:r w:rsidRPr="00F83135">
        <w:rPr>
          <w:spacing w:val="9"/>
        </w:rPr>
        <w:t xml:space="preserve"> </w:t>
      </w:r>
      <w:r>
        <w:rPr>
          <w:spacing w:val="13"/>
        </w:rPr>
        <w:t xml:space="preserve">sus </w:t>
      </w:r>
      <w:r w:rsidRPr="00F83135">
        <w:t>bienes</w:t>
      </w:r>
      <w:r>
        <w:t xml:space="preserve"> fiscales, para lo cual, la Entidad Estatal interesada en realizar dicha proceso de enajenación deberá determinar, en primer lugar, si los bienes sobre los cuales requiere realizar la enajenación son muebles o inmuebles, lo que va a incidir en las reglas </w:t>
      </w:r>
      <w:r>
        <w:rPr>
          <w:spacing w:val="13"/>
        </w:rPr>
        <w:t>qu</w:t>
      </w:r>
      <w:r w:rsidRPr="003D6A52">
        <w:t>e deberá aplicar de conformidad con lo dispuesto en el Decreto 1082 de 2015</w:t>
      </w:r>
      <w:r w:rsidRPr="003D6A52">
        <w:footnoteReference w:id="16"/>
      </w:r>
      <w:r w:rsidRPr="003D6A52">
        <w:rPr>
          <w:vertAlign w:val="superscript"/>
        </w:rPr>
        <w:t>.</w:t>
      </w:r>
    </w:p>
    <w:p w14:paraId="3FE2D513" w14:textId="77777777" w:rsidR="00A43ECC" w:rsidRDefault="00A43ECC" w:rsidP="00A43ECC">
      <w:pPr>
        <w:pStyle w:val="Textoindependiente"/>
        <w:spacing w:after="120" w:line="276" w:lineRule="auto"/>
        <w:ind w:firstLine="708"/>
        <w:jc w:val="both"/>
      </w:pPr>
      <w:r>
        <w:t>Ahora bien, si los bienes que van a ser enajenados por la Entidad Estatal se clasifican en bienes muebles, y es de su querer darlos a título gratuito a otras Entidades Estatales en virtud de lo consagrado en el</w:t>
      </w:r>
      <w:r w:rsidRPr="00F83135">
        <w:rPr>
          <w:spacing w:val="13"/>
        </w:rPr>
        <w:t xml:space="preserve"> </w:t>
      </w:r>
      <w:r w:rsidRPr="00F83135">
        <w:t>artículo</w:t>
      </w:r>
      <w:r w:rsidRPr="00F83135">
        <w:rPr>
          <w:spacing w:val="16"/>
        </w:rPr>
        <w:t xml:space="preserve"> </w:t>
      </w:r>
      <w:r w:rsidRPr="00F83135">
        <w:t>2.2.1.2.2.4.3.</w:t>
      </w:r>
      <w:r w:rsidRPr="00F83135">
        <w:rPr>
          <w:spacing w:val="12"/>
        </w:rPr>
        <w:t xml:space="preserve"> </w:t>
      </w:r>
      <w:r w:rsidRPr="003D6A52">
        <w:t xml:space="preserve">del Decreto 1082 de 2015, </w:t>
      </w:r>
      <w:r>
        <w:t xml:space="preserve">la </w:t>
      </w:r>
      <w:r w:rsidRPr="00F83135">
        <w:t>Entidad Estatal que vaya a dar de baja sus bienes</w:t>
      </w:r>
      <w:r>
        <w:t xml:space="preserve">, deberá realizar, en primer lugar, </w:t>
      </w:r>
      <w:r w:rsidRPr="00F83135">
        <w:t>un inventario de los bienes muebles que no utilizan y</w:t>
      </w:r>
      <w:r>
        <w:t>, a continuación, se la habilita para</w:t>
      </w:r>
      <w:r w:rsidRPr="00F83135">
        <w:t xml:space="preserve"> ofrecerlos a título gratuito a las </w:t>
      </w:r>
      <w:r>
        <w:t xml:space="preserve">demás </w:t>
      </w:r>
      <w:r w:rsidRPr="00F83135">
        <w:t>Entidades Estatales a través de un acto administrativo</w:t>
      </w:r>
      <w:r>
        <w:t xml:space="preserve"> que deberá publicar en su página Web</w:t>
      </w:r>
      <w:r w:rsidRPr="00F83135">
        <w:t>.</w:t>
      </w:r>
    </w:p>
    <w:p w14:paraId="7C152220" w14:textId="77777777" w:rsidR="00A43ECC" w:rsidRDefault="00A43ECC" w:rsidP="00A43ECC">
      <w:pPr>
        <w:pStyle w:val="Textoindependiente"/>
        <w:spacing w:after="120" w:line="276" w:lineRule="auto"/>
        <w:ind w:firstLine="708"/>
        <w:jc w:val="both"/>
      </w:pPr>
      <w:r>
        <w:t>Posterior a ello, la norma en mención indica que d</w:t>
      </w:r>
      <w:r w:rsidRPr="00F83135">
        <w:t xml:space="preserve">entro de los treinta (30) días calendario siguientes a la fecha de publicación del acto administrativo, la </w:t>
      </w:r>
      <w:r>
        <w:t>E</w:t>
      </w:r>
      <w:r w:rsidRPr="00F83135">
        <w:t xml:space="preserve">ntidad </w:t>
      </w:r>
      <w:r>
        <w:t xml:space="preserve">Estatal interesada en adquirir estos bienes a título gratuito </w:t>
      </w:r>
      <w:r w:rsidRPr="00F83135">
        <w:t xml:space="preserve">debe manifestar </w:t>
      </w:r>
      <w:r>
        <w:t xml:space="preserve">su </w:t>
      </w:r>
      <w:r w:rsidRPr="00F83135">
        <w:t>interés</w:t>
      </w:r>
      <w:r>
        <w:t>,</w:t>
      </w:r>
      <w:r w:rsidRPr="00F83135">
        <w:t xml:space="preserve"> y </w:t>
      </w:r>
      <w:r>
        <w:t>con ella, debe señalar la necesidad funcional que pretende satisfacer con el bien conjuntamente con las razones que justifican su solicitud.</w:t>
      </w:r>
    </w:p>
    <w:p w14:paraId="51CB18DD" w14:textId="77777777" w:rsidR="00A43ECC" w:rsidRDefault="00A43ECC" w:rsidP="00A43ECC">
      <w:pPr>
        <w:pStyle w:val="Textoindependiente"/>
        <w:spacing w:after="120" w:line="276" w:lineRule="auto"/>
        <w:ind w:firstLine="708"/>
        <w:jc w:val="both"/>
      </w:pPr>
      <w:r>
        <w:t>Finalmente, la norma señala que, s</w:t>
      </w:r>
      <w:r w:rsidRPr="00A061B7">
        <w:t>i hay dos o más manifestaciones de interés de Entidades Estatales para el mismo bien, la Entidad Estatal que primero haya manifestado su interés debe tener preferencia</w:t>
      </w:r>
      <w:r>
        <w:t>, sin que existan más normas complementarias o posteriores que hayan regulado con mayor detalle el procedimiento en mención.</w:t>
      </w:r>
    </w:p>
    <w:p w14:paraId="7785BE35" w14:textId="77777777" w:rsidR="00A43ECC" w:rsidRPr="00F83135" w:rsidRDefault="00A43ECC" w:rsidP="00A43ECC">
      <w:pPr>
        <w:pStyle w:val="Textoindependiente"/>
        <w:rPr>
          <w:color w:val="000000" w:themeColor="text1"/>
        </w:rPr>
      </w:pPr>
    </w:p>
    <w:p w14:paraId="60DEF4FB" w14:textId="77777777" w:rsidR="00A43ECC" w:rsidRPr="00F83135" w:rsidRDefault="00A43ECC" w:rsidP="00A43ECC">
      <w:pPr>
        <w:pStyle w:val="Prrafodelista"/>
        <w:tabs>
          <w:tab w:val="left" w:pos="284"/>
        </w:tabs>
        <w:spacing w:line="276" w:lineRule="auto"/>
        <w:ind w:left="0"/>
        <w:jc w:val="both"/>
        <w:rPr>
          <w:rFonts w:ascii="Arial" w:eastAsia="Calibri" w:hAnsi="Arial" w:cs="Arial"/>
          <w:color w:val="000000" w:themeColor="text1"/>
          <w:sz w:val="22"/>
          <w:szCs w:val="22"/>
          <w:lang w:val="es-ES_tradnl"/>
        </w:rPr>
      </w:pPr>
      <w:r w:rsidRPr="00F83135">
        <w:rPr>
          <w:rFonts w:ascii="Arial" w:eastAsia="Calibri" w:hAnsi="Arial" w:cs="Arial"/>
          <w:b/>
          <w:color w:val="000000" w:themeColor="text1"/>
          <w:sz w:val="22"/>
          <w:szCs w:val="22"/>
          <w:lang w:val="es-ES_tradnl"/>
        </w:rPr>
        <w:t>3. Respuesta</w:t>
      </w:r>
    </w:p>
    <w:p w14:paraId="64693997" w14:textId="77777777" w:rsidR="00A43ECC" w:rsidRPr="00F83135" w:rsidRDefault="00A43ECC" w:rsidP="00A43ECC">
      <w:pPr>
        <w:spacing w:line="276" w:lineRule="auto"/>
        <w:ind w:left="709" w:right="709"/>
        <w:jc w:val="both"/>
        <w:rPr>
          <w:rFonts w:ascii="Arial" w:eastAsia="Calibri" w:hAnsi="Arial" w:cs="Arial"/>
          <w:i/>
          <w:color w:val="000000" w:themeColor="text1"/>
          <w:sz w:val="22"/>
          <w:szCs w:val="22"/>
          <w:lang w:val="es-ES_tradnl"/>
        </w:rPr>
      </w:pPr>
    </w:p>
    <w:p w14:paraId="33D35216" w14:textId="77777777" w:rsidR="00A43ECC" w:rsidRPr="003D6A52" w:rsidRDefault="00A43ECC" w:rsidP="00A43ECC">
      <w:pPr>
        <w:ind w:left="709" w:right="709"/>
        <w:jc w:val="both"/>
        <w:rPr>
          <w:rFonts w:ascii="Arial" w:hAnsi="Arial" w:cs="Arial"/>
          <w:i/>
          <w:iCs/>
          <w:sz w:val="22"/>
          <w:szCs w:val="22"/>
        </w:rPr>
      </w:pPr>
      <w:r w:rsidRPr="003D6A52">
        <w:rPr>
          <w:rFonts w:ascii="Arial" w:hAnsi="Arial" w:cs="Arial"/>
          <w:i/>
          <w:iCs/>
          <w:sz w:val="22"/>
          <w:szCs w:val="22"/>
        </w:rPr>
        <w:t>- «conforme a lo establecido en el artículo ARTICULO 2.2.1.2.2.4.3. del Decreto 1082 de 2015 en cuanto Enajenación de bienes muebles a título gratuito entre Entidades Estatales. Las Entidades Estatales deben hacer un inventario de los bienes muebles que no utilizan y ofrecerlos a título gratuito a las Entidades Estatales a través de un acto administrativo motivado que deben publicar en su página web, la inquietud es la siguiente, ¿se puede direccionar una enajenación a título gratuito hacia el sector educativo por la naturaleza de los bienes muebles?»</w:t>
      </w:r>
    </w:p>
    <w:p w14:paraId="4D00F5FA" w14:textId="77777777" w:rsidR="00A43ECC" w:rsidRPr="003D6A52" w:rsidRDefault="00A43ECC" w:rsidP="00A43ECC">
      <w:pPr>
        <w:ind w:left="709" w:right="709"/>
        <w:jc w:val="both"/>
        <w:rPr>
          <w:rFonts w:ascii="Arial" w:hAnsi="Arial" w:cs="Arial"/>
          <w:sz w:val="22"/>
          <w:szCs w:val="22"/>
        </w:rPr>
      </w:pPr>
    </w:p>
    <w:p w14:paraId="38E94572" w14:textId="77777777" w:rsidR="00A43ECC" w:rsidRDefault="00A43ECC" w:rsidP="00A43ECC">
      <w:pPr>
        <w:spacing w:after="120" w:line="276" w:lineRule="auto"/>
        <w:jc w:val="both"/>
        <w:rPr>
          <w:rFonts w:ascii="Arial" w:hAnsi="Arial" w:cs="Arial"/>
          <w:sz w:val="22"/>
          <w:szCs w:val="22"/>
          <w:lang w:eastAsia="es-MX"/>
        </w:rPr>
      </w:pPr>
      <w:r w:rsidRPr="00F83135">
        <w:rPr>
          <w:rFonts w:ascii="Arial" w:hAnsi="Arial" w:cs="Arial"/>
          <w:sz w:val="22"/>
          <w:szCs w:val="22"/>
          <w:lang w:eastAsia="es-MX"/>
        </w:rPr>
        <w:t>De conformidad con las consideraciones expuestas, es necesario resaltar y reiterar que</w:t>
      </w:r>
      <w:r>
        <w:rPr>
          <w:rFonts w:ascii="Arial" w:hAnsi="Arial" w:cs="Arial"/>
          <w:sz w:val="22"/>
          <w:szCs w:val="22"/>
          <w:lang w:eastAsia="es-MX"/>
        </w:rPr>
        <w:t xml:space="preserve"> la reglamentación dispuesta para enajenar bienes muebles entre Entidades Estatales a título gratuito, a través de la modalidad de selección abreviada, sólo se encuentra consagrada en el artículo </w:t>
      </w:r>
      <w:r w:rsidRPr="006C51E4">
        <w:rPr>
          <w:rFonts w:ascii="Arial" w:hAnsi="Arial" w:cs="Arial"/>
          <w:sz w:val="22"/>
          <w:szCs w:val="22"/>
        </w:rPr>
        <w:t>2.2.1.2.2.4.3. del Decreto 1082 de 2015</w:t>
      </w:r>
      <w:r>
        <w:rPr>
          <w:rFonts w:ascii="Arial" w:hAnsi="Arial" w:cs="Arial"/>
          <w:sz w:val="22"/>
          <w:szCs w:val="22"/>
        </w:rPr>
        <w:t xml:space="preserve">, sin que en su contenido se haya manifestado o contemplado la posibilidad de que las Entidades Estatales puedan limitar la convocatoria prevista en dicho artículo para </w:t>
      </w:r>
      <w:r w:rsidRPr="00D62806">
        <w:rPr>
          <w:rFonts w:ascii="Arial" w:hAnsi="Arial" w:cs="Arial"/>
          <w:sz w:val="22"/>
          <w:szCs w:val="22"/>
        </w:rPr>
        <w:t>adquirir estos bienes</w:t>
      </w:r>
      <w:r>
        <w:rPr>
          <w:rFonts w:ascii="Arial" w:hAnsi="Arial" w:cs="Arial"/>
          <w:sz w:val="22"/>
          <w:szCs w:val="22"/>
        </w:rPr>
        <w:t xml:space="preserve">, por lo cual, ante falta de regulación específica que habilite dicha posibilidad, </w:t>
      </w:r>
      <w:r w:rsidRPr="00F83135">
        <w:rPr>
          <w:rFonts w:ascii="Arial" w:hAnsi="Arial" w:cs="Arial"/>
          <w:sz w:val="22"/>
          <w:szCs w:val="22"/>
          <w:lang w:eastAsia="es-MX"/>
        </w:rPr>
        <w:t xml:space="preserve">esta Agencia </w:t>
      </w:r>
      <w:r>
        <w:rPr>
          <w:rFonts w:ascii="Arial" w:hAnsi="Arial" w:cs="Arial"/>
          <w:sz w:val="22"/>
          <w:szCs w:val="22"/>
          <w:lang w:eastAsia="es-MX"/>
        </w:rPr>
        <w:t xml:space="preserve">considera que no es posible realizar aquella, más aún si la norma consagró una única regla clara de preferencia, y esta sólo procede cuando </w:t>
      </w:r>
      <w:r w:rsidRPr="00D62806">
        <w:rPr>
          <w:rFonts w:ascii="Arial" w:hAnsi="Arial" w:cs="Arial"/>
          <w:sz w:val="22"/>
          <w:szCs w:val="22"/>
          <w:lang w:eastAsia="es-MX"/>
        </w:rPr>
        <w:t xml:space="preserve">hay dos o más manifestaciones de interés de Entidades Estatales para el mismo bien, </w:t>
      </w:r>
      <w:r>
        <w:rPr>
          <w:rFonts w:ascii="Arial" w:hAnsi="Arial" w:cs="Arial"/>
          <w:sz w:val="22"/>
          <w:szCs w:val="22"/>
          <w:lang w:eastAsia="es-MX"/>
        </w:rPr>
        <w:t xml:space="preserve">debiéndose preferir la </w:t>
      </w:r>
      <w:r w:rsidRPr="00D62806">
        <w:rPr>
          <w:rFonts w:ascii="Arial" w:hAnsi="Arial" w:cs="Arial"/>
          <w:sz w:val="22"/>
          <w:szCs w:val="22"/>
          <w:lang w:eastAsia="es-MX"/>
        </w:rPr>
        <w:t>primer</w:t>
      </w:r>
      <w:r>
        <w:rPr>
          <w:rFonts w:ascii="Arial" w:hAnsi="Arial" w:cs="Arial"/>
          <w:sz w:val="22"/>
          <w:szCs w:val="22"/>
          <w:lang w:eastAsia="es-MX"/>
        </w:rPr>
        <w:t>a manifestación de interés en el tiempo.</w:t>
      </w:r>
    </w:p>
    <w:p w14:paraId="681A0725" w14:textId="77777777" w:rsidR="00A43ECC" w:rsidRDefault="00A43ECC" w:rsidP="00A43ECC">
      <w:pPr>
        <w:pStyle w:val="Textoindependiente"/>
        <w:spacing w:after="120" w:line="276" w:lineRule="auto"/>
        <w:ind w:firstLine="708"/>
        <w:jc w:val="both"/>
      </w:pPr>
      <w:r w:rsidRPr="00E46E07">
        <w:t xml:space="preserve">En ese orden de ideas, el legislador no determinó la posibilidad de que las Entidades Estatales </w:t>
      </w:r>
      <w:r>
        <w:t>puedan limitar la</w:t>
      </w:r>
      <w:r w:rsidRPr="00E46E07">
        <w:t xml:space="preserve"> convocatoria </w:t>
      </w:r>
      <w:r>
        <w:t xml:space="preserve">de manifestación de interés </w:t>
      </w:r>
      <w:r w:rsidRPr="00E46E07">
        <w:t xml:space="preserve">para enajenar sus bienes a título gratuito a ciertas </w:t>
      </w:r>
      <w:r>
        <w:t>E</w:t>
      </w:r>
      <w:r w:rsidRPr="00E46E07">
        <w:t xml:space="preserve">ntidades </w:t>
      </w:r>
      <w:r>
        <w:t xml:space="preserve">Estatales </w:t>
      </w:r>
      <w:r w:rsidRPr="00E46E07">
        <w:t xml:space="preserve">o sectores, </w:t>
      </w:r>
      <w:r>
        <w:t>no obstante, al norma si habilitó a la Entidad Estatal que está enajenando sus bienes muebles a título gratuito para revisar que las respectivas manifestaciones de interés cuenten con la respectiva justificaciones de la necesidad funcional que pretende satisfacer con el bien a entregar, caso en el cual, si la Entidad Estatal enajenante verifica que la primera manifestación de interés en el tiempo no cumple con dicho requisito, a consideración de esta Agencia deberá continuar con la segunda en orden de elegibilidad, y así sucesivamente</w:t>
      </w:r>
    </w:p>
    <w:p w14:paraId="49910363" w14:textId="77777777" w:rsidR="00A43ECC" w:rsidRPr="00280A6C" w:rsidRDefault="00A43ECC" w:rsidP="00A43ECC">
      <w:pPr>
        <w:pStyle w:val="Textoindependiente"/>
        <w:spacing w:line="276" w:lineRule="auto"/>
        <w:ind w:right="104" w:firstLine="708"/>
        <w:jc w:val="both"/>
      </w:pPr>
      <w:r w:rsidRPr="00280A6C">
        <w:t xml:space="preserve">Por otro lado, además de las normas sobre el procedimiento de enajenación de bienes que establece el Decreto 1082 de 2015, las entidades públicas como responsables de la protección y administración de los bienes, generalmente cuentan con un manual de administración de </w:t>
      </w:r>
      <w:r>
        <w:t xml:space="preserve">los </w:t>
      </w:r>
      <w:r w:rsidRPr="00280A6C">
        <w:t>bienes</w:t>
      </w:r>
      <w:r>
        <w:t xml:space="preserve"> muebles e inmuebles de la entidad</w:t>
      </w:r>
      <w:r w:rsidRPr="00280A6C">
        <w:t>, el cual establece los lineamientos y procedimientos que deben cumplir para dar de baja los bienes que lo requieran, así como el destino que se les debe dar –enajenación, destrucción, y otros–</w:t>
      </w:r>
      <w:r>
        <w:t>, el cual se recomienda tener en cuenta</w:t>
      </w:r>
      <w:r w:rsidRPr="00280A6C">
        <w:t>.</w:t>
      </w:r>
    </w:p>
    <w:p w14:paraId="5B3BCAD9" w14:textId="77777777" w:rsidR="00A43ECC" w:rsidRPr="00280A6C" w:rsidRDefault="00A43ECC" w:rsidP="00A43ECC">
      <w:pPr>
        <w:spacing w:after="120" w:line="276" w:lineRule="auto"/>
        <w:jc w:val="both"/>
        <w:rPr>
          <w:rFonts w:ascii="Arial" w:hAnsi="Arial" w:cs="Arial"/>
          <w:sz w:val="22"/>
          <w:szCs w:val="22"/>
        </w:rPr>
      </w:pPr>
    </w:p>
    <w:p w14:paraId="1FE1D787" w14:textId="77777777" w:rsidR="00A43ECC" w:rsidRPr="00280A6C" w:rsidRDefault="00A43ECC" w:rsidP="00A43ECC">
      <w:pPr>
        <w:spacing w:after="120" w:line="276" w:lineRule="auto"/>
        <w:jc w:val="both"/>
        <w:rPr>
          <w:rFonts w:ascii="Arial" w:eastAsia="Calibri" w:hAnsi="Arial" w:cs="Arial"/>
          <w:color w:val="000000" w:themeColor="text1"/>
          <w:sz w:val="22"/>
          <w:szCs w:val="22"/>
          <w:lang w:val="es-ES_tradnl"/>
        </w:rPr>
      </w:pPr>
      <w:r w:rsidRPr="00280A6C">
        <w:rPr>
          <w:rFonts w:ascii="Arial" w:eastAsia="Calibri" w:hAnsi="Arial" w:cs="Arial"/>
          <w:color w:val="000000" w:themeColor="text1"/>
          <w:sz w:val="22"/>
          <w:szCs w:val="22"/>
          <w:lang w:val="es-ES_tradnl"/>
        </w:rPr>
        <w:t>Este concepto tiene el alcance previsto en el artículo 28 del Código de Procedimiento Administrativo y de lo Contencioso Administrativo.</w:t>
      </w:r>
    </w:p>
    <w:p w14:paraId="361610B6" w14:textId="77777777" w:rsidR="00A43ECC" w:rsidRPr="00F83135" w:rsidRDefault="00A43ECC" w:rsidP="00A43ECC">
      <w:pPr>
        <w:spacing w:line="276" w:lineRule="auto"/>
        <w:jc w:val="both"/>
        <w:rPr>
          <w:rFonts w:ascii="Arial" w:eastAsia="Calibri" w:hAnsi="Arial" w:cs="Arial"/>
          <w:color w:val="000000" w:themeColor="text1"/>
          <w:sz w:val="22"/>
          <w:szCs w:val="22"/>
          <w:lang w:val="es-ES_tradnl"/>
        </w:rPr>
      </w:pPr>
    </w:p>
    <w:p w14:paraId="078BF894" w14:textId="77777777" w:rsidR="00A43ECC" w:rsidRPr="00F83135" w:rsidRDefault="00A43ECC" w:rsidP="00A43ECC">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83135">
        <w:rPr>
          <w:rFonts w:ascii="Arial" w:hAnsi="Arial" w:cs="Arial"/>
          <w:color w:val="000000" w:themeColor="text1"/>
          <w:sz w:val="22"/>
          <w:szCs w:val="22"/>
          <w:lang w:val="es-ES_tradnl"/>
        </w:rPr>
        <w:t>Atentamente,</w:t>
      </w:r>
    </w:p>
    <w:p w14:paraId="1FCBECCE" w14:textId="0EA76ECC" w:rsidR="00A43ECC" w:rsidRPr="00F83135" w:rsidRDefault="00477A28" w:rsidP="00A43ECC">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1A1A1A" w:themeColor="background1" w:themeShade="1A"/>
        </w:rPr>
        <w:drawing>
          <wp:inline distT="0" distB="0" distL="0" distR="0" wp14:anchorId="485247B9" wp14:editId="17966637">
            <wp:extent cx="2533650" cy="981075"/>
            <wp:effectExtent l="0" t="0" r="0" b="952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p w14:paraId="6D4866A9" w14:textId="77777777" w:rsidR="00A43ECC" w:rsidRPr="003D6A52" w:rsidRDefault="00A43ECC" w:rsidP="00A43ECC">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858"/>
      </w:tblGrid>
      <w:tr w:rsidR="00A43ECC" w:rsidRPr="00063056" w14:paraId="3A5642D4" w14:textId="77777777" w:rsidTr="00440318">
        <w:trPr>
          <w:trHeight w:val="315"/>
        </w:trPr>
        <w:tc>
          <w:tcPr>
            <w:tcW w:w="812" w:type="dxa"/>
            <w:vAlign w:val="center"/>
            <w:hideMark/>
          </w:tcPr>
          <w:p w14:paraId="0D975AB5" w14:textId="77777777" w:rsidR="00A43ECC" w:rsidRPr="00063056" w:rsidRDefault="00A43ECC" w:rsidP="00440318">
            <w:pPr>
              <w:jc w:val="both"/>
              <w:rPr>
                <w:rFonts w:ascii="Arial" w:hAnsi="Arial" w:cs="Arial"/>
                <w:color w:val="000000" w:themeColor="text1"/>
                <w:sz w:val="16"/>
                <w:szCs w:val="16"/>
                <w:lang w:val="es-ES_tradnl" w:eastAsia="es-ES"/>
              </w:rPr>
            </w:pPr>
            <w:r w:rsidRPr="00063056">
              <w:rPr>
                <w:rFonts w:ascii="Arial" w:hAnsi="Arial" w:cs="Arial"/>
                <w:color w:val="000000" w:themeColor="text1"/>
                <w:sz w:val="16"/>
                <w:szCs w:val="16"/>
                <w:lang w:val="es-ES_tradnl" w:eastAsia="es-ES"/>
              </w:rPr>
              <w:t>Elaboró:</w:t>
            </w:r>
          </w:p>
        </w:tc>
        <w:tc>
          <w:tcPr>
            <w:tcW w:w="4858" w:type="dxa"/>
            <w:tcBorders>
              <w:top w:val="nil"/>
              <w:left w:val="nil"/>
              <w:bottom w:val="dotted" w:sz="4" w:space="0" w:color="7F7F7F" w:themeColor="text1" w:themeTint="80"/>
              <w:right w:val="nil"/>
            </w:tcBorders>
            <w:vAlign w:val="center"/>
            <w:hideMark/>
          </w:tcPr>
          <w:p w14:paraId="027F883B" w14:textId="77777777" w:rsidR="00A43ECC" w:rsidRPr="00063056" w:rsidRDefault="00A43ECC" w:rsidP="00440318">
            <w:pPr>
              <w:jc w:val="both"/>
              <w:rPr>
                <w:rFonts w:ascii="Arial" w:hAnsi="Arial" w:cs="Arial"/>
                <w:color w:val="000000" w:themeColor="text1"/>
                <w:sz w:val="16"/>
                <w:szCs w:val="16"/>
                <w:lang w:val="es-ES_tradnl" w:eastAsia="es-ES"/>
              </w:rPr>
            </w:pPr>
            <w:r w:rsidRPr="00063056">
              <w:rPr>
                <w:rFonts w:ascii="Arial" w:hAnsi="Arial" w:cs="Arial"/>
                <w:color w:val="000000" w:themeColor="text1"/>
                <w:sz w:val="16"/>
                <w:szCs w:val="16"/>
                <w:lang w:val="es-ES_tradnl" w:eastAsia="es-ES"/>
              </w:rPr>
              <w:t>Edwin Johan Chocontá Quintero</w:t>
            </w:r>
          </w:p>
          <w:p w14:paraId="7199F4EE" w14:textId="77777777" w:rsidR="00A43ECC" w:rsidRPr="00063056" w:rsidRDefault="00A43ECC" w:rsidP="00440318">
            <w:pPr>
              <w:jc w:val="both"/>
              <w:rPr>
                <w:rFonts w:ascii="Arial" w:hAnsi="Arial" w:cs="Arial"/>
                <w:color w:val="000000" w:themeColor="text1"/>
                <w:sz w:val="16"/>
                <w:szCs w:val="16"/>
                <w:lang w:val="es-ES_tradnl" w:eastAsia="es-ES"/>
              </w:rPr>
            </w:pPr>
            <w:r w:rsidRPr="00063056">
              <w:rPr>
                <w:rFonts w:ascii="Arial" w:hAnsi="Arial" w:cs="Arial"/>
                <w:color w:val="000000" w:themeColor="text1"/>
                <w:sz w:val="16"/>
                <w:szCs w:val="16"/>
                <w:lang w:val="es-ES_tradnl" w:eastAsia="es-ES"/>
              </w:rPr>
              <w:t>Analista T2 – 02 de la Subdirección de Gestión Contractual</w:t>
            </w:r>
          </w:p>
        </w:tc>
      </w:tr>
      <w:tr w:rsidR="00A43ECC" w:rsidRPr="00063056" w14:paraId="71F02F6F" w14:textId="77777777" w:rsidTr="00440318">
        <w:trPr>
          <w:trHeight w:val="330"/>
        </w:trPr>
        <w:tc>
          <w:tcPr>
            <w:tcW w:w="812" w:type="dxa"/>
            <w:vAlign w:val="center"/>
            <w:hideMark/>
          </w:tcPr>
          <w:p w14:paraId="1A4E8CDE" w14:textId="77777777" w:rsidR="00A43ECC" w:rsidRPr="00063056" w:rsidRDefault="00A43ECC" w:rsidP="00440318">
            <w:pPr>
              <w:jc w:val="both"/>
              <w:rPr>
                <w:rFonts w:ascii="Arial" w:hAnsi="Arial" w:cs="Arial"/>
                <w:color w:val="000000" w:themeColor="text1"/>
                <w:sz w:val="16"/>
                <w:szCs w:val="16"/>
                <w:lang w:val="es-ES_tradnl" w:eastAsia="es-ES"/>
              </w:rPr>
            </w:pPr>
            <w:r w:rsidRPr="00063056">
              <w:rPr>
                <w:rFonts w:ascii="Arial" w:hAnsi="Arial" w:cs="Arial"/>
                <w:color w:val="000000" w:themeColor="text1"/>
                <w:sz w:val="16"/>
                <w:szCs w:val="16"/>
                <w:lang w:val="es-ES_tradnl" w:eastAsia="es-ES"/>
              </w:rPr>
              <w:t>Revisó: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527EEFEC" w14:textId="77777777" w:rsidR="00A43ECC" w:rsidRPr="00063056" w:rsidRDefault="00A43ECC" w:rsidP="00440318">
            <w:pPr>
              <w:jc w:val="both"/>
              <w:rPr>
                <w:rFonts w:ascii="Arial" w:hAnsi="Arial" w:cs="Arial"/>
                <w:color w:val="000000" w:themeColor="text1"/>
                <w:sz w:val="16"/>
                <w:szCs w:val="16"/>
                <w:lang w:val="es-ES_tradnl" w:eastAsia="es-ES"/>
              </w:rPr>
            </w:pPr>
            <w:r w:rsidRPr="00063056">
              <w:rPr>
                <w:rFonts w:ascii="Arial" w:hAnsi="Arial" w:cs="Arial"/>
                <w:color w:val="000000" w:themeColor="text1"/>
                <w:sz w:val="16"/>
                <w:szCs w:val="16"/>
                <w:lang w:val="es-ES_tradnl" w:eastAsia="es-ES"/>
              </w:rPr>
              <w:t>Any Alejandra Tovar Castillo</w:t>
            </w:r>
          </w:p>
          <w:p w14:paraId="6AC71151" w14:textId="77777777" w:rsidR="00A43ECC" w:rsidRPr="00063056" w:rsidRDefault="00A43ECC" w:rsidP="00440318">
            <w:pPr>
              <w:jc w:val="both"/>
              <w:rPr>
                <w:rFonts w:ascii="Arial" w:hAnsi="Arial" w:cs="Arial"/>
                <w:color w:val="000000" w:themeColor="text1"/>
                <w:sz w:val="16"/>
                <w:szCs w:val="16"/>
                <w:highlight w:val="yellow"/>
                <w:lang w:val="es-ES_tradnl" w:eastAsia="es-ES"/>
              </w:rPr>
            </w:pPr>
            <w:r w:rsidRPr="00063056">
              <w:rPr>
                <w:rFonts w:ascii="Arial" w:hAnsi="Arial" w:cs="Arial"/>
                <w:color w:val="000000" w:themeColor="text1"/>
                <w:sz w:val="16"/>
                <w:szCs w:val="16"/>
                <w:lang w:val="es-ES_tradnl" w:eastAsia="es-ES"/>
              </w:rPr>
              <w:t xml:space="preserve">Contratista de la de la Subdirección de Gestión Contractual  </w:t>
            </w:r>
          </w:p>
        </w:tc>
      </w:tr>
      <w:tr w:rsidR="00A43ECC" w:rsidRPr="00063056" w14:paraId="4888A291" w14:textId="77777777" w:rsidTr="00440318">
        <w:trPr>
          <w:trHeight w:val="300"/>
        </w:trPr>
        <w:tc>
          <w:tcPr>
            <w:tcW w:w="812" w:type="dxa"/>
            <w:vAlign w:val="center"/>
            <w:hideMark/>
          </w:tcPr>
          <w:p w14:paraId="26589B74" w14:textId="77777777" w:rsidR="00A43ECC" w:rsidRPr="00063056" w:rsidRDefault="00A43ECC" w:rsidP="00440318">
            <w:pPr>
              <w:jc w:val="both"/>
              <w:rPr>
                <w:rFonts w:ascii="Arial" w:hAnsi="Arial" w:cs="Arial"/>
                <w:color w:val="000000" w:themeColor="text1"/>
                <w:sz w:val="16"/>
                <w:szCs w:val="16"/>
                <w:lang w:val="es-ES_tradnl" w:eastAsia="es-ES"/>
              </w:rPr>
            </w:pPr>
            <w:r w:rsidRPr="00063056">
              <w:rPr>
                <w:rFonts w:ascii="Arial" w:hAnsi="Arial" w:cs="Arial"/>
                <w:color w:val="000000" w:themeColor="text1"/>
                <w:sz w:val="16"/>
                <w:szCs w:val="16"/>
                <w:lang w:val="es-ES_tradnl" w:eastAsia="es-ES"/>
              </w:rPr>
              <w:t>Aprobó: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30507ACC" w14:textId="77777777" w:rsidR="00A43ECC" w:rsidRPr="00063056" w:rsidRDefault="00A43ECC" w:rsidP="00440318">
            <w:pPr>
              <w:rPr>
                <w:rFonts w:ascii="Arial" w:eastAsia="Calibri" w:hAnsi="Arial" w:cs="Arial"/>
                <w:sz w:val="16"/>
                <w:szCs w:val="16"/>
                <w:lang w:val="pt-BR" w:eastAsia="es-ES"/>
              </w:rPr>
            </w:pPr>
            <w:r w:rsidRPr="00063056">
              <w:rPr>
                <w:rFonts w:ascii="Arial" w:eastAsia="Calibri" w:hAnsi="Arial" w:cs="Arial"/>
                <w:sz w:val="16"/>
                <w:szCs w:val="16"/>
                <w:lang w:val="pt-BR" w:eastAsia="es-ES"/>
              </w:rPr>
              <w:t>Juan David Marín López</w:t>
            </w:r>
          </w:p>
          <w:p w14:paraId="1A83ACCB" w14:textId="77777777" w:rsidR="00A43ECC" w:rsidRPr="00063056" w:rsidRDefault="00A43ECC" w:rsidP="00440318">
            <w:pPr>
              <w:jc w:val="both"/>
              <w:rPr>
                <w:rFonts w:ascii="Arial" w:hAnsi="Arial" w:cs="Arial"/>
                <w:color w:val="000000" w:themeColor="text1"/>
                <w:sz w:val="16"/>
                <w:szCs w:val="16"/>
                <w:lang w:val="es-ES_tradnl" w:eastAsia="es-ES"/>
              </w:rPr>
            </w:pPr>
            <w:r w:rsidRPr="00063056">
              <w:rPr>
                <w:rFonts w:ascii="Arial" w:eastAsia="Calibri" w:hAnsi="Arial" w:cs="Arial"/>
                <w:sz w:val="16"/>
                <w:szCs w:val="16"/>
                <w:lang w:eastAsia="es-ES"/>
              </w:rPr>
              <w:t xml:space="preserve">Subdirector de Gestión Contractual </w:t>
            </w:r>
            <w:r w:rsidRPr="00063056">
              <w:rPr>
                <w:rFonts w:ascii="Arial" w:eastAsia="Calibri" w:hAnsi="Arial" w:cs="Arial"/>
                <w:sz w:val="16"/>
                <w:szCs w:val="16"/>
                <w:lang w:val="pt-BR" w:eastAsia="es-ES"/>
              </w:rPr>
              <w:t>(E)</w:t>
            </w:r>
          </w:p>
        </w:tc>
      </w:tr>
      <w:bookmarkEnd w:id="2"/>
      <w:bookmarkEnd w:id="3"/>
      <w:bookmarkEnd w:id="4"/>
    </w:tbl>
    <w:p w14:paraId="0F293BF4" w14:textId="0F6FB6C1" w:rsidR="00127233" w:rsidRPr="007778FE" w:rsidRDefault="00127233" w:rsidP="005505BE"/>
    <w:sectPr w:rsidR="00127233" w:rsidRPr="007778F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4034" w14:textId="77777777" w:rsidR="0051687E" w:rsidRDefault="0051687E" w:rsidP="004A1847">
      <w:r>
        <w:separator/>
      </w:r>
    </w:p>
  </w:endnote>
  <w:endnote w:type="continuationSeparator" w:id="0">
    <w:p w14:paraId="5F4122DE" w14:textId="77777777" w:rsidR="0051687E" w:rsidRDefault="0051687E" w:rsidP="004A1847">
      <w:r>
        <w:continuationSeparator/>
      </w:r>
    </w:p>
  </w:endnote>
  <w:endnote w:type="continuationNotice" w:id="1">
    <w:p w14:paraId="126F7B21" w14:textId="77777777" w:rsidR="0051687E" w:rsidRDefault="00516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DE09" w14:textId="77777777" w:rsidR="0051687E" w:rsidRDefault="0051687E" w:rsidP="004A1847">
      <w:r>
        <w:separator/>
      </w:r>
    </w:p>
  </w:footnote>
  <w:footnote w:type="continuationSeparator" w:id="0">
    <w:p w14:paraId="38E047FB" w14:textId="77777777" w:rsidR="0051687E" w:rsidRDefault="0051687E" w:rsidP="004A1847">
      <w:r>
        <w:continuationSeparator/>
      </w:r>
    </w:p>
  </w:footnote>
  <w:footnote w:type="continuationNotice" w:id="1">
    <w:p w14:paraId="2D7BE9C7" w14:textId="77777777" w:rsidR="0051687E" w:rsidRDefault="0051687E"/>
  </w:footnote>
  <w:footnote w:id="2">
    <w:p w14:paraId="06B5219C" w14:textId="77777777" w:rsidR="00A43ECC" w:rsidRPr="009F677F" w:rsidRDefault="00A43ECC" w:rsidP="00A43ECC">
      <w:pPr>
        <w:pStyle w:val="Textonotapie"/>
        <w:ind w:firstLine="708"/>
        <w:jc w:val="both"/>
        <w:rPr>
          <w:rFonts w:ascii="Arial" w:hAnsi="Arial" w:cs="Arial"/>
          <w:color w:val="000000" w:themeColor="text1"/>
          <w:sz w:val="19"/>
          <w:szCs w:val="19"/>
          <w:lang w:val="es-ES"/>
        </w:rPr>
      </w:pPr>
      <w:r w:rsidRPr="009F677F">
        <w:rPr>
          <w:rStyle w:val="Refdenotaalpie"/>
          <w:rFonts w:ascii="Arial" w:hAnsi="Arial" w:cs="Arial"/>
          <w:color w:val="000000" w:themeColor="text1"/>
          <w:sz w:val="19"/>
          <w:szCs w:val="19"/>
        </w:rPr>
        <w:footnoteRef/>
      </w:r>
      <w:r w:rsidRPr="009F677F">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F677F">
        <w:rPr>
          <w:rFonts w:ascii="Arial" w:hAnsi="Arial" w:cs="Arial"/>
          <w:i/>
          <w:iCs/>
          <w:color w:val="000000" w:themeColor="text1"/>
          <w:sz w:val="19"/>
          <w:szCs w:val="19"/>
        </w:rPr>
        <w:t xml:space="preserve">ibidem </w:t>
      </w:r>
      <w:r w:rsidRPr="009F677F">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DD70FF2" w14:textId="77777777" w:rsidR="00A43ECC" w:rsidRPr="009F677F" w:rsidRDefault="00A43ECC" w:rsidP="00A43ECC">
      <w:pPr>
        <w:pStyle w:val="Textonotapie"/>
        <w:ind w:firstLine="708"/>
        <w:jc w:val="both"/>
        <w:rPr>
          <w:rFonts w:ascii="Arial" w:hAnsi="Arial" w:cs="Arial"/>
          <w:sz w:val="19"/>
          <w:szCs w:val="19"/>
        </w:rPr>
      </w:pPr>
      <w:r w:rsidRPr="00227F7A">
        <w:rPr>
          <w:rStyle w:val="Refdenotaalpie"/>
          <w:rFonts w:ascii="Arial" w:hAnsi="Arial" w:cs="Arial"/>
          <w:sz w:val="19"/>
          <w:szCs w:val="19"/>
        </w:rPr>
        <w:footnoteRef/>
      </w:r>
      <w:r w:rsidRPr="00227F7A">
        <w:rPr>
          <w:rFonts w:ascii="Arial" w:hAnsi="Arial" w:cs="Arial"/>
          <w:sz w:val="19"/>
          <w:szCs w:val="19"/>
        </w:rPr>
        <w:t xml:space="preserve"> </w:t>
      </w:r>
      <w:r w:rsidRPr="009F677F">
        <w:rPr>
          <w:rFonts w:ascii="Arial" w:hAnsi="Arial" w:cs="Arial"/>
          <w:sz w:val="19"/>
          <w:szCs w:val="19"/>
        </w:rPr>
        <w:t xml:space="preserve">Estos conceptos pueden ser consultados en la relatoría de la Agencia Nacional de Contratación Públilca- Colombia Compra Eficiente en el siguiente enlace: </w:t>
      </w:r>
    </w:p>
    <w:p w14:paraId="6E8BB28B" w14:textId="77777777" w:rsidR="00A43ECC" w:rsidRPr="009F677F" w:rsidRDefault="00000000" w:rsidP="00A43ECC">
      <w:pPr>
        <w:pStyle w:val="Textonotapie"/>
        <w:jc w:val="both"/>
        <w:rPr>
          <w:rFonts w:ascii="Arial" w:hAnsi="Arial" w:cs="Arial"/>
          <w:color w:val="000000" w:themeColor="text1"/>
          <w:sz w:val="19"/>
          <w:szCs w:val="19"/>
          <w:lang w:val="es-ES"/>
        </w:rPr>
      </w:pPr>
      <w:hyperlink r:id="rId1" w:history="1">
        <w:r w:rsidR="00A43ECC" w:rsidRPr="009F677F">
          <w:rPr>
            <w:rStyle w:val="Hipervnculo"/>
            <w:rFonts w:ascii="Arial" w:eastAsiaTheme="majorEastAsia" w:hAnsi="Arial" w:cs="Arial"/>
            <w:sz w:val="19"/>
            <w:szCs w:val="19"/>
          </w:rPr>
          <w:t>http://relatoria.colombiacompra.gov.co/busqueda/conceptos</w:t>
        </w:r>
      </w:hyperlink>
    </w:p>
    <w:p w14:paraId="004D739D" w14:textId="77777777" w:rsidR="00A43ECC" w:rsidRPr="00227F7A" w:rsidRDefault="00A43ECC" w:rsidP="00A43ECC">
      <w:pPr>
        <w:pStyle w:val="Textonotapie"/>
        <w:jc w:val="both"/>
        <w:rPr>
          <w:rFonts w:ascii="Arial" w:hAnsi="Arial" w:cs="Arial"/>
          <w:sz w:val="19"/>
          <w:szCs w:val="19"/>
        </w:rPr>
      </w:pPr>
      <w:r w:rsidRPr="00227F7A">
        <w:rPr>
          <w:rFonts w:ascii="Arial" w:hAnsi="Arial" w:cs="Arial"/>
          <w:sz w:val="19"/>
          <w:szCs w:val="19"/>
        </w:rPr>
        <w:t xml:space="preserve"> </w:t>
      </w:r>
    </w:p>
  </w:footnote>
  <w:footnote w:id="4">
    <w:p w14:paraId="3658FDEA" w14:textId="77777777" w:rsidR="00A43ECC" w:rsidRPr="009F677F" w:rsidRDefault="00A43ECC" w:rsidP="00A43ECC">
      <w:pPr>
        <w:pStyle w:val="Textonotapie"/>
        <w:ind w:firstLine="709"/>
        <w:jc w:val="both"/>
        <w:rPr>
          <w:rFonts w:ascii="Arial" w:hAnsi="Arial" w:cs="Arial"/>
          <w:color w:val="000000" w:themeColor="text1"/>
          <w:sz w:val="19"/>
          <w:szCs w:val="19"/>
        </w:rPr>
      </w:pPr>
      <w:r w:rsidRPr="009F677F">
        <w:rPr>
          <w:rStyle w:val="Refdenotaalpie"/>
          <w:rFonts w:ascii="Arial" w:hAnsi="Arial" w:cs="Arial"/>
          <w:color w:val="000000" w:themeColor="text1"/>
          <w:sz w:val="19"/>
          <w:szCs w:val="19"/>
        </w:rPr>
        <w:footnoteRef/>
      </w:r>
      <w:r w:rsidRPr="009F677F">
        <w:rPr>
          <w:rFonts w:ascii="Arial" w:hAnsi="Arial" w:cs="Arial"/>
          <w:color w:val="000000" w:themeColor="text1"/>
          <w:sz w:val="19"/>
          <w:szCs w:val="19"/>
        </w:rPr>
        <w:t xml:space="preserve"> En los términos del artículo 665 del Código Civil: «Derecho real es el que tenemos sobre una cosa sin especto a determinada persona.</w:t>
      </w:r>
    </w:p>
    <w:p w14:paraId="0F11D679" w14:textId="77777777" w:rsidR="00A43ECC" w:rsidRPr="009F677F" w:rsidRDefault="00A43ECC" w:rsidP="00A43ECC">
      <w:pPr>
        <w:pStyle w:val="Textonotapie"/>
        <w:ind w:firstLine="709"/>
        <w:jc w:val="both"/>
        <w:rPr>
          <w:rFonts w:ascii="Arial" w:hAnsi="Arial" w:cs="Arial"/>
          <w:color w:val="000000" w:themeColor="text1"/>
          <w:sz w:val="19"/>
          <w:szCs w:val="19"/>
        </w:rPr>
      </w:pPr>
      <w:r w:rsidRPr="009F677F">
        <w:rPr>
          <w:rFonts w:ascii="Arial" w:hAnsi="Arial" w:cs="Arial"/>
          <w:color w:val="000000" w:themeColor="text1"/>
          <w:sz w:val="19"/>
          <w:szCs w:val="19"/>
        </w:rPr>
        <w:t>»Son derechos reales el de dominio, el de herencia, los de usufructo, uso o habitación, los de servidumbres activas, el de prenda y el de hipoteca. De estos derechos nacen las acciones reales».</w:t>
      </w:r>
    </w:p>
    <w:p w14:paraId="3A5DA75D" w14:textId="77777777" w:rsidR="00A43ECC" w:rsidRPr="009F677F" w:rsidRDefault="00A43ECC" w:rsidP="00A43ECC">
      <w:pPr>
        <w:pStyle w:val="Textonotapie"/>
        <w:ind w:firstLine="709"/>
        <w:jc w:val="both"/>
        <w:rPr>
          <w:rFonts w:ascii="Arial" w:hAnsi="Arial" w:cs="Arial"/>
          <w:color w:val="000000" w:themeColor="text1"/>
          <w:sz w:val="19"/>
          <w:szCs w:val="19"/>
        </w:rPr>
      </w:pPr>
    </w:p>
  </w:footnote>
  <w:footnote w:id="5">
    <w:p w14:paraId="35EA7899" w14:textId="77777777" w:rsidR="00A43ECC" w:rsidRPr="009F677F" w:rsidRDefault="00A43ECC" w:rsidP="00A43ECC">
      <w:pPr>
        <w:pStyle w:val="Textonotapie"/>
        <w:ind w:firstLine="709"/>
        <w:jc w:val="both"/>
        <w:rPr>
          <w:rFonts w:ascii="Arial" w:hAnsi="Arial" w:cs="Arial"/>
          <w:color w:val="000000" w:themeColor="text1"/>
          <w:sz w:val="19"/>
          <w:szCs w:val="19"/>
        </w:rPr>
      </w:pPr>
      <w:r w:rsidRPr="009F677F">
        <w:rPr>
          <w:rStyle w:val="Refdenotaalpie"/>
          <w:rFonts w:ascii="Arial" w:hAnsi="Arial" w:cs="Arial"/>
          <w:color w:val="000000" w:themeColor="text1"/>
          <w:sz w:val="19"/>
          <w:szCs w:val="19"/>
        </w:rPr>
        <w:footnoteRef/>
      </w:r>
      <w:r w:rsidRPr="009F677F">
        <w:rPr>
          <w:rFonts w:ascii="Arial" w:hAnsi="Arial" w:cs="Arial"/>
          <w:color w:val="000000" w:themeColor="text1"/>
          <w:sz w:val="19"/>
          <w:szCs w:val="19"/>
        </w:rPr>
        <w:t xml:space="preserve"> Según el Diccionario del español jurídico, enajenar es «Disponer de un bien o derecho transmitiendo su titularidad». En sitio web: https://dej.rae.es/lema/enajenar. Por su parte, la jurisprudencia ha definido la enajenación del siguiente modo: «En términos jurídicos "enajenación" significa "La transmisión de la propiedad de una cosa, a cambio de otra (como en la compraventa y en la permuta) o gratuitamente (como en la donación y el préstamo sin interés).</w:t>
      </w:r>
    </w:p>
    <w:p w14:paraId="7F2148F0" w14:textId="77777777" w:rsidR="00A43ECC" w:rsidRPr="009F677F" w:rsidRDefault="00A43ECC" w:rsidP="00A43ECC">
      <w:pPr>
        <w:ind w:firstLine="709"/>
        <w:jc w:val="both"/>
        <w:rPr>
          <w:rFonts w:ascii="Arial" w:hAnsi="Arial" w:cs="Arial"/>
          <w:color w:val="000000" w:themeColor="text1"/>
          <w:sz w:val="19"/>
          <w:szCs w:val="19"/>
        </w:rPr>
      </w:pPr>
      <w:r w:rsidRPr="009F677F">
        <w:rPr>
          <w:rFonts w:ascii="Arial" w:hAnsi="Arial" w:cs="Arial"/>
          <w:color w:val="000000" w:themeColor="text1"/>
          <w:sz w:val="19"/>
          <w:szCs w:val="19"/>
        </w:rPr>
        <w:t>»Igualmente, para la doctrina la palabra enajenación en su sentido natural indica la transmisión de cualquier derecho patrimonial de una cabeza a otra, por lo que constituye una adquisición derivada por acto entre vivos del contenido total o parcial de un derecho» (Consejo de Estado. Sección Cuarta. Sentencia del 6 de febrero de 2006. Consejera Ponente: María Inés Ortiz Barbosa. Expediente: 14.123).</w:t>
      </w:r>
    </w:p>
    <w:p w14:paraId="3AF82AB4" w14:textId="77777777" w:rsidR="00A43ECC" w:rsidRPr="009F677F" w:rsidRDefault="00A43ECC" w:rsidP="00A43ECC">
      <w:pPr>
        <w:ind w:firstLine="709"/>
        <w:jc w:val="both"/>
        <w:rPr>
          <w:rFonts w:ascii="Arial" w:hAnsi="Arial" w:cs="Arial"/>
          <w:color w:val="000000" w:themeColor="text1"/>
          <w:sz w:val="19"/>
          <w:szCs w:val="19"/>
        </w:rPr>
      </w:pPr>
    </w:p>
  </w:footnote>
  <w:footnote w:id="6">
    <w:p w14:paraId="5D8B1D9F" w14:textId="77777777" w:rsidR="00A43ECC" w:rsidRPr="009F677F" w:rsidRDefault="00A43ECC" w:rsidP="00A43ECC">
      <w:pPr>
        <w:pStyle w:val="Textonotapie"/>
        <w:ind w:firstLine="709"/>
        <w:jc w:val="both"/>
        <w:rPr>
          <w:rFonts w:ascii="Arial" w:hAnsi="Arial" w:cs="Arial"/>
          <w:color w:val="000000" w:themeColor="text1"/>
          <w:sz w:val="19"/>
          <w:szCs w:val="19"/>
        </w:rPr>
      </w:pPr>
      <w:r w:rsidRPr="009F677F">
        <w:rPr>
          <w:rStyle w:val="Refdenotaalpie"/>
          <w:rFonts w:ascii="Arial" w:hAnsi="Arial" w:cs="Arial"/>
          <w:color w:val="000000" w:themeColor="text1"/>
          <w:sz w:val="19"/>
          <w:szCs w:val="19"/>
        </w:rPr>
        <w:footnoteRef/>
      </w:r>
      <w:r w:rsidRPr="009F677F">
        <w:rPr>
          <w:rFonts w:ascii="Arial" w:hAnsi="Arial" w:cs="Arial"/>
          <w:color w:val="000000" w:themeColor="text1"/>
          <w:sz w:val="19"/>
          <w:szCs w:val="19"/>
        </w:rPr>
        <w:t xml:space="preserve"> VELÁSQUEZ, Hernán Darío. Estudio sobre obligaciones. Bogotá: Temis, 2010. p. 10.</w:t>
      </w:r>
    </w:p>
    <w:p w14:paraId="3CFC3B9F" w14:textId="77777777" w:rsidR="00A43ECC" w:rsidRPr="009F677F" w:rsidRDefault="00A43ECC" w:rsidP="00A43ECC">
      <w:pPr>
        <w:pStyle w:val="Textonotapie"/>
        <w:ind w:firstLine="709"/>
        <w:jc w:val="both"/>
        <w:rPr>
          <w:rFonts w:ascii="Arial" w:hAnsi="Arial" w:cs="Arial"/>
          <w:color w:val="000000" w:themeColor="text1"/>
          <w:sz w:val="19"/>
          <w:szCs w:val="19"/>
        </w:rPr>
      </w:pPr>
    </w:p>
  </w:footnote>
  <w:footnote w:id="7">
    <w:p w14:paraId="33881AF4" w14:textId="77777777" w:rsidR="00A43ECC" w:rsidRPr="009F677F" w:rsidRDefault="00A43ECC" w:rsidP="00A43ECC">
      <w:pPr>
        <w:pStyle w:val="Textonotapie"/>
        <w:ind w:firstLine="709"/>
        <w:jc w:val="both"/>
        <w:rPr>
          <w:rFonts w:ascii="Arial" w:hAnsi="Arial" w:cs="Arial"/>
          <w:color w:val="000000" w:themeColor="text1"/>
          <w:sz w:val="19"/>
          <w:szCs w:val="19"/>
        </w:rPr>
      </w:pPr>
      <w:r w:rsidRPr="009F677F">
        <w:rPr>
          <w:rStyle w:val="Refdenotaalpie"/>
          <w:rFonts w:ascii="Arial" w:hAnsi="Arial" w:cs="Arial"/>
          <w:color w:val="000000" w:themeColor="text1"/>
          <w:sz w:val="19"/>
          <w:szCs w:val="19"/>
        </w:rPr>
        <w:footnoteRef/>
      </w:r>
      <w:r w:rsidRPr="009F677F">
        <w:rPr>
          <w:rFonts w:ascii="Arial" w:hAnsi="Arial" w:cs="Arial"/>
          <w:color w:val="000000" w:themeColor="text1"/>
          <w:sz w:val="19"/>
          <w:szCs w:val="19"/>
        </w:rPr>
        <w:t xml:space="preserve"> Así, para Dávila, «enajenar es comprensivo de un acto traslaticio de dominio» (DÁVILA, Op.cit., p. 475).</w:t>
      </w:r>
    </w:p>
    <w:p w14:paraId="077ED477" w14:textId="77777777" w:rsidR="00A43ECC" w:rsidRPr="009F677F" w:rsidRDefault="00A43ECC" w:rsidP="00A43ECC">
      <w:pPr>
        <w:pStyle w:val="Textonotapie"/>
        <w:ind w:firstLine="709"/>
        <w:jc w:val="both"/>
        <w:rPr>
          <w:rFonts w:ascii="Arial" w:hAnsi="Arial" w:cs="Arial"/>
          <w:color w:val="000000" w:themeColor="text1"/>
          <w:sz w:val="19"/>
          <w:szCs w:val="19"/>
        </w:rPr>
      </w:pPr>
    </w:p>
  </w:footnote>
  <w:footnote w:id="8">
    <w:p w14:paraId="27A99A32" w14:textId="77777777" w:rsidR="00A43ECC" w:rsidRPr="009F677F" w:rsidRDefault="00A43ECC" w:rsidP="00A43ECC">
      <w:pPr>
        <w:pStyle w:val="Textonotapie"/>
        <w:ind w:firstLine="709"/>
        <w:jc w:val="both"/>
        <w:rPr>
          <w:rFonts w:ascii="Arial" w:hAnsi="Arial" w:cs="Arial"/>
          <w:color w:val="000000" w:themeColor="text1"/>
          <w:sz w:val="19"/>
          <w:szCs w:val="19"/>
        </w:rPr>
      </w:pPr>
      <w:r w:rsidRPr="009F677F">
        <w:rPr>
          <w:rStyle w:val="Refdenotaalpie"/>
          <w:rFonts w:ascii="Arial" w:hAnsi="Arial" w:cs="Arial"/>
          <w:color w:val="000000" w:themeColor="text1"/>
          <w:sz w:val="19"/>
          <w:szCs w:val="19"/>
        </w:rPr>
        <w:footnoteRef/>
      </w:r>
      <w:r w:rsidRPr="009F677F">
        <w:rPr>
          <w:rFonts w:ascii="Arial" w:hAnsi="Arial" w:cs="Arial"/>
          <w:color w:val="000000" w:themeColor="text1"/>
          <w:sz w:val="19"/>
          <w:szCs w:val="19"/>
        </w:rPr>
        <w:t xml:space="preserve"> « Los modos de adquirir el dominio son la ocupación, la accesión, la tradición, la sucesión por causa de muerte y la prescripción».</w:t>
      </w:r>
    </w:p>
    <w:p w14:paraId="308D3626" w14:textId="77777777" w:rsidR="00A43ECC" w:rsidRPr="009F677F" w:rsidRDefault="00A43ECC" w:rsidP="00A43ECC">
      <w:pPr>
        <w:pStyle w:val="Textonotapie"/>
        <w:ind w:firstLine="709"/>
        <w:jc w:val="both"/>
        <w:rPr>
          <w:rFonts w:ascii="Arial" w:hAnsi="Arial" w:cs="Arial"/>
          <w:color w:val="000000" w:themeColor="text1"/>
          <w:sz w:val="19"/>
          <w:szCs w:val="19"/>
        </w:rPr>
      </w:pPr>
    </w:p>
  </w:footnote>
  <w:footnote w:id="9">
    <w:p w14:paraId="34631C4F" w14:textId="77777777" w:rsidR="00A43ECC" w:rsidRPr="009F677F" w:rsidRDefault="00A43ECC" w:rsidP="00A43ECC">
      <w:pPr>
        <w:ind w:firstLine="709"/>
        <w:jc w:val="both"/>
        <w:rPr>
          <w:rFonts w:ascii="Arial" w:hAnsi="Arial" w:cs="Arial"/>
          <w:color w:val="000000" w:themeColor="text1"/>
          <w:sz w:val="19"/>
          <w:szCs w:val="19"/>
          <w:lang w:val="es-ES"/>
        </w:rPr>
      </w:pPr>
      <w:r w:rsidRPr="009F677F">
        <w:rPr>
          <w:rStyle w:val="Refdenotaalpie"/>
          <w:rFonts w:ascii="Arial" w:hAnsi="Arial" w:cs="Arial"/>
          <w:color w:val="000000" w:themeColor="text1"/>
          <w:sz w:val="19"/>
          <w:szCs w:val="19"/>
        </w:rPr>
        <w:footnoteRef/>
      </w:r>
      <w:r w:rsidRPr="009F677F">
        <w:rPr>
          <w:rFonts w:ascii="Arial" w:hAnsi="Arial" w:cs="Arial"/>
          <w:color w:val="000000" w:themeColor="text1"/>
          <w:sz w:val="19"/>
          <w:szCs w:val="19"/>
        </w:rPr>
        <w:t xml:space="preserve"> </w:t>
      </w:r>
      <w:r w:rsidRPr="009F677F">
        <w:rPr>
          <w:rFonts w:ascii="Arial" w:hAnsi="Arial" w:cs="Arial"/>
          <w:color w:val="000000" w:themeColor="text1"/>
          <w:sz w:val="19"/>
          <w:szCs w:val="19"/>
          <w:lang w:val="es-ES"/>
        </w:rPr>
        <w:t>Según el artículo 749 del Código Civil «Si la ley exige solemnidades especiales para la enajenación, no se transfiere el dominio sin ellas».</w:t>
      </w:r>
    </w:p>
    <w:p w14:paraId="5941C7A2" w14:textId="77777777" w:rsidR="00A43ECC" w:rsidRPr="009F677F" w:rsidRDefault="00A43ECC" w:rsidP="00A43ECC">
      <w:pPr>
        <w:ind w:firstLine="709"/>
        <w:jc w:val="both"/>
        <w:rPr>
          <w:rFonts w:ascii="Arial" w:hAnsi="Arial" w:cs="Arial"/>
          <w:color w:val="000000" w:themeColor="text1"/>
          <w:sz w:val="19"/>
          <w:szCs w:val="19"/>
          <w:lang w:val="es-ES"/>
        </w:rPr>
      </w:pPr>
    </w:p>
  </w:footnote>
  <w:footnote w:id="10">
    <w:p w14:paraId="4B946FE3" w14:textId="77777777" w:rsidR="00A43ECC" w:rsidRPr="009F677F" w:rsidRDefault="00A43ECC" w:rsidP="00A43ECC">
      <w:pPr>
        <w:pStyle w:val="Textonotapie"/>
        <w:ind w:firstLine="708"/>
        <w:jc w:val="both"/>
        <w:rPr>
          <w:rFonts w:ascii="Arial" w:hAnsi="Arial" w:cs="Arial"/>
          <w:sz w:val="19"/>
          <w:szCs w:val="19"/>
          <w:lang w:val="es-ES"/>
        </w:rPr>
      </w:pPr>
      <w:r w:rsidRPr="009F677F">
        <w:rPr>
          <w:rStyle w:val="Refdenotaalpie"/>
          <w:rFonts w:ascii="Arial" w:hAnsi="Arial" w:cs="Arial"/>
          <w:sz w:val="19"/>
          <w:szCs w:val="19"/>
        </w:rPr>
        <w:footnoteRef/>
      </w:r>
      <w:r w:rsidRPr="009F677F">
        <w:rPr>
          <w:rFonts w:ascii="Arial" w:hAnsi="Arial" w:cs="Arial"/>
          <w:sz w:val="19"/>
          <w:szCs w:val="19"/>
        </w:rPr>
        <w:t xml:space="preserve"> Consejo de Estado, Sección Tercera, Sentencia del 25 de mayo de 2016. M.P. Hernán Andrade Rincón</w:t>
      </w:r>
      <w:r>
        <w:rPr>
          <w:rFonts w:ascii="Arial" w:hAnsi="Arial" w:cs="Arial"/>
          <w:sz w:val="19"/>
          <w:szCs w:val="19"/>
        </w:rPr>
        <w:t>.</w:t>
      </w:r>
    </w:p>
  </w:footnote>
  <w:footnote w:id="11">
    <w:p w14:paraId="18952FBC" w14:textId="77777777" w:rsidR="00A43ECC" w:rsidRPr="009F677F" w:rsidRDefault="00A43ECC" w:rsidP="00A43ECC">
      <w:pPr>
        <w:ind w:firstLine="708"/>
        <w:jc w:val="both"/>
        <w:rPr>
          <w:rFonts w:ascii="Arial" w:hAnsi="Arial" w:cs="Arial"/>
          <w:color w:val="000000" w:themeColor="text1"/>
          <w:sz w:val="19"/>
          <w:szCs w:val="19"/>
        </w:rPr>
      </w:pPr>
      <w:r w:rsidRPr="00227F7A">
        <w:rPr>
          <w:rStyle w:val="Refdenotaalpie"/>
          <w:rFonts w:ascii="Arial" w:hAnsi="Arial" w:cs="Arial"/>
          <w:sz w:val="19"/>
          <w:szCs w:val="19"/>
        </w:rPr>
        <w:footnoteRef/>
      </w:r>
      <w:r w:rsidRPr="00227F7A">
        <w:rPr>
          <w:rFonts w:ascii="Arial" w:hAnsi="Arial" w:cs="Arial"/>
          <w:sz w:val="19"/>
          <w:szCs w:val="19"/>
        </w:rPr>
        <w:t xml:space="preserve"> </w:t>
      </w:r>
      <w:r w:rsidRPr="009F677F">
        <w:rPr>
          <w:rFonts w:ascii="Arial" w:hAnsi="Arial" w:cs="Arial"/>
          <w:color w:val="000000" w:themeColor="text1"/>
          <w:sz w:val="19"/>
          <w:szCs w:val="19"/>
        </w:rPr>
        <w:t>Corte Constitucional. Sala Plena. M.P. Alfredo Beltrán Sierra. Sentencia C-183 de 2003. Expediente D-4244.</w:t>
      </w:r>
    </w:p>
    <w:p w14:paraId="2E54F1BA" w14:textId="77777777" w:rsidR="00A43ECC" w:rsidRPr="00227F7A" w:rsidRDefault="00A43ECC" w:rsidP="00A43ECC">
      <w:pPr>
        <w:pStyle w:val="Textonotapie"/>
        <w:jc w:val="both"/>
        <w:rPr>
          <w:rFonts w:ascii="Arial" w:hAnsi="Arial" w:cs="Arial"/>
          <w:sz w:val="19"/>
          <w:szCs w:val="19"/>
          <w:lang w:val="es-ES"/>
        </w:rPr>
      </w:pPr>
    </w:p>
  </w:footnote>
  <w:footnote w:id="12">
    <w:p w14:paraId="0BCA296A" w14:textId="77777777" w:rsidR="00A43ECC" w:rsidRPr="00227F7A" w:rsidRDefault="00A43ECC" w:rsidP="00A43ECC">
      <w:pPr>
        <w:pStyle w:val="Textonotapie"/>
        <w:jc w:val="both"/>
        <w:rPr>
          <w:rFonts w:ascii="Arial" w:hAnsi="Arial" w:cs="Arial"/>
          <w:sz w:val="19"/>
          <w:szCs w:val="19"/>
          <w:lang w:val="es-ES"/>
        </w:rPr>
      </w:pPr>
      <w:r w:rsidRPr="00227F7A">
        <w:rPr>
          <w:rStyle w:val="Refdenotaalpie"/>
          <w:rFonts w:ascii="Arial" w:hAnsi="Arial" w:cs="Arial"/>
          <w:sz w:val="19"/>
          <w:szCs w:val="19"/>
        </w:rPr>
        <w:footnoteRef/>
      </w:r>
      <w:r w:rsidRPr="00227F7A">
        <w:rPr>
          <w:rFonts w:ascii="Arial" w:hAnsi="Arial" w:cs="Arial"/>
          <w:sz w:val="19"/>
          <w:szCs w:val="19"/>
        </w:rPr>
        <w:t xml:space="preserve"> </w:t>
      </w:r>
      <w:r w:rsidRPr="00227F7A">
        <w:rPr>
          <w:rFonts w:ascii="Arial" w:hAnsi="Arial" w:cs="Arial"/>
          <w:sz w:val="19"/>
          <w:szCs w:val="19"/>
          <w:lang w:val="es-ES"/>
        </w:rPr>
        <w:t>Ibídem</w:t>
      </w:r>
    </w:p>
  </w:footnote>
  <w:footnote w:id="13">
    <w:p w14:paraId="65A38DDD" w14:textId="77777777" w:rsidR="00A43ECC" w:rsidRPr="009F677F" w:rsidRDefault="00A43ECC" w:rsidP="00A43ECC">
      <w:pPr>
        <w:pStyle w:val="Textonotapie"/>
        <w:jc w:val="both"/>
        <w:rPr>
          <w:rFonts w:ascii="Arial" w:hAnsi="Arial" w:cs="Arial"/>
          <w:color w:val="000000" w:themeColor="text1"/>
          <w:sz w:val="19"/>
          <w:szCs w:val="19"/>
        </w:rPr>
      </w:pPr>
    </w:p>
    <w:p w14:paraId="4E8646A1" w14:textId="77777777" w:rsidR="00A43ECC" w:rsidRPr="009F677F" w:rsidRDefault="00A43ECC" w:rsidP="00A43ECC">
      <w:pPr>
        <w:pStyle w:val="Textonotapie"/>
        <w:ind w:firstLine="708"/>
        <w:jc w:val="both"/>
        <w:rPr>
          <w:rFonts w:ascii="Arial" w:hAnsi="Arial" w:cs="Arial"/>
          <w:color w:val="000000" w:themeColor="text1"/>
          <w:sz w:val="19"/>
          <w:szCs w:val="19"/>
        </w:rPr>
      </w:pPr>
      <w:r w:rsidRPr="009F677F">
        <w:rPr>
          <w:rStyle w:val="Refdenotaalpie"/>
          <w:rFonts w:ascii="Arial" w:hAnsi="Arial" w:cs="Arial"/>
          <w:color w:val="000000" w:themeColor="text1"/>
          <w:sz w:val="19"/>
          <w:szCs w:val="19"/>
        </w:rPr>
        <w:footnoteRef/>
      </w:r>
      <w:r w:rsidRPr="009F677F">
        <w:rPr>
          <w:rFonts w:ascii="Arial" w:hAnsi="Arial" w:cs="Arial"/>
          <w:color w:val="000000" w:themeColor="text1"/>
          <w:sz w:val="19"/>
          <w:szCs w:val="19"/>
        </w:rPr>
        <w:t xml:space="preserve"> Consejo de Estado. Sala de lo Contencioso Administrativo. Sección Tercera. Sentencia del 30 de abril de 2012. Expediente 21.699. C.P. Ruth Stella Correa Palacio. </w:t>
      </w:r>
    </w:p>
  </w:footnote>
  <w:footnote w:id="14">
    <w:p w14:paraId="1050652F" w14:textId="77777777" w:rsidR="00A43ECC" w:rsidRPr="009F677F" w:rsidRDefault="00A43ECC" w:rsidP="00A43ECC">
      <w:pPr>
        <w:ind w:firstLine="708"/>
        <w:jc w:val="both"/>
        <w:rPr>
          <w:rFonts w:ascii="Arial" w:hAnsi="Arial" w:cs="Arial"/>
          <w:color w:val="000000" w:themeColor="text1"/>
          <w:sz w:val="19"/>
          <w:szCs w:val="19"/>
        </w:rPr>
      </w:pPr>
    </w:p>
    <w:p w14:paraId="7746759E" w14:textId="77777777" w:rsidR="00A43ECC" w:rsidRPr="009F677F" w:rsidRDefault="00A43ECC" w:rsidP="00A43ECC">
      <w:pPr>
        <w:ind w:firstLine="708"/>
        <w:jc w:val="both"/>
        <w:rPr>
          <w:rFonts w:ascii="Arial" w:hAnsi="Arial" w:cs="Arial"/>
          <w:color w:val="000000" w:themeColor="text1"/>
          <w:sz w:val="19"/>
          <w:szCs w:val="19"/>
        </w:rPr>
      </w:pPr>
      <w:r w:rsidRPr="009F677F">
        <w:rPr>
          <w:rStyle w:val="Refdenotaalpie"/>
          <w:rFonts w:ascii="Arial" w:hAnsi="Arial" w:cs="Arial"/>
          <w:color w:val="000000" w:themeColor="text1"/>
          <w:sz w:val="19"/>
          <w:szCs w:val="19"/>
        </w:rPr>
        <w:footnoteRef/>
      </w:r>
      <w:r w:rsidRPr="009F677F">
        <w:rPr>
          <w:rFonts w:ascii="Arial" w:hAnsi="Arial" w:cs="Arial"/>
          <w:color w:val="000000" w:themeColor="text1"/>
          <w:sz w:val="19"/>
          <w:szCs w:val="19"/>
        </w:rPr>
        <w:t xml:space="preserve"> Consejo de Estado.  Sala de lo Contencioso Administrativo. Sección Tercera. Sentencia del 19 de julio de 2018, Expediente 36.711. C.P. Carlos Alberto Zambrano Barrera.</w:t>
      </w:r>
    </w:p>
  </w:footnote>
  <w:footnote w:id="15">
    <w:p w14:paraId="651B1B6B" w14:textId="77777777" w:rsidR="00A43ECC" w:rsidRPr="009F677F" w:rsidRDefault="00A43ECC" w:rsidP="00A43ECC">
      <w:pPr>
        <w:ind w:firstLine="708"/>
        <w:jc w:val="both"/>
        <w:rPr>
          <w:rFonts w:ascii="Arial" w:hAnsi="Arial" w:cs="Arial"/>
          <w:color w:val="000000" w:themeColor="text1"/>
          <w:sz w:val="19"/>
          <w:szCs w:val="19"/>
        </w:rPr>
      </w:pPr>
    </w:p>
    <w:p w14:paraId="5BF7BCCC" w14:textId="77777777" w:rsidR="00A43ECC" w:rsidRPr="009F677F" w:rsidRDefault="00A43ECC" w:rsidP="00A43ECC">
      <w:pPr>
        <w:ind w:firstLine="708"/>
        <w:jc w:val="both"/>
        <w:rPr>
          <w:rFonts w:ascii="Arial" w:hAnsi="Arial" w:cs="Arial"/>
          <w:color w:val="000000" w:themeColor="text1"/>
          <w:sz w:val="19"/>
          <w:szCs w:val="19"/>
        </w:rPr>
      </w:pPr>
      <w:r w:rsidRPr="009F677F">
        <w:rPr>
          <w:rStyle w:val="Refdenotaalpie"/>
          <w:rFonts w:ascii="Arial" w:hAnsi="Arial" w:cs="Arial"/>
          <w:color w:val="000000" w:themeColor="text1"/>
          <w:sz w:val="19"/>
          <w:szCs w:val="19"/>
        </w:rPr>
        <w:footnoteRef/>
      </w:r>
      <w:r w:rsidRPr="009F677F">
        <w:rPr>
          <w:rFonts w:ascii="Arial" w:hAnsi="Arial" w:cs="Arial"/>
          <w:color w:val="000000" w:themeColor="text1"/>
          <w:sz w:val="19"/>
          <w:szCs w:val="19"/>
        </w:rPr>
        <w:t xml:space="preserve"> Corte Constitucional. Sala Plena. M.P. Alfredo Beltrán Sierra. Sentencia C-183 de 2003. Expediente D-4244.</w:t>
      </w:r>
    </w:p>
    <w:p w14:paraId="4A12D1A6" w14:textId="77777777" w:rsidR="00A43ECC" w:rsidRPr="00227F7A" w:rsidRDefault="00A43ECC" w:rsidP="00A43ECC">
      <w:pPr>
        <w:ind w:firstLine="708"/>
        <w:jc w:val="both"/>
        <w:rPr>
          <w:rFonts w:ascii="Arial" w:hAnsi="Arial" w:cs="Arial"/>
          <w:sz w:val="19"/>
          <w:szCs w:val="19"/>
        </w:rPr>
      </w:pPr>
    </w:p>
  </w:footnote>
  <w:footnote w:id="16">
    <w:p w14:paraId="4F01AA97" w14:textId="77777777" w:rsidR="00A43ECC" w:rsidRPr="009F677F" w:rsidRDefault="00A43ECC" w:rsidP="00A43ECC">
      <w:pPr>
        <w:ind w:firstLine="707"/>
        <w:jc w:val="both"/>
        <w:rPr>
          <w:rFonts w:ascii="Arial" w:hAnsi="Arial" w:cs="Arial"/>
          <w:sz w:val="19"/>
          <w:szCs w:val="19"/>
        </w:rPr>
      </w:pPr>
      <w:r w:rsidRPr="009F677F">
        <w:rPr>
          <w:rStyle w:val="Refdenotaalpie"/>
          <w:rFonts w:ascii="Arial" w:hAnsi="Arial" w:cs="Arial"/>
          <w:sz w:val="19"/>
          <w:szCs w:val="19"/>
        </w:rPr>
        <w:footnoteRef/>
      </w:r>
      <w:r w:rsidRPr="009F677F">
        <w:rPr>
          <w:rFonts w:ascii="Arial" w:hAnsi="Arial" w:cs="Arial"/>
          <w:sz w:val="19"/>
          <w:szCs w:val="19"/>
        </w:rPr>
        <w:t xml:space="preserve"> Decreto 1082 de 2015: </w:t>
      </w:r>
      <w:r>
        <w:rPr>
          <w:rFonts w:ascii="Arial" w:hAnsi="Arial" w:cs="Arial"/>
          <w:sz w:val="19"/>
          <w:szCs w:val="19"/>
        </w:rPr>
        <w:t>«</w:t>
      </w:r>
      <w:r w:rsidRPr="009F677F">
        <w:rPr>
          <w:rFonts w:ascii="Arial" w:hAnsi="Arial" w:cs="Arial"/>
          <w:sz w:val="19"/>
          <w:szCs w:val="19"/>
        </w:rPr>
        <w:t>Artículo 2.2.1.2.2.1.1. Aplicación. La selección abreviada es la modalidad para la enajenación de bienes del Estado, la cual se rige por las disposiciones contenidas en el presente capítulo, salvo por las normas aplicables a la enajenación de los bienes a cargo del Fondo para la Rehabilitación, Inversión Social y Lucha contra el Crimen Organizado y la enajenación de que tratan la Ley 226 de 1995, el Decreto-Ley 254 de 2000 y la Ley 1105 de 2006</w:t>
      </w:r>
      <w:r>
        <w:rPr>
          <w:rFonts w:ascii="Arial" w:hAnsi="Arial" w:cs="Arial"/>
          <w:sz w:val="19"/>
          <w:szCs w:val="19"/>
        </w:rPr>
        <w:t>»</w:t>
      </w:r>
      <w:r w:rsidRPr="009F677F">
        <w:rPr>
          <w:rFonts w:ascii="Arial" w:hAnsi="Arial" w:cs="Arial"/>
          <w:sz w:val="19"/>
          <w:szCs w:val="19"/>
        </w:rPr>
        <w:t>.</w:t>
      </w:r>
    </w:p>
    <w:p w14:paraId="0DFA422B" w14:textId="77777777" w:rsidR="00A43ECC" w:rsidRPr="009F677F" w:rsidRDefault="00A43ECC" w:rsidP="00A43ECC">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F2983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19414B"/>
    <w:multiLevelType w:val="hybridMultilevel"/>
    <w:tmpl w:val="150A82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20740214">
    <w:abstractNumId w:val="4"/>
  </w:num>
  <w:num w:numId="5" w16cid:durableId="122356263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3B63"/>
    <w:rsid w:val="00083334"/>
    <w:rsid w:val="000956CF"/>
    <w:rsid w:val="000A683E"/>
    <w:rsid w:val="000B492F"/>
    <w:rsid w:val="0011595A"/>
    <w:rsid w:val="001220C5"/>
    <w:rsid w:val="001267F7"/>
    <w:rsid w:val="00127233"/>
    <w:rsid w:val="00130999"/>
    <w:rsid w:val="00164D81"/>
    <w:rsid w:val="00180DA2"/>
    <w:rsid w:val="001A1011"/>
    <w:rsid w:val="001A48D0"/>
    <w:rsid w:val="001B0E9B"/>
    <w:rsid w:val="002653C1"/>
    <w:rsid w:val="0026611D"/>
    <w:rsid w:val="002951A0"/>
    <w:rsid w:val="002A64FD"/>
    <w:rsid w:val="002B5C17"/>
    <w:rsid w:val="002F0839"/>
    <w:rsid w:val="00301469"/>
    <w:rsid w:val="00306EE1"/>
    <w:rsid w:val="00310B9B"/>
    <w:rsid w:val="0036461C"/>
    <w:rsid w:val="00367884"/>
    <w:rsid w:val="0039439C"/>
    <w:rsid w:val="003B69E7"/>
    <w:rsid w:val="003C013B"/>
    <w:rsid w:val="003D0F4D"/>
    <w:rsid w:val="003D47BD"/>
    <w:rsid w:val="003F58A1"/>
    <w:rsid w:val="00410DD6"/>
    <w:rsid w:val="004134C9"/>
    <w:rsid w:val="0043138C"/>
    <w:rsid w:val="00462A59"/>
    <w:rsid w:val="00477A28"/>
    <w:rsid w:val="004A1847"/>
    <w:rsid w:val="004B6B0E"/>
    <w:rsid w:val="004D25B3"/>
    <w:rsid w:val="004E0A06"/>
    <w:rsid w:val="00511405"/>
    <w:rsid w:val="0051687E"/>
    <w:rsid w:val="00526E9D"/>
    <w:rsid w:val="00547856"/>
    <w:rsid w:val="00547A74"/>
    <w:rsid w:val="005505BE"/>
    <w:rsid w:val="005566E8"/>
    <w:rsid w:val="005746AB"/>
    <w:rsid w:val="0059357F"/>
    <w:rsid w:val="005A1130"/>
    <w:rsid w:val="005D0305"/>
    <w:rsid w:val="005D65C8"/>
    <w:rsid w:val="006219F8"/>
    <w:rsid w:val="006568FC"/>
    <w:rsid w:val="00681FDB"/>
    <w:rsid w:val="006A51F9"/>
    <w:rsid w:val="006A7DAD"/>
    <w:rsid w:val="006D70BA"/>
    <w:rsid w:val="006F3884"/>
    <w:rsid w:val="007566FE"/>
    <w:rsid w:val="0076726F"/>
    <w:rsid w:val="0077144B"/>
    <w:rsid w:val="007778FE"/>
    <w:rsid w:val="00793403"/>
    <w:rsid w:val="007C0CDF"/>
    <w:rsid w:val="007E2A2F"/>
    <w:rsid w:val="007F2B7C"/>
    <w:rsid w:val="007F657F"/>
    <w:rsid w:val="00811651"/>
    <w:rsid w:val="00820F5B"/>
    <w:rsid w:val="00833452"/>
    <w:rsid w:val="00846613"/>
    <w:rsid w:val="008614E5"/>
    <w:rsid w:val="008678EB"/>
    <w:rsid w:val="00871A09"/>
    <w:rsid w:val="00875894"/>
    <w:rsid w:val="00881C10"/>
    <w:rsid w:val="00890411"/>
    <w:rsid w:val="008C2C1A"/>
    <w:rsid w:val="008D5C70"/>
    <w:rsid w:val="009025AF"/>
    <w:rsid w:val="00904F23"/>
    <w:rsid w:val="00906B3C"/>
    <w:rsid w:val="0095342C"/>
    <w:rsid w:val="009F33F2"/>
    <w:rsid w:val="009F6C77"/>
    <w:rsid w:val="00A07532"/>
    <w:rsid w:val="00A1085C"/>
    <w:rsid w:val="00A309E2"/>
    <w:rsid w:val="00A43ECC"/>
    <w:rsid w:val="00A8066E"/>
    <w:rsid w:val="00A87D25"/>
    <w:rsid w:val="00AA4B8A"/>
    <w:rsid w:val="00AA6BF7"/>
    <w:rsid w:val="00B01ED6"/>
    <w:rsid w:val="00B06D09"/>
    <w:rsid w:val="00B771A9"/>
    <w:rsid w:val="00B809BB"/>
    <w:rsid w:val="00B8248A"/>
    <w:rsid w:val="00BB7726"/>
    <w:rsid w:val="00C2329E"/>
    <w:rsid w:val="00C30461"/>
    <w:rsid w:val="00C754BE"/>
    <w:rsid w:val="00C87572"/>
    <w:rsid w:val="00C9405D"/>
    <w:rsid w:val="00CC1B26"/>
    <w:rsid w:val="00CD284F"/>
    <w:rsid w:val="00CF23AA"/>
    <w:rsid w:val="00D01921"/>
    <w:rsid w:val="00D44BF2"/>
    <w:rsid w:val="00D752B7"/>
    <w:rsid w:val="00DA1854"/>
    <w:rsid w:val="00DB0887"/>
    <w:rsid w:val="00DF1E43"/>
    <w:rsid w:val="00E20894"/>
    <w:rsid w:val="00E21C25"/>
    <w:rsid w:val="00E26B7C"/>
    <w:rsid w:val="00EA3003"/>
    <w:rsid w:val="00EB3C91"/>
    <w:rsid w:val="00EB66DA"/>
    <w:rsid w:val="00F605F2"/>
    <w:rsid w:val="00F76AFC"/>
    <w:rsid w:val="00F8319B"/>
    <w:rsid w:val="00FA5516"/>
    <w:rsid w:val="00FB6A7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C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904F23"/>
    <w:pPr>
      <w:widowControl w:val="0"/>
      <w:autoSpaceDE w:val="0"/>
      <w:autoSpaceDN w:val="0"/>
      <w:spacing w:before="1"/>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3D47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D47BD"/>
    <w:rPr>
      <w:color w:val="F2F2F2"/>
      <w:u w:val="single"/>
    </w:rPr>
  </w:style>
  <w:style w:type="paragraph" w:customStyle="1" w:styleId="Appelnotedebasde">
    <w:name w:val="Appel note de bas de..."/>
    <w:basedOn w:val="Normal"/>
    <w:link w:val="Refdenotaalpie"/>
    <w:uiPriority w:val="99"/>
    <w:rsid w:val="003D47BD"/>
    <w:pPr>
      <w:spacing w:line="240" w:lineRule="exact"/>
      <w:jc w:val="both"/>
    </w:pPr>
    <w:rPr>
      <w:vertAlign w:val="superscript"/>
    </w:rPr>
  </w:style>
  <w:style w:type="table" w:customStyle="1" w:styleId="Tablaconcuadrcula11">
    <w:name w:val="Tabla con cuadrícula11"/>
    <w:basedOn w:val="Tablanormal"/>
    <w:next w:val="Tablaconcuadrcula"/>
    <w:uiPriority w:val="39"/>
    <w:rsid w:val="003D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47BD"/>
    <w:rPr>
      <w:color w:val="0563C1" w:themeColor="hyperlink"/>
      <w:u w:val="single"/>
    </w:rPr>
  </w:style>
  <w:style w:type="paragraph" w:styleId="NormalWeb">
    <w:name w:val="Normal (Web)"/>
    <w:basedOn w:val="Normal"/>
    <w:link w:val="NormalWebCar"/>
    <w:uiPriority w:val="99"/>
    <w:unhideWhenUsed/>
    <w:rsid w:val="00A43ECC"/>
    <w:pPr>
      <w:spacing w:before="100" w:beforeAutospacing="1" w:after="100" w:afterAutospacing="1"/>
    </w:pPr>
    <w:rPr>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43ECC"/>
    <w:rPr>
      <w:rFonts w:ascii="Geomanist Light" w:hAnsi="Geomanist Light"/>
      <w:lang w:val="es-ES"/>
    </w:rPr>
  </w:style>
  <w:style w:type="paragraph" w:styleId="Textoindependiente">
    <w:name w:val="Body Text"/>
    <w:basedOn w:val="Normal"/>
    <w:link w:val="TextoindependienteCar"/>
    <w:uiPriority w:val="1"/>
    <w:qFormat/>
    <w:rsid w:val="00A43ECC"/>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A43ECC"/>
    <w:rPr>
      <w:rFonts w:ascii="Arial" w:eastAsia="Arial" w:hAnsi="Arial" w:cs="Arial"/>
      <w:lang w:val="es-ES"/>
    </w:rPr>
  </w:style>
  <w:style w:type="character" w:customStyle="1" w:styleId="NormalWebCar">
    <w:name w:val="Normal (Web) Car"/>
    <w:link w:val="NormalWeb"/>
    <w:uiPriority w:val="99"/>
    <w:rsid w:val="00A43ECC"/>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9E11A9E2-1097-4CE0-A757-D0FD2CC51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2669</Words>
  <Characters>14682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17317</CharactersWithSpaces>
  <SharedDoc>false</SharedDoc>
  <HLinks>
    <vt:vector size="6" baseType="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Jorge Eliecer Moran Buitrón</cp:lastModifiedBy>
  <cp:revision>5</cp:revision>
  <dcterms:created xsi:type="dcterms:W3CDTF">2022-11-01T20:49:00Z</dcterms:created>
  <dcterms:modified xsi:type="dcterms:W3CDTF">2022-11-08T20:20:00Z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