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B841" w14:textId="77777777" w:rsidR="00A91B43" w:rsidRDefault="00A91B43" w:rsidP="0094607C">
      <w:pPr>
        <w:jc w:val="both"/>
        <w:rPr>
          <w:rFonts w:ascii="Arial" w:hAnsi="Arial" w:cs="Arial"/>
          <w:bCs/>
          <w:color w:val="000000"/>
          <w:sz w:val="22"/>
          <w:szCs w:val="22"/>
          <w:lang w:val="es-ES_tradnl" w:eastAsia="es-ES"/>
        </w:rPr>
      </w:pPr>
      <w:bookmarkStart w:id="0" w:name="_Hlk95237798"/>
    </w:p>
    <w:p w14:paraId="4C076064" w14:textId="77777777" w:rsidR="00A91B43" w:rsidRDefault="00A91B43" w:rsidP="0094607C">
      <w:pPr>
        <w:jc w:val="both"/>
        <w:rPr>
          <w:rFonts w:ascii="Arial" w:hAnsi="Arial" w:cs="Arial"/>
          <w:bCs/>
          <w:color w:val="000000"/>
          <w:sz w:val="22"/>
          <w:szCs w:val="22"/>
          <w:lang w:val="es-ES_tradnl" w:eastAsia="es-ES"/>
        </w:rPr>
      </w:pPr>
    </w:p>
    <w:p w14:paraId="750D49DA" w14:textId="4F3F575D" w:rsidR="0094607C" w:rsidRPr="00633BB8" w:rsidRDefault="0094607C" w:rsidP="0094607C">
      <w:pPr>
        <w:jc w:val="both"/>
        <w:rPr>
          <w:rFonts w:ascii="Arial" w:eastAsia="Calibri" w:hAnsi="Arial" w:cs="Arial"/>
          <w:b/>
          <w:lang w:val="es-ES_tradnl" w:eastAsia="en-GB"/>
        </w:rPr>
      </w:pPr>
      <w:r w:rsidRPr="00633BB8">
        <w:rPr>
          <w:rFonts w:ascii="Arial" w:eastAsia="Calibri" w:hAnsi="Arial" w:cs="Arial"/>
          <w:b/>
          <w:sz w:val="22"/>
          <w:szCs w:val="22"/>
          <w:lang w:val="es-ES_tradnl" w:eastAsia="en-GB"/>
        </w:rPr>
        <w:t>DOCUMENTOS TIPO – Obligatoriedad – Inalterabilidad</w:t>
      </w:r>
    </w:p>
    <w:p w14:paraId="19D72828" w14:textId="77777777" w:rsidR="0094607C" w:rsidRPr="00633BB8" w:rsidRDefault="0094607C" w:rsidP="0094607C">
      <w:pPr>
        <w:jc w:val="both"/>
        <w:rPr>
          <w:rFonts w:ascii="Arial" w:eastAsia="Calibri" w:hAnsi="Arial" w:cs="Arial"/>
          <w:lang w:val="es-ES_tradnl" w:eastAsia="en-GB"/>
        </w:rPr>
      </w:pPr>
    </w:p>
    <w:p w14:paraId="6E2C5906" w14:textId="77777777" w:rsidR="0094607C" w:rsidRPr="00633BB8" w:rsidRDefault="0094607C" w:rsidP="0094607C">
      <w:pPr>
        <w:jc w:val="both"/>
        <w:rPr>
          <w:rFonts w:ascii="Arial" w:eastAsia="Calibri" w:hAnsi="Arial" w:cs="Arial"/>
          <w:sz w:val="20"/>
          <w:szCs w:val="20"/>
          <w:lang w:eastAsia="en-GB"/>
        </w:rPr>
      </w:pPr>
      <w:r w:rsidRPr="00633BB8">
        <w:rPr>
          <w:rFonts w:ascii="Arial" w:eastAsia="Calibri" w:hAnsi="Arial" w:cs="Arial"/>
          <w:sz w:val="20"/>
          <w:szCs w:val="20"/>
          <w:lang w:eastAsia="en-GB"/>
        </w:rPr>
        <w:t>Los documentos tipo surgen con la expedición de la Ley 1150 de 2007 cuando el legislador facultó al Gobierno Nacional para adoptarlos en la compra o suministro de bienes y servicios de características técnicas uniformes. Posteriormente, la Ley 1882 de 2018 en el artículo 4, adiciona el parágrafo 7º al artículo 2 de la Ley 1150 de 2007, y establece la obligatoriedad de la adopción de documentos tipo para algunos contratos, en los siguientes términos: 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 teniendo en cuenta la naturaleza y cuantía de los contratos […] (Énfasis fuera de texto). La redacción original del artículo 4 de la Ley 1882 de 2018 establecía que al Gobierno Nacional le correspondía adoptar los documentos tipo, pero posteriormente, la Ley 2022 del 22 de julio de 2020 otorgó esta competencia a la Agencia Nacional de Contratación Pública – Colombia Compra Eficiente. Así, el artículo 1 de esta Ley modificó el artículo 4 de la Ley 1882 de 2018 en relación con: i) el sujeto encargado de la adopción de los documentos tipo, pues la competencia había sido otorgada al Gobierno Nacional, pero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 responsabilidad para Colombia Compra Eficiente en la definición del desarrollo e implementación de los documentos tipo mediante cronogramas, coordinación con otras entidades especializadas, recepción de comentarios de los interesados y revisión de los documentos tipo expedidos.</w:t>
      </w:r>
    </w:p>
    <w:p w14:paraId="36603ADC" w14:textId="77777777" w:rsidR="0094607C" w:rsidRPr="00A91B43" w:rsidRDefault="0094607C" w:rsidP="0094607C">
      <w:pPr>
        <w:jc w:val="both"/>
        <w:rPr>
          <w:rFonts w:ascii="Arial" w:hAnsi="Arial" w:cs="Arial"/>
          <w:i/>
          <w:iCs/>
          <w:sz w:val="22"/>
          <w:szCs w:val="22"/>
          <w:lang w:eastAsia="en-US"/>
        </w:rPr>
      </w:pPr>
    </w:p>
    <w:p w14:paraId="24BED12E" w14:textId="77777777" w:rsidR="0094607C" w:rsidRPr="00A91B43" w:rsidRDefault="0094607C" w:rsidP="0094607C">
      <w:pPr>
        <w:spacing w:line="259" w:lineRule="auto"/>
        <w:jc w:val="both"/>
        <w:rPr>
          <w:rFonts w:ascii="Arial" w:eastAsia="Calibri" w:hAnsi="Arial" w:cs="Arial"/>
          <w:b/>
          <w:bCs/>
          <w:sz w:val="22"/>
          <w:szCs w:val="22"/>
          <w:lang w:eastAsia="en-US"/>
        </w:rPr>
      </w:pPr>
      <w:r w:rsidRPr="00A91B43">
        <w:rPr>
          <w:rFonts w:ascii="Arial" w:eastAsia="Calibri" w:hAnsi="Arial" w:cs="Arial"/>
          <w:b/>
          <w:bCs/>
          <w:sz w:val="22"/>
          <w:szCs w:val="22"/>
          <w:lang w:eastAsia="en-US"/>
        </w:rPr>
        <w:t>DOCUMENTOS TIPO – Decreto 1860 de 2021 – Criterios diferenciales – Mipymes</w:t>
      </w:r>
    </w:p>
    <w:p w14:paraId="476BA196" w14:textId="77777777" w:rsidR="0094607C" w:rsidRPr="00633BB8" w:rsidRDefault="0094607C" w:rsidP="0094607C">
      <w:pPr>
        <w:spacing w:line="259" w:lineRule="auto"/>
        <w:jc w:val="both"/>
        <w:rPr>
          <w:rFonts w:ascii="Arial" w:eastAsia="Calibri" w:hAnsi="Arial" w:cs="Arial"/>
          <w:sz w:val="20"/>
          <w:szCs w:val="20"/>
          <w:lang w:eastAsia="en-US"/>
        </w:rPr>
      </w:pPr>
    </w:p>
    <w:p w14:paraId="0722C319" w14:textId="77777777" w:rsidR="0094607C" w:rsidRPr="00633BB8" w:rsidRDefault="0094607C" w:rsidP="0094607C">
      <w:pPr>
        <w:jc w:val="both"/>
        <w:rPr>
          <w:rFonts w:ascii="Arial" w:hAnsi="Arial" w:cs="Arial"/>
          <w:color w:val="000000"/>
          <w:sz w:val="20"/>
          <w:szCs w:val="20"/>
        </w:rPr>
      </w:pPr>
      <w:r w:rsidRPr="00633BB8">
        <w:rPr>
          <w:rFonts w:ascii="Arial" w:hAnsi="Arial" w:cs="Arial"/>
          <w:color w:val="000000"/>
          <w:sz w:val="20"/>
          <w:szCs w:val="20"/>
        </w:rPr>
        <w:t>Conforme se viene explicando, el artículo 32 de la Ley 2069 de 2021 establece el deber de las Entidades Estatales de incluir 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p>
    <w:p w14:paraId="5BA3541F" w14:textId="77777777" w:rsidR="0094607C" w:rsidRPr="00633BB8" w:rsidRDefault="0094607C" w:rsidP="0094607C">
      <w:pPr>
        <w:jc w:val="both"/>
        <w:rPr>
          <w:rFonts w:ascii="Arial" w:hAnsi="Arial" w:cs="Arial"/>
          <w:color w:val="000000"/>
          <w:sz w:val="20"/>
          <w:szCs w:val="20"/>
        </w:rPr>
      </w:pPr>
      <w:r w:rsidRPr="00633BB8">
        <w:rPr>
          <w:rFonts w:ascii="Arial" w:hAnsi="Arial" w:cs="Arial"/>
          <w:color w:val="000000"/>
          <w:sz w:val="20"/>
          <w:szCs w:val="20"/>
        </w:rPr>
        <w:t>En desarrollo de lo dispuesto en el parágrafo del artículo 32 de la Ley 2069 de 2020, el Decreto 1860 de 2021 adicionó el artículo 2.2.1.2.4.2.14 al Decreto 1082 de 2015. Esta norma establece las condiciones y requisitos en atención a los cuales se definen los empresas y emprendimientos de mujeres, a las que les aplican los criterios diferenciales. Para estos efectos, cada uno de los cuatro numerales de la norma establece unas condiciones alternativas que definen los emprendimientos y empresas de mujeres, a efectos de aplicar los criterios diferenciales, siendo relevante para la consulta el primero de dicho numerales</w:t>
      </w:r>
    </w:p>
    <w:p w14:paraId="23DF1263" w14:textId="77777777" w:rsidR="0094607C" w:rsidRPr="00A91B43" w:rsidRDefault="0094607C" w:rsidP="0094607C">
      <w:pPr>
        <w:jc w:val="both"/>
        <w:rPr>
          <w:rFonts w:ascii="Arial" w:eastAsia="Calibri" w:hAnsi="Arial" w:cs="Arial"/>
          <w:sz w:val="22"/>
          <w:szCs w:val="22"/>
          <w:lang w:eastAsia="en-US"/>
        </w:rPr>
      </w:pPr>
    </w:p>
    <w:p w14:paraId="3FD133BC" w14:textId="77777777" w:rsidR="0094607C" w:rsidRPr="00A91B43" w:rsidRDefault="0094607C" w:rsidP="0094607C">
      <w:pPr>
        <w:jc w:val="both"/>
        <w:rPr>
          <w:rFonts w:ascii="Arial" w:eastAsia="Calibri" w:hAnsi="Arial" w:cs="Arial"/>
          <w:b/>
          <w:bCs/>
          <w:sz w:val="22"/>
          <w:szCs w:val="22"/>
          <w:lang w:eastAsia="en-US"/>
        </w:rPr>
      </w:pPr>
      <w:r w:rsidRPr="00A91B43">
        <w:rPr>
          <w:rFonts w:ascii="Arial" w:eastAsia="Calibri" w:hAnsi="Arial" w:cs="Arial"/>
          <w:b/>
          <w:bCs/>
          <w:sz w:val="22"/>
          <w:szCs w:val="22"/>
          <w:lang w:eastAsia="en-US"/>
        </w:rPr>
        <w:t>DOCUMENTOS TIPO – Decreto 1860 de 2021 – Criterios diferenciales – Empresas y emprendimientos de mujeres</w:t>
      </w:r>
    </w:p>
    <w:p w14:paraId="57BA8FFB" w14:textId="77777777" w:rsidR="0094607C" w:rsidRDefault="0094607C" w:rsidP="0094607C">
      <w:pPr>
        <w:jc w:val="both"/>
        <w:rPr>
          <w:rFonts w:ascii="Arial" w:eastAsia="Calibri" w:hAnsi="Arial" w:cs="Arial"/>
          <w:sz w:val="20"/>
          <w:szCs w:val="20"/>
          <w:lang w:eastAsia="en-US"/>
        </w:rPr>
      </w:pPr>
    </w:p>
    <w:p w14:paraId="2B328479" w14:textId="77777777" w:rsidR="0094607C" w:rsidRPr="006569C2" w:rsidRDefault="0094607C" w:rsidP="0094607C">
      <w:pPr>
        <w:jc w:val="both"/>
        <w:rPr>
          <w:rFonts w:ascii="Arial" w:eastAsia="Calibri" w:hAnsi="Arial" w:cs="Arial"/>
          <w:sz w:val="16"/>
          <w:szCs w:val="16"/>
          <w:lang w:eastAsia="en-US"/>
        </w:rPr>
      </w:pPr>
      <w:r>
        <w:rPr>
          <w:rFonts w:ascii="Arial" w:eastAsia="Calibri" w:hAnsi="Arial" w:cs="Arial"/>
          <w:sz w:val="20"/>
          <w:szCs w:val="20"/>
          <w:lang w:val="es-ES_tradnl"/>
        </w:rPr>
        <w:t xml:space="preserve">[…] </w:t>
      </w:r>
      <w:r w:rsidRPr="006569C2">
        <w:rPr>
          <w:rFonts w:ascii="Arial" w:eastAsia="Calibri" w:hAnsi="Arial" w:cs="Arial"/>
          <w:sz w:val="20"/>
          <w:szCs w:val="20"/>
          <w:lang w:val="es-ES_tradnl"/>
        </w:rPr>
        <w:t xml:space="preserve">resulta relevante la definición establecida en el numeral 2, en atención al cual, una persona jurídica podrá ser considerada como un emprendimiento o empresa de mujeres cuando más del 50% de los empleos del nivel directivo de la persona jurídica sean ejercidos por mujeres. </w:t>
      </w:r>
      <w:r w:rsidRPr="006569C2">
        <w:rPr>
          <w:rFonts w:ascii="Arial" w:hAnsi="Arial" w:cs="Arial"/>
          <w:sz w:val="20"/>
          <w:szCs w:val="20"/>
          <w:lang w:eastAsia="es-CO"/>
        </w:rPr>
        <w:t>Tales empleos son aquellos relacionados con la dirección de áreas misionales y las decisiones de nivel estratégico de la respectiva empresa, De esta manera los cargos directivos deben identificarse de acuerdo con la definición que para el efecto estableció el Decreto 1082 de 2015, adicionado por el Decreto 1860 de 2021. En ese sentido, independientemente de la denominación del cargo, su naturaleza será directiva bien porque se encuentra en un nivel especial de mando o, porque de acuerdo a su jerarquía, representan al empleador en los términos del artículo 32 del Código Sustantivo del Trabajo</w:t>
      </w:r>
    </w:p>
    <w:p w14:paraId="4C10EC33" w14:textId="77777777" w:rsidR="0094607C" w:rsidRPr="00A91B43" w:rsidRDefault="0094607C" w:rsidP="0094607C">
      <w:pPr>
        <w:spacing w:line="276" w:lineRule="auto"/>
        <w:jc w:val="both"/>
        <w:rPr>
          <w:rFonts w:ascii="Arial" w:hAnsi="Arial" w:cs="Arial"/>
          <w:sz w:val="22"/>
          <w:szCs w:val="22"/>
        </w:rPr>
      </w:pPr>
    </w:p>
    <w:p w14:paraId="40423CFD" w14:textId="77777777" w:rsidR="0094607C" w:rsidRDefault="0094607C" w:rsidP="0094607C">
      <w:pPr>
        <w:spacing w:line="259" w:lineRule="auto"/>
        <w:jc w:val="both"/>
        <w:rPr>
          <w:rFonts w:ascii="Arial" w:eastAsia="Calibri" w:hAnsi="Arial" w:cs="Arial"/>
          <w:b/>
          <w:bCs/>
          <w:sz w:val="20"/>
          <w:szCs w:val="20"/>
          <w:lang w:eastAsia="en-US"/>
        </w:rPr>
      </w:pPr>
      <w:r w:rsidRPr="00A91B43">
        <w:rPr>
          <w:rFonts w:ascii="Arial" w:eastAsia="Calibri" w:hAnsi="Arial" w:cs="Arial"/>
          <w:b/>
          <w:bCs/>
          <w:sz w:val="22"/>
          <w:szCs w:val="22"/>
          <w:lang w:eastAsia="en-US"/>
        </w:rPr>
        <w:t>DOCUMENTOS TIPO – Decreto 1860 de 2021 – Vigencia</w:t>
      </w:r>
    </w:p>
    <w:p w14:paraId="482A954B" w14:textId="77777777" w:rsidR="0094607C" w:rsidRDefault="0094607C" w:rsidP="0094607C">
      <w:pPr>
        <w:spacing w:line="259" w:lineRule="auto"/>
        <w:jc w:val="both"/>
        <w:rPr>
          <w:rFonts w:ascii="Arial" w:eastAsia="Calibri" w:hAnsi="Arial" w:cs="Arial"/>
          <w:b/>
          <w:bCs/>
          <w:sz w:val="20"/>
          <w:szCs w:val="20"/>
          <w:lang w:eastAsia="en-US"/>
        </w:rPr>
      </w:pPr>
    </w:p>
    <w:p w14:paraId="24AE40DB" w14:textId="77777777" w:rsidR="0094607C" w:rsidRDefault="0094607C" w:rsidP="0094607C">
      <w:pPr>
        <w:jc w:val="both"/>
        <w:rPr>
          <w:rFonts w:ascii="Arial" w:eastAsia="Arial" w:hAnsi="Arial" w:cs="Arial"/>
          <w:sz w:val="20"/>
          <w:szCs w:val="20"/>
        </w:rPr>
      </w:pPr>
      <w:r w:rsidRPr="005445C8">
        <w:rPr>
          <w:rFonts w:ascii="Arial" w:eastAsia="Arial" w:hAnsi="Arial" w:cs="Arial"/>
          <w:sz w:val="20"/>
          <w:szCs w:val="20"/>
        </w:rPr>
        <w:t>Debe precisarse que 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 meses contados a partir de entonces, en los procesos cuyos avisos de convocatorias, invitaciones o documentos equivalentes se publiquen con posterioridad a dicho momento</w:t>
      </w:r>
    </w:p>
    <w:p w14:paraId="4BFAC688" w14:textId="77777777" w:rsidR="0094607C" w:rsidRPr="00633BB8" w:rsidRDefault="0094607C" w:rsidP="0094607C">
      <w:pPr>
        <w:spacing w:line="259" w:lineRule="auto"/>
        <w:jc w:val="both"/>
        <w:rPr>
          <w:rFonts w:ascii="Arial" w:eastAsia="Calibri" w:hAnsi="Arial" w:cs="Arial"/>
          <w:b/>
          <w:bCs/>
          <w:sz w:val="20"/>
          <w:szCs w:val="20"/>
          <w:lang w:eastAsia="en-US"/>
        </w:rPr>
      </w:pPr>
    </w:p>
    <w:p w14:paraId="6E9F395A" w14:textId="77777777" w:rsidR="0094607C" w:rsidRPr="00633BB8" w:rsidRDefault="0094607C" w:rsidP="0094607C">
      <w:pPr>
        <w:spacing w:line="259" w:lineRule="auto"/>
        <w:jc w:val="both"/>
        <w:rPr>
          <w:rFonts w:ascii="Arial" w:eastAsia="Calibri" w:hAnsi="Arial" w:cs="Arial"/>
          <w:sz w:val="20"/>
          <w:szCs w:val="20"/>
          <w:lang w:eastAsia="en-US"/>
        </w:rPr>
      </w:pPr>
    </w:p>
    <w:p w14:paraId="6D682BC0" w14:textId="77777777" w:rsidR="0094607C" w:rsidRPr="00A91B43" w:rsidRDefault="0094607C" w:rsidP="0094607C">
      <w:pPr>
        <w:jc w:val="both"/>
        <w:rPr>
          <w:rFonts w:ascii="Arial" w:hAnsi="Arial" w:cs="Arial"/>
          <w:b/>
          <w:noProof/>
          <w:color w:val="000000"/>
          <w:sz w:val="22"/>
          <w:szCs w:val="22"/>
          <w:lang w:val="es-ES_tradnl"/>
        </w:rPr>
      </w:pPr>
      <w:r w:rsidRPr="00A91B43">
        <w:rPr>
          <w:rFonts w:ascii="Arial" w:eastAsia="Calibri" w:hAnsi="Arial" w:cs="Arial"/>
          <w:b/>
          <w:color w:val="000000" w:themeColor="text1"/>
          <w:sz w:val="22"/>
          <w:szCs w:val="22"/>
          <w:lang w:val="es-ES_tradnl"/>
        </w:rPr>
        <w:t>DOCUMENTOS TIPO – Decreto 1860 de 2021 – Criterios diferenciales – Empresas y emprendimientos de mujeres – Acreditación – Formato 12</w:t>
      </w:r>
    </w:p>
    <w:p w14:paraId="506360E8" w14:textId="77777777" w:rsidR="0094607C" w:rsidRPr="00633BB8" w:rsidRDefault="0094607C" w:rsidP="0094607C">
      <w:pPr>
        <w:ind w:firstLine="709"/>
        <w:jc w:val="both"/>
        <w:rPr>
          <w:rFonts w:ascii="Arial" w:hAnsi="Arial" w:cs="Arial"/>
          <w:b/>
          <w:bCs/>
          <w:noProof/>
          <w:color w:val="000000"/>
          <w:lang w:val="es-ES_tradnl"/>
        </w:rPr>
      </w:pPr>
    </w:p>
    <w:p w14:paraId="0F897D60" w14:textId="77777777" w:rsidR="0094607C" w:rsidRPr="00A7263D" w:rsidRDefault="0094607C" w:rsidP="0094607C">
      <w:pPr>
        <w:jc w:val="both"/>
        <w:rPr>
          <w:rFonts w:ascii="Arial" w:hAnsi="Arial" w:cs="Arial"/>
          <w:noProof/>
          <w:color w:val="000000"/>
          <w:sz w:val="20"/>
          <w:szCs w:val="20"/>
          <w:lang w:val="es-ES_tradnl"/>
        </w:rPr>
      </w:pPr>
      <w:r w:rsidRPr="00A7263D">
        <w:rPr>
          <w:rFonts w:ascii="Arial" w:hAnsi="Arial" w:cs="Arial"/>
          <w:noProof/>
          <w:color w:val="000000"/>
          <w:sz w:val="20"/>
          <w:szCs w:val="20"/>
          <w:lang w:val="es-ES_tradnl"/>
        </w:rPr>
        <w:t>En el marco de esta resolución, los artículos 2, 14, 15, 39, 40, 49, 50, 64, 72, 84, 87, 97, 98, 108, 125, 134, 135 y 167 realizaron las modificaciones necesarias para incorporar en los documentos tipo mencionados la aplicación de los criterios diferenciales para emprendimientos y empresas de mujeres, de acuerdo con lo regulado por los artículos 2.2.1.2.4.2.14 y 2.2.1.2.4.2.15 del Decreto 1082 de 2015, adicionados por el Decreto 1860 de 2021. A través de estas disposiciones se adoptó el «Formato 12 – Acreditación de emprendimientos y empresas de mujeres», el cual sirve para acreditar las condiciones establecidas en los numerales 1 y 2 del artículo 2.2.1.2.4.2.14 del Decreto 1082 de 2015. Esto significa que el Formato 12 que debe ser suscrito por el representante legal o el revisor fiscal a efectos de demostrar la participación mayoritaria de mujeres en la conformación accionaria de la persona o jurídica, o que por lo menos el cincuenta por ciento (50 %) de los empleos del nivel directivo de la persona jurídica son ejercidos por mujeres y estas han estado vinculadas laboralmente durante al menos el último año.En todo caso, conforme a lo arriba planteado, es del caso precisar que para acogerse a la definición del numeral 2 del artículo 2.2.1.2.4.2.14, no resulta procedente relacionar en el Formato 12 información correspondiente a personas vinculadas como contratistas de prestación de servicios, comoquiera que la definición de empleos del nivel directivo se limita a relaciones laborales. En ese mismo sentido, no resulta procedente adjuntar a dicho formato información correspondiente a los pagos de seguridad social de contratistas de prestación de servicios, comoquiera que tale vinculaciones no son computable para efectos de aplicar el mencionado criterio.</w:t>
      </w:r>
    </w:p>
    <w:p w14:paraId="289B7E3B" w14:textId="77777777" w:rsidR="0094607C" w:rsidRPr="00633BB8" w:rsidRDefault="0094607C" w:rsidP="0094607C">
      <w:pPr>
        <w:ind w:firstLine="709"/>
        <w:jc w:val="both"/>
        <w:rPr>
          <w:rFonts w:ascii="Arial" w:hAnsi="Arial" w:cs="Arial"/>
          <w:b/>
          <w:bCs/>
          <w:noProof/>
          <w:color w:val="000000"/>
          <w:lang w:val="es-ES_tradnl"/>
        </w:rPr>
      </w:pPr>
    </w:p>
    <w:p w14:paraId="7046534E" w14:textId="77777777" w:rsidR="0094607C" w:rsidRPr="00633BB8" w:rsidRDefault="0094607C" w:rsidP="0094607C">
      <w:pPr>
        <w:ind w:firstLine="709"/>
        <w:jc w:val="both"/>
        <w:rPr>
          <w:rFonts w:ascii="Arial" w:hAnsi="Arial" w:cs="Arial"/>
          <w:b/>
          <w:bCs/>
          <w:noProof/>
          <w:color w:val="000000"/>
          <w:lang w:val="es-ES_tradnl"/>
        </w:rPr>
      </w:pPr>
    </w:p>
    <w:p w14:paraId="54F6C82D" w14:textId="77777777" w:rsidR="0094607C" w:rsidRPr="00633BB8" w:rsidRDefault="0094607C" w:rsidP="0094607C">
      <w:pPr>
        <w:ind w:firstLine="709"/>
        <w:jc w:val="both"/>
        <w:rPr>
          <w:rFonts w:ascii="Arial" w:hAnsi="Arial" w:cs="Arial"/>
          <w:b/>
          <w:bCs/>
          <w:noProof/>
          <w:color w:val="000000"/>
          <w:lang w:val="es-ES_tradnl"/>
        </w:rPr>
      </w:pPr>
    </w:p>
    <w:p w14:paraId="1A6A5578" w14:textId="77777777" w:rsidR="0094607C" w:rsidRDefault="0094607C" w:rsidP="0094607C">
      <w:pPr>
        <w:spacing w:after="200" w:line="276" w:lineRule="auto"/>
        <w:rPr>
          <w:rFonts w:ascii="Arial" w:hAnsi="Arial" w:cs="Arial"/>
          <w:b/>
          <w:bCs/>
          <w:noProof/>
          <w:color w:val="000000"/>
          <w:lang w:val="es-ES_tradnl"/>
        </w:rPr>
      </w:pPr>
      <w:r>
        <w:rPr>
          <w:rFonts w:ascii="Arial" w:hAnsi="Arial" w:cs="Arial"/>
          <w:b/>
          <w:bCs/>
          <w:noProof/>
          <w:color w:val="000000"/>
          <w:lang w:val="es-ES_tradnl"/>
        </w:rPr>
        <w:br w:type="page"/>
      </w:r>
    </w:p>
    <w:p w14:paraId="68216CA6" w14:textId="77777777" w:rsidR="00A91B43" w:rsidRDefault="00A91B43" w:rsidP="0094607C">
      <w:pPr>
        <w:ind w:firstLine="709"/>
        <w:jc w:val="right"/>
        <w:rPr>
          <w:rFonts w:ascii="Arial" w:hAnsi="Arial" w:cs="Arial"/>
          <w:b/>
          <w:bCs/>
          <w:noProof/>
          <w:color w:val="000000"/>
          <w:lang w:val="es-ES_tradnl"/>
        </w:rPr>
      </w:pPr>
    </w:p>
    <w:p w14:paraId="7C5D9E61" w14:textId="2350A6F3" w:rsidR="0094607C" w:rsidRPr="00633BB8" w:rsidRDefault="00CC4567" w:rsidP="0094607C">
      <w:pPr>
        <w:ind w:firstLine="709"/>
        <w:jc w:val="right"/>
        <w:rPr>
          <w:rFonts w:ascii="Arial" w:hAnsi="Arial" w:cs="Arial"/>
          <w:b/>
          <w:bCs/>
          <w:noProof/>
          <w:color w:val="000000"/>
          <w:lang w:val="es-ES_tradnl"/>
        </w:rPr>
      </w:pPr>
      <w:r w:rsidRPr="00CC4567">
        <w:rPr>
          <w:rFonts w:ascii="Arial" w:hAnsi="Arial" w:cs="Arial"/>
          <w:b/>
          <w:bCs/>
          <w:noProof/>
          <w:color w:val="000000"/>
          <w:lang w:val="es-ES_tradnl"/>
        </w:rPr>
        <w:drawing>
          <wp:inline distT="0" distB="0" distL="0" distR="0" wp14:anchorId="691457BB" wp14:editId="314BEDC6">
            <wp:extent cx="3274715" cy="863600"/>
            <wp:effectExtent l="0" t="0" r="190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280676" cy="865172"/>
                    </a:xfrm>
                    <a:prstGeom prst="rect">
                      <a:avLst/>
                    </a:prstGeom>
                  </pic:spPr>
                </pic:pic>
              </a:graphicData>
            </a:graphic>
          </wp:inline>
        </w:drawing>
      </w:r>
    </w:p>
    <w:p w14:paraId="2E91DB83" w14:textId="77777777" w:rsidR="0094607C" w:rsidRDefault="0094607C" w:rsidP="0094607C">
      <w:pPr>
        <w:rPr>
          <w:rFonts w:ascii="Arial" w:hAnsi="Arial" w:cs="Arial"/>
        </w:rPr>
      </w:pPr>
      <w:bookmarkStart w:id="1" w:name="_Hlk117602345"/>
    </w:p>
    <w:p w14:paraId="2C9EF633" w14:textId="19EB9B19" w:rsidR="0094607C" w:rsidRPr="00633BB8" w:rsidRDefault="0094607C" w:rsidP="0094607C">
      <w:pPr>
        <w:rPr>
          <w:rFonts w:ascii="Arial" w:hAnsi="Arial" w:cs="Arial"/>
        </w:rPr>
      </w:pPr>
      <w:r w:rsidRPr="00633BB8">
        <w:rPr>
          <w:rFonts w:ascii="Arial" w:hAnsi="Arial" w:cs="Arial"/>
        </w:rPr>
        <w:t>Bogotá,</w:t>
      </w:r>
      <w:r>
        <w:rPr>
          <w:rFonts w:ascii="Arial" w:hAnsi="Arial" w:cs="Arial"/>
        </w:rPr>
        <w:t xml:space="preserve"> 2</w:t>
      </w:r>
      <w:r w:rsidR="00CC4567">
        <w:rPr>
          <w:rFonts w:ascii="Arial" w:hAnsi="Arial" w:cs="Arial"/>
        </w:rPr>
        <w:t>5</w:t>
      </w:r>
      <w:r>
        <w:rPr>
          <w:rFonts w:ascii="Arial" w:hAnsi="Arial" w:cs="Arial"/>
        </w:rPr>
        <w:t xml:space="preserve"> </w:t>
      </w:r>
      <w:r w:rsidR="00A91B43">
        <w:rPr>
          <w:rFonts w:ascii="Arial" w:hAnsi="Arial" w:cs="Arial"/>
        </w:rPr>
        <w:t>O</w:t>
      </w:r>
      <w:r>
        <w:rPr>
          <w:rFonts w:ascii="Arial" w:hAnsi="Arial" w:cs="Arial"/>
        </w:rPr>
        <w:t>ctubre 2022</w:t>
      </w:r>
    </w:p>
    <w:p w14:paraId="6957D28C" w14:textId="77777777" w:rsidR="0094607C" w:rsidRPr="00633BB8" w:rsidRDefault="0094607C" w:rsidP="0094607C">
      <w:pPr>
        <w:jc w:val="right"/>
        <w:rPr>
          <w:rFonts w:ascii="Arial" w:hAnsi="Arial" w:cs="Arial"/>
        </w:rPr>
      </w:pPr>
      <w:r w:rsidRPr="00633BB8">
        <w:rPr>
          <w:rFonts w:ascii="Arial" w:hAnsi="Arial" w:cs="Arial"/>
        </w:rPr>
        <w:t xml:space="preserve"> </w:t>
      </w:r>
    </w:p>
    <w:p w14:paraId="693544C3" w14:textId="77777777" w:rsidR="0094607C" w:rsidRPr="00633BB8" w:rsidRDefault="0094607C" w:rsidP="0094607C">
      <w:pPr>
        <w:jc w:val="both"/>
        <w:rPr>
          <w:rFonts w:ascii="Arial" w:hAnsi="Arial" w:cs="Arial"/>
          <w:b/>
          <w:color w:val="000000"/>
          <w:lang w:val="es-ES_tradnl"/>
        </w:rPr>
      </w:pPr>
    </w:p>
    <w:p w14:paraId="3B9BC901" w14:textId="77777777" w:rsidR="0094607C" w:rsidRPr="00633BB8" w:rsidRDefault="0094607C" w:rsidP="0094607C">
      <w:pPr>
        <w:spacing w:line="276" w:lineRule="auto"/>
        <w:jc w:val="both"/>
        <w:rPr>
          <w:rFonts w:ascii="Arial" w:eastAsia="Calibri" w:hAnsi="Arial" w:cs="Arial"/>
          <w:bCs/>
          <w:color w:val="000000"/>
          <w:lang w:val="es-ES_tradnl"/>
        </w:rPr>
      </w:pPr>
      <w:r w:rsidRPr="00633BB8">
        <w:rPr>
          <w:rFonts w:ascii="Arial" w:eastAsia="Calibri" w:hAnsi="Arial" w:cs="Arial"/>
          <w:bCs/>
          <w:color w:val="000000"/>
          <w:lang w:val="es-ES_tradnl"/>
        </w:rPr>
        <w:t>Señor</w:t>
      </w:r>
    </w:p>
    <w:p w14:paraId="627AEEDF" w14:textId="77777777" w:rsidR="0094607C" w:rsidRPr="00633BB8" w:rsidRDefault="0094607C" w:rsidP="0094607C">
      <w:pPr>
        <w:spacing w:line="276" w:lineRule="auto"/>
        <w:jc w:val="both"/>
        <w:rPr>
          <w:rFonts w:ascii="Arial" w:eastAsia="Calibri" w:hAnsi="Arial" w:cs="Arial"/>
          <w:b/>
          <w:color w:val="000000"/>
          <w:lang w:val="es-ES_tradnl"/>
        </w:rPr>
      </w:pPr>
      <w:r w:rsidRPr="00633BB8">
        <w:rPr>
          <w:rFonts w:ascii="Arial" w:eastAsia="Calibri" w:hAnsi="Arial" w:cs="Arial"/>
          <w:b/>
          <w:color w:val="000000"/>
          <w:lang w:val="es-ES_tradnl"/>
        </w:rPr>
        <w:t xml:space="preserve">Raúl Camilo Quintero Blanco </w:t>
      </w:r>
    </w:p>
    <w:p w14:paraId="212AD41B" w14:textId="77777777" w:rsidR="0094607C" w:rsidRPr="00633BB8" w:rsidRDefault="0094607C" w:rsidP="0094607C">
      <w:pPr>
        <w:spacing w:line="276" w:lineRule="auto"/>
        <w:jc w:val="both"/>
        <w:rPr>
          <w:rFonts w:ascii="Arial" w:eastAsia="Calibri" w:hAnsi="Arial" w:cs="Arial"/>
          <w:bCs/>
          <w:color w:val="000000"/>
          <w:lang w:val="es-ES_tradnl"/>
        </w:rPr>
      </w:pPr>
      <w:r w:rsidRPr="00633BB8">
        <w:rPr>
          <w:rFonts w:ascii="Arial" w:eastAsia="Calibri" w:hAnsi="Arial" w:cs="Arial"/>
          <w:bCs/>
          <w:color w:val="000000"/>
          <w:lang w:val="es-ES_tradnl"/>
        </w:rPr>
        <w:t xml:space="preserve">Tunja, Boyacá </w:t>
      </w:r>
    </w:p>
    <w:p w14:paraId="0317C34A" w14:textId="77777777" w:rsidR="0094607C" w:rsidRPr="00633BB8" w:rsidRDefault="0094607C" w:rsidP="0094607C">
      <w:pPr>
        <w:spacing w:line="276" w:lineRule="auto"/>
        <w:jc w:val="both"/>
        <w:rPr>
          <w:rFonts w:ascii="Arial" w:eastAsia="Calibri" w:hAnsi="Arial" w:cs="Arial"/>
          <w:b/>
          <w:color w:val="000000"/>
          <w:lang w:val="es-ES_tradnl"/>
        </w:rPr>
      </w:pPr>
    </w:p>
    <w:p w14:paraId="41AB9931" w14:textId="77777777" w:rsidR="0094607C" w:rsidRPr="00633BB8" w:rsidRDefault="0094607C" w:rsidP="0094607C">
      <w:pPr>
        <w:ind w:left="707" w:firstLine="709"/>
        <w:rPr>
          <w:rFonts w:ascii="Arial" w:eastAsia="Calibri" w:hAnsi="Arial" w:cs="Arial"/>
          <w:b/>
          <w:bCs/>
          <w:color w:val="000000"/>
          <w:lang w:val="es-ES_tradnl"/>
        </w:rPr>
      </w:pPr>
      <w:r w:rsidRPr="00633BB8">
        <w:rPr>
          <w:rFonts w:ascii="Arial" w:eastAsia="Calibri" w:hAnsi="Arial" w:cs="Arial"/>
          <w:b/>
          <w:bCs/>
          <w:color w:val="000000"/>
          <w:lang w:val="es-ES_tradnl"/>
        </w:rPr>
        <w:t xml:space="preserve">   </w:t>
      </w:r>
    </w:p>
    <w:p w14:paraId="6F20C631" w14:textId="77777777" w:rsidR="0094607C" w:rsidRPr="00633BB8" w:rsidRDefault="0094607C" w:rsidP="0094607C">
      <w:pPr>
        <w:ind w:left="707" w:firstLine="709"/>
        <w:rPr>
          <w:rFonts w:ascii="Arial" w:eastAsia="Calibri" w:hAnsi="Arial" w:cs="Arial"/>
          <w:b/>
          <w:bCs/>
          <w:color w:val="000000"/>
          <w:lang w:val="es-ES_tradnl"/>
        </w:rPr>
      </w:pPr>
      <w:r w:rsidRPr="00633BB8">
        <w:rPr>
          <w:rFonts w:ascii="Arial" w:eastAsia="Calibri" w:hAnsi="Arial" w:cs="Arial"/>
          <w:b/>
          <w:bCs/>
          <w:color w:val="000000"/>
          <w:lang w:val="es-ES_tradnl"/>
        </w:rPr>
        <w:t xml:space="preserve">                  Concepto C-709 de 2022</w:t>
      </w:r>
    </w:p>
    <w:p w14:paraId="57602B07" w14:textId="77777777" w:rsidR="0094607C" w:rsidRPr="00633BB8" w:rsidRDefault="0094607C" w:rsidP="0094607C">
      <w:pPr>
        <w:ind w:firstLine="709"/>
        <w:jc w:val="both"/>
        <w:rPr>
          <w:rFonts w:ascii="Arial" w:eastAsia="Calibri" w:hAnsi="Arial" w:cs="Arial"/>
          <w:color w:val="000000"/>
          <w:lang w:val="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4607C" w:rsidRPr="00633BB8" w14:paraId="4B880284" w14:textId="77777777" w:rsidTr="00440318">
        <w:trPr>
          <w:trHeight w:val="2010"/>
        </w:trPr>
        <w:tc>
          <w:tcPr>
            <w:tcW w:w="2689" w:type="dxa"/>
          </w:tcPr>
          <w:p w14:paraId="1F5F94AB" w14:textId="77777777" w:rsidR="0094607C" w:rsidRPr="00633BB8" w:rsidRDefault="0094607C" w:rsidP="00440318">
            <w:pPr>
              <w:rPr>
                <w:rFonts w:ascii="Arial" w:eastAsia="Calibri" w:hAnsi="Arial" w:cs="Arial"/>
                <w:color w:val="000000"/>
                <w:lang w:val="es-ES_tradnl"/>
              </w:rPr>
            </w:pPr>
            <w:bookmarkStart w:id="2" w:name="_Hlk117602462"/>
            <w:r w:rsidRPr="00633BB8">
              <w:rPr>
                <w:rFonts w:ascii="Arial" w:eastAsia="Calibri" w:hAnsi="Arial" w:cs="Arial"/>
                <w:b/>
                <w:color w:val="000000"/>
                <w:lang w:val="es-ES_tradnl"/>
              </w:rPr>
              <w:t>Temas:</w:t>
            </w:r>
            <w:r w:rsidRPr="00633BB8">
              <w:rPr>
                <w:rFonts w:ascii="Arial" w:eastAsia="Calibri" w:hAnsi="Arial" w:cs="Arial"/>
                <w:color w:val="000000"/>
                <w:lang w:val="es-ES_tradnl"/>
              </w:rPr>
              <w:t xml:space="preserve">                                  </w:t>
            </w:r>
          </w:p>
        </w:tc>
        <w:tc>
          <w:tcPr>
            <w:tcW w:w="6237" w:type="dxa"/>
          </w:tcPr>
          <w:p w14:paraId="30D737E4" w14:textId="77777777" w:rsidR="0094607C" w:rsidRPr="00633BB8" w:rsidRDefault="0094607C" w:rsidP="00440318">
            <w:pPr>
              <w:rPr>
                <w:rFonts w:ascii="Arial" w:eastAsia="Calibri" w:hAnsi="Arial" w:cs="Arial"/>
                <w:color w:val="000000"/>
                <w:lang w:val="es-ES_tradnl"/>
              </w:rPr>
            </w:pPr>
            <w:r w:rsidRPr="00633BB8">
              <w:rPr>
                <w:rFonts w:ascii="Arial" w:eastAsia="Calibri" w:hAnsi="Arial" w:cs="Arial"/>
                <w:bCs/>
                <w:color w:val="000000" w:themeColor="text1"/>
                <w:lang w:val="es-ES_tradnl"/>
              </w:rPr>
              <w:t>DOCUMENTOS TIPO – Obligatoriedad – Inalterabilidad / DOCUMENTOS TIPO – Decreto 1860 de 2021 – Criterios diferenciales – Mipymes / DOCUMENTOS TIPO – Decreto 1860 de 2021 – Criterios diferenciales – Empresas y emprendimientos de mujeres / DOCUMENTOS TIPO – Decreto 1860 de 2021 – Vigencia / DOCUMENTOS TIPO – Decreto 1860 de 2021 – Criterios diferenciales – Empresas y emprendimientos de mujeres – Acreditación – Formato 12</w:t>
            </w:r>
          </w:p>
        </w:tc>
      </w:tr>
      <w:tr w:rsidR="0094607C" w:rsidRPr="00633BB8" w14:paraId="4AD7B9A5" w14:textId="77777777" w:rsidTr="00440318">
        <w:trPr>
          <w:trHeight w:val="67"/>
        </w:trPr>
        <w:tc>
          <w:tcPr>
            <w:tcW w:w="2689" w:type="dxa"/>
          </w:tcPr>
          <w:p w14:paraId="3BD54FE1" w14:textId="77777777" w:rsidR="0094607C" w:rsidRPr="00633BB8" w:rsidRDefault="0094607C" w:rsidP="00440318">
            <w:pPr>
              <w:spacing w:before="120"/>
              <w:rPr>
                <w:rFonts w:ascii="Arial" w:eastAsia="Calibri" w:hAnsi="Arial" w:cs="Arial"/>
                <w:b/>
                <w:color w:val="000000"/>
                <w:lang w:val="es-ES_tradnl"/>
              </w:rPr>
            </w:pPr>
            <w:r w:rsidRPr="00633BB8">
              <w:rPr>
                <w:rFonts w:ascii="Arial" w:eastAsia="Calibri" w:hAnsi="Arial" w:cs="Arial"/>
                <w:b/>
                <w:color w:val="000000"/>
                <w:lang w:val="es-ES_tradnl"/>
              </w:rPr>
              <w:t>Radicación:</w:t>
            </w:r>
            <w:r w:rsidRPr="00633BB8">
              <w:rPr>
                <w:rFonts w:ascii="Arial" w:eastAsia="Calibri" w:hAnsi="Arial" w:cs="Arial"/>
                <w:color w:val="000000"/>
                <w:lang w:val="es-ES_tradnl"/>
              </w:rPr>
              <w:t xml:space="preserve">                              </w:t>
            </w:r>
          </w:p>
        </w:tc>
        <w:tc>
          <w:tcPr>
            <w:tcW w:w="6237" w:type="dxa"/>
          </w:tcPr>
          <w:p w14:paraId="016640FC" w14:textId="77777777" w:rsidR="0094607C" w:rsidRPr="00633BB8" w:rsidRDefault="0094607C" w:rsidP="00440318">
            <w:pPr>
              <w:spacing w:before="120"/>
              <w:rPr>
                <w:rFonts w:ascii="Arial" w:eastAsia="Calibri" w:hAnsi="Arial" w:cs="Arial"/>
                <w:color w:val="000000"/>
                <w:lang w:val="es-ES_tradnl"/>
              </w:rPr>
            </w:pPr>
            <w:r w:rsidRPr="00633BB8">
              <w:rPr>
                <w:rFonts w:ascii="Arial" w:eastAsia="Calibri" w:hAnsi="Arial" w:cs="Arial"/>
                <w:color w:val="000000"/>
                <w:lang w:val="es-ES_tradnl"/>
              </w:rPr>
              <w:t xml:space="preserve">Respuesta a consulta </w:t>
            </w:r>
            <w:r w:rsidRPr="00633BB8">
              <w:rPr>
                <w:rFonts w:ascii="Arial" w:hAnsi="Arial" w:cs="Arial"/>
              </w:rPr>
              <w:t>P20220914009245</w:t>
            </w:r>
          </w:p>
        </w:tc>
      </w:tr>
      <w:bookmarkEnd w:id="2"/>
    </w:tbl>
    <w:p w14:paraId="50F9CE53" w14:textId="77777777" w:rsidR="0094607C" w:rsidRPr="00633BB8" w:rsidRDefault="0094607C" w:rsidP="0094607C">
      <w:pPr>
        <w:ind w:firstLine="709"/>
        <w:jc w:val="both"/>
        <w:rPr>
          <w:rFonts w:ascii="Arial" w:eastAsia="Calibri" w:hAnsi="Arial" w:cs="Arial"/>
          <w:color w:val="000000"/>
          <w:lang w:val="es-ES_tradnl"/>
        </w:rPr>
      </w:pPr>
    </w:p>
    <w:p w14:paraId="1A6D343A" w14:textId="77777777" w:rsidR="0094607C" w:rsidRPr="00633BB8" w:rsidRDefault="0094607C" w:rsidP="0094607C">
      <w:pPr>
        <w:ind w:firstLine="709"/>
        <w:jc w:val="both"/>
        <w:rPr>
          <w:rFonts w:ascii="Arial" w:eastAsia="Calibri" w:hAnsi="Arial" w:cs="Arial"/>
          <w:color w:val="000000"/>
          <w:lang w:val="es-ES_tradnl"/>
        </w:rPr>
      </w:pPr>
    </w:p>
    <w:p w14:paraId="6A794206" w14:textId="77777777" w:rsidR="0094607C" w:rsidRPr="00633BB8" w:rsidRDefault="0094607C" w:rsidP="0094607C">
      <w:pPr>
        <w:jc w:val="both"/>
        <w:rPr>
          <w:rFonts w:ascii="Arial" w:eastAsia="Calibri" w:hAnsi="Arial" w:cs="Arial"/>
          <w:color w:val="000000"/>
          <w:lang w:val="es-ES_tradnl"/>
        </w:rPr>
      </w:pPr>
      <w:r w:rsidRPr="00633BB8">
        <w:rPr>
          <w:rFonts w:ascii="Arial" w:eastAsia="Calibri" w:hAnsi="Arial" w:cs="Arial"/>
          <w:color w:val="000000"/>
          <w:lang w:val="es-ES_tradnl"/>
        </w:rPr>
        <w:t>Estimado Señor Quintero Blanco:</w:t>
      </w:r>
    </w:p>
    <w:p w14:paraId="48E6DFC8" w14:textId="77777777" w:rsidR="0094607C" w:rsidRPr="00633BB8" w:rsidRDefault="0094607C" w:rsidP="0094607C">
      <w:pPr>
        <w:ind w:firstLine="709"/>
        <w:jc w:val="both"/>
        <w:rPr>
          <w:rFonts w:ascii="Arial" w:eastAsia="Calibri" w:hAnsi="Arial" w:cs="Arial"/>
          <w:color w:val="000000"/>
          <w:lang w:val="es-ES_tradnl"/>
        </w:rPr>
      </w:pPr>
    </w:p>
    <w:p w14:paraId="5C23E24E" w14:textId="77777777" w:rsidR="0094607C" w:rsidRPr="00633BB8" w:rsidRDefault="0094607C" w:rsidP="0094607C">
      <w:pPr>
        <w:spacing w:line="276" w:lineRule="auto"/>
        <w:jc w:val="both"/>
        <w:rPr>
          <w:rFonts w:ascii="Arial" w:eastAsia="Calibri" w:hAnsi="Arial" w:cs="Arial"/>
          <w:color w:val="000000"/>
          <w:lang w:val="es-ES_tradnl"/>
        </w:rPr>
      </w:pPr>
      <w:r w:rsidRPr="00633BB8">
        <w:rPr>
          <w:rFonts w:ascii="Arial" w:eastAsia="Calibri" w:hAnsi="Arial" w:cs="Arial"/>
          <w:color w:val="000000"/>
          <w:lang w:val="es-ES_tradnl"/>
        </w:rPr>
        <w:t>En ejercicio de la competencia otorgada por el numeral 8 del artículo 11 y el numeral 5 del artículo 3 del Decreto Ley 4170 de 2011, la Agencia Nacional de Contratación Pública ― Colombia Compra Eficiente responde su consulta del 14 de septiembre de 2022.</w:t>
      </w:r>
    </w:p>
    <w:p w14:paraId="67ADC4B1" w14:textId="77777777" w:rsidR="0094607C" w:rsidRPr="00633BB8" w:rsidRDefault="0094607C" w:rsidP="0094607C">
      <w:pPr>
        <w:spacing w:line="276" w:lineRule="auto"/>
        <w:ind w:firstLine="709"/>
        <w:jc w:val="both"/>
        <w:rPr>
          <w:rFonts w:ascii="Arial" w:eastAsia="Calibri" w:hAnsi="Arial" w:cs="Arial"/>
          <w:b/>
          <w:color w:val="000000"/>
          <w:lang w:val="es-ES_tradnl"/>
        </w:rPr>
      </w:pPr>
    </w:p>
    <w:p w14:paraId="105FABE5" w14:textId="77777777" w:rsidR="0094607C" w:rsidRPr="00633BB8" w:rsidRDefault="0094607C" w:rsidP="0094607C">
      <w:pPr>
        <w:pStyle w:val="Prrafodelista"/>
        <w:numPr>
          <w:ilvl w:val="0"/>
          <w:numId w:val="5"/>
        </w:numPr>
        <w:tabs>
          <w:tab w:val="left" w:pos="0"/>
          <w:tab w:val="left" w:pos="142"/>
          <w:tab w:val="left" w:pos="284"/>
        </w:tabs>
        <w:spacing w:line="276" w:lineRule="auto"/>
        <w:ind w:left="360"/>
        <w:jc w:val="both"/>
        <w:rPr>
          <w:rFonts w:ascii="Arial" w:eastAsia="Calibri" w:hAnsi="Arial" w:cs="Arial"/>
          <w:b/>
          <w:color w:val="000000"/>
          <w:lang w:val="es-ES_tradnl"/>
        </w:rPr>
      </w:pPr>
      <w:r w:rsidRPr="00633BB8">
        <w:rPr>
          <w:rFonts w:ascii="Arial" w:eastAsia="Calibri" w:hAnsi="Arial" w:cs="Arial"/>
          <w:b/>
          <w:color w:val="000000"/>
          <w:lang w:val="es-ES_tradnl"/>
        </w:rPr>
        <w:t xml:space="preserve">Problema planteado </w:t>
      </w:r>
    </w:p>
    <w:p w14:paraId="415231C1" w14:textId="77777777" w:rsidR="0094607C" w:rsidRPr="00633BB8" w:rsidRDefault="0094607C" w:rsidP="0094607C">
      <w:pPr>
        <w:spacing w:line="276" w:lineRule="auto"/>
        <w:jc w:val="both"/>
        <w:rPr>
          <w:rFonts w:ascii="Arial" w:hAnsi="Arial" w:cs="Arial"/>
          <w:color w:val="000000"/>
          <w:lang w:val="es-ES_tradnl"/>
        </w:rPr>
      </w:pPr>
    </w:p>
    <w:p w14:paraId="094B907C" w14:textId="77777777" w:rsidR="0094607C" w:rsidRPr="00633BB8" w:rsidRDefault="0094607C" w:rsidP="0094607C">
      <w:pPr>
        <w:spacing w:line="276" w:lineRule="auto"/>
        <w:jc w:val="both"/>
        <w:rPr>
          <w:rFonts w:ascii="Arial" w:hAnsi="Arial" w:cs="Arial"/>
        </w:rPr>
      </w:pPr>
      <w:r w:rsidRPr="00633BB8">
        <w:rPr>
          <w:rFonts w:ascii="Arial" w:hAnsi="Arial" w:cs="Arial"/>
          <w:color w:val="000000" w:themeColor="text1"/>
          <w:lang w:val="es-ES_tradnl"/>
        </w:rPr>
        <w:t>En su solicitud usted indaga sobre la aplicación del artículo 2.2.1.2.4.2.14 del Decreto 1082 de 2015, adicionado por el Decreto 1860 de 2021.</w:t>
      </w:r>
      <w:r w:rsidRPr="00633BB8">
        <w:rPr>
          <w:rFonts w:ascii="Arial" w:hAnsi="Arial" w:cs="Arial"/>
        </w:rPr>
        <w:t xml:space="preserve">: </w:t>
      </w:r>
    </w:p>
    <w:p w14:paraId="32F29095" w14:textId="77777777" w:rsidR="0094607C" w:rsidRPr="00633BB8" w:rsidRDefault="0094607C" w:rsidP="0094607C">
      <w:pPr>
        <w:jc w:val="both"/>
        <w:rPr>
          <w:rFonts w:ascii="Arial" w:hAnsi="Arial" w:cs="Arial"/>
        </w:rPr>
      </w:pPr>
    </w:p>
    <w:p w14:paraId="1EA16C10" w14:textId="77777777" w:rsidR="0094607C" w:rsidRPr="00633BB8" w:rsidRDefault="0094607C" w:rsidP="0094607C">
      <w:pPr>
        <w:pStyle w:val="Prrafodelista"/>
        <w:ind w:left="709" w:right="709"/>
        <w:jc w:val="both"/>
        <w:rPr>
          <w:rFonts w:ascii="Arial" w:hAnsi="Arial" w:cs="Arial"/>
          <w:color w:val="000000"/>
        </w:rPr>
      </w:pPr>
      <w:bookmarkStart w:id="3" w:name="_Hlk116566887"/>
      <w:r w:rsidRPr="00633BB8">
        <w:rPr>
          <w:rFonts w:ascii="Arial" w:hAnsi="Arial" w:cs="Arial"/>
          <w:color w:val="000000"/>
        </w:rPr>
        <w:t>«1. ¿Debo presentar en el formato 12 todos los cargos a nivel directivo de la empresa incluyendo los de contratos de prestación de servicios o únicamente los que tienen afiliación directa con la empresa contrato laboral?</w:t>
      </w:r>
    </w:p>
    <w:p w14:paraId="31BB63AD" w14:textId="77777777" w:rsidR="0094607C" w:rsidRPr="00633BB8" w:rsidRDefault="0094607C" w:rsidP="0094607C">
      <w:pPr>
        <w:pStyle w:val="Prrafodelista"/>
        <w:ind w:left="709" w:right="709"/>
        <w:jc w:val="both"/>
        <w:rPr>
          <w:rFonts w:ascii="Arial" w:hAnsi="Arial" w:cs="Arial"/>
          <w:color w:val="000000"/>
        </w:rPr>
      </w:pPr>
    </w:p>
    <w:p w14:paraId="7CEBB0B8" w14:textId="77777777" w:rsidR="0094607C" w:rsidRPr="00633BB8" w:rsidRDefault="0094607C" w:rsidP="0094607C">
      <w:pPr>
        <w:ind w:left="709" w:right="709"/>
        <w:jc w:val="both"/>
        <w:rPr>
          <w:rFonts w:ascii="Arial" w:hAnsi="Arial" w:cs="Arial"/>
          <w:color w:val="000000"/>
        </w:rPr>
      </w:pPr>
      <w:r w:rsidRPr="00633BB8">
        <w:rPr>
          <w:rFonts w:ascii="Arial" w:eastAsiaTheme="minorHAnsi" w:hAnsi="Arial" w:cs="Arial"/>
          <w:color w:val="000000"/>
          <w:lang w:val="es-MX" w:eastAsia="en-US"/>
        </w:rPr>
        <w:t>2.</w:t>
      </w:r>
      <w:r w:rsidRPr="00633BB8">
        <w:rPr>
          <w:rFonts w:ascii="Arial" w:hAnsi="Arial" w:cs="Arial"/>
          <w:color w:val="000000"/>
        </w:rPr>
        <w:t xml:space="preserve"> El formato exige el pago de aportes del último año pagados por el empleador de las personas en cargos directivos ¿Se debe aportar también los pagos por parte de las personas con contratos de prestación de servicios que estén en cargos directivos? Ya que estos pagan su propia seguridad, pero igualmente están en cargos directivos de la empresa».</w:t>
      </w:r>
    </w:p>
    <w:p w14:paraId="78E790FB" w14:textId="77777777" w:rsidR="0094607C" w:rsidRPr="00633BB8" w:rsidRDefault="0094607C" w:rsidP="0094607C">
      <w:pPr>
        <w:ind w:left="709" w:right="709"/>
        <w:jc w:val="both"/>
        <w:rPr>
          <w:rFonts w:ascii="Arial" w:hAnsi="Arial" w:cs="Arial"/>
          <w:color w:val="000000"/>
        </w:rPr>
      </w:pPr>
    </w:p>
    <w:bookmarkEnd w:id="3"/>
    <w:p w14:paraId="66B1DD0D" w14:textId="77777777" w:rsidR="0094607C" w:rsidRPr="00633BB8" w:rsidRDefault="0094607C" w:rsidP="0094607C">
      <w:pPr>
        <w:ind w:left="709" w:right="709"/>
        <w:jc w:val="both"/>
        <w:rPr>
          <w:rFonts w:ascii="Arial" w:hAnsi="Arial" w:cs="Arial"/>
          <w:color w:val="000000"/>
          <w:lang w:val="es-MX"/>
        </w:rPr>
      </w:pPr>
    </w:p>
    <w:p w14:paraId="507A1CE7" w14:textId="77777777" w:rsidR="0094607C" w:rsidRPr="00633BB8" w:rsidRDefault="0094607C" w:rsidP="0094607C">
      <w:pPr>
        <w:pStyle w:val="Prrafodelista"/>
        <w:numPr>
          <w:ilvl w:val="0"/>
          <w:numId w:val="5"/>
        </w:numPr>
        <w:tabs>
          <w:tab w:val="left" w:pos="0"/>
          <w:tab w:val="left" w:pos="284"/>
        </w:tabs>
        <w:spacing w:line="276" w:lineRule="auto"/>
        <w:ind w:left="360"/>
        <w:jc w:val="both"/>
        <w:rPr>
          <w:rFonts w:ascii="Arial" w:eastAsia="Calibri" w:hAnsi="Arial" w:cs="Arial"/>
          <w:color w:val="000000"/>
          <w:lang w:val="es-ES_tradnl" w:eastAsia="es-ES_tradnl"/>
        </w:rPr>
      </w:pPr>
      <w:r w:rsidRPr="00633BB8">
        <w:rPr>
          <w:rFonts w:ascii="Arial" w:eastAsia="Calibri" w:hAnsi="Arial" w:cs="Arial"/>
          <w:b/>
          <w:color w:val="000000"/>
          <w:lang w:val="es-ES_tradnl"/>
        </w:rPr>
        <w:t>Consideraciones</w:t>
      </w:r>
    </w:p>
    <w:p w14:paraId="77B3BA4F" w14:textId="77777777" w:rsidR="0094607C" w:rsidRPr="00633BB8" w:rsidRDefault="0094607C" w:rsidP="0094607C">
      <w:pPr>
        <w:tabs>
          <w:tab w:val="left" w:pos="0"/>
          <w:tab w:val="left" w:pos="284"/>
        </w:tabs>
        <w:spacing w:after="120" w:line="276" w:lineRule="auto"/>
        <w:contextualSpacing/>
        <w:jc w:val="both"/>
        <w:rPr>
          <w:rFonts w:ascii="Arial" w:eastAsia="Calibri" w:hAnsi="Arial" w:cs="Arial"/>
          <w:color w:val="000000"/>
          <w:lang w:val="es-ES_tradnl"/>
        </w:rPr>
      </w:pPr>
    </w:p>
    <w:p w14:paraId="44FF5439" w14:textId="77777777" w:rsidR="0094607C" w:rsidRPr="00633BB8" w:rsidRDefault="0094607C" w:rsidP="0094607C">
      <w:pPr>
        <w:tabs>
          <w:tab w:val="left" w:pos="0"/>
          <w:tab w:val="left" w:pos="284"/>
        </w:tabs>
        <w:snapToGrid w:val="0"/>
        <w:spacing w:after="120" w:line="276" w:lineRule="auto"/>
        <w:jc w:val="both"/>
        <w:rPr>
          <w:rFonts w:ascii="Arial" w:eastAsia="Calibri" w:hAnsi="Arial" w:cs="Arial"/>
          <w:color w:val="000000"/>
          <w:lang w:val="es-ES_tradnl"/>
        </w:rPr>
      </w:pPr>
      <w:r w:rsidRPr="00633BB8">
        <w:rPr>
          <w:rFonts w:ascii="Arial" w:eastAsia="Calibri" w:hAnsi="Arial" w:cs="Arial"/>
          <w:color w:val="000000"/>
          <w:lang w:val="es-ES_tradnl"/>
        </w:rPr>
        <w:t>En ejercicio de las competencias establecidas en los artículos 3.5 y 11.8 del Decreto 4170 de 2011, la Agencia Nacional de Contratación Pública –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14:paraId="124EDB5D" w14:textId="77777777" w:rsidR="0094607C" w:rsidRPr="00633BB8" w:rsidRDefault="0094607C" w:rsidP="0094607C">
      <w:pPr>
        <w:tabs>
          <w:tab w:val="left" w:pos="0"/>
          <w:tab w:val="left" w:pos="284"/>
        </w:tabs>
        <w:snapToGrid w:val="0"/>
        <w:spacing w:after="120" w:line="276" w:lineRule="auto"/>
        <w:jc w:val="both"/>
        <w:rPr>
          <w:rFonts w:ascii="Arial" w:eastAsia="Calibri" w:hAnsi="Arial" w:cs="Arial"/>
          <w:color w:val="000000" w:themeColor="text1"/>
          <w:lang w:val="es-ES"/>
        </w:rPr>
      </w:pPr>
      <w:r w:rsidRPr="00633BB8">
        <w:rPr>
          <w:rFonts w:ascii="Arial" w:eastAsia="Calibri" w:hAnsi="Arial" w:cs="Arial"/>
          <w:color w:val="000000"/>
          <w:lang w:val="es-ES_tradnl"/>
        </w:rPr>
        <w:tab/>
      </w:r>
      <w:r w:rsidRPr="00633BB8">
        <w:rPr>
          <w:rFonts w:ascii="Arial" w:eastAsia="Calibri" w:hAnsi="Arial" w:cs="Arial"/>
          <w:color w:val="000000"/>
          <w:lang w:val="es-ES_tradnl"/>
        </w:rPr>
        <w:tab/>
        <w:t xml:space="preserve">Sin perjuicio de lo anterior, la Subdirección –dentro de los límites de sus atribuciones– resolverá la consulta conforme a las normas generales en materia de contratación estatal. Con este objetivo se analizarán los siguientes temas: i) ámbito de aplicación, obligatoriedad e inalterabilidad de los documentos tipo; ii) vigencia y reglamentación de los criterios diferenciales de la Ley 2069 de 2020; y </w:t>
      </w:r>
      <w:r w:rsidRPr="00633BB8">
        <w:rPr>
          <w:rFonts w:ascii="Arial" w:eastAsia="Calibri" w:hAnsi="Arial" w:cs="Arial"/>
        </w:rPr>
        <w:t>iii) definición de emprendimientos y empresas de mujeres en el Decreto 1860 de 2021, acreditación del criterio establecido en el numeral 2 del artículo 2.2.1.2.4.2.14 del Decreto 1082 de 2015 en procesos contratación con documentos tipo.</w:t>
      </w:r>
    </w:p>
    <w:p w14:paraId="76422B4A" w14:textId="77777777" w:rsidR="0094607C" w:rsidRPr="00633BB8" w:rsidRDefault="0094607C" w:rsidP="0094607C">
      <w:pPr>
        <w:spacing w:line="276" w:lineRule="auto"/>
        <w:ind w:firstLine="708"/>
        <w:jc w:val="both"/>
        <w:rPr>
          <w:rFonts w:ascii="Arial" w:eastAsia="Calibri" w:hAnsi="Arial" w:cs="Arial"/>
          <w:color w:val="000000" w:themeColor="text1"/>
          <w:lang w:val="es-ES"/>
        </w:rPr>
      </w:pPr>
      <w:r w:rsidRPr="00633BB8">
        <w:rPr>
          <w:rFonts w:ascii="Arial" w:eastAsia="Calibri" w:hAnsi="Arial" w:cs="Arial"/>
          <w:color w:val="000000" w:themeColor="text1"/>
          <w:lang w:val="es-ES"/>
        </w:rPr>
        <w:t>La Agencia Nacional de Contratación Pública – Colombia Compra Eficiente se ha pronunciado, en términos generales, sobre el contenido de la Ley de Emprendimiento en diferentes conceptos</w:t>
      </w:r>
      <w:r w:rsidRPr="00633BB8">
        <w:rPr>
          <w:rStyle w:val="Refdenotaalpie"/>
          <w:rFonts w:ascii="Arial" w:eastAsia="Calibri" w:hAnsi="Arial" w:cs="Arial"/>
          <w:color w:val="000000" w:themeColor="text1"/>
          <w:lang w:val="es-ES"/>
        </w:rPr>
        <w:footnoteReference w:id="2"/>
      </w:r>
      <w:r w:rsidRPr="00633BB8">
        <w:rPr>
          <w:rFonts w:ascii="Arial" w:eastAsia="Calibri" w:hAnsi="Arial" w:cs="Arial"/>
          <w:color w:val="000000" w:themeColor="text1"/>
          <w:lang w:val="es-ES"/>
        </w:rPr>
        <w:t xml:space="preserve">, refiriéndose, especialmente, a lo dispuesto en el artículo 32 de la precitada ley, alusivo a los criterios diferenciales para emprendimientos y empresas de mujeres, en los conceptos </w:t>
      </w:r>
      <w:r w:rsidRPr="00633BB8">
        <w:rPr>
          <w:rStyle w:val="normaltextrun"/>
          <w:rFonts w:ascii="Arial" w:hAnsi="Arial" w:cs="Arial"/>
          <w:color w:val="000000" w:themeColor="text1"/>
          <w:shd w:val="clear" w:color="auto" w:fill="FFFFFF"/>
        </w:rPr>
        <w:t>C-029 de 21 de febrero de 2021, C-037 del 26 de febrero de 2021, C-141 del 8 de abril de 2021, C-114 del 13 de abril de 2021, C- 031 del 1 de marzo de 2022, C-533 del 25 de agosto de 2022 y el C-540 del 29 de agosto de 2022 entre otros.</w:t>
      </w:r>
      <w:r w:rsidRPr="00633BB8">
        <w:rPr>
          <w:rFonts w:ascii="Arial" w:eastAsia="Calibri" w:hAnsi="Arial" w:cs="Arial"/>
          <w:color w:val="000000" w:themeColor="text1"/>
          <w:lang w:val="es-ES"/>
        </w:rPr>
        <w:t xml:space="preserve"> Algunas de las consideraciones de estos conceptos se reiteran y complementan a continuación.</w:t>
      </w:r>
    </w:p>
    <w:p w14:paraId="6383B20A" w14:textId="77777777" w:rsidR="0094607C" w:rsidRPr="00633BB8" w:rsidRDefault="0094607C" w:rsidP="0094607C">
      <w:pPr>
        <w:spacing w:line="276" w:lineRule="auto"/>
        <w:ind w:firstLine="708"/>
        <w:jc w:val="both"/>
        <w:rPr>
          <w:rFonts w:ascii="Arial" w:eastAsia="Calibri" w:hAnsi="Arial" w:cs="Arial"/>
          <w:color w:val="000000" w:themeColor="text1"/>
          <w:lang w:val="es-ES"/>
        </w:rPr>
      </w:pPr>
    </w:p>
    <w:p w14:paraId="4E5202B9" w14:textId="77777777" w:rsidR="0094607C" w:rsidRPr="00633BB8" w:rsidRDefault="0094607C" w:rsidP="0094607C">
      <w:pPr>
        <w:spacing w:line="276" w:lineRule="auto"/>
        <w:jc w:val="both"/>
        <w:rPr>
          <w:rFonts w:ascii="Arial" w:eastAsia="Calibri" w:hAnsi="Arial" w:cs="Arial"/>
          <w:b/>
          <w:bCs/>
          <w:color w:val="000000" w:themeColor="text1"/>
          <w:lang w:val="es-ES"/>
        </w:rPr>
      </w:pPr>
      <w:r w:rsidRPr="00633BB8">
        <w:rPr>
          <w:rFonts w:ascii="Arial" w:eastAsia="Calibri" w:hAnsi="Arial" w:cs="Arial"/>
          <w:b/>
          <w:bCs/>
          <w:color w:val="000000" w:themeColor="text1"/>
          <w:lang w:val="es-ES"/>
        </w:rPr>
        <w:t xml:space="preserve">2.1. </w:t>
      </w:r>
      <w:bookmarkStart w:id="4" w:name="_Hlk117599929"/>
      <w:r w:rsidRPr="00633BB8">
        <w:rPr>
          <w:rFonts w:ascii="Arial" w:eastAsia="Calibri" w:hAnsi="Arial" w:cs="Arial"/>
          <w:b/>
          <w:bCs/>
          <w:color w:val="000000" w:themeColor="text1"/>
          <w:lang w:val="es-ES"/>
        </w:rPr>
        <w:t xml:space="preserve">Ámbito de aplicación, obligatoriedad e inalterabilidad de los documentos tipo </w:t>
      </w:r>
      <w:bookmarkEnd w:id="4"/>
    </w:p>
    <w:p w14:paraId="3B3F4BEC" w14:textId="77777777" w:rsidR="0094607C" w:rsidRPr="00633BB8" w:rsidRDefault="0094607C" w:rsidP="0094607C">
      <w:pPr>
        <w:ind w:firstLine="708"/>
        <w:jc w:val="both"/>
        <w:rPr>
          <w:rFonts w:ascii="Arial" w:eastAsia="Calibri" w:hAnsi="Arial" w:cs="Arial"/>
          <w:color w:val="000000" w:themeColor="text1"/>
          <w:lang w:val="es-ES"/>
        </w:rPr>
      </w:pPr>
    </w:p>
    <w:p w14:paraId="065078FA" w14:textId="77777777" w:rsidR="0094607C" w:rsidRPr="00633BB8" w:rsidRDefault="0094607C" w:rsidP="0094607C">
      <w:pPr>
        <w:spacing w:after="120" w:line="276" w:lineRule="auto"/>
        <w:jc w:val="both"/>
        <w:rPr>
          <w:rFonts w:ascii="Arial" w:eastAsia="Calibri" w:hAnsi="Arial" w:cs="Arial"/>
          <w:color w:val="000000" w:themeColor="text1"/>
          <w:lang w:val="es-ES"/>
        </w:rPr>
      </w:pPr>
      <w:r w:rsidRPr="00633BB8">
        <w:rPr>
          <w:rFonts w:ascii="Arial" w:eastAsia="Calibri" w:hAnsi="Arial" w:cs="Arial"/>
          <w:color w:val="000000" w:themeColor="text1"/>
          <w:lang w:val="es-ES"/>
        </w:rPr>
        <w:t xml:space="preserve">Los documentos tipo surgen con la expedición de la Ley 1150 de 2007 cuando el legislador facultó al Gobierno Nacional para adoptarlos en la compra o suministro de bienes y servicios de características técnicas uniformes. Posteriormente, la Ley 1882 de 2018 en el artículo 4, adiciona el parágrafo 7º al artículo 2 de la Ley 1150 de 2007, y establece la obligatoriedad de la adopción de documentos tipo para algunos contratos, en los siguientes términos: </w:t>
      </w:r>
    </w:p>
    <w:p w14:paraId="583DB2EF" w14:textId="77777777" w:rsidR="0094607C" w:rsidRPr="00633BB8" w:rsidRDefault="0094607C" w:rsidP="0094607C">
      <w:pPr>
        <w:spacing w:after="120" w:line="276" w:lineRule="auto"/>
        <w:ind w:firstLine="709"/>
        <w:jc w:val="both"/>
        <w:rPr>
          <w:rFonts w:ascii="Arial" w:eastAsia="Calibri" w:hAnsi="Arial" w:cs="Arial"/>
          <w:color w:val="000000" w:themeColor="text1"/>
          <w:lang w:val="es-ES"/>
        </w:rPr>
      </w:pPr>
      <w:r w:rsidRPr="00633BB8">
        <w:rPr>
          <w:rFonts w:ascii="Arial" w:eastAsia="Calibri" w:hAnsi="Arial" w:cs="Arial"/>
          <w:color w:val="000000" w:themeColor="text1"/>
          <w:lang w:val="es-ES"/>
        </w:rPr>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 teniendo en cuenta la naturaleza y cuantía de los contratos […] (Énfasis fuera de texto). </w:t>
      </w:r>
    </w:p>
    <w:p w14:paraId="520669CB" w14:textId="77777777" w:rsidR="0094607C" w:rsidRPr="00633BB8" w:rsidRDefault="0094607C" w:rsidP="0094607C">
      <w:pPr>
        <w:spacing w:after="120" w:line="276" w:lineRule="auto"/>
        <w:jc w:val="both"/>
        <w:rPr>
          <w:rFonts w:ascii="Arial" w:eastAsia="Calibri" w:hAnsi="Arial" w:cs="Arial"/>
          <w:color w:val="000000" w:themeColor="text1"/>
          <w:lang w:val="es-ES"/>
        </w:rPr>
      </w:pPr>
      <w:r w:rsidRPr="00633BB8">
        <w:rPr>
          <w:rFonts w:ascii="Arial" w:eastAsia="Calibri" w:hAnsi="Arial" w:cs="Arial"/>
          <w:color w:val="000000" w:themeColor="text1"/>
          <w:lang w:val="es-ES"/>
        </w:rPr>
        <w:tab/>
        <w:t>La redacción original del artículo 4 de la Ley 1882 de 2018 establecía que al Gobierno Nacional le correspondía adoptar los documentos tipo, pero posteriormente, la Ley 2022 del 22 de julio de 2020 otorgó esta competencia a la Agencia Nacional de Contratación Pública – Colombia Compra Eficiente. Así, el artículo 1 de esta Ley modificó el artículo 4 de la Ley 1882 de 2018 en relación con: i) el sujeto encargado de la adopción de los documentos tipo, pues la competencia había sido otorgada al Gobierno Nacional, pero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 responsabilidad para Colombia Compra Eficiente en la definición del desarrollo e implementación de los documentos tipo mediante cronogramas, coordinación con otras entidades especializadas, recepción de comentarios de los interesados y revisión de los documentos tipo expedidos.</w:t>
      </w:r>
    </w:p>
    <w:p w14:paraId="5B156AF5" w14:textId="77777777" w:rsidR="0094607C" w:rsidRPr="00633BB8" w:rsidRDefault="0094607C" w:rsidP="0094607C">
      <w:pPr>
        <w:spacing w:after="120" w:line="276" w:lineRule="auto"/>
        <w:ind w:firstLine="709"/>
        <w:jc w:val="both"/>
        <w:rPr>
          <w:rFonts w:ascii="Arial" w:eastAsia="Calibri" w:hAnsi="Arial" w:cs="Arial"/>
          <w:color w:val="000000" w:themeColor="text1"/>
          <w:lang w:val="es-ES"/>
        </w:rPr>
      </w:pPr>
      <w:r w:rsidRPr="00633BB8">
        <w:rPr>
          <w:rFonts w:ascii="Arial" w:eastAsia="Calibri" w:hAnsi="Arial" w:cs="Arial"/>
          <w:color w:val="000000" w:themeColor="text1"/>
          <w:lang w:val="es-ES"/>
        </w:rPr>
        <w:t>Además, la Ley 2022 de 2020 señala que los documentos tipo adoptados por la Agencia Nacional de Contratación Pública son de obligatorio cumplimiento por todas las entidades públicas, cuyo régimen de contratación sea el Estatuto General de la Contratación de la Administración Pública ‒EGCAP‒. Esta obligatoriedad implica que las entidades estatales tengan que adelantar los procesos de contratación bajo las condiciones establecidas en los documentos tipo que rijan para el objeto a contratar, sin que puedan variarse los requisitos fijados en ellos. Lo anterior, por cuanto los documentos tipo se caracterizan por ser inalterables, es decir, que las entidades públicas carecen de la facultad de modificarlos, con excepción de aquellos aspectos que pueden diligenciar, es decir, las descripciones que están incluidas entre corchetes y resaltadas en gris en cada uno de los documentos tipo o en lugares en que expresamente los documentos tipo admitan su modificación.</w:t>
      </w:r>
    </w:p>
    <w:p w14:paraId="5FB52D84" w14:textId="77777777" w:rsidR="0094607C" w:rsidRPr="00633BB8" w:rsidRDefault="0094607C" w:rsidP="0094607C">
      <w:pPr>
        <w:spacing w:after="120" w:line="276" w:lineRule="auto"/>
        <w:ind w:firstLine="709"/>
        <w:jc w:val="both"/>
        <w:rPr>
          <w:rFonts w:ascii="Arial" w:eastAsia="Calibri" w:hAnsi="Arial" w:cs="Arial"/>
          <w:color w:val="000000" w:themeColor="text1"/>
          <w:lang w:val="es-ES"/>
        </w:rPr>
      </w:pPr>
      <w:r w:rsidRPr="00633BB8">
        <w:rPr>
          <w:rFonts w:ascii="Arial" w:eastAsia="Calibri" w:hAnsi="Arial" w:cs="Arial"/>
          <w:color w:val="000000" w:themeColor="text1"/>
          <w:lang w:val="es-ES"/>
        </w:rPr>
        <w:t xml:space="preserve">Esta es una regla que está consagrada en las resoluciones expedidas por la Agencia Nacional de Contratación Pública – Colombia Compra Eficiente, mediante las cuales se han adoptado los distintos documentos. Por ello, la inalterabilidad es una prohibición que consiste en que las entidades estatales no pueden incluir o modificar en los Documentos del Proceso las condiciones habilitantes, los factores técnicos y económicos de escogencia y los sistemas de ponderación distintos a los señalados en los documentos tipo.  </w:t>
      </w:r>
    </w:p>
    <w:p w14:paraId="44A00C1A" w14:textId="77777777" w:rsidR="0094607C" w:rsidRPr="00633BB8" w:rsidRDefault="0094607C" w:rsidP="0094607C">
      <w:pPr>
        <w:spacing w:line="276" w:lineRule="auto"/>
        <w:ind w:firstLine="709"/>
        <w:jc w:val="both"/>
        <w:rPr>
          <w:rFonts w:ascii="Arial" w:eastAsia="Calibri" w:hAnsi="Arial" w:cs="Arial"/>
          <w:color w:val="000000" w:themeColor="text1"/>
          <w:lang w:val="es-ES"/>
        </w:rPr>
      </w:pPr>
      <w:r w:rsidRPr="00633BB8">
        <w:rPr>
          <w:rFonts w:ascii="Arial" w:eastAsia="Calibri" w:hAnsi="Arial" w:cs="Arial"/>
          <w:color w:val="000000" w:themeColor="text1"/>
          <w:lang w:val="es-ES"/>
        </w:rPr>
        <w:t>En consecuencia, las condiciones establecidas en los documentos tipo son de obligatorio cumplimiento para las entidades sometidas al Estatuto General de Contratación de la Administración Pública que adelanten procesos que deban regirse por su contenido, y su alcance y ámbito de aplicación está definido en las resoluciones que los adoptan.</w:t>
      </w:r>
    </w:p>
    <w:p w14:paraId="4AFD118B" w14:textId="77777777" w:rsidR="0094607C" w:rsidRPr="00633BB8" w:rsidRDefault="0094607C" w:rsidP="0094607C">
      <w:pPr>
        <w:spacing w:line="276" w:lineRule="auto"/>
        <w:ind w:firstLine="708"/>
        <w:jc w:val="both"/>
        <w:rPr>
          <w:rFonts w:ascii="Arial" w:eastAsia="Calibri" w:hAnsi="Arial" w:cs="Arial"/>
          <w:color w:val="000000" w:themeColor="text1"/>
          <w:lang w:val="es-ES"/>
        </w:rPr>
      </w:pPr>
    </w:p>
    <w:p w14:paraId="6996E200" w14:textId="77777777" w:rsidR="0094607C" w:rsidRPr="00633BB8" w:rsidRDefault="0094607C" w:rsidP="0094607C">
      <w:pPr>
        <w:spacing w:line="276" w:lineRule="auto"/>
        <w:jc w:val="both"/>
        <w:rPr>
          <w:rFonts w:ascii="Arial" w:eastAsia="Calibri" w:hAnsi="Arial" w:cs="Arial"/>
          <w:b/>
          <w:bCs/>
          <w:lang w:val="es-ES_tradnl"/>
        </w:rPr>
      </w:pPr>
      <w:bookmarkStart w:id="5" w:name="_Hlk81469948"/>
      <w:r w:rsidRPr="00633BB8">
        <w:rPr>
          <w:rFonts w:ascii="Arial" w:eastAsia="Calibri" w:hAnsi="Arial" w:cs="Arial"/>
          <w:b/>
          <w:bCs/>
          <w:lang w:val="es-ES_tradnl"/>
        </w:rPr>
        <w:t xml:space="preserve">2.2. </w:t>
      </w:r>
      <w:bookmarkStart w:id="6" w:name="_Hlk94018153"/>
      <w:r w:rsidRPr="00633BB8">
        <w:rPr>
          <w:rFonts w:ascii="Arial" w:eastAsia="Calibri" w:hAnsi="Arial" w:cs="Arial"/>
          <w:b/>
          <w:bCs/>
          <w:lang w:val="es-ES_tradnl"/>
        </w:rPr>
        <w:t xml:space="preserve">Vigencia y reglamentación de los criterios diferenciales de la Ley 2069 de 2020 </w:t>
      </w:r>
      <w:bookmarkEnd w:id="6"/>
    </w:p>
    <w:p w14:paraId="5C691867" w14:textId="77777777" w:rsidR="0094607C" w:rsidRPr="00633BB8" w:rsidRDefault="0094607C" w:rsidP="0094607C">
      <w:pPr>
        <w:spacing w:line="276" w:lineRule="auto"/>
        <w:jc w:val="both"/>
        <w:rPr>
          <w:rFonts w:ascii="Arial" w:eastAsia="Calibri" w:hAnsi="Arial" w:cs="Arial"/>
          <w:b/>
          <w:bCs/>
          <w:lang w:val="es-ES_tradnl"/>
        </w:rPr>
      </w:pPr>
    </w:p>
    <w:p w14:paraId="46DA11AB" w14:textId="77777777" w:rsidR="0094607C" w:rsidRPr="00633BB8" w:rsidRDefault="0094607C" w:rsidP="0094607C">
      <w:pPr>
        <w:spacing w:after="120" w:line="276" w:lineRule="auto"/>
        <w:jc w:val="both"/>
        <w:rPr>
          <w:rFonts w:ascii="Arial" w:eastAsia="Calibri" w:hAnsi="Arial" w:cs="Arial"/>
          <w:lang w:val="es-ES_tradnl"/>
        </w:rPr>
      </w:pPr>
      <w:r w:rsidRPr="00633BB8">
        <w:rPr>
          <w:rFonts w:ascii="Arial" w:eastAsia="Calibri" w:hAnsi="Arial" w:cs="Arial"/>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p>
    <w:p w14:paraId="36E49654" w14:textId="77777777" w:rsidR="0094607C" w:rsidRPr="00633BB8" w:rsidRDefault="0094607C" w:rsidP="0094607C">
      <w:pPr>
        <w:spacing w:after="120" w:line="276" w:lineRule="auto"/>
        <w:ind w:firstLine="709"/>
        <w:jc w:val="both"/>
        <w:rPr>
          <w:rFonts w:ascii="Arial" w:eastAsia="Calibri" w:hAnsi="Arial" w:cs="Arial"/>
          <w:lang w:val="es-ES_tradnl"/>
        </w:rPr>
      </w:pPr>
      <w:r w:rsidRPr="00633BB8">
        <w:rPr>
          <w:rFonts w:ascii="Arial" w:eastAsia="Calibri" w:hAnsi="Arial" w:cs="Arial"/>
          <w:lang w:val="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633BB8">
        <w:rPr>
          <w:rFonts w:ascii="Arial" w:eastAsia="Calibri" w:hAnsi="Arial" w:cs="Arial"/>
          <w:vertAlign w:val="superscript"/>
          <w:lang w:val="es-ES_tradnl"/>
        </w:rPr>
        <w:footnoteReference w:id="3"/>
      </w:r>
      <w:r w:rsidRPr="00633BB8">
        <w:rPr>
          <w:rFonts w:ascii="Arial" w:eastAsia="Calibri" w:hAnsi="Arial" w:cs="Arial"/>
          <w:lang w:val="es-ES_tradnl"/>
        </w:rPr>
        <w:t>. Esto, a partir de «[…] un enfoque regionalizado de acuerdo con las realidades socioeconómicas de cada región». En desarrollo de esta finalidad, se establecen medidas de apoyo para las micro, pequeñas y medianas empresas –mipymes–, mediante la racionalización y simplificación de los trámites y tarifas</w:t>
      </w:r>
      <w:r w:rsidRPr="00633BB8">
        <w:rPr>
          <w:rStyle w:val="Refdenotaalpie"/>
          <w:rFonts w:ascii="Arial" w:eastAsia="Calibri" w:hAnsi="Arial" w:cs="Arial"/>
          <w:lang w:val="es-ES_tradnl"/>
        </w:rPr>
        <w:footnoteReference w:id="4"/>
      </w:r>
      <w:r w:rsidRPr="00633BB8">
        <w:rPr>
          <w:rFonts w:ascii="Arial" w:eastAsia="Calibri" w:hAnsi="Arial" w:cs="Arial"/>
          <w:lang w:val="es-ES_tradnl"/>
        </w:rPr>
        <w:t>, así como incentivos a favor de aquellas dentro del sistema de compras y contratación pública</w:t>
      </w:r>
      <w:r w:rsidRPr="00633BB8">
        <w:rPr>
          <w:rStyle w:val="Refdenotaalpie"/>
          <w:rFonts w:ascii="Arial" w:eastAsia="Calibri" w:hAnsi="Arial" w:cs="Arial"/>
          <w:lang w:val="es-ES_tradnl"/>
        </w:rPr>
        <w:footnoteReference w:id="5"/>
      </w:r>
      <w:r w:rsidRPr="00633BB8">
        <w:rPr>
          <w:rFonts w:ascii="Arial" w:eastAsia="Calibri" w:hAnsi="Arial" w:cs="Arial"/>
          <w:lang w:val="es-ES_tradnl"/>
        </w:rPr>
        <w:t>. También se consagran mecanismos de acceso al financiamiento</w:t>
      </w:r>
      <w:r w:rsidRPr="00633BB8">
        <w:rPr>
          <w:rStyle w:val="Refdenotaalpie"/>
          <w:rFonts w:ascii="Arial" w:eastAsia="Calibri" w:hAnsi="Arial" w:cs="Arial"/>
          <w:lang w:val="es-ES_tradnl"/>
        </w:rPr>
        <w:footnoteReference w:id="6"/>
      </w:r>
      <w:r w:rsidRPr="00633BB8">
        <w:rPr>
          <w:rFonts w:ascii="Arial" w:eastAsia="Calibri" w:hAnsi="Arial" w:cs="Arial"/>
          <w:lang w:val="es-ES_tradnl"/>
        </w:rPr>
        <w:t>, se unifican las fuentes de emprendimiento y de desarrollo empresarial, para fortalecer y promover los distintos sectores de la economía</w:t>
      </w:r>
      <w:r w:rsidRPr="00633BB8">
        <w:rPr>
          <w:rStyle w:val="Refdenotaalpie"/>
          <w:rFonts w:ascii="Arial" w:eastAsia="Calibri" w:hAnsi="Arial" w:cs="Arial"/>
          <w:lang w:val="es-ES_tradnl"/>
        </w:rPr>
        <w:footnoteReference w:id="7"/>
      </w:r>
      <w:r w:rsidRPr="00633BB8">
        <w:rPr>
          <w:rFonts w:ascii="Arial" w:eastAsia="Calibri" w:hAnsi="Arial" w:cs="Arial"/>
          <w:lang w:val="es-ES_tradnl"/>
        </w:rPr>
        <w:t xml:space="preserve"> y se prevén medidas de educación para el emprendimiento y la innovación</w:t>
      </w:r>
      <w:r w:rsidRPr="00633BB8">
        <w:rPr>
          <w:rStyle w:val="Refdenotaalpie"/>
          <w:rFonts w:ascii="Arial" w:eastAsia="Calibri" w:hAnsi="Arial" w:cs="Arial"/>
          <w:lang w:val="es-ES_tradnl"/>
        </w:rPr>
        <w:footnoteReference w:id="8"/>
      </w:r>
      <w:r w:rsidRPr="00633BB8">
        <w:rPr>
          <w:rFonts w:ascii="Arial" w:eastAsia="Calibri" w:hAnsi="Arial" w:cs="Arial"/>
          <w:lang w:val="es-ES_tradnl"/>
        </w:rPr>
        <w:t>.</w:t>
      </w:r>
    </w:p>
    <w:p w14:paraId="7A67D9BF" w14:textId="77777777" w:rsidR="0094607C" w:rsidRPr="00633BB8" w:rsidRDefault="0094607C" w:rsidP="0094607C">
      <w:pPr>
        <w:spacing w:before="120" w:after="120" w:line="276" w:lineRule="auto"/>
        <w:ind w:firstLine="709"/>
        <w:jc w:val="both"/>
        <w:rPr>
          <w:rFonts w:ascii="Arial" w:eastAsia="Calibri" w:hAnsi="Arial" w:cs="Arial"/>
          <w:lang w:val="es-ES_tradnl"/>
        </w:rPr>
      </w:pPr>
      <w:r w:rsidRPr="00633BB8">
        <w:rPr>
          <w:rFonts w:ascii="Arial" w:eastAsia="Calibri" w:hAnsi="Arial" w:cs="Arial"/>
          <w:lang w:val="es-ES_tradnl"/>
        </w:rPr>
        <w:t>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a continuación, se estudiará el contenido y alcance de dicha norma</w:t>
      </w:r>
      <w:r w:rsidRPr="00633BB8">
        <w:rPr>
          <w:rFonts w:ascii="Arial" w:eastAsia="Calibri" w:hAnsi="Arial" w:cs="Arial"/>
          <w:bCs/>
          <w:vertAlign w:val="superscript"/>
          <w:lang w:val="es-MX"/>
        </w:rPr>
        <w:footnoteReference w:id="9"/>
      </w:r>
      <w:r w:rsidRPr="00633BB8">
        <w:rPr>
          <w:rFonts w:ascii="Arial" w:eastAsia="Calibri" w:hAnsi="Arial" w:cs="Arial"/>
          <w:lang w:val="es-ES_tradnl"/>
        </w:rPr>
        <w:t xml:space="preserve">.  </w:t>
      </w:r>
    </w:p>
    <w:p w14:paraId="7D196E4B" w14:textId="77777777" w:rsidR="0094607C" w:rsidRPr="00633BB8" w:rsidRDefault="0094607C" w:rsidP="0094607C">
      <w:pPr>
        <w:tabs>
          <w:tab w:val="left" w:pos="709"/>
        </w:tabs>
        <w:spacing w:after="120" w:line="276" w:lineRule="auto"/>
        <w:jc w:val="both"/>
        <w:rPr>
          <w:rFonts w:ascii="Arial" w:eastAsia="Calibri" w:hAnsi="Arial" w:cs="Arial"/>
          <w:bCs/>
        </w:rPr>
      </w:pPr>
      <w:r w:rsidRPr="00633BB8">
        <w:rPr>
          <w:rFonts w:ascii="Arial" w:eastAsia="Calibri" w:hAnsi="Arial" w:cs="Arial"/>
          <w:bCs/>
        </w:rPr>
        <w:tab/>
      </w:r>
      <w:bookmarkStart w:id="8" w:name="_Hlk63848566"/>
      <w:r w:rsidRPr="00633BB8">
        <w:rPr>
          <w:rFonts w:ascii="Arial" w:eastAsia="Calibri" w:hAnsi="Arial" w:cs="Arial"/>
          <w:bCs/>
        </w:rPr>
        <w:t>Los artículos 31 y 32 de la Ley 2069 de 2020</w:t>
      </w:r>
      <w:bookmarkEnd w:id="8"/>
      <w:r w:rsidRPr="00633BB8">
        <w:rPr>
          <w:rFonts w:ascii="Arial" w:eastAsia="Calibri" w:hAnsi="Arial" w:cs="Arial"/>
          <w:bCs/>
        </w:rPr>
        <w:t xml:space="preserve">, crean una serie de incentivos para las personas interesadas en celebrar contratos con el Estado. </w:t>
      </w:r>
      <w:r w:rsidRPr="00633BB8">
        <w:rPr>
          <w:rFonts w:ascii="Arial" w:eastAsia="Calibri" w:hAnsi="Arial" w:cs="Arial"/>
          <w:bCs/>
          <w:lang w:val="es-ES_tradnl"/>
        </w:rPr>
        <w:t xml:space="preserve">Por un lado, el artículo 31 </w:t>
      </w:r>
      <w:r w:rsidRPr="00633BB8">
        <w:rPr>
          <w:rFonts w:ascii="Arial" w:eastAsia="Calibri" w:hAnsi="Arial" w:cs="Arial"/>
          <w:bCs/>
        </w:rPr>
        <w:t xml:space="preserve">introduce criterios diferenciales para el acceso de las mipymes al sistema de compras y contratación pública, estableciendo que «Las Entidades Estatales de acuerdo con el análisis del Sector </w:t>
      </w:r>
      <w:bookmarkStart w:id="9" w:name="_Hlk63767562"/>
      <w:r w:rsidRPr="00633BB8">
        <w:rPr>
          <w:rFonts w:ascii="Arial" w:eastAsia="Calibri" w:hAnsi="Arial" w:cs="Arial"/>
          <w:bCs/>
        </w:rPr>
        <w:t>podrán incluir, en los Documentos del Proceso, requisitos diferenciales y puntajes adicionales</w:t>
      </w:r>
      <w:bookmarkEnd w:id="9"/>
      <w:r w:rsidRPr="00633BB8">
        <w:rPr>
          <w:rFonts w:ascii="Arial" w:eastAsia="Calibri" w:hAnsi="Arial" w:cs="Arial"/>
          <w:bCs/>
        </w:rPr>
        <w:t xml:space="preserve">, en función del tamaño empresarial para la promoción del acceso de las MIPYMES al mercado de Compras Públicas».  </w:t>
      </w:r>
    </w:p>
    <w:p w14:paraId="53A92177" w14:textId="77777777" w:rsidR="0094607C" w:rsidRPr="00633BB8" w:rsidRDefault="0094607C" w:rsidP="0094607C">
      <w:pPr>
        <w:tabs>
          <w:tab w:val="left" w:pos="709"/>
        </w:tabs>
        <w:spacing w:after="120" w:line="276" w:lineRule="auto"/>
        <w:jc w:val="both"/>
        <w:rPr>
          <w:rFonts w:ascii="Arial" w:eastAsia="Calibri" w:hAnsi="Arial" w:cs="Arial"/>
          <w:bCs/>
        </w:rPr>
      </w:pPr>
      <w:r w:rsidRPr="00633BB8">
        <w:rPr>
          <w:rFonts w:ascii="Arial" w:eastAsia="Calibri" w:hAnsi="Arial" w:cs="Arial"/>
          <w:bCs/>
        </w:rPr>
        <w:tab/>
        <w:t xml:space="preserve">Además, el inciso segundo y el parágrafo del </w:t>
      </w:r>
      <w:r w:rsidRPr="00633BB8">
        <w:rPr>
          <w:rFonts w:ascii="Arial" w:eastAsia="Calibri" w:hAnsi="Arial" w:cs="Arial"/>
          <w:bCs/>
          <w:lang w:val="es-ES_tradnl"/>
        </w:rPr>
        <w:t xml:space="preserve">artículo 31 </w:t>
      </w:r>
      <w:r w:rsidRPr="00633BB8">
        <w:rPr>
          <w:rFonts w:ascii="Arial" w:eastAsia="Calibri" w:hAnsi="Arial" w:cs="Arial"/>
          <w:bCs/>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1A75B391" w14:textId="77777777" w:rsidR="0094607C" w:rsidRPr="00633BB8" w:rsidRDefault="0094607C" w:rsidP="0094607C">
      <w:pPr>
        <w:tabs>
          <w:tab w:val="left" w:pos="709"/>
        </w:tabs>
        <w:spacing w:line="276" w:lineRule="auto"/>
        <w:jc w:val="both"/>
        <w:rPr>
          <w:rFonts w:ascii="Arial" w:eastAsia="Calibri" w:hAnsi="Arial" w:cs="Arial"/>
          <w:bCs/>
        </w:rPr>
      </w:pPr>
      <w:r w:rsidRPr="00633BB8">
        <w:rPr>
          <w:rFonts w:ascii="Arial" w:eastAsia="Calibri" w:hAnsi="Arial" w:cs="Arial"/>
          <w:bCs/>
        </w:rPr>
        <w:tab/>
        <w:t>Por otra parte, el artículo 32 de la Ley 2069 de 2020</w:t>
      </w:r>
      <w:r w:rsidRPr="00633BB8">
        <w:rPr>
          <w:rStyle w:val="Refdenotaalpie"/>
          <w:rFonts w:ascii="Arial" w:eastAsia="Calibri" w:hAnsi="Arial" w:cs="Arial"/>
          <w:bCs/>
        </w:rPr>
        <w:footnoteReference w:id="10"/>
      </w:r>
      <w:r w:rsidRPr="00633BB8">
        <w:rPr>
          <w:rFonts w:ascii="Arial" w:eastAsia="Calibri" w:hAnsi="Arial" w:cs="Arial"/>
          <w:bCs/>
        </w:rPr>
        <w:t xml:space="preserve"> regula criterios diferenciales para los «emprendimientos y empresas de mujeres» en el sistema de compras y contratación pública. En relación con este aspecto, el inciso primero de la norma citada prescribe lo siguiente: </w:t>
      </w:r>
    </w:p>
    <w:p w14:paraId="30767348" w14:textId="77777777" w:rsidR="0094607C" w:rsidRPr="00633BB8" w:rsidRDefault="0094607C" w:rsidP="0094607C">
      <w:pPr>
        <w:tabs>
          <w:tab w:val="left" w:pos="709"/>
        </w:tabs>
        <w:spacing w:line="276" w:lineRule="auto"/>
        <w:jc w:val="both"/>
        <w:rPr>
          <w:rFonts w:ascii="Arial" w:eastAsia="Calibri" w:hAnsi="Arial" w:cs="Arial"/>
          <w:bCs/>
        </w:rPr>
      </w:pPr>
    </w:p>
    <w:p w14:paraId="4B314E13" w14:textId="77777777" w:rsidR="0094607C" w:rsidRPr="00633BB8" w:rsidRDefault="0094607C" w:rsidP="0094607C">
      <w:pPr>
        <w:tabs>
          <w:tab w:val="left" w:pos="709"/>
        </w:tabs>
        <w:ind w:left="709" w:right="709"/>
        <w:jc w:val="both"/>
        <w:rPr>
          <w:rFonts w:ascii="Arial" w:eastAsia="Calibri" w:hAnsi="Arial" w:cs="Arial"/>
          <w:bCs/>
        </w:rPr>
      </w:pPr>
      <w:r w:rsidRPr="00633BB8">
        <w:rPr>
          <w:rFonts w:ascii="Arial" w:eastAsia="Calibri" w:hAnsi="Arial" w:cs="Arial"/>
          <w:bCs/>
        </w:rPr>
        <w:t xml:space="preserve">De acuerdo con el resultado del análisis del sector, las entidades estatales incluirán requisitos diferenciales y puntajes adicionales en los procesos de </w:t>
      </w:r>
      <w:bookmarkStart w:id="10" w:name="_Hlk63770487"/>
      <w:r w:rsidRPr="00633BB8">
        <w:rPr>
          <w:rFonts w:ascii="Arial" w:eastAsia="Calibri" w:hAnsi="Arial" w:cs="Arial"/>
          <w:bCs/>
        </w:rPr>
        <w:t>licitación pública, selección abreviada de menor cuantía y concurso de méritos</w:t>
      </w:r>
      <w:bookmarkEnd w:id="10"/>
      <w:r w:rsidRPr="00633BB8">
        <w:rPr>
          <w:rFonts w:ascii="Arial" w:eastAsia="Calibri" w:hAnsi="Arial" w:cs="Arial"/>
          <w:bCs/>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3D8CFC3B" w14:textId="77777777" w:rsidR="0094607C" w:rsidRPr="00633BB8" w:rsidRDefault="0094607C" w:rsidP="0094607C">
      <w:pPr>
        <w:tabs>
          <w:tab w:val="left" w:pos="709"/>
        </w:tabs>
        <w:ind w:left="709" w:right="709"/>
        <w:jc w:val="both"/>
        <w:rPr>
          <w:rFonts w:ascii="Arial" w:eastAsia="Calibri" w:hAnsi="Arial" w:cs="Arial"/>
          <w:bCs/>
        </w:rPr>
      </w:pPr>
    </w:p>
    <w:p w14:paraId="64B5284A" w14:textId="77777777" w:rsidR="0094607C" w:rsidRPr="00633BB8" w:rsidRDefault="0094607C" w:rsidP="0094607C">
      <w:pPr>
        <w:tabs>
          <w:tab w:val="left" w:pos="709"/>
        </w:tabs>
        <w:spacing w:after="120" w:line="276" w:lineRule="auto"/>
        <w:jc w:val="both"/>
        <w:rPr>
          <w:rFonts w:ascii="Arial" w:eastAsia="Calibri" w:hAnsi="Arial" w:cs="Arial"/>
          <w:bCs/>
        </w:rPr>
      </w:pPr>
      <w:r w:rsidRPr="00633BB8">
        <w:rPr>
          <w:rFonts w:ascii="Arial" w:eastAsia="Calibri" w:hAnsi="Arial" w:cs="Arial"/>
          <w:bCs/>
        </w:rPr>
        <w:tab/>
        <w:t xml:space="preserve">La norma analizada contiene los denominados «requisitos diferenciales» y adicionalmente los «puntajes adicionales»– los cuales aplicaran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que realicen las entidades estatales excluidas de la Ley 80 de 1993.     </w:t>
      </w:r>
    </w:p>
    <w:p w14:paraId="14D79C51" w14:textId="77777777" w:rsidR="0094607C" w:rsidRPr="00633BB8" w:rsidRDefault="0094607C" w:rsidP="0094607C">
      <w:pPr>
        <w:spacing w:before="120" w:after="120" w:line="276" w:lineRule="auto"/>
        <w:ind w:firstLine="709"/>
        <w:jc w:val="both"/>
        <w:rPr>
          <w:rFonts w:ascii="Arial" w:eastAsia="Calibri" w:hAnsi="Arial" w:cs="Arial"/>
          <w:lang w:val="es-ES_tradnl"/>
        </w:rPr>
      </w:pPr>
      <w:r w:rsidRPr="00633BB8">
        <w:rPr>
          <w:rFonts w:ascii="Arial" w:eastAsia="Calibri" w:hAnsi="Arial" w:cs="Arial"/>
          <w:bCs/>
        </w:rPr>
        <w:t xml:space="preserve">Ahora bien, el artículo 32 de la Ley 2069 de 2020,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2E948573" w14:textId="77777777" w:rsidR="0094607C" w:rsidRPr="00633BB8" w:rsidRDefault="0094607C" w:rsidP="0094607C">
      <w:pPr>
        <w:spacing w:after="120" w:line="276" w:lineRule="auto"/>
        <w:jc w:val="both"/>
        <w:rPr>
          <w:rFonts w:ascii="Arial" w:eastAsia="Calibri" w:hAnsi="Arial" w:cs="Arial"/>
          <w:lang w:val="es-ES_tradnl"/>
        </w:rPr>
      </w:pPr>
      <w:r w:rsidRPr="00633BB8">
        <w:rPr>
          <w:rFonts w:ascii="Arial" w:eastAsia="Calibri" w:hAnsi="Arial" w:cs="Arial"/>
          <w:b/>
          <w:bCs/>
          <w:lang w:val="es-ES_tradnl"/>
        </w:rPr>
        <w:tab/>
      </w:r>
      <w:r w:rsidRPr="00633BB8">
        <w:rPr>
          <w:rFonts w:ascii="Arial" w:eastAsia="Calibri" w:hAnsi="Arial" w:cs="Arial"/>
          <w:lang w:val="es-ES_tradnl"/>
        </w:rPr>
        <w:t>En este contexto, el pasado 24 de diciembre, el gobierno nacional expidió el Decreto 1860 de 2021</w:t>
      </w:r>
      <w:r w:rsidRPr="00633BB8">
        <w:rPr>
          <w:rFonts w:ascii="Arial" w:hAnsi="Arial" w:cs="Arial"/>
        </w:rPr>
        <w:t xml:space="preserve"> </w:t>
      </w:r>
      <w:r w:rsidRPr="00633BB8">
        <w:rPr>
          <w:rFonts w:ascii="Arial" w:eastAsia="Calibri" w:hAnsi="Arial" w:cs="Arial"/>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633BB8">
        <w:rPr>
          <w:rStyle w:val="Refdenotaalpie"/>
          <w:rFonts w:ascii="Arial" w:eastAsia="Calibri" w:hAnsi="Arial" w:cs="Arial"/>
          <w:lang w:val="es-ES_tradnl"/>
        </w:rPr>
        <w:footnoteReference w:id="11"/>
      </w:r>
      <w:r w:rsidRPr="00633BB8">
        <w:rPr>
          <w:rFonts w:ascii="Arial" w:eastAsia="Calibri" w:hAnsi="Arial" w:cs="Arial"/>
          <w:lang w:val="es-ES_tradnl"/>
        </w:rPr>
        <w:t xml:space="preserve">.  </w:t>
      </w:r>
    </w:p>
    <w:p w14:paraId="12D06532" w14:textId="77777777" w:rsidR="0094607C" w:rsidRPr="00633BB8" w:rsidRDefault="0094607C" w:rsidP="0094607C">
      <w:pPr>
        <w:spacing w:after="120" w:line="276" w:lineRule="auto"/>
        <w:jc w:val="both"/>
        <w:rPr>
          <w:rFonts w:ascii="Arial" w:hAnsi="Arial" w:cs="Arial"/>
          <w:lang w:eastAsia="es-CO"/>
        </w:rPr>
      </w:pPr>
      <w:r w:rsidRPr="00633BB8">
        <w:rPr>
          <w:rFonts w:ascii="Arial" w:eastAsia="Calibri" w:hAnsi="Arial" w:cs="Arial"/>
          <w:lang w:val="es-ES_tradnl"/>
        </w:rPr>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5FC6EF87" w14:textId="77777777" w:rsidR="0094607C" w:rsidRPr="00633BB8" w:rsidRDefault="0094607C" w:rsidP="0094607C">
      <w:pPr>
        <w:spacing w:line="276" w:lineRule="auto"/>
        <w:ind w:firstLine="708"/>
        <w:jc w:val="both"/>
        <w:rPr>
          <w:rFonts w:ascii="Arial" w:hAnsi="Arial" w:cs="Arial"/>
          <w:lang w:eastAsia="es-CO"/>
        </w:rPr>
      </w:pPr>
      <w:r w:rsidRPr="00633BB8">
        <w:rPr>
          <w:rFonts w:ascii="Arial" w:hAnsi="Arial" w:cs="Arial"/>
          <w:lang w:eastAsia="es-CO"/>
        </w:rPr>
        <w:t>Debe precisarse que 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 meses contados a partir de entonces, en los procesos cuyos avisos de convocatorias, invitaciones o documentos equivalentes se publiquen con posterioridad a dicho momento</w:t>
      </w:r>
      <w:r w:rsidRPr="00633BB8">
        <w:rPr>
          <w:rStyle w:val="Refdenotaalpie"/>
          <w:rFonts w:ascii="Arial" w:hAnsi="Arial" w:cs="Arial"/>
          <w:lang w:eastAsia="es-CO"/>
        </w:rPr>
        <w:footnoteReference w:id="12"/>
      </w:r>
      <w:r w:rsidRPr="00633BB8">
        <w:rPr>
          <w:rFonts w:ascii="Arial" w:hAnsi="Arial" w:cs="Arial"/>
          <w:lang w:eastAsia="es-CO"/>
        </w:rPr>
        <w:t xml:space="preserve">. </w:t>
      </w:r>
    </w:p>
    <w:p w14:paraId="6DDFE901" w14:textId="77777777" w:rsidR="0094607C" w:rsidRPr="00633BB8" w:rsidRDefault="0094607C" w:rsidP="0094607C">
      <w:pPr>
        <w:autoSpaceDE w:val="0"/>
        <w:autoSpaceDN w:val="0"/>
        <w:adjustRightInd w:val="0"/>
        <w:spacing w:line="276" w:lineRule="auto"/>
        <w:ind w:firstLine="708"/>
        <w:jc w:val="both"/>
        <w:rPr>
          <w:rFonts w:ascii="Arial" w:eastAsia="Calibri" w:hAnsi="Arial" w:cs="Arial"/>
          <w:lang w:eastAsia="en-US"/>
        </w:rPr>
      </w:pPr>
    </w:p>
    <w:p w14:paraId="41FAB8D5" w14:textId="77777777" w:rsidR="0094607C" w:rsidRPr="00633BB8" w:rsidRDefault="0094607C" w:rsidP="0094607C">
      <w:pPr>
        <w:spacing w:line="276" w:lineRule="auto"/>
        <w:jc w:val="both"/>
        <w:rPr>
          <w:rFonts w:ascii="Arial" w:eastAsia="Calibri" w:hAnsi="Arial" w:cs="Arial"/>
          <w:b/>
          <w:bCs/>
          <w:color w:val="000000" w:themeColor="text1"/>
        </w:rPr>
      </w:pPr>
      <w:r w:rsidRPr="00633BB8">
        <w:rPr>
          <w:rFonts w:ascii="Arial" w:eastAsia="Calibri" w:hAnsi="Arial" w:cs="Arial"/>
          <w:b/>
          <w:bCs/>
          <w:color w:val="000000" w:themeColor="text1"/>
        </w:rPr>
        <w:t xml:space="preserve">2.3. Definición de emprendimientos y empresas de mujeres en el Decreto 1860 de 2021. Acreditación del criterio establecido en el numeral 2 del artículo 2.2.1.2.4.2.14 del Decreto 1082 de 2015 en procesos contratación con documentos tipo. </w:t>
      </w:r>
    </w:p>
    <w:p w14:paraId="4A91ABC1" w14:textId="77777777" w:rsidR="0094607C" w:rsidRPr="00633BB8" w:rsidRDefault="0094607C" w:rsidP="0094607C">
      <w:pPr>
        <w:jc w:val="both"/>
        <w:rPr>
          <w:rFonts w:ascii="Arial" w:eastAsia="Calibri" w:hAnsi="Arial" w:cs="Arial"/>
          <w:b/>
          <w:bCs/>
          <w:color w:val="000000" w:themeColor="text1"/>
        </w:rPr>
      </w:pPr>
    </w:p>
    <w:p w14:paraId="5176E5ED" w14:textId="77777777" w:rsidR="0094607C" w:rsidRPr="00633BB8" w:rsidRDefault="0094607C" w:rsidP="0094607C">
      <w:pPr>
        <w:spacing w:after="120" w:line="276" w:lineRule="auto"/>
        <w:jc w:val="both"/>
        <w:rPr>
          <w:rFonts w:ascii="Arial" w:eastAsia="Calibri" w:hAnsi="Arial" w:cs="Arial"/>
          <w:color w:val="000000" w:themeColor="text1"/>
        </w:rPr>
      </w:pPr>
      <w:r w:rsidRPr="00633BB8">
        <w:rPr>
          <w:rFonts w:ascii="Arial" w:eastAsia="Calibri" w:hAnsi="Arial" w:cs="Arial"/>
          <w:color w:val="000000" w:themeColor="text1"/>
        </w:rPr>
        <w:t xml:space="preserve">Conforme se viene explicando, el artículo 32 de la Ley 2069 de 2021 establece el deber de las Entidades Estatales de incluir </w:t>
      </w:r>
      <w:r w:rsidRPr="00633BB8">
        <w:rPr>
          <w:rStyle w:val="normaltextrun"/>
          <w:rFonts w:ascii="Arial" w:hAnsi="Arial" w:cs="Arial"/>
          <w:color w:val="000000" w:themeColor="text1"/>
          <w:shd w:val="clear" w:color="auto" w:fill="FFFFFF"/>
          <w:lang w:val="es-ES"/>
        </w:rPr>
        <w:t>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p>
    <w:p w14:paraId="595F94A1" w14:textId="77777777" w:rsidR="0094607C" w:rsidRPr="00633BB8" w:rsidRDefault="0094607C" w:rsidP="0094607C">
      <w:pPr>
        <w:spacing w:line="276" w:lineRule="auto"/>
        <w:jc w:val="both"/>
        <w:rPr>
          <w:rFonts w:ascii="Arial" w:eastAsia="Calibri" w:hAnsi="Arial" w:cs="Arial"/>
          <w:color w:val="000000" w:themeColor="text1"/>
          <w:lang w:val="es-ES"/>
        </w:rPr>
      </w:pPr>
      <w:r w:rsidRPr="00633BB8">
        <w:rPr>
          <w:rFonts w:ascii="Arial" w:eastAsia="Calibri" w:hAnsi="Arial" w:cs="Arial"/>
          <w:color w:val="000000" w:themeColor="text1"/>
        </w:rPr>
        <w:tab/>
      </w:r>
      <w:r w:rsidRPr="00633BB8">
        <w:rPr>
          <w:rFonts w:ascii="Arial" w:eastAsia="Calibri" w:hAnsi="Arial" w:cs="Arial"/>
          <w:color w:val="000000" w:themeColor="text1"/>
          <w:lang w:val="es-ES"/>
        </w:rPr>
        <w:t xml:space="preserve">En desarrollo de lo dispuesto en el parágrafo del artículo 32 de la Ley 2069 de 2020, el Decreto 1860 de 2021 adicionó el artículo 2.2.1.2.4.2.14 al Decreto 1082 de 2015. Esta norma establece las condiciones y requisitos en atención a los cuales se definen los empresas y emprendimientos de mujeres, a las que les aplican los criterios diferenciales. Para estos efectos, cada uno de los cuatro numerales de la norma establece unas condiciones alternativas que definen los emprendimientos y empresas de mujeres, a efectos de aplicar los criterios diferenciales, siendo relevante para la consulta el primero de dicho numerales, cuyo tenor literal dispone:   </w:t>
      </w:r>
    </w:p>
    <w:p w14:paraId="42D5D508" w14:textId="77777777" w:rsidR="0094607C" w:rsidRPr="00633BB8" w:rsidRDefault="0094607C" w:rsidP="0094607C">
      <w:pPr>
        <w:spacing w:line="276" w:lineRule="auto"/>
        <w:jc w:val="both"/>
        <w:rPr>
          <w:rFonts w:ascii="Arial" w:eastAsia="Calibri" w:hAnsi="Arial" w:cs="Arial"/>
          <w:color w:val="000000" w:themeColor="text1"/>
        </w:rPr>
      </w:pPr>
    </w:p>
    <w:p w14:paraId="205A6701" w14:textId="77777777" w:rsidR="0094607C" w:rsidRPr="00633BB8" w:rsidRDefault="0094607C" w:rsidP="0094607C">
      <w:pPr>
        <w:shd w:val="clear" w:color="auto" w:fill="FFFFFF"/>
        <w:ind w:left="708" w:right="709"/>
        <w:jc w:val="both"/>
        <w:textAlignment w:val="baseline"/>
        <w:rPr>
          <w:rFonts w:ascii="Arial" w:hAnsi="Arial" w:cs="Arial"/>
          <w:lang w:eastAsia="es-CO"/>
        </w:rPr>
      </w:pPr>
      <w:r w:rsidRPr="00633BB8">
        <w:rPr>
          <w:rFonts w:ascii="Arial" w:hAnsi="Arial" w:cs="Arial"/>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472E55B3" w14:textId="77777777" w:rsidR="0094607C" w:rsidRPr="00633BB8" w:rsidRDefault="0094607C" w:rsidP="0094607C">
      <w:pPr>
        <w:shd w:val="clear" w:color="auto" w:fill="FFFFFF"/>
        <w:ind w:left="709" w:right="709"/>
        <w:jc w:val="both"/>
        <w:textAlignment w:val="baseline"/>
        <w:rPr>
          <w:rFonts w:ascii="Arial" w:hAnsi="Arial" w:cs="Arial"/>
          <w:lang w:eastAsia="es-CO"/>
        </w:rPr>
      </w:pPr>
      <w:r w:rsidRPr="00633BB8">
        <w:rPr>
          <w:rFonts w:ascii="Arial" w:hAnsi="Arial" w:cs="Arial"/>
          <w:lang w:eastAsia="es-CO"/>
        </w:rPr>
        <w:t>  </w:t>
      </w:r>
    </w:p>
    <w:p w14:paraId="579A80AE" w14:textId="77777777" w:rsidR="0094607C" w:rsidRPr="00633BB8" w:rsidRDefault="0094607C" w:rsidP="0094607C">
      <w:pPr>
        <w:pStyle w:val="Prrafodelista"/>
        <w:numPr>
          <w:ilvl w:val="0"/>
          <w:numId w:val="6"/>
        </w:numPr>
        <w:ind w:left="709" w:right="709" w:firstLine="65"/>
        <w:jc w:val="both"/>
        <w:rPr>
          <w:rFonts w:ascii="Arial" w:hAnsi="Arial" w:cs="Arial"/>
          <w:color w:val="000000" w:themeColor="text1"/>
        </w:rPr>
      </w:pPr>
      <w:r w:rsidRPr="00633BB8">
        <w:rPr>
          <w:rFonts w:ascii="Arial" w:hAnsi="Arial" w:cs="Arial"/>
          <w:color w:val="000000" w:themeColor="text1"/>
        </w:rPr>
        <w:t>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5D476615" w14:textId="77777777" w:rsidR="0094607C" w:rsidRPr="00633BB8" w:rsidRDefault="0094607C" w:rsidP="0094607C">
      <w:pPr>
        <w:pStyle w:val="Prrafodelista"/>
        <w:ind w:left="709" w:right="709"/>
        <w:jc w:val="both"/>
        <w:rPr>
          <w:rFonts w:ascii="Arial" w:hAnsi="Arial" w:cs="Arial"/>
          <w:i/>
          <w:iCs/>
          <w:color w:val="000000" w:themeColor="text1"/>
        </w:rPr>
      </w:pPr>
    </w:p>
    <w:p w14:paraId="1724096D" w14:textId="77777777" w:rsidR="0094607C" w:rsidRPr="00633BB8" w:rsidRDefault="0094607C" w:rsidP="0094607C">
      <w:pPr>
        <w:pStyle w:val="Prrafodelista"/>
        <w:numPr>
          <w:ilvl w:val="0"/>
          <w:numId w:val="6"/>
        </w:numPr>
        <w:ind w:left="709" w:right="709" w:firstLine="65"/>
        <w:jc w:val="both"/>
        <w:rPr>
          <w:rFonts w:ascii="Arial" w:hAnsi="Arial" w:cs="Arial"/>
          <w:i/>
          <w:iCs/>
          <w:color w:val="000000" w:themeColor="text1"/>
        </w:rPr>
      </w:pPr>
      <w:r w:rsidRPr="00633BB8">
        <w:rPr>
          <w:rFonts w:ascii="Arial" w:hAnsi="Arial" w:cs="Arial"/>
          <w:i/>
          <w:iCs/>
          <w:color w:val="000000" w:themeColor="text1"/>
        </w:rPr>
        <w:t>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5C8A4D3F" w14:textId="77777777" w:rsidR="0094607C" w:rsidRPr="00633BB8" w:rsidRDefault="0094607C" w:rsidP="0094607C">
      <w:pPr>
        <w:ind w:left="709" w:right="709"/>
        <w:jc w:val="both"/>
        <w:rPr>
          <w:rFonts w:ascii="Arial" w:hAnsi="Arial" w:cs="Arial"/>
          <w:i/>
          <w:iCs/>
          <w:color w:val="000000" w:themeColor="text1"/>
        </w:rPr>
      </w:pPr>
    </w:p>
    <w:p w14:paraId="40C261FF" w14:textId="77777777" w:rsidR="0094607C" w:rsidRPr="00633BB8" w:rsidRDefault="0094607C" w:rsidP="0094607C">
      <w:pPr>
        <w:ind w:left="709" w:right="709"/>
        <w:jc w:val="both"/>
        <w:rPr>
          <w:rFonts w:ascii="Arial" w:hAnsi="Arial" w:cs="Arial"/>
          <w:i/>
          <w:iCs/>
          <w:color w:val="000000" w:themeColor="text1"/>
        </w:rPr>
      </w:pPr>
      <w:r w:rsidRPr="00633BB8">
        <w:rPr>
          <w:rFonts w:ascii="Arial" w:hAnsi="Arial" w:cs="Arial"/>
          <w:i/>
          <w:iCs/>
          <w:color w:val="000000" w:themeColor="text1"/>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7C3653FE" w14:textId="77777777" w:rsidR="0094607C" w:rsidRPr="00633BB8" w:rsidRDefault="0094607C" w:rsidP="0094607C">
      <w:pPr>
        <w:ind w:left="709" w:right="709"/>
        <w:jc w:val="both"/>
        <w:rPr>
          <w:rFonts w:ascii="Arial" w:hAnsi="Arial" w:cs="Arial"/>
          <w:color w:val="000000" w:themeColor="text1"/>
        </w:rPr>
      </w:pPr>
    </w:p>
    <w:p w14:paraId="4B4127BE" w14:textId="77777777" w:rsidR="0094607C" w:rsidRPr="00633BB8" w:rsidRDefault="0094607C" w:rsidP="0094607C">
      <w:pPr>
        <w:ind w:left="709" w:right="709"/>
        <w:jc w:val="both"/>
        <w:rPr>
          <w:rFonts w:ascii="Arial" w:hAnsi="Arial" w:cs="Arial"/>
          <w:i/>
          <w:iCs/>
          <w:color w:val="000000" w:themeColor="text1"/>
        </w:rPr>
      </w:pPr>
      <w:r w:rsidRPr="00633BB8">
        <w:rPr>
          <w:rFonts w:ascii="Arial" w:hAnsi="Arial" w:cs="Arial"/>
          <w:i/>
          <w:iCs/>
          <w:color w:val="000000" w:themeColor="text1"/>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1D9E703A" w14:textId="77777777" w:rsidR="0094607C" w:rsidRPr="00633BB8" w:rsidRDefault="0094607C" w:rsidP="0094607C">
      <w:pPr>
        <w:ind w:left="709" w:right="709"/>
        <w:jc w:val="both"/>
        <w:rPr>
          <w:rFonts w:ascii="Arial" w:hAnsi="Arial" w:cs="Arial"/>
          <w:i/>
          <w:iCs/>
          <w:color w:val="000000" w:themeColor="text1"/>
        </w:rPr>
      </w:pPr>
    </w:p>
    <w:p w14:paraId="6244307E" w14:textId="77777777" w:rsidR="0094607C" w:rsidRPr="00633BB8" w:rsidRDefault="0094607C" w:rsidP="0094607C">
      <w:pPr>
        <w:ind w:left="709" w:right="709"/>
        <w:jc w:val="both"/>
        <w:rPr>
          <w:rFonts w:ascii="Arial" w:hAnsi="Arial" w:cs="Arial"/>
          <w:i/>
          <w:iCs/>
          <w:color w:val="000000" w:themeColor="text1"/>
        </w:rPr>
      </w:pPr>
      <w:r w:rsidRPr="00633BB8">
        <w:rPr>
          <w:rFonts w:ascii="Arial" w:hAnsi="Arial" w:cs="Arial"/>
          <w:i/>
          <w:iCs/>
          <w:color w:val="000000" w:themeColor="text1"/>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6D05404A" w14:textId="77777777" w:rsidR="0094607C" w:rsidRPr="00633BB8" w:rsidRDefault="0094607C" w:rsidP="0094607C">
      <w:pPr>
        <w:ind w:left="709" w:right="709"/>
        <w:jc w:val="both"/>
        <w:rPr>
          <w:rFonts w:ascii="Arial" w:hAnsi="Arial" w:cs="Arial"/>
          <w:color w:val="000000" w:themeColor="text1"/>
        </w:rPr>
      </w:pPr>
    </w:p>
    <w:p w14:paraId="7D805402" w14:textId="77777777" w:rsidR="0094607C" w:rsidRPr="00633BB8" w:rsidRDefault="0094607C" w:rsidP="0094607C">
      <w:pPr>
        <w:pStyle w:val="Prrafodelista"/>
        <w:numPr>
          <w:ilvl w:val="0"/>
          <w:numId w:val="6"/>
        </w:numPr>
        <w:ind w:left="709" w:right="709" w:firstLine="65"/>
        <w:jc w:val="both"/>
        <w:rPr>
          <w:rFonts w:ascii="Arial" w:hAnsi="Arial" w:cs="Arial"/>
          <w:color w:val="000000" w:themeColor="text1"/>
        </w:rPr>
      </w:pPr>
      <w:r w:rsidRPr="00633BB8">
        <w:rPr>
          <w:rFonts w:ascii="Arial" w:hAnsi="Arial" w:cs="Arial"/>
          <w:color w:val="000000" w:themeColor="text1"/>
        </w:rPr>
        <w:t>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3F23DE1E" w14:textId="77777777" w:rsidR="0094607C" w:rsidRPr="00633BB8" w:rsidRDefault="0094607C" w:rsidP="0094607C">
      <w:pPr>
        <w:pStyle w:val="Prrafodelista"/>
        <w:ind w:left="709" w:right="709"/>
        <w:jc w:val="both"/>
        <w:rPr>
          <w:rFonts w:ascii="Arial" w:hAnsi="Arial" w:cs="Arial"/>
          <w:color w:val="000000" w:themeColor="text1"/>
        </w:rPr>
      </w:pPr>
    </w:p>
    <w:p w14:paraId="5E0CF572" w14:textId="77777777" w:rsidR="0094607C" w:rsidRPr="00633BB8" w:rsidRDefault="0094607C" w:rsidP="0094607C">
      <w:pPr>
        <w:pStyle w:val="Prrafodelista"/>
        <w:numPr>
          <w:ilvl w:val="0"/>
          <w:numId w:val="6"/>
        </w:numPr>
        <w:ind w:left="709" w:right="709" w:firstLine="65"/>
        <w:jc w:val="both"/>
        <w:rPr>
          <w:rFonts w:ascii="Arial" w:hAnsi="Arial" w:cs="Arial"/>
          <w:color w:val="000000" w:themeColor="text1"/>
        </w:rPr>
      </w:pPr>
      <w:r w:rsidRPr="00633BB8">
        <w:rPr>
          <w:rFonts w:ascii="Arial" w:hAnsi="Arial" w:cs="Arial"/>
          <w:color w:val="000000" w:themeColor="text1"/>
        </w:rPr>
        <w:t>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3230FA5F" w14:textId="77777777" w:rsidR="0094607C" w:rsidRPr="00633BB8" w:rsidRDefault="0094607C" w:rsidP="0094607C">
      <w:pPr>
        <w:shd w:val="clear" w:color="auto" w:fill="FFFFFF"/>
        <w:ind w:left="709" w:right="709"/>
        <w:jc w:val="both"/>
        <w:textAlignment w:val="baseline"/>
        <w:rPr>
          <w:rFonts w:ascii="Arial" w:hAnsi="Arial" w:cs="Arial"/>
          <w:color w:val="000000" w:themeColor="text1"/>
          <w:lang w:eastAsia="es-CO"/>
        </w:rPr>
      </w:pPr>
    </w:p>
    <w:p w14:paraId="1C01CDD4" w14:textId="77777777" w:rsidR="0094607C" w:rsidRPr="00633BB8" w:rsidRDefault="0094607C" w:rsidP="0094607C">
      <w:pPr>
        <w:shd w:val="clear" w:color="auto" w:fill="FFFFFF"/>
        <w:ind w:left="709" w:right="709"/>
        <w:jc w:val="both"/>
        <w:textAlignment w:val="baseline"/>
        <w:rPr>
          <w:rFonts w:ascii="Arial" w:hAnsi="Arial" w:cs="Arial"/>
          <w:lang w:eastAsia="es-CO"/>
        </w:rPr>
      </w:pPr>
      <w:r w:rsidRPr="00633BB8">
        <w:rPr>
          <w:rFonts w:ascii="Arial" w:hAnsi="Arial" w:cs="Arial"/>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 (Énfasis fuera de texto)</w:t>
      </w:r>
    </w:p>
    <w:p w14:paraId="0C420427" w14:textId="77777777" w:rsidR="0094607C" w:rsidRPr="00633BB8" w:rsidRDefault="0094607C" w:rsidP="0094607C">
      <w:pPr>
        <w:spacing w:line="276" w:lineRule="auto"/>
        <w:jc w:val="both"/>
        <w:rPr>
          <w:rFonts w:ascii="Arial" w:eastAsia="Calibri" w:hAnsi="Arial" w:cs="Arial"/>
          <w:lang w:val="es-ES_tradnl"/>
        </w:rPr>
      </w:pPr>
    </w:p>
    <w:p w14:paraId="5BA6003E" w14:textId="77777777" w:rsidR="0094607C" w:rsidRPr="00633BB8" w:rsidRDefault="0094607C" w:rsidP="0094607C">
      <w:pPr>
        <w:spacing w:after="120" w:line="276" w:lineRule="auto"/>
        <w:jc w:val="both"/>
        <w:rPr>
          <w:rFonts w:ascii="Arial" w:eastAsia="Calibri" w:hAnsi="Arial" w:cs="Arial"/>
          <w:lang w:val="es-ES_tradnl"/>
        </w:rPr>
      </w:pPr>
      <w:r w:rsidRPr="00633BB8">
        <w:rPr>
          <w:rFonts w:ascii="Arial" w:eastAsia="Calibri" w:hAnsi="Arial" w:cs="Arial"/>
          <w:lang w:val="es-ES_tradnl"/>
        </w:rPr>
        <w:tab/>
        <w:t xml:space="preserve">Según lo establecido en este artículo, son considerados emprendimientos o empresas de mujeres aquellas que se ubiquen en alguno de los supuestos descritos en los cuatro numerales. Nótese que la norma no establece limitaciones respecto de algún tipo de sujeto en particular, limitándose a establecer unos criterios que son aplicables a personas naturales o jurídicas. En ese sentido, para establecer si a un proponente le es aplicable la norma bajo estudio es necesario detenerse a revisar si cumple con alguno de los numerales. </w:t>
      </w:r>
    </w:p>
    <w:p w14:paraId="0A642D95" w14:textId="77777777" w:rsidR="0094607C" w:rsidRPr="00633BB8" w:rsidRDefault="0094607C" w:rsidP="0094607C">
      <w:pPr>
        <w:spacing w:after="120" w:line="276" w:lineRule="auto"/>
        <w:jc w:val="both"/>
        <w:rPr>
          <w:rFonts w:ascii="Arial" w:hAnsi="Arial" w:cs="Arial"/>
          <w:color w:val="333333"/>
          <w:shd w:val="clear" w:color="auto" w:fill="FFFFFF"/>
        </w:rPr>
      </w:pPr>
      <w:r w:rsidRPr="00633BB8">
        <w:rPr>
          <w:rFonts w:ascii="Arial" w:eastAsia="Calibri" w:hAnsi="Arial" w:cs="Arial"/>
          <w:lang w:val="es-ES_tradnl"/>
        </w:rPr>
        <w:tab/>
        <w:t xml:space="preserve">Las señaladas definiciones son determinantes para la aplicación de los criterios diferenciales para emprendimientos y empresas de mujeres que deben incluir las entidades estatales en los procesos </w:t>
      </w:r>
      <w:r w:rsidRPr="00633BB8">
        <w:rPr>
          <w:rFonts w:ascii="Arial" w:hAnsi="Arial" w:cs="Arial"/>
          <w:color w:val="333333"/>
          <w:shd w:val="clear" w:color="auto" w:fill="FFFFFF"/>
        </w:rPr>
        <w:t>de licitación pública, selección abreviada de menor cuantía y concurso de méritos, así como a las entidades exceptuadas en los procesos competitivos que adelanten, de acuerdo con el artículo 2.2.1.2.4.2.15 del Decreto 1082 de 2015</w:t>
      </w:r>
      <w:r w:rsidRPr="00633BB8">
        <w:rPr>
          <w:rStyle w:val="Refdenotaalpie"/>
          <w:rFonts w:ascii="Arial" w:hAnsi="Arial" w:cs="Arial"/>
          <w:color w:val="333333"/>
          <w:shd w:val="clear" w:color="auto" w:fill="FFFFFF"/>
        </w:rPr>
        <w:footnoteReference w:id="13"/>
      </w:r>
      <w:r w:rsidRPr="00633BB8">
        <w:rPr>
          <w:rFonts w:ascii="Arial" w:hAnsi="Arial" w:cs="Arial"/>
          <w:color w:val="333333"/>
          <w:shd w:val="clear" w:color="auto" w:fill="FFFFFF"/>
        </w:rPr>
        <w:t xml:space="preserve">. En ese sentido, los requisitos habilitantes diferenciales que establezcan las entidades en materia de tiempo de experiencia de experiencia, número de contratos para la acreditación de la experiencia, índices de capacidad financiera, índices de capacidad organizacional o valor de la garantía de seriedad de la oferta, deben ser aplicables a quienes cumplan con las definiciones señaladas en el artículo 2.2.1.2.4.2.14. Del mismo modo, los puntajes adicionales de hasta el cero punto veinticinco por ciento (0,25%) que se incluyan en los procesos de contratación diferentes de aquellos en los que el único factor de evaluación sea el menor precio, según lo señalado en el penúltimo inciso del artículo 2.2.1.2.4.2.15, deben ser aplicables a quienes cumplan con alguna de las definiciones señaladas en el artículo anterior. </w:t>
      </w:r>
    </w:p>
    <w:p w14:paraId="4035658D" w14:textId="77777777" w:rsidR="0094607C" w:rsidRPr="00633BB8" w:rsidRDefault="0094607C" w:rsidP="0094607C">
      <w:pPr>
        <w:spacing w:after="120" w:line="276" w:lineRule="auto"/>
        <w:ind w:firstLine="709"/>
        <w:jc w:val="both"/>
        <w:rPr>
          <w:rFonts w:ascii="Arial" w:hAnsi="Arial" w:cs="Arial"/>
          <w:lang w:eastAsia="es-CO"/>
        </w:rPr>
      </w:pPr>
      <w:r w:rsidRPr="00633BB8">
        <w:rPr>
          <w:rFonts w:ascii="Arial" w:eastAsia="Calibri" w:hAnsi="Arial" w:cs="Arial"/>
          <w:lang w:val="es-ES_tradnl"/>
        </w:rPr>
        <w:t xml:space="preserve">Para efectos de resolver la consulta planteada, resulta relevante la definición establecida en el numeral 2, en atención al cual, una persona jurídica podrá ser considerada como un emprendimiento o empresa de mujeres cuando más del 50% de los empleos del nivel directivo de la persona jurídica sean ejercidos por mujeres. </w:t>
      </w:r>
      <w:r w:rsidRPr="00633BB8">
        <w:rPr>
          <w:rFonts w:ascii="Arial" w:hAnsi="Arial" w:cs="Arial"/>
          <w:lang w:eastAsia="es-CO"/>
        </w:rPr>
        <w:t>Tales empleos son aquellos relacionados con la dirección de áreas misionales y las decisiones de nivel estratégico de la respectiva empresa, De esta manera los cargos directivos deben identificarse de acuerdo con la definición que para el efecto estableció el Decreto 1082 de 2015, adicionado por el Decreto 1860 de 2021. En ese sentido, independientemente de la denominación del cargo, su naturaleza será directiva bien porque se encuentra en un nivel especial de mando o, porque de acuerdo a su jerarquía, representan al empleador en los términos del artículo 32 del Código Sustantivo del Trabajo</w:t>
      </w:r>
      <w:r w:rsidRPr="00633BB8">
        <w:rPr>
          <w:rStyle w:val="Refdenotaalpie"/>
          <w:rFonts w:ascii="Arial" w:hAnsi="Arial" w:cs="Arial"/>
          <w:lang w:eastAsia="es-CO"/>
        </w:rPr>
        <w:footnoteReference w:id="14"/>
      </w:r>
      <w:r w:rsidRPr="00633BB8">
        <w:rPr>
          <w:rFonts w:ascii="Arial" w:hAnsi="Arial" w:cs="Arial"/>
          <w:lang w:eastAsia="es-CO"/>
        </w:rPr>
        <w:t xml:space="preserve">. </w:t>
      </w:r>
    </w:p>
    <w:p w14:paraId="5B85A372" w14:textId="77777777" w:rsidR="0094607C" w:rsidRPr="00633BB8" w:rsidRDefault="0094607C" w:rsidP="0094607C">
      <w:pPr>
        <w:spacing w:after="120" w:line="276" w:lineRule="auto"/>
        <w:ind w:firstLine="708"/>
        <w:jc w:val="both"/>
        <w:rPr>
          <w:rFonts w:ascii="Arial" w:eastAsia="Calibri" w:hAnsi="Arial" w:cs="Arial"/>
          <w:lang w:val="es-ES_tradnl"/>
        </w:rPr>
      </w:pPr>
      <w:bookmarkStart w:id="11" w:name="_Hlk110603413"/>
      <w:r w:rsidRPr="00633BB8">
        <w:rPr>
          <w:rFonts w:ascii="Arial" w:eastAsia="Calibri" w:hAnsi="Arial" w:cs="Arial"/>
          <w:lang w:val="es-ES_tradnl"/>
        </w:rPr>
        <w:t>Para la aplicación de la definición en comento debe tenerse en cuenta únicamente a los empleos del nivel directivo, lo que excluye a los demás empleos de la planta de personal, como por ejemplo los operativos y las personas vinculadas mediante contratos de prestación de servicios. En segundo lugar, no basta con que los cargos directivos en una sociedad sean mayoritariamente de mujeres para que sea considerada como un empresa o emprendimiento a los que se refiere la norma, sino que además es necesario que dicha vinculación mayoritaria de mujeres en los empleos del nivel directivo de la empresa se haya mantenido como mínimo durante el periodo de un año, contado a partir de la fecha de cierre del proceso de selección</w:t>
      </w:r>
      <w:bookmarkEnd w:id="11"/>
      <w:r w:rsidRPr="00633BB8">
        <w:rPr>
          <w:rFonts w:ascii="Arial" w:eastAsia="Calibri" w:hAnsi="Arial" w:cs="Arial"/>
          <w:lang w:val="es-ES_tradnl"/>
        </w:rPr>
        <w:t>. De esta manera, el criterio establecido en la norma para definir los emprendimientos y empresas de mujeres deja por fuera de dicha categoría a aquellas sociedades que, a pesar de contar con la participación mayoritaria de mujeres en el nivel directivo, no cuenten con el requerimiento del tiempo mínimo de un año.</w:t>
      </w:r>
    </w:p>
    <w:p w14:paraId="30DC225C" w14:textId="77777777" w:rsidR="0094607C" w:rsidRPr="00633BB8" w:rsidRDefault="0094607C" w:rsidP="0094607C">
      <w:pPr>
        <w:spacing w:after="120" w:line="276" w:lineRule="auto"/>
        <w:ind w:firstLine="708"/>
        <w:jc w:val="both"/>
        <w:rPr>
          <w:rFonts w:ascii="Arial" w:eastAsia="Calibri" w:hAnsi="Arial" w:cs="Arial"/>
          <w:lang w:val="es-ES_tradnl"/>
        </w:rPr>
      </w:pPr>
      <w:r w:rsidRPr="00633BB8">
        <w:rPr>
          <w:rFonts w:ascii="Arial" w:eastAsia="Calibri" w:hAnsi="Arial" w:cs="Arial"/>
          <w:lang w:val="es-ES_tradnl"/>
        </w:rPr>
        <w:t xml:space="preserve">Como medio para la acreditación de la condición en comento, la disposición en cita establece una certificación expedida por el representante legal y el revisor fiscal en la que consten todas las personas que conforman los cargos de nivel directivo del proponente, el número de mujeres y el tiempo de vinculación. Dicho documento además debe relacionar los nombres completos de las personas que integran el nivel directivo y los números de documentos de identidad de cada uno de ellos. Adicionalmente, la norma dispone que la mencionada certificación de presentarse acompañada de copia de los respectivos documentos de identidad, copia de los contratos de trabajo o certificación laboral con funciones, así como el certificado de aportes a seguridad social del último año en el que se demuestren los pagos realizados por el empleador. </w:t>
      </w:r>
    </w:p>
    <w:p w14:paraId="081EE404" w14:textId="77777777" w:rsidR="0094607C" w:rsidRPr="00633BB8" w:rsidRDefault="0094607C" w:rsidP="0094607C">
      <w:pPr>
        <w:spacing w:after="120" w:line="276" w:lineRule="auto"/>
        <w:ind w:firstLine="708"/>
        <w:jc w:val="both"/>
        <w:rPr>
          <w:rFonts w:ascii="Arial" w:eastAsia="Calibri" w:hAnsi="Arial" w:cs="Arial"/>
          <w:lang w:val="es-ES_tradnl"/>
        </w:rPr>
      </w:pPr>
      <w:r w:rsidRPr="00633BB8">
        <w:rPr>
          <w:rFonts w:ascii="Arial" w:eastAsia="Calibri" w:hAnsi="Arial" w:cs="Arial"/>
          <w:lang w:val="es-ES_tradnl"/>
        </w:rPr>
        <w:t>Los documentos a los que se refieren los distintos numerales del artículo 2.2.1.2.4.2.14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 definición establecida en el numeral 2 del artículo 2.2.1.2.4.2.14, les corresponde presentar la mencionada certificación con sus respectivos soportes.</w:t>
      </w:r>
    </w:p>
    <w:p w14:paraId="241E1099" w14:textId="77777777" w:rsidR="0094607C" w:rsidRPr="00633BB8" w:rsidRDefault="0094607C" w:rsidP="0094607C">
      <w:pPr>
        <w:spacing w:after="120" w:line="276" w:lineRule="auto"/>
        <w:ind w:firstLine="708"/>
        <w:jc w:val="both"/>
        <w:rPr>
          <w:rFonts w:ascii="Arial" w:eastAsia="Calibri" w:hAnsi="Arial" w:cs="Arial"/>
          <w:lang w:val="es-ES_tradnl"/>
        </w:rPr>
      </w:pPr>
      <w:r w:rsidRPr="00633BB8">
        <w:rPr>
          <w:rFonts w:ascii="Arial" w:eastAsia="Calibri" w:hAnsi="Arial" w:cs="Arial"/>
          <w:lang w:val="es-ES_tradnl"/>
        </w:rPr>
        <w:t xml:space="preserve">Sin perjuicio de lo anterior, la sola presentación de la certificación con las copias de los documentos de identidad, de los contratos laborales y los certificados de aportes a seguridad social no confiere automáticamente el acceso a los criterios diferenciales. Esto por cuanto es deber de la entidad verificar que los documentos presentados acrediten las condiciones descritas en el primer y segundo inciso del numeral 2 del artículo 2.2.1.2.4.2.14 del Decreto 1082 de 2015, </w:t>
      </w:r>
    </w:p>
    <w:p w14:paraId="306F7854" w14:textId="77777777" w:rsidR="0094607C" w:rsidRPr="00633BB8" w:rsidRDefault="0094607C" w:rsidP="0094607C">
      <w:pPr>
        <w:spacing w:after="120" w:line="276" w:lineRule="auto"/>
        <w:ind w:firstLine="708"/>
        <w:jc w:val="both"/>
        <w:rPr>
          <w:rFonts w:ascii="Arial" w:eastAsia="Calibri" w:hAnsi="Arial" w:cs="Arial"/>
          <w:lang w:val="es-ES_tradnl"/>
        </w:rPr>
      </w:pPr>
      <w:r w:rsidRPr="00633BB8">
        <w:rPr>
          <w:rFonts w:ascii="Arial" w:eastAsia="Calibri" w:hAnsi="Arial" w:cs="Arial"/>
          <w:lang w:val="es-ES_tradnl"/>
        </w:rPr>
        <w:t xml:space="preserve">En ese sentido, para aplicar la mencionada definición la entidad debe comprobar que el número de mujeres vinculadas equivale a un porcentaje igual o superior al cincuenta por ciento (50%) de los empleos del nivel directivo, lo que se puede verificar con la información incluida en la certificación.  Así mismo deberá establecerse si en efecto tal porcentaje de empleos en cabeza de mujeres se ha mantenido durante al menos durante el periodo de un año contado hasta la fecha de cierre, para lo que son útiles la certificación laboral, el contrato de trabajo y los certificados de aportes a seguridad social. También deberá establecerse si los empleos que ocupan las personas relacionadas en la certificación efectivamente son del nivel directivo, para lo que deberá analizarse si las funciones descritas en el contrato o certificación aportada se subsumen en la noción establecida en el segundo inciso del numeral 2 del artículo 2.2.1.2.4.2.14 del Decreto 1082 de 2015.  </w:t>
      </w:r>
    </w:p>
    <w:p w14:paraId="3F67F194" w14:textId="77777777" w:rsidR="0094607C" w:rsidRPr="00633BB8" w:rsidRDefault="0094607C" w:rsidP="0094607C">
      <w:pPr>
        <w:spacing w:after="120" w:line="276" w:lineRule="auto"/>
        <w:ind w:firstLine="708"/>
        <w:jc w:val="both"/>
        <w:rPr>
          <w:rFonts w:ascii="Arial" w:eastAsia="Calibri" w:hAnsi="Arial" w:cs="Arial"/>
          <w:lang w:val="es-ES_tradnl"/>
        </w:rPr>
      </w:pPr>
      <w:r w:rsidRPr="00633BB8">
        <w:rPr>
          <w:rFonts w:ascii="Arial" w:eastAsia="Calibri" w:hAnsi="Arial" w:cs="Arial"/>
          <w:lang w:val="es-ES_tradnl"/>
        </w:rPr>
        <w:t xml:space="preserve">Conforme a lo anterior, en el evento en que un proponente presente la referida certificación con los respectivos soportes, pero se encuentre que los mismos no acreditan las condiciones descritas en el numeral 2 del artículo 2.2.1.2.4.2.14, la entidad deberá tener por no acreditada la condición de emprendimiento o empresa de mujeres, y, en consecuencia, abstenerse de aplicar criterios diferenciales en favor de este oferente. De esta manera, si, por ejemplo, analizados los documentos presentados la entidad advierte que el porcentaje igual o superior al cincuenta por ciento (50%) de mujeres en empleos del nivel directivo no se ha mantenido durante al menos el año anterior a la fecha de cierre del proceso de selección, no sería viable aplicar la mencionada definición. La misma consecuencia aplica al supuesto en el que se determine que las funciones de las trabajadoras presuntamente vinculadas a empleos del nivel directivo no corresponden con las atribuidas a ese tipo de cargos de conformidad con lo señalado en la norma. </w:t>
      </w:r>
    </w:p>
    <w:p w14:paraId="11AB840C" w14:textId="77777777" w:rsidR="0094607C" w:rsidRPr="00633BB8" w:rsidRDefault="0094607C" w:rsidP="0094607C">
      <w:pPr>
        <w:spacing w:after="120" w:line="276" w:lineRule="auto"/>
        <w:jc w:val="both"/>
        <w:rPr>
          <w:rFonts w:ascii="Arial" w:eastAsia="Calibri" w:hAnsi="Arial" w:cs="Arial"/>
          <w:lang w:val="es-ES_tradnl"/>
        </w:rPr>
      </w:pPr>
      <w:r w:rsidRPr="00633BB8">
        <w:rPr>
          <w:rFonts w:ascii="Arial" w:eastAsia="Calibri" w:hAnsi="Arial" w:cs="Arial"/>
          <w:lang w:val="es-ES_tradnl"/>
        </w:rPr>
        <w:tab/>
        <w:t xml:space="preserve"> Con todo, debe advertirse que corresponde a las entidades estatales contratantes determinar en cada caso concreto si en efecto se cumplen las condiciones antes explicadas, verificando además que dicha acreditación se haga con sujeción al marco jurídico aplicable.  Para estos efectos deberá realizarse el análisis de cada uno de los empleos certificados para poder si cada uno de ellos puede ser considerado del nivel directivo en virtud de las funciones que tenga asignadas.  </w:t>
      </w:r>
    </w:p>
    <w:p w14:paraId="7BF58C8F" w14:textId="77777777" w:rsidR="0094607C" w:rsidRPr="00633BB8" w:rsidRDefault="0094607C" w:rsidP="0094607C">
      <w:pPr>
        <w:spacing w:after="120" w:line="276" w:lineRule="auto"/>
        <w:ind w:firstLine="708"/>
        <w:jc w:val="both"/>
        <w:rPr>
          <w:rFonts w:ascii="Arial" w:eastAsia="Calibri" w:hAnsi="Arial" w:cs="Arial"/>
          <w:lang w:val="es-ES" w:eastAsia="en-US"/>
        </w:rPr>
      </w:pPr>
      <w:bookmarkStart w:id="12" w:name="_Hlk105683807"/>
      <w:r w:rsidRPr="00633BB8">
        <w:rPr>
          <w:rFonts w:ascii="Arial" w:eastAsia="Calibri" w:hAnsi="Arial" w:cs="Arial"/>
          <w:lang w:eastAsia="en-US"/>
        </w:rPr>
        <w:t xml:space="preserve">Debe destacarse que, atendiendo al mandato contenido en el inciso segundo del parágrafo del artículo 8 del Decreto 1860 de 2021, la Agencia Nacional de Contratación Pública – Colombia Compra Eficiente expidió la Resolución 275 del 24 de junio de 2022 </w:t>
      </w:r>
      <w:r w:rsidRPr="00633BB8">
        <w:rPr>
          <w:rFonts w:ascii="Arial" w:eastAsia="Calibri" w:hAnsi="Arial" w:cs="Arial"/>
          <w:i/>
          <w:iCs/>
          <w:lang w:val="es-ES" w:eastAsia="en-US"/>
        </w:rPr>
        <w:t>«</w:t>
      </w:r>
      <w:r w:rsidRPr="00633BB8">
        <w:rPr>
          <w:rFonts w:ascii="Arial" w:eastAsia="Calibri" w:hAnsi="Arial" w:cs="Arial"/>
          <w:i/>
          <w:iCs/>
          <w:lang w:eastAsia="en-US"/>
        </w:rPr>
        <w:t>Por la cual se modifican los documentos tipo adoptados por la Agencia Nacional de Contratación Pública − Colombia Compra Eficiente</w:t>
      </w:r>
      <w:r w:rsidRPr="00633BB8">
        <w:rPr>
          <w:rFonts w:ascii="Arial" w:eastAsia="Calibri" w:hAnsi="Arial" w:cs="Arial"/>
          <w:i/>
          <w:iCs/>
          <w:lang w:val="es-ES" w:eastAsia="en-US"/>
        </w:rPr>
        <w:t>»</w:t>
      </w:r>
      <w:r w:rsidRPr="00633BB8">
        <w:rPr>
          <w:rFonts w:ascii="Arial" w:eastAsia="Calibri" w:hAnsi="Arial" w:cs="Arial"/>
          <w:i/>
          <w:iCs/>
          <w:vertAlign w:val="superscript"/>
          <w:lang w:val="es-ES" w:eastAsia="en-US"/>
        </w:rPr>
        <w:footnoteReference w:id="15"/>
      </w:r>
      <w:r w:rsidRPr="00633BB8">
        <w:rPr>
          <w:rFonts w:ascii="Arial" w:eastAsia="Calibri" w:hAnsi="Arial" w:cs="Arial"/>
          <w:i/>
          <w:iCs/>
          <w:lang w:val="es-ES" w:eastAsia="en-US"/>
        </w:rPr>
        <w:t xml:space="preserve">. </w:t>
      </w:r>
      <w:r w:rsidRPr="00633BB8">
        <w:rPr>
          <w:rFonts w:ascii="Arial" w:eastAsia="Calibri" w:hAnsi="Arial" w:cs="Arial"/>
          <w:lang w:val="es-ES" w:eastAsia="en-US"/>
        </w:rPr>
        <w:t>De esa forma, mediante la citada resolución, se modificaron los documentos tipo para proyectos de obra pública de infraestructura de transporte adelantados bajo la modalidad de licitación pública, de selección abreviada de menor cuantía, de consultoría de estudios de ingeniería de infraestructura de transporte, de licitación de obra pública para proyectos de agua potable y saneamiento básico y su modalidad de llave en mano y los documentos tipo de licitación de obra pública de infraestructura social, con ocasión a la expedición del Decreto 1860 de 2021 y la Ley 2069 del 2020.</w:t>
      </w:r>
    </w:p>
    <w:p w14:paraId="161E3FBD" w14:textId="77777777" w:rsidR="0094607C" w:rsidRPr="00633BB8" w:rsidRDefault="0094607C" w:rsidP="0094607C">
      <w:pPr>
        <w:spacing w:after="120" w:line="276" w:lineRule="auto"/>
        <w:ind w:firstLine="708"/>
        <w:jc w:val="both"/>
        <w:rPr>
          <w:rFonts w:ascii="Arial" w:eastAsia="Calibri" w:hAnsi="Arial" w:cs="Arial"/>
          <w:lang w:val="es-ES" w:eastAsia="en-US"/>
        </w:rPr>
      </w:pPr>
      <w:r w:rsidRPr="00633BB8">
        <w:rPr>
          <w:rFonts w:ascii="Arial" w:eastAsia="Calibri" w:hAnsi="Arial" w:cs="Arial"/>
          <w:lang w:val="es-ES" w:eastAsia="en-US"/>
        </w:rPr>
        <w:t xml:space="preserve">En el marco de esta resolución, los artículos 2, 14, 15, 39, 40, 49, 50, 64, 72, 84, 87, 97, 98, 108, 125, 134, 135 y 167 realizaron las modificaciones necesarias para incorporar en los documentos tipo mencionados la aplicación de los criterios diferenciales para emprendimientos y empresas de mujeres, de acuerdo con lo regulado por los artículos 2.2.1.2.4.2.14 y </w:t>
      </w:r>
      <w:r w:rsidRPr="00633BB8">
        <w:rPr>
          <w:rFonts w:ascii="Arial" w:eastAsia="Calibri" w:hAnsi="Arial" w:cs="Arial"/>
          <w:lang w:val="es-ES_tradnl"/>
        </w:rPr>
        <w:t xml:space="preserve">2.2.1.2.4.2.15 del Decreto 1082 de 2015, adicionados por el Decreto 1860 de 2021. A través de estas disposiciones se adoptó el «Formato 12 – Acreditación de emprendimientos y empresas de mujeres», el cual sirve para acreditar las condiciones establecidas en los numerales 1 y 2 del artículo </w:t>
      </w:r>
      <w:r w:rsidRPr="00633BB8">
        <w:rPr>
          <w:rFonts w:ascii="Arial" w:eastAsia="Calibri" w:hAnsi="Arial" w:cs="Arial"/>
          <w:lang w:val="es-ES" w:eastAsia="en-US"/>
        </w:rPr>
        <w:t>2.2.1.2.4.2.14 del Decreto 1082 de 2015. Esto significa que el Formato 12 que debe ser suscrito por el representante legal o el revisor fiscal a efectos de demostrar la participación mayoritaria de mujeres en la conformación accionaria de la persona o jurídica, o que por lo menos el cincuenta por ciento (50 %) de los empleos del nivel directivo de la persona jurídica son ejercidos por mujeres y estas han estado vinculadas laboralmente durante al menos el último año.</w:t>
      </w:r>
    </w:p>
    <w:p w14:paraId="217FFDD1" w14:textId="77777777" w:rsidR="0094607C" w:rsidRPr="00633BB8" w:rsidRDefault="0094607C" w:rsidP="0094607C">
      <w:pPr>
        <w:spacing w:after="120" w:line="276" w:lineRule="auto"/>
        <w:ind w:firstLine="708"/>
        <w:jc w:val="both"/>
        <w:rPr>
          <w:rFonts w:ascii="Arial" w:eastAsia="Calibri" w:hAnsi="Arial" w:cs="Arial"/>
          <w:lang w:val="es-ES" w:eastAsia="en-US"/>
        </w:rPr>
      </w:pPr>
      <w:r w:rsidRPr="00633BB8">
        <w:rPr>
          <w:rFonts w:ascii="Arial" w:eastAsia="Calibri" w:hAnsi="Arial" w:cs="Arial"/>
          <w:lang w:val="es-ES" w:eastAsia="en-US"/>
        </w:rPr>
        <w:t xml:space="preserve">En todo caso, conforme a lo arriba planteado, es del caso precisar que para acogerse a la definición del numeral 2 del artículo 2.2.1.2.4.2.14, no resulta procedente relacionar en el Formato 12 información correspondiente a personas vinculadas como contratistas de prestación de servicios, comoquiera que la definición de empleos del nivel directivo se limita a relaciones laborales. En ese mismo sentido, no resulta procedente adjuntar a dicho formato información correspondiente a los pagos de seguridad social de contratistas de prestación de servicios, comoquiera que tale vinculaciones no son computable para efectos de aplicar el mencionado criterio. </w:t>
      </w:r>
    </w:p>
    <w:p w14:paraId="463911B1" w14:textId="77777777" w:rsidR="0094607C" w:rsidRPr="00633BB8" w:rsidRDefault="0094607C" w:rsidP="0094607C">
      <w:pPr>
        <w:autoSpaceDE w:val="0"/>
        <w:autoSpaceDN w:val="0"/>
        <w:adjustRightInd w:val="0"/>
        <w:spacing w:line="276" w:lineRule="auto"/>
        <w:jc w:val="both"/>
        <w:rPr>
          <w:rFonts w:ascii="Arial" w:eastAsia="Calibri" w:hAnsi="Arial" w:cs="Arial"/>
          <w:lang w:eastAsia="en-US"/>
        </w:rPr>
      </w:pPr>
      <w:r w:rsidRPr="00633BB8">
        <w:rPr>
          <w:rFonts w:ascii="Arial" w:eastAsia="Calibri" w:hAnsi="Arial" w:cs="Arial"/>
          <w:lang w:val="es-ES" w:eastAsia="en-US"/>
        </w:rPr>
        <w:tab/>
        <w:t xml:space="preserve">Por último, en cuanto a la vigencia de la Resolución 275 de 2022, cabe mencionar que el artículo 179 dispuso que </w:t>
      </w:r>
      <w:r w:rsidRPr="00633BB8">
        <w:rPr>
          <w:rFonts w:ascii="Arial" w:eastAsia="Calibri" w:hAnsi="Arial" w:cs="Arial"/>
          <w:lang w:eastAsia="en-US"/>
        </w:rPr>
        <w:t>esta «[…] rige a partir de su publicación y aplicará a los Procesos de Contratación cuyo aviso de convocatoria se publique a partir del 29 de agosto de 2022». De esta forma, la entidad estatal que pretenda adelantar un proceso de selección mediante la utilización de los documentos tipo de licitación de obra pública de infraestructura social, asociados a los sectores salud; educativo; y cultura, recreación y deporte, estarán obligadas a aplicar las modificaciones realizadas mediante la Resolución 275 de 2022, si la publicación del aviso de convocatoria se realiza a partir del 29 de agosto de 2022.</w:t>
      </w:r>
    </w:p>
    <w:bookmarkEnd w:id="5"/>
    <w:bookmarkEnd w:id="12"/>
    <w:p w14:paraId="16689A2E" w14:textId="77777777" w:rsidR="0094607C" w:rsidRPr="00633BB8" w:rsidRDefault="0094607C" w:rsidP="0094607C">
      <w:pPr>
        <w:spacing w:line="276" w:lineRule="auto"/>
        <w:jc w:val="both"/>
        <w:rPr>
          <w:rFonts w:ascii="Arial" w:eastAsia="Calibri" w:hAnsi="Arial" w:cs="Arial"/>
          <w:b/>
          <w:color w:val="000000"/>
          <w:lang w:val="es-ES_tradnl"/>
        </w:rPr>
      </w:pPr>
    </w:p>
    <w:p w14:paraId="45EF993F" w14:textId="77777777" w:rsidR="0094607C" w:rsidRPr="00633BB8" w:rsidRDefault="0094607C" w:rsidP="0094607C">
      <w:pPr>
        <w:spacing w:line="276" w:lineRule="auto"/>
        <w:jc w:val="both"/>
        <w:rPr>
          <w:rFonts w:ascii="Arial" w:eastAsia="Calibri" w:hAnsi="Arial" w:cs="Arial"/>
          <w:b/>
          <w:color w:val="000000"/>
          <w:lang w:val="es-ES_tradnl"/>
        </w:rPr>
      </w:pPr>
      <w:r w:rsidRPr="00633BB8">
        <w:rPr>
          <w:rFonts w:ascii="Arial" w:eastAsia="Calibri" w:hAnsi="Arial" w:cs="Arial"/>
          <w:b/>
          <w:color w:val="000000"/>
          <w:lang w:val="es-ES_tradnl"/>
        </w:rPr>
        <w:t>3. Respuesta</w:t>
      </w:r>
    </w:p>
    <w:p w14:paraId="13D6EB1E" w14:textId="77777777" w:rsidR="0094607C" w:rsidRPr="00633BB8" w:rsidRDefault="0094607C" w:rsidP="0094607C">
      <w:pPr>
        <w:ind w:left="709" w:right="709"/>
        <w:jc w:val="both"/>
        <w:rPr>
          <w:rFonts w:ascii="Arial" w:hAnsi="Arial" w:cs="Arial"/>
        </w:rPr>
      </w:pPr>
    </w:p>
    <w:p w14:paraId="3706A096" w14:textId="77777777" w:rsidR="0094607C" w:rsidRPr="00633BB8" w:rsidRDefault="0094607C" w:rsidP="0094607C">
      <w:pPr>
        <w:pStyle w:val="Prrafodelista"/>
        <w:ind w:left="709" w:right="709"/>
        <w:jc w:val="both"/>
        <w:rPr>
          <w:rFonts w:ascii="Arial" w:hAnsi="Arial" w:cs="Arial"/>
          <w:color w:val="000000"/>
        </w:rPr>
      </w:pPr>
      <w:r w:rsidRPr="00633BB8">
        <w:rPr>
          <w:rFonts w:ascii="Arial" w:hAnsi="Arial" w:cs="Arial"/>
          <w:color w:val="000000"/>
        </w:rPr>
        <w:t>«1. ¿Debo presentar en el formato 12 todos los cargos a nivel directivo de la empresa incluyendo los de contratos de prestación de servicios o únicamente los que tienen afiliación directa con la empresa contrato laboral?</w:t>
      </w:r>
    </w:p>
    <w:p w14:paraId="144B674C" w14:textId="77777777" w:rsidR="0094607C" w:rsidRPr="00633BB8" w:rsidRDefault="0094607C" w:rsidP="0094607C">
      <w:pPr>
        <w:pStyle w:val="Prrafodelista"/>
        <w:ind w:left="709" w:right="709"/>
        <w:jc w:val="both"/>
        <w:rPr>
          <w:rFonts w:ascii="Arial" w:hAnsi="Arial" w:cs="Arial"/>
          <w:color w:val="000000"/>
        </w:rPr>
      </w:pPr>
    </w:p>
    <w:p w14:paraId="2BC6890E" w14:textId="77777777" w:rsidR="0094607C" w:rsidRPr="00633BB8" w:rsidRDefault="0094607C" w:rsidP="0094607C">
      <w:pPr>
        <w:pStyle w:val="Prrafodelista"/>
        <w:ind w:left="709" w:right="709"/>
        <w:jc w:val="both"/>
        <w:rPr>
          <w:rFonts w:ascii="Arial" w:hAnsi="Arial" w:cs="Arial"/>
          <w:color w:val="000000"/>
        </w:rPr>
      </w:pPr>
      <w:r w:rsidRPr="00633BB8">
        <w:rPr>
          <w:rFonts w:ascii="Arial" w:hAnsi="Arial" w:cs="Arial"/>
          <w:color w:val="000000"/>
        </w:rPr>
        <w:t>2. El formato exige el pago de aportes del último año pagados por el empleador de las personas en cargos directivos ¿Se debe aportar también los pagos por parte de las personas con contratos de prestación de servicios que estén en cargos directivos? Ya que estos pagan su propia seguridad, pero igualmente están en cargos directivos de la empresa».</w:t>
      </w:r>
    </w:p>
    <w:p w14:paraId="7A84ABA2" w14:textId="77777777" w:rsidR="0094607C" w:rsidRPr="00633BB8" w:rsidRDefault="0094607C" w:rsidP="0094607C">
      <w:pPr>
        <w:jc w:val="both"/>
        <w:rPr>
          <w:rFonts w:ascii="Arial" w:hAnsi="Arial" w:cs="Arial"/>
        </w:rPr>
      </w:pPr>
    </w:p>
    <w:p w14:paraId="4EB965FA" w14:textId="77777777" w:rsidR="0094607C" w:rsidRPr="00633BB8" w:rsidRDefault="0094607C" w:rsidP="0094607C">
      <w:pPr>
        <w:spacing w:after="120" w:line="276" w:lineRule="auto"/>
        <w:jc w:val="both"/>
        <w:rPr>
          <w:rFonts w:ascii="Arial" w:hAnsi="Arial" w:cs="Arial"/>
        </w:rPr>
      </w:pPr>
      <w:r w:rsidRPr="00633BB8">
        <w:rPr>
          <w:rFonts w:ascii="Arial" w:hAnsi="Arial" w:cs="Arial"/>
        </w:rPr>
        <w:t>De conformidad con las consideraciones expuestas, el artículo 32 de la Ley 2069 de 2020 estableció el deber de las entidades estatales de incluir 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p>
    <w:p w14:paraId="398A190A" w14:textId="77777777" w:rsidR="0094607C" w:rsidRPr="00633BB8" w:rsidRDefault="0094607C" w:rsidP="0094607C">
      <w:pPr>
        <w:spacing w:after="120" w:line="276" w:lineRule="auto"/>
        <w:ind w:firstLine="708"/>
        <w:jc w:val="both"/>
        <w:rPr>
          <w:rFonts w:ascii="Arial" w:eastAsia="Calibri" w:hAnsi="Arial" w:cs="Arial"/>
          <w:lang w:val="es-ES_tradnl"/>
        </w:rPr>
      </w:pPr>
      <w:r w:rsidRPr="00633BB8">
        <w:rPr>
          <w:rFonts w:ascii="Arial" w:hAnsi="Arial" w:cs="Arial"/>
        </w:rPr>
        <w:t xml:space="preserve">Dichos criterios diferenciales fueron reglamentados por el Decreto 1860 de 2021, cuyo artículo 3 adicionó los artículos </w:t>
      </w:r>
      <w:r w:rsidRPr="00633BB8">
        <w:rPr>
          <w:rFonts w:ascii="Arial" w:eastAsia="Calibri" w:hAnsi="Arial" w:cs="Arial"/>
          <w:lang w:val="es-ES_tradnl"/>
        </w:rPr>
        <w:t xml:space="preserve">2.2.1.2.4.2.14 y 2.2.1.2.4.2.15 al Decreto 1082 de 2015. La primera de las normas mencionadas establece cuatro criterios alternativos con los que deben cumplir las personas naturales y/o jurídicas para ser consideradas emprendimientos y empresas de mujeres, mientras que la segunda disposición regula los términos en los que son aplicables requisitos habilitantes diferenciales y puntajes adicionales en favor de los proponentes que cumplan con los mencionados criterios.  </w:t>
      </w:r>
    </w:p>
    <w:p w14:paraId="01EF59B9" w14:textId="77777777" w:rsidR="0094607C" w:rsidRPr="00633BB8" w:rsidRDefault="0094607C" w:rsidP="0094607C">
      <w:pPr>
        <w:spacing w:after="120" w:line="276" w:lineRule="auto"/>
        <w:ind w:firstLine="708"/>
        <w:jc w:val="both"/>
        <w:rPr>
          <w:rFonts w:ascii="Arial" w:hAnsi="Arial" w:cs="Arial"/>
          <w:color w:val="333333"/>
          <w:shd w:val="clear" w:color="auto" w:fill="FFFFFF"/>
        </w:rPr>
      </w:pPr>
      <w:r w:rsidRPr="00633BB8">
        <w:rPr>
          <w:rFonts w:ascii="Arial" w:hAnsi="Arial" w:cs="Arial"/>
        </w:rPr>
        <w:t xml:space="preserve">El numeral 2 del artículo </w:t>
      </w:r>
      <w:r w:rsidRPr="00633BB8">
        <w:rPr>
          <w:rFonts w:ascii="Arial" w:eastAsia="Calibri" w:hAnsi="Arial" w:cs="Arial"/>
          <w:lang w:val="es-ES_tradnl"/>
        </w:rPr>
        <w:t xml:space="preserve">2.2.1.2.4.2.14 del Decreto 1082 de 2015 </w:t>
      </w:r>
      <w:r w:rsidRPr="00633BB8">
        <w:rPr>
          <w:rFonts w:ascii="Arial" w:hAnsi="Arial" w:cs="Arial"/>
          <w:lang w:val="es-ES" w:eastAsia="es-CO"/>
        </w:rPr>
        <w:t>establece un criterio en atención al cual se define como emprendimientos o empresas de mujeres a las personas jurídicas en las que al</w:t>
      </w:r>
      <w:r w:rsidRPr="00633BB8">
        <w:rPr>
          <w:rFonts w:ascii="Arial" w:hAnsi="Arial" w:cs="Arial"/>
          <w:color w:val="333333"/>
          <w:shd w:val="clear" w:color="auto" w:fill="FFFFFF"/>
        </w:rPr>
        <w:t xml:space="preserve"> menos el cincuenta por ciento (50%) de los empleos del nivel directivo sean ejercidos por mujeres, siempre que éstas hayan estado vinculadas laboralmente a la empresa durante al menos el último año anterior a la fecha de cierre del Proceso de Selección en el mismo cargo u otro del mismo nivel.  Además, la norma establece una criterio para determinar cuáles son los empleos del nivel directivo que las tareas asignadas a los mismos se relacionen con el ejercicio de funciones directivas, la toma de decisiones de nivel estratégico y la representación del empleador.</w:t>
      </w:r>
    </w:p>
    <w:p w14:paraId="5651AD73" w14:textId="77777777" w:rsidR="0094607C" w:rsidRPr="00633BB8" w:rsidRDefault="0094607C" w:rsidP="0094607C">
      <w:pPr>
        <w:spacing w:after="120" w:line="276" w:lineRule="auto"/>
        <w:ind w:firstLine="708"/>
        <w:jc w:val="both"/>
        <w:rPr>
          <w:rFonts w:ascii="Arial" w:eastAsia="Calibri" w:hAnsi="Arial" w:cs="Arial"/>
          <w:lang w:val="es-ES_tradnl"/>
        </w:rPr>
      </w:pPr>
      <w:r w:rsidRPr="00633BB8">
        <w:rPr>
          <w:rFonts w:ascii="Arial" w:eastAsia="Calibri" w:hAnsi="Arial" w:cs="Arial"/>
          <w:lang w:val="es-ES_tradnl"/>
        </w:rPr>
        <w:t xml:space="preserve">Para la acreditación de las condiciones establecidas en el </w:t>
      </w:r>
      <w:r w:rsidRPr="00633BB8">
        <w:rPr>
          <w:rFonts w:ascii="Arial" w:hAnsi="Arial" w:cs="Arial"/>
        </w:rPr>
        <w:t xml:space="preserve">numeral 2 del artículo </w:t>
      </w:r>
      <w:r w:rsidRPr="00633BB8">
        <w:rPr>
          <w:rFonts w:ascii="Arial" w:eastAsia="Calibri" w:hAnsi="Arial" w:cs="Arial"/>
          <w:lang w:val="es-ES_tradnl"/>
        </w:rPr>
        <w:t xml:space="preserve">2.2.1.2.4.2.14 del Decreto 1082 de 2015, la norma establece que debe presentarse una certificación expedida por el representante legal y el revisor fiscal en la que consten todas las personas que conforman los cargos de nivel directivo del proponente, el número de mujeres y el tiempo de vinculación. El documento además debe contener los nombres completos de las personas vinculadas en los empleos del nivel directivo y sus números de documentos de identidad. Como anexos de dicha certificación deben presentarse copia de los respectivos documentos de identidad, copia de los contratos de trabajo o certificación laboral con funciones, así como el certificado de aportes a seguridad social del último año en el que se demuestren los pagos realizados por el empleador. </w:t>
      </w:r>
    </w:p>
    <w:p w14:paraId="16780B2B" w14:textId="77777777" w:rsidR="0094607C" w:rsidRPr="00633BB8" w:rsidRDefault="0094607C" w:rsidP="0094607C">
      <w:pPr>
        <w:spacing w:after="120" w:line="276" w:lineRule="auto"/>
        <w:ind w:firstLine="708"/>
        <w:jc w:val="both"/>
        <w:rPr>
          <w:rFonts w:ascii="Arial" w:eastAsia="Calibri" w:hAnsi="Arial" w:cs="Arial"/>
          <w:lang w:val="es-ES_tradnl"/>
        </w:rPr>
      </w:pPr>
      <w:r w:rsidRPr="00633BB8">
        <w:rPr>
          <w:rFonts w:ascii="Arial" w:eastAsia="Calibri" w:hAnsi="Arial" w:cs="Arial"/>
          <w:lang w:val="es-ES_tradnl"/>
        </w:rPr>
        <w:t xml:space="preserve">A partir de los documentos mencionados, la entidad estatal contratante deberá verificar si el proponente efectivamente cumple con las condiciones señaladas en los incisos primero y segundo del referido numeral. En ese sentido, para aplicar esta definición habrá que constatar que los documentos presentados por el proponente demuestren que el número de mujeres vinculadas a los empleos directivos equivale a un porcentaje igual o superior al cincuenta por ciento (50%) de los cargos que la persona jurídica tenga en ese nivel. Del mismo modo deberá establecerse que la vinculación de mujeres en tales empleos y proporción se haya mantenido al menos durante el año anterior a la fecha de cierre del proceso de selección. Igualmente, será necesario verificar que las funciones asignadas a los empleos acreditados para la aplicación de la definición se subsuman dentro de la noción establecida en el inciso segundo del numeral 2 </w:t>
      </w:r>
      <w:r w:rsidRPr="00633BB8">
        <w:rPr>
          <w:rFonts w:ascii="Arial" w:hAnsi="Arial" w:cs="Arial"/>
        </w:rPr>
        <w:t xml:space="preserve">del artículo </w:t>
      </w:r>
      <w:r w:rsidRPr="00633BB8">
        <w:rPr>
          <w:rFonts w:ascii="Arial" w:eastAsia="Calibri" w:hAnsi="Arial" w:cs="Arial"/>
          <w:lang w:val="es-ES_tradnl"/>
        </w:rPr>
        <w:t xml:space="preserve">2.2.1.2.4.2.14 del Decreto 1082 de 2015. </w:t>
      </w:r>
    </w:p>
    <w:p w14:paraId="16513ACE" w14:textId="77777777" w:rsidR="0094607C" w:rsidRPr="00633BB8" w:rsidRDefault="0094607C" w:rsidP="0094607C">
      <w:pPr>
        <w:spacing w:after="120" w:line="276" w:lineRule="auto"/>
        <w:ind w:firstLine="708"/>
        <w:jc w:val="both"/>
        <w:rPr>
          <w:rFonts w:ascii="Arial" w:eastAsia="Calibri" w:hAnsi="Arial" w:cs="Arial"/>
          <w:lang w:val="es-ES" w:eastAsia="en-US"/>
        </w:rPr>
      </w:pPr>
      <w:r w:rsidRPr="00633BB8">
        <w:rPr>
          <w:rFonts w:ascii="Arial" w:eastAsia="Calibri" w:hAnsi="Arial" w:cs="Arial"/>
          <w:lang w:eastAsia="en-US"/>
        </w:rPr>
        <w:t xml:space="preserve">En virtud de lo dispuesto en el inciso segundo del parágrafo del artículo 8 del Decreto 1860 de 2021, la Agencia Nacional de Contratación Pública – Colombia Compra Eficiente expidió la Resolución 275 del 24 de junio de 2022 </w:t>
      </w:r>
      <w:r w:rsidRPr="00633BB8">
        <w:rPr>
          <w:rFonts w:ascii="Arial" w:eastAsia="Calibri" w:hAnsi="Arial" w:cs="Arial"/>
          <w:lang w:val="es-ES" w:eastAsia="en-US"/>
        </w:rPr>
        <w:t>«</w:t>
      </w:r>
      <w:r w:rsidRPr="00633BB8">
        <w:rPr>
          <w:rFonts w:ascii="Arial" w:eastAsia="Calibri" w:hAnsi="Arial" w:cs="Arial"/>
          <w:lang w:eastAsia="en-US"/>
        </w:rPr>
        <w:t>Por la cual se modifican los documentos tipo adoptados por la Agencia Nacional de Contratación Pública − Colombia Compra Eficiente</w:t>
      </w:r>
      <w:r w:rsidRPr="00633BB8">
        <w:rPr>
          <w:rFonts w:ascii="Arial" w:eastAsia="Calibri" w:hAnsi="Arial" w:cs="Arial"/>
          <w:lang w:val="es-ES" w:eastAsia="en-US"/>
        </w:rPr>
        <w:t>».</w:t>
      </w:r>
      <w:r w:rsidRPr="00633BB8">
        <w:rPr>
          <w:rFonts w:ascii="Arial" w:eastAsia="Calibri" w:hAnsi="Arial" w:cs="Arial"/>
          <w:i/>
          <w:iCs/>
          <w:lang w:val="es-ES" w:eastAsia="en-US"/>
        </w:rPr>
        <w:t xml:space="preserve"> </w:t>
      </w:r>
      <w:r w:rsidRPr="00633BB8">
        <w:rPr>
          <w:rFonts w:ascii="Arial" w:eastAsia="Calibri" w:hAnsi="Arial" w:cs="Arial"/>
          <w:lang w:val="es-ES" w:eastAsia="en-US"/>
        </w:rPr>
        <w:t>Mediante esta resolución se modificaron los documentos tipo para proyectos de obra pública de infraestructura de transporte adelantados bajo la modalidad de licitación pública, de selección abreviada de menor cuantía, de consultoría de estudios de ingeniería de infraestructura de transporte, de licitación de obra pública para proyectos de agua potable y saneamiento básico y su modalidad de llave en mano y los documentos tipo de licitación de obra pública de infraestructura social, con ocasión a la expedición del Decreto 1860 de 2021 y la Ley 2069 del 2020.</w:t>
      </w:r>
    </w:p>
    <w:p w14:paraId="45499D91" w14:textId="061542C3" w:rsidR="0094607C" w:rsidRPr="00633BB8" w:rsidRDefault="0094607C" w:rsidP="0094607C">
      <w:pPr>
        <w:spacing w:after="120" w:line="276" w:lineRule="auto"/>
        <w:ind w:firstLine="708"/>
        <w:jc w:val="both"/>
        <w:rPr>
          <w:rFonts w:ascii="Arial" w:eastAsia="Calibri" w:hAnsi="Arial" w:cs="Arial"/>
          <w:lang w:val="es-ES" w:eastAsia="en-US"/>
        </w:rPr>
      </w:pPr>
      <w:r w:rsidRPr="00633BB8">
        <w:rPr>
          <w:rFonts w:ascii="Arial" w:eastAsia="Calibri" w:hAnsi="Arial" w:cs="Arial"/>
          <w:lang w:val="es-ES" w:eastAsia="en-US"/>
        </w:rPr>
        <w:t xml:space="preserve">Los artículos 2, 14, 15, 39, 40, 49, 50, 64, 72, 84, 87, 97, 98, 108, 125, 134, 135 y 167 realizaron las modificaciones requeridas a efectos de implementar en los documentos tipo mencionados la aplicación de los criterios diferenciales para emprendimientos y empresas de mujeres, de acuerdo con lo regulado por los artículos 2.2.1.2.4.2.14 y </w:t>
      </w:r>
      <w:r w:rsidRPr="00633BB8">
        <w:rPr>
          <w:rFonts w:ascii="Arial" w:eastAsia="Calibri" w:hAnsi="Arial" w:cs="Arial"/>
          <w:lang w:val="es-ES_tradnl"/>
        </w:rPr>
        <w:t xml:space="preserve">2.2.1.2.4.2.15 del Decreto 1082 de 2015, adicionados por el Decreto 1860 de 2021. Estas disposiciones adoptaron en sus respectivos documentos tipo el «Formato 12 – Acreditación de emprendimientos y empresas de mujeres», como medio para acreditar las condiciones establecidas en los numerales 1 y 2 del artículo </w:t>
      </w:r>
      <w:r w:rsidRPr="00633BB8">
        <w:rPr>
          <w:rFonts w:ascii="Arial" w:eastAsia="Calibri" w:hAnsi="Arial" w:cs="Arial"/>
          <w:lang w:val="es-ES" w:eastAsia="en-US"/>
        </w:rPr>
        <w:t>2.2.1.2.4.2.14 del Decreto 1082 de 2015. De acuerdo con esto, el mencionado formato debe ser suscrito por el representante legal o el revisor fiscal para demostrar la participación mayoritaria de mujeres en la conformación accionaria de la persona o jurídica, o que por lo menos el cincuenta por ciento (50 %) de los empleos del nivel directivo de la persona jurídica son ejercidos por mujeres y estas han estado vinculadas laboralmente durante al menos el último año</w:t>
      </w:r>
      <w:r w:rsidR="000F1CF4">
        <w:rPr>
          <w:rFonts w:ascii="Arial" w:eastAsia="Calibri" w:hAnsi="Arial" w:cs="Arial"/>
          <w:lang w:val="es-ES" w:eastAsia="en-US"/>
        </w:rPr>
        <w:t>.</w:t>
      </w:r>
    </w:p>
    <w:p w14:paraId="342EAE60" w14:textId="77777777" w:rsidR="0094607C" w:rsidRPr="00633BB8" w:rsidRDefault="0094607C" w:rsidP="0094607C">
      <w:pPr>
        <w:spacing w:line="276" w:lineRule="auto"/>
        <w:ind w:firstLine="708"/>
        <w:jc w:val="both"/>
        <w:rPr>
          <w:rFonts w:ascii="Arial" w:hAnsi="Arial" w:cs="Arial"/>
          <w:highlight w:val="yellow"/>
        </w:rPr>
      </w:pPr>
      <w:r w:rsidRPr="00633BB8">
        <w:rPr>
          <w:rFonts w:ascii="Arial" w:eastAsia="Calibri" w:hAnsi="Arial" w:cs="Arial"/>
          <w:lang w:val="es-ES" w:eastAsia="en-US"/>
        </w:rPr>
        <w:t xml:space="preserve">De acuerdo con esto, es correcto afirmar que, para acogerse a la definición del numeral 2 del artículo 2.2.1.2.4.2.14, en el marco de procesos adelantados con los mencionados documentos tipo, no resulta procedente relacionar en el Formato 12 información relativa a personas que se encuentren vinculadas en calidad de contratistas de prestación de servicios, toda vez que la noción de empleos del nivel directivo se refiere solo a relaciones laborales. En concordancia con esto, tampoco es procedente anexar a dicho formato información o documentación alusiva a los pagos de seguridad social de contratistas de prestación de servicios, al no ser esta información relevante para aplicación del criterio establecido en el referido numeral. </w:t>
      </w:r>
    </w:p>
    <w:p w14:paraId="7DE46586" w14:textId="77777777" w:rsidR="0094607C" w:rsidRPr="00633BB8" w:rsidRDefault="0094607C" w:rsidP="0094607C">
      <w:pPr>
        <w:jc w:val="both"/>
        <w:rPr>
          <w:rFonts w:ascii="Arial" w:hAnsi="Arial" w:cs="Arial"/>
        </w:rPr>
      </w:pPr>
    </w:p>
    <w:p w14:paraId="3E17BEEA" w14:textId="77777777" w:rsidR="0094607C" w:rsidRPr="00633BB8" w:rsidRDefault="0094607C" w:rsidP="0094607C">
      <w:pPr>
        <w:spacing w:line="276" w:lineRule="auto"/>
        <w:jc w:val="both"/>
        <w:rPr>
          <w:rFonts w:ascii="Arial" w:hAnsi="Arial" w:cs="Arial"/>
          <w:color w:val="000000" w:themeColor="text1"/>
          <w:lang w:val="es-ES_tradnl"/>
        </w:rPr>
      </w:pPr>
      <w:r w:rsidRPr="00633BB8">
        <w:rPr>
          <w:rFonts w:ascii="Arial" w:hAnsi="Arial" w:cs="Arial"/>
          <w:color w:val="000000" w:themeColor="text1"/>
          <w:lang w:val="es-ES_tradnl"/>
        </w:rPr>
        <w:t>Este concepto tiene el alcance previsto en el artículo 28 del Código de Procedimiento Administrativo y de lo Contencioso Administrativo.</w:t>
      </w:r>
    </w:p>
    <w:p w14:paraId="3003ECF4" w14:textId="77777777" w:rsidR="0094607C" w:rsidRPr="00633BB8" w:rsidRDefault="0094607C" w:rsidP="0094607C">
      <w:pPr>
        <w:spacing w:before="120" w:line="276" w:lineRule="auto"/>
        <w:jc w:val="both"/>
        <w:rPr>
          <w:rFonts w:ascii="Arial" w:hAnsi="Arial" w:cs="Arial"/>
          <w:color w:val="000000" w:themeColor="text1"/>
          <w:lang w:val="es-ES_tradnl"/>
        </w:rPr>
      </w:pPr>
    </w:p>
    <w:p w14:paraId="21A60D3B" w14:textId="77777777" w:rsidR="0094607C" w:rsidRPr="00633BB8" w:rsidRDefault="0094607C" w:rsidP="0094607C">
      <w:pPr>
        <w:pStyle w:val="NormalWeb"/>
        <w:spacing w:before="0" w:beforeAutospacing="0" w:after="0" w:afterAutospacing="0" w:line="276" w:lineRule="auto"/>
        <w:jc w:val="both"/>
        <w:rPr>
          <w:rFonts w:ascii="Arial" w:hAnsi="Arial" w:cs="Arial"/>
          <w:color w:val="000000" w:themeColor="text1"/>
          <w:lang w:val="es-ES_tradnl"/>
        </w:rPr>
      </w:pPr>
      <w:r w:rsidRPr="00633BB8">
        <w:rPr>
          <w:rFonts w:ascii="Arial" w:hAnsi="Arial" w:cs="Arial"/>
          <w:color w:val="000000" w:themeColor="text1"/>
          <w:lang w:val="es-ES_tradnl"/>
        </w:rPr>
        <w:t>Atentamente,</w:t>
      </w:r>
    </w:p>
    <w:p w14:paraId="7A5659EF" w14:textId="77777777" w:rsidR="0094607C" w:rsidRPr="00633BB8" w:rsidRDefault="0094607C" w:rsidP="0094607C">
      <w:pPr>
        <w:pStyle w:val="NormalWeb"/>
        <w:spacing w:before="0" w:beforeAutospacing="0" w:after="0" w:afterAutospacing="0" w:line="276" w:lineRule="auto"/>
        <w:jc w:val="both"/>
        <w:rPr>
          <w:rFonts w:ascii="Arial" w:hAnsi="Arial" w:cs="Arial"/>
          <w:color w:val="000000" w:themeColor="text1"/>
          <w:lang w:val="es-ES_tradnl"/>
        </w:rPr>
      </w:pPr>
    </w:p>
    <w:p w14:paraId="5DC52D4B" w14:textId="77777777" w:rsidR="0094607C" w:rsidRPr="00633BB8" w:rsidRDefault="0094607C" w:rsidP="0094607C">
      <w:pPr>
        <w:pStyle w:val="NormalWeb"/>
        <w:spacing w:before="0" w:beforeAutospacing="0" w:after="0" w:afterAutospacing="0" w:line="276" w:lineRule="auto"/>
        <w:jc w:val="both"/>
        <w:rPr>
          <w:rFonts w:ascii="Arial" w:hAnsi="Arial" w:cs="Arial"/>
          <w:color w:val="000000" w:themeColor="text1"/>
          <w:lang w:val="es-ES_tradnl"/>
        </w:rPr>
      </w:pPr>
    </w:p>
    <w:p w14:paraId="70677FAB" w14:textId="77777777" w:rsidR="0094607C" w:rsidRPr="00633BB8" w:rsidRDefault="0094607C" w:rsidP="0094607C">
      <w:pPr>
        <w:pStyle w:val="NormalWeb"/>
        <w:spacing w:before="0" w:beforeAutospacing="0" w:after="0" w:afterAutospacing="0" w:line="276" w:lineRule="auto"/>
        <w:jc w:val="both"/>
        <w:rPr>
          <w:rFonts w:ascii="Arial" w:hAnsi="Arial" w:cs="Arial"/>
          <w:color w:val="000000" w:themeColor="text1"/>
          <w:lang w:val="es-ES_tradnl"/>
        </w:rPr>
      </w:pPr>
    </w:p>
    <w:p w14:paraId="4D99B2C4" w14:textId="77777777" w:rsidR="0094607C" w:rsidRPr="00633BB8" w:rsidRDefault="0094607C" w:rsidP="0094607C">
      <w:pPr>
        <w:pStyle w:val="NormalWeb"/>
        <w:spacing w:before="0" w:beforeAutospacing="0" w:after="0" w:afterAutospacing="0" w:line="276" w:lineRule="auto"/>
        <w:jc w:val="center"/>
        <w:rPr>
          <w:rFonts w:ascii="Arial" w:hAnsi="Arial" w:cs="Arial"/>
          <w:color w:val="000000" w:themeColor="text1"/>
          <w:lang w:val="es-ES_tradnl"/>
        </w:rPr>
      </w:pPr>
      <w:r>
        <w:rPr>
          <w:rFonts w:ascii="Arial" w:hAnsi="Arial" w:cs="Arial"/>
          <w:noProof/>
          <w:color w:val="1A1A1A" w:themeColor="background1" w:themeShade="1A"/>
        </w:rPr>
        <w:drawing>
          <wp:inline distT="0" distB="0" distL="0" distR="0" wp14:anchorId="4ED83A60" wp14:editId="58445468">
            <wp:extent cx="2533650" cy="981075"/>
            <wp:effectExtent l="0" t="0" r="0" b="9525"/>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p w14:paraId="1C6BD58F" w14:textId="77777777" w:rsidR="0094607C" w:rsidRPr="00DC13AD" w:rsidRDefault="0094607C" w:rsidP="0094607C">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2"/>
      </w:tblGrid>
      <w:tr w:rsidR="0094607C" w:rsidRPr="00DC13AD" w14:paraId="028D8922" w14:textId="77777777" w:rsidTr="00440318">
        <w:trPr>
          <w:trHeight w:val="124"/>
        </w:trPr>
        <w:tc>
          <w:tcPr>
            <w:tcW w:w="828" w:type="dxa"/>
            <w:vAlign w:val="center"/>
            <w:hideMark/>
          </w:tcPr>
          <w:p w14:paraId="6FEC85F2" w14:textId="77777777" w:rsidR="0094607C" w:rsidRPr="00DC13AD" w:rsidRDefault="0094607C" w:rsidP="00440318">
            <w:pPr>
              <w:jc w:val="both"/>
              <w:rPr>
                <w:rFonts w:ascii="Arial" w:hAnsi="Arial" w:cs="Arial"/>
                <w:color w:val="000000" w:themeColor="text1"/>
                <w:sz w:val="16"/>
                <w:szCs w:val="16"/>
                <w:lang w:val="es-ES_tradnl" w:eastAsia="es-ES"/>
              </w:rPr>
            </w:pPr>
            <w:r w:rsidRPr="00DC13AD">
              <w:rPr>
                <w:rFonts w:ascii="Arial" w:hAnsi="Arial" w:cs="Arial"/>
                <w:color w:val="000000" w:themeColor="text1"/>
                <w:sz w:val="16"/>
                <w:szCs w:val="16"/>
                <w:lang w:val="es-ES_tradnl" w:eastAsia="es-ES"/>
              </w:rPr>
              <w:t>Elaboró:</w:t>
            </w:r>
          </w:p>
        </w:tc>
        <w:tc>
          <w:tcPr>
            <w:tcW w:w="4502" w:type="dxa"/>
            <w:tcBorders>
              <w:top w:val="nil"/>
              <w:left w:val="nil"/>
              <w:bottom w:val="dotted" w:sz="4" w:space="0" w:color="7F7F7F" w:themeColor="text1" w:themeTint="80"/>
              <w:right w:val="nil"/>
            </w:tcBorders>
            <w:vAlign w:val="center"/>
            <w:hideMark/>
          </w:tcPr>
          <w:p w14:paraId="5FDB7B31" w14:textId="77777777" w:rsidR="0094607C" w:rsidRPr="00DC13AD" w:rsidRDefault="0094607C" w:rsidP="00440318">
            <w:pPr>
              <w:jc w:val="both"/>
              <w:rPr>
                <w:rFonts w:ascii="Arial" w:hAnsi="Arial" w:cs="Arial"/>
                <w:color w:val="000000" w:themeColor="text1"/>
                <w:sz w:val="16"/>
                <w:szCs w:val="16"/>
                <w:lang w:val="es-ES_tradnl" w:eastAsia="es-ES"/>
              </w:rPr>
            </w:pPr>
            <w:r w:rsidRPr="00DC13AD">
              <w:rPr>
                <w:rFonts w:ascii="Arial" w:hAnsi="Arial" w:cs="Arial"/>
                <w:color w:val="000000" w:themeColor="text1"/>
                <w:sz w:val="16"/>
                <w:szCs w:val="16"/>
                <w:lang w:val="es-ES_tradnl" w:eastAsia="es-ES"/>
              </w:rPr>
              <w:t>Edwin Johan Chocontá Quintero</w:t>
            </w:r>
          </w:p>
          <w:p w14:paraId="0211DE65" w14:textId="77777777" w:rsidR="0094607C" w:rsidRPr="00DC13AD" w:rsidRDefault="0094607C" w:rsidP="00440318">
            <w:pPr>
              <w:jc w:val="both"/>
              <w:rPr>
                <w:rFonts w:ascii="Arial" w:hAnsi="Arial" w:cs="Arial"/>
                <w:color w:val="000000" w:themeColor="text1"/>
                <w:sz w:val="16"/>
                <w:szCs w:val="16"/>
                <w:lang w:val="es-ES_tradnl" w:eastAsia="es-ES"/>
              </w:rPr>
            </w:pPr>
            <w:r w:rsidRPr="00DC13AD">
              <w:rPr>
                <w:rFonts w:ascii="Arial" w:hAnsi="Arial" w:cs="Arial"/>
                <w:color w:val="000000" w:themeColor="text1"/>
                <w:sz w:val="16"/>
                <w:szCs w:val="16"/>
                <w:lang w:val="es-ES_tradnl" w:eastAsia="es-ES"/>
              </w:rPr>
              <w:t>Analista T2 – 02 de la Subdirección de Gestión Contractual</w:t>
            </w:r>
          </w:p>
        </w:tc>
      </w:tr>
      <w:tr w:rsidR="0094607C" w:rsidRPr="00DC13AD" w14:paraId="77EA496D" w14:textId="77777777" w:rsidTr="00440318">
        <w:trPr>
          <w:trHeight w:val="256"/>
        </w:trPr>
        <w:tc>
          <w:tcPr>
            <w:tcW w:w="828" w:type="dxa"/>
            <w:vAlign w:val="center"/>
            <w:hideMark/>
          </w:tcPr>
          <w:p w14:paraId="0AD298ED" w14:textId="77777777" w:rsidR="0094607C" w:rsidRPr="00DC13AD" w:rsidRDefault="0094607C" w:rsidP="00440318">
            <w:pPr>
              <w:jc w:val="both"/>
              <w:rPr>
                <w:rFonts w:ascii="Arial" w:hAnsi="Arial" w:cs="Arial"/>
                <w:color w:val="000000" w:themeColor="text1"/>
                <w:sz w:val="16"/>
                <w:szCs w:val="16"/>
                <w:lang w:val="es-ES_tradnl" w:eastAsia="es-ES"/>
              </w:rPr>
            </w:pPr>
            <w:r w:rsidRPr="00DC13AD">
              <w:rPr>
                <w:rFonts w:ascii="Arial" w:hAnsi="Arial" w:cs="Arial"/>
                <w:color w:val="000000" w:themeColor="text1"/>
                <w:sz w:val="16"/>
                <w:szCs w:val="16"/>
                <w:lang w:val="es-ES_tradnl" w:eastAsia="es-ES"/>
              </w:rPr>
              <w:t>Revisó: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4C416FB8" w14:textId="77777777" w:rsidR="0094607C" w:rsidRPr="00DC13AD" w:rsidRDefault="0094607C" w:rsidP="00440318">
            <w:pPr>
              <w:jc w:val="both"/>
              <w:rPr>
                <w:rFonts w:ascii="Arial" w:hAnsi="Arial" w:cs="Arial"/>
                <w:color w:val="000000" w:themeColor="text1"/>
                <w:sz w:val="16"/>
                <w:szCs w:val="16"/>
                <w:lang w:val="es-ES_tradnl" w:eastAsia="es-ES"/>
              </w:rPr>
            </w:pPr>
            <w:r w:rsidRPr="00DC13AD">
              <w:rPr>
                <w:rFonts w:ascii="Arial" w:hAnsi="Arial" w:cs="Arial"/>
                <w:color w:val="000000" w:themeColor="text1"/>
                <w:sz w:val="16"/>
                <w:szCs w:val="16"/>
                <w:lang w:val="es-ES_tradnl" w:eastAsia="es-ES"/>
              </w:rPr>
              <w:t>Alejandro Sarmiento Cantillo</w:t>
            </w:r>
          </w:p>
          <w:p w14:paraId="0567BDD5" w14:textId="77777777" w:rsidR="0094607C" w:rsidRPr="00DC13AD" w:rsidRDefault="0094607C" w:rsidP="00440318">
            <w:pPr>
              <w:jc w:val="both"/>
              <w:rPr>
                <w:rFonts w:ascii="Arial" w:hAnsi="Arial" w:cs="Arial"/>
                <w:color w:val="000000" w:themeColor="text1"/>
                <w:sz w:val="16"/>
                <w:szCs w:val="16"/>
                <w:lang w:val="es-ES" w:eastAsia="es-ES"/>
              </w:rPr>
            </w:pPr>
            <w:r w:rsidRPr="00DC13AD">
              <w:rPr>
                <w:rFonts w:ascii="Arial" w:hAnsi="Arial" w:cs="Arial"/>
                <w:color w:val="000000"/>
                <w:sz w:val="16"/>
                <w:szCs w:val="16"/>
                <w:shd w:val="clear" w:color="auto" w:fill="FFFFFF"/>
              </w:rPr>
              <w:t>Gestor T1-15 de la Subdirección de Gestión Contractual</w:t>
            </w:r>
          </w:p>
        </w:tc>
      </w:tr>
      <w:tr w:rsidR="0094607C" w:rsidRPr="00DC13AD" w14:paraId="33DD0A01" w14:textId="77777777" w:rsidTr="00440318">
        <w:trPr>
          <w:trHeight w:val="233"/>
        </w:trPr>
        <w:tc>
          <w:tcPr>
            <w:tcW w:w="828" w:type="dxa"/>
            <w:vAlign w:val="center"/>
            <w:hideMark/>
          </w:tcPr>
          <w:p w14:paraId="720FCB83" w14:textId="77777777" w:rsidR="0094607C" w:rsidRPr="00DC13AD" w:rsidRDefault="0094607C" w:rsidP="00440318">
            <w:pPr>
              <w:jc w:val="both"/>
              <w:rPr>
                <w:rFonts w:ascii="Arial" w:hAnsi="Arial" w:cs="Arial"/>
                <w:color w:val="000000" w:themeColor="text1"/>
                <w:sz w:val="16"/>
                <w:szCs w:val="16"/>
                <w:lang w:val="es-ES_tradnl" w:eastAsia="es-ES"/>
              </w:rPr>
            </w:pPr>
            <w:r w:rsidRPr="00DC13AD">
              <w:rPr>
                <w:rFonts w:ascii="Arial" w:hAnsi="Arial" w:cs="Arial"/>
                <w:color w:val="000000" w:themeColor="text1"/>
                <w:sz w:val="16"/>
                <w:szCs w:val="16"/>
                <w:lang w:val="es-ES_tradnl" w:eastAsia="es-ES"/>
              </w:rPr>
              <w:t>Aprobó: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62FF569A" w14:textId="77777777" w:rsidR="0094607C" w:rsidRPr="00DC13AD" w:rsidRDefault="0094607C" w:rsidP="00440318">
            <w:pPr>
              <w:rPr>
                <w:rFonts w:ascii="Arial" w:hAnsi="Arial" w:cs="Arial"/>
                <w:sz w:val="16"/>
                <w:szCs w:val="16"/>
              </w:rPr>
            </w:pPr>
            <w:r w:rsidRPr="00DC13AD">
              <w:rPr>
                <w:rFonts w:ascii="Arial" w:eastAsia="Arial" w:hAnsi="Arial" w:cs="Arial"/>
                <w:color w:val="000000"/>
                <w:sz w:val="16"/>
                <w:szCs w:val="16"/>
              </w:rPr>
              <w:t>Juan David Marín López</w:t>
            </w:r>
          </w:p>
          <w:p w14:paraId="78AA2F14" w14:textId="77777777" w:rsidR="0094607C" w:rsidRPr="00DC13AD" w:rsidRDefault="0094607C" w:rsidP="00440318">
            <w:pPr>
              <w:jc w:val="both"/>
              <w:rPr>
                <w:rFonts w:ascii="Arial" w:hAnsi="Arial" w:cs="Arial"/>
                <w:color w:val="000000" w:themeColor="text1"/>
                <w:sz w:val="16"/>
                <w:szCs w:val="16"/>
                <w:lang w:val="es-ES_tradnl" w:eastAsia="es-ES"/>
              </w:rPr>
            </w:pPr>
            <w:r w:rsidRPr="00DC13AD">
              <w:rPr>
                <w:rFonts w:ascii="Arial" w:eastAsia="Arial" w:hAnsi="Arial" w:cs="Arial"/>
                <w:color w:val="000000"/>
                <w:sz w:val="16"/>
                <w:szCs w:val="16"/>
              </w:rPr>
              <w:t>Subdirector de Gestión Contractual (E)</w:t>
            </w:r>
          </w:p>
        </w:tc>
      </w:tr>
      <w:bookmarkEnd w:id="0"/>
      <w:bookmarkEnd w:id="1"/>
    </w:tbl>
    <w:p w14:paraId="41D58608" w14:textId="77777777" w:rsidR="0094607C" w:rsidRPr="00633BB8" w:rsidRDefault="0094607C" w:rsidP="0094607C">
      <w:pPr>
        <w:jc w:val="both"/>
        <w:rPr>
          <w:rFonts w:ascii="Arial" w:hAnsi="Arial" w:cs="Arial"/>
          <w:lang w:val="es-ES_tradnl"/>
        </w:rPr>
      </w:pPr>
    </w:p>
    <w:p w14:paraId="0F293BF4" w14:textId="1CFCCC1D" w:rsidR="00127233" w:rsidRPr="007778FE" w:rsidRDefault="00127233" w:rsidP="007778FE"/>
    <w:sectPr w:rsidR="00127233" w:rsidRPr="007778FE"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B1CF" w14:textId="77777777" w:rsidR="00EA3A20" w:rsidRDefault="00EA3A20" w:rsidP="004A1847">
      <w:r>
        <w:separator/>
      </w:r>
    </w:p>
  </w:endnote>
  <w:endnote w:type="continuationSeparator" w:id="0">
    <w:p w14:paraId="3517B834" w14:textId="77777777" w:rsidR="00EA3A20" w:rsidRDefault="00EA3A20" w:rsidP="004A1847">
      <w:r>
        <w:continuationSeparator/>
      </w:r>
    </w:p>
  </w:endnote>
  <w:endnote w:type="continuationNotice" w:id="1">
    <w:p w14:paraId="78F87BE3" w14:textId="77777777" w:rsidR="00EA3A20" w:rsidRDefault="00EA3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F172" w14:textId="77777777" w:rsidR="00EA3A20" w:rsidRDefault="00EA3A20" w:rsidP="004A1847">
      <w:r>
        <w:separator/>
      </w:r>
    </w:p>
  </w:footnote>
  <w:footnote w:type="continuationSeparator" w:id="0">
    <w:p w14:paraId="65A27D1C" w14:textId="77777777" w:rsidR="00EA3A20" w:rsidRDefault="00EA3A20" w:rsidP="004A1847">
      <w:r>
        <w:continuationSeparator/>
      </w:r>
    </w:p>
  </w:footnote>
  <w:footnote w:type="continuationNotice" w:id="1">
    <w:p w14:paraId="01B7F9AA" w14:textId="77777777" w:rsidR="00EA3A20" w:rsidRDefault="00EA3A20"/>
  </w:footnote>
  <w:footnote w:id="2">
    <w:p w14:paraId="50670A53" w14:textId="77777777" w:rsidR="0094607C" w:rsidRPr="00CE4EAB" w:rsidRDefault="0094607C" w:rsidP="0094607C">
      <w:pPr>
        <w:pStyle w:val="Textonotapie"/>
        <w:ind w:firstLine="708"/>
        <w:jc w:val="both"/>
        <w:rPr>
          <w:rFonts w:ascii="Geomanist Light" w:hAnsi="Geomanist Light" w:cs="Arial"/>
          <w:sz w:val="19"/>
          <w:szCs w:val="19"/>
        </w:rPr>
      </w:pPr>
      <w:r w:rsidRPr="00CE4EAB">
        <w:rPr>
          <w:rStyle w:val="Refdenotaalpie"/>
          <w:rFonts w:ascii="Geomanist Light" w:hAnsi="Geomanist Light" w:cs="Arial"/>
          <w:sz w:val="19"/>
          <w:szCs w:val="19"/>
        </w:rPr>
        <w:footnoteRef/>
      </w:r>
      <w:r w:rsidRPr="00CE4EAB">
        <w:rPr>
          <w:rFonts w:ascii="Geomanist Light" w:hAnsi="Geomanist Light" w:cs="Arial"/>
          <w:sz w:val="19"/>
          <w:szCs w:val="19"/>
        </w:rPr>
        <w:t xml:space="preserve"> </w:t>
      </w:r>
      <w:r w:rsidRPr="00CE4EAB">
        <w:rPr>
          <w:rFonts w:ascii="Geomanist Light" w:hAnsi="Geomanist Light" w:cs="Arial"/>
          <w:sz w:val="19"/>
          <w:szCs w:val="19"/>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entre otros.</w:t>
      </w:r>
    </w:p>
  </w:footnote>
  <w:footnote w:id="3">
    <w:p w14:paraId="1C03E540" w14:textId="77777777" w:rsidR="0094607C" w:rsidRPr="00CE4EAB" w:rsidRDefault="0094607C" w:rsidP="0094607C">
      <w:pPr>
        <w:pStyle w:val="Textonotapie"/>
        <w:ind w:firstLine="708"/>
        <w:jc w:val="both"/>
        <w:rPr>
          <w:rStyle w:val="Hipervnculo1"/>
          <w:rFonts w:ascii="Geomanist Light" w:hAnsi="Geomanist Light" w:cs="Arial"/>
          <w:sz w:val="19"/>
          <w:szCs w:val="19"/>
        </w:rPr>
      </w:pPr>
      <w:r w:rsidRPr="00CE4EAB">
        <w:rPr>
          <w:rStyle w:val="Refdenotaalpie"/>
          <w:rFonts w:ascii="Geomanist Light" w:hAnsi="Geomanist Light" w:cs="Arial"/>
          <w:sz w:val="19"/>
          <w:szCs w:val="19"/>
        </w:rPr>
        <w:footnoteRef/>
      </w:r>
      <w:r w:rsidRPr="00CE4EAB">
        <w:rPr>
          <w:rFonts w:ascii="Geomanist Light" w:hAnsi="Geomanist Light" w:cs="Arial"/>
          <w:sz w:val="19"/>
          <w:szCs w:val="19"/>
        </w:rPr>
        <w:t xml:space="preserve"> Texto del Proyecto de Ley 122 de 2020 Cámara. Exposición de motivos. Consultado el 29 de diciembre de 2021 en la página web: </w:t>
      </w:r>
      <w:hyperlink r:id="rId1" w:history="1">
        <w:r w:rsidRPr="00CE4EAB">
          <w:rPr>
            <w:rStyle w:val="Hipervnculo1"/>
            <w:rFonts w:ascii="Geomanist Light" w:hAnsi="Geomanist Light" w:cs="Arial"/>
            <w:sz w:val="19"/>
            <w:szCs w:val="19"/>
          </w:rPr>
          <w:t>http://leyes.senado.gov.co/proyectos/index.php/textos-radicados-senado/p-ley-2020-2021/1957-proyecto-de-ley-161-de-2020</w:t>
        </w:r>
      </w:hyperlink>
    </w:p>
    <w:p w14:paraId="5C7E8C95" w14:textId="77777777" w:rsidR="0094607C" w:rsidRPr="00CE4EAB" w:rsidRDefault="0094607C" w:rsidP="0094607C">
      <w:pPr>
        <w:pStyle w:val="Textonotapie"/>
        <w:ind w:firstLine="708"/>
        <w:jc w:val="both"/>
        <w:rPr>
          <w:rFonts w:ascii="Geomanist Light" w:hAnsi="Geomanist Light" w:cs="Arial"/>
          <w:sz w:val="19"/>
          <w:szCs w:val="19"/>
        </w:rPr>
      </w:pPr>
    </w:p>
  </w:footnote>
  <w:footnote w:id="4">
    <w:p w14:paraId="7DE42324" w14:textId="77777777" w:rsidR="0094607C" w:rsidRPr="00CE4EAB" w:rsidRDefault="0094607C" w:rsidP="0094607C">
      <w:pPr>
        <w:pStyle w:val="Textonotapie"/>
        <w:ind w:firstLine="709"/>
        <w:jc w:val="both"/>
        <w:rPr>
          <w:rFonts w:ascii="Geomanist Light" w:hAnsi="Geomanist Light" w:cs="Arial"/>
          <w:sz w:val="19"/>
          <w:szCs w:val="19"/>
          <w:lang w:val="es-ES"/>
        </w:rPr>
      </w:pPr>
      <w:r w:rsidRPr="00CE4EAB">
        <w:rPr>
          <w:rStyle w:val="Refdenotaalpie"/>
          <w:rFonts w:ascii="Geomanist Light" w:hAnsi="Geomanist Light" w:cs="Arial"/>
          <w:sz w:val="19"/>
          <w:szCs w:val="19"/>
        </w:rPr>
        <w:footnoteRef/>
      </w:r>
      <w:r w:rsidRPr="00CE4EAB">
        <w:rPr>
          <w:rFonts w:ascii="Geomanist Light" w:hAnsi="Geomanist Light" w:cs="Arial"/>
          <w:sz w:val="19"/>
          <w:szCs w:val="19"/>
        </w:rPr>
        <w:t xml:space="preserve"> </w:t>
      </w:r>
      <w:r w:rsidRPr="00CE4EAB">
        <w:rPr>
          <w:rFonts w:ascii="Geomanist Light" w:hAnsi="Geomanist Light" w:cs="Arial"/>
          <w:sz w:val="19"/>
          <w:szCs w:val="19"/>
          <w:lang w:val="es-ES"/>
        </w:rPr>
        <w:t>Artículos 2 al 29.</w:t>
      </w:r>
    </w:p>
    <w:p w14:paraId="34251550" w14:textId="77777777" w:rsidR="0094607C" w:rsidRPr="00CE4EAB" w:rsidRDefault="0094607C" w:rsidP="0094607C">
      <w:pPr>
        <w:pStyle w:val="Textonotapie"/>
        <w:ind w:firstLine="709"/>
        <w:jc w:val="both"/>
        <w:rPr>
          <w:rFonts w:ascii="Geomanist Light" w:hAnsi="Geomanist Light" w:cs="Arial"/>
          <w:sz w:val="19"/>
          <w:szCs w:val="19"/>
          <w:lang w:val="es-ES"/>
        </w:rPr>
      </w:pPr>
    </w:p>
  </w:footnote>
  <w:footnote w:id="5">
    <w:p w14:paraId="0DAF7402" w14:textId="77777777" w:rsidR="0094607C" w:rsidRPr="00CE4EAB" w:rsidRDefault="0094607C" w:rsidP="0094607C">
      <w:pPr>
        <w:pStyle w:val="Textonotapie"/>
        <w:ind w:firstLine="709"/>
        <w:jc w:val="both"/>
        <w:rPr>
          <w:rFonts w:ascii="Geomanist Light" w:hAnsi="Geomanist Light" w:cs="Arial"/>
          <w:sz w:val="19"/>
          <w:szCs w:val="19"/>
          <w:lang w:val="es-ES"/>
        </w:rPr>
      </w:pPr>
      <w:r w:rsidRPr="00CE4EAB">
        <w:rPr>
          <w:rStyle w:val="Refdenotaalpie"/>
          <w:rFonts w:ascii="Geomanist Light" w:hAnsi="Geomanist Light" w:cs="Arial"/>
          <w:sz w:val="19"/>
          <w:szCs w:val="19"/>
        </w:rPr>
        <w:footnoteRef/>
      </w:r>
      <w:r w:rsidRPr="00CE4EAB">
        <w:rPr>
          <w:rFonts w:ascii="Geomanist Light" w:hAnsi="Geomanist Light" w:cs="Arial"/>
          <w:sz w:val="19"/>
          <w:szCs w:val="19"/>
        </w:rPr>
        <w:t xml:space="preserve"> </w:t>
      </w:r>
      <w:r w:rsidRPr="00CE4EAB">
        <w:rPr>
          <w:rFonts w:ascii="Geomanist Light" w:hAnsi="Geomanist Light" w:cs="Arial"/>
          <w:sz w:val="19"/>
          <w:szCs w:val="19"/>
          <w:lang w:val="es-ES"/>
        </w:rPr>
        <w:t>Artículos 30 al 36.</w:t>
      </w:r>
    </w:p>
    <w:p w14:paraId="1F023151" w14:textId="77777777" w:rsidR="0094607C" w:rsidRPr="00CE4EAB" w:rsidRDefault="0094607C" w:rsidP="0094607C">
      <w:pPr>
        <w:pStyle w:val="Textonotapie"/>
        <w:ind w:firstLine="709"/>
        <w:jc w:val="both"/>
        <w:rPr>
          <w:rFonts w:ascii="Geomanist Light" w:hAnsi="Geomanist Light" w:cs="Arial"/>
          <w:sz w:val="19"/>
          <w:szCs w:val="19"/>
          <w:lang w:val="es-ES"/>
        </w:rPr>
      </w:pPr>
    </w:p>
  </w:footnote>
  <w:footnote w:id="6">
    <w:p w14:paraId="322AB9EE" w14:textId="77777777" w:rsidR="0094607C" w:rsidRPr="00CE4EAB" w:rsidRDefault="0094607C" w:rsidP="0094607C">
      <w:pPr>
        <w:pStyle w:val="Textonotapie"/>
        <w:ind w:firstLine="709"/>
        <w:jc w:val="both"/>
        <w:rPr>
          <w:rFonts w:ascii="Geomanist Light" w:hAnsi="Geomanist Light" w:cs="Arial"/>
          <w:sz w:val="19"/>
          <w:szCs w:val="19"/>
          <w:lang w:val="es-ES"/>
        </w:rPr>
      </w:pPr>
      <w:r w:rsidRPr="00CE4EAB">
        <w:rPr>
          <w:rStyle w:val="Refdenotaalpie"/>
          <w:rFonts w:ascii="Geomanist Light" w:hAnsi="Geomanist Light" w:cs="Arial"/>
          <w:sz w:val="19"/>
          <w:szCs w:val="19"/>
        </w:rPr>
        <w:footnoteRef/>
      </w:r>
      <w:r w:rsidRPr="00CE4EAB">
        <w:rPr>
          <w:rFonts w:ascii="Geomanist Light" w:hAnsi="Geomanist Light" w:cs="Arial"/>
          <w:sz w:val="19"/>
          <w:szCs w:val="19"/>
        </w:rPr>
        <w:t xml:space="preserve"> </w:t>
      </w:r>
      <w:r w:rsidRPr="00CE4EAB">
        <w:rPr>
          <w:rFonts w:ascii="Geomanist Light" w:hAnsi="Geomanist Light" w:cs="Arial"/>
          <w:sz w:val="19"/>
          <w:szCs w:val="19"/>
          <w:lang w:val="es-ES"/>
        </w:rPr>
        <w:t>Artículos 37 al 45.</w:t>
      </w:r>
    </w:p>
    <w:p w14:paraId="2C2BC092" w14:textId="77777777" w:rsidR="0094607C" w:rsidRPr="00CE4EAB" w:rsidRDefault="0094607C" w:rsidP="0094607C">
      <w:pPr>
        <w:pStyle w:val="Textonotapie"/>
        <w:ind w:firstLine="709"/>
        <w:jc w:val="both"/>
        <w:rPr>
          <w:rFonts w:ascii="Geomanist Light" w:hAnsi="Geomanist Light" w:cs="Arial"/>
          <w:sz w:val="19"/>
          <w:szCs w:val="19"/>
          <w:lang w:val="es-ES"/>
        </w:rPr>
      </w:pPr>
    </w:p>
  </w:footnote>
  <w:footnote w:id="7">
    <w:p w14:paraId="2587641A" w14:textId="77777777" w:rsidR="0094607C" w:rsidRPr="00CE4EAB" w:rsidRDefault="0094607C" w:rsidP="0094607C">
      <w:pPr>
        <w:pStyle w:val="Textonotapie"/>
        <w:ind w:firstLine="709"/>
        <w:jc w:val="both"/>
        <w:rPr>
          <w:rFonts w:ascii="Geomanist Light" w:hAnsi="Geomanist Light" w:cs="Arial"/>
          <w:sz w:val="19"/>
          <w:szCs w:val="19"/>
          <w:lang w:val="es-ES"/>
        </w:rPr>
      </w:pPr>
      <w:r w:rsidRPr="00CE4EAB">
        <w:rPr>
          <w:rStyle w:val="Refdenotaalpie"/>
          <w:rFonts w:ascii="Geomanist Light" w:hAnsi="Geomanist Light" w:cs="Arial"/>
          <w:sz w:val="19"/>
          <w:szCs w:val="19"/>
        </w:rPr>
        <w:footnoteRef/>
      </w:r>
      <w:r w:rsidRPr="00CE4EAB">
        <w:rPr>
          <w:rFonts w:ascii="Geomanist Light" w:hAnsi="Geomanist Light" w:cs="Arial"/>
          <w:sz w:val="19"/>
          <w:szCs w:val="19"/>
        </w:rPr>
        <w:t xml:space="preserve"> </w:t>
      </w:r>
      <w:r w:rsidRPr="00CE4EAB">
        <w:rPr>
          <w:rFonts w:ascii="Geomanist Light" w:hAnsi="Geomanist Light" w:cs="Arial"/>
          <w:sz w:val="19"/>
          <w:szCs w:val="19"/>
          <w:lang w:val="es-ES"/>
        </w:rPr>
        <w:t>Artículos 46 al 73.</w:t>
      </w:r>
    </w:p>
    <w:p w14:paraId="561802B9" w14:textId="77777777" w:rsidR="0094607C" w:rsidRPr="00CE4EAB" w:rsidRDefault="0094607C" w:rsidP="0094607C">
      <w:pPr>
        <w:pStyle w:val="Textonotapie"/>
        <w:ind w:firstLine="709"/>
        <w:jc w:val="both"/>
        <w:rPr>
          <w:rFonts w:ascii="Geomanist Light" w:hAnsi="Geomanist Light" w:cs="Arial"/>
          <w:sz w:val="19"/>
          <w:szCs w:val="19"/>
          <w:lang w:val="es-ES"/>
        </w:rPr>
      </w:pPr>
    </w:p>
  </w:footnote>
  <w:footnote w:id="8">
    <w:p w14:paraId="722D65C5" w14:textId="77777777" w:rsidR="0094607C" w:rsidRPr="00CE4EAB" w:rsidRDefault="0094607C" w:rsidP="0094607C">
      <w:pPr>
        <w:pStyle w:val="Textonotapie"/>
        <w:ind w:firstLine="709"/>
        <w:jc w:val="both"/>
        <w:rPr>
          <w:rFonts w:ascii="Geomanist Light" w:hAnsi="Geomanist Light" w:cs="Arial"/>
          <w:sz w:val="19"/>
          <w:szCs w:val="19"/>
          <w:lang w:val="es-ES"/>
        </w:rPr>
      </w:pPr>
      <w:r w:rsidRPr="00CE4EAB">
        <w:rPr>
          <w:rStyle w:val="Refdenotaalpie"/>
          <w:rFonts w:ascii="Geomanist Light" w:hAnsi="Geomanist Light" w:cs="Arial"/>
          <w:sz w:val="19"/>
          <w:szCs w:val="19"/>
        </w:rPr>
        <w:footnoteRef/>
      </w:r>
      <w:r w:rsidRPr="00CE4EAB">
        <w:rPr>
          <w:rFonts w:ascii="Geomanist Light" w:hAnsi="Geomanist Light" w:cs="Arial"/>
          <w:sz w:val="19"/>
          <w:szCs w:val="19"/>
        </w:rPr>
        <w:t xml:space="preserve"> </w:t>
      </w:r>
      <w:r w:rsidRPr="00CE4EAB">
        <w:rPr>
          <w:rFonts w:ascii="Geomanist Light" w:hAnsi="Geomanist Light" w:cs="Arial"/>
          <w:sz w:val="19"/>
          <w:szCs w:val="19"/>
          <w:lang w:val="es-ES"/>
        </w:rPr>
        <w:t>Artículos 74 al 83.</w:t>
      </w:r>
    </w:p>
    <w:p w14:paraId="52A62C5A" w14:textId="77777777" w:rsidR="0094607C" w:rsidRPr="00CE4EAB" w:rsidRDefault="0094607C" w:rsidP="0094607C">
      <w:pPr>
        <w:pStyle w:val="Textonotapie"/>
        <w:ind w:firstLine="709"/>
        <w:jc w:val="both"/>
        <w:rPr>
          <w:rFonts w:ascii="Geomanist Light" w:hAnsi="Geomanist Light" w:cs="Arial"/>
          <w:sz w:val="19"/>
          <w:szCs w:val="19"/>
          <w:lang w:val="es-ES"/>
        </w:rPr>
      </w:pPr>
    </w:p>
  </w:footnote>
  <w:footnote w:id="9">
    <w:p w14:paraId="4C006737" w14:textId="77777777" w:rsidR="0094607C" w:rsidRPr="00CE4EAB" w:rsidRDefault="0094607C" w:rsidP="0094607C">
      <w:pPr>
        <w:pStyle w:val="Textonotapie"/>
        <w:ind w:firstLine="708"/>
        <w:jc w:val="both"/>
        <w:rPr>
          <w:rFonts w:ascii="Geomanist Light" w:hAnsi="Geomanist Light" w:cs="Arial"/>
          <w:sz w:val="19"/>
          <w:szCs w:val="19"/>
        </w:rPr>
      </w:pPr>
      <w:r w:rsidRPr="00CE4EAB">
        <w:rPr>
          <w:rStyle w:val="Refdenotaalpie"/>
          <w:rFonts w:ascii="Geomanist Light" w:hAnsi="Geomanist Light" w:cs="Arial"/>
          <w:sz w:val="19"/>
          <w:szCs w:val="19"/>
        </w:rPr>
        <w:footnoteRef/>
      </w:r>
      <w:r w:rsidRPr="00CE4EAB">
        <w:rPr>
          <w:rFonts w:ascii="Geomanist Light" w:hAnsi="Geomanist Light" w:cs="Arial"/>
          <w:sz w:val="19"/>
          <w:szCs w:val="19"/>
        </w:rPr>
        <w:t xml:space="preserve"> </w:t>
      </w:r>
      <w:bookmarkStart w:id="7" w:name="_Hlk63862868"/>
      <w:r w:rsidRPr="00CE4EAB">
        <w:rPr>
          <w:rFonts w:ascii="Geomanist Light" w:hAnsi="Geomanist Light" w:cs="Arial"/>
          <w:sz w:val="19"/>
          <w:szCs w:val="19"/>
        </w:rPr>
        <w:t xml:space="preserve">CONGRESO DE LA REPÚBLICA. Gaceta No. 670 del 11 de agosto de 2020. Exposición de motivos del Proyecto de Ley No. 122 de 2020 Cámara. p. 13. </w:t>
      </w:r>
      <w:bookmarkEnd w:id="7"/>
    </w:p>
    <w:p w14:paraId="46847FBF" w14:textId="77777777" w:rsidR="0094607C" w:rsidRPr="00CE4EAB" w:rsidRDefault="0094607C" w:rsidP="0094607C">
      <w:pPr>
        <w:pStyle w:val="Textonotapie"/>
        <w:ind w:firstLine="708"/>
        <w:jc w:val="both"/>
        <w:rPr>
          <w:rFonts w:ascii="Geomanist Light" w:hAnsi="Geomanist Light" w:cs="Arial"/>
          <w:sz w:val="19"/>
          <w:szCs w:val="19"/>
          <w:lang w:val="es-ES"/>
        </w:rPr>
      </w:pPr>
    </w:p>
  </w:footnote>
  <w:footnote w:id="10">
    <w:p w14:paraId="6425A943" w14:textId="77777777" w:rsidR="0094607C" w:rsidRPr="00CE4EAB" w:rsidRDefault="0094607C" w:rsidP="0094607C">
      <w:pPr>
        <w:pStyle w:val="Textonotapie"/>
        <w:ind w:firstLine="709"/>
        <w:jc w:val="both"/>
        <w:rPr>
          <w:rFonts w:ascii="Geomanist Light" w:hAnsi="Geomanist Light" w:cs="Arial"/>
          <w:sz w:val="19"/>
          <w:szCs w:val="19"/>
        </w:rPr>
      </w:pPr>
      <w:r w:rsidRPr="00CE4EAB">
        <w:rPr>
          <w:rStyle w:val="Refdenotaalpie"/>
          <w:rFonts w:ascii="Geomanist Light" w:hAnsi="Geomanist Light" w:cs="Arial"/>
          <w:sz w:val="19"/>
          <w:szCs w:val="19"/>
        </w:rPr>
        <w:footnoteRef/>
      </w:r>
      <w:r w:rsidRPr="00CE4EAB">
        <w:rPr>
          <w:rFonts w:ascii="Geomanist Light" w:hAnsi="Geomanist Light" w:cs="Arial"/>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13DB583E" w14:textId="77777777" w:rsidR="0094607C" w:rsidRPr="00CE4EAB" w:rsidRDefault="0094607C" w:rsidP="0094607C">
      <w:pPr>
        <w:pStyle w:val="Textonotapie"/>
        <w:ind w:firstLine="708"/>
        <w:jc w:val="both"/>
        <w:rPr>
          <w:rFonts w:ascii="Geomanist Light" w:hAnsi="Geomanist Light" w:cs="Arial"/>
          <w:sz w:val="19"/>
          <w:szCs w:val="19"/>
        </w:rPr>
      </w:pPr>
      <w:r w:rsidRPr="00CE4EAB">
        <w:rPr>
          <w:rFonts w:ascii="Geomanist Light" w:hAnsi="Geomanist Light" w:cs="Arial"/>
          <w:sz w:val="19"/>
          <w:szCs w:val="19"/>
        </w:rPr>
        <w:t xml:space="preserve">»Parágrafo primero. La definición de emprendimientos y empresas de mujeres se reglamentará por el gobierno nacional».  </w:t>
      </w:r>
    </w:p>
  </w:footnote>
  <w:footnote w:id="11">
    <w:p w14:paraId="60D50163" w14:textId="77777777" w:rsidR="0094607C" w:rsidRPr="00CE4EAB" w:rsidRDefault="0094607C" w:rsidP="0094607C">
      <w:pPr>
        <w:pStyle w:val="Textonotapie"/>
        <w:ind w:firstLine="709"/>
        <w:jc w:val="both"/>
        <w:rPr>
          <w:rFonts w:ascii="Geomanist Light" w:hAnsi="Geomanist Light" w:cs="Arial"/>
          <w:sz w:val="19"/>
          <w:szCs w:val="19"/>
        </w:rPr>
      </w:pPr>
      <w:r w:rsidRPr="00CE4EAB">
        <w:rPr>
          <w:rStyle w:val="Refdenotaalpie"/>
          <w:rFonts w:ascii="Geomanist Light" w:hAnsi="Geomanist Light" w:cs="Arial"/>
          <w:sz w:val="19"/>
          <w:szCs w:val="19"/>
        </w:rPr>
        <w:footnoteRef/>
      </w:r>
      <w:r w:rsidRPr="00CE4EAB">
        <w:rPr>
          <w:rFonts w:ascii="Geomanist Light" w:hAnsi="Geomanist Light"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66A31C03" w14:textId="77777777" w:rsidR="0094607C" w:rsidRPr="00CE4EAB" w:rsidRDefault="0094607C" w:rsidP="0094607C">
      <w:pPr>
        <w:pStyle w:val="Textonotapie"/>
        <w:ind w:firstLine="709"/>
        <w:jc w:val="both"/>
        <w:rPr>
          <w:rFonts w:ascii="Geomanist Light" w:hAnsi="Geomanist Light" w:cs="Arial"/>
          <w:sz w:val="19"/>
          <w:szCs w:val="19"/>
        </w:rPr>
      </w:pPr>
    </w:p>
  </w:footnote>
  <w:footnote w:id="12">
    <w:p w14:paraId="1A769242" w14:textId="77777777" w:rsidR="0094607C" w:rsidRPr="00CE4EAB" w:rsidRDefault="0094607C" w:rsidP="0094607C">
      <w:pPr>
        <w:pStyle w:val="NormalWeb"/>
        <w:shd w:val="clear" w:color="auto" w:fill="FFFFFF"/>
        <w:spacing w:before="0" w:beforeAutospacing="0" w:after="120" w:afterAutospacing="0"/>
        <w:ind w:firstLine="709"/>
        <w:jc w:val="both"/>
        <w:rPr>
          <w:rFonts w:ascii="Geomanist Light" w:hAnsi="Geomanist Light" w:cs="Arial"/>
          <w:sz w:val="19"/>
          <w:szCs w:val="19"/>
        </w:rPr>
      </w:pPr>
      <w:r w:rsidRPr="00CE4EAB">
        <w:rPr>
          <w:rStyle w:val="Refdenotaalpie"/>
          <w:rFonts w:ascii="Geomanist Light" w:hAnsi="Geomanist Light" w:cs="Arial"/>
          <w:sz w:val="19"/>
          <w:szCs w:val="19"/>
        </w:rPr>
        <w:footnoteRef/>
      </w:r>
      <w:r w:rsidRPr="00CE4EAB">
        <w:rPr>
          <w:rFonts w:ascii="Geomanist Light" w:hAnsi="Geomanist Light" w:cs="Arial"/>
          <w:sz w:val="19"/>
          <w:szCs w:val="19"/>
        </w:rPr>
        <w:t xml:space="preserve"> Decreto 1860 de 2021. «Artículo</w:t>
      </w:r>
      <w:r w:rsidRPr="00CE4EAB">
        <w:rPr>
          <w:rFonts w:ascii="Calibri" w:hAnsi="Calibri" w:cs="Calibri"/>
          <w:sz w:val="19"/>
          <w:szCs w:val="19"/>
        </w:rPr>
        <w:t> </w:t>
      </w:r>
      <w:r w:rsidRPr="00CE4EAB">
        <w:rPr>
          <w:rFonts w:ascii="Geomanist Light" w:hAnsi="Geomanist Light" w:cs="Arial"/>
          <w:sz w:val="19"/>
          <w:szCs w:val="19"/>
        </w:rPr>
        <w:t>8. Vigencia y derogatorias.</w:t>
      </w:r>
      <w:r w:rsidRPr="00CE4EAB">
        <w:rPr>
          <w:rFonts w:ascii="Calibri" w:hAnsi="Calibri" w:cs="Calibri"/>
          <w:sz w:val="19"/>
          <w:szCs w:val="19"/>
        </w:rPr>
        <w:t> </w:t>
      </w:r>
      <w:r w:rsidRPr="00CE4EAB">
        <w:rPr>
          <w:rFonts w:ascii="Geomanist Light" w:hAnsi="Geomanist Light" w:cs="Arial"/>
          <w:sz w:val="19"/>
          <w:szCs w:val="19"/>
        </w:rPr>
        <w:t>Las disposiciones contenidas en el presente Decreto se aplicarán a los procedimientos de selección cuya invitación, aviso de convocatoria o documento equivalente se publique a los tres (3) meses contados a partir de su expedición. Este Decreto modifica la Subsección</w:t>
      </w:r>
      <w:r w:rsidRPr="00CE4EAB">
        <w:rPr>
          <w:rFonts w:ascii="Calibri" w:hAnsi="Calibri" w:cs="Calibri"/>
          <w:sz w:val="19"/>
          <w:szCs w:val="19"/>
        </w:rPr>
        <w:t> </w:t>
      </w:r>
      <w:hyperlink r:id="rId2" w:anchor="2.2.1.2.1.5.1" w:history="1">
        <w:r w:rsidRPr="00CE4EAB">
          <w:rPr>
            <w:rStyle w:val="Hipervnculo"/>
            <w:rFonts w:ascii="Geomanist Light" w:eastAsiaTheme="majorEastAsia" w:hAnsi="Geomanist Light" w:cs="Arial"/>
            <w:sz w:val="19"/>
            <w:szCs w:val="19"/>
          </w:rPr>
          <w:t>5</w:t>
        </w:r>
        <w:r w:rsidRPr="00CE4EAB">
          <w:rPr>
            <w:rStyle w:val="Hipervnculo"/>
            <w:rFonts w:ascii="Calibri" w:eastAsiaTheme="majorEastAsia" w:hAnsi="Calibri" w:cs="Calibri"/>
            <w:sz w:val="19"/>
            <w:szCs w:val="19"/>
          </w:rPr>
          <w:t> </w:t>
        </w:r>
      </w:hyperlink>
      <w:r w:rsidRPr="00CE4EAB">
        <w:rPr>
          <w:rFonts w:ascii="Geomanist Light" w:hAnsi="Geomanist Light" w:cs="Arial"/>
          <w:sz w:val="19"/>
          <w:szCs w:val="19"/>
        </w:rPr>
        <w:t>de la Sección 1 del Capítulo 2 del Título 1 de la Parte 2 del Libro 2, así como los artículos</w:t>
      </w:r>
      <w:r w:rsidRPr="00CE4EAB">
        <w:rPr>
          <w:rFonts w:ascii="Calibri" w:hAnsi="Calibri" w:cs="Calibri"/>
          <w:sz w:val="19"/>
          <w:szCs w:val="19"/>
        </w:rPr>
        <w:t> </w:t>
      </w:r>
      <w:hyperlink r:id="rId3" w:anchor="2.2.1.2.4.2.2" w:history="1">
        <w:r w:rsidRPr="00CE4EAB">
          <w:rPr>
            <w:rStyle w:val="Hipervnculo"/>
            <w:rFonts w:ascii="Geomanist Light" w:eastAsiaTheme="majorEastAsia" w:hAnsi="Geomanist Light" w:cs="Arial"/>
            <w:sz w:val="19"/>
            <w:szCs w:val="19"/>
          </w:rPr>
          <w:t>2.2.1.2.4.2.2</w:t>
        </w:r>
      </w:hyperlink>
      <w:r w:rsidRPr="00CE4EAB">
        <w:rPr>
          <w:rFonts w:ascii="Geomanist Light" w:hAnsi="Geomanist Light" w:cs="Arial"/>
          <w:sz w:val="19"/>
          <w:szCs w:val="19"/>
        </w:rPr>
        <w:t>.,</w:t>
      </w:r>
      <w:r w:rsidRPr="00CE4EAB">
        <w:rPr>
          <w:rFonts w:ascii="Calibri" w:hAnsi="Calibri" w:cs="Calibri"/>
          <w:sz w:val="19"/>
          <w:szCs w:val="19"/>
        </w:rPr>
        <w:t> </w:t>
      </w:r>
      <w:hyperlink r:id="rId4" w:anchor="2.2.1.2.4.2.3" w:history="1">
        <w:r w:rsidRPr="00CE4EAB">
          <w:rPr>
            <w:rStyle w:val="Hipervnculo"/>
            <w:rFonts w:ascii="Geomanist Light" w:eastAsiaTheme="majorEastAsia" w:hAnsi="Geomanist Light" w:cs="Arial"/>
            <w:sz w:val="19"/>
            <w:szCs w:val="19"/>
          </w:rPr>
          <w:t>2.2.1.2.4.2.3</w:t>
        </w:r>
      </w:hyperlink>
      <w:r w:rsidRPr="00CE4EAB">
        <w:rPr>
          <w:rFonts w:ascii="Geomanist Light" w:hAnsi="Geomanist Light" w:cs="Arial"/>
          <w:sz w:val="19"/>
          <w:szCs w:val="19"/>
        </w:rPr>
        <w:t>.,</w:t>
      </w:r>
      <w:r w:rsidRPr="00CE4EAB">
        <w:rPr>
          <w:rFonts w:ascii="Calibri" w:hAnsi="Calibri" w:cs="Calibri"/>
          <w:sz w:val="19"/>
          <w:szCs w:val="19"/>
        </w:rPr>
        <w:t> </w:t>
      </w:r>
      <w:hyperlink r:id="rId5" w:anchor="2.2.1.2.4.2.4" w:history="1">
        <w:r w:rsidRPr="00CE4EAB">
          <w:rPr>
            <w:rStyle w:val="Hipervnculo"/>
            <w:rFonts w:ascii="Geomanist Light" w:eastAsiaTheme="majorEastAsia" w:hAnsi="Geomanist Light" w:cs="Arial"/>
            <w:sz w:val="19"/>
            <w:szCs w:val="19"/>
          </w:rPr>
          <w:t>2.2.1.2.4.2.4</w:t>
        </w:r>
      </w:hyperlink>
      <w:r w:rsidRPr="00CE4EAB">
        <w:rPr>
          <w:rFonts w:ascii="Geomanist Light" w:hAnsi="Geomanist Light" w:cs="Arial"/>
          <w:sz w:val="19"/>
          <w:szCs w:val="19"/>
        </w:rPr>
        <w:t>.,</w:t>
      </w:r>
      <w:r w:rsidRPr="00CE4EAB">
        <w:rPr>
          <w:rFonts w:ascii="Calibri" w:hAnsi="Calibri" w:cs="Calibri"/>
          <w:sz w:val="19"/>
          <w:szCs w:val="19"/>
        </w:rPr>
        <w:t> </w:t>
      </w:r>
      <w:hyperlink r:id="rId6" w:anchor="2.2.1.2.1.2.2" w:history="1">
        <w:r w:rsidRPr="00CE4EAB">
          <w:rPr>
            <w:rStyle w:val="Hipervnculo"/>
            <w:rFonts w:ascii="Geomanist Light" w:eastAsiaTheme="majorEastAsia" w:hAnsi="Geomanist Light" w:cs="Arial"/>
            <w:sz w:val="19"/>
            <w:szCs w:val="19"/>
          </w:rPr>
          <w:t>2.2.1.2.1.2.2</w:t>
        </w:r>
      </w:hyperlink>
      <w:r w:rsidRPr="00CE4EAB">
        <w:rPr>
          <w:rFonts w:ascii="Geomanist Light" w:hAnsi="Geomanist Light" w:cs="Arial"/>
          <w:sz w:val="19"/>
          <w:szCs w:val="19"/>
        </w:rPr>
        <w:t xml:space="preserve"> y</w:t>
      </w:r>
      <w:r w:rsidRPr="00CE4EAB">
        <w:rPr>
          <w:rFonts w:ascii="Calibri" w:hAnsi="Calibri" w:cs="Calibri"/>
          <w:sz w:val="19"/>
          <w:szCs w:val="19"/>
        </w:rPr>
        <w:t> </w:t>
      </w:r>
      <w:hyperlink r:id="rId7" w:anchor="2.2.1.2.4.2.8" w:history="1">
        <w:r w:rsidRPr="00CE4EAB">
          <w:rPr>
            <w:rStyle w:val="Hipervnculo"/>
            <w:rFonts w:ascii="Geomanist Light" w:eastAsiaTheme="majorEastAsia" w:hAnsi="Geomanist Light" w:cs="Arial"/>
            <w:sz w:val="19"/>
            <w:szCs w:val="19"/>
          </w:rPr>
          <w:t>2.2.1.2.4.2.8</w:t>
        </w:r>
      </w:hyperlink>
      <w:r w:rsidRPr="00CE4EAB">
        <w:rPr>
          <w:rFonts w:ascii="Geomanist Light" w:hAnsi="Geomanist Light" w:cs="Arial"/>
          <w:sz w:val="19"/>
          <w:szCs w:val="19"/>
        </w:rPr>
        <w:t>.; adiciona los artículos</w:t>
      </w:r>
      <w:r w:rsidRPr="00CE4EAB">
        <w:rPr>
          <w:rFonts w:ascii="Calibri" w:hAnsi="Calibri" w:cs="Calibri"/>
          <w:sz w:val="19"/>
          <w:szCs w:val="19"/>
        </w:rPr>
        <w:t> </w:t>
      </w:r>
      <w:hyperlink r:id="rId8" w:anchor="2.2.1.2.4.2.14" w:history="1">
        <w:r w:rsidRPr="00CE4EAB">
          <w:rPr>
            <w:rStyle w:val="Hipervnculo"/>
            <w:rFonts w:ascii="Geomanist Light" w:eastAsiaTheme="majorEastAsia" w:hAnsi="Geomanist Light" w:cs="Arial"/>
            <w:sz w:val="19"/>
            <w:szCs w:val="19"/>
          </w:rPr>
          <w:t>2.2.1.2.4.2.14</w:t>
        </w:r>
      </w:hyperlink>
      <w:r w:rsidRPr="00CE4EAB">
        <w:rPr>
          <w:rFonts w:ascii="Geomanist Light" w:hAnsi="Geomanist Light" w:cs="Arial"/>
          <w:sz w:val="19"/>
          <w:szCs w:val="19"/>
        </w:rPr>
        <w:t>.,</w:t>
      </w:r>
      <w:r w:rsidRPr="00CE4EAB">
        <w:rPr>
          <w:rFonts w:ascii="Calibri" w:hAnsi="Calibri" w:cs="Calibri"/>
          <w:sz w:val="19"/>
          <w:szCs w:val="19"/>
        </w:rPr>
        <w:t> </w:t>
      </w:r>
      <w:hyperlink r:id="rId9" w:anchor="2.2.1.2.4.2.15" w:history="1">
        <w:r w:rsidRPr="00CE4EAB">
          <w:rPr>
            <w:rStyle w:val="Hipervnculo"/>
            <w:rFonts w:ascii="Geomanist Light" w:eastAsiaTheme="majorEastAsia" w:hAnsi="Geomanist Light" w:cs="Arial"/>
            <w:sz w:val="19"/>
            <w:szCs w:val="19"/>
          </w:rPr>
          <w:t>2.2.1.2.4.2.15</w:t>
        </w:r>
      </w:hyperlink>
      <w:r w:rsidRPr="00CE4EAB">
        <w:rPr>
          <w:rFonts w:ascii="Geomanist Light" w:hAnsi="Geomanist Light" w:cs="Arial"/>
          <w:sz w:val="19"/>
          <w:szCs w:val="19"/>
        </w:rPr>
        <w:t>.,</w:t>
      </w:r>
      <w:r w:rsidRPr="00CE4EAB">
        <w:rPr>
          <w:rFonts w:ascii="Calibri" w:hAnsi="Calibri" w:cs="Calibri"/>
          <w:sz w:val="19"/>
          <w:szCs w:val="19"/>
        </w:rPr>
        <w:t> </w:t>
      </w:r>
      <w:hyperlink r:id="rId10" w:anchor="2.2.1.2.4.2.16" w:history="1">
        <w:r w:rsidRPr="00CE4EAB">
          <w:rPr>
            <w:rStyle w:val="Hipervnculo"/>
            <w:rFonts w:ascii="Geomanist Light" w:eastAsiaTheme="majorEastAsia" w:hAnsi="Geomanist Light" w:cs="Arial"/>
            <w:sz w:val="19"/>
            <w:szCs w:val="19"/>
          </w:rPr>
          <w:t>2.2.1.2.4.2.16</w:t>
        </w:r>
      </w:hyperlink>
      <w:r w:rsidRPr="00CE4EAB">
        <w:rPr>
          <w:rFonts w:ascii="Geomanist Light" w:hAnsi="Geomanist Light" w:cs="Arial"/>
          <w:sz w:val="19"/>
          <w:szCs w:val="19"/>
        </w:rPr>
        <w:t>.,</w:t>
      </w:r>
      <w:r w:rsidRPr="00CE4EAB">
        <w:rPr>
          <w:rFonts w:ascii="Calibri" w:hAnsi="Calibri" w:cs="Calibri"/>
          <w:sz w:val="19"/>
          <w:szCs w:val="19"/>
        </w:rPr>
        <w:t> </w:t>
      </w:r>
      <w:hyperlink r:id="rId11" w:anchor="2.2.1.2.4.2.17" w:history="1">
        <w:r w:rsidRPr="00CE4EAB">
          <w:rPr>
            <w:rStyle w:val="Hipervnculo"/>
            <w:rFonts w:ascii="Geomanist Light" w:eastAsiaTheme="majorEastAsia" w:hAnsi="Geomanist Light" w:cs="Arial"/>
            <w:sz w:val="19"/>
            <w:szCs w:val="19"/>
          </w:rPr>
          <w:t>2.2.1.2.4.2.17</w:t>
        </w:r>
      </w:hyperlink>
      <w:r w:rsidRPr="00CE4EAB">
        <w:rPr>
          <w:rFonts w:ascii="Geomanist Light" w:hAnsi="Geomanist Light" w:cs="Arial"/>
          <w:sz w:val="19"/>
          <w:szCs w:val="19"/>
        </w:rPr>
        <w:t>. y</w:t>
      </w:r>
      <w:r w:rsidRPr="00CE4EAB">
        <w:rPr>
          <w:rFonts w:ascii="Calibri" w:hAnsi="Calibri" w:cs="Calibri"/>
          <w:sz w:val="19"/>
          <w:szCs w:val="19"/>
        </w:rPr>
        <w:t> </w:t>
      </w:r>
      <w:hyperlink r:id="rId12" w:anchor="2.2.1.2.4.2.18" w:history="1">
        <w:r w:rsidRPr="00CE4EAB">
          <w:rPr>
            <w:rStyle w:val="Hipervnculo"/>
            <w:rFonts w:ascii="Geomanist Light" w:eastAsiaTheme="majorEastAsia" w:hAnsi="Geomanist Light" w:cs="Arial"/>
            <w:sz w:val="19"/>
            <w:szCs w:val="19"/>
          </w:rPr>
          <w:t>2.2.1.2.4.2.18</w:t>
        </w:r>
      </w:hyperlink>
      <w:r w:rsidRPr="00CE4EAB">
        <w:rPr>
          <w:rFonts w:ascii="Geomanist Light" w:hAnsi="Geomanist Light" w:cs="Arial"/>
          <w:sz w:val="19"/>
          <w:szCs w:val="19"/>
        </w:rPr>
        <w:t>.; adiciona un</w:t>
      </w:r>
      <w:r w:rsidRPr="00CE4EAB">
        <w:rPr>
          <w:rFonts w:ascii="Calibri" w:hAnsi="Calibri" w:cs="Calibri"/>
          <w:sz w:val="19"/>
          <w:szCs w:val="19"/>
        </w:rPr>
        <w:t> </w:t>
      </w:r>
      <w:hyperlink r:id="rId13" w:anchor="2.2.1.2.3.1.9.p" w:history="1">
        <w:r w:rsidRPr="00CE4EAB">
          <w:rPr>
            <w:rStyle w:val="Hipervnculo"/>
            <w:rFonts w:ascii="Geomanist Light" w:eastAsiaTheme="majorEastAsia" w:hAnsi="Geomanist Light" w:cs="Arial"/>
            <w:sz w:val="19"/>
            <w:szCs w:val="19"/>
          </w:rPr>
          <w:t>parágrafo</w:t>
        </w:r>
        <w:r w:rsidRPr="00CE4EAB">
          <w:rPr>
            <w:rStyle w:val="Hipervnculo"/>
            <w:rFonts w:ascii="Calibri" w:eastAsiaTheme="majorEastAsia" w:hAnsi="Calibri" w:cs="Calibri"/>
            <w:sz w:val="19"/>
            <w:szCs w:val="19"/>
          </w:rPr>
          <w:t> </w:t>
        </w:r>
      </w:hyperlink>
      <w:r w:rsidRPr="00CE4EAB">
        <w:rPr>
          <w:rFonts w:ascii="Geomanist Light" w:hAnsi="Geomanist Light" w:cs="Arial"/>
          <w:sz w:val="19"/>
          <w:szCs w:val="19"/>
        </w:rPr>
        <w:t>al artículo</w:t>
      </w:r>
      <w:r w:rsidRPr="00CE4EAB">
        <w:rPr>
          <w:rFonts w:ascii="Calibri" w:hAnsi="Calibri" w:cs="Calibri"/>
          <w:sz w:val="19"/>
          <w:szCs w:val="19"/>
        </w:rPr>
        <w:t> </w:t>
      </w:r>
      <w:hyperlink r:id="rId14" w:anchor="2.2.1.2.3.1.9" w:history="1">
        <w:r w:rsidRPr="00CE4EAB">
          <w:rPr>
            <w:rStyle w:val="Hipervnculo"/>
            <w:rFonts w:ascii="Geomanist Light" w:eastAsiaTheme="majorEastAsia" w:hAnsi="Geomanist Light" w:cs="Arial"/>
            <w:sz w:val="19"/>
            <w:szCs w:val="19"/>
          </w:rPr>
          <w:t>2.2.1.2.3.1.9</w:t>
        </w:r>
      </w:hyperlink>
      <w:r w:rsidRPr="00CE4EAB">
        <w:rPr>
          <w:rFonts w:ascii="Geomanist Light" w:hAnsi="Geomanist Light" w:cs="Arial"/>
          <w:sz w:val="19"/>
          <w:szCs w:val="19"/>
        </w:rPr>
        <w:t>; y deroga el artículo</w:t>
      </w:r>
      <w:r w:rsidRPr="00CE4EAB">
        <w:rPr>
          <w:rFonts w:ascii="Calibri" w:hAnsi="Calibri" w:cs="Calibri"/>
          <w:sz w:val="19"/>
          <w:szCs w:val="19"/>
        </w:rPr>
        <w:t> </w:t>
      </w:r>
      <w:hyperlink r:id="rId15" w:anchor="2.2.1.1.2.2.9" w:history="1">
        <w:r w:rsidRPr="00CE4EAB">
          <w:rPr>
            <w:rStyle w:val="Hipervnculo"/>
            <w:rFonts w:ascii="Geomanist Light" w:eastAsiaTheme="majorEastAsia" w:hAnsi="Geomanist Light" w:cs="Arial"/>
            <w:sz w:val="19"/>
            <w:szCs w:val="19"/>
          </w:rPr>
          <w:t>2.2.1.1.2.2.9</w:t>
        </w:r>
      </w:hyperlink>
      <w:r w:rsidRPr="00CE4EAB">
        <w:rPr>
          <w:rFonts w:ascii="Geomanist Light" w:hAnsi="Geomanist Light" w:cs="Arial"/>
          <w:sz w:val="19"/>
          <w:szCs w:val="19"/>
        </w:rPr>
        <w:t>. del Decreto 1082 de 2015, Único Reglamentario del Sector Administrativo de Planeación Nacional.</w:t>
      </w:r>
    </w:p>
    <w:p w14:paraId="51D5A86B" w14:textId="77777777" w:rsidR="0094607C" w:rsidRPr="00CE4EAB" w:rsidRDefault="0094607C" w:rsidP="0094607C">
      <w:pPr>
        <w:pStyle w:val="NormalWeb"/>
        <w:shd w:val="clear" w:color="auto" w:fill="FFFFFF"/>
        <w:spacing w:before="0" w:beforeAutospacing="0" w:after="0" w:afterAutospacing="0"/>
        <w:jc w:val="both"/>
        <w:rPr>
          <w:rFonts w:ascii="Geomanist Light" w:hAnsi="Geomanist Light" w:cs="Arial"/>
          <w:sz w:val="19"/>
          <w:szCs w:val="19"/>
        </w:rPr>
      </w:pPr>
      <w:r w:rsidRPr="00CE4EAB">
        <w:rPr>
          <w:rFonts w:ascii="Calibri" w:hAnsi="Calibri" w:cs="Calibri"/>
          <w:b/>
          <w:bCs/>
          <w:sz w:val="19"/>
          <w:szCs w:val="19"/>
        </w:rPr>
        <w:t> </w:t>
      </w:r>
      <w:r w:rsidRPr="00CE4EAB">
        <w:rPr>
          <w:rFonts w:ascii="Geomanist Light" w:hAnsi="Geomanist Light" w:cs="Arial"/>
          <w:b/>
          <w:bCs/>
          <w:sz w:val="19"/>
          <w:szCs w:val="19"/>
        </w:rPr>
        <w:tab/>
        <w:t>»</w:t>
      </w:r>
      <w:r w:rsidRPr="00CE4EAB">
        <w:rPr>
          <w:rFonts w:ascii="Geomanist Light" w:hAnsi="Geomanist Light" w:cs="Arial"/>
          <w:sz w:val="19"/>
          <w:szCs w:val="19"/>
        </w:rPr>
        <w:t>Parágrafo.</w:t>
      </w:r>
      <w:r w:rsidRPr="00CE4EAB">
        <w:rPr>
          <w:rFonts w:ascii="Calibri" w:hAnsi="Calibri" w:cs="Calibri"/>
          <w:sz w:val="19"/>
          <w:szCs w:val="19"/>
        </w:rPr>
        <w:t> </w:t>
      </w:r>
      <w:r w:rsidRPr="00CE4EAB">
        <w:rPr>
          <w:rFonts w:ascii="Geomanist Light" w:hAnsi="Geomanist Light" w:cs="Arial"/>
          <w:sz w:val="19"/>
          <w:szCs w:val="19"/>
        </w:rPr>
        <w:t>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0CAB04CA" w14:textId="77777777" w:rsidR="0094607C" w:rsidRPr="00CE4EAB" w:rsidRDefault="0094607C" w:rsidP="0094607C">
      <w:pPr>
        <w:pStyle w:val="NormalWeb"/>
        <w:shd w:val="clear" w:color="auto" w:fill="FFFFFF"/>
        <w:spacing w:before="0" w:beforeAutospacing="0" w:after="0" w:afterAutospacing="0"/>
        <w:jc w:val="both"/>
        <w:rPr>
          <w:rFonts w:ascii="Geomanist Light" w:hAnsi="Geomanist Light" w:cs="Arial"/>
          <w:sz w:val="19"/>
          <w:szCs w:val="19"/>
        </w:rPr>
      </w:pPr>
      <w:r w:rsidRPr="00CE4EAB">
        <w:rPr>
          <w:rFonts w:ascii="Calibri" w:hAnsi="Calibri" w:cs="Calibri"/>
          <w:sz w:val="19"/>
          <w:szCs w:val="19"/>
        </w:rPr>
        <w:t> </w:t>
      </w:r>
      <w:r w:rsidRPr="00CE4EAB">
        <w:rPr>
          <w:rFonts w:ascii="Geomanist Light" w:hAnsi="Geomanist Light" w:cs="Arial"/>
          <w:sz w:val="19"/>
          <w:szCs w:val="19"/>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3">
    <w:p w14:paraId="17E36CC9" w14:textId="77777777" w:rsidR="0094607C" w:rsidRPr="00CE4EAB" w:rsidRDefault="0094607C" w:rsidP="0094607C">
      <w:pPr>
        <w:pStyle w:val="Textonotapie"/>
        <w:spacing w:after="60"/>
        <w:ind w:firstLine="709"/>
        <w:jc w:val="both"/>
        <w:rPr>
          <w:rFonts w:ascii="Geomanist Light" w:hAnsi="Geomanist Light" w:cs="Arial"/>
          <w:sz w:val="19"/>
          <w:szCs w:val="19"/>
        </w:rPr>
      </w:pPr>
      <w:r w:rsidRPr="00CE4EAB">
        <w:rPr>
          <w:rStyle w:val="Refdenotaalpie"/>
          <w:rFonts w:ascii="Geomanist Light" w:hAnsi="Geomanist Light" w:cs="Arial"/>
          <w:sz w:val="19"/>
          <w:szCs w:val="19"/>
        </w:rPr>
        <w:footnoteRef/>
      </w:r>
      <w:r w:rsidRPr="00CE4EAB">
        <w:rPr>
          <w:rFonts w:ascii="Geomanist Light" w:hAnsi="Geomanist Light" w:cs="Arial"/>
          <w:sz w:val="19"/>
          <w:szCs w:val="19"/>
        </w:rPr>
        <w:t xml:space="preserve"> Decreto 1082 de 2015: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w:t>
      </w:r>
    </w:p>
    <w:p w14:paraId="0AD125BA" w14:textId="77777777" w:rsidR="0094607C" w:rsidRPr="00CE4EAB" w:rsidRDefault="0094607C" w:rsidP="0094607C">
      <w:pPr>
        <w:pStyle w:val="Textonotapie"/>
        <w:spacing w:after="60"/>
        <w:ind w:firstLine="709"/>
        <w:jc w:val="both"/>
        <w:rPr>
          <w:rFonts w:ascii="Geomanist Light" w:hAnsi="Geomanist Light" w:cs="Arial"/>
          <w:sz w:val="19"/>
          <w:szCs w:val="19"/>
        </w:rPr>
      </w:pPr>
      <w:r w:rsidRPr="00CE4EAB">
        <w:rPr>
          <w:rFonts w:ascii="Geomanist Light" w:hAnsi="Geomanist Light" w:cs="Arial"/>
          <w:sz w:val="19"/>
          <w:szCs w:val="19"/>
        </w:rPr>
        <w:t>»1. Tiempo de experiencia.</w:t>
      </w:r>
    </w:p>
    <w:p w14:paraId="14A107B8" w14:textId="77777777" w:rsidR="0094607C" w:rsidRPr="00CE4EAB" w:rsidRDefault="0094607C" w:rsidP="0094607C">
      <w:pPr>
        <w:pStyle w:val="Textonotapie"/>
        <w:spacing w:after="60"/>
        <w:ind w:firstLine="709"/>
        <w:jc w:val="both"/>
        <w:rPr>
          <w:rFonts w:ascii="Geomanist Light" w:hAnsi="Geomanist Light" w:cs="Arial"/>
          <w:sz w:val="19"/>
          <w:szCs w:val="19"/>
        </w:rPr>
      </w:pPr>
      <w:r w:rsidRPr="00CE4EAB">
        <w:rPr>
          <w:rFonts w:ascii="Geomanist Light" w:hAnsi="Geomanist Light" w:cs="Arial"/>
          <w:sz w:val="19"/>
          <w:szCs w:val="19"/>
        </w:rPr>
        <w:t>»2. Número de contratos para la acreditación de la experiencia.</w:t>
      </w:r>
    </w:p>
    <w:p w14:paraId="00B1EBB3" w14:textId="77777777" w:rsidR="0094607C" w:rsidRPr="00CE4EAB" w:rsidRDefault="0094607C" w:rsidP="0094607C">
      <w:pPr>
        <w:pStyle w:val="Textonotapie"/>
        <w:spacing w:after="60"/>
        <w:ind w:firstLine="709"/>
        <w:jc w:val="both"/>
        <w:rPr>
          <w:rFonts w:ascii="Geomanist Light" w:hAnsi="Geomanist Light" w:cs="Arial"/>
          <w:sz w:val="19"/>
          <w:szCs w:val="19"/>
        </w:rPr>
      </w:pPr>
      <w:r w:rsidRPr="00CE4EAB">
        <w:rPr>
          <w:rFonts w:ascii="Geomanist Light" w:hAnsi="Geomanist Light" w:cs="Arial"/>
          <w:sz w:val="19"/>
          <w:szCs w:val="19"/>
        </w:rPr>
        <w:t>»3. Índices de capacidad financiera.</w:t>
      </w:r>
    </w:p>
    <w:p w14:paraId="44ABDAF0" w14:textId="77777777" w:rsidR="0094607C" w:rsidRPr="00CE4EAB" w:rsidRDefault="0094607C" w:rsidP="0094607C">
      <w:pPr>
        <w:pStyle w:val="Textonotapie"/>
        <w:spacing w:after="60"/>
        <w:ind w:firstLine="709"/>
        <w:jc w:val="both"/>
        <w:rPr>
          <w:rFonts w:ascii="Geomanist Light" w:hAnsi="Geomanist Light" w:cs="Arial"/>
          <w:sz w:val="19"/>
          <w:szCs w:val="19"/>
        </w:rPr>
      </w:pPr>
      <w:r w:rsidRPr="00CE4EAB">
        <w:rPr>
          <w:rFonts w:ascii="Geomanist Light" w:hAnsi="Geomanist Light" w:cs="Arial"/>
          <w:sz w:val="19"/>
          <w:szCs w:val="19"/>
        </w:rPr>
        <w:t>»4. Índices de capacidad organizacional.</w:t>
      </w:r>
    </w:p>
    <w:p w14:paraId="0FFB09C6" w14:textId="77777777" w:rsidR="0094607C" w:rsidRPr="00CE4EAB" w:rsidRDefault="0094607C" w:rsidP="0094607C">
      <w:pPr>
        <w:pStyle w:val="Textonotapie"/>
        <w:spacing w:after="60"/>
        <w:ind w:firstLine="709"/>
        <w:jc w:val="both"/>
        <w:rPr>
          <w:rFonts w:ascii="Geomanist Light" w:hAnsi="Geomanist Light" w:cs="Arial"/>
          <w:sz w:val="19"/>
          <w:szCs w:val="19"/>
        </w:rPr>
      </w:pPr>
      <w:r w:rsidRPr="00CE4EAB">
        <w:rPr>
          <w:rFonts w:ascii="Geomanist Light" w:hAnsi="Geomanist Light" w:cs="Arial"/>
          <w:sz w:val="19"/>
          <w:szCs w:val="19"/>
        </w:rPr>
        <w:t>»5. Valor de la garantía de seriedad de la oferta.</w:t>
      </w:r>
    </w:p>
    <w:p w14:paraId="2CB2B50A" w14:textId="77777777" w:rsidR="0094607C" w:rsidRPr="00CE4EAB" w:rsidRDefault="0094607C" w:rsidP="0094607C">
      <w:pPr>
        <w:pStyle w:val="Textonotapie"/>
        <w:spacing w:after="60"/>
        <w:ind w:firstLine="709"/>
        <w:jc w:val="both"/>
        <w:rPr>
          <w:rFonts w:ascii="Geomanist Light" w:hAnsi="Geomanist Light" w:cs="Arial"/>
          <w:sz w:val="19"/>
          <w:szCs w:val="19"/>
        </w:rPr>
      </w:pPr>
      <w:r w:rsidRPr="00CE4EAB">
        <w:rPr>
          <w:rFonts w:ascii="Geomanist Light" w:hAnsi="Geomanist Light" w:cs="Arial"/>
          <w:sz w:val="19"/>
          <w:szCs w:val="19"/>
        </w:rPr>
        <w:t>»Los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w:t>
      </w:r>
    </w:p>
    <w:p w14:paraId="5ED81EBE" w14:textId="77777777" w:rsidR="0094607C" w:rsidRPr="00CE4EAB" w:rsidRDefault="0094607C" w:rsidP="0094607C">
      <w:pPr>
        <w:pStyle w:val="Textonotapie"/>
        <w:ind w:firstLine="709"/>
        <w:jc w:val="both"/>
        <w:rPr>
          <w:rFonts w:ascii="Geomanist Light" w:hAnsi="Geomanist Light" w:cs="Arial"/>
          <w:sz w:val="19"/>
          <w:szCs w:val="19"/>
        </w:rPr>
      </w:pPr>
      <w:r w:rsidRPr="00CE4EAB">
        <w:rPr>
          <w:rFonts w:ascii="Geomanist Light" w:hAnsi="Geomanist Light" w:cs="Arial"/>
          <w:sz w:val="19"/>
          <w:szCs w:val="19"/>
        </w:rPr>
        <w:t>»De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14:paraId="24203E42" w14:textId="77777777" w:rsidR="0094607C" w:rsidRPr="00CE4EAB" w:rsidRDefault="0094607C" w:rsidP="0094607C">
      <w:pPr>
        <w:pStyle w:val="Textonotapie"/>
        <w:spacing w:after="60"/>
        <w:ind w:firstLine="709"/>
        <w:jc w:val="both"/>
        <w:rPr>
          <w:rFonts w:ascii="Geomanist Light" w:hAnsi="Geomanist Light" w:cs="Arial"/>
          <w:sz w:val="19"/>
          <w:szCs w:val="19"/>
        </w:rPr>
      </w:pPr>
      <w:r w:rsidRPr="00CE4EAB">
        <w:rPr>
          <w:rFonts w:ascii="Geomanist Light" w:hAnsi="Geomanist Light" w:cs="Arial"/>
          <w:sz w:val="19"/>
          <w:szCs w:val="19"/>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04013EA6" w14:textId="77777777" w:rsidR="0094607C" w:rsidRPr="00CE4EAB" w:rsidRDefault="0094607C" w:rsidP="0094607C">
      <w:pPr>
        <w:pStyle w:val="Textonotapie"/>
        <w:spacing w:after="60"/>
        <w:ind w:firstLine="709"/>
        <w:jc w:val="both"/>
        <w:rPr>
          <w:rFonts w:ascii="Geomanist Light" w:hAnsi="Geomanist Light" w:cs="Arial"/>
          <w:sz w:val="19"/>
          <w:szCs w:val="19"/>
        </w:rPr>
      </w:pPr>
      <w:r w:rsidRPr="00CE4EAB">
        <w:rPr>
          <w:rFonts w:ascii="Geomanist Light" w:hAnsi="Geomanist Light" w:cs="Arial"/>
          <w:sz w:val="19"/>
          <w:szCs w:val="19"/>
        </w:rPr>
        <w:t>»Parágrafo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3ECD2386" w14:textId="77777777" w:rsidR="0094607C" w:rsidRPr="00CE4EAB" w:rsidRDefault="0094607C" w:rsidP="0094607C">
      <w:pPr>
        <w:pStyle w:val="Textonotapie"/>
        <w:ind w:firstLine="709"/>
        <w:jc w:val="both"/>
        <w:rPr>
          <w:rFonts w:ascii="Geomanist Light" w:hAnsi="Geomanist Light" w:cs="Arial"/>
          <w:sz w:val="19"/>
          <w:szCs w:val="19"/>
        </w:rPr>
      </w:pPr>
      <w:r w:rsidRPr="00CE4EAB">
        <w:rPr>
          <w:rFonts w:ascii="Geomanist Light" w:hAnsi="Geomanist Light" w:cs="Arial"/>
          <w:sz w:val="19"/>
          <w:szCs w:val="19"/>
        </w:rPr>
        <w:t xml:space="preserve">»Parágrafo 2. Los incentivos contractuales para las empresas y emprendimientos de mujeres no excluyen la aplicación de los criterios diferenciales para Mipyme en el sistema de compras públicas». </w:t>
      </w:r>
    </w:p>
    <w:p w14:paraId="5ED88E84" w14:textId="77777777" w:rsidR="0094607C" w:rsidRPr="00CE4EAB" w:rsidRDefault="0094607C" w:rsidP="0094607C">
      <w:pPr>
        <w:pStyle w:val="Textonotapie"/>
        <w:ind w:firstLine="709"/>
        <w:jc w:val="both"/>
        <w:rPr>
          <w:rFonts w:ascii="Geomanist Light" w:hAnsi="Geomanist Light" w:cs="Arial"/>
          <w:sz w:val="19"/>
          <w:szCs w:val="19"/>
        </w:rPr>
      </w:pPr>
    </w:p>
  </w:footnote>
  <w:footnote w:id="14">
    <w:p w14:paraId="34E038B1" w14:textId="77777777" w:rsidR="0094607C" w:rsidRPr="00CE4EAB" w:rsidRDefault="0094607C" w:rsidP="0094607C">
      <w:pPr>
        <w:pStyle w:val="NormalWeb"/>
        <w:spacing w:before="0" w:beforeAutospacing="0" w:after="0" w:afterAutospacing="0"/>
        <w:ind w:firstLine="708"/>
        <w:jc w:val="both"/>
        <w:rPr>
          <w:rFonts w:ascii="Geomanist Light" w:eastAsiaTheme="minorHAnsi" w:hAnsi="Geomanist Light" w:cs="Arial"/>
          <w:sz w:val="19"/>
          <w:szCs w:val="19"/>
          <w:lang w:val="es-MX" w:eastAsia="en-US"/>
        </w:rPr>
      </w:pPr>
      <w:r w:rsidRPr="00CE4EAB">
        <w:rPr>
          <w:rStyle w:val="Refdenotaalpie"/>
          <w:rFonts w:ascii="Geomanist Light" w:eastAsiaTheme="minorHAnsi" w:hAnsi="Geomanist Light" w:cs="Arial"/>
          <w:sz w:val="19"/>
          <w:szCs w:val="19"/>
          <w:lang w:val="es-MX" w:eastAsia="en-US"/>
        </w:rPr>
        <w:footnoteRef/>
      </w:r>
      <w:r w:rsidRPr="00CE4EAB">
        <w:rPr>
          <w:rStyle w:val="Refdenotaalpie"/>
          <w:rFonts w:ascii="Geomanist Light" w:eastAsiaTheme="minorHAnsi" w:hAnsi="Geomanist Light" w:cs="Arial"/>
          <w:sz w:val="19"/>
          <w:szCs w:val="19"/>
          <w:lang w:val="es-MX" w:eastAsia="en-US"/>
        </w:rPr>
        <w:t xml:space="preserve"> </w:t>
      </w:r>
      <w:r w:rsidRPr="00CE4EAB">
        <w:rPr>
          <w:rFonts w:ascii="Geomanist Light" w:eastAsiaTheme="minorHAnsi" w:hAnsi="Geomanist Light" w:cs="Arial"/>
          <w:sz w:val="19"/>
          <w:szCs w:val="19"/>
          <w:lang w:val="es-MX" w:eastAsia="en-US"/>
        </w:rPr>
        <w:t>Decreto Ley 2663 del 5 de agosto de 1950, Código Sustantivo del Trabajo: «Son representantes del {empleador} y como tales lo obligan frente a sus trabajadores además de quienes tienen ese carácter según la ley, la convención o el reglamento de trabajo, las siguientes personas:</w:t>
      </w:r>
    </w:p>
    <w:p w14:paraId="18EBB6DE" w14:textId="77777777" w:rsidR="0094607C" w:rsidRPr="00CE4EAB" w:rsidRDefault="0094607C" w:rsidP="0094607C">
      <w:pPr>
        <w:ind w:left="709"/>
        <w:jc w:val="both"/>
        <w:rPr>
          <w:rFonts w:ascii="Geomanist Light" w:eastAsiaTheme="minorHAnsi" w:hAnsi="Geomanist Light" w:cs="Arial"/>
          <w:sz w:val="19"/>
          <w:szCs w:val="19"/>
          <w:lang w:val="es-MX" w:eastAsia="en-US"/>
        </w:rPr>
      </w:pPr>
      <w:r w:rsidRPr="00CE4EAB">
        <w:rPr>
          <w:rFonts w:ascii="Geomanist Light" w:eastAsiaTheme="minorHAnsi" w:hAnsi="Geomanist Light" w:cs="Arial"/>
          <w:sz w:val="19"/>
          <w:szCs w:val="19"/>
          <w:lang w:val="es-MX" w:eastAsia="en-US"/>
        </w:rPr>
        <w:t>»a) Las que ejerzan funciones de dirección o administración, tales como directores, gerentes, administradores, síndicos o liquidadores, mayordomos y capitanes de barco, y quienes ejercitan actos de representación con la aquiescencia expresa o tácita del {empleador};</w:t>
      </w:r>
    </w:p>
    <w:p w14:paraId="25D330F3" w14:textId="77777777" w:rsidR="0094607C" w:rsidRPr="00CE4EAB" w:rsidRDefault="0094607C" w:rsidP="0094607C">
      <w:pPr>
        <w:ind w:left="709"/>
        <w:jc w:val="both"/>
        <w:rPr>
          <w:rFonts w:ascii="Geomanist Light" w:eastAsiaTheme="minorHAnsi" w:hAnsi="Geomanist Light" w:cs="Arial"/>
          <w:sz w:val="19"/>
          <w:szCs w:val="19"/>
          <w:lang w:val="es-MX" w:eastAsia="en-US"/>
        </w:rPr>
      </w:pPr>
      <w:r w:rsidRPr="00CE4EAB">
        <w:rPr>
          <w:rFonts w:ascii="Geomanist Light" w:eastAsiaTheme="minorHAnsi" w:hAnsi="Geomanist Light" w:cs="Arial"/>
          <w:sz w:val="19"/>
          <w:szCs w:val="19"/>
          <w:lang w:val="es-MX" w:eastAsia="en-US"/>
        </w:rPr>
        <w:t>»b) Los intermediarios».</w:t>
      </w:r>
    </w:p>
    <w:p w14:paraId="3209AD00" w14:textId="77777777" w:rsidR="0094607C" w:rsidRPr="00CE4EAB" w:rsidRDefault="0094607C" w:rsidP="0094607C">
      <w:pPr>
        <w:pStyle w:val="Textonotapie"/>
        <w:rPr>
          <w:rFonts w:ascii="Geomanist Light" w:hAnsi="Geomanist Light" w:cs="Arial"/>
          <w:sz w:val="19"/>
          <w:szCs w:val="19"/>
          <w:lang w:val="es-ES"/>
        </w:rPr>
      </w:pPr>
    </w:p>
  </w:footnote>
  <w:footnote w:id="15">
    <w:p w14:paraId="383EA0DB" w14:textId="77777777" w:rsidR="0094607C" w:rsidRPr="00CE4EAB" w:rsidRDefault="0094607C" w:rsidP="0094607C">
      <w:pPr>
        <w:pStyle w:val="Textonotapie"/>
        <w:ind w:firstLine="708"/>
        <w:jc w:val="both"/>
        <w:rPr>
          <w:rFonts w:ascii="Geomanist Light" w:hAnsi="Geomanist Light" w:cs="Arial"/>
          <w:sz w:val="19"/>
          <w:szCs w:val="19"/>
          <w:lang w:val="es-CO"/>
        </w:rPr>
      </w:pPr>
      <w:r w:rsidRPr="00CE4EAB">
        <w:rPr>
          <w:rStyle w:val="Refdenotaalpie"/>
          <w:rFonts w:ascii="Geomanist Light" w:hAnsi="Geomanist Light" w:cs="Arial"/>
          <w:sz w:val="19"/>
          <w:szCs w:val="19"/>
        </w:rPr>
        <w:footnoteRef/>
      </w:r>
      <w:r w:rsidRPr="00CE4EAB">
        <w:rPr>
          <w:rFonts w:ascii="Geomanist Light" w:hAnsi="Geomanist Light" w:cs="Arial"/>
          <w:sz w:val="19"/>
          <w:szCs w:val="19"/>
        </w:rPr>
        <w:t xml:space="preserve"> </w:t>
      </w:r>
      <w:r w:rsidRPr="00CE4EAB">
        <w:rPr>
          <w:rFonts w:ascii="Geomanist Light" w:hAnsi="Geomanist Light" w:cs="Arial"/>
          <w:sz w:val="19"/>
          <w:szCs w:val="19"/>
          <w:lang w:val="es-CO"/>
        </w:rPr>
        <w:t xml:space="preserve">Esta Resolución se encuentra publicada en la página web de la Agencia Nacional de Contratación Pública – Colombia Compra Eficiente en el siguiente enlace: </w:t>
      </w:r>
      <w:hyperlink r:id="rId16" w:history="1">
        <w:r w:rsidRPr="00CE4EAB">
          <w:rPr>
            <w:rStyle w:val="Hipervnculo"/>
            <w:rFonts w:ascii="Geomanist Light" w:eastAsiaTheme="majorEastAsia" w:hAnsi="Geomanist Light" w:cs="Arial"/>
            <w:sz w:val="19"/>
            <w:szCs w:val="19"/>
            <w:lang w:val="es-CO"/>
          </w:rPr>
          <w:t>https://www.colombiacompra.gov.co/content/modificacion-los-documentos-tipo-adoptados-por-la-agencia-nacional-de-contratacion-publica</w:t>
        </w:r>
      </w:hyperlink>
    </w:p>
    <w:p w14:paraId="55ADD2D1" w14:textId="77777777" w:rsidR="0094607C" w:rsidRPr="00CE4EAB" w:rsidRDefault="0094607C" w:rsidP="0094607C">
      <w:pPr>
        <w:pStyle w:val="Textonotapie"/>
        <w:ind w:firstLine="708"/>
        <w:rPr>
          <w:rFonts w:ascii="Geomanist Light" w:hAnsi="Geomanist Light"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0AC56F5"/>
    <w:multiLevelType w:val="hybridMultilevel"/>
    <w:tmpl w:val="3768010E"/>
    <w:lvl w:ilvl="0" w:tplc="4612AA0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2826C0F"/>
    <w:multiLevelType w:val="hybridMultilevel"/>
    <w:tmpl w:val="56B835D4"/>
    <w:lvl w:ilvl="0" w:tplc="B6708F7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19414B"/>
    <w:multiLevelType w:val="hybridMultilevel"/>
    <w:tmpl w:val="150A828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0395951">
    <w:abstractNumId w:val="4"/>
  </w:num>
  <w:num w:numId="2" w16cid:durableId="1408454564">
    <w:abstractNumId w:val="0"/>
  </w:num>
  <w:num w:numId="3" w16cid:durableId="1897622572">
    <w:abstractNumId w:val="2"/>
  </w:num>
  <w:num w:numId="4" w16cid:durableId="20740214">
    <w:abstractNumId w:val="5"/>
  </w:num>
  <w:num w:numId="5" w16cid:durableId="1787458973">
    <w:abstractNumId w:val="1"/>
  </w:num>
  <w:num w:numId="6" w16cid:durableId="1636327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3B63"/>
    <w:rsid w:val="00083334"/>
    <w:rsid w:val="000956CF"/>
    <w:rsid w:val="000A683E"/>
    <w:rsid w:val="000B492F"/>
    <w:rsid w:val="000F1CF4"/>
    <w:rsid w:val="0011595A"/>
    <w:rsid w:val="001220C5"/>
    <w:rsid w:val="001267F7"/>
    <w:rsid w:val="00127233"/>
    <w:rsid w:val="00130999"/>
    <w:rsid w:val="00164D81"/>
    <w:rsid w:val="00180DA2"/>
    <w:rsid w:val="001A1011"/>
    <w:rsid w:val="001A48D0"/>
    <w:rsid w:val="001B0E9B"/>
    <w:rsid w:val="002653C1"/>
    <w:rsid w:val="0026611D"/>
    <w:rsid w:val="002951A0"/>
    <w:rsid w:val="002A64FD"/>
    <w:rsid w:val="002B5C17"/>
    <w:rsid w:val="002F0839"/>
    <w:rsid w:val="002F5DEE"/>
    <w:rsid w:val="00301469"/>
    <w:rsid w:val="00306EE1"/>
    <w:rsid w:val="00310B9B"/>
    <w:rsid w:val="0036461C"/>
    <w:rsid w:val="00367884"/>
    <w:rsid w:val="0039439C"/>
    <w:rsid w:val="003B69E7"/>
    <w:rsid w:val="003C013B"/>
    <w:rsid w:val="003D0F4D"/>
    <w:rsid w:val="003D47BD"/>
    <w:rsid w:val="003F58A1"/>
    <w:rsid w:val="00410DD6"/>
    <w:rsid w:val="004134C9"/>
    <w:rsid w:val="0043138C"/>
    <w:rsid w:val="00462A59"/>
    <w:rsid w:val="004753B1"/>
    <w:rsid w:val="004A1847"/>
    <w:rsid w:val="004B6B0E"/>
    <w:rsid w:val="004D25B3"/>
    <w:rsid w:val="004E0A06"/>
    <w:rsid w:val="00511405"/>
    <w:rsid w:val="00526E9D"/>
    <w:rsid w:val="00547856"/>
    <w:rsid w:val="00547A74"/>
    <w:rsid w:val="005566E8"/>
    <w:rsid w:val="005746AB"/>
    <w:rsid w:val="0059357F"/>
    <w:rsid w:val="005A1130"/>
    <w:rsid w:val="005D0305"/>
    <w:rsid w:val="005D65C8"/>
    <w:rsid w:val="006219F8"/>
    <w:rsid w:val="00681FDB"/>
    <w:rsid w:val="006A51F9"/>
    <w:rsid w:val="006A7DAD"/>
    <w:rsid w:val="006D70BA"/>
    <w:rsid w:val="006F3884"/>
    <w:rsid w:val="007566FE"/>
    <w:rsid w:val="0076726F"/>
    <w:rsid w:val="0077144B"/>
    <w:rsid w:val="007778FE"/>
    <w:rsid w:val="00793403"/>
    <w:rsid w:val="007C0CDF"/>
    <w:rsid w:val="007E2A2F"/>
    <w:rsid w:val="007F2B7C"/>
    <w:rsid w:val="007F657F"/>
    <w:rsid w:val="00811651"/>
    <w:rsid w:val="00820F5B"/>
    <w:rsid w:val="00833452"/>
    <w:rsid w:val="008614E5"/>
    <w:rsid w:val="008678EB"/>
    <w:rsid w:val="00871A09"/>
    <w:rsid w:val="00875894"/>
    <w:rsid w:val="00881C10"/>
    <w:rsid w:val="00890411"/>
    <w:rsid w:val="008D5C70"/>
    <w:rsid w:val="009025AF"/>
    <w:rsid w:val="00904F23"/>
    <w:rsid w:val="00906B3C"/>
    <w:rsid w:val="0094607C"/>
    <w:rsid w:val="0095342C"/>
    <w:rsid w:val="009F33F2"/>
    <w:rsid w:val="009F6C77"/>
    <w:rsid w:val="00A07532"/>
    <w:rsid w:val="00A1085C"/>
    <w:rsid w:val="00A309E2"/>
    <w:rsid w:val="00A8066E"/>
    <w:rsid w:val="00A87D25"/>
    <w:rsid w:val="00A91B43"/>
    <w:rsid w:val="00AA4B8A"/>
    <w:rsid w:val="00AA6BF7"/>
    <w:rsid w:val="00B01ED6"/>
    <w:rsid w:val="00B06D09"/>
    <w:rsid w:val="00B771A9"/>
    <w:rsid w:val="00B809BB"/>
    <w:rsid w:val="00B8248A"/>
    <w:rsid w:val="00BB7726"/>
    <w:rsid w:val="00C2329E"/>
    <w:rsid w:val="00C30461"/>
    <w:rsid w:val="00C34AD7"/>
    <w:rsid w:val="00C754BE"/>
    <w:rsid w:val="00C87572"/>
    <w:rsid w:val="00C9405D"/>
    <w:rsid w:val="00CC1B26"/>
    <w:rsid w:val="00CC4567"/>
    <w:rsid w:val="00CD284F"/>
    <w:rsid w:val="00CF23AA"/>
    <w:rsid w:val="00D01921"/>
    <w:rsid w:val="00D44BF2"/>
    <w:rsid w:val="00D752B7"/>
    <w:rsid w:val="00DA1854"/>
    <w:rsid w:val="00DB0887"/>
    <w:rsid w:val="00DF1E43"/>
    <w:rsid w:val="00E20894"/>
    <w:rsid w:val="00E26B7C"/>
    <w:rsid w:val="00EA3003"/>
    <w:rsid w:val="00EA3A20"/>
    <w:rsid w:val="00EB3C91"/>
    <w:rsid w:val="00EB66DA"/>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7C"/>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904F23"/>
    <w:pPr>
      <w:widowControl w:val="0"/>
      <w:autoSpaceDE w:val="0"/>
      <w:autoSpaceDN w:val="0"/>
      <w:spacing w:before="1"/>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3D47B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3D47BD"/>
    <w:rPr>
      <w:color w:val="F2F2F2"/>
      <w:u w:val="single"/>
    </w:rPr>
  </w:style>
  <w:style w:type="paragraph" w:customStyle="1" w:styleId="Appelnotedebasde">
    <w:name w:val="Appel note de bas de..."/>
    <w:basedOn w:val="Normal"/>
    <w:link w:val="Refdenotaalpie"/>
    <w:uiPriority w:val="99"/>
    <w:rsid w:val="003D47BD"/>
    <w:pPr>
      <w:spacing w:line="240" w:lineRule="exact"/>
      <w:jc w:val="both"/>
    </w:pPr>
    <w:rPr>
      <w:vertAlign w:val="superscript"/>
    </w:rPr>
  </w:style>
  <w:style w:type="table" w:customStyle="1" w:styleId="Tablaconcuadrcula11">
    <w:name w:val="Tabla con cuadrícula11"/>
    <w:basedOn w:val="Tablanormal"/>
    <w:next w:val="Tablaconcuadrcula"/>
    <w:uiPriority w:val="39"/>
    <w:rsid w:val="003D4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D47BD"/>
    <w:rPr>
      <w:color w:val="0563C1" w:themeColor="hyperlink"/>
      <w:u w:val="single"/>
    </w:rPr>
  </w:style>
  <w:style w:type="paragraph" w:styleId="NormalWeb">
    <w:name w:val="Normal (Web)"/>
    <w:basedOn w:val="Normal"/>
    <w:link w:val="NormalWebCar"/>
    <w:uiPriority w:val="99"/>
    <w:unhideWhenUsed/>
    <w:rsid w:val="0094607C"/>
    <w:pPr>
      <w:spacing w:before="100" w:beforeAutospacing="1" w:after="100" w:afterAutospacing="1"/>
    </w:pPr>
    <w:rPr>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4607C"/>
    <w:rPr>
      <w:rFonts w:ascii="Geomanist Light" w:hAnsi="Geomanist Light"/>
      <w:lang w:val="es-ES"/>
    </w:rPr>
  </w:style>
  <w:style w:type="character" w:customStyle="1" w:styleId="NormalWebCar">
    <w:name w:val="Normal (Web) Car"/>
    <w:link w:val="NormalWeb"/>
    <w:uiPriority w:val="99"/>
    <w:rsid w:val="0094607C"/>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colombiacompra.gov.co/content/modificacion-los-documentos-tipo-adoptados-por-la-agencia-nacional-de-contratacion-publica"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144D03CC-B9C9-44F9-8963-433360F51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7448</Words>
  <Characters>40964</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48316</CharactersWithSpaces>
  <SharedDoc>false</SharedDoc>
  <HLinks>
    <vt:vector size="6" baseType="variant">
      <vt:variant>
        <vt:i4>6094936</vt:i4>
      </vt:variant>
      <vt:variant>
        <vt:i4>0</vt:i4>
      </vt:variant>
      <vt:variant>
        <vt:i4>0</vt:i4>
      </vt:variant>
      <vt:variant>
        <vt:i4>5</vt:i4>
      </vt:variant>
      <vt:variant>
        <vt:lpwstr>https://dapre.presidencia.gov.co/normativa/leyes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Jorge Eliecer Moran Buitrón</cp:lastModifiedBy>
  <cp:revision>5</cp:revision>
  <dcterms:created xsi:type="dcterms:W3CDTF">2022-11-01T21:09:00Z</dcterms:created>
  <dcterms:modified xsi:type="dcterms:W3CDTF">2022-11-08T19:50:00Z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