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1407" w14:textId="77777777" w:rsidR="00A06FBF" w:rsidRPr="00443D80" w:rsidRDefault="00A06FBF" w:rsidP="00A06FBF">
      <w:pPr>
        <w:spacing w:after="0"/>
        <w:jc w:val="both"/>
        <w:rPr>
          <w:rFonts w:ascii="Arial" w:eastAsia="Calibri" w:hAnsi="Arial" w:cs="Arial"/>
          <w:b/>
          <w:bCs/>
        </w:rPr>
      </w:pPr>
      <w:bookmarkStart w:id="0" w:name="_Hlk96417464"/>
      <w:bookmarkStart w:id="1" w:name="_Hlk98867631"/>
      <w:bookmarkStart w:id="2" w:name="_Hlk99546921"/>
      <w:r w:rsidRPr="27F111B0">
        <w:rPr>
          <w:rFonts w:ascii="Arial" w:eastAsia="Calibri" w:hAnsi="Arial" w:cs="Arial"/>
          <w:b/>
          <w:bCs/>
        </w:rPr>
        <w:t>REGISTRO ÚNICO DE PROPONENTES – Firmeza – Acto administrativo – Inscripción</w:t>
      </w:r>
    </w:p>
    <w:p w14:paraId="41FD06B7" w14:textId="77777777" w:rsidR="00A06FBF" w:rsidRPr="00443D80" w:rsidRDefault="00A06FBF" w:rsidP="00A06FBF">
      <w:pPr>
        <w:spacing w:after="0"/>
        <w:jc w:val="both"/>
        <w:rPr>
          <w:rFonts w:ascii="Arial" w:hAnsi="Arial" w:cs="Arial"/>
          <w:sz w:val="20"/>
          <w:szCs w:val="20"/>
        </w:rPr>
      </w:pPr>
    </w:p>
    <w:p w14:paraId="22F780D6" w14:textId="77777777" w:rsidR="00A06FBF" w:rsidRPr="00443D80" w:rsidRDefault="00A06FBF" w:rsidP="00A06FBF">
      <w:pPr>
        <w:spacing w:after="120"/>
        <w:jc w:val="both"/>
        <w:rPr>
          <w:rFonts w:ascii="Arial" w:eastAsia="Calibri" w:hAnsi="Arial" w:cs="Arial"/>
          <w:sz w:val="20"/>
          <w:szCs w:val="20"/>
        </w:rPr>
      </w:pPr>
      <w:r w:rsidRPr="00443D80">
        <w:rPr>
          <w:rFonts w:ascii="Arial" w:eastAsia="Calibri" w:hAnsi="Arial" w:cs="Arial"/>
          <w:sz w:val="20"/>
          <w:szCs w:val="20"/>
        </w:rPr>
        <w:t xml:space="preserve">[…] </w:t>
      </w:r>
      <w:r w:rsidRPr="0067793C">
        <w:rPr>
          <w:rFonts w:ascii="Arial" w:eastAsia="Calibri" w:hAnsi="Arial" w:cs="Arial"/>
          <w:sz w:val="20"/>
          <w:szCs w:val="20"/>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w:t>
      </w:r>
    </w:p>
    <w:p w14:paraId="0C1649DE" w14:textId="77777777" w:rsidR="00A06FBF" w:rsidRPr="00443D80" w:rsidRDefault="00A06FBF" w:rsidP="00A06FBF">
      <w:pPr>
        <w:spacing w:after="120"/>
        <w:jc w:val="both"/>
        <w:rPr>
          <w:rFonts w:ascii="Arial" w:hAnsi="Arial" w:cs="Arial"/>
          <w:sz w:val="20"/>
          <w:szCs w:val="20"/>
        </w:rPr>
      </w:pPr>
      <w:r w:rsidRPr="00443D80">
        <w:rPr>
          <w:rFonts w:ascii="Arial" w:eastAsia="Calibri" w:hAnsi="Arial" w:cs="Arial"/>
          <w:sz w:val="20"/>
          <w:szCs w:val="20"/>
        </w:rPr>
        <w:t xml:space="preserve">Así </w:t>
      </w:r>
      <w:r>
        <w:rPr>
          <w:rFonts w:ascii="Arial" w:eastAsia="Calibri" w:hAnsi="Arial" w:cs="Arial"/>
          <w:sz w:val="20"/>
          <w:szCs w:val="20"/>
        </w:rPr>
        <w:t>las cosas</w:t>
      </w:r>
      <w:r w:rsidRPr="00443D80">
        <w:rPr>
          <w:rFonts w:ascii="Arial" w:eastAsia="Calibri" w:hAnsi="Arial" w:cs="Arial"/>
          <w:sz w:val="20"/>
          <w:szCs w:val="20"/>
        </w:rPr>
        <w:t>, la firmeza del RUP es una condición de ejecutoriedad, para consolidar los efectos del acto administrativo de inscripción […]</w:t>
      </w:r>
    </w:p>
    <w:p w14:paraId="4E1C7EFF" w14:textId="77777777" w:rsidR="00A06FBF" w:rsidRPr="00443D80" w:rsidRDefault="00A06FBF" w:rsidP="00A06FBF">
      <w:pPr>
        <w:pStyle w:val="Prrafodelista"/>
        <w:ind w:left="0"/>
        <w:jc w:val="both"/>
        <w:rPr>
          <w:rFonts w:ascii="Arial" w:eastAsia="Calibri" w:hAnsi="Arial" w:cs="Arial"/>
          <w:sz w:val="20"/>
          <w:szCs w:val="20"/>
          <w:lang w:val="es-CO"/>
        </w:rPr>
      </w:pPr>
    </w:p>
    <w:p w14:paraId="3640E311" w14:textId="77777777" w:rsidR="00A06FBF" w:rsidRPr="00443D80" w:rsidRDefault="00A06FBF" w:rsidP="00A06FBF">
      <w:pPr>
        <w:spacing w:after="0"/>
        <w:jc w:val="both"/>
        <w:rPr>
          <w:rFonts w:ascii="Arial" w:eastAsia="Calibri" w:hAnsi="Arial" w:cs="Arial"/>
          <w:b/>
          <w:bCs/>
          <w:color w:val="000000" w:themeColor="text1"/>
        </w:rPr>
      </w:pPr>
      <w:r w:rsidRPr="27F111B0">
        <w:rPr>
          <w:rFonts w:ascii="Arial" w:eastAsia="Calibri" w:hAnsi="Arial" w:cs="Arial"/>
          <w:b/>
          <w:bCs/>
        </w:rPr>
        <w:t xml:space="preserve">REGISTRO ÚNICO DE PROPONENTES – Renovación – Firmeza – Información </w:t>
      </w:r>
      <w:r w:rsidRPr="27F111B0">
        <w:rPr>
          <w:rFonts w:ascii="Arial" w:eastAsia="Calibri" w:hAnsi="Arial" w:cs="Arial"/>
          <w:b/>
          <w:bCs/>
          <w:color w:val="000000" w:themeColor="text1"/>
        </w:rPr>
        <w:t>– Evaluación</w:t>
      </w:r>
    </w:p>
    <w:p w14:paraId="7253C243" w14:textId="77777777" w:rsidR="00A06FBF" w:rsidRPr="0067793C" w:rsidRDefault="00A06FBF" w:rsidP="00A06FBF">
      <w:pPr>
        <w:spacing w:after="0"/>
        <w:jc w:val="both"/>
        <w:rPr>
          <w:rFonts w:ascii="Arial" w:hAnsi="Arial" w:cs="Arial"/>
          <w:sz w:val="20"/>
          <w:szCs w:val="20"/>
        </w:rPr>
      </w:pPr>
    </w:p>
    <w:p w14:paraId="1250824C" w14:textId="77777777" w:rsidR="00A06FBF" w:rsidRDefault="00A06FBF" w:rsidP="00A06FBF">
      <w:pPr>
        <w:spacing w:after="0"/>
        <w:jc w:val="both"/>
        <w:rPr>
          <w:rFonts w:ascii="Arial" w:eastAsia="Calibri" w:hAnsi="Arial" w:cs="Arial"/>
          <w:sz w:val="20"/>
          <w:szCs w:val="20"/>
        </w:rPr>
      </w:pPr>
      <w:r w:rsidRPr="0067793C">
        <w:rPr>
          <w:rFonts w:ascii="Arial" w:eastAsia="Calibri" w:hAnsi="Arial" w:cs="Arial"/>
          <w:sz w:val="20"/>
          <w:szCs w:val="20"/>
        </w:rPr>
        <w:t xml:space="preserve">Tratándose del trámite de </w:t>
      </w:r>
      <w:r w:rsidRPr="0067793C">
        <w:rPr>
          <w:rFonts w:ascii="Arial" w:eastAsia="Calibri" w:hAnsi="Arial" w:cs="Arial"/>
          <w:i/>
          <w:sz w:val="20"/>
          <w:szCs w:val="20"/>
        </w:rPr>
        <w:t>renovación,</w:t>
      </w:r>
      <w:r w:rsidRPr="0067793C">
        <w:rPr>
          <w:rFonts w:ascii="Arial" w:eastAsia="Calibri" w:hAnsi="Arial" w:cs="Arial"/>
          <w:sz w:val="20"/>
          <w:szCs w:val="20"/>
        </w:rPr>
        <w:t xml:space="preserve"> la persona que haya presentado la información para renovar su registro a más tardar al quinto día hábil del mes de abril –o quinto día hábil del mes de julio, para el 2020–,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35A35E20" w14:textId="77777777" w:rsidR="00A06FBF" w:rsidRDefault="00A06FBF" w:rsidP="00A06FBF">
      <w:pPr>
        <w:spacing w:after="0"/>
        <w:jc w:val="both"/>
        <w:rPr>
          <w:rFonts w:ascii="Arial" w:eastAsia="Calibri" w:hAnsi="Arial" w:cs="Arial"/>
          <w:sz w:val="20"/>
          <w:szCs w:val="20"/>
        </w:rPr>
      </w:pPr>
    </w:p>
    <w:p w14:paraId="575EB429" w14:textId="77777777" w:rsidR="00A06FBF" w:rsidRPr="00356AF3" w:rsidRDefault="00A06FBF" w:rsidP="00A06FBF">
      <w:pPr>
        <w:spacing w:after="0"/>
        <w:jc w:val="both"/>
        <w:rPr>
          <w:rFonts w:ascii="Arial" w:eastAsia="Calibri" w:hAnsi="Arial" w:cs="Arial"/>
          <w:b/>
          <w:bCs/>
        </w:rPr>
      </w:pPr>
      <w:r w:rsidRPr="00356AF3">
        <w:rPr>
          <w:rFonts w:ascii="Arial" w:eastAsia="Calibri" w:hAnsi="Arial" w:cs="Arial"/>
          <w:b/>
          <w:bCs/>
        </w:rPr>
        <w:t>DOCUMENTOS TIPO – Causal de rechazo – Literal G, del numeral 1.15 – Inscripción – Renovación – Firmeza</w:t>
      </w:r>
    </w:p>
    <w:p w14:paraId="67326E1F" w14:textId="77777777" w:rsidR="00A06FBF" w:rsidRPr="0067793C" w:rsidRDefault="00A06FBF" w:rsidP="00A06FBF">
      <w:pPr>
        <w:spacing w:after="0"/>
        <w:jc w:val="both"/>
        <w:rPr>
          <w:rFonts w:ascii="Arial" w:eastAsia="Calibri" w:hAnsi="Arial" w:cs="Arial"/>
          <w:sz w:val="20"/>
          <w:szCs w:val="20"/>
        </w:rPr>
      </w:pPr>
    </w:p>
    <w:p w14:paraId="14B78450" w14:textId="77777777" w:rsidR="00A06FBF" w:rsidRPr="00356AF3" w:rsidRDefault="00A06FBF" w:rsidP="00A06FBF">
      <w:pPr>
        <w:spacing w:after="120"/>
        <w:jc w:val="both"/>
        <w:rPr>
          <w:rFonts w:ascii="Arial" w:hAnsi="Arial" w:cs="Arial"/>
          <w:color w:val="000000" w:themeColor="text1"/>
          <w:sz w:val="20"/>
          <w:szCs w:val="20"/>
        </w:rPr>
      </w:pPr>
      <w:r w:rsidRPr="00356AF3">
        <w:rPr>
          <w:rFonts w:ascii="Arial" w:hAnsi="Arial" w:cs="Arial"/>
          <w:color w:val="000000" w:themeColor="text1"/>
          <w:sz w:val="20"/>
          <w:szCs w:val="20"/>
        </w:rPr>
        <w:t xml:space="preserve">Una vez analizado el marco jurídico respecto a la firmeza del RUP y los trámites de </w:t>
      </w:r>
      <w:r w:rsidRPr="00356AF3">
        <w:rPr>
          <w:rFonts w:ascii="Arial" w:hAnsi="Arial" w:cs="Arial"/>
          <w:i/>
          <w:iCs/>
          <w:color w:val="000000" w:themeColor="text1"/>
          <w:sz w:val="20"/>
          <w:szCs w:val="20"/>
        </w:rPr>
        <w:t xml:space="preserve">inscripción </w:t>
      </w:r>
      <w:r w:rsidRPr="00356AF3">
        <w:rPr>
          <w:rFonts w:ascii="Arial" w:hAnsi="Arial" w:cs="Arial"/>
          <w:color w:val="000000" w:themeColor="text1"/>
          <w:sz w:val="20"/>
          <w:szCs w:val="20"/>
        </w:rPr>
        <w:t xml:space="preserve">y </w:t>
      </w:r>
      <w:r w:rsidRPr="00356AF3">
        <w:rPr>
          <w:rFonts w:ascii="Arial" w:hAnsi="Arial" w:cs="Arial"/>
          <w:i/>
          <w:iCs/>
          <w:color w:val="000000" w:themeColor="text1"/>
          <w:sz w:val="20"/>
          <w:szCs w:val="20"/>
        </w:rPr>
        <w:t>renovación</w:t>
      </w:r>
      <w:r w:rsidRPr="00356AF3">
        <w:rPr>
          <w:rFonts w:ascii="Arial" w:hAnsi="Arial" w:cs="Arial"/>
          <w:color w:val="000000" w:themeColor="text1"/>
          <w:sz w:val="20"/>
          <w:szCs w:val="20"/>
        </w:rPr>
        <w:t xml:space="preserve"> del registro, es posible estudiar de manera contextualizada la causal de rechazo del literal G del numeral 1.15 […] «Que el Proponente no acredite la presentación de la información para </w:t>
      </w:r>
      <w:r w:rsidRPr="00356AF3">
        <w:rPr>
          <w:rFonts w:ascii="Arial" w:hAnsi="Arial" w:cs="Arial"/>
          <w:i/>
          <w:iCs/>
          <w:color w:val="000000" w:themeColor="text1"/>
          <w:sz w:val="20"/>
          <w:szCs w:val="20"/>
        </w:rPr>
        <w:t>renovar</w:t>
      </w:r>
      <w:r w:rsidRPr="00356AF3">
        <w:rPr>
          <w:rFonts w:ascii="Arial" w:hAnsi="Arial" w:cs="Arial"/>
          <w:color w:val="000000" w:themeColor="text1"/>
          <w:sz w:val="20"/>
          <w:szCs w:val="20"/>
        </w:rPr>
        <w:t xml:space="preserve"> el Registro Único de Proponentes (RUP) a más tardar el quinto día hábil del mes de abril de cada año»</w:t>
      </w:r>
    </w:p>
    <w:p w14:paraId="5F5BBDDD" w14:textId="77777777" w:rsidR="00A06FBF" w:rsidRPr="00356AF3" w:rsidRDefault="00A06FBF" w:rsidP="00A06FBF">
      <w:pPr>
        <w:tabs>
          <w:tab w:val="left" w:pos="0"/>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356AF3">
        <w:rPr>
          <w:rFonts w:ascii="Arial" w:hAnsi="Arial" w:cs="Arial"/>
          <w:color w:val="000000" w:themeColor="text1"/>
          <w:sz w:val="20"/>
          <w:szCs w:val="20"/>
        </w:rPr>
        <w:t xml:space="preserve">ello no quiere decir que la causal se extienda a los supuestos en los que el proponente realiza una nueva </w:t>
      </w:r>
      <w:r w:rsidRPr="00356AF3">
        <w:rPr>
          <w:rFonts w:ascii="Arial" w:hAnsi="Arial" w:cs="Arial"/>
          <w:i/>
          <w:iCs/>
          <w:color w:val="000000" w:themeColor="text1"/>
          <w:sz w:val="20"/>
          <w:szCs w:val="20"/>
        </w:rPr>
        <w:t>inscripción</w:t>
      </w:r>
      <w:r w:rsidRPr="00356AF3">
        <w:rPr>
          <w:rFonts w:ascii="Arial" w:hAnsi="Arial" w:cs="Arial"/>
          <w:color w:val="000000" w:themeColor="text1"/>
          <w:sz w:val="20"/>
          <w:szCs w:val="20"/>
        </w:rPr>
        <w:t>,</w:t>
      </w:r>
      <w:r w:rsidRPr="00356AF3">
        <w:rPr>
          <w:rFonts w:ascii="Arial" w:hAnsi="Arial" w:cs="Arial"/>
          <w:i/>
          <w:iCs/>
          <w:color w:val="000000" w:themeColor="text1"/>
          <w:sz w:val="20"/>
          <w:szCs w:val="20"/>
        </w:rPr>
        <w:t xml:space="preserve"> </w:t>
      </w:r>
      <w:r w:rsidRPr="00356AF3">
        <w:rPr>
          <w:rFonts w:ascii="Arial" w:hAnsi="Arial" w:cs="Arial"/>
          <w:color w:val="000000" w:themeColor="text1"/>
          <w:sz w:val="20"/>
          <w:szCs w:val="20"/>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356AF3">
        <w:rPr>
          <w:rFonts w:ascii="Arial" w:hAnsi="Arial" w:cs="Arial"/>
          <w:i/>
          <w:iCs/>
          <w:color w:val="000000" w:themeColor="text1"/>
          <w:sz w:val="20"/>
          <w:szCs w:val="20"/>
        </w:rPr>
        <w:t xml:space="preserve">nueva inscripción </w:t>
      </w:r>
      <w:r w:rsidRPr="00356AF3">
        <w:rPr>
          <w:rFonts w:ascii="Arial" w:hAnsi="Arial" w:cs="Arial"/>
          <w:color w:val="000000" w:themeColor="text1"/>
          <w:sz w:val="20"/>
          <w:szCs w:val="20"/>
        </w:rPr>
        <w:t xml:space="preserve">puede participar en los procedimientos de selección, incluidos los regidos por los documentos tipo. </w:t>
      </w:r>
    </w:p>
    <w:p w14:paraId="5D8FA817" w14:textId="77777777" w:rsidR="00A06FBF" w:rsidRDefault="00A06FBF" w:rsidP="00A06FBF">
      <w:pPr>
        <w:spacing w:after="120"/>
        <w:jc w:val="both"/>
        <w:rPr>
          <w:rFonts w:ascii="Arial" w:eastAsia="Calibri" w:hAnsi="Arial" w:cs="Arial"/>
          <w:color w:val="000000" w:themeColor="text1"/>
          <w:sz w:val="20"/>
          <w:szCs w:val="20"/>
        </w:rPr>
      </w:pPr>
      <w:r w:rsidRPr="00356AF3">
        <w:rPr>
          <w:rFonts w:ascii="Arial" w:hAnsi="Arial" w:cs="Arial"/>
          <w:color w:val="000000" w:themeColor="text1"/>
          <w:sz w:val="20"/>
          <w:szCs w:val="20"/>
        </w:rPr>
        <w:t>Lo anterior resulta coherente y más preciso con lo regulado en la causal de rechazo del literal «F» de los mismos documentos tipo, que establece: «</w:t>
      </w:r>
      <w:r w:rsidRPr="00356AF3">
        <w:rPr>
          <w:rFonts w:ascii="Arial" w:eastAsia="Arial" w:hAnsi="Arial" w:cs="Arial"/>
          <w:color w:val="000000" w:themeColor="text1"/>
          <w:sz w:val="20"/>
          <w:szCs w:val="20"/>
          <w:lang w:eastAsia="es-CO"/>
        </w:rPr>
        <w:t xml:space="preserve">Que la </w:t>
      </w:r>
      <w:r w:rsidRPr="00356AF3">
        <w:rPr>
          <w:rFonts w:ascii="Arial" w:eastAsia="Arial" w:hAnsi="Arial" w:cs="Arial"/>
          <w:i/>
          <w:color w:val="000000" w:themeColor="text1"/>
          <w:sz w:val="20"/>
          <w:szCs w:val="20"/>
          <w:lang w:eastAsia="es-CO"/>
        </w:rPr>
        <w:t>inscripción</w:t>
      </w:r>
      <w:r w:rsidRPr="00356AF3">
        <w:rPr>
          <w:rFonts w:ascii="Arial" w:eastAsia="Arial" w:hAnsi="Arial" w:cs="Arial"/>
          <w:color w:val="000000" w:themeColor="text1"/>
          <w:sz w:val="20"/>
          <w:szCs w:val="20"/>
          <w:lang w:eastAsia="es-CO"/>
        </w:rPr>
        <w:t xml:space="preserve"> en el Registro Único de Proponentes (RUP</w:t>
      </w:r>
      <w:r w:rsidRPr="00356AF3">
        <w:rPr>
          <w:rFonts w:ascii="Arial" w:eastAsia="Arial,Calibri" w:hAnsi="Arial" w:cs="Arial"/>
          <w:color w:val="000000" w:themeColor="text1"/>
          <w:sz w:val="20"/>
          <w:szCs w:val="20"/>
          <w:lang w:eastAsia="es-CO"/>
        </w:rPr>
        <w:t>)</w:t>
      </w:r>
      <w:r w:rsidRPr="00356AF3">
        <w:rPr>
          <w:rFonts w:ascii="Arial" w:eastAsia="Arial" w:hAnsi="Arial" w:cs="Arial"/>
          <w:color w:val="000000" w:themeColor="text1"/>
          <w:sz w:val="20"/>
          <w:szCs w:val="20"/>
          <w:lang w:eastAsia="es-CO"/>
        </w:rPr>
        <w:t xml:space="preserve"> que realice el Proponente por primera vez </w:t>
      </w:r>
      <w:r w:rsidRPr="00356AF3">
        <w:rPr>
          <w:rFonts w:ascii="Arial" w:eastAsia="Arial" w:hAnsi="Arial" w:cs="Arial"/>
          <w:b/>
          <w:bCs/>
          <w:color w:val="000000" w:themeColor="text1"/>
          <w:sz w:val="20"/>
          <w:szCs w:val="20"/>
          <w:lang w:eastAsia="es-CO"/>
        </w:rPr>
        <w:t>o cuando han cesado los efectos y debe volver a inscribirse, no esté en firme en la fecha prevista para el cierre del Proceso de Contratación</w:t>
      </w:r>
      <w:r w:rsidRPr="00356AF3">
        <w:rPr>
          <w:rFonts w:ascii="Arial" w:eastAsia="Arial" w:hAnsi="Arial" w:cs="Arial"/>
          <w:color w:val="000000" w:themeColor="text1"/>
          <w:sz w:val="20"/>
          <w:szCs w:val="20"/>
          <w:lang w:eastAsia="es-CO"/>
        </w:rPr>
        <w:t xml:space="preserve">» (negrilla fuera del original). En efecto, como se deriva de la pregunta de la peticionaria, el supuesto que advierte en los documentos tipo debe analizarse de conformidad con </w:t>
      </w:r>
      <w:r w:rsidRPr="00356AF3">
        <w:rPr>
          <w:rFonts w:ascii="Arial" w:eastAsia="Arial" w:hAnsi="Arial" w:cs="Arial"/>
          <w:color w:val="000000" w:themeColor="text1"/>
          <w:sz w:val="20"/>
          <w:szCs w:val="20"/>
          <w:lang w:eastAsia="es-CO"/>
        </w:rPr>
        <w:lastRenderedPageBreak/>
        <w:t xml:space="preserve">esta causal de rechazo, que regula de forma directa dicho evento. 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356AF3">
        <w:rPr>
          <w:rFonts w:ascii="Arial" w:eastAsia="Calibri" w:hAnsi="Arial" w:cs="Arial"/>
          <w:color w:val="000000" w:themeColor="text1"/>
          <w:sz w:val="20"/>
          <w:szCs w:val="20"/>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0"/>
          <w:szCs w:val="20"/>
        </w:rPr>
        <w:t>.</w:t>
      </w:r>
    </w:p>
    <w:p w14:paraId="7BF82849" w14:textId="6CA38E8E" w:rsidR="00437E89" w:rsidRDefault="00437E89" w:rsidP="00437E89">
      <w:pPr>
        <w:spacing w:after="0" w:line="240" w:lineRule="auto"/>
        <w:contextualSpacing/>
        <w:jc w:val="both"/>
        <w:rPr>
          <w:rFonts w:ascii="Arial" w:eastAsia="Calibri" w:hAnsi="Arial" w:cs="Arial"/>
        </w:rPr>
      </w:pPr>
    </w:p>
    <w:p w14:paraId="59A0DB04" w14:textId="0AFF04FE" w:rsidR="00A06FBF" w:rsidRDefault="00A06FBF" w:rsidP="00437E89">
      <w:pPr>
        <w:spacing w:after="0" w:line="240" w:lineRule="auto"/>
        <w:contextualSpacing/>
        <w:jc w:val="both"/>
        <w:rPr>
          <w:rFonts w:ascii="Arial" w:eastAsia="Calibri" w:hAnsi="Arial" w:cs="Arial"/>
        </w:rPr>
      </w:pPr>
    </w:p>
    <w:p w14:paraId="746F4442" w14:textId="6B9A9CD2" w:rsidR="00A06FBF" w:rsidRDefault="00A06FBF" w:rsidP="00437E89">
      <w:pPr>
        <w:spacing w:after="0" w:line="240" w:lineRule="auto"/>
        <w:contextualSpacing/>
        <w:jc w:val="both"/>
        <w:rPr>
          <w:rFonts w:ascii="Arial" w:eastAsia="Calibri" w:hAnsi="Arial" w:cs="Arial"/>
        </w:rPr>
      </w:pPr>
    </w:p>
    <w:p w14:paraId="257F2671" w14:textId="19F28429" w:rsidR="00A06FBF" w:rsidRDefault="00A06FBF" w:rsidP="00437E89">
      <w:pPr>
        <w:spacing w:after="0" w:line="240" w:lineRule="auto"/>
        <w:contextualSpacing/>
        <w:jc w:val="both"/>
        <w:rPr>
          <w:rFonts w:ascii="Arial" w:eastAsia="Calibri" w:hAnsi="Arial" w:cs="Arial"/>
        </w:rPr>
      </w:pPr>
    </w:p>
    <w:p w14:paraId="07C4DAD6" w14:textId="260BF13A" w:rsidR="00A06FBF" w:rsidRDefault="00A06FBF" w:rsidP="00437E89">
      <w:pPr>
        <w:spacing w:after="0" w:line="240" w:lineRule="auto"/>
        <w:contextualSpacing/>
        <w:jc w:val="both"/>
        <w:rPr>
          <w:rFonts w:ascii="Arial" w:eastAsia="Calibri" w:hAnsi="Arial" w:cs="Arial"/>
        </w:rPr>
      </w:pPr>
    </w:p>
    <w:p w14:paraId="3331FB5D" w14:textId="1F84E898" w:rsidR="00A06FBF" w:rsidRDefault="00A06FBF" w:rsidP="00437E89">
      <w:pPr>
        <w:spacing w:after="0" w:line="240" w:lineRule="auto"/>
        <w:contextualSpacing/>
        <w:jc w:val="both"/>
        <w:rPr>
          <w:rFonts w:ascii="Arial" w:eastAsia="Calibri" w:hAnsi="Arial" w:cs="Arial"/>
        </w:rPr>
      </w:pPr>
    </w:p>
    <w:p w14:paraId="48DBBF79" w14:textId="314D5DE6" w:rsidR="00A06FBF" w:rsidRDefault="00A06FBF" w:rsidP="00437E89">
      <w:pPr>
        <w:spacing w:after="0" w:line="240" w:lineRule="auto"/>
        <w:contextualSpacing/>
        <w:jc w:val="both"/>
        <w:rPr>
          <w:rFonts w:ascii="Arial" w:eastAsia="Calibri" w:hAnsi="Arial" w:cs="Arial"/>
        </w:rPr>
      </w:pPr>
    </w:p>
    <w:p w14:paraId="00180B56" w14:textId="3577A05C" w:rsidR="00A06FBF" w:rsidRDefault="00A06FBF" w:rsidP="00437E89">
      <w:pPr>
        <w:spacing w:after="0" w:line="240" w:lineRule="auto"/>
        <w:contextualSpacing/>
        <w:jc w:val="both"/>
        <w:rPr>
          <w:rFonts w:ascii="Arial" w:eastAsia="Calibri" w:hAnsi="Arial" w:cs="Arial"/>
        </w:rPr>
      </w:pPr>
    </w:p>
    <w:p w14:paraId="494FB327" w14:textId="1198BC75" w:rsidR="00A06FBF" w:rsidRDefault="00A06FBF" w:rsidP="00437E89">
      <w:pPr>
        <w:spacing w:after="0" w:line="240" w:lineRule="auto"/>
        <w:contextualSpacing/>
        <w:jc w:val="both"/>
        <w:rPr>
          <w:rFonts w:ascii="Arial" w:eastAsia="Calibri" w:hAnsi="Arial" w:cs="Arial"/>
        </w:rPr>
      </w:pPr>
    </w:p>
    <w:p w14:paraId="2B828D73" w14:textId="4A79506A" w:rsidR="00A06FBF" w:rsidRDefault="00A06FBF" w:rsidP="00437E89">
      <w:pPr>
        <w:spacing w:after="0" w:line="240" w:lineRule="auto"/>
        <w:contextualSpacing/>
        <w:jc w:val="both"/>
        <w:rPr>
          <w:rFonts w:ascii="Arial" w:eastAsia="Calibri" w:hAnsi="Arial" w:cs="Arial"/>
        </w:rPr>
      </w:pPr>
    </w:p>
    <w:p w14:paraId="2B0ED1F8" w14:textId="7299DA4D" w:rsidR="00A06FBF" w:rsidRDefault="00A06FBF" w:rsidP="00437E89">
      <w:pPr>
        <w:spacing w:after="0" w:line="240" w:lineRule="auto"/>
        <w:contextualSpacing/>
        <w:jc w:val="both"/>
        <w:rPr>
          <w:rFonts w:ascii="Arial" w:eastAsia="Calibri" w:hAnsi="Arial" w:cs="Arial"/>
        </w:rPr>
      </w:pPr>
    </w:p>
    <w:p w14:paraId="1358B98E" w14:textId="4DD3408C" w:rsidR="00A06FBF" w:rsidRDefault="00A06FBF" w:rsidP="00437E89">
      <w:pPr>
        <w:spacing w:after="0" w:line="240" w:lineRule="auto"/>
        <w:contextualSpacing/>
        <w:jc w:val="both"/>
        <w:rPr>
          <w:rFonts w:ascii="Arial" w:eastAsia="Calibri" w:hAnsi="Arial" w:cs="Arial"/>
        </w:rPr>
      </w:pPr>
    </w:p>
    <w:p w14:paraId="3C600B08" w14:textId="4B941962" w:rsidR="00A06FBF" w:rsidRDefault="00A06FBF" w:rsidP="00437E89">
      <w:pPr>
        <w:spacing w:after="0" w:line="240" w:lineRule="auto"/>
        <w:contextualSpacing/>
        <w:jc w:val="both"/>
        <w:rPr>
          <w:rFonts w:ascii="Arial" w:eastAsia="Calibri" w:hAnsi="Arial" w:cs="Arial"/>
        </w:rPr>
      </w:pPr>
    </w:p>
    <w:p w14:paraId="0B9E9886" w14:textId="5E4E10F0" w:rsidR="00A06FBF" w:rsidRDefault="00A06FBF" w:rsidP="00437E89">
      <w:pPr>
        <w:spacing w:after="0" w:line="240" w:lineRule="auto"/>
        <w:contextualSpacing/>
        <w:jc w:val="both"/>
        <w:rPr>
          <w:rFonts w:ascii="Arial" w:eastAsia="Calibri" w:hAnsi="Arial" w:cs="Arial"/>
        </w:rPr>
      </w:pPr>
    </w:p>
    <w:p w14:paraId="73ECB33B" w14:textId="5AA4DBCA" w:rsidR="00A06FBF" w:rsidRDefault="00A06FBF" w:rsidP="00437E89">
      <w:pPr>
        <w:spacing w:after="0" w:line="240" w:lineRule="auto"/>
        <w:contextualSpacing/>
        <w:jc w:val="both"/>
        <w:rPr>
          <w:rFonts w:ascii="Arial" w:eastAsia="Calibri" w:hAnsi="Arial" w:cs="Arial"/>
        </w:rPr>
      </w:pPr>
    </w:p>
    <w:p w14:paraId="0190A9E1" w14:textId="25D1D9E2" w:rsidR="00A06FBF" w:rsidRDefault="00A06FBF" w:rsidP="00437E89">
      <w:pPr>
        <w:spacing w:after="0" w:line="240" w:lineRule="auto"/>
        <w:contextualSpacing/>
        <w:jc w:val="both"/>
        <w:rPr>
          <w:rFonts w:ascii="Arial" w:eastAsia="Calibri" w:hAnsi="Arial" w:cs="Arial"/>
        </w:rPr>
      </w:pPr>
    </w:p>
    <w:p w14:paraId="7EA06EF8" w14:textId="6BCE0A74" w:rsidR="00A06FBF" w:rsidRDefault="00A06FBF" w:rsidP="00437E89">
      <w:pPr>
        <w:spacing w:after="0" w:line="240" w:lineRule="auto"/>
        <w:contextualSpacing/>
        <w:jc w:val="both"/>
        <w:rPr>
          <w:rFonts w:ascii="Arial" w:eastAsia="Calibri" w:hAnsi="Arial" w:cs="Arial"/>
        </w:rPr>
      </w:pPr>
    </w:p>
    <w:p w14:paraId="5A73EB04" w14:textId="2C0BE16E" w:rsidR="00A06FBF" w:rsidRDefault="00A06FBF" w:rsidP="00437E89">
      <w:pPr>
        <w:spacing w:after="0" w:line="240" w:lineRule="auto"/>
        <w:contextualSpacing/>
        <w:jc w:val="both"/>
        <w:rPr>
          <w:rFonts w:ascii="Arial" w:eastAsia="Calibri" w:hAnsi="Arial" w:cs="Arial"/>
        </w:rPr>
      </w:pPr>
    </w:p>
    <w:p w14:paraId="5ED3FECB" w14:textId="05E296AE" w:rsidR="00A06FBF" w:rsidRDefault="00A06FBF" w:rsidP="00437E89">
      <w:pPr>
        <w:spacing w:after="0" w:line="240" w:lineRule="auto"/>
        <w:contextualSpacing/>
        <w:jc w:val="both"/>
        <w:rPr>
          <w:rFonts w:ascii="Arial" w:eastAsia="Calibri" w:hAnsi="Arial" w:cs="Arial"/>
        </w:rPr>
      </w:pPr>
    </w:p>
    <w:p w14:paraId="60BB3806" w14:textId="09611B78" w:rsidR="00A06FBF" w:rsidRDefault="00A06FBF" w:rsidP="00437E89">
      <w:pPr>
        <w:spacing w:after="0" w:line="240" w:lineRule="auto"/>
        <w:contextualSpacing/>
        <w:jc w:val="both"/>
        <w:rPr>
          <w:rFonts w:ascii="Arial" w:eastAsia="Calibri" w:hAnsi="Arial" w:cs="Arial"/>
        </w:rPr>
      </w:pPr>
    </w:p>
    <w:p w14:paraId="6D678389" w14:textId="372E20C5" w:rsidR="00A06FBF" w:rsidRDefault="00A06FBF" w:rsidP="00437E89">
      <w:pPr>
        <w:spacing w:after="0" w:line="240" w:lineRule="auto"/>
        <w:contextualSpacing/>
        <w:jc w:val="both"/>
        <w:rPr>
          <w:rFonts w:ascii="Arial" w:eastAsia="Calibri" w:hAnsi="Arial" w:cs="Arial"/>
        </w:rPr>
      </w:pPr>
    </w:p>
    <w:p w14:paraId="7FAC0519" w14:textId="054C80A1" w:rsidR="00A06FBF" w:rsidRDefault="00A06FBF" w:rsidP="00437E89">
      <w:pPr>
        <w:spacing w:after="0" w:line="240" w:lineRule="auto"/>
        <w:contextualSpacing/>
        <w:jc w:val="both"/>
        <w:rPr>
          <w:rFonts w:ascii="Arial" w:eastAsia="Calibri" w:hAnsi="Arial" w:cs="Arial"/>
        </w:rPr>
      </w:pPr>
    </w:p>
    <w:p w14:paraId="62EF4D5E" w14:textId="117807C9" w:rsidR="00A06FBF" w:rsidRDefault="00A06FBF" w:rsidP="00437E89">
      <w:pPr>
        <w:spacing w:after="0" w:line="240" w:lineRule="auto"/>
        <w:contextualSpacing/>
        <w:jc w:val="both"/>
        <w:rPr>
          <w:rFonts w:ascii="Arial" w:eastAsia="Calibri" w:hAnsi="Arial" w:cs="Arial"/>
        </w:rPr>
      </w:pPr>
    </w:p>
    <w:p w14:paraId="44CF6E6E" w14:textId="64CC4594" w:rsidR="00A06FBF" w:rsidRDefault="00A06FBF" w:rsidP="00437E89">
      <w:pPr>
        <w:spacing w:after="0" w:line="240" w:lineRule="auto"/>
        <w:contextualSpacing/>
        <w:jc w:val="both"/>
        <w:rPr>
          <w:rFonts w:ascii="Arial" w:eastAsia="Calibri" w:hAnsi="Arial" w:cs="Arial"/>
        </w:rPr>
      </w:pPr>
    </w:p>
    <w:p w14:paraId="0B9633E2" w14:textId="1C5114E9" w:rsidR="00A06FBF" w:rsidRDefault="00A06FBF" w:rsidP="00437E89">
      <w:pPr>
        <w:spacing w:after="0" w:line="240" w:lineRule="auto"/>
        <w:contextualSpacing/>
        <w:jc w:val="both"/>
        <w:rPr>
          <w:rFonts w:ascii="Arial" w:eastAsia="Calibri" w:hAnsi="Arial" w:cs="Arial"/>
        </w:rPr>
      </w:pPr>
    </w:p>
    <w:p w14:paraId="6D9BDDC6" w14:textId="5EBECB70" w:rsidR="00A06FBF" w:rsidRDefault="00A06FBF" w:rsidP="00437E89">
      <w:pPr>
        <w:spacing w:after="0" w:line="240" w:lineRule="auto"/>
        <w:contextualSpacing/>
        <w:jc w:val="both"/>
        <w:rPr>
          <w:rFonts w:ascii="Arial" w:eastAsia="Calibri" w:hAnsi="Arial" w:cs="Arial"/>
        </w:rPr>
      </w:pPr>
    </w:p>
    <w:p w14:paraId="588F7B73" w14:textId="137FDCF9" w:rsidR="00A06FBF" w:rsidRDefault="00A06FBF" w:rsidP="00437E89">
      <w:pPr>
        <w:spacing w:after="0" w:line="240" w:lineRule="auto"/>
        <w:contextualSpacing/>
        <w:jc w:val="both"/>
        <w:rPr>
          <w:rFonts w:ascii="Arial" w:eastAsia="Calibri" w:hAnsi="Arial" w:cs="Arial"/>
        </w:rPr>
      </w:pPr>
    </w:p>
    <w:p w14:paraId="2B4CE90A" w14:textId="40950165" w:rsidR="00A06FBF" w:rsidRDefault="00A06FBF" w:rsidP="00437E89">
      <w:pPr>
        <w:spacing w:after="0" w:line="240" w:lineRule="auto"/>
        <w:contextualSpacing/>
        <w:jc w:val="both"/>
        <w:rPr>
          <w:rFonts w:ascii="Arial" w:eastAsia="Calibri" w:hAnsi="Arial" w:cs="Arial"/>
        </w:rPr>
      </w:pPr>
    </w:p>
    <w:p w14:paraId="2F635496" w14:textId="10B0D09E" w:rsidR="00A06FBF" w:rsidRDefault="00A06FBF" w:rsidP="00437E89">
      <w:pPr>
        <w:spacing w:after="0" w:line="240" w:lineRule="auto"/>
        <w:contextualSpacing/>
        <w:jc w:val="both"/>
        <w:rPr>
          <w:rFonts w:ascii="Arial" w:eastAsia="Calibri" w:hAnsi="Arial" w:cs="Arial"/>
        </w:rPr>
      </w:pPr>
    </w:p>
    <w:p w14:paraId="6A3FF3DE" w14:textId="327B8DE0" w:rsidR="00A06FBF" w:rsidRDefault="00A06FBF" w:rsidP="00437E89">
      <w:pPr>
        <w:spacing w:after="0" w:line="240" w:lineRule="auto"/>
        <w:contextualSpacing/>
        <w:jc w:val="both"/>
        <w:rPr>
          <w:rFonts w:ascii="Arial" w:eastAsia="Calibri" w:hAnsi="Arial" w:cs="Arial"/>
        </w:rPr>
      </w:pPr>
    </w:p>
    <w:p w14:paraId="48FE9860" w14:textId="6A287815" w:rsidR="00A06FBF" w:rsidRDefault="00A06FBF" w:rsidP="00437E89">
      <w:pPr>
        <w:spacing w:after="0" w:line="240" w:lineRule="auto"/>
        <w:contextualSpacing/>
        <w:jc w:val="both"/>
        <w:rPr>
          <w:rFonts w:ascii="Arial" w:eastAsia="Calibri" w:hAnsi="Arial" w:cs="Arial"/>
        </w:rPr>
      </w:pPr>
    </w:p>
    <w:p w14:paraId="2D93BC56" w14:textId="77777777" w:rsidR="00A06FBF" w:rsidRDefault="00A06FBF" w:rsidP="00437E89">
      <w:pPr>
        <w:spacing w:after="0" w:line="240" w:lineRule="auto"/>
        <w:contextualSpacing/>
        <w:jc w:val="both"/>
        <w:rPr>
          <w:rFonts w:ascii="Arial" w:eastAsia="Calibri" w:hAnsi="Arial" w:cs="Arial"/>
        </w:rPr>
      </w:pPr>
    </w:p>
    <w:p w14:paraId="4F56FC8E" w14:textId="5723B272" w:rsidR="00A06FBF" w:rsidRDefault="00A06FBF" w:rsidP="00437E89">
      <w:pPr>
        <w:spacing w:after="0" w:line="240" w:lineRule="auto"/>
        <w:contextualSpacing/>
        <w:jc w:val="both"/>
        <w:rPr>
          <w:rFonts w:ascii="Arial" w:eastAsia="Calibri" w:hAnsi="Arial" w:cs="Arial"/>
        </w:rPr>
      </w:pPr>
    </w:p>
    <w:p w14:paraId="0F81979C" w14:textId="79A1E721" w:rsidR="00A06FBF" w:rsidRDefault="00A06FBF" w:rsidP="00437E89">
      <w:pPr>
        <w:spacing w:after="0" w:line="240" w:lineRule="auto"/>
        <w:contextualSpacing/>
        <w:jc w:val="both"/>
        <w:rPr>
          <w:rFonts w:ascii="Arial" w:eastAsia="Calibri" w:hAnsi="Arial" w:cs="Arial"/>
        </w:rPr>
      </w:pPr>
    </w:p>
    <w:p w14:paraId="0947EB7C" w14:textId="3FC1638E" w:rsidR="00AA6A7F" w:rsidRDefault="00AA6A7F" w:rsidP="00437E89">
      <w:pPr>
        <w:spacing w:after="0" w:line="276" w:lineRule="auto"/>
        <w:contextualSpacing/>
        <w:jc w:val="both"/>
        <w:rPr>
          <w:rFonts w:ascii="Arial" w:eastAsia="Calibri" w:hAnsi="Arial" w:cs="Arial"/>
        </w:rPr>
      </w:pPr>
      <w:bookmarkStart w:id="3" w:name="_Hlk114244046"/>
    </w:p>
    <w:p w14:paraId="7915035E" w14:textId="13E08674" w:rsidR="00AA6A7F" w:rsidRDefault="00AF3C37" w:rsidP="00AF3C37">
      <w:pPr>
        <w:spacing w:after="0" w:line="276" w:lineRule="auto"/>
        <w:contextualSpacing/>
        <w:jc w:val="right"/>
        <w:rPr>
          <w:rFonts w:ascii="Arial" w:eastAsia="Calibri" w:hAnsi="Arial" w:cs="Arial"/>
        </w:rPr>
      </w:pPr>
      <w:r>
        <w:rPr>
          <w:noProof/>
        </w:rPr>
        <w:drawing>
          <wp:inline distT="0" distB="0" distL="0" distR="0" wp14:anchorId="2792D227" wp14:editId="3A765F3D">
            <wp:extent cx="3259886" cy="923925"/>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6"/>
                    <a:srcRect l="51595" t="46705" r="16667" b="38903"/>
                    <a:stretch/>
                  </pic:blipFill>
                  <pic:spPr bwMode="auto">
                    <a:xfrm>
                      <a:off x="0" y="0"/>
                      <a:ext cx="3270245" cy="926861"/>
                    </a:xfrm>
                    <a:prstGeom prst="rect">
                      <a:avLst/>
                    </a:prstGeom>
                    <a:ln>
                      <a:noFill/>
                    </a:ln>
                    <a:extLst>
                      <a:ext uri="{53640926-AAD7-44D8-BBD7-CCE9431645EC}">
                        <a14:shadowObscured xmlns:a14="http://schemas.microsoft.com/office/drawing/2010/main"/>
                      </a:ext>
                    </a:extLst>
                  </pic:spPr>
                </pic:pic>
              </a:graphicData>
            </a:graphic>
          </wp:inline>
        </w:drawing>
      </w:r>
    </w:p>
    <w:p w14:paraId="5E1199DD" w14:textId="72ECE061" w:rsidR="00AF3C37" w:rsidRPr="00AF3C37" w:rsidRDefault="00AF3C37" w:rsidP="00437E89">
      <w:pPr>
        <w:spacing w:after="0" w:line="276" w:lineRule="auto"/>
        <w:contextualSpacing/>
        <w:jc w:val="both"/>
        <w:rPr>
          <w:rFonts w:ascii="Geomanist Light" w:hAnsi="Geomanist Light"/>
        </w:rPr>
      </w:pPr>
      <w:r w:rsidRPr="00AF3C37">
        <w:rPr>
          <w:rFonts w:ascii="Geomanist Light" w:hAnsi="Geomanist Light"/>
        </w:rPr>
        <w:t>Bogotá D.C., 04 de Noviembre de 2022</w:t>
      </w:r>
    </w:p>
    <w:p w14:paraId="0468EBB1" w14:textId="77777777" w:rsidR="00AF3C37" w:rsidRDefault="00AF3C37" w:rsidP="00437E89">
      <w:pPr>
        <w:spacing w:after="0" w:line="276" w:lineRule="auto"/>
        <w:contextualSpacing/>
        <w:jc w:val="both"/>
        <w:rPr>
          <w:rFonts w:ascii="Arial" w:eastAsia="Calibri" w:hAnsi="Arial" w:cs="Arial"/>
        </w:rPr>
      </w:pPr>
    </w:p>
    <w:p w14:paraId="65B18DBE" w14:textId="4E255558" w:rsidR="00437E89" w:rsidRPr="001334D8" w:rsidRDefault="00437E89" w:rsidP="00437E89">
      <w:pPr>
        <w:spacing w:after="0" w:line="276" w:lineRule="auto"/>
        <w:contextualSpacing/>
        <w:jc w:val="both"/>
        <w:rPr>
          <w:rFonts w:ascii="Arial" w:eastAsia="Calibri" w:hAnsi="Arial" w:cs="Arial"/>
        </w:rPr>
      </w:pPr>
      <w:r w:rsidRPr="001334D8">
        <w:rPr>
          <w:rFonts w:ascii="Arial" w:eastAsia="Calibri" w:hAnsi="Arial" w:cs="Arial"/>
        </w:rPr>
        <w:t>Señor</w:t>
      </w:r>
    </w:p>
    <w:p w14:paraId="0F13FF58" w14:textId="797F09C5" w:rsidR="00437E89" w:rsidRDefault="00437E89" w:rsidP="00437E89">
      <w:pPr>
        <w:spacing w:after="0" w:line="276" w:lineRule="auto"/>
        <w:contextualSpacing/>
        <w:jc w:val="both"/>
        <w:rPr>
          <w:rFonts w:ascii="Arial" w:eastAsia="Calibri" w:hAnsi="Arial" w:cs="Arial"/>
          <w:b/>
          <w:bCs/>
        </w:rPr>
      </w:pPr>
      <w:r>
        <w:rPr>
          <w:rFonts w:ascii="Arial" w:eastAsia="Calibri" w:hAnsi="Arial" w:cs="Arial"/>
          <w:b/>
          <w:bCs/>
        </w:rPr>
        <w:t>Daniel Esteban Benítez Guerrero</w:t>
      </w:r>
    </w:p>
    <w:p w14:paraId="26AE504D" w14:textId="2A36839E" w:rsidR="00437E89" w:rsidRDefault="00437E89" w:rsidP="00437E89">
      <w:pPr>
        <w:spacing w:after="0" w:line="276" w:lineRule="auto"/>
        <w:contextualSpacing/>
        <w:jc w:val="both"/>
        <w:rPr>
          <w:rFonts w:ascii="Arial" w:eastAsia="Calibri" w:hAnsi="Arial" w:cs="Arial"/>
        </w:rPr>
      </w:pPr>
      <w:r w:rsidRPr="00437E89">
        <w:rPr>
          <w:rFonts w:ascii="Arial" w:eastAsia="Calibri" w:hAnsi="Arial" w:cs="Arial"/>
        </w:rPr>
        <w:t xml:space="preserve">Tunja, Boyacá </w:t>
      </w:r>
    </w:p>
    <w:p w14:paraId="47E6E7DA" w14:textId="77777777" w:rsidR="00AA6A7F" w:rsidRDefault="00AA6A7F" w:rsidP="00437E89">
      <w:pPr>
        <w:spacing w:after="0" w:line="240" w:lineRule="auto"/>
        <w:contextualSpacing/>
        <w:jc w:val="both"/>
        <w:rPr>
          <w:rFonts w:ascii="Arial" w:eastAsia="Calibri" w:hAnsi="Arial" w:cs="Arial"/>
          <w:b/>
          <w:bCs/>
        </w:rPr>
      </w:pPr>
    </w:p>
    <w:p w14:paraId="69BD512B" w14:textId="77777777" w:rsidR="00437E89" w:rsidRPr="001334D8" w:rsidRDefault="00437E89" w:rsidP="00437E89">
      <w:pPr>
        <w:spacing w:after="0" w:line="240" w:lineRule="auto"/>
        <w:contextualSpacing/>
        <w:jc w:val="both"/>
        <w:rPr>
          <w:rFonts w:ascii="Arial" w:eastAsia="Calibri" w:hAnsi="Arial" w:cs="Arial"/>
        </w:rPr>
      </w:pPr>
    </w:p>
    <w:p w14:paraId="0D379881" w14:textId="12966BD1" w:rsidR="00437E89" w:rsidRPr="001334D8" w:rsidRDefault="00437E89" w:rsidP="00437E89">
      <w:pPr>
        <w:spacing w:after="0" w:line="240" w:lineRule="auto"/>
        <w:contextualSpacing/>
        <w:jc w:val="both"/>
        <w:rPr>
          <w:rFonts w:ascii="Arial" w:eastAsia="Calibri" w:hAnsi="Arial" w:cs="Arial"/>
        </w:rPr>
      </w:pPr>
      <w:r w:rsidRPr="001334D8">
        <w:rPr>
          <w:rFonts w:ascii="Arial" w:eastAsia="Calibri" w:hAnsi="Arial" w:cs="Arial"/>
        </w:rPr>
        <w:t xml:space="preserve">                                            </w:t>
      </w:r>
      <w:r w:rsidRPr="001334D8">
        <w:rPr>
          <w:rFonts w:ascii="Arial" w:eastAsia="Calibri" w:hAnsi="Arial" w:cs="Arial"/>
          <w:b/>
        </w:rPr>
        <w:t>Concepto C-</w:t>
      </w:r>
      <w:r>
        <w:rPr>
          <w:rFonts w:ascii="Arial" w:eastAsia="Calibri" w:hAnsi="Arial" w:cs="Arial"/>
          <w:b/>
        </w:rPr>
        <w:t>735</w:t>
      </w:r>
      <w:r w:rsidRPr="001334D8">
        <w:rPr>
          <w:rFonts w:ascii="Arial" w:eastAsia="Calibri" w:hAnsi="Arial" w:cs="Arial"/>
          <w:b/>
        </w:rPr>
        <w:t xml:space="preserve"> de 2022</w:t>
      </w:r>
      <w:r w:rsidRPr="001334D8">
        <w:rPr>
          <w:rFonts w:ascii="Arial" w:eastAsia="Calibri" w:hAnsi="Arial" w:cs="Arial"/>
        </w:rPr>
        <w:t xml:space="preserve"> </w:t>
      </w:r>
    </w:p>
    <w:p w14:paraId="3A53E693" w14:textId="77777777" w:rsidR="00AA6A7F" w:rsidRPr="001334D8" w:rsidRDefault="00AA6A7F" w:rsidP="00437E89">
      <w:pPr>
        <w:spacing w:after="0" w:line="240"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37E89" w:rsidRPr="001334D8" w14:paraId="233EAE9B" w14:textId="77777777" w:rsidTr="00727906">
        <w:trPr>
          <w:trHeight w:val="485"/>
        </w:trPr>
        <w:tc>
          <w:tcPr>
            <w:tcW w:w="2689" w:type="dxa"/>
            <w:hideMark/>
          </w:tcPr>
          <w:p w14:paraId="0E06F609" w14:textId="77777777" w:rsidR="00437E89" w:rsidRPr="001334D8" w:rsidRDefault="00437E89" w:rsidP="00727906">
            <w:pPr>
              <w:contextualSpacing/>
              <w:rPr>
                <w:rFonts w:ascii="Arial" w:eastAsia="Calibri" w:hAnsi="Arial" w:cs="Arial"/>
                <w:noProof/>
                <w:lang w:val="es-ES_tradnl"/>
              </w:rPr>
            </w:pPr>
            <w:r w:rsidRPr="001334D8">
              <w:rPr>
                <w:rFonts w:ascii="Arial" w:eastAsia="Calibri" w:hAnsi="Arial" w:cs="Arial"/>
                <w:b/>
                <w:noProof/>
                <w:lang w:val="es-ES_tradnl"/>
              </w:rPr>
              <w:t>Temas:</w:t>
            </w:r>
            <w:r w:rsidRPr="001334D8">
              <w:rPr>
                <w:rFonts w:ascii="Arial" w:eastAsia="Calibri" w:hAnsi="Arial" w:cs="Arial"/>
                <w:noProof/>
                <w:lang w:val="es-ES_tradnl"/>
              </w:rPr>
              <w:t xml:space="preserve">        </w:t>
            </w:r>
          </w:p>
        </w:tc>
        <w:tc>
          <w:tcPr>
            <w:tcW w:w="6237" w:type="dxa"/>
            <w:hideMark/>
          </w:tcPr>
          <w:p w14:paraId="66E2F19B" w14:textId="77777777" w:rsidR="004408FC" w:rsidRDefault="004408FC" w:rsidP="004408FC">
            <w:pPr>
              <w:jc w:val="both"/>
              <w:rPr>
                <w:rFonts w:ascii="Arial" w:eastAsia="Calibri" w:hAnsi="Arial" w:cs="Arial"/>
              </w:rPr>
            </w:pPr>
            <w:r w:rsidRPr="00900792">
              <w:rPr>
                <w:rFonts w:ascii="Arial" w:eastAsia="Calibri" w:hAnsi="Arial" w:cs="Arial"/>
              </w:rPr>
              <w:t xml:space="preserve">REGISTRO ÚNICO DE PROPONENTES – Firmeza – Acto administrativo – Inscripción / REGISTRO ÚNICO DE PROPONENTES – Renovación – Firmeza – Información </w:t>
            </w:r>
            <w:r w:rsidRPr="00900792">
              <w:rPr>
                <w:rFonts w:ascii="Arial" w:eastAsia="Calibri" w:hAnsi="Arial" w:cs="Arial"/>
                <w:color w:val="000000" w:themeColor="text1"/>
              </w:rPr>
              <w:t xml:space="preserve">– Evaluación / </w:t>
            </w:r>
            <w:r w:rsidRPr="00900792">
              <w:rPr>
                <w:rFonts w:ascii="Arial" w:eastAsia="Calibri" w:hAnsi="Arial" w:cs="Arial"/>
              </w:rPr>
              <w:t>DOCUMENTOS TIPO – Causal de rechazo – Literal G, del numeral 1.15 – Inscripción – Renovación – Firmeza</w:t>
            </w:r>
          </w:p>
          <w:p w14:paraId="366BAFB2" w14:textId="77777777" w:rsidR="00437E89" w:rsidRPr="001334D8" w:rsidRDefault="00437E89" w:rsidP="00727906">
            <w:pPr>
              <w:contextualSpacing/>
              <w:jc w:val="both"/>
              <w:rPr>
                <w:rFonts w:ascii="Arial" w:eastAsia="Calibri" w:hAnsi="Arial" w:cs="Arial"/>
                <w:b/>
                <w:bCs/>
                <w:lang w:val="es-MX"/>
              </w:rPr>
            </w:pPr>
          </w:p>
          <w:p w14:paraId="5C4020FF" w14:textId="77777777" w:rsidR="00437E89" w:rsidRPr="001334D8" w:rsidRDefault="00437E89" w:rsidP="00727906">
            <w:pPr>
              <w:ind w:right="703"/>
              <w:contextualSpacing/>
              <w:jc w:val="both"/>
              <w:rPr>
                <w:rFonts w:ascii="Arial" w:eastAsia="Calibri" w:hAnsi="Arial" w:cs="Arial"/>
                <w:bCs/>
                <w:lang w:val="es-MX"/>
              </w:rPr>
            </w:pPr>
          </w:p>
        </w:tc>
      </w:tr>
      <w:tr w:rsidR="00437E89" w:rsidRPr="001334D8" w14:paraId="5A6028EA" w14:textId="77777777" w:rsidTr="00727906">
        <w:tc>
          <w:tcPr>
            <w:tcW w:w="2689" w:type="dxa"/>
          </w:tcPr>
          <w:p w14:paraId="36BD2D3A" w14:textId="77777777" w:rsidR="00437E89" w:rsidRPr="001334D8" w:rsidRDefault="00437E89" w:rsidP="00727906">
            <w:pPr>
              <w:contextualSpacing/>
              <w:rPr>
                <w:rFonts w:ascii="Arial" w:eastAsia="Calibri" w:hAnsi="Arial" w:cs="Arial"/>
                <w:b/>
                <w:noProof/>
                <w:lang w:val="es-ES_tradnl"/>
              </w:rPr>
            </w:pPr>
            <w:r w:rsidRPr="001334D8">
              <w:rPr>
                <w:rFonts w:ascii="Arial" w:eastAsia="Calibri" w:hAnsi="Arial" w:cs="Arial"/>
                <w:b/>
                <w:noProof/>
                <w:lang w:val="es-ES_tradnl"/>
              </w:rPr>
              <w:t xml:space="preserve"> Radicación:</w:t>
            </w:r>
            <w:r w:rsidRPr="001334D8">
              <w:rPr>
                <w:rFonts w:ascii="Arial" w:eastAsia="Calibri" w:hAnsi="Arial" w:cs="Arial"/>
                <w:noProof/>
                <w:lang w:val="es-ES_tradnl"/>
              </w:rPr>
              <w:t xml:space="preserve">                              </w:t>
            </w:r>
          </w:p>
        </w:tc>
        <w:tc>
          <w:tcPr>
            <w:tcW w:w="6237" w:type="dxa"/>
          </w:tcPr>
          <w:p w14:paraId="127CD766" w14:textId="39C1D313" w:rsidR="00437E89" w:rsidRPr="001334D8" w:rsidRDefault="00437E89" w:rsidP="00727906">
            <w:pPr>
              <w:contextualSpacing/>
              <w:jc w:val="both"/>
              <w:rPr>
                <w:rFonts w:ascii="Arial" w:eastAsia="Calibri" w:hAnsi="Arial" w:cs="Arial"/>
                <w:noProof/>
                <w:lang w:val="es-ES_tradnl"/>
              </w:rPr>
            </w:pPr>
            <w:r w:rsidRPr="001334D8">
              <w:rPr>
                <w:rFonts w:ascii="Arial" w:eastAsia="Calibri" w:hAnsi="Arial" w:cs="Arial"/>
                <w:noProof/>
                <w:lang w:val="es-ES_tradnl"/>
              </w:rPr>
              <w:t xml:space="preserve">Respuesta a la consulta </w:t>
            </w:r>
            <w:r w:rsidRPr="00437E89">
              <w:rPr>
                <w:rFonts w:ascii="Arial" w:eastAsia="Calibri" w:hAnsi="Arial" w:cs="Arial"/>
                <w:noProof/>
                <w:lang w:val="es-ES_tradnl"/>
              </w:rPr>
              <w:t>P20220922009528</w:t>
            </w:r>
          </w:p>
        </w:tc>
      </w:tr>
    </w:tbl>
    <w:p w14:paraId="62EE654A" w14:textId="77777777" w:rsidR="00437E89" w:rsidRPr="001334D8" w:rsidRDefault="00437E89" w:rsidP="00437E89">
      <w:pPr>
        <w:spacing w:after="0" w:line="276" w:lineRule="auto"/>
        <w:contextualSpacing/>
        <w:jc w:val="both"/>
        <w:rPr>
          <w:rFonts w:ascii="Arial" w:eastAsia="Calibri" w:hAnsi="Arial" w:cs="Arial"/>
        </w:rPr>
      </w:pPr>
    </w:p>
    <w:p w14:paraId="6EB0A04C" w14:textId="0D744033" w:rsidR="00437E89" w:rsidRPr="001334D8" w:rsidRDefault="00437E89" w:rsidP="00437E89">
      <w:pPr>
        <w:spacing w:after="0" w:line="276" w:lineRule="auto"/>
        <w:contextualSpacing/>
        <w:jc w:val="both"/>
        <w:rPr>
          <w:rFonts w:ascii="Arial" w:eastAsia="Calibri" w:hAnsi="Arial" w:cs="Arial"/>
        </w:rPr>
      </w:pPr>
      <w:r w:rsidRPr="001334D8">
        <w:rPr>
          <w:rFonts w:ascii="Arial" w:eastAsia="Calibri" w:hAnsi="Arial" w:cs="Arial"/>
        </w:rPr>
        <w:t xml:space="preserve">Estimado </w:t>
      </w:r>
      <w:r>
        <w:rPr>
          <w:rFonts w:ascii="Arial" w:eastAsia="Calibri" w:hAnsi="Arial" w:cs="Arial"/>
        </w:rPr>
        <w:t xml:space="preserve">señor </w:t>
      </w:r>
      <w:r w:rsidRPr="00437E89">
        <w:rPr>
          <w:rFonts w:ascii="Arial" w:eastAsia="Calibri" w:hAnsi="Arial" w:cs="Arial"/>
        </w:rPr>
        <w:t xml:space="preserve">Benítez Guerrero: </w:t>
      </w:r>
    </w:p>
    <w:p w14:paraId="09026A57" w14:textId="77777777" w:rsidR="00437E89" w:rsidRPr="001334D8" w:rsidRDefault="00437E89" w:rsidP="00437E89">
      <w:pPr>
        <w:spacing w:after="0" w:line="276" w:lineRule="auto"/>
        <w:ind w:firstLine="709"/>
        <w:contextualSpacing/>
        <w:jc w:val="both"/>
        <w:rPr>
          <w:rFonts w:ascii="Arial" w:eastAsia="Calibri" w:hAnsi="Arial" w:cs="Arial"/>
        </w:rPr>
      </w:pPr>
    </w:p>
    <w:p w14:paraId="3CB64048" w14:textId="03465C1D" w:rsidR="00437E89" w:rsidRPr="001334D8" w:rsidRDefault="00437E89" w:rsidP="00437E89">
      <w:pPr>
        <w:spacing w:after="0" w:line="276" w:lineRule="auto"/>
        <w:contextualSpacing/>
        <w:jc w:val="both"/>
        <w:rPr>
          <w:rFonts w:ascii="Arial" w:eastAsia="Calibri" w:hAnsi="Arial" w:cs="Arial"/>
        </w:rPr>
      </w:pPr>
      <w:r w:rsidRPr="001334D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w:t>
      </w:r>
      <w:r>
        <w:rPr>
          <w:rFonts w:ascii="Arial" w:eastAsia="Calibri" w:hAnsi="Arial" w:cs="Arial"/>
        </w:rPr>
        <w:t>el 22 de septiembre de 2022.</w:t>
      </w:r>
    </w:p>
    <w:p w14:paraId="36CCD83B" w14:textId="77777777" w:rsidR="00437E89" w:rsidRPr="001334D8" w:rsidRDefault="00437E89" w:rsidP="00437E89">
      <w:pPr>
        <w:spacing w:after="0" w:line="276" w:lineRule="auto"/>
        <w:contextualSpacing/>
        <w:jc w:val="both"/>
        <w:rPr>
          <w:rFonts w:ascii="Arial" w:eastAsia="Calibri" w:hAnsi="Arial" w:cs="Arial"/>
        </w:rPr>
      </w:pPr>
    </w:p>
    <w:p w14:paraId="6B90339C" w14:textId="77777777" w:rsidR="00437E89" w:rsidRPr="001334D8" w:rsidRDefault="00437E89" w:rsidP="00437E89">
      <w:pPr>
        <w:tabs>
          <w:tab w:val="left" w:pos="284"/>
        </w:tabs>
        <w:spacing w:after="0" w:line="276" w:lineRule="auto"/>
        <w:contextualSpacing/>
        <w:jc w:val="both"/>
        <w:rPr>
          <w:rFonts w:ascii="Arial" w:eastAsia="Calibri" w:hAnsi="Arial" w:cs="Arial"/>
          <w:b/>
        </w:rPr>
      </w:pPr>
      <w:r w:rsidRPr="001334D8">
        <w:rPr>
          <w:rFonts w:ascii="Arial" w:eastAsia="Calibri" w:hAnsi="Arial" w:cs="Arial"/>
          <w:b/>
        </w:rPr>
        <w:t xml:space="preserve">1. Problema planteado </w:t>
      </w:r>
    </w:p>
    <w:p w14:paraId="1618E242" w14:textId="77777777" w:rsidR="00437E89" w:rsidRPr="001334D8" w:rsidRDefault="00437E89" w:rsidP="00437E89">
      <w:pPr>
        <w:tabs>
          <w:tab w:val="left" w:pos="284"/>
        </w:tabs>
        <w:spacing w:after="0" w:line="276" w:lineRule="auto"/>
        <w:ind w:firstLine="709"/>
        <w:contextualSpacing/>
        <w:jc w:val="both"/>
        <w:rPr>
          <w:rFonts w:ascii="Arial" w:eastAsia="Calibri" w:hAnsi="Arial" w:cs="Arial"/>
          <w:b/>
        </w:rPr>
      </w:pPr>
    </w:p>
    <w:p w14:paraId="08876874" w14:textId="2A0F8CAA" w:rsidR="0004636C" w:rsidRDefault="00437E89" w:rsidP="00437E89">
      <w:pPr>
        <w:spacing w:after="0" w:line="276" w:lineRule="auto"/>
        <w:ind w:right="51"/>
        <w:contextualSpacing/>
        <w:jc w:val="both"/>
        <w:rPr>
          <w:rFonts w:ascii="Arial" w:eastAsia="Calibri" w:hAnsi="Arial" w:cs="Arial"/>
        </w:rPr>
      </w:pPr>
      <w:bookmarkStart w:id="4" w:name="_Hlk58917991"/>
      <w:bookmarkStart w:id="5" w:name="_Hlk56103000"/>
      <w:r w:rsidRPr="00437E89">
        <w:rPr>
          <w:rFonts w:ascii="Arial" w:eastAsia="Calibri" w:hAnsi="Arial" w:cs="Arial"/>
        </w:rPr>
        <w:t>En relación con la causal de rechazo contenida en el literal G del numeral 1.1</w:t>
      </w:r>
      <w:r w:rsidR="00101375">
        <w:rPr>
          <w:rFonts w:ascii="Arial" w:eastAsia="Calibri" w:hAnsi="Arial" w:cs="Arial"/>
        </w:rPr>
        <w:t>5</w:t>
      </w:r>
      <w:r w:rsidRPr="00437E89">
        <w:rPr>
          <w:rFonts w:ascii="Arial" w:eastAsia="Calibri" w:hAnsi="Arial" w:cs="Arial"/>
        </w:rPr>
        <w:t xml:space="preserve"> de los documentos tipo, usted plantea las siguientes preguntas: </w:t>
      </w:r>
    </w:p>
    <w:p w14:paraId="7F230FD8" w14:textId="5CF28427" w:rsidR="0004636C" w:rsidRDefault="0004636C" w:rsidP="00437E89">
      <w:pPr>
        <w:spacing w:after="0" w:line="276" w:lineRule="auto"/>
        <w:ind w:right="51"/>
        <w:contextualSpacing/>
        <w:jc w:val="both"/>
        <w:rPr>
          <w:rFonts w:ascii="Arial" w:eastAsia="Calibri" w:hAnsi="Arial" w:cs="Arial"/>
        </w:rPr>
      </w:pPr>
    </w:p>
    <w:p w14:paraId="53ACB7BF" w14:textId="7D3633DC" w:rsidR="00437E89" w:rsidRPr="00AF3C37" w:rsidRDefault="0004636C" w:rsidP="00AF3C37">
      <w:pPr>
        <w:spacing w:after="0" w:line="240" w:lineRule="auto"/>
        <w:ind w:left="709" w:right="709"/>
        <w:contextualSpacing/>
        <w:jc w:val="both"/>
        <w:rPr>
          <w:rFonts w:ascii="Arial" w:eastAsia="Calibri" w:hAnsi="Arial" w:cs="Arial"/>
          <w:sz w:val="21"/>
          <w:szCs w:val="21"/>
        </w:rPr>
      </w:pPr>
      <w:r w:rsidRPr="00AF3C37">
        <w:rPr>
          <w:rFonts w:ascii="Arial" w:eastAsia="Calibri" w:hAnsi="Arial" w:cs="Arial"/>
          <w:sz w:val="21"/>
          <w:szCs w:val="21"/>
        </w:rPr>
        <w:t>«</w:t>
      </w:r>
      <w:r w:rsidRPr="00AF3C37">
        <w:rPr>
          <w:rFonts w:ascii="Arial" w:hAnsi="Arial" w:cs="Arial"/>
          <w:sz w:val="21"/>
          <w:szCs w:val="21"/>
        </w:rPr>
        <w:t xml:space="preserve">Teniendo en cuenta que los pliegos tipo en una de sus causales de rechazo reza" Que el proponente no acredite la presentación de la información para renovar el Registro Único de Proponentes (RUP), a más tardar el quinto día hábil del mes de abril de cada año, o en la fecha que establezca la ley o el reglamento, si fuera una distinta. ", Esto convierte a la información para renovar el RUP o la </w:t>
      </w:r>
      <w:r w:rsidRPr="00AF3C37">
        <w:rPr>
          <w:rFonts w:ascii="Arial" w:hAnsi="Arial" w:cs="Arial"/>
          <w:sz w:val="21"/>
          <w:szCs w:val="21"/>
        </w:rPr>
        <w:lastRenderedPageBreak/>
        <w:t xml:space="preserve">radicación de la misma previo a la fecha </w:t>
      </w:r>
      <w:proofErr w:type="spellStart"/>
      <w:r w:rsidRPr="00AF3C37">
        <w:rPr>
          <w:rFonts w:ascii="Arial" w:hAnsi="Arial" w:cs="Arial"/>
          <w:sz w:val="21"/>
          <w:szCs w:val="21"/>
        </w:rPr>
        <w:t>ahi</w:t>
      </w:r>
      <w:proofErr w:type="spellEnd"/>
      <w:r w:rsidRPr="00AF3C37">
        <w:rPr>
          <w:rFonts w:ascii="Arial" w:hAnsi="Arial" w:cs="Arial"/>
          <w:sz w:val="21"/>
          <w:szCs w:val="21"/>
        </w:rPr>
        <w:t xml:space="preserve"> establecida, como requisito habilitante? o será suficiente con la presentación del documento REGISTRO UNICO DE PROPONENTES, será suficiente, las entidades pueden exigir la RADICACION de la información para su renovación previo a esta fecha, en los requisitos para habilitar una propuesta?</w:t>
      </w:r>
      <w:r w:rsidR="00437E89" w:rsidRPr="00AF3C37">
        <w:rPr>
          <w:rFonts w:ascii="Arial" w:hAnsi="Arial" w:cs="Arial"/>
          <w:sz w:val="21"/>
          <w:szCs w:val="21"/>
        </w:rPr>
        <w:t xml:space="preserve">». </w:t>
      </w:r>
    </w:p>
    <w:bookmarkEnd w:id="4"/>
    <w:bookmarkEnd w:id="5"/>
    <w:p w14:paraId="23AEED91" w14:textId="77777777" w:rsidR="00437E89" w:rsidRPr="001334D8" w:rsidRDefault="00437E89" w:rsidP="00437E89">
      <w:pPr>
        <w:spacing w:after="0" w:line="276" w:lineRule="auto"/>
        <w:ind w:left="709"/>
        <w:contextualSpacing/>
        <w:jc w:val="both"/>
        <w:rPr>
          <w:rFonts w:ascii="Arial" w:hAnsi="Arial" w:cs="Arial"/>
        </w:rPr>
      </w:pPr>
    </w:p>
    <w:p w14:paraId="08DC9D09" w14:textId="77777777" w:rsidR="00437E89" w:rsidRPr="001334D8" w:rsidRDefault="00437E89" w:rsidP="00437E89">
      <w:pPr>
        <w:tabs>
          <w:tab w:val="left" w:pos="284"/>
        </w:tabs>
        <w:spacing w:after="0" w:line="276" w:lineRule="auto"/>
        <w:contextualSpacing/>
        <w:jc w:val="both"/>
        <w:rPr>
          <w:rFonts w:ascii="Arial" w:eastAsia="Calibri" w:hAnsi="Arial" w:cs="Arial"/>
          <w:b/>
        </w:rPr>
      </w:pPr>
      <w:r w:rsidRPr="001334D8">
        <w:rPr>
          <w:rFonts w:ascii="Arial" w:eastAsia="Calibri" w:hAnsi="Arial" w:cs="Arial"/>
          <w:b/>
        </w:rPr>
        <w:t>2. Consideraciones</w:t>
      </w:r>
    </w:p>
    <w:p w14:paraId="12810F14" w14:textId="77777777" w:rsidR="00437E89" w:rsidRPr="00CA396F" w:rsidRDefault="00437E89" w:rsidP="00CA396F">
      <w:pPr>
        <w:tabs>
          <w:tab w:val="left" w:pos="284"/>
        </w:tabs>
        <w:spacing w:after="0" w:line="276" w:lineRule="auto"/>
        <w:contextualSpacing/>
        <w:jc w:val="both"/>
        <w:rPr>
          <w:rFonts w:ascii="Arial" w:eastAsia="Calibri" w:hAnsi="Arial" w:cs="Arial"/>
          <w:b/>
        </w:rPr>
      </w:pPr>
    </w:p>
    <w:p w14:paraId="3B44B1FC" w14:textId="516ACE4E" w:rsidR="00CA396F" w:rsidRPr="00AF3C37" w:rsidRDefault="00CA396F" w:rsidP="00AF3C37">
      <w:pPr>
        <w:spacing w:after="120" w:line="276" w:lineRule="auto"/>
        <w:jc w:val="both"/>
        <w:rPr>
          <w:rFonts w:ascii="Arial" w:eastAsia="Calibri" w:hAnsi="Arial" w:cs="Arial"/>
          <w:color w:val="000000"/>
          <w:szCs w:val="24"/>
          <w:lang w:eastAsia="en-GB"/>
        </w:rPr>
      </w:pPr>
      <w:r w:rsidRPr="00D0746C">
        <w:rPr>
          <w:rFonts w:ascii="Arial" w:hAnsi="Arial" w:cs="Arial"/>
          <w:lang w:eastAsia="es-MX"/>
        </w:rPr>
        <w:t>L</w:t>
      </w:r>
      <w:r w:rsidRPr="00AF3C37">
        <w:rPr>
          <w:rFonts w:ascii="Arial" w:hAnsi="Arial" w:cs="Arial"/>
          <w:lang w:eastAsia="es-MX"/>
        </w:rPr>
        <w:t>a Subdirección</w:t>
      </w:r>
      <w:r w:rsidRPr="0004636C">
        <w:rPr>
          <w:rFonts w:ascii="Arial" w:hAnsi="Arial" w:cs="Arial"/>
          <w:lang w:eastAsia="es-MX"/>
        </w:rPr>
        <w:t xml:space="preserve"> de Gestión Contractual</w:t>
      </w:r>
      <w:r w:rsidRPr="00AF3C37">
        <w:rPr>
          <w:rFonts w:ascii="Arial" w:hAnsi="Arial" w:cs="Arial"/>
          <w:lang w:eastAsia="es-MX"/>
        </w:rPr>
        <w:t>, dentro de los límites de sus atribuciones, resolverá la consulta conforme a las normas generales en materia de contratación estatal</w:t>
      </w:r>
      <w:r w:rsidR="0004636C" w:rsidRPr="0004636C">
        <w:rPr>
          <w:rFonts w:ascii="Arial" w:hAnsi="Arial" w:cs="Arial"/>
          <w:lang w:eastAsia="es-MX"/>
        </w:rPr>
        <w:t xml:space="preserve">. </w:t>
      </w:r>
      <w:r w:rsidR="0004636C" w:rsidRPr="00AF3C37">
        <w:rPr>
          <w:rFonts w:ascii="Arial" w:hAnsi="Arial" w:cs="Arial"/>
          <w:color w:val="000000"/>
          <w:lang w:eastAsia="es-MX"/>
        </w:rPr>
        <w:t>De igual forma, dado que no se hace referencia a unos documentos tipo en particular, se tomarán como base para responder sus interrogantes los documentos tipo de licitación de obra pública de infraestructura de transporte –Versión 3–. Con este objetivo se analizarán los siguientes temas</w:t>
      </w:r>
      <w:r w:rsidRPr="00AF3C37">
        <w:rPr>
          <w:rFonts w:ascii="Arial" w:hAnsi="Arial" w:cs="Arial"/>
          <w:lang w:eastAsia="es-MX"/>
        </w:rPr>
        <w:t>: i)</w:t>
      </w:r>
      <w:r w:rsidRPr="00AF3C37">
        <w:rPr>
          <w:rFonts w:ascii="Arial" w:hAnsi="Arial" w:cs="Arial"/>
        </w:rPr>
        <w:t xml:space="preserve"> </w:t>
      </w:r>
      <w:r w:rsidR="00F03154" w:rsidRPr="00AF3C37">
        <w:rPr>
          <w:rFonts w:ascii="Arial" w:eastAsia="Calibri" w:hAnsi="Arial" w:cs="Arial"/>
          <w:color w:val="000000"/>
          <w:szCs w:val="24"/>
          <w:lang w:eastAsia="en-GB"/>
        </w:rPr>
        <w:t xml:space="preserve">firmeza del acto de inscripción en el Registro Único de Proponentes – RUP. Efectos frente a la </w:t>
      </w:r>
      <w:r w:rsidR="00F03154" w:rsidRPr="00AF3C37">
        <w:rPr>
          <w:rFonts w:ascii="Arial" w:eastAsia="Calibri" w:hAnsi="Arial" w:cs="Arial"/>
          <w:i/>
          <w:iCs/>
          <w:color w:val="000000"/>
          <w:szCs w:val="24"/>
          <w:lang w:eastAsia="en-GB"/>
        </w:rPr>
        <w:t xml:space="preserve">inscripción, renovación y actualización </w:t>
      </w:r>
      <w:r w:rsidR="00F03154" w:rsidRPr="00AF3C37">
        <w:rPr>
          <w:rFonts w:ascii="Arial" w:eastAsia="Calibri" w:hAnsi="Arial" w:cs="Arial"/>
          <w:color w:val="000000"/>
          <w:szCs w:val="24"/>
          <w:lang w:eastAsia="en-GB"/>
        </w:rPr>
        <w:t>del registro</w:t>
      </w:r>
      <w:r w:rsidRPr="00AF3C37">
        <w:rPr>
          <w:rFonts w:ascii="Arial" w:hAnsi="Arial" w:cs="Arial"/>
          <w:lang w:eastAsia="es-MX"/>
        </w:rPr>
        <w:t xml:space="preserve">, y </w:t>
      </w:r>
      <w:proofErr w:type="spellStart"/>
      <w:r w:rsidRPr="00AF3C37">
        <w:rPr>
          <w:rFonts w:ascii="Arial" w:hAnsi="Arial" w:cs="Arial"/>
          <w:lang w:eastAsia="es-MX"/>
        </w:rPr>
        <w:t>ii</w:t>
      </w:r>
      <w:proofErr w:type="spellEnd"/>
      <w:r w:rsidRPr="00AF3C37">
        <w:rPr>
          <w:rFonts w:ascii="Arial" w:hAnsi="Arial" w:cs="Arial"/>
          <w:lang w:eastAsia="es-MX"/>
        </w:rPr>
        <w:t>) análisis de la causal de rechazo del literal G del numeral 1.15 de los documentos tipo de licitación para obras de infraestructura de transporte.</w:t>
      </w:r>
    </w:p>
    <w:p w14:paraId="4694FE49" w14:textId="1893AE6A" w:rsidR="00437E89" w:rsidRPr="001334D8" w:rsidRDefault="00CA396F" w:rsidP="00437E89">
      <w:pPr>
        <w:tabs>
          <w:tab w:val="left" w:pos="284"/>
        </w:tabs>
        <w:spacing w:after="120" w:line="276" w:lineRule="auto"/>
        <w:jc w:val="both"/>
        <w:rPr>
          <w:rFonts w:ascii="Arial" w:hAnsi="Arial" w:cs="Arial"/>
          <w:bCs/>
          <w:lang w:val="es-MX"/>
        </w:rPr>
      </w:pPr>
      <w:r>
        <w:rPr>
          <w:rFonts w:ascii="Arial" w:eastAsia="Calibri" w:hAnsi="Arial" w:cs="Arial"/>
          <w:lang w:val="es-ES_tradnl" w:eastAsia="es-MX"/>
        </w:rPr>
        <w:tab/>
      </w:r>
      <w:r>
        <w:rPr>
          <w:rFonts w:ascii="Arial" w:eastAsia="Calibri" w:hAnsi="Arial" w:cs="Arial"/>
          <w:lang w:val="es-ES_tradnl" w:eastAsia="es-MX"/>
        </w:rPr>
        <w:tab/>
      </w:r>
      <w:r w:rsidR="00437E89" w:rsidRPr="001334D8">
        <w:rPr>
          <w:rFonts w:ascii="Arial" w:eastAsia="Calibri" w:hAnsi="Arial" w:cs="Arial"/>
          <w:lang w:val="es-ES_tradnl" w:eastAsia="es-MX"/>
        </w:rPr>
        <w:t xml:space="preserve">La Agencia Nacional de Contratación Pública – Colombia Compra Eficiente, </w:t>
      </w:r>
      <w:r w:rsidR="00437E89" w:rsidRPr="001334D8">
        <w:rPr>
          <w:rFonts w:ascii="Arial" w:hAnsi="Arial" w:cs="Arial"/>
          <w:lang w:val="es-ES_tradnl"/>
        </w:rPr>
        <w:t>se pronunció sobre las</w:t>
      </w:r>
      <w:r w:rsidR="00437E89" w:rsidRPr="001334D8">
        <w:rPr>
          <w:rFonts w:ascii="Arial" w:hAnsi="Arial" w:cs="Arial"/>
          <w:bCs/>
          <w:lang w:val="es-MX"/>
        </w:rPr>
        <w:t xml:space="preserve"> </w:t>
      </w:r>
      <w:r w:rsidR="00437E89" w:rsidRPr="001334D8">
        <w:rPr>
          <w:rFonts w:ascii="Arial" w:eastAsia="Arial MT" w:hAnsi="Arial" w:cs="Arial"/>
          <w:lang w:val="es-ES"/>
        </w:rPr>
        <w:t>problemáticas asociadas al RUP, relacionadas con la firmeza de la inscripción,</w:t>
      </w:r>
      <w:r w:rsidR="00437E89" w:rsidRPr="001334D8">
        <w:rPr>
          <w:rFonts w:ascii="Arial" w:eastAsia="Arial MT" w:hAnsi="Arial" w:cs="Arial"/>
          <w:spacing w:val="1"/>
          <w:lang w:val="es-ES"/>
        </w:rPr>
        <w:t xml:space="preserve"> </w:t>
      </w:r>
      <w:r w:rsidR="00437E89" w:rsidRPr="001334D8">
        <w:rPr>
          <w:rFonts w:ascii="Arial" w:eastAsia="Arial MT" w:hAnsi="Arial" w:cs="Arial"/>
          <w:lang w:val="es-ES"/>
        </w:rPr>
        <w:t xml:space="preserve">renovación y actualización en los conceptos C-005 </w:t>
      </w:r>
      <w:r w:rsidR="00437E89" w:rsidRPr="001334D8">
        <w:rPr>
          <w:rFonts w:ascii="Arial" w:eastAsia="Arial MT" w:hAnsi="Arial" w:cs="Arial"/>
          <w:spacing w:val="-59"/>
          <w:lang w:val="es-ES"/>
        </w:rPr>
        <w:t xml:space="preserve"> </w:t>
      </w:r>
      <w:r w:rsidR="00437E89" w:rsidRPr="001334D8">
        <w:rPr>
          <w:rFonts w:ascii="Arial" w:eastAsia="Arial MT" w:hAnsi="Arial" w:cs="Arial"/>
          <w:lang w:val="es-ES"/>
        </w:rPr>
        <w:t>del 14 de febrero de 2020, C-148 del 22 de abril de 2020, C-330 del 27 de mayo de</w:t>
      </w:r>
      <w:r w:rsidR="00437E89" w:rsidRPr="001334D8">
        <w:rPr>
          <w:rFonts w:ascii="Arial" w:eastAsia="Arial MT" w:hAnsi="Arial" w:cs="Arial"/>
          <w:spacing w:val="1"/>
          <w:lang w:val="es-ES"/>
        </w:rPr>
        <w:t xml:space="preserve"> </w:t>
      </w:r>
      <w:r w:rsidR="00437E89" w:rsidRPr="001334D8">
        <w:rPr>
          <w:rFonts w:ascii="Arial" w:eastAsia="Arial MT" w:hAnsi="Arial" w:cs="Arial"/>
          <w:lang w:val="es-ES"/>
        </w:rPr>
        <w:t>2020,</w:t>
      </w:r>
      <w:r w:rsidR="00437E89" w:rsidRPr="001334D8">
        <w:rPr>
          <w:rFonts w:ascii="Arial" w:eastAsia="Arial MT" w:hAnsi="Arial" w:cs="Arial"/>
          <w:spacing w:val="-10"/>
          <w:lang w:val="es-ES"/>
        </w:rPr>
        <w:t xml:space="preserve"> </w:t>
      </w:r>
      <w:r w:rsidR="00437E89" w:rsidRPr="001334D8">
        <w:rPr>
          <w:rFonts w:ascii="Arial" w:eastAsia="Arial MT" w:hAnsi="Arial" w:cs="Arial"/>
          <w:lang w:val="es-ES"/>
        </w:rPr>
        <w:t>C-303</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del</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3</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junio</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2020,</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C-328</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30</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10"/>
          <w:lang w:val="es-ES"/>
        </w:rPr>
        <w:t xml:space="preserve"> </w:t>
      </w:r>
      <w:r w:rsidR="00437E89" w:rsidRPr="001334D8">
        <w:rPr>
          <w:rFonts w:ascii="Arial" w:eastAsia="Arial MT" w:hAnsi="Arial" w:cs="Arial"/>
          <w:lang w:val="es-ES"/>
        </w:rPr>
        <w:t>junio</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2020,</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C-454</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del</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6</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julio</w:t>
      </w:r>
      <w:r w:rsidR="00437E89" w:rsidRPr="001334D8">
        <w:rPr>
          <w:rFonts w:ascii="Arial" w:eastAsia="Arial MT" w:hAnsi="Arial" w:cs="Arial"/>
          <w:spacing w:val="-5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10"/>
          <w:lang w:val="es-ES"/>
        </w:rPr>
        <w:t xml:space="preserve"> </w:t>
      </w:r>
      <w:r w:rsidR="00437E89" w:rsidRPr="001334D8">
        <w:rPr>
          <w:rFonts w:ascii="Arial" w:eastAsia="Arial MT" w:hAnsi="Arial" w:cs="Arial"/>
          <w:lang w:val="es-ES"/>
        </w:rPr>
        <w:t>2020,</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C-374</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del</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23</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julio</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2020,</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C-466</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del</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24</w:t>
      </w:r>
      <w:r w:rsidR="00437E89" w:rsidRPr="001334D8">
        <w:rPr>
          <w:rFonts w:ascii="Arial" w:eastAsia="Arial MT" w:hAnsi="Arial" w:cs="Arial"/>
          <w:spacing w:val="-10"/>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julio</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2020,</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C-420</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del</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28</w:t>
      </w:r>
      <w:r w:rsidR="00437E89" w:rsidRPr="001334D8">
        <w:rPr>
          <w:rFonts w:ascii="Arial" w:eastAsia="Arial MT" w:hAnsi="Arial" w:cs="Arial"/>
          <w:spacing w:val="-9"/>
          <w:lang w:val="es-ES"/>
        </w:rPr>
        <w:t xml:space="preserve"> </w:t>
      </w:r>
      <w:r w:rsidR="00437E89" w:rsidRPr="001334D8">
        <w:rPr>
          <w:rFonts w:ascii="Arial" w:eastAsia="Arial MT" w:hAnsi="Arial" w:cs="Arial"/>
          <w:lang w:val="es-ES"/>
        </w:rPr>
        <w:t>de</w:t>
      </w:r>
      <w:r w:rsidR="00437E89" w:rsidRPr="001334D8">
        <w:rPr>
          <w:rFonts w:ascii="Arial" w:eastAsia="Arial MT" w:hAnsi="Arial" w:cs="Arial"/>
          <w:spacing w:val="-59"/>
          <w:lang w:val="es-ES"/>
        </w:rPr>
        <w:t xml:space="preserve"> </w:t>
      </w:r>
      <w:r w:rsidR="00437E89" w:rsidRPr="001334D8">
        <w:rPr>
          <w:rFonts w:ascii="Arial" w:eastAsia="Arial MT" w:hAnsi="Arial" w:cs="Arial"/>
          <w:lang w:val="es-ES"/>
        </w:rPr>
        <w:t xml:space="preserve">julio de 2020, C-534 del 12 de agosto de 2020, </w:t>
      </w:r>
      <w:r w:rsidR="00437E89" w:rsidRPr="001334D8">
        <w:rPr>
          <w:rFonts w:ascii="Arial" w:hAnsi="Arial" w:cs="Arial"/>
          <w:bCs/>
          <w:lang w:val="es-MX"/>
        </w:rPr>
        <w:t>C-285 del 11 de junio de 2021, C-703 del 12 de enero de 2022, C-360 del 25 de mayo de 2022</w:t>
      </w:r>
      <w:r w:rsidR="00437E89">
        <w:rPr>
          <w:rFonts w:ascii="Arial" w:hAnsi="Arial" w:cs="Arial"/>
          <w:bCs/>
          <w:lang w:val="es-MX"/>
        </w:rPr>
        <w:t xml:space="preserve">, </w:t>
      </w:r>
      <w:r w:rsidR="00437E89" w:rsidRPr="001334D8">
        <w:rPr>
          <w:rFonts w:ascii="Arial" w:hAnsi="Arial" w:cs="Arial"/>
          <w:bCs/>
          <w:lang w:val="es-MX"/>
        </w:rPr>
        <w:t>C-426 del 05 de julio de 2022</w:t>
      </w:r>
      <w:r>
        <w:rPr>
          <w:rFonts w:ascii="Arial" w:hAnsi="Arial" w:cs="Arial"/>
          <w:bCs/>
          <w:lang w:val="es-MX"/>
        </w:rPr>
        <w:t>,</w:t>
      </w:r>
      <w:r w:rsidR="00437E89">
        <w:rPr>
          <w:rFonts w:ascii="Arial" w:hAnsi="Arial" w:cs="Arial"/>
          <w:bCs/>
          <w:lang w:val="es-MX"/>
        </w:rPr>
        <w:t xml:space="preserve"> C-580 del 16 de septiembre de </w:t>
      </w:r>
      <w:r w:rsidR="00437E89" w:rsidRPr="00CA396F">
        <w:rPr>
          <w:rFonts w:ascii="Arial" w:hAnsi="Arial" w:cs="Arial"/>
          <w:bCs/>
          <w:lang w:val="es-MX"/>
        </w:rPr>
        <w:t>2022</w:t>
      </w:r>
      <w:r w:rsidRPr="00AF3C37">
        <w:rPr>
          <w:rFonts w:ascii="Arial" w:eastAsia="Calibri" w:hAnsi="Arial" w:cs="Arial"/>
          <w:bCs/>
          <w:lang w:val="es-ES"/>
        </w:rPr>
        <w:t>,</w:t>
      </w:r>
      <w:r w:rsidRPr="00AF3C37">
        <w:rPr>
          <w:rFonts w:ascii="Arial" w:eastAsia="Calibri" w:hAnsi="Arial" w:cs="Arial"/>
        </w:rPr>
        <w:t xml:space="preserve"> C-588 del 20 de octubre de 2021, C-703 del 11 de enero de 2022, C-426 del 5 de julio de 2022, C-325 del 6 de julio de 2022, C-360 del del 25 de mayo de 2022, entre otros</w:t>
      </w:r>
      <w:r w:rsidR="00437E89" w:rsidRPr="00CA396F">
        <w:rPr>
          <w:rFonts w:ascii="Arial" w:hAnsi="Arial" w:cs="Arial"/>
          <w:bCs/>
          <w:lang w:val="es-MX"/>
        </w:rPr>
        <w:t>.</w:t>
      </w:r>
      <w:r w:rsidR="00437E89" w:rsidRPr="001334D8">
        <w:rPr>
          <w:rFonts w:ascii="Arial" w:hAnsi="Arial" w:cs="Arial"/>
          <w:bCs/>
          <w:lang w:val="es-MX"/>
        </w:rPr>
        <w:t xml:space="preserve">   </w:t>
      </w:r>
    </w:p>
    <w:p w14:paraId="661A1827" w14:textId="7496C829" w:rsidR="00437E89" w:rsidRDefault="00437E89" w:rsidP="007975D6">
      <w:pPr>
        <w:tabs>
          <w:tab w:val="left" w:pos="284"/>
        </w:tabs>
        <w:spacing w:after="0" w:line="276" w:lineRule="auto"/>
        <w:jc w:val="both"/>
        <w:rPr>
          <w:rFonts w:ascii="Arial" w:hAnsi="Arial" w:cs="Arial"/>
          <w:bCs/>
          <w:lang w:val="es-MX"/>
        </w:rPr>
      </w:pPr>
      <w:r w:rsidRPr="001334D8">
        <w:rPr>
          <w:rFonts w:ascii="Arial" w:hAnsi="Arial" w:cs="Arial"/>
          <w:bCs/>
          <w:lang w:val="es-MX"/>
        </w:rPr>
        <w:tab/>
      </w:r>
      <w:r w:rsidRPr="001334D8">
        <w:rPr>
          <w:rFonts w:ascii="Arial" w:hAnsi="Arial" w:cs="Arial"/>
          <w:bCs/>
          <w:lang w:val="es-MX"/>
        </w:rPr>
        <w:tab/>
        <w:t xml:space="preserve">Finalmente, </w:t>
      </w:r>
      <w:r w:rsidRPr="001334D8">
        <w:rPr>
          <w:rStyle w:val="normaltextrun"/>
          <w:rFonts w:ascii="Arial" w:hAnsi="Arial" w:cs="Arial"/>
          <w:shd w:val="clear" w:color="auto" w:fill="FFFFFF"/>
        </w:rPr>
        <w:t xml:space="preserve">se ha pronunciado, sobre </w:t>
      </w:r>
      <w:r>
        <w:rPr>
          <w:rStyle w:val="normaltextrun"/>
          <w:rFonts w:ascii="Arial" w:hAnsi="Arial" w:cs="Arial"/>
          <w:shd w:val="clear" w:color="auto" w:fill="FFFFFF"/>
        </w:rPr>
        <w:t>la causal de rechazo contenida en el literal G</w:t>
      </w:r>
      <w:r w:rsidRPr="00437E89">
        <w:rPr>
          <w:rFonts w:ascii="Arial" w:eastAsia="Calibri" w:hAnsi="Arial" w:cs="Arial"/>
        </w:rPr>
        <w:t xml:space="preserve"> del numeral 1.1</w:t>
      </w:r>
      <w:r w:rsidR="00E52736">
        <w:rPr>
          <w:rFonts w:ascii="Arial" w:eastAsia="Calibri" w:hAnsi="Arial" w:cs="Arial"/>
        </w:rPr>
        <w:t>5</w:t>
      </w:r>
      <w:r w:rsidRPr="00437E89">
        <w:rPr>
          <w:rFonts w:ascii="Arial" w:eastAsia="Calibri" w:hAnsi="Arial" w:cs="Arial"/>
        </w:rPr>
        <w:t xml:space="preserve"> de los documentos tipo de licitación de obra pública de infraestructura de transporte – versión 3</w:t>
      </w:r>
      <w:r>
        <w:rPr>
          <w:rFonts w:ascii="Arial" w:eastAsia="Calibri" w:hAnsi="Arial" w:cs="Arial"/>
        </w:rPr>
        <w:t>, en</w:t>
      </w:r>
      <w:r w:rsidR="00EF0EC2">
        <w:rPr>
          <w:rFonts w:ascii="Arial" w:eastAsia="Calibri" w:hAnsi="Arial" w:cs="Arial"/>
        </w:rPr>
        <w:t>tre otros, en</w:t>
      </w:r>
      <w:r>
        <w:rPr>
          <w:rFonts w:ascii="Arial" w:eastAsia="Calibri" w:hAnsi="Arial" w:cs="Arial"/>
        </w:rPr>
        <w:t xml:space="preserve"> los conceptos C-420 del 28 de julio de 2020, C-466 del 24 de julio de 2020, </w:t>
      </w:r>
      <w:r w:rsidR="00EF0EC2">
        <w:rPr>
          <w:rFonts w:ascii="Arial" w:eastAsia="Calibri" w:hAnsi="Arial" w:cs="Arial"/>
        </w:rPr>
        <w:t xml:space="preserve">C-786 del 19 de enero de 2021, </w:t>
      </w:r>
      <w:r>
        <w:rPr>
          <w:rFonts w:ascii="Arial" w:eastAsia="Calibri" w:hAnsi="Arial" w:cs="Arial"/>
        </w:rPr>
        <w:t xml:space="preserve">C-269 del 03 de junio de 2021, </w:t>
      </w:r>
      <w:r w:rsidR="00EF0EC2">
        <w:rPr>
          <w:rFonts w:ascii="Arial" w:eastAsia="Calibri" w:hAnsi="Arial" w:cs="Arial"/>
          <w:lang w:val="es-ES_tradnl"/>
        </w:rPr>
        <w:t xml:space="preserve">C-329 del 8 de julio de 2021, C-371 del 27 de julio de 2021, C-468 del 07 de septiembre de 2021, </w:t>
      </w:r>
      <w:r w:rsidR="00EF0EC2">
        <w:rPr>
          <w:rFonts w:ascii="Arial" w:eastAsia="Calibri" w:hAnsi="Arial" w:cs="Arial"/>
        </w:rPr>
        <w:t>C-531 del 27 de septiembre de 2021</w:t>
      </w:r>
      <w:r w:rsidR="00CA396F">
        <w:rPr>
          <w:rFonts w:ascii="Arial" w:eastAsia="Calibri" w:hAnsi="Arial" w:cs="Arial"/>
        </w:rPr>
        <w:t>,</w:t>
      </w:r>
      <w:r w:rsidR="00EF0EC2">
        <w:rPr>
          <w:rFonts w:ascii="Arial" w:eastAsia="Calibri" w:hAnsi="Arial" w:cs="Arial"/>
        </w:rPr>
        <w:t xml:space="preserve"> C-283 del 04 de mayo de 2022</w:t>
      </w:r>
      <w:r w:rsidR="00CA396F">
        <w:rPr>
          <w:rFonts w:ascii="Arial" w:eastAsia="Calibri" w:hAnsi="Arial" w:cs="Arial"/>
        </w:rPr>
        <w:t xml:space="preserve"> y C-708 del </w:t>
      </w:r>
      <w:r w:rsidR="00706419">
        <w:rPr>
          <w:rFonts w:ascii="Arial" w:eastAsia="Calibri" w:hAnsi="Arial" w:cs="Arial"/>
        </w:rPr>
        <w:t>2</w:t>
      </w:r>
      <w:r w:rsidR="00CA396F">
        <w:rPr>
          <w:rFonts w:ascii="Arial" w:eastAsia="Calibri" w:hAnsi="Arial" w:cs="Arial"/>
        </w:rPr>
        <w:t>7 de octubre de 2022</w:t>
      </w:r>
      <w:r w:rsidR="00EF0EC2">
        <w:rPr>
          <w:rFonts w:ascii="Arial" w:eastAsia="Calibri" w:hAnsi="Arial" w:cs="Arial"/>
        </w:rPr>
        <w:t xml:space="preserve">. </w:t>
      </w:r>
      <w:r w:rsidRPr="001334D8">
        <w:rPr>
          <w:rFonts w:ascii="Arial" w:eastAsia="Calibri" w:hAnsi="Arial" w:cs="Arial"/>
          <w:lang w:val="es-MX"/>
        </w:rPr>
        <w:t xml:space="preserve">Las tesis desarrolladas en estos conceptos se reiteran a continuación </w:t>
      </w:r>
      <w:r w:rsidRPr="001334D8">
        <w:rPr>
          <w:rFonts w:ascii="Arial" w:hAnsi="Arial" w:cs="Arial"/>
          <w:bCs/>
          <w:lang w:val="es-MX"/>
        </w:rPr>
        <w:t>y se complementan en lo pertinente.</w:t>
      </w:r>
    </w:p>
    <w:p w14:paraId="1BFE0979" w14:textId="77777777" w:rsidR="007975D6" w:rsidRPr="001334D8" w:rsidRDefault="007975D6" w:rsidP="007975D6">
      <w:pPr>
        <w:tabs>
          <w:tab w:val="left" w:pos="284"/>
        </w:tabs>
        <w:spacing w:after="0" w:line="276" w:lineRule="auto"/>
        <w:jc w:val="both"/>
        <w:rPr>
          <w:rFonts w:ascii="Arial" w:eastAsia="Calibri" w:hAnsi="Arial" w:cs="Arial"/>
          <w:lang w:val="es-ES" w:eastAsia="es-MX"/>
        </w:rPr>
      </w:pPr>
    </w:p>
    <w:p w14:paraId="0D4A236E" w14:textId="77777777" w:rsidR="007975D6" w:rsidRPr="007975D6" w:rsidRDefault="007975D6" w:rsidP="007975D6">
      <w:pPr>
        <w:spacing w:after="0" w:line="276" w:lineRule="auto"/>
        <w:jc w:val="both"/>
        <w:rPr>
          <w:rFonts w:ascii="Arial" w:eastAsia="Calibri" w:hAnsi="Arial" w:cs="Arial"/>
          <w:b/>
          <w:bCs/>
          <w:color w:val="000000"/>
          <w:szCs w:val="24"/>
          <w:lang w:eastAsia="en-GB"/>
        </w:rPr>
      </w:pPr>
      <w:r w:rsidRPr="007975D6">
        <w:rPr>
          <w:rFonts w:ascii="Arial" w:eastAsia="Calibri" w:hAnsi="Arial" w:cs="Arial"/>
          <w:b/>
          <w:bCs/>
          <w:color w:val="000000"/>
          <w:szCs w:val="24"/>
          <w:lang w:eastAsia="en-GB"/>
        </w:rPr>
        <w:lastRenderedPageBreak/>
        <w:t xml:space="preserve">2.1. La firmeza del acto de inscripción en el Registro Único de Proponentes – RUP. Efectos frente a la </w:t>
      </w:r>
      <w:r w:rsidRPr="007975D6">
        <w:rPr>
          <w:rFonts w:ascii="Arial" w:eastAsia="Calibri" w:hAnsi="Arial" w:cs="Arial"/>
          <w:b/>
          <w:bCs/>
          <w:i/>
          <w:iCs/>
          <w:color w:val="000000"/>
          <w:szCs w:val="24"/>
          <w:lang w:eastAsia="en-GB"/>
        </w:rPr>
        <w:t xml:space="preserve">inscripción, renovación y actualización </w:t>
      </w:r>
      <w:r w:rsidRPr="007975D6">
        <w:rPr>
          <w:rFonts w:ascii="Arial" w:eastAsia="Calibri" w:hAnsi="Arial" w:cs="Arial"/>
          <w:b/>
          <w:bCs/>
          <w:color w:val="000000"/>
          <w:szCs w:val="24"/>
          <w:lang w:eastAsia="en-GB"/>
        </w:rPr>
        <w:t>del registro</w:t>
      </w:r>
    </w:p>
    <w:p w14:paraId="703DEE3A" w14:textId="77777777" w:rsidR="007975D6" w:rsidRPr="007975D6" w:rsidRDefault="007975D6" w:rsidP="007975D6">
      <w:pPr>
        <w:spacing w:after="0" w:line="276" w:lineRule="auto"/>
        <w:jc w:val="both"/>
        <w:rPr>
          <w:rFonts w:ascii="Arial" w:eastAsia="Calibri" w:hAnsi="Arial" w:cs="Arial"/>
          <w:b/>
          <w:bCs/>
          <w:color w:val="000000"/>
        </w:rPr>
      </w:pPr>
    </w:p>
    <w:p w14:paraId="12E91AEA" w14:textId="480A1841" w:rsidR="007975D6" w:rsidRPr="007975D6" w:rsidRDefault="007975D6" w:rsidP="007975D6">
      <w:pPr>
        <w:spacing w:after="0" w:line="276" w:lineRule="auto"/>
        <w:jc w:val="both"/>
        <w:rPr>
          <w:rFonts w:ascii="Arial" w:eastAsia="Calibri" w:hAnsi="Arial" w:cs="Arial"/>
        </w:rPr>
      </w:pPr>
      <w:r w:rsidRPr="007975D6">
        <w:rPr>
          <w:rFonts w:ascii="Arial" w:eastAsia="Calibri" w:hAnsi="Arial" w:cs="Arial"/>
        </w:rPr>
        <w:t>Las cámaras de comercio, de acuerdo con el artículo 6.1 de la Ley 1150 de 2007 y con el artículo 2.2.1.1.1.5.3 del Decreto 1082 de 2015, verifican y certifican los requisitos habilitantes de experiencia, capacidad jurídica, capacidad financiera y de organización. Conforme al artículo 6.3 de la Ley 1150 de 2007</w:t>
      </w:r>
      <w:r w:rsidRPr="00706419">
        <w:rPr>
          <w:rFonts w:ascii="Arial" w:eastAsia="Calibri" w:hAnsi="Arial" w:cs="Arial"/>
        </w:rPr>
        <w:t>,</w:t>
      </w:r>
      <w:r w:rsidRPr="007975D6">
        <w:rPr>
          <w:rFonts w:ascii="Arial" w:eastAsia="Calibri" w:hAnsi="Arial" w:cs="Arial"/>
        </w:rPr>
        <w:t xml:space="preserve"> la cámara de comercio verifica la información aportada por el proponente, publica el acto de inscripción del Registro Único de Proponentes</w:t>
      </w:r>
      <w:r w:rsidR="00706419">
        <w:rPr>
          <w:rFonts w:ascii="Arial" w:eastAsia="Calibri" w:hAnsi="Arial" w:cs="Arial"/>
        </w:rPr>
        <w:t xml:space="preserve"> </w:t>
      </w:r>
      <w:r w:rsidR="00706419" w:rsidRPr="009F2B50">
        <w:rPr>
          <w:rFonts w:ascii="Arial" w:eastAsia="Calibri" w:hAnsi="Arial" w:cs="Arial"/>
          <w:bCs/>
        </w:rPr>
        <w:t>– en adelante RUP-</w:t>
      </w:r>
      <w:r w:rsidRPr="007975D6">
        <w:rPr>
          <w:rFonts w:ascii="Arial" w:eastAsia="Calibri" w:hAnsi="Arial" w:cs="Arial"/>
        </w:rPr>
        <w:t xml:space="preserve">, contra el que cualquier persona puede interponer recurso de reposición dentro de los diez </w:t>
      </w:r>
      <w:r w:rsidR="00706419">
        <w:rPr>
          <w:rFonts w:ascii="Arial" w:eastAsia="Calibri" w:hAnsi="Arial" w:cs="Arial"/>
        </w:rPr>
        <w:t>(</w:t>
      </w:r>
      <w:r w:rsidRPr="007975D6">
        <w:rPr>
          <w:rFonts w:ascii="Arial" w:eastAsia="Calibri" w:hAnsi="Arial" w:cs="Arial"/>
        </w:rPr>
        <w:t>10</w:t>
      </w:r>
      <w:r w:rsidR="00706419">
        <w:rPr>
          <w:rFonts w:ascii="Arial" w:eastAsia="Calibri" w:hAnsi="Arial" w:cs="Arial"/>
        </w:rPr>
        <w:t>)</w:t>
      </w:r>
      <w:r w:rsidRPr="007975D6">
        <w:rPr>
          <w:rFonts w:ascii="Arial" w:eastAsia="Calibri" w:hAnsi="Arial" w:cs="Arial"/>
        </w:rPr>
        <w:t xml:space="preserve"> días hábiles siguientes contados a partir de su publicación –posibilidad aplicable frente a la </w:t>
      </w:r>
      <w:r w:rsidRPr="007975D6">
        <w:rPr>
          <w:rFonts w:ascii="Arial" w:eastAsia="Calibri" w:hAnsi="Arial" w:cs="Arial"/>
          <w:i/>
          <w:iCs/>
        </w:rPr>
        <w:t>inscripción, renovación o actualización–</w:t>
      </w:r>
      <w:r w:rsidRPr="007975D6">
        <w:rPr>
          <w:rFonts w:ascii="Arial" w:eastAsia="Calibri" w:hAnsi="Arial" w:cs="Arial"/>
          <w:vertAlign w:val="superscript"/>
        </w:rPr>
        <w:footnoteReference w:id="1"/>
      </w:r>
      <w:r w:rsidRPr="007975D6">
        <w:rPr>
          <w:rFonts w:ascii="Arial" w:eastAsia="Calibri" w:hAnsi="Arial" w:cs="Arial"/>
        </w:rPr>
        <w:t xml:space="preserve">. En </w:t>
      </w:r>
      <w:r w:rsidRPr="007975D6">
        <w:rPr>
          <w:rFonts w:ascii="Arial" w:eastAsia="Calibri" w:hAnsi="Arial" w:cs="Arial"/>
        </w:rPr>
        <w:lastRenderedPageBreak/>
        <w:t xml:space="preserve">firme el acto administrativo que realiza la inscripción en el </w:t>
      </w:r>
      <w:r w:rsidR="00706419">
        <w:rPr>
          <w:rFonts w:ascii="Arial" w:eastAsia="Calibri" w:hAnsi="Arial" w:cs="Arial"/>
        </w:rPr>
        <w:t>RUP</w:t>
      </w:r>
      <w:r w:rsidRPr="007975D6">
        <w:rPr>
          <w:rFonts w:ascii="Arial" w:eastAsia="Calibri" w:hAnsi="Arial" w:cs="Arial"/>
        </w:rPr>
        <w:t xml:space="preserve"> se podrá demandar su nulidad sin que la presentación de la demanda suspenda la inscripción del RUP.</w:t>
      </w:r>
    </w:p>
    <w:p w14:paraId="13BA2F98" w14:textId="5A3E75E6" w:rsidR="007975D6" w:rsidRPr="007975D6" w:rsidRDefault="007975D6" w:rsidP="007975D6">
      <w:pPr>
        <w:spacing w:before="120" w:after="0" w:line="276" w:lineRule="auto"/>
        <w:ind w:firstLine="708"/>
        <w:jc w:val="both"/>
        <w:rPr>
          <w:rFonts w:ascii="Arial" w:eastAsia="Calibri" w:hAnsi="Arial" w:cs="Arial"/>
        </w:rPr>
      </w:pPr>
      <w:r w:rsidRPr="007975D6">
        <w:rPr>
          <w:rFonts w:ascii="Arial" w:eastAsia="Calibri" w:hAnsi="Arial" w:cs="Arial"/>
        </w:rPr>
        <w:t>De otro lado, el artículo 2.2.1.1.1.5.1 del Decreto 1082 de 2015 dispone que las personas inscritas en el RUP deben presentar la información para renovar su registro a más tardar el quinto día hábil del mes de abril de cada año, pues de lo contrario cesan los efectos del RUP</w:t>
      </w:r>
      <w:r w:rsidRPr="007975D6">
        <w:rPr>
          <w:rFonts w:ascii="Arial" w:eastAsia="Calibri" w:hAnsi="Arial" w:cs="Arial"/>
          <w:vertAlign w:val="superscript"/>
        </w:rPr>
        <w:footnoteReference w:id="2"/>
      </w:r>
      <w:r w:rsidRPr="007975D6">
        <w:rPr>
          <w:rFonts w:ascii="Arial" w:eastAsia="Calibri" w:hAnsi="Arial" w:cs="Arial"/>
        </w:rPr>
        <w:t xml:space="preserve">. </w:t>
      </w:r>
      <w:r w:rsidR="00706419">
        <w:rPr>
          <w:rFonts w:ascii="Arial" w:eastAsia="Calibri" w:hAnsi="Arial" w:cs="Arial"/>
        </w:rPr>
        <w:t>En cuanto a la finalidad de la renovación del RUP y las consecuencias de no hacerlo en el término previsto, la sección tercera de</w:t>
      </w:r>
      <w:r w:rsidRPr="007975D6">
        <w:rPr>
          <w:rFonts w:ascii="Arial" w:eastAsia="Calibri" w:hAnsi="Arial" w:cs="Arial"/>
        </w:rPr>
        <w:t>l Consejo de Estado</w:t>
      </w:r>
      <w:r w:rsidR="00706419">
        <w:rPr>
          <w:rFonts w:ascii="Arial" w:eastAsia="Calibri" w:hAnsi="Arial" w:cs="Arial"/>
        </w:rPr>
        <w:t>,</w:t>
      </w:r>
      <w:r w:rsidRPr="007975D6">
        <w:rPr>
          <w:rFonts w:ascii="Arial" w:eastAsia="Calibri" w:hAnsi="Arial" w:cs="Arial"/>
        </w:rPr>
        <w:t xml:space="preserve"> en sentencia del 19 de septiembre de 2019</w:t>
      </w:r>
      <w:r w:rsidR="00706419">
        <w:rPr>
          <w:rFonts w:ascii="Arial" w:eastAsia="Calibri" w:hAnsi="Arial" w:cs="Arial"/>
        </w:rPr>
        <w:t>,</w:t>
      </w:r>
      <w:r w:rsidRPr="007975D6">
        <w:rPr>
          <w:rFonts w:ascii="Arial" w:eastAsia="Calibri" w:hAnsi="Arial" w:cs="Arial"/>
        </w:rPr>
        <w:t xml:space="preserve"> </w:t>
      </w:r>
      <w:r w:rsidR="00706419">
        <w:rPr>
          <w:rFonts w:ascii="Arial" w:eastAsia="Calibri" w:hAnsi="Arial" w:cs="Arial"/>
        </w:rPr>
        <w:t>se pronunció en los siguientes términos</w:t>
      </w:r>
      <w:r w:rsidRPr="007975D6">
        <w:rPr>
          <w:rFonts w:ascii="Arial" w:eastAsia="Calibri" w:hAnsi="Arial" w:cs="Arial"/>
        </w:rPr>
        <w:t>:</w:t>
      </w:r>
    </w:p>
    <w:p w14:paraId="68C0909D" w14:textId="77777777" w:rsidR="007975D6" w:rsidRPr="007975D6" w:rsidRDefault="007975D6" w:rsidP="007975D6">
      <w:pPr>
        <w:spacing w:after="0" w:line="276" w:lineRule="auto"/>
        <w:jc w:val="both"/>
        <w:rPr>
          <w:rFonts w:ascii="Arial" w:eastAsia="Calibri" w:hAnsi="Arial" w:cs="Arial"/>
        </w:rPr>
      </w:pPr>
    </w:p>
    <w:p w14:paraId="3E78D24B" w14:textId="77777777" w:rsidR="007975D6" w:rsidRPr="007975D6" w:rsidRDefault="007975D6" w:rsidP="007975D6">
      <w:pPr>
        <w:tabs>
          <w:tab w:val="left" w:pos="567"/>
        </w:tabs>
        <w:spacing w:after="0" w:line="240" w:lineRule="auto"/>
        <w:ind w:left="709" w:right="709"/>
        <w:jc w:val="both"/>
        <w:rPr>
          <w:rFonts w:ascii="Arial" w:eastAsia="Calibri" w:hAnsi="Arial" w:cs="Arial"/>
          <w:sz w:val="21"/>
          <w:szCs w:val="21"/>
        </w:rPr>
      </w:pPr>
      <w:r w:rsidRPr="007975D6">
        <w:rPr>
          <w:rFonts w:ascii="Arial" w:eastAsia="Calibri" w:hAnsi="Arial" w:cs="Arial"/>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3C28595E" w14:textId="77777777" w:rsidR="007975D6" w:rsidRPr="007975D6" w:rsidRDefault="007975D6" w:rsidP="007975D6">
      <w:pPr>
        <w:tabs>
          <w:tab w:val="left" w:pos="567"/>
        </w:tabs>
        <w:spacing w:after="0" w:line="240" w:lineRule="auto"/>
        <w:ind w:left="709" w:right="709"/>
        <w:jc w:val="both"/>
        <w:rPr>
          <w:rFonts w:ascii="Arial" w:eastAsia="Calibri" w:hAnsi="Arial" w:cs="Arial"/>
          <w:sz w:val="16"/>
          <w:szCs w:val="16"/>
        </w:rPr>
      </w:pPr>
    </w:p>
    <w:p w14:paraId="72F947FB" w14:textId="77777777" w:rsidR="007975D6" w:rsidRPr="007975D6" w:rsidRDefault="007975D6" w:rsidP="007975D6">
      <w:pPr>
        <w:tabs>
          <w:tab w:val="left" w:pos="567"/>
        </w:tabs>
        <w:spacing w:after="0" w:line="240" w:lineRule="auto"/>
        <w:ind w:left="709" w:right="709"/>
        <w:jc w:val="both"/>
        <w:rPr>
          <w:rFonts w:ascii="Arial" w:eastAsia="Calibri" w:hAnsi="Arial" w:cs="Arial"/>
          <w:sz w:val="21"/>
          <w:szCs w:val="21"/>
        </w:rPr>
      </w:pPr>
      <w:r w:rsidRPr="007975D6">
        <w:rPr>
          <w:rFonts w:ascii="Arial" w:eastAsia="Calibri" w:hAnsi="Arial" w:cs="Arial"/>
          <w:sz w:val="21"/>
          <w:szCs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7975D6">
        <w:rPr>
          <w:rFonts w:ascii="Arial" w:eastAsia="Calibri" w:hAnsi="Arial" w:cs="Arial"/>
          <w:sz w:val="21"/>
          <w:szCs w:val="21"/>
          <w:vertAlign w:val="superscript"/>
        </w:rPr>
        <w:footnoteReference w:id="3"/>
      </w:r>
      <w:r w:rsidRPr="007975D6">
        <w:rPr>
          <w:rFonts w:ascii="Arial" w:eastAsia="Calibri" w:hAnsi="Arial" w:cs="Arial"/>
          <w:sz w:val="21"/>
          <w:szCs w:val="21"/>
        </w:rPr>
        <w:t xml:space="preserve">.  </w:t>
      </w:r>
    </w:p>
    <w:p w14:paraId="604B6A68" w14:textId="77777777" w:rsidR="007975D6" w:rsidRPr="007975D6" w:rsidRDefault="007975D6" w:rsidP="007975D6">
      <w:pPr>
        <w:spacing w:after="0" w:line="240" w:lineRule="auto"/>
        <w:jc w:val="both"/>
        <w:rPr>
          <w:rFonts w:ascii="Arial" w:eastAsia="Calibri" w:hAnsi="Arial" w:cs="Arial"/>
        </w:rPr>
      </w:pPr>
      <w:r w:rsidRPr="007975D6">
        <w:rPr>
          <w:rFonts w:ascii="Arial" w:eastAsia="Calibri" w:hAnsi="Arial" w:cs="Arial"/>
        </w:rPr>
        <w:t xml:space="preserve"> </w:t>
      </w:r>
    </w:p>
    <w:p w14:paraId="483E0C4B" w14:textId="77777777" w:rsidR="007975D6" w:rsidRPr="007975D6" w:rsidRDefault="007975D6" w:rsidP="007975D6">
      <w:pPr>
        <w:spacing w:after="0" w:line="276" w:lineRule="auto"/>
        <w:ind w:firstLine="708"/>
        <w:jc w:val="both"/>
        <w:rPr>
          <w:rFonts w:ascii="Arial" w:eastAsia="Calibri" w:hAnsi="Arial" w:cs="Arial"/>
        </w:rPr>
      </w:pPr>
      <w:r w:rsidRPr="007975D6">
        <w:rPr>
          <w:rFonts w:ascii="Arial" w:eastAsia="Calibri" w:hAnsi="Arial" w:cs="Arial"/>
        </w:rPr>
        <w:lastRenderedPageBreak/>
        <w:t xml:space="preserve">Conforme con lo anterior, en armonía con el artículo 2.2.1.1.1.5.1 del Decreto 1082 de 2015, </w:t>
      </w:r>
      <w:r w:rsidRPr="007975D6">
        <w:rPr>
          <w:rFonts w:ascii="Arial" w:eastAsia="Calibri" w:hAnsi="Arial" w:cs="Arial"/>
          <w:i/>
        </w:rPr>
        <w:t>si el proponente</w:t>
      </w:r>
      <w:r w:rsidRPr="007975D6">
        <w:rPr>
          <w:rFonts w:ascii="Arial" w:eastAsia="Calibri" w:hAnsi="Arial" w:cs="Arial"/>
        </w:rPr>
        <w:t xml:space="preserve"> </w:t>
      </w:r>
      <w:r w:rsidRPr="007975D6">
        <w:rPr>
          <w:rFonts w:ascii="Arial" w:eastAsia="Calibri" w:hAnsi="Arial" w:cs="Arial"/>
          <w:i/>
        </w:rPr>
        <w:t>no presenta la información para renovar su registro</w:t>
      </w:r>
      <w:r w:rsidRPr="007975D6">
        <w:rPr>
          <w:rFonts w:ascii="Arial" w:eastAsia="Calibri" w:hAnsi="Arial" w:cs="Arial"/>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 Por tanto, tendría que inscribirse nuevamente, caso en el que solo se podrá presentar cuando la inscripción esté en firme. </w:t>
      </w:r>
    </w:p>
    <w:p w14:paraId="0F6A8466" w14:textId="293DD970" w:rsidR="007975D6" w:rsidRPr="007975D6" w:rsidRDefault="007975D6" w:rsidP="007975D6">
      <w:pPr>
        <w:spacing w:before="120" w:after="0" w:line="276" w:lineRule="auto"/>
        <w:ind w:firstLine="708"/>
        <w:jc w:val="both"/>
        <w:rPr>
          <w:rFonts w:ascii="Arial" w:eastAsia="Calibri" w:hAnsi="Arial" w:cs="Arial"/>
        </w:rPr>
      </w:pPr>
      <w:r w:rsidRPr="007975D6">
        <w:rPr>
          <w:rFonts w:ascii="Arial" w:eastAsia="Calibri" w:hAnsi="Arial" w:cs="Arial"/>
        </w:rPr>
        <w:t xml:space="preserve">Tratándose del trámite de </w:t>
      </w:r>
      <w:r w:rsidRPr="007975D6">
        <w:rPr>
          <w:rFonts w:ascii="Arial" w:eastAsia="Calibri" w:hAnsi="Arial" w:cs="Arial"/>
          <w:i/>
        </w:rPr>
        <w:t>renovación,</w:t>
      </w:r>
      <w:r w:rsidRPr="007975D6">
        <w:rPr>
          <w:rFonts w:ascii="Arial" w:eastAsia="Calibri" w:hAnsi="Arial" w:cs="Arial"/>
        </w:rPr>
        <w:t xml:space="preserve"> la persona que </w:t>
      </w:r>
      <w:r w:rsidRPr="007975D6">
        <w:rPr>
          <w:rFonts w:ascii="Arial" w:eastAsia="Calibri" w:hAnsi="Arial" w:cs="Arial"/>
          <w:i/>
          <w:iCs/>
        </w:rPr>
        <w:t>haya presentado la información</w:t>
      </w:r>
      <w:r w:rsidRPr="007975D6">
        <w:rPr>
          <w:rFonts w:ascii="Arial" w:eastAsia="Calibri" w:hAnsi="Arial" w:cs="Arial"/>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w:t>
      </w:r>
      <w:r w:rsidR="00706419">
        <w:rPr>
          <w:rFonts w:ascii="Arial" w:eastAsia="Calibri" w:hAnsi="Arial" w:cs="Arial"/>
        </w:rPr>
        <w:t>aba</w:t>
      </w:r>
      <w:r w:rsidRPr="007975D6">
        <w:rPr>
          <w:rFonts w:ascii="Arial" w:eastAsia="Calibri" w:hAnsi="Arial" w:cs="Arial"/>
        </w:rPr>
        <w:t xml:space="preserve"> en firme antes de iniciar el trámite de renovación, cuyos efectos no ha</w:t>
      </w:r>
      <w:r w:rsidR="00706419">
        <w:rPr>
          <w:rFonts w:ascii="Arial" w:eastAsia="Calibri" w:hAnsi="Arial" w:cs="Arial"/>
        </w:rPr>
        <w:t>bría</w:t>
      </w:r>
      <w:r w:rsidRPr="007975D6">
        <w:rPr>
          <w:rFonts w:ascii="Arial" w:eastAsia="Calibri" w:hAnsi="Arial" w:cs="Arial"/>
        </w:rPr>
        <w:t>n cesado por encontrarse vigente.</w:t>
      </w:r>
    </w:p>
    <w:p w14:paraId="0465E6CB" w14:textId="4BE930E6" w:rsidR="007975D6" w:rsidRPr="007975D6" w:rsidRDefault="007975D6" w:rsidP="007975D6">
      <w:pPr>
        <w:spacing w:before="120" w:after="0" w:line="276" w:lineRule="auto"/>
        <w:ind w:firstLine="708"/>
        <w:jc w:val="both"/>
        <w:rPr>
          <w:rFonts w:ascii="Arial" w:eastAsia="Calibri" w:hAnsi="Arial" w:cs="Arial"/>
        </w:rPr>
      </w:pPr>
      <w:r w:rsidRPr="007975D6">
        <w:rPr>
          <w:rFonts w:ascii="Arial" w:eastAsia="Calibri" w:hAnsi="Arial" w:cs="Arial"/>
        </w:rPr>
        <w:t>Así las cosas, para verificar que los efectos del RUP no han cesado, es necesario que el certificado contenga la anotación de que el inscrito, a más tardar el quinto día hábil de abril de cada año,</w:t>
      </w:r>
      <w:r w:rsidRPr="007975D6" w:rsidDel="00B14FC4">
        <w:rPr>
          <w:rFonts w:ascii="Arial" w:eastAsia="Calibri" w:hAnsi="Arial" w:cs="Arial"/>
        </w:rPr>
        <w:t xml:space="preserve"> </w:t>
      </w:r>
      <w:r w:rsidRPr="007975D6">
        <w:rPr>
          <w:rFonts w:ascii="Arial" w:eastAsia="Calibri" w:hAnsi="Arial" w:cs="Arial"/>
          <w:i/>
          <w:iCs/>
        </w:rPr>
        <w:t>radicó ante la cámara de comercio los documentos para la renovación</w:t>
      </w:r>
      <w:r w:rsidRPr="007975D6">
        <w:rPr>
          <w:rFonts w:ascii="Arial" w:eastAsia="Calibri" w:hAnsi="Arial" w:cs="Arial"/>
        </w:rPr>
        <w:t>. En todo caso, si tal circunstancia no estuviere inscrita en el certificado, se podrá acreditar a través del medio documental expedido por la cámara de comercio correspondiente</w:t>
      </w:r>
      <w:r w:rsidR="00812D9A">
        <w:rPr>
          <w:rFonts w:ascii="Arial" w:eastAsia="Calibri" w:hAnsi="Arial" w:cs="Arial"/>
        </w:rPr>
        <w:t xml:space="preserve">, por lo que al </w:t>
      </w:r>
      <w:r w:rsidRPr="007975D6">
        <w:rPr>
          <w:rFonts w:ascii="Arial" w:eastAsia="Calibri" w:hAnsi="Arial" w:cs="Arial"/>
        </w:rPr>
        <w:t>no existir tarifa legal que permita establecer la forma de acreditar el trámite de renovación, la entidad estatal debe verificar que el documento aportado por el proponente ofrezca certeza sobre el estado del trámite</w:t>
      </w:r>
      <w:r w:rsidR="00812D9A">
        <w:rPr>
          <w:rFonts w:ascii="Arial" w:eastAsia="Calibri" w:hAnsi="Arial" w:cs="Arial"/>
        </w:rPr>
        <w:t xml:space="preserve">, verificando que se haya presentado la información para renovar su registro antes del quinto día hábil del mes de abril de cada año. </w:t>
      </w:r>
    </w:p>
    <w:p w14:paraId="2D4A770F" w14:textId="77777777" w:rsidR="00812D9A"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t>Dicho esto, la firmeza del acto de inscripción, renovación y actualización del RUP debe armonizarse con las prescripciones establecidas para la generalidad de los actos administrativos, esto es, de acuerdo con el artículo 87 de la Ley 1437 de 2011</w:t>
      </w:r>
      <w:r w:rsidRPr="007975D6">
        <w:rPr>
          <w:rFonts w:ascii="Arial" w:eastAsia="Calibri" w:hAnsi="Arial" w:cs="Arial"/>
          <w:vertAlign w:val="superscript"/>
        </w:rPr>
        <w:footnoteReference w:id="4"/>
      </w:r>
      <w:r w:rsidRPr="007975D6">
        <w:rPr>
          <w:rFonts w:ascii="Arial" w:eastAsia="Calibri" w:hAnsi="Arial" w:cs="Arial"/>
        </w:rPr>
        <w:t xml:space="preserve">. </w:t>
      </w:r>
    </w:p>
    <w:p w14:paraId="5453B3E4" w14:textId="1C741B5D" w:rsidR="007975D6" w:rsidRPr="007975D6"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lastRenderedPageBreak/>
        <w:t xml:space="preserve">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2A2909DF" w14:textId="77777777" w:rsidR="007975D6" w:rsidRPr="007975D6"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7975D6">
        <w:rPr>
          <w:rFonts w:ascii="Arial" w:eastAsia="Calibri" w:hAnsi="Arial" w:cs="Arial"/>
          <w:vertAlign w:val="superscript"/>
        </w:rPr>
        <w:footnoteReference w:id="5"/>
      </w:r>
      <w:r w:rsidRPr="007975D6">
        <w:rPr>
          <w:rFonts w:ascii="Arial" w:eastAsia="Calibri" w:hAnsi="Arial" w:cs="Arial"/>
        </w:rPr>
        <w:t xml:space="preserve">. </w:t>
      </w:r>
    </w:p>
    <w:p w14:paraId="036C73E7" w14:textId="77777777" w:rsidR="007975D6" w:rsidRPr="007975D6"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72A707C2" w14:textId="77777777" w:rsidR="007975D6" w:rsidRPr="007975D6"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t xml:space="preserve">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w:t>
      </w:r>
      <w:r w:rsidRPr="007975D6">
        <w:rPr>
          <w:rFonts w:ascii="Arial" w:eastAsia="Calibri" w:hAnsi="Arial" w:cs="Arial"/>
        </w:rPr>
        <w:lastRenderedPageBreak/>
        <w:t>Procedimiento Administrativo y de lo Contencioso Administrativo –CPACA–, entre las que se encuentran los artículos 87 a 89, en virtud de lo establecido en el artículo 2 del mismo Código</w:t>
      </w:r>
      <w:r w:rsidRPr="007975D6">
        <w:rPr>
          <w:rFonts w:ascii="Arial" w:eastAsia="Calibri" w:hAnsi="Arial" w:cs="Arial"/>
          <w:vertAlign w:val="superscript"/>
        </w:rPr>
        <w:footnoteReference w:id="6"/>
      </w:r>
      <w:r w:rsidRPr="007975D6">
        <w:rPr>
          <w:rFonts w:ascii="Arial" w:eastAsia="Calibri" w:hAnsi="Arial" w:cs="Arial"/>
        </w:rPr>
        <w:t xml:space="preserve">. </w:t>
      </w:r>
    </w:p>
    <w:p w14:paraId="0CE18914" w14:textId="77777777" w:rsidR="007975D6" w:rsidRPr="007975D6"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teniendo en cuenta lo establecido en el artículo 5 de Ley 1882 de 2018. </w:t>
      </w:r>
    </w:p>
    <w:p w14:paraId="43547173" w14:textId="4C05B2A2" w:rsidR="007975D6" w:rsidRPr="007975D6"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t xml:space="preserve">En relación con la </w:t>
      </w:r>
      <w:r w:rsidRPr="007975D6">
        <w:rPr>
          <w:rFonts w:ascii="Arial" w:eastAsia="Calibri" w:hAnsi="Arial" w:cs="Arial"/>
          <w:b/>
          <w:bCs/>
          <w:i/>
          <w:iCs/>
        </w:rPr>
        <w:t>inscripción</w:t>
      </w:r>
      <w:r w:rsidRPr="007975D6">
        <w:rPr>
          <w:rFonts w:ascii="Arial" w:eastAsia="Calibri" w:hAnsi="Arial" w:cs="Arial"/>
        </w:rPr>
        <w:t xml:space="preserve"> –ya sea por primera vez o porque no se renueva a tiempo y se debe realizar el trámite como una inscripción inicial–, debe considerarse lo prescrito en el parágrafo 1 del artículo 5 de la Ley 1150 de 2007, modificado por el artículo 5 de la Ley 1882 de 2018</w:t>
      </w:r>
      <w:r w:rsidRPr="007975D6">
        <w:rPr>
          <w:rFonts w:ascii="Arial" w:eastAsia="Calibri" w:hAnsi="Arial" w:cs="Arial"/>
          <w:vertAlign w:val="superscript"/>
        </w:rPr>
        <w:footnoteReference w:id="7"/>
      </w:r>
      <w:r w:rsidRPr="007975D6">
        <w:rPr>
          <w:rFonts w:ascii="Arial" w:eastAsia="Calibri" w:hAnsi="Arial" w:cs="Arial"/>
        </w:rPr>
        <w:t xml:space="preserve">, que establece que los proponentes no pueden acreditar </w:t>
      </w:r>
      <w:r w:rsidRPr="007975D6">
        <w:rPr>
          <w:rFonts w:ascii="Arial" w:eastAsia="Calibri" w:hAnsi="Arial" w:cs="Arial"/>
        </w:rPr>
        <w:lastRenderedPageBreak/>
        <w:t>circunstancias ocurridas con posterioridad al cierre del proceso. En armonía con lo anterior, la Sala de Consulta y Servicio Civil del Consejo de Estado interpretó una norma de igual contenido a la anterior</w:t>
      </w:r>
      <w:r w:rsidRPr="007975D6">
        <w:rPr>
          <w:rFonts w:ascii="Arial" w:eastAsia="Calibri" w:hAnsi="Arial" w:cs="Arial"/>
          <w:vertAlign w:val="superscript"/>
        </w:rPr>
        <w:footnoteReference w:id="8"/>
      </w:r>
      <w:r w:rsidRPr="007975D6">
        <w:rPr>
          <w:rFonts w:ascii="Arial" w:eastAsia="Calibri" w:hAnsi="Arial" w:cs="Arial"/>
        </w:rPr>
        <w:t xml:space="preserve">, señalando que el proponente debe cumplir materialmente para la fecha del cierre del proceso con los requisitos que se requieren para presentar la oferta. En este sentido, en ese momento la persona natural o jurídica debe estar inscrita en el </w:t>
      </w:r>
      <w:r w:rsidR="00E2268A">
        <w:rPr>
          <w:rFonts w:ascii="Arial" w:eastAsia="Calibri" w:hAnsi="Arial" w:cs="Arial"/>
        </w:rPr>
        <w:t>RUP</w:t>
      </w:r>
      <w:r w:rsidRPr="007975D6">
        <w:rPr>
          <w:rFonts w:ascii="Arial" w:eastAsia="Calibri" w:hAnsi="Arial" w:cs="Arial"/>
        </w:rPr>
        <w:t xml:space="preserve">, para lo cual no basta con la solicitud o radicación de los documentos para el trámite, sino que, además, el acto administrativo de </w:t>
      </w:r>
      <w:r w:rsidRPr="007975D6">
        <w:rPr>
          <w:rFonts w:ascii="Arial" w:eastAsia="Calibri" w:hAnsi="Arial" w:cs="Arial"/>
          <w:i/>
          <w:iCs/>
        </w:rPr>
        <w:t>inscripción</w:t>
      </w:r>
      <w:r w:rsidRPr="007975D6">
        <w:rPr>
          <w:rFonts w:ascii="Arial" w:eastAsia="Calibri" w:hAnsi="Arial" w:cs="Arial"/>
        </w:rPr>
        <w:t xml:space="preserve"> debe estar en firme, pues solo así se materializa y produce efectos la inscripción</w:t>
      </w:r>
      <w:r w:rsidRPr="007975D6">
        <w:rPr>
          <w:rFonts w:ascii="Arial" w:eastAsia="Calibri" w:hAnsi="Arial" w:cs="Arial"/>
          <w:vertAlign w:val="superscript"/>
        </w:rPr>
        <w:footnoteReference w:id="9"/>
      </w:r>
      <w:r w:rsidRPr="007975D6">
        <w:rPr>
          <w:rFonts w:ascii="Arial" w:eastAsia="Calibri" w:hAnsi="Arial" w:cs="Arial"/>
        </w:rPr>
        <w:t xml:space="preserve">. </w:t>
      </w:r>
    </w:p>
    <w:p w14:paraId="19911090" w14:textId="77777777" w:rsidR="007975D6" w:rsidRPr="007975D6" w:rsidRDefault="007975D6" w:rsidP="007975D6">
      <w:pPr>
        <w:spacing w:before="120" w:after="0" w:line="276" w:lineRule="auto"/>
        <w:ind w:firstLine="709"/>
        <w:jc w:val="both"/>
        <w:rPr>
          <w:rFonts w:ascii="Arial" w:eastAsia="Calibri" w:hAnsi="Arial" w:cs="Arial"/>
        </w:rPr>
      </w:pPr>
      <w:r w:rsidRPr="007975D6">
        <w:rPr>
          <w:rFonts w:ascii="Arial" w:eastAsia="Calibri" w:hAnsi="Arial" w:cs="Arial"/>
        </w:rPr>
        <w:t xml:space="preserve">Por lo tanto, si la cámara de comercio expide el acto administrativo de </w:t>
      </w:r>
      <w:r w:rsidRPr="007975D6">
        <w:rPr>
          <w:rFonts w:ascii="Arial" w:eastAsia="Calibri" w:hAnsi="Arial" w:cs="Arial"/>
          <w:i/>
          <w:iCs/>
        </w:rPr>
        <w:t>inscripción</w:t>
      </w:r>
      <w:r w:rsidRPr="007975D6">
        <w:rPr>
          <w:rFonts w:ascii="Arial" w:eastAsia="Calibri" w:hAnsi="Arial" w:cs="Arial"/>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6D35183C" w14:textId="2D4C79B7" w:rsidR="007975D6" w:rsidRPr="007975D6" w:rsidRDefault="007975D6" w:rsidP="007975D6">
      <w:pPr>
        <w:spacing w:before="120" w:after="0" w:line="276" w:lineRule="auto"/>
        <w:ind w:firstLine="708"/>
        <w:jc w:val="both"/>
        <w:rPr>
          <w:rFonts w:ascii="Arial" w:eastAsia="Calibri" w:hAnsi="Arial" w:cs="Arial"/>
          <w:color w:val="000000"/>
        </w:rPr>
      </w:pPr>
      <w:r w:rsidRPr="007975D6">
        <w:rPr>
          <w:rFonts w:ascii="Arial" w:eastAsia="Calibri" w:hAnsi="Arial" w:cs="Arial"/>
          <w:color w:val="000000"/>
        </w:rPr>
        <w:t xml:space="preserve">Tratándose del trámite de </w:t>
      </w:r>
      <w:r w:rsidRPr="007975D6">
        <w:rPr>
          <w:rFonts w:ascii="Arial" w:eastAsia="Calibri" w:hAnsi="Arial" w:cs="Arial"/>
          <w:b/>
          <w:bCs/>
          <w:i/>
          <w:iCs/>
          <w:color w:val="000000"/>
        </w:rPr>
        <w:t>renovación</w:t>
      </w:r>
      <w:r w:rsidRPr="007975D6">
        <w:rPr>
          <w:rFonts w:ascii="Arial" w:eastAsia="Calibri" w:hAnsi="Arial" w:cs="Arial"/>
          <w:i/>
          <w:iCs/>
          <w:color w:val="000000"/>
        </w:rPr>
        <w:t>,</w:t>
      </w:r>
      <w:r w:rsidRPr="007975D6">
        <w:rPr>
          <w:rFonts w:ascii="Arial" w:eastAsia="Calibri" w:hAnsi="Arial" w:cs="Arial"/>
          <w:color w:val="000000"/>
        </w:rPr>
        <w:t xml:space="preserve"> se reitera lo expresado en el sentido de que la persona que </w:t>
      </w:r>
      <w:r w:rsidRPr="007975D6">
        <w:rPr>
          <w:rFonts w:ascii="Arial" w:eastAsia="Calibri" w:hAnsi="Arial" w:cs="Arial"/>
          <w:i/>
          <w:iCs/>
          <w:color w:val="000000"/>
        </w:rPr>
        <w:t>presentó la información</w:t>
      </w:r>
      <w:r w:rsidRPr="007975D6">
        <w:rPr>
          <w:rFonts w:ascii="Arial" w:eastAsia="Calibri" w:hAnsi="Arial" w:cs="Arial"/>
          <w:color w:val="000000"/>
        </w:rPr>
        <w:t xml:space="preserve">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w:t>
      </w:r>
      <w:r w:rsidRPr="007975D6">
        <w:rPr>
          <w:rFonts w:ascii="Arial" w:eastAsia="Calibri" w:hAnsi="Arial" w:cs="Arial"/>
          <w:color w:val="000000"/>
        </w:rPr>
        <w:lastRenderedPageBreak/>
        <w:t xml:space="preserve">información «antigua». De esta manera, en el período comprendido entre el momento de la 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w:t>
      </w:r>
      <w:r w:rsidR="00E2268A">
        <w:rPr>
          <w:rFonts w:ascii="Arial" w:eastAsia="Calibri" w:hAnsi="Arial" w:cs="Arial"/>
          <w:color w:val="000000"/>
        </w:rPr>
        <w:t>Esto se sustenta en que</w:t>
      </w:r>
      <w:r w:rsidRPr="007975D6">
        <w:rPr>
          <w:rFonts w:ascii="Arial" w:eastAsia="Calibri" w:hAnsi="Arial" w:cs="Arial"/>
          <w:color w:val="000000"/>
        </w:rPr>
        <w:t xml:space="preserv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8EFB148" w14:textId="69E632A0" w:rsidR="007975D6" w:rsidRDefault="007975D6" w:rsidP="007975D6">
      <w:pPr>
        <w:spacing w:before="120" w:after="0" w:line="276" w:lineRule="auto"/>
        <w:ind w:firstLine="708"/>
        <w:jc w:val="both"/>
        <w:rPr>
          <w:rFonts w:ascii="Arial" w:eastAsia="Calibri" w:hAnsi="Arial" w:cs="Arial"/>
          <w:color w:val="000000"/>
        </w:rPr>
      </w:pPr>
      <w:r w:rsidRPr="007975D6">
        <w:rPr>
          <w:rFonts w:ascii="Arial" w:eastAsia="Calibri" w:hAnsi="Arial" w:cs="Arial"/>
          <w:color w:val="000000"/>
        </w:rPr>
        <w:t xml:space="preserve">En relación con este aspecto, debe tenerse en cuenta que el parágrafo 1, inciso segundo, del artículo 5 de la Ley 1150 de 2007, modificado por el artículo 5 de la Ley 1882 de 2018, dispone que: </w:t>
      </w:r>
      <w:r w:rsidRPr="00AF3C37">
        <w:rPr>
          <w:rFonts w:ascii="Arial" w:eastAsia="Calibri" w:hAnsi="Arial" w:cs="Arial"/>
          <w:i/>
          <w:iCs/>
          <w:color w:val="000000"/>
        </w:rPr>
        <w:t>«Durante el término otorgado para subsanar las ofertas, los proponentes no podrán acreditar circunstancias ocurridas con posterioridad al cierre del proceso»</w:t>
      </w:r>
      <w:r w:rsidRPr="007975D6">
        <w:rPr>
          <w:rFonts w:ascii="Arial" w:eastAsia="Calibri" w:hAnsi="Arial" w:cs="Arial"/>
          <w:color w:val="000000"/>
        </w:rPr>
        <w:t xml:space="preserve">. Esta regla tiene un alcance muy amplio, pues no expresa, como pudo haberlo hecho, que durante dicho término no se pueden </w:t>
      </w:r>
      <w:r w:rsidRPr="007975D6">
        <w:rPr>
          <w:rFonts w:ascii="Arial" w:eastAsia="Calibri" w:hAnsi="Arial" w:cs="Arial"/>
          <w:i/>
          <w:iCs/>
          <w:color w:val="000000"/>
        </w:rPr>
        <w:t>subsanar</w:t>
      </w:r>
      <w:r w:rsidRPr="007975D6">
        <w:rPr>
          <w:rFonts w:ascii="Arial" w:eastAsia="Calibri" w:hAnsi="Arial" w:cs="Arial"/>
          <w:color w:val="000000"/>
        </w:rPr>
        <w:t xml:space="preserve"> circunstancias ocurridas con posterioridad al cierre</w:t>
      </w:r>
      <w:r w:rsidR="00E2268A">
        <w:rPr>
          <w:rFonts w:ascii="Arial" w:eastAsia="Calibri" w:hAnsi="Arial" w:cs="Arial"/>
          <w:color w:val="000000"/>
        </w:rPr>
        <w:t xml:space="preserve">; sino que se optó por establecer </w:t>
      </w:r>
      <w:r w:rsidRPr="007975D6">
        <w:rPr>
          <w:rFonts w:ascii="Arial" w:eastAsia="Calibri" w:hAnsi="Arial" w:cs="Arial"/>
          <w:color w:val="000000"/>
        </w:rPr>
        <w:t xml:space="preserve">una regla más amplia, consistente en que durante dicho término los proponentes no pueden acreditar ningún tipo de </w:t>
      </w:r>
      <w:r w:rsidRPr="00AF3C37">
        <w:rPr>
          <w:rFonts w:ascii="Arial" w:eastAsia="Calibri" w:hAnsi="Arial" w:cs="Arial"/>
          <w:i/>
          <w:iCs/>
          <w:color w:val="000000"/>
        </w:rPr>
        <w:t>«circunstancias ocurridas con posterioridad al cierre del proceso»,</w:t>
      </w:r>
      <w:r w:rsidRPr="007975D6">
        <w:rPr>
          <w:rFonts w:ascii="Arial" w:eastAsia="Calibri" w:hAnsi="Arial" w:cs="Arial"/>
          <w:color w:val="000000"/>
        </w:rPr>
        <w:t xml:space="preserve"> lo que se configuraría si se presentara o acreditara un RUP diferente </w:t>
      </w:r>
      <w:r w:rsidRPr="007975D6">
        <w:rPr>
          <w:rFonts w:ascii="Arial" w:eastAsia="Calibri" w:hAnsi="Arial" w:cs="Arial"/>
          <w:i/>
          <w:iCs/>
          <w:color w:val="000000"/>
        </w:rPr>
        <w:t xml:space="preserve">renovado, </w:t>
      </w:r>
      <w:r w:rsidRPr="007975D6">
        <w:rPr>
          <w:rFonts w:ascii="Arial" w:eastAsia="Calibri" w:hAnsi="Arial" w:cs="Arial"/>
          <w:color w:val="000000"/>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34AB4B91" w14:textId="77777777" w:rsidR="005A1E4F" w:rsidRDefault="005A1E4F" w:rsidP="00AF3C37">
      <w:pPr>
        <w:spacing w:after="120"/>
        <w:ind w:firstLine="708"/>
        <w:jc w:val="both"/>
        <w:rPr>
          <w:rFonts w:ascii="Arial" w:eastAsia="Calibri" w:hAnsi="Arial" w:cs="Arial"/>
          <w:color w:val="000000"/>
        </w:rPr>
      </w:pPr>
      <w:r>
        <w:rPr>
          <w:rFonts w:ascii="Arial" w:eastAsia="Calibri" w:hAnsi="Arial" w:cs="Arial"/>
          <w:color w:val="000000"/>
        </w:rPr>
        <w:t xml:space="preserve">Ahora bien, el deber de renovación, para impedir que el RUP deje de producir efectos consiste en </w:t>
      </w:r>
      <w:r w:rsidRPr="00AF3C37">
        <w:rPr>
          <w:rFonts w:ascii="Arial" w:eastAsia="Calibri" w:hAnsi="Arial" w:cs="Arial"/>
          <w:i/>
          <w:iCs/>
          <w:color w:val="000000"/>
        </w:rPr>
        <w:t>«presentar la información para renovar su registro antes del quinto día hábil del mes de abril de cada año»</w:t>
      </w:r>
      <w:r>
        <w:rPr>
          <w:rFonts w:ascii="Arial" w:eastAsia="Calibri" w:hAnsi="Arial" w:cs="Arial"/>
          <w:color w:val="000000"/>
          <w:vertAlign w:val="superscript"/>
        </w:rPr>
        <w:footnoteReference w:id="10"/>
      </w:r>
      <w:r>
        <w:rPr>
          <w:rFonts w:ascii="Arial" w:eastAsia="Calibri" w:hAnsi="Arial" w:cs="Arial"/>
          <w:color w:val="000000"/>
        </w:rPr>
        <w:t xml:space="preserve">. De manera que basta con la presentación de dicha información, mediante la cual se solicita a la cámara de comercio respectiva que adelante </w:t>
      </w:r>
      <w:r>
        <w:rPr>
          <w:rFonts w:ascii="Arial" w:eastAsia="Calibri" w:hAnsi="Arial" w:cs="Arial"/>
          <w:color w:val="000000"/>
        </w:rPr>
        <w:lastRenderedPageBreak/>
        <w:t>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de la renovación, se puede utilizar la información del RUP que está en firme antes de iniciar el trámite de renovación, cuyos efectos no han cesado y se encuentra vigente, pudiendo utilizar dicho registro para participar en los procedimientos de selección de contratistas.</w:t>
      </w:r>
    </w:p>
    <w:p w14:paraId="0E70D7D3" w14:textId="59AAAEF0" w:rsidR="007975D6" w:rsidRPr="007975D6" w:rsidRDefault="007975D6" w:rsidP="007975D6">
      <w:pPr>
        <w:spacing w:before="120" w:after="0" w:line="276" w:lineRule="auto"/>
        <w:ind w:firstLine="708"/>
        <w:jc w:val="both"/>
        <w:rPr>
          <w:rFonts w:ascii="Arial" w:eastAsia="Calibri" w:hAnsi="Arial" w:cs="Arial"/>
          <w:color w:val="000000"/>
        </w:rPr>
      </w:pPr>
      <w:r w:rsidRPr="007975D6">
        <w:rPr>
          <w:rFonts w:ascii="Arial" w:eastAsia="Times New Roman" w:hAnsi="Arial" w:cs="Arial"/>
          <w:color w:val="000000"/>
          <w:shd w:val="clear" w:color="auto" w:fill="FFFFFF"/>
          <w:lang w:eastAsia="es-ES_tradnl"/>
        </w:rPr>
        <w:t>Finalmente, en línea con lo anterior, tratándose del trámite administrativo de la </w:t>
      </w:r>
      <w:r w:rsidRPr="007975D6">
        <w:rPr>
          <w:rFonts w:ascii="Arial" w:eastAsia="Times New Roman" w:hAnsi="Arial" w:cs="Arial"/>
          <w:b/>
          <w:bCs/>
          <w:i/>
          <w:iCs/>
          <w:color w:val="000000"/>
          <w:shd w:val="clear" w:color="auto" w:fill="FFFFFF"/>
          <w:lang w:eastAsia="es-ES_tradnl"/>
        </w:rPr>
        <w:t>actualización</w:t>
      </w:r>
      <w:r w:rsidRPr="007975D6">
        <w:rPr>
          <w:rFonts w:ascii="Arial" w:eastAsia="Times New Roman" w:hAnsi="Arial" w:cs="Arial"/>
          <w:color w:val="000000"/>
          <w:shd w:val="clear" w:color="auto" w:fill="FFFFFF"/>
          <w:lang w:eastAsia="es-ES_tradnl"/>
        </w:rPr>
        <w:t>, sucede algo similar que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w:t>
      </w:r>
      <w:r w:rsidR="005A1E4F">
        <w:rPr>
          <w:rFonts w:ascii="Arial" w:eastAsia="Times New Roman" w:hAnsi="Arial" w:cs="Arial"/>
          <w:color w:val="000000"/>
          <w:shd w:val="clear" w:color="auto" w:fill="FFFFFF"/>
          <w:lang w:eastAsia="es-ES_tradnl"/>
        </w:rPr>
        <w:t>, ya que, a</w:t>
      </w:r>
      <w:r w:rsidRPr="007975D6">
        <w:rPr>
          <w:rFonts w:ascii="Arial" w:eastAsia="Times New Roman" w:hAnsi="Arial" w:cs="Arial"/>
          <w:color w:val="000000"/>
          <w:shd w:val="clear" w:color="auto" w:fill="FFFFFF"/>
          <w:lang w:eastAsia="es-ES_tradnl"/>
        </w:rPr>
        <w:t>unque la nueva información –actualización– esté pendiente de adquirir firmeza, para el momento del cierre del proceso el oferente tenía su inscripción vigente y en firme</w:t>
      </w:r>
      <w:r w:rsidR="005A1E4F">
        <w:rPr>
          <w:rFonts w:ascii="Arial" w:eastAsia="Times New Roman" w:hAnsi="Arial" w:cs="Arial"/>
          <w:color w:val="000000"/>
          <w:shd w:val="clear" w:color="auto" w:fill="FFFFFF"/>
          <w:lang w:eastAsia="es-ES_tradnl"/>
        </w:rPr>
        <w:t>. D</w:t>
      </w:r>
      <w:r w:rsidRPr="007975D6">
        <w:rPr>
          <w:rFonts w:ascii="Arial" w:eastAsia="Times New Roman" w:hAnsi="Arial" w:cs="Arial"/>
          <w:color w:val="000000"/>
          <w:shd w:val="clear" w:color="auto" w:fill="FFFFFF"/>
          <w:lang w:eastAsia="es-ES_tradnl"/>
        </w:rPr>
        <w:t>e manera que el trámite de </w:t>
      </w:r>
      <w:r w:rsidRPr="007975D6">
        <w:rPr>
          <w:rFonts w:ascii="Arial" w:eastAsia="Times New Roman" w:hAnsi="Arial" w:cs="Arial"/>
          <w:i/>
          <w:iCs/>
          <w:color w:val="000000"/>
          <w:shd w:val="clear" w:color="auto" w:fill="FFFFFF"/>
          <w:lang w:eastAsia="es-ES_tradnl"/>
        </w:rPr>
        <w:t>actualización </w:t>
      </w:r>
      <w:r w:rsidRPr="007975D6">
        <w:rPr>
          <w:rFonts w:ascii="Arial" w:eastAsia="Times New Roman" w:hAnsi="Arial" w:cs="Arial"/>
          <w:color w:val="000000"/>
          <w:shd w:val="clear" w:color="auto" w:fill="FFFFFF"/>
          <w:lang w:eastAsia="es-ES_tradnl"/>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  </w:t>
      </w:r>
    </w:p>
    <w:p w14:paraId="1A1463C4" w14:textId="77777777" w:rsidR="007975D6" w:rsidRPr="007975D6" w:rsidRDefault="007975D6" w:rsidP="007975D6">
      <w:pPr>
        <w:spacing w:after="0" w:line="276" w:lineRule="auto"/>
        <w:ind w:firstLine="709"/>
        <w:jc w:val="both"/>
        <w:rPr>
          <w:rFonts w:ascii="Arial" w:eastAsia="Calibri" w:hAnsi="Arial" w:cs="Arial"/>
          <w:color w:val="000000"/>
        </w:rPr>
      </w:pPr>
    </w:p>
    <w:p w14:paraId="1B440CD4" w14:textId="4D44A948" w:rsidR="007975D6" w:rsidRPr="007975D6" w:rsidRDefault="007975D6" w:rsidP="007975D6">
      <w:pPr>
        <w:spacing w:after="0" w:line="276" w:lineRule="auto"/>
        <w:jc w:val="both"/>
        <w:rPr>
          <w:rFonts w:ascii="Arial" w:eastAsia="Calibri" w:hAnsi="Arial" w:cs="Arial"/>
          <w:b/>
          <w:color w:val="000000"/>
          <w:lang w:val="es-ES_tradnl" w:eastAsia="es-ES_tradnl"/>
        </w:rPr>
      </w:pPr>
      <w:r w:rsidRPr="007975D6">
        <w:rPr>
          <w:rFonts w:ascii="Arial" w:eastAsia="Calibri" w:hAnsi="Arial" w:cs="Arial"/>
          <w:b/>
          <w:bCs/>
          <w:color w:val="000000"/>
          <w:szCs w:val="24"/>
          <w:lang w:eastAsia="en-GB"/>
        </w:rPr>
        <w:t xml:space="preserve">2.2. </w:t>
      </w:r>
      <w:r w:rsidR="005A1E4F">
        <w:rPr>
          <w:rFonts w:ascii="Arial" w:eastAsia="Calibri" w:hAnsi="Arial" w:cs="Arial"/>
          <w:b/>
          <w:bCs/>
          <w:color w:val="000000"/>
          <w:szCs w:val="24"/>
          <w:lang w:eastAsia="en-GB"/>
        </w:rPr>
        <w:t xml:space="preserve">Análisis de </w:t>
      </w:r>
      <w:r w:rsidR="005A1E4F" w:rsidRPr="007975D6">
        <w:rPr>
          <w:rFonts w:ascii="Arial" w:eastAsia="Calibri" w:hAnsi="Arial" w:cs="Arial"/>
          <w:b/>
          <w:bCs/>
          <w:color w:val="000000"/>
          <w:szCs w:val="24"/>
          <w:lang w:eastAsia="en-GB"/>
        </w:rPr>
        <w:t xml:space="preserve">la </w:t>
      </w:r>
      <w:r w:rsidRPr="007975D6">
        <w:rPr>
          <w:rFonts w:ascii="Arial" w:eastAsia="Calibri" w:hAnsi="Arial" w:cs="Arial"/>
          <w:b/>
          <w:bCs/>
          <w:color w:val="000000"/>
          <w:szCs w:val="24"/>
          <w:lang w:eastAsia="en-GB"/>
        </w:rPr>
        <w:t>causal de rechazo del literal G del numeral 1.15 de los documentos tipo de obra pública de infraestructura de transporte</w:t>
      </w:r>
    </w:p>
    <w:p w14:paraId="1CACE474" w14:textId="77777777" w:rsidR="007975D6" w:rsidRPr="007975D6" w:rsidRDefault="007975D6" w:rsidP="007975D6">
      <w:pPr>
        <w:spacing w:after="0" w:line="276" w:lineRule="auto"/>
        <w:jc w:val="both"/>
        <w:rPr>
          <w:rFonts w:ascii="Arial" w:eastAsia="Calibri" w:hAnsi="Arial" w:cs="Arial"/>
          <w:color w:val="000000"/>
          <w:lang w:val="es-ES_tradnl" w:eastAsia="es-ES_tradnl"/>
        </w:rPr>
      </w:pPr>
    </w:p>
    <w:p w14:paraId="2FC4FBE6" w14:textId="77777777" w:rsidR="007975D6" w:rsidRPr="007975D6" w:rsidRDefault="007975D6" w:rsidP="007975D6">
      <w:pPr>
        <w:shd w:val="clear" w:color="auto" w:fill="FFFFFF"/>
        <w:spacing w:after="0" w:line="276" w:lineRule="auto"/>
        <w:jc w:val="both"/>
        <w:rPr>
          <w:rFonts w:ascii="Arial" w:eastAsia="Times New Roman" w:hAnsi="Arial" w:cs="Arial"/>
          <w:szCs w:val="24"/>
          <w:bdr w:val="none" w:sz="0" w:space="0" w:color="auto" w:frame="1"/>
          <w:shd w:val="clear" w:color="auto" w:fill="FFFFFF"/>
          <w:lang w:val="es-ES_tradnl" w:eastAsia="es-ES_tradnl"/>
        </w:rPr>
      </w:pPr>
      <w:r w:rsidRPr="007975D6">
        <w:rPr>
          <w:rFonts w:ascii="Arial" w:eastAsia="Times New Roman" w:hAnsi="Arial" w:cs="Arial"/>
          <w:szCs w:val="24"/>
          <w:bdr w:val="none" w:sz="0" w:space="0" w:color="auto" w:frame="1"/>
          <w:shd w:val="clear" w:color="auto" w:fill="FFFFFF"/>
          <w:lang w:val="es-ES_tradnl" w:eastAsia="es-ES_tradnl"/>
        </w:rPr>
        <w:t xml:space="preserve">A partir de la Ley 1882 de 2018 es obligatorio para las entidades sometidas al Estatuto General de Contratación Pública el uso y la aplicación de los documentos tipo implementados por el Gobierno Nacional. Específicamente, el artículo cuarto dispuso que los documentos tipo regirían para los pliegos de condiciones de los procesos de selección de obras públicas, interventoría de obras públicas, interventoría </w:t>
      </w:r>
      <w:r w:rsidRPr="007975D6">
        <w:rPr>
          <w:rFonts w:ascii="Arial" w:eastAsia="Times New Roman" w:hAnsi="Arial" w:cs="Arial"/>
          <w:color w:val="000000"/>
          <w:szCs w:val="24"/>
          <w:bdr w:val="none" w:sz="0" w:space="0" w:color="auto" w:frame="1"/>
          <w:lang w:eastAsia="es-ES_tradnl"/>
        </w:rPr>
        <w:t>para consultoría de estudios y diseños para obras públicas, y consultoría en ingeniería para obras. Esta norma fue modificada posteriormente por</w:t>
      </w:r>
      <w:r w:rsidRPr="007975D6">
        <w:rPr>
          <w:rFonts w:ascii="Arial" w:eastAsia="Times New Roman" w:hAnsi="Arial" w:cs="Arial"/>
          <w:szCs w:val="24"/>
          <w:bdr w:val="none" w:sz="0" w:space="0" w:color="auto" w:frame="1"/>
          <w:shd w:val="clear" w:color="auto" w:fill="FFFFFF"/>
          <w:lang w:val="es-ES_tradnl" w:eastAsia="es-ES_tradnl"/>
        </w:rPr>
        <w:t xml:space="preserve"> la Ley 2022 de 2020, en virtud de la cual se otorga la </w:t>
      </w:r>
      <w:r w:rsidRPr="007975D6">
        <w:rPr>
          <w:rFonts w:ascii="Arial" w:eastAsia="Times New Roman" w:hAnsi="Arial" w:cs="Arial"/>
          <w:szCs w:val="24"/>
          <w:bdr w:val="none" w:sz="0" w:space="0" w:color="auto" w:frame="1"/>
          <w:shd w:val="clear" w:color="auto" w:fill="FFFFFF"/>
          <w:lang w:val="es-ES_tradnl" w:eastAsia="es-ES_tradnl"/>
        </w:rPr>
        <w:lastRenderedPageBreak/>
        <w:t>competencia para la adopción de documentos tipo de obligatorio cumplimiento a la Agencia Nacional de Contratación Pública – Colombia Compra Eficiente</w:t>
      </w:r>
      <w:r w:rsidRPr="007975D6">
        <w:rPr>
          <w:rFonts w:ascii="Arial" w:eastAsia="Times New Roman" w:hAnsi="Arial" w:cs="Arial"/>
          <w:szCs w:val="24"/>
          <w:bdr w:val="none" w:sz="0" w:space="0" w:color="auto" w:frame="1"/>
          <w:shd w:val="clear" w:color="auto" w:fill="FFFFFF"/>
          <w:vertAlign w:val="superscript"/>
          <w:lang w:val="es-ES_tradnl" w:eastAsia="es-ES_tradnl"/>
        </w:rPr>
        <w:footnoteReference w:id="11"/>
      </w:r>
      <w:r w:rsidRPr="007975D6">
        <w:rPr>
          <w:rFonts w:ascii="Arial" w:eastAsia="Times New Roman" w:hAnsi="Arial" w:cs="Arial"/>
          <w:szCs w:val="24"/>
          <w:bdr w:val="none" w:sz="0" w:space="0" w:color="auto" w:frame="1"/>
          <w:shd w:val="clear" w:color="auto" w:fill="FFFFFF"/>
          <w:lang w:val="es-ES_tradnl" w:eastAsia="es-ES_tradnl"/>
        </w:rPr>
        <w:t>.</w:t>
      </w:r>
    </w:p>
    <w:p w14:paraId="33008484" w14:textId="77777777" w:rsidR="007975D6" w:rsidRPr="007975D6" w:rsidRDefault="007975D6" w:rsidP="007975D6">
      <w:pPr>
        <w:spacing w:before="120" w:after="120" w:line="276" w:lineRule="auto"/>
        <w:ind w:firstLine="709"/>
        <w:jc w:val="both"/>
        <w:rPr>
          <w:rFonts w:ascii="Arial" w:eastAsia="Times New Roman" w:hAnsi="Arial" w:cs="Arial"/>
          <w:color w:val="0D0D0D"/>
          <w:bdr w:val="none" w:sz="0" w:space="0" w:color="auto" w:frame="1"/>
          <w:lang w:val="es-ES_tradnl" w:eastAsia="es-CO"/>
        </w:rPr>
      </w:pPr>
      <w:r w:rsidRPr="007975D6">
        <w:rPr>
          <w:rFonts w:ascii="Arial" w:eastAsia="Times New Roman" w:hAnsi="Arial" w:cs="Arial"/>
          <w:color w:val="0D0D0D"/>
          <w:bdr w:val="none" w:sz="0" w:space="0" w:color="auto" w:frame="1"/>
          <w:lang w:val="es-ES_tradnl" w:eastAsia="es-CO"/>
        </w:rPr>
        <w:t xml:space="preserve">Por tanto, bajo la competencia prevista en la Ley 2022 de 2020, Colombia Compra Eficiente expidió las Resoluciones No. 240 y 241 del 27 de noviembre 2020 mediante las cuales se adoptan los documentos tipo de licitación de obra pública – versión 3 y de selección abreviada de menor cuantía – versión 2 de infraestructura de transporte, los cuales son obligatorios a partir del 1º de enero de 2021. Incluso, estos se ajustaron mediante la Resolución No. 161 del 17 de junio de 2021, «Por la cual se modifican los documentos tipo adoptados por la Agencia Nacional de Contratación Pública – Colombia Compra Eficiente», para adaptar los documentos tipo a los factores de desempate del artículo 35 de la Ley 2069 de 2020. </w:t>
      </w:r>
    </w:p>
    <w:p w14:paraId="5C5B313B" w14:textId="166B96C3" w:rsidR="00521459" w:rsidRPr="007975D6" w:rsidRDefault="007975D6" w:rsidP="00521459">
      <w:pPr>
        <w:spacing w:before="120" w:after="120" w:line="276" w:lineRule="auto"/>
        <w:ind w:firstLine="709"/>
        <w:jc w:val="both"/>
        <w:rPr>
          <w:rFonts w:ascii="Arial" w:eastAsia="Times New Roman" w:hAnsi="Arial" w:cs="Arial"/>
          <w:color w:val="0D0D0D"/>
          <w:bdr w:val="none" w:sz="0" w:space="0" w:color="auto" w:frame="1"/>
          <w:lang w:val="es-ES_tradnl" w:eastAsia="es-CO"/>
        </w:rPr>
      </w:pPr>
      <w:r w:rsidRPr="007975D6">
        <w:rPr>
          <w:rFonts w:ascii="Arial" w:eastAsia="Times New Roman" w:hAnsi="Arial" w:cs="Arial"/>
          <w:color w:val="0D0D0D"/>
          <w:szCs w:val="24"/>
          <w:bdr w:val="none" w:sz="0" w:space="0" w:color="auto" w:frame="1"/>
          <w:lang w:val="es-ES_tradnl" w:eastAsia="es-CO"/>
        </w:rPr>
        <w:t xml:space="preserve">Además,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Por ello, esta Agencia también expidió la Resolución 304 del 13 de octubre de 2021, mediante la cual se modificaron los documentos tipo indicados, la cual aplica a los procesos de contratación cuyo aviso de convocatoria se publique a partir del 2 de noviembre de 2021. </w:t>
      </w:r>
      <w:r w:rsidR="00521459">
        <w:rPr>
          <w:rFonts w:ascii="Arial" w:eastAsia="Times New Roman" w:hAnsi="Arial" w:cs="Arial"/>
          <w:color w:val="0D0D0D"/>
          <w:szCs w:val="24"/>
          <w:bdr w:val="none" w:sz="0" w:space="0" w:color="auto" w:frame="1"/>
          <w:lang w:val="es-ES_tradnl" w:eastAsia="es-CO"/>
        </w:rPr>
        <w:t xml:space="preserve">Finalmente, mediante la </w:t>
      </w:r>
      <w:r w:rsidR="00521459">
        <w:rPr>
          <w:rFonts w:ascii="Arial" w:eastAsia="Times New Roman" w:hAnsi="Arial" w:cs="Arial"/>
          <w:color w:val="0D0D0D"/>
          <w:bdr w:val="none" w:sz="0" w:space="0" w:color="auto" w:frame="1"/>
          <w:lang w:val="es-ES_tradnl" w:eastAsia="es-CO"/>
        </w:rPr>
        <w:t>r</w:t>
      </w:r>
      <w:r w:rsidR="00521459" w:rsidRPr="007975D6">
        <w:rPr>
          <w:rFonts w:ascii="Arial" w:eastAsia="Times New Roman" w:hAnsi="Arial" w:cs="Arial"/>
          <w:color w:val="0D0D0D"/>
          <w:bdr w:val="none" w:sz="0" w:space="0" w:color="auto" w:frame="1"/>
          <w:lang w:val="es-ES_tradnl" w:eastAsia="es-CO"/>
        </w:rPr>
        <w:t xml:space="preserve">esolución No. </w:t>
      </w:r>
      <w:r w:rsidR="00521459">
        <w:rPr>
          <w:rFonts w:ascii="Arial" w:eastAsia="Times New Roman" w:hAnsi="Arial" w:cs="Arial"/>
          <w:color w:val="0D0D0D"/>
          <w:bdr w:val="none" w:sz="0" w:space="0" w:color="auto" w:frame="1"/>
          <w:lang w:val="es-ES_tradnl" w:eastAsia="es-CO"/>
        </w:rPr>
        <w:t xml:space="preserve">275 del 24 de junio </w:t>
      </w:r>
      <w:r w:rsidR="00521459" w:rsidRPr="007975D6">
        <w:rPr>
          <w:rFonts w:ascii="Arial" w:eastAsia="Times New Roman" w:hAnsi="Arial" w:cs="Arial"/>
          <w:color w:val="0D0D0D"/>
          <w:bdr w:val="none" w:sz="0" w:space="0" w:color="auto" w:frame="1"/>
          <w:lang w:val="es-ES_tradnl" w:eastAsia="es-CO"/>
        </w:rPr>
        <w:t>de 202</w:t>
      </w:r>
      <w:r w:rsidR="00521459">
        <w:rPr>
          <w:rFonts w:ascii="Arial" w:eastAsia="Times New Roman" w:hAnsi="Arial" w:cs="Arial"/>
          <w:color w:val="0D0D0D"/>
          <w:bdr w:val="none" w:sz="0" w:space="0" w:color="auto" w:frame="1"/>
          <w:lang w:val="es-ES_tradnl" w:eastAsia="es-CO"/>
        </w:rPr>
        <w:t>2</w:t>
      </w:r>
      <w:r w:rsidR="00521459" w:rsidRPr="007975D6">
        <w:rPr>
          <w:rFonts w:ascii="Arial" w:eastAsia="Times New Roman" w:hAnsi="Arial" w:cs="Arial"/>
          <w:color w:val="0D0D0D"/>
          <w:bdr w:val="none" w:sz="0" w:space="0" w:color="auto" w:frame="1"/>
          <w:lang w:val="es-ES_tradnl" w:eastAsia="es-CO"/>
        </w:rPr>
        <w:t xml:space="preserve">, «Por la cual se modifican los documentos tipo adoptados por la Agencia Nacional de </w:t>
      </w:r>
      <w:r w:rsidR="00521459" w:rsidRPr="007975D6">
        <w:rPr>
          <w:rFonts w:ascii="Arial" w:eastAsia="Times New Roman" w:hAnsi="Arial" w:cs="Arial"/>
          <w:color w:val="0D0D0D"/>
          <w:bdr w:val="none" w:sz="0" w:space="0" w:color="auto" w:frame="1"/>
          <w:lang w:val="es-ES_tradnl" w:eastAsia="es-CO"/>
        </w:rPr>
        <w:lastRenderedPageBreak/>
        <w:t xml:space="preserve">Contratación Pública – Colombia Compra Eficiente», </w:t>
      </w:r>
      <w:r w:rsidR="00AF3176">
        <w:rPr>
          <w:rFonts w:ascii="Arial" w:eastAsia="Times New Roman" w:hAnsi="Arial" w:cs="Arial"/>
          <w:color w:val="0D0D0D"/>
          <w:bdr w:val="none" w:sz="0" w:space="0" w:color="auto" w:frame="1"/>
          <w:lang w:val="es-ES_tradnl" w:eastAsia="es-CO"/>
        </w:rPr>
        <w:t xml:space="preserve">esta Agencia adecuó los documentos tipo señalados </w:t>
      </w:r>
      <w:r w:rsidR="008702D8" w:rsidRPr="000D5FF2">
        <w:rPr>
          <w:rFonts w:ascii="Arial" w:hAnsi="Arial" w:cs="Arial"/>
          <w:spacing w:val="2"/>
          <w:lang w:eastAsia="es-CO"/>
        </w:rPr>
        <w:t xml:space="preserve">a las nuevas reglas contenidas en el </w:t>
      </w:r>
      <w:r w:rsidR="008702D8">
        <w:rPr>
          <w:rFonts w:ascii="Arial" w:hAnsi="Arial" w:cs="Arial"/>
          <w:spacing w:val="2"/>
          <w:lang w:eastAsia="es-CO"/>
        </w:rPr>
        <w:t>Decreto 1860 de 2021</w:t>
      </w:r>
      <w:r w:rsidR="00AF3176">
        <w:rPr>
          <w:rFonts w:ascii="Arial" w:hAnsi="Arial" w:cs="Arial"/>
          <w:spacing w:val="2"/>
          <w:lang w:eastAsia="es-CO"/>
        </w:rPr>
        <w:t xml:space="preserve">. </w:t>
      </w:r>
    </w:p>
    <w:p w14:paraId="357FAD29" w14:textId="77777777" w:rsidR="007975D6" w:rsidRPr="007975D6" w:rsidRDefault="007975D6" w:rsidP="007975D6">
      <w:pPr>
        <w:spacing w:before="120" w:after="120" w:line="276" w:lineRule="auto"/>
        <w:ind w:firstLine="709"/>
        <w:jc w:val="both"/>
        <w:rPr>
          <w:rFonts w:ascii="Arial" w:eastAsia="Times New Roman" w:hAnsi="Arial" w:cs="Arial"/>
          <w:color w:val="0D0D0D"/>
          <w:szCs w:val="24"/>
          <w:bdr w:val="none" w:sz="0" w:space="0" w:color="auto" w:frame="1"/>
          <w:lang w:val="es-ES_tradnl" w:eastAsia="es-CO"/>
        </w:rPr>
      </w:pPr>
      <w:r w:rsidRPr="007975D6">
        <w:rPr>
          <w:rFonts w:ascii="Arial" w:eastAsia="Times New Roman" w:hAnsi="Arial" w:cs="Arial"/>
          <w:bCs/>
          <w:color w:val="000000"/>
          <w:szCs w:val="24"/>
          <w:lang w:val="es-ES" w:eastAsia="es-ES_tradnl"/>
        </w:rPr>
        <w:t>Ahora bien, los documentos tipo están conformados por diferentes formatos, formularios, anexos y matrices que rigen el proceso de contratación específico para el cual sean aplicables. En la mayoría de ellos, se encuentra el documento base, que como su nombre lo indica, es entendido como «[…]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Pr="007975D6">
        <w:rPr>
          <w:rFonts w:ascii="Arial" w:eastAsia="Times New Roman" w:hAnsi="Arial" w:cs="Arial"/>
          <w:color w:val="000000"/>
          <w:szCs w:val="24"/>
          <w:vertAlign w:val="superscript"/>
          <w:lang w:eastAsia="es-ES_tradnl"/>
        </w:rPr>
        <w:footnoteReference w:id="12"/>
      </w:r>
      <w:r w:rsidRPr="007975D6">
        <w:rPr>
          <w:rFonts w:ascii="Arial" w:eastAsia="Times New Roman" w:hAnsi="Arial" w:cs="Arial"/>
          <w:color w:val="000000"/>
          <w:szCs w:val="24"/>
          <w:lang w:eastAsia="es-ES_tradnl"/>
        </w:rPr>
        <w:t>.</w:t>
      </w:r>
    </w:p>
    <w:p w14:paraId="7E22E0B9" w14:textId="798723D6" w:rsidR="007975D6" w:rsidRPr="007975D6" w:rsidRDefault="007975D6" w:rsidP="007975D6">
      <w:pPr>
        <w:tabs>
          <w:tab w:val="left" w:pos="709"/>
        </w:tabs>
        <w:spacing w:after="0" w:line="276" w:lineRule="auto"/>
        <w:jc w:val="both"/>
        <w:rPr>
          <w:rFonts w:ascii="Arial" w:eastAsia="Times New Roman" w:hAnsi="Arial" w:cs="Arial"/>
          <w:szCs w:val="24"/>
          <w:bdr w:val="none" w:sz="0" w:space="0" w:color="auto" w:frame="1"/>
          <w:shd w:val="clear" w:color="auto" w:fill="FFFFFF"/>
          <w:lang w:val="es-ES_tradnl" w:eastAsia="es-ES_tradnl"/>
        </w:rPr>
      </w:pPr>
      <w:r w:rsidRPr="007975D6">
        <w:rPr>
          <w:rFonts w:ascii="Arial" w:eastAsia="Times New Roman" w:hAnsi="Arial" w:cs="Arial"/>
          <w:szCs w:val="24"/>
          <w:bdr w:val="none" w:sz="0" w:space="0" w:color="auto" w:frame="1"/>
          <w:shd w:val="clear" w:color="auto" w:fill="FFFFFF"/>
          <w:lang w:val="es-ES_tradnl" w:eastAsia="es-ES_tradnl"/>
        </w:rPr>
        <w:tab/>
        <w:t xml:space="preserve">Dentro de este documento, es posible identificar, entre otros, las causales de rechazo de las ofertas. Respecto de las causales de rechazo, la Agencia considera que: </w:t>
      </w:r>
    </w:p>
    <w:p w14:paraId="1B140974" w14:textId="77777777" w:rsidR="007975D6" w:rsidRPr="007975D6" w:rsidRDefault="007975D6" w:rsidP="007975D6">
      <w:pPr>
        <w:tabs>
          <w:tab w:val="left" w:pos="567"/>
        </w:tabs>
        <w:spacing w:after="0" w:line="276" w:lineRule="auto"/>
        <w:ind w:left="709" w:right="709"/>
        <w:jc w:val="both"/>
        <w:rPr>
          <w:rFonts w:ascii="Arial" w:eastAsia="Calibri" w:hAnsi="Arial" w:cs="Arial"/>
          <w:szCs w:val="24"/>
          <w:lang w:val="es-ES" w:eastAsia="es-ES_tradnl"/>
        </w:rPr>
      </w:pPr>
    </w:p>
    <w:p w14:paraId="6ABB5E83" w14:textId="77777777" w:rsidR="007975D6" w:rsidRPr="007975D6" w:rsidRDefault="007975D6" w:rsidP="007975D6">
      <w:pPr>
        <w:tabs>
          <w:tab w:val="left" w:pos="567"/>
        </w:tabs>
        <w:spacing w:after="0" w:line="240" w:lineRule="auto"/>
        <w:ind w:left="709" w:right="709"/>
        <w:jc w:val="both"/>
        <w:rPr>
          <w:rFonts w:ascii="Arial" w:eastAsia="Calibri" w:hAnsi="Arial" w:cs="Arial"/>
          <w:sz w:val="21"/>
          <w:szCs w:val="21"/>
          <w:lang w:val="es-ES" w:eastAsia="es-ES_tradnl"/>
        </w:rPr>
      </w:pPr>
      <w:r w:rsidRPr="007975D6">
        <w:rPr>
          <w:rFonts w:ascii="Arial" w:eastAsia="Calibri" w:hAnsi="Arial" w:cs="Arial"/>
          <w:sz w:val="21"/>
          <w:szCs w:val="21"/>
          <w:lang w:val="es-ES" w:eastAsia="es-ES_tradnl"/>
        </w:rPr>
        <w:t xml:space="preserve">[…] i) las entidades estatales no pueden incluir nuevas casuales de rechazo en sus pliegos de condiciones distintas a las establecidas en los documentos tipo, ya que al inicio de la regulación se establece que «las Entidades no podrán modificar o incluir causales de rechazo distintas a las señaladas en la presente sección»; </w:t>
      </w:r>
      <w:proofErr w:type="spellStart"/>
      <w:r w:rsidRPr="007975D6">
        <w:rPr>
          <w:rFonts w:ascii="Arial" w:eastAsia="Calibri" w:hAnsi="Arial" w:cs="Arial"/>
          <w:sz w:val="21"/>
          <w:szCs w:val="21"/>
          <w:lang w:val="es-ES" w:eastAsia="es-ES_tradnl"/>
        </w:rPr>
        <w:t>ii</w:t>
      </w:r>
      <w:proofErr w:type="spellEnd"/>
      <w:r w:rsidRPr="007975D6">
        <w:rPr>
          <w:rFonts w:ascii="Arial" w:eastAsia="Calibri" w:hAnsi="Arial" w:cs="Arial"/>
          <w:sz w:val="21"/>
          <w:szCs w:val="21"/>
          <w:lang w:val="es-ES" w:eastAsia="es-ES_tradnl"/>
        </w:rPr>
        <w:t xml:space="preserve">) las entidades solo pueden modificar los aspectos puntuales de las causales, respecto los apartes entre corchetes y resaltados en gris, atendiendo a las instrucciones establecidas en esos lugares; </w:t>
      </w:r>
      <w:proofErr w:type="spellStart"/>
      <w:r w:rsidRPr="007975D6">
        <w:rPr>
          <w:rFonts w:ascii="Arial" w:eastAsia="Calibri" w:hAnsi="Arial" w:cs="Arial"/>
          <w:sz w:val="21"/>
          <w:szCs w:val="21"/>
          <w:lang w:val="es-ES" w:eastAsia="es-ES_tradnl"/>
        </w:rPr>
        <w:t>iii</w:t>
      </w:r>
      <w:proofErr w:type="spellEnd"/>
      <w:r w:rsidRPr="007975D6">
        <w:rPr>
          <w:rFonts w:ascii="Arial" w:eastAsia="Calibri" w:hAnsi="Arial" w:cs="Arial"/>
          <w:sz w:val="21"/>
          <w:szCs w:val="21"/>
          <w:lang w:val="es-ES" w:eastAsia="es-ES_tradnl"/>
        </w:rPr>
        <w:t>) teniendo en cuenta el contenido prohibitivo de las causales de rechazo, estas se deben interpretar de forma estricta, evitando realizarse interpretaciones extensivas</w:t>
      </w:r>
      <w:r w:rsidRPr="007975D6">
        <w:rPr>
          <w:rFonts w:ascii="Arial" w:eastAsia="Calibri" w:hAnsi="Arial" w:cs="Arial"/>
          <w:sz w:val="21"/>
          <w:szCs w:val="21"/>
          <w:vertAlign w:val="superscript"/>
          <w:lang w:val="es-ES" w:eastAsia="es-ES_tradnl"/>
        </w:rPr>
        <w:footnoteReference w:id="13"/>
      </w:r>
      <w:r w:rsidRPr="007975D6">
        <w:rPr>
          <w:rFonts w:ascii="Arial" w:eastAsia="Calibri" w:hAnsi="Arial" w:cs="Arial"/>
          <w:sz w:val="21"/>
          <w:szCs w:val="21"/>
          <w:lang w:val="es-ES" w:eastAsia="es-ES_tradnl"/>
        </w:rPr>
        <w:t>.</w:t>
      </w:r>
    </w:p>
    <w:p w14:paraId="3125AA59" w14:textId="77777777" w:rsidR="007975D6" w:rsidRPr="007975D6" w:rsidRDefault="007975D6" w:rsidP="007975D6">
      <w:pPr>
        <w:tabs>
          <w:tab w:val="left" w:pos="567"/>
        </w:tabs>
        <w:spacing w:after="0" w:line="276" w:lineRule="auto"/>
        <w:ind w:left="709" w:right="709"/>
        <w:jc w:val="both"/>
        <w:rPr>
          <w:rFonts w:ascii="Arial" w:eastAsia="Calibri" w:hAnsi="Arial" w:cs="Arial"/>
          <w:szCs w:val="24"/>
          <w:lang w:val="es-ES" w:eastAsia="es-ES_tradnl"/>
        </w:rPr>
      </w:pPr>
    </w:p>
    <w:p w14:paraId="0D04DB3F" w14:textId="77B4617C" w:rsidR="007975D6" w:rsidRPr="007975D6" w:rsidRDefault="007975D6" w:rsidP="007975D6">
      <w:pPr>
        <w:tabs>
          <w:tab w:val="left" w:pos="0"/>
        </w:tabs>
        <w:spacing w:after="120" w:line="276" w:lineRule="auto"/>
        <w:jc w:val="both"/>
        <w:rPr>
          <w:rFonts w:ascii="Arial" w:eastAsia="Times New Roman" w:hAnsi="Arial" w:cs="Arial"/>
          <w:color w:val="000000"/>
          <w:szCs w:val="24"/>
          <w:lang w:eastAsia="es-ES_tradnl"/>
        </w:rPr>
      </w:pPr>
      <w:r w:rsidRPr="007975D6">
        <w:rPr>
          <w:rFonts w:ascii="Arial" w:eastAsia="Times New Roman" w:hAnsi="Arial" w:cs="Arial"/>
          <w:color w:val="000000"/>
          <w:szCs w:val="24"/>
          <w:lang w:eastAsia="es-ES_tradnl"/>
        </w:rPr>
        <w:tab/>
        <w:t xml:space="preserve">Una vez analizado el marco jurídico respecto a la firmeza del RUP y los trámites de </w:t>
      </w:r>
      <w:r w:rsidRPr="007975D6">
        <w:rPr>
          <w:rFonts w:ascii="Arial" w:eastAsia="Times New Roman" w:hAnsi="Arial" w:cs="Arial"/>
          <w:i/>
          <w:iCs/>
          <w:color w:val="000000"/>
          <w:szCs w:val="24"/>
          <w:lang w:eastAsia="es-ES_tradnl"/>
        </w:rPr>
        <w:t>inscripción</w:t>
      </w:r>
      <w:r w:rsidRPr="007975D6">
        <w:rPr>
          <w:rFonts w:ascii="Arial" w:eastAsia="Times New Roman" w:hAnsi="Arial" w:cs="Arial"/>
          <w:color w:val="000000"/>
          <w:szCs w:val="24"/>
          <w:lang w:eastAsia="es-ES_tradnl"/>
        </w:rPr>
        <w:t xml:space="preserve">, </w:t>
      </w:r>
      <w:r w:rsidRPr="007975D6">
        <w:rPr>
          <w:rFonts w:ascii="Arial" w:eastAsia="Times New Roman" w:hAnsi="Arial" w:cs="Arial"/>
          <w:i/>
          <w:iCs/>
          <w:color w:val="000000"/>
          <w:szCs w:val="24"/>
          <w:lang w:eastAsia="es-ES_tradnl"/>
        </w:rPr>
        <w:t>renovación</w:t>
      </w:r>
      <w:r w:rsidRPr="007975D6">
        <w:rPr>
          <w:rFonts w:ascii="Arial" w:eastAsia="Times New Roman" w:hAnsi="Arial" w:cs="Arial"/>
          <w:color w:val="000000"/>
          <w:szCs w:val="24"/>
          <w:lang w:eastAsia="es-ES_tradnl"/>
        </w:rPr>
        <w:t xml:space="preserve"> y </w:t>
      </w:r>
      <w:r w:rsidRPr="007975D6">
        <w:rPr>
          <w:rFonts w:ascii="Arial" w:eastAsia="Times New Roman" w:hAnsi="Arial" w:cs="Arial"/>
          <w:i/>
          <w:iCs/>
          <w:color w:val="000000"/>
          <w:szCs w:val="24"/>
          <w:lang w:eastAsia="es-ES_tradnl"/>
        </w:rPr>
        <w:t>actualización</w:t>
      </w:r>
      <w:r w:rsidRPr="007975D6">
        <w:rPr>
          <w:rFonts w:ascii="Arial" w:eastAsia="Times New Roman" w:hAnsi="Arial" w:cs="Arial"/>
          <w:color w:val="000000"/>
          <w:szCs w:val="24"/>
          <w:lang w:eastAsia="es-ES_tradnl"/>
        </w:rPr>
        <w:t xml:space="preserve"> del registro, es posible estudiar de manera contextualizada la causal de rechazo objeto de la petición. </w:t>
      </w:r>
      <w:r w:rsidRPr="007975D6">
        <w:rPr>
          <w:rFonts w:ascii="Arial" w:eastAsia="Times New Roman" w:hAnsi="Arial" w:cs="Arial"/>
          <w:szCs w:val="24"/>
          <w:lang w:eastAsia="es-ES_tradnl"/>
        </w:rPr>
        <w:t xml:space="preserve">En efecto, esta debe interpretarse razonablemente de conformidad con el marco jurídico analizado respecto al trámite de renovación, cuyo régimen quedó expuesto en detalle. En este sentido, </w:t>
      </w:r>
      <w:r w:rsidRPr="007975D6">
        <w:rPr>
          <w:rFonts w:ascii="Arial" w:eastAsia="Times New Roman" w:hAnsi="Arial" w:cs="Arial"/>
          <w:szCs w:val="24"/>
          <w:bdr w:val="none" w:sz="0" w:space="0" w:color="auto" w:frame="1"/>
          <w:shd w:val="clear" w:color="auto" w:fill="FFFFFF"/>
          <w:lang w:val="es-ES_tradnl" w:eastAsia="es-ES_tradnl"/>
        </w:rPr>
        <w:t xml:space="preserve">la causal de rechazo del literal G del numeral 1.15 </w:t>
      </w:r>
      <w:r w:rsidRPr="005A1E4F">
        <w:rPr>
          <w:rFonts w:ascii="Arial" w:eastAsia="Times New Roman" w:hAnsi="Arial" w:cs="Arial"/>
          <w:szCs w:val="24"/>
          <w:bdr w:val="none" w:sz="0" w:space="0" w:color="auto" w:frame="1"/>
          <w:shd w:val="clear" w:color="auto" w:fill="FFFFFF"/>
          <w:lang w:val="es-ES_tradnl" w:eastAsia="es-ES_tradnl"/>
        </w:rPr>
        <w:t xml:space="preserve">del </w:t>
      </w:r>
      <w:r w:rsidR="005A1E4F" w:rsidRPr="00AF3C37">
        <w:rPr>
          <w:rFonts w:ascii="Arial" w:eastAsia="Calibri" w:hAnsi="Arial" w:cs="Arial"/>
          <w:bCs/>
          <w:lang w:val="es-ES_tradnl"/>
        </w:rPr>
        <w:t xml:space="preserve">documento tipo prescribe: «[…] el proponente </w:t>
      </w:r>
      <w:r w:rsidR="005A1E4F" w:rsidRPr="00AF3C37">
        <w:rPr>
          <w:rFonts w:ascii="Arial" w:eastAsia="Calibri" w:hAnsi="Arial" w:cs="Arial"/>
          <w:bCs/>
          <w:lang w:val="es-ES_tradnl"/>
        </w:rPr>
        <w:lastRenderedPageBreak/>
        <w:t>no acredite la presentación de la información para renovar el Registro Único de Proponentes (RUP), a más tardar el quinto día hábil del mes de abril de cada año, o en la fecha que establezca la ley o el reglamento, si fuera una distinta».</w:t>
      </w:r>
      <w:r w:rsidR="005A1E4F">
        <w:rPr>
          <w:rFonts w:ascii="Geomanist Light" w:eastAsia="Calibri" w:hAnsi="Geomanist Light" w:cs="Arial"/>
          <w:bCs/>
          <w:lang w:val="es-ES_tradnl"/>
        </w:rPr>
        <w:t xml:space="preserve"> </w:t>
      </w:r>
      <w:r w:rsidR="005A1E4F" w:rsidRPr="00AF3C37">
        <w:rPr>
          <w:rFonts w:ascii="Arial" w:eastAsia="Calibri" w:hAnsi="Arial" w:cs="Arial"/>
          <w:bCs/>
          <w:lang w:val="es-ES_tradnl"/>
        </w:rPr>
        <w:t>Esta causal</w:t>
      </w:r>
      <w:r w:rsidR="005A1E4F">
        <w:rPr>
          <w:rFonts w:ascii="Geomanist Light" w:eastAsia="Calibri" w:hAnsi="Geomanist Light" w:cs="Arial"/>
          <w:bCs/>
        </w:rPr>
        <w:t xml:space="preserve"> </w:t>
      </w:r>
      <w:r w:rsidRPr="007975D6">
        <w:rPr>
          <w:rFonts w:ascii="Arial" w:eastAsia="Times New Roman" w:hAnsi="Arial" w:cs="Arial"/>
          <w:szCs w:val="24"/>
          <w:lang w:eastAsia="es-ES_tradnl"/>
        </w:rPr>
        <w:t>aplica en los supuestos en que el proponente</w:t>
      </w:r>
      <w:r w:rsidR="009131EE">
        <w:rPr>
          <w:rFonts w:ascii="Arial" w:eastAsia="Times New Roman" w:hAnsi="Arial" w:cs="Arial"/>
          <w:szCs w:val="24"/>
          <w:lang w:eastAsia="es-ES_tradnl"/>
        </w:rPr>
        <w:t>,</w:t>
      </w:r>
      <w:r w:rsidRPr="007975D6">
        <w:rPr>
          <w:rFonts w:ascii="Arial" w:eastAsia="Times New Roman" w:hAnsi="Arial" w:cs="Arial"/>
          <w:szCs w:val="24"/>
          <w:lang w:eastAsia="es-ES_tradnl"/>
        </w:rPr>
        <w:t xml:space="preserve"> al momento del cierre del proceso</w:t>
      </w:r>
      <w:r w:rsidR="009131EE">
        <w:rPr>
          <w:rFonts w:ascii="Arial" w:eastAsia="Times New Roman" w:hAnsi="Arial" w:cs="Arial"/>
          <w:szCs w:val="24"/>
          <w:lang w:eastAsia="es-ES_tradnl"/>
        </w:rPr>
        <w:t>,</w:t>
      </w:r>
      <w:r w:rsidRPr="007975D6">
        <w:rPr>
          <w:rFonts w:ascii="Arial" w:eastAsia="Times New Roman" w:hAnsi="Arial" w:cs="Arial"/>
          <w:szCs w:val="24"/>
          <w:lang w:eastAsia="es-ES_tradnl"/>
        </w:rPr>
        <w:t xml:space="preserve"> no tenga un RUP vigente y en firme, de ahí que conforme a las disposiciones estudiadas con anterioridad deba rechazarse al proponente que no cumpla con el deber establecido en el artículo </w:t>
      </w:r>
      <w:r w:rsidRPr="007975D6">
        <w:rPr>
          <w:rFonts w:ascii="Arial" w:eastAsia="Calibri" w:hAnsi="Arial" w:cs="Arial"/>
          <w:color w:val="000000"/>
          <w:szCs w:val="24"/>
          <w:lang w:eastAsia="es-ES_tradnl"/>
        </w:rPr>
        <w:t xml:space="preserve">2.2.1.1.1.5.1 del </w:t>
      </w:r>
      <w:r w:rsidR="009131EE" w:rsidRPr="007975D6">
        <w:rPr>
          <w:rFonts w:ascii="Arial" w:eastAsia="Calibri" w:hAnsi="Arial" w:cs="Arial"/>
          <w:color w:val="000000"/>
          <w:szCs w:val="24"/>
          <w:lang w:eastAsia="es-ES_tradnl"/>
        </w:rPr>
        <w:t xml:space="preserve">Decreto </w:t>
      </w:r>
      <w:r w:rsidRPr="007975D6">
        <w:rPr>
          <w:rFonts w:ascii="Arial" w:eastAsia="Calibri" w:hAnsi="Arial" w:cs="Arial"/>
          <w:color w:val="000000"/>
          <w:szCs w:val="24"/>
          <w:lang w:eastAsia="es-ES_tradnl"/>
        </w:rPr>
        <w:t xml:space="preserve">1082 de 2015, esto es, que no haya presentado la información para renovar el RUP a </w:t>
      </w:r>
      <w:r w:rsidRPr="007975D6">
        <w:rPr>
          <w:rFonts w:ascii="Arial" w:eastAsia="Times New Roman" w:hAnsi="Arial" w:cs="Arial"/>
          <w:color w:val="000000"/>
          <w:szCs w:val="24"/>
          <w:lang w:eastAsia="es-ES_tradnl"/>
        </w:rPr>
        <w:t>más tardar el quinto día hábil del mes de abril de cada año.</w:t>
      </w:r>
    </w:p>
    <w:p w14:paraId="0E5BBB3C" w14:textId="5E0CBDCB" w:rsidR="007975D6" w:rsidRPr="007975D6" w:rsidRDefault="007975D6" w:rsidP="007975D6">
      <w:pPr>
        <w:tabs>
          <w:tab w:val="left" w:pos="0"/>
        </w:tabs>
        <w:spacing w:before="120" w:after="120" w:line="276" w:lineRule="auto"/>
        <w:ind w:firstLine="709"/>
        <w:jc w:val="both"/>
        <w:rPr>
          <w:rFonts w:ascii="Arial" w:eastAsia="Times New Roman" w:hAnsi="Arial" w:cs="Arial"/>
          <w:color w:val="000000"/>
          <w:szCs w:val="24"/>
          <w:lang w:eastAsia="es-ES_tradnl"/>
        </w:rPr>
      </w:pPr>
      <w:r w:rsidRPr="007975D6">
        <w:rPr>
          <w:rFonts w:ascii="Arial" w:eastAsia="Times New Roman" w:hAnsi="Arial" w:cs="Arial"/>
          <w:color w:val="000000"/>
          <w:szCs w:val="24"/>
          <w:lang w:eastAsia="es-ES_tradnl"/>
        </w:rPr>
        <w:t xml:space="preserve">No obstante, ello no quiere decir que la causal se extienda a los supuestos en los que el proponente realiza una nueva </w:t>
      </w:r>
      <w:r w:rsidRPr="007975D6">
        <w:rPr>
          <w:rFonts w:ascii="Arial" w:eastAsia="Times New Roman" w:hAnsi="Arial" w:cs="Arial"/>
          <w:i/>
          <w:iCs/>
          <w:color w:val="000000"/>
          <w:szCs w:val="24"/>
          <w:lang w:eastAsia="es-ES_tradnl"/>
        </w:rPr>
        <w:t>inscripción</w:t>
      </w:r>
      <w:r w:rsidRPr="007975D6">
        <w:rPr>
          <w:rFonts w:ascii="Arial" w:eastAsia="Times New Roman" w:hAnsi="Arial" w:cs="Arial"/>
          <w:color w:val="000000"/>
          <w:szCs w:val="24"/>
          <w:lang w:eastAsia="es-ES_tradnl"/>
        </w:rPr>
        <w:t>,</w:t>
      </w:r>
      <w:r w:rsidRPr="007975D6">
        <w:rPr>
          <w:rFonts w:ascii="Arial" w:eastAsia="Times New Roman" w:hAnsi="Arial" w:cs="Arial"/>
          <w:i/>
          <w:iCs/>
          <w:color w:val="000000"/>
          <w:szCs w:val="24"/>
          <w:lang w:eastAsia="es-ES_tradnl"/>
        </w:rPr>
        <w:t xml:space="preserve"> </w:t>
      </w:r>
      <w:r w:rsidRPr="007975D6">
        <w:rPr>
          <w:rFonts w:ascii="Arial" w:eastAsia="Times New Roman" w:hAnsi="Arial" w:cs="Arial"/>
          <w:color w:val="000000"/>
          <w:szCs w:val="24"/>
          <w:lang w:eastAsia="es-ES_tradnl"/>
        </w:rPr>
        <w:t xml:space="preserve">debido a que un RUP que tenía con anterioridad dejó de producir efectos, toda vez que el proponente incumplió el deber de renovar el registro a tiempo. En efecto, como se indicó con anterioridad, </w:t>
      </w:r>
      <w:r w:rsidR="009131EE">
        <w:rPr>
          <w:rFonts w:ascii="Arial" w:eastAsia="Times New Roman" w:hAnsi="Arial" w:cs="Arial"/>
          <w:color w:val="000000"/>
          <w:szCs w:val="24"/>
          <w:lang w:eastAsia="es-ES_tradnl"/>
        </w:rPr>
        <w:t>en aquellos casos en los que ha cesado los efectos del RUP,</w:t>
      </w:r>
      <w:r w:rsidRPr="007975D6">
        <w:rPr>
          <w:rFonts w:ascii="Arial" w:eastAsia="Times New Roman" w:hAnsi="Arial" w:cs="Arial"/>
          <w:color w:val="000000"/>
          <w:szCs w:val="24"/>
          <w:lang w:eastAsia="es-ES_tradnl"/>
        </w:rPr>
        <w:t xml:space="preserve"> el proponente debe inscribirse nuevamente en el registro, de manera que una vez esté en firme la </w:t>
      </w:r>
      <w:r w:rsidRPr="007975D6">
        <w:rPr>
          <w:rFonts w:ascii="Arial" w:eastAsia="Times New Roman" w:hAnsi="Arial" w:cs="Arial"/>
          <w:i/>
          <w:iCs/>
          <w:color w:val="000000"/>
          <w:szCs w:val="24"/>
          <w:lang w:eastAsia="es-ES_tradnl"/>
        </w:rPr>
        <w:t xml:space="preserve">nueva inscripción </w:t>
      </w:r>
      <w:r w:rsidRPr="007975D6">
        <w:rPr>
          <w:rFonts w:ascii="Arial" w:eastAsia="Times New Roman" w:hAnsi="Arial" w:cs="Arial"/>
          <w:color w:val="000000"/>
          <w:szCs w:val="24"/>
          <w:lang w:eastAsia="es-ES_tradnl"/>
        </w:rPr>
        <w:t xml:space="preserve">puede participar en los procedimientos de selección, incluidos los regidos por los documentos tipo. </w:t>
      </w:r>
    </w:p>
    <w:p w14:paraId="702A9AE0" w14:textId="77777777" w:rsidR="007975D6" w:rsidRPr="007975D6" w:rsidRDefault="007975D6" w:rsidP="007975D6">
      <w:pPr>
        <w:tabs>
          <w:tab w:val="left" w:pos="0"/>
        </w:tabs>
        <w:spacing w:before="120" w:after="0" w:line="276" w:lineRule="auto"/>
        <w:ind w:firstLine="709"/>
        <w:jc w:val="both"/>
        <w:rPr>
          <w:rFonts w:ascii="Arial" w:eastAsia="Calibri" w:hAnsi="Arial" w:cs="Arial"/>
          <w:color w:val="000000"/>
          <w:szCs w:val="24"/>
          <w:lang w:eastAsia="es-ES_tradnl"/>
        </w:rPr>
      </w:pPr>
      <w:r w:rsidRPr="007975D6">
        <w:rPr>
          <w:rFonts w:ascii="Arial" w:eastAsia="Arial" w:hAnsi="Arial" w:cs="Arial"/>
          <w:color w:val="000000"/>
          <w:szCs w:val="24"/>
          <w:lang w:eastAsia="es-CO"/>
        </w:rPr>
        <w:t xml:space="preserve">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7975D6">
        <w:rPr>
          <w:rFonts w:ascii="Arial" w:eastAsia="Calibri" w:hAnsi="Arial" w:cs="Arial"/>
          <w:color w:val="000000"/>
          <w:szCs w:val="24"/>
          <w:lang w:eastAsia="es-ES_tradnl"/>
        </w:rPr>
        <w:t>«Durante el término otorgado para subsanar las ofertas, los proponentes no podrán acreditar circunstancias ocurridas con posterioridad al cierre del proceso».</w:t>
      </w:r>
    </w:p>
    <w:p w14:paraId="2D84786A" w14:textId="77777777" w:rsidR="007975D6" w:rsidRPr="007975D6" w:rsidRDefault="007975D6" w:rsidP="007975D6">
      <w:pPr>
        <w:tabs>
          <w:tab w:val="left" w:pos="0"/>
        </w:tabs>
        <w:spacing w:before="120" w:after="120" w:line="276" w:lineRule="auto"/>
        <w:ind w:firstLine="709"/>
        <w:jc w:val="both"/>
        <w:rPr>
          <w:rFonts w:ascii="Arial" w:eastAsia="Calibri" w:hAnsi="Arial" w:cs="Arial"/>
          <w:color w:val="000000"/>
          <w:szCs w:val="24"/>
          <w:lang w:eastAsia="es-ES_tradnl"/>
        </w:rPr>
      </w:pPr>
      <w:r w:rsidRPr="007975D6">
        <w:rPr>
          <w:rFonts w:ascii="Arial" w:eastAsia="Calibri" w:hAnsi="Arial" w:cs="Arial"/>
          <w:color w:val="000000"/>
          <w:szCs w:val="24"/>
          <w:lang w:eastAsia="es-ES_tradnl"/>
        </w:rPr>
        <w:t xml:space="preserve">Además, cabe aclarar que conforme con las explicaciones anteriores, esta causal tampoco aplicaría, con sobradas razones, en los supuestos en que el interesado haya cumplido con el deber de </w:t>
      </w:r>
      <w:r w:rsidRPr="007975D6">
        <w:rPr>
          <w:rFonts w:ascii="Arial" w:eastAsia="Calibri" w:hAnsi="Arial" w:cs="Arial"/>
          <w:i/>
          <w:iCs/>
          <w:color w:val="000000"/>
          <w:szCs w:val="24"/>
          <w:lang w:eastAsia="es-ES_tradnl"/>
        </w:rPr>
        <w:t xml:space="preserve">presentar la información </w:t>
      </w:r>
      <w:r w:rsidRPr="007975D6">
        <w:rPr>
          <w:rFonts w:ascii="Arial" w:eastAsia="Calibri" w:hAnsi="Arial" w:cs="Arial"/>
          <w:color w:val="000000"/>
          <w:szCs w:val="24"/>
          <w:lang w:eastAsia="es-ES_tradnl"/>
        </w:rPr>
        <w:t>para renovar su registro antes del quinto día del mes de abril y la renovación solo quede en firme en una fecha posterior. En tal sentido, en el numeral anterior se señaló el tratamiento procedente en estos supuestos, aclarando que una vez la renovación quede en firme el proponente participará con su RUP renovado en los procesos futuros</w:t>
      </w:r>
      <w:r w:rsidRPr="007975D6">
        <w:rPr>
          <w:rFonts w:ascii="Arial" w:eastAsia="Times New Roman" w:hAnsi="Arial" w:cs="Arial"/>
          <w:color w:val="000000"/>
          <w:szCs w:val="24"/>
          <w:lang w:eastAsia="es-ES_tradnl"/>
        </w:rPr>
        <w:t>.</w:t>
      </w:r>
      <w:r w:rsidRPr="007975D6">
        <w:rPr>
          <w:rFonts w:ascii="Arial" w:eastAsia="Times New Roman" w:hAnsi="Arial" w:cs="Arial"/>
          <w:szCs w:val="24"/>
          <w:bdr w:val="none" w:sz="0" w:space="0" w:color="auto" w:frame="1"/>
          <w:shd w:val="clear" w:color="auto" w:fill="FFFFFF"/>
          <w:lang w:val="es-ES_tradnl" w:eastAsia="es-ES_tradnl"/>
        </w:rPr>
        <w:t xml:space="preserve"> </w:t>
      </w:r>
    </w:p>
    <w:p w14:paraId="4E0C49DB" w14:textId="77777777" w:rsidR="007975D6" w:rsidRPr="007975D6" w:rsidRDefault="007975D6" w:rsidP="007975D6">
      <w:pPr>
        <w:tabs>
          <w:tab w:val="left" w:pos="426"/>
        </w:tabs>
        <w:spacing w:after="0" w:line="276" w:lineRule="auto"/>
        <w:ind w:firstLine="709"/>
        <w:jc w:val="both"/>
        <w:rPr>
          <w:rFonts w:ascii="Arial" w:eastAsia="Times New Roman" w:hAnsi="Arial" w:cs="Arial"/>
          <w:szCs w:val="24"/>
          <w:bdr w:val="none" w:sz="0" w:space="0" w:color="auto" w:frame="1"/>
          <w:shd w:val="clear" w:color="auto" w:fill="FFFFFF"/>
          <w:lang w:val="es-ES_tradnl" w:eastAsia="es-ES_tradnl"/>
        </w:rPr>
      </w:pPr>
      <w:r w:rsidRPr="007975D6">
        <w:rPr>
          <w:rFonts w:ascii="Arial" w:eastAsia="Times New Roman" w:hAnsi="Arial" w:cs="Arial"/>
          <w:szCs w:val="24"/>
          <w:bdr w:val="none" w:sz="0" w:space="0" w:color="auto" w:frame="1"/>
          <w:shd w:val="clear" w:color="auto" w:fill="FFFFFF"/>
          <w:lang w:val="es-ES" w:eastAsia="es-ES_tradnl"/>
        </w:rPr>
        <w:t xml:space="preserve">En resumen, el origen de la causal de rechazo </w:t>
      </w:r>
      <w:r w:rsidRPr="007975D6">
        <w:rPr>
          <w:rFonts w:ascii="Arial" w:eastAsia="Times New Roman" w:hAnsi="Arial" w:cs="Arial"/>
          <w:szCs w:val="24"/>
          <w:bdr w:val="none" w:sz="0" w:space="0" w:color="auto" w:frame="1"/>
          <w:shd w:val="clear" w:color="auto" w:fill="FFFFFF"/>
          <w:lang w:val="es-ES_tradnl" w:eastAsia="es-ES_tradnl"/>
        </w:rPr>
        <w:t>del literal G del numeral 1.15 del pliego de condiciones</w:t>
      </w:r>
      <w:r w:rsidRPr="007975D6">
        <w:rPr>
          <w:rFonts w:ascii="Arial" w:eastAsia="Times New Roman" w:hAnsi="Arial" w:cs="Arial"/>
          <w:szCs w:val="24"/>
          <w:bdr w:val="none" w:sz="0" w:space="0" w:color="auto" w:frame="1"/>
          <w:shd w:val="clear" w:color="auto" w:fill="FFFFFF"/>
          <w:lang w:val="es-ES" w:eastAsia="es-ES_tradnl"/>
        </w:rPr>
        <w:t xml:space="preserve"> deriva de las consecuencias del incumplimiento del deber de renovación del RUP consagrado en el artículo 2.2.1.1.1.5.1 del Decreto 1082 de 2015, específicamente en lo relacionado con el límite temporal de la presentación de la </w:t>
      </w:r>
      <w:r w:rsidRPr="007975D6">
        <w:rPr>
          <w:rFonts w:ascii="Arial" w:eastAsia="Times New Roman" w:hAnsi="Arial" w:cs="Arial"/>
          <w:szCs w:val="24"/>
          <w:bdr w:val="none" w:sz="0" w:space="0" w:color="auto" w:frame="1"/>
          <w:shd w:val="clear" w:color="auto" w:fill="FFFFFF"/>
          <w:lang w:val="es-ES" w:eastAsia="es-ES_tradnl"/>
        </w:rPr>
        <w:lastRenderedPageBreak/>
        <w:t>información para renovar el registro a más tardar el quinto día hábil del mes de abril de cada año</w:t>
      </w:r>
      <w:r w:rsidRPr="007975D6">
        <w:rPr>
          <w:rFonts w:ascii="Arial" w:eastAsia="Times New Roman" w:hAnsi="Arial" w:cs="Arial"/>
          <w:szCs w:val="24"/>
          <w:bdr w:val="none" w:sz="0" w:space="0" w:color="auto" w:frame="1"/>
          <w:shd w:val="clear" w:color="auto" w:fill="FFFFFF"/>
          <w:vertAlign w:val="superscript"/>
          <w:lang w:val="es-ES" w:eastAsia="es-ES_tradnl"/>
        </w:rPr>
        <w:t>17</w:t>
      </w:r>
      <w:r w:rsidRPr="007975D6">
        <w:rPr>
          <w:rFonts w:ascii="Arial" w:eastAsia="Times New Roman" w:hAnsi="Arial" w:cs="Arial"/>
          <w:szCs w:val="24"/>
          <w:bdr w:val="none" w:sz="0" w:space="0" w:color="auto" w:frame="1"/>
          <w:shd w:val="clear" w:color="auto" w:fill="FFFFFF"/>
          <w:lang w:val="es-ES" w:eastAsia="es-ES_tradnl"/>
        </w:rPr>
        <w:t>. En tal medida, la entidad estatal que adelante un proceso de selección con sustento en los documentos tipo rechazará la propuesta del oferente que no acredite haber presentado la información de renovación del RUP antes del quinto día hábil de abril de cada año, incumpliendo con la obligación de la norma anteriormente citada. Para tal efecto se reitera que no es necesario que la renovación esté en firme, sino que mientras esté en trámite podrá participar en el proceso de selección siempre que haya presentado la información dentro del término previsto</w:t>
      </w:r>
      <w:r w:rsidRPr="007975D6">
        <w:rPr>
          <w:rFonts w:ascii="Arial" w:eastAsia="Times New Roman" w:hAnsi="Arial" w:cs="Arial"/>
          <w:szCs w:val="24"/>
          <w:bdr w:val="none" w:sz="0" w:space="0" w:color="auto" w:frame="1"/>
          <w:shd w:val="clear" w:color="auto" w:fill="FFFFFF"/>
          <w:lang w:val="es-ES_tradnl" w:eastAsia="es-ES_tradnl"/>
        </w:rPr>
        <w:t xml:space="preserve">. </w:t>
      </w:r>
    </w:p>
    <w:p w14:paraId="7FDF1FF8" w14:textId="77777777" w:rsidR="00437E89" w:rsidRPr="001334D8" w:rsidRDefault="00437E89" w:rsidP="00116D6B">
      <w:pPr>
        <w:spacing w:after="0" w:line="276" w:lineRule="auto"/>
        <w:jc w:val="both"/>
        <w:rPr>
          <w:rFonts w:ascii="Arial" w:eastAsia="Calibri" w:hAnsi="Arial" w:cs="Arial"/>
          <w:iCs/>
          <w:lang w:val="es-MX"/>
        </w:rPr>
      </w:pPr>
    </w:p>
    <w:p w14:paraId="2DDA7551" w14:textId="77777777" w:rsidR="00437E89" w:rsidRPr="001334D8" w:rsidRDefault="00437E89" w:rsidP="0074570F">
      <w:pPr>
        <w:spacing w:after="0" w:line="276" w:lineRule="auto"/>
        <w:jc w:val="both"/>
        <w:rPr>
          <w:rFonts w:ascii="Arial" w:eastAsia="Calibri" w:hAnsi="Arial" w:cs="Arial"/>
          <w:b/>
        </w:rPr>
      </w:pPr>
      <w:r w:rsidRPr="001334D8">
        <w:rPr>
          <w:rFonts w:ascii="Arial" w:eastAsia="Calibri" w:hAnsi="Arial" w:cs="Arial"/>
          <w:b/>
        </w:rPr>
        <w:t>3. Respuesta</w:t>
      </w:r>
    </w:p>
    <w:p w14:paraId="0789F520" w14:textId="5E670238" w:rsidR="00437E89" w:rsidRDefault="00437E89" w:rsidP="0074570F">
      <w:pPr>
        <w:spacing w:after="0" w:line="276" w:lineRule="auto"/>
        <w:jc w:val="both"/>
        <w:rPr>
          <w:rFonts w:ascii="Arial" w:eastAsia="Calibri" w:hAnsi="Arial" w:cs="Arial"/>
          <w:bCs/>
        </w:rPr>
      </w:pPr>
    </w:p>
    <w:p w14:paraId="4C004F80" w14:textId="77777777" w:rsidR="00AA6A7F" w:rsidRDefault="00AA6A7F" w:rsidP="00AA6A7F">
      <w:pPr>
        <w:spacing w:after="0" w:line="240" w:lineRule="auto"/>
        <w:ind w:left="709" w:right="709"/>
        <w:contextualSpacing/>
        <w:jc w:val="both"/>
        <w:rPr>
          <w:rFonts w:ascii="Arial" w:hAnsi="Arial" w:cs="Arial"/>
          <w:sz w:val="21"/>
          <w:szCs w:val="21"/>
        </w:rPr>
      </w:pPr>
      <w:r w:rsidRPr="00C86CBC">
        <w:rPr>
          <w:rFonts w:ascii="Arial" w:eastAsia="Calibri" w:hAnsi="Arial" w:cs="Arial"/>
          <w:sz w:val="21"/>
          <w:szCs w:val="21"/>
        </w:rPr>
        <w:t>i) «</w:t>
      </w:r>
      <w:r w:rsidRPr="00C86CBC">
        <w:rPr>
          <w:rFonts w:ascii="Arial" w:hAnsi="Arial" w:cs="Arial"/>
          <w:sz w:val="21"/>
          <w:szCs w:val="21"/>
        </w:rPr>
        <w:t xml:space="preserve">Esto convierte a la información para renovar el RUP o la radicación de la misma previo a la fecha </w:t>
      </w:r>
      <w:proofErr w:type="spellStart"/>
      <w:r w:rsidRPr="00C86CBC">
        <w:rPr>
          <w:rFonts w:ascii="Arial" w:hAnsi="Arial" w:cs="Arial"/>
          <w:sz w:val="21"/>
          <w:szCs w:val="21"/>
        </w:rPr>
        <w:t>ahi</w:t>
      </w:r>
      <w:proofErr w:type="spellEnd"/>
      <w:r w:rsidRPr="00C86CBC">
        <w:rPr>
          <w:rFonts w:ascii="Arial" w:hAnsi="Arial" w:cs="Arial"/>
          <w:sz w:val="21"/>
          <w:szCs w:val="21"/>
        </w:rPr>
        <w:t xml:space="preserve"> (sic) establecida, como requisito habilitante?</w:t>
      </w:r>
      <w:r>
        <w:rPr>
          <w:rFonts w:ascii="Arial" w:hAnsi="Arial" w:cs="Arial"/>
          <w:sz w:val="21"/>
          <w:szCs w:val="21"/>
        </w:rPr>
        <w:t xml:space="preserve"> o </w:t>
      </w:r>
      <w:r w:rsidRPr="00C86CBC">
        <w:rPr>
          <w:rFonts w:ascii="Arial" w:hAnsi="Arial" w:cs="Arial"/>
          <w:sz w:val="21"/>
          <w:szCs w:val="21"/>
        </w:rPr>
        <w:t>será suficiente con la presentación del documento REGISTRO UNICO DE PROPONENTES</w:t>
      </w:r>
      <w:r>
        <w:rPr>
          <w:rFonts w:ascii="Arial" w:hAnsi="Arial" w:cs="Arial"/>
          <w:sz w:val="21"/>
          <w:szCs w:val="21"/>
        </w:rPr>
        <w:t xml:space="preserve">». </w:t>
      </w:r>
    </w:p>
    <w:p w14:paraId="42F6D0B2" w14:textId="77777777" w:rsidR="00AA6A7F" w:rsidRDefault="00AA6A7F" w:rsidP="00AA6A7F">
      <w:pPr>
        <w:spacing w:after="0" w:line="240" w:lineRule="auto"/>
        <w:ind w:right="709"/>
        <w:contextualSpacing/>
        <w:jc w:val="both"/>
        <w:rPr>
          <w:rFonts w:ascii="Arial" w:hAnsi="Arial" w:cs="Arial"/>
          <w:sz w:val="21"/>
          <w:szCs w:val="21"/>
        </w:rPr>
      </w:pPr>
    </w:p>
    <w:p w14:paraId="11B1056C" w14:textId="29D9F661" w:rsidR="00AA6A7F" w:rsidRDefault="00AA6A7F" w:rsidP="00AF3C37">
      <w:pPr>
        <w:spacing w:after="120" w:line="276" w:lineRule="auto"/>
        <w:jc w:val="both"/>
        <w:rPr>
          <w:rFonts w:ascii="Arial" w:eastAsia="Calibri" w:hAnsi="Arial" w:cs="Arial"/>
          <w:i/>
          <w:iCs/>
        </w:rPr>
      </w:pPr>
      <w:r w:rsidRPr="007975D6">
        <w:rPr>
          <w:rFonts w:ascii="Arial" w:eastAsia="Calibri" w:hAnsi="Arial" w:cs="Arial"/>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Conforme al artículo 6.3 de la Ley 1150 de 2007, la cámara de comercio verifica la información aportada por el proponente, publica el acto de inscripción del </w:t>
      </w:r>
      <w:r w:rsidR="009131EE">
        <w:rPr>
          <w:rFonts w:ascii="Arial" w:eastAsia="Calibri" w:hAnsi="Arial" w:cs="Arial"/>
        </w:rPr>
        <w:t>RUP</w:t>
      </w:r>
      <w:r w:rsidRPr="007975D6">
        <w:rPr>
          <w:rFonts w:ascii="Arial" w:eastAsia="Calibri" w:hAnsi="Arial" w:cs="Arial"/>
        </w:rPr>
        <w:t xml:space="preserve">, contra el que cualquier persona puede interponer recurso de reposición dentro de los diez –10– días hábiles siguientes contados a partir de su publicación –posibilidad aplicable frente a la </w:t>
      </w:r>
      <w:r w:rsidRPr="007975D6">
        <w:rPr>
          <w:rFonts w:ascii="Arial" w:eastAsia="Calibri" w:hAnsi="Arial" w:cs="Arial"/>
          <w:i/>
          <w:iCs/>
        </w:rPr>
        <w:t>inscripción, renovación o actualización–</w:t>
      </w:r>
      <w:r>
        <w:rPr>
          <w:rFonts w:ascii="Arial" w:eastAsia="Calibri" w:hAnsi="Arial" w:cs="Arial"/>
          <w:i/>
          <w:iCs/>
        </w:rPr>
        <w:t xml:space="preserve">. </w:t>
      </w:r>
    </w:p>
    <w:p w14:paraId="4F29C205" w14:textId="77777777" w:rsidR="00AA6A7F" w:rsidRDefault="00AA6A7F" w:rsidP="00AF3C37">
      <w:pPr>
        <w:spacing w:after="120" w:line="276" w:lineRule="auto"/>
        <w:ind w:firstLine="708"/>
        <w:jc w:val="both"/>
        <w:rPr>
          <w:rFonts w:ascii="Arial" w:eastAsia="Calibri" w:hAnsi="Arial" w:cs="Arial"/>
        </w:rPr>
      </w:pPr>
      <w:r>
        <w:rPr>
          <w:rFonts w:ascii="Arial" w:eastAsia="Calibri" w:hAnsi="Arial" w:cs="Arial"/>
        </w:rPr>
        <w:t xml:space="preserve">Por su parte, el </w:t>
      </w:r>
      <w:r w:rsidRPr="007975D6">
        <w:rPr>
          <w:rFonts w:ascii="Arial" w:eastAsia="Calibri" w:hAnsi="Arial" w:cs="Arial"/>
        </w:rPr>
        <w:t>artículo 2.2.1.1.1.5.1 del Decreto 1082 de 2015 dispone que las personas inscritas en el RUP deben presentar la información para renovar su registro a más tardar el quinto día hábil del mes de abril de cada año, pues de lo contrario cesan los efectos del RUP</w:t>
      </w:r>
      <w:r>
        <w:rPr>
          <w:rFonts w:ascii="Arial" w:eastAsia="Calibri" w:hAnsi="Arial" w:cs="Arial"/>
        </w:rPr>
        <w:t>.</w:t>
      </w:r>
    </w:p>
    <w:p w14:paraId="10052617" w14:textId="77777777" w:rsidR="00AA6A7F" w:rsidRDefault="00AA6A7F" w:rsidP="009131EE">
      <w:pPr>
        <w:tabs>
          <w:tab w:val="left" w:pos="709"/>
        </w:tabs>
        <w:spacing w:after="120" w:line="276" w:lineRule="auto"/>
        <w:jc w:val="both"/>
        <w:rPr>
          <w:rFonts w:ascii="Arial" w:eastAsia="Times New Roman" w:hAnsi="Arial" w:cs="Arial"/>
          <w:szCs w:val="24"/>
          <w:bdr w:val="none" w:sz="0" w:space="0" w:color="auto" w:frame="1"/>
          <w:shd w:val="clear" w:color="auto" w:fill="FFFFFF"/>
          <w:lang w:val="es-ES_tradnl" w:eastAsia="es-ES_tradnl"/>
        </w:rPr>
      </w:pPr>
      <w:r>
        <w:rPr>
          <w:rFonts w:ascii="Arial" w:eastAsia="Times New Roman" w:hAnsi="Arial" w:cs="Arial"/>
          <w:bCs/>
          <w:color w:val="000000"/>
          <w:szCs w:val="24"/>
          <w:lang w:val="es-ES" w:eastAsia="es-ES_tradnl"/>
        </w:rPr>
        <w:tab/>
        <w:t xml:space="preserve">En los documentos tipo </w:t>
      </w:r>
      <w:r w:rsidRPr="007975D6">
        <w:rPr>
          <w:rFonts w:ascii="Arial" w:eastAsia="Times New Roman" w:hAnsi="Arial" w:cs="Arial"/>
          <w:color w:val="0D0D0D"/>
          <w:bdr w:val="none" w:sz="0" w:space="0" w:color="auto" w:frame="1"/>
          <w:lang w:val="es-ES_tradnl" w:eastAsia="es-CO"/>
        </w:rPr>
        <w:t>de licitación de obra pública – versión 3 y de selección abreviada de menor cuantía – versión 2 de infraestructura de transporte</w:t>
      </w:r>
      <w:r>
        <w:rPr>
          <w:rFonts w:ascii="Arial" w:eastAsia="Times New Roman" w:hAnsi="Arial" w:cs="Arial"/>
          <w:color w:val="0D0D0D"/>
          <w:bdr w:val="none" w:sz="0" w:space="0" w:color="auto" w:frame="1"/>
          <w:lang w:val="es-ES_tradnl" w:eastAsia="es-CO"/>
        </w:rPr>
        <w:t>,</w:t>
      </w:r>
      <w:r w:rsidRPr="007975D6">
        <w:rPr>
          <w:rFonts w:ascii="Arial" w:eastAsia="Times New Roman" w:hAnsi="Arial" w:cs="Arial"/>
          <w:szCs w:val="24"/>
          <w:bdr w:val="none" w:sz="0" w:space="0" w:color="auto" w:frame="1"/>
          <w:shd w:val="clear" w:color="auto" w:fill="FFFFFF"/>
          <w:lang w:val="es-ES_tradnl" w:eastAsia="es-ES_tradnl"/>
        </w:rPr>
        <w:t xml:space="preserve"> es posible identificar, entre otros, las causales de rechazo de las ofertas, siendo pertinente abordar la causal de rechazo del literal G del numeral 1.15 del pliego de condiciones. Esta causal aplica en caso de que «[…] el proponente no acredite la presentación de la información para renovar el Registro Único de Proponentes (RUP), a más tardar el quinto día hábil del mes de abril de cada año, o en la fecha que establezca la ley o el reglamento, si fuera una distinta». </w:t>
      </w:r>
    </w:p>
    <w:p w14:paraId="309305E4" w14:textId="77777777" w:rsidR="00AA6A7F" w:rsidRPr="007975D6" w:rsidRDefault="00AA6A7F" w:rsidP="009131EE">
      <w:pPr>
        <w:tabs>
          <w:tab w:val="left" w:pos="709"/>
        </w:tabs>
        <w:spacing w:after="120" w:line="276" w:lineRule="auto"/>
        <w:jc w:val="both"/>
        <w:rPr>
          <w:rFonts w:ascii="Arial" w:eastAsia="Times New Roman" w:hAnsi="Arial" w:cs="Arial"/>
          <w:color w:val="000000"/>
          <w:szCs w:val="24"/>
          <w:lang w:eastAsia="es-ES_tradnl"/>
        </w:rPr>
      </w:pPr>
      <w:r>
        <w:rPr>
          <w:rFonts w:ascii="Arial" w:eastAsia="Times New Roman" w:hAnsi="Arial" w:cs="Arial"/>
          <w:szCs w:val="24"/>
          <w:bdr w:val="none" w:sz="0" w:space="0" w:color="auto" w:frame="1"/>
          <w:shd w:val="clear" w:color="auto" w:fill="FFFFFF"/>
          <w:lang w:val="es-ES_tradnl" w:eastAsia="es-ES_tradnl"/>
        </w:rPr>
        <w:lastRenderedPageBreak/>
        <w:tab/>
        <w:t xml:space="preserve">Esta causa del rechazo debe </w:t>
      </w:r>
      <w:r w:rsidRPr="007975D6">
        <w:rPr>
          <w:rFonts w:ascii="Arial" w:eastAsia="Times New Roman" w:hAnsi="Arial" w:cs="Arial"/>
          <w:szCs w:val="24"/>
          <w:lang w:eastAsia="es-ES_tradnl"/>
        </w:rPr>
        <w:t xml:space="preserve">interpretarse razonablemente de conformidad con el marco jurídico analizado </w:t>
      </w:r>
      <w:r>
        <w:rPr>
          <w:rFonts w:ascii="Arial" w:eastAsia="Times New Roman" w:hAnsi="Arial" w:cs="Arial"/>
          <w:szCs w:val="24"/>
          <w:lang w:eastAsia="es-ES_tradnl"/>
        </w:rPr>
        <w:t>en las consideraciones de este concepto, r</w:t>
      </w:r>
      <w:r w:rsidRPr="007975D6">
        <w:rPr>
          <w:rFonts w:ascii="Arial" w:eastAsia="Times New Roman" w:hAnsi="Arial" w:cs="Arial"/>
          <w:szCs w:val="24"/>
          <w:lang w:eastAsia="es-ES_tradnl"/>
        </w:rPr>
        <w:t xml:space="preserve">especto al trámite de renovación, cuyo régimen quedó expuesto en detalle. En este sentido, </w:t>
      </w:r>
      <w:r w:rsidRPr="007975D6">
        <w:rPr>
          <w:rFonts w:ascii="Arial" w:eastAsia="Times New Roman" w:hAnsi="Arial" w:cs="Arial"/>
          <w:szCs w:val="24"/>
          <w:bdr w:val="none" w:sz="0" w:space="0" w:color="auto" w:frame="1"/>
          <w:shd w:val="clear" w:color="auto" w:fill="FFFFFF"/>
          <w:lang w:val="es-ES_tradnl" w:eastAsia="es-ES_tradnl"/>
        </w:rPr>
        <w:t>la causal de rechazo del literal G del numeral 1.15 del pliego de condiciones</w:t>
      </w:r>
      <w:r w:rsidRPr="007975D6">
        <w:rPr>
          <w:rFonts w:ascii="Arial" w:eastAsia="Times New Roman" w:hAnsi="Arial" w:cs="Arial"/>
          <w:szCs w:val="24"/>
          <w:lang w:eastAsia="es-ES_tradnl"/>
        </w:rPr>
        <w:t xml:space="preserve"> aplica en los supuestos en que el proponente al momento del cierre del proceso no tenga un RUP vigente y en firme, de ahí que conforme a las disposiciones estudiadas con anterioridad deba rechazarse al proponente que no cumpla con el deber establecido en el artículo </w:t>
      </w:r>
      <w:r w:rsidRPr="007975D6">
        <w:rPr>
          <w:rFonts w:ascii="Arial" w:eastAsia="Calibri" w:hAnsi="Arial" w:cs="Arial"/>
          <w:color w:val="000000"/>
          <w:szCs w:val="24"/>
          <w:lang w:eastAsia="es-ES_tradnl"/>
        </w:rPr>
        <w:t xml:space="preserve">2.2.1.1.1.5.1 del decreto 1082 de 2015, esto es, que no haya presentado la información para renovar el RUP a </w:t>
      </w:r>
      <w:r w:rsidRPr="007975D6">
        <w:rPr>
          <w:rFonts w:ascii="Arial" w:eastAsia="Times New Roman" w:hAnsi="Arial" w:cs="Arial"/>
          <w:color w:val="000000"/>
          <w:szCs w:val="24"/>
          <w:lang w:eastAsia="es-ES_tradnl"/>
        </w:rPr>
        <w:t>más tardar el quinto día hábil del mes de abril de cada año.</w:t>
      </w:r>
    </w:p>
    <w:p w14:paraId="1355C4E3" w14:textId="77777777" w:rsidR="00AA6A7F" w:rsidRPr="007975D6" w:rsidRDefault="00AA6A7F" w:rsidP="009131EE">
      <w:pPr>
        <w:tabs>
          <w:tab w:val="left" w:pos="0"/>
        </w:tabs>
        <w:spacing w:before="120" w:after="120" w:line="276" w:lineRule="auto"/>
        <w:ind w:firstLine="709"/>
        <w:jc w:val="both"/>
        <w:rPr>
          <w:rFonts w:ascii="Arial" w:eastAsia="Times New Roman" w:hAnsi="Arial" w:cs="Arial"/>
          <w:color w:val="000000"/>
          <w:szCs w:val="24"/>
          <w:lang w:eastAsia="es-ES_tradnl"/>
        </w:rPr>
      </w:pPr>
      <w:r w:rsidRPr="007975D6">
        <w:rPr>
          <w:rFonts w:ascii="Arial" w:eastAsia="Times New Roman" w:hAnsi="Arial" w:cs="Arial"/>
          <w:color w:val="000000"/>
          <w:szCs w:val="24"/>
          <w:lang w:eastAsia="es-ES_tradnl"/>
        </w:rPr>
        <w:t xml:space="preserve">No obstante, ello no quiere decir que la causal se extienda a los supuestos en los que el proponente realiza una nueva </w:t>
      </w:r>
      <w:r w:rsidRPr="007975D6">
        <w:rPr>
          <w:rFonts w:ascii="Arial" w:eastAsia="Times New Roman" w:hAnsi="Arial" w:cs="Arial"/>
          <w:i/>
          <w:iCs/>
          <w:color w:val="000000"/>
          <w:szCs w:val="24"/>
          <w:lang w:eastAsia="es-ES_tradnl"/>
        </w:rPr>
        <w:t>inscripción</w:t>
      </w:r>
      <w:r w:rsidRPr="007975D6">
        <w:rPr>
          <w:rFonts w:ascii="Arial" w:eastAsia="Times New Roman" w:hAnsi="Arial" w:cs="Arial"/>
          <w:color w:val="000000"/>
          <w:szCs w:val="24"/>
          <w:lang w:eastAsia="es-ES_tradnl"/>
        </w:rPr>
        <w:t>,</w:t>
      </w:r>
      <w:r w:rsidRPr="007975D6">
        <w:rPr>
          <w:rFonts w:ascii="Arial" w:eastAsia="Times New Roman" w:hAnsi="Arial" w:cs="Arial"/>
          <w:i/>
          <w:iCs/>
          <w:color w:val="000000"/>
          <w:szCs w:val="24"/>
          <w:lang w:eastAsia="es-ES_tradnl"/>
        </w:rPr>
        <w:t xml:space="preserve"> </w:t>
      </w:r>
      <w:r w:rsidRPr="007975D6">
        <w:rPr>
          <w:rFonts w:ascii="Arial" w:eastAsia="Times New Roman" w:hAnsi="Arial" w:cs="Arial"/>
          <w:color w:val="000000"/>
          <w:szCs w:val="24"/>
          <w:lang w:eastAsia="es-ES_tradnl"/>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7975D6">
        <w:rPr>
          <w:rFonts w:ascii="Arial" w:eastAsia="Times New Roman" w:hAnsi="Arial" w:cs="Arial"/>
          <w:i/>
          <w:iCs/>
          <w:color w:val="000000"/>
          <w:szCs w:val="24"/>
          <w:lang w:eastAsia="es-ES_tradnl"/>
        </w:rPr>
        <w:t xml:space="preserve">nueva inscripción </w:t>
      </w:r>
      <w:r w:rsidRPr="007975D6">
        <w:rPr>
          <w:rFonts w:ascii="Arial" w:eastAsia="Times New Roman" w:hAnsi="Arial" w:cs="Arial"/>
          <w:color w:val="000000"/>
          <w:szCs w:val="24"/>
          <w:lang w:eastAsia="es-ES_tradnl"/>
        </w:rPr>
        <w:t xml:space="preserve">puede participar en los procedimientos de selección, incluidos los regidos por los documentos tipo. </w:t>
      </w:r>
    </w:p>
    <w:p w14:paraId="5C6EEFC3" w14:textId="77777777" w:rsidR="00AA6A7F" w:rsidRPr="007975D6" w:rsidRDefault="00AA6A7F" w:rsidP="00AF3C37">
      <w:pPr>
        <w:tabs>
          <w:tab w:val="left" w:pos="0"/>
        </w:tabs>
        <w:spacing w:before="120" w:after="120" w:line="276" w:lineRule="auto"/>
        <w:ind w:firstLine="709"/>
        <w:jc w:val="both"/>
        <w:rPr>
          <w:rFonts w:ascii="Arial" w:eastAsia="Calibri" w:hAnsi="Arial" w:cs="Arial"/>
          <w:color w:val="000000"/>
          <w:szCs w:val="24"/>
          <w:lang w:eastAsia="es-ES_tradnl"/>
        </w:rPr>
      </w:pPr>
      <w:r w:rsidRPr="007975D6">
        <w:rPr>
          <w:rFonts w:ascii="Arial" w:eastAsia="Arial" w:hAnsi="Arial" w:cs="Arial"/>
          <w:color w:val="000000"/>
          <w:szCs w:val="24"/>
          <w:lang w:eastAsia="es-CO"/>
        </w:rPr>
        <w:t xml:space="preserve">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cuando el proponente debe volver a inscribirse y para antes de la fecha del cierre del proceso su inscripción no esté en firme, toda vez que en dicho supuesto no tiene una inscripción vigente y en firme y, como se analizó con anterioridad, </w:t>
      </w:r>
      <w:r w:rsidRPr="007975D6">
        <w:rPr>
          <w:rFonts w:ascii="Arial" w:eastAsia="Calibri" w:hAnsi="Arial" w:cs="Arial"/>
          <w:color w:val="000000"/>
          <w:szCs w:val="24"/>
          <w:lang w:eastAsia="es-ES_tradnl"/>
        </w:rPr>
        <w:t>«Durante el término otorgado para subsanar las ofertas, los proponentes no podrán acreditar circunstancias ocurridas con posterioridad al cierre del proceso».</w:t>
      </w:r>
    </w:p>
    <w:p w14:paraId="26F0E7A1" w14:textId="77777777" w:rsidR="00AA6A7F" w:rsidRPr="007975D6" w:rsidRDefault="00AA6A7F" w:rsidP="009131EE">
      <w:pPr>
        <w:tabs>
          <w:tab w:val="left" w:pos="0"/>
        </w:tabs>
        <w:spacing w:before="120" w:after="120" w:line="276" w:lineRule="auto"/>
        <w:ind w:firstLine="709"/>
        <w:jc w:val="both"/>
        <w:rPr>
          <w:rFonts w:ascii="Arial" w:eastAsia="Calibri" w:hAnsi="Arial" w:cs="Arial"/>
          <w:color w:val="000000"/>
          <w:szCs w:val="24"/>
          <w:lang w:eastAsia="es-ES_tradnl"/>
        </w:rPr>
      </w:pPr>
      <w:r w:rsidRPr="007975D6">
        <w:rPr>
          <w:rFonts w:ascii="Arial" w:eastAsia="Calibri" w:hAnsi="Arial" w:cs="Arial"/>
          <w:color w:val="000000"/>
          <w:szCs w:val="24"/>
          <w:lang w:eastAsia="es-ES_tradnl"/>
        </w:rPr>
        <w:t xml:space="preserve">Además, cabe aclarar que conforme con las explicaciones anteriores, esta causal tampoco aplicaría, con sobradas razones, en los supuestos en que el interesado haya cumplido con el deber de </w:t>
      </w:r>
      <w:r w:rsidRPr="007975D6">
        <w:rPr>
          <w:rFonts w:ascii="Arial" w:eastAsia="Calibri" w:hAnsi="Arial" w:cs="Arial"/>
          <w:i/>
          <w:iCs/>
          <w:color w:val="000000"/>
          <w:szCs w:val="24"/>
          <w:lang w:eastAsia="es-ES_tradnl"/>
        </w:rPr>
        <w:t xml:space="preserve">presentar la información </w:t>
      </w:r>
      <w:r w:rsidRPr="007975D6">
        <w:rPr>
          <w:rFonts w:ascii="Arial" w:eastAsia="Calibri" w:hAnsi="Arial" w:cs="Arial"/>
          <w:color w:val="000000"/>
          <w:szCs w:val="24"/>
          <w:lang w:eastAsia="es-ES_tradnl"/>
        </w:rPr>
        <w:t>para renovar su registro antes del quinto día del mes de abril y la renovación solo quede en firme en una fecha posterior. En tal sentido, en el numeral anterior se señaló el tratamiento procedente en estos supuestos, aclarando que una vez la renovación quede en firme el proponente participará con su RUP renovado en los procesos futuros</w:t>
      </w:r>
      <w:r w:rsidRPr="007975D6">
        <w:rPr>
          <w:rFonts w:ascii="Arial" w:eastAsia="Times New Roman" w:hAnsi="Arial" w:cs="Arial"/>
          <w:color w:val="000000"/>
          <w:szCs w:val="24"/>
          <w:lang w:eastAsia="es-ES_tradnl"/>
        </w:rPr>
        <w:t>.</w:t>
      </w:r>
      <w:r w:rsidRPr="007975D6">
        <w:rPr>
          <w:rFonts w:ascii="Arial" w:eastAsia="Times New Roman" w:hAnsi="Arial" w:cs="Arial"/>
          <w:szCs w:val="24"/>
          <w:bdr w:val="none" w:sz="0" w:space="0" w:color="auto" w:frame="1"/>
          <w:shd w:val="clear" w:color="auto" w:fill="FFFFFF"/>
          <w:lang w:val="es-ES_tradnl" w:eastAsia="es-ES_tradnl"/>
        </w:rPr>
        <w:t xml:space="preserve"> </w:t>
      </w:r>
    </w:p>
    <w:p w14:paraId="02F2D286" w14:textId="77777777" w:rsidR="00AA6A7F" w:rsidRPr="007975D6" w:rsidRDefault="00AA6A7F" w:rsidP="00AA6A7F">
      <w:pPr>
        <w:tabs>
          <w:tab w:val="left" w:pos="426"/>
        </w:tabs>
        <w:spacing w:after="0" w:line="276" w:lineRule="auto"/>
        <w:ind w:firstLine="709"/>
        <w:jc w:val="both"/>
        <w:rPr>
          <w:rFonts w:ascii="Arial" w:eastAsia="Times New Roman" w:hAnsi="Arial" w:cs="Arial"/>
          <w:szCs w:val="24"/>
          <w:bdr w:val="none" w:sz="0" w:space="0" w:color="auto" w:frame="1"/>
          <w:shd w:val="clear" w:color="auto" w:fill="FFFFFF"/>
          <w:lang w:val="es-ES_tradnl" w:eastAsia="es-ES_tradnl"/>
        </w:rPr>
      </w:pPr>
      <w:r w:rsidRPr="007975D6">
        <w:rPr>
          <w:rFonts w:ascii="Arial" w:eastAsia="Times New Roman" w:hAnsi="Arial" w:cs="Arial"/>
          <w:szCs w:val="24"/>
          <w:bdr w:val="none" w:sz="0" w:space="0" w:color="auto" w:frame="1"/>
          <w:shd w:val="clear" w:color="auto" w:fill="FFFFFF"/>
          <w:lang w:val="es-ES" w:eastAsia="es-ES_tradnl"/>
        </w:rPr>
        <w:t xml:space="preserve">En resumen, el origen de la causal de rechazo </w:t>
      </w:r>
      <w:r w:rsidRPr="007975D6">
        <w:rPr>
          <w:rFonts w:ascii="Arial" w:eastAsia="Times New Roman" w:hAnsi="Arial" w:cs="Arial"/>
          <w:szCs w:val="24"/>
          <w:bdr w:val="none" w:sz="0" w:space="0" w:color="auto" w:frame="1"/>
          <w:shd w:val="clear" w:color="auto" w:fill="FFFFFF"/>
          <w:lang w:val="es-ES_tradnl" w:eastAsia="es-ES_tradnl"/>
        </w:rPr>
        <w:t>del literal G del numeral 1.15 del pliego de condiciones</w:t>
      </w:r>
      <w:r w:rsidRPr="007975D6">
        <w:rPr>
          <w:rFonts w:ascii="Arial" w:eastAsia="Times New Roman" w:hAnsi="Arial" w:cs="Arial"/>
          <w:szCs w:val="24"/>
          <w:bdr w:val="none" w:sz="0" w:space="0" w:color="auto" w:frame="1"/>
          <w:shd w:val="clear" w:color="auto" w:fill="FFFFFF"/>
          <w:lang w:val="es-ES" w:eastAsia="es-ES_tradnl"/>
        </w:rPr>
        <w:t xml:space="preserve"> deriva de las consecuencias del incumplimiento del deber de renovación del RUP consagrado en el artículo 2.2.1.1.1.5.1 del Decreto 1082 de 2015, </w:t>
      </w:r>
      <w:r w:rsidRPr="007975D6">
        <w:rPr>
          <w:rFonts w:ascii="Arial" w:eastAsia="Times New Roman" w:hAnsi="Arial" w:cs="Arial"/>
          <w:szCs w:val="24"/>
          <w:bdr w:val="none" w:sz="0" w:space="0" w:color="auto" w:frame="1"/>
          <w:shd w:val="clear" w:color="auto" w:fill="FFFFFF"/>
          <w:lang w:val="es-ES" w:eastAsia="es-ES_tradnl"/>
        </w:rPr>
        <w:lastRenderedPageBreak/>
        <w:t>específicamente en lo relacionado con el límite temporal de la presentación de la información para renovar el registro a más tardar el quinto día hábil del mes de abril de cada año</w:t>
      </w:r>
      <w:r w:rsidRPr="007975D6">
        <w:rPr>
          <w:rFonts w:ascii="Arial" w:eastAsia="Times New Roman" w:hAnsi="Arial" w:cs="Arial"/>
          <w:szCs w:val="24"/>
          <w:bdr w:val="none" w:sz="0" w:space="0" w:color="auto" w:frame="1"/>
          <w:shd w:val="clear" w:color="auto" w:fill="FFFFFF"/>
          <w:vertAlign w:val="superscript"/>
          <w:lang w:val="es-ES" w:eastAsia="es-ES_tradnl"/>
        </w:rPr>
        <w:t>17</w:t>
      </w:r>
      <w:r w:rsidRPr="007975D6">
        <w:rPr>
          <w:rFonts w:ascii="Arial" w:eastAsia="Times New Roman" w:hAnsi="Arial" w:cs="Arial"/>
          <w:szCs w:val="24"/>
          <w:bdr w:val="none" w:sz="0" w:space="0" w:color="auto" w:frame="1"/>
          <w:shd w:val="clear" w:color="auto" w:fill="FFFFFF"/>
          <w:lang w:val="es-ES" w:eastAsia="es-ES_tradnl"/>
        </w:rPr>
        <w:t>. En tal medida, la entidad estatal que adelante un proceso de selección con sustento en los documentos tipo rechazará la propuesta del oferente que no acredite haber presentado la información de renovación del RUP antes del quinto día hábil de abril de cada año, incumpliendo con la obligación de la norma anteriormente citada. Para tal efecto se reitera que no es necesario que la renovación esté en firme, sino que mientras esté en trámite podrá participar en el proceso de selección siempre que haya presentado la información dentro del término previsto</w:t>
      </w:r>
      <w:r w:rsidRPr="007975D6">
        <w:rPr>
          <w:rFonts w:ascii="Arial" w:eastAsia="Times New Roman" w:hAnsi="Arial" w:cs="Arial"/>
          <w:szCs w:val="24"/>
          <w:bdr w:val="none" w:sz="0" w:space="0" w:color="auto" w:frame="1"/>
          <w:shd w:val="clear" w:color="auto" w:fill="FFFFFF"/>
          <w:lang w:val="es-ES_tradnl" w:eastAsia="es-ES_tradnl"/>
        </w:rPr>
        <w:t xml:space="preserve">. </w:t>
      </w:r>
    </w:p>
    <w:p w14:paraId="388319A6" w14:textId="77777777" w:rsidR="00AA6A7F" w:rsidRDefault="00AA6A7F" w:rsidP="00AA6A7F">
      <w:pPr>
        <w:spacing w:after="0" w:line="240" w:lineRule="auto"/>
        <w:jc w:val="both"/>
        <w:rPr>
          <w:rFonts w:ascii="Arial" w:hAnsi="Arial" w:cs="Arial"/>
          <w:sz w:val="21"/>
          <w:szCs w:val="21"/>
        </w:rPr>
      </w:pPr>
    </w:p>
    <w:p w14:paraId="187BCD47" w14:textId="77777777" w:rsidR="00AA6A7F" w:rsidRPr="00C86CBC" w:rsidRDefault="00AA6A7F" w:rsidP="00AA6A7F">
      <w:pPr>
        <w:spacing w:after="0" w:line="240" w:lineRule="auto"/>
        <w:ind w:left="709" w:right="709"/>
        <w:jc w:val="both"/>
        <w:rPr>
          <w:rFonts w:ascii="Arial" w:eastAsia="Calibri" w:hAnsi="Arial" w:cs="Arial"/>
          <w:sz w:val="21"/>
          <w:szCs w:val="21"/>
        </w:rPr>
      </w:pPr>
      <w:proofErr w:type="spellStart"/>
      <w:r>
        <w:rPr>
          <w:rFonts w:ascii="Arial" w:hAnsi="Arial" w:cs="Arial"/>
          <w:sz w:val="21"/>
          <w:szCs w:val="21"/>
        </w:rPr>
        <w:t>ii</w:t>
      </w:r>
      <w:proofErr w:type="spellEnd"/>
      <w:r>
        <w:rPr>
          <w:rFonts w:ascii="Arial" w:hAnsi="Arial" w:cs="Arial"/>
          <w:sz w:val="21"/>
          <w:szCs w:val="21"/>
        </w:rPr>
        <w:t>) «</w:t>
      </w:r>
      <w:r w:rsidRPr="00C86CBC">
        <w:rPr>
          <w:rFonts w:ascii="Arial" w:hAnsi="Arial" w:cs="Arial"/>
          <w:sz w:val="21"/>
          <w:szCs w:val="21"/>
        </w:rPr>
        <w:t xml:space="preserve">será suficiente, las entidades pueden exigir la RADICACION de la información para su renovación previo a esta fecha, en los requisitos para habilitar una propuesta?». </w:t>
      </w:r>
    </w:p>
    <w:p w14:paraId="607ECA59" w14:textId="77777777" w:rsidR="00AA6A7F" w:rsidRDefault="00AA6A7F" w:rsidP="00AA6A7F">
      <w:pPr>
        <w:spacing w:after="0"/>
      </w:pPr>
    </w:p>
    <w:p w14:paraId="7B25A2F4" w14:textId="77777777" w:rsidR="00AA6A7F" w:rsidRPr="007975D6" w:rsidRDefault="00AA6A7F" w:rsidP="00AA6A7F">
      <w:pPr>
        <w:spacing w:after="0" w:line="276" w:lineRule="auto"/>
        <w:jc w:val="both"/>
        <w:rPr>
          <w:rFonts w:ascii="Arial" w:eastAsia="Calibri" w:hAnsi="Arial" w:cs="Arial"/>
        </w:rPr>
      </w:pPr>
      <w:r w:rsidRPr="007975D6">
        <w:rPr>
          <w:rFonts w:ascii="Arial" w:eastAsia="Calibri" w:hAnsi="Arial" w:cs="Arial"/>
        </w:rPr>
        <w:t xml:space="preserve">Tratándose del trámite de </w:t>
      </w:r>
      <w:r w:rsidRPr="007975D6">
        <w:rPr>
          <w:rFonts w:ascii="Arial" w:eastAsia="Calibri" w:hAnsi="Arial" w:cs="Arial"/>
          <w:i/>
        </w:rPr>
        <w:t>renovación,</w:t>
      </w:r>
      <w:r w:rsidRPr="007975D6">
        <w:rPr>
          <w:rFonts w:ascii="Arial" w:eastAsia="Calibri" w:hAnsi="Arial" w:cs="Arial"/>
        </w:rPr>
        <w:t xml:space="preserve"> la persona que </w:t>
      </w:r>
      <w:r w:rsidRPr="007975D6">
        <w:rPr>
          <w:rFonts w:ascii="Arial" w:eastAsia="Calibri" w:hAnsi="Arial" w:cs="Arial"/>
          <w:i/>
          <w:iCs/>
        </w:rPr>
        <w:t>haya presentado la información</w:t>
      </w:r>
      <w:r w:rsidRPr="007975D6">
        <w:rPr>
          <w:rFonts w:ascii="Arial" w:eastAsia="Calibri" w:hAnsi="Arial" w:cs="Arial"/>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6DE956AF" w14:textId="29CDB4B7" w:rsidR="00AA6A7F" w:rsidRDefault="00AA6A7F" w:rsidP="00AF3C37">
      <w:pPr>
        <w:spacing w:before="120" w:after="120" w:line="276" w:lineRule="auto"/>
        <w:ind w:firstLine="709"/>
        <w:jc w:val="both"/>
        <w:rPr>
          <w:rFonts w:ascii="Arial" w:eastAsia="Calibri" w:hAnsi="Arial" w:cs="Arial"/>
        </w:rPr>
      </w:pPr>
      <w:r w:rsidRPr="007975D6">
        <w:rPr>
          <w:rFonts w:ascii="Arial" w:eastAsia="Calibri" w:hAnsi="Arial" w:cs="Arial"/>
        </w:rPr>
        <w:t>Así las cosas, para verificar que los efectos del RUP no han cesado, es necesario que el certificado contenga la anotación de que el inscrito, a más tardar el quinto día hábil de abril de cada año,</w:t>
      </w:r>
      <w:r w:rsidRPr="007975D6" w:rsidDel="00B14FC4">
        <w:rPr>
          <w:rFonts w:ascii="Arial" w:eastAsia="Calibri" w:hAnsi="Arial" w:cs="Arial"/>
        </w:rPr>
        <w:t xml:space="preserve"> </w:t>
      </w:r>
      <w:r w:rsidRPr="007975D6">
        <w:rPr>
          <w:rFonts w:ascii="Arial" w:eastAsia="Calibri" w:hAnsi="Arial" w:cs="Arial"/>
          <w:i/>
          <w:iCs/>
        </w:rPr>
        <w:t>radicó ante la cámara de comercio los documentos para la renovación</w:t>
      </w:r>
      <w:r w:rsidRPr="007975D6">
        <w:rPr>
          <w:rFonts w:ascii="Arial" w:eastAsia="Calibri" w:hAnsi="Arial" w:cs="Arial"/>
        </w:rPr>
        <w:t>. En todo caso, si tal circunstancia no estuviere inscrita en el certificado, se podrá acreditar a través del medio documental expedido por la cámara de comercio correspondiente</w:t>
      </w:r>
      <w:r w:rsidR="009131EE">
        <w:rPr>
          <w:rFonts w:ascii="Arial" w:eastAsia="Calibri" w:hAnsi="Arial" w:cs="Arial"/>
        </w:rPr>
        <w:t>, por lo que al</w:t>
      </w:r>
      <w:r w:rsidRPr="007975D6">
        <w:rPr>
          <w:rFonts w:ascii="Arial" w:eastAsia="Calibri" w:hAnsi="Arial" w:cs="Arial"/>
        </w:rPr>
        <w:t xml:space="preserve"> no existir tarifa legal que permita establecer la forma de acreditar el trámite de renovación, la entidad estatal debe verificar que el documento aportado por el proponente ofrezca certeza sobre el estado del trámite</w:t>
      </w:r>
      <w:r w:rsidR="009131EE">
        <w:rPr>
          <w:rFonts w:ascii="Arial" w:eastAsia="Calibri" w:hAnsi="Arial" w:cs="Arial"/>
        </w:rPr>
        <w:t xml:space="preserve">, verificando que se haya </w:t>
      </w:r>
      <w:r w:rsidR="009131EE" w:rsidRPr="00AF3C37">
        <w:rPr>
          <w:rFonts w:ascii="Arial" w:eastAsia="Calibri" w:hAnsi="Arial" w:cs="Arial"/>
          <w:i/>
          <w:iCs/>
        </w:rPr>
        <w:t>presentado</w:t>
      </w:r>
      <w:r w:rsidR="009131EE">
        <w:rPr>
          <w:rFonts w:ascii="Arial" w:eastAsia="Calibri" w:hAnsi="Arial" w:cs="Arial"/>
        </w:rPr>
        <w:t xml:space="preserve"> la información para renovar su registro antes del quinto </w:t>
      </w:r>
      <w:r w:rsidR="0004636C">
        <w:rPr>
          <w:rFonts w:ascii="Arial" w:eastAsia="Calibri" w:hAnsi="Arial" w:cs="Arial"/>
        </w:rPr>
        <w:t>día hábil del mes de abril de cada año</w:t>
      </w:r>
      <w:r w:rsidRPr="007975D6">
        <w:rPr>
          <w:rFonts w:ascii="Arial" w:eastAsia="Calibri" w:hAnsi="Arial" w:cs="Arial"/>
        </w:rPr>
        <w:t xml:space="preserve">. </w:t>
      </w:r>
    </w:p>
    <w:p w14:paraId="1F048CAB" w14:textId="1E22FF4E" w:rsidR="00F03154" w:rsidRDefault="00F03154" w:rsidP="00AF3C37">
      <w:pPr>
        <w:spacing w:after="120" w:line="276" w:lineRule="auto"/>
        <w:ind w:firstLine="708"/>
        <w:jc w:val="both"/>
        <w:rPr>
          <w:rFonts w:ascii="Arial" w:eastAsia="Calibri" w:hAnsi="Arial" w:cs="Arial"/>
          <w:color w:val="000000"/>
        </w:rPr>
      </w:pPr>
      <w:r>
        <w:rPr>
          <w:rFonts w:ascii="Arial" w:eastAsia="Calibri" w:hAnsi="Arial" w:cs="Arial"/>
        </w:rPr>
        <w:t xml:space="preserve">Se concluye de lo expuesto a lo largo del presente concepto que, </w:t>
      </w:r>
      <w:r>
        <w:rPr>
          <w:rFonts w:ascii="Arial" w:eastAsia="Calibri" w:hAnsi="Arial" w:cs="Arial"/>
          <w:color w:val="000000"/>
        </w:rPr>
        <w:t xml:space="preserve">el deber de renovación, para impedir que el RUP deje de producir efectos consiste en «presentar la información para renovar su registro antes del quinto día hábil del mes de abril de cada año». De manera que basta con la presentación de dicha información, mediante la cual se solicita a la cámara de comercio respectiva que adelante el trámite de renovación, para que se impida que el registro cese en sus efectos. Lo anterior, independientemente del término </w:t>
      </w:r>
      <w:r>
        <w:rPr>
          <w:rFonts w:ascii="Arial" w:eastAsia="Calibri" w:hAnsi="Arial" w:cs="Arial"/>
          <w:color w:val="000000"/>
        </w:rPr>
        <w:lastRenderedPageBreak/>
        <w:t>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de la renovación, se puede utilizar la información del RUP que está en firme antes de iniciar el trámite de renovación, cuyos efectos no han cesado y se encuentra vigente, pudiendo utilizar dicho registro para participar en los procedimientos de selección de contratistas.</w:t>
      </w:r>
    </w:p>
    <w:p w14:paraId="30CD078B" w14:textId="77777777" w:rsidR="00023055" w:rsidRPr="00AF3C37" w:rsidRDefault="00023055" w:rsidP="0074570F">
      <w:pPr>
        <w:spacing w:after="0" w:line="276" w:lineRule="auto"/>
        <w:jc w:val="both"/>
        <w:rPr>
          <w:rFonts w:ascii="Arial" w:eastAsia="Calibri" w:hAnsi="Arial" w:cs="Arial"/>
          <w:bCs/>
        </w:rPr>
      </w:pPr>
    </w:p>
    <w:p w14:paraId="528D7982" w14:textId="77777777" w:rsidR="00437E89" w:rsidRPr="001334D8" w:rsidRDefault="00437E89" w:rsidP="0074570F">
      <w:pPr>
        <w:spacing w:after="0" w:line="276" w:lineRule="auto"/>
        <w:jc w:val="both"/>
        <w:rPr>
          <w:rFonts w:ascii="Arial" w:eastAsia="Calibri" w:hAnsi="Arial" w:cs="Arial"/>
        </w:rPr>
      </w:pPr>
      <w:bookmarkStart w:id="6" w:name="_Hlk57650395"/>
      <w:r w:rsidRPr="001334D8">
        <w:rPr>
          <w:rFonts w:ascii="Arial" w:eastAsia="Calibri" w:hAnsi="Arial" w:cs="Arial"/>
        </w:rPr>
        <w:t>Este concepto tiene el alcance previsto en el artículo 28 del Código de Procedimiento Administrativo y de lo Contencioso Administrativo.</w:t>
      </w:r>
    </w:p>
    <w:p w14:paraId="187B4280" w14:textId="77777777" w:rsidR="00437E89" w:rsidRPr="001334D8" w:rsidRDefault="00437E89" w:rsidP="00437E89">
      <w:pPr>
        <w:spacing w:after="0" w:line="276" w:lineRule="auto"/>
        <w:contextualSpacing/>
        <w:jc w:val="both"/>
        <w:rPr>
          <w:rFonts w:ascii="Arial" w:eastAsia="Calibri" w:hAnsi="Arial" w:cs="Arial"/>
        </w:rPr>
      </w:pPr>
    </w:p>
    <w:p w14:paraId="4BB2ECE9" w14:textId="77777777" w:rsidR="00437E89" w:rsidRPr="001334D8" w:rsidRDefault="00437E89" w:rsidP="00437E89">
      <w:pPr>
        <w:spacing w:after="0" w:line="276" w:lineRule="auto"/>
        <w:contextualSpacing/>
        <w:jc w:val="both"/>
        <w:rPr>
          <w:rFonts w:ascii="Arial" w:eastAsia="Times New Roman" w:hAnsi="Arial" w:cs="Arial"/>
          <w:lang w:eastAsia="es-CO"/>
        </w:rPr>
      </w:pPr>
      <w:r w:rsidRPr="001334D8">
        <w:rPr>
          <w:rFonts w:ascii="Arial" w:eastAsia="Times New Roman" w:hAnsi="Arial" w:cs="Arial"/>
          <w:lang w:eastAsia="es-CO"/>
        </w:rPr>
        <w:t>Atentamente,</w:t>
      </w:r>
    </w:p>
    <w:bookmarkEnd w:id="0"/>
    <w:bookmarkEnd w:id="1"/>
    <w:bookmarkEnd w:id="2"/>
    <w:bookmarkEnd w:id="6"/>
    <w:p w14:paraId="2A377A44" w14:textId="10C09F41" w:rsidR="00437E89" w:rsidRPr="001334D8" w:rsidRDefault="00437E89" w:rsidP="00437E89">
      <w:pPr>
        <w:pStyle w:val="NormalWeb"/>
        <w:spacing w:before="0" w:beforeAutospacing="0" w:after="0" w:afterAutospacing="0"/>
        <w:jc w:val="center"/>
        <w:rPr>
          <w:rFonts w:ascii="Arial" w:hAnsi="Arial" w:cs="Arial"/>
          <w:sz w:val="22"/>
          <w:szCs w:val="22"/>
          <w:lang w:val="es-ES_tradnl"/>
        </w:rPr>
      </w:pPr>
    </w:p>
    <w:bookmarkEnd w:id="3"/>
    <w:p w14:paraId="3E12B00E" w14:textId="36388759" w:rsidR="00EF0EC2" w:rsidRPr="00B808E1" w:rsidRDefault="00AF3C37" w:rsidP="00EF0EC2">
      <w:pPr>
        <w:spacing w:after="0" w:line="240" w:lineRule="auto"/>
        <w:jc w:val="center"/>
        <w:rPr>
          <w:rFonts w:ascii="Arial" w:eastAsia="Times New Roman" w:hAnsi="Arial" w:cs="Arial"/>
          <w:lang w:val="es-ES" w:eastAsia="es-CO"/>
        </w:rPr>
      </w:pPr>
      <w:r>
        <w:rPr>
          <w:noProof/>
        </w:rPr>
        <w:drawing>
          <wp:inline distT="0" distB="0" distL="0" distR="0" wp14:anchorId="31AD44EA" wp14:editId="5F3987D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7"/>
                    <a:stretch>
                      <a:fillRect/>
                    </a:stretch>
                  </pic:blipFill>
                  <pic:spPr>
                    <a:xfrm>
                      <a:off x="0" y="0"/>
                      <a:ext cx="2785707" cy="1068836"/>
                    </a:xfrm>
                    <a:prstGeom prst="rect">
                      <a:avLst/>
                    </a:prstGeom>
                  </pic:spPr>
                </pic:pic>
              </a:graphicData>
            </a:graphic>
          </wp:inline>
        </w:drawing>
      </w:r>
      <w:r w:rsidR="00EF0EC2" w:rsidRPr="00B808E1">
        <w:rPr>
          <w:rFonts w:ascii="Arial" w:hAnsi="Arial" w:cs="Arial"/>
          <w:shd w:val="clear" w:color="auto" w:fill="FFFFFF"/>
          <w:lang w:val="es-ES"/>
        </w:rPr>
        <w:br/>
      </w:r>
    </w:p>
    <w:tbl>
      <w:tblPr>
        <w:tblW w:w="5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4946"/>
      </w:tblGrid>
      <w:tr w:rsidR="00EF0EC2" w:rsidRPr="00B808E1" w14:paraId="288273C8" w14:textId="77777777" w:rsidTr="00EF0EC2">
        <w:trPr>
          <w:trHeight w:val="315"/>
        </w:trPr>
        <w:tc>
          <w:tcPr>
            <w:tcW w:w="709" w:type="dxa"/>
            <w:tcBorders>
              <w:top w:val="nil"/>
              <w:left w:val="nil"/>
              <w:bottom w:val="nil"/>
              <w:right w:val="nil"/>
            </w:tcBorders>
            <w:shd w:val="clear" w:color="auto" w:fill="auto"/>
            <w:vAlign w:val="center"/>
            <w:hideMark/>
          </w:tcPr>
          <w:p w14:paraId="6DF8DD9A" w14:textId="77777777" w:rsidR="00EF0EC2" w:rsidRPr="00B808E1" w:rsidRDefault="00EF0EC2" w:rsidP="0072790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Elaboró:</w:t>
            </w:r>
            <w:r w:rsidRPr="00B808E1">
              <w:rPr>
                <w:rFonts w:ascii="Arial" w:eastAsia="Times New Roman" w:hAnsi="Arial" w:cs="Arial"/>
                <w:sz w:val="17"/>
                <w:szCs w:val="17"/>
                <w:lang w:eastAsia="es-CO"/>
              </w:rPr>
              <w:t> </w:t>
            </w:r>
          </w:p>
        </w:tc>
        <w:tc>
          <w:tcPr>
            <w:tcW w:w="4946" w:type="dxa"/>
            <w:tcBorders>
              <w:top w:val="nil"/>
              <w:left w:val="nil"/>
              <w:bottom w:val="dotted" w:sz="6" w:space="0" w:color="7F7F7F"/>
              <w:right w:val="nil"/>
            </w:tcBorders>
            <w:shd w:val="clear" w:color="auto" w:fill="auto"/>
            <w:vAlign w:val="center"/>
            <w:hideMark/>
          </w:tcPr>
          <w:p w14:paraId="7F5A58F3" w14:textId="77777777" w:rsidR="00EF0EC2" w:rsidRPr="00B808E1" w:rsidRDefault="00EF0EC2" w:rsidP="00727906">
            <w:pPr>
              <w:spacing w:after="0" w:line="240" w:lineRule="auto"/>
              <w:textAlignment w:val="baseline"/>
              <w:rPr>
                <w:rFonts w:ascii="Segoe UI" w:eastAsia="Times New Roman" w:hAnsi="Segoe UI" w:cs="Segoe UI"/>
                <w:sz w:val="18"/>
                <w:szCs w:val="18"/>
                <w:lang w:eastAsia="es-CO"/>
              </w:rPr>
            </w:pPr>
            <w:r>
              <w:rPr>
                <w:rFonts w:ascii="Arial" w:eastAsia="Times New Roman" w:hAnsi="Arial" w:cs="Arial"/>
                <w:sz w:val="17"/>
                <w:szCs w:val="17"/>
                <w:lang w:val="es-ES" w:eastAsia="es-CO"/>
              </w:rPr>
              <w:t>Carlos Mario Castrillón Endo</w:t>
            </w:r>
          </w:p>
          <w:p w14:paraId="481353CB" w14:textId="77777777" w:rsidR="00EF0EC2" w:rsidRPr="00B808E1" w:rsidRDefault="00EF0EC2" w:rsidP="0072790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Contratista de la Subdirección de Gestión Contractual</w:t>
            </w:r>
            <w:r w:rsidRPr="00B808E1">
              <w:rPr>
                <w:rFonts w:ascii="Arial" w:eastAsia="Times New Roman" w:hAnsi="Arial" w:cs="Arial"/>
                <w:sz w:val="17"/>
                <w:szCs w:val="17"/>
                <w:lang w:eastAsia="es-CO"/>
              </w:rPr>
              <w:t> </w:t>
            </w:r>
          </w:p>
        </w:tc>
      </w:tr>
      <w:tr w:rsidR="00EF0EC2" w:rsidRPr="00B808E1" w14:paraId="16901296" w14:textId="77777777" w:rsidTr="00EF0EC2">
        <w:trPr>
          <w:trHeight w:val="315"/>
        </w:trPr>
        <w:tc>
          <w:tcPr>
            <w:tcW w:w="709" w:type="dxa"/>
            <w:tcBorders>
              <w:top w:val="nil"/>
              <w:left w:val="nil"/>
              <w:bottom w:val="nil"/>
              <w:right w:val="nil"/>
            </w:tcBorders>
            <w:shd w:val="clear" w:color="auto" w:fill="auto"/>
            <w:vAlign w:val="center"/>
            <w:hideMark/>
          </w:tcPr>
          <w:p w14:paraId="2FA07BC0" w14:textId="77777777" w:rsidR="00EF0EC2" w:rsidRPr="00B808E1" w:rsidRDefault="00EF0EC2" w:rsidP="0072790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Revisó:</w:t>
            </w:r>
            <w:r w:rsidRPr="00B808E1">
              <w:rPr>
                <w:rFonts w:ascii="Arial" w:eastAsia="Times New Roman" w:hAnsi="Arial" w:cs="Arial"/>
                <w:sz w:val="17"/>
                <w:szCs w:val="17"/>
                <w:lang w:eastAsia="es-CO"/>
              </w:rPr>
              <w:t> </w:t>
            </w:r>
          </w:p>
        </w:tc>
        <w:tc>
          <w:tcPr>
            <w:tcW w:w="4946" w:type="dxa"/>
            <w:tcBorders>
              <w:top w:val="dotted" w:sz="6" w:space="0" w:color="7F7F7F"/>
              <w:left w:val="nil"/>
              <w:bottom w:val="dotted" w:sz="6" w:space="0" w:color="7F7F7F"/>
              <w:right w:val="nil"/>
            </w:tcBorders>
            <w:shd w:val="clear" w:color="auto" w:fill="auto"/>
            <w:vAlign w:val="center"/>
            <w:hideMark/>
          </w:tcPr>
          <w:p w14:paraId="0B657242" w14:textId="1C44E465" w:rsidR="00EF0EC2" w:rsidRDefault="00F03154" w:rsidP="00727906">
            <w:pPr>
              <w:spacing w:after="0" w:line="240" w:lineRule="auto"/>
              <w:textAlignment w:val="baseline"/>
              <w:rPr>
                <w:rFonts w:ascii="Arial" w:eastAsia="Times New Roman" w:hAnsi="Arial" w:cs="Arial"/>
                <w:sz w:val="17"/>
                <w:szCs w:val="17"/>
                <w:lang w:val="es-ES" w:eastAsia="es-CO"/>
              </w:rPr>
            </w:pPr>
            <w:r>
              <w:rPr>
                <w:rFonts w:ascii="Arial" w:eastAsia="Times New Roman" w:hAnsi="Arial" w:cs="Arial"/>
                <w:sz w:val="17"/>
                <w:szCs w:val="17"/>
                <w:lang w:val="es-ES" w:eastAsia="es-CO"/>
              </w:rPr>
              <w:t xml:space="preserve">Diana Lucia Saavedra Castañeda </w:t>
            </w:r>
          </w:p>
          <w:p w14:paraId="49CE9DFF" w14:textId="0A8987DD" w:rsidR="00EF0EC2" w:rsidRPr="00B808E1" w:rsidRDefault="00EF0EC2" w:rsidP="0072790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Contratista de la Subdirección de Gestión Contractual</w:t>
            </w:r>
            <w:r w:rsidRPr="00B808E1">
              <w:rPr>
                <w:rFonts w:ascii="Arial" w:eastAsia="Times New Roman" w:hAnsi="Arial" w:cs="Arial"/>
                <w:sz w:val="17"/>
                <w:szCs w:val="17"/>
                <w:lang w:eastAsia="es-CO"/>
              </w:rPr>
              <w:t> </w:t>
            </w:r>
          </w:p>
        </w:tc>
      </w:tr>
      <w:tr w:rsidR="00EF0EC2" w:rsidRPr="00F45E9F" w14:paraId="00ABCB5B" w14:textId="77777777" w:rsidTr="00EF0EC2">
        <w:trPr>
          <w:trHeight w:val="300"/>
        </w:trPr>
        <w:tc>
          <w:tcPr>
            <w:tcW w:w="709" w:type="dxa"/>
            <w:tcBorders>
              <w:top w:val="nil"/>
              <w:left w:val="nil"/>
              <w:bottom w:val="nil"/>
              <w:right w:val="nil"/>
            </w:tcBorders>
            <w:shd w:val="clear" w:color="auto" w:fill="auto"/>
            <w:vAlign w:val="center"/>
            <w:hideMark/>
          </w:tcPr>
          <w:p w14:paraId="3025BAE4" w14:textId="77777777" w:rsidR="00EF0EC2" w:rsidRPr="00B808E1" w:rsidRDefault="00EF0EC2" w:rsidP="00727906">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Aprobó:</w:t>
            </w:r>
            <w:r w:rsidRPr="00B808E1">
              <w:rPr>
                <w:rFonts w:ascii="Arial" w:eastAsia="Times New Roman" w:hAnsi="Arial" w:cs="Arial"/>
                <w:sz w:val="17"/>
                <w:szCs w:val="17"/>
                <w:lang w:eastAsia="es-CO"/>
              </w:rPr>
              <w:t> </w:t>
            </w:r>
          </w:p>
        </w:tc>
        <w:tc>
          <w:tcPr>
            <w:tcW w:w="4946" w:type="dxa"/>
            <w:tcBorders>
              <w:top w:val="dotted" w:sz="6" w:space="0" w:color="7F7F7F"/>
              <w:left w:val="nil"/>
              <w:bottom w:val="dotted" w:sz="6" w:space="0" w:color="7F7F7F"/>
              <w:right w:val="nil"/>
            </w:tcBorders>
            <w:shd w:val="clear" w:color="auto" w:fill="auto"/>
            <w:vAlign w:val="center"/>
            <w:hideMark/>
          </w:tcPr>
          <w:p w14:paraId="2E2FCA19" w14:textId="3FBB2CAA" w:rsidR="00F03154" w:rsidRDefault="00F03154" w:rsidP="00727906">
            <w:pPr>
              <w:spacing w:after="0" w:line="240" w:lineRule="auto"/>
              <w:textAlignment w:val="baseline"/>
              <w:rPr>
                <w:rFonts w:ascii="Arial" w:eastAsia="Calibri" w:hAnsi="Arial" w:cs="Arial"/>
                <w:sz w:val="16"/>
                <w:szCs w:val="16"/>
                <w:lang w:eastAsia="es-ES"/>
              </w:rPr>
            </w:pPr>
            <w:r>
              <w:rPr>
                <w:rFonts w:ascii="Arial" w:hAnsi="Arial" w:cs="Arial"/>
                <w:sz w:val="16"/>
                <w:szCs w:val="16"/>
                <w:lang w:val="pt-BR" w:eastAsia="es-ES"/>
              </w:rPr>
              <w:t xml:space="preserve">Nohelia </w:t>
            </w:r>
            <w:proofErr w:type="spellStart"/>
            <w:r>
              <w:rPr>
                <w:rFonts w:ascii="Arial" w:hAnsi="Arial" w:cs="Arial"/>
                <w:sz w:val="16"/>
                <w:szCs w:val="16"/>
                <w:lang w:val="pt-BR" w:eastAsia="es-ES"/>
              </w:rPr>
              <w:t>del</w:t>
            </w:r>
            <w:proofErr w:type="spellEnd"/>
            <w:r>
              <w:rPr>
                <w:rFonts w:ascii="Arial" w:hAnsi="Arial" w:cs="Arial"/>
                <w:sz w:val="16"/>
                <w:szCs w:val="16"/>
                <w:lang w:val="pt-BR" w:eastAsia="es-ES"/>
              </w:rPr>
              <w:t xml:space="preserve"> </w:t>
            </w:r>
            <w:proofErr w:type="spellStart"/>
            <w:r>
              <w:rPr>
                <w:rFonts w:ascii="Arial" w:hAnsi="Arial" w:cs="Arial"/>
                <w:sz w:val="16"/>
                <w:szCs w:val="16"/>
                <w:lang w:val="pt-BR" w:eastAsia="es-ES"/>
              </w:rPr>
              <w:t>Camen</w:t>
            </w:r>
            <w:proofErr w:type="spellEnd"/>
            <w:r>
              <w:rPr>
                <w:rFonts w:ascii="Arial" w:hAnsi="Arial" w:cs="Arial"/>
                <w:sz w:val="16"/>
                <w:szCs w:val="16"/>
                <w:lang w:val="pt-BR" w:eastAsia="es-ES"/>
              </w:rPr>
              <w:t xml:space="preserve"> Zawady Palacio</w:t>
            </w:r>
            <w:r w:rsidRPr="00B92C35" w:rsidDel="00F03154">
              <w:rPr>
                <w:rFonts w:ascii="Arial" w:eastAsia="Calibri" w:hAnsi="Arial" w:cs="Arial"/>
                <w:sz w:val="16"/>
                <w:szCs w:val="16"/>
                <w:lang w:eastAsia="es-ES"/>
              </w:rPr>
              <w:t xml:space="preserve"> </w:t>
            </w:r>
          </w:p>
          <w:p w14:paraId="63063854" w14:textId="0AAD53DF" w:rsidR="00EF0EC2" w:rsidRPr="00796ED8" w:rsidRDefault="00EF0EC2" w:rsidP="00727906">
            <w:pPr>
              <w:spacing w:after="0" w:line="240" w:lineRule="auto"/>
              <w:textAlignment w:val="baseline"/>
              <w:rPr>
                <w:rFonts w:ascii="Segoe UI" w:eastAsia="Times New Roman" w:hAnsi="Segoe UI" w:cs="Segoe UI"/>
                <w:sz w:val="18"/>
                <w:szCs w:val="18"/>
                <w:lang w:eastAsia="es-CO"/>
              </w:rPr>
            </w:pPr>
            <w:r w:rsidRPr="00B92C35">
              <w:rPr>
                <w:rFonts w:ascii="Arial" w:eastAsia="Calibri" w:hAnsi="Arial" w:cs="Arial"/>
                <w:sz w:val="16"/>
                <w:szCs w:val="16"/>
                <w:lang w:eastAsia="es-ES"/>
              </w:rPr>
              <w:t>Subdirector</w:t>
            </w:r>
            <w:r w:rsidR="00F03154">
              <w:rPr>
                <w:rFonts w:ascii="Arial" w:eastAsia="Calibri" w:hAnsi="Arial" w:cs="Arial"/>
                <w:sz w:val="16"/>
                <w:szCs w:val="16"/>
                <w:lang w:eastAsia="es-ES"/>
              </w:rPr>
              <w:t>a</w:t>
            </w:r>
            <w:r w:rsidRPr="00B92C35">
              <w:rPr>
                <w:rFonts w:ascii="Arial" w:eastAsia="Calibri" w:hAnsi="Arial" w:cs="Arial"/>
                <w:sz w:val="16"/>
                <w:szCs w:val="16"/>
                <w:lang w:eastAsia="es-ES"/>
              </w:rPr>
              <w:t xml:space="preserve"> de Gestión Contractual ANCP – CCE</w:t>
            </w:r>
          </w:p>
        </w:tc>
      </w:tr>
    </w:tbl>
    <w:p w14:paraId="59A5178E" w14:textId="77777777" w:rsidR="00EF0EC2" w:rsidRPr="003949B2" w:rsidRDefault="00EF0EC2" w:rsidP="00EF0EC2">
      <w:pPr>
        <w:spacing w:after="0" w:line="240" w:lineRule="auto"/>
        <w:jc w:val="center"/>
        <w:rPr>
          <w:rFonts w:ascii="Arial" w:eastAsia="Times New Roman" w:hAnsi="Arial" w:cs="Arial"/>
          <w:sz w:val="18"/>
          <w:szCs w:val="20"/>
          <w:lang w:val="es-ES" w:eastAsia="es-CO"/>
        </w:rPr>
      </w:pPr>
    </w:p>
    <w:p w14:paraId="2D8596F4" w14:textId="77777777" w:rsidR="00EF0EC2" w:rsidRDefault="00EF0EC2" w:rsidP="00EF0EC2">
      <w:pPr>
        <w:spacing w:after="0" w:line="240" w:lineRule="auto"/>
        <w:jc w:val="both"/>
        <w:rPr>
          <w:rFonts w:ascii="Geomanist Bold" w:eastAsia="Calibri" w:hAnsi="Geomanist Bold" w:cs="Arial"/>
          <w:b/>
          <w:bCs/>
          <w:lang w:val="es-MX"/>
        </w:rPr>
      </w:pPr>
    </w:p>
    <w:p w14:paraId="13800B1E" w14:textId="77777777" w:rsidR="00FB347B" w:rsidRDefault="00FB347B"/>
    <w:sectPr w:rsidR="00FB347B" w:rsidSect="00C86CBC">
      <w:headerReference w:type="default" r:id="rId8"/>
      <w:footerReference w:type="default" r:id="rId9"/>
      <w:pgSz w:w="12240" w:h="15840"/>
      <w:pgMar w:top="1417" w:right="1701" w:bottom="1417"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4898" w14:textId="77777777" w:rsidR="00EA08EE" w:rsidRDefault="00EA08EE" w:rsidP="00437E89">
      <w:pPr>
        <w:spacing w:after="0" w:line="240" w:lineRule="auto"/>
      </w:pPr>
      <w:r>
        <w:separator/>
      </w:r>
    </w:p>
  </w:endnote>
  <w:endnote w:type="continuationSeparator" w:id="0">
    <w:p w14:paraId="38C661D1" w14:textId="77777777" w:rsidR="00EA08EE" w:rsidRDefault="00EA08EE" w:rsidP="0043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Calibri">
    <w:altName w:val="Arial"/>
    <w:charset w:val="00"/>
    <w:family w:val="roman"/>
    <w:pitch w:val="default"/>
  </w:font>
  <w:font w:name="Geomanist Ligh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512A" w14:textId="7AD80F4F" w:rsidR="00A6750C" w:rsidRDefault="00A6750C" w:rsidP="00A6750C">
    <w:pPr>
      <w:pStyle w:val="Piedepgina"/>
    </w:pPr>
    <w:r>
      <w:rPr>
        <w:noProof/>
        <w:lang w:val="en-US"/>
      </w:rPr>
      <w:drawing>
        <wp:inline distT="0" distB="0" distL="0" distR="0" wp14:anchorId="25F23F98" wp14:editId="597E6676">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A6750C" w:rsidRPr="00080DA3" w14:paraId="2F27D3B9" w14:textId="77777777" w:rsidTr="00A6750C">
      <w:trPr>
        <w:trHeight w:val="198"/>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E756D02" w14:textId="77777777" w:rsidR="00A6750C" w:rsidRPr="00080DA3" w:rsidRDefault="00A6750C" w:rsidP="00A6750C">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9E3BAC5" w14:textId="77777777" w:rsidR="00A6750C" w:rsidRPr="00080DA3" w:rsidRDefault="00A6750C" w:rsidP="00A6750C">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080F79F" w14:textId="77777777" w:rsidR="00A6750C" w:rsidRPr="00080DA3" w:rsidRDefault="00A6750C" w:rsidP="00A6750C">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EA889B9" w14:textId="77777777" w:rsidR="00A6750C" w:rsidRPr="004B6B0E" w:rsidRDefault="00A6750C" w:rsidP="00A6750C">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2B83488" w14:textId="77777777" w:rsidR="00A6750C" w:rsidRPr="00080DA3" w:rsidRDefault="00A6750C" w:rsidP="00A6750C">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FC41355" w14:textId="77777777" w:rsidR="00A6750C" w:rsidRPr="00080DA3" w:rsidRDefault="00A6750C" w:rsidP="00A6750C">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0267A20" w14:textId="77777777" w:rsidR="00A6750C" w:rsidRPr="00080DA3" w:rsidRDefault="00A6750C" w:rsidP="00A6750C">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13</w:t>
          </w:r>
          <w:r w:rsidRPr="00080DA3">
            <w:rPr>
              <w:rFonts w:ascii="Geomanist Light" w:hAnsi="Geomanist Light"/>
              <w:b/>
              <w:bCs/>
              <w:sz w:val="18"/>
              <w:szCs w:val="18"/>
            </w:rPr>
            <w:fldChar w:fldCharType="end"/>
          </w:r>
        </w:p>
      </w:tc>
    </w:tr>
  </w:tbl>
  <w:p w14:paraId="7D7A36BE" w14:textId="7C2D91CE" w:rsidR="00412132" w:rsidRPr="00E2401E" w:rsidRDefault="00AF3C37" w:rsidP="00A67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8111" w14:textId="77777777" w:rsidR="00EA08EE" w:rsidRDefault="00EA08EE" w:rsidP="00437E89">
      <w:pPr>
        <w:spacing w:after="0" w:line="240" w:lineRule="auto"/>
      </w:pPr>
      <w:r>
        <w:separator/>
      </w:r>
    </w:p>
  </w:footnote>
  <w:footnote w:type="continuationSeparator" w:id="0">
    <w:p w14:paraId="39B9C212" w14:textId="77777777" w:rsidR="00EA08EE" w:rsidRDefault="00EA08EE" w:rsidP="00437E89">
      <w:pPr>
        <w:spacing w:after="0" w:line="240" w:lineRule="auto"/>
      </w:pPr>
      <w:r>
        <w:continuationSeparator/>
      </w:r>
    </w:p>
  </w:footnote>
  <w:footnote w:id="1">
    <w:p w14:paraId="487A3E1C" w14:textId="77777777" w:rsidR="007975D6" w:rsidRPr="007975D6" w:rsidRDefault="007975D6" w:rsidP="007975D6">
      <w:pPr>
        <w:pStyle w:val="NormalWeb"/>
        <w:shd w:val="clear" w:color="auto" w:fill="FFFFFF"/>
        <w:spacing w:before="0" w:beforeAutospacing="0" w:after="120" w:afterAutospacing="0"/>
        <w:ind w:firstLine="708"/>
        <w:rPr>
          <w:rFonts w:ascii="Arial" w:hAnsi="Arial" w:cs="Arial"/>
          <w:color w:val="000000"/>
          <w:sz w:val="19"/>
          <w:szCs w:val="19"/>
          <w:lang w:val="es-MX"/>
        </w:rPr>
      </w:pPr>
      <w:r w:rsidRPr="007975D6">
        <w:rPr>
          <w:rStyle w:val="Refdenotaalpie"/>
          <w:rFonts w:ascii="Arial" w:eastAsia="Calibri" w:hAnsi="Arial" w:cs="Arial"/>
          <w:color w:val="000000"/>
          <w:sz w:val="19"/>
          <w:szCs w:val="19"/>
          <w:lang w:eastAsia="en-US"/>
        </w:rPr>
        <w:footnoteRef/>
      </w:r>
      <w:r w:rsidRPr="007975D6">
        <w:rPr>
          <w:rFonts w:ascii="Arial" w:hAnsi="Arial" w:cs="Arial"/>
          <w:color w:val="000000"/>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14AD9310" w14:textId="77777777" w:rsidR="007975D6" w:rsidRPr="007975D6" w:rsidRDefault="007975D6" w:rsidP="007975D6">
      <w:pPr>
        <w:pStyle w:val="NormalWeb"/>
        <w:shd w:val="clear" w:color="auto" w:fill="FFFFFF"/>
        <w:spacing w:before="0" w:beforeAutospacing="0" w:after="120" w:afterAutospacing="0"/>
        <w:ind w:firstLine="708"/>
        <w:rPr>
          <w:rFonts w:ascii="Arial" w:hAnsi="Arial" w:cs="Arial"/>
          <w:color w:val="000000"/>
          <w:sz w:val="19"/>
          <w:szCs w:val="19"/>
          <w:lang w:val="es-MX"/>
        </w:rPr>
      </w:pPr>
      <w:r w:rsidRPr="007975D6">
        <w:rPr>
          <w:rFonts w:ascii="Arial" w:hAnsi="Arial" w:cs="Arial"/>
          <w:color w:val="000000"/>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1EF8CF3" w14:textId="77777777" w:rsidR="007975D6" w:rsidRPr="007975D6" w:rsidRDefault="007975D6" w:rsidP="007975D6">
      <w:pPr>
        <w:pStyle w:val="NormalWeb"/>
        <w:shd w:val="clear" w:color="auto" w:fill="FFFFFF"/>
        <w:spacing w:before="0" w:beforeAutospacing="0" w:after="120" w:afterAutospacing="0"/>
        <w:ind w:firstLine="708"/>
        <w:rPr>
          <w:rFonts w:ascii="Arial" w:hAnsi="Arial" w:cs="Arial"/>
          <w:color w:val="000000"/>
          <w:sz w:val="19"/>
          <w:szCs w:val="19"/>
          <w:lang w:val="es-MX"/>
        </w:rPr>
      </w:pPr>
      <w:r w:rsidRPr="007975D6">
        <w:rPr>
          <w:rFonts w:ascii="Arial" w:hAnsi="Arial" w:cs="Arial"/>
          <w:color w:val="000000"/>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3DFF32B3" w14:textId="77777777" w:rsidR="007975D6" w:rsidRPr="007975D6" w:rsidRDefault="007975D6" w:rsidP="007975D6">
      <w:pPr>
        <w:pStyle w:val="NormalWeb"/>
        <w:shd w:val="clear" w:color="auto" w:fill="FFFFFF"/>
        <w:spacing w:before="0" w:beforeAutospacing="0" w:after="120" w:afterAutospacing="0"/>
        <w:ind w:firstLine="708"/>
        <w:rPr>
          <w:rFonts w:ascii="Arial" w:hAnsi="Arial" w:cs="Arial"/>
          <w:color w:val="000000"/>
          <w:sz w:val="19"/>
          <w:szCs w:val="19"/>
          <w:lang w:val="es-MX"/>
        </w:rPr>
      </w:pPr>
      <w:r w:rsidRPr="007975D6">
        <w:rPr>
          <w:rFonts w:ascii="Arial" w:hAnsi="Arial" w:cs="Arial"/>
          <w:color w:val="000000"/>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248D080" w14:textId="77777777" w:rsidR="007975D6" w:rsidRPr="007975D6" w:rsidRDefault="007975D6" w:rsidP="007975D6">
      <w:pPr>
        <w:pStyle w:val="NormalWeb"/>
        <w:spacing w:before="0" w:beforeAutospacing="0" w:after="120" w:afterAutospacing="0"/>
        <w:ind w:firstLine="708"/>
        <w:rPr>
          <w:rFonts w:ascii="Arial" w:hAnsi="Arial" w:cs="Arial"/>
          <w:color w:val="000000"/>
          <w:sz w:val="19"/>
          <w:szCs w:val="19"/>
          <w:lang w:val="es-MX"/>
        </w:rPr>
      </w:pPr>
      <w:r w:rsidRPr="007975D6">
        <w:rPr>
          <w:rFonts w:ascii="Arial" w:hAnsi="Arial" w:cs="Arial"/>
          <w:color w:val="000000"/>
          <w:sz w:val="19"/>
          <w:szCs w:val="19"/>
          <w:lang w:val="es-MX"/>
        </w:rPr>
        <w:t>»Las mismas sanciones previstas en el inciso anterior se predicarán en el evento en que el Juez de lo Contencioso Administrativa declare la nulidad del acto de inscripción.</w:t>
      </w:r>
    </w:p>
    <w:p w14:paraId="6FE7FE79" w14:textId="7D58E552" w:rsidR="007975D6" w:rsidRPr="007975D6" w:rsidRDefault="007975D6" w:rsidP="007975D6">
      <w:pPr>
        <w:pStyle w:val="NormalWeb"/>
        <w:spacing w:before="0" w:beforeAutospacing="0" w:after="120" w:afterAutospacing="0"/>
        <w:ind w:firstLine="708"/>
        <w:rPr>
          <w:rFonts w:ascii="Arial" w:hAnsi="Arial" w:cs="Arial"/>
          <w:color w:val="000000"/>
          <w:sz w:val="19"/>
          <w:szCs w:val="19"/>
          <w:lang w:val="es-MX"/>
        </w:rPr>
      </w:pPr>
      <w:r w:rsidRPr="007975D6">
        <w:rPr>
          <w:rFonts w:ascii="Arial" w:hAnsi="Arial" w:cs="Arial"/>
          <w:color w:val="000000"/>
          <w:sz w:val="19"/>
          <w:szCs w:val="19"/>
          <w:lang w:val="es-MX"/>
        </w:rPr>
        <w:t>»La información contenida en el registro es pública y su consulta será gratuita».</w:t>
      </w:r>
    </w:p>
  </w:footnote>
  <w:footnote w:id="2">
    <w:p w14:paraId="321A53B5" w14:textId="77777777" w:rsidR="007975D6" w:rsidRPr="007975D6" w:rsidRDefault="007975D6" w:rsidP="007975D6">
      <w:pPr>
        <w:pStyle w:val="Textonotapie"/>
        <w:spacing w:after="120"/>
        <w:ind w:firstLine="708"/>
        <w:rPr>
          <w:rFonts w:ascii="Arial" w:eastAsia="Times New Roman" w:hAnsi="Arial" w:cs="Arial"/>
          <w:color w:val="000000"/>
          <w:sz w:val="19"/>
          <w:szCs w:val="19"/>
          <w:lang w:eastAsia="es-CO"/>
        </w:rPr>
      </w:pPr>
      <w:r w:rsidRPr="007975D6">
        <w:rPr>
          <w:rStyle w:val="Refdenotaalpie"/>
          <w:rFonts w:ascii="Arial" w:hAnsi="Arial" w:cs="Arial"/>
          <w:color w:val="000000"/>
          <w:sz w:val="19"/>
          <w:szCs w:val="19"/>
        </w:rPr>
        <w:footnoteRef/>
      </w:r>
      <w:r w:rsidRPr="007975D6">
        <w:rPr>
          <w:rFonts w:ascii="Arial" w:eastAsia="Times New Roman" w:hAnsi="Arial" w:cs="Arial"/>
          <w:color w:val="000000"/>
          <w:sz w:val="19"/>
          <w:szCs w:val="19"/>
          <w:lang w:eastAsia="es-CO"/>
        </w:rPr>
        <w:t>«Artículo 2.2.1.1.1.5.1. Inscripción, renovación, actualización y cancelación del RUP.</w:t>
      </w:r>
    </w:p>
    <w:p w14:paraId="370A0206" w14:textId="77777777" w:rsidR="007975D6" w:rsidRPr="007975D6" w:rsidRDefault="007975D6" w:rsidP="007975D6">
      <w:pPr>
        <w:pStyle w:val="Textonotapie"/>
        <w:spacing w:after="120"/>
        <w:ind w:firstLine="708"/>
        <w:rPr>
          <w:rFonts w:ascii="Arial" w:eastAsia="Times New Roman" w:hAnsi="Arial" w:cs="Arial"/>
          <w:color w:val="000000"/>
          <w:sz w:val="19"/>
          <w:szCs w:val="19"/>
          <w:lang w:eastAsia="es-CO"/>
        </w:rPr>
      </w:pPr>
      <w:r w:rsidRPr="007975D6">
        <w:rPr>
          <w:rFonts w:ascii="Arial" w:eastAsia="Times New Roman" w:hAnsi="Arial" w:cs="Arial"/>
          <w:color w:val="000000"/>
          <w:sz w:val="19"/>
          <w:szCs w:val="19"/>
          <w:lang w:eastAsia="es-CO"/>
        </w:rPr>
        <w:t>[…]</w:t>
      </w:r>
    </w:p>
    <w:p w14:paraId="15FC6DA9" w14:textId="77777777" w:rsidR="007975D6" w:rsidRPr="007975D6" w:rsidRDefault="007975D6" w:rsidP="007975D6">
      <w:pPr>
        <w:pStyle w:val="Textonotapie"/>
        <w:spacing w:after="120"/>
        <w:ind w:firstLine="708"/>
        <w:rPr>
          <w:rFonts w:ascii="Arial" w:eastAsia="Times New Roman" w:hAnsi="Arial" w:cs="Arial"/>
          <w:color w:val="000000"/>
          <w:sz w:val="19"/>
          <w:szCs w:val="19"/>
          <w:lang w:eastAsia="es-CO"/>
        </w:rPr>
      </w:pPr>
      <w:r w:rsidRPr="007975D6">
        <w:rPr>
          <w:rFonts w:ascii="Arial" w:eastAsia="Times New Roman" w:hAnsi="Arial" w:cs="Arial"/>
          <w:color w:val="000000"/>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00798D5" w14:textId="77777777" w:rsidR="007975D6" w:rsidRPr="007975D6" w:rsidRDefault="007975D6" w:rsidP="007975D6">
      <w:pPr>
        <w:pStyle w:val="Textonotapie"/>
        <w:spacing w:after="120"/>
        <w:ind w:firstLine="708"/>
        <w:rPr>
          <w:rFonts w:ascii="Arial" w:eastAsia="Times New Roman" w:hAnsi="Arial" w:cs="Arial"/>
          <w:color w:val="000000"/>
          <w:sz w:val="19"/>
          <w:szCs w:val="19"/>
          <w:lang w:eastAsia="es-CO"/>
        </w:rPr>
      </w:pPr>
    </w:p>
  </w:footnote>
  <w:footnote w:id="3">
    <w:p w14:paraId="0E7ECBD8" w14:textId="77777777" w:rsidR="007975D6" w:rsidRPr="007975D6" w:rsidRDefault="007975D6" w:rsidP="007975D6">
      <w:pPr>
        <w:pStyle w:val="Textonotapie"/>
        <w:spacing w:after="120"/>
        <w:ind w:firstLine="708"/>
        <w:rPr>
          <w:rFonts w:ascii="Arial" w:eastAsia="Times New Roman" w:hAnsi="Arial" w:cs="Arial"/>
          <w:color w:val="000000"/>
          <w:sz w:val="19"/>
          <w:szCs w:val="19"/>
          <w:lang w:eastAsia="es-CO"/>
        </w:rPr>
      </w:pPr>
      <w:r w:rsidRPr="007975D6">
        <w:rPr>
          <w:rStyle w:val="Refdenotaalpie"/>
          <w:rFonts w:ascii="Arial" w:hAnsi="Arial" w:cs="Arial"/>
          <w:color w:val="000000"/>
          <w:sz w:val="19"/>
          <w:szCs w:val="19"/>
        </w:rPr>
        <w:footnoteRef/>
      </w:r>
      <w:r w:rsidRPr="007975D6">
        <w:rPr>
          <w:rFonts w:ascii="Arial" w:hAnsi="Arial" w:cs="Arial"/>
          <w:color w:val="000000"/>
          <w:sz w:val="19"/>
          <w:szCs w:val="19"/>
        </w:rPr>
        <w:t xml:space="preserve"> </w:t>
      </w:r>
      <w:r w:rsidRPr="007975D6">
        <w:rPr>
          <w:rFonts w:ascii="Arial" w:eastAsia="Times New Roman" w:hAnsi="Arial" w:cs="Arial"/>
          <w:color w:val="000000"/>
          <w:sz w:val="19"/>
          <w:szCs w:val="19"/>
          <w:lang w:eastAsia="es-CO"/>
        </w:rPr>
        <w:t xml:space="preserve">Consejo de Estado. Sección Tercera. Subsección A. Sentencia del 19 de septiembre de 2019. </w:t>
      </w:r>
      <w:r w:rsidRPr="007975D6">
        <w:rPr>
          <w:rFonts w:ascii="Arial" w:eastAsia="Times New Roman" w:hAnsi="Arial" w:cs="Arial"/>
          <w:color w:val="000000"/>
          <w:sz w:val="19"/>
          <w:szCs w:val="19"/>
          <w:lang w:eastAsia="es-CO"/>
        </w:rPr>
        <w:t>Exp. 59.432. C.P. Marta Nubia Velásquez Rico.</w:t>
      </w:r>
    </w:p>
    <w:p w14:paraId="315ED43E" w14:textId="77777777" w:rsidR="007975D6" w:rsidRPr="007975D6" w:rsidRDefault="007975D6" w:rsidP="007975D6">
      <w:pPr>
        <w:pStyle w:val="Textonotapie"/>
        <w:spacing w:after="120"/>
        <w:ind w:firstLine="708"/>
        <w:rPr>
          <w:rFonts w:ascii="Arial" w:hAnsi="Arial" w:cs="Arial"/>
          <w:color w:val="000000"/>
          <w:sz w:val="19"/>
          <w:szCs w:val="19"/>
          <w:lang w:val="es-CO"/>
        </w:rPr>
      </w:pPr>
    </w:p>
  </w:footnote>
  <w:footnote w:id="4">
    <w:p w14:paraId="1E011FE6" w14:textId="77777777" w:rsidR="007975D6" w:rsidRPr="007975D6" w:rsidRDefault="007975D6" w:rsidP="007975D6">
      <w:pPr>
        <w:pStyle w:val="Textonotapie"/>
        <w:spacing w:after="120"/>
        <w:ind w:firstLine="709"/>
        <w:rPr>
          <w:rFonts w:ascii="Arial" w:hAnsi="Arial" w:cs="Arial"/>
          <w:color w:val="000000"/>
          <w:sz w:val="19"/>
          <w:szCs w:val="19"/>
          <w:lang w:val="es-CO"/>
        </w:rPr>
      </w:pPr>
      <w:r w:rsidRPr="007975D6">
        <w:rPr>
          <w:rStyle w:val="Refdenotaalpie"/>
          <w:rFonts w:ascii="Arial" w:hAnsi="Arial" w:cs="Arial"/>
          <w:color w:val="000000"/>
          <w:sz w:val="19"/>
          <w:szCs w:val="19"/>
        </w:rPr>
        <w:footnoteRef/>
      </w:r>
      <w:r w:rsidRPr="007975D6">
        <w:rPr>
          <w:rFonts w:ascii="Arial" w:hAnsi="Arial" w:cs="Arial"/>
          <w:color w:val="000000"/>
          <w:sz w:val="19"/>
          <w:szCs w:val="19"/>
        </w:rPr>
        <w:t xml:space="preserve"> </w:t>
      </w:r>
      <w:r w:rsidRPr="007975D6">
        <w:rPr>
          <w:rFonts w:ascii="Arial" w:hAnsi="Arial" w:cs="Arial"/>
          <w:color w:val="000000"/>
          <w:sz w:val="19"/>
          <w:szCs w:val="19"/>
          <w:lang w:val="es-CO"/>
        </w:rPr>
        <w:t xml:space="preserve">«Artículo 87. Firmeza de los actos administrativos. Los actos administrativos quedarán en firme: </w:t>
      </w:r>
    </w:p>
    <w:p w14:paraId="2C317813" w14:textId="77777777" w:rsidR="007975D6" w:rsidRPr="007975D6" w:rsidRDefault="007975D6" w:rsidP="007975D6">
      <w:pPr>
        <w:pStyle w:val="Textonotapie"/>
        <w:spacing w:after="120"/>
        <w:ind w:firstLine="709"/>
        <w:rPr>
          <w:rFonts w:ascii="Arial" w:hAnsi="Arial" w:cs="Arial"/>
          <w:color w:val="000000"/>
          <w:sz w:val="19"/>
          <w:szCs w:val="19"/>
          <w:lang w:val="es-CO"/>
        </w:rPr>
      </w:pPr>
      <w:r w:rsidRPr="007975D6">
        <w:rPr>
          <w:rFonts w:ascii="Arial" w:hAnsi="Arial" w:cs="Arial"/>
          <w:color w:val="000000"/>
          <w:sz w:val="19"/>
          <w:szCs w:val="19"/>
          <w:lang w:val="es-CO"/>
        </w:rPr>
        <w:t xml:space="preserve">»1. Cuando contra ellos no proceda ningún recurso, desde el día siguiente al de su notificación, comunicación o publicación según el caso. </w:t>
      </w:r>
    </w:p>
    <w:p w14:paraId="00D82941" w14:textId="77777777" w:rsidR="007975D6" w:rsidRPr="007975D6" w:rsidRDefault="007975D6" w:rsidP="007975D6">
      <w:pPr>
        <w:pStyle w:val="Textonotapie"/>
        <w:spacing w:after="120"/>
        <w:ind w:firstLine="709"/>
        <w:rPr>
          <w:rFonts w:ascii="Arial" w:hAnsi="Arial" w:cs="Arial"/>
          <w:color w:val="000000"/>
          <w:sz w:val="19"/>
          <w:szCs w:val="19"/>
          <w:lang w:val="es-CO"/>
        </w:rPr>
      </w:pPr>
      <w:r w:rsidRPr="007975D6">
        <w:rPr>
          <w:rFonts w:ascii="Arial" w:hAnsi="Arial" w:cs="Arial"/>
          <w:color w:val="000000"/>
          <w:sz w:val="19"/>
          <w:szCs w:val="19"/>
          <w:lang w:val="es-CO"/>
        </w:rPr>
        <w:t xml:space="preserve">»2. Desde el día siguiente a la publicación, comunicación o notificación de la decisión sobre los recursos interpuestos. </w:t>
      </w:r>
    </w:p>
    <w:p w14:paraId="7FB34680" w14:textId="77777777" w:rsidR="007975D6" w:rsidRPr="007975D6" w:rsidRDefault="007975D6" w:rsidP="007975D6">
      <w:pPr>
        <w:pStyle w:val="Textonotapie"/>
        <w:spacing w:after="120"/>
        <w:ind w:firstLine="709"/>
        <w:rPr>
          <w:rFonts w:ascii="Arial" w:hAnsi="Arial" w:cs="Arial"/>
          <w:color w:val="000000"/>
          <w:sz w:val="19"/>
          <w:szCs w:val="19"/>
          <w:lang w:val="es-CO"/>
        </w:rPr>
      </w:pPr>
      <w:r w:rsidRPr="007975D6">
        <w:rPr>
          <w:rFonts w:ascii="Arial" w:hAnsi="Arial" w:cs="Arial"/>
          <w:color w:val="000000"/>
          <w:sz w:val="19"/>
          <w:szCs w:val="19"/>
          <w:lang w:val="es-CO"/>
        </w:rPr>
        <w:t>»3. Desde el día siguiente al del vencimiento del término para interponer los recursos, si estos no fueron interpuestos, o se hubiere renunciado expresamente a ellos.</w:t>
      </w:r>
    </w:p>
    <w:p w14:paraId="1BA49CEE" w14:textId="77777777" w:rsidR="007975D6" w:rsidRPr="007975D6" w:rsidRDefault="007975D6" w:rsidP="007975D6">
      <w:pPr>
        <w:pStyle w:val="Textonotapie"/>
        <w:spacing w:after="120"/>
        <w:ind w:firstLine="709"/>
        <w:rPr>
          <w:rFonts w:ascii="Arial" w:hAnsi="Arial" w:cs="Arial"/>
          <w:color w:val="000000"/>
          <w:sz w:val="19"/>
          <w:szCs w:val="19"/>
          <w:lang w:val="es-CO"/>
        </w:rPr>
      </w:pPr>
      <w:r w:rsidRPr="007975D6">
        <w:rPr>
          <w:rFonts w:ascii="Arial" w:hAnsi="Arial" w:cs="Arial"/>
          <w:color w:val="000000"/>
          <w:sz w:val="19"/>
          <w:szCs w:val="19"/>
          <w:lang w:val="es-CO"/>
        </w:rPr>
        <w:t xml:space="preserve">»4. Desde el día siguiente al de la notificación de la aceptación del desistimiento de los recursos. </w:t>
      </w:r>
    </w:p>
    <w:p w14:paraId="4C9E63F5" w14:textId="331A1B0B" w:rsidR="007975D6" w:rsidRPr="007975D6" w:rsidRDefault="007975D6" w:rsidP="007975D6">
      <w:pPr>
        <w:pStyle w:val="Textonotapie"/>
        <w:spacing w:after="120"/>
        <w:ind w:firstLine="709"/>
        <w:rPr>
          <w:rFonts w:ascii="Arial" w:hAnsi="Arial" w:cs="Arial"/>
          <w:color w:val="000000"/>
          <w:sz w:val="19"/>
          <w:szCs w:val="19"/>
          <w:lang w:val="es-CO"/>
        </w:rPr>
      </w:pPr>
      <w:r w:rsidRPr="007975D6">
        <w:rPr>
          <w:rFonts w:ascii="Arial" w:hAnsi="Arial" w:cs="Arial"/>
          <w:color w:val="000000"/>
          <w:sz w:val="19"/>
          <w:szCs w:val="19"/>
          <w:lang w:val="es-CO"/>
        </w:rPr>
        <w:t>»5. Desde el día siguiente al de la protocolización a que alude el artículo 85 para el silencio administrativo positivo».</w:t>
      </w:r>
    </w:p>
  </w:footnote>
  <w:footnote w:id="5">
    <w:p w14:paraId="736D8EE2" w14:textId="77777777" w:rsidR="007975D6" w:rsidRPr="007975D6" w:rsidRDefault="007975D6" w:rsidP="007975D6">
      <w:pPr>
        <w:pStyle w:val="Textonotapie"/>
        <w:spacing w:after="120"/>
        <w:ind w:firstLine="709"/>
        <w:rPr>
          <w:rFonts w:ascii="Arial" w:hAnsi="Arial" w:cs="Arial"/>
          <w:color w:val="000000"/>
          <w:sz w:val="19"/>
          <w:szCs w:val="19"/>
          <w:lang w:val="es-CO"/>
        </w:rPr>
      </w:pPr>
      <w:r w:rsidRPr="007975D6">
        <w:rPr>
          <w:rStyle w:val="Refdenotaalpie"/>
          <w:rFonts w:ascii="Arial" w:hAnsi="Arial" w:cs="Arial"/>
          <w:color w:val="000000"/>
          <w:sz w:val="19"/>
          <w:szCs w:val="19"/>
        </w:rPr>
        <w:footnoteRef/>
      </w:r>
      <w:r w:rsidRPr="007975D6">
        <w:rPr>
          <w:rFonts w:ascii="Arial" w:hAnsi="Arial" w:cs="Arial"/>
          <w:color w:val="000000"/>
          <w:sz w:val="19"/>
          <w:szCs w:val="19"/>
        </w:rPr>
        <w:t xml:space="preserve"> </w:t>
      </w:r>
      <w:r w:rsidRPr="007975D6">
        <w:rPr>
          <w:rFonts w:ascii="Arial" w:hAnsi="Arial" w:cs="Arial"/>
          <w:color w:val="000000"/>
          <w:sz w:val="19"/>
          <w:szCs w:val="19"/>
          <w:lang w:val="es-CO"/>
        </w:rPr>
        <w:t xml:space="preserve">Consejo de Estado. Sección Cuarta. Sentencia del 19 de noviembre de 1999. </w:t>
      </w:r>
      <w:r w:rsidRPr="007975D6">
        <w:rPr>
          <w:rFonts w:ascii="Arial" w:hAnsi="Arial" w:cs="Arial"/>
          <w:color w:val="000000"/>
          <w:sz w:val="19"/>
          <w:szCs w:val="19"/>
          <w:lang w:val="es-CO"/>
        </w:rPr>
        <w:t>Exp. 9.453. CP. Daniel Manrique Guzmán.</w:t>
      </w:r>
    </w:p>
    <w:p w14:paraId="4D0F6EFC" w14:textId="77777777" w:rsidR="007975D6" w:rsidRPr="007975D6" w:rsidRDefault="007975D6" w:rsidP="007975D6">
      <w:pPr>
        <w:pStyle w:val="Textonotapie"/>
        <w:spacing w:after="120"/>
        <w:rPr>
          <w:rFonts w:ascii="Arial" w:hAnsi="Arial" w:cs="Arial"/>
          <w:color w:val="000000"/>
          <w:sz w:val="19"/>
          <w:szCs w:val="19"/>
        </w:rPr>
      </w:pPr>
    </w:p>
  </w:footnote>
  <w:footnote w:id="6">
    <w:p w14:paraId="3884B6BB" w14:textId="77777777" w:rsidR="007975D6" w:rsidRDefault="007975D6" w:rsidP="007975D6">
      <w:pPr>
        <w:pStyle w:val="Textonotapie"/>
        <w:spacing w:after="120"/>
        <w:ind w:firstLine="708"/>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Ley 1437 de 2011. </w:t>
      </w:r>
      <w:r>
        <w:rPr>
          <w:rFonts w:ascii="Arial" w:hAnsi="Arial" w:cs="Arial"/>
          <w:sz w:val="19"/>
          <w:szCs w:val="19"/>
        </w:rPr>
        <w:t>«</w:t>
      </w:r>
      <w:r w:rsidRPr="001067BF">
        <w:rPr>
          <w:rFonts w:ascii="Arial" w:hAnsi="Arial" w:cs="Arial"/>
          <w:sz w:val="19"/>
          <w:szCs w:val="19"/>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767F15E0" w14:textId="0151C1CE" w:rsidR="007975D6" w:rsidRDefault="007975D6" w:rsidP="007975D6">
      <w:pPr>
        <w:pStyle w:val="Textonotapie"/>
        <w:spacing w:after="120"/>
        <w:ind w:firstLine="708"/>
        <w:rPr>
          <w:rFonts w:ascii="Arial" w:hAnsi="Arial" w:cs="Arial"/>
          <w:sz w:val="19"/>
          <w:szCs w:val="19"/>
        </w:rPr>
      </w:pPr>
      <w:r>
        <w:rPr>
          <w:rFonts w:ascii="Arial" w:hAnsi="Arial" w:cs="Arial"/>
          <w:sz w:val="19"/>
          <w:szCs w:val="19"/>
        </w:rPr>
        <w:t>[…]</w:t>
      </w:r>
    </w:p>
    <w:p w14:paraId="047732BB" w14:textId="77777777" w:rsidR="007975D6" w:rsidRPr="001067BF" w:rsidRDefault="007975D6" w:rsidP="007975D6">
      <w:pPr>
        <w:pStyle w:val="Textonotapie"/>
        <w:spacing w:after="120"/>
        <w:ind w:firstLine="708"/>
        <w:rPr>
          <w:rFonts w:ascii="Arial" w:hAnsi="Arial" w:cs="Arial"/>
          <w:sz w:val="19"/>
          <w:szCs w:val="19"/>
        </w:rPr>
      </w:pPr>
      <w:r>
        <w:rPr>
          <w:rFonts w:ascii="Arial" w:hAnsi="Arial" w:cs="Arial"/>
          <w:sz w:val="19"/>
          <w:szCs w:val="19"/>
        </w:rPr>
        <w:t>»</w:t>
      </w:r>
      <w:r w:rsidRPr="001067BF">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1067BF">
        <w:rPr>
          <w:rFonts w:ascii="Arial" w:hAnsi="Arial" w:cs="Arial"/>
          <w:sz w:val="19"/>
          <w:szCs w:val="19"/>
        </w:rPr>
        <w:t>.</w:t>
      </w:r>
    </w:p>
    <w:p w14:paraId="6BE1E940" w14:textId="77777777" w:rsidR="007975D6" w:rsidRPr="001067BF" w:rsidRDefault="007975D6" w:rsidP="007975D6">
      <w:pPr>
        <w:pStyle w:val="Textonotapie"/>
        <w:spacing w:after="120"/>
        <w:ind w:firstLine="708"/>
        <w:rPr>
          <w:rFonts w:ascii="Arial" w:hAnsi="Arial" w:cs="Arial"/>
          <w:sz w:val="19"/>
          <w:szCs w:val="19"/>
        </w:rPr>
      </w:pPr>
    </w:p>
  </w:footnote>
  <w:footnote w:id="7">
    <w:p w14:paraId="54BE3ABA" w14:textId="77777777" w:rsidR="007975D6" w:rsidRPr="007975D6" w:rsidRDefault="007975D6" w:rsidP="007975D6">
      <w:pPr>
        <w:spacing w:after="120"/>
        <w:ind w:firstLine="709"/>
        <w:jc w:val="both"/>
        <w:rPr>
          <w:rFonts w:ascii="Arial" w:hAnsi="Arial" w:cs="Arial"/>
          <w:color w:val="000000"/>
          <w:sz w:val="19"/>
          <w:szCs w:val="19"/>
        </w:rPr>
      </w:pPr>
      <w:r w:rsidRPr="007975D6">
        <w:rPr>
          <w:rStyle w:val="Refdenotaalpie"/>
          <w:rFonts w:ascii="Arial" w:hAnsi="Arial" w:cs="Arial"/>
          <w:color w:val="000000"/>
          <w:sz w:val="19"/>
          <w:szCs w:val="19"/>
        </w:rPr>
        <w:footnoteRef/>
      </w:r>
      <w:r w:rsidRPr="007975D6">
        <w:rPr>
          <w:rFonts w:ascii="Arial" w:hAnsi="Arial" w:cs="Arial"/>
          <w:color w:val="000000"/>
          <w:sz w:val="19"/>
          <w:szCs w:val="19"/>
        </w:rPr>
        <w:t xml:space="preserve"> Ley 1882 de 2018: «Artículo 5. Modifíquese el Parágrafo 1 e inclúyanse los parágrafos 3, 4 y 5 de artículo 5° de la Ley 1150 de 2007, los cuales quedarán así: </w:t>
      </w:r>
    </w:p>
    <w:p w14:paraId="20DFE2CA" w14:textId="77777777" w:rsidR="007975D6" w:rsidRPr="007975D6" w:rsidRDefault="007975D6" w:rsidP="007975D6">
      <w:pPr>
        <w:spacing w:after="120"/>
        <w:ind w:firstLine="709"/>
        <w:jc w:val="both"/>
        <w:rPr>
          <w:rFonts w:ascii="Arial" w:hAnsi="Arial" w:cs="Arial"/>
          <w:color w:val="000000"/>
          <w:sz w:val="19"/>
          <w:szCs w:val="19"/>
        </w:rPr>
      </w:pPr>
      <w:r w:rsidRPr="007975D6">
        <w:rPr>
          <w:rFonts w:ascii="Arial" w:hAnsi="Arial" w:cs="Arial"/>
          <w:color w:val="000000"/>
          <w:sz w:val="19"/>
          <w:szCs w:val="19"/>
        </w:rPr>
        <w:t xml:space="preserve">[…] </w:t>
      </w:r>
    </w:p>
    <w:p w14:paraId="480C2477" w14:textId="77777777" w:rsidR="007975D6" w:rsidRPr="007975D6" w:rsidRDefault="007975D6" w:rsidP="007975D6">
      <w:pPr>
        <w:spacing w:after="120"/>
        <w:ind w:firstLine="709"/>
        <w:jc w:val="both"/>
        <w:rPr>
          <w:rFonts w:ascii="Arial" w:hAnsi="Arial" w:cs="Arial"/>
          <w:color w:val="000000"/>
          <w:sz w:val="19"/>
          <w:szCs w:val="19"/>
        </w:rPr>
      </w:pPr>
      <w:r w:rsidRPr="007975D6">
        <w:rPr>
          <w:rFonts w:ascii="Arial" w:hAnsi="Arial" w:cs="Arial"/>
          <w:color w:val="000000"/>
          <w:sz w:val="19"/>
          <w:szCs w:val="19"/>
        </w:rPr>
        <w:t xml:space="preserve">»Artículo 5°. De la selección objetiva. </w:t>
      </w:r>
    </w:p>
    <w:p w14:paraId="14DFD535" w14:textId="77777777" w:rsidR="007975D6" w:rsidRPr="007975D6" w:rsidRDefault="007975D6" w:rsidP="007975D6">
      <w:pPr>
        <w:spacing w:after="120"/>
        <w:ind w:firstLine="709"/>
        <w:jc w:val="both"/>
        <w:rPr>
          <w:rFonts w:ascii="Arial" w:hAnsi="Arial" w:cs="Arial"/>
          <w:color w:val="000000"/>
          <w:sz w:val="19"/>
          <w:szCs w:val="19"/>
        </w:rPr>
      </w:pPr>
      <w:r w:rsidRPr="007975D6">
        <w:rPr>
          <w:rFonts w:ascii="Arial" w:hAnsi="Arial" w:cs="Arial"/>
          <w:color w:val="000000"/>
          <w:sz w:val="19"/>
          <w:szCs w:val="19"/>
        </w:rPr>
        <w:t xml:space="preserve">[…] </w:t>
      </w:r>
    </w:p>
    <w:p w14:paraId="6A02FBE9" w14:textId="77777777" w:rsidR="007975D6" w:rsidRPr="007975D6" w:rsidRDefault="007975D6" w:rsidP="007975D6">
      <w:pPr>
        <w:spacing w:after="120"/>
        <w:ind w:firstLine="709"/>
        <w:jc w:val="both"/>
        <w:rPr>
          <w:rFonts w:ascii="Arial" w:hAnsi="Arial" w:cs="Arial"/>
          <w:color w:val="000000"/>
          <w:sz w:val="19"/>
          <w:szCs w:val="19"/>
        </w:rPr>
      </w:pPr>
      <w:r w:rsidRPr="007975D6">
        <w:rPr>
          <w:rFonts w:ascii="Arial" w:hAnsi="Arial" w:cs="Arial"/>
          <w:color w:val="000000"/>
          <w:sz w:val="19"/>
          <w:szCs w:val="19"/>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4CEBEC05" w14:textId="73111AD8" w:rsidR="007975D6" w:rsidRPr="007975D6" w:rsidRDefault="007975D6" w:rsidP="007975D6">
      <w:pPr>
        <w:spacing w:after="120"/>
        <w:ind w:firstLine="709"/>
        <w:jc w:val="both"/>
        <w:rPr>
          <w:rFonts w:ascii="Arial" w:hAnsi="Arial" w:cs="Arial"/>
          <w:color w:val="000000"/>
          <w:sz w:val="19"/>
          <w:szCs w:val="19"/>
        </w:rPr>
      </w:pPr>
      <w:r w:rsidRPr="007975D6">
        <w:rPr>
          <w:rFonts w:ascii="Arial" w:hAnsi="Arial" w:cs="Arial"/>
          <w:i/>
          <w:iCs/>
          <w:color w:val="000000"/>
          <w:sz w:val="19"/>
          <w:szCs w:val="19"/>
        </w:rPr>
        <w:t>»Durante el término otorgado para subsanar las ofertas, los proponentes no podrán acreditar circunstancias ocurridas con posterioridad al cierre del proceso»</w:t>
      </w:r>
      <w:r w:rsidRPr="007975D6">
        <w:rPr>
          <w:rFonts w:ascii="Arial" w:hAnsi="Arial" w:cs="Arial"/>
          <w:color w:val="000000"/>
          <w:sz w:val="19"/>
          <w:szCs w:val="19"/>
        </w:rPr>
        <w:t xml:space="preserve"> (cursiva fuera de texto).</w:t>
      </w:r>
    </w:p>
  </w:footnote>
  <w:footnote w:id="8">
    <w:p w14:paraId="1CAC0408" w14:textId="13CC1904" w:rsidR="007975D6" w:rsidRPr="007975D6" w:rsidRDefault="007975D6" w:rsidP="007975D6">
      <w:pPr>
        <w:pStyle w:val="Textonotapie"/>
        <w:spacing w:after="120"/>
        <w:ind w:firstLine="709"/>
        <w:rPr>
          <w:rFonts w:ascii="Arial" w:hAnsi="Arial" w:cs="Arial"/>
          <w:color w:val="000000"/>
          <w:sz w:val="19"/>
          <w:szCs w:val="19"/>
        </w:rPr>
      </w:pPr>
      <w:r w:rsidRPr="007975D6">
        <w:rPr>
          <w:rStyle w:val="Refdenotaalpie"/>
          <w:rFonts w:ascii="Arial" w:hAnsi="Arial" w:cs="Arial"/>
          <w:color w:val="000000"/>
          <w:sz w:val="19"/>
          <w:szCs w:val="19"/>
        </w:rPr>
        <w:footnoteRef/>
      </w:r>
      <w:r w:rsidRPr="007975D6">
        <w:rPr>
          <w:rFonts w:ascii="Arial" w:hAnsi="Arial" w:cs="Arial"/>
          <w:color w:val="000000"/>
          <w:sz w:val="19"/>
          <w:szCs w:val="19"/>
        </w:rPr>
        <w:t xml:space="preserve"> </w:t>
      </w:r>
      <w:r w:rsidRPr="007975D6">
        <w:rPr>
          <w:rFonts w:ascii="Arial" w:hAnsi="Arial" w:cs="Arial"/>
          <w:color w:val="000000"/>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7975D6">
        <w:rPr>
          <w:rFonts w:ascii="Arial" w:hAnsi="Arial" w:cs="Arial"/>
          <w:i/>
          <w:iCs/>
          <w:color w:val="000000"/>
          <w:sz w:val="19"/>
          <w:szCs w:val="19"/>
          <w:lang w:val="es-CO"/>
        </w:rPr>
        <w:t>ni que se acrediten circunstancias ocurridas con posterioridad al cierre del proceso»</w:t>
      </w:r>
      <w:r w:rsidRPr="007975D6">
        <w:rPr>
          <w:rFonts w:ascii="Arial" w:hAnsi="Arial" w:cs="Arial"/>
          <w:color w:val="000000"/>
          <w:sz w:val="19"/>
          <w:szCs w:val="19"/>
          <w:lang w:val="es-CO"/>
        </w:rPr>
        <w:t xml:space="preserve"> (cursiva fuera de texto).</w:t>
      </w:r>
    </w:p>
  </w:footnote>
  <w:footnote w:id="9">
    <w:p w14:paraId="0E235A63" w14:textId="77777777" w:rsidR="007975D6" w:rsidRPr="007975D6" w:rsidRDefault="007975D6" w:rsidP="007975D6">
      <w:pPr>
        <w:pStyle w:val="Textonotapie"/>
        <w:spacing w:after="120"/>
        <w:ind w:firstLine="709"/>
        <w:rPr>
          <w:rFonts w:ascii="Arial" w:hAnsi="Arial" w:cs="Arial"/>
          <w:color w:val="000000"/>
          <w:sz w:val="19"/>
          <w:szCs w:val="19"/>
          <w:lang w:val="es-CO"/>
        </w:rPr>
      </w:pPr>
      <w:r w:rsidRPr="007975D6">
        <w:rPr>
          <w:rStyle w:val="Refdenotaalpie"/>
          <w:rFonts w:ascii="Arial" w:hAnsi="Arial" w:cs="Arial"/>
          <w:color w:val="000000"/>
          <w:sz w:val="19"/>
          <w:szCs w:val="19"/>
        </w:rPr>
        <w:footnoteRef/>
      </w:r>
      <w:r w:rsidRPr="007975D6">
        <w:rPr>
          <w:rFonts w:ascii="Arial" w:hAnsi="Arial" w:cs="Arial"/>
          <w:color w:val="000000"/>
          <w:sz w:val="19"/>
          <w:szCs w:val="19"/>
        </w:rPr>
        <w:t xml:space="preserve"> </w:t>
      </w:r>
      <w:r w:rsidRPr="007975D6">
        <w:rPr>
          <w:rFonts w:ascii="Arial" w:hAnsi="Arial" w:cs="Arial"/>
          <w:color w:val="000000"/>
          <w:sz w:val="19"/>
          <w:szCs w:val="19"/>
          <w:lang w:val="es-CO"/>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w:t>
      </w:r>
      <w:r w:rsidRPr="007975D6">
        <w:rPr>
          <w:rFonts w:ascii="Arial" w:hAnsi="Arial" w:cs="Arial"/>
          <w:color w:val="000000"/>
          <w:sz w:val="19"/>
          <w:szCs w:val="19"/>
          <w:lang w:val="es-CO"/>
        </w:rPr>
        <w:t>Exp. 1.927. C.P. William Zambrano Cetina).</w:t>
      </w:r>
    </w:p>
    <w:p w14:paraId="7D4F3345" w14:textId="77777777" w:rsidR="007975D6" w:rsidRPr="007975D6" w:rsidRDefault="007975D6" w:rsidP="007975D6">
      <w:pPr>
        <w:pStyle w:val="Textonotapie"/>
        <w:spacing w:after="120"/>
        <w:rPr>
          <w:rFonts w:ascii="Arial" w:hAnsi="Arial" w:cs="Arial"/>
          <w:color w:val="000000"/>
          <w:sz w:val="19"/>
          <w:szCs w:val="19"/>
        </w:rPr>
      </w:pPr>
    </w:p>
  </w:footnote>
  <w:footnote w:id="10">
    <w:p w14:paraId="2A7ED65D" w14:textId="77777777" w:rsidR="005A1E4F" w:rsidRDefault="005A1E4F" w:rsidP="005A1E4F">
      <w:pPr>
        <w:pStyle w:val="Textonotapie"/>
        <w:ind w:firstLine="708"/>
        <w:rPr>
          <w:rFonts w:ascii="Arial" w:eastAsia="Arial" w:hAnsi="Arial" w:cs="Arial"/>
          <w:sz w:val="19"/>
          <w:szCs w:val="19"/>
          <w:lang w:val="es-CO"/>
        </w:rPr>
      </w:pPr>
      <w:r>
        <w:rPr>
          <w:rStyle w:val="Refdenotaalpie"/>
          <w:sz w:val="19"/>
          <w:szCs w:val="19"/>
        </w:rPr>
        <w:footnoteRef/>
      </w:r>
      <w:r>
        <w:rPr>
          <w:sz w:val="19"/>
          <w:szCs w:val="19"/>
        </w:rPr>
        <w:t xml:space="preserve"> Decreto 1082 de 2015, artículo 2.2.1.1.1.5.1., citado previamente.</w:t>
      </w:r>
    </w:p>
  </w:footnote>
  <w:footnote w:id="11">
    <w:p w14:paraId="626EDDD1" w14:textId="77777777" w:rsidR="007975D6" w:rsidRPr="009300AE" w:rsidRDefault="007975D6" w:rsidP="007975D6">
      <w:pPr>
        <w:pStyle w:val="Sinespaciado"/>
        <w:spacing w:after="120"/>
        <w:ind w:firstLine="708"/>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Ley 2022 de 2020, Artículo 1º: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2408F97" w14:textId="77777777" w:rsidR="007975D6" w:rsidRPr="009300AE" w:rsidRDefault="007975D6" w:rsidP="007975D6">
      <w:pPr>
        <w:pStyle w:val="Sinespaciado"/>
        <w:spacing w:after="120"/>
        <w:ind w:firstLine="708"/>
        <w:rPr>
          <w:rFonts w:ascii="Arial" w:hAnsi="Arial" w:cs="Arial"/>
          <w:sz w:val="19"/>
          <w:szCs w:val="19"/>
        </w:rPr>
      </w:pPr>
      <w:r w:rsidRPr="009300AE">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1D16694" w14:textId="77777777" w:rsidR="007975D6" w:rsidRPr="009300AE" w:rsidRDefault="007975D6" w:rsidP="007975D6">
      <w:pPr>
        <w:pStyle w:val="Sinespaciado"/>
        <w:spacing w:after="120"/>
        <w:ind w:firstLine="708"/>
        <w:rPr>
          <w:rFonts w:ascii="Arial" w:hAnsi="Arial" w:cs="Arial"/>
          <w:sz w:val="19"/>
          <w:szCs w:val="19"/>
        </w:rPr>
      </w:pPr>
      <w:r w:rsidRPr="009300AE">
        <w:rPr>
          <w:rFonts w:ascii="Arial" w:hAnsi="Arial" w:cs="Arial"/>
          <w:sz w:val="19"/>
          <w:szCs w:val="19"/>
        </w:rPr>
        <w:t xml:space="preserve">»Con el ánimo de promover la descentralización, el empleo local, el desarrollo, los servicios e industria local, en la adopción de los documentos tipo, se tendrá en cuenta las características propias de las regiones […]  </w:t>
      </w:r>
    </w:p>
    <w:p w14:paraId="295903A0" w14:textId="77777777" w:rsidR="007975D6" w:rsidRPr="009300AE" w:rsidRDefault="007975D6" w:rsidP="007975D6">
      <w:pPr>
        <w:pStyle w:val="Sinespaciado"/>
        <w:spacing w:after="120"/>
        <w:ind w:firstLine="708"/>
        <w:rPr>
          <w:rFonts w:ascii="Arial" w:hAnsi="Arial" w:cs="Arial"/>
          <w:sz w:val="19"/>
          <w:szCs w:val="19"/>
        </w:rPr>
      </w:pPr>
      <w:r w:rsidRPr="009300AE">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12">
    <w:p w14:paraId="56ECCC04" w14:textId="77777777" w:rsidR="007975D6" w:rsidRPr="009300AE" w:rsidRDefault="007975D6" w:rsidP="007975D6">
      <w:pPr>
        <w:pStyle w:val="Sinespaciado"/>
        <w:spacing w:after="120"/>
        <w:ind w:firstLine="708"/>
        <w:rPr>
          <w:rFonts w:ascii="Arial" w:hAnsi="Arial" w:cs="Arial"/>
          <w:sz w:val="19"/>
          <w:szCs w:val="19"/>
        </w:rPr>
      </w:pPr>
      <w:r w:rsidRPr="009300AE">
        <w:rPr>
          <w:rStyle w:val="Refdenotaalpie"/>
          <w:rFonts w:ascii="Arial" w:hAnsi="Arial" w:cs="Arial"/>
          <w:sz w:val="19"/>
          <w:szCs w:val="19"/>
        </w:rPr>
        <w:footnoteRef/>
      </w:r>
      <w:r w:rsidRPr="009300AE">
        <w:rPr>
          <w:rFonts w:ascii="Arial" w:hAnsi="Arial" w:cs="Arial"/>
          <w:sz w:val="19"/>
          <w:szCs w:val="19"/>
        </w:rPr>
        <w:t xml:space="preserve"> Agencia Nacional de Contratación Pública – Colombia Compra Eficiente, Concepto C–174 del 26 de abril de 2021. </w:t>
      </w:r>
    </w:p>
    <w:p w14:paraId="555BACD0" w14:textId="77777777" w:rsidR="007975D6" w:rsidRPr="009300AE" w:rsidRDefault="007975D6" w:rsidP="007975D6">
      <w:pPr>
        <w:pStyle w:val="Sinespaciado"/>
        <w:spacing w:after="120"/>
        <w:rPr>
          <w:rFonts w:ascii="Arial" w:hAnsi="Arial" w:cs="Arial"/>
          <w:sz w:val="19"/>
          <w:szCs w:val="19"/>
        </w:rPr>
      </w:pPr>
    </w:p>
  </w:footnote>
  <w:footnote w:id="13">
    <w:p w14:paraId="39018EF7" w14:textId="77777777" w:rsidR="007975D6" w:rsidRPr="009300AE" w:rsidRDefault="007975D6" w:rsidP="007975D6">
      <w:pPr>
        <w:pStyle w:val="Sinespaciado"/>
        <w:spacing w:after="120"/>
        <w:ind w:firstLine="708"/>
        <w:rPr>
          <w:rFonts w:ascii="Arial" w:hAnsi="Arial" w:cs="Arial"/>
          <w:sz w:val="19"/>
          <w:szCs w:val="19"/>
          <w:lang w:val="es-CO"/>
        </w:rPr>
      </w:pPr>
      <w:r w:rsidRPr="009300AE">
        <w:rPr>
          <w:rStyle w:val="Refdenotaalpie"/>
          <w:rFonts w:ascii="Arial" w:hAnsi="Arial" w:cs="Arial"/>
          <w:sz w:val="19"/>
          <w:szCs w:val="19"/>
        </w:rPr>
        <w:footnoteRef/>
      </w:r>
      <w:r w:rsidRPr="009300AE">
        <w:rPr>
          <w:rFonts w:ascii="Arial" w:hAnsi="Arial" w:cs="Arial"/>
          <w:sz w:val="19"/>
          <w:szCs w:val="19"/>
        </w:rPr>
        <w:t xml:space="preserve"> Agencia Nacional de Contratación Pública – Colombia Compra Eficiente, </w:t>
      </w:r>
      <w:r w:rsidRPr="009300AE">
        <w:rPr>
          <w:rFonts w:ascii="Arial" w:hAnsi="Arial" w:cs="Arial"/>
          <w:sz w:val="19"/>
          <w:szCs w:val="19"/>
          <w:lang w:val="es-CO"/>
        </w:rPr>
        <w:t xml:space="preserve">Concepto C-156 de 20 de abril de 2021. </w:t>
      </w:r>
    </w:p>
    <w:p w14:paraId="0BD666AF" w14:textId="77777777" w:rsidR="007975D6" w:rsidRPr="009300AE" w:rsidRDefault="007975D6" w:rsidP="007975D6">
      <w:pPr>
        <w:pStyle w:val="Sinespaciado"/>
        <w:spacing w:after="120"/>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8F00" w14:textId="77777777" w:rsidR="00E2401E" w:rsidRPr="003F58A1" w:rsidRDefault="00E2401E" w:rsidP="00E2401E">
    <w:pPr>
      <w:rPr>
        <w:rFonts w:ascii="Geomanist Bold" w:hAnsi="Geomanist Bold"/>
        <w:color w:val="002060"/>
      </w:rPr>
    </w:pPr>
    <w:r w:rsidRPr="008614E5">
      <w:rPr>
        <w:rFonts w:eastAsia="Arial Nova" w:cs="Arial Nova"/>
        <w:noProof/>
        <w:lang w:val="en-US"/>
      </w:rPr>
      <w:drawing>
        <wp:anchor distT="0" distB="0" distL="0" distR="0" simplePos="0" relativeHeight="251659264" behindDoc="1" locked="0" layoutInCell="1" hidden="0" allowOverlap="1" wp14:anchorId="3163C389" wp14:editId="5B513C0E">
          <wp:simplePos x="0" y="0"/>
          <wp:positionH relativeFrom="margin">
            <wp:posOffset>3973830</wp:posOffset>
          </wp:positionH>
          <wp:positionV relativeFrom="paragraph">
            <wp:posOffset>16510</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E2401E" w:rsidRPr="00367110" w14:paraId="5F68B3B6" w14:textId="77777777" w:rsidTr="00727906">
      <w:tc>
        <w:tcPr>
          <w:tcW w:w="6756" w:type="dxa"/>
        </w:tcPr>
        <w:p w14:paraId="5C0EF0E1" w14:textId="77777777" w:rsidR="00E2401E" w:rsidRPr="006478E3" w:rsidRDefault="00E2401E" w:rsidP="00E2401E">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443BC792" w14:textId="77777777" w:rsidR="00E2401E" w:rsidRPr="0057618A" w:rsidRDefault="00E2401E" w:rsidP="00E2401E">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4641217" w14:textId="77777777" w:rsidR="00E2401E" w:rsidRPr="00367110" w:rsidRDefault="00E2401E" w:rsidP="00E2401E">
          <w:pPr>
            <w:jc w:val="right"/>
            <w:rPr>
              <w:rFonts w:eastAsia="Arial Nova" w:cs="Arial Nova"/>
              <w:lang w:eastAsia="es-CO"/>
            </w:rPr>
          </w:pPr>
        </w:p>
      </w:tc>
      <w:tc>
        <w:tcPr>
          <w:tcW w:w="1324" w:type="dxa"/>
        </w:tcPr>
        <w:p w14:paraId="4E16E554" w14:textId="77777777" w:rsidR="00E2401E" w:rsidRPr="00367110" w:rsidRDefault="00E2401E" w:rsidP="00E2401E">
          <w:pPr>
            <w:jc w:val="right"/>
            <w:rPr>
              <w:rFonts w:eastAsia="Arial Nova" w:cs="Arial Nova"/>
              <w:lang w:eastAsia="es-CO"/>
            </w:rPr>
          </w:pPr>
        </w:p>
      </w:tc>
    </w:tr>
  </w:tbl>
  <w:p w14:paraId="4EC3320C" w14:textId="77777777" w:rsidR="00E2401E" w:rsidRPr="00906B3C" w:rsidRDefault="00E2401E" w:rsidP="00E2401E">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5679C465" wp14:editId="18703255">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89"/>
    <w:rsid w:val="00023055"/>
    <w:rsid w:val="0004636C"/>
    <w:rsid w:val="000F063F"/>
    <w:rsid w:val="00101375"/>
    <w:rsid w:val="00116D6B"/>
    <w:rsid w:val="001425C6"/>
    <w:rsid w:val="00181A0F"/>
    <w:rsid w:val="001A2AFA"/>
    <w:rsid w:val="001A5C14"/>
    <w:rsid w:val="00423890"/>
    <w:rsid w:val="00437E89"/>
    <w:rsid w:val="004408FC"/>
    <w:rsid w:val="00521459"/>
    <w:rsid w:val="00572947"/>
    <w:rsid w:val="005A1E4F"/>
    <w:rsid w:val="005A3892"/>
    <w:rsid w:val="005A3ABD"/>
    <w:rsid w:val="0061094A"/>
    <w:rsid w:val="00624467"/>
    <w:rsid w:val="00626C11"/>
    <w:rsid w:val="00633992"/>
    <w:rsid w:val="00691DD0"/>
    <w:rsid w:val="00706419"/>
    <w:rsid w:val="0074570F"/>
    <w:rsid w:val="00793735"/>
    <w:rsid w:val="007975D6"/>
    <w:rsid w:val="007B41F8"/>
    <w:rsid w:val="007E0F2F"/>
    <w:rsid w:val="00812D9A"/>
    <w:rsid w:val="00864140"/>
    <w:rsid w:val="008702D8"/>
    <w:rsid w:val="009131EE"/>
    <w:rsid w:val="00A06FBF"/>
    <w:rsid w:val="00A6750C"/>
    <w:rsid w:val="00AA6A7F"/>
    <w:rsid w:val="00AF3176"/>
    <w:rsid w:val="00AF3C37"/>
    <w:rsid w:val="00BE388B"/>
    <w:rsid w:val="00C86CBC"/>
    <w:rsid w:val="00CA396F"/>
    <w:rsid w:val="00E2268A"/>
    <w:rsid w:val="00E2401E"/>
    <w:rsid w:val="00E52736"/>
    <w:rsid w:val="00EA08EE"/>
    <w:rsid w:val="00EF0EC2"/>
    <w:rsid w:val="00EF2B05"/>
    <w:rsid w:val="00F03154"/>
    <w:rsid w:val="00FB34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0039F"/>
  <w15:chartTrackingRefBased/>
  <w15:docId w15:val="{49E9BEC0-683C-47FD-B036-B70DE43A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7E8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437E89"/>
    <w:rPr>
      <w:sz w:val="24"/>
      <w:lang w:val="es-MX"/>
    </w:rPr>
  </w:style>
  <w:style w:type="paragraph" w:styleId="Encabezado">
    <w:name w:val="header"/>
    <w:basedOn w:val="Normal"/>
    <w:link w:val="EncabezadoCar"/>
    <w:uiPriority w:val="99"/>
    <w:unhideWhenUsed/>
    <w:rsid w:val="00437E8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437E89"/>
    <w:rPr>
      <w:sz w:val="24"/>
      <w:lang w:val="es-MX"/>
    </w:rPr>
  </w:style>
  <w:style w:type="table" w:styleId="Tablaconcuadrcula">
    <w:name w:val="Table Grid"/>
    <w:basedOn w:val="Tablanormal"/>
    <w:uiPriority w:val="59"/>
    <w:rsid w:val="00437E8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437E8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1"/>
    <w:qFormat/>
    <w:rsid w:val="00437E89"/>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37E8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437E89"/>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437E8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437E89"/>
    <w:rPr>
      <w:vertAlign w:val="superscript"/>
    </w:rPr>
  </w:style>
  <w:style w:type="paragraph" w:customStyle="1" w:styleId="Appelnotedebasde">
    <w:name w:val="Appel note de bas de..."/>
    <w:basedOn w:val="Normal"/>
    <w:link w:val="Refdenotaalpie"/>
    <w:uiPriority w:val="99"/>
    <w:rsid w:val="00437E89"/>
    <w:pPr>
      <w:spacing w:line="240" w:lineRule="exact"/>
      <w:jc w:val="both"/>
    </w:pPr>
    <w:rPr>
      <w:vertAlign w:val="superscript"/>
    </w:rPr>
  </w:style>
  <w:style w:type="character" w:customStyle="1" w:styleId="NormalWebCar">
    <w:name w:val="Normal (Web) Car"/>
    <w:link w:val="NormalWeb"/>
    <w:uiPriority w:val="99"/>
    <w:locked/>
    <w:rsid w:val="00437E89"/>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43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37E89"/>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rsid w:val="00437E89"/>
    <w:rPr>
      <w:sz w:val="20"/>
      <w:szCs w:val="20"/>
      <w:lang w:val="es-MX"/>
    </w:rPr>
  </w:style>
  <w:style w:type="paragraph" w:customStyle="1" w:styleId="paragraph">
    <w:name w:val="paragraph"/>
    <w:basedOn w:val="Normal"/>
    <w:rsid w:val="00437E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37E89"/>
  </w:style>
  <w:style w:type="character" w:customStyle="1" w:styleId="eop">
    <w:name w:val="eop"/>
    <w:basedOn w:val="Fuentedeprrafopredeter"/>
    <w:rsid w:val="00437E89"/>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437E89"/>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37E89"/>
    <w:rPr>
      <w:sz w:val="24"/>
      <w:lang w:val="es-MX"/>
    </w:rPr>
  </w:style>
  <w:style w:type="paragraph" w:styleId="Revisin">
    <w:name w:val="Revision"/>
    <w:hidden/>
    <w:uiPriority w:val="99"/>
    <w:semiHidden/>
    <w:rsid w:val="00CA396F"/>
    <w:pPr>
      <w:spacing w:after="0" w:line="240" w:lineRule="auto"/>
    </w:pPr>
  </w:style>
  <w:style w:type="character" w:styleId="Refdecomentario">
    <w:name w:val="annotation reference"/>
    <w:basedOn w:val="Fuentedeprrafopredeter"/>
    <w:uiPriority w:val="99"/>
    <w:semiHidden/>
    <w:unhideWhenUsed/>
    <w:rsid w:val="00793735"/>
    <w:rPr>
      <w:sz w:val="16"/>
      <w:szCs w:val="16"/>
    </w:rPr>
  </w:style>
  <w:style w:type="paragraph" w:styleId="Asuntodelcomentario">
    <w:name w:val="annotation subject"/>
    <w:basedOn w:val="Textocomentario"/>
    <w:next w:val="Textocomentario"/>
    <w:link w:val="AsuntodelcomentarioCar"/>
    <w:uiPriority w:val="99"/>
    <w:semiHidden/>
    <w:unhideWhenUsed/>
    <w:rsid w:val="00793735"/>
    <w:pPr>
      <w:spacing w:after="160"/>
    </w:pPr>
    <w:rPr>
      <w:b/>
      <w:bCs/>
      <w:lang w:val="es-CO"/>
    </w:rPr>
  </w:style>
  <w:style w:type="character" w:customStyle="1" w:styleId="AsuntodelcomentarioCar">
    <w:name w:val="Asunto del comentario Car"/>
    <w:basedOn w:val="TextocomentarioCar"/>
    <w:link w:val="Asuntodelcomentario"/>
    <w:uiPriority w:val="99"/>
    <w:semiHidden/>
    <w:rsid w:val="0079373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5123">
      <w:bodyDiv w:val="1"/>
      <w:marLeft w:val="0"/>
      <w:marRight w:val="0"/>
      <w:marTop w:val="0"/>
      <w:marBottom w:val="0"/>
      <w:divBdr>
        <w:top w:val="none" w:sz="0" w:space="0" w:color="auto"/>
        <w:left w:val="none" w:sz="0" w:space="0" w:color="auto"/>
        <w:bottom w:val="none" w:sz="0" w:space="0" w:color="auto"/>
        <w:right w:val="none" w:sz="0" w:space="0" w:color="auto"/>
      </w:divBdr>
    </w:div>
    <w:div w:id="547183228">
      <w:bodyDiv w:val="1"/>
      <w:marLeft w:val="0"/>
      <w:marRight w:val="0"/>
      <w:marTop w:val="0"/>
      <w:marBottom w:val="0"/>
      <w:divBdr>
        <w:top w:val="none" w:sz="0" w:space="0" w:color="auto"/>
        <w:left w:val="none" w:sz="0" w:space="0" w:color="auto"/>
        <w:bottom w:val="none" w:sz="0" w:space="0" w:color="auto"/>
        <w:right w:val="none" w:sz="0" w:space="0" w:color="auto"/>
      </w:divBdr>
    </w:div>
    <w:div w:id="14876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9ACB8C-65D3-40C3-B4A2-BAC9DD9EF373}"/>
</file>

<file path=customXml/itemProps2.xml><?xml version="1.0" encoding="utf-8"?>
<ds:datastoreItem xmlns:ds="http://schemas.openxmlformats.org/officeDocument/2006/customXml" ds:itemID="{5848497A-F177-4D49-91C3-5ABDE5DA278A}"/>
</file>

<file path=customXml/itemProps3.xml><?xml version="1.0" encoding="utf-8"?>
<ds:datastoreItem xmlns:ds="http://schemas.openxmlformats.org/officeDocument/2006/customXml" ds:itemID="{064BB46D-2E45-4C89-8A83-A6F8FDA4810B}"/>
</file>

<file path=docProps/app.xml><?xml version="1.0" encoding="utf-8"?>
<Properties xmlns="http://schemas.openxmlformats.org/officeDocument/2006/extended-properties" xmlns:vt="http://schemas.openxmlformats.org/officeDocument/2006/docPropsVTypes">
  <Template>Normal</Template>
  <TotalTime>2</TotalTime>
  <Pages>19</Pages>
  <Words>6175</Words>
  <Characters>33966</Characters>
  <Application>Microsoft Office Word</Application>
  <DocSecurity>4</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Carlos Mario Castrillon Endo</cp:lastModifiedBy>
  <cp:revision>2</cp:revision>
  <dcterms:created xsi:type="dcterms:W3CDTF">2022-11-09T16:21:00Z</dcterms:created>
  <dcterms:modified xsi:type="dcterms:W3CDTF">2022-11-09T16:21:00Z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