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EAD1" w14:textId="77777777" w:rsidR="00256C32" w:rsidRPr="004E4061" w:rsidRDefault="00256C32" w:rsidP="00256C32">
      <w:pPr>
        <w:jc w:val="right"/>
        <w:rPr>
          <w:rFonts w:ascii="Geomanist Light" w:eastAsia="Calibri" w:hAnsi="Geomanist Light" w:cs="Arial"/>
          <w:b/>
          <w:sz w:val="20"/>
          <w:szCs w:val="20"/>
          <w:lang w:val="es-ES_tradnl"/>
        </w:rPr>
      </w:pPr>
      <w:bookmarkStart w:id="0" w:name="_Hlk28946138"/>
      <w:bookmarkStart w:id="1" w:name="_Hlk29548183"/>
      <w:bookmarkStart w:id="2" w:name="_Hlk72942111"/>
      <w:r w:rsidRPr="004E4061">
        <w:rPr>
          <w:rFonts w:ascii="Geomanist Light" w:hAnsi="Geomanist Light" w:cs="Arial"/>
          <w:bCs/>
          <w:sz w:val="16"/>
          <w:szCs w:val="16"/>
          <w:lang w:val="es-ES_tradnl" w:eastAsia="es-ES"/>
        </w:rPr>
        <w:t>CCE-DES-FM-17</w:t>
      </w:r>
      <w:bookmarkEnd w:id="0"/>
      <w:bookmarkEnd w:id="1"/>
    </w:p>
    <w:p w14:paraId="6EF35E50" w14:textId="77777777" w:rsidR="0085774A" w:rsidRPr="004E4061" w:rsidRDefault="0085774A" w:rsidP="0085774A">
      <w:pPr>
        <w:tabs>
          <w:tab w:val="left" w:pos="6551"/>
        </w:tabs>
        <w:spacing w:after="0"/>
        <w:jc w:val="both"/>
        <w:rPr>
          <w:rFonts w:ascii="Geomanist Light" w:eastAsia="Calibri" w:hAnsi="Geomanist Light" w:cs="Arial"/>
          <w:b/>
          <w:color w:val="000000" w:themeColor="text1"/>
          <w:lang w:val="es-ES_tradnl"/>
        </w:rPr>
      </w:pPr>
      <w:r w:rsidRPr="004E4061">
        <w:rPr>
          <w:rStyle w:val="normaltextrun"/>
          <w:rFonts w:ascii="Geomanist Light" w:hAnsi="Geomanist Light" w:cs="Arial"/>
          <w:b/>
          <w:bCs/>
          <w:color w:val="000000"/>
        </w:rPr>
        <w:t>DECRETO 1860 DE 2021 – Normas reglamentarias</w:t>
      </w:r>
      <w:r w:rsidRPr="004E4061">
        <w:rPr>
          <w:rStyle w:val="normaltextrun"/>
          <w:rFonts w:ascii="Calibri" w:hAnsi="Calibri" w:cs="Calibri"/>
          <w:b/>
          <w:bCs/>
          <w:color w:val="000000"/>
        </w:rPr>
        <w:t> </w:t>
      </w:r>
      <w:r w:rsidRPr="004E4061">
        <w:rPr>
          <w:rStyle w:val="normaltextrun"/>
          <w:rFonts w:ascii="Geomanist Light" w:hAnsi="Geomanist Light" w:cs="Geomanist Light"/>
          <w:b/>
          <w:bCs/>
          <w:color w:val="000000"/>
        </w:rPr>
        <w:t>–</w:t>
      </w:r>
      <w:r w:rsidRPr="004E4061">
        <w:rPr>
          <w:rStyle w:val="normaltextrun"/>
          <w:rFonts w:ascii="Calibri" w:hAnsi="Calibri" w:cs="Calibri"/>
          <w:b/>
          <w:bCs/>
          <w:color w:val="000000"/>
        </w:rPr>
        <w:t> </w:t>
      </w:r>
      <w:r w:rsidRPr="004E4061">
        <w:rPr>
          <w:rStyle w:val="normaltextrun"/>
          <w:rFonts w:ascii="Geomanist Light" w:hAnsi="Geomanist Light" w:cs="Arial"/>
          <w:b/>
          <w:bCs/>
          <w:color w:val="000000"/>
          <w:lang w:val="es-ES"/>
        </w:rPr>
        <w:t>Mínima cuantía</w:t>
      </w:r>
      <w:r w:rsidRPr="004E4061">
        <w:rPr>
          <w:rStyle w:val="normaltextrun"/>
          <w:rFonts w:ascii="Calibri" w:hAnsi="Calibri" w:cs="Calibri"/>
          <w:b/>
          <w:bCs/>
          <w:color w:val="000000"/>
        </w:rPr>
        <w:t> </w:t>
      </w:r>
      <w:r w:rsidRPr="004E4061">
        <w:rPr>
          <w:rStyle w:val="normaltextrun"/>
          <w:rFonts w:ascii="Geomanist Light" w:hAnsi="Geomanist Light" w:cs="Arial"/>
          <w:b/>
          <w:bCs/>
          <w:color w:val="000000"/>
        </w:rPr>
        <w:t xml:space="preserve"> </w:t>
      </w:r>
    </w:p>
    <w:p w14:paraId="09761ABA" w14:textId="77777777" w:rsidR="0085774A" w:rsidRPr="004E4061" w:rsidRDefault="0085774A" w:rsidP="0085774A">
      <w:pPr>
        <w:tabs>
          <w:tab w:val="left" w:pos="6551"/>
        </w:tabs>
        <w:spacing w:after="0"/>
        <w:jc w:val="both"/>
        <w:rPr>
          <w:rFonts w:ascii="Geomanist Light" w:eastAsia="Calibri" w:hAnsi="Geomanist Light" w:cs="Arial"/>
          <w:b/>
          <w:color w:val="000000" w:themeColor="text1"/>
          <w:lang w:val="es-ES_tradnl"/>
        </w:rPr>
      </w:pPr>
    </w:p>
    <w:p w14:paraId="12EC0832" w14:textId="77777777" w:rsidR="0085774A" w:rsidRPr="004E4061" w:rsidRDefault="0085774A" w:rsidP="0085774A">
      <w:pPr>
        <w:tabs>
          <w:tab w:val="left" w:pos="6551"/>
        </w:tabs>
        <w:spacing w:after="0"/>
        <w:jc w:val="both"/>
        <w:rPr>
          <w:rFonts w:ascii="Geomanist Light" w:eastAsia="Calibri" w:hAnsi="Geomanist Light" w:cs="Arial"/>
          <w:bCs/>
          <w:color w:val="000000" w:themeColor="text1"/>
          <w:sz w:val="20"/>
          <w:szCs w:val="20"/>
        </w:rPr>
      </w:pPr>
      <w:r w:rsidRPr="004E4061">
        <w:rPr>
          <w:rFonts w:ascii="Geomanist Light" w:eastAsia="Calibri" w:hAnsi="Geomanist Light" w:cs="Arial"/>
          <w:color w:val="000000" w:themeColor="text1"/>
          <w:sz w:val="20"/>
          <w:szCs w:val="20"/>
          <w:lang w:val="es-ES_tradnl"/>
        </w:rPr>
        <w:t xml:space="preserve">El Gobierno Nacional expidió el Decreto 1860 del 24 de diciembre de 2021, </w:t>
      </w:r>
      <w:r w:rsidRPr="004E4061">
        <w:rPr>
          <w:rFonts w:ascii="Geomanist Light" w:eastAsia="Calibri" w:hAnsi="Geomanist Light" w:cs="Arial"/>
          <w:bCs/>
          <w:color w:val="000000" w:themeColor="text1"/>
          <w:sz w:val="20"/>
          <w:szCs w:val="20"/>
          <w:lang w:val="es-ES_tradnl"/>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r w:rsidRPr="004E4061">
        <w:rPr>
          <w:rFonts w:ascii="Geomanist Light" w:eastAsia="Calibri" w:hAnsi="Geomanist Light" w:cs="Arial"/>
          <w:bCs/>
          <w:i/>
          <w:iCs/>
          <w:color w:val="000000" w:themeColor="text1"/>
          <w:sz w:val="20"/>
          <w:szCs w:val="20"/>
          <w:lang w:val="es-ES_tradnl"/>
        </w:rPr>
        <w:t>ibídem</w:t>
      </w:r>
      <w:r w:rsidRPr="004E4061">
        <w:rPr>
          <w:rFonts w:ascii="Geomanist Light" w:eastAsia="Calibri" w:hAnsi="Geomanist Light" w:cs="Arial"/>
          <w:bCs/>
          <w:color w:val="000000" w:themeColor="text1"/>
          <w:sz w:val="20"/>
          <w:szCs w:val="20"/>
          <w:lang w:val="es-ES_tradnl"/>
        </w:rPr>
        <w:t xml:space="preserve"> sometió a un plazo la </w:t>
      </w:r>
      <w:proofErr w:type="gramStart"/>
      <w:r w:rsidRPr="004E4061">
        <w:rPr>
          <w:rFonts w:ascii="Geomanist Light" w:eastAsia="Calibri" w:hAnsi="Geomanist Light" w:cs="Arial"/>
          <w:bCs/>
          <w:color w:val="000000" w:themeColor="text1"/>
          <w:sz w:val="20"/>
          <w:szCs w:val="20"/>
          <w:lang w:val="es-ES_tradnl"/>
        </w:rPr>
        <w:t>entrada en vigencia</w:t>
      </w:r>
      <w:proofErr w:type="gramEnd"/>
      <w:r w:rsidRPr="004E4061">
        <w:rPr>
          <w:rFonts w:ascii="Geomanist Light" w:eastAsia="Calibri" w:hAnsi="Geomanist Light" w:cs="Arial"/>
          <w:bCs/>
          <w:color w:val="000000" w:themeColor="text1"/>
          <w:sz w:val="20"/>
          <w:szCs w:val="20"/>
          <w:lang w:val="es-ES_tradnl"/>
        </w:rPr>
        <w:t xml:space="preserve"> de sus disposiciones, al señalar que «aplicarán a los procedimientos de selección cuya invitación, aviso de convocatoria o documento equivalente se publique a los tres (3) meses contados a partir de su expedición»</w:t>
      </w:r>
      <w:r w:rsidRPr="004E4061">
        <w:rPr>
          <w:rFonts w:ascii="Geomanist Light" w:eastAsia="Calibri" w:hAnsi="Geomanist Light" w:cs="Arial"/>
          <w:bCs/>
          <w:color w:val="000000" w:themeColor="text1"/>
          <w:sz w:val="20"/>
          <w:szCs w:val="20"/>
          <w:vertAlign w:val="superscript"/>
          <w:lang w:val="es-ES_tradnl"/>
        </w:rPr>
        <w:t xml:space="preserve">. </w:t>
      </w:r>
      <w:r w:rsidRPr="004E4061">
        <w:rPr>
          <w:rFonts w:ascii="Geomanist Light" w:eastAsia="Calibri" w:hAnsi="Geomanist Light" w:cs="Arial"/>
          <w:bCs/>
          <w:color w:val="000000" w:themeColor="text1"/>
          <w:sz w:val="20"/>
          <w:szCs w:val="20"/>
          <w:lang w:val="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w:t>
      </w:r>
    </w:p>
    <w:p w14:paraId="0403299A" w14:textId="77777777" w:rsidR="0085774A" w:rsidRPr="004E4061" w:rsidRDefault="0085774A" w:rsidP="0085774A">
      <w:pPr>
        <w:spacing w:after="0" w:line="276" w:lineRule="auto"/>
        <w:jc w:val="both"/>
        <w:rPr>
          <w:rFonts w:ascii="Geomanist Light" w:eastAsia="Calibri" w:hAnsi="Geomanist Light" w:cs="Arial"/>
          <w:b/>
          <w:lang w:val="es-ES_tradnl"/>
        </w:rPr>
      </w:pPr>
    </w:p>
    <w:p w14:paraId="085FBEB5" w14:textId="77777777" w:rsidR="0085774A" w:rsidRPr="004E4061" w:rsidRDefault="0085774A" w:rsidP="0085774A">
      <w:pPr>
        <w:tabs>
          <w:tab w:val="left" w:pos="6551"/>
        </w:tabs>
        <w:spacing w:after="0"/>
        <w:jc w:val="both"/>
        <w:rPr>
          <w:rFonts w:ascii="Geomanist Light" w:eastAsia="Calibri" w:hAnsi="Geomanist Light" w:cs="Arial"/>
          <w:b/>
          <w:color w:val="000000" w:themeColor="text1"/>
          <w:lang w:val="es-ES_tradnl"/>
        </w:rPr>
      </w:pPr>
      <w:r w:rsidRPr="004E4061">
        <w:rPr>
          <w:rFonts w:ascii="Geomanist Light" w:eastAsia="Calibri" w:hAnsi="Geomanist Light" w:cs="Arial"/>
          <w:b/>
          <w:color w:val="000000" w:themeColor="text1"/>
          <w:lang w:val="es-ES_tradnl"/>
        </w:rPr>
        <w:t xml:space="preserve">CONVOCATORIAS LIMITADAS A MIPYME </w:t>
      </w:r>
      <w:r w:rsidRPr="004E4061">
        <w:rPr>
          <w:rStyle w:val="normaltextrun"/>
          <w:rFonts w:ascii="Geomanist Light" w:hAnsi="Geomanist Light" w:cs="Arial"/>
          <w:b/>
          <w:bCs/>
          <w:color w:val="000000"/>
        </w:rPr>
        <w:t xml:space="preserve">– Aplicación </w:t>
      </w:r>
      <w:r w:rsidRPr="004E4061">
        <w:rPr>
          <w:rFonts w:ascii="Geomanist Light" w:eastAsia="Calibri" w:hAnsi="Geomanist Light" w:cs="Arial"/>
          <w:b/>
          <w:color w:val="000000" w:themeColor="text1"/>
          <w:lang w:val="es-ES_tradnl"/>
        </w:rPr>
        <w:t xml:space="preserve">  </w:t>
      </w:r>
    </w:p>
    <w:p w14:paraId="5C23DD59" w14:textId="77777777" w:rsidR="0085774A" w:rsidRPr="004E4061" w:rsidRDefault="0085774A" w:rsidP="0085774A">
      <w:pPr>
        <w:tabs>
          <w:tab w:val="left" w:pos="6551"/>
        </w:tabs>
        <w:spacing w:after="0" w:line="276" w:lineRule="auto"/>
        <w:jc w:val="both"/>
        <w:rPr>
          <w:rFonts w:ascii="Geomanist Light" w:hAnsi="Geomanist Light" w:cs="Arial"/>
          <w:noProof/>
          <w:color w:val="000000" w:themeColor="text1"/>
          <w:lang w:val="es-ES_tradnl"/>
        </w:rPr>
      </w:pPr>
    </w:p>
    <w:p w14:paraId="66EF96FE" w14:textId="77777777" w:rsidR="0085774A" w:rsidRPr="004E4061" w:rsidRDefault="0085774A" w:rsidP="0085774A">
      <w:pPr>
        <w:tabs>
          <w:tab w:val="left" w:pos="6551"/>
        </w:tabs>
        <w:spacing w:after="0"/>
        <w:jc w:val="both"/>
        <w:rPr>
          <w:rFonts w:ascii="Geomanist Light" w:eastAsia="Calibri" w:hAnsi="Geomanist Light" w:cs="Arial"/>
          <w:bCs/>
          <w:color w:val="000000" w:themeColor="text1"/>
          <w:sz w:val="20"/>
          <w:szCs w:val="20"/>
        </w:rPr>
      </w:pPr>
      <w:r w:rsidRPr="004E4061">
        <w:rPr>
          <w:rFonts w:ascii="Geomanist Light" w:eastAsia="Calibri" w:hAnsi="Geomanist Light" w:cs="Arial"/>
          <w:bCs/>
          <w:color w:val="000000" w:themeColor="text1"/>
          <w:sz w:val="20"/>
          <w:szCs w:val="20"/>
          <w:lang w:val="es-ES_tradnl"/>
        </w:rPr>
        <w:t xml:space="preserve">El artículo 5 del Decreto 1860 de 2021 modificó </w:t>
      </w:r>
      <w:r w:rsidRPr="004E4061">
        <w:rPr>
          <w:rFonts w:ascii="Geomanist Light" w:eastAsia="Calibri" w:hAnsi="Geomanist Light" w:cs="Arial"/>
          <w:bCs/>
          <w:color w:val="000000" w:themeColor="text1"/>
          <w:sz w:val="20"/>
          <w:szCs w:val="20"/>
        </w:rPr>
        <w:t>los artículos 2.2.1.2.4.2.2., 2.2.1.2.4.2.3. y 2.2.1.2.4.2.4. de la Subsección 2 de la Sección 4 del Capítulo 2 del Título 1 de la Parte 2 del Libro 2 del Decreto 1082 de 2015, reglamentando</w:t>
      </w:r>
      <w:r w:rsidRPr="004E4061">
        <w:rPr>
          <w:rFonts w:ascii="Geomanist Light" w:eastAsia="Calibri" w:hAnsi="Geomanist Light" w:cs="Arial"/>
          <w:bCs/>
          <w:color w:val="000000" w:themeColor="text1"/>
          <w:sz w:val="20"/>
          <w:szCs w:val="20"/>
          <w:lang w:val="es-ES_tradnl"/>
        </w:rPr>
        <w:t xml:space="preserve"> las convocatorias limitadas a Mipyme, con fundamento en lo establecido en el artículo 34 de la Ley 2069 de 2020. Esta nueva Subsección 2 contempla los siguientes aspectos: i) requisitos para limitar la convocatoria de los </w:t>
      </w:r>
      <w:r w:rsidRPr="004E4061">
        <w:rPr>
          <w:rFonts w:ascii="Geomanist Light" w:eastAsia="Calibri" w:hAnsi="Geomanist Light" w:cs="Arial"/>
          <w:bCs/>
          <w:color w:val="000000" w:themeColor="text1"/>
          <w:sz w:val="20"/>
          <w:szCs w:val="20"/>
        </w:rPr>
        <w:t>procesos de contratación con pluralidad de oferentes</w:t>
      </w:r>
      <w:r w:rsidRPr="004E4061">
        <w:rPr>
          <w:rFonts w:ascii="Geomanist Light" w:eastAsia="Calibri" w:hAnsi="Geomanist Light" w:cs="Arial"/>
          <w:bCs/>
          <w:color w:val="000000" w:themeColor="text1"/>
          <w:sz w:val="20"/>
          <w:szCs w:val="20"/>
          <w:lang w:val="es-ES_tradnl"/>
        </w:rPr>
        <w:t xml:space="preserve"> a las Mipyme colombianas con mínimo un (1) año de existencia – artículo </w:t>
      </w:r>
      <w:r w:rsidRPr="004E4061">
        <w:rPr>
          <w:rFonts w:ascii="Geomanist Light" w:eastAsia="Calibri" w:hAnsi="Geomanist Light" w:cs="Arial"/>
          <w:bCs/>
          <w:color w:val="000000" w:themeColor="text1"/>
          <w:sz w:val="20"/>
          <w:szCs w:val="20"/>
        </w:rPr>
        <w:t>2.2.1.2.4.2.2-</w:t>
      </w:r>
      <w:r w:rsidRPr="004E4061">
        <w:rPr>
          <w:rFonts w:ascii="Geomanist Light" w:eastAsia="Calibri" w:hAnsi="Geomanist Light" w:cs="Arial"/>
          <w:bCs/>
          <w:color w:val="000000" w:themeColor="text1"/>
          <w:sz w:val="20"/>
          <w:szCs w:val="20"/>
          <w:lang w:val="es-ES_tradnl"/>
        </w:rPr>
        <w:t xml:space="preserve"> , </w:t>
      </w:r>
      <w:proofErr w:type="spellStart"/>
      <w:r w:rsidRPr="004E4061">
        <w:rPr>
          <w:rFonts w:ascii="Geomanist Light" w:eastAsia="Calibri" w:hAnsi="Geomanist Light" w:cs="Arial"/>
          <w:bCs/>
          <w:color w:val="000000" w:themeColor="text1"/>
          <w:sz w:val="20"/>
          <w:szCs w:val="20"/>
          <w:lang w:val="es-ES_tradnl"/>
        </w:rPr>
        <w:t>ii</w:t>
      </w:r>
      <w:proofErr w:type="spellEnd"/>
      <w:r w:rsidRPr="004E4061">
        <w:rPr>
          <w:rFonts w:ascii="Geomanist Light" w:eastAsia="Calibri" w:hAnsi="Geomanist Light" w:cs="Arial"/>
          <w:bCs/>
          <w:color w:val="000000" w:themeColor="text1"/>
          <w:sz w:val="20"/>
          <w:szCs w:val="20"/>
          <w:lang w:val="es-ES_tradnl"/>
        </w:rPr>
        <w:t xml:space="preserve">) desarrolla las </w:t>
      </w:r>
      <w:r w:rsidRPr="004E4061">
        <w:rPr>
          <w:rFonts w:ascii="Geomanist Light" w:eastAsia="Calibri" w:hAnsi="Geomanist Light" w:cs="Arial"/>
          <w:bCs/>
          <w:color w:val="000000" w:themeColor="text1"/>
          <w:sz w:val="20"/>
          <w:szCs w:val="20"/>
        </w:rPr>
        <w:t>convocatorias limitadas a Mipyme colombianas que tengan domicilio en los departamentos o municipios en donde se va a ejecutar el contrato – artículo 2.2.1.2.4.2.3.,</w:t>
      </w:r>
      <w:r w:rsidRPr="004E4061">
        <w:rPr>
          <w:rFonts w:ascii="Geomanist Light" w:eastAsia="Calibri" w:hAnsi="Geomanist Light" w:cs="Arial"/>
          <w:bCs/>
          <w:color w:val="000000" w:themeColor="text1"/>
          <w:sz w:val="20"/>
          <w:szCs w:val="20"/>
          <w:lang w:val="es-ES_tradnl"/>
        </w:rPr>
        <w:t xml:space="preserve"> y </w:t>
      </w:r>
      <w:proofErr w:type="spellStart"/>
      <w:r w:rsidRPr="004E4061">
        <w:rPr>
          <w:rFonts w:ascii="Geomanist Light" w:eastAsia="Calibri" w:hAnsi="Geomanist Light" w:cs="Arial"/>
          <w:bCs/>
          <w:color w:val="000000" w:themeColor="text1"/>
          <w:sz w:val="20"/>
          <w:szCs w:val="20"/>
          <w:lang w:val="es-ES_tradnl"/>
        </w:rPr>
        <w:t>iii</w:t>
      </w:r>
      <w:proofErr w:type="spellEnd"/>
      <w:r w:rsidRPr="004E4061">
        <w:rPr>
          <w:rFonts w:ascii="Geomanist Light" w:eastAsia="Calibri" w:hAnsi="Geomanist Light" w:cs="Arial"/>
          <w:bCs/>
          <w:color w:val="000000" w:themeColor="text1"/>
          <w:sz w:val="20"/>
          <w:szCs w:val="20"/>
          <w:lang w:val="es-ES_tradnl"/>
        </w:rPr>
        <w:t xml:space="preserve">) </w:t>
      </w:r>
      <w:r w:rsidRPr="004E4061">
        <w:rPr>
          <w:rFonts w:ascii="Geomanist Light" w:eastAsia="Calibri" w:hAnsi="Geomanist Light" w:cs="Arial"/>
          <w:bCs/>
          <w:color w:val="000000" w:themeColor="text1"/>
          <w:sz w:val="20"/>
          <w:szCs w:val="20"/>
        </w:rPr>
        <w:t xml:space="preserve">regula la acreditación de requisitos para participar en convocatorias limitadas – artículo 2.2.1.2.4.2.4-. </w:t>
      </w:r>
      <w:r w:rsidRPr="004E4061">
        <w:rPr>
          <w:rFonts w:ascii="Geomanist Light" w:eastAsia="Calibri" w:hAnsi="Geomanist Light" w:cs="Arial"/>
          <w:bCs/>
          <w:color w:val="000000" w:themeColor="text1"/>
          <w:sz w:val="20"/>
          <w:szCs w:val="20"/>
          <w:lang w:val="es-ES_tradnl"/>
        </w:rPr>
        <w:t>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Mipyme, disposición que entró a regir desde el pasado 24 de marzo de 2022, pues, como se indicó, el artículo 8 de dicho decreto sometió su vigencia al transcurso del periodo de 3 meses siguientes a su expedición.</w:t>
      </w:r>
    </w:p>
    <w:p w14:paraId="10806B30" w14:textId="77777777" w:rsidR="0085774A" w:rsidRPr="004E4061" w:rsidRDefault="0085774A" w:rsidP="0085774A">
      <w:pPr>
        <w:tabs>
          <w:tab w:val="left" w:pos="6551"/>
        </w:tabs>
        <w:spacing w:after="0"/>
        <w:jc w:val="both"/>
        <w:rPr>
          <w:rFonts w:ascii="Geomanist Light" w:eastAsia="Calibri" w:hAnsi="Geomanist Light" w:cs="Arial"/>
          <w:b/>
          <w:color w:val="000000" w:themeColor="text1"/>
          <w:lang w:val="es-ES_tradnl"/>
        </w:rPr>
      </w:pPr>
    </w:p>
    <w:p w14:paraId="299CCCE8" w14:textId="77777777" w:rsidR="0085774A" w:rsidRPr="004E4061" w:rsidRDefault="0085774A" w:rsidP="0085774A">
      <w:pPr>
        <w:tabs>
          <w:tab w:val="left" w:pos="6551"/>
        </w:tabs>
        <w:spacing w:after="0"/>
        <w:jc w:val="both"/>
        <w:rPr>
          <w:rFonts w:ascii="Geomanist Light" w:eastAsia="Calibri" w:hAnsi="Geomanist Light" w:cs="Arial"/>
          <w:b/>
          <w:color w:val="000000" w:themeColor="text1"/>
          <w:lang w:val="es-ES_tradnl"/>
        </w:rPr>
      </w:pPr>
      <w:r w:rsidRPr="004E4061">
        <w:rPr>
          <w:rFonts w:ascii="Geomanist Light" w:eastAsia="Calibri" w:hAnsi="Geomanist Light" w:cs="Arial"/>
          <w:b/>
          <w:color w:val="000000" w:themeColor="text1"/>
          <w:lang w:val="es-ES_tradnl"/>
        </w:rPr>
        <w:t xml:space="preserve">CONVOCATORIAS LIMITADAS A MIPYME </w:t>
      </w:r>
      <w:r w:rsidRPr="004E4061">
        <w:rPr>
          <w:rStyle w:val="normaltextrun"/>
          <w:rFonts w:ascii="Geomanist Light" w:hAnsi="Geomanist Light" w:cs="Arial"/>
          <w:b/>
          <w:bCs/>
          <w:color w:val="000000"/>
        </w:rPr>
        <w:t xml:space="preserve">– Limitación territorial – </w:t>
      </w:r>
      <w:r w:rsidRPr="004E4061">
        <w:rPr>
          <w:rFonts w:ascii="Geomanist Light" w:eastAsia="Calibri" w:hAnsi="Geomanist Light" w:cs="Arial"/>
          <w:b/>
          <w:color w:val="000000" w:themeColor="text1"/>
          <w:lang w:val="es-ES_tradnl"/>
        </w:rPr>
        <w:t xml:space="preserve">Facultativa </w:t>
      </w:r>
      <w:r w:rsidRPr="004E4061">
        <w:rPr>
          <w:rStyle w:val="normaltextrun"/>
          <w:rFonts w:ascii="Geomanist Light" w:hAnsi="Geomanist Light" w:cs="Arial"/>
          <w:b/>
          <w:bCs/>
          <w:color w:val="000000"/>
        </w:rPr>
        <w:t>–</w:t>
      </w:r>
      <w:r w:rsidRPr="004E4061">
        <w:rPr>
          <w:rFonts w:ascii="Geomanist Light" w:eastAsia="Calibri" w:hAnsi="Geomanist Light" w:cs="Arial"/>
          <w:b/>
          <w:color w:val="000000" w:themeColor="text1"/>
          <w:lang w:val="es-ES_tradnl"/>
        </w:rPr>
        <w:t xml:space="preserve"> Requisitos</w:t>
      </w:r>
    </w:p>
    <w:p w14:paraId="7F6DAA28" w14:textId="77777777" w:rsidR="0085774A" w:rsidRPr="004E4061" w:rsidRDefault="0085774A" w:rsidP="0085774A">
      <w:pPr>
        <w:spacing w:after="0" w:line="276" w:lineRule="auto"/>
        <w:jc w:val="both"/>
        <w:rPr>
          <w:rFonts w:ascii="Geomanist Light" w:eastAsia="Calibri" w:hAnsi="Geomanist Light" w:cs="Arial"/>
          <w:b/>
          <w:color w:val="000000" w:themeColor="text1"/>
          <w:lang w:val="es-ES_tradnl"/>
        </w:rPr>
      </w:pPr>
    </w:p>
    <w:p w14:paraId="2D25C47B" w14:textId="77777777" w:rsidR="0085774A" w:rsidRPr="004E4061" w:rsidRDefault="0085774A" w:rsidP="0085774A">
      <w:pPr>
        <w:tabs>
          <w:tab w:val="left" w:pos="6551"/>
        </w:tabs>
        <w:spacing w:after="0"/>
        <w:jc w:val="both"/>
        <w:rPr>
          <w:rFonts w:ascii="Geomanist Light" w:eastAsia="Calibri" w:hAnsi="Geomanist Light" w:cs="Arial"/>
          <w:bCs/>
          <w:color w:val="000000" w:themeColor="text1"/>
          <w:sz w:val="20"/>
          <w:szCs w:val="20"/>
          <w:lang w:val="es-ES_tradnl"/>
        </w:rPr>
      </w:pPr>
      <w:r w:rsidRPr="004E4061">
        <w:rPr>
          <w:rFonts w:ascii="Geomanist Light" w:eastAsia="Calibri" w:hAnsi="Geomanist Light" w:cs="Arial"/>
          <w:bCs/>
          <w:color w:val="000000" w:themeColor="text1"/>
          <w:sz w:val="20"/>
          <w:szCs w:val="20"/>
          <w:lang w:val="es-ES_tradnl"/>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w:t>
      </w:r>
      <w:bookmarkStart w:id="3" w:name="_Hlk118884606"/>
      <w:r w:rsidRPr="004E4061">
        <w:rPr>
          <w:rFonts w:ascii="Geomanist Light" w:eastAsia="Calibri" w:hAnsi="Geomanist Light" w:cs="Arial"/>
          <w:bCs/>
          <w:color w:val="000000" w:themeColor="text1"/>
          <w:sz w:val="20"/>
          <w:szCs w:val="20"/>
          <w:lang w:val="es-ES_tradnl"/>
        </w:rPr>
        <w:t xml:space="preserve">2.2.1.2.4.2.2. </w:t>
      </w:r>
      <w:bookmarkEnd w:id="3"/>
      <w:r w:rsidRPr="004E4061">
        <w:rPr>
          <w:rFonts w:ascii="Geomanist Light" w:eastAsia="Calibri" w:hAnsi="Geomanist Light" w:cs="Arial"/>
          <w:bCs/>
          <w:color w:val="000000" w:themeColor="text1"/>
          <w:sz w:val="20"/>
          <w:szCs w:val="20"/>
          <w:lang w:val="es-ES_tradnl"/>
        </w:rPr>
        <w:t xml:space="preserve">del Decreto 1082 de 2015, modificado por el Decreto 1860 de </w:t>
      </w:r>
      <w:proofErr w:type="gramStart"/>
      <w:r w:rsidRPr="004E4061">
        <w:rPr>
          <w:rFonts w:ascii="Geomanist Light" w:eastAsia="Calibri" w:hAnsi="Geomanist Light" w:cs="Arial"/>
          <w:bCs/>
          <w:color w:val="000000" w:themeColor="text1"/>
          <w:sz w:val="20"/>
          <w:szCs w:val="20"/>
          <w:lang w:val="es-ES_tradnl"/>
        </w:rPr>
        <w:t>2021 .</w:t>
      </w:r>
      <w:proofErr w:type="gramEnd"/>
      <w:r w:rsidRPr="004E4061">
        <w:rPr>
          <w:rFonts w:ascii="Geomanist Light" w:eastAsia="Calibri" w:hAnsi="Geomanist Light" w:cs="Arial"/>
          <w:bCs/>
          <w:color w:val="000000" w:themeColor="text1"/>
          <w:sz w:val="20"/>
          <w:szCs w:val="20"/>
          <w:lang w:val="es-ES_tradnl"/>
        </w:rPr>
        <w:t xml:space="preserve"> En ese sentido, si la entidad no recibió las solicitudes para limitar la convocatoria a Mipyme, no puede motu proprio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29CB3AE4" w14:textId="77777777" w:rsidR="0085774A" w:rsidRPr="004E4061" w:rsidRDefault="0085774A" w:rsidP="0085774A">
      <w:pPr>
        <w:tabs>
          <w:tab w:val="left" w:pos="6551"/>
        </w:tabs>
        <w:jc w:val="both"/>
        <w:rPr>
          <w:rFonts w:ascii="Geomanist Light" w:eastAsia="Calibri" w:hAnsi="Geomanist Light" w:cs="Arial"/>
          <w:bCs/>
          <w:color w:val="000000" w:themeColor="text1"/>
          <w:sz w:val="20"/>
          <w:szCs w:val="20"/>
          <w:lang w:val="es-ES_tradnl"/>
        </w:rPr>
      </w:pPr>
      <w:r w:rsidRPr="004E4061">
        <w:rPr>
          <w:rFonts w:ascii="Geomanist Light" w:eastAsia="Calibri" w:hAnsi="Geomanist Light" w:cs="Arial"/>
          <w:bCs/>
          <w:color w:val="000000" w:themeColor="text1"/>
          <w:sz w:val="20"/>
          <w:szCs w:val="20"/>
          <w:lang w:val="es-ES_tradnl"/>
        </w:rPr>
        <w:lastRenderedPageBreak/>
        <w:t>[…]</w:t>
      </w:r>
    </w:p>
    <w:p w14:paraId="749EF34C" w14:textId="77777777" w:rsidR="0085774A" w:rsidRPr="004E4061" w:rsidRDefault="0085774A" w:rsidP="0085774A">
      <w:pPr>
        <w:tabs>
          <w:tab w:val="left" w:pos="6551"/>
        </w:tabs>
        <w:jc w:val="both"/>
        <w:rPr>
          <w:rFonts w:ascii="Geomanist Light" w:eastAsia="Calibri" w:hAnsi="Geomanist Light" w:cs="Arial"/>
          <w:bCs/>
          <w:color w:val="000000" w:themeColor="text1"/>
          <w:sz w:val="20"/>
          <w:szCs w:val="20"/>
          <w:lang w:val="es-ES_tradnl"/>
        </w:rPr>
      </w:pPr>
      <w:r w:rsidRPr="004E4061">
        <w:rPr>
          <w:rFonts w:ascii="Geomanist Light" w:eastAsia="Calibri" w:hAnsi="Geomanist Light" w:cs="Arial"/>
          <w:bCs/>
          <w:color w:val="000000" w:themeColor="text1"/>
          <w:sz w:val="20"/>
          <w:szCs w:val="20"/>
          <w:lang w:val="es-ES_tradnl"/>
        </w:rPr>
        <w:t xml:space="preserve">En tal sentido, se debe tener presente que lo que sucede de pleno derecho es la limitación a Mipyme colombianas a la que se refiere el artículo 2.2.1.2.4.2.2. del Decreto 1082 de 2015, pero no la «limitación territorial» referida en el artículo </w:t>
      </w:r>
      <w:bookmarkStart w:id="4" w:name="_Hlk118884633"/>
      <w:r w:rsidRPr="004E4061">
        <w:rPr>
          <w:rFonts w:ascii="Geomanist Light" w:eastAsia="Calibri" w:hAnsi="Geomanist Light" w:cs="Arial"/>
          <w:bCs/>
          <w:color w:val="000000" w:themeColor="text1"/>
          <w:sz w:val="20"/>
          <w:szCs w:val="20"/>
          <w:lang w:val="es-ES_tradnl"/>
        </w:rPr>
        <w:t>2.2.1.2.4.2.3</w:t>
      </w:r>
      <w:bookmarkEnd w:id="4"/>
      <w:r w:rsidRPr="004E4061">
        <w:rPr>
          <w:rFonts w:ascii="Geomanist Light" w:eastAsia="Calibri" w:hAnsi="Geomanist Light" w:cs="Arial"/>
          <w:bCs/>
          <w:color w:val="000000" w:themeColor="text1"/>
          <w:sz w:val="20"/>
          <w:szCs w:val="20"/>
          <w:lang w:val="es-ES_tradnl"/>
        </w:rPr>
        <w:t>. ibídem, pues esta, como ya se dijo, es facultativa para la entidad. Las únicas exigencias son que la convocatoria esté limitada a las Mipyme colombianas «domiciliadas en los departamentos o municipios en donde se va a ejecutar el contrato» y que la entidad justifique su decisión en los «estudios del sector».  Igual sucede en la modalidad de mínima cuantía, en la cual, independientemente de que las Mipyme soliciten expresamente o no la «limitación territorial» a la que se refiere el artículo 2.2.1.2.4.2.3. del Decreto 1082 de 2015, la entidad estatal, cualquiera que sea su régimen de contratación, los patrimonios autónomos constituidos por entidades estatales y los particulares que ejecuten recursos públicos tienen la facultad de limitar territorialmente la convocatoria a Mipyme domiciliadas en el municipio o departamento correspondiente, tomando como base la información del estudio del sector.</w:t>
      </w:r>
    </w:p>
    <w:p w14:paraId="10E8ACD7" w14:textId="77777777" w:rsidR="0085774A" w:rsidRPr="004E4061" w:rsidRDefault="0085774A" w:rsidP="0085774A">
      <w:pPr>
        <w:tabs>
          <w:tab w:val="left" w:pos="6551"/>
        </w:tabs>
        <w:jc w:val="both"/>
        <w:rPr>
          <w:rFonts w:ascii="Geomanist Light" w:eastAsia="Calibri" w:hAnsi="Geomanist Light" w:cs="Arial"/>
          <w:bCs/>
          <w:color w:val="000000" w:themeColor="text1"/>
          <w:sz w:val="20"/>
          <w:szCs w:val="20"/>
          <w:lang w:val="es-ES_tradnl"/>
        </w:rPr>
      </w:pPr>
    </w:p>
    <w:p w14:paraId="41D53533" w14:textId="77777777" w:rsidR="0035023B" w:rsidRPr="004E4061" w:rsidRDefault="0035023B" w:rsidP="0035023B">
      <w:pPr>
        <w:tabs>
          <w:tab w:val="left" w:pos="3374"/>
        </w:tabs>
        <w:spacing w:after="0" w:line="240" w:lineRule="auto"/>
        <w:rPr>
          <w:rFonts w:ascii="Geomanist Light" w:eastAsia="Calibri" w:hAnsi="Geomanist Light" w:cs="Arial"/>
        </w:rPr>
      </w:pPr>
    </w:p>
    <w:p w14:paraId="2B66CC68" w14:textId="77777777" w:rsidR="0035023B" w:rsidRPr="004E4061" w:rsidRDefault="0035023B" w:rsidP="0035023B">
      <w:pPr>
        <w:tabs>
          <w:tab w:val="left" w:pos="3374"/>
        </w:tabs>
        <w:spacing w:after="0" w:line="240" w:lineRule="auto"/>
        <w:rPr>
          <w:rFonts w:ascii="Geomanist Light" w:eastAsia="Calibri" w:hAnsi="Geomanist Light" w:cs="Arial"/>
        </w:rPr>
      </w:pPr>
    </w:p>
    <w:p w14:paraId="21BC7452" w14:textId="77777777" w:rsidR="0035023B" w:rsidRPr="004E4061" w:rsidRDefault="0035023B" w:rsidP="0035023B">
      <w:pPr>
        <w:tabs>
          <w:tab w:val="left" w:pos="3374"/>
        </w:tabs>
        <w:spacing w:after="0" w:line="240" w:lineRule="auto"/>
        <w:rPr>
          <w:rFonts w:ascii="Geomanist Light" w:eastAsia="Calibri" w:hAnsi="Geomanist Light" w:cs="Arial"/>
        </w:rPr>
      </w:pPr>
    </w:p>
    <w:p w14:paraId="55C72CA7" w14:textId="77777777" w:rsidR="0035023B" w:rsidRPr="004E4061" w:rsidRDefault="0035023B" w:rsidP="0035023B">
      <w:pPr>
        <w:tabs>
          <w:tab w:val="left" w:pos="3374"/>
        </w:tabs>
        <w:spacing w:after="0" w:line="240" w:lineRule="auto"/>
        <w:rPr>
          <w:rFonts w:ascii="Geomanist Light" w:eastAsia="Calibri" w:hAnsi="Geomanist Light" w:cs="Arial"/>
        </w:rPr>
      </w:pPr>
    </w:p>
    <w:p w14:paraId="5508EBB7" w14:textId="77777777" w:rsidR="0035023B" w:rsidRPr="004E4061" w:rsidRDefault="0035023B" w:rsidP="0035023B">
      <w:pPr>
        <w:tabs>
          <w:tab w:val="left" w:pos="3374"/>
        </w:tabs>
        <w:spacing w:after="0" w:line="240" w:lineRule="auto"/>
        <w:rPr>
          <w:rFonts w:ascii="Geomanist Light" w:eastAsia="Calibri" w:hAnsi="Geomanist Light" w:cs="Arial"/>
        </w:rPr>
      </w:pPr>
    </w:p>
    <w:p w14:paraId="5247BEA5" w14:textId="77777777" w:rsidR="0035023B" w:rsidRPr="004E4061" w:rsidRDefault="0035023B" w:rsidP="0035023B">
      <w:pPr>
        <w:tabs>
          <w:tab w:val="left" w:pos="3374"/>
        </w:tabs>
        <w:spacing w:after="0" w:line="240" w:lineRule="auto"/>
        <w:rPr>
          <w:rFonts w:ascii="Geomanist Light" w:eastAsia="Calibri" w:hAnsi="Geomanist Light" w:cs="Arial"/>
        </w:rPr>
      </w:pPr>
    </w:p>
    <w:p w14:paraId="2569A0C0" w14:textId="77777777" w:rsidR="0035023B" w:rsidRPr="004E4061" w:rsidRDefault="0035023B" w:rsidP="0035023B">
      <w:pPr>
        <w:tabs>
          <w:tab w:val="left" w:pos="3374"/>
        </w:tabs>
        <w:spacing w:after="0" w:line="240" w:lineRule="auto"/>
        <w:rPr>
          <w:rFonts w:ascii="Geomanist Light" w:eastAsia="Calibri" w:hAnsi="Geomanist Light" w:cs="Arial"/>
        </w:rPr>
      </w:pPr>
    </w:p>
    <w:p w14:paraId="6048B34D" w14:textId="77777777" w:rsidR="0035023B" w:rsidRPr="004E4061" w:rsidRDefault="0035023B" w:rsidP="0035023B">
      <w:pPr>
        <w:tabs>
          <w:tab w:val="left" w:pos="3374"/>
        </w:tabs>
        <w:spacing w:after="0" w:line="240" w:lineRule="auto"/>
        <w:rPr>
          <w:rFonts w:ascii="Geomanist Light" w:eastAsia="Calibri" w:hAnsi="Geomanist Light" w:cs="Arial"/>
        </w:rPr>
      </w:pPr>
    </w:p>
    <w:p w14:paraId="60136ABC" w14:textId="77777777" w:rsidR="0035023B" w:rsidRPr="004E4061" w:rsidRDefault="0035023B" w:rsidP="0035023B">
      <w:pPr>
        <w:tabs>
          <w:tab w:val="left" w:pos="3374"/>
        </w:tabs>
        <w:spacing w:after="0" w:line="240" w:lineRule="auto"/>
        <w:rPr>
          <w:rFonts w:ascii="Geomanist Light" w:eastAsia="Calibri" w:hAnsi="Geomanist Light" w:cs="Arial"/>
        </w:rPr>
      </w:pPr>
    </w:p>
    <w:p w14:paraId="63F29F5D" w14:textId="77777777" w:rsidR="0035023B" w:rsidRPr="004E4061" w:rsidRDefault="0035023B" w:rsidP="0035023B">
      <w:pPr>
        <w:tabs>
          <w:tab w:val="left" w:pos="3374"/>
        </w:tabs>
        <w:spacing w:after="0" w:line="240" w:lineRule="auto"/>
        <w:rPr>
          <w:rFonts w:ascii="Geomanist Light" w:eastAsia="Calibri" w:hAnsi="Geomanist Light" w:cs="Arial"/>
        </w:rPr>
      </w:pPr>
    </w:p>
    <w:p w14:paraId="6DD8904B" w14:textId="77777777" w:rsidR="0035023B" w:rsidRPr="004E4061" w:rsidRDefault="0035023B" w:rsidP="0035023B">
      <w:pPr>
        <w:tabs>
          <w:tab w:val="left" w:pos="3374"/>
        </w:tabs>
        <w:spacing w:after="0" w:line="240" w:lineRule="auto"/>
        <w:rPr>
          <w:rFonts w:ascii="Geomanist Light" w:eastAsia="Calibri" w:hAnsi="Geomanist Light" w:cs="Arial"/>
        </w:rPr>
      </w:pPr>
    </w:p>
    <w:p w14:paraId="28248176" w14:textId="77777777" w:rsidR="0035023B" w:rsidRPr="004E4061" w:rsidRDefault="0035023B" w:rsidP="0035023B">
      <w:pPr>
        <w:tabs>
          <w:tab w:val="left" w:pos="3374"/>
        </w:tabs>
        <w:spacing w:after="0" w:line="240" w:lineRule="auto"/>
        <w:rPr>
          <w:rFonts w:ascii="Geomanist Light" w:eastAsia="Calibri" w:hAnsi="Geomanist Light" w:cs="Arial"/>
        </w:rPr>
      </w:pPr>
    </w:p>
    <w:p w14:paraId="1B875B38" w14:textId="648DF24F" w:rsidR="0035023B" w:rsidRPr="004E4061" w:rsidRDefault="0035023B" w:rsidP="0035023B">
      <w:pPr>
        <w:tabs>
          <w:tab w:val="left" w:pos="3374"/>
        </w:tabs>
        <w:spacing w:after="0" w:line="240" w:lineRule="auto"/>
        <w:rPr>
          <w:rFonts w:ascii="Geomanist Light" w:eastAsia="Calibri" w:hAnsi="Geomanist Light" w:cs="Arial"/>
        </w:rPr>
      </w:pPr>
    </w:p>
    <w:p w14:paraId="3495B151" w14:textId="6DC04A7D" w:rsidR="00AF531E" w:rsidRPr="004E4061" w:rsidRDefault="00AF531E" w:rsidP="0035023B">
      <w:pPr>
        <w:tabs>
          <w:tab w:val="left" w:pos="3374"/>
        </w:tabs>
        <w:spacing w:after="0" w:line="240" w:lineRule="auto"/>
        <w:rPr>
          <w:rFonts w:ascii="Geomanist Light" w:eastAsia="Calibri" w:hAnsi="Geomanist Light" w:cs="Arial"/>
        </w:rPr>
      </w:pPr>
    </w:p>
    <w:p w14:paraId="04F683FE" w14:textId="00324E04" w:rsidR="00AF531E" w:rsidRPr="004E4061" w:rsidRDefault="00AF531E" w:rsidP="0035023B">
      <w:pPr>
        <w:tabs>
          <w:tab w:val="left" w:pos="3374"/>
        </w:tabs>
        <w:spacing w:after="0" w:line="240" w:lineRule="auto"/>
        <w:rPr>
          <w:rFonts w:ascii="Geomanist Light" w:eastAsia="Calibri" w:hAnsi="Geomanist Light" w:cs="Arial"/>
        </w:rPr>
      </w:pPr>
    </w:p>
    <w:p w14:paraId="24E79F69" w14:textId="64DB3C36" w:rsidR="00AF531E" w:rsidRPr="004E4061" w:rsidRDefault="00AF531E" w:rsidP="0035023B">
      <w:pPr>
        <w:tabs>
          <w:tab w:val="left" w:pos="3374"/>
        </w:tabs>
        <w:spacing w:after="0" w:line="240" w:lineRule="auto"/>
        <w:rPr>
          <w:rFonts w:ascii="Geomanist Light" w:eastAsia="Calibri" w:hAnsi="Geomanist Light" w:cs="Arial"/>
        </w:rPr>
      </w:pPr>
    </w:p>
    <w:p w14:paraId="49A1CD44" w14:textId="5F4C87E3" w:rsidR="00AF531E" w:rsidRPr="004E4061" w:rsidRDefault="00AF531E" w:rsidP="0035023B">
      <w:pPr>
        <w:tabs>
          <w:tab w:val="left" w:pos="3374"/>
        </w:tabs>
        <w:spacing w:after="0" w:line="240" w:lineRule="auto"/>
        <w:rPr>
          <w:rFonts w:ascii="Geomanist Light" w:eastAsia="Calibri" w:hAnsi="Geomanist Light" w:cs="Arial"/>
        </w:rPr>
      </w:pPr>
    </w:p>
    <w:p w14:paraId="1605F5AB" w14:textId="7DAE71AA" w:rsidR="00AF531E" w:rsidRPr="004E4061" w:rsidRDefault="00AF531E" w:rsidP="0035023B">
      <w:pPr>
        <w:tabs>
          <w:tab w:val="left" w:pos="3374"/>
        </w:tabs>
        <w:spacing w:after="0" w:line="240" w:lineRule="auto"/>
        <w:rPr>
          <w:rFonts w:ascii="Geomanist Light" w:eastAsia="Calibri" w:hAnsi="Geomanist Light" w:cs="Arial"/>
        </w:rPr>
      </w:pPr>
    </w:p>
    <w:p w14:paraId="284B9114" w14:textId="76096BBA" w:rsidR="00AF531E" w:rsidRPr="004E4061" w:rsidRDefault="00AF531E" w:rsidP="0035023B">
      <w:pPr>
        <w:tabs>
          <w:tab w:val="left" w:pos="3374"/>
        </w:tabs>
        <w:spacing w:after="0" w:line="240" w:lineRule="auto"/>
        <w:rPr>
          <w:rFonts w:ascii="Geomanist Light" w:eastAsia="Calibri" w:hAnsi="Geomanist Light" w:cs="Arial"/>
        </w:rPr>
      </w:pPr>
    </w:p>
    <w:p w14:paraId="6276B900" w14:textId="7FA42DB5" w:rsidR="00AF531E" w:rsidRPr="004E4061" w:rsidRDefault="00AF531E" w:rsidP="0035023B">
      <w:pPr>
        <w:tabs>
          <w:tab w:val="left" w:pos="3374"/>
        </w:tabs>
        <w:spacing w:after="0" w:line="240" w:lineRule="auto"/>
        <w:rPr>
          <w:rFonts w:ascii="Geomanist Light" w:eastAsia="Calibri" w:hAnsi="Geomanist Light" w:cs="Arial"/>
        </w:rPr>
      </w:pPr>
    </w:p>
    <w:p w14:paraId="587A6A7E" w14:textId="62CE19BD" w:rsidR="00AF531E" w:rsidRPr="004E4061" w:rsidRDefault="00AF531E" w:rsidP="0035023B">
      <w:pPr>
        <w:tabs>
          <w:tab w:val="left" w:pos="3374"/>
        </w:tabs>
        <w:spacing w:after="0" w:line="240" w:lineRule="auto"/>
        <w:rPr>
          <w:rFonts w:ascii="Geomanist Light" w:eastAsia="Calibri" w:hAnsi="Geomanist Light" w:cs="Arial"/>
        </w:rPr>
      </w:pPr>
    </w:p>
    <w:p w14:paraId="17BE5223" w14:textId="7670C091" w:rsidR="0085774A" w:rsidRPr="004E4061" w:rsidRDefault="0085774A" w:rsidP="0035023B">
      <w:pPr>
        <w:tabs>
          <w:tab w:val="left" w:pos="3374"/>
        </w:tabs>
        <w:spacing w:after="0" w:line="240" w:lineRule="auto"/>
        <w:rPr>
          <w:rFonts w:ascii="Geomanist Light" w:eastAsia="Calibri" w:hAnsi="Geomanist Light" w:cs="Arial"/>
        </w:rPr>
      </w:pPr>
    </w:p>
    <w:p w14:paraId="5E987961" w14:textId="1DEE0154" w:rsidR="0085774A" w:rsidRDefault="0085774A" w:rsidP="0035023B">
      <w:pPr>
        <w:tabs>
          <w:tab w:val="left" w:pos="3374"/>
        </w:tabs>
        <w:spacing w:after="0" w:line="240" w:lineRule="auto"/>
        <w:rPr>
          <w:rFonts w:ascii="Geomanist Light" w:eastAsia="Calibri" w:hAnsi="Geomanist Light" w:cs="Arial"/>
        </w:rPr>
      </w:pPr>
    </w:p>
    <w:p w14:paraId="665AEA07" w14:textId="77777777" w:rsidR="00182BF3" w:rsidRDefault="00182BF3" w:rsidP="0035023B">
      <w:pPr>
        <w:tabs>
          <w:tab w:val="left" w:pos="3374"/>
        </w:tabs>
        <w:spacing w:after="0" w:line="240" w:lineRule="auto"/>
        <w:rPr>
          <w:rFonts w:ascii="Geomanist Light" w:eastAsia="Calibri" w:hAnsi="Geomanist Light" w:cs="Arial"/>
        </w:rPr>
      </w:pPr>
    </w:p>
    <w:p w14:paraId="62392A2B" w14:textId="77777777" w:rsidR="00182BF3" w:rsidRDefault="00182BF3" w:rsidP="0035023B">
      <w:pPr>
        <w:tabs>
          <w:tab w:val="left" w:pos="3374"/>
        </w:tabs>
        <w:spacing w:after="0" w:line="240" w:lineRule="auto"/>
        <w:rPr>
          <w:rFonts w:ascii="Geomanist Light" w:eastAsia="Calibri" w:hAnsi="Geomanist Light" w:cs="Arial"/>
        </w:rPr>
      </w:pPr>
    </w:p>
    <w:p w14:paraId="3181F377" w14:textId="77777777" w:rsidR="00182BF3" w:rsidRDefault="00182BF3" w:rsidP="0035023B">
      <w:pPr>
        <w:tabs>
          <w:tab w:val="left" w:pos="3374"/>
        </w:tabs>
        <w:spacing w:after="0" w:line="240" w:lineRule="auto"/>
        <w:rPr>
          <w:rFonts w:ascii="Geomanist Light" w:eastAsia="Calibri" w:hAnsi="Geomanist Light" w:cs="Arial"/>
        </w:rPr>
      </w:pPr>
    </w:p>
    <w:p w14:paraId="455F0A1F" w14:textId="77777777" w:rsidR="00182BF3" w:rsidRDefault="00182BF3" w:rsidP="0035023B">
      <w:pPr>
        <w:tabs>
          <w:tab w:val="left" w:pos="3374"/>
        </w:tabs>
        <w:spacing w:after="0" w:line="240" w:lineRule="auto"/>
        <w:rPr>
          <w:rFonts w:ascii="Geomanist Light" w:eastAsia="Calibri" w:hAnsi="Geomanist Light" w:cs="Arial"/>
        </w:rPr>
      </w:pPr>
    </w:p>
    <w:p w14:paraId="5C750479" w14:textId="77777777" w:rsidR="00182BF3" w:rsidRDefault="00182BF3" w:rsidP="0035023B">
      <w:pPr>
        <w:tabs>
          <w:tab w:val="left" w:pos="3374"/>
        </w:tabs>
        <w:spacing w:after="0" w:line="240" w:lineRule="auto"/>
        <w:rPr>
          <w:rFonts w:ascii="Geomanist Light" w:eastAsia="Calibri" w:hAnsi="Geomanist Light" w:cs="Arial"/>
        </w:rPr>
      </w:pPr>
    </w:p>
    <w:p w14:paraId="6D509546" w14:textId="77777777" w:rsidR="00182BF3" w:rsidRDefault="00182BF3" w:rsidP="0035023B">
      <w:pPr>
        <w:tabs>
          <w:tab w:val="left" w:pos="3374"/>
        </w:tabs>
        <w:spacing w:after="0" w:line="240" w:lineRule="auto"/>
        <w:rPr>
          <w:rFonts w:ascii="Geomanist Light" w:eastAsia="Calibri" w:hAnsi="Geomanist Light" w:cs="Arial"/>
        </w:rPr>
      </w:pPr>
    </w:p>
    <w:p w14:paraId="406C886C" w14:textId="1008B58E" w:rsidR="00182BF3" w:rsidRPr="004E4061" w:rsidRDefault="004E4061" w:rsidP="004E4061">
      <w:pPr>
        <w:tabs>
          <w:tab w:val="left" w:pos="3374"/>
        </w:tabs>
        <w:spacing w:after="0" w:line="240" w:lineRule="auto"/>
        <w:jc w:val="right"/>
        <w:rPr>
          <w:rFonts w:ascii="Geomanist Light" w:eastAsia="Calibri" w:hAnsi="Geomanist Light" w:cs="Arial"/>
        </w:rPr>
      </w:pPr>
      <w:r>
        <w:rPr>
          <w:noProof/>
        </w:rPr>
        <w:drawing>
          <wp:inline distT="0" distB="0" distL="0" distR="0" wp14:anchorId="3929D577" wp14:editId="0547EF66">
            <wp:extent cx="2773396" cy="809625"/>
            <wp:effectExtent l="0" t="0" r="825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7"/>
                    <a:srcRect l="57685" t="43419" r="14837" b="43746"/>
                    <a:stretch/>
                  </pic:blipFill>
                  <pic:spPr bwMode="auto">
                    <a:xfrm>
                      <a:off x="0" y="0"/>
                      <a:ext cx="2777924" cy="810947"/>
                    </a:xfrm>
                    <a:prstGeom prst="rect">
                      <a:avLst/>
                    </a:prstGeom>
                    <a:ln>
                      <a:noFill/>
                    </a:ln>
                    <a:extLst>
                      <a:ext uri="{53640926-AAD7-44D8-BBD7-CCE9431645EC}">
                        <a14:shadowObscured xmlns:a14="http://schemas.microsoft.com/office/drawing/2010/main"/>
                      </a:ext>
                    </a:extLst>
                  </pic:spPr>
                </pic:pic>
              </a:graphicData>
            </a:graphic>
          </wp:inline>
        </w:drawing>
      </w:r>
    </w:p>
    <w:p w14:paraId="4EB5C88F" w14:textId="0387F1C0" w:rsidR="0085774A" w:rsidRPr="004E4061" w:rsidRDefault="0085774A" w:rsidP="0035023B">
      <w:pPr>
        <w:tabs>
          <w:tab w:val="left" w:pos="3374"/>
        </w:tabs>
        <w:spacing w:after="0" w:line="240" w:lineRule="auto"/>
        <w:rPr>
          <w:rFonts w:ascii="Geomanist Light" w:eastAsia="Calibri" w:hAnsi="Geomanist Light" w:cs="Arial"/>
        </w:rPr>
      </w:pPr>
    </w:p>
    <w:p w14:paraId="1152118B" w14:textId="646D8784" w:rsidR="0085774A" w:rsidRPr="004E4061" w:rsidRDefault="004E4061" w:rsidP="0035023B">
      <w:pPr>
        <w:tabs>
          <w:tab w:val="left" w:pos="3374"/>
        </w:tabs>
        <w:spacing w:after="0" w:line="240" w:lineRule="auto"/>
        <w:rPr>
          <w:rFonts w:ascii="Geomanist Light" w:hAnsi="Geomanist Light"/>
        </w:rPr>
      </w:pPr>
      <w:r w:rsidRPr="004E4061">
        <w:rPr>
          <w:rFonts w:ascii="Geomanist Light" w:hAnsi="Geomanist Light"/>
        </w:rPr>
        <w:t xml:space="preserve">Bogotá D.C., 08 de </w:t>
      </w:r>
      <w:proofErr w:type="gramStart"/>
      <w:r w:rsidRPr="004E4061">
        <w:rPr>
          <w:rFonts w:ascii="Geomanist Light" w:hAnsi="Geomanist Light"/>
        </w:rPr>
        <w:t>Noviembre</w:t>
      </w:r>
      <w:proofErr w:type="gramEnd"/>
      <w:r w:rsidRPr="004E4061">
        <w:rPr>
          <w:rFonts w:ascii="Geomanist Light" w:hAnsi="Geomanist Light"/>
        </w:rPr>
        <w:t xml:space="preserve"> de 2022</w:t>
      </w:r>
    </w:p>
    <w:p w14:paraId="58F4C4B1" w14:textId="77777777" w:rsidR="004E4061" w:rsidRPr="004E4061" w:rsidRDefault="004E4061" w:rsidP="0035023B">
      <w:pPr>
        <w:tabs>
          <w:tab w:val="left" w:pos="3374"/>
        </w:tabs>
        <w:spacing w:after="0" w:line="240" w:lineRule="auto"/>
        <w:rPr>
          <w:rFonts w:ascii="Geomanist Light" w:eastAsia="Calibri" w:hAnsi="Geomanist Light" w:cs="Arial"/>
        </w:rPr>
      </w:pPr>
    </w:p>
    <w:p w14:paraId="0E6B795F" w14:textId="6799F6F3" w:rsidR="0035023B" w:rsidRPr="004E4061" w:rsidRDefault="0035023B" w:rsidP="0035023B">
      <w:pPr>
        <w:tabs>
          <w:tab w:val="left" w:pos="3374"/>
        </w:tabs>
        <w:spacing w:after="0" w:line="240" w:lineRule="auto"/>
        <w:rPr>
          <w:rFonts w:ascii="Geomanist Light" w:eastAsia="Calibri" w:hAnsi="Geomanist Light" w:cs="Arial"/>
        </w:rPr>
      </w:pPr>
      <w:r w:rsidRPr="004E4061">
        <w:rPr>
          <w:rFonts w:ascii="Geomanist Light" w:eastAsia="Calibri" w:hAnsi="Geomanist Light" w:cs="Arial"/>
        </w:rPr>
        <w:t>Señora</w:t>
      </w:r>
    </w:p>
    <w:p w14:paraId="61FFC11C" w14:textId="3B72AA11" w:rsidR="0035023B" w:rsidRPr="004E4061" w:rsidRDefault="0035023B" w:rsidP="0035023B">
      <w:pPr>
        <w:spacing w:after="0"/>
        <w:rPr>
          <w:rFonts w:ascii="Geomanist Light" w:eastAsia="Calibri" w:hAnsi="Geomanist Light" w:cs="Arial"/>
          <w:b/>
          <w:bCs/>
        </w:rPr>
      </w:pPr>
      <w:r w:rsidRPr="004E4061">
        <w:rPr>
          <w:rFonts w:ascii="Geomanist Light" w:eastAsia="Calibri" w:hAnsi="Geomanist Light" w:cs="Arial"/>
          <w:b/>
          <w:bCs/>
        </w:rPr>
        <w:t xml:space="preserve">Mónica </w:t>
      </w:r>
      <w:proofErr w:type="spellStart"/>
      <w:r w:rsidRPr="004E4061">
        <w:rPr>
          <w:rFonts w:ascii="Geomanist Light" w:eastAsia="Calibri" w:hAnsi="Geomanist Light" w:cs="Arial"/>
          <w:b/>
          <w:bCs/>
        </w:rPr>
        <w:t>Idarraga</w:t>
      </w:r>
      <w:proofErr w:type="spellEnd"/>
      <w:r w:rsidRPr="004E4061">
        <w:rPr>
          <w:rFonts w:ascii="Geomanist Light" w:eastAsia="Calibri" w:hAnsi="Geomanist Light" w:cs="Arial"/>
          <w:b/>
          <w:bCs/>
        </w:rPr>
        <w:t xml:space="preserve"> Medina </w:t>
      </w:r>
    </w:p>
    <w:p w14:paraId="38F32C5D" w14:textId="02812ABF" w:rsidR="0035023B" w:rsidRPr="004E4061" w:rsidRDefault="0035023B" w:rsidP="0035023B">
      <w:pPr>
        <w:spacing w:after="0"/>
        <w:rPr>
          <w:rFonts w:ascii="Geomanist Light" w:eastAsia="Calibri" w:hAnsi="Geomanist Light" w:cs="Arial"/>
          <w:bCs/>
          <w:lang w:val="en-US"/>
        </w:rPr>
      </w:pPr>
      <w:r w:rsidRPr="004E4061">
        <w:rPr>
          <w:rFonts w:ascii="Geomanist Light" w:eastAsia="Calibri" w:hAnsi="Geomanist Light" w:cs="Arial"/>
          <w:bCs/>
          <w:lang w:val="en-US"/>
        </w:rPr>
        <w:t xml:space="preserve">Cali, Valle del Cauca </w:t>
      </w:r>
    </w:p>
    <w:p w14:paraId="331E1EF5" w14:textId="4F95933D" w:rsidR="0035023B" w:rsidRPr="004E4061" w:rsidRDefault="00182BF3" w:rsidP="004E4061">
      <w:pPr>
        <w:tabs>
          <w:tab w:val="left" w:pos="3549"/>
        </w:tabs>
        <w:spacing w:after="0"/>
        <w:rPr>
          <w:rFonts w:ascii="Geomanist Light" w:eastAsia="Calibri" w:hAnsi="Geomanist Light" w:cs="Arial"/>
          <w:b/>
          <w:lang w:val="en-US"/>
        </w:rPr>
      </w:pPr>
      <w:r>
        <w:rPr>
          <w:rFonts w:ascii="Geomanist Light" w:eastAsia="Calibri" w:hAnsi="Geomanist Light" w:cs="Arial"/>
          <w:b/>
          <w:lang w:val="en-US"/>
        </w:rPr>
        <w:tab/>
      </w:r>
    </w:p>
    <w:p w14:paraId="2BA03407" w14:textId="484FC408" w:rsidR="0035023B" w:rsidRPr="004E4061" w:rsidRDefault="0035023B" w:rsidP="0035023B">
      <w:pPr>
        <w:ind w:left="2116" w:firstLine="708"/>
        <w:rPr>
          <w:rFonts w:ascii="Geomanist Light" w:eastAsia="Calibri" w:hAnsi="Geomanist Light" w:cs="Arial"/>
          <w:b/>
        </w:rPr>
      </w:pPr>
      <w:r w:rsidRPr="004E4061">
        <w:rPr>
          <w:rFonts w:ascii="Geomanist Light" w:eastAsia="Calibri" w:hAnsi="Geomanist Light" w:cs="Arial"/>
          <w:b/>
        </w:rPr>
        <w:t xml:space="preserve">Concepto C – </w:t>
      </w:r>
      <w:r w:rsidR="00256C32" w:rsidRPr="004E4061">
        <w:rPr>
          <w:rFonts w:ascii="Geomanist Light" w:eastAsia="Calibri" w:hAnsi="Geomanist Light" w:cs="Arial"/>
          <w:b/>
        </w:rPr>
        <w:t>7</w:t>
      </w:r>
      <w:r w:rsidRPr="004E4061">
        <w:rPr>
          <w:rFonts w:ascii="Geomanist Light" w:eastAsia="Calibri" w:hAnsi="Geomanist Light" w:cs="Arial"/>
          <w:b/>
        </w:rPr>
        <w:t>43 de 2022</w:t>
      </w:r>
    </w:p>
    <w:p w14:paraId="3BF8B6C0" w14:textId="77777777" w:rsidR="0035023B" w:rsidRPr="004E4061" w:rsidRDefault="0035023B" w:rsidP="0035023B">
      <w:pPr>
        <w:ind w:left="2824" w:hanging="2824"/>
        <w:jc w:val="both"/>
        <w:rPr>
          <w:rFonts w:ascii="Geomanist Light" w:eastAsia="Calibri" w:hAnsi="Geomanist Light" w:cs="Arial"/>
          <w:bCs/>
          <w:color w:val="000000" w:themeColor="text1"/>
          <w:lang w:val="es-ES_tradnl"/>
        </w:rPr>
      </w:pPr>
      <w:r w:rsidRPr="004E4061">
        <w:rPr>
          <w:rFonts w:ascii="Geomanist Light" w:eastAsia="Calibri" w:hAnsi="Geomanist Light" w:cs="Arial"/>
          <w:b/>
          <w:noProof/>
          <w:color w:val="1A1A1A" w:themeColor="background1" w:themeShade="1A"/>
          <w:lang w:val="es-ES_tradnl"/>
        </w:rPr>
        <w:t>Temas</w:t>
      </w:r>
      <w:r w:rsidRPr="004E4061">
        <w:rPr>
          <w:rFonts w:ascii="Geomanist Light" w:eastAsia="Calibri" w:hAnsi="Geomanist Light" w:cs="Arial"/>
          <w:bCs/>
          <w:noProof/>
          <w:color w:val="1A1A1A" w:themeColor="background1" w:themeShade="1A"/>
          <w:lang w:val="es-ES_tradnl"/>
        </w:rPr>
        <w:t xml:space="preserve">: </w:t>
      </w:r>
      <w:r w:rsidRPr="004E4061">
        <w:rPr>
          <w:rFonts w:ascii="Geomanist Light" w:eastAsia="Calibri" w:hAnsi="Geomanist Light" w:cs="Arial"/>
          <w:bCs/>
          <w:noProof/>
          <w:color w:val="1A1A1A" w:themeColor="background1" w:themeShade="1A"/>
          <w:lang w:val="es-ES_tradnl"/>
        </w:rPr>
        <w:tab/>
      </w:r>
      <w:r w:rsidRPr="004E4061">
        <w:rPr>
          <w:rFonts w:ascii="Geomanist Light" w:eastAsia="Calibri" w:hAnsi="Geomanist Light" w:cs="Arial"/>
          <w:bCs/>
          <w:noProof/>
          <w:color w:val="1A1A1A" w:themeColor="background1" w:themeShade="1A"/>
          <w:lang w:val="es-ES_tradnl"/>
        </w:rPr>
        <w:tab/>
      </w:r>
      <w:r w:rsidRPr="004E4061">
        <w:rPr>
          <w:rFonts w:ascii="Geomanist Light" w:eastAsia="Calibri" w:hAnsi="Geomanist Light" w:cs="Arial"/>
          <w:bCs/>
          <w:color w:val="000000" w:themeColor="text1"/>
        </w:rPr>
        <w:t>LEY DE EMPRENDIMIENTO – Ley 2069 de 2020 – Vigencia / MIPYMES – Artículo 34 de la Ley 2069 de 2020 – artículo 5 del Decreto 1860 de 2021 Convocatorias limitadas territorialmente - Vigencia / CONVOCATORIAS LIMITADAS A MIPYMES – Limitación territorial / MENOR CUANTÍA – Selección abreviada – Modalidad – Regulación – Sorteo</w:t>
      </w:r>
      <w:r w:rsidRPr="004E4061">
        <w:rPr>
          <w:rFonts w:ascii="Geomanist Light" w:eastAsia="Calibri" w:hAnsi="Geomanist Light" w:cs="Arial"/>
          <w:bCs/>
          <w:color w:val="000000" w:themeColor="text1"/>
          <w:lang w:val="es-ES_tradnl"/>
        </w:rPr>
        <w:t xml:space="preserve">. </w:t>
      </w:r>
    </w:p>
    <w:p w14:paraId="4F87C528" w14:textId="46D65E6A" w:rsidR="0035023B" w:rsidRPr="004E4061" w:rsidRDefault="0035023B" w:rsidP="0035023B">
      <w:pPr>
        <w:spacing w:after="0"/>
        <w:ind w:left="2824" w:hanging="2818"/>
        <w:jc w:val="both"/>
        <w:rPr>
          <w:rFonts w:ascii="Geomanist Light" w:eastAsia="Calibri" w:hAnsi="Geomanist Light" w:cs="Arial"/>
          <w:bCs/>
          <w:noProof/>
          <w:color w:val="1A1A1A" w:themeColor="background1" w:themeShade="1A"/>
          <w:lang w:val="es-ES_tradnl"/>
        </w:rPr>
      </w:pPr>
      <w:r w:rsidRPr="004E4061">
        <w:rPr>
          <w:rFonts w:ascii="Geomanist Light" w:eastAsia="Calibri" w:hAnsi="Geomanist Light" w:cs="Arial"/>
          <w:b/>
          <w:noProof/>
          <w:color w:val="1A1A1A" w:themeColor="background1" w:themeShade="1A"/>
          <w:lang w:val="es-ES_tradnl"/>
        </w:rPr>
        <w:t>Radicación</w:t>
      </w:r>
      <w:r w:rsidRPr="004E4061">
        <w:rPr>
          <w:rFonts w:ascii="Geomanist Light" w:eastAsia="Calibri" w:hAnsi="Geomanist Light" w:cs="Arial"/>
          <w:bCs/>
          <w:noProof/>
          <w:color w:val="1A1A1A" w:themeColor="background1" w:themeShade="1A"/>
          <w:lang w:val="es-ES_tradnl"/>
        </w:rPr>
        <w:t>:</w:t>
      </w:r>
      <w:r w:rsidRPr="004E4061">
        <w:rPr>
          <w:rFonts w:ascii="Geomanist Light" w:eastAsia="Calibri" w:hAnsi="Geomanist Light" w:cs="Arial"/>
          <w:bCs/>
          <w:noProof/>
          <w:color w:val="1A1A1A" w:themeColor="background1" w:themeShade="1A"/>
          <w:lang w:val="es-ES_tradnl"/>
        </w:rPr>
        <w:tab/>
        <w:t>Respuesta a consulta P20220923009604</w:t>
      </w:r>
    </w:p>
    <w:p w14:paraId="26A36E78" w14:textId="77777777" w:rsidR="0035023B" w:rsidRPr="004E4061" w:rsidRDefault="0035023B" w:rsidP="0035023B">
      <w:pPr>
        <w:tabs>
          <w:tab w:val="left" w:pos="3374"/>
        </w:tabs>
        <w:spacing w:after="0" w:line="276" w:lineRule="auto"/>
        <w:rPr>
          <w:rFonts w:ascii="Geomanist Light" w:eastAsia="Calibri" w:hAnsi="Geomanist Light" w:cs="Arial"/>
        </w:rPr>
      </w:pPr>
    </w:p>
    <w:p w14:paraId="66D1AA63" w14:textId="6061652D" w:rsidR="0035023B" w:rsidRPr="004E4061" w:rsidRDefault="0035023B" w:rsidP="0035023B">
      <w:pPr>
        <w:tabs>
          <w:tab w:val="left" w:pos="3374"/>
        </w:tabs>
        <w:spacing w:after="0" w:line="276" w:lineRule="auto"/>
        <w:rPr>
          <w:rFonts w:ascii="Geomanist Light" w:eastAsia="Calibri" w:hAnsi="Geomanist Light" w:cs="Arial"/>
          <w:b/>
          <w:bCs/>
        </w:rPr>
      </w:pPr>
      <w:r w:rsidRPr="004E4061">
        <w:rPr>
          <w:rFonts w:ascii="Geomanist Light" w:eastAsia="Calibri" w:hAnsi="Geomanist Light" w:cs="Arial"/>
        </w:rPr>
        <w:t>Estimada señora</w:t>
      </w:r>
      <w:r w:rsidRPr="004E4061">
        <w:rPr>
          <w:rFonts w:ascii="Geomanist Light" w:hAnsi="Geomanist Light" w:cs="Arial"/>
          <w:b/>
          <w:bCs/>
        </w:rPr>
        <w:t xml:space="preserve"> </w:t>
      </w:r>
      <w:proofErr w:type="spellStart"/>
      <w:r w:rsidRPr="004E4061">
        <w:rPr>
          <w:rFonts w:ascii="Geomanist Light" w:eastAsia="Calibri" w:hAnsi="Geomanist Light" w:cs="Arial"/>
        </w:rPr>
        <w:t>Idarraga</w:t>
      </w:r>
      <w:proofErr w:type="spellEnd"/>
      <w:r w:rsidRPr="004E4061">
        <w:rPr>
          <w:rFonts w:ascii="Geomanist Light" w:eastAsia="Calibri" w:hAnsi="Geomanist Light" w:cs="Arial"/>
        </w:rPr>
        <w:t xml:space="preserve"> Medina,</w:t>
      </w:r>
      <w:r w:rsidRPr="004E4061">
        <w:rPr>
          <w:rFonts w:ascii="Geomanist Light" w:eastAsia="Calibri" w:hAnsi="Geomanist Light" w:cs="Arial"/>
          <w:b/>
          <w:bCs/>
        </w:rPr>
        <w:t xml:space="preserve"> </w:t>
      </w:r>
    </w:p>
    <w:p w14:paraId="13736703" w14:textId="77777777" w:rsidR="0035023B" w:rsidRPr="004E4061" w:rsidRDefault="0035023B" w:rsidP="0035023B">
      <w:pPr>
        <w:tabs>
          <w:tab w:val="left" w:pos="3374"/>
        </w:tabs>
        <w:spacing w:after="0" w:line="276" w:lineRule="auto"/>
        <w:rPr>
          <w:rFonts w:ascii="Geomanist Light" w:eastAsia="Calibri" w:hAnsi="Geomanist Light" w:cs="Arial"/>
        </w:rPr>
      </w:pPr>
    </w:p>
    <w:p w14:paraId="14828C08" w14:textId="095B5286" w:rsidR="0035023B" w:rsidRPr="004E4061" w:rsidRDefault="0035023B" w:rsidP="0035023B">
      <w:pPr>
        <w:spacing w:after="0" w:line="276" w:lineRule="auto"/>
        <w:jc w:val="both"/>
        <w:rPr>
          <w:rFonts w:ascii="Geomanist Light" w:eastAsia="Calibri" w:hAnsi="Geomanist Light" w:cs="Arial"/>
        </w:rPr>
      </w:pPr>
      <w:r w:rsidRPr="004E4061">
        <w:rPr>
          <w:rFonts w:ascii="Geomanist Light" w:eastAsia="Calibri" w:hAnsi="Geomanist Light" w:cs="Arial"/>
        </w:rPr>
        <w:t>En ejercicio de la competencia otorgada por el numeral 8 del artículo 11 y el numeral 5 del artículo 3 del Decreto Ley 4170 de 2011, la Agencia Nacional de Contratación Pública− Colombia Compra Eficiente responde su consulta de fecha 23 de septiembre de 2022.</w:t>
      </w:r>
    </w:p>
    <w:p w14:paraId="6F42D03E" w14:textId="77777777" w:rsidR="0035023B" w:rsidRPr="004E4061" w:rsidRDefault="0035023B" w:rsidP="0035023B">
      <w:pPr>
        <w:tabs>
          <w:tab w:val="left" w:pos="284"/>
        </w:tabs>
        <w:spacing w:after="0" w:line="276" w:lineRule="auto"/>
        <w:jc w:val="both"/>
        <w:rPr>
          <w:rFonts w:ascii="Geomanist Light" w:eastAsia="Calibri" w:hAnsi="Geomanist Light" w:cs="Arial"/>
          <w:b/>
        </w:rPr>
      </w:pPr>
    </w:p>
    <w:p w14:paraId="713BC358" w14:textId="5C2DF548" w:rsidR="0035023B" w:rsidRPr="004E4061" w:rsidRDefault="0035023B" w:rsidP="0035023B">
      <w:pPr>
        <w:tabs>
          <w:tab w:val="left" w:pos="284"/>
        </w:tabs>
        <w:spacing w:after="0" w:line="276" w:lineRule="auto"/>
        <w:jc w:val="both"/>
        <w:rPr>
          <w:rFonts w:ascii="Geomanist Light" w:eastAsia="Calibri" w:hAnsi="Geomanist Light" w:cs="Arial"/>
          <w:b/>
        </w:rPr>
      </w:pPr>
      <w:r w:rsidRPr="004E4061">
        <w:rPr>
          <w:rFonts w:ascii="Geomanist Light" w:eastAsia="Calibri" w:hAnsi="Geomanist Light" w:cs="Arial"/>
          <w:b/>
        </w:rPr>
        <w:t xml:space="preserve">1. Problema planteado </w:t>
      </w:r>
    </w:p>
    <w:p w14:paraId="6A27C211" w14:textId="77777777" w:rsidR="0035023B" w:rsidRPr="004E4061" w:rsidRDefault="0035023B" w:rsidP="0035023B">
      <w:pPr>
        <w:tabs>
          <w:tab w:val="left" w:pos="284"/>
        </w:tabs>
        <w:spacing w:after="0" w:line="276" w:lineRule="auto"/>
        <w:jc w:val="both"/>
        <w:rPr>
          <w:rFonts w:ascii="Geomanist Light" w:eastAsia="Calibri" w:hAnsi="Geomanist Light" w:cs="Arial"/>
          <w:b/>
        </w:rPr>
      </w:pPr>
    </w:p>
    <w:p w14:paraId="5B466CF8" w14:textId="2EF3CEA8" w:rsidR="0035023B" w:rsidRPr="004E4061" w:rsidRDefault="0035023B" w:rsidP="0035023B">
      <w:pPr>
        <w:spacing w:after="0" w:line="276" w:lineRule="auto"/>
        <w:jc w:val="both"/>
        <w:rPr>
          <w:rFonts w:ascii="Geomanist Light" w:hAnsi="Geomanist Light" w:cs="Arial"/>
          <w:color w:val="1A1A1A" w:themeColor="background1" w:themeShade="1A"/>
        </w:rPr>
      </w:pPr>
      <w:r w:rsidRPr="004E4061">
        <w:rPr>
          <w:rFonts w:ascii="Geomanist Light" w:hAnsi="Geomanist Light" w:cs="Arial"/>
          <w:color w:val="1A1A1A" w:themeColor="background1" w:themeShade="1A"/>
          <w:lang w:val="es-ES_tradnl"/>
        </w:rPr>
        <w:t>Usted formula la siguiente consulta: ¿</w:t>
      </w:r>
      <w:r w:rsidRPr="004E4061">
        <w:rPr>
          <w:rFonts w:ascii="Geomanist Light" w:hAnsi="Geomanist Light" w:cs="Arial"/>
          <w:color w:val="1A1A1A" w:themeColor="background1" w:themeShade="1A"/>
        </w:rPr>
        <w:t>«</w:t>
      </w:r>
      <w:r w:rsidRPr="004E4061">
        <w:rPr>
          <w:rFonts w:ascii="Geomanist Light" w:hAnsi="Geomanist Light" w:cs="Arial"/>
        </w:rPr>
        <w:t>Pueden limitar un proceso a MiPymes de un solo territorio cuando en la invitación no se había advertido de la posibilidad de limitar en ese territorio específicamente?»</w:t>
      </w:r>
      <w:r w:rsidR="00256C32" w:rsidRPr="004E4061">
        <w:rPr>
          <w:rFonts w:ascii="Geomanist Light" w:hAnsi="Geomanist Light" w:cs="Arial"/>
        </w:rPr>
        <w:t>.</w:t>
      </w:r>
    </w:p>
    <w:p w14:paraId="513B070D" w14:textId="77777777" w:rsidR="0035023B" w:rsidRPr="004E4061" w:rsidRDefault="0035023B" w:rsidP="0035023B">
      <w:pPr>
        <w:spacing w:after="0" w:line="240" w:lineRule="auto"/>
        <w:ind w:left="709" w:right="709"/>
        <w:jc w:val="both"/>
        <w:rPr>
          <w:rFonts w:ascii="Geomanist Light" w:eastAsia="Times New Roman" w:hAnsi="Geomanist Light" w:cs="Arial"/>
          <w:color w:val="000000" w:themeColor="text1"/>
          <w:sz w:val="21"/>
          <w:szCs w:val="21"/>
          <w:lang w:eastAsia="es-ES_tradnl"/>
        </w:rPr>
      </w:pPr>
    </w:p>
    <w:p w14:paraId="37CF5BBB" w14:textId="6142E84E" w:rsidR="0035023B" w:rsidRPr="004E4061" w:rsidRDefault="0035023B" w:rsidP="0035023B">
      <w:pPr>
        <w:spacing w:after="0" w:line="276" w:lineRule="auto"/>
        <w:ind w:right="709"/>
        <w:jc w:val="both"/>
        <w:rPr>
          <w:rFonts w:ascii="Geomanist Light" w:eastAsia="Calibri" w:hAnsi="Geomanist Light" w:cs="Arial"/>
          <w:b/>
        </w:rPr>
      </w:pPr>
      <w:r w:rsidRPr="004E4061">
        <w:rPr>
          <w:rFonts w:ascii="Geomanist Light" w:eastAsia="Calibri" w:hAnsi="Geomanist Light" w:cs="Arial"/>
          <w:b/>
        </w:rPr>
        <w:t>2. Consideraciones</w:t>
      </w:r>
    </w:p>
    <w:p w14:paraId="5ED6E1C2" w14:textId="77777777" w:rsidR="0035023B" w:rsidRPr="004E4061" w:rsidRDefault="0035023B" w:rsidP="0035023B">
      <w:pPr>
        <w:spacing w:after="0" w:line="276" w:lineRule="auto"/>
        <w:ind w:right="709"/>
        <w:jc w:val="both"/>
        <w:rPr>
          <w:rFonts w:ascii="Geomanist Light" w:hAnsi="Geomanist Light" w:cs="Arial"/>
          <w:color w:val="1A1A1A" w:themeColor="background1" w:themeShade="1A"/>
          <w:sz w:val="21"/>
          <w:szCs w:val="21"/>
        </w:rPr>
      </w:pPr>
    </w:p>
    <w:p w14:paraId="28FEF585" w14:textId="1D0DB056" w:rsidR="0035023B" w:rsidRPr="004E4061" w:rsidRDefault="0035023B" w:rsidP="00256C32">
      <w:pPr>
        <w:spacing w:after="120" w:line="276" w:lineRule="auto"/>
        <w:jc w:val="both"/>
        <w:rPr>
          <w:rFonts w:ascii="Geomanist Light" w:eastAsia="Calibri" w:hAnsi="Geomanist Light" w:cs="Arial"/>
          <w:color w:val="000000" w:themeColor="text1"/>
          <w:lang w:val="es-ES_tradnl" w:eastAsia="es-ES_tradnl"/>
        </w:rPr>
      </w:pPr>
      <w:bookmarkStart w:id="5" w:name="_Hlk94018153"/>
      <w:r w:rsidRPr="004E4061">
        <w:rPr>
          <w:rFonts w:ascii="Geomanist Light" w:eastAsia="Calibri" w:hAnsi="Geomanist Light" w:cs="Arial"/>
          <w:color w:val="000000" w:themeColor="text1"/>
          <w:lang w:val="es-ES_tradnl" w:eastAsia="es-ES_tradnl"/>
        </w:rPr>
        <w:t>La Subdirección de Gestión Contractual responderá la consulta, luego de analizar los siguientes temas:</w:t>
      </w:r>
      <w:r w:rsidR="00256C32" w:rsidRPr="004E4061">
        <w:rPr>
          <w:rFonts w:ascii="Geomanist Light" w:eastAsia="Calibri" w:hAnsi="Geomanist Light" w:cs="Arial"/>
          <w:lang w:val="es-ES_tradnl"/>
        </w:rPr>
        <w:t xml:space="preserve"> </w:t>
      </w:r>
      <w:r w:rsidR="006C7518" w:rsidRPr="004E4061">
        <w:rPr>
          <w:rFonts w:ascii="Geomanist Light" w:eastAsia="Calibri" w:hAnsi="Geomanist Light" w:cs="Arial"/>
          <w:bCs/>
          <w:color w:val="000000" w:themeColor="text1"/>
        </w:rPr>
        <w:t>i)</w:t>
      </w:r>
      <w:r w:rsidR="006C7518" w:rsidRPr="004E4061">
        <w:rPr>
          <w:rFonts w:ascii="Geomanist Light" w:hAnsi="Geomanist Light"/>
        </w:rPr>
        <w:t xml:space="preserve"> </w:t>
      </w:r>
      <w:r w:rsidR="006C7518" w:rsidRPr="004E4061">
        <w:rPr>
          <w:rFonts w:ascii="Geomanist Light" w:eastAsia="Calibri" w:hAnsi="Geomanist Light" w:cs="Arial"/>
          <w:color w:val="000000" w:themeColor="text1"/>
          <w:lang w:val="es-ES_tradnl"/>
        </w:rPr>
        <w:t>modalidad de selección de mínima cuantía. Regulación y características del procedimiento</w:t>
      </w:r>
      <w:r w:rsidR="00256C32" w:rsidRPr="004E4061">
        <w:rPr>
          <w:rFonts w:ascii="Geomanist Light" w:eastAsia="Calibri" w:hAnsi="Geomanist Light" w:cs="Arial"/>
          <w:lang w:val="es-ES_tradnl"/>
        </w:rPr>
        <w:t xml:space="preserve"> y </w:t>
      </w:r>
      <w:proofErr w:type="spellStart"/>
      <w:r w:rsidR="00256C32" w:rsidRPr="004E4061">
        <w:rPr>
          <w:rFonts w:ascii="Geomanist Light" w:eastAsia="Calibri" w:hAnsi="Geomanist Light" w:cs="Arial"/>
          <w:lang w:val="es-ES_tradnl"/>
        </w:rPr>
        <w:t>ii</w:t>
      </w:r>
      <w:proofErr w:type="spellEnd"/>
      <w:r w:rsidR="00256C32" w:rsidRPr="004E4061">
        <w:rPr>
          <w:rFonts w:ascii="Geomanist Light" w:eastAsia="Calibri" w:hAnsi="Geomanist Light" w:cs="Arial"/>
          <w:lang w:val="es-ES_tradnl"/>
        </w:rPr>
        <w:t xml:space="preserve">) regulación de las convocatorias limitadas a </w:t>
      </w:r>
      <w:proofErr w:type="spellStart"/>
      <w:r w:rsidR="00256C32" w:rsidRPr="004E4061">
        <w:rPr>
          <w:rFonts w:ascii="Geomanist Light" w:eastAsia="Calibri" w:hAnsi="Geomanist Light" w:cs="Arial"/>
          <w:lang w:val="es-ES_tradnl"/>
        </w:rPr>
        <w:t>mipymes</w:t>
      </w:r>
      <w:proofErr w:type="spellEnd"/>
      <w:r w:rsidR="00256C32" w:rsidRPr="004E4061">
        <w:rPr>
          <w:rFonts w:ascii="Geomanist Light" w:eastAsia="Calibri" w:hAnsi="Geomanist Light" w:cs="Arial"/>
          <w:lang w:val="es-ES_tradnl"/>
        </w:rPr>
        <w:t xml:space="preserve"> en el ámbito territorial en el artículo 34 de la Ley 2069 de 2020 y el Decreto 1860 de 2021.</w:t>
      </w:r>
    </w:p>
    <w:p w14:paraId="04C16E80" w14:textId="3132A3DE" w:rsidR="0035023B" w:rsidRPr="004E4061" w:rsidRDefault="0035023B" w:rsidP="00D307FA">
      <w:pPr>
        <w:spacing w:after="0" w:line="276" w:lineRule="auto"/>
        <w:ind w:firstLine="709"/>
        <w:jc w:val="both"/>
        <w:rPr>
          <w:rFonts w:ascii="Geomanist Light" w:eastAsia="Calibri" w:hAnsi="Geomanist Light" w:cs="Arial"/>
          <w:color w:val="000000" w:themeColor="text1"/>
          <w:lang w:val="es-ES_tradnl" w:eastAsia="es-ES_tradnl"/>
        </w:rPr>
      </w:pPr>
      <w:r w:rsidRPr="004E4061">
        <w:rPr>
          <w:rFonts w:ascii="Geomanist Light" w:eastAsia="Calibri" w:hAnsi="Geomanist Light" w:cs="Arial"/>
          <w:color w:val="000000" w:themeColor="text1"/>
          <w:lang w:val="es-ES_tradnl" w:eastAsia="es-ES_tradnl"/>
        </w:rPr>
        <w:t xml:space="preserve">La Agencia Nacional de Contratación Pública – Colombia Compra Eficiente se pronunció sobre la nueva regulación de la promoción del desarrollo en la contratación estatal contenida en el artículo 34 de la Ley 2069 de 2020 en los conceptos C-043 del 09 de febrero </w:t>
      </w:r>
      <w:r w:rsidRPr="004E4061">
        <w:rPr>
          <w:rFonts w:ascii="Geomanist Light" w:eastAsia="Calibri" w:hAnsi="Geomanist Light" w:cs="Arial"/>
          <w:color w:val="000000" w:themeColor="text1"/>
          <w:lang w:val="es-ES_tradnl" w:eastAsia="es-ES_tradnl"/>
        </w:rPr>
        <w:lastRenderedPageBreak/>
        <w:t xml:space="preserve">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En relación con las limitaciones territoriales de convocatorias </w:t>
      </w:r>
      <w:proofErr w:type="spellStart"/>
      <w:r w:rsidRPr="004E4061">
        <w:rPr>
          <w:rFonts w:ascii="Geomanist Light" w:eastAsia="Calibri" w:hAnsi="Geomanist Light" w:cs="Arial"/>
          <w:color w:val="000000" w:themeColor="text1"/>
          <w:lang w:val="es-ES_tradnl" w:eastAsia="es-ES_tradnl"/>
        </w:rPr>
        <w:t>mipyme</w:t>
      </w:r>
      <w:proofErr w:type="spellEnd"/>
      <w:r w:rsidRPr="004E4061">
        <w:rPr>
          <w:rFonts w:ascii="Geomanist Light" w:eastAsia="Calibri" w:hAnsi="Geomanist Light" w:cs="Arial"/>
          <w:color w:val="000000" w:themeColor="text1"/>
          <w:lang w:val="es-ES_tradnl" w:eastAsia="es-ES_tradnl"/>
        </w:rPr>
        <w:t xml:space="preserve"> se expidieron los conceptos C-705 de 7 de diciembre de 2020, C-438 de 27 de septiembre de 2021, C-041 del 2 de marzo de 2022, C-315 del 18 de mayo de 2022,</w:t>
      </w:r>
      <w:r w:rsidR="00256C32" w:rsidRPr="004E4061">
        <w:rPr>
          <w:rFonts w:ascii="Geomanist Light" w:eastAsia="Calibri" w:hAnsi="Geomanist Light" w:cs="Arial"/>
          <w:color w:val="000000" w:themeColor="text1"/>
          <w:lang w:val="es-ES_tradnl" w:eastAsia="es-ES_tradnl"/>
        </w:rPr>
        <w:t xml:space="preserve"> C-459 del 18 de julio de 2022, C-460 del 18 de julio de 2022, </w:t>
      </w:r>
      <w:r w:rsidRPr="004E4061">
        <w:rPr>
          <w:rFonts w:ascii="Geomanist Light" w:eastAsia="Calibri" w:hAnsi="Geomanist Light" w:cs="Arial"/>
          <w:color w:val="000000" w:themeColor="text1"/>
          <w:lang w:val="es-ES_tradnl" w:eastAsia="es-ES_tradnl"/>
        </w:rPr>
        <w:t xml:space="preserve">C-485 del 26 de julio de 2022, y C-643 de 10 de octubre de 20221, entre otros. Las consideraciones de estos conceptos se reiteran a continuación y se complementan en lo pertinente. </w:t>
      </w:r>
    </w:p>
    <w:p w14:paraId="0B1B981B" w14:textId="77777777" w:rsidR="00557A6D" w:rsidRPr="004E4061" w:rsidRDefault="00557A6D" w:rsidP="00D307FA">
      <w:pPr>
        <w:spacing w:after="0" w:line="276" w:lineRule="auto"/>
        <w:ind w:firstLine="709"/>
        <w:jc w:val="both"/>
        <w:rPr>
          <w:rFonts w:ascii="Geomanist Light" w:eastAsia="Calibri" w:hAnsi="Geomanist Light" w:cs="Arial"/>
          <w:b/>
          <w:bCs/>
          <w:color w:val="000000" w:themeColor="text1"/>
          <w:lang w:val="es-ES_tradnl"/>
        </w:rPr>
      </w:pPr>
    </w:p>
    <w:p w14:paraId="7A6FAB27" w14:textId="77777777" w:rsidR="008B4E38" w:rsidRPr="004E4061" w:rsidRDefault="008B4E38" w:rsidP="00D307FA">
      <w:pPr>
        <w:tabs>
          <w:tab w:val="left" w:pos="709"/>
        </w:tabs>
        <w:spacing w:after="0" w:line="276" w:lineRule="auto"/>
        <w:jc w:val="both"/>
        <w:rPr>
          <w:rFonts w:ascii="Geomanist Light" w:eastAsia="Calibri" w:hAnsi="Geomanist Light" w:cs="Arial"/>
          <w:b/>
          <w:bCs/>
          <w:color w:val="000000"/>
          <w:lang w:val="es-ES_tradnl" w:eastAsia="es-ES_tradnl"/>
        </w:rPr>
      </w:pPr>
      <w:r w:rsidRPr="004E4061">
        <w:rPr>
          <w:rFonts w:ascii="Geomanist Light" w:eastAsia="Calibri" w:hAnsi="Geomanist Light" w:cs="Arial"/>
          <w:b/>
          <w:bCs/>
          <w:color w:val="000000"/>
          <w:lang w:val="es-ES_tradnl" w:eastAsia="es-ES_tradnl"/>
        </w:rPr>
        <w:t>2.1. Modalidad de selección de mínima cuantía. Regulación y características del procedimiento</w:t>
      </w:r>
    </w:p>
    <w:p w14:paraId="29060276" w14:textId="77777777" w:rsidR="008B4E38" w:rsidRPr="004E4061" w:rsidRDefault="008B4E38" w:rsidP="00D307FA">
      <w:pPr>
        <w:tabs>
          <w:tab w:val="left" w:pos="709"/>
        </w:tabs>
        <w:spacing w:after="0" w:line="276" w:lineRule="auto"/>
        <w:jc w:val="both"/>
        <w:rPr>
          <w:rFonts w:ascii="Geomanist Light" w:eastAsia="Calibri" w:hAnsi="Geomanist Light" w:cs="Arial"/>
          <w:b/>
          <w:bCs/>
          <w:color w:val="000000"/>
          <w:lang w:val="es-ES_tradnl" w:eastAsia="es-ES_tradnl"/>
        </w:rPr>
      </w:pPr>
    </w:p>
    <w:p w14:paraId="6699361E" w14:textId="77777777" w:rsidR="008B4E38" w:rsidRPr="004E4061" w:rsidRDefault="008B4E38" w:rsidP="0085774A">
      <w:pPr>
        <w:tabs>
          <w:tab w:val="left" w:pos="709"/>
        </w:tabs>
        <w:spacing w:after="120" w:line="276" w:lineRule="auto"/>
        <w:jc w:val="both"/>
        <w:rPr>
          <w:rFonts w:ascii="Geomanist Light" w:eastAsia="Calibri" w:hAnsi="Geomanist Light" w:cs="Arial"/>
          <w:bCs/>
          <w:color w:val="000000"/>
          <w:lang w:val="es-ES_tradnl"/>
        </w:rPr>
      </w:pPr>
      <w:r w:rsidRPr="004E4061">
        <w:rPr>
          <w:rFonts w:ascii="Geomanist Light" w:eastAsia="Calibri" w:hAnsi="Geomanist Light" w:cs="Arial"/>
          <w:bCs/>
          <w:color w:val="000000"/>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6" w:name="_Hlk69566698"/>
      <w:r w:rsidRPr="004E4061">
        <w:rPr>
          <w:rFonts w:ascii="Geomanist Light" w:eastAsia="Calibri" w:hAnsi="Geomanist Light" w:cs="Arial"/>
          <w:bCs/>
          <w:color w:val="000000"/>
          <w:lang w:val="es-ES_tradnl"/>
        </w:rPr>
        <w:t>el artículo 94 de la Ley 1474 de 2011</w:t>
      </w:r>
      <w:bookmarkEnd w:id="6"/>
      <w:r w:rsidRPr="004E4061">
        <w:rPr>
          <w:rFonts w:ascii="Geomanist Light" w:eastAsia="Calibri" w:hAnsi="Geomanist Light" w:cs="Arial"/>
          <w:bCs/>
          <w:color w:val="000000"/>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4E4061">
        <w:rPr>
          <w:rFonts w:ascii="Geomanist Light" w:eastAsia="Calibri" w:hAnsi="Geomanist Light" w:cs="Arial"/>
          <w:bCs/>
          <w:color w:val="000000"/>
          <w:vertAlign w:val="superscript"/>
          <w:lang w:val="es-ES_tradnl"/>
        </w:rPr>
        <w:footnoteReference w:id="1"/>
      </w:r>
      <w:r w:rsidRPr="004E4061">
        <w:rPr>
          <w:rFonts w:ascii="Geomanist Light" w:eastAsia="Calibri" w:hAnsi="Geomanist Light" w:cs="Arial"/>
          <w:bCs/>
          <w:color w:val="000000"/>
          <w:lang w:val="es-ES_tradnl"/>
        </w:rPr>
        <w:t>.</w:t>
      </w:r>
    </w:p>
    <w:p w14:paraId="1EBE0128" w14:textId="77777777" w:rsidR="008B4E38" w:rsidRPr="004E4061" w:rsidRDefault="008B4E38" w:rsidP="00D307FA">
      <w:pPr>
        <w:tabs>
          <w:tab w:val="left" w:pos="709"/>
        </w:tabs>
        <w:spacing w:after="120" w:line="276" w:lineRule="auto"/>
        <w:jc w:val="both"/>
        <w:rPr>
          <w:rFonts w:ascii="Geomanist Light" w:eastAsia="Calibri" w:hAnsi="Geomanist Light" w:cs="Arial"/>
          <w:bCs/>
          <w:color w:val="000000"/>
          <w:lang w:val="es-ES_tradnl"/>
        </w:rPr>
      </w:pPr>
      <w:r w:rsidRPr="004E4061">
        <w:rPr>
          <w:rFonts w:ascii="Geomanist Light" w:eastAsia="Calibri" w:hAnsi="Geomanist Light" w:cs="Arial"/>
          <w:bCs/>
          <w:color w:val="000000"/>
          <w:lang w:val="es-ES_tradnl"/>
        </w:rPr>
        <w:lastRenderedPageBreak/>
        <w:tab/>
        <w:t>En esencia, el artículo 30 de la Ley 2069 de 2020 conserva a grandes rasgos el procedimiento previsto en el derogado artículo 94 de la Ley 1474 de 2011, el cual define los aspectos generales del procedimiento contractual</w:t>
      </w:r>
      <w:r w:rsidRPr="004E4061">
        <w:rPr>
          <w:rFonts w:ascii="Geomanist Light" w:eastAsia="Calibri" w:hAnsi="Geomanist Light" w:cs="Arial"/>
          <w:bCs/>
          <w:color w:val="000000"/>
          <w:vertAlign w:val="superscript"/>
          <w:lang w:val="es-ES_tradnl"/>
        </w:rPr>
        <w:footnoteReference w:id="2"/>
      </w:r>
      <w:r w:rsidRPr="004E4061">
        <w:rPr>
          <w:rFonts w:ascii="Geomanist Light" w:eastAsia="Calibri" w:hAnsi="Geomanist Light" w:cs="Arial"/>
          <w:bCs/>
          <w:color w:val="000000"/>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4E4061">
        <w:rPr>
          <w:rFonts w:ascii="Geomanist Light" w:eastAsia="Calibri" w:hAnsi="Geomanist Light" w:cs="Arial"/>
          <w:bCs/>
          <w:i/>
          <w:iCs/>
          <w:color w:val="000000"/>
          <w:lang w:val="es-ES_tradnl"/>
        </w:rPr>
        <w:t>a Mipymes</w:t>
      </w:r>
      <w:r w:rsidRPr="004E4061">
        <w:rPr>
          <w:rFonts w:ascii="Geomanist Light" w:eastAsia="Calibri" w:hAnsi="Geomanist Light" w:cs="Arial"/>
          <w:bCs/>
          <w:color w:val="00000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7A3F105A" w14:textId="77777777" w:rsidR="008B4E38" w:rsidRPr="004E4061" w:rsidRDefault="008B4E38" w:rsidP="008B4E38">
      <w:pPr>
        <w:tabs>
          <w:tab w:val="left" w:pos="709"/>
        </w:tabs>
        <w:spacing w:after="120" w:line="276" w:lineRule="auto"/>
        <w:jc w:val="both"/>
        <w:rPr>
          <w:rFonts w:ascii="Geomanist Light" w:eastAsia="Calibri" w:hAnsi="Geomanist Light" w:cs="Arial"/>
          <w:bCs/>
          <w:color w:val="000000"/>
          <w:lang w:val="es-ES_tradnl"/>
        </w:rPr>
      </w:pPr>
      <w:r w:rsidRPr="004E4061">
        <w:rPr>
          <w:rFonts w:ascii="Geomanist Light" w:eastAsia="Calibri" w:hAnsi="Geomanist Light" w:cs="Arial"/>
          <w:bCs/>
          <w:color w:val="000000"/>
          <w:lang w:val="es-ES_tradnl"/>
        </w:rPr>
        <w:tab/>
        <w:t>Esta modificación es importante, pues antes de la Ley de Emprendimiento era imposible limitar a Mipyme la mínima cuantía, especialmente, cuando el artículo 94 la Ley 1474 de 2011 disponía que no era aplicable la Ley 816 de 2003, «Por medio de la cual se apoya a la industria nacional a través de la contratación pública</w:t>
      </w:r>
      <w:r w:rsidRPr="004E4061">
        <w:rPr>
          <w:rFonts w:ascii="Geomanist Light" w:eastAsia="Calibri" w:hAnsi="Geomanist Light" w:cs="Arial"/>
          <w:color w:val="000000"/>
          <w:lang w:val="es-ES_tradnl"/>
        </w:rPr>
        <w:t xml:space="preserve">», ni </w:t>
      </w:r>
      <w:r w:rsidRPr="004E4061">
        <w:rPr>
          <w:rFonts w:ascii="Geomanist Light" w:eastAsia="Calibri" w:hAnsi="Geomanist Light" w:cs="Arial"/>
          <w:bCs/>
          <w:color w:val="000000"/>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4E4061">
        <w:rPr>
          <w:rFonts w:ascii="Geomanist Light" w:eastAsia="Calibri" w:hAnsi="Geomanist Light" w:cs="Arial"/>
          <w:bCs/>
          <w:color w:val="000000"/>
          <w:lang w:val="es-ES_tradnl"/>
        </w:rPr>
        <w:t>mipymes</w:t>
      </w:r>
      <w:proofErr w:type="spellEnd"/>
      <w:r w:rsidRPr="004E4061">
        <w:rPr>
          <w:rFonts w:ascii="Geomanist Light" w:eastAsia="Calibri" w:hAnsi="Geomanist Light" w:cs="Arial"/>
          <w:bCs/>
          <w:color w:val="000000"/>
          <w:lang w:val="es-ES_tradnl"/>
        </w:rPr>
        <w:t xml:space="preserve"> en esta modalidad de selección. Como se observa, el parágrafo 1 del artículo 30 de la Ley 2069 de 2020 dispone que el reglamento es importante para regular: i) las «particularidades del procedimiento de selección» y </w:t>
      </w:r>
      <w:proofErr w:type="spellStart"/>
      <w:r w:rsidRPr="004E4061">
        <w:rPr>
          <w:rFonts w:ascii="Geomanist Light" w:eastAsia="Calibri" w:hAnsi="Geomanist Light" w:cs="Arial"/>
          <w:bCs/>
          <w:color w:val="000000"/>
          <w:lang w:val="es-ES_tradnl"/>
        </w:rPr>
        <w:t>ii</w:t>
      </w:r>
      <w:proofErr w:type="spellEnd"/>
      <w:r w:rsidRPr="004E4061">
        <w:rPr>
          <w:rFonts w:ascii="Geomanist Light" w:eastAsia="Calibri" w:hAnsi="Geomanist Light" w:cs="Arial"/>
          <w:bCs/>
          <w:color w:val="000000"/>
          <w:lang w:val="es-ES_tradnl"/>
        </w:rPr>
        <w:t xml:space="preserve">) la posibilidad de realizar estas adquisiciones a </w:t>
      </w:r>
      <w:proofErr w:type="spellStart"/>
      <w:r w:rsidRPr="004E4061">
        <w:rPr>
          <w:rFonts w:ascii="Geomanist Light" w:eastAsia="Calibri" w:hAnsi="Geomanist Light" w:cs="Arial"/>
          <w:bCs/>
          <w:color w:val="000000"/>
          <w:lang w:val="es-ES_tradnl"/>
        </w:rPr>
        <w:t>mipymes</w:t>
      </w:r>
      <w:proofErr w:type="spellEnd"/>
      <w:r w:rsidRPr="004E4061">
        <w:rPr>
          <w:rFonts w:ascii="Geomanist Light" w:eastAsia="Calibri" w:hAnsi="Geomanist Light" w:cs="Arial"/>
          <w:bCs/>
          <w:color w:val="000000"/>
          <w:lang w:val="es-ES_tradnl"/>
        </w:rPr>
        <w:t xml:space="preserve"> o establecimientos que correspondan a la definición de «gran almacén».</w:t>
      </w:r>
    </w:p>
    <w:p w14:paraId="60634F12" w14:textId="77777777" w:rsidR="008B4E38" w:rsidRPr="004E4061" w:rsidRDefault="008B4E38" w:rsidP="008B4E38">
      <w:pPr>
        <w:tabs>
          <w:tab w:val="left" w:pos="709"/>
        </w:tabs>
        <w:spacing w:after="120" w:line="276" w:lineRule="auto"/>
        <w:ind w:firstLine="709"/>
        <w:jc w:val="both"/>
        <w:rPr>
          <w:rFonts w:ascii="Geomanist Light" w:eastAsia="Calibri" w:hAnsi="Geomanist Light" w:cs="Arial"/>
          <w:bCs/>
          <w:color w:val="000000"/>
        </w:rPr>
      </w:pPr>
      <w:r w:rsidRPr="004E4061">
        <w:rPr>
          <w:rFonts w:ascii="Geomanist Light" w:eastAsia="Calibri" w:hAnsi="Geomanist Light" w:cs="Arial"/>
          <w:bCs/>
          <w:color w:val="000000"/>
          <w:lang w:val="es-ES_tradnl"/>
        </w:rPr>
        <w:t xml:space="preserve">Con fundamento en lo anterior, </w:t>
      </w:r>
      <w:r w:rsidRPr="004E4061">
        <w:rPr>
          <w:rFonts w:ascii="Geomanist Light" w:eastAsia="Calibri" w:hAnsi="Geomanist Light" w:cs="Arial"/>
          <w:color w:val="000000"/>
          <w:lang w:val="es-ES_tradnl"/>
        </w:rPr>
        <w:t xml:space="preserve">el Gobierno Nacional expidió el Decreto 1860 del 24 de diciembre de 2021, </w:t>
      </w:r>
      <w:r w:rsidRPr="004E4061">
        <w:rPr>
          <w:rFonts w:ascii="Geomanist Light" w:eastAsia="Calibri" w:hAnsi="Geomanist Light" w:cs="Arial"/>
          <w:bCs/>
          <w:color w:val="000000"/>
          <w:lang w:val="es-ES_tradnl"/>
        </w:rPr>
        <w:t xml:space="preserve">«Por el cual se modifica y adiciona el Decreto 1082 de 2015, Único Reglamentario del Sector Administrativo de Planeación Nacional, con el fin de reglamentar </w:t>
      </w:r>
      <w:r w:rsidRPr="004E4061">
        <w:rPr>
          <w:rFonts w:ascii="Geomanist Light" w:eastAsia="Calibri" w:hAnsi="Geomanist Light" w:cs="Arial"/>
          <w:bCs/>
          <w:color w:val="000000"/>
          <w:lang w:val="es-ES_tradnl"/>
        </w:rPr>
        <w:lastRenderedPageBreak/>
        <w:t xml:space="preserve">los artículos 30, 31, 32, 34 y 35 de la Ley 2069 de 2020, en lo relativo al sistema de compras públicas y se dictan otras disposiciones». El artículo 8 </w:t>
      </w:r>
      <w:r w:rsidRPr="004E4061">
        <w:rPr>
          <w:rFonts w:ascii="Geomanist Light" w:eastAsia="Calibri" w:hAnsi="Geomanist Light" w:cs="Arial"/>
          <w:bCs/>
          <w:i/>
          <w:iCs/>
          <w:color w:val="000000"/>
          <w:lang w:val="es-ES_tradnl"/>
        </w:rPr>
        <w:t>ibidem</w:t>
      </w:r>
      <w:r w:rsidRPr="004E4061">
        <w:rPr>
          <w:rFonts w:ascii="Geomanist Light" w:eastAsia="Calibri" w:hAnsi="Geomanist Light" w:cs="Arial"/>
          <w:bCs/>
          <w:color w:val="000000"/>
          <w:lang w:val="es-ES_tradnl"/>
        </w:rPr>
        <w:t xml:space="preserve"> sometió a un plazo la </w:t>
      </w:r>
      <w:proofErr w:type="gramStart"/>
      <w:r w:rsidRPr="004E4061">
        <w:rPr>
          <w:rFonts w:ascii="Geomanist Light" w:eastAsia="Calibri" w:hAnsi="Geomanist Light" w:cs="Arial"/>
          <w:bCs/>
          <w:color w:val="000000"/>
          <w:lang w:val="es-ES_tradnl"/>
        </w:rPr>
        <w:t>entrada en vigencia</w:t>
      </w:r>
      <w:proofErr w:type="gramEnd"/>
      <w:r w:rsidRPr="004E4061">
        <w:rPr>
          <w:rFonts w:ascii="Geomanist Light" w:eastAsia="Calibri" w:hAnsi="Geomanist Light" w:cs="Arial"/>
          <w:bCs/>
          <w:color w:val="000000"/>
          <w:lang w:val="es-ES_tradnl"/>
        </w:rPr>
        <w:t xml:space="preserve"> de sus disposiciones, al señalar que «aplicarán a los procedimientos de selección cuya invitación, aviso de convocatoria o documento equivalente se publique a los tres (3) meses contados a partir de su expedición»</w:t>
      </w:r>
      <w:r w:rsidRPr="004E4061">
        <w:rPr>
          <w:rFonts w:ascii="Geomanist Light" w:eastAsia="Calibri" w:hAnsi="Geomanist Light" w:cs="Arial"/>
          <w:bCs/>
          <w:color w:val="000000"/>
          <w:vertAlign w:val="superscript"/>
          <w:lang w:val="es-ES_tradnl"/>
        </w:rPr>
        <w:footnoteReference w:id="3"/>
      </w:r>
      <w:r w:rsidRPr="004E4061">
        <w:rPr>
          <w:rFonts w:ascii="Geomanist Light" w:eastAsia="Calibri" w:hAnsi="Geomanist Light" w:cs="Arial"/>
          <w:bCs/>
          <w:color w:val="000000"/>
        </w:rPr>
        <w:t xml:space="preserve">. </w:t>
      </w:r>
    </w:p>
    <w:p w14:paraId="5CDD417A" w14:textId="77777777" w:rsidR="008B4E38" w:rsidRPr="004E4061" w:rsidRDefault="008B4E38" w:rsidP="008B4E38">
      <w:pPr>
        <w:tabs>
          <w:tab w:val="left" w:pos="709"/>
        </w:tabs>
        <w:spacing w:after="120" w:line="276" w:lineRule="auto"/>
        <w:ind w:firstLine="709"/>
        <w:jc w:val="both"/>
        <w:rPr>
          <w:rFonts w:ascii="Geomanist Light" w:eastAsia="Calibri" w:hAnsi="Geomanist Light" w:cs="Arial"/>
          <w:bCs/>
          <w:color w:val="000000"/>
          <w:lang w:val="es-ES_tradnl"/>
        </w:rPr>
      </w:pPr>
      <w:r w:rsidRPr="004E4061">
        <w:rPr>
          <w:rFonts w:ascii="Geomanist Light" w:eastAsia="Calibri" w:hAnsi="Geomanist Light" w:cs="Arial"/>
          <w:bCs/>
          <w:color w:val="000000"/>
          <w:lang w:val="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4E4061">
        <w:rPr>
          <w:rFonts w:ascii="Geomanist Light" w:eastAsia="Calibri" w:hAnsi="Geomanist Light" w:cs="Arial"/>
          <w:bCs/>
          <w:color w:val="000000"/>
          <w:lang w:val="es-ES_tradnl"/>
        </w:rPr>
        <w:t>ii</w:t>
      </w:r>
      <w:proofErr w:type="spellEnd"/>
      <w:r w:rsidRPr="004E4061">
        <w:rPr>
          <w:rFonts w:ascii="Geomanist Light" w:eastAsia="Calibri" w:hAnsi="Geomanist Light" w:cs="Arial"/>
          <w:bCs/>
          <w:color w:val="000000"/>
          <w:lang w:val="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 de acuerdo con el mandato del parágrafo 1 del artículo 30 de la Ley 2069 de 2020. </w:t>
      </w:r>
      <w:proofErr w:type="spellStart"/>
      <w:r w:rsidRPr="004E4061">
        <w:rPr>
          <w:rFonts w:ascii="Geomanist Light" w:eastAsia="Calibri" w:hAnsi="Geomanist Light" w:cs="Arial"/>
          <w:bCs/>
          <w:color w:val="000000"/>
          <w:lang w:val="es-ES_tradnl"/>
        </w:rPr>
        <w:t>iii</w:t>
      </w:r>
      <w:proofErr w:type="spellEnd"/>
      <w:r w:rsidRPr="004E4061">
        <w:rPr>
          <w:rFonts w:ascii="Geomanist Light" w:eastAsia="Calibri" w:hAnsi="Geomanist Light" w:cs="Arial"/>
          <w:bCs/>
          <w:color w:val="000000"/>
          <w:lang w:val="es-ES_tradnl"/>
        </w:rPr>
        <w:t xml:space="preserve">) 2.2.1.2.1.5.3. que regula un procedimiento especial para las adquisiciones en grandes almacenes cuando se trate de mínima cuantía. </w:t>
      </w:r>
      <w:proofErr w:type="spellStart"/>
      <w:r w:rsidRPr="004E4061">
        <w:rPr>
          <w:rFonts w:ascii="Geomanist Light" w:eastAsia="Calibri" w:hAnsi="Geomanist Light" w:cs="Arial"/>
          <w:bCs/>
          <w:color w:val="000000"/>
          <w:lang w:val="es-ES_tradnl"/>
        </w:rPr>
        <w:t>iv</w:t>
      </w:r>
      <w:proofErr w:type="spellEnd"/>
      <w:r w:rsidRPr="004E4061">
        <w:rPr>
          <w:rFonts w:ascii="Geomanist Light" w:eastAsia="Calibri" w:hAnsi="Geomanist Light" w:cs="Arial"/>
          <w:bCs/>
          <w:color w:val="000000"/>
          <w:lang w:val="es-ES_tradnl"/>
        </w:rPr>
        <w:t>)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2F25BA4A" w14:textId="77777777" w:rsidR="008B4E38" w:rsidRPr="004E4061" w:rsidRDefault="008B4E38" w:rsidP="008B4E38">
      <w:pPr>
        <w:tabs>
          <w:tab w:val="left" w:pos="709"/>
        </w:tabs>
        <w:spacing w:after="120" w:line="276" w:lineRule="auto"/>
        <w:jc w:val="both"/>
        <w:rPr>
          <w:rFonts w:ascii="Geomanist Light" w:eastAsia="Calibri" w:hAnsi="Geomanist Light" w:cs="Arial"/>
          <w:color w:val="000000"/>
          <w:lang w:val="es-ES_tradnl"/>
        </w:rPr>
      </w:pPr>
      <w:r w:rsidRPr="004E4061">
        <w:rPr>
          <w:rFonts w:ascii="Geomanist Light" w:eastAsia="Calibri" w:hAnsi="Geomanist Light" w:cs="Arial"/>
          <w:bCs/>
          <w:color w:val="000000"/>
          <w:lang w:val="es-ES_tradnl"/>
        </w:rPr>
        <w:tab/>
        <w:t xml:space="preserve">De esta manera, el artículo 2 del Decreto 1860 del 24 de diciembre de 2021, que modifica los artículos del Decreto 1082 de 2015 expuestos en el párrafo anterior, constituye la reglamentación del artículo 30 de la Ley 2069 de 2020, al desarrollar las reglas aplicables a esta modalidad de selección. Como se indicó anteriormente, estas disposiciones rigen para los procedimientos de selección cuya invitación, </w:t>
      </w:r>
      <w:r w:rsidRPr="004E4061">
        <w:rPr>
          <w:rFonts w:ascii="Geomanist Light" w:eastAsia="Calibri" w:hAnsi="Geomanist Light" w:cs="Arial"/>
          <w:color w:val="000000"/>
          <w:lang w:val="es-ES_tradnl"/>
        </w:rPr>
        <w:t xml:space="preserve">aviso de convocatoria o documento equivalente se publique a los tres (3) meses contados a partir de su expedición. </w:t>
      </w:r>
    </w:p>
    <w:p w14:paraId="556881F9" w14:textId="77777777" w:rsidR="008B4E38" w:rsidRPr="004E4061" w:rsidRDefault="008B4E38" w:rsidP="008B4E38">
      <w:pPr>
        <w:tabs>
          <w:tab w:val="left" w:pos="709"/>
        </w:tabs>
        <w:spacing w:after="120" w:line="276" w:lineRule="auto"/>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lang w:val="es-ES_tradnl"/>
        </w:rPr>
        <w:lastRenderedPageBreak/>
        <w:tab/>
      </w:r>
      <w:r w:rsidRPr="004E4061">
        <w:rPr>
          <w:rFonts w:ascii="Geomanist Light" w:eastAsia="Calibri" w:hAnsi="Geomanist Light" w:cs="Arial"/>
          <w:color w:val="000000"/>
          <w:szCs w:val="24"/>
          <w:lang w:val="es-ES_tradnl" w:eastAsia="es-ES_tradnl"/>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4E4061">
        <w:rPr>
          <w:rFonts w:ascii="Geomanist Light" w:eastAsia="Calibri" w:hAnsi="Geomanist Light" w:cs="Arial"/>
          <w:color w:val="000000"/>
          <w:szCs w:val="24"/>
          <w:vertAlign w:val="superscript"/>
          <w:lang w:val="es-ES_tradnl" w:eastAsia="es-ES_tradnl"/>
        </w:rPr>
        <w:footnoteReference w:id="4"/>
      </w:r>
      <w:r w:rsidRPr="004E4061">
        <w:rPr>
          <w:rFonts w:ascii="Geomanist Light" w:eastAsia="Calibri" w:hAnsi="Geomanist Light" w:cs="Arial"/>
          <w:color w:val="000000"/>
          <w:szCs w:val="24"/>
          <w:lang w:val="es-ES_tradnl" w:eastAsia="es-ES_tradnl"/>
        </w:rPr>
        <w:t xml:space="preserve">. </w:t>
      </w:r>
    </w:p>
    <w:p w14:paraId="254F062D" w14:textId="77777777" w:rsidR="008B4E38" w:rsidRPr="004E4061" w:rsidRDefault="008B4E38" w:rsidP="008B4E38">
      <w:pPr>
        <w:spacing w:after="120" w:line="276" w:lineRule="auto"/>
        <w:ind w:firstLine="709"/>
        <w:jc w:val="both"/>
        <w:rPr>
          <w:rFonts w:ascii="Geomanist Light" w:eastAsia="Calibri" w:hAnsi="Geomanist Light" w:cs="Arial"/>
          <w:color w:val="000000"/>
          <w:lang w:val="es-ES_tradnl"/>
        </w:rPr>
      </w:pPr>
      <w:r w:rsidRPr="004E4061">
        <w:rPr>
          <w:rFonts w:ascii="Geomanist Light" w:eastAsia="Calibri" w:hAnsi="Geomanist Light" w:cs="Arial"/>
          <w:color w:val="000000"/>
          <w:szCs w:val="24"/>
          <w:lang w:val="es-ES_tradnl" w:eastAsia="es-ES_tradnl"/>
        </w:rPr>
        <w:t>Dicho de otro modo, la mínima cuantía es un procedimiento de selección «exceptivo»</w:t>
      </w:r>
      <w:r w:rsidRPr="004E4061">
        <w:rPr>
          <w:rFonts w:ascii="Geomanist Light" w:eastAsia="Calibri" w:hAnsi="Geomanist Light" w:cs="Arial"/>
          <w:color w:val="000000"/>
          <w:szCs w:val="24"/>
          <w:vertAlign w:val="superscript"/>
          <w:lang w:val="es-ES_tradnl" w:eastAsia="es-ES_tradnl"/>
        </w:rPr>
        <w:footnoteReference w:id="5"/>
      </w:r>
      <w:r w:rsidRPr="004E4061">
        <w:rPr>
          <w:rFonts w:ascii="Geomanist Light" w:eastAsia="Calibri" w:hAnsi="Geomanist Light" w:cs="Arial"/>
          <w:color w:val="000000"/>
          <w:szCs w:val="24"/>
          <w:lang w:val="es-ES_tradnl" w:eastAsia="es-ES_tradnl"/>
        </w:rPr>
        <w:t>,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4E4061">
        <w:rPr>
          <w:rFonts w:ascii="Geomanist Light" w:eastAsia="Calibri" w:hAnsi="Geomanist Light" w:cs="Arial"/>
          <w:color w:val="000000"/>
          <w:szCs w:val="24"/>
          <w:vertAlign w:val="superscript"/>
          <w:lang w:val="es-ES_tradnl" w:eastAsia="es-ES_tradnl"/>
        </w:rPr>
        <w:footnoteReference w:id="6"/>
      </w:r>
      <w:r w:rsidRPr="004E4061">
        <w:rPr>
          <w:rFonts w:ascii="Geomanist Light" w:eastAsia="Calibri" w:hAnsi="Geomanist Light" w:cs="Arial"/>
          <w:color w:val="000000"/>
          <w:szCs w:val="24"/>
          <w:lang w:val="es-ES_tradnl" w:eastAsia="es-ES_tradnl"/>
        </w:rPr>
        <w:t>, y lo segundo, porque sus requisitos, etapas y términos son especiales. En efecto, a partir de las modificaciones reguladas en el Decreto 1860 de 2021 los requisitos de la mínima cuantía pueden sintetizarse así:</w:t>
      </w:r>
    </w:p>
    <w:p w14:paraId="63ACA238"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szCs w:val="24"/>
          <w:lang w:val="es-ES_tradnl" w:eastAsia="es-ES_tradnl"/>
        </w:rPr>
        <w:t>i) La entidad estatal debe realizar los estudios previos en los que señale cuál es la necesidad que pretende satisfacer, el objeto del contrato, sus condiciones técnicas, el valor estimado, el plazo de ejecución y el certificado de disponibilidad presupuestal.</w:t>
      </w:r>
    </w:p>
    <w:p w14:paraId="70D82F2F"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proofErr w:type="spellStart"/>
      <w:r w:rsidRPr="004E4061">
        <w:rPr>
          <w:rFonts w:ascii="Geomanist Light" w:eastAsia="Calibri" w:hAnsi="Geomanist Light" w:cs="Arial"/>
          <w:color w:val="000000"/>
          <w:szCs w:val="24"/>
          <w:lang w:val="es-ES_tradnl" w:eastAsia="es-ES_tradnl"/>
        </w:rPr>
        <w:t>ii</w:t>
      </w:r>
      <w:proofErr w:type="spellEnd"/>
      <w:r w:rsidRPr="004E4061">
        <w:rPr>
          <w:rFonts w:ascii="Geomanist Light" w:eastAsia="Calibri" w:hAnsi="Geomanist Light" w:cs="Arial"/>
          <w:color w:val="000000"/>
          <w:szCs w:val="24"/>
          <w:lang w:val="es-ES_tradnl" w:eastAsia="es-ES_tradnl"/>
        </w:rPr>
        <w:t xml:space="preserve">) Luego de surtir los trámites previos, la entidad debe publicar en el SECOP una invitación, señalando el objeto, las condiciones técnicas y el valor estimado del contrato, expresando además las razones que justifican el cálculo de la cuantía. Asimismo, deberá señalar la forma en la cual se acreditará la capacidad jurídica y la experiencia mínima, en caso </w:t>
      </w:r>
      <w:r w:rsidRPr="004E4061">
        <w:rPr>
          <w:rFonts w:ascii="Geomanist Light" w:eastAsia="Calibri" w:hAnsi="Geomanist Light" w:cs="Arial"/>
          <w:color w:val="000000"/>
          <w:szCs w:val="24"/>
          <w:lang w:val="es-ES_tradnl" w:eastAsia="es-ES_tradnl"/>
        </w:rPr>
        <w:lastRenderedPageBreak/>
        <w:t xml:space="preserve">de que esta se exija, así como el cumplimiento de las condiciones técnicas exigidas, incluyendo las obligaciones del futuro contrato. </w:t>
      </w:r>
    </w:p>
    <w:p w14:paraId="30970D0B" w14:textId="77777777" w:rsidR="008B4E38" w:rsidRPr="004E4061" w:rsidRDefault="008B4E38" w:rsidP="008B4E38">
      <w:pPr>
        <w:spacing w:after="120" w:line="276" w:lineRule="auto"/>
        <w:ind w:firstLine="709"/>
        <w:jc w:val="both"/>
        <w:rPr>
          <w:rFonts w:ascii="Geomanist Light" w:eastAsia="Calibri" w:hAnsi="Geomanist Light" w:cs="Arial"/>
          <w:szCs w:val="24"/>
          <w:lang w:eastAsia="es-ES_tradnl"/>
        </w:rPr>
      </w:pPr>
      <w:proofErr w:type="spellStart"/>
      <w:r w:rsidRPr="004E4061">
        <w:rPr>
          <w:rFonts w:ascii="Geomanist Light" w:eastAsia="Calibri" w:hAnsi="Geomanist Light" w:cs="Arial"/>
          <w:color w:val="000000"/>
          <w:szCs w:val="24"/>
          <w:lang w:val="es-ES_tradnl" w:eastAsia="es-ES_tradnl"/>
        </w:rPr>
        <w:t>iii</w:t>
      </w:r>
      <w:proofErr w:type="spellEnd"/>
      <w:r w:rsidRPr="004E4061">
        <w:rPr>
          <w:rFonts w:ascii="Geomanist Light" w:eastAsia="Calibri" w:hAnsi="Geomanist Light" w:cs="Arial"/>
          <w:color w:val="000000"/>
          <w:szCs w:val="24"/>
          <w:lang w:val="es-ES_tradnl" w:eastAsia="es-ES_tradnl"/>
        </w:rPr>
        <w:t xml:space="preserve">) La entidad podrá exigir una capacidad financiera mínima cuando no hace el pago contra entrega a satisfacción de los bienes, obras o servicios. En estos casos, la entidad deberá indicar la forma en la que hará la verificación correspondiente en la invitación. Cabe anotar que este aspecto </w:t>
      </w:r>
      <w:r w:rsidRPr="004E4061">
        <w:rPr>
          <w:rFonts w:ascii="Geomanist Light" w:eastAsia="Calibri" w:hAnsi="Geomanist Light" w:cs="Arial"/>
          <w:szCs w:val="24"/>
          <w:lang w:eastAsia="es-ES_tradnl"/>
        </w:rPr>
        <w:t xml:space="preserve">se encontraba regulado desde la disposición anterior y no hay ninguna modificación en su aplicación en el procedimiento de mínima cuantía reglamentado en el Decreto 1860 de 2021.  </w:t>
      </w:r>
    </w:p>
    <w:p w14:paraId="2DDC3949"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 w:eastAsia="es-ES_tradnl"/>
        </w:rPr>
      </w:pPr>
      <w:r w:rsidRPr="004E4061">
        <w:rPr>
          <w:rFonts w:ascii="Geomanist Light" w:eastAsia="Calibri" w:hAnsi="Geomanist Light" w:cs="Arial"/>
          <w:color w:val="000000"/>
          <w:szCs w:val="24"/>
          <w:lang w:val="es-ES_tradnl" w:eastAsia="es-ES_tradnl"/>
        </w:rPr>
        <w:t xml:space="preserve">Es pertinente resaltar que en el evento en que la entidad determine la necesidad de exigir capacidad financiera en un proceso de mínima cuantía, no podrá requerir la presentación del RUP para realizar dicha verificación. En efecto, de conformidad con el artículo 6 de la Ley 1150 de 2007 </w:t>
      </w:r>
      <w:r w:rsidRPr="004E4061">
        <w:rPr>
          <w:rFonts w:ascii="Geomanist Light" w:eastAsia="Calibri" w:hAnsi="Geomanist Light" w:cs="Arial"/>
          <w:color w:val="000000"/>
          <w:szCs w:val="24"/>
          <w:lang w:val="es-ES" w:eastAsia="es-ES_tradnl"/>
        </w:rPr>
        <w:t xml:space="preserve">el RUP no es exigible en algunos procedimientos de contratación, como en la contratación directa, </w:t>
      </w:r>
      <w:r w:rsidRPr="004E4061">
        <w:rPr>
          <w:rFonts w:ascii="Geomanist Light" w:eastAsia="Calibri" w:hAnsi="Geomanist Light" w:cs="Arial"/>
          <w:i/>
          <w:iCs/>
          <w:color w:val="000000"/>
          <w:szCs w:val="24"/>
          <w:lang w:val="es-ES" w:eastAsia="es-ES_tradnl"/>
        </w:rPr>
        <w:t>la mínima cuantía</w:t>
      </w:r>
      <w:r w:rsidRPr="004E4061">
        <w:rPr>
          <w:rFonts w:ascii="Geomanist Light" w:eastAsia="Calibri" w:hAnsi="Geomanist Light" w:cs="Arial"/>
          <w:color w:val="000000"/>
          <w:szCs w:val="24"/>
          <w:lang w:val="es-ES" w:eastAsia="es-ES_tradnl"/>
        </w:rPr>
        <w:t>,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w:t>
      </w:r>
      <w:r w:rsidRPr="004E4061">
        <w:rPr>
          <w:rFonts w:ascii="Geomanist Light" w:eastAsia="Calibri" w:hAnsi="Geomanist Light" w:cs="Arial"/>
          <w:color w:val="000000"/>
          <w:szCs w:val="24"/>
          <w:vertAlign w:val="superscript"/>
          <w:lang w:val="es-ES" w:eastAsia="es-ES_tradnl"/>
        </w:rPr>
        <w:footnoteReference w:id="7"/>
      </w:r>
      <w:r w:rsidRPr="004E4061">
        <w:rPr>
          <w:rFonts w:ascii="Geomanist Light" w:eastAsia="Calibri" w:hAnsi="Geomanist Light" w:cs="Arial"/>
          <w:color w:val="000000"/>
          <w:szCs w:val="24"/>
          <w:lang w:val="es-ES" w:eastAsia="es-ES_tradnl"/>
        </w:rPr>
        <w:t xml:space="preserve">. </w:t>
      </w:r>
    </w:p>
    <w:p w14:paraId="748E7AA3"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 w:eastAsia="es-ES_tradnl"/>
        </w:rPr>
      </w:pPr>
      <w:r w:rsidRPr="004E4061">
        <w:rPr>
          <w:rFonts w:ascii="Geomanist Light" w:eastAsia="Calibri" w:hAnsi="Geomanist Light" w:cs="Arial"/>
          <w:color w:val="000000"/>
          <w:szCs w:val="24"/>
          <w:lang w:val="es-ES" w:eastAsia="es-ES_tradnl"/>
        </w:rPr>
        <w:t xml:space="preserve">Por ello, las entidades estatales deben verificar directamente el cumplimiento de los requisitos habilitantes, como establece en inciso segundo del artículo 6 de la Ley 1150 de 2007. Las indicadas excepciones a la obligación general de inscribirse en el RUP para celebrar contratos con las entidades estatales sometidas al EGCAP, son de interpretación estricta. Esto también se fundamenta en el artículo 2.2.1.1.1.5.1 del Decreto 1082 de 2015, al prescribir que la </w:t>
      </w:r>
      <w:r w:rsidRPr="004E4061">
        <w:rPr>
          <w:rFonts w:ascii="Geomanist Light" w:eastAsia="Calibri" w:hAnsi="Geomanist Light" w:cs="Arial"/>
          <w:color w:val="000000"/>
          <w:szCs w:val="24"/>
          <w:lang w:val="es-ES" w:eastAsia="es-ES_tradnl"/>
        </w:rPr>
        <w:lastRenderedPageBreak/>
        <w:t>inscripción en el RUP es imperativa para los sujetos mencionados en el primer inciso del artículo 6 de la Ley 1150 de 2007, salvo las excepciones previstas de forma taxativa en la ley</w:t>
      </w:r>
      <w:r w:rsidRPr="004E4061">
        <w:rPr>
          <w:rFonts w:ascii="Geomanist Light" w:eastAsia="Calibri" w:hAnsi="Geomanist Light" w:cs="Arial"/>
          <w:color w:val="000000"/>
          <w:szCs w:val="24"/>
          <w:vertAlign w:val="superscript"/>
          <w:lang w:val="es-ES" w:eastAsia="es-ES_tradnl"/>
        </w:rPr>
        <w:footnoteReference w:id="8"/>
      </w:r>
      <w:r w:rsidRPr="004E4061">
        <w:rPr>
          <w:rFonts w:ascii="Geomanist Light" w:eastAsia="Calibri" w:hAnsi="Geomanist Light" w:cs="Arial"/>
          <w:color w:val="000000"/>
          <w:szCs w:val="24"/>
          <w:lang w:val="es-ES" w:eastAsia="es-ES_tradnl"/>
        </w:rPr>
        <w:t xml:space="preserve">. </w:t>
      </w:r>
    </w:p>
    <w:p w14:paraId="1903A63E"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 w:eastAsia="es-ES_tradnl"/>
        </w:rPr>
      </w:pPr>
      <w:r w:rsidRPr="004E4061">
        <w:rPr>
          <w:rFonts w:ascii="Geomanist Light" w:eastAsia="Calibri" w:hAnsi="Geomanist Light" w:cs="Arial"/>
          <w:color w:val="000000"/>
          <w:szCs w:val="24"/>
          <w:lang w:val="es-ES" w:eastAsia="es-ES_tradnl"/>
        </w:rPr>
        <w:t>En tal sentido, la evaluación de la capacidad financiera, así como el requisito de experiencia en los procesos de selección de mínima cuantía, cuando estas condiciones se requieran, se realizará en los términos establecidos en la invitación, pues las entidades estatales cuentan con discrecionalidad para regular este aspecto, de acuerdo con lo explicado, sin que sea posible exigir la presentación del RUP.</w:t>
      </w:r>
    </w:p>
    <w:p w14:paraId="3C0D6912"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 w:eastAsia="es-ES_tradnl"/>
        </w:rPr>
      </w:pPr>
      <w:proofErr w:type="spellStart"/>
      <w:r w:rsidRPr="004E4061">
        <w:rPr>
          <w:rFonts w:ascii="Geomanist Light" w:eastAsia="Calibri" w:hAnsi="Geomanist Light" w:cs="Arial"/>
          <w:color w:val="000000"/>
          <w:szCs w:val="24"/>
          <w:lang w:val="es-ES_tradnl" w:eastAsia="es-ES_tradnl"/>
        </w:rPr>
        <w:t>iv</w:t>
      </w:r>
      <w:proofErr w:type="spellEnd"/>
      <w:r w:rsidRPr="004E4061">
        <w:rPr>
          <w:rFonts w:ascii="Geomanist Light" w:eastAsia="Calibri" w:hAnsi="Geomanist Light" w:cs="Arial"/>
          <w:color w:val="000000"/>
          <w:szCs w:val="24"/>
          <w:lang w:val="es-ES_tradnl" w:eastAsia="es-ES_tradnl"/>
        </w:rPr>
        <w:t xml:space="preserve">) La invitación se debe publicar por un término no inferior a un (1) día hábil, para que </w:t>
      </w:r>
      <w:r w:rsidRPr="004E4061">
        <w:rPr>
          <w:rFonts w:ascii="Geomanist Light" w:eastAsia="Calibri" w:hAnsi="Geomanist Light" w:cs="Arial"/>
          <w:color w:val="000000"/>
          <w:szCs w:val="24"/>
          <w:lang w:eastAsia="es-ES_tradnl"/>
        </w:rPr>
        <w:t>los interesados se informen de su contenido y formulen observaciones o comentarios.</w:t>
      </w:r>
      <w:r w:rsidRPr="004E4061">
        <w:rPr>
          <w:rFonts w:ascii="Geomanist Light" w:eastAsia="Calibri" w:hAnsi="Geomanist Light" w:cs="Arial"/>
          <w:color w:val="000000"/>
          <w:szCs w:val="24"/>
          <w:lang w:val="es-ES_tradnl" w:eastAsia="es-ES_tradnl"/>
        </w:rPr>
        <w:t xml:space="preserve"> En este plazo </w:t>
      </w:r>
      <w:r w:rsidRPr="004E4061">
        <w:rPr>
          <w:rFonts w:ascii="Geomanist Light" w:eastAsia="Calibri" w:hAnsi="Geomanist Light" w:cs="Arial"/>
          <w:color w:val="000000"/>
          <w:szCs w:val="24"/>
          <w:lang w:eastAsia="es-ES_tradnl"/>
        </w:rPr>
        <w:t xml:space="preserve">se podrán presentar las solicitudes para limitar la convocatoria a Mipyme colombianas. Este último aspecto materializa la posibilidad de </w:t>
      </w:r>
      <w:r w:rsidRPr="004E4061">
        <w:rPr>
          <w:rFonts w:ascii="Geomanist Light" w:eastAsia="Calibri" w:hAnsi="Geomanist Light" w:cs="Arial"/>
          <w:bCs/>
          <w:color w:val="000000"/>
          <w:lang w:val="es-ES_tradnl"/>
        </w:rPr>
        <w:t>limitar las convocatorias a Mipyme</w:t>
      </w:r>
      <w:r w:rsidRPr="004E4061">
        <w:rPr>
          <w:rFonts w:ascii="Geomanist Light" w:eastAsia="Calibri" w:hAnsi="Geomanist Light" w:cs="Arial"/>
          <w:color w:val="000000"/>
          <w:szCs w:val="24"/>
          <w:lang w:eastAsia="es-ES_tradnl"/>
        </w:rPr>
        <w:t xml:space="preserve"> en estos procesos de selección</w:t>
      </w:r>
      <w:r w:rsidRPr="004E4061">
        <w:rPr>
          <w:rFonts w:ascii="Geomanist Light" w:eastAsia="Calibri" w:hAnsi="Geomanist Light" w:cs="Arial"/>
          <w:bCs/>
          <w:color w:val="000000"/>
          <w:lang w:val="es-ES_tradnl"/>
        </w:rPr>
        <w:t>, conforme lo establece el artículo 30 de la Ley 2069 de 2020.</w:t>
      </w:r>
    </w:p>
    <w:p w14:paraId="6984BB7E"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szCs w:val="24"/>
          <w:lang w:val="es-ES_tradnl" w:eastAsia="es-ES_tradnl"/>
        </w:rPr>
        <w:t xml:space="preserve">v) Las observaciones que realicen los interesados deben responderse por la entidad estatal a más tardar antes del inicio del plazo para presentar las ofertas. </w:t>
      </w:r>
    </w:p>
    <w:p w14:paraId="2419B674"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szCs w:val="24"/>
          <w:lang w:val="es-ES_tradnl" w:eastAsia="es-ES_tradnl"/>
        </w:rPr>
        <w:t xml:space="preserve">vi) En la invitación se deberá incluir un cronograma que tenga en cuenta los términos mínimos establecidos en el artículo </w:t>
      </w:r>
      <w:r w:rsidRPr="004E4061">
        <w:rPr>
          <w:rFonts w:ascii="Geomanist Light" w:eastAsia="Calibri" w:hAnsi="Geomanist Light" w:cs="Arial"/>
          <w:bCs/>
          <w:color w:val="000000"/>
          <w:szCs w:val="24"/>
          <w:lang w:val="es-ES_tradnl" w:eastAsia="es-ES_tradnl"/>
        </w:rPr>
        <w:t>2.2.1.2.1.5.2. del Decreto 1082 de 2015</w:t>
      </w:r>
      <w:r w:rsidRPr="004E4061">
        <w:rPr>
          <w:rFonts w:ascii="Geomanist Light" w:eastAsia="Calibri" w:hAnsi="Geomanist Light" w:cs="Arial"/>
          <w:color w:val="000000"/>
          <w:szCs w:val="24"/>
          <w:lang w:eastAsia="es-ES_tradnl"/>
        </w:rPr>
        <w:t>, así como: a) el término dentro del cual la entidad responderá las observaciones; b)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c) el momento en que publicará un aviso en el SECOP precisando si el proceso efectivamente se limitó a Mipyme o si podrá participar cualquier otro interesado; d) finalmente, se dispondrá un término adicional dentro del cual los proponentes podrán presentar sus ofertas, el cual será de mínimo un (1) día hábil luego de publicado el aviso en que se informe si el proceso se limita o no a Mipyme.</w:t>
      </w:r>
    </w:p>
    <w:p w14:paraId="09794647"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proofErr w:type="spellStart"/>
      <w:r w:rsidRPr="004E4061">
        <w:rPr>
          <w:rFonts w:ascii="Geomanist Light" w:eastAsia="Calibri" w:hAnsi="Geomanist Light" w:cs="Arial"/>
          <w:color w:val="000000"/>
          <w:szCs w:val="24"/>
          <w:lang w:val="es-ES_tradnl" w:eastAsia="es-ES_tradnl"/>
        </w:rPr>
        <w:t>vii</w:t>
      </w:r>
      <w:proofErr w:type="spellEnd"/>
      <w:r w:rsidRPr="004E4061">
        <w:rPr>
          <w:rFonts w:ascii="Geomanist Light" w:eastAsia="Calibri" w:hAnsi="Geomanist Light" w:cs="Arial"/>
          <w:color w:val="000000"/>
          <w:szCs w:val="24"/>
          <w:lang w:val="es-ES_tradnl" w:eastAsia="es-ES_tradnl"/>
        </w:rPr>
        <w:t xml:space="preserve">) Presentadas las propuestas, la entidad estatal debe revisar las ofertas económicas y verificar que la del menor precio cumpla con los requisitos de participación. Si no los satisface, debe revisar la oferta económica en el segundo mejor precio y así sucesivamente. </w:t>
      </w:r>
      <w:r w:rsidRPr="004E4061">
        <w:rPr>
          <w:rFonts w:ascii="Geomanist Light" w:eastAsia="Calibri" w:hAnsi="Geomanist Light" w:cs="Arial"/>
          <w:color w:val="000000"/>
          <w:szCs w:val="24"/>
          <w:lang w:val="es-ES_tradnl" w:eastAsia="es-ES_tradnl"/>
        </w:rPr>
        <w:lastRenderedPageBreak/>
        <w:t>Esto significa que en la mínima cuantía el precio es el único factor de calificación o asignación de puntaje</w:t>
      </w:r>
      <w:r w:rsidRPr="004E4061">
        <w:rPr>
          <w:rFonts w:ascii="Geomanist Light" w:eastAsia="Calibri" w:hAnsi="Geomanist Light" w:cs="Arial"/>
          <w:color w:val="000000"/>
          <w:szCs w:val="24"/>
          <w:vertAlign w:val="superscript"/>
          <w:lang w:val="es-ES_tradnl" w:eastAsia="es-ES_tradnl"/>
        </w:rPr>
        <w:footnoteReference w:id="9"/>
      </w:r>
      <w:r w:rsidRPr="004E4061">
        <w:rPr>
          <w:rFonts w:ascii="Geomanist Light" w:eastAsia="Calibri" w:hAnsi="Geomanist Light" w:cs="Arial"/>
          <w:color w:val="000000"/>
          <w:szCs w:val="24"/>
          <w:lang w:val="es-ES_tradnl" w:eastAsia="es-ES_tradnl"/>
        </w:rPr>
        <w:t xml:space="preserve">. </w:t>
      </w:r>
    </w:p>
    <w:p w14:paraId="0C89C5DF"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szCs w:val="24"/>
          <w:lang w:eastAsia="es-ES_tradnl"/>
        </w:rPr>
        <w:t>Respecto de los requisitos de participación, las entidades deberán otorgar la oportunidad para subsanar las ofertas en los términos del artículo</w:t>
      </w:r>
      <w:r w:rsidRPr="004E4061">
        <w:rPr>
          <w:rFonts w:ascii="Calibri" w:eastAsia="Calibri" w:hAnsi="Calibri" w:cs="Calibri"/>
          <w:color w:val="000000"/>
          <w:szCs w:val="24"/>
          <w:lang w:eastAsia="es-ES_tradnl"/>
        </w:rPr>
        <w:t> </w:t>
      </w:r>
      <w:hyperlink r:id="rId8" w:anchor="5" w:history="1">
        <w:r w:rsidRPr="004E4061">
          <w:rPr>
            <w:rFonts w:ascii="Geomanist Light" w:eastAsia="Calibri" w:hAnsi="Geomanist Light" w:cs="Arial"/>
            <w:color w:val="000000"/>
            <w:szCs w:val="24"/>
            <w:lang w:eastAsia="es-ES_tradnl"/>
          </w:rPr>
          <w:t>5</w:t>
        </w:r>
        <w:r w:rsidRPr="004E4061">
          <w:rPr>
            <w:rFonts w:ascii="Calibri" w:eastAsia="Calibri" w:hAnsi="Calibri" w:cs="Calibri"/>
            <w:color w:val="000000"/>
            <w:szCs w:val="24"/>
            <w:lang w:eastAsia="es-ES_tradnl"/>
          </w:rPr>
          <w:t> </w:t>
        </w:r>
      </w:hyperlink>
      <w:r w:rsidRPr="004E4061">
        <w:rPr>
          <w:rFonts w:ascii="Geomanist Light" w:eastAsia="Calibri" w:hAnsi="Geomanist Light" w:cs="Arial"/>
          <w:color w:val="000000"/>
          <w:szCs w:val="24"/>
          <w:lang w:eastAsia="es-ES_tradnl"/>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1C78B8B5"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proofErr w:type="spellStart"/>
      <w:r w:rsidRPr="004E4061">
        <w:rPr>
          <w:rFonts w:ascii="Geomanist Light" w:eastAsia="Calibri" w:hAnsi="Geomanist Light" w:cs="Arial"/>
          <w:color w:val="000000"/>
          <w:szCs w:val="24"/>
          <w:lang w:val="es-ES_tradnl" w:eastAsia="es-ES_tradnl"/>
        </w:rPr>
        <w:t>viii</w:t>
      </w:r>
      <w:proofErr w:type="spellEnd"/>
      <w:r w:rsidRPr="004E4061">
        <w:rPr>
          <w:rFonts w:ascii="Geomanist Light" w:eastAsia="Calibri" w:hAnsi="Geomanist Light" w:cs="Arial"/>
          <w:color w:val="000000"/>
          <w:szCs w:val="24"/>
          <w:lang w:val="es-ES_tradnl" w:eastAsia="es-ES_tradnl"/>
        </w:rPr>
        <w:t>) El informe de evaluación se debe publicar durante mínimo un (1) día hábil.</w:t>
      </w:r>
    </w:p>
    <w:p w14:paraId="5E52B02C"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proofErr w:type="spellStart"/>
      <w:r w:rsidRPr="004E4061">
        <w:rPr>
          <w:rFonts w:ascii="Geomanist Light" w:eastAsia="Calibri" w:hAnsi="Geomanist Light" w:cs="Arial"/>
          <w:color w:val="000000"/>
          <w:szCs w:val="24"/>
          <w:lang w:val="es-ES_tradnl" w:eastAsia="es-ES_tradnl"/>
        </w:rPr>
        <w:t>ix</w:t>
      </w:r>
      <w:proofErr w:type="spellEnd"/>
      <w:r w:rsidRPr="004E4061">
        <w:rPr>
          <w:rFonts w:ascii="Geomanist Light" w:eastAsia="Calibri" w:hAnsi="Geomanist Light" w:cs="Arial"/>
          <w:color w:val="000000"/>
          <w:szCs w:val="24"/>
          <w:lang w:val="es-ES_tradnl" w:eastAsia="es-ES_tradnl"/>
        </w:rPr>
        <w:t xml:space="preserve">) </w:t>
      </w:r>
      <w:r w:rsidRPr="004E4061">
        <w:rPr>
          <w:rFonts w:ascii="Geomanist Light" w:eastAsia="Calibri" w:hAnsi="Geomanist Light" w:cs="Arial"/>
          <w:color w:val="000000"/>
          <w:szCs w:val="24"/>
          <w:lang w:eastAsia="es-ES_tradnl"/>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4E4061">
        <w:rPr>
          <w:rFonts w:ascii="Geomanist Light" w:eastAsia="Calibri" w:hAnsi="Geomanist Light" w:cs="Arial"/>
          <w:color w:val="000000"/>
          <w:szCs w:val="24"/>
          <w:lang w:val="es-ES_tradnl" w:eastAsia="es-ES_tradnl"/>
        </w:rPr>
        <w:t xml:space="preserve"> En tal sentido, el contrato se perfecciona con la comunicación de aceptación de la oferta que envía la entidad estatal al proponente que presentó la oferta económica de menor precio, no requiriéndose, entonces, de la suscripción de una minuta. </w:t>
      </w:r>
    </w:p>
    <w:p w14:paraId="253D7F92" w14:textId="77777777" w:rsidR="008B4E38" w:rsidRPr="004E4061" w:rsidRDefault="008B4E38" w:rsidP="008B4E38">
      <w:pPr>
        <w:spacing w:after="120" w:line="276" w:lineRule="auto"/>
        <w:ind w:firstLine="709"/>
        <w:jc w:val="both"/>
        <w:rPr>
          <w:rFonts w:ascii="Geomanist Light" w:eastAsia="Calibri" w:hAnsi="Geomanist Light" w:cs="Arial"/>
          <w:color w:val="000000"/>
          <w:szCs w:val="24"/>
          <w:lang w:val="es-ES_tradnl" w:eastAsia="es-ES_tradnl"/>
        </w:rPr>
      </w:pPr>
      <w:r w:rsidRPr="004E4061">
        <w:rPr>
          <w:rFonts w:ascii="Geomanist Light" w:eastAsia="Calibri" w:hAnsi="Geomanist Light" w:cs="Arial"/>
          <w:color w:val="000000"/>
          <w:szCs w:val="24"/>
          <w:lang w:val="es-ES_tradnl" w:eastAsia="es-ES_tradnl"/>
        </w:rPr>
        <w:t>x) De existir empate, l</w:t>
      </w:r>
      <w:r w:rsidRPr="004E4061">
        <w:rPr>
          <w:rFonts w:ascii="Geomanist Light" w:eastAsia="Calibri" w:hAnsi="Geomanist Light" w:cs="Arial"/>
          <w:color w:val="000000"/>
          <w:szCs w:val="24"/>
          <w:lang w:eastAsia="es-ES_tradnl"/>
        </w:rPr>
        <w:t>a entidad aplicará los criterios de que trata el artículo</w:t>
      </w:r>
      <w:r w:rsidRPr="004E4061">
        <w:rPr>
          <w:rFonts w:ascii="Calibri" w:eastAsia="Calibri" w:hAnsi="Calibri" w:cs="Calibri"/>
          <w:color w:val="000000"/>
          <w:szCs w:val="24"/>
          <w:lang w:eastAsia="es-ES_tradnl"/>
        </w:rPr>
        <w:t> </w:t>
      </w:r>
      <w:hyperlink r:id="rId9" w:anchor="35" w:history="1">
        <w:r w:rsidRPr="004E4061">
          <w:rPr>
            <w:rFonts w:ascii="Geomanist Light" w:eastAsia="Calibri" w:hAnsi="Geomanist Light" w:cs="Arial"/>
            <w:color w:val="000000"/>
            <w:szCs w:val="24"/>
            <w:lang w:eastAsia="es-ES_tradnl"/>
          </w:rPr>
          <w:t>35</w:t>
        </w:r>
        <w:r w:rsidRPr="004E4061">
          <w:rPr>
            <w:rFonts w:ascii="Calibri" w:eastAsia="Calibri" w:hAnsi="Calibri" w:cs="Calibri"/>
            <w:color w:val="000000"/>
            <w:szCs w:val="24"/>
            <w:lang w:eastAsia="es-ES_tradnl"/>
          </w:rPr>
          <w:t> </w:t>
        </w:r>
      </w:hyperlink>
      <w:r w:rsidRPr="004E4061">
        <w:rPr>
          <w:rFonts w:ascii="Geomanist Light" w:eastAsia="Calibri" w:hAnsi="Geomanist Light" w:cs="Arial"/>
          <w:color w:val="000000"/>
          <w:szCs w:val="24"/>
          <w:lang w:eastAsia="es-ES_tradnl"/>
        </w:rPr>
        <w:t>de la Ley 2069 de 2020, conforme a los medíos de acreditación del artículo 2.2.1.2.4.2.17. del Decreto 1082 de 2015 o las normas que los modifiquen, adicionen o sustituyan.</w:t>
      </w:r>
      <w:r w:rsidRPr="004E4061">
        <w:rPr>
          <w:rFonts w:ascii="Geomanist Light" w:eastAsia="Calibri" w:hAnsi="Geomanist Light" w:cs="Arial"/>
          <w:szCs w:val="24"/>
          <w:lang w:val="es-ES_tradnl" w:eastAsia="es-ES_tradnl"/>
        </w:rPr>
        <w:t xml:space="preserve"> Esta disposición se ajusta a la nueva regulación de criterios de desempate establecida en el artículo 35 de la Ley 2069 de 2020.</w:t>
      </w:r>
    </w:p>
    <w:p w14:paraId="4353D9FB" w14:textId="77777777" w:rsidR="008B4E38" w:rsidRPr="004E4061" w:rsidRDefault="008B4E38" w:rsidP="008B4E38">
      <w:pPr>
        <w:spacing w:after="0" w:line="276" w:lineRule="auto"/>
        <w:ind w:firstLine="708"/>
        <w:jc w:val="both"/>
        <w:rPr>
          <w:rFonts w:ascii="Geomanist Light" w:eastAsia="Calibri" w:hAnsi="Geomanist Light" w:cs="Arial"/>
          <w:szCs w:val="24"/>
          <w:lang w:eastAsia="es-ES_tradnl"/>
        </w:rPr>
      </w:pPr>
      <w:r w:rsidRPr="004E4061">
        <w:rPr>
          <w:rFonts w:ascii="Geomanist Light" w:eastAsia="Calibri" w:hAnsi="Geomanist Light" w:cs="Arial"/>
          <w:szCs w:val="24"/>
          <w:lang w:eastAsia="es-ES_tradnl"/>
        </w:rPr>
        <w:t xml:space="preserve">En esta medida, el procedimiento de selección de mínima cuantía está regulado en el artículo 2, numeral 5, de la Ley 1150 de 2007 y en el Libro 2, Parte 2, Título 1, Capítulo 2, Sección 1, Subsección 5 del Decreto 1082 de 2015, modificado por el Decreto 1860 de 2021, con la particularidad de que el trámite solo sigue las reglas señaladas, razón por la cual no es posible aplicar disposiciones diferentes a las allí previstas. </w:t>
      </w:r>
    </w:p>
    <w:p w14:paraId="3BB43659" w14:textId="283C0164" w:rsidR="00256C32" w:rsidRPr="004E4061" w:rsidRDefault="00256C32" w:rsidP="00256C32">
      <w:pPr>
        <w:spacing w:after="0" w:line="276" w:lineRule="auto"/>
        <w:jc w:val="both"/>
        <w:rPr>
          <w:rFonts w:ascii="Geomanist Light" w:eastAsia="Calibri" w:hAnsi="Geomanist Light" w:cs="Arial"/>
          <w:lang w:val="es-ES_tradnl" w:eastAsia="es-ES_tradnl"/>
        </w:rPr>
      </w:pPr>
    </w:p>
    <w:p w14:paraId="311DD950" w14:textId="77777777" w:rsidR="00E27340" w:rsidRPr="004E4061" w:rsidRDefault="00E27340" w:rsidP="00E27340">
      <w:pPr>
        <w:tabs>
          <w:tab w:val="left" w:pos="709"/>
        </w:tabs>
        <w:spacing w:after="0" w:line="276" w:lineRule="auto"/>
        <w:jc w:val="both"/>
        <w:outlineLvl w:val="0"/>
        <w:rPr>
          <w:rFonts w:ascii="Geomanist Light" w:eastAsia="Calibri" w:hAnsi="Geomanist Light" w:cs="Arial"/>
          <w:b/>
          <w:bCs/>
          <w:lang w:val="es-ES_tradnl" w:eastAsia="es-ES_tradnl"/>
        </w:rPr>
      </w:pPr>
      <w:r w:rsidRPr="004E4061">
        <w:rPr>
          <w:rFonts w:ascii="Geomanist Light" w:eastAsia="Calibri" w:hAnsi="Geomanist Light" w:cs="Arial"/>
          <w:b/>
          <w:bCs/>
          <w:color w:val="000000"/>
          <w:lang w:val="es-ES_tradnl" w:eastAsia="es-ES_tradnl"/>
        </w:rPr>
        <w:t xml:space="preserve">2.2. </w:t>
      </w:r>
      <w:r w:rsidRPr="004E4061">
        <w:rPr>
          <w:rFonts w:ascii="Geomanist Light" w:eastAsia="Calibri" w:hAnsi="Geomanist Light" w:cs="Arial"/>
          <w:b/>
          <w:bCs/>
          <w:lang w:val="es-ES_tradnl" w:eastAsia="es-ES_tradnl"/>
        </w:rPr>
        <w:t>Regulación de las c</w:t>
      </w:r>
      <w:r w:rsidRPr="004E4061">
        <w:rPr>
          <w:rFonts w:ascii="Geomanist Light" w:eastAsia="Times New Roman" w:hAnsi="Geomanist Light" w:cs="Arial"/>
          <w:b/>
          <w:bCs/>
          <w:lang w:val="es-ES_tradnl" w:eastAsia="es-ES_tradnl"/>
        </w:rPr>
        <w:t>onvocatorias limitadas a Mipyme</w:t>
      </w:r>
      <w:r w:rsidRPr="004E4061">
        <w:rPr>
          <w:rFonts w:ascii="Geomanist Light" w:eastAsia="Calibri" w:hAnsi="Geomanist Light" w:cs="Arial"/>
          <w:b/>
          <w:bCs/>
          <w:lang w:val="es-ES_tradnl" w:eastAsia="es-ES_tradnl"/>
        </w:rPr>
        <w:t xml:space="preserve"> en el artículo 34 de la Ley 2069 de 2020 y en el Decreto 1860 de 2021 </w:t>
      </w:r>
    </w:p>
    <w:p w14:paraId="6126A635" w14:textId="77777777" w:rsidR="00E27340" w:rsidRPr="004E4061" w:rsidRDefault="00E27340" w:rsidP="00E27340">
      <w:pPr>
        <w:spacing w:after="0" w:line="276" w:lineRule="auto"/>
        <w:jc w:val="both"/>
        <w:rPr>
          <w:rFonts w:ascii="Geomanist Light" w:eastAsia="Calibri" w:hAnsi="Geomanist Light" w:cs="Arial"/>
          <w:b/>
          <w:bCs/>
          <w:color w:val="000000"/>
          <w:lang w:val="es-ES_tradnl" w:eastAsia="es-ES_tradnl"/>
        </w:rPr>
      </w:pPr>
    </w:p>
    <w:p w14:paraId="22C3186C" w14:textId="77777777" w:rsidR="00E27340" w:rsidRPr="004E4061" w:rsidRDefault="00E27340" w:rsidP="00E27340">
      <w:pPr>
        <w:spacing w:after="120" w:line="276" w:lineRule="auto"/>
        <w:jc w:val="both"/>
        <w:rPr>
          <w:rFonts w:ascii="Geomanist Light" w:eastAsia="Calibri" w:hAnsi="Geomanist Light" w:cs="Arial"/>
          <w:lang w:val="es-ES_tradnl" w:eastAsia="es-ES_tradnl"/>
        </w:rPr>
      </w:pPr>
      <w:r w:rsidRPr="004E4061">
        <w:rPr>
          <w:rFonts w:ascii="Geomanist Light" w:eastAsia="Calibri" w:hAnsi="Geomanist Light" w:cs="Arial"/>
          <w:lang w:val="es-ES_tradnl" w:eastAsia="es-ES_tradnl"/>
        </w:rPr>
        <w:lastRenderedPageBreak/>
        <w:t xml:space="preserve">Conforme a lo explicado por esta Agencia desde el Concepto </w:t>
      </w:r>
      <w:r w:rsidRPr="004E4061">
        <w:rPr>
          <w:rFonts w:ascii="Geomanist Light" w:eastAsia="Calibri" w:hAnsi="Geomanist Light" w:cs="Arial"/>
          <w:lang w:eastAsia="es-ES_tradnl"/>
        </w:rPr>
        <w:t>C-043 del 9 de febrero de 2021</w:t>
      </w:r>
      <w:r w:rsidRPr="004E4061">
        <w:rPr>
          <w:rFonts w:ascii="Geomanist Light" w:eastAsia="Calibri" w:hAnsi="Geomanist Light" w:cs="Arial"/>
          <w:lang w:val="es-ES_tradnl" w:eastAsia="es-ES_tradnl"/>
        </w:rPr>
        <w:t xml:space="preserve">, postura reiterada en conceptos posteriores, el artículo 34 de la Ley 2069 de 2020 que establece nuevas reglas sobre la promoción al desarrollo en la contratación estatal, sustituyó íntegramente el contenido del artículo 12 de la Ley 1150 de 2007, por lo que frente a esta última norma se produjo el fenómeno de la subrogación. De acuerdo con lo anterior, el artículo 2.2.1.2.4.2.2 original del Decreto 1082 de 2015 –antes del Decreto 1860 de 2021–, que hasta la expedición de la Ley 2069 de 2020 regulaba las convocatorias limitadas a Mipyme, carecía de vigencia, porque su contenido era contrario al artículo 34 de la Ley 2069 de 2020. En tal sentido, ha perdido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318CA08E" w14:textId="77777777" w:rsidR="00E27340" w:rsidRPr="004E4061" w:rsidRDefault="00E27340" w:rsidP="00E27340">
      <w:pPr>
        <w:spacing w:after="120" w:line="276" w:lineRule="auto"/>
        <w:ind w:firstLine="709"/>
        <w:jc w:val="both"/>
        <w:rPr>
          <w:rFonts w:ascii="Geomanist Light" w:eastAsia="Calibri" w:hAnsi="Geomanist Light" w:cs="Arial"/>
          <w:lang w:eastAsia="es-ES_tradnl"/>
        </w:rPr>
      </w:pPr>
      <w:r w:rsidRPr="004E4061">
        <w:rPr>
          <w:rFonts w:ascii="Geomanist Light" w:eastAsia="Calibri" w:hAnsi="Geomanist Light" w:cs="Arial"/>
          <w:lang w:eastAsia="es-ES_tradnl"/>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w:t>
      </w:r>
      <w:proofErr w:type="spellStart"/>
      <w:r w:rsidRPr="004E4061">
        <w:rPr>
          <w:rFonts w:ascii="Geomanist Light" w:eastAsia="Calibri" w:hAnsi="Geomanist Light" w:cs="Arial"/>
          <w:lang w:eastAsia="es-ES_tradnl"/>
        </w:rPr>
        <w:t>esta</w:t>
      </w:r>
      <w:proofErr w:type="spellEnd"/>
      <w:r w:rsidRPr="004E4061">
        <w:rPr>
          <w:rFonts w:ascii="Geomanist Light" w:eastAsia="Calibri" w:hAnsi="Geomanist Light" w:cs="Arial"/>
          <w:lang w:eastAsia="es-ES_tradnl"/>
        </w:rPr>
        <w:t xml:space="preserve">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r w:rsidRPr="004E4061">
        <w:rPr>
          <w:rFonts w:ascii="Geomanist Light" w:eastAsia="Calibri" w:hAnsi="Geomanist Light" w:cs="Arial"/>
          <w:i/>
          <w:iCs/>
          <w:lang w:eastAsia="es-ES_tradnl"/>
        </w:rPr>
        <w:t>ibídem</w:t>
      </w:r>
      <w:r w:rsidRPr="004E4061">
        <w:rPr>
          <w:rFonts w:ascii="Geomanist Light" w:eastAsia="Calibri" w:hAnsi="Geomanist Light" w:cs="Arial"/>
          <w:lang w:eastAsia="es-ES_tradnl"/>
        </w:rPr>
        <w:t xml:space="preserve">. </w:t>
      </w:r>
    </w:p>
    <w:p w14:paraId="7AF83FB3" w14:textId="77777777" w:rsidR="00E27340" w:rsidRPr="004E4061" w:rsidRDefault="00E27340" w:rsidP="00E27340">
      <w:pPr>
        <w:spacing w:after="120" w:line="276" w:lineRule="auto"/>
        <w:ind w:firstLine="709"/>
        <w:jc w:val="both"/>
        <w:rPr>
          <w:rFonts w:ascii="Geomanist Light" w:eastAsia="Calibri" w:hAnsi="Geomanist Light" w:cs="Arial"/>
          <w:lang w:val="es-ES" w:eastAsia="es-ES_tradnl"/>
        </w:rPr>
      </w:pPr>
      <w:r w:rsidRPr="004E4061">
        <w:rPr>
          <w:rFonts w:ascii="Geomanist Light" w:eastAsia="Calibri" w:hAnsi="Geomanist Light" w:cs="Arial"/>
          <w:lang w:val="es-ES" w:eastAsia="es-ES_tradnl"/>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r w:rsidRPr="004E4061">
        <w:rPr>
          <w:rFonts w:ascii="Geomanist Light" w:eastAsia="Calibri" w:hAnsi="Geomanist Light" w:cs="Arial"/>
          <w:i/>
          <w:lang w:val="es-ES" w:eastAsia="es-ES_tradnl"/>
        </w:rPr>
        <w:t>ibídem</w:t>
      </w:r>
      <w:r w:rsidRPr="004E4061">
        <w:rPr>
          <w:rFonts w:ascii="Geomanist Light" w:eastAsia="Calibri" w:hAnsi="Geomanist Light" w:cs="Arial"/>
          <w:lang w:val="es-ES" w:eastAsia="es-ES_tradnl"/>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4E4061">
        <w:rPr>
          <w:rFonts w:ascii="Geomanist Light" w:eastAsia="Calibri" w:hAnsi="Geomanist Light" w:cs="Arial"/>
          <w:lang w:val="es-ES" w:eastAsia="es-ES_tradnl"/>
        </w:rPr>
        <w:t>mipymes</w:t>
      </w:r>
      <w:proofErr w:type="spellEnd"/>
      <w:r w:rsidRPr="004E4061">
        <w:rPr>
          <w:rFonts w:ascii="Geomanist Light" w:eastAsia="Calibri" w:hAnsi="Geomanist Light" w:cs="Arial"/>
          <w:lang w:val="es-ES" w:eastAsia="es-ES_tradnl"/>
        </w:rPr>
        <w:t xml:space="preserve"> nacionales. Frente a este escenario, surge la necesidad de expedir una nueva reglamentación para las convocatorias limitadas que desarrolle los nuevos elementos previstos en la ley, regulación que se concretó mediante el Decreto 1860 del 24 de diciembre de 2021. </w:t>
      </w:r>
    </w:p>
    <w:p w14:paraId="20B0A73F" w14:textId="77777777" w:rsidR="00E27340" w:rsidRPr="004E4061" w:rsidRDefault="00E27340" w:rsidP="00E27340">
      <w:pPr>
        <w:spacing w:after="120" w:line="276" w:lineRule="auto"/>
        <w:ind w:firstLine="709"/>
        <w:jc w:val="both"/>
        <w:rPr>
          <w:rFonts w:ascii="Geomanist Light" w:eastAsia="Times New Roman" w:hAnsi="Geomanist Light" w:cs="Arial"/>
          <w:bCs/>
          <w:lang w:eastAsia="es-ES"/>
        </w:rPr>
      </w:pPr>
      <w:r w:rsidRPr="004E4061">
        <w:rPr>
          <w:rFonts w:ascii="Geomanist Light" w:eastAsia="Times New Roman" w:hAnsi="Geomanist Light" w:cs="Arial"/>
          <w:bCs/>
          <w:lang w:val="es-ES_tradnl" w:eastAsia="es-ES"/>
        </w:rPr>
        <w:t xml:space="preserve">En efecto, el artículo 5 del Decreto 1860 de 2021 modificó </w:t>
      </w:r>
      <w:r w:rsidRPr="004E4061">
        <w:rPr>
          <w:rFonts w:ascii="Geomanist Light" w:eastAsia="Times New Roman" w:hAnsi="Geomanist Light" w:cs="Arial"/>
          <w:bCs/>
          <w:lang w:eastAsia="es-ES"/>
        </w:rPr>
        <w:t>los artículos 2.2.1.2.4.2.2., 2.2.1.2.4.2.3. y 2.2.1.2.4.2.4. de la Subsección 2 de la Sección 4 del Capítulo 2 del Título 1 de la Parte 2 del Libro 2 del Decreto 1082 de 2015, reglamentando</w:t>
      </w:r>
      <w:r w:rsidRPr="004E4061">
        <w:rPr>
          <w:rFonts w:ascii="Geomanist Light" w:eastAsia="Times New Roman" w:hAnsi="Geomanist Light" w:cs="Arial"/>
          <w:bCs/>
          <w:lang w:val="es-ES_tradnl" w:eastAsia="es-ES"/>
        </w:rPr>
        <w:t xml:space="preserve"> las convocatorias limitadas a Mipyme, con fundamento en lo establecido en el artículo 34 de la Ley 2069 de 2020. Esta </w:t>
      </w:r>
      <w:r w:rsidRPr="004E4061">
        <w:rPr>
          <w:rFonts w:ascii="Geomanist Light" w:eastAsia="Times New Roman" w:hAnsi="Geomanist Light" w:cs="Arial"/>
          <w:bCs/>
          <w:lang w:val="es-ES_tradnl" w:eastAsia="es-ES"/>
        </w:rPr>
        <w:lastRenderedPageBreak/>
        <w:t xml:space="preserve">nueva Subsección 2 contempla los siguientes aspectos: i) requisitos para limitar la convocatoria de los </w:t>
      </w:r>
      <w:r w:rsidRPr="004E4061">
        <w:rPr>
          <w:rFonts w:ascii="Geomanist Light" w:eastAsia="Times New Roman" w:hAnsi="Geomanist Light" w:cs="Arial"/>
          <w:bCs/>
          <w:lang w:eastAsia="es-ES"/>
        </w:rPr>
        <w:t>procesos de contratación con pluralidad de oferentes</w:t>
      </w:r>
      <w:r w:rsidRPr="004E4061">
        <w:rPr>
          <w:rFonts w:ascii="Geomanist Light" w:eastAsia="Times New Roman" w:hAnsi="Geomanist Light" w:cs="Arial"/>
          <w:bCs/>
          <w:lang w:val="es-ES_tradnl" w:eastAsia="es-ES"/>
        </w:rPr>
        <w:t xml:space="preserve"> a las Mipyme colombianas con mínimo un (1) año de existencia – artículo </w:t>
      </w:r>
      <w:r w:rsidRPr="004E4061">
        <w:rPr>
          <w:rFonts w:ascii="Geomanist Light" w:eastAsia="Times New Roman" w:hAnsi="Geomanist Light" w:cs="Arial"/>
          <w:bCs/>
          <w:lang w:eastAsia="es-ES"/>
        </w:rPr>
        <w:t>2.2.1.2.4.2.2-</w:t>
      </w:r>
      <w:r w:rsidRPr="004E4061">
        <w:rPr>
          <w:rFonts w:ascii="Geomanist Light" w:eastAsia="Times New Roman" w:hAnsi="Geomanist Light" w:cs="Arial"/>
          <w:bCs/>
          <w:lang w:val="es-ES_tradnl" w:eastAsia="es-ES"/>
        </w:rPr>
        <w:t xml:space="preserve"> , </w:t>
      </w:r>
      <w:proofErr w:type="spellStart"/>
      <w:r w:rsidRPr="004E4061">
        <w:rPr>
          <w:rFonts w:ascii="Geomanist Light" w:eastAsia="Times New Roman" w:hAnsi="Geomanist Light" w:cs="Arial"/>
          <w:bCs/>
          <w:lang w:val="es-ES_tradnl" w:eastAsia="es-ES"/>
        </w:rPr>
        <w:t>ii</w:t>
      </w:r>
      <w:proofErr w:type="spellEnd"/>
      <w:r w:rsidRPr="004E4061">
        <w:rPr>
          <w:rFonts w:ascii="Geomanist Light" w:eastAsia="Times New Roman" w:hAnsi="Geomanist Light" w:cs="Arial"/>
          <w:bCs/>
          <w:lang w:val="es-ES_tradnl" w:eastAsia="es-ES"/>
        </w:rPr>
        <w:t xml:space="preserve">) desarrolla las </w:t>
      </w:r>
      <w:r w:rsidRPr="004E4061">
        <w:rPr>
          <w:rFonts w:ascii="Geomanist Light" w:eastAsia="Times New Roman" w:hAnsi="Geomanist Light" w:cs="Arial"/>
          <w:bCs/>
          <w:lang w:eastAsia="es-ES"/>
        </w:rPr>
        <w:t>convocatorias limitadas a Mipyme colombianas que tengan domicilio en los departamentos o municipios en donde se va a ejecutar el contrato – artículo 2.2.1.2.4.2.3.,</w:t>
      </w:r>
      <w:r w:rsidRPr="004E4061">
        <w:rPr>
          <w:rFonts w:ascii="Geomanist Light" w:eastAsia="Times New Roman" w:hAnsi="Geomanist Light" w:cs="Arial"/>
          <w:bCs/>
          <w:lang w:val="es-ES_tradnl" w:eastAsia="es-ES"/>
        </w:rPr>
        <w:t xml:space="preserve"> y </w:t>
      </w:r>
      <w:proofErr w:type="spellStart"/>
      <w:r w:rsidRPr="004E4061">
        <w:rPr>
          <w:rFonts w:ascii="Geomanist Light" w:eastAsia="Times New Roman" w:hAnsi="Geomanist Light" w:cs="Arial"/>
          <w:bCs/>
          <w:lang w:val="es-ES_tradnl" w:eastAsia="es-ES"/>
        </w:rPr>
        <w:t>iii</w:t>
      </w:r>
      <w:proofErr w:type="spellEnd"/>
      <w:r w:rsidRPr="004E4061">
        <w:rPr>
          <w:rFonts w:ascii="Geomanist Light" w:eastAsia="Times New Roman" w:hAnsi="Geomanist Light" w:cs="Arial"/>
          <w:bCs/>
          <w:lang w:val="es-ES_tradnl" w:eastAsia="es-ES"/>
        </w:rPr>
        <w:t xml:space="preserve">) </w:t>
      </w:r>
      <w:r w:rsidRPr="004E4061">
        <w:rPr>
          <w:rFonts w:ascii="Geomanist Light" w:eastAsia="Times New Roman" w:hAnsi="Geomanist Light" w:cs="Arial"/>
          <w:bCs/>
          <w:lang w:eastAsia="es-ES"/>
        </w:rPr>
        <w:t>regula la acreditación de requisitos para participar en convocatorias limitadas – artículo 2.2.1.2.4.2.4-</w:t>
      </w:r>
    </w:p>
    <w:p w14:paraId="340CE10C" w14:textId="77777777" w:rsidR="00E27340" w:rsidRPr="004E4061" w:rsidRDefault="00E27340" w:rsidP="00E27340">
      <w:pPr>
        <w:spacing w:after="120" w:line="276" w:lineRule="auto"/>
        <w:ind w:firstLine="709"/>
        <w:jc w:val="both"/>
        <w:rPr>
          <w:rFonts w:ascii="Geomanist Light" w:eastAsia="Times New Roman" w:hAnsi="Geomanist Light" w:cs="Arial"/>
          <w:bCs/>
          <w:lang w:val="es-ES_tradnl" w:eastAsia="es-ES"/>
        </w:rPr>
      </w:pPr>
      <w:r w:rsidRPr="004E4061">
        <w:rPr>
          <w:rFonts w:ascii="Geomanist Light" w:eastAsia="Times New Roman" w:hAnsi="Geomanist Light" w:cs="Arial"/>
          <w:bCs/>
          <w:lang w:val="es-ES_tradnl" w:eastAsia="es-ES"/>
        </w:rPr>
        <w:t>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Mipyme,</w:t>
      </w:r>
      <w:r w:rsidRPr="004E4061">
        <w:rPr>
          <w:rFonts w:ascii="Geomanist Light" w:eastAsia="Calibri" w:hAnsi="Geomanist Light" w:cs="Arial"/>
          <w:lang w:val="es-ES_tradnl" w:eastAsia="es-ES_tradnl"/>
        </w:rPr>
        <w:t xml:space="preserve"> </w:t>
      </w:r>
      <w:r w:rsidRPr="004E4061">
        <w:rPr>
          <w:rFonts w:ascii="Geomanist Light" w:eastAsia="Times New Roman" w:hAnsi="Geomanist Light" w:cs="Arial"/>
          <w:bCs/>
          <w:lang w:val="es-ES_tradnl" w:eastAsia="es-ES"/>
        </w:rPr>
        <w:t xml:space="preserve">disposición que entró a regir desde el pasado 24 de marzo de 2022, pues, como se indicó, </w:t>
      </w:r>
      <w:r w:rsidRPr="004E4061">
        <w:rPr>
          <w:rFonts w:ascii="Geomanist Light" w:eastAsia="Calibri" w:hAnsi="Geomanist Light" w:cs="Arial"/>
          <w:lang w:val="es-ES_tradnl" w:eastAsia="es-ES_tradnl"/>
        </w:rPr>
        <w:t>el artículo 8 de dicho decreto sometió su vigencia al transcurso del periodo de 3 meses siguientes a su expedición.</w:t>
      </w:r>
    </w:p>
    <w:p w14:paraId="6D2255EF" w14:textId="77777777" w:rsidR="00E27340" w:rsidRPr="004E4061" w:rsidRDefault="00E27340" w:rsidP="00E27340">
      <w:pPr>
        <w:spacing w:after="0" w:line="276" w:lineRule="auto"/>
        <w:ind w:firstLine="709"/>
        <w:jc w:val="both"/>
        <w:rPr>
          <w:rFonts w:ascii="Geomanist Light" w:eastAsia="Arial" w:hAnsi="Geomanist Light" w:cs="Arial"/>
          <w:color w:val="000000"/>
          <w:lang w:eastAsia="es-ES_tradnl"/>
        </w:rPr>
      </w:pPr>
      <w:r w:rsidRPr="004E4061">
        <w:rPr>
          <w:rFonts w:ascii="Geomanist Light" w:eastAsia="Arial" w:hAnsi="Geomanist Light" w:cs="Arial"/>
          <w:color w:val="000000"/>
          <w:lang w:eastAsia="es-ES_tradnl"/>
        </w:rPr>
        <w:t xml:space="preserve">En este contexto, el artículo 2.2.1.2.4.2.2. del Decreto 1082 de 2015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 </w:t>
      </w:r>
    </w:p>
    <w:p w14:paraId="5947A417" w14:textId="77777777" w:rsidR="00E27340" w:rsidRPr="004E4061" w:rsidRDefault="00E27340" w:rsidP="00E27340">
      <w:pPr>
        <w:spacing w:after="0" w:line="276" w:lineRule="auto"/>
        <w:ind w:firstLine="709"/>
        <w:jc w:val="both"/>
        <w:rPr>
          <w:rFonts w:ascii="Geomanist Light" w:eastAsia="Arial" w:hAnsi="Geomanist Light" w:cs="Arial"/>
          <w:color w:val="000000"/>
          <w:lang w:eastAsia="es-ES_tradnl"/>
        </w:rPr>
      </w:pPr>
    </w:p>
    <w:p w14:paraId="2C6EE059"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r w:rsidRPr="004E4061">
        <w:rPr>
          <w:rFonts w:ascii="Geomanist Light" w:eastAsia="Calibri" w:hAnsi="Geomanist Light" w:cs="Arial"/>
          <w:sz w:val="21"/>
          <w:szCs w:val="21"/>
          <w:lang w:val="es-ES_tradnl" w:eastAsia="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34A16F94"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p>
    <w:p w14:paraId="304251EA"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r w:rsidRPr="004E4061">
        <w:rPr>
          <w:rFonts w:ascii="Geomanist Light" w:eastAsia="Calibri" w:hAnsi="Geomanist Light" w:cs="Arial"/>
          <w:sz w:val="21"/>
          <w:szCs w:val="21"/>
          <w:lang w:val="es-ES_tradnl" w:eastAsia="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7B4D4CFB"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r w:rsidRPr="004E4061">
        <w:rPr>
          <w:rFonts w:ascii="Geomanist Light" w:eastAsia="Calibri" w:hAnsi="Geomanist Light" w:cs="Arial"/>
          <w:sz w:val="21"/>
          <w:szCs w:val="21"/>
          <w:lang w:val="es-ES_tradnl" w:eastAsia="es-ES_tradnl"/>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w:t>
      </w:r>
      <w:r w:rsidRPr="004E4061">
        <w:rPr>
          <w:rFonts w:ascii="Geomanist Light" w:eastAsia="Calibri" w:hAnsi="Geomanist Light" w:cs="Arial"/>
          <w:sz w:val="21"/>
          <w:szCs w:val="21"/>
          <w:lang w:val="es-ES_tradnl" w:eastAsia="es-ES_tradnl"/>
        </w:rPr>
        <w:lastRenderedPageBreak/>
        <w:t>de personas jurídicas, las solicitudes solo las podrán realizar Mipyme, cuyo objeto social les permita ejecutar el contrato relacionado con el proceso contractual.</w:t>
      </w:r>
    </w:p>
    <w:p w14:paraId="5F8F2441"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p>
    <w:p w14:paraId="116EC12F"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val="es-ES_tradnl" w:eastAsia="es-ES_tradnl"/>
        </w:rPr>
      </w:pPr>
      <w:r w:rsidRPr="004E4061">
        <w:rPr>
          <w:rFonts w:ascii="Geomanist Light" w:eastAsia="Calibri" w:hAnsi="Geomanist Light" w:cs="Arial"/>
          <w:sz w:val="21"/>
          <w:szCs w:val="21"/>
          <w:lang w:val="es-ES_tradnl" w:eastAsia="es-ES_tradnl"/>
        </w:rPr>
        <w:t>Parágrafo. Las cooperativas y demás entidades de economía solidaria, siempre que tengan la calidad de Mipyme, podrán solicitar y participar en las convocatorias limitadas en las mismas condiciones dispuestas en el presente artículo.</w:t>
      </w:r>
    </w:p>
    <w:p w14:paraId="60F5ED4E" w14:textId="77777777" w:rsidR="00E27340" w:rsidRPr="004E4061" w:rsidRDefault="00E27340" w:rsidP="00E27340">
      <w:pPr>
        <w:spacing w:after="0" w:line="276" w:lineRule="auto"/>
        <w:ind w:firstLine="709"/>
        <w:jc w:val="both"/>
        <w:rPr>
          <w:rFonts w:ascii="Geomanist Light" w:eastAsia="Arial" w:hAnsi="Geomanist Light" w:cs="Arial"/>
          <w:color w:val="000000"/>
          <w:lang w:eastAsia="es-ES_tradnl"/>
        </w:rPr>
      </w:pPr>
    </w:p>
    <w:p w14:paraId="559DC33E" w14:textId="77777777" w:rsidR="00E27340" w:rsidRPr="004E4061" w:rsidRDefault="00E27340" w:rsidP="00E27340">
      <w:pPr>
        <w:spacing w:after="120" w:line="276" w:lineRule="auto"/>
        <w:ind w:firstLine="709"/>
        <w:jc w:val="both"/>
        <w:rPr>
          <w:rFonts w:ascii="Geomanist Light" w:eastAsia="Arial" w:hAnsi="Geomanist Light" w:cs="Arial"/>
          <w:color w:val="000000"/>
          <w:lang w:eastAsia="es-ES_tradnl"/>
        </w:rPr>
      </w:pPr>
      <w:r w:rsidRPr="004E4061">
        <w:rPr>
          <w:rFonts w:ascii="Geomanist Light" w:eastAsia="Arial" w:hAnsi="Geomanist Light" w:cs="Arial"/>
          <w:color w:val="000000"/>
          <w:lang w:eastAsia="es-ES_tradnl"/>
        </w:rPr>
        <w:t>Según se evidencia, el numeral primero limita cuantitativamente los procesos contractuales en los que se puede hacer esa convocatoria limitada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4E4061">
        <w:rPr>
          <w:rFonts w:ascii="Geomanist Light" w:eastAsia="Arial" w:hAnsi="Geomanist Light" w:cs="Arial"/>
          <w:color w:val="000000"/>
          <w:vertAlign w:val="superscript"/>
          <w:lang w:eastAsia="es-ES_tradnl"/>
        </w:rPr>
        <w:footnoteReference w:id="10"/>
      </w:r>
      <w:r w:rsidRPr="004E4061">
        <w:rPr>
          <w:rFonts w:ascii="Geomanist Light" w:eastAsia="Arial" w:hAnsi="Geomanist Light" w:cs="Arial"/>
          <w:color w:val="000000"/>
          <w:lang w:eastAsia="es-ES_tradnl"/>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4E4061">
        <w:rPr>
          <w:rFonts w:ascii="Geomanist Light" w:eastAsia="Arial" w:hAnsi="Geomanist Light" w:cs="Arial"/>
          <w:color w:val="000000"/>
          <w:lang w:val="es-ES_tradnl" w:eastAsia="es-ES_tradnl"/>
        </w:rPr>
        <w:t>o el que haga sus veces de acuerdo con la normativa aplicable a cada Proceso de Contratación</w:t>
      </w:r>
      <w:r w:rsidRPr="004E4061">
        <w:rPr>
          <w:rFonts w:ascii="Geomanist Light" w:eastAsia="Arial" w:hAnsi="Geomanist Light" w:cs="Arial"/>
          <w:color w:val="000000"/>
          <w:lang w:eastAsia="es-ES_tradnl"/>
        </w:rPr>
        <w:t xml:space="preserve">. Además, la norma señala que, </w:t>
      </w:r>
      <w:r w:rsidRPr="004E4061">
        <w:rPr>
          <w:rFonts w:ascii="Geomanist Light" w:eastAsia="Arial" w:hAnsi="Geomanist Light" w:cs="Arial"/>
          <w:color w:val="000000"/>
          <w:lang w:val="es-ES_tradnl" w:eastAsia="es-ES_tradnl"/>
        </w:rPr>
        <w:t xml:space="preserve">tratándose de personas jurídicas, las solicitudes solo las 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el artículo. </w:t>
      </w:r>
    </w:p>
    <w:p w14:paraId="20580FAC" w14:textId="77777777" w:rsidR="00E27340" w:rsidRPr="004E4061" w:rsidRDefault="00E27340" w:rsidP="00E27340">
      <w:pPr>
        <w:spacing w:after="120" w:line="276" w:lineRule="auto"/>
        <w:ind w:firstLine="709"/>
        <w:jc w:val="both"/>
        <w:rPr>
          <w:rFonts w:ascii="Geomanist Light" w:eastAsia="Times New Roman" w:hAnsi="Geomanist Light" w:cs="Arial"/>
          <w:szCs w:val="24"/>
          <w:lang w:val="es-ES" w:eastAsia="es-MX"/>
        </w:rPr>
      </w:pPr>
      <w:r w:rsidRPr="004E4061">
        <w:rPr>
          <w:rFonts w:ascii="Geomanist Light" w:eastAsia="Arial" w:hAnsi="Geomanist Light" w:cs="Arial"/>
          <w:color w:val="000000"/>
          <w:lang w:val="es-ES_tradnl" w:eastAsia="es-ES_tradnl"/>
        </w:rPr>
        <w:t>Así las cosas,</w:t>
      </w:r>
      <w:r w:rsidRPr="004E4061">
        <w:rPr>
          <w:rFonts w:ascii="Geomanist Light" w:eastAsia="Times New Roman" w:hAnsi="Geomanist Light" w:cs="Arial"/>
          <w:szCs w:val="24"/>
          <w:lang w:val="es-ES" w:eastAsia="es-MX"/>
        </w:rPr>
        <w:t xml:space="preserve"> desde el 24 de marzo de 2022 se encuentran vigentes las disposiciones del Decreto 1860 de 2021, por lo que las entidades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se cumplan los requisitos previstos en el artículo 2.2.1.2.4.2.2 del Decreto 1082 de 2015 anteriormente señalado.</w:t>
      </w:r>
    </w:p>
    <w:p w14:paraId="6D5DED68" w14:textId="77777777" w:rsidR="00E27340" w:rsidRPr="004E4061" w:rsidRDefault="00E27340" w:rsidP="00E27340">
      <w:pPr>
        <w:spacing w:after="0" w:line="276" w:lineRule="auto"/>
        <w:ind w:firstLine="709"/>
        <w:jc w:val="both"/>
        <w:rPr>
          <w:rFonts w:ascii="Geomanist Light" w:eastAsia="Calibri" w:hAnsi="Geomanist Light" w:cs="Arial"/>
          <w:szCs w:val="24"/>
          <w:lang w:val="es-ES_tradnl" w:eastAsia="es-ES_tradnl"/>
        </w:rPr>
      </w:pPr>
      <w:r w:rsidRPr="004E4061">
        <w:rPr>
          <w:rFonts w:ascii="Geomanist Light" w:eastAsia="Calibri" w:hAnsi="Geomanist Light" w:cs="Arial"/>
          <w:lang w:val="es-ES_tradnl" w:eastAsia="es-ES_tradnl"/>
        </w:rPr>
        <w:t>En relación con las limitaciones territorial</w:t>
      </w:r>
      <w:r w:rsidRPr="004E4061">
        <w:rPr>
          <w:rFonts w:ascii="Geomanist Light" w:eastAsia="Times New Roman" w:hAnsi="Geomanist Light" w:cs="Arial"/>
          <w:lang w:val="es-ES_tradnl" w:eastAsia="es-ES_tradnl"/>
        </w:rPr>
        <w:t xml:space="preserve">es de las convocatorias a Mipyme, </w:t>
      </w:r>
      <w:r w:rsidRPr="004E4061">
        <w:rPr>
          <w:rFonts w:ascii="Geomanist Light" w:eastAsia="Calibri" w:hAnsi="Geomanist Light" w:cs="Arial"/>
          <w:lang w:val="es-ES_tradnl" w:eastAsia="es-ES_tradnl"/>
        </w:rPr>
        <w:t xml:space="preserve"> a la luz del antiguo artículo 2.2.1.2.4.2.3 del Decreto 1082 de 2015, esta Agencia –</w:t>
      </w:r>
      <w:r w:rsidRPr="004E4061">
        <w:rPr>
          <w:rFonts w:ascii="Geomanist Light" w:eastAsia="Times New Roman" w:hAnsi="Geomanist Light" w:cs="Arial"/>
          <w:szCs w:val="24"/>
          <w:lang w:val="es-ES_tradnl" w:eastAsia="es-ES_tradnl"/>
        </w:rPr>
        <w:t>en los conceptos del 29 de enero de 2018 −radicado No. 4201714000006924−,</w:t>
      </w:r>
      <w:r w:rsidRPr="004E4061">
        <w:rPr>
          <w:rFonts w:ascii="Geomanist Light" w:eastAsia="Calibri" w:hAnsi="Geomanist Light" w:cs="Arial"/>
          <w:szCs w:val="24"/>
          <w:lang w:val="es-ES_tradnl" w:eastAsia="es-ES_tradnl"/>
        </w:rPr>
        <w:t xml:space="preserve"> C – 045 del 17 de marzo de 2020, C – 162 del 16 de abril de 2020, C – 214 del 21 de abril de 2020, C – 258 del 17 de abril de 2020, </w:t>
      </w:r>
      <w:r w:rsidRPr="004E4061">
        <w:rPr>
          <w:rFonts w:ascii="Geomanist Light" w:eastAsia="Calibri" w:hAnsi="Geomanist Light" w:cs="Arial"/>
          <w:szCs w:val="24"/>
          <w:lang w:val="es-ES_tradnl" w:eastAsia="es-ES_tradnl"/>
        </w:rPr>
        <w:lastRenderedPageBreak/>
        <w:t>C – 364 del 4 de junio de 2020, C – 413 del 30 de junio de 2020</w:t>
      </w:r>
      <w:r w:rsidRPr="004E4061">
        <w:rPr>
          <w:rFonts w:ascii="Geomanist Light" w:eastAsia="Times New Roman" w:hAnsi="Geomanist Light" w:cs="Arial"/>
          <w:szCs w:val="24"/>
          <w:lang w:val="es-ES_tradnl" w:eastAsia="es-ES_tradnl"/>
        </w:rPr>
        <w:t xml:space="preserve">, </w:t>
      </w:r>
      <w:r w:rsidRPr="004E4061">
        <w:rPr>
          <w:rFonts w:ascii="Geomanist Light" w:eastAsia="Calibri" w:hAnsi="Geomanist Light" w:cs="Arial"/>
          <w:szCs w:val="24"/>
          <w:lang w:val="es-ES_tradnl" w:eastAsia="es-ES_tradnl"/>
        </w:rPr>
        <w:t>C – 492 del 24 de julio de 2020, C – 523 del 11 de agosto de 2020, C – 610 del 14 de septiembre de 2020 y C-700 de 1 de diciembre de 2020–</w:t>
      </w:r>
      <w:r w:rsidRPr="004E4061">
        <w:rPr>
          <w:rFonts w:ascii="Geomanist Light" w:eastAsia="Calibri" w:hAnsi="Geomanist Light" w:cs="Arial"/>
          <w:lang w:val="es-ES_tradnl" w:eastAsia="es-ES_tradnl"/>
        </w:rPr>
        <w:t xml:space="preserve"> había sostenido que, para que se permitiera la participación de una Mipyme en uno de estos procesos, era necesario que esta demostrara estar domiciliada en el municipio o departamento en el que se ejecutaría el contrato, la tesis se expuso en los siguientes términos</w:t>
      </w:r>
      <w:r w:rsidRPr="004E4061">
        <w:rPr>
          <w:rFonts w:ascii="Geomanist Light" w:eastAsia="Calibri" w:hAnsi="Geomanist Light" w:cs="Arial"/>
          <w:szCs w:val="24"/>
          <w:lang w:val="es-ES_tradnl" w:eastAsia="es-ES_tradnl"/>
        </w:rPr>
        <w:t xml:space="preserve">: </w:t>
      </w:r>
    </w:p>
    <w:p w14:paraId="4769AA43" w14:textId="77777777" w:rsidR="00E27340" w:rsidRPr="004E4061" w:rsidRDefault="00E27340" w:rsidP="00E27340">
      <w:pPr>
        <w:spacing w:after="0" w:line="276" w:lineRule="auto"/>
        <w:ind w:firstLine="709"/>
        <w:jc w:val="both"/>
        <w:rPr>
          <w:rFonts w:ascii="Geomanist Light" w:eastAsia="Calibri" w:hAnsi="Geomanist Light" w:cs="Arial"/>
          <w:szCs w:val="24"/>
          <w:lang w:val="es-ES_tradnl" w:eastAsia="es-ES_tradnl"/>
        </w:rPr>
      </w:pPr>
    </w:p>
    <w:p w14:paraId="3BB5B35E"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r w:rsidRPr="004E4061">
        <w:rPr>
          <w:rFonts w:ascii="Geomanist Light" w:eastAsia="Times New Roman" w:hAnsi="Geomanist Light" w:cs="Arial"/>
          <w:sz w:val="21"/>
          <w:szCs w:val="21"/>
          <w:lang w:val="es-ES_tradnl" w:eastAsia="es-ES_tradnl"/>
        </w:rPr>
        <w:t xml:space="preserve">Es de resaltar que </w:t>
      </w:r>
      <w:r w:rsidRPr="004E4061">
        <w:rPr>
          <w:rFonts w:ascii="Geomanist Light" w:eastAsia="Times New Roman" w:hAnsi="Geomanist Light" w:cs="Arial"/>
          <w:i/>
          <w:iCs/>
          <w:sz w:val="21"/>
          <w:szCs w:val="21"/>
          <w:lang w:val="es-ES_tradnl" w:eastAsia="es-ES_tradnl"/>
        </w:rPr>
        <w:t>estas normas se refieren a las Mipymes nacionales genéricamente y, particularmente, a las Mipymes nacionales «domiciliadas en los departamentos o municipios en donde se va a ejecutar el contrato».</w:t>
      </w:r>
      <w:r w:rsidRPr="004E4061">
        <w:rPr>
          <w:rFonts w:ascii="Geomanist Light" w:eastAsia="Times New Roman" w:hAnsi="Geomanist Light" w:cs="Arial"/>
          <w:sz w:val="21"/>
          <w:szCs w:val="21"/>
          <w:lang w:val="es-ES_tradnl" w:eastAsia="es-ES_tradnl"/>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44AEED9F"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p>
    <w:p w14:paraId="05DEC9C0" w14:textId="77777777" w:rsidR="00E27340" w:rsidRPr="004E4061" w:rsidRDefault="00E27340" w:rsidP="00E27340">
      <w:pPr>
        <w:spacing w:after="0" w:line="240" w:lineRule="auto"/>
        <w:ind w:left="709" w:right="709"/>
        <w:jc w:val="both"/>
        <w:rPr>
          <w:rFonts w:ascii="Geomanist Light" w:eastAsia="Times New Roman" w:hAnsi="Geomanist Light" w:cs="Arial"/>
          <w:lang w:val="es-ES_tradnl" w:eastAsia="es-ES_tradnl"/>
        </w:rPr>
      </w:pPr>
      <w:r w:rsidRPr="004E4061">
        <w:rPr>
          <w:rFonts w:ascii="Geomanist Light" w:eastAsia="Times New Roman" w:hAnsi="Geomanist Light" w:cs="Arial"/>
          <w:sz w:val="21"/>
          <w:szCs w:val="21"/>
          <w:lang w:val="es-ES_tradnl" w:eastAsia="es-ES_tradnl"/>
        </w:rPr>
        <w:t xml:space="preserve">Igualmente, se debe precisar que </w:t>
      </w:r>
      <w:r w:rsidRPr="004E4061">
        <w:rPr>
          <w:rFonts w:ascii="Geomanist Light" w:eastAsia="Times New Roman" w:hAnsi="Geomanist Light" w:cs="Arial"/>
          <w:i/>
          <w:iCs/>
          <w:sz w:val="21"/>
          <w:szCs w:val="21"/>
          <w:lang w:val="es-ES_tradnl" w:eastAsia="es-ES_tradnl"/>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4E4061">
        <w:rPr>
          <w:rFonts w:ascii="Geomanist Light" w:eastAsia="Times New Roman" w:hAnsi="Geomanist Light" w:cs="Arial"/>
          <w:i/>
          <w:iCs/>
          <w:sz w:val="21"/>
          <w:szCs w:val="21"/>
          <w:vertAlign w:val="superscript"/>
          <w:lang w:val="es-ES_tradnl" w:eastAsia="es-ES_tradnl"/>
        </w:rPr>
        <w:footnoteReference w:id="11"/>
      </w:r>
      <w:r w:rsidRPr="004E4061">
        <w:rPr>
          <w:rFonts w:ascii="Geomanist Light" w:eastAsia="Times New Roman" w:hAnsi="Geomanist Light" w:cs="Arial"/>
          <w:sz w:val="21"/>
          <w:szCs w:val="21"/>
          <w:lang w:val="es-ES_tradnl" w:eastAsia="es-ES_tradnl"/>
        </w:rPr>
        <w:t xml:space="preserve">. </w:t>
      </w:r>
      <w:r w:rsidRPr="004E4061">
        <w:rPr>
          <w:rFonts w:ascii="Geomanist Light" w:eastAsia="Times New Roman" w:hAnsi="Geomanist Light" w:cs="Arial"/>
          <w:lang w:val="es-ES_tradnl" w:eastAsia="es-ES_tradnl"/>
        </w:rPr>
        <w:t>(Énfasis fuera de texto)</w:t>
      </w:r>
    </w:p>
    <w:p w14:paraId="4EEE8E2F" w14:textId="77777777" w:rsidR="00E27340" w:rsidRPr="004E4061" w:rsidRDefault="00E27340" w:rsidP="00E27340">
      <w:pPr>
        <w:spacing w:after="0" w:line="276" w:lineRule="auto"/>
        <w:ind w:left="709" w:right="709"/>
        <w:jc w:val="both"/>
        <w:rPr>
          <w:rFonts w:ascii="Geomanist Light" w:eastAsia="Times New Roman" w:hAnsi="Geomanist Light" w:cs="Arial"/>
          <w:lang w:val="es-ES_tradnl" w:eastAsia="es-ES_tradnl"/>
        </w:rPr>
      </w:pPr>
    </w:p>
    <w:p w14:paraId="30D18D32" w14:textId="77777777" w:rsidR="00E27340" w:rsidRPr="004E4061" w:rsidRDefault="00E27340" w:rsidP="00E27340">
      <w:pPr>
        <w:spacing w:after="120" w:line="276" w:lineRule="auto"/>
        <w:ind w:firstLine="709"/>
        <w:jc w:val="both"/>
        <w:rPr>
          <w:rFonts w:ascii="Geomanist Light" w:eastAsia="Calibri" w:hAnsi="Geomanist Light" w:cs="Arial"/>
          <w:lang w:val="es-ES_tradnl" w:eastAsia="es-ES_tradnl"/>
        </w:rPr>
      </w:pPr>
      <w:r w:rsidRPr="004E4061">
        <w:rPr>
          <w:rFonts w:ascii="Geomanist Light" w:eastAsia="Times New Roman" w:hAnsi="Geomanist Light" w:cs="Arial"/>
          <w:lang w:val="es-ES_tradnl" w:eastAsia="es-ES_tradnl"/>
        </w:rPr>
        <w:t xml:space="preserve">Como se aprecia, la postura sostenida por esta Agencia en vigencia del artículo </w:t>
      </w:r>
      <w:r w:rsidRPr="004E4061">
        <w:rPr>
          <w:rFonts w:ascii="Geomanist Light" w:eastAsia="Calibri" w:hAnsi="Geomanist Light" w:cs="Arial"/>
          <w:lang w:val="es-ES_tradnl" w:eastAsia="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 </w:t>
      </w:r>
    </w:p>
    <w:p w14:paraId="7222951F" w14:textId="77777777" w:rsidR="00E27340" w:rsidRPr="004E4061" w:rsidRDefault="00E27340" w:rsidP="00E27340">
      <w:pPr>
        <w:spacing w:after="0" w:line="276" w:lineRule="auto"/>
        <w:ind w:firstLine="708"/>
        <w:jc w:val="both"/>
        <w:rPr>
          <w:rFonts w:ascii="Geomanist Light" w:eastAsia="Calibri" w:hAnsi="Geomanist Light" w:cs="Arial"/>
          <w:lang w:val="es-ES_tradnl" w:eastAsia="es-ES_tradnl"/>
        </w:rPr>
      </w:pPr>
      <w:r w:rsidRPr="004E4061">
        <w:rPr>
          <w:rFonts w:ascii="Geomanist Light" w:eastAsia="Calibri" w:hAnsi="Geomanist Light" w:cs="Arial"/>
          <w:lang w:val="es-ES_tradnl" w:eastAsia="es-ES_tradnl"/>
        </w:rPr>
        <w:lastRenderedPageBreak/>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en que, respecto del domicilio de las Mipyme en el departamento o municipio donde se ejecuta el contrato, la reglamentación no tuvo cambios. Así se desprende del texto de la nueva norma que es del siguiente tenor: </w:t>
      </w:r>
    </w:p>
    <w:p w14:paraId="33BFBDEC" w14:textId="77777777" w:rsidR="00E27340" w:rsidRPr="004E4061" w:rsidRDefault="00E27340" w:rsidP="00E27340">
      <w:pPr>
        <w:spacing w:after="0" w:line="240" w:lineRule="auto"/>
        <w:ind w:right="709"/>
        <w:jc w:val="both"/>
        <w:rPr>
          <w:rFonts w:ascii="Geomanist Light" w:eastAsia="Times New Roman" w:hAnsi="Geomanist Light" w:cs="Arial"/>
          <w:sz w:val="21"/>
          <w:szCs w:val="21"/>
          <w:lang w:val="es-ES_tradnl" w:eastAsia="es-ES_tradnl"/>
        </w:rPr>
      </w:pPr>
    </w:p>
    <w:p w14:paraId="5DE5E3B8"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r w:rsidRPr="004E4061">
        <w:rPr>
          <w:rFonts w:ascii="Geomanist Light" w:eastAsia="Times New Roman" w:hAnsi="Geomanist Light" w:cs="Arial"/>
          <w:sz w:val="21"/>
          <w:szCs w:val="21"/>
          <w:lang w:val="es-ES_tradnl" w:eastAsia="es-ES_tradnl"/>
        </w:rPr>
        <w:t>ARTÍCULO</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5. Modificaci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de la Subsecci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2 de la Secci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4 del Cap</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tulo 2 del T</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tulo 1 de la Parte 2 del Libro 2 del Decreto 1082 de 2015.</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Modif</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quense los art</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culos</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2.2.1.2.4.2.2.,</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2.2.1.2.4.2.3. y</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2.2.1.2.4.2.4. de la Subsecci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2 de la Secci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4 del Cap</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tulo 2 del T</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tulo 1 de la Parte 2 del Libro 2 del Decreto 1082 de 2015, los cuales quedarán así:</w:t>
      </w:r>
    </w:p>
    <w:p w14:paraId="575DF3A4"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p>
    <w:p w14:paraId="4A58C6B3"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r w:rsidRPr="004E4061">
        <w:rPr>
          <w:rFonts w:ascii="Geomanist Light" w:eastAsia="Times New Roman" w:hAnsi="Geomanist Light" w:cs="Arial"/>
          <w:sz w:val="21"/>
          <w:szCs w:val="21"/>
          <w:lang w:val="es-ES_tradnl" w:eastAsia="es-ES_tradnl"/>
        </w:rPr>
        <w:t>[…]</w:t>
      </w:r>
    </w:p>
    <w:p w14:paraId="4ACB9EFD"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lang w:val="es-ES_tradnl" w:eastAsia="es-ES_tradnl"/>
        </w:rPr>
      </w:pPr>
    </w:p>
    <w:p w14:paraId="009F2136" w14:textId="34212804" w:rsidR="00E27340" w:rsidRPr="004E4061" w:rsidRDefault="00E27340" w:rsidP="00E27340">
      <w:pPr>
        <w:spacing w:after="0" w:line="240" w:lineRule="auto"/>
        <w:ind w:left="709" w:right="709"/>
        <w:jc w:val="both"/>
        <w:rPr>
          <w:rFonts w:ascii="Geomanist Light" w:eastAsia="Calibri" w:hAnsi="Geomanist Light" w:cs="Arial"/>
          <w:lang w:val="es-ES_tradnl" w:eastAsia="es-ES_tradnl"/>
        </w:rPr>
      </w:pPr>
      <w:r w:rsidRPr="004E4061">
        <w:rPr>
          <w:rFonts w:ascii="Geomanist Light" w:eastAsia="Times New Roman" w:hAnsi="Geomanist Light" w:cs="Arial"/>
          <w:sz w:val="21"/>
          <w:szCs w:val="21"/>
          <w:lang w:val="es-ES_tradnl" w:eastAsia="es-ES_tradnl"/>
        </w:rPr>
        <w:t>ARTÍCULO 2.2.1.2.4.2.3. Limitaciones territoriales.</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De conformidad con el par</w:t>
      </w:r>
      <w:r w:rsidRPr="004E4061">
        <w:rPr>
          <w:rFonts w:ascii="Geomanist Light" w:eastAsia="Times New Roman" w:hAnsi="Geomanist Light" w:cs="Geomanist Light"/>
          <w:sz w:val="21"/>
          <w:szCs w:val="21"/>
          <w:lang w:val="es-ES_tradnl" w:eastAsia="es-ES_tradnl"/>
        </w:rPr>
        <w:t>á</w:t>
      </w:r>
      <w:r w:rsidRPr="004E4061">
        <w:rPr>
          <w:rFonts w:ascii="Geomanist Light" w:eastAsia="Times New Roman" w:hAnsi="Geomanist Light" w:cs="Arial"/>
          <w:sz w:val="21"/>
          <w:szCs w:val="21"/>
          <w:lang w:val="es-ES_tradnl" w:eastAsia="es-ES_tradnl"/>
        </w:rPr>
        <w:t>grafo</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1</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del art</w:t>
      </w:r>
      <w:r w:rsidRPr="004E4061">
        <w:rPr>
          <w:rFonts w:ascii="Geomanist Light" w:eastAsia="Times New Roman" w:hAnsi="Geomanist Light" w:cs="Geomanist Light"/>
          <w:sz w:val="21"/>
          <w:szCs w:val="21"/>
          <w:lang w:val="es-ES_tradnl" w:eastAsia="es-ES_tradnl"/>
        </w:rPr>
        <w:t>í</w:t>
      </w:r>
      <w:r w:rsidRPr="004E4061">
        <w:rPr>
          <w:rFonts w:ascii="Geomanist Light" w:eastAsia="Times New Roman" w:hAnsi="Geomanist Light" w:cs="Arial"/>
          <w:sz w:val="21"/>
          <w:szCs w:val="21"/>
          <w:lang w:val="es-ES_tradnl" w:eastAsia="es-ES_tradnl"/>
        </w:rPr>
        <w:t>culo</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12</w:t>
      </w:r>
      <w:r w:rsidRPr="004E4061">
        <w:rPr>
          <w:rFonts w:ascii="Cambria Math" w:eastAsia="Times New Roman" w:hAnsi="Cambria Math" w:cs="Cambria Math"/>
          <w:sz w:val="21"/>
          <w:szCs w:val="21"/>
          <w:lang w:val="es-ES_tradnl" w:eastAsia="es-ES_tradnl"/>
        </w:rPr>
        <w:t> </w:t>
      </w:r>
      <w:r w:rsidRPr="004E4061">
        <w:rPr>
          <w:rFonts w:ascii="Geomanist Light" w:eastAsia="Times New Roman" w:hAnsi="Geomanist Light" w:cs="Arial"/>
          <w:sz w:val="21"/>
          <w:szCs w:val="21"/>
          <w:lang w:val="es-ES_tradnl" w:eastAsia="es-ES_tradnl"/>
        </w:rPr>
        <w:t>de la Ley 1150 de 2007, las Entidades Estatales, independientemente de su r</w:t>
      </w:r>
      <w:r w:rsidRPr="004E4061">
        <w:rPr>
          <w:rFonts w:ascii="Geomanist Light" w:eastAsia="Times New Roman" w:hAnsi="Geomanist Light" w:cs="Geomanist Light"/>
          <w:sz w:val="21"/>
          <w:szCs w:val="21"/>
          <w:lang w:val="es-ES_tradnl" w:eastAsia="es-ES_tradnl"/>
        </w:rPr>
        <w:t>é</w:t>
      </w:r>
      <w:r w:rsidRPr="004E4061">
        <w:rPr>
          <w:rFonts w:ascii="Geomanist Light" w:eastAsia="Times New Roman" w:hAnsi="Geomanist Light" w:cs="Arial"/>
          <w:sz w:val="21"/>
          <w:szCs w:val="21"/>
          <w:lang w:val="es-ES_tradnl" w:eastAsia="es-ES_tradnl"/>
        </w:rPr>
        <w:t>gimen de contrataci</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n, los patrimonios aut</w:t>
      </w:r>
      <w:r w:rsidRPr="004E4061">
        <w:rPr>
          <w:rFonts w:ascii="Geomanist Light" w:eastAsia="Times New Roman" w:hAnsi="Geomanist Light" w:cs="Geomanist Light"/>
          <w:sz w:val="21"/>
          <w:szCs w:val="21"/>
          <w:lang w:val="es-ES_tradnl" w:eastAsia="es-ES_tradnl"/>
        </w:rPr>
        <w:t>ó</w:t>
      </w:r>
      <w:r w:rsidRPr="004E4061">
        <w:rPr>
          <w:rFonts w:ascii="Geomanist Light" w:eastAsia="Times New Roman" w:hAnsi="Geomanist Light" w:cs="Arial"/>
          <w:sz w:val="21"/>
          <w:szCs w:val="21"/>
          <w:lang w:val="es-ES_tradnl" w:eastAsia="es-ES_tradnl"/>
        </w:rPr>
        <w:t xml:space="preserve">nomos constituidos por Entidades Estatales y los particulares que ejecuten recursos públicos, pueden realizar convocatorias limitadas a </w:t>
      </w:r>
      <w:r w:rsidRPr="004E4061">
        <w:rPr>
          <w:rFonts w:ascii="Geomanist Light" w:eastAsia="Times New Roman" w:hAnsi="Geomanist Light" w:cs="Arial"/>
          <w:i/>
          <w:iCs/>
          <w:sz w:val="21"/>
          <w:szCs w:val="21"/>
          <w:lang w:val="es-ES_tradnl" w:eastAsia="es-ES_tradnl"/>
        </w:rPr>
        <w:t>Mipyme colombianas que tengan domicilio en los departamentos o municipios en donde se va a ejecutar el contrato.</w:t>
      </w:r>
      <w:r w:rsidRPr="004E4061">
        <w:rPr>
          <w:rFonts w:ascii="Geomanist Light" w:eastAsia="Times New Roman" w:hAnsi="Geomanist Light" w:cs="Arial"/>
          <w:sz w:val="21"/>
          <w:szCs w:val="21"/>
          <w:lang w:val="es-ES_tradnl" w:eastAsia="es-ES_tradnl"/>
        </w:rPr>
        <w:t xml:space="preserve"> Cada Mipyme deberá acreditar su domicilio con los documentos a los que se refiere el siguiente artículo. </w:t>
      </w:r>
      <w:r w:rsidR="00B077C8" w:rsidRPr="004E4061">
        <w:rPr>
          <w:rFonts w:ascii="Geomanist Light" w:eastAsia="Times New Roman" w:hAnsi="Geomanist Light" w:cs="Arial"/>
          <w:lang w:val="es-ES_tradnl" w:eastAsia="es-ES_tradnl"/>
        </w:rPr>
        <w:t>[Énfasis fuera de texto]</w:t>
      </w:r>
    </w:p>
    <w:p w14:paraId="73C9CB2A" w14:textId="77777777" w:rsidR="00E27340" w:rsidRPr="004E4061" w:rsidRDefault="00E27340" w:rsidP="00E27340">
      <w:pPr>
        <w:spacing w:after="0" w:line="276" w:lineRule="auto"/>
        <w:ind w:left="709" w:right="709"/>
        <w:jc w:val="both"/>
        <w:rPr>
          <w:rFonts w:ascii="Geomanist Light" w:eastAsia="Calibri" w:hAnsi="Geomanist Light" w:cs="Arial"/>
          <w:lang w:val="es-ES_tradnl" w:eastAsia="es-ES_tradnl"/>
        </w:rPr>
      </w:pPr>
    </w:p>
    <w:p w14:paraId="1F83ED17" w14:textId="77777777" w:rsidR="00E27340" w:rsidRPr="004E4061" w:rsidRDefault="00E27340" w:rsidP="00E27340">
      <w:pPr>
        <w:spacing w:after="120" w:line="276" w:lineRule="auto"/>
        <w:ind w:firstLine="709"/>
        <w:jc w:val="both"/>
        <w:rPr>
          <w:rFonts w:ascii="Geomanist Light" w:eastAsia="Calibri" w:hAnsi="Geomanist Light" w:cs="Arial"/>
          <w:lang w:val="es-ES_tradnl" w:eastAsia="es-ES_tradnl"/>
        </w:rPr>
      </w:pPr>
      <w:r w:rsidRPr="004E4061">
        <w:rPr>
          <w:rFonts w:ascii="Geomanist Light" w:eastAsia="Calibri" w:hAnsi="Geomanist Light" w:cs="Arial"/>
          <w:lang w:val="es-ES_tradnl" w:eastAsia="es-ES_tradnl"/>
        </w:rPr>
        <w:t xml:space="preserve">La norma reglamentaria coincide con la redacción del parágrafo 1 del artículo 34 de la Ley 2069 de 2020, según el cual, solo es posible limitar convocatorias a la participación de </w:t>
      </w:r>
      <w:proofErr w:type="spellStart"/>
      <w:r w:rsidRPr="004E4061">
        <w:rPr>
          <w:rFonts w:ascii="Geomanist Light" w:eastAsia="Calibri" w:hAnsi="Geomanist Light" w:cs="Arial"/>
          <w:lang w:val="es-ES_tradnl" w:eastAsia="es-ES_tradnl"/>
        </w:rPr>
        <w:t>mipymes</w:t>
      </w:r>
      <w:proofErr w:type="spellEnd"/>
      <w:r w:rsidRPr="004E4061">
        <w:rPr>
          <w:rFonts w:ascii="Geomanist Light" w:eastAsia="Calibri" w:hAnsi="Geomanist Light" w:cs="Arial"/>
          <w:lang w:val="es-ES_tradnl" w:eastAsia="es-ES_tradnl"/>
        </w:rPr>
        <w:t xml:space="preserve"> «[…] del ámbito municipal o departamental correspondiente al de la ejecución del contrato». En tales términos, la norma citada solo contempla la posibilidad de limitar convocatorias a </w:t>
      </w:r>
      <w:proofErr w:type="spellStart"/>
      <w:r w:rsidRPr="004E4061">
        <w:rPr>
          <w:rFonts w:ascii="Geomanist Light" w:eastAsia="Calibri" w:hAnsi="Geomanist Light" w:cs="Arial"/>
          <w:lang w:val="es-ES_tradnl" w:eastAsia="es-ES_tradnl"/>
        </w:rPr>
        <w:t>mipymes</w:t>
      </w:r>
      <w:proofErr w:type="spellEnd"/>
      <w:r w:rsidRPr="004E4061">
        <w:rPr>
          <w:rFonts w:ascii="Geomanist Light" w:eastAsia="Calibri" w:hAnsi="Geomanist Light" w:cs="Arial"/>
          <w:lang w:val="es-ES_tradnl" w:eastAsia="es-ES_tradnl"/>
        </w:rPr>
        <w:t xml:space="preserve"> con domicilio en esos dos tipos de entidades territoriales. </w:t>
      </w:r>
    </w:p>
    <w:p w14:paraId="232B60DA" w14:textId="77777777" w:rsidR="00E27340" w:rsidRPr="004E4061" w:rsidRDefault="00E27340" w:rsidP="00E27340">
      <w:pPr>
        <w:spacing w:after="120" w:line="276" w:lineRule="auto"/>
        <w:ind w:firstLine="709"/>
        <w:jc w:val="both"/>
        <w:rPr>
          <w:rFonts w:ascii="Geomanist Light" w:eastAsia="Arial" w:hAnsi="Geomanist Light" w:cs="Arial"/>
          <w:color w:val="000000"/>
          <w:lang w:val="es-ES_tradnl"/>
        </w:rPr>
      </w:pPr>
      <w:r w:rsidRPr="004E4061">
        <w:rPr>
          <w:rFonts w:ascii="Geomanist Light" w:eastAsia="Arial" w:hAnsi="Geomanist Light" w:cs="Arial"/>
          <w:color w:val="000000"/>
          <w:lang w:val="es-ES_tradnl"/>
        </w:rPr>
        <w:t xml:space="preserve">En ese sentido, 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 nacionales puedan beneficiarse de la ejecución de un contrato dentro de la entidad territorial en la que tienen su «domicilio». </w:t>
      </w:r>
    </w:p>
    <w:p w14:paraId="522F4856" w14:textId="77777777" w:rsidR="00E27340" w:rsidRPr="004E4061" w:rsidRDefault="00E27340" w:rsidP="00E27340">
      <w:pPr>
        <w:spacing w:after="120" w:line="276" w:lineRule="auto"/>
        <w:ind w:firstLine="709"/>
        <w:jc w:val="both"/>
        <w:rPr>
          <w:rFonts w:ascii="Geomanist Light" w:eastAsia="Arial" w:hAnsi="Geomanist Light" w:cs="Arial"/>
          <w:color w:val="000000"/>
          <w:lang w:val="es-ES_tradnl"/>
        </w:rPr>
      </w:pPr>
      <w:r w:rsidRPr="004E4061">
        <w:rPr>
          <w:rFonts w:ascii="Geomanist Light" w:eastAsia="Arial" w:hAnsi="Geomanist Light" w:cs="Arial"/>
          <w:color w:val="000000"/>
          <w:lang w:val="es-ES_tradnl"/>
        </w:rPr>
        <w:t>Ahora bien, el artículo 2.2.1.2.4.2.3. del Decreto 1082 de 2015, modificado por el artículo 5 del Decreto 1860 de 2021, se refiere a las «</w:t>
      </w:r>
      <w:proofErr w:type="spellStart"/>
      <w:r w:rsidRPr="004E4061">
        <w:rPr>
          <w:rFonts w:ascii="Geomanist Light" w:eastAsia="Arial" w:hAnsi="Geomanist Light" w:cs="Arial"/>
          <w:color w:val="000000"/>
          <w:lang w:val="es-ES_tradnl"/>
        </w:rPr>
        <w:t>mipyme</w:t>
      </w:r>
      <w:proofErr w:type="spellEnd"/>
      <w:r w:rsidRPr="004E4061">
        <w:rPr>
          <w:rFonts w:ascii="Geomanist Light" w:eastAsia="Arial" w:hAnsi="Geomanist Light" w:cs="Arial"/>
          <w:color w:val="000000"/>
          <w:lang w:val="es-ES_tradnl"/>
        </w:rPr>
        <w:t xml:space="preserv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w:t>
      </w:r>
    </w:p>
    <w:p w14:paraId="7AF6ED78" w14:textId="77777777" w:rsidR="00E27340" w:rsidRPr="004E4061" w:rsidRDefault="00E27340" w:rsidP="00E27340">
      <w:pPr>
        <w:spacing w:after="120" w:line="276" w:lineRule="auto"/>
        <w:ind w:firstLine="709"/>
        <w:jc w:val="both"/>
        <w:rPr>
          <w:rFonts w:ascii="Geomanist Light" w:eastAsia="Arial" w:hAnsi="Geomanist Light" w:cs="Arial"/>
          <w:color w:val="000000"/>
          <w:lang w:val="es-ES_tradnl"/>
        </w:rPr>
      </w:pPr>
      <w:r w:rsidRPr="004E4061">
        <w:rPr>
          <w:rFonts w:ascii="Geomanist Light" w:eastAsia="Arial" w:hAnsi="Geomanist Light" w:cs="Arial"/>
          <w:color w:val="000000"/>
          <w:lang w:val="es-ES_tradnl"/>
        </w:rPr>
        <w:lastRenderedPageBreak/>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4E4061">
        <w:rPr>
          <w:rFonts w:ascii="Geomanist Light" w:eastAsia="Arial" w:hAnsi="Geomanist Light" w:cs="Arial"/>
          <w:i/>
          <w:color w:val="000000"/>
          <w:lang w:val="es-ES_tradnl"/>
        </w:rPr>
        <w:t>ibídem</w:t>
      </w:r>
      <w:r w:rsidRPr="004E4061">
        <w:rPr>
          <w:rFonts w:ascii="Geomanist Light" w:eastAsia="Arial" w:hAnsi="Geomanist Light" w:cs="Arial"/>
          <w:color w:val="000000"/>
          <w:lang w:val="es-ES_tradnl"/>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4E4061">
        <w:rPr>
          <w:rFonts w:ascii="Geomanist Light" w:eastAsia="Arial" w:hAnsi="Geomanist Light" w:cs="Arial"/>
          <w:i/>
          <w:color w:val="000000"/>
          <w:lang w:val="es-ES_tradnl"/>
        </w:rPr>
        <w:t xml:space="preserve">ibídem </w:t>
      </w:r>
      <w:r w:rsidRPr="004E4061">
        <w:rPr>
          <w:rFonts w:ascii="Geomanist Light" w:eastAsia="Arial" w:hAnsi="Geomanist Light" w:cs="Arial"/>
          <w:color w:val="000000"/>
          <w:lang w:val="es-ES_tradnl"/>
        </w:rPr>
        <w:t>a las entidades que tienen «sucursales» en el municipio o departamento en donde se va a ejecutar el contrato estatal.</w:t>
      </w:r>
    </w:p>
    <w:p w14:paraId="6E0119D0" w14:textId="77777777" w:rsidR="00E27340" w:rsidRPr="004E4061" w:rsidRDefault="00E27340" w:rsidP="00E27340">
      <w:pPr>
        <w:spacing w:after="120" w:line="276" w:lineRule="auto"/>
        <w:ind w:firstLine="709"/>
        <w:jc w:val="both"/>
        <w:rPr>
          <w:rFonts w:ascii="Geomanist Light" w:eastAsia="Arial" w:hAnsi="Geomanist Light" w:cs="Arial"/>
          <w:color w:val="000000"/>
          <w:lang w:val="es-ES_tradnl"/>
        </w:rPr>
      </w:pPr>
      <w:r w:rsidRPr="004E4061">
        <w:rPr>
          <w:rFonts w:ascii="Geomanist Light" w:eastAsia="Arial" w:hAnsi="Geomanist Light" w:cs="Arial"/>
          <w:color w:val="000000"/>
          <w:lang w:val="es-ES_tradnl"/>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4E4061">
        <w:rPr>
          <w:rFonts w:ascii="Geomanist Light" w:eastAsia="Arial" w:hAnsi="Geomanist Light" w:cs="Arial"/>
          <w:color w:val="000000"/>
          <w:vertAlign w:val="superscript"/>
          <w:lang w:val="es-ES_tradnl"/>
        </w:rPr>
        <w:footnoteReference w:id="12"/>
      </w:r>
      <w:r w:rsidRPr="004E4061">
        <w:rPr>
          <w:rFonts w:ascii="Geomanist Light" w:eastAsia="Arial" w:hAnsi="Geomanist Light" w:cs="Arial"/>
          <w:color w:val="000000"/>
          <w:lang w:val="es-ES_tradnl"/>
        </w:rPr>
        <w:t xml:space="preserve">. En ese sentido, si la entidad no recibió las solicitudes para limitar la convocatoria a Mipyme, no puede </w:t>
      </w:r>
      <w:r w:rsidRPr="004E4061">
        <w:rPr>
          <w:rFonts w:ascii="Geomanist Light" w:eastAsia="Arial" w:hAnsi="Geomanist Light" w:cs="Arial"/>
          <w:i/>
          <w:color w:val="000000"/>
          <w:lang w:val="es-ES_tradnl"/>
        </w:rPr>
        <w:t xml:space="preserve">motu proprio </w:t>
      </w:r>
      <w:r w:rsidRPr="004E4061">
        <w:rPr>
          <w:rFonts w:ascii="Geomanist Light" w:eastAsia="Arial" w:hAnsi="Geomanist Light" w:cs="Arial"/>
          <w:color w:val="000000"/>
          <w:lang w:val="es-ES_tradnl"/>
        </w:rPr>
        <w:t xml:space="preserve">proceder con la «limitación territorial» de que trata el artículo 2.2.1.2.4.2.3. del Decreto 1082 de 2015. Esto debido a que el ejercicio de esta facultad solo puede darse ante la «limitación a </w:t>
      </w:r>
      <w:r w:rsidRPr="004E4061">
        <w:rPr>
          <w:rFonts w:ascii="Geomanist Light" w:eastAsia="Arial" w:hAnsi="Geomanist Light" w:cs="Arial"/>
          <w:color w:val="000000"/>
          <w:lang w:val="es-ES_tradnl"/>
        </w:rPr>
        <w:lastRenderedPageBreak/>
        <w:t>Mipymes colombianas», lo cual supone verificar los supuestos legales establecidos en los mencionados numerales.</w:t>
      </w:r>
    </w:p>
    <w:p w14:paraId="3B483F44" w14:textId="77777777" w:rsidR="00E27340" w:rsidRPr="004E4061" w:rsidRDefault="00E27340" w:rsidP="00E27340">
      <w:pPr>
        <w:spacing w:after="120" w:line="276" w:lineRule="auto"/>
        <w:ind w:firstLine="708"/>
        <w:jc w:val="both"/>
        <w:rPr>
          <w:rFonts w:ascii="Geomanist Light" w:eastAsia="Times New Roman" w:hAnsi="Geomanist Light" w:cs="Arial"/>
          <w:color w:val="000000"/>
          <w:szCs w:val="24"/>
          <w:lang w:eastAsia="es-ES_tradnl"/>
        </w:rPr>
      </w:pPr>
      <w:bookmarkStart w:id="8" w:name="_Hlk118271449"/>
      <w:r w:rsidRPr="004E4061">
        <w:rPr>
          <w:rFonts w:ascii="Geomanist Light" w:eastAsia="Times New Roman" w:hAnsi="Geomanist Light" w:cs="Arial"/>
          <w:color w:val="000000"/>
          <w:szCs w:val="24"/>
          <w:lang w:eastAsia="es-ES_tradnl"/>
        </w:rPr>
        <w:t xml:space="preserve">Cumplidos los dos requisitos del artículo 2.2.1.2.4.2.2. </w:t>
      </w:r>
      <w:r w:rsidRPr="004E4061">
        <w:rPr>
          <w:rFonts w:ascii="Geomanist Light" w:eastAsia="Times New Roman" w:hAnsi="Geomanist Light" w:cs="Arial"/>
          <w:i/>
          <w:iCs/>
          <w:color w:val="000000"/>
          <w:szCs w:val="24"/>
          <w:lang w:eastAsia="es-ES_tradnl"/>
        </w:rPr>
        <w:t>ibídem</w:t>
      </w:r>
      <w:r w:rsidRPr="004E4061">
        <w:rPr>
          <w:rFonts w:ascii="Geomanist Light" w:eastAsia="Times New Roman" w:hAnsi="Geomanist Light" w:cs="Arial"/>
          <w:color w:val="000000"/>
          <w:szCs w:val="24"/>
          <w:lang w:eastAsia="es-ES_tradnl"/>
        </w:rPr>
        <w:t xml:space="preserve">, la entidad estatal, independientemente de su régimen de contratación, los patrimonios autónomos constituidos por entidades estatales y los particulares que ejecuten recursos públicos, pueden </w:t>
      </w:r>
      <w:r w:rsidRPr="004E4061">
        <w:rPr>
          <w:rFonts w:ascii="Courier New" w:eastAsia="Times New Roman" w:hAnsi="Courier New" w:cs="Courier New"/>
          <w:color w:val="000000"/>
          <w:szCs w:val="24"/>
          <w:lang w:eastAsia="es-ES_tradnl"/>
        </w:rPr>
        <w:t>─</w:t>
      </w:r>
      <w:r w:rsidRPr="004E4061">
        <w:rPr>
          <w:rFonts w:ascii="Geomanist Light" w:eastAsia="Times New Roman" w:hAnsi="Geomanist Light" w:cs="Arial"/>
          <w:color w:val="000000"/>
          <w:szCs w:val="24"/>
          <w:lang w:eastAsia="es-ES_tradnl"/>
        </w:rPr>
        <w:t>no tienen que</w:t>
      </w:r>
      <w:r w:rsidRPr="004E4061">
        <w:rPr>
          <w:rFonts w:ascii="Courier New" w:eastAsia="Times New Roman" w:hAnsi="Courier New" w:cs="Courier New"/>
          <w:color w:val="000000"/>
          <w:szCs w:val="24"/>
          <w:lang w:eastAsia="es-ES_tradnl"/>
        </w:rPr>
        <w:t>─</w:t>
      </w:r>
      <w:r w:rsidRPr="004E4061">
        <w:rPr>
          <w:rFonts w:ascii="Geomanist Light" w:eastAsia="Times New Roman" w:hAnsi="Geomanist Light" w:cs="Arial"/>
          <w:color w:val="000000"/>
          <w:szCs w:val="24"/>
          <w:lang w:eastAsia="es-ES_tradnl"/>
        </w:rPr>
        <w:t xml:space="preserve"> decidir si limitan la convocatoria a las Mipyme colombianas domiciliadas en el municipio o departamento en el que se ejecutará el contrato</w:t>
      </w:r>
      <w:r w:rsidRPr="004E4061">
        <w:rPr>
          <w:rFonts w:ascii="Geomanist Light" w:eastAsia="Times New Roman" w:hAnsi="Geomanist Light" w:cs="Arial"/>
          <w:color w:val="000000"/>
          <w:szCs w:val="24"/>
          <w:vertAlign w:val="superscript"/>
          <w:lang w:eastAsia="es-ES_tradnl"/>
        </w:rPr>
        <w:footnoteReference w:id="13"/>
      </w:r>
      <w:r w:rsidRPr="004E4061">
        <w:rPr>
          <w:rFonts w:ascii="Geomanist Light" w:eastAsia="Times New Roman" w:hAnsi="Geomanist Light" w:cs="Arial"/>
          <w:color w:val="000000"/>
          <w:szCs w:val="24"/>
          <w:lang w:eastAsia="es-ES_tradnl"/>
        </w:rPr>
        <w:t xml:space="preserve">. Esto de acuerdo con lo establecido en artículo 2.2.1.2.4.2.3. del Decreto 1082 de 2015 </w:t>
      </w:r>
      <w:r w:rsidRPr="004E4061">
        <w:rPr>
          <w:rFonts w:ascii="Geomanist Light" w:eastAsia="Arial" w:hAnsi="Geomanist Light" w:cs="Arial"/>
          <w:color w:val="000000"/>
          <w:lang w:val="es-ES_tradnl"/>
        </w:rPr>
        <w:t>modificado por el Decreto 1860 de 2021</w:t>
      </w:r>
      <w:r w:rsidRPr="004E4061">
        <w:rPr>
          <w:rFonts w:ascii="Geomanist Light" w:eastAsia="Times New Roman" w:hAnsi="Geomanist Light" w:cs="Arial"/>
          <w:color w:val="000000"/>
          <w:szCs w:val="24"/>
          <w:lang w:eastAsia="es-ES_tradnl"/>
        </w:rPr>
        <w:t xml:space="preserve">, norma que se refiere a la facultad de la administración con el verbo infinitivo «poder», no «deber». </w:t>
      </w:r>
    </w:p>
    <w:p w14:paraId="2E69804B" w14:textId="229E5242" w:rsidR="00E27340" w:rsidRPr="004E4061" w:rsidRDefault="001D7996" w:rsidP="00E27340">
      <w:pPr>
        <w:spacing w:after="120" w:line="276" w:lineRule="auto"/>
        <w:ind w:firstLine="708"/>
        <w:jc w:val="both"/>
        <w:rPr>
          <w:rFonts w:ascii="Geomanist Light" w:eastAsia="Arial" w:hAnsi="Geomanist Light" w:cs="Arial"/>
          <w:color w:val="000000" w:themeColor="text1"/>
        </w:rPr>
      </w:pPr>
      <w:r w:rsidRPr="004E4061">
        <w:rPr>
          <w:rFonts w:ascii="Geomanist Light" w:eastAsia="Calibri" w:hAnsi="Geomanist Light" w:cs="Arial"/>
          <w:color w:val="000000"/>
          <w:szCs w:val="24"/>
          <w:lang w:eastAsia="es-ES_tradnl"/>
        </w:rPr>
        <w:t xml:space="preserve">La Agencia Nacional de Contratación Pública </w:t>
      </w:r>
      <w:r w:rsidR="00D96CBF" w:rsidRPr="004E4061">
        <w:rPr>
          <w:rFonts w:ascii="Geomanist Light" w:eastAsia="Calibri" w:hAnsi="Geomanist Light" w:cs="Arial"/>
          <w:color w:val="000000"/>
          <w:szCs w:val="24"/>
          <w:lang w:eastAsia="es-ES_tradnl"/>
        </w:rPr>
        <w:t xml:space="preserve">− </w:t>
      </w:r>
      <w:r w:rsidR="00E27340" w:rsidRPr="004E4061">
        <w:rPr>
          <w:rFonts w:ascii="Geomanist Light" w:eastAsia="Calibri" w:hAnsi="Geomanist Light" w:cs="Arial"/>
          <w:color w:val="000000"/>
          <w:szCs w:val="24"/>
          <w:lang w:eastAsia="es-ES_tradnl"/>
        </w:rPr>
        <w:t>Colombia Compra Eficiente ha sostenido que la decisión de limitar territorialmente un</w:t>
      </w:r>
      <w:r w:rsidR="00E27340" w:rsidRPr="004E4061">
        <w:rPr>
          <w:rFonts w:ascii="Geomanist Light" w:eastAsia="Times New Roman" w:hAnsi="Geomanist Light" w:cs="Arial"/>
          <w:color w:val="000000"/>
          <w:szCs w:val="24"/>
          <w:lang w:eastAsia="es-ES_tradnl"/>
        </w:rPr>
        <w:t xml:space="preserve">a convocatoria a Mipyme </w:t>
      </w:r>
      <w:r w:rsidR="00E27340" w:rsidRPr="004E4061">
        <w:rPr>
          <w:rFonts w:ascii="Geomanist Light" w:eastAsia="Calibri" w:hAnsi="Geomanist Light" w:cs="Arial"/>
          <w:color w:val="000000"/>
          <w:szCs w:val="24"/>
          <w:lang w:eastAsia="es-ES_tradnl"/>
        </w:rPr>
        <w:t xml:space="preserve">es discrecional, y ha precisado que, de todos modos, la decisión debe estar justificada en los correspondientes «estudios del sector». Así lo consideró en la consulta No. 216130003241, resuelta el 30 de junio de 2016. De esta forma, </w:t>
      </w:r>
      <w:r w:rsidR="00E27340" w:rsidRPr="004E4061">
        <w:rPr>
          <w:rFonts w:ascii="Geomanist Light" w:eastAsia="Arial" w:hAnsi="Geomanist Light" w:cs="Arial"/>
          <w:color w:val="000000" w:themeColor="text1"/>
        </w:rPr>
        <w:t>si la entidad ejerce la facultad que le confiere el artículo 2.2.1.2.4.2.3. del Decreto 1082 de 2015, tendrá que justificar dicha decisión, una vez ha decidido limitar territorialmente la convocatoria a los departamentos o municipios donde se vaya a ejecutar el contrato. Por lo anterior, en la fase de planeación la entidad deberá analizar la conveniencia y pertinencia de hacer la «limitación territorial» del proceso de selección y, en tal medida, incluir en los documentos previos del proceso, dicho análisis o justificación y establecer los aspectos que se requieran a efectos de verificar el cumplimiento de los requisitos de procedibilidad para el efecto.</w:t>
      </w:r>
    </w:p>
    <w:p w14:paraId="2AF719D6" w14:textId="1B08E527" w:rsidR="002C2ED3" w:rsidRPr="004E4061" w:rsidRDefault="00CD784B" w:rsidP="002C2ED3">
      <w:pPr>
        <w:spacing w:before="120" w:after="120" w:line="276" w:lineRule="auto"/>
        <w:ind w:firstLine="709"/>
        <w:jc w:val="both"/>
        <w:rPr>
          <w:rFonts w:ascii="Geomanist Light" w:eastAsia="Arial" w:hAnsi="Geomanist Light" w:cs="Arial"/>
          <w:color w:val="000000"/>
          <w:lang w:eastAsia="es-ES_tradnl"/>
        </w:rPr>
      </w:pPr>
      <w:r w:rsidRPr="004E4061">
        <w:rPr>
          <w:rFonts w:ascii="Geomanist Light" w:eastAsia="Arial" w:hAnsi="Geomanist Light" w:cs="Arial"/>
          <w:color w:val="000000"/>
          <w:lang w:eastAsia="es-ES_tradnl"/>
        </w:rPr>
        <w:t xml:space="preserve">Asimismo, esta Agencia </w:t>
      </w:r>
      <w:r w:rsidR="002C2ED3" w:rsidRPr="004E4061">
        <w:rPr>
          <w:rFonts w:ascii="Geomanist Light" w:eastAsia="Arial" w:hAnsi="Geomanist Light" w:cs="Arial"/>
          <w:color w:val="000000"/>
          <w:lang w:eastAsia="es-ES_tradnl"/>
        </w:rPr>
        <w:t xml:space="preserve">considera que lo </w:t>
      </w:r>
      <w:r w:rsidR="002C2ED3" w:rsidRPr="004E4061">
        <w:rPr>
          <w:rFonts w:ascii="Geomanist Light" w:eastAsia="Arial" w:hAnsi="Geomanist Light" w:cs="Arial"/>
          <w:i/>
          <w:iCs/>
          <w:color w:val="000000"/>
          <w:lang w:eastAsia="es-ES_tradnl"/>
        </w:rPr>
        <w:t>recomendable</w:t>
      </w:r>
      <w:r w:rsidR="002C2ED3" w:rsidRPr="004E4061">
        <w:rPr>
          <w:rFonts w:ascii="Geomanist Light" w:eastAsia="Arial" w:hAnsi="Geomanist Light" w:cs="Arial"/>
          <w:color w:val="000000"/>
          <w:lang w:eastAsia="es-ES_tradnl"/>
        </w:rPr>
        <w:t xml:space="preserve"> es que las entidades establezcan </w:t>
      </w:r>
      <w:r w:rsidR="002C2ED3" w:rsidRPr="004E4061">
        <w:rPr>
          <w:rFonts w:ascii="Geomanist Light" w:eastAsia="Arial" w:hAnsi="Geomanist Light" w:cs="Arial"/>
          <w:i/>
          <w:color w:val="000000"/>
          <w:lang w:eastAsia="es-ES_tradnl"/>
        </w:rPr>
        <w:t xml:space="preserve">ex ante </w:t>
      </w:r>
      <w:r w:rsidR="002C2ED3" w:rsidRPr="004E4061">
        <w:rPr>
          <w:rFonts w:ascii="Geomanist Light" w:eastAsia="Arial" w:hAnsi="Geomanist Light" w:cs="Arial"/>
          <w:color w:val="000000"/>
          <w:lang w:eastAsia="es-ES_tradnl"/>
        </w:rPr>
        <w:t xml:space="preserve">las condiciones en las que, eventualmente, harían la «limitación territorial». Para tales fines, en la invitación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00A03BDF" w:rsidRPr="00A03BDF">
        <w:rPr>
          <w:rFonts w:ascii="Geomanist Light" w:eastAsia="Arial" w:hAnsi="Geomanist Light" w:cs="Arial"/>
          <w:color w:val="000000"/>
          <w:lang w:eastAsia="es-ES_tradnl"/>
        </w:rPr>
        <w:t>mipymes</w:t>
      </w:r>
      <w:proofErr w:type="spellEnd"/>
      <w:r w:rsidR="002C2ED3" w:rsidRPr="004E4061">
        <w:rPr>
          <w:rFonts w:ascii="Geomanist Light" w:eastAsia="Arial" w:hAnsi="Geomanist Light" w:cs="Arial"/>
          <w:color w:val="000000"/>
          <w:lang w:eastAsia="es-ES_tradnl"/>
        </w:rPr>
        <w:t>, como, por ejemplo, en relación con cuál o cuáles municipios o departamentos harían la limitación territorial de que trata el artículo 2.2.1.2.4.2.3. del Decreto 1082 de 2015.</w:t>
      </w:r>
    </w:p>
    <w:p w14:paraId="421EB4D2" w14:textId="0430A7A3" w:rsidR="00E27340" w:rsidRPr="004E4061" w:rsidRDefault="004D1ABB" w:rsidP="00E27340">
      <w:pPr>
        <w:spacing w:after="120" w:line="276" w:lineRule="auto"/>
        <w:ind w:firstLine="709"/>
        <w:jc w:val="both"/>
        <w:rPr>
          <w:rFonts w:ascii="Geomanist Light" w:eastAsia="Calibri" w:hAnsi="Geomanist Light" w:cs="Arial"/>
          <w:color w:val="000000"/>
          <w:szCs w:val="24"/>
          <w:lang w:eastAsia="es-ES_tradnl"/>
        </w:rPr>
      </w:pPr>
      <w:r w:rsidRPr="004E4061">
        <w:rPr>
          <w:rFonts w:ascii="Geomanist Light" w:eastAsia="Times New Roman" w:hAnsi="Geomanist Light" w:cs="Arial"/>
          <w:color w:val="000000"/>
          <w:szCs w:val="24"/>
          <w:lang w:eastAsia="es-ES_tradnl"/>
        </w:rPr>
        <w:lastRenderedPageBreak/>
        <w:t xml:space="preserve">Se </w:t>
      </w:r>
      <w:r w:rsidR="00E27340" w:rsidRPr="004E4061">
        <w:rPr>
          <w:rFonts w:ascii="Geomanist Light" w:eastAsia="Calibri" w:hAnsi="Geomanist Light" w:cs="Arial"/>
          <w:color w:val="000000"/>
          <w:szCs w:val="24"/>
          <w:lang w:eastAsia="es-ES_tradnl"/>
        </w:rPr>
        <w:t>debe tener presente que lo que sucede de pleno derecho es la</w:t>
      </w:r>
      <w:r w:rsidR="00E27340" w:rsidRPr="004E4061">
        <w:rPr>
          <w:rFonts w:ascii="Geomanist Light" w:eastAsia="Times New Roman" w:hAnsi="Geomanist Light" w:cs="Arial"/>
          <w:color w:val="000000"/>
          <w:szCs w:val="24"/>
          <w:lang w:eastAsia="es-ES_tradnl"/>
        </w:rPr>
        <w:t xml:space="preserve"> limitación a Mipyme colombianas</w:t>
      </w:r>
      <w:r w:rsidR="00E27340" w:rsidRPr="004E4061">
        <w:rPr>
          <w:rFonts w:ascii="Geomanist Light" w:eastAsia="Calibri" w:hAnsi="Geomanist Light" w:cs="Arial"/>
          <w:color w:val="000000"/>
          <w:szCs w:val="24"/>
          <w:lang w:eastAsia="es-ES_tradnl"/>
        </w:rPr>
        <w:t xml:space="preserve"> a la que se refiere el artículo 2.2.1.2.4.2.2. del Decreto 1082 de 2015, pero no la «limitación territorial» referida en el artículo 2.2.1.2.4.2.3. </w:t>
      </w:r>
      <w:r w:rsidR="00E27340" w:rsidRPr="004E4061">
        <w:rPr>
          <w:rFonts w:ascii="Geomanist Light" w:eastAsia="Calibri" w:hAnsi="Geomanist Light" w:cs="Arial"/>
          <w:i/>
          <w:iCs/>
          <w:color w:val="000000"/>
          <w:szCs w:val="24"/>
          <w:lang w:eastAsia="es-ES_tradnl"/>
        </w:rPr>
        <w:t>ibídem</w:t>
      </w:r>
      <w:r w:rsidR="00E27340" w:rsidRPr="004E4061">
        <w:rPr>
          <w:rFonts w:ascii="Geomanist Light" w:eastAsia="Calibri" w:hAnsi="Geomanist Light" w:cs="Arial"/>
          <w:color w:val="000000"/>
          <w:szCs w:val="24"/>
          <w:lang w:eastAsia="es-ES_tradnl"/>
        </w:rPr>
        <w:t>, pues esta, como ya se dijo, es facultativa para la entidad. Las únicas exigencias son que la convocatoria esté l</w:t>
      </w:r>
      <w:r w:rsidR="00E27340" w:rsidRPr="004E4061">
        <w:rPr>
          <w:rFonts w:ascii="Geomanist Light" w:eastAsia="Times New Roman" w:hAnsi="Geomanist Light" w:cs="Arial"/>
          <w:color w:val="000000"/>
          <w:szCs w:val="24"/>
          <w:lang w:eastAsia="es-ES_tradnl"/>
        </w:rPr>
        <w:t>imitada a las Mipyme colombianas</w:t>
      </w:r>
      <w:r w:rsidR="00E27340" w:rsidRPr="004E4061">
        <w:rPr>
          <w:rFonts w:ascii="Geomanist Light" w:eastAsia="Calibri" w:hAnsi="Geomanist Light" w:cs="Arial"/>
          <w:color w:val="000000"/>
          <w:szCs w:val="24"/>
          <w:lang w:eastAsia="es-ES_tradnl"/>
        </w:rPr>
        <w:t xml:space="preserve">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 </w:t>
      </w:r>
    </w:p>
    <w:bookmarkEnd w:id="8"/>
    <w:p w14:paraId="2F0BC544" w14:textId="77777777" w:rsidR="00E27340" w:rsidRPr="004E4061" w:rsidRDefault="00E27340" w:rsidP="00E27340">
      <w:pPr>
        <w:spacing w:after="120" w:line="276" w:lineRule="auto"/>
        <w:ind w:firstLine="709"/>
        <w:jc w:val="both"/>
        <w:rPr>
          <w:rFonts w:ascii="Geomanist Light" w:eastAsia="Calibri" w:hAnsi="Geomanist Light" w:cs="Arial"/>
          <w:color w:val="000000"/>
          <w:szCs w:val="24"/>
          <w:lang w:eastAsia="es-ES_tradnl"/>
        </w:rPr>
      </w:pPr>
      <w:r w:rsidRPr="004E4061">
        <w:rPr>
          <w:rFonts w:ascii="Geomanist Light" w:eastAsia="Calibri" w:hAnsi="Geomanist Light" w:cs="Arial"/>
          <w:color w:val="000000"/>
          <w:szCs w:val="24"/>
          <w:lang w:eastAsia="es-ES_tradnl"/>
        </w:rPr>
        <w:t>En tal sentido, se debe reite</w:t>
      </w:r>
      <w:r w:rsidRPr="004E4061">
        <w:rPr>
          <w:rFonts w:ascii="Geomanist Light" w:eastAsia="Times New Roman" w:hAnsi="Geomanist Light" w:cs="Arial"/>
          <w:color w:val="000000"/>
          <w:szCs w:val="24"/>
          <w:lang w:eastAsia="es-ES_tradnl"/>
        </w:rPr>
        <w:t>rar que el origen de las Mipyme</w:t>
      </w:r>
      <w:r w:rsidRPr="004E4061">
        <w:rPr>
          <w:rFonts w:ascii="Geomanist Light" w:eastAsia="Calibri" w:hAnsi="Geomanist Light" w:cs="Arial"/>
          <w:color w:val="000000"/>
          <w:szCs w:val="24"/>
          <w:lang w:eastAsia="es-ES_tradnl"/>
        </w:rPr>
        <w:t xml:space="preserve"> que solicitan la «limitación territorial» no es relevante frente a dicha decisión, por dos razo</w:t>
      </w:r>
      <w:r w:rsidRPr="004E4061">
        <w:rPr>
          <w:rFonts w:ascii="Geomanist Light" w:eastAsia="Times New Roman" w:hAnsi="Geomanist Light" w:cs="Arial"/>
          <w:color w:val="000000"/>
          <w:szCs w:val="24"/>
          <w:lang w:eastAsia="es-ES_tradnl"/>
        </w:rPr>
        <w:t>nes: primero, porque las Mipyme</w:t>
      </w:r>
      <w:r w:rsidRPr="004E4061">
        <w:rPr>
          <w:rFonts w:ascii="Geomanist Light" w:eastAsia="Calibri" w:hAnsi="Geomanist Light" w:cs="Arial"/>
          <w:color w:val="000000"/>
          <w:szCs w:val="24"/>
          <w:lang w:eastAsia="es-ES_tradnl"/>
        </w:rPr>
        <w:t xml:space="preserve"> no están habilitadas para pedir la «limitación territorial», lo están para pedir la «convocatoria limitada a Mipymes», y, segundo, porque el único criterio a tener en cuenta, una vez se ha decidido justificadamente limitar territorialmente la convocatori</w:t>
      </w:r>
      <w:r w:rsidRPr="004E4061">
        <w:rPr>
          <w:rFonts w:ascii="Geomanist Light" w:eastAsia="Times New Roman" w:hAnsi="Geomanist Light" w:cs="Arial"/>
          <w:color w:val="000000"/>
          <w:szCs w:val="24"/>
          <w:lang w:eastAsia="es-ES_tradnl"/>
        </w:rPr>
        <w:t>a previamente limitada a Mipyme</w:t>
      </w:r>
      <w:r w:rsidRPr="004E4061">
        <w:rPr>
          <w:rFonts w:ascii="Geomanist Light" w:eastAsia="Calibri" w:hAnsi="Geomanist Light" w:cs="Arial"/>
          <w:color w:val="000000"/>
          <w:szCs w:val="24"/>
          <w:lang w:eastAsia="es-ES_tradnl"/>
        </w:rPr>
        <w:t>, es el lugar donde se va a ejecutar el contrato.</w:t>
      </w:r>
    </w:p>
    <w:p w14:paraId="719B8789" w14:textId="77777777" w:rsidR="00E27340" w:rsidRPr="004E4061" w:rsidRDefault="00E27340" w:rsidP="00E27340">
      <w:pPr>
        <w:spacing w:after="0" w:line="276" w:lineRule="auto"/>
        <w:ind w:firstLine="709"/>
        <w:jc w:val="both"/>
        <w:rPr>
          <w:rFonts w:ascii="Geomanist Light" w:eastAsia="Arial" w:hAnsi="Geomanist Light" w:cs="Arial"/>
          <w:color w:val="000000"/>
          <w:lang w:val="es-ES_tradnl"/>
        </w:rPr>
      </w:pPr>
      <w:r w:rsidRPr="004E4061">
        <w:rPr>
          <w:rFonts w:ascii="Geomanist Light" w:eastAsia="Arial" w:hAnsi="Geomanist Light" w:cs="Arial"/>
          <w:color w:val="000000"/>
          <w:lang w:val="es-ES_tradnl"/>
        </w:rPr>
        <w:t>Conviene, igualmente, precisar que el domicilio de la Mipyme que quiera participar en una convocatoria limitada territorialmente se acredita con los documentos definidos en el artículo 2.2.1.2.4.2.4. del Decreto 1082 de 2015, modificado por el Decreto 1860 de 2021, en el cual se establecen los requisitos para participar en convocatorias que hayan sido limitadas a Mipyme.  De igual manera, en el parágrafo 2 de dicho artículo se establecen los requisitos que deben acompañar la solicitud de limitación a Mipyme, al siguiente tenor:</w:t>
      </w:r>
    </w:p>
    <w:p w14:paraId="76AB77B2" w14:textId="77777777" w:rsidR="00E27340" w:rsidRPr="004E4061" w:rsidRDefault="00E27340" w:rsidP="00E27340">
      <w:pPr>
        <w:spacing w:after="0" w:line="276" w:lineRule="auto"/>
        <w:ind w:firstLine="709"/>
        <w:jc w:val="both"/>
        <w:rPr>
          <w:rFonts w:ascii="Geomanist Light" w:eastAsia="Arial" w:hAnsi="Geomanist Light" w:cs="Arial"/>
          <w:color w:val="000000"/>
          <w:lang w:val="es-ES_tradnl"/>
        </w:rPr>
      </w:pPr>
    </w:p>
    <w:p w14:paraId="2B1BDB48" w14:textId="77777777" w:rsidR="00E27340" w:rsidRPr="004E4061" w:rsidRDefault="00E27340" w:rsidP="00E27340">
      <w:pPr>
        <w:spacing w:after="0" w:line="240" w:lineRule="auto"/>
        <w:ind w:left="709" w:right="709"/>
        <w:jc w:val="both"/>
        <w:rPr>
          <w:rFonts w:ascii="Geomanist Light" w:eastAsia="Times New Roman" w:hAnsi="Geomanist Light" w:cs="Arial"/>
          <w:sz w:val="21"/>
          <w:szCs w:val="21"/>
          <w:shd w:val="clear" w:color="auto" w:fill="FFFFFF"/>
          <w:lang w:eastAsia="es-ES_tradnl"/>
        </w:rPr>
      </w:pPr>
      <w:r w:rsidRPr="004E4061">
        <w:rPr>
          <w:rFonts w:ascii="Geomanist Light" w:eastAsia="Times New Roman" w:hAnsi="Geomanist Light" w:cs="Arial"/>
          <w:sz w:val="21"/>
          <w:szCs w:val="21"/>
          <w:shd w:val="clear" w:color="auto" w:fill="FFFFFF"/>
          <w:lang w:eastAsia="es-ES_tradnl"/>
        </w:rPr>
        <w:t xml:space="preserve">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w:t>
      </w:r>
      <w:r w:rsidRPr="004E4061">
        <w:rPr>
          <w:rFonts w:ascii="Geomanist Light" w:eastAsia="Times New Roman" w:hAnsi="Geomanist Light" w:cs="Arial"/>
          <w:i/>
          <w:sz w:val="21"/>
          <w:szCs w:val="21"/>
          <w:shd w:val="clear" w:color="auto" w:fill="FFFFFF"/>
          <w:lang w:eastAsia="es-ES_tradnl"/>
        </w:rPr>
        <w:t>para solicitar la convocatoria limitada</w:t>
      </w:r>
      <w:r w:rsidRPr="004E4061">
        <w:rPr>
          <w:rFonts w:ascii="Geomanist Light" w:eastAsia="Times New Roman" w:hAnsi="Geomanist Light" w:cs="Arial"/>
          <w:sz w:val="21"/>
          <w:szCs w:val="21"/>
          <w:shd w:val="clear" w:color="auto" w:fill="FFFFFF"/>
          <w:lang w:eastAsia="es-ES_tradnl"/>
        </w:rPr>
        <w:t>. (Cursivas fuera del texto).</w:t>
      </w:r>
    </w:p>
    <w:p w14:paraId="66B8171F" w14:textId="77777777" w:rsidR="00E27340" w:rsidRPr="004E4061" w:rsidRDefault="00E27340" w:rsidP="00E27340">
      <w:pPr>
        <w:spacing w:after="0" w:line="240" w:lineRule="auto"/>
        <w:ind w:left="709" w:right="709"/>
        <w:jc w:val="both"/>
        <w:rPr>
          <w:rFonts w:ascii="Geomanist Light" w:eastAsia="Arial" w:hAnsi="Geomanist Light" w:cs="Arial"/>
          <w:sz w:val="21"/>
          <w:szCs w:val="21"/>
          <w:lang w:val="es-ES_tradnl"/>
        </w:rPr>
      </w:pPr>
    </w:p>
    <w:p w14:paraId="3F5BE26B" w14:textId="77777777" w:rsidR="00E27340" w:rsidRPr="004E4061" w:rsidRDefault="00E27340" w:rsidP="00E27340">
      <w:pPr>
        <w:spacing w:after="0" w:line="276" w:lineRule="auto"/>
        <w:ind w:firstLine="709"/>
        <w:jc w:val="both"/>
        <w:rPr>
          <w:rFonts w:ascii="Geomanist Light" w:eastAsia="Calibri" w:hAnsi="Geomanist Light" w:cs="Arial"/>
          <w:lang w:val="es-ES_tradnl" w:eastAsia="es-ES_tradnl"/>
        </w:rPr>
      </w:pPr>
      <w:bookmarkStart w:id="9" w:name="_Hlk118271505"/>
      <w:r w:rsidRPr="004E4061">
        <w:rPr>
          <w:rFonts w:ascii="Geomanist Light" w:eastAsia="Calibri" w:hAnsi="Geomanist Light" w:cs="Arial"/>
          <w:lang w:val="es-ES_tradnl" w:eastAsia="es-ES_tradnl"/>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 colombianas». Adicionalmente, el numeral 4 dispone que en el cronograma se debe señalar «El momento en que publicará un aviso en el SECOP precisando si el proceso efectivamente se limitó a Mipyme o si podrá participar cualquier otro </w:t>
      </w:r>
      <w:r w:rsidRPr="004E4061">
        <w:rPr>
          <w:rFonts w:ascii="Geomanist Light" w:eastAsia="Calibri" w:hAnsi="Geomanist Light" w:cs="Arial"/>
          <w:lang w:val="es-ES_tradnl" w:eastAsia="es-ES_tradnl"/>
        </w:rPr>
        <w:lastRenderedPageBreak/>
        <w:t xml:space="preserve">interesado». Por otra parte, también es importante tener en cuenta el parágrafo del artículo 2.2.1.2.1.5.2., a cuyo tenor: </w:t>
      </w:r>
    </w:p>
    <w:p w14:paraId="4309FAC3" w14:textId="77777777" w:rsidR="00E27340" w:rsidRPr="004E4061" w:rsidRDefault="00E27340" w:rsidP="00E27340">
      <w:pPr>
        <w:spacing w:after="0" w:line="276" w:lineRule="auto"/>
        <w:jc w:val="both"/>
        <w:rPr>
          <w:rFonts w:ascii="Geomanist Light" w:eastAsia="Calibri" w:hAnsi="Geomanist Light" w:cs="Arial"/>
          <w:lang w:val="es-ES_tradnl" w:eastAsia="es-ES_tradnl"/>
        </w:rPr>
      </w:pPr>
    </w:p>
    <w:p w14:paraId="70E5E726" w14:textId="77777777" w:rsidR="00E27340" w:rsidRPr="004E4061" w:rsidRDefault="00E27340" w:rsidP="00E27340">
      <w:pPr>
        <w:spacing w:after="0" w:line="240" w:lineRule="auto"/>
        <w:ind w:left="709" w:right="709"/>
        <w:jc w:val="both"/>
        <w:rPr>
          <w:rFonts w:ascii="Geomanist Light" w:eastAsia="Calibri" w:hAnsi="Geomanist Light" w:cs="Arial"/>
          <w:sz w:val="21"/>
          <w:szCs w:val="21"/>
          <w:lang w:eastAsia="es-ES_tradnl"/>
        </w:rPr>
      </w:pPr>
      <w:r w:rsidRPr="004E4061">
        <w:rPr>
          <w:rFonts w:ascii="Geomanist Light" w:eastAsia="Calibri" w:hAnsi="Geomanist Light" w:cs="Arial"/>
          <w:sz w:val="21"/>
          <w:szCs w:val="21"/>
          <w:lang w:eastAsia="es-ES_tradnl"/>
        </w:rPr>
        <w:t>De conformidad con el parágrafo 1 del artículo 30 y el artículo 34 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indicará si en el proceso aplican las limitaciones territoriales de que trata el artículo 2.2.1.2.4.2.3 o si podrá participar cualquier Mipyme nacional.</w:t>
      </w:r>
    </w:p>
    <w:p w14:paraId="3EE1949E" w14:textId="77777777" w:rsidR="00E27340" w:rsidRPr="004E4061" w:rsidRDefault="00E27340" w:rsidP="00E27340">
      <w:pPr>
        <w:spacing w:after="0" w:line="276" w:lineRule="auto"/>
        <w:jc w:val="both"/>
        <w:rPr>
          <w:rFonts w:ascii="Geomanist Light" w:eastAsia="Calibri" w:hAnsi="Geomanist Light" w:cs="Arial"/>
          <w:lang w:eastAsia="es-ES_tradnl"/>
        </w:rPr>
      </w:pPr>
    </w:p>
    <w:p w14:paraId="6F0F35F5" w14:textId="77777777" w:rsidR="00E27340" w:rsidRPr="004E4061" w:rsidRDefault="00E27340" w:rsidP="00E27340">
      <w:pPr>
        <w:spacing w:after="0" w:line="276" w:lineRule="auto"/>
        <w:ind w:firstLine="708"/>
        <w:jc w:val="both"/>
        <w:rPr>
          <w:rFonts w:ascii="Geomanist Light" w:eastAsia="Calibri" w:hAnsi="Geomanist Light" w:cs="Arial"/>
          <w:lang w:val="es-ES_tradnl" w:eastAsia="es-ES_tradnl"/>
        </w:rPr>
      </w:pPr>
      <w:r w:rsidRPr="004E4061">
        <w:rPr>
          <w:rFonts w:ascii="Geomanist Light" w:eastAsia="Calibri" w:hAnsi="Geomanist Light" w:cs="Arial"/>
          <w:lang w:val="es-ES_tradnl" w:eastAsia="es-ES_tradnl"/>
        </w:rPr>
        <w:t>Puede concluirse, entonces, que, en el procedimiento de mínima cuantía, la limitac</w:t>
      </w:r>
      <w:r w:rsidRPr="004E4061">
        <w:rPr>
          <w:rFonts w:ascii="Geomanist Light" w:eastAsia="Times New Roman" w:hAnsi="Geomanist Light" w:cs="Arial"/>
          <w:lang w:val="es-ES_tradnl" w:eastAsia="es-ES_tradnl"/>
        </w:rPr>
        <w:t>ión de la convocatoria a Mipyme</w:t>
      </w:r>
      <w:r w:rsidRPr="004E4061">
        <w:rPr>
          <w:rFonts w:ascii="Geomanist Light" w:eastAsia="Calibri" w:hAnsi="Geomanist Light" w:cs="Arial"/>
          <w:lang w:val="es-ES_tradnl" w:eastAsia="es-ES_tradnl"/>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 De igual modo, en dicho aviso, se deberá indicar si en el proceso pueden participar las Mipyme domiciliadas en el municipio o departamento, según corresponda, o cualquier Mipyme nacional. </w:t>
      </w:r>
    </w:p>
    <w:bookmarkEnd w:id="9"/>
    <w:p w14:paraId="719A3110" w14:textId="77777777" w:rsidR="00C32453" w:rsidRPr="004E4061" w:rsidRDefault="00C32453" w:rsidP="00BE217B">
      <w:pPr>
        <w:spacing w:after="0" w:line="276" w:lineRule="auto"/>
        <w:ind w:firstLine="709"/>
        <w:jc w:val="both"/>
        <w:rPr>
          <w:rFonts w:ascii="Geomanist Light" w:eastAsia="Calibri" w:hAnsi="Geomanist Light" w:cs="Arial"/>
          <w:b/>
          <w:bCs/>
          <w:color w:val="000000" w:themeColor="text1"/>
          <w:lang w:val="es-ES_tradnl"/>
        </w:rPr>
      </w:pPr>
    </w:p>
    <w:bookmarkEnd w:id="5"/>
    <w:p w14:paraId="66A307A0" w14:textId="77777777" w:rsidR="0035023B" w:rsidRPr="004E4061" w:rsidRDefault="0035023B" w:rsidP="0085774A">
      <w:pPr>
        <w:tabs>
          <w:tab w:val="left" w:pos="284"/>
        </w:tabs>
        <w:spacing w:after="0" w:line="276" w:lineRule="auto"/>
        <w:jc w:val="both"/>
        <w:rPr>
          <w:rFonts w:ascii="Geomanist Light" w:eastAsia="Calibri" w:hAnsi="Geomanist Light" w:cs="Arial"/>
          <w:b/>
        </w:rPr>
      </w:pPr>
      <w:r w:rsidRPr="004E4061">
        <w:rPr>
          <w:rFonts w:ascii="Geomanist Light" w:eastAsia="Calibri" w:hAnsi="Geomanist Light" w:cs="Arial"/>
          <w:b/>
        </w:rPr>
        <w:t>3. Respuesta</w:t>
      </w:r>
    </w:p>
    <w:p w14:paraId="1768858E" w14:textId="77777777" w:rsidR="0035023B" w:rsidRPr="004E4061" w:rsidRDefault="0035023B" w:rsidP="0035023B">
      <w:pPr>
        <w:tabs>
          <w:tab w:val="left" w:pos="284"/>
        </w:tabs>
        <w:spacing w:after="0" w:line="240" w:lineRule="auto"/>
        <w:contextualSpacing/>
        <w:jc w:val="both"/>
        <w:rPr>
          <w:rFonts w:ascii="Geomanist Light" w:eastAsia="Calibri" w:hAnsi="Geomanist Light" w:cs="Arial"/>
          <w:b/>
        </w:rPr>
      </w:pPr>
    </w:p>
    <w:p w14:paraId="466EA774" w14:textId="30518C52" w:rsidR="00256C32" w:rsidRPr="004E4061" w:rsidRDefault="006A6A77" w:rsidP="0085774A">
      <w:pPr>
        <w:spacing w:after="0" w:line="240" w:lineRule="auto"/>
        <w:ind w:left="567" w:right="851"/>
        <w:jc w:val="both"/>
        <w:rPr>
          <w:rFonts w:ascii="Geomanist Light" w:hAnsi="Geomanist Light" w:cs="Arial"/>
          <w:color w:val="1A1A1A" w:themeColor="background1" w:themeShade="1A"/>
          <w:sz w:val="21"/>
          <w:szCs w:val="21"/>
        </w:rPr>
      </w:pPr>
      <w:r>
        <w:rPr>
          <w:rFonts w:ascii="Geomanist Light" w:hAnsi="Geomanist Light" w:cs="Arial"/>
          <w:color w:val="1A1A1A" w:themeColor="background1" w:themeShade="1A"/>
          <w:sz w:val="21"/>
          <w:szCs w:val="21"/>
          <w:lang w:val="es-ES_tradnl"/>
        </w:rPr>
        <w:t>«</w:t>
      </w:r>
      <w:r w:rsidR="00256C32" w:rsidRPr="004E4061">
        <w:rPr>
          <w:rFonts w:ascii="Geomanist Light" w:hAnsi="Geomanist Light" w:cs="Arial"/>
          <w:color w:val="1A1A1A" w:themeColor="background1" w:themeShade="1A"/>
          <w:sz w:val="21"/>
          <w:szCs w:val="21"/>
          <w:lang w:val="es-ES_tradnl"/>
        </w:rPr>
        <w:t>¿</w:t>
      </w:r>
      <w:r w:rsidR="00256C32" w:rsidRPr="004E4061">
        <w:rPr>
          <w:rFonts w:ascii="Geomanist Light" w:hAnsi="Geomanist Light" w:cs="Arial"/>
          <w:sz w:val="21"/>
          <w:szCs w:val="21"/>
        </w:rPr>
        <w:t>Pueden limitar un proceso a MiPymes de un solo territorio cuando en la invitación no se había advertido de la posibilidad de limitar en ese territorio específicamente?».</w:t>
      </w:r>
    </w:p>
    <w:p w14:paraId="49D37D80" w14:textId="77777777" w:rsidR="0035023B" w:rsidRPr="004E4061" w:rsidRDefault="0035023B" w:rsidP="00256C32">
      <w:pPr>
        <w:spacing w:after="0" w:line="240" w:lineRule="auto"/>
        <w:ind w:left="567" w:right="851"/>
        <w:jc w:val="both"/>
        <w:rPr>
          <w:rFonts w:ascii="Geomanist Light" w:hAnsi="Geomanist Light" w:cs="Arial"/>
          <w:color w:val="1A1A1A" w:themeColor="background1" w:themeShade="1A"/>
          <w:sz w:val="21"/>
          <w:szCs w:val="21"/>
        </w:rPr>
      </w:pPr>
    </w:p>
    <w:p w14:paraId="009FDBC0" w14:textId="77777777" w:rsidR="00B92DD5" w:rsidRPr="004E4061" w:rsidRDefault="00B92DD5" w:rsidP="00B92DD5">
      <w:pPr>
        <w:spacing w:after="120" w:line="276" w:lineRule="auto"/>
        <w:jc w:val="both"/>
        <w:rPr>
          <w:rFonts w:ascii="Geomanist Light" w:eastAsia="Arial" w:hAnsi="Geomanist Light" w:cs="Arial"/>
          <w:color w:val="000000"/>
          <w:lang w:val="es-ES_tradnl"/>
        </w:rPr>
      </w:pPr>
      <w:bookmarkStart w:id="10" w:name="_Hlk118273344"/>
      <w:bookmarkStart w:id="11" w:name="_Hlk118273406"/>
      <w:bookmarkStart w:id="12" w:name="_Hlk94281581"/>
      <w:r w:rsidRPr="004E4061">
        <w:rPr>
          <w:rFonts w:ascii="Geomanist Light" w:hAnsi="Geomanist Light" w:cs="Arial"/>
          <w:color w:val="000000" w:themeColor="text1"/>
          <w:lang w:val="es-ES_tradnl"/>
        </w:rPr>
        <w:t>De</w:t>
      </w:r>
      <w:r w:rsidRPr="004E4061">
        <w:rPr>
          <w:rFonts w:ascii="Geomanist Light" w:hAnsi="Geomanist Light" w:cs="Arial"/>
          <w:color w:val="000000" w:themeColor="text1"/>
        </w:rPr>
        <w:t xml:space="preserve"> acuerdo con la explicación precedente</w:t>
      </w:r>
      <w:bookmarkEnd w:id="10"/>
      <w:r w:rsidRPr="004E4061">
        <w:rPr>
          <w:rFonts w:ascii="Geomanist Light" w:hAnsi="Geomanist Light" w:cs="Arial"/>
          <w:color w:val="000000" w:themeColor="text1"/>
        </w:rPr>
        <w:t xml:space="preserve">, </w:t>
      </w:r>
      <w:r w:rsidRPr="004E4061">
        <w:rPr>
          <w:rFonts w:ascii="Geomanist Light" w:eastAsia="Arial" w:hAnsi="Geomanist Light" w:cs="Arial"/>
          <w:color w:val="000000"/>
          <w:lang w:val="es-ES_tradnl"/>
        </w:rPr>
        <w:t>no puede perderse de vista que la decisión de limitar</w:t>
      </w:r>
      <w:bookmarkEnd w:id="11"/>
      <w:r w:rsidRPr="004E4061">
        <w:rPr>
          <w:rFonts w:ascii="Geomanist Light" w:eastAsia="Arial" w:hAnsi="Geomanist Light" w:cs="Arial"/>
          <w:color w:val="000000"/>
          <w:lang w:val="es-ES_tradnl"/>
        </w:rPr>
        <w:t xml:space="preserve">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 no puede </w:t>
      </w:r>
      <w:r w:rsidRPr="004E4061">
        <w:rPr>
          <w:rFonts w:ascii="Geomanist Light" w:eastAsia="Arial" w:hAnsi="Geomanist Light" w:cs="Arial"/>
          <w:i/>
          <w:color w:val="000000"/>
          <w:lang w:val="es-ES_tradnl"/>
        </w:rPr>
        <w:t xml:space="preserve">motu proprio </w:t>
      </w:r>
      <w:r w:rsidRPr="004E4061">
        <w:rPr>
          <w:rFonts w:ascii="Geomanist Light" w:eastAsia="Arial" w:hAnsi="Geomanist Light" w:cs="Arial"/>
          <w:color w:val="000000"/>
          <w:lang w:val="es-ES_tradnl"/>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0FBE1531" w14:textId="77777777" w:rsidR="00B92DD5" w:rsidRPr="004E4061" w:rsidRDefault="00B92DD5" w:rsidP="00B92DD5">
      <w:pPr>
        <w:spacing w:after="120" w:line="276" w:lineRule="auto"/>
        <w:ind w:firstLine="708"/>
        <w:jc w:val="both"/>
        <w:rPr>
          <w:rFonts w:ascii="Geomanist Light" w:hAnsi="Geomanist Light" w:cs="Arial"/>
          <w:color w:val="000000" w:themeColor="text1"/>
        </w:rPr>
      </w:pPr>
      <w:bookmarkStart w:id="13" w:name="_Hlk118273454"/>
      <w:r w:rsidRPr="004E4061">
        <w:rPr>
          <w:rFonts w:ascii="Geomanist Light" w:hAnsi="Geomanist Light" w:cs="Arial"/>
          <w:color w:val="000000" w:themeColor="text1"/>
        </w:rPr>
        <w:t xml:space="preserve">Cumplidos los dos requisitos del artículo 2.2.1.2.4.2.2. </w:t>
      </w:r>
      <w:r w:rsidRPr="004E4061">
        <w:rPr>
          <w:rFonts w:ascii="Geomanist Light" w:hAnsi="Geomanist Light" w:cs="Arial"/>
          <w:i/>
          <w:iCs/>
          <w:color w:val="000000" w:themeColor="text1"/>
        </w:rPr>
        <w:t>ibídem</w:t>
      </w:r>
      <w:r w:rsidRPr="004E4061">
        <w:rPr>
          <w:rFonts w:ascii="Geomanist Light" w:hAnsi="Geomanist Light" w:cs="Arial"/>
          <w:color w:val="000000" w:themeColor="text1"/>
        </w:rPr>
        <w:t xml:space="preserve">, la entidad estatal, independientemente de su régimen de contratación, los patrimonios autónomos constituidos por entidades estatales y los particulares que ejecuten recursos públicos, </w:t>
      </w:r>
      <w:r w:rsidRPr="004E4061">
        <w:rPr>
          <w:rFonts w:ascii="Geomanist Light" w:hAnsi="Geomanist Light" w:cs="Arial"/>
          <w:color w:val="000000" w:themeColor="text1"/>
        </w:rPr>
        <w:lastRenderedPageBreak/>
        <w:t xml:space="preserve">pueden </w:t>
      </w:r>
      <w:r w:rsidRPr="004E4061">
        <w:rPr>
          <w:rFonts w:ascii="Courier New" w:hAnsi="Courier New" w:cs="Courier New"/>
          <w:color w:val="000000" w:themeColor="text1"/>
        </w:rPr>
        <w:t>─</w:t>
      </w:r>
      <w:r w:rsidRPr="004E4061">
        <w:rPr>
          <w:rFonts w:ascii="Geomanist Light" w:hAnsi="Geomanist Light" w:cs="Arial"/>
          <w:color w:val="000000" w:themeColor="text1"/>
        </w:rPr>
        <w:t>no tienen que</w:t>
      </w:r>
      <w:r w:rsidRPr="004E4061">
        <w:rPr>
          <w:rFonts w:ascii="Courier New" w:hAnsi="Courier New" w:cs="Courier New"/>
          <w:color w:val="000000" w:themeColor="text1"/>
        </w:rPr>
        <w:t>─</w:t>
      </w:r>
      <w:r w:rsidRPr="004E4061">
        <w:rPr>
          <w:rFonts w:ascii="Geomanist Light" w:hAnsi="Geomanist Light" w:cs="Arial"/>
          <w:color w:val="000000" w:themeColor="text1"/>
        </w:rPr>
        <w:t xml:space="preserve"> decidir si limitan la convocatoria a las Mipyme colombianas domiciliadas en el municipio o departamento en el que se ejecutará el contrato. Esto de acuerdo con lo establecido en artículo 2.2.1.2.4.2.3. del Decreto 1082 de 2015 </w:t>
      </w:r>
      <w:r w:rsidRPr="004E4061">
        <w:rPr>
          <w:rFonts w:ascii="Geomanist Light" w:eastAsia="Arial" w:hAnsi="Geomanist Light" w:cs="Arial"/>
          <w:color w:val="000000"/>
          <w:lang w:val="es-ES_tradnl"/>
        </w:rPr>
        <w:t>modificado por el Decreto 1860 de 2021</w:t>
      </w:r>
      <w:r w:rsidRPr="004E4061">
        <w:rPr>
          <w:rFonts w:ascii="Geomanist Light" w:hAnsi="Geomanist Light" w:cs="Arial"/>
          <w:color w:val="000000" w:themeColor="text1"/>
        </w:rPr>
        <w:t xml:space="preserve">, norma que se refiere a la facultad de la administración con el verbo infinitivo «poder», no «deber». </w:t>
      </w:r>
    </w:p>
    <w:p w14:paraId="41629517" w14:textId="1DAF8D1A" w:rsidR="001B1886" w:rsidRPr="004E4061" w:rsidRDefault="001B1886" w:rsidP="001B1886">
      <w:pPr>
        <w:spacing w:after="120" w:line="276" w:lineRule="auto"/>
        <w:ind w:firstLine="708"/>
        <w:jc w:val="both"/>
        <w:rPr>
          <w:rFonts w:ascii="Geomanist Light" w:eastAsia="Arial" w:hAnsi="Geomanist Light" w:cs="Arial"/>
          <w:color w:val="000000" w:themeColor="text1"/>
        </w:rPr>
      </w:pPr>
      <w:bookmarkStart w:id="14" w:name="_Hlk118273519"/>
      <w:bookmarkEnd w:id="13"/>
      <w:r w:rsidRPr="004E4061">
        <w:rPr>
          <w:rFonts w:ascii="Geomanist Light" w:eastAsia="Calibri" w:hAnsi="Geomanist Light" w:cs="Arial"/>
          <w:color w:val="000000"/>
          <w:szCs w:val="24"/>
          <w:lang w:eastAsia="es-ES_tradnl"/>
        </w:rPr>
        <w:t>La Agencia Nacional de Contratación Pública − Colombia Compra Eficiente ha sostenido que la decisión de limitar territorialmente un</w:t>
      </w:r>
      <w:r w:rsidRPr="004E4061">
        <w:rPr>
          <w:rFonts w:ascii="Geomanist Light" w:eastAsia="Times New Roman" w:hAnsi="Geomanist Light" w:cs="Arial"/>
          <w:color w:val="000000"/>
          <w:szCs w:val="24"/>
          <w:lang w:eastAsia="es-ES_tradnl"/>
        </w:rPr>
        <w:t xml:space="preserve">a convocatoria a Mipyme </w:t>
      </w:r>
      <w:r w:rsidRPr="004E4061">
        <w:rPr>
          <w:rFonts w:ascii="Geomanist Light" w:eastAsia="Calibri" w:hAnsi="Geomanist Light" w:cs="Arial"/>
          <w:color w:val="000000"/>
          <w:szCs w:val="24"/>
          <w:lang w:eastAsia="es-ES_tradnl"/>
        </w:rPr>
        <w:t xml:space="preserve">es discrecional, y ha precisado que, de todos modos, la decisión debe estar justificada en los correspondientes «estudios del sector». De esta forma, </w:t>
      </w:r>
      <w:r w:rsidRPr="004E4061">
        <w:rPr>
          <w:rFonts w:ascii="Geomanist Light" w:eastAsia="Arial" w:hAnsi="Geomanist Light" w:cs="Arial"/>
          <w:color w:val="000000" w:themeColor="text1"/>
        </w:rPr>
        <w:t>si la entidad ejerce la facultad que le confiere el artículo 2.2.1.2.4.2.3. del Decreto 1082 de 2015 tendrá que justificar dicha decisión, una vez ha decidido limitar territorialmente la convocatoria a los departamentos o municipios donde se vaya a ejecutar el contrato. Por lo anterior, en la fase de planeación la entidad deberá analizar la conveniencia y pertinencia de hacer la «limitación territorial» del proceso de selección y, en tal medida, incluir en los documentos previos del proceso, dicho análisis o justificación y establecer los aspectos que se requieran a efectos de verificar el cumplimiento de los requisitos de procedibilidad para el efecto.</w:t>
      </w:r>
    </w:p>
    <w:p w14:paraId="50D921EC" w14:textId="114D3075" w:rsidR="00DB0CC9" w:rsidRPr="004E4061" w:rsidRDefault="00761EAB" w:rsidP="004E4061">
      <w:pPr>
        <w:spacing w:before="120" w:after="0" w:line="276" w:lineRule="auto"/>
        <w:ind w:firstLine="709"/>
        <w:jc w:val="both"/>
        <w:rPr>
          <w:rFonts w:ascii="Geomanist Light" w:eastAsia="Calibri" w:hAnsi="Geomanist Light" w:cs="Arial"/>
          <w:lang w:val="es-ES_tradnl"/>
        </w:rPr>
      </w:pPr>
      <w:r>
        <w:rPr>
          <w:rFonts w:ascii="Geomanist Light" w:eastAsia="Arial" w:hAnsi="Geomanist Light" w:cs="Arial"/>
          <w:color w:val="000000"/>
          <w:lang w:eastAsia="es-ES_tradnl"/>
        </w:rPr>
        <w:t>Sobre el particular,</w:t>
      </w:r>
      <w:r w:rsidR="001B1886" w:rsidRPr="004E4061">
        <w:rPr>
          <w:rFonts w:ascii="Geomanist Light" w:eastAsia="Arial" w:hAnsi="Geomanist Light" w:cs="Arial"/>
          <w:color w:val="000000"/>
          <w:lang w:eastAsia="es-ES_tradnl"/>
        </w:rPr>
        <w:t xml:space="preserve"> </w:t>
      </w:r>
      <w:r>
        <w:rPr>
          <w:rFonts w:ascii="Geomanist Light" w:eastAsia="Arial" w:hAnsi="Geomanist Light" w:cs="Arial"/>
          <w:color w:val="000000"/>
          <w:lang w:eastAsia="es-ES_tradnl"/>
        </w:rPr>
        <w:t xml:space="preserve">se estima que es </w:t>
      </w:r>
      <w:r w:rsidR="001B1886" w:rsidRPr="004E4061">
        <w:rPr>
          <w:rFonts w:ascii="Geomanist Light" w:eastAsia="Arial" w:hAnsi="Geomanist Light" w:cs="Arial"/>
          <w:color w:val="000000"/>
          <w:lang w:eastAsia="es-ES_tradnl"/>
        </w:rPr>
        <w:t xml:space="preserve">recomendable es que las entidades establezcan </w:t>
      </w:r>
      <w:r w:rsidR="001B1886" w:rsidRPr="004E4061">
        <w:rPr>
          <w:rFonts w:ascii="Geomanist Light" w:eastAsia="Arial" w:hAnsi="Geomanist Light" w:cs="Arial"/>
          <w:i/>
          <w:color w:val="000000"/>
          <w:lang w:eastAsia="es-ES_tradnl"/>
        </w:rPr>
        <w:t xml:space="preserve">ex ante </w:t>
      </w:r>
      <w:r w:rsidR="001B1886" w:rsidRPr="004E4061">
        <w:rPr>
          <w:rFonts w:ascii="Geomanist Light" w:eastAsia="Arial" w:hAnsi="Geomanist Light" w:cs="Arial"/>
          <w:color w:val="000000"/>
          <w:lang w:eastAsia="es-ES_tradnl"/>
        </w:rPr>
        <w:t xml:space="preserve">las condiciones en las que, eventualmente, harían la «limitación territorial». </w:t>
      </w:r>
      <w:r>
        <w:rPr>
          <w:rFonts w:ascii="Geomanist Light" w:eastAsia="Arial" w:hAnsi="Geomanist Light" w:cs="Arial"/>
          <w:color w:val="000000"/>
          <w:lang w:eastAsia="es-ES_tradnl"/>
        </w:rPr>
        <w:t>Pa</w:t>
      </w:r>
      <w:r w:rsidR="00CB7799">
        <w:rPr>
          <w:rFonts w:ascii="Geomanist Light" w:eastAsia="Arial" w:hAnsi="Geomanist Light" w:cs="Arial"/>
          <w:color w:val="000000"/>
          <w:lang w:eastAsia="es-ES_tradnl"/>
        </w:rPr>
        <w:t xml:space="preserve">ra lograr esto, </w:t>
      </w:r>
      <w:r w:rsidR="001B1886" w:rsidRPr="004E4061">
        <w:rPr>
          <w:rFonts w:ascii="Geomanist Light" w:eastAsia="Arial" w:hAnsi="Geomanist Light" w:cs="Arial"/>
          <w:color w:val="000000"/>
          <w:lang w:eastAsia="es-ES_tradnl"/>
        </w:rPr>
        <w:t>en la invitación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bookmarkEnd w:id="14"/>
    <w:p w14:paraId="0C48FDC4" w14:textId="77777777" w:rsidR="001B1886" w:rsidRPr="004E4061" w:rsidRDefault="001B1886" w:rsidP="004E4061">
      <w:pPr>
        <w:spacing w:after="0" w:line="276" w:lineRule="auto"/>
        <w:ind w:firstLine="709"/>
        <w:jc w:val="both"/>
        <w:rPr>
          <w:rFonts w:ascii="Geomanist Light" w:eastAsia="Calibri" w:hAnsi="Geomanist Light" w:cs="Arial"/>
          <w:color w:val="000000" w:themeColor="text1"/>
          <w:lang w:val="es-ES_tradnl" w:eastAsia="es-ES_tradnl"/>
        </w:rPr>
      </w:pPr>
    </w:p>
    <w:p w14:paraId="7C0C6E41" w14:textId="77777777" w:rsidR="006A6A77" w:rsidRPr="0085300F" w:rsidRDefault="006A6A77" w:rsidP="00EF2C7A">
      <w:pPr>
        <w:spacing w:after="0" w:line="276" w:lineRule="auto"/>
        <w:jc w:val="both"/>
        <w:rPr>
          <w:rFonts w:ascii="Geomanist Light" w:eastAsia="Calibri" w:hAnsi="Geomanist Light" w:cs="Arial"/>
          <w:lang w:val="es-ES" w:eastAsia="es-MX"/>
        </w:rPr>
      </w:pPr>
      <w:r w:rsidRPr="0085300F">
        <w:rPr>
          <w:rFonts w:ascii="Geomanist Light" w:eastAsia="Calibri" w:hAnsi="Geomanist Light" w:cs="Arial"/>
          <w:lang w:val="es-ES" w:eastAsia="es-MX"/>
        </w:rPr>
        <w:t>Este concepto tiene el alcance previsto en el artículo 28 del Código de Procedimiento Administrativo y de lo Contencioso Administrativo.</w:t>
      </w:r>
    </w:p>
    <w:p w14:paraId="03EEAD73" w14:textId="77777777" w:rsidR="006A6A77" w:rsidRPr="0085300F" w:rsidRDefault="006A6A77" w:rsidP="006A6A77">
      <w:pPr>
        <w:spacing w:after="0" w:line="240" w:lineRule="auto"/>
        <w:jc w:val="both"/>
        <w:rPr>
          <w:rFonts w:ascii="Geomanist Light" w:eastAsia="Calibri" w:hAnsi="Geomanist Light" w:cs="Arial"/>
          <w:lang w:val="es-ES" w:eastAsia="es-MX"/>
        </w:rPr>
      </w:pPr>
    </w:p>
    <w:p w14:paraId="7680D5BD" w14:textId="77777777" w:rsidR="006A6A77" w:rsidRPr="0085300F" w:rsidRDefault="006A6A77" w:rsidP="006A6A77">
      <w:pPr>
        <w:spacing w:after="0" w:line="240" w:lineRule="auto"/>
        <w:jc w:val="both"/>
        <w:rPr>
          <w:rFonts w:ascii="Geomanist Light" w:eastAsia="Times New Roman" w:hAnsi="Geomanist Light" w:cs="Arial"/>
          <w:lang w:val="es-ES" w:eastAsia="es-CO"/>
        </w:rPr>
      </w:pPr>
      <w:r w:rsidRPr="0085300F">
        <w:rPr>
          <w:rFonts w:ascii="Geomanist Light" w:eastAsia="Times New Roman" w:hAnsi="Geomanist Light" w:cs="Arial"/>
          <w:lang w:val="es-ES" w:eastAsia="es-CO"/>
        </w:rPr>
        <w:t>Atentamente,</w:t>
      </w:r>
    </w:p>
    <w:p w14:paraId="4794A002" w14:textId="1A27D507" w:rsidR="006A6A77" w:rsidRDefault="004E4061" w:rsidP="006A6A77">
      <w:pPr>
        <w:spacing w:after="120" w:line="276" w:lineRule="auto"/>
        <w:jc w:val="center"/>
        <w:rPr>
          <w:rFonts w:ascii="Geomanist Light" w:eastAsia="Calibri" w:hAnsi="Geomanist Light" w:cs="Arial"/>
        </w:rPr>
      </w:pPr>
      <w:r>
        <w:rPr>
          <w:noProof/>
        </w:rPr>
        <w:drawing>
          <wp:inline distT="0" distB="0" distL="0" distR="0" wp14:anchorId="05241A94" wp14:editId="551C599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785707" cy="1068836"/>
                    </a:xfrm>
                    <a:prstGeom prst="rect">
                      <a:avLst/>
                    </a:prstGeom>
                  </pic:spPr>
                </pic:pic>
              </a:graphicData>
            </a:graphic>
          </wp:inline>
        </w:drawing>
      </w:r>
    </w:p>
    <w:p w14:paraId="7EBBB5B3" w14:textId="77777777" w:rsidR="006A6A77" w:rsidRPr="0085300F" w:rsidRDefault="006A6A77" w:rsidP="006A6A77">
      <w:pPr>
        <w:spacing w:after="120" w:line="276" w:lineRule="auto"/>
        <w:jc w:val="center"/>
        <w:rPr>
          <w:rFonts w:ascii="Geomanist Light" w:eastAsia="Calibri" w:hAnsi="Geomanist Light"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6A6A77" w:rsidRPr="0098777B" w14:paraId="4EB93122" w14:textId="77777777" w:rsidTr="0085300F">
        <w:trPr>
          <w:trHeight w:val="286"/>
        </w:trPr>
        <w:tc>
          <w:tcPr>
            <w:tcW w:w="817" w:type="dxa"/>
            <w:vAlign w:val="center"/>
          </w:tcPr>
          <w:p w14:paraId="2BCB3961"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lastRenderedPageBreak/>
              <w:t>Elaboró:</w:t>
            </w:r>
          </w:p>
        </w:tc>
        <w:tc>
          <w:tcPr>
            <w:tcW w:w="4445" w:type="dxa"/>
            <w:tcBorders>
              <w:bottom w:val="dotted" w:sz="4" w:space="0" w:color="7F7F7F"/>
            </w:tcBorders>
            <w:vAlign w:val="center"/>
          </w:tcPr>
          <w:p w14:paraId="2E65111C" w14:textId="77777777" w:rsidR="006A6A77" w:rsidRPr="0085300F" w:rsidRDefault="006A6A77" w:rsidP="0085300F">
            <w:pPr>
              <w:spacing w:before="0"/>
              <w:rPr>
                <w:rFonts w:ascii="Geomanist Light" w:hAnsi="Geomanist Light" w:cs="Arial"/>
                <w:sz w:val="16"/>
                <w:szCs w:val="16"/>
              </w:rPr>
            </w:pPr>
          </w:p>
          <w:p w14:paraId="764E34F6"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Carlos Mario Castrill</w:t>
            </w:r>
            <w:r>
              <w:rPr>
                <w:rFonts w:ascii="Geomanist Light" w:hAnsi="Geomanist Light" w:cs="Arial"/>
                <w:sz w:val="16"/>
                <w:szCs w:val="16"/>
              </w:rPr>
              <w:t>ó</w:t>
            </w:r>
            <w:r w:rsidRPr="0085300F">
              <w:rPr>
                <w:rFonts w:ascii="Geomanist Light" w:hAnsi="Geomanist Light" w:cs="Arial"/>
                <w:sz w:val="16"/>
                <w:szCs w:val="16"/>
              </w:rPr>
              <w:t>n Endo</w:t>
            </w:r>
          </w:p>
          <w:p w14:paraId="3152C0BF"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Contratista de la Subdirección de Gestión Contractual</w:t>
            </w:r>
          </w:p>
        </w:tc>
      </w:tr>
      <w:tr w:rsidR="006A6A77" w:rsidRPr="0098777B" w14:paraId="53F78132" w14:textId="77777777" w:rsidTr="0085300F">
        <w:trPr>
          <w:trHeight w:val="286"/>
        </w:trPr>
        <w:tc>
          <w:tcPr>
            <w:tcW w:w="817" w:type="dxa"/>
            <w:vAlign w:val="center"/>
          </w:tcPr>
          <w:p w14:paraId="319EC5B6"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Revisó:</w:t>
            </w:r>
          </w:p>
        </w:tc>
        <w:tc>
          <w:tcPr>
            <w:tcW w:w="4445" w:type="dxa"/>
            <w:tcBorders>
              <w:bottom w:val="dotted" w:sz="4" w:space="0" w:color="7F7F7F"/>
            </w:tcBorders>
            <w:vAlign w:val="center"/>
          </w:tcPr>
          <w:p w14:paraId="3313A139"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Alejandro Sarmiento</w:t>
            </w:r>
            <w:r w:rsidRPr="0085300F">
              <w:rPr>
                <w:rFonts w:ascii="Calibri" w:hAnsi="Calibri" w:cs="Calibri"/>
                <w:sz w:val="16"/>
                <w:szCs w:val="16"/>
              </w:rPr>
              <w:t> </w:t>
            </w:r>
            <w:r w:rsidRPr="0085300F">
              <w:rPr>
                <w:rFonts w:ascii="Geomanist Light" w:hAnsi="Geomanist Light" w:cs="Arial"/>
                <w:sz w:val="16"/>
                <w:szCs w:val="16"/>
              </w:rPr>
              <w:t>Cantillo</w:t>
            </w:r>
          </w:p>
          <w:p w14:paraId="131CD3D6"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Gestor T1-15 de la Subdirección de Gestión Contractual</w:t>
            </w:r>
          </w:p>
        </w:tc>
      </w:tr>
      <w:tr w:rsidR="006A6A77" w:rsidRPr="0098777B" w14:paraId="5CC9BFBC" w14:textId="77777777" w:rsidTr="0085300F">
        <w:trPr>
          <w:trHeight w:val="299"/>
        </w:trPr>
        <w:tc>
          <w:tcPr>
            <w:tcW w:w="817" w:type="dxa"/>
            <w:vAlign w:val="center"/>
          </w:tcPr>
          <w:p w14:paraId="59244DCE"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60C9AE3A"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 xml:space="preserve"> Nohelia del Carmen Zawady Palacio</w:t>
            </w:r>
          </w:p>
          <w:p w14:paraId="342DD178" w14:textId="77777777" w:rsidR="006A6A77" w:rsidRPr="0085300F" w:rsidRDefault="006A6A77" w:rsidP="0085300F">
            <w:pPr>
              <w:spacing w:before="0"/>
              <w:rPr>
                <w:rFonts w:ascii="Geomanist Light" w:hAnsi="Geomanist Light" w:cs="Arial"/>
                <w:sz w:val="16"/>
                <w:szCs w:val="16"/>
              </w:rPr>
            </w:pPr>
            <w:r w:rsidRPr="0085300F">
              <w:rPr>
                <w:rFonts w:ascii="Geomanist Light" w:hAnsi="Geomanist Light" w:cs="Arial"/>
                <w:sz w:val="16"/>
                <w:szCs w:val="16"/>
              </w:rPr>
              <w:t>Subdirectora de Gestión Contractual ANCP - CCE</w:t>
            </w:r>
          </w:p>
        </w:tc>
      </w:tr>
      <w:bookmarkEnd w:id="12"/>
      <w:bookmarkEnd w:id="2"/>
    </w:tbl>
    <w:p w14:paraId="42C5DFB7" w14:textId="77777777" w:rsidR="00FB347B" w:rsidRPr="004E4061" w:rsidRDefault="00FB347B" w:rsidP="006A6A77">
      <w:pPr>
        <w:spacing w:line="276" w:lineRule="auto"/>
        <w:jc w:val="both"/>
        <w:rPr>
          <w:rFonts w:ascii="Geomanist Light" w:hAnsi="Geomanist Light"/>
        </w:rPr>
      </w:pPr>
    </w:p>
    <w:sectPr w:rsidR="00FB347B" w:rsidRPr="004E4061" w:rsidSect="004E4061">
      <w:headerReference w:type="default" r:id="rId11"/>
      <w:footerReference w:type="default" r:id="rId12"/>
      <w:pgSz w:w="12240" w:h="15840"/>
      <w:pgMar w:top="1779" w:right="1750" w:bottom="1276" w:left="1701" w:header="340" w:footer="462"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D048" w14:textId="77777777" w:rsidR="00D94E44" w:rsidRDefault="00D94E44" w:rsidP="0035023B">
      <w:pPr>
        <w:spacing w:after="0" w:line="240" w:lineRule="auto"/>
      </w:pPr>
      <w:r>
        <w:separator/>
      </w:r>
    </w:p>
  </w:endnote>
  <w:endnote w:type="continuationSeparator" w:id="0">
    <w:p w14:paraId="184A3419" w14:textId="77777777" w:rsidR="00D94E44" w:rsidRDefault="00D94E44" w:rsidP="0035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6841" w14:textId="77777777" w:rsidR="004E4061" w:rsidRDefault="004E4061" w:rsidP="0035023B">
    <w:pPr>
      <w:pStyle w:val="Piedepgina"/>
    </w:pPr>
  </w:p>
  <w:p w14:paraId="265D1181" w14:textId="6F283216" w:rsidR="0035023B" w:rsidRDefault="0035023B" w:rsidP="0035023B">
    <w:pPr>
      <w:pStyle w:val="Piedepgina"/>
    </w:pPr>
    <w:r>
      <w:rPr>
        <w:noProof/>
        <w:lang w:val="en-US"/>
      </w:rPr>
      <w:drawing>
        <wp:inline distT="0" distB="0" distL="0" distR="0" wp14:anchorId="1B5409D6" wp14:editId="020A1A68">
          <wp:extent cx="5742143" cy="892175"/>
          <wp:effectExtent l="0" t="0" r="0" b="3175"/>
          <wp:docPr id="34" name="Imagen 3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23B" w:rsidRPr="00080DA3" w14:paraId="650C137A" w14:textId="77777777" w:rsidTr="002E093C">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B755495" w14:textId="77777777" w:rsidR="0035023B" w:rsidRPr="00080DA3" w:rsidRDefault="0035023B" w:rsidP="0035023B">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F3AC659" w14:textId="77777777" w:rsidR="0035023B" w:rsidRPr="00080DA3" w:rsidRDefault="0035023B" w:rsidP="0035023B">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D82597" w14:textId="77777777" w:rsidR="0035023B" w:rsidRPr="00080DA3" w:rsidRDefault="0035023B" w:rsidP="0035023B">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B26E2DB" w14:textId="77777777" w:rsidR="0035023B" w:rsidRPr="004B6B0E" w:rsidRDefault="0035023B" w:rsidP="0035023B">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DD9AC99" w14:textId="77777777" w:rsidR="0035023B" w:rsidRPr="00080DA3" w:rsidRDefault="0035023B" w:rsidP="0035023B">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BF3688" w14:textId="77777777" w:rsidR="0035023B" w:rsidRPr="00080DA3" w:rsidRDefault="0035023B" w:rsidP="0035023B">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C9BEE26" w14:textId="77777777" w:rsidR="0035023B" w:rsidRPr="00080DA3" w:rsidRDefault="0035023B" w:rsidP="0035023B">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13</w:t>
          </w:r>
          <w:r w:rsidRPr="00080DA3">
            <w:rPr>
              <w:rFonts w:ascii="Geomanist Light" w:hAnsi="Geomanist Light"/>
              <w:b/>
              <w:bCs/>
              <w:sz w:val="18"/>
              <w:szCs w:val="18"/>
            </w:rPr>
            <w:fldChar w:fldCharType="end"/>
          </w:r>
        </w:p>
      </w:tc>
    </w:tr>
  </w:tbl>
  <w:p w14:paraId="7B9C0FDB" w14:textId="77777777" w:rsidR="000E0524" w:rsidRPr="0035023B" w:rsidRDefault="004E4061" w:rsidP="00350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E7FD" w14:textId="77777777" w:rsidR="00D94E44" w:rsidRDefault="00D94E44" w:rsidP="0035023B">
      <w:pPr>
        <w:spacing w:after="0" w:line="240" w:lineRule="auto"/>
      </w:pPr>
      <w:r>
        <w:separator/>
      </w:r>
    </w:p>
  </w:footnote>
  <w:footnote w:type="continuationSeparator" w:id="0">
    <w:p w14:paraId="3428F0A8" w14:textId="77777777" w:rsidR="00D94E44" w:rsidRDefault="00D94E44" w:rsidP="0035023B">
      <w:pPr>
        <w:spacing w:after="0" w:line="240" w:lineRule="auto"/>
      </w:pPr>
      <w:r>
        <w:continuationSeparator/>
      </w:r>
    </w:p>
  </w:footnote>
  <w:footnote w:id="1">
    <w:p w14:paraId="02DE5924" w14:textId="77777777" w:rsidR="008B4E38" w:rsidRPr="004E4061" w:rsidRDefault="008B4E38" w:rsidP="008B4E38">
      <w:pPr>
        <w:pStyle w:val="Textonotapie"/>
        <w:ind w:firstLine="709"/>
        <w:jc w:val="both"/>
        <w:rPr>
          <w:rFonts w:ascii="Geomanist Light" w:hAnsi="Geomanist Light" w:cs="Arial"/>
          <w:color w:val="000000"/>
          <w:sz w:val="18"/>
          <w:szCs w:val="18"/>
        </w:rPr>
      </w:pPr>
      <w:r w:rsidRPr="004E4061">
        <w:rPr>
          <w:rStyle w:val="Refdenotaalpie"/>
          <w:rFonts w:ascii="Geomanist Light" w:hAnsi="Geomanist Light" w:cs="Arial"/>
          <w:color w:val="000000"/>
          <w:sz w:val="18"/>
          <w:szCs w:val="18"/>
        </w:rPr>
        <w:footnoteRef/>
      </w:r>
      <w:r w:rsidRPr="004E4061">
        <w:rPr>
          <w:rFonts w:ascii="Geomanist Light" w:hAnsi="Geomanist Light" w:cs="Arial"/>
          <w:color w:val="000000"/>
          <w:sz w:val="18"/>
          <w:szCs w:val="18"/>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270E5D39" w14:textId="77777777" w:rsidR="008B4E38" w:rsidRPr="004E4061" w:rsidRDefault="008B4E38" w:rsidP="008B4E38">
      <w:pPr>
        <w:pStyle w:val="Textonotapie"/>
        <w:ind w:firstLine="709"/>
        <w:jc w:val="both"/>
        <w:rPr>
          <w:rFonts w:ascii="Geomanist Light" w:hAnsi="Geomanist Light" w:cs="Arial"/>
          <w:color w:val="000000"/>
          <w:sz w:val="18"/>
          <w:szCs w:val="18"/>
        </w:rPr>
      </w:pPr>
    </w:p>
  </w:footnote>
  <w:footnote w:id="2">
    <w:p w14:paraId="6D1B0E73" w14:textId="77777777" w:rsidR="008B4E38" w:rsidRPr="004E4061" w:rsidRDefault="008B4E38" w:rsidP="008B4E38">
      <w:pPr>
        <w:pStyle w:val="Textonotapie"/>
        <w:ind w:firstLine="709"/>
        <w:jc w:val="both"/>
        <w:rPr>
          <w:rFonts w:ascii="Geomanist Light" w:hAnsi="Geomanist Light" w:cs="Arial"/>
          <w:color w:val="000000"/>
          <w:sz w:val="18"/>
          <w:szCs w:val="18"/>
        </w:rPr>
      </w:pPr>
      <w:r w:rsidRPr="004E4061">
        <w:rPr>
          <w:rStyle w:val="Refdenotaalpie"/>
          <w:rFonts w:ascii="Geomanist Light" w:hAnsi="Geomanist Light" w:cs="Arial"/>
          <w:color w:val="000000"/>
          <w:sz w:val="18"/>
          <w:szCs w:val="18"/>
        </w:rPr>
        <w:footnoteRef/>
      </w:r>
      <w:r w:rsidRPr="004E4061">
        <w:rPr>
          <w:rFonts w:ascii="Geomanist Light" w:hAnsi="Geomanist Light" w:cs="Arial"/>
          <w:color w:val="000000"/>
          <w:sz w:val="18"/>
          <w:szCs w:val="18"/>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42065234" w14:textId="77777777" w:rsidR="008B4E38" w:rsidRPr="004E4061" w:rsidRDefault="008B4E38" w:rsidP="008B4E38">
      <w:pPr>
        <w:pStyle w:val="Textonotapie"/>
        <w:ind w:firstLine="709"/>
        <w:jc w:val="both"/>
        <w:rPr>
          <w:rFonts w:ascii="Geomanist Light" w:hAnsi="Geomanist Light" w:cs="Arial"/>
          <w:color w:val="000000"/>
          <w:sz w:val="18"/>
          <w:szCs w:val="18"/>
        </w:rPr>
      </w:pPr>
      <w:r w:rsidRPr="004E4061">
        <w:rPr>
          <w:rFonts w:ascii="Geomanist Light" w:hAnsi="Geomanist Light" w:cs="Arial"/>
          <w:color w:val="000000"/>
          <w:sz w:val="18"/>
          <w:szCs w:val="18"/>
        </w:rPr>
        <w:t>»a) Se publicará una invitación, por un término no inferior a un día hábil, en la cual se señalará el objeto a contratar, el presupuesto destinado para tal fin, así como las condiciones técnicas exigidas;</w:t>
      </w:r>
    </w:p>
    <w:p w14:paraId="078C7B9F" w14:textId="77777777" w:rsidR="008B4E38" w:rsidRPr="004E4061" w:rsidRDefault="008B4E38" w:rsidP="008B4E38">
      <w:pPr>
        <w:pStyle w:val="Textonotapie"/>
        <w:ind w:firstLine="709"/>
        <w:jc w:val="both"/>
        <w:rPr>
          <w:rFonts w:ascii="Geomanist Light" w:hAnsi="Geomanist Light" w:cs="Arial"/>
          <w:color w:val="000000"/>
          <w:sz w:val="18"/>
          <w:szCs w:val="18"/>
        </w:rPr>
      </w:pPr>
      <w:r w:rsidRPr="004E4061">
        <w:rPr>
          <w:rFonts w:ascii="Geomanist Light" w:hAnsi="Geomanist Light" w:cs="Arial"/>
          <w:color w:val="000000"/>
          <w:sz w:val="18"/>
          <w:szCs w:val="18"/>
        </w:rPr>
        <w:t>»b) El término previsto en la invitación para presentar la oferta no podrá ser inferior a un día hábil;</w:t>
      </w:r>
    </w:p>
    <w:p w14:paraId="336F375D" w14:textId="77777777" w:rsidR="008B4E38" w:rsidRPr="004E4061" w:rsidRDefault="008B4E38" w:rsidP="008B4E38">
      <w:pPr>
        <w:pStyle w:val="Textonotapie"/>
        <w:ind w:firstLine="709"/>
        <w:jc w:val="both"/>
        <w:rPr>
          <w:rFonts w:ascii="Geomanist Light" w:hAnsi="Geomanist Light" w:cs="Arial"/>
          <w:color w:val="000000"/>
          <w:sz w:val="18"/>
          <w:szCs w:val="18"/>
        </w:rPr>
      </w:pPr>
      <w:r w:rsidRPr="004E4061">
        <w:rPr>
          <w:rFonts w:ascii="Geomanist Light" w:hAnsi="Geomanist Light" w:cs="Arial"/>
          <w:color w:val="000000"/>
          <w:sz w:val="18"/>
          <w:szCs w:val="18"/>
        </w:rPr>
        <w:t>»c) La entidad seleccionará, mediante comunicación de aceptación de la oferta, la propuesta con el menor precio, siempre y cuando cumpla con las condiciones exigidas;</w:t>
      </w:r>
    </w:p>
    <w:p w14:paraId="4CABB1E4" w14:textId="77777777" w:rsidR="008B4E38" w:rsidRPr="004E4061" w:rsidRDefault="008B4E38" w:rsidP="008B4E38">
      <w:pPr>
        <w:pStyle w:val="Textonotapie"/>
        <w:ind w:firstLine="709"/>
        <w:jc w:val="both"/>
        <w:rPr>
          <w:rFonts w:ascii="Geomanist Light" w:hAnsi="Geomanist Light" w:cs="Arial"/>
          <w:color w:val="000000"/>
          <w:sz w:val="18"/>
          <w:szCs w:val="18"/>
          <w:lang w:val="es-ES"/>
        </w:rPr>
      </w:pPr>
      <w:r w:rsidRPr="004E4061">
        <w:rPr>
          <w:rFonts w:ascii="Geomanist Light" w:hAnsi="Geomanist Light" w:cs="Arial"/>
          <w:color w:val="000000"/>
          <w:sz w:val="18"/>
          <w:szCs w:val="18"/>
        </w:rPr>
        <w:t>»d) La comunicación de aceptación junto con la oferta constituye para todos los efectos el contrato celebrado, con base en lo cual se efectuará el respectivo registro presupuestal».</w:t>
      </w:r>
    </w:p>
  </w:footnote>
  <w:footnote w:id="3">
    <w:p w14:paraId="71D46020" w14:textId="77777777" w:rsidR="008B4E38" w:rsidRPr="004E4061" w:rsidRDefault="008B4E38" w:rsidP="008B4E38">
      <w:pPr>
        <w:pStyle w:val="Textonotapie"/>
        <w:ind w:firstLine="708"/>
        <w:jc w:val="both"/>
        <w:rPr>
          <w:rFonts w:ascii="Geomanist Light" w:hAnsi="Geomanist Light" w:cs="Arial"/>
          <w:sz w:val="18"/>
          <w:szCs w:val="18"/>
        </w:rPr>
      </w:pPr>
      <w:r w:rsidRPr="004E4061">
        <w:rPr>
          <w:rStyle w:val="Refdenotaalpie"/>
          <w:rFonts w:ascii="Geomanist Light" w:hAnsi="Geomanist Light" w:cs="Arial"/>
          <w:sz w:val="18"/>
          <w:szCs w:val="18"/>
        </w:rPr>
        <w:footnoteRef/>
      </w:r>
      <w:r w:rsidRPr="004E4061">
        <w:rPr>
          <w:rFonts w:ascii="Geomanist Light" w:hAnsi="Geomanist Light" w:cs="Arial"/>
          <w:sz w:val="18"/>
          <w:szCs w:val="18"/>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7" w:name="_Hlk94513421"/>
      <w:r w:rsidRPr="004E4061">
        <w:rPr>
          <w:rFonts w:ascii="Geomanist Light" w:hAnsi="Geomanist Light" w:cs="Arial"/>
          <w:sz w:val="18"/>
          <w:szCs w:val="18"/>
        </w:rPr>
        <w:t>»</w:t>
      </w:r>
      <w:bookmarkEnd w:id="7"/>
      <w:r w:rsidRPr="004E4061">
        <w:rPr>
          <w:rFonts w:ascii="Geomanist Light" w:hAnsi="Geomanist Light" w:cs="Arial"/>
          <w:sz w:val="18"/>
          <w:szCs w:val="18"/>
        </w:rPr>
        <w:t>.</w:t>
      </w:r>
    </w:p>
  </w:footnote>
  <w:footnote w:id="4">
    <w:p w14:paraId="7B78A5D4"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Style w:val="Refdenotaalpie"/>
          <w:rFonts w:ascii="Geomanist Light" w:hAnsi="Geomanist Light" w:cs="Arial"/>
          <w:color w:val="000000"/>
          <w:sz w:val="18"/>
          <w:szCs w:val="18"/>
          <w:lang w:val="es-ES_tradnl"/>
        </w:rPr>
        <w:footnoteRef/>
      </w:r>
      <w:r w:rsidRPr="004E4061">
        <w:rPr>
          <w:rFonts w:ascii="Geomanist Light" w:hAnsi="Geomanist Light" w:cs="Arial"/>
          <w:color w:val="000000"/>
          <w:sz w:val="18"/>
          <w:szCs w:val="18"/>
          <w:lang w:val="es-ES_tradnl"/>
        </w:rPr>
        <w:t xml:space="preserve"> Esto lo ratifica el artículo 2.2.1.2.1.5.2. del Decreto 1082 de 2015.</w:t>
      </w:r>
    </w:p>
    <w:p w14:paraId="5E7EC01B"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p>
  </w:footnote>
  <w:footnote w:id="5">
    <w:p w14:paraId="3F9CC305"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Style w:val="Refdenotaalpie"/>
          <w:rFonts w:ascii="Geomanist Light" w:hAnsi="Geomanist Light" w:cs="Arial"/>
          <w:color w:val="000000"/>
          <w:sz w:val="18"/>
          <w:szCs w:val="18"/>
          <w:lang w:val="es-ES_tradnl"/>
        </w:rPr>
        <w:footnoteRef/>
      </w:r>
      <w:r w:rsidRPr="004E4061">
        <w:rPr>
          <w:rFonts w:ascii="Geomanist Light" w:hAnsi="Geomanist Light" w:cs="Arial"/>
          <w:color w:val="000000"/>
          <w:sz w:val="18"/>
          <w:szCs w:val="18"/>
          <w:lang w:val="es-ES_tradnl"/>
        </w:rPr>
        <w:t xml:space="preserve"> DÁVILA VINUEZA, Luis Guillermo. Régimen jurídico de la contratación estatal. 3ª ed. Bogotá: Legis, 2016. p. 463.</w:t>
      </w:r>
    </w:p>
    <w:p w14:paraId="7BF27047"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p>
  </w:footnote>
  <w:footnote w:id="6">
    <w:p w14:paraId="1ECA4F5A"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Style w:val="Refdenotaalpie"/>
          <w:rFonts w:ascii="Geomanist Light" w:hAnsi="Geomanist Light" w:cs="Arial"/>
          <w:color w:val="000000"/>
          <w:sz w:val="18"/>
          <w:szCs w:val="18"/>
          <w:lang w:val="es-ES_tradnl"/>
        </w:rPr>
        <w:footnoteRef/>
      </w:r>
      <w:r w:rsidRPr="004E4061">
        <w:rPr>
          <w:rFonts w:ascii="Geomanist Light" w:hAnsi="Geomanist Light" w:cs="Arial"/>
          <w:color w:val="000000"/>
          <w:sz w:val="18"/>
          <w:szCs w:val="18"/>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5252F767"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»Para las entidades que tengan un presupuesto anual superior o igual a 1.200.000 salarios mínimos legales mensuales, la menor cuantía será hasta 1.000 salarios mínimos legales mensuales.</w:t>
      </w:r>
    </w:p>
    <w:p w14:paraId="53E9FDBD"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»Las que tengan un presupuesto anual superior o igual a 850.000 salarios mínimos legales mensuales e inferiores a 1.200.000 salarios mínimos legales mensuales, la menor cuantía será hasta 850 salarios mínimos legales mensuales.</w:t>
      </w:r>
    </w:p>
    <w:p w14:paraId="52B814E6"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»Las que tengan un presupuesto anual superior o igual a 400.000 salarios mínimos legales mensuales e inferior a 850.000 salarios mínimos legales mensuales, la menor cuantía será hasta 650 salarios mínimos legales mensuales.</w:t>
      </w:r>
    </w:p>
    <w:p w14:paraId="7B06A234"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»Las que tengan un presupuesto anual superior o igual a 120.000 salarios mínimos legales mensuales e inferior a 400.000 salarios mínimos legales mensuales, la menor cuantía será hasta 450 salarios mínimos legales mensuales.</w:t>
      </w:r>
    </w:p>
    <w:p w14:paraId="48899F40"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»Las que tengan un presupuesto anual inferior a 120.000 salarios mínimos legales mensuales, la menor cuantía será hasta 280 salarios mínimos legales mensuales».</w:t>
      </w:r>
    </w:p>
  </w:footnote>
  <w:footnote w:id="7">
    <w:p w14:paraId="62AF258D" w14:textId="77777777" w:rsidR="008B4E38" w:rsidRPr="004E4061" w:rsidRDefault="008B4E38" w:rsidP="004E4061">
      <w:pPr>
        <w:pStyle w:val="Textonotapie"/>
        <w:spacing w:after="60"/>
        <w:ind w:firstLine="709"/>
        <w:jc w:val="both"/>
        <w:rPr>
          <w:rFonts w:ascii="Geomanist Light" w:hAnsi="Geomanist Light" w:cs="Arial"/>
          <w:sz w:val="18"/>
          <w:szCs w:val="18"/>
        </w:rPr>
      </w:pPr>
      <w:r w:rsidRPr="004E4061">
        <w:rPr>
          <w:rStyle w:val="Refdenotaalpie"/>
          <w:rFonts w:ascii="Geomanist Light" w:hAnsi="Geomanist Light"/>
          <w:sz w:val="18"/>
          <w:szCs w:val="18"/>
        </w:rPr>
        <w:footnoteRef/>
      </w:r>
      <w:r w:rsidRPr="004E4061">
        <w:rPr>
          <w:rFonts w:ascii="Geomanist Light" w:hAnsi="Geomanist Light"/>
          <w:sz w:val="18"/>
          <w:szCs w:val="18"/>
        </w:rPr>
        <w:t xml:space="preserve"> </w:t>
      </w:r>
      <w:r w:rsidRPr="004E4061">
        <w:rPr>
          <w:rFonts w:ascii="Geomanist Light" w:hAnsi="Geomanist Light" w:cs="Arial"/>
          <w:color w:val="000000"/>
          <w:sz w:val="18"/>
          <w:szCs w:val="18"/>
          <w:lang w:val="es-ES_tradnl"/>
        </w:rPr>
        <w:t>«</w:t>
      </w:r>
      <w:r w:rsidRPr="004E4061">
        <w:rPr>
          <w:rFonts w:ascii="Geomanist Light" w:hAnsi="Geomanist Light" w:cs="Arial"/>
          <w:sz w:val="18"/>
          <w:szCs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440811D" w14:textId="2976A0E0" w:rsidR="008B4E38" w:rsidRDefault="008B4E38" w:rsidP="008B4E38">
      <w:pPr>
        <w:pStyle w:val="Textonotapie"/>
        <w:ind w:firstLine="709"/>
        <w:jc w:val="both"/>
        <w:rPr>
          <w:rFonts w:ascii="Geomanist Light" w:hAnsi="Geomanist Light" w:cs="Arial"/>
          <w:color w:val="000000"/>
          <w:sz w:val="18"/>
          <w:szCs w:val="18"/>
          <w:lang w:val="es-ES_tradnl"/>
        </w:rPr>
      </w:pPr>
      <w:r w:rsidRPr="004E4061">
        <w:rPr>
          <w:rFonts w:ascii="Geomanist Light" w:hAnsi="Geomanist Light" w:cs="Arial"/>
          <w:color w:val="000000"/>
          <w:sz w:val="18"/>
          <w:szCs w:val="18"/>
          <w:lang w:val="es-ES_tradnl"/>
        </w:rPr>
        <w:t>»</w:t>
      </w:r>
      <w:r w:rsidRPr="004E4061">
        <w:rPr>
          <w:rFonts w:ascii="Geomanist Light" w:hAnsi="Geomanist Light"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4E4061">
        <w:rPr>
          <w:rFonts w:ascii="Geomanist Light" w:hAnsi="Geomanist Light" w:cs="Arial"/>
          <w:color w:val="000000"/>
          <w:sz w:val="18"/>
          <w:szCs w:val="18"/>
          <w:lang w:val="es-ES_tradnl"/>
        </w:rPr>
        <w:t xml:space="preserve"> […]»</w:t>
      </w:r>
      <w:r w:rsidR="001950DC">
        <w:rPr>
          <w:rFonts w:ascii="Geomanist Light" w:hAnsi="Geomanist Light" w:cs="Arial"/>
          <w:color w:val="000000"/>
          <w:sz w:val="18"/>
          <w:szCs w:val="18"/>
          <w:lang w:val="es-ES_tradnl"/>
        </w:rPr>
        <w:t>.</w:t>
      </w:r>
    </w:p>
    <w:p w14:paraId="773BB152" w14:textId="77777777" w:rsidR="001950DC" w:rsidRPr="004E4061" w:rsidRDefault="001950DC" w:rsidP="008B4E38">
      <w:pPr>
        <w:pStyle w:val="Textonotapie"/>
        <w:ind w:firstLine="709"/>
        <w:jc w:val="both"/>
        <w:rPr>
          <w:rFonts w:ascii="Geomanist Light" w:hAnsi="Geomanist Light"/>
          <w:sz w:val="18"/>
          <w:szCs w:val="18"/>
          <w:lang w:val="es-CO"/>
        </w:rPr>
      </w:pPr>
    </w:p>
  </w:footnote>
  <w:footnote w:id="8">
    <w:p w14:paraId="69A62F24" w14:textId="77777777" w:rsidR="008B4E38" w:rsidRPr="004E4061" w:rsidRDefault="008B4E38" w:rsidP="008B4E38">
      <w:pPr>
        <w:pStyle w:val="Textonotapie"/>
        <w:ind w:firstLine="708"/>
        <w:jc w:val="both"/>
        <w:rPr>
          <w:rFonts w:ascii="Geomanist Light" w:hAnsi="Geomanist Light" w:cs="Arial"/>
          <w:sz w:val="18"/>
          <w:szCs w:val="18"/>
        </w:rPr>
      </w:pPr>
      <w:r w:rsidRPr="004E4061">
        <w:rPr>
          <w:rStyle w:val="Refdenotaalpie"/>
          <w:rFonts w:ascii="Geomanist Light" w:hAnsi="Geomanist Light" w:cs="Arial"/>
          <w:sz w:val="18"/>
          <w:szCs w:val="18"/>
        </w:rPr>
        <w:footnoteRef/>
      </w:r>
      <w:r w:rsidRPr="004E4061">
        <w:rPr>
          <w:rFonts w:ascii="Geomanist Light" w:hAnsi="Geomanist Light" w:cs="Arial"/>
          <w:sz w:val="18"/>
          <w:szCs w:val="18"/>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276B70CA" w14:textId="77777777" w:rsidR="008B4E38" w:rsidRPr="004E4061" w:rsidRDefault="008B4E38" w:rsidP="008B4E38">
      <w:pPr>
        <w:pStyle w:val="Textonotapie"/>
        <w:ind w:firstLine="708"/>
        <w:jc w:val="both"/>
        <w:rPr>
          <w:rFonts w:ascii="Geomanist Light" w:hAnsi="Geomanist Light" w:cs="Arial"/>
          <w:sz w:val="18"/>
          <w:szCs w:val="18"/>
        </w:rPr>
      </w:pPr>
    </w:p>
  </w:footnote>
  <w:footnote w:id="9">
    <w:p w14:paraId="5FD2C0C2"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r w:rsidRPr="004E4061">
        <w:rPr>
          <w:rStyle w:val="Refdenotaalpie"/>
          <w:rFonts w:ascii="Geomanist Light" w:hAnsi="Geomanist Light" w:cs="Arial"/>
          <w:color w:val="000000"/>
          <w:sz w:val="18"/>
          <w:szCs w:val="18"/>
          <w:lang w:val="es-ES_tradnl"/>
        </w:rPr>
        <w:footnoteRef/>
      </w:r>
      <w:r w:rsidRPr="004E4061">
        <w:rPr>
          <w:rFonts w:ascii="Geomanist Light" w:hAnsi="Geomanist Light" w:cs="Arial"/>
          <w:color w:val="000000"/>
          <w:sz w:val="18"/>
          <w:szCs w:val="18"/>
          <w:lang w:val="es-ES_tradnl"/>
        </w:rPr>
        <w:t xml:space="preserve"> Como lo indica la doctrina, en la mínima cuantía «El precio es el factor de selección del proponente. Es decir, la </w:t>
      </w:r>
      <w:r w:rsidRPr="004E4061">
        <w:rPr>
          <w:rFonts w:ascii="Geomanist Light" w:hAnsi="Geomanist Light" w:cs="Arial"/>
          <w:i/>
          <w:iCs/>
          <w:color w:val="000000"/>
          <w:sz w:val="18"/>
          <w:szCs w:val="18"/>
          <w:lang w:val="es-ES_tradnl"/>
        </w:rPr>
        <w:t>entidad estatal</w:t>
      </w:r>
      <w:r w:rsidRPr="004E4061">
        <w:rPr>
          <w:rFonts w:ascii="Geomanist Light" w:hAnsi="Geomanist Light" w:cs="Arial"/>
          <w:color w:val="000000"/>
          <w:sz w:val="18"/>
          <w:szCs w:val="18"/>
          <w:lang w:val="es-ES_tradnl"/>
        </w:rPr>
        <w:t xml:space="preserve"> debe adjudicar el </w:t>
      </w:r>
      <w:r w:rsidRPr="004E4061">
        <w:rPr>
          <w:rFonts w:ascii="Geomanist Light" w:hAnsi="Geomanist Light" w:cs="Arial"/>
          <w:i/>
          <w:iCs/>
          <w:color w:val="000000"/>
          <w:sz w:val="18"/>
          <w:szCs w:val="18"/>
          <w:lang w:val="es-ES_tradnl"/>
        </w:rPr>
        <w:t>proceso de contratación</w:t>
      </w:r>
      <w:r w:rsidRPr="004E4061">
        <w:rPr>
          <w:rFonts w:ascii="Geomanist Light" w:hAnsi="Geomanist Light" w:cs="Arial"/>
          <w:color w:val="000000"/>
          <w:sz w:val="18"/>
          <w:szCs w:val="18"/>
          <w:lang w:val="es-ES_tradnl"/>
        </w:rPr>
        <w:t xml:space="preserve"> al oferente que cumpla con todas las condiciones exigidas por la </w:t>
      </w:r>
      <w:r w:rsidRPr="004E4061">
        <w:rPr>
          <w:rFonts w:ascii="Geomanist Light" w:hAnsi="Geomanist Light" w:cs="Arial"/>
          <w:i/>
          <w:iCs/>
          <w:color w:val="000000"/>
          <w:sz w:val="18"/>
          <w:szCs w:val="18"/>
          <w:lang w:val="es-ES_tradnl"/>
        </w:rPr>
        <w:t>entidad estatal</w:t>
      </w:r>
      <w:r w:rsidRPr="004E4061">
        <w:rPr>
          <w:rFonts w:ascii="Geomanist Light" w:hAnsi="Geomanist Light" w:cs="Arial"/>
          <w:color w:val="000000"/>
          <w:sz w:val="18"/>
          <w:szCs w:val="18"/>
          <w:lang w:val="es-ES_tradnl"/>
        </w:rPr>
        <w:t xml:space="preserve"> en los </w:t>
      </w:r>
      <w:r w:rsidRPr="004E4061">
        <w:rPr>
          <w:rFonts w:ascii="Geomanist Light" w:hAnsi="Geomanist Light" w:cs="Arial"/>
          <w:i/>
          <w:iCs/>
          <w:color w:val="000000"/>
          <w:sz w:val="18"/>
          <w:szCs w:val="18"/>
          <w:lang w:val="es-ES_tradnl"/>
        </w:rPr>
        <w:t>documentos del proceso</w:t>
      </w:r>
      <w:r w:rsidRPr="004E4061">
        <w:rPr>
          <w:rFonts w:ascii="Geomanist Light" w:hAnsi="Geomanist Light" w:cs="Arial"/>
          <w:color w:val="000000"/>
          <w:sz w:val="18"/>
          <w:szCs w:val="18"/>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3339C857" w14:textId="77777777" w:rsidR="008B4E38" w:rsidRPr="004E4061" w:rsidRDefault="008B4E38" w:rsidP="008B4E38">
      <w:pPr>
        <w:pStyle w:val="Textonotapie"/>
        <w:ind w:firstLine="709"/>
        <w:jc w:val="both"/>
        <w:rPr>
          <w:rFonts w:ascii="Geomanist Light" w:hAnsi="Geomanist Light" w:cs="Arial"/>
          <w:color w:val="000000"/>
          <w:sz w:val="18"/>
          <w:szCs w:val="18"/>
          <w:lang w:val="es-ES_tradnl"/>
        </w:rPr>
      </w:pPr>
    </w:p>
  </w:footnote>
  <w:footnote w:id="10">
    <w:p w14:paraId="3595D990" w14:textId="77777777" w:rsidR="00E27340" w:rsidRPr="004E4061" w:rsidRDefault="00E27340" w:rsidP="00E27340">
      <w:pPr>
        <w:pStyle w:val="Textonotapie"/>
        <w:ind w:firstLine="708"/>
        <w:jc w:val="both"/>
        <w:rPr>
          <w:rFonts w:ascii="Geomanist Light" w:hAnsi="Geomanist Light" w:cs="Arial"/>
          <w:sz w:val="18"/>
          <w:szCs w:val="18"/>
        </w:rPr>
      </w:pPr>
      <w:r w:rsidRPr="004E4061">
        <w:rPr>
          <w:rStyle w:val="Refdenotaalpie"/>
          <w:rFonts w:ascii="Geomanist Light" w:hAnsi="Geomanist Light" w:cs="Arial"/>
          <w:sz w:val="18"/>
          <w:szCs w:val="18"/>
        </w:rPr>
        <w:footnoteRef/>
      </w:r>
      <w:r w:rsidRPr="004E4061">
        <w:rPr>
          <w:rFonts w:ascii="Geomanist Light" w:hAnsi="Geomanist Light"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4E4061">
          <w:rPr>
            <w:rStyle w:val="Hipervnculo1"/>
            <w:rFonts w:ascii="Geomanist Light" w:hAnsi="Geomanist Light" w:cs="Arial"/>
            <w:color w:val="000000"/>
            <w:sz w:val="18"/>
            <w:szCs w:val="18"/>
          </w:rPr>
          <w:t>https://www.colombiacompra.gov.co/sites/cce_public/files/files_2020/vf_umbrales_actualizaciones_2022_-_2023_1.pdf</w:t>
        </w:r>
      </w:hyperlink>
      <w:r w:rsidRPr="004E4061">
        <w:rPr>
          <w:rFonts w:ascii="Geomanist Light" w:hAnsi="Geomanist Light" w:cs="Arial"/>
          <w:color w:val="000000"/>
          <w:sz w:val="18"/>
          <w:szCs w:val="18"/>
        </w:rPr>
        <w:t xml:space="preserve">. </w:t>
      </w:r>
      <w:r w:rsidRPr="004E4061">
        <w:rPr>
          <w:rFonts w:ascii="Geomanist Light" w:hAnsi="Geomanist Light" w:cs="Arial"/>
          <w:sz w:val="18"/>
          <w:szCs w:val="18"/>
        </w:rPr>
        <w:t>Allí se señala que el monto corresponde a $ 457.297.264.</w:t>
      </w:r>
    </w:p>
  </w:footnote>
  <w:footnote w:id="11">
    <w:p w14:paraId="50C82FF8" w14:textId="77777777" w:rsidR="00E27340" w:rsidRPr="004E4061" w:rsidRDefault="00E27340" w:rsidP="00E27340">
      <w:pPr>
        <w:pStyle w:val="Textonotapie"/>
        <w:ind w:firstLine="709"/>
        <w:jc w:val="both"/>
        <w:rPr>
          <w:rFonts w:ascii="Geomanist Light" w:hAnsi="Geomanist Light" w:cs="Arial"/>
          <w:sz w:val="18"/>
          <w:szCs w:val="18"/>
        </w:rPr>
      </w:pPr>
      <w:r w:rsidRPr="004E4061">
        <w:rPr>
          <w:rStyle w:val="Refdenotaalpie"/>
          <w:rFonts w:ascii="Geomanist Light" w:hAnsi="Geomanist Light" w:cs="Arial"/>
          <w:sz w:val="18"/>
          <w:szCs w:val="18"/>
        </w:rPr>
        <w:footnoteRef/>
      </w:r>
      <w:r w:rsidRPr="004E4061">
        <w:rPr>
          <w:rFonts w:ascii="Geomanist Light" w:hAnsi="Geomanist Light" w:cs="Arial"/>
          <w:sz w:val="18"/>
          <w:szCs w:val="18"/>
        </w:rPr>
        <w:t xml:space="preserve">  Agencia Nacional de Contratación Pública – Colombia Compra Eficiente. Concepto C-045 del 17 de marzo de 2020. Radicado de salida No. 2202013000001974.</w:t>
      </w:r>
    </w:p>
  </w:footnote>
  <w:footnote w:id="12">
    <w:p w14:paraId="2AE521F3" w14:textId="77777777" w:rsidR="00E27340" w:rsidRPr="004E4061" w:rsidRDefault="00E27340" w:rsidP="00E27340">
      <w:pPr>
        <w:pStyle w:val="Textonotapie"/>
        <w:ind w:firstLine="709"/>
        <w:jc w:val="both"/>
        <w:rPr>
          <w:rFonts w:ascii="Geomanist Light" w:hAnsi="Geomanist Light" w:cs="Arial"/>
          <w:sz w:val="18"/>
          <w:szCs w:val="18"/>
        </w:rPr>
      </w:pPr>
      <w:r w:rsidRPr="004E4061">
        <w:rPr>
          <w:rStyle w:val="Refdenotaalpie"/>
          <w:rFonts w:ascii="Geomanist Light" w:hAnsi="Geomanist Light" w:cs="Arial"/>
          <w:sz w:val="18"/>
          <w:szCs w:val="18"/>
        </w:rPr>
        <w:footnoteRef/>
      </w:r>
      <w:r w:rsidRPr="004E4061">
        <w:rPr>
          <w:rFonts w:ascii="Geomanist Light" w:hAnsi="Geomanist Light" w:cs="Arial"/>
          <w:sz w:val="18"/>
          <w:szCs w:val="18"/>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33542D7C" w14:textId="77777777" w:rsidR="00E27340" w:rsidRPr="004E4061" w:rsidRDefault="00E27340" w:rsidP="00E27340">
      <w:pPr>
        <w:pStyle w:val="Textonotapie"/>
        <w:ind w:firstLine="709"/>
        <w:jc w:val="both"/>
        <w:rPr>
          <w:rFonts w:ascii="Geomanist Light" w:hAnsi="Geomanist Light" w:cs="Arial"/>
          <w:sz w:val="18"/>
          <w:szCs w:val="18"/>
        </w:rPr>
      </w:pPr>
      <w:r w:rsidRPr="004E4061">
        <w:rPr>
          <w:rFonts w:ascii="Geomanist Light" w:hAnsi="Geomanist Light" w:cs="Arial"/>
          <w:sz w:val="18"/>
          <w:szCs w:val="18"/>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3F61CF74" w14:textId="77777777" w:rsidR="00E27340" w:rsidRPr="004E4061" w:rsidRDefault="00E27340" w:rsidP="00E27340">
      <w:pPr>
        <w:pStyle w:val="Textonotapie"/>
        <w:ind w:firstLine="709"/>
        <w:jc w:val="both"/>
        <w:rPr>
          <w:rFonts w:ascii="Geomanist Light" w:hAnsi="Geomanist Light" w:cs="Arial"/>
          <w:sz w:val="18"/>
          <w:szCs w:val="18"/>
        </w:rPr>
      </w:pPr>
      <w:r w:rsidRPr="004E4061">
        <w:rPr>
          <w:rFonts w:ascii="Geomanist Light" w:hAnsi="Geomanist Light" w:cs="Arial"/>
          <w:sz w:val="18"/>
          <w:szCs w:val="18"/>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26607414" w14:textId="77777777" w:rsidR="00E27340" w:rsidRPr="004E4061" w:rsidRDefault="00E27340" w:rsidP="00E27340">
      <w:pPr>
        <w:pStyle w:val="Textonotapie"/>
        <w:ind w:firstLine="709"/>
        <w:jc w:val="both"/>
        <w:rPr>
          <w:rFonts w:ascii="Geomanist Light" w:hAnsi="Geomanist Light" w:cs="Arial"/>
          <w:sz w:val="18"/>
          <w:szCs w:val="18"/>
        </w:rPr>
      </w:pPr>
      <w:r w:rsidRPr="004E4061">
        <w:rPr>
          <w:rFonts w:ascii="Geomanist Light" w:hAnsi="Geomanist Light" w:cs="Arial"/>
          <w:sz w:val="18"/>
          <w:szCs w:val="18"/>
        </w:rPr>
        <w:t xml:space="preserve">Tratándose de personas jurídicas, las solicitudes solo las podrán realizar Mipyme, cuyo objeto social les permita ejecutar el contrato relacionado con el proceso contractual. </w:t>
      </w:r>
    </w:p>
    <w:p w14:paraId="5D51DC0F" w14:textId="77777777" w:rsidR="00E27340" w:rsidRPr="004E4061" w:rsidRDefault="00E27340" w:rsidP="00E27340">
      <w:pPr>
        <w:pStyle w:val="Textonotapie"/>
        <w:ind w:firstLine="709"/>
        <w:jc w:val="both"/>
        <w:rPr>
          <w:rFonts w:ascii="Geomanist Light" w:hAnsi="Geomanist Light" w:cs="Arial"/>
          <w:sz w:val="18"/>
          <w:szCs w:val="18"/>
        </w:rPr>
      </w:pPr>
      <w:r w:rsidRPr="004E4061">
        <w:rPr>
          <w:rFonts w:ascii="Geomanist Light" w:hAnsi="Geomanist Light" w:cs="Arial"/>
          <w:sz w:val="18"/>
          <w:szCs w:val="18"/>
        </w:rPr>
        <w:t>PARÁGRAFO.</w:t>
      </w:r>
      <w:r w:rsidRPr="004E4061">
        <w:rPr>
          <w:rFonts w:ascii="Cambria Math" w:hAnsi="Cambria Math" w:cs="Cambria Math"/>
          <w:sz w:val="18"/>
          <w:szCs w:val="18"/>
        </w:rPr>
        <w:t> </w:t>
      </w:r>
      <w:r w:rsidRPr="004E4061">
        <w:rPr>
          <w:rFonts w:ascii="Geomanist Light" w:hAnsi="Geomanist Light" w:cs="Arial"/>
          <w:sz w:val="18"/>
          <w:szCs w:val="18"/>
        </w:rPr>
        <w:t>Las cooperativas y dem</w:t>
      </w:r>
      <w:r w:rsidRPr="004E4061">
        <w:rPr>
          <w:rFonts w:ascii="Geomanist Light" w:hAnsi="Geomanist Light" w:cs="Geomanist Light"/>
          <w:sz w:val="18"/>
          <w:szCs w:val="18"/>
        </w:rPr>
        <w:t>á</w:t>
      </w:r>
      <w:r w:rsidRPr="004E4061">
        <w:rPr>
          <w:rFonts w:ascii="Geomanist Light" w:hAnsi="Geomanist Light" w:cs="Arial"/>
          <w:sz w:val="18"/>
          <w:szCs w:val="18"/>
        </w:rPr>
        <w:t>s entidades de econom</w:t>
      </w:r>
      <w:r w:rsidRPr="004E4061">
        <w:rPr>
          <w:rFonts w:ascii="Geomanist Light" w:hAnsi="Geomanist Light" w:cs="Geomanist Light"/>
          <w:sz w:val="18"/>
          <w:szCs w:val="18"/>
        </w:rPr>
        <w:t>í</w:t>
      </w:r>
      <w:r w:rsidRPr="004E4061">
        <w:rPr>
          <w:rFonts w:ascii="Geomanist Light" w:hAnsi="Geomanist Light" w:cs="Arial"/>
          <w:sz w:val="18"/>
          <w:szCs w:val="18"/>
        </w:rPr>
        <w:t>a solidaria, siempre que tengan la calidad de M</w:t>
      </w:r>
      <w:r w:rsidRPr="004E4061">
        <w:rPr>
          <w:rFonts w:ascii="Geomanist Light" w:hAnsi="Geomanist Light" w:cs="Geomanist Light"/>
          <w:sz w:val="18"/>
          <w:szCs w:val="18"/>
        </w:rPr>
        <w:t>í</w:t>
      </w:r>
      <w:r w:rsidRPr="004E4061">
        <w:rPr>
          <w:rFonts w:ascii="Geomanist Light" w:hAnsi="Geomanist Light" w:cs="Arial"/>
          <w:sz w:val="18"/>
          <w:szCs w:val="18"/>
        </w:rPr>
        <w:t>pyme, podr</w:t>
      </w:r>
      <w:r w:rsidRPr="004E4061">
        <w:rPr>
          <w:rFonts w:ascii="Geomanist Light" w:hAnsi="Geomanist Light" w:cs="Geomanist Light"/>
          <w:sz w:val="18"/>
          <w:szCs w:val="18"/>
        </w:rPr>
        <w:t>á</w:t>
      </w:r>
      <w:r w:rsidRPr="004E4061">
        <w:rPr>
          <w:rFonts w:ascii="Geomanist Light" w:hAnsi="Geomanist Light" w:cs="Arial"/>
          <w:sz w:val="18"/>
          <w:szCs w:val="18"/>
        </w:rPr>
        <w:t>n solicitar y participar en las convocatorias limitadas en las mismas condiciones dispuestas en el presente artículo.</w:t>
      </w:r>
    </w:p>
  </w:footnote>
  <w:footnote w:id="13">
    <w:p w14:paraId="28741F84" w14:textId="77777777" w:rsidR="00E27340" w:rsidRPr="004E4061" w:rsidRDefault="00E27340" w:rsidP="00E27340">
      <w:pPr>
        <w:pStyle w:val="Textonotapie"/>
        <w:ind w:firstLine="708"/>
        <w:jc w:val="both"/>
        <w:rPr>
          <w:rFonts w:ascii="Geomanist Light" w:hAnsi="Geomanist Light" w:cs="Arial"/>
          <w:color w:val="000000"/>
          <w:sz w:val="18"/>
          <w:szCs w:val="18"/>
        </w:rPr>
      </w:pPr>
    </w:p>
    <w:p w14:paraId="09E9CC4B" w14:textId="77777777" w:rsidR="00E27340" w:rsidRPr="004E4061" w:rsidRDefault="00E27340" w:rsidP="00E27340">
      <w:pPr>
        <w:pStyle w:val="Textonotapie"/>
        <w:ind w:firstLine="708"/>
        <w:jc w:val="both"/>
        <w:rPr>
          <w:rFonts w:ascii="Geomanist Light" w:hAnsi="Geomanist Light" w:cs="Arial"/>
          <w:color w:val="000000"/>
          <w:sz w:val="18"/>
          <w:szCs w:val="18"/>
        </w:rPr>
      </w:pPr>
      <w:r w:rsidRPr="004E4061">
        <w:rPr>
          <w:rStyle w:val="Refdenotaalpie"/>
          <w:rFonts w:ascii="Geomanist Light" w:hAnsi="Geomanist Light" w:cs="Arial"/>
          <w:color w:val="000000"/>
          <w:sz w:val="18"/>
          <w:szCs w:val="18"/>
        </w:rPr>
        <w:footnoteRef/>
      </w:r>
      <w:r w:rsidRPr="004E4061">
        <w:rPr>
          <w:rFonts w:ascii="Geomanist Light" w:hAnsi="Geomanist Light" w:cs="Arial"/>
          <w:color w:val="000000"/>
          <w:sz w:val="18"/>
          <w:szCs w:val="18"/>
        </w:rPr>
        <w:t>Ley 1150 de 2011. Artículo 12 modificado por el artículo 34 de la Ley 2069 de 2020.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694F1BB5" w14:textId="77777777" w:rsidR="00E27340" w:rsidRPr="004E4061" w:rsidRDefault="00E27340" w:rsidP="00E27340">
      <w:pPr>
        <w:pStyle w:val="Textonotapie"/>
        <w:ind w:firstLine="708"/>
        <w:jc w:val="both"/>
        <w:rPr>
          <w:rFonts w:ascii="Geomanist Light" w:hAnsi="Geomanist Light"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D955" w14:textId="77777777" w:rsidR="000E0524" w:rsidRDefault="004E4061">
    <w:pPr>
      <w:pStyle w:val="Encabezado"/>
    </w:pPr>
  </w:p>
  <w:p w14:paraId="50B92521" w14:textId="77777777" w:rsidR="0035023B" w:rsidRPr="003F58A1" w:rsidRDefault="0035023B" w:rsidP="004E4061">
    <w:pPr>
      <w:spacing w:after="0" w:line="240" w:lineRule="auto"/>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30C60021" wp14:editId="36FFBC3D">
          <wp:simplePos x="0" y="0"/>
          <wp:positionH relativeFrom="margin">
            <wp:posOffset>3973830</wp:posOffset>
          </wp:positionH>
          <wp:positionV relativeFrom="paragraph">
            <wp:posOffset>16510</wp:posOffset>
          </wp:positionV>
          <wp:extent cx="1657350" cy="676275"/>
          <wp:effectExtent l="0" t="0" r="0" b="9525"/>
          <wp:wrapNone/>
          <wp:docPr id="32"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35023B" w:rsidRPr="00367110" w14:paraId="11E7BAEB" w14:textId="77777777" w:rsidTr="002E093C">
      <w:tc>
        <w:tcPr>
          <w:tcW w:w="6756" w:type="dxa"/>
        </w:tcPr>
        <w:p w14:paraId="69D255A0" w14:textId="77777777" w:rsidR="0035023B" w:rsidRPr="006478E3" w:rsidRDefault="0035023B" w:rsidP="004E4061">
          <w:pPr>
            <w:pBdr>
              <w:top w:val="nil"/>
              <w:left w:val="nil"/>
              <w:bottom w:val="nil"/>
              <w:right w:val="nil"/>
              <w:between w:val="nil"/>
            </w:pBdr>
            <w:tabs>
              <w:tab w:val="center" w:pos="4419"/>
              <w:tab w:val="right" w:pos="8838"/>
              <w:tab w:val="center" w:pos="5400"/>
            </w:tabs>
            <w:spacing w:after="0" w:line="240" w:lineRule="auto"/>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52BD7E1" w14:textId="77777777" w:rsidR="0035023B" w:rsidRPr="0057618A" w:rsidRDefault="0035023B" w:rsidP="004E4061">
          <w:pPr>
            <w:pBdr>
              <w:top w:val="nil"/>
              <w:left w:val="nil"/>
              <w:bottom w:val="nil"/>
              <w:right w:val="nil"/>
              <w:between w:val="nil"/>
            </w:pBdr>
            <w:tabs>
              <w:tab w:val="center" w:pos="4419"/>
              <w:tab w:val="right" w:pos="8838"/>
              <w:tab w:val="center" w:pos="5400"/>
            </w:tabs>
            <w:spacing w:after="0" w:line="240" w:lineRule="auto"/>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3E05BD23" w14:textId="77777777" w:rsidR="0035023B" w:rsidRPr="00367110" w:rsidRDefault="0035023B" w:rsidP="004E4061">
          <w:pPr>
            <w:spacing w:after="0" w:line="240" w:lineRule="auto"/>
            <w:jc w:val="right"/>
            <w:rPr>
              <w:rFonts w:eastAsia="Arial Nova" w:cs="Arial Nova"/>
              <w:lang w:eastAsia="es-CO"/>
            </w:rPr>
          </w:pPr>
        </w:p>
      </w:tc>
      <w:tc>
        <w:tcPr>
          <w:tcW w:w="1324" w:type="dxa"/>
        </w:tcPr>
        <w:p w14:paraId="7D35BEDA" w14:textId="77777777" w:rsidR="0035023B" w:rsidRPr="00367110" w:rsidRDefault="0035023B" w:rsidP="004E4061">
          <w:pPr>
            <w:spacing w:after="0" w:line="240" w:lineRule="auto"/>
            <w:jc w:val="right"/>
            <w:rPr>
              <w:rFonts w:eastAsia="Arial Nova" w:cs="Arial Nova"/>
              <w:lang w:eastAsia="es-CO"/>
            </w:rPr>
          </w:pPr>
        </w:p>
      </w:tc>
    </w:tr>
  </w:tbl>
  <w:p w14:paraId="749A4DE8" w14:textId="54A64A6C" w:rsidR="000E0524" w:rsidRDefault="0035023B" w:rsidP="0035023B">
    <w:pPr>
      <w:pStyle w:val="Encabezado"/>
      <w:ind w:left="3545" w:firstLine="709"/>
    </w:pPr>
    <w:r w:rsidRPr="00367110">
      <w:rPr>
        <w:rFonts w:eastAsia="Arial Nova" w:cs="Arial Nova"/>
        <w:noProof/>
        <w:color w:val="000000"/>
        <w:lang w:val="en-US"/>
      </w:rPr>
      <w:drawing>
        <wp:anchor distT="0" distB="0" distL="114300" distR="114300" simplePos="0" relativeHeight="251660288" behindDoc="1" locked="0" layoutInCell="1" allowOverlap="1" wp14:anchorId="0BE53715" wp14:editId="737EE45C">
          <wp:simplePos x="0" y="0"/>
          <wp:positionH relativeFrom="column">
            <wp:posOffset>62866</wp:posOffset>
          </wp:positionH>
          <wp:positionV relativeFrom="paragraph">
            <wp:posOffset>1905</wp:posOffset>
          </wp:positionV>
          <wp:extent cx="3238500" cy="7620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32CB1"/>
    <w:multiLevelType w:val="hybridMultilevel"/>
    <w:tmpl w:val="95F457BE"/>
    <w:lvl w:ilvl="0" w:tplc="8ACC26C0">
      <w:start w:val="1"/>
      <w:numFmt w:val="decimal"/>
      <w:lvlText w:val="%1."/>
      <w:lvlJc w:val="left"/>
      <w:pPr>
        <w:ind w:left="343" w:hanging="243"/>
        <w:jc w:val="left"/>
      </w:pPr>
      <w:rPr>
        <w:rFonts w:ascii="Arial" w:eastAsia="Arial" w:hAnsi="Arial" w:cs="Arial" w:hint="default"/>
        <w:b/>
        <w:bCs/>
        <w:spacing w:val="-1"/>
        <w:w w:val="100"/>
        <w:sz w:val="22"/>
        <w:szCs w:val="22"/>
        <w:lang w:val="es-ES" w:eastAsia="en-US" w:bidi="ar-SA"/>
      </w:rPr>
    </w:lvl>
    <w:lvl w:ilvl="1" w:tplc="F6DCE160">
      <w:start w:val="1"/>
      <w:numFmt w:val="decimal"/>
      <w:lvlText w:val="%2."/>
      <w:lvlJc w:val="left"/>
      <w:pPr>
        <w:ind w:left="808" w:hanging="430"/>
        <w:jc w:val="left"/>
      </w:pPr>
      <w:rPr>
        <w:rFonts w:ascii="Arial" w:eastAsia="Arial" w:hAnsi="Arial" w:cs="Arial" w:hint="default"/>
        <w:color w:val="333333"/>
        <w:spacing w:val="-13"/>
        <w:w w:val="100"/>
        <w:sz w:val="22"/>
        <w:szCs w:val="22"/>
        <w:lang w:val="es-ES" w:eastAsia="en-US" w:bidi="ar-SA"/>
      </w:rPr>
    </w:lvl>
    <w:lvl w:ilvl="2" w:tplc="AB08E422">
      <w:numFmt w:val="bullet"/>
      <w:lvlText w:val="•"/>
      <w:lvlJc w:val="left"/>
      <w:pPr>
        <w:ind w:left="1726" w:hanging="430"/>
      </w:pPr>
      <w:rPr>
        <w:rFonts w:hint="default"/>
        <w:lang w:val="es-ES" w:eastAsia="en-US" w:bidi="ar-SA"/>
      </w:rPr>
    </w:lvl>
    <w:lvl w:ilvl="3" w:tplc="791EE1BA">
      <w:numFmt w:val="bullet"/>
      <w:lvlText w:val="•"/>
      <w:lvlJc w:val="left"/>
      <w:pPr>
        <w:ind w:left="2653" w:hanging="430"/>
      </w:pPr>
      <w:rPr>
        <w:rFonts w:hint="default"/>
        <w:lang w:val="es-ES" w:eastAsia="en-US" w:bidi="ar-SA"/>
      </w:rPr>
    </w:lvl>
    <w:lvl w:ilvl="4" w:tplc="472E3006">
      <w:numFmt w:val="bullet"/>
      <w:lvlText w:val="•"/>
      <w:lvlJc w:val="left"/>
      <w:pPr>
        <w:ind w:left="3580" w:hanging="430"/>
      </w:pPr>
      <w:rPr>
        <w:rFonts w:hint="default"/>
        <w:lang w:val="es-ES" w:eastAsia="en-US" w:bidi="ar-SA"/>
      </w:rPr>
    </w:lvl>
    <w:lvl w:ilvl="5" w:tplc="A35C78D0">
      <w:numFmt w:val="bullet"/>
      <w:lvlText w:val="•"/>
      <w:lvlJc w:val="left"/>
      <w:pPr>
        <w:ind w:left="4506" w:hanging="430"/>
      </w:pPr>
      <w:rPr>
        <w:rFonts w:hint="default"/>
        <w:lang w:val="es-ES" w:eastAsia="en-US" w:bidi="ar-SA"/>
      </w:rPr>
    </w:lvl>
    <w:lvl w:ilvl="6" w:tplc="5260C678">
      <w:numFmt w:val="bullet"/>
      <w:lvlText w:val="•"/>
      <w:lvlJc w:val="left"/>
      <w:pPr>
        <w:ind w:left="5433" w:hanging="430"/>
      </w:pPr>
      <w:rPr>
        <w:rFonts w:hint="default"/>
        <w:lang w:val="es-ES" w:eastAsia="en-US" w:bidi="ar-SA"/>
      </w:rPr>
    </w:lvl>
    <w:lvl w:ilvl="7" w:tplc="7200D6A4">
      <w:numFmt w:val="bullet"/>
      <w:lvlText w:val="•"/>
      <w:lvlJc w:val="left"/>
      <w:pPr>
        <w:ind w:left="6360" w:hanging="430"/>
      </w:pPr>
      <w:rPr>
        <w:rFonts w:hint="default"/>
        <w:lang w:val="es-ES" w:eastAsia="en-US" w:bidi="ar-SA"/>
      </w:rPr>
    </w:lvl>
    <w:lvl w:ilvl="8" w:tplc="DFEACCE0">
      <w:numFmt w:val="bullet"/>
      <w:lvlText w:val="•"/>
      <w:lvlJc w:val="left"/>
      <w:pPr>
        <w:ind w:left="7286" w:hanging="430"/>
      </w:pPr>
      <w:rPr>
        <w:rFonts w:hint="default"/>
        <w:lang w:val="es-ES" w:eastAsia="en-US" w:bidi="ar-SA"/>
      </w:rPr>
    </w:lvl>
  </w:abstractNum>
  <w:num w:numId="1" w16cid:durableId="24087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B"/>
    <w:rsid w:val="0000142F"/>
    <w:rsid w:val="000F3B96"/>
    <w:rsid w:val="001425C6"/>
    <w:rsid w:val="00181A0F"/>
    <w:rsid w:val="00182BF3"/>
    <w:rsid w:val="001950DC"/>
    <w:rsid w:val="001A5C14"/>
    <w:rsid w:val="001B1886"/>
    <w:rsid w:val="001D7996"/>
    <w:rsid w:val="002248EA"/>
    <w:rsid w:val="00225EB1"/>
    <w:rsid w:val="00256C32"/>
    <w:rsid w:val="002653FF"/>
    <w:rsid w:val="002A7D7F"/>
    <w:rsid w:val="002C2ED3"/>
    <w:rsid w:val="0030626B"/>
    <w:rsid w:val="00320B20"/>
    <w:rsid w:val="0035023B"/>
    <w:rsid w:val="00386C04"/>
    <w:rsid w:val="004A0BE9"/>
    <w:rsid w:val="004B39A3"/>
    <w:rsid w:val="004B3CB8"/>
    <w:rsid w:val="004C4336"/>
    <w:rsid w:val="004D1ABB"/>
    <w:rsid w:val="004E4061"/>
    <w:rsid w:val="00557A6D"/>
    <w:rsid w:val="00592FD8"/>
    <w:rsid w:val="005A3892"/>
    <w:rsid w:val="00661D31"/>
    <w:rsid w:val="006A6A77"/>
    <w:rsid w:val="006B3DD6"/>
    <w:rsid w:val="006C3662"/>
    <w:rsid w:val="006C7518"/>
    <w:rsid w:val="006E03BA"/>
    <w:rsid w:val="006E1109"/>
    <w:rsid w:val="0073302E"/>
    <w:rsid w:val="00761EAB"/>
    <w:rsid w:val="007721C9"/>
    <w:rsid w:val="007D5327"/>
    <w:rsid w:val="00804B47"/>
    <w:rsid w:val="0085774A"/>
    <w:rsid w:val="00870BB0"/>
    <w:rsid w:val="00894767"/>
    <w:rsid w:val="008B4E38"/>
    <w:rsid w:val="008E0171"/>
    <w:rsid w:val="0094687D"/>
    <w:rsid w:val="00A03BDF"/>
    <w:rsid w:val="00A52434"/>
    <w:rsid w:val="00AF531E"/>
    <w:rsid w:val="00B077C8"/>
    <w:rsid w:val="00B476AD"/>
    <w:rsid w:val="00B51780"/>
    <w:rsid w:val="00B92DD5"/>
    <w:rsid w:val="00BE217B"/>
    <w:rsid w:val="00C2233A"/>
    <w:rsid w:val="00C32453"/>
    <w:rsid w:val="00C93C25"/>
    <w:rsid w:val="00CB7799"/>
    <w:rsid w:val="00CD784B"/>
    <w:rsid w:val="00CE3839"/>
    <w:rsid w:val="00D3077E"/>
    <w:rsid w:val="00D307FA"/>
    <w:rsid w:val="00D34ED9"/>
    <w:rsid w:val="00D94E44"/>
    <w:rsid w:val="00D96CBF"/>
    <w:rsid w:val="00DB0CC9"/>
    <w:rsid w:val="00E27340"/>
    <w:rsid w:val="00E62D69"/>
    <w:rsid w:val="00E702D0"/>
    <w:rsid w:val="00ED4A62"/>
    <w:rsid w:val="00ED53F0"/>
    <w:rsid w:val="00EE6510"/>
    <w:rsid w:val="00EF2C7A"/>
    <w:rsid w:val="00EF4DC3"/>
    <w:rsid w:val="00F94B4D"/>
    <w:rsid w:val="00FA610C"/>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50DE"/>
  <w15:chartTrackingRefBased/>
  <w15:docId w15:val="{03D75E89-C0F0-4AE5-837A-F562422E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23B"/>
  </w:style>
  <w:style w:type="paragraph" w:styleId="Piedepgina">
    <w:name w:val="footer"/>
    <w:basedOn w:val="Normal"/>
    <w:link w:val="PiedepginaCar"/>
    <w:uiPriority w:val="99"/>
    <w:unhideWhenUsed/>
    <w:rsid w:val="00350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23B"/>
  </w:style>
  <w:style w:type="table" w:styleId="Tablaconcuadrcula">
    <w:name w:val="Table Grid"/>
    <w:basedOn w:val="Tablanormal"/>
    <w:uiPriority w:val="59"/>
    <w:rsid w:val="0035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5023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5023B"/>
    <w:pPr>
      <w:spacing w:after="0" w:line="240" w:lineRule="auto"/>
    </w:pPr>
    <w:rPr>
      <w:sz w:val="20"/>
      <w:szCs w:val="20"/>
      <w:lang w:val="es-MX"/>
    </w:rPr>
  </w:style>
  <w:style w:type="character" w:customStyle="1" w:styleId="TextonotapieCar1">
    <w:name w:val="Texto nota pie Car1"/>
    <w:basedOn w:val="Fuentedeprrafopredeter"/>
    <w:uiPriority w:val="99"/>
    <w:semiHidden/>
    <w:rsid w:val="0035023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35023B"/>
    <w:rPr>
      <w:vertAlign w:val="superscript"/>
    </w:rPr>
  </w:style>
  <w:style w:type="table" w:customStyle="1" w:styleId="Tablaconcuadrcula1">
    <w:name w:val="Tabla con cuadrícula1"/>
    <w:basedOn w:val="Tablanormal"/>
    <w:next w:val="Tablaconcuadrcula"/>
    <w:uiPriority w:val="59"/>
    <w:rsid w:val="0035023B"/>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5023B"/>
    <w:pPr>
      <w:spacing w:line="240" w:lineRule="exact"/>
    </w:pPr>
    <w:rPr>
      <w:vertAlign w:val="superscript"/>
    </w:rPr>
  </w:style>
  <w:style w:type="paragraph" w:styleId="Revisin">
    <w:name w:val="Revision"/>
    <w:hidden/>
    <w:uiPriority w:val="99"/>
    <w:semiHidden/>
    <w:rsid w:val="004B39A3"/>
    <w:pPr>
      <w:spacing w:after="0" w:line="240" w:lineRule="auto"/>
    </w:pPr>
  </w:style>
  <w:style w:type="character" w:customStyle="1" w:styleId="normaltextrun">
    <w:name w:val="normaltextrun"/>
    <w:basedOn w:val="Fuentedeprrafopredeter"/>
    <w:rsid w:val="00AF531E"/>
  </w:style>
  <w:style w:type="character" w:customStyle="1" w:styleId="Hipervnculo1">
    <w:name w:val="Hipervínculo1"/>
    <w:basedOn w:val="Fuentedeprrafopredeter"/>
    <w:uiPriority w:val="99"/>
    <w:unhideWhenUsed/>
    <w:rsid w:val="00E27340"/>
    <w:rPr>
      <w:color w:val="F2F2F2"/>
      <w:u w:val="single"/>
    </w:rPr>
  </w:style>
  <w:style w:type="character" w:styleId="Hipervnculo">
    <w:name w:val="Hyperlink"/>
    <w:basedOn w:val="Fuentedeprrafopredeter"/>
    <w:uiPriority w:val="99"/>
    <w:semiHidden/>
    <w:unhideWhenUsed/>
    <w:rsid w:val="00E27340"/>
    <w:rPr>
      <w:color w:val="0563C1" w:themeColor="hyperlink"/>
      <w:u w:val="single"/>
    </w:rPr>
  </w:style>
  <w:style w:type="character" w:styleId="Refdecomentario">
    <w:name w:val="annotation reference"/>
    <w:basedOn w:val="Fuentedeprrafopredeter"/>
    <w:uiPriority w:val="99"/>
    <w:semiHidden/>
    <w:unhideWhenUsed/>
    <w:rsid w:val="001950DC"/>
    <w:rPr>
      <w:sz w:val="16"/>
      <w:szCs w:val="16"/>
    </w:rPr>
  </w:style>
  <w:style w:type="paragraph" w:styleId="Textocomentario">
    <w:name w:val="annotation text"/>
    <w:basedOn w:val="Normal"/>
    <w:link w:val="TextocomentarioCar"/>
    <w:uiPriority w:val="99"/>
    <w:unhideWhenUsed/>
    <w:rsid w:val="001950DC"/>
    <w:pPr>
      <w:spacing w:line="240" w:lineRule="auto"/>
    </w:pPr>
    <w:rPr>
      <w:sz w:val="20"/>
      <w:szCs w:val="20"/>
    </w:rPr>
  </w:style>
  <w:style w:type="character" w:customStyle="1" w:styleId="TextocomentarioCar">
    <w:name w:val="Texto comentario Car"/>
    <w:basedOn w:val="Fuentedeprrafopredeter"/>
    <w:link w:val="Textocomentario"/>
    <w:uiPriority w:val="99"/>
    <w:rsid w:val="001950DC"/>
    <w:rPr>
      <w:sz w:val="20"/>
      <w:szCs w:val="20"/>
    </w:rPr>
  </w:style>
  <w:style w:type="paragraph" w:styleId="Asuntodelcomentario">
    <w:name w:val="annotation subject"/>
    <w:basedOn w:val="Textocomentario"/>
    <w:next w:val="Textocomentario"/>
    <w:link w:val="AsuntodelcomentarioCar"/>
    <w:uiPriority w:val="99"/>
    <w:semiHidden/>
    <w:unhideWhenUsed/>
    <w:rsid w:val="001950DC"/>
    <w:rPr>
      <w:b/>
      <w:bCs/>
    </w:rPr>
  </w:style>
  <w:style w:type="character" w:customStyle="1" w:styleId="AsuntodelcomentarioCar">
    <w:name w:val="Asunto del comentario Car"/>
    <w:basedOn w:val="TextocomentarioCar"/>
    <w:link w:val="Asuntodelcomentario"/>
    <w:uiPriority w:val="99"/>
    <w:semiHidden/>
    <w:rsid w:val="00195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256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uncionpublica.gov.co/eva/gestornormativo/norma.php?i=16096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BDD5C-4D12-42CB-A3FB-1CDE0E7D96A5}"/>
</file>

<file path=customXml/itemProps2.xml><?xml version="1.0" encoding="utf-8"?>
<ds:datastoreItem xmlns:ds="http://schemas.openxmlformats.org/officeDocument/2006/customXml" ds:itemID="{EDF4D6F0-1FE9-418A-A2CC-2D83DA2404E4}"/>
</file>

<file path=customXml/itemProps3.xml><?xml version="1.0" encoding="utf-8"?>
<ds:datastoreItem xmlns:ds="http://schemas.openxmlformats.org/officeDocument/2006/customXml" ds:itemID="{E1E943F5-BE20-4DE3-955D-C02FE4F81B49}"/>
</file>

<file path=docProps/app.xml><?xml version="1.0" encoding="utf-8"?>
<Properties xmlns="http://schemas.openxmlformats.org/officeDocument/2006/extended-properties" xmlns:vt="http://schemas.openxmlformats.org/officeDocument/2006/docPropsVTypes">
  <Template>Normal</Template>
  <TotalTime>1</TotalTime>
  <Pages>21</Pages>
  <Words>7509</Words>
  <Characters>41303</Characters>
  <Application>Microsoft Office Word</Application>
  <DocSecurity>4</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2</cp:revision>
  <dcterms:created xsi:type="dcterms:W3CDTF">2022-11-09T16:14:00Z</dcterms:created>
  <dcterms:modified xsi:type="dcterms:W3CDTF">2022-11-09T16:14:00Z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